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C4EF9" w:rsidR="002C4EF9" w:rsidP="002C4EF9" w14:paraId="60A2127D" w14:textId="77777777">
      <w:pPr>
        <w:jc w:val="center"/>
      </w:pPr>
    </w:p>
    <w:p w:rsidRPr="002C4EF9" w:rsidR="002C4EF9" w:rsidP="002C4EF9" w14:paraId="44AC2039" w14:textId="77777777">
      <w:pPr>
        <w:pStyle w:val="DecHCase"/>
      </w:pPr>
      <w:r w:rsidRPr="002C4EF9">
        <w:t>FOURTH SECTION</w:t>
      </w:r>
    </w:p>
    <w:p w:rsidRPr="002C4EF9" w:rsidR="002C4EF9" w:rsidP="002C4EF9" w14:paraId="1A5D0A3E" w14:textId="77777777">
      <w:pPr>
        <w:pStyle w:val="JuTitle"/>
        <w:spacing w:before="960"/>
      </w:pPr>
      <w:bookmarkStart w:name="To" w:id="0"/>
      <w:r w:rsidRPr="002C4EF9">
        <w:rPr>
          <w:color w:val="000000" w:themeColor="text1"/>
        </w:rPr>
        <w:t xml:space="preserve">CASE OF </w:t>
      </w:r>
      <w:bookmarkEnd w:id="0"/>
      <w:r w:rsidRPr="002C4EF9">
        <w:t>STANDARD VERLAGSGESELLSCHAFT mbH v. AUSTRIA (No. 3)</w:t>
      </w:r>
    </w:p>
    <w:p w:rsidRPr="002C4EF9" w:rsidR="002C4EF9" w:rsidP="002C4EF9" w14:paraId="7E5EB6B3" w14:textId="77777777">
      <w:pPr>
        <w:pStyle w:val="ECHRCoverTitle4"/>
      </w:pPr>
      <w:r w:rsidRPr="002C4EF9">
        <w:t>(Application no. 39378/15)</w:t>
      </w:r>
    </w:p>
    <w:p w:rsidRPr="002C4EF9" w:rsidR="002C4EF9" w:rsidP="002C4EF9" w14:paraId="4F9781D2" w14:textId="77777777">
      <w:pPr>
        <w:pStyle w:val="DecHCase"/>
        <w:spacing w:after="0"/>
      </w:pPr>
    </w:p>
    <w:p w:rsidRPr="002C4EF9" w:rsidR="002C4EF9" w:rsidP="002C4EF9" w14:paraId="025C28EA" w14:textId="77777777">
      <w:pPr>
        <w:pStyle w:val="DecHCase"/>
        <w:spacing w:after="120"/>
      </w:pPr>
      <w:r w:rsidRPr="002C4EF9">
        <w:t>JUDGMENT</w:t>
      </w:r>
      <w:r w:rsidRPr="002C4EF9">
        <w:br/>
      </w:r>
    </w:p>
    <w:p w:rsidRPr="000B7915" w:rsidR="002C4EF9" w:rsidP="002C4EF9" w14:paraId="249A4165" w14:textId="3243A630">
      <w:pPr>
        <w:pStyle w:val="JuPara"/>
        <w:pBdr>
          <w:top w:val="single" w:color="auto" w:sz="4" w:space="1"/>
          <w:left w:val="single" w:color="auto" w:sz="4" w:space="4"/>
          <w:bottom w:val="single" w:color="auto" w:sz="4" w:space="1"/>
          <w:right w:val="single" w:color="auto" w:sz="4" w:space="4"/>
        </w:pBdr>
        <w:ind w:firstLine="0"/>
        <w:rPr>
          <w:sz w:val="23"/>
          <w:szCs w:val="23"/>
        </w:rPr>
      </w:pPr>
      <w:r w:rsidRPr="000B7915">
        <w:rPr>
          <w:rFonts w:cstheme="minorHAnsi"/>
          <w:sz w:val="23"/>
          <w:szCs w:val="23"/>
        </w:rPr>
        <w:t xml:space="preserve">Art 10 • Freedom of expression • Unjustified </w:t>
      </w:r>
      <w:r w:rsidRPr="000B7915">
        <w:rPr>
          <w:color w:val="000000"/>
          <w:sz w:val="23"/>
          <w:szCs w:val="23"/>
        </w:rPr>
        <w:t xml:space="preserve">court orders against applicant media company to disclose data of anonymous authors of offensive comments posted on its Internet news portal in context </w:t>
      </w:r>
      <w:r w:rsidRPr="000B7915">
        <w:rPr>
          <w:sz w:val="23"/>
          <w:szCs w:val="23"/>
          <w:lang w:bidi="en-US"/>
        </w:rPr>
        <w:t>of political debate</w:t>
      </w:r>
      <w:r w:rsidRPr="000B7915">
        <w:rPr>
          <w:color w:val="000000"/>
          <w:sz w:val="23"/>
          <w:szCs w:val="23"/>
        </w:rPr>
        <w:t xml:space="preserve"> </w:t>
      </w:r>
      <w:r w:rsidRPr="000B7915">
        <w:rPr>
          <w:rFonts w:cstheme="minorHAnsi"/>
          <w:sz w:val="23"/>
          <w:szCs w:val="23"/>
        </w:rPr>
        <w:t xml:space="preserve">• Authors of online comments not considered journalistic sources • Interference with applicant company’s freedom of press due to lifting of anonymity and effects thereof, notably chilling effect on forum users, irrespective of outcome of any subsequent proceedings as to user-generated content • No absolute right to anonymity which, albeit an important value, </w:t>
      </w:r>
      <w:r w:rsidRPr="000B7915">
        <w:rPr>
          <w:rFonts w:cstheme="minorHAnsi"/>
          <w:color w:val="000000"/>
          <w:sz w:val="23"/>
          <w:szCs w:val="23"/>
        </w:rPr>
        <w:t xml:space="preserve">had to be </w:t>
      </w:r>
      <w:r w:rsidRPr="000B7915">
        <w:rPr>
          <w:rFonts w:cstheme="minorHAnsi"/>
          <w:sz w:val="23"/>
          <w:szCs w:val="23"/>
        </w:rPr>
        <w:t>balanced</w:t>
      </w:r>
      <w:r w:rsidRPr="000B7915">
        <w:rPr>
          <w:rFonts w:cstheme="minorHAnsi"/>
          <w:color w:val="000000"/>
          <w:sz w:val="23"/>
          <w:szCs w:val="23"/>
        </w:rPr>
        <w:t xml:space="preserve"> against other rights and interests </w:t>
      </w:r>
      <w:r w:rsidRPr="000B7915">
        <w:rPr>
          <w:rFonts w:cstheme="minorHAnsi"/>
          <w:sz w:val="23"/>
          <w:szCs w:val="23"/>
        </w:rPr>
        <w:t xml:space="preserve">• </w:t>
      </w:r>
      <w:r w:rsidRPr="000B7915">
        <w:rPr>
          <w:rFonts w:cstheme="minorHAnsi"/>
          <w:sz w:val="23"/>
          <w:szCs w:val="23"/>
          <w:lang w:bidi="en-US"/>
        </w:rPr>
        <w:t xml:space="preserve">Impugned interference weighing less heavily in proportionality assessment than a media company’s liability for user-generated content • Prima facie examination sufficient for balancing exercise in context • </w:t>
      </w:r>
      <w:r w:rsidRPr="000B7915">
        <w:rPr>
          <w:rFonts w:cstheme="minorHAnsi"/>
          <w:sz w:val="23"/>
          <w:szCs w:val="23"/>
        </w:rPr>
        <w:t xml:space="preserve">Domestic courts’ failure to conduct </w:t>
      </w:r>
      <w:r w:rsidRPr="000B7915">
        <w:rPr>
          <w:sz w:val="23"/>
          <w:szCs w:val="23"/>
          <w:lang w:bidi="en-US"/>
        </w:rPr>
        <w:t>any balancing between opposing interests at stake</w:t>
      </w:r>
    </w:p>
    <w:p w:rsidRPr="002C4EF9" w:rsidR="002C4EF9" w:rsidP="002C4EF9" w14:paraId="4CCB95DC" w14:textId="77777777">
      <w:pPr>
        <w:pStyle w:val="DecHCase"/>
        <w:spacing w:after="120"/>
      </w:pPr>
    </w:p>
    <w:p w:rsidRPr="002C4EF9" w:rsidR="002C4EF9" w:rsidP="002C4EF9" w14:paraId="3941056B" w14:textId="77777777">
      <w:pPr>
        <w:pStyle w:val="DecHCase"/>
      </w:pPr>
      <w:r w:rsidRPr="002C4EF9">
        <w:t>STRASBOURG</w:t>
      </w:r>
    </w:p>
    <w:p w:rsidRPr="002C4EF9" w:rsidR="002C4EF9" w:rsidP="002C4EF9" w14:paraId="0E79B450" w14:textId="77777777">
      <w:pPr>
        <w:pStyle w:val="DecHCase"/>
        <w:spacing w:after="480"/>
      </w:pPr>
      <w:r w:rsidRPr="002C4EF9">
        <w:rPr>
          <w:rFonts w:ascii="Times New Roman" w:hAnsi="Times New Roman" w:cs="Times New Roman"/>
        </w:rPr>
        <w:t>7 December 2021</w:t>
      </w:r>
    </w:p>
    <w:p w:rsidRPr="002C4EF9" w:rsidR="002C4EF9" w:rsidP="002C4EF9" w14:paraId="6E071DC0" w14:textId="77777777">
      <w:pPr>
        <w:pStyle w:val="jucase0"/>
        <w:ind w:firstLine="0"/>
        <w:jc w:val="center"/>
        <w:rPr>
          <w:color w:val="FF0000"/>
          <w:sz w:val="28"/>
          <w:szCs w:val="28"/>
          <w:u w:val="single"/>
        </w:rPr>
      </w:pPr>
      <w:r w:rsidRPr="002C4EF9">
        <w:rPr>
          <w:color w:val="FF0000"/>
          <w:sz w:val="28"/>
          <w:szCs w:val="28"/>
          <w:u w:val="single"/>
        </w:rPr>
        <w:t>FINAL</w:t>
      </w:r>
    </w:p>
    <w:p w:rsidRPr="002C4EF9" w:rsidR="002C4EF9" w:rsidP="002C4EF9" w14:paraId="220D53E6" w14:textId="77777777">
      <w:pPr>
        <w:pStyle w:val="jucase0"/>
        <w:ind w:firstLine="0"/>
        <w:jc w:val="center"/>
        <w:rPr>
          <w:b w:val="0"/>
          <w:bCs w:val="0"/>
          <w:color w:val="FF0000"/>
          <w:u w:val="single"/>
        </w:rPr>
      </w:pPr>
    </w:p>
    <w:p w:rsidRPr="002C4EF9" w:rsidR="002C4EF9" w:rsidP="002C4EF9" w14:paraId="74586FD9" w14:textId="77777777">
      <w:pPr>
        <w:pStyle w:val="jucase0"/>
        <w:ind w:firstLine="0"/>
        <w:jc w:val="center"/>
        <w:rPr>
          <w:b w:val="0"/>
          <w:color w:val="FF0000"/>
          <w:sz w:val="28"/>
          <w:szCs w:val="28"/>
        </w:rPr>
      </w:pPr>
      <w:r w:rsidRPr="002C4EF9">
        <w:rPr>
          <w:b w:val="0"/>
          <w:color w:val="FF0000"/>
          <w:sz w:val="28"/>
          <w:szCs w:val="28"/>
        </w:rPr>
        <w:t>07/03/2022</w:t>
      </w:r>
    </w:p>
    <w:p w:rsidRPr="002C4EF9" w:rsidR="002C4EF9" w:rsidP="002C4EF9" w14:paraId="7FC7DB1A" w14:textId="77777777">
      <w:pPr>
        <w:pStyle w:val="jupara0"/>
        <w:ind w:firstLine="0"/>
        <w:jc w:val="center"/>
      </w:pPr>
    </w:p>
    <w:p w:rsidRPr="002C4EF9" w:rsidR="002C4EF9" w:rsidP="002C4EF9" w14:paraId="312D7DA4" w14:textId="77777777">
      <w:pPr>
        <w:jc w:val="center"/>
        <w:rPr>
          <w:i/>
          <w:sz w:val="22"/>
        </w:rPr>
      </w:pPr>
      <w:r w:rsidRPr="002C4EF9">
        <w:rPr>
          <w:i/>
          <w:iCs/>
          <w:sz w:val="22"/>
          <w:szCs w:val="22"/>
        </w:rPr>
        <w:t xml:space="preserve">This judgment has become final under Article 44 § 2 of the Convention. </w:t>
      </w:r>
      <w:r w:rsidRPr="002C4EF9">
        <w:rPr>
          <w:i/>
          <w:iCs/>
          <w:sz w:val="22"/>
          <w:szCs w:val="22"/>
        </w:rPr>
        <w:br/>
        <w:t>It may be subject to editorial revision.</w:t>
      </w:r>
    </w:p>
    <w:p w:rsidRPr="002C4EF9" w:rsidR="002C4EF9" w:rsidP="002C4EF9" w14:paraId="3939C688" w14:textId="77777777">
      <w:pPr>
        <w:rPr>
          <w:i/>
          <w:sz w:val="22"/>
        </w:rPr>
        <w:sectPr w:rsidSect="009C2566">
          <w:headerReference w:type="first" r:id="rId5"/>
          <w:footerReference w:type="first" r:id="rId6"/>
          <w:footnotePr>
            <w:numRestart w:val="eachSect"/>
          </w:footnotePr>
          <w:endnotePr>
            <w:numFmt w:val="decimal"/>
          </w:endnotePr>
          <w:type w:val="continuous"/>
          <w:pgSz w:w="11906" w:h="16838" w:code="9"/>
          <w:pgMar w:top="2274" w:right="2274" w:bottom="2274" w:left="2274" w:header="1701" w:footer="720" w:gutter="0"/>
          <w:pgNumType w:start="1"/>
          <w:cols w:space="720"/>
          <w:noEndnote/>
          <w:titlePg/>
        </w:sectPr>
      </w:pPr>
    </w:p>
    <w:p w:rsidRPr="002C4EF9" w:rsidR="002C4EF9" w:rsidP="002C4EF9" w14:paraId="788233F5" w14:textId="77777777">
      <w:pPr>
        <w:pStyle w:val="JuCase"/>
      </w:pPr>
      <w:r w:rsidRPr="002C4EF9">
        <w:t>In the case of Standard Verlagsgesellschaft mbH v. Austria (no. 3),</w:t>
      </w:r>
    </w:p>
    <w:p w:rsidRPr="002C4EF9" w:rsidR="002C4EF9" w:rsidP="002C4EF9" w14:paraId="36103511" w14:textId="77777777">
      <w:pPr>
        <w:pStyle w:val="JuPara"/>
      </w:pPr>
      <w:r w:rsidRPr="002C4EF9">
        <w:t>The European Court of Human Rights (Fourth Section), sitting as a Chamber composed of:</w:t>
      </w:r>
    </w:p>
    <w:p w:rsidRPr="002C4EF9" w:rsidR="002C4EF9" w:rsidP="002C4EF9" w14:paraId="26D098C8" w14:textId="77777777">
      <w:pPr>
        <w:pStyle w:val="JuJudges"/>
      </w:pPr>
      <w:r w:rsidRPr="002C4EF9">
        <w:tab/>
        <w:t>Yonko Grozev,</w:t>
      </w:r>
      <w:r w:rsidRPr="002C4EF9">
        <w:rPr>
          <w:i/>
        </w:rPr>
        <w:t xml:space="preserve"> President</w:t>
      </w:r>
      <w:r w:rsidRPr="002C4EF9">
        <w:rPr>
          <w:iCs/>
        </w:rPr>
        <w:t>,</w:t>
      </w:r>
      <w:r w:rsidRPr="002C4EF9">
        <w:rPr>
          <w:i/>
        </w:rPr>
        <w:br/>
      </w:r>
      <w:r w:rsidRPr="002C4EF9">
        <w:tab/>
        <w:t>Tim Eicke,</w:t>
      </w:r>
      <w:r w:rsidRPr="002C4EF9">
        <w:rPr>
          <w:i/>
        </w:rPr>
        <w:br/>
      </w:r>
      <w:r w:rsidRPr="002C4EF9">
        <w:tab/>
        <w:t>Faris Vehabović,</w:t>
      </w:r>
      <w:r w:rsidRPr="002C4EF9">
        <w:rPr>
          <w:i/>
        </w:rPr>
        <w:br/>
      </w:r>
      <w:r w:rsidRPr="002C4EF9">
        <w:tab/>
        <w:t>Iulia Antoanella Motoc,</w:t>
      </w:r>
      <w:r w:rsidRPr="002C4EF9">
        <w:rPr>
          <w:i/>
        </w:rPr>
        <w:br/>
      </w:r>
      <w:r w:rsidRPr="002C4EF9">
        <w:tab/>
        <w:t>Armen Harutyunyan,</w:t>
      </w:r>
      <w:r w:rsidRPr="002C4EF9">
        <w:rPr>
          <w:i/>
        </w:rPr>
        <w:br/>
      </w:r>
      <w:r w:rsidRPr="002C4EF9">
        <w:tab/>
        <w:t>Gabriele Kucsko-Stadlmayer,</w:t>
      </w:r>
      <w:r w:rsidRPr="002C4EF9">
        <w:rPr>
          <w:i/>
        </w:rPr>
        <w:br/>
      </w:r>
      <w:r w:rsidRPr="002C4EF9">
        <w:tab/>
        <w:t>Pere Pastor Vilanova,</w:t>
      </w:r>
      <w:r w:rsidRPr="002C4EF9">
        <w:rPr>
          <w:i/>
        </w:rPr>
        <w:t xml:space="preserve"> judges</w:t>
      </w:r>
      <w:r w:rsidRPr="002C4EF9">
        <w:rPr>
          <w:iCs/>
        </w:rPr>
        <w:t>,</w:t>
      </w:r>
      <w:r w:rsidRPr="002C4EF9">
        <w:br/>
        <w:t xml:space="preserve">and Andrea Tamietti, </w:t>
      </w:r>
      <w:r w:rsidRPr="002C4EF9">
        <w:rPr>
          <w:i/>
        </w:rPr>
        <w:t xml:space="preserve">Section </w:t>
      </w:r>
      <w:r w:rsidRPr="002C4EF9">
        <w:rPr>
          <w:i/>
          <w:iCs/>
        </w:rPr>
        <w:t>Registrar</w:t>
      </w:r>
      <w:r w:rsidRPr="002C4EF9">
        <w:rPr>
          <w:iCs/>
        </w:rPr>
        <w:t>,</w:t>
      </w:r>
    </w:p>
    <w:p w:rsidRPr="002C4EF9" w:rsidR="002C4EF9" w:rsidP="002C4EF9" w14:paraId="2B81EEB3" w14:textId="77777777">
      <w:pPr>
        <w:pStyle w:val="JuPara"/>
      </w:pPr>
      <w:r w:rsidRPr="002C4EF9">
        <w:t>Having regard to:</w:t>
      </w:r>
    </w:p>
    <w:p w:rsidRPr="002C4EF9" w:rsidR="002C4EF9" w:rsidP="002C4EF9" w14:paraId="32AF0BCA" w14:textId="77777777">
      <w:pPr>
        <w:pStyle w:val="JuPara"/>
      </w:pPr>
      <w:r w:rsidRPr="002C4EF9">
        <w:t>the application (no. 39378/15) against the Republic of Austria lodged with the Court under Article 34 of the Convention for the Protection of Human Rights and Fundamental Freedoms (“the Convention”) by an Austrian limited liability company, Standard Verlagsgesellschaft mbH (“the applicant company”) on 7 August 2015;</w:t>
      </w:r>
    </w:p>
    <w:p w:rsidRPr="002C4EF9" w:rsidR="002C4EF9" w:rsidP="002C4EF9" w14:paraId="00641828" w14:textId="77777777">
      <w:pPr>
        <w:pStyle w:val="JuPara"/>
      </w:pPr>
      <w:r w:rsidRPr="002C4EF9">
        <w:t>the decision to give notice to the Austrian Government (“the Government”) of the complaint concerning Article 10 of the Convention;</w:t>
      </w:r>
    </w:p>
    <w:p w:rsidRPr="002C4EF9" w:rsidR="002C4EF9" w:rsidP="002C4EF9" w14:paraId="1AFF6CDB" w14:textId="77777777">
      <w:pPr>
        <w:pStyle w:val="JuPara"/>
      </w:pPr>
      <w:r w:rsidRPr="002C4EF9">
        <w:t>the observations submitted by the respondent Government and the observations in reply submitted by the applicant company;</w:t>
      </w:r>
    </w:p>
    <w:p w:rsidRPr="002C4EF9" w:rsidR="002C4EF9" w:rsidP="002C4EF9" w14:paraId="53FFDB7C" w14:textId="77777777">
      <w:pPr>
        <w:pStyle w:val="JuPara"/>
      </w:pPr>
      <w:r w:rsidRPr="002C4EF9">
        <w:t>the comments submitted by Media Legal Defence Initiative who were granted leave to intervene by the President of the Section;</w:t>
      </w:r>
    </w:p>
    <w:p w:rsidRPr="002C4EF9" w:rsidR="002C4EF9" w:rsidP="002C4EF9" w14:paraId="199408AE" w14:textId="77777777">
      <w:pPr>
        <w:pStyle w:val="JuPara"/>
      </w:pPr>
      <w:r w:rsidRPr="002C4EF9">
        <w:t>Having deliberated in private on 14 September and 9 November 2021,</w:t>
      </w:r>
    </w:p>
    <w:p w:rsidRPr="002C4EF9" w:rsidR="002C4EF9" w:rsidP="002C4EF9" w14:paraId="5F1DAC83" w14:textId="77777777">
      <w:pPr>
        <w:pStyle w:val="JuPara"/>
      </w:pPr>
      <w:r w:rsidRPr="002C4EF9">
        <w:t xml:space="preserve">Delivers the following judgment, which was adopted on that </w:t>
      </w:r>
      <w:r w:rsidRPr="002C4EF9">
        <w:br/>
        <w:t>last-mentioned date:</w:t>
      </w:r>
    </w:p>
    <w:p w:rsidRPr="002C4EF9" w:rsidR="002C4EF9" w:rsidP="002C4EF9" w14:paraId="10700B5D" w14:textId="77777777">
      <w:pPr>
        <w:pStyle w:val="JuHHead"/>
        <w:numPr>
          <w:ilvl w:val="0"/>
          <w:numId w:val="0"/>
        </w:numPr>
      </w:pPr>
      <w:r w:rsidRPr="002C4EF9">
        <w:t>Introduction</w:t>
      </w:r>
    </w:p>
    <w:p w:rsidRPr="002C4EF9" w:rsidR="002C4EF9" w:rsidP="002C4EF9" w14:paraId="3570A63C" w14:textId="4C22F458">
      <w:pPr>
        <w:pStyle w:val="JuPara"/>
      </w:pPr>
      <w:r>
        <w:fldChar w:fldCharType="begin"/>
      </w:r>
      <w:r>
        <w:instrText xml:space="preserve"> SEQ level0 \*arabic \* MERGEFORMAT </w:instrText>
      </w:r>
      <w:r>
        <w:fldChar w:fldCharType="separate"/>
      </w:r>
      <w:r w:rsidRPr="002C4EF9">
        <w:rPr>
          <w:noProof/>
        </w:rPr>
        <w:t>1</w:t>
      </w:r>
      <w:r w:rsidRPr="002C4EF9">
        <w:rPr>
          <w:noProof/>
        </w:rPr>
        <w:fldChar w:fldCharType="end"/>
      </w:r>
      <w:r w:rsidRPr="002C4EF9">
        <w:t>.  Alleging a violation of Article 10 of the Convention, the applicant company complained that court orders imposing an obligation to disclose data revealing the identity of users who had posted comments on the applicant company’s Internet news portal had infringed its freedom of expression – specifically, its right to enjoy freedom of the press.</w:t>
      </w:r>
    </w:p>
    <w:p w:rsidRPr="002C4EF9" w:rsidR="002C4EF9" w:rsidP="002C4EF9" w14:paraId="3DA60F28" w14:textId="77777777">
      <w:pPr>
        <w:pStyle w:val="JuHHead"/>
      </w:pPr>
      <w:r w:rsidRPr="002C4EF9">
        <w:t>THE FACTS</w:t>
      </w:r>
    </w:p>
    <w:p w:rsidRPr="002C4EF9" w:rsidR="002C4EF9" w:rsidP="002C4EF9" w14:paraId="26A056B0" w14:textId="5BFD2206">
      <w:pPr>
        <w:pStyle w:val="JuPara"/>
      </w:pPr>
      <w:r w:rsidRPr="002C4EF9">
        <w:fldChar w:fldCharType="begin"/>
      </w:r>
      <w:r w:rsidRPr="002C4EF9">
        <w:instrText xml:space="preserve"> SEQ level0 \*arabic </w:instrText>
      </w:r>
      <w:r w:rsidRPr="002C4EF9">
        <w:fldChar w:fldCharType="separate"/>
      </w:r>
      <w:r w:rsidRPr="002C4EF9">
        <w:rPr>
          <w:noProof/>
        </w:rPr>
        <w:t>2</w:t>
      </w:r>
      <w:r w:rsidRPr="002C4EF9">
        <w:fldChar w:fldCharType="end"/>
      </w:r>
      <w:r w:rsidRPr="002C4EF9">
        <w:t>.  The applicant company, a limited liability company registered in Vienna, was represented by Ms M. Windhager, a lawyer practising in Vienna.</w:t>
      </w:r>
    </w:p>
    <w:p w:rsidRPr="002C4EF9" w:rsidR="002C4EF9" w:rsidP="002C4EF9" w14:paraId="702A59A7" w14:textId="0F16792F">
      <w:pPr>
        <w:pStyle w:val="JuPara"/>
      </w:pPr>
      <w:r w:rsidRPr="002C4EF9">
        <w:fldChar w:fldCharType="begin"/>
      </w:r>
      <w:r w:rsidRPr="002C4EF9">
        <w:instrText xml:space="preserve"> SEQ level0 \*arabic </w:instrText>
      </w:r>
      <w:r w:rsidRPr="002C4EF9">
        <w:fldChar w:fldCharType="separate"/>
      </w:r>
      <w:r w:rsidRPr="002C4EF9">
        <w:rPr>
          <w:noProof/>
        </w:rPr>
        <w:t>3</w:t>
      </w:r>
      <w:r w:rsidRPr="002C4EF9">
        <w:fldChar w:fldCharType="end"/>
      </w:r>
      <w:r w:rsidRPr="002C4EF9">
        <w:t>.  The Government were represented by their Agent, Ambassador H. Tichy, Head of the International Law Department at the Federal Ministry for European and International Affairs.</w:t>
      </w:r>
    </w:p>
    <w:p w:rsidRPr="002C4EF9" w:rsidR="002C4EF9" w:rsidP="002C4EF9" w14:paraId="23BE52F5" w14:textId="306EF03B">
      <w:pPr>
        <w:pStyle w:val="JuPara"/>
      </w:pPr>
      <w:r w:rsidRPr="002C4EF9">
        <w:fldChar w:fldCharType="begin"/>
      </w:r>
      <w:r w:rsidRPr="002C4EF9">
        <w:instrText xml:space="preserve"> SEQ level0 \*arabic </w:instrText>
      </w:r>
      <w:r w:rsidRPr="002C4EF9">
        <w:fldChar w:fldCharType="separate"/>
      </w:r>
      <w:r w:rsidRPr="002C4EF9">
        <w:rPr>
          <w:noProof/>
        </w:rPr>
        <w:t>4</w:t>
      </w:r>
      <w:r w:rsidRPr="002C4EF9">
        <w:fldChar w:fldCharType="end"/>
      </w:r>
      <w:r w:rsidRPr="002C4EF9">
        <w:t>.  The facts of the case, as submitted by the parties, may be summarised as follows.</w:t>
      </w:r>
    </w:p>
    <w:p w:rsidRPr="002C4EF9" w:rsidR="002C4EF9" w:rsidP="002C4EF9" w14:paraId="57813B12" w14:textId="77777777">
      <w:pPr>
        <w:pStyle w:val="JuHIRoman"/>
      </w:pPr>
      <w:r w:rsidRPr="002C4EF9">
        <w:t>Background TO the case</w:t>
      </w:r>
    </w:p>
    <w:p w:rsidRPr="002C4EF9" w:rsidR="002C4EF9" w:rsidP="002C4EF9" w14:paraId="13C418FA" w14:textId="254E3E81">
      <w:pPr>
        <w:pStyle w:val="JuPara"/>
      </w:pPr>
      <w:r w:rsidRPr="002C4EF9">
        <w:fldChar w:fldCharType="begin"/>
      </w:r>
      <w:r w:rsidRPr="002C4EF9">
        <w:instrText xml:space="preserve"> SEQ level0 \*arabic </w:instrText>
      </w:r>
      <w:r w:rsidRPr="002C4EF9">
        <w:fldChar w:fldCharType="separate"/>
      </w:r>
      <w:bookmarkStart w:name="paragraph5" w:id="1"/>
      <w:r w:rsidRPr="002C4EF9">
        <w:rPr>
          <w:noProof/>
        </w:rPr>
        <w:t>5</w:t>
      </w:r>
      <w:bookmarkEnd w:id="1"/>
      <w:r w:rsidRPr="002C4EF9">
        <w:fldChar w:fldCharType="end"/>
      </w:r>
      <w:r w:rsidRPr="002C4EF9">
        <w:t>.  The applicant is a limited liability company based in Vienna. It owns and publishes a daily newspaper published in print format (</w:t>
      </w:r>
      <w:r w:rsidRPr="002C4EF9">
        <w:rPr>
          <w:i/>
          <w:iCs/>
        </w:rPr>
        <w:t>Der Standard</w:t>
      </w:r>
      <w:r w:rsidRPr="002C4EF9">
        <w:t>), in digital format (as an “e-paper”) and in an online version (</w:t>
      </w:r>
      <w:r w:rsidRPr="002C4EF9">
        <w:rPr>
          <w:i/>
          <w:iCs/>
        </w:rPr>
        <w:t>derStandard.at</w:t>
      </w:r>
      <w:r w:rsidRPr="002C4EF9">
        <w:t>). The applicant company describes its work as being of a multi-media nature, and its editorial office (</w:t>
      </w:r>
      <w:r w:rsidRPr="002C4EF9">
        <w:rPr>
          <w:i/>
          <w:iCs/>
        </w:rPr>
        <w:t>Redaktion</w:t>
      </w:r>
      <w:r w:rsidRPr="002C4EF9">
        <w:t>) does not distinguish between the print and the digital medium. The online news portal run by the applicant company under derStandard.at (hereinafter “the portal”) carries articles assigned to it by the editorial office and discussion forums relating to those articles. At the end of each article, the applicant company invites registered users to post comments with a banner stating “Your opinion counts” and a field entitled “Your comment ...” that allows them to insert text.</w:t>
      </w:r>
    </w:p>
    <w:p w:rsidRPr="002C4EF9" w:rsidR="002C4EF9" w:rsidP="002C4EF9" w14:paraId="64FEF6D3" w14:textId="74333CDB">
      <w:pPr>
        <w:pStyle w:val="JuPara"/>
      </w:pPr>
      <w:r w:rsidRPr="002C4EF9">
        <w:fldChar w:fldCharType="begin"/>
      </w:r>
      <w:r w:rsidRPr="002C4EF9">
        <w:instrText xml:space="preserve"> SEQ level0 \*arabic </w:instrText>
      </w:r>
      <w:r w:rsidRPr="002C4EF9">
        <w:fldChar w:fldCharType="separate"/>
      </w:r>
      <w:bookmarkStart w:name="paragraph6" w:id="2"/>
      <w:r w:rsidRPr="002C4EF9">
        <w:rPr>
          <w:noProof/>
        </w:rPr>
        <w:t>6</w:t>
      </w:r>
      <w:bookmarkEnd w:id="2"/>
      <w:r w:rsidRPr="002C4EF9">
        <w:fldChar w:fldCharType="end"/>
      </w:r>
      <w:r w:rsidRPr="002C4EF9">
        <w:t xml:space="preserve">.  In the course of the registration process (during which new users have to accept the applicant company’s general terms and conditions, see paragraph </w:t>
      </w:r>
      <w:r w:rsidRPr="002C4EF9">
        <w:fldChar w:fldCharType="begin"/>
      </w:r>
      <w:r w:rsidRPr="002C4EF9">
        <w:instrText xml:space="preserve"> REF paragraph7 \h  \* MERGEFORMAT </w:instrText>
      </w:r>
      <w:r w:rsidRPr="002C4EF9">
        <w:fldChar w:fldCharType="separate"/>
      </w:r>
      <w:r w:rsidRPr="002C4EF9">
        <w:t>7</w:t>
      </w:r>
      <w:r w:rsidRPr="002C4EF9">
        <w:fldChar w:fldCharType="end"/>
      </w:r>
      <w:r w:rsidRPr="002C4EF9">
        <w:t xml:space="preserve"> below), each user is required to submit his or her name, surname and email address to the applicant company; moreover, he or she may, optionally, submit a postal address. Users are informed that their data will not be seen publicly.</w:t>
      </w:r>
    </w:p>
    <w:p w:rsidRPr="002C4EF9" w:rsidR="002C4EF9" w:rsidP="002C4EF9" w14:paraId="244FEBD9" w14:textId="1C804666">
      <w:pPr>
        <w:pStyle w:val="JuPara"/>
      </w:pPr>
      <w:r w:rsidRPr="002C4EF9">
        <w:fldChar w:fldCharType="begin"/>
      </w:r>
      <w:r w:rsidRPr="002C4EF9">
        <w:instrText xml:space="preserve"> SEQ level0 \*arabic </w:instrText>
      </w:r>
      <w:r w:rsidRPr="002C4EF9">
        <w:fldChar w:fldCharType="separate"/>
      </w:r>
      <w:bookmarkStart w:name="paragraph7" w:id="3"/>
      <w:r w:rsidRPr="002C4EF9">
        <w:rPr>
          <w:noProof/>
        </w:rPr>
        <w:t>7</w:t>
      </w:r>
      <w:bookmarkEnd w:id="3"/>
      <w:r w:rsidRPr="002C4EF9">
        <w:fldChar w:fldCharType="end"/>
      </w:r>
      <w:r w:rsidRPr="002C4EF9">
        <w:t>.  The applicant company’s general terms and conditions state that its forum rules (the latest version of which can be found on the portal) must be complied with. Under the heading “Community guidelines” the applicant company reminds users that their comments are an essential and valuable part of the portal. It emphasises that the forum rules are to be respected and are taken into consideration during moderation, as the quality of discussions is of great concern to it. The portal is described as providing a platform for lively, interesting and inviting dialogue. Under a subheading entitled “quality features (</w:t>
      </w:r>
      <w:r w:rsidRPr="002C4EF9">
        <w:rPr>
          <w:i/>
          <w:iCs/>
        </w:rPr>
        <w:t>Qualitätsmerkmale</w:t>
      </w:r>
      <w:r w:rsidRPr="002C4EF9">
        <w:t xml:space="preserve">) of posts” the applicant company provides guidelines on how to write a comment. Under a subheading “forum rules” it reminds users that they are responsible for their own comments and that they may be held liable for them; moreover, it is indicated that the applicant company will only disclose user data if required to do so by law. </w:t>
      </w:r>
      <w:r w:rsidRPr="002C4EF9">
        <w:rPr>
          <w:i/>
        </w:rPr>
        <w:t>Inter alia</w:t>
      </w:r>
      <w:r w:rsidRPr="002C4EF9">
        <w:t>, personal attacks in the form of insults, threats or abuse, as well as defamatory statements or statements damaging to businesses, are not accepted. The applicant company reserves the right to delete posts that do not comply with the community guidelines. Offensive, discriminatory or hateful usernames are not tolerated.</w:t>
      </w:r>
    </w:p>
    <w:p w:rsidRPr="002C4EF9" w:rsidR="002C4EF9" w:rsidP="002C4EF9" w14:paraId="2917AC97" w14:textId="67435C96">
      <w:pPr>
        <w:pStyle w:val="JuPara"/>
      </w:pPr>
      <w:r w:rsidRPr="002C4EF9">
        <w:fldChar w:fldCharType="begin"/>
      </w:r>
      <w:r w:rsidRPr="002C4EF9">
        <w:instrText xml:space="preserve"> SEQ level0 \*arabic </w:instrText>
      </w:r>
      <w:r w:rsidRPr="002C4EF9">
        <w:fldChar w:fldCharType="separate"/>
      </w:r>
      <w:bookmarkStart w:name="paragraph8" w:id="4"/>
      <w:r w:rsidRPr="002C4EF9">
        <w:rPr>
          <w:noProof/>
        </w:rPr>
        <w:t>8</w:t>
      </w:r>
      <w:bookmarkEnd w:id="4"/>
      <w:r w:rsidRPr="002C4EF9">
        <w:fldChar w:fldCharType="end"/>
      </w:r>
      <w:r w:rsidRPr="002C4EF9">
        <w:t xml:space="preserve">.  Under a subheading “procedure for moderation” the applicant company informs its users that it has installed an automated keyword-screening system. All user comments are screened for problematic content by this system before they are posted on the portal. In the event that the </w:t>
      </w:r>
      <w:r w:rsidRPr="002C4EF9">
        <w:t>system flags a problematic comment, it becomes subject to a manual review before possible publication.</w:t>
      </w:r>
    </w:p>
    <w:p w:rsidRPr="002C4EF9" w:rsidR="002C4EF9" w:rsidP="002C4EF9" w14:paraId="0C44DEA5" w14:textId="11CAF7F0">
      <w:pPr>
        <w:pStyle w:val="JuPara"/>
      </w:pPr>
      <w:r w:rsidRPr="002C4EF9">
        <w:fldChar w:fldCharType="begin"/>
      </w:r>
      <w:r w:rsidRPr="002C4EF9">
        <w:instrText xml:space="preserve"> SEQ level0 \*arabic </w:instrText>
      </w:r>
      <w:r w:rsidRPr="002C4EF9">
        <w:fldChar w:fldCharType="separate"/>
      </w:r>
      <w:r w:rsidRPr="002C4EF9">
        <w:rPr>
          <w:noProof/>
        </w:rPr>
        <w:t>9</w:t>
      </w:r>
      <w:r w:rsidRPr="002C4EF9">
        <w:fldChar w:fldCharType="end"/>
      </w:r>
      <w:r w:rsidRPr="002C4EF9">
        <w:t>.  The automated screening system also takes other factors into account – in particular, the number of previous “hits” in respect of comments posted by the same user, or whether the comment was made by someone who has recently registered with the portal. Furthermore, all comments on material relating to particularly sensitive issues may have to undergo a manual review before publication. Discussion forums may be closed, if deemed necessary.</w:t>
      </w:r>
    </w:p>
    <w:p w:rsidRPr="002C4EF9" w:rsidR="002C4EF9" w:rsidP="002C4EF9" w14:paraId="491E25D9" w14:textId="2C1E016F">
      <w:pPr>
        <w:pStyle w:val="JuPara"/>
      </w:pPr>
      <w:r w:rsidRPr="002C4EF9">
        <w:fldChar w:fldCharType="begin"/>
      </w:r>
      <w:r w:rsidRPr="002C4EF9">
        <w:instrText xml:space="preserve"> SEQ level0 \*arabic </w:instrText>
      </w:r>
      <w:r w:rsidRPr="002C4EF9">
        <w:fldChar w:fldCharType="separate"/>
      </w:r>
      <w:r w:rsidRPr="002C4EF9">
        <w:rPr>
          <w:noProof/>
        </w:rPr>
        <w:t>10</w:t>
      </w:r>
      <w:r w:rsidRPr="002C4EF9">
        <w:fldChar w:fldCharType="end"/>
      </w:r>
      <w:r w:rsidRPr="002C4EF9">
        <w:t>.  After publication, user comments are subject to an editorial review by the applicant company on a regular basis.</w:t>
      </w:r>
    </w:p>
    <w:p w:rsidRPr="002C4EF9" w:rsidR="002C4EF9" w:rsidP="002C4EF9" w14:paraId="249EE1BB" w14:textId="16B05CD1">
      <w:pPr>
        <w:pStyle w:val="JuPara"/>
      </w:pPr>
      <w:r w:rsidRPr="002C4EF9">
        <w:fldChar w:fldCharType="begin"/>
      </w:r>
      <w:r w:rsidRPr="002C4EF9">
        <w:instrText xml:space="preserve"> SEQ level0 \*arabic </w:instrText>
      </w:r>
      <w:r w:rsidRPr="002C4EF9">
        <w:fldChar w:fldCharType="separate"/>
      </w:r>
      <w:r w:rsidRPr="002C4EF9">
        <w:rPr>
          <w:noProof/>
        </w:rPr>
        <w:t>11</w:t>
      </w:r>
      <w:r w:rsidRPr="002C4EF9">
        <w:fldChar w:fldCharType="end"/>
      </w:r>
      <w:r w:rsidRPr="002C4EF9">
        <w:t>.  Moreover, the applicant company has implemented a “notice and take down” system by which other users can trigger a manual editorial review of published user comments by means of a “report” button.</w:t>
      </w:r>
    </w:p>
    <w:p w:rsidRPr="002C4EF9" w:rsidR="002C4EF9" w:rsidP="002C4EF9" w14:paraId="7E468BFC" w14:textId="6B54E6DA">
      <w:pPr>
        <w:pStyle w:val="JuPara"/>
      </w:pPr>
      <w:r w:rsidRPr="002C4EF9">
        <w:fldChar w:fldCharType="begin"/>
      </w:r>
      <w:r w:rsidRPr="002C4EF9">
        <w:instrText xml:space="preserve"> SEQ level0 \*arabic </w:instrText>
      </w:r>
      <w:r w:rsidRPr="002C4EF9">
        <w:fldChar w:fldCharType="separate"/>
      </w:r>
      <w:bookmarkStart w:name="paragraph00012" w:id="5"/>
      <w:r w:rsidRPr="002C4EF9">
        <w:rPr>
          <w:noProof/>
        </w:rPr>
        <w:t>12</w:t>
      </w:r>
      <w:bookmarkEnd w:id="5"/>
      <w:r w:rsidRPr="002C4EF9">
        <w:fldChar w:fldCharType="end"/>
      </w:r>
      <w:r w:rsidRPr="002C4EF9">
        <w:t>.  According to the applicant company, its moderators review up to 6,000 user comments per day and requests for deletion are granted liberally. User data are disclosed, upon request and in accordance with the law, to third parties if it is sufficiently clear that the comment in question may have violated a person’s rights.</w:t>
      </w:r>
    </w:p>
    <w:p w:rsidRPr="002C4EF9" w:rsidR="002C4EF9" w:rsidP="002C4EF9" w14:paraId="73754691" w14:textId="77777777">
      <w:pPr>
        <w:pStyle w:val="JuHIRoman"/>
      </w:pPr>
      <w:r w:rsidRPr="002C4EF9">
        <w:t>comments published on the portal</w:t>
      </w:r>
    </w:p>
    <w:p w:rsidRPr="002C4EF9" w:rsidR="002C4EF9" w:rsidP="002C4EF9" w14:paraId="75212AF9" w14:textId="77777777">
      <w:pPr>
        <w:pStyle w:val="JuHA"/>
      </w:pPr>
      <w:r w:rsidRPr="002C4EF9">
        <w:t>Comments concerning K.S. and the FPK</w:t>
      </w:r>
    </w:p>
    <w:p w:rsidRPr="002C4EF9" w:rsidR="002C4EF9" w:rsidP="002C4EF9" w14:paraId="147A8DDE" w14:textId="1DDDD2A0">
      <w:pPr>
        <w:pStyle w:val="JuPara"/>
      </w:pPr>
      <w:r w:rsidRPr="002C4EF9">
        <w:fldChar w:fldCharType="begin"/>
      </w:r>
      <w:r w:rsidRPr="002C4EF9">
        <w:instrText xml:space="preserve"> SEQ level0 \*arabic </w:instrText>
      </w:r>
      <w:r w:rsidRPr="002C4EF9">
        <w:fldChar w:fldCharType="separate"/>
      </w:r>
      <w:bookmarkStart w:name="paragraph13" w:id="6"/>
      <w:r w:rsidRPr="002C4EF9">
        <w:rPr>
          <w:noProof/>
        </w:rPr>
        <w:t>13</w:t>
      </w:r>
      <w:bookmarkEnd w:id="6"/>
      <w:r w:rsidRPr="002C4EF9">
        <w:fldChar w:fldCharType="end"/>
      </w:r>
      <w:r w:rsidRPr="002C4EF9">
        <w:t>.  On 19 March 2012 an article under the heading “[S.] Brothers take action against forum users” (“</w:t>
      </w:r>
      <w:r w:rsidRPr="002C4EF9">
        <w:rPr>
          <w:i/>
        </w:rPr>
        <w:t>Gebrüder [S.] gehen gegen Foren-User vor</w:t>
      </w:r>
      <w:r w:rsidRPr="002C4EF9">
        <w:rPr>
          <w:iCs/>
        </w:rPr>
        <w:t>”</w:t>
      </w:r>
      <w:r w:rsidRPr="002C4EF9">
        <w:t xml:space="preserve">) was published on the portal. The article related, </w:t>
      </w:r>
      <w:r w:rsidRPr="002C4EF9">
        <w:rPr>
          <w:i/>
        </w:rPr>
        <w:t>inter alia</w:t>
      </w:r>
      <w:r w:rsidRPr="002C4EF9">
        <w:t>, to K.S., who was at that time a leader of the Freedom Party in Carinthia (</w:t>
      </w:r>
      <w:r w:rsidRPr="002C4EF9">
        <w:rPr>
          <w:i/>
        </w:rPr>
        <w:t>Die Freiheitlichen in Kärnten</w:t>
      </w:r>
      <w:r w:rsidRPr="002C4EF9">
        <w:t xml:space="preserve"> – FPK), a right-wing regional political party that at the time of the events was represented in the Carinthia Regional Parliament and in the Regional Government in coalition with two other parties. The article quoted a remark made by K.S. describing people who attacked him in forums as “down-at-heel guys who sound off” (“</w:t>
      </w:r>
      <w:r w:rsidRPr="002C4EF9">
        <w:rPr>
          <w:i/>
          <w:iCs/>
        </w:rPr>
        <w:t>Schmuddeltypen, die sich hier ausrotzen</w:t>
      </w:r>
      <w:r w:rsidRPr="002C4EF9">
        <w:t>”). The article attracted more than 1,600 user comments.</w:t>
      </w:r>
    </w:p>
    <w:p w:rsidRPr="002C4EF9" w:rsidR="002C4EF9" w:rsidP="002C4EF9" w14:paraId="3CA1376B" w14:textId="266C7852">
      <w:pPr>
        <w:pStyle w:val="JuPara"/>
      </w:pPr>
      <w:r w:rsidRPr="002C4EF9">
        <w:fldChar w:fldCharType="begin"/>
      </w:r>
      <w:r w:rsidRPr="002C4EF9">
        <w:instrText xml:space="preserve"> SEQ level0 \*arabic </w:instrText>
      </w:r>
      <w:r w:rsidRPr="002C4EF9">
        <w:fldChar w:fldCharType="separate"/>
      </w:r>
      <w:bookmarkStart w:name="paragraph14" w:id="7"/>
      <w:r w:rsidRPr="002C4EF9">
        <w:rPr>
          <w:noProof/>
        </w:rPr>
        <w:t>14</w:t>
      </w:r>
      <w:bookmarkEnd w:id="7"/>
      <w:r w:rsidRPr="002C4EF9">
        <w:fldChar w:fldCharType="end"/>
      </w:r>
      <w:r w:rsidRPr="002C4EF9">
        <w:t>.  On 22 March 2012 a reader with the username “Tango Korrupti2013” posted the following comment relating to that article:</w:t>
      </w:r>
    </w:p>
    <w:p w:rsidRPr="002C4EF9" w:rsidR="002C4EF9" w:rsidP="002C4EF9" w14:paraId="582957D5" w14:textId="77777777">
      <w:pPr>
        <w:pStyle w:val="JuQuot"/>
        <w:rPr>
          <w:i/>
        </w:rPr>
      </w:pPr>
      <w:r w:rsidRPr="002C4EF9">
        <w:t>“Corrupt politician-assholes forget, [but] we don’t ELECTION DAY IS PAYDAY!!!!!”</w:t>
      </w:r>
    </w:p>
    <w:p w:rsidRPr="002C4EF9" w:rsidR="002C4EF9" w:rsidP="002C4EF9" w14:paraId="461ED7D3" w14:textId="77777777">
      <w:pPr>
        <w:pStyle w:val="JuQuot"/>
        <w:rPr>
          <w:rStyle w:val="CommentReference"/>
          <w:lang w:val="de-DE"/>
        </w:rPr>
      </w:pPr>
      <w:r w:rsidRPr="002C4EF9">
        <w:rPr>
          <w:iCs/>
          <w:lang w:val="de-DE"/>
        </w:rPr>
        <w:t>(</w:t>
      </w:r>
      <w:r w:rsidRPr="002C4EF9">
        <w:rPr>
          <w:lang w:val="de-DE"/>
        </w:rPr>
        <w:t>“</w:t>
      </w:r>
      <w:r w:rsidRPr="002C4EF9">
        <w:rPr>
          <w:i/>
          <w:lang w:val="de-DE"/>
        </w:rPr>
        <w:t>Korrupte Polit-Arschlöcher vergessen, wir nicht WAHLTAG IST ZAHLTAG!!!!!</w:t>
      </w:r>
      <w:r w:rsidRPr="002C4EF9">
        <w:rPr>
          <w:iCs/>
          <w:lang w:val="de-DE"/>
        </w:rPr>
        <w:t>”)</w:t>
      </w:r>
    </w:p>
    <w:p w:rsidRPr="002C4EF9" w:rsidR="002C4EF9" w:rsidP="002C4EF9" w14:paraId="061E8243" w14:textId="451B5F2B">
      <w:pPr>
        <w:pStyle w:val="JuPara"/>
      </w:pPr>
      <w:r w:rsidRPr="002C4EF9">
        <w:fldChar w:fldCharType="begin"/>
      </w:r>
      <w:r w:rsidRPr="002C4EF9">
        <w:instrText xml:space="preserve"> SEQ level0 \*arabic </w:instrText>
      </w:r>
      <w:r w:rsidRPr="002C4EF9">
        <w:fldChar w:fldCharType="separate"/>
      </w:r>
      <w:bookmarkStart w:name="paragraph15" w:id="8"/>
      <w:r w:rsidRPr="002C4EF9">
        <w:rPr>
          <w:noProof/>
        </w:rPr>
        <w:t>15</w:t>
      </w:r>
      <w:bookmarkEnd w:id="8"/>
      <w:r w:rsidRPr="002C4EF9">
        <w:fldChar w:fldCharType="end"/>
      </w:r>
      <w:r w:rsidRPr="002C4EF9">
        <w:t>.  On 23 March 2012 a reader with the username “rrrn” posted the following comment:</w:t>
      </w:r>
    </w:p>
    <w:p w:rsidRPr="002C4EF9" w:rsidR="002C4EF9" w:rsidP="002C4EF9" w14:paraId="5B77F4D1" w14:textId="77777777">
      <w:pPr>
        <w:pStyle w:val="JuQuot"/>
      </w:pPr>
      <w:r w:rsidRPr="002C4EF9">
        <w:t>“[It] was to be expected that FPOe/K, ... -opponents would get carried away. [It] would not have happened if those parties had been banned for their ongoing Nazi revival.”</w:t>
      </w:r>
    </w:p>
    <w:p w:rsidRPr="002C4EF9" w:rsidR="002C4EF9" w:rsidP="002C4EF9" w14:paraId="23F7E3C6" w14:textId="77777777">
      <w:pPr>
        <w:pStyle w:val="JuQuot"/>
        <w:rPr>
          <w:iCs/>
          <w:lang w:val="de-DE"/>
        </w:rPr>
      </w:pPr>
      <w:r w:rsidRPr="002C4EF9">
        <w:rPr>
          <w:iCs/>
          <w:lang w:val="de-DE"/>
        </w:rPr>
        <w:t>(</w:t>
      </w:r>
      <w:r w:rsidRPr="002C4EF9">
        <w:rPr>
          <w:lang w:val="de-DE"/>
        </w:rPr>
        <w:t>“</w:t>
      </w:r>
      <w:r w:rsidRPr="002C4EF9">
        <w:rPr>
          <w:i/>
          <w:lang w:val="de-DE"/>
        </w:rPr>
        <w:t>War zu erwarten, dass FPOe/K, ... -Gegner ueber die Straenge schlagen. Waere nicht passiert, wenn diese Parteien verboten worden waeren wegen ihrer dauernden Nazi-wiederbelebung.</w:t>
      </w:r>
      <w:r w:rsidRPr="002C4EF9">
        <w:rPr>
          <w:iCs/>
          <w:lang w:val="de-DE"/>
        </w:rPr>
        <w:t>”)</w:t>
      </w:r>
    </w:p>
    <w:bookmarkStart w:name="paragraph16" w:id="9"/>
    <w:p w:rsidRPr="002C4EF9" w:rsidR="002C4EF9" w:rsidP="002C4EF9" w14:paraId="77E9E158" w14:textId="7FD5E69B">
      <w:pPr>
        <w:pStyle w:val="JuPara"/>
      </w:pPr>
      <w:r w:rsidRPr="002C4EF9">
        <w:fldChar w:fldCharType="begin"/>
      </w:r>
      <w:r w:rsidRPr="002C4EF9">
        <w:instrText xml:space="preserve"> SEQ level0 \*arabic </w:instrText>
      </w:r>
      <w:r w:rsidRPr="002C4EF9">
        <w:fldChar w:fldCharType="separate"/>
      </w:r>
      <w:r w:rsidRPr="002C4EF9">
        <w:rPr>
          <w:noProof/>
        </w:rPr>
        <w:t>16</w:t>
      </w:r>
      <w:r w:rsidRPr="002C4EF9">
        <w:fldChar w:fldCharType="end"/>
      </w:r>
      <w:bookmarkEnd w:id="9"/>
      <w:r w:rsidRPr="002C4EF9">
        <w:t xml:space="preserve">.  On 16 April 2012, K.S. and the FPK requested the applicant company to disclose the name, address and email address (hereinafter “user data” – see paragraph </w:t>
      </w:r>
      <w:r w:rsidRPr="002C4EF9">
        <w:fldChar w:fldCharType="begin"/>
      </w:r>
      <w:r w:rsidRPr="002C4EF9">
        <w:instrText xml:space="preserve"> REF paragraph6 \h </w:instrText>
      </w:r>
      <w:r w:rsidRPr="002C4EF9">
        <w:fldChar w:fldCharType="separate"/>
      </w:r>
      <w:r w:rsidRPr="002C4EF9">
        <w:rPr>
          <w:noProof/>
        </w:rPr>
        <w:t>6</w:t>
      </w:r>
      <w:r w:rsidRPr="002C4EF9">
        <w:fldChar w:fldCharType="end"/>
      </w:r>
      <w:r w:rsidRPr="002C4EF9">
        <w:t xml:space="preserve"> above) of the comments’ authors in order to be able to institute civil and criminal proceedings against them.</w:t>
      </w:r>
    </w:p>
    <w:p w:rsidRPr="002C4EF9" w:rsidR="002C4EF9" w:rsidP="002C4EF9" w14:paraId="6276D292" w14:textId="6961FBB9">
      <w:pPr>
        <w:pStyle w:val="JuPara"/>
      </w:pPr>
      <w:r w:rsidRPr="002C4EF9">
        <w:fldChar w:fldCharType="begin"/>
      </w:r>
      <w:r w:rsidRPr="002C4EF9">
        <w:instrText xml:space="preserve"> SEQ level0 \*arabic </w:instrText>
      </w:r>
      <w:r w:rsidRPr="002C4EF9">
        <w:fldChar w:fldCharType="separate"/>
      </w:r>
      <w:r w:rsidRPr="002C4EF9">
        <w:rPr>
          <w:noProof/>
        </w:rPr>
        <w:t>17</w:t>
      </w:r>
      <w:r w:rsidRPr="002C4EF9">
        <w:fldChar w:fldCharType="end"/>
      </w:r>
      <w:r w:rsidRPr="002C4EF9">
        <w:t>.  On 18 April 2012, the applicant company replied that they had deleted the comments but refused to disclose the relevant user data. The time of the deletion was no issue in the following proceedings.</w:t>
      </w:r>
    </w:p>
    <w:p w:rsidRPr="002C4EF9" w:rsidR="002C4EF9" w:rsidP="002C4EF9" w14:paraId="03791092" w14:textId="77777777">
      <w:pPr>
        <w:pStyle w:val="JuHA"/>
      </w:pPr>
      <w:r w:rsidRPr="002C4EF9">
        <w:t>Comments concerning H.K.</w:t>
      </w:r>
    </w:p>
    <w:p w:rsidRPr="002C4EF9" w:rsidR="002C4EF9" w:rsidP="002C4EF9" w14:paraId="567D693C" w14:textId="47541605">
      <w:pPr>
        <w:pStyle w:val="JuPara"/>
      </w:pPr>
      <w:r w:rsidRPr="002C4EF9">
        <w:fldChar w:fldCharType="begin"/>
      </w:r>
      <w:r w:rsidRPr="002C4EF9">
        <w:instrText xml:space="preserve"> SEQ level0 \*arabic </w:instrText>
      </w:r>
      <w:r w:rsidRPr="002C4EF9">
        <w:fldChar w:fldCharType="separate"/>
      </w:r>
      <w:bookmarkStart w:name="paragraph18" w:id="10"/>
      <w:r w:rsidRPr="002C4EF9">
        <w:rPr>
          <w:noProof/>
        </w:rPr>
        <w:t>18</w:t>
      </w:r>
      <w:bookmarkEnd w:id="10"/>
      <w:r w:rsidRPr="002C4EF9">
        <w:fldChar w:fldCharType="end"/>
      </w:r>
      <w:r w:rsidRPr="002C4EF9">
        <w:t>.  On 5 May 2013 an interview with H.K. under the heading “What you call uproar, I call effective advertising” (“</w:t>
      </w:r>
      <w:r w:rsidRPr="002C4EF9">
        <w:rPr>
          <w:i/>
        </w:rPr>
        <w:t>Was Sie Aufruhr nennen, nenne ich Werbewirksamkeit</w:t>
      </w:r>
      <w:r w:rsidRPr="002C4EF9">
        <w:rPr>
          <w:iCs/>
        </w:rPr>
        <w:t>”</w:t>
      </w:r>
      <w:r w:rsidRPr="002C4EF9">
        <w:t xml:space="preserve">) was published on the portal. H.K. stated, </w:t>
      </w:r>
      <w:r w:rsidRPr="002C4EF9">
        <w:rPr>
          <w:i/>
          <w:iCs/>
        </w:rPr>
        <w:t>inter alia</w:t>
      </w:r>
      <w:r w:rsidRPr="002C4EF9">
        <w:t>, that posters and slogans had to generate emotion, because without emotion there could be no success in politics. He was at that time a member of the Austrian national assembly (</w:t>
      </w:r>
      <w:r w:rsidRPr="002C4EF9">
        <w:rPr>
          <w:i/>
          <w:iCs/>
        </w:rPr>
        <w:t>Nationalrat</w:t>
      </w:r>
      <w:r w:rsidRPr="002C4EF9">
        <w:t>) and the general secretary of the right-wing Austrian Freedom Party (</w:t>
      </w:r>
      <w:r w:rsidRPr="002C4EF9">
        <w:rPr>
          <w:i/>
          <w:iCs/>
        </w:rPr>
        <w:t>Freiheitliche Partei Österreichs</w:t>
      </w:r>
      <w:r w:rsidRPr="002C4EF9">
        <w:t xml:space="preserve"> – FPÖ).</w:t>
      </w:r>
    </w:p>
    <w:p w:rsidRPr="002C4EF9" w:rsidR="002C4EF9" w:rsidP="002C4EF9" w14:paraId="243B057B" w14:textId="4F8DA996">
      <w:pPr>
        <w:pStyle w:val="JuPara"/>
      </w:pPr>
      <w:r w:rsidRPr="002C4EF9">
        <w:fldChar w:fldCharType="begin"/>
      </w:r>
      <w:r w:rsidRPr="002C4EF9">
        <w:instrText xml:space="preserve"> SEQ level0 \*arabic </w:instrText>
      </w:r>
      <w:r w:rsidRPr="002C4EF9">
        <w:fldChar w:fldCharType="separate"/>
      </w:r>
      <w:bookmarkStart w:name="paragraph19" w:id="11"/>
      <w:r w:rsidRPr="002C4EF9">
        <w:rPr>
          <w:noProof/>
        </w:rPr>
        <w:t>19</w:t>
      </w:r>
      <w:bookmarkEnd w:id="11"/>
      <w:r w:rsidRPr="002C4EF9">
        <w:fldChar w:fldCharType="end"/>
      </w:r>
      <w:r w:rsidRPr="002C4EF9">
        <w:t>.  Following the publication of this interview, on the same day a reader with the username “try_error” posted the following comment:</w:t>
      </w:r>
    </w:p>
    <w:p w:rsidRPr="002C4EF9" w:rsidR="002C4EF9" w:rsidP="002C4EF9" w14:paraId="074DFBA1" w14:textId="77777777">
      <w:pPr>
        <w:pStyle w:val="JuQuot"/>
      </w:pPr>
      <w:r w:rsidRPr="002C4EF9">
        <w:t>“[I]f we did not perpetually misunderstand the meaning of freedom of expression and if undermining our constitution and destabilising our form of government were consequently to be made punishable – or at least, if anti-mafia law were for once to be applied to the extreme-right scene in Austria – then [H.K.] would be one of the greatest criminals in the Second Republic ...”</w:t>
      </w:r>
    </w:p>
    <w:p w:rsidRPr="002C4EF9" w:rsidR="002C4EF9" w:rsidP="002C4EF9" w14:paraId="55BB0EF4" w14:textId="77777777">
      <w:pPr>
        <w:pStyle w:val="JuQuot"/>
        <w:rPr>
          <w:i/>
          <w:lang w:val="de-DE"/>
        </w:rPr>
      </w:pPr>
      <w:r w:rsidRPr="002C4EF9">
        <w:rPr>
          <w:lang w:val="de-DE"/>
        </w:rPr>
        <w:t>(“</w:t>
      </w:r>
      <w:r w:rsidRPr="002C4EF9">
        <w:rPr>
          <w:i/>
          <w:lang w:val="de-DE"/>
        </w:rPr>
        <w:t>würden wir nicht ewig meinungsfreiheit falsch verstehen und wäre das sägen an der verfassung und das destabilisieren unserer staatsform konsequent unter strafe gestellt, oder wäre wenigstens der mafiaparagraf einmal angewendet worden auf die rechtsextreme szene in österreich, dann wäre [H.K.] einer der größten verbrecher der 2ten republik ...</w:t>
      </w:r>
      <w:r w:rsidRPr="002C4EF9">
        <w:rPr>
          <w:lang w:val="de-DE"/>
        </w:rPr>
        <w:t>”)</w:t>
      </w:r>
    </w:p>
    <w:bookmarkStart w:name="paragraph20" w:id="12"/>
    <w:p w:rsidRPr="002C4EF9" w:rsidR="002C4EF9" w:rsidP="002C4EF9" w14:paraId="04397AB7" w14:textId="712B1788">
      <w:pPr>
        <w:pStyle w:val="JuPara"/>
      </w:pPr>
      <w:r w:rsidRPr="002C4EF9">
        <w:fldChar w:fldCharType="begin"/>
      </w:r>
      <w:r w:rsidRPr="002C4EF9">
        <w:instrText xml:space="preserve"> SEQ level0 \*arabic </w:instrText>
      </w:r>
      <w:r w:rsidRPr="002C4EF9">
        <w:fldChar w:fldCharType="separate"/>
      </w:r>
      <w:r w:rsidRPr="002C4EF9">
        <w:rPr>
          <w:noProof/>
        </w:rPr>
        <w:t>20</w:t>
      </w:r>
      <w:r w:rsidRPr="002C4EF9">
        <w:fldChar w:fldCharType="end"/>
      </w:r>
      <w:bookmarkEnd w:id="12"/>
      <w:r w:rsidRPr="002C4EF9">
        <w:t xml:space="preserve">.  On 20 June 2013, H.K. asked the applicant company to delete the comment and to disclose the user data (see paragraphs </w:t>
      </w:r>
      <w:r w:rsidRPr="002C4EF9">
        <w:fldChar w:fldCharType="begin"/>
      </w:r>
      <w:r w:rsidRPr="002C4EF9">
        <w:instrText xml:space="preserve"> REF paragraph6 \h </w:instrText>
      </w:r>
      <w:r w:rsidRPr="002C4EF9">
        <w:fldChar w:fldCharType="separate"/>
      </w:r>
      <w:r w:rsidRPr="002C4EF9">
        <w:rPr>
          <w:noProof/>
        </w:rPr>
        <w:t>6</w:t>
      </w:r>
      <w:r w:rsidRPr="002C4EF9">
        <w:fldChar w:fldCharType="end"/>
      </w:r>
      <w:r w:rsidRPr="002C4EF9">
        <w:t xml:space="preserve"> and </w:t>
      </w:r>
      <w:r w:rsidRPr="002C4EF9">
        <w:fldChar w:fldCharType="begin"/>
      </w:r>
      <w:r w:rsidRPr="002C4EF9">
        <w:instrText xml:space="preserve"> REF paragraph16 \h </w:instrText>
      </w:r>
      <w:r w:rsidRPr="002C4EF9">
        <w:fldChar w:fldCharType="separate"/>
      </w:r>
      <w:r w:rsidRPr="002C4EF9">
        <w:rPr>
          <w:noProof/>
        </w:rPr>
        <w:t>16</w:t>
      </w:r>
      <w:r w:rsidRPr="002C4EF9">
        <w:fldChar w:fldCharType="end"/>
      </w:r>
      <w:r w:rsidRPr="002C4EF9">
        <w:t xml:space="preserve"> above) of the author in order to be able to institute civil and criminal proceedings against him.</w:t>
      </w:r>
    </w:p>
    <w:p w:rsidRPr="002C4EF9" w:rsidR="002C4EF9" w:rsidP="002C4EF9" w14:paraId="2C256A51" w14:textId="395D7546">
      <w:pPr>
        <w:pStyle w:val="JuPara"/>
      </w:pPr>
      <w:r w:rsidRPr="002C4EF9">
        <w:fldChar w:fldCharType="begin"/>
      </w:r>
      <w:r w:rsidRPr="002C4EF9">
        <w:instrText xml:space="preserve"> SEQ level0 \*arabic </w:instrText>
      </w:r>
      <w:r w:rsidRPr="002C4EF9">
        <w:fldChar w:fldCharType="separate"/>
      </w:r>
      <w:r w:rsidRPr="002C4EF9">
        <w:rPr>
          <w:noProof/>
        </w:rPr>
        <w:t>21</w:t>
      </w:r>
      <w:r w:rsidRPr="002C4EF9">
        <w:fldChar w:fldCharType="end"/>
      </w:r>
      <w:r w:rsidRPr="002C4EF9">
        <w:t>.  On 26 June 2013, the applicant company replied that it had deleted the comment but refused to disclose the relevant user data. The time of the deletion was no issue in the following proceedings.</w:t>
      </w:r>
    </w:p>
    <w:p w:rsidRPr="002C4EF9" w:rsidR="002C4EF9" w:rsidP="002C4EF9" w14:paraId="326C62DE" w14:textId="77777777">
      <w:pPr>
        <w:pStyle w:val="JuHIRoman"/>
      </w:pPr>
      <w:r w:rsidRPr="002C4EF9">
        <w:t>Proceedings against the applicant company</w:t>
      </w:r>
    </w:p>
    <w:p w:rsidRPr="002C4EF9" w:rsidR="002C4EF9" w:rsidP="002C4EF9" w14:paraId="0319B665" w14:textId="77777777">
      <w:pPr>
        <w:pStyle w:val="JuHA"/>
      </w:pPr>
      <w:r w:rsidRPr="002C4EF9">
        <w:t>Proceedings initiated by K.S. and the FPK</w:t>
      </w:r>
    </w:p>
    <w:p w:rsidRPr="002C4EF9" w:rsidR="002C4EF9" w:rsidP="002C4EF9" w14:paraId="0C76E8B5" w14:textId="56646B58">
      <w:pPr>
        <w:pStyle w:val="JuPara"/>
      </w:pPr>
      <w:r w:rsidRPr="002C4EF9">
        <w:fldChar w:fldCharType="begin"/>
      </w:r>
      <w:r w:rsidRPr="002C4EF9">
        <w:instrText xml:space="preserve"> SEQ level0 \*arabic </w:instrText>
      </w:r>
      <w:r w:rsidRPr="002C4EF9">
        <w:fldChar w:fldCharType="separate"/>
      </w:r>
      <w:bookmarkStart w:name="paragraph22" w:id="13"/>
      <w:r w:rsidRPr="002C4EF9">
        <w:rPr>
          <w:noProof/>
        </w:rPr>
        <w:t>22</w:t>
      </w:r>
      <w:bookmarkEnd w:id="13"/>
      <w:r w:rsidRPr="002C4EF9">
        <w:fldChar w:fldCharType="end"/>
      </w:r>
      <w:r w:rsidRPr="002C4EF9">
        <w:t>.  On 11 June 2012 K.S. and the FPK brought a civil action against the applicant company pursuant to section 18(4) of the E</w:t>
      </w:r>
      <w:r w:rsidRPr="002C4EF9">
        <w:noBreakHyphen/>
        <w:t>Commerce Act (</w:t>
      </w:r>
      <w:r w:rsidRPr="002C4EF9">
        <w:rPr>
          <w:iCs/>
        </w:rPr>
        <w:t xml:space="preserve">see paragraph </w:t>
      </w:r>
      <w:r w:rsidRPr="002C4EF9">
        <w:rPr>
          <w:iCs/>
        </w:rPr>
        <w:fldChar w:fldCharType="begin"/>
      </w:r>
      <w:r w:rsidRPr="002C4EF9">
        <w:rPr>
          <w:iCs/>
        </w:rPr>
        <w:instrText xml:space="preserve"> REF paragraph37 \h </w:instrText>
      </w:r>
      <w:r w:rsidRPr="002C4EF9">
        <w:rPr>
          <w:iCs/>
        </w:rPr>
        <w:fldChar w:fldCharType="separate"/>
      </w:r>
      <w:r w:rsidRPr="002C4EF9">
        <w:t>37</w:t>
      </w:r>
      <w:r w:rsidRPr="002C4EF9">
        <w:rPr>
          <w:iCs/>
        </w:rPr>
        <w:fldChar w:fldCharType="end"/>
      </w:r>
      <w:r w:rsidRPr="002C4EF9">
        <w:rPr>
          <w:iCs/>
        </w:rPr>
        <w:t xml:space="preserve"> below</w:t>
      </w:r>
      <w:r w:rsidRPr="002C4EF9">
        <w:t xml:space="preserve">). K.S. claimed user data relating to the reader with the username “Tango Korrupti2013” (see paragraph </w:t>
      </w:r>
      <w:r w:rsidRPr="002C4EF9">
        <w:fldChar w:fldCharType="begin"/>
      </w:r>
      <w:r w:rsidRPr="002C4EF9">
        <w:instrText xml:space="preserve"> REF paragraph14 \h </w:instrText>
      </w:r>
      <w:r w:rsidRPr="002C4EF9">
        <w:fldChar w:fldCharType="separate"/>
      </w:r>
      <w:r w:rsidRPr="002C4EF9">
        <w:rPr>
          <w:noProof/>
        </w:rPr>
        <w:t>14</w:t>
      </w:r>
      <w:r w:rsidRPr="002C4EF9">
        <w:fldChar w:fldCharType="end"/>
      </w:r>
      <w:r w:rsidRPr="002C4EF9">
        <w:t xml:space="preserve"> above). The FPK claimed user data relating to the reader with the username “rrrn” (see paragraph </w:t>
      </w:r>
      <w:r w:rsidRPr="002C4EF9">
        <w:fldChar w:fldCharType="begin"/>
      </w:r>
      <w:r w:rsidRPr="002C4EF9">
        <w:instrText xml:space="preserve"> REF paragraph15 \h </w:instrText>
      </w:r>
      <w:r w:rsidRPr="002C4EF9">
        <w:fldChar w:fldCharType="separate"/>
      </w:r>
      <w:r w:rsidRPr="002C4EF9">
        <w:rPr>
          <w:noProof/>
        </w:rPr>
        <w:t>15</w:t>
      </w:r>
      <w:r w:rsidRPr="002C4EF9">
        <w:fldChar w:fldCharType="end"/>
      </w:r>
      <w:r w:rsidRPr="002C4EF9">
        <w:t xml:space="preserve"> above). K.S. and the FPK asserted that the respective posts constituted defamation (</w:t>
      </w:r>
      <w:r w:rsidRPr="002C4EF9">
        <w:rPr>
          <w:i/>
        </w:rPr>
        <w:t>Ehrenbeleidigungen; üble Nachrede</w:t>
      </w:r>
      <w:r w:rsidRPr="002C4EF9">
        <w:t>), within the meaning of Article 1330 of the Civil Code (</w:t>
      </w:r>
      <w:r w:rsidRPr="002C4EF9">
        <w:rPr>
          <w:iCs/>
        </w:rPr>
        <w:t xml:space="preserve">see paragraph </w:t>
      </w:r>
      <w:r w:rsidRPr="002C4EF9">
        <w:rPr>
          <w:iCs/>
        </w:rPr>
        <w:fldChar w:fldCharType="begin"/>
      </w:r>
      <w:r w:rsidRPr="002C4EF9">
        <w:rPr>
          <w:iCs/>
        </w:rPr>
        <w:instrText xml:space="preserve"> REF paragraph34 \h </w:instrText>
      </w:r>
      <w:r w:rsidRPr="002C4EF9">
        <w:rPr>
          <w:iCs/>
        </w:rPr>
        <w:fldChar w:fldCharType="separate"/>
      </w:r>
      <w:r w:rsidRPr="002C4EF9">
        <w:t>34</w:t>
      </w:r>
      <w:r w:rsidRPr="002C4EF9">
        <w:rPr>
          <w:iCs/>
        </w:rPr>
        <w:fldChar w:fldCharType="end"/>
      </w:r>
      <w:r w:rsidRPr="002C4EF9">
        <w:rPr>
          <w:iCs/>
        </w:rPr>
        <w:t xml:space="preserve"> below</w:t>
      </w:r>
      <w:r w:rsidRPr="002C4EF9">
        <w:t>) and within the meaning of Article 111 of the Criminal Code, as well as insulting behaviour (</w:t>
      </w:r>
      <w:r w:rsidRPr="002C4EF9">
        <w:rPr>
          <w:i/>
          <w:iCs/>
        </w:rPr>
        <w:t>Beleidigung</w:t>
      </w:r>
      <w:r w:rsidRPr="002C4EF9">
        <w:t>) within the meaning of Article 115 of the Criminal Code, and that they needed the user data sought in order for them to be able to lodge claims against those users.</w:t>
      </w:r>
    </w:p>
    <w:bookmarkStart w:name="paragraph23" w:id="14"/>
    <w:p w:rsidRPr="002C4EF9" w:rsidR="002C4EF9" w:rsidP="002C4EF9" w14:paraId="48CA1B15" w14:textId="3D9C24C8">
      <w:pPr>
        <w:pStyle w:val="JuPara"/>
      </w:pPr>
      <w:r w:rsidRPr="002C4EF9">
        <w:fldChar w:fldCharType="begin"/>
      </w:r>
      <w:r w:rsidRPr="002C4EF9">
        <w:instrText xml:space="preserve"> SEQ level0 \*arabic </w:instrText>
      </w:r>
      <w:r w:rsidRPr="002C4EF9">
        <w:fldChar w:fldCharType="separate"/>
      </w:r>
      <w:r w:rsidRPr="002C4EF9">
        <w:rPr>
          <w:noProof/>
        </w:rPr>
        <w:t>23</w:t>
      </w:r>
      <w:r w:rsidRPr="002C4EF9">
        <w:fldChar w:fldCharType="end"/>
      </w:r>
      <w:bookmarkEnd w:id="14"/>
      <w:r w:rsidRPr="002C4EF9">
        <w:t>.  The applicant company maintained that it was not obliged to disclose the user data because the comments at issue were not defamatory, but rather constituted permissible value judgments. It referred to K.S.’s position as a politician, the style that he adopted when making public statements, and the kind of expressions used by other members of the FPK. Moreover, it argued that it was – under section 31(1) of the Media Act (</w:t>
      </w:r>
      <w:r w:rsidRPr="002C4EF9">
        <w:rPr>
          <w:iCs/>
        </w:rPr>
        <w:t xml:space="preserve">see paragraph </w:t>
      </w:r>
      <w:r w:rsidRPr="002C4EF9">
        <w:rPr>
          <w:iCs/>
        </w:rPr>
        <w:fldChar w:fldCharType="begin"/>
      </w:r>
      <w:r w:rsidRPr="002C4EF9">
        <w:rPr>
          <w:iCs/>
        </w:rPr>
        <w:instrText xml:space="preserve"> REF paragraph35 \h </w:instrText>
      </w:r>
      <w:r w:rsidRPr="002C4EF9">
        <w:rPr>
          <w:iCs/>
        </w:rPr>
        <w:fldChar w:fldCharType="separate"/>
      </w:r>
      <w:r w:rsidRPr="002C4EF9">
        <w:rPr>
          <w:noProof/>
        </w:rPr>
        <w:t>35</w:t>
      </w:r>
      <w:r w:rsidRPr="002C4EF9">
        <w:rPr>
          <w:iCs/>
        </w:rPr>
        <w:fldChar w:fldCharType="end"/>
      </w:r>
      <w:r w:rsidRPr="002C4EF9">
        <w:rPr>
          <w:iCs/>
        </w:rPr>
        <w:t xml:space="preserve"> below</w:t>
      </w:r>
      <w:r w:rsidRPr="002C4EF9">
        <w:t>), which regulated the protection of editorial confidentiality (</w:t>
      </w:r>
      <w:r w:rsidRPr="002C4EF9">
        <w:rPr>
          <w:i/>
        </w:rPr>
        <w:t>Redaktionsgeheimnis</w:t>
      </w:r>
      <w:r w:rsidRPr="002C4EF9">
        <w:t>) – entitled to refuse to disclose its sources.</w:t>
      </w:r>
    </w:p>
    <w:bookmarkStart w:name="paragraph24" w:id="15"/>
    <w:p w:rsidRPr="002C4EF9" w:rsidR="002C4EF9" w:rsidP="002C4EF9" w14:paraId="0C7DCF5C" w14:textId="5474256C">
      <w:pPr>
        <w:pStyle w:val="JuPara"/>
      </w:pPr>
      <w:r w:rsidRPr="002C4EF9">
        <w:fldChar w:fldCharType="begin"/>
      </w:r>
      <w:r w:rsidRPr="002C4EF9">
        <w:instrText xml:space="preserve"> SEQ level0 \*arabic </w:instrText>
      </w:r>
      <w:r w:rsidRPr="002C4EF9">
        <w:fldChar w:fldCharType="separate"/>
      </w:r>
      <w:r w:rsidRPr="002C4EF9">
        <w:rPr>
          <w:noProof/>
        </w:rPr>
        <w:t>24</w:t>
      </w:r>
      <w:r w:rsidRPr="002C4EF9">
        <w:fldChar w:fldCharType="end"/>
      </w:r>
      <w:bookmarkEnd w:id="15"/>
      <w:r w:rsidRPr="002C4EF9">
        <w:t>.  On 10 September 2013 the Vienna Regional Civil Court (</w:t>
      </w:r>
      <w:r w:rsidRPr="002C4EF9">
        <w:rPr>
          <w:i/>
        </w:rPr>
        <w:t>Landesgericht für Zivilrechtssachen Wien</w:t>
      </w:r>
      <w:r w:rsidRPr="002C4EF9">
        <w:rPr>
          <w:iCs/>
        </w:rPr>
        <w:t>)</w:t>
      </w:r>
      <w:r w:rsidRPr="002C4EF9">
        <w:rPr>
          <w:i/>
        </w:rPr>
        <w:t xml:space="preserve"> </w:t>
      </w:r>
      <w:r w:rsidRPr="002C4EF9">
        <w:t>dismissed the action. It held that it could not be established whether the user comments at issue had undergone a manual review before publication. It considered that the applicant company had acted as a host and that section 18(4) of the E</w:t>
      </w:r>
      <w:r w:rsidRPr="002C4EF9">
        <w:noBreakHyphen/>
        <w:t xml:space="preserve">Commerce Act (see paragraph </w:t>
      </w:r>
      <w:r w:rsidRPr="002C4EF9">
        <w:fldChar w:fldCharType="begin"/>
      </w:r>
      <w:r w:rsidRPr="002C4EF9">
        <w:instrText xml:space="preserve"> REF paragraph37 \h </w:instrText>
      </w:r>
      <w:r w:rsidRPr="002C4EF9">
        <w:fldChar w:fldCharType="separate"/>
      </w:r>
      <w:r w:rsidRPr="002C4EF9">
        <w:t>37</w:t>
      </w:r>
      <w:r w:rsidRPr="002C4EF9">
        <w:fldChar w:fldCharType="end"/>
      </w:r>
      <w:r w:rsidRPr="002C4EF9">
        <w:t xml:space="preserve"> below) was thus applicable. It argued that the question of whether a specific comment was covered by the right to freedom of expression was a matter that had to be examined on a case-by-case basis, given that the limits of acceptable criticism were wider for politicians than for private individuals. It went on to examine the content and the context of the posts and stated that they had been made several days after publication of the respective article, being just two out of more than 1,600 user comments (see paragraph </w:t>
      </w:r>
      <w:r w:rsidRPr="002C4EF9">
        <w:fldChar w:fldCharType="begin"/>
      </w:r>
      <w:r w:rsidRPr="002C4EF9">
        <w:instrText xml:space="preserve"> REF paragraph13 \h </w:instrText>
      </w:r>
      <w:r w:rsidRPr="002C4EF9">
        <w:fldChar w:fldCharType="separate"/>
      </w:r>
      <w:r w:rsidRPr="002C4EF9">
        <w:rPr>
          <w:noProof/>
        </w:rPr>
        <w:t>13</w:t>
      </w:r>
      <w:r w:rsidRPr="002C4EF9">
        <w:fldChar w:fldCharType="end"/>
      </w:r>
      <w:r w:rsidRPr="002C4EF9">
        <w:t xml:space="preserve"> above). The court found that the comment posted by the reader with the username “Tango Korrupti2013” (see paragraph </w:t>
      </w:r>
      <w:r w:rsidRPr="002C4EF9">
        <w:fldChar w:fldCharType="begin"/>
      </w:r>
      <w:r w:rsidRPr="002C4EF9">
        <w:instrText xml:space="preserve"> REF paragraph14 \h </w:instrText>
      </w:r>
      <w:r w:rsidRPr="002C4EF9">
        <w:fldChar w:fldCharType="separate"/>
      </w:r>
      <w:r w:rsidRPr="002C4EF9">
        <w:rPr>
          <w:noProof/>
        </w:rPr>
        <w:t>14</w:t>
      </w:r>
      <w:r w:rsidRPr="002C4EF9">
        <w:fldChar w:fldCharType="end"/>
      </w:r>
      <w:r w:rsidRPr="002C4EF9">
        <w:t xml:space="preserve"> above) did not directly refer to K.S. but was a general statement concerning a public discussion on corruption. It stated that the second comment posted by the reader with the username “rrrn” (see paragraph </w:t>
      </w:r>
      <w:r w:rsidRPr="002C4EF9">
        <w:fldChar w:fldCharType="begin"/>
      </w:r>
      <w:r w:rsidRPr="002C4EF9">
        <w:instrText xml:space="preserve"> REF paragraph15 \h </w:instrText>
      </w:r>
      <w:r w:rsidRPr="002C4EF9">
        <w:fldChar w:fldCharType="separate"/>
      </w:r>
      <w:r w:rsidRPr="002C4EF9">
        <w:rPr>
          <w:noProof/>
        </w:rPr>
        <w:t>15</w:t>
      </w:r>
      <w:r w:rsidRPr="002C4EF9">
        <w:fldChar w:fldCharType="end"/>
      </w:r>
      <w:r w:rsidRPr="002C4EF9">
        <w:t xml:space="preserve"> above) directly referred to the FPK but was based on a sufficient factual basis given that members of the FPK had previously used terms that originated from the diction of National Socialists, such as “the </w:t>
      </w:r>
      <w:r w:rsidRPr="002C4EF9">
        <w:t>healthy will of the people” (“</w:t>
      </w:r>
      <w:r w:rsidRPr="002C4EF9">
        <w:rPr>
          <w:i/>
          <w:iCs/>
        </w:rPr>
        <w:t>gesundes Volksempfinden</w:t>
      </w:r>
      <w:r w:rsidRPr="002C4EF9">
        <w:t>”) and “block warden” (“</w:t>
      </w:r>
      <w:r w:rsidRPr="002C4EF9">
        <w:rPr>
          <w:i/>
          <w:iCs/>
        </w:rPr>
        <w:t>Blockwart</w:t>
      </w:r>
      <w:r w:rsidRPr="002C4EF9">
        <w:t>”). The court concluded that the requirements for disclosure under section 18(4) of the E</w:t>
      </w:r>
      <w:r w:rsidRPr="002C4EF9">
        <w:noBreakHyphen/>
        <w:t>Commerce Act had not been met, because the claimants had not demonstrated that illegal acts had taken place. It was thus unnecessary to examine the applicant company’s submissions concerning the protection of editorial confidentiality. The claimants appealed.</w:t>
      </w:r>
    </w:p>
    <w:p w:rsidRPr="002C4EF9" w:rsidR="002C4EF9" w:rsidP="002C4EF9" w14:paraId="5188C5B3" w14:textId="65920E8E">
      <w:pPr>
        <w:pStyle w:val="JuPara"/>
      </w:pPr>
      <w:r w:rsidRPr="002C4EF9">
        <w:fldChar w:fldCharType="begin"/>
      </w:r>
      <w:r w:rsidRPr="002C4EF9">
        <w:instrText xml:space="preserve"> SEQ level0 \*arabic </w:instrText>
      </w:r>
      <w:r w:rsidRPr="002C4EF9">
        <w:fldChar w:fldCharType="separate"/>
      </w:r>
      <w:bookmarkStart w:name="paragraph25" w:id="16"/>
      <w:r w:rsidRPr="002C4EF9">
        <w:rPr>
          <w:noProof/>
        </w:rPr>
        <w:t>25</w:t>
      </w:r>
      <w:bookmarkEnd w:id="16"/>
      <w:r w:rsidRPr="002C4EF9">
        <w:fldChar w:fldCharType="end"/>
      </w:r>
      <w:r w:rsidRPr="002C4EF9">
        <w:t>.  On 26 May 2014 the Vienna Court of Appeal (</w:t>
      </w:r>
      <w:r w:rsidRPr="002C4EF9">
        <w:rPr>
          <w:i/>
        </w:rPr>
        <w:t>Oberlandesgericht Wien</w:t>
      </w:r>
      <w:r w:rsidRPr="002C4EF9">
        <w:t>) allowed the appeal and ordered the applicant company to disclose the requested user data within fourteen days and to pay the costs incurred by the claimants during the proceedings. It established that both comments at issue could in general be categorised as “defamatory” within the meaning of Article 1330 of the Civil Code and had been posted within the context of the article with the title “[S.] Brothers take action against forum users”, published on the applicant company’s portal (see paragraph </w:t>
      </w:r>
      <w:r w:rsidRPr="002C4EF9">
        <w:fldChar w:fldCharType="begin"/>
      </w:r>
      <w:r w:rsidRPr="002C4EF9">
        <w:instrText xml:space="preserve"> REF paragraph13 \h </w:instrText>
      </w:r>
      <w:r w:rsidRPr="002C4EF9">
        <w:fldChar w:fldCharType="separate"/>
      </w:r>
      <w:r w:rsidRPr="002C4EF9">
        <w:rPr>
          <w:noProof/>
        </w:rPr>
        <w:t>13</w:t>
      </w:r>
      <w:r w:rsidRPr="002C4EF9">
        <w:fldChar w:fldCharType="end"/>
      </w:r>
      <w:r w:rsidRPr="002C4EF9">
        <w:t xml:space="preserve"> above). The claimants were thus entitled under section 18(4) of the E</w:t>
      </w:r>
      <w:r w:rsidRPr="002C4EF9">
        <w:noBreakHyphen/>
        <w:t xml:space="preserve">Commerce Act to demand the disclosure of the user data. Referring to the Supreme Court’s established case-law (see paragraph </w:t>
      </w:r>
      <w:r w:rsidRPr="002C4EF9">
        <w:fldChar w:fldCharType="begin"/>
      </w:r>
      <w:r w:rsidRPr="002C4EF9">
        <w:instrText xml:space="preserve"> REF paragraph38 \h </w:instrText>
      </w:r>
      <w:r w:rsidRPr="002C4EF9">
        <w:fldChar w:fldCharType="separate"/>
      </w:r>
      <w:r w:rsidRPr="002C4EF9">
        <w:t>39</w:t>
      </w:r>
      <w:r w:rsidRPr="002C4EF9">
        <w:fldChar w:fldCharType="end"/>
      </w:r>
      <w:r w:rsidRPr="002C4EF9">
        <w:t xml:space="preserve"> below), the Court of Appeal noted that any distinction between a statement of facts, a value judgment and a potentially “excessive” value judgment (</w:t>
      </w:r>
      <w:r w:rsidRPr="002C4EF9">
        <w:rPr>
          <w:i/>
          <w:iCs/>
        </w:rPr>
        <w:t>Tatsachenbehauptung, Werturteil und</w:t>
      </w:r>
      <w:r w:rsidRPr="002C4EF9">
        <w:t xml:space="preserve"> </w:t>
      </w:r>
      <w:r w:rsidRPr="002C4EF9">
        <w:rPr>
          <w:i/>
        </w:rPr>
        <w:t>Wertungsexzess</w:t>
      </w:r>
      <w:r w:rsidRPr="002C4EF9">
        <w:t xml:space="preserve">) had to be determined in proceedings against the actual author of the comments in question and not in proceedings against the relevant service provider. In respect of the instant case, it held that the applicant company could not rely on the protection of the right to editorial confidentiality because it had not been possible to establish whether the user comments at issue had been subjected to a manual review before publication. Thus, there was no connection between the applicant company’s journalistic activities and the users’ comments. Section 31(1) of the Media Act (see paragraph </w:t>
      </w:r>
      <w:r w:rsidRPr="002C4EF9">
        <w:fldChar w:fldCharType="begin"/>
      </w:r>
      <w:r w:rsidRPr="002C4EF9">
        <w:instrText xml:space="preserve"> REF paragraph35 \h </w:instrText>
      </w:r>
      <w:r w:rsidRPr="002C4EF9">
        <w:fldChar w:fldCharType="separate"/>
      </w:r>
      <w:r w:rsidRPr="002C4EF9">
        <w:rPr>
          <w:noProof/>
        </w:rPr>
        <w:t>35</w:t>
      </w:r>
      <w:r w:rsidRPr="002C4EF9">
        <w:fldChar w:fldCharType="end"/>
      </w:r>
      <w:r w:rsidRPr="002C4EF9">
        <w:t xml:space="preserve"> below) required at least some kind of action/review/taking account (</w:t>
      </w:r>
      <w:r w:rsidRPr="002C4EF9">
        <w:rPr>
          <w:i/>
          <w:iCs/>
        </w:rPr>
        <w:t>Tätigkeit/Kontrolle/Kenntnisnahme</w:t>
      </w:r>
      <w:r w:rsidRPr="002C4EF9">
        <w:t>) by an employee of a media company. The applicant company appealed.</w:t>
      </w:r>
    </w:p>
    <w:p w:rsidRPr="002C4EF9" w:rsidR="002C4EF9" w:rsidP="002C4EF9" w14:paraId="07155699" w14:textId="101B235D">
      <w:pPr>
        <w:pStyle w:val="JuPara"/>
        <w:rPr>
          <w:b/>
          <w:bCs/>
        </w:rPr>
      </w:pPr>
      <w:r w:rsidRPr="002C4EF9">
        <w:fldChar w:fldCharType="begin"/>
      </w:r>
      <w:r w:rsidRPr="002C4EF9">
        <w:instrText xml:space="preserve"> SEQ level0 \*arabic </w:instrText>
      </w:r>
      <w:r w:rsidRPr="002C4EF9">
        <w:fldChar w:fldCharType="separate"/>
      </w:r>
      <w:bookmarkStart w:name="paragraph26" w:id="17"/>
      <w:r w:rsidRPr="002C4EF9">
        <w:rPr>
          <w:noProof/>
        </w:rPr>
        <w:t>26</w:t>
      </w:r>
      <w:bookmarkEnd w:id="17"/>
      <w:r w:rsidRPr="002C4EF9">
        <w:fldChar w:fldCharType="end"/>
      </w:r>
      <w:r w:rsidRPr="002C4EF9">
        <w:t>.  On 19 February 2015 the Supreme Court (</w:t>
      </w:r>
      <w:r w:rsidRPr="002C4EF9">
        <w:rPr>
          <w:i/>
        </w:rPr>
        <w:t>Oberster Gerichtshof</w:t>
      </w:r>
      <w:r w:rsidRPr="002C4EF9">
        <w:t xml:space="preserve">) upheld the Court of Appeal’s judgment (see paragraph </w:t>
      </w:r>
      <w:r w:rsidRPr="002C4EF9">
        <w:fldChar w:fldCharType="begin"/>
      </w:r>
      <w:r w:rsidRPr="002C4EF9">
        <w:instrText xml:space="preserve"> REF paragraph25 \h </w:instrText>
      </w:r>
      <w:r w:rsidRPr="002C4EF9">
        <w:fldChar w:fldCharType="separate"/>
      </w:r>
      <w:r w:rsidRPr="002C4EF9">
        <w:rPr>
          <w:noProof/>
        </w:rPr>
        <w:t>25</w:t>
      </w:r>
      <w:r w:rsidRPr="002C4EF9">
        <w:fldChar w:fldCharType="end"/>
      </w:r>
      <w:r w:rsidRPr="002C4EF9">
        <w:t xml:space="preserve"> above). It held that information received by persons covered by section 31(1) of the Media Act was protected by editorial confidentiality under that provision only if it had been disclosed to those persons in the course of their carrying out their journalistic activities. It considered that merely screening for keywords with the aid of software was not sufficient to establish a connection with journalistic activity; editorial </w:t>
      </w:r>
      <w:r w:rsidRPr="002C4EF9">
        <w:rPr>
          <w:i/>
        </w:rPr>
        <w:t>ex post</w:t>
      </w:r>
      <w:r w:rsidRPr="002C4EF9">
        <w:t xml:space="preserve"> reviews would not lead to a different result, because they only related to comments that had already been published. As regards the obligation to disclose user data under section 18(4) of the E</w:t>
      </w:r>
      <w:r w:rsidRPr="002C4EF9">
        <w:noBreakHyphen/>
        <w:t xml:space="preserve">Commerce Act, the Supreme Court held that according to its established case-law (see paragraph </w:t>
      </w:r>
      <w:r w:rsidRPr="002C4EF9">
        <w:fldChar w:fldCharType="begin"/>
      </w:r>
      <w:r w:rsidRPr="002C4EF9">
        <w:instrText xml:space="preserve"> REF paragraph38 \h </w:instrText>
      </w:r>
      <w:r w:rsidRPr="002C4EF9">
        <w:fldChar w:fldCharType="separate"/>
      </w:r>
      <w:r w:rsidRPr="002C4EF9">
        <w:t>39</w:t>
      </w:r>
      <w:r w:rsidRPr="002C4EF9">
        <w:fldChar w:fldCharType="end"/>
      </w:r>
      <w:r w:rsidRPr="002C4EF9">
        <w:t xml:space="preserve"> below) it was sufficient that a layperson (</w:t>
      </w:r>
      <w:r w:rsidRPr="002C4EF9">
        <w:rPr>
          <w:i/>
        </w:rPr>
        <w:t>juristischer Laie</w:t>
      </w:r>
      <w:r w:rsidRPr="002C4EF9">
        <w:t xml:space="preserve">) was capable of perceiving that </w:t>
      </w:r>
      <w:r w:rsidRPr="002C4EF9">
        <w:t xml:space="preserve">a finding of liability under Article 1330 of the Civil Code (see paragraph </w:t>
      </w:r>
      <w:r w:rsidRPr="002C4EF9">
        <w:fldChar w:fldCharType="begin"/>
      </w:r>
      <w:r w:rsidRPr="002C4EF9">
        <w:instrText xml:space="preserve"> REF paragraph34 \h </w:instrText>
      </w:r>
      <w:r w:rsidRPr="002C4EF9">
        <w:fldChar w:fldCharType="separate"/>
      </w:r>
      <w:r w:rsidRPr="002C4EF9">
        <w:t>34</w:t>
      </w:r>
      <w:r w:rsidRPr="002C4EF9">
        <w:fldChar w:fldCharType="end"/>
      </w:r>
      <w:r w:rsidRPr="002C4EF9">
        <w:t xml:space="preserve"> below) could not be ruled out. If that were the case, the person concerned would have an overriding interest in the disclosure of the user data. The Supreme Court reiterated the wording of the comments at issue (see paragraphs </w:t>
      </w:r>
      <w:r w:rsidRPr="002C4EF9">
        <w:fldChar w:fldCharType="begin"/>
      </w:r>
      <w:r w:rsidRPr="002C4EF9">
        <w:instrText xml:space="preserve"> REF paragraph14 \h  \* CharFormat  \* MERGEFORMAT </w:instrText>
      </w:r>
      <w:r w:rsidRPr="002C4EF9">
        <w:fldChar w:fldCharType="separate"/>
      </w:r>
      <w:r w:rsidRPr="002C4EF9">
        <w:t>14</w:t>
      </w:r>
      <w:r w:rsidRPr="002C4EF9">
        <w:fldChar w:fldCharType="end"/>
      </w:r>
      <w:r w:rsidRPr="002C4EF9">
        <w:t xml:space="preserve"> and </w:t>
      </w:r>
      <w:r w:rsidRPr="002C4EF9">
        <w:fldChar w:fldCharType="begin"/>
      </w:r>
      <w:r w:rsidRPr="002C4EF9">
        <w:instrText xml:space="preserve"> REF paragraph15 \h  \* CharFormat  \* MERGEFORMAT </w:instrText>
      </w:r>
      <w:r w:rsidRPr="002C4EF9">
        <w:fldChar w:fldCharType="separate"/>
      </w:r>
      <w:r w:rsidRPr="002C4EF9">
        <w:t>15</w:t>
      </w:r>
      <w:r w:rsidRPr="002C4EF9">
        <w:fldChar w:fldCharType="end"/>
      </w:r>
      <w:r w:rsidRPr="002C4EF9">
        <w:t xml:space="preserve"> above) and found that they could in general be categorised as “defamatory” within the meaning of Article 1330 of the Civil Code (see paragraph </w:t>
      </w:r>
      <w:r w:rsidRPr="002C4EF9">
        <w:fldChar w:fldCharType="begin"/>
      </w:r>
      <w:r w:rsidRPr="002C4EF9">
        <w:instrText xml:space="preserve"> REF paragraph34 \h  \* CharFormat  \* MERGEFORMAT </w:instrText>
      </w:r>
      <w:r w:rsidRPr="002C4EF9">
        <w:fldChar w:fldCharType="separate"/>
      </w:r>
      <w:r w:rsidRPr="002C4EF9">
        <w:t>34</w:t>
      </w:r>
      <w:r w:rsidRPr="002C4EF9">
        <w:fldChar w:fldCharType="end"/>
      </w:r>
      <w:r w:rsidRPr="002C4EF9">
        <w:t xml:space="preserve"> below). It went on to conclude that an overriding legal interest had therefore been substantiated, without specifying the considerations on which it had based that conclusion.</w:t>
      </w:r>
    </w:p>
    <w:bookmarkStart w:name="paragraph27" w:id="18"/>
    <w:p w:rsidRPr="002C4EF9" w:rsidR="002C4EF9" w:rsidP="002C4EF9" w14:paraId="58A7D4A4" w14:textId="34EA5931">
      <w:pPr>
        <w:pStyle w:val="JuPara"/>
      </w:pPr>
      <w:r w:rsidRPr="002C4EF9">
        <w:fldChar w:fldCharType="begin"/>
      </w:r>
      <w:r w:rsidRPr="002C4EF9">
        <w:instrText xml:space="preserve"> SEQ level0 \*arabic </w:instrText>
      </w:r>
      <w:r w:rsidRPr="002C4EF9">
        <w:fldChar w:fldCharType="separate"/>
      </w:r>
      <w:r w:rsidRPr="002C4EF9">
        <w:rPr>
          <w:noProof/>
        </w:rPr>
        <w:t>27</w:t>
      </w:r>
      <w:r w:rsidRPr="002C4EF9">
        <w:fldChar w:fldCharType="end"/>
      </w:r>
      <w:bookmarkEnd w:id="18"/>
      <w:r w:rsidRPr="002C4EF9">
        <w:t>.  According to the Supreme Court, in the absence of any connection with journalistic activity, there had been no unlawful interference with the applicant company’s right to enjoy freedom of the press under Article 10 of the Convention or section 31 of the Media Act.</w:t>
      </w:r>
    </w:p>
    <w:p w:rsidRPr="002C4EF9" w:rsidR="002C4EF9" w:rsidP="002C4EF9" w14:paraId="39958619" w14:textId="59271D2C">
      <w:pPr>
        <w:pStyle w:val="JuPara"/>
      </w:pPr>
      <w:r w:rsidRPr="002C4EF9">
        <w:fldChar w:fldCharType="begin"/>
      </w:r>
      <w:r w:rsidRPr="002C4EF9">
        <w:instrText xml:space="preserve"> SEQ level0 \*arabic </w:instrText>
      </w:r>
      <w:r w:rsidRPr="002C4EF9">
        <w:fldChar w:fldCharType="separate"/>
      </w:r>
      <w:r w:rsidRPr="002C4EF9">
        <w:rPr>
          <w:noProof/>
        </w:rPr>
        <w:t>28</w:t>
      </w:r>
      <w:r w:rsidRPr="002C4EF9">
        <w:fldChar w:fldCharType="end"/>
      </w:r>
      <w:r w:rsidRPr="002C4EF9">
        <w:t>.  The Supreme Court’s decision was notified to the applicant company’s lawyer on 4 May 2015.</w:t>
      </w:r>
    </w:p>
    <w:p w:rsidRPr="002C4EF9" w:rsidR="002C4EF9" w:rsidP="002C4EF9" w14:paraId="384643DA" w14:textId="77777777">
      <w:pPr>
        <w:pStyle w:val="JuHA"/>
      </w:pPr>
      <w:r w:rsidRPr="002C4EF9">
        <w:t>Proceedings initiated by H.K.</w:t>
      </w:r>
    </w:p>
    <w:p w:rsidRPr="002C4EF9" w:rsidR="002C4EF9" w:rsidP="002C4EF9" w14:paraId="7AA5C2B5" w14:textId="09D73808">
      <w:pPr>
        <w:pStyle w:val="JuPara"/>
      </w:pPr>
      <w:r w:rsidRPr="002C4EF9">
        <w:fldChar w:fldCharType="begin"/>
      </w:r>
      <w:r w:rsidRPr="002C4EF9">
        <w:instrText xml:space="preserve"> SEQ level0 \*arabic </w:instrText>
      </w:r>
      <w:r w:rsidRPr="002C4EF9">
        <w:fldChar w:fldCharType="separate"/>
      </w:r>
      <w:r w:rsidRPr="002C4EF9">
        <w:rPr>
          <w:noProof/>
        </w:rPr>
        <w:t>29</w:t>
      </w:r>
      <w:r w:rsidRPr="002C4EF9">
        <w:fldChar w:fldCharType="end"/>
      </w:r>
      <w:r w:rsidRPr="002C4EF9">
        <w:t xml:space="preserve">.  On 26 July 2013 H.K. brought a civil action against the applicant company, seeking to obtain from it user data relating to the reader with the username “try_error” (see paragraph </w:t>
      </w:r>
      <w:r w:rsidRPr="002C4EF9">
        <w:fldChar w:fldCharType="begin"/>
      </w:r>
      <w:r w:rsidRPr="002C4EF9">
        <w:instrText xml:space="preserve"> REF paragraph19 \h  \* MERGEFORMAT </w:instrText>
      </w:r>
      <w:r w:rsidRPr="002C4EF9">
        <w:fldChar w:fldCharType="separate"/>
      </w:r>
      <w:r w:rsidRPr="002C4EF9">
        <w:t>19</w:t>
      </w:r>
      <w:r w:rsidRPr="002C4EF9">
        <w:fldChar w:fldCharType="end"/>
      </w:r>
      <w:r w:rsidRPr="002C4EF9">
        <w:t xml:space="preserve"> above), and essentially relying on the same arguments as those advanced by K.S. and the FPK (see paragraph </w:t>
      </w:r>
      <w:r w:rsidRPr="002C4EF9">
        <w:rPr>
          <w:rFonts w:asciiTheme="majorHAnsi" w:hAnsiTheme="majorHAnsi" w:eastAsiaTheme="majorEastAsia" w:cstheme="majorBidi"/>
          <w:szCs w:val="22"/>
        </w:rPr>
        <w:fldChar w:fldCharType="begin"/>
      </w:r>
      <w:r w:rsidRPr="002C4EF9">
        <w:instrText xml:space="preserve"> REF paragraph22 \h  \* CharFormat </w:instrText>
      </w:r>
      <w:r w:rsidRPr="002C4EF9">
        <w:rPr>
          <w:rFonts w:asciiTheme="majorHAnsi" w:hAnsiTheme="majorHAnsi" w:eastAsiaTheme="majorEastAsia" w:cstheme="majorBidi"/>
          <w:szCs w:val="22"/>
        </w:rPr>
        <w:fldChar w:fldCharType="separate"/>
      </w:r>
      <w:r w:rsidRPr="002C4EF9">
        <w:t>22</w:t>
      </w:r>
      <w:r w:rsidRPr="002C4EF9">
        <w:rPr>
          <w:rFonts w:asciiTheme="majorHAnsi" w:hAnsiTheme="majorHAnsi" w:eastAsiaTheme="majorEastAsia" w:cstheme="majorBidi"/>
          <w:szCs w:val="22"/>
        </w:rPr>
        <w:fldChar w:fldCharType="end"/>
      </w:r>
      <w:r w:rsidRPr="002C4EF9">
        <w:rPr>
          <w:rFonts w:asciiTheme="majorHAnsi" w:hAnsiTheme="majorHAnsi" w:eastAsiaTheme="majorEastAsia" w:cstheme="majorBidi"/>
          <w:szCs w:val="22"/>
        </w:rPr>
        <w:t xml:space="preserve"> above). </w:t>
      </w:r>
      <w:r w:rsidRPr="002C4EF9">
        <w:t xml:space="preserve">The applicant company maintained substantially the same arguments as it had made in the other set of proceedings (see paragraph </w:t>
      </w:r>
      <w:r w:rsidRPr="002C4EF9">
        <w:fldChar w:fldCharType="begin"/>
      </w:r>
      <w:r w:rsidRPr="002C4EF9">
        <w:instrText xml:space="preserve"> REF paragraph23 \h  \* MERGEFORMAT </w:instrText>
      </w:r>
      <w:r w:rsidRPr="002C4EF9">
        <w:fldChar w:fldCharType="separate"/>
      </w:r>
      <w:r w:rsidRPr="002C4EF9">
        <w:t>23</w:t>
      </w:r>
      <w:r w:rsidRPr="002C4EF9">
        <w:fldChar w:fldCharType="end"/>
      </w:r>
      <w:r w:rsidRPr="002C4EF9">
        <w:t xml:space="preserve"> above).</w:t>
      </w:r>
    </w:p>
    <w:p w:rsidRPr="002C4EF9" w:rsidR="002C4EF9" w:rsidP="002C4EF9" w14:paraId="442B82A7" w14:textId="56DC456D">
      <w:pPr>
        <w:pStyle w:val="JuPara"/>
      </w:pPr>
      <w:r w:rsidRPr="002C4EF9">
        <w:fldChar w:fldCharType="begin"/>
      </w:r>
      <w:r w:rsidRPr="002C4EF9">
        <w:instrText xml:space="preserve"> SEQ level0 \*arabic </w:instrText>
      </w:r>
      <w:r w:rsidRPr="002C4EF9">
        <w:fldChar w:fldCharType="separate"/>
      </w:r>
      <w:bookmarkStart w:name="paragraph30" w:id="19"/>
      <w:r w:rsidRPr="002C4EF9">
        <w:rPr>
          <w:noProof/>
        </w:rPr>
        <w:t>30</w:t>
      </w:r>
      <w:bookmarkEnd w:id="19"/>
      <w:r w:rsidRPr="002C4EF9">
        <w:fldChar w:fldCharType="end"/>
      </w:r>
      <w:r w:rsidRPr="002C4EF9">
        <w:t>.  On 25 November 2013 the Vienna Inner City District Court (</w:t>
      </w:r>
      <w:r w:rsidRPr="002C4EF9">
        <w:rPr>
          <w:i/>
        </w:rPr>
        <w:t>Bezirksgericht Innere Stadt Wien</w:t>
      </w:r>
      <w:r w:rsidRPr="002C4EF9">
        <w:t>) dismissed the action. It stated that section 31 of the Media Act was not applicable. Pursuant to section 18(4) of the E-Commerce Act, it examined both the wording and the context of the comment within a political discussion and held that the limits of acceptable criticism were wider as regards a politician as such than as regards a private individual. In this respect, the court emphasised H.K.’s own provocative behaviour as a politician that could be perceived as polarising and occasionally aggressive and inflammatory. It concluded that the requirements for disclosure under section 18(4) of the E</w:t>
      </w:r>
      <w:r w:rsidRPr="002C4EF9">
        <w:noBreakHyphen/>
        <w:t>Commerce Act had not been met, because the claimant had not demonstrated that an illegal act had taken place. The claimant appealed.</w:t>
      </w:r>
    </w:p>
    <w:p w:rsidRPr="002C4EF9" w:rsidR="002C4EF9" w:rsidP="002C4EF9" w14:paraId="544025E5" w14:textId="308757EB">
      <w:pPr>
        <w:pStyle w:val="JuPara"/>
      </w:pPr>
      <w:r w:rsidRPr="002C4EF9">
        <w:fldChar w:fldCharType="begin"/>
      </w:r>
      <w:r w:rsidRPr="002C4EF9">
        <w:instrText xml:space="preserve"> SEQ level0 \*arabic </w:instrText>
      </w:r>
      <w:r w:rsidRPr="002C4EF9">
        <w:fldChar w:fldCharType="separate"/>
      </w:r>
      <w:bookmarkStart w:name="paragraph00031" w:id="20"/>
      <w:r w:rsidRPr="002C4EF9">
        <w:rPr>
          <w:noProof/>
        </w:rPr>
        <w:t>31</w:t>
      </w:r>
      <w:bookmarkEnd w:id="20"/>
      <w:r w:rsidRPr="002C4EF9">
        <w:fldChar w:fldCharType="end"/>
      </w:r>
      <w:r w:rsidRPr="002C4EF9">
        <w:t xml:space="preserve">.  On 29 April 2014 the Vienna Regional Civil Court allowed the appeal and ordered the applicant company to disclose the relevant user data within fourteen days and to pay the costs incurred by the claimant during proceedings. It relied on essentially the same reasoning as the Vienna Court of Appeal in its judgment of 26 May 2014 relating to the action brought by K.S. and the FPK (see paragraph </w:t>
      </w:r>
      <w:r w:rsidRPr="002C4EF9">
        <w:fldChar w:fldCharType="begin"/>
      </w:r>
      <w:r w:rsidRPr="002C4EF9">
        <w:instrText xml:space="preserve"> REF paragraph25 \h </w:instrText>
      </w:r>
      <w:r w:rsidRPr="002C4EF9">
        <w:fldChar w:fldCharType="separate"/>
      </w:r>
      <w:r w:rsidRPr="002C4EF9">
        <w:rPr>
          <w:noProof/>
        </w:rPr>
        <w:t>25</w:t>
      </w:r>
      <w:r w:rsidRPr="002C4EF9">
        <w:fldChar w:fldCharType="end"/>
      </w:r>
      <w:r w:rsidRPr="002C4EF9">
        <w:t xml:space="preserve"> above). The applicant company appealed.</w:t>
      </w:r>
    </w:p>
    <w:p w:rsidRPr="002C4EF9" w:rsidR="002C4EF9" w:rsidP="002C4EF9" w14:paraId="3BFAAB3E" w14:textId="58AAD775">
      <w:pPr>
        <w:pStyle w:val="JuPara"/>
      </w:pPr>
      <w:r w:rsidRPr="002C4EF9">
        <w:fldChar w:fldCharType="begin"/>
      </w:r>
      <w:r w:rsidRPr="002C4EF9">
        <w:instrText xml:space="preserve"> SEQ level0 \*arabic </w:instrText>
      </w:r>
      <w:r w:rsidRPr="002C4EF9">
        <w:fldChar w:fldCharType="separate"/>
      </w:r>
      <w:bookmarkStart w:name="paragraph32" w:id="21"/>
      <w:r w:rsidRPr="002C4EF9">
        <w:rPr>
          <w:noProof/>
        </w:rPr>
        <w:t>32</w:t>
      </w:r>
      <w:bookmarkEnd w:id="21"/>
      <w:r w:rsidRPr="002C4EF9">
        <w:fldChar w:fldCharType="end"/>
      </w:r>
      <w:r w:rsidRPr="002C4EF9">
        <w:t xml:space="preserve">.  On 15 December 2014 the Supreme Court upheld that judgment for essentially the same reasons as those set out in its judgment of 19 February 2015 (see paragraphs </w:t>
      </w:r>
      <w:r w:rsidRPr="002C4EF9">
        <w:fldChar w:fldCharType="begin"/>
      </w:r>
      <w:r w:rsidRPr="002C4EF9">
        <w:instrText xml:space="preserve"> REF paragraph26 \h  \* MERGEFORMAT </w:instrText>
      </w:r>
      <w:r w:rsidRPr="002C4EF9">
        <w:fldChar w:fldCharType="separate"/>
      </w:r>
      <w:r w:rsidRPr="002C4EF9">
        <w:t>26</w:t>
      </w:r>
      <w:r w:rsidRPr="002C4EF9">
        <w:fldChar w:fldCharType="end"/>
      </w:r>
      <w:r w:rsidRPr="002C4EF9">
        <w:t>-</w:t>
      </w:r>
      <w:r w:rsidRPr="002C4EF9">
        <w:fldChar w:fldCharType="begin"/>
      </w:r>
      <w:r w:rsidRPr="002C4EF9">
        <w:instrText xml:space="preserve"> REF paragraph27 \h  \* MERGEFORMAT </w:instrText>
      </w:r>
      <w:r w:rsidRPr="002C4EF9">
        <w:fldChar w:fldCharType="separate"/>
      </w:r>
      <w:r w:rsidRPr="002C4EF9">
        <w:t>27</w:t>
      </w:r>
      <w:r w:rsidRPr="002C4EF9">
        <w:fldChar w:fldCharType="end"/>
      </w:r>
      <w:r w:rsidRPr="002C4EF9">
        <w:t xml:space="preserve"> above).</w:t>
      </w:r>
    </w:p>
    <w:p w:rsidRPr="002C4EF9" w:rsidR="002C4EF9" w:rsidP="002C4EF9" w14:paraId="1A883654" w14:textId="6A28D896">
      <w:pPr>
        <w:pStyle w:val="JuPara"/>
      </w:pPr>
      <w:r w:rsidRPr="002C4EF9">
        <w:fldChar w:fldCharType="begin"/>
      </w:r>
      <w:r w:rsidRPr="002C4EF9">
        <w:instrText xml:space="preserve"> SEQ level0 \*arabic </w:instrText>
      </w:r>
      <w:r w:rsidRPr="002C4EF9">
        <w:fldChar w:fldCharType="separate"/>
      </w:r>
      <w:r w:rsidRPr="002C4EF9">
        <w:rPr>
          <w:noProof/>
        </w:rPr>
        <w:t>33</w:t>
      </w:r>
      <w:r w:rsidRPr="002C4EF9">
        <w:fldChar w:fldCharType="end"/>
      </w:r>
      <w:r w:rsidRPr="002C4EF9">
        <w:t>.  The Supreme Court’s decision was notified to the applicant company’s lawyer on 13 February 2015.</w:t>
      </w:r>
    </w:p>
    <w:p w:rsidRPr="002C4EF9" w:rsidR="002C4EF9" w:rsidP="002C4EF9" w14:paraId="7698EEF5" w14:textId="77777777">
      <w:pPr>
        <w:pStyle w:val="JuHHead"/>
      </w:pPr>
      <w:r w:rsidRPr="002C4EF9">
        <w:t>RELEVANT legal framework and practice</w:t>
      </w:r>
    </w:p>
    <w:p w:rsidRPr="002C4EF9" w:rsidR="002C4EF9" w:rsidP="002C4EF9" w14:paraId="641420EB" w14:textId="77777777">
      <w:pPr>
        <w:pStyle w:val="JuHIRoman"/>
      </w:pPr>
      <w:r w:rsidRPr="002C4EF9">
        <w:t>Domestic Law</w:t>
      </w:r>
    </w:p>
    <w:p w:rsidRPr="002C4EF9" w:rsidR="002C4EF9" w:rsidP="002C4EF9" w14:paraId="733FB135" w14:textId="77777777">
      <w:pPr>
        <w:pStyle w:val="JuHA"/>
      </w:pPr>
      <w:r w:rsidRPr="002C4EF9">
        <w:t>Civil Code (</w:t>
      </w:r>
      <w:r w:rsidRPr="002C4EF9">
        <w:rPr>
          <w:i/>
          <w:iCs/>
        </w:rPr>
        <w:t>Allgemeines Bürgerliches Gesetzbuch</w:t>
      </w:r>
      <w:r w:rsidRPr="002C4EF9">
        <w:t>,</w:t>
      </w:r>
      <w:r w:rsidRPr="002C4EF9">
        <w:rPr>
          <w:i/>
          <w:iCs/>
        </w:rPr>
        <w:t xml:space="preserve"> </w:t>
      </w:r>
      <w:r w:rsidRPr="002C4EF9">
        <w:t>published in the Collection of Judicial Acts, no. 946/1811)</w:t>
      </w:r>
    </w:p>
    <w:p w:rsidRPr="002C4EF9" w:rsidR="002C4EF9" w:rsidP="002C4EF9" w14:paraId="6D7E3649" w14:textId="430ED63F">
      <w:pPr>
        <w:pStyle w:val="JuPara"/>
      </w:pPr>
      <w:r w:rsidRPr="002C4EF9">
        <w:fldChar w:fldCharType="begin"/>
      </w:r>
      <w:r w:rsidRPr="002C4EF9">
        <w:instrText xml:space="preserve"> SEQ level0 \*arabic </w:instrText>
      </w:r>
      <w:r w:rsidRPr="002C4EF9">
        <w:fldChar w:fldCharType="separate"/>
      </w:r>
      <w:bookmarkStart w:name="paragraph34" w:id="22"/>
      <w:r w:rsidRPr="002C4EF9">
        <w:rPr>
          <w:noProof/>
        </w:rPr>
        <w:t>34</w:t>
      </w:r>
      <w:bookmarkEnd w:id="22"/>
      <w:r w:rsidRPr="002C4EF9">
        <w:fldChar w:fldCharType="end"/>
      </w:r>
      <w:r w:rsidRPr="002C4EF9">
        <w:t>.  Article 1330 of the Civil Code, as in force since 1 January 1916 (published in Imperial Law Gazette no. 69/1916), provides as follows:</w:t>
      </w:r>
    </w:p>
    <w:p w:rsidRPr="002C4EF9" w:rsidR="002C4EF9" w:rsidP="002C4EF9" w14:paraId="1DF58E6D" w14:textId="77777777">
      <w:pPr>
        <w:pStyle w:val="JuQuotSub"/>
        <w:rPr>
          <w:lang w:val="en-GB"/>
        </w:rPr>
      </w:pPr>
      <w:r w:rsidRPr="002C4EF9">
        <w:rPr>
          <w:lang w:val="en-GB"/>
        </w:rPr>
        <w:t>“1.  Anybody who, as a result of defamation, suffers real damage or loss of profit may claim compensation.</w:t>
      </w:r>
    </w:p>
    <w:p w:rsidRPr="002C4EF9" w:rsidR="002C4EF9" w:rsidP="002C4EF9" w14:paraId="7065A178" w14:textId="64C1A78F">
      <w:pPr>
        <w:pStyle w:val="JuQuotSub"/>
        <w:rPr>
          <w:lang w:val="en-GB"/>
        </w:rPr>
      </w:pPr>
      <w:r w:rsidRPr="002C4EF9">
        <w:rPr>
          <w:lang w:val="en-GB"/>
        </w:rPr>
        <w:t>2.  The same shall apply if anyone disseminates allegations that jeopardise a person’s reputation, income or livelihood, the falsity (</w:t>
      </w:r>
      <w:r w:rsidRPr="002C4EF9">
        <w:rPr>
          <w:i/>
          <w:iCs/>
          <w:lang w:val="en-GB"/>
        </w:rPr>
        <w:t>Unwahrheit</w:t>
      </w:r>
      <w:r w:rsidRPr="002C4EF9">
        <w:rPr>
          <w:lang w:val="en-GB"/>
        </w:rPr>
        <w:t>) of which was known or should have been known to him or her. [Such a person] also has a right to request a retraction and the publication thereof ...”</w:t>
      </w:r>
    </w:p>
    <w:p w:rsidRPr="002C4EF9" w:rsidR="002C4EF9" w:rsidP="002C4EF9" w14:paraId="05F06971" w14:textId="77777777">
      <w:pPr>
        <w:pStyle w:val="JuHA"/>
      </w:pPr>
      <w:r w:rsidRPr="002C4EF9">
        <w:t>Media Act (</w:t>
      </w:r>
      <w:r w:rsidRPr="002C4EF9">
        <w:rPr>
          <w:i/>
          <w:iCs/>
        </w:rPr>
        <w:t>Mediengesetz</w:t>
      </w:r>
      <w:r w:rsidRPr="002C4EF9">
        <w:t>, published in Federal Law Gazette no. 314/1981)</w:t>
      </w:r>
    </w:p>
    <w:bookmarkStart w:name="paragraph35" w:id="23"/>
    <w:p w:rsidRPr="002C4EF9" w:rsidR="002C4EF9" w:rsidP="002C4EF9" w14:paraId="7309B671" w14:textId="46EA7847">
      <w:pPr>
        <w:pStyle w:val="JuPara"/>
      </w:pPr>
      <w:r w:rsidRPr="002C4EF9">
        <w:fldChar w:fldCharType="begin"/>
      </w:r>
      <w:r w:rsidRPr="002C4EF9">
        <w:instrText xml:space="preserve"> SEQ level0 \*arabic </w:instrText>
      </w:r>
      <w:r w:rsidRPr="002C4EF9">
        <w:fldChar w:fldCharType="separate"/>
      </w:r>
      <w:r w:rsidRPr="002C4EF9">
        <w:rPr>
          <w:noProof/>
        </w:rPr>
        <w:t>35</w:t>
      </w:r>
      <w:r w:rsidRPr="002C4EF9">
        <w:fldChar w:fldCharType="end"/>
      </w:r>
      <w:bookmarkEnd w:id="23"/>
      <w:r w:rsidRPr="002C4EF9">
        <w:t>.  Section 31(1) and (2) of the Media Act, as amended, in force since 1 January 2008 (published in Federal Law Gazette no. 112/2007), state as follows:</w:t>
      </w:r>
    </w:p>
    <w:p w:rsidRPr="002C4EF9" w:rsidR="002C4EF9" w:rsidP="002C4EF9" w14:paraId="56A8F533" w14:textId="77777777">
      <w:pPr>
        <w:pStyle w:val="JuQuot"/>
      </w:pPr>
      <w:r w:rsidRPr="002C4EF9">
        <w:t>“(1)  Media owners, editors, copy editors and employees of a media company or media service have the right to refuse, as witnesses in criminal proceedings or other proceedings before a court or an administrative authority, to answer questions relating to the identity of the author, sender or source of articles and documentation, or to any information that they have obtained in connection with their profession.</w:t>
      </w:r>
    </w:p>
    <w:p w:rsidRPr="002C4EF9" w:rsidR="002C4EF9" w:rsidP="002C4EF9" w14:paraId="2AD391F3" w14:textId="77777777">
      <w:pPr>
        <w:pStyle w:val="JuQuot"/>
      </w:pPr>
      <w:r w:rsidRPr="002C4EF9">
        <w:t>(2)  The right stipulated in paragraph (1) must not be bypassed – in particular by ordering the person enjoying this right to disclose: documents; printed matter; image, sound or data carriers; illustrations; or other representations of such contents, or by confiscating them.”</w:t>
      </w:r>
    </w:p>
    <w:p w:rsidRPr="002C4EF9" w:rsidR="002C4EF9" w:rsidP="002C4EF9" w14:paraId="1192EAC0" w14:textId="77777777">
      <w:pPr>
        <w:pStyle w:val="JuHA"/>
      </w:pPr>
      <w:r w:rsidRPr="002C4EF9">
        <w:t>E-Commerce Act (</w:t>
      </w:r>
      <w:r w:rsidRPr="002C4EF9">
        <w:rPr>
          <w:i/>
          <w:iCs/>
        </w:rPr>
        <w:t>E-Commerce Gesetz</w:t>
      </w:r>
      <w:r w:rsidRPr="002C4EF9">
        <w:t>, published in Federal Law Gazette no. 152/2001)</w:t>
      </w:r>
    </w:p>
    <w:bookmarkStart w:name="paragraph36" w:id="24"/>
    <w:p w:rsidRPr="002C4EF9" w:rsidR="002C4EF9" w:rsidP="002C4EF9" w14:paraId="4C448890" w14:textId="020E8BDC">
      <w:pPr>
        <w:pStyle w:val="JuPara"/>
      </w:pPr>
      <w:r w:rsidRPr="002C4EF9">
        <w:fldChar w:fldCharType="begin"/>
      </w:r>
      <w:r w:rsidRPr="002C4EF9">
        <w:instrText xml:space="preserve"> SEQ level0 \*arabic </w:instrText>
      </w:r>
      <w:r w:rsidRPr="002C4EF9">
        <w:fldChar w:fldCharType="separate"/>
      </w:r>
      <w:r w:rsidRPr="002C4EF9">
        <w:rPr>
          <w:noProof/>
        </w:rPr>
        <w:t>36</w:t>
      </w:r>
      <w:r w:rsidRPr="002C4EF9">
        <w:fldChar w:fldCharType="end"/>
      </w:r>
      <w:bookmarkEnd w:id="24"/>
      <w:r w:rsidRPr="002C4EF9">
        <w:t>.  Section 16(1) of the E-Commerce Act reads as follows:</w:t>
      </w:r>
    </w:p>
    <w:p w:rsidRPr="002C4EF9" w:rsidR="002C4EF9" w:rsidP="002C4EF9" w14:paraId="7C37DAB8" w14:textId="77777777">
      <w:pPr>
        <w:pStyle w:val="JuQuot"/>
      </w:pPr>
      <w:r w:rsidRPr="002C4EF9">
        <w:t>“(1)  A service provider who stores information provided by a user is not liable for the information stored at the request of that user, on condition that:</w:t>
      </w:r>
    </w:p>
    <w:p w:rsidRPr="002C4EF9" w:rsidR="002C4EF9" w:rsidP="002C4EF9" w14:paraId="05CEBFF4" w14:textId="77777777">
      <w:pPr>
        <w:pStyle w:val="JuQuot"/>
      </w:pPr>
      <w:r w:rsidRPr="002C4EF9">
        <w:t>1.  the provider does not have actual knowledge of any illegal activity or [illegal] information and, as regards claims for damages, is not aware of facts or circumstances from which any illegal activity or information is apparent; or</w:t>
      </w:r>
    </w:p>
    <w:p w:rsidRPr="002C4EF9" w:rsidR="002C4EF9" w:rsidP="002C4EF9" w14:paraId="67A6B7E6" w14:textId="77777777">
      <w:pPr>
        <w:pStyle w:val="JuQuot"/>
      </w:pPr>
      <w:r w:rsidRPr="002C4EF9">
        <w:t>2.  the provider, upon obtaining such knowledge or awareness, acts expeditiously to remove or to disable access to [such] information.”</w:t>
      </w:r>
    </w:p>
    <w:p w:rsidRPr="002C4EF9" w:rsidR="002C4EF9" w:rsidP="002C4EF9" w14:paraId="01E9DE9B" w14:textId="49CA0C91">
      <w:pPr>
        <w:pStyle w:val="JuPara"/>
      </w:pPr>
      <w:r w:rsidRPr="002C4EF9">
        <w:fldChar w:fldCharType="begin"/>
      </w:r>
      <w:r w:rsidRPr="002C4EF9">
        <w:instrText xml:space="preserve"> SEQ level0 \*arabic </w:instrText>
      </w:r>
      <w:r w:rsidRPr="002C4EF9">
        <w:fldChar w:fldCharType="separate"/>
      </w:r>
      <w:bookmarkStart w:name="paragraph37" w:id="25"/>
      <w:r w:rsidRPr="002C4EF9">
        <w:rPr>
          <w:noProof/>
        </w:rPr>
        <w:t>37</w:t>
      </w:r>
      <w:bookmarkEnd w:id="25"/>
      <w:r w:rsidRPr="002C4EF9">
        <w:fldChar w:fldCharType="end"/>
      </w:r>
      <w:r w:rsidRPr="002C4EF9">
        <w:t>.  Section 18(4) of the E-Commerce Act provides as follows:</w:t>
      </w:r>
    </w:p>
    <w:p w:rsidRPr="002C4EF9" w:rsidR="002C4EF9" w:rsidP="002C4EF9" w14:paraId="040D90F1" w14:textId="77777777">
      <w:pPr>
        <w:pStyle w:val="JuQuot"/>
      </w:pPr>
      <w:r w:rsidRPr="002C4EF9">
        <w:t>“(4)  Service providers mentioned in section 16 must transmit the name and address of a user of their service, with whom they have concluded agreements concerning the storage of information, to third parties at the request [of those third parties] if they demonstrate (</w:t>
      </w:r>
      <w:r w:rsidRPr="002C4EF9">
        <w:rPr>
          <w:i/>
          <w:iCs/>
        </w:rPr>
        <w:t>glaubhaft machen</w:t>
      </w:r>
      <w:r w:rsidRPr="002C4EF9">
        <w:t>) an overriding legal interest in determining the identity of [that] user and [establishing the existence of] a particular illegal situation, and furthermore demonstrate that knowledge of such information constitutes a material prerequisite for legal prosecution.”</w:t>
      </w:r>
    </w:p>
    <w:p w:rsidRPr="002C4EF9" w:rsidR="002C4EF9" w:rsidP="002C4EF9" w14:paraId="177E1C9C" w14:textId="77777777">
      <w:pPr>
        <w:pStyle w:val="JuHA"/>
      </w:pPr>
      <w:r w:rsidRPr="002C4EF9">
        <w:t>Enforcement Act (</w:t>
      </w:r>
      <w:r w:rsidRPr="002C4EF9">
        <w:rPr>
          <w:i/>
          <w:iCs/>
        </w:rPr>
        <w:t>Exekutionsordnung</w:t>
      </w:r>
      <w:r w:rsidRPr="002C4EF9">
        <w:t>, published in Federal Law Gazette no. 79/1896, as amended in Federal Law Gazette no. 86/2021)</w:t>
      </w:r>
    </w:p>
    <w:p w:rsidRPr="002C4EF9" w:rsidR="002C4EF9" w:rsidP="002C4EF9" w14:paraId="5C1C59D6" w14:textId="228F887C">
      <w:pPr>
        <w:pStyle w:val="JuPara"/>
      </w:pPr>
      <w:r>
        <w:fldChar w:fldCharType="begin"/>
      </w:r>
      <w:r>
        <w:instrText xml:space="preserve"> SEQ level0 \*arabic \* MERGEFORMAT </w:instrText>
      </w:r>
      <w:r>
        <w:fldChar w:fldCharType="separate"/>
      </w:r>
      <w:r w:rsidRPr="002C4EF9">
        <w:rPr>
          <w:noProof/>
        </w:rPr>
        <w:t>38</w:t>
      </w:r>
      <w:r w:rsidRPr="002C4EF9">
        <w:rPr>
          <w:noProof/>
        </w:rPr>
        <w:fldChar w:fldCharType="end"/>
      </w:r>
      <w:r w:rsidRPr="002C4EF9">
        <w:t>.  Section 354 of the Enforcement Act reads as follows:</w:t>
      </w:r>
    </w:p>
    <w:p w:rsidRPr="002C4EF9" w:rsidR="002C4EF9" w:rsidP="002C4EF9" w14:paraId="46AF5B25" w14:textId="77777777">
      <w:pPr>
        <w:pStyle w:val="JuQuot"/>
      </w:pPr>
      <w:r w:rsidRPr="002C4EF9">
        <w:t>“(1)  A claim to an act (</w:t>
      </w:r>
      <w:r w:rsidRPr="002C4EF9">
        <w:rPr>
          <w:i/>
          <w:iCs/>
        </w:rPr>
        <w:t>Anspruch auf eine Handlung</w:t>
      </w:r>
      <w:r w:rsidRPr="002C4EF9">
        <w:t>) which cannot be performed by a third party and the performance of which depends exclusively on the will of the obligor shall be enforced by the execution court upon application by way of fines or by imprisonment for a maximum total period of up to six months.</w:t>
      </w:r>
    </w:p>
    <w:p w:rsidRPr="002C4EF9" w:rsidR="002C4EF9" w:rsidP="002C4EF9" w14:paraId="504867EB" w14:textId="77777777">
      <w:pPr>
        <w:pStyle w:val="JuQuot"/>
      </w:pPr>
      <w:r w:rsidRPr="002C4EF9">
        <w:t>(2)  Execution shall begin by notice being served that a penalty will be imposed in the event of default; initially, only notice of a potential fine may be served. [Should] the time-limit ... for the performance of the act [in question] expire, the threatened coercive measure shall be enforced at the request of the enforcing creditor and, at the same time, notice of increasingly severe coercive measures shall be served, with the setting of a new time-limit in respect of the performance [of the act in question]. Enforcement of the latter shall only take place at the request of the enforcing creditor”.</w:t>
      </w:r>
    </w:p>
    <w:p w:rsidRPr="002C4EF9" w:rsidR="002C4EF9" w:rsidP="002C4EF9" w14:paraId="04C7752C" w14:textId="77777777">
      <w:pPr>
        <w:pStyle w:val="JuHIRoman"/>
      </w:pPr>
      <w:r w:rsidRPr="002C4EF9">
        <w:t>Domestic Practice</w:t>
      </w:r>
    </w:p>
    <w:p w:rsidRPr="002C4EF9" w:rsidR="002C4EF9" w:rsidP="002C4EF9" w14:paraId="72E6C171" w14:textId="3C79EA4B">
      <w:pPr>
        <w:pStyle w:val="JuPara"/>
      </w:pPr>
      <w:r w:rsidRPr="002C4EF9">
        <w:fldChar w:fldCharType="begin"/>
      </w:r>
      <w:r w:rsidRPr="002C4EF9">
        <w:instrText xml:space="preserve"> SEQ level0 \*arabic </w:instrText>
      </w:r>
      <w:r w:rsidRPr="002C4EF9">
        <w:fldChar w:fldCharType="separate"/>
      </w:r>
      <w:bookmarkStart w:name="paragraph38" w:id="26"/>
      <w:r w:rsidRPr="002C4EF9">
        <w:rPr>
          <w:noProof/>
        </w:rPr>
        <w:t>39</w:t>
      </w:r>
      <w:bookmarkEnd w:id="26"/>
      <w:r w:rsidRPr="002C4EF9">
        <w:fldChar w:fldCharType="end"/>
      </w:r>
      <w:r w:rsidRPr="002C4EF9">
        <w:t>.  Regarding service providers’ duty under section 18(4) of the E</w:t>
      </w:r>
      <w:r w:rsidRPr="002C4EF9">
        <w:noBreakHyphen/>
        <w:t xml:space="preserve">Commerce Act (see paragraph </w:t>
      </w:r>
      <w:r w:rsidRPr="002C4EF9">
        <w:fldChar w:fldCharType="begin"/>
      </w:r>
      <w:r w:rsidRPr="002C4EF9">
        <w:instrText xml:space="preserve"> REF paragraph37 \h </w:instrText>
      </w:r>
      <w:r w:rsidRPr="002C4EF9">
        <w:fldChar w:fldCharType="separate"/>
      </w:r>
      <w:r w:rsidRPr="002C4EF9">
        <w:rPr>
          <w:noProof/>
        </w:rPr>
        <w:t>37</w:t>
      </w:r>
      <w:r w:rsidRPr="002C4EF9">
        <w:fldChar w:fldCharType="end"/>
      </w:r>
      <w:r w:rsidRPr="002C4EF9">
        <w:t xml:space="preserve"> above) to disclose user data, the Supreme Court has established in its case-law that for a claimant to demonstrate an overriding legal interest it is sufficient that it is not possible to rule out the possibility of a finding of liability under Article 1330 of the Civil Code (see paragraph </w:t>
      </w:r>
      <w:r w:rsidRPr="002C4EF9">
        <w:fldChar w:fldCharType="begin"/>
      </w:r>
      <w:r w:rsidRPr="002C4EF9">
        <w:instrText xml:space="preserve"> REF paragraph34 \h  \* MERGEFORMAT </w:instrText>
      </w:r>
      <w:r w:rsidRPr="002C4EF9">
        <w:fldChar w:fldCharType="separate"/>
      </w:r>
      <w:r w:rsidRPr="002C4EF9">
        <w:t>34</w:t>
      </w:r>
      <w:r w:rsidRPr="002C4EF9">
        <w:fldChar w:fldCharType="end"/>
      </w:r>
      <w:r w:rsidRPr="002C4EF9">
        <w:t xml:space="preserve"> above) on the basis of the contested allegations. Any distinction between a statement of facts and a potentially excessive value judgment has to be determined in proceedings against the actual author of the comments in question and not in proceedings against the relevant service provider (see Supreme Court judgments of 23 January 2014, 6 Ob 133/13 x; of 30 January 2017, 6 Ob 188/16 i; and, more recently, of 27 November 2019, 6 Ob 156/19 p).</w:t>
      </w:r>
    </w:p>
    <w:p w:rsidRPr="002C4EF9" w:rsidR="002C4EF9" w:rsidP="002C4EF9" w14:paraId="19980F8D" w14:textId="77777777">
      <w:pPr>
        <w:pStyle w:val="JuHIRoman"/>
      </w:pPr>
      <w:r w:rsidRPr="002C4EF9">
        <w:t>RELEVANT International INSTRUMENTS</w:t>
      </w:r>
    </w:p>
    <w:bookmarkStart w:name="paragraph39" w:id="27"/>
    <w:p w:rsidRPr="002C4EF9" w:rsidR="002C4EF9" w:rsidP="002C4EF9" w14:paraId="799965AB" w14:textId="63133BF0">
      <w:pPr>
        <w:pStyle w:val="JuPara"/>
      </w:pPr>
      <w:r w:rsidRPr="002C4EF9">
        <w:fldChar w:fldCharType="begin"/>
      </w:r>
      <w:r w:rsidRPr="002C4EF9">
        <w:instrText xml:space="preserve"> SEQ level0 \*arabic </w:instrText>
      </w:r>
      <w:r w:rsidRPr="002C4EF9">
        <w:fldChar w:fldCharType="separate"/>
      </w:r>
      <w:r w:rsidRPr="002C4EF9">
        <w:rPr>
          <w:noProof/>
        </w:rPr>
        <w:t>40</w:t>
      </w:r>
      <w:r w:rsidRPr="002C4EF9">
        <w:fldChar w:fldCharType="end"/>
      </w:r>
      <w:bookmarkEnd w:id="27"/>
      <w:r w:rsidRPr="002C4EF9">
        <w:t xml:space="preserve">.  Relevant material concerning freedom of communication on the Internet and its limits referenced in the instruments of the Council of Europe, the United Nations (UN) and the European Union is outlined in paragraphs 44-57 of the judgment in </w:t>
      </w:r>
      <w:r w:rsidRPr="002C4EF9">
        <w:rPr>
          <w:i/>
        </w:rPr>
        <w:t>Delfi AS</w:t>
      </w:r>
      <w:r w:rsidRPr="002C4EF9">
        <w:t xml:space="preserve"> </w:t>
      </w:r>
      <w:r w:rsidRPr="002C4EF9">
        <w:rPr>
          <w:i/>
        </w:rPr>
        <w:t>v. Estonia</w:t>
      </w:r>
      <w:r w:rsidRPr="002C4EF9">
        <w:t xml:space="preserve"> ([GC], no. 64569/09, ECHR 2015). The quoted material contains, </w:t>
      </w:r>
      <w:r w:rsidRPr="002C4EF9">
        <w:rPr>
          <w:i/>
          <w:iCs/>
        </w:rPr>
        <w:t>inter alia</w:t>
      </w:r>
      <w:r w:rsidRPr="002C4EF9">
        <w:t>, the Declaration on freedom of communication on the Internet adopted by the Committee of Ministers of the Council of Europe on 28 May 2003 (ibid., § 44) which identifies the principle of anonymity in the field of communication on the Internet and states as follows:</w:t>
      </w:r>
    </w:p>
    <w:p w:rsidRPr="002C4EF9" w:rsidR="002C4EF9" w:rsidP="002C4EF9" w14:paraId="0CDE3BF9" w14:textId="77777777">
      <w:pPr>
        <w:pStyle w:val="JuHArticle"/>
      </w:pPr>
      <w:r w:rsidRPr="002C4EF9">
        <w:t>Principle 7: Anonymity</w:t>
      </w:r>
    </w:p>
    <w:p w:rsidRPr="002C4EF9" w:rsidR="002C4EF9" w:rsidP="002C4EF9" w14:paraId="44AF73D5" w14:textId="77777777">
      <w:pPr>
        <w:pStyle w:val="JuQuot"/>
      </w:pPr>
      <w:r w:rsidRPr="002C4EF9">
        <w:t>“In order to ensure protection against online surveillance and to enhance the free expression of information and ideas, member states should respect the will of users of the Internet not to disclose their identity. This does not prevent member states from taking measures and co-operating in order to trace those responsible for criminal acts, in accordance with national law, the Convention for the Protection of Human Rights and Fundamental Freedoms and other international agreements in the fields of justice and the police.”</w:t>
      </w:r>
    </w:p>
    <w:p w:rsidRPr="002C4EF9" w:rsidR="002C4EF9" w:rsidP="002C4EF9" w14:paraId="19FB8AF2" w14:textId="7C9CB1F3">
      <w:pPr>
        <w:pStyle w:val="JuPara"/>
      </w:pPr>
      <w:r>
        <w:fldChar w:fldCharType="begin"/>
      </w:r>
      <w:r>
        <w:instrText xml:space="preserve"> SEQ level0 \*arabic \* MERGEFORMAT </w:instrText>
      </w:r>
      <w:r>
        <w:fldChar w:fldCharType="separate"/>
      </w:r>
      <w:r w:rsidRPr="002C4EF9">
        <w:rPr>
          <w:noProof/>
        </w:rPr>
        <w:t>41</w:t>
      </w:r>
      <w:r w:rsidRPr="002C4EF9">
        <w:rPr>
          <w:noProof/>
        </w:rPr>
        <w:fldChar w:fldCharType="end"/>
      </w:r>
      <w:r w:rsidRPr="002C4EF9">
        <w:t xml:space="preserve">.  The relevant material quoted in </w:t>
      </w:r>
      <w:r w:rsidRPr="002C4EF9">
        <w:rPr>
          <w:i/>
          <w:iCs/>
        </w:rPr>
        <w:t xml:space="preserve">Delfi AS </w:t>
      </w:r>
      <w:r w:rsidRPr="002C4EF9">
        <w:t>(cited above) further contains Recommendation CM/Rec(2011)7 of the Council of Europe’s Committee of Ministers to member States on a new notion of media which underlines the importance of the role of intermediaries (ibid., § 46), the report of the UN Human Rights Council’s Special Rapporteur on the promotion and protection of the right to freedom of opinion and expression dated 22 May 2015 (A/HRC/29/32) which states that no State should use or force intermediaries to undertake censorship on its behalf (ibid., § 48), and relevant parts of Directive 2000/31/EC of the European Parliament and of the Council of 8 June 2000 on certain legal aspects of information society services, in particular electronic commerce, in the Internal Market (Directive on electronic commerce), OJ 2000 L 178, p. 1 on the liability of intermediaries (ibid., § 50).</w:t>
      </w:r>
    </w:p>
    <w:p w:rsidRPr="002C4EF9" w:rsidR="002C4EF9" w:rsidP="002C4EF9" w14:paraId="620E3436" w14:textId="1AC8E79A">
      <w:pPr>
        <w:pStyle w:val="JuPara"/>
      </w:pPr>
      <w:r>
        <w:fldChar w:fldCharType="begin"/>
      </w:r>
      <w:r>
        <w:instrText xml:space="preserve"> SEQ level0 \*arabic \* MERGEFORMAT </w:instrText>
      </w:r>
      <w:r>
        <w:fldChar w:fldCharType="separate"/>
      </w:r>
      <w:r w:rsidRPr="002C4EF9">
        <w:rPr>
          <w:noProof/>
        </w:rPr>
        <w:t>42</w:t>
      </w:r>
      <w:r w:rsidRPr="002C4EF9">
        <w:rPr>
          <w:noProof/>
        </w:rPr>
        <w:fldChar w:fldCharType="end"/>
      </w:r>
      <w:r w:rsidRPr="002C4EF9">
        <w:t>.  In addition, the Directive on electronic commerce provides as follows:</w:t>
      </w:r>
    </w:p>
    <w:p w:rsidRPr="002C4EF9" w:rsidR="002C4EF9" w:rsidP="002C4EF9" w14:paraId="55F5F4B3" w14:textId="77777777">
      <w:pPr>
        <w:pStyle w:val="JuQuot"/>
      </w:pPr>
      <w:r w:rsidRPr="002C4EF9">
        <w:t>“(9)  The free movement of information society services can in many cases be a specific reflection in Community law of a more general principle, namely freedom of expression as enshrined in Article 10(1) of the Convention for the Protection of Human Rights and Fundamental Freedoms, which has been ratified by all the Member States; for this reason, directives covering the supply of information society services must ensure that this activity may be engaged in freely in the light of that Article, subject only to the restrictions laid down in paragraph 2 of that Article and in Article 46(1) of the Treaty; this Directive is not intended to affect national fundamental rules and principles relating to freedom of expression.</w:t>
      </w:r>
    </w:p>
    <w:p w:rsidRPr="002C4EF9" w:rsidR="002C4EF9" w:rsidP="002C4EF9" w14:paraId="57B9653F" w14:textId="77777777">
      <w:pPr>
        <w:pStyle w:val="JuQuot"/>
      </w:pPr>
      <w:r w:rsidRPr="002C4EF9">
        <w:t>...</w:t>
      </w:r>
    </w:p>
    <w:p w:rsidRPr="002C4EF9" w:rsidR="002C4EF9" w:rsidP="002C4EF9" w14:paraId="7E6E0324" w14:textId="77777777">
      <w:pPr>
        <w:pStyle w:val="JuQuot"/>
      </w:pPr>
      <w:r w:rsidRPr="002C4EF9">
        <w:t>(14)  ... the implementation and application of this Directive should be made in full compliance with the principles relating to the protection of personal data, in particular as regards unsolicited commercial communication and the liability of intermediaries; this Directive cannot prevent the anonymous use of open networks such as the Internet.</w:t>
      </w:r>
    </w:p>
    <w:p w:rsidRPr="002C4EF9" w:rsidR="002C4EF9" w:rsidP="002C4EF9" w14:paraId="5D7B7370" w14:textId="77777777">
      <w:pPr>
        <w:pStyle w:val="JuQuot"/>
      </w:pPr>
      <w:r w:rsidRPr="002C4EF9">
        <w:t>...</w:t>
      </w:r>
    </w:p>
    <w:p w:rsidRPr="002C4EF9" w:rsidR="002C4EF9" w:rsidP="002C4EF9" w14:paraId="64087729" w14:textId="77777777">
      <w:pPr>
        <w:pStyle w:val="JuQuot"/>
      </w:pPr>
      <w:r w:rsidRPr="002C4EF9">
        <w:t>(41)  This Directive strikes a balance between the different interests at stake and establishes principles upon which industry agreements and standards can be based.</w:t>
      </w:r>
    </w:p>
    <w:p w:rsidRPr="002C4EF9" w:rsidR="002C4EF9" w:rsidP="002C4EF9" w14:paraId="33D05A2E" w14:textId="77777777">
      <w:pPr>
        <w:pStyle w:val="JuQuot"/>
      </w:pPr>
      <w:r w:rsidRPr="002C4EF9">
        <w:t>...</w:t>
      </w:r>
    </w:p>
    <w:p w:rsidRPr="002C4EF9" w:rsidR="002C4EF9" w:rsidP="002C4EF9" w14:paraId="5B205AF8" w14:textId="77777777">
      <w:pPr>
        <w:pStyle w:val="JuQuot"/>
      </w:pPr>
      <w:r w:rsidRPr="002C4EF9">
        <w:t>(52)  The effective exercise of the freedoms of the internal market makes it necessary to guarantee victims effective access to means of settling disputes; damage which may arise in connection with information society services is characterised both by its rapidity and by its geographical extent; in view of this specific character and the need to ensure that national authorities do not endanger the mutual confidence which they should have in one another, this Directive requests Member States to ensure that appropriate court actions are available; Member States should examine the need to provide access to judicial procedures by appropriate electronic means.”</w:t>
      </w:r>
    </w:p>
    <w:p w:rsidRPr="002C4EF9" w:rsidR="002C4EF9" w:rsidP="002C4EF9" w14:paraId="034EC825" w14:textId="642CD654">
      <w:pPr>
        <w:pStyle w:val="JuPara"/>
      </w:pPr>
      <w:r>
        <w:fldChar w:fldCharType="begin"/>
      </w:r>
      <w:r>
        <w:instrText xml:space="preserve"> SEQ level0 \*arabic \* MERGEFORMAT </w:instrText>
      </w:r>
      <w:r>
        <w:fldChar w:fldCharType="separate"/>
      </w:r>
      <w:r w:rsidRPr="002C4EF9">
        <w:rPr>
          <w:noProof/>
        </w:rPr>
        <w:t>43</w:t>
      </w:r>
      <w:r w:rsidRPr="002C4EF9">
        <w:rPr>
          <w:noProof/>
        </w:rPr>
        <w:fldChar w:fldCharType="end"/>
      </w:r>
      <w:r w:rsidRPr="002C4EF9">
        <w:t>.   Recommendation CM/Rec(2014)6 of the Council of Europe’s Committee of Ministers to member States on a Guide to human rights for Internet users, adopted on 16 April 2014, stated the following:</w:t>
      </w:r>
    </w:p>
    <w:p w:rsidRPr="002C4EF9" w:rsidR="002C4EF9" w:rsidP="002C4EF9" w14:paraId="0060E413" w14:textId="77777777">
      <w:pPr>
        <w:pStyle w:val="JuQuot"/>
      </w:pPr>
      <w:r w:rsidRPr="002C4EF9">
        <w:t>“Freedom of expression and information</w:t>
      </w:r>
    </w:p>
    <w:p w:rsidRPr="002C4EF9" w:rsidR="002C4EF9" w:rsidP="002C4EF9" w14:paraId="201A5BF6" w14:textId="77777777">
      <w:pPr>
        <w:pStyle w:val="JuQuot"/>
      </w:pPr>
      <w:r w:rsidRPr="002C4EF9">
        <w:t>You have the right to seek, receive and impart information and ideas of your choice, without interference and regardless of frontiers. This means:</w:t>
      </w:r>
    </w:p>
    <w:p w:rsidRPr="002C4EF9" w:rsidR="002C4EF9" w:rsidP="002C4EF9" w14:paraId="2E46B98A" w14:textId="77777777">
      <w:pPr>
        <w:pStyle w:val="JuQuot"/>
      </w:pPr>
      <w:r w:rsidRPr="002C4EF9">
        <w:t>1.  you have the freedom to express yourself online and to access information and the opinions and expressions of others. This includes political speech, views on religion, opinions and expressions that are favourably received or regarded as inoffensive, but also those that may offend, shock or disturb others. ...</w:t>
      </w:r>
    </w:p>
    <w:p w:rsidRPr="002C4EF9" w:rsidR="002C4EF9" w:rsidP="002C4EF9" w14:paraId="6A48B028" w14:textId="77777777">
      <w:pPr>
        <w:pStyle w:val="JuQuot"/>
      </w:pPr>
      <w:r w:rsidRPr="002C4EF9">
        <w:t>2.  restrictions may apply to expressions which incite discrimination, hatred or violence. These restrictions must be lawful, narrowly tailored and executed with court oversight.</w:t>
      </w:r>
    </w:p>
    <w:p w:rsidRPr="002C4EF9" w:rsidR="002C4EF9" w:rsidP="002C4EF9" w14:paraId="019AE43F" w14:textId="77777777">
      <w:pPr>
        <w:pStyle w:val="JuQuot"/>
      </w:pPr>
      <w:r w:rsidRPr="002C4EF9">
        <w:t>...</w:t>
      </w:r>
    </w:p>
    <w:p w:rsidRPr="002C4EF9" w:rsidR="002C4EF9" w:rsidP="002C4EF9" w14:paraId="2E330613" w14:textId="77777777">
      <w:pPr>
        <w:pStyle w:val="JuQuot"/>
      </w:pPr>
      <w:r w:rsidRPr="002C4EF9">
        <w:t>6.  you may choose not to disclose your identity online, for instance by using a pseudonym. However, you should be aware that measures can be taken, by national authorities, which might lead to your identity being revealed.”</w:t>
      </w:r>
    </w:p>
    <w:p w:rsidRPr="002C4EF9" w:rsidR="002C4EF9" w:rsidP="002C4EF9" w14:paraId="767CE1CA" w14:textId="3D28D759">
      <w:pPr>
        <w:pStyle w:val="JuPara"/>
      </w:pPr>
      <w:r>
        <w:fldChar w:fldCharType="begin"/>
      </w:r>
      <w:r>
        <w:instrText xml:space="preserve"> SEQ level0 \*arabic \* MERGEFORMAT </w:instrText>
      </w:r>
      <w:r>
        <w:fldChar w:fldCharType="separate"/>
      </w:r>
      <w:r w:rsidRPr="002C4EF9">
        <w:rPr>
          <w:noProof/>
        </w:rPr>
        <w:t>44</w:t>
      </w:r>
      <w:r w:rsidRPr="002C4EF9">
        <w:rPr>
          <w:noProof/>
        </w:rPr>
        <w:fldChar w:fldCharType="end"/>
      </w:r>
      <w:r w:rsidRPr="002C4EF9">
        <w:t>.  The European Parliament resolution of 21 May 2013 on the EU Charter: standard settings for media freedom across the EU (2011/2246(INI)), OJ 2016 C 55, p. 33, stresses the following:</w:t>
      </w:r>
    </w:p>
    <w:p w:rsidRPr="002C4EF9" w:rsidR="002C4EF9" w:rsidP="002C4EF9" w14:paraId="2FEEF463" w14:textId="77777777">
      <w:pPr>
        <w:pStyle w:val="JuQuot"/>
      </w:pPr>
      <w:r w:rsidRPr="002C4EF9">
        <w:t>“28.  ... that the fundamental right to freedom of expression and freedom of the media is not only reserved for traditional media, but also covers social media and other forms of new media; underlines the importance of ensuring freedom of expression and information on the internet, notably through guaranteeing net neutrality, and consequently calls on the EU and the Member States to ensure that these rights and freedoms are fully respected on the internet in relation to the unrestricted access to and provision and circulation of information;</w:t>
      </w:r>
    </w:p>
    <w:p w:rsidRPr="002C4EF9" w:rsidR="002C4EF9" w:rsidP="002C4EF9" w14:paraId="7D224EB5" w14:textId="77777777">
      <w:pPr>
        <w:pStyle w:val="JuQuot"/>
      </w:pPr>
      <w:r w:rsidRPr="002C4EF9">
        <w:t>...”</w:t>
      </w:r>
    </w:p>
    <w:p w:rsidRPr="002C4EF9" w:rsidR="002C4EF9" w:rsidP="002C4EF9" w14:paraId="2832604E" w14:textId="281E28B8">
      <w:pPr>
        <w:pStyle w:val="JuPara"/>
      </w:pPr>
      <w:r>
        <w:fldChar w:fldCharType="begin"/>
      </w:r>
      <w:r>
        <w:instrText xml:space="preserve"> SEQ level0 \*arabic \* MERGEFORMAT </w:instrText>
      </w:r>
      <w:r>
        <w:fldChar w:fldCharType="separate"/>
      </w:r>
      <w:bookmarkStart w:name="paragraph00045" w:id="28"/>
      <w:r w:rsidRPr="002C4EF9">
        <w:rPr>
          <w:noProof/>
        </w:rPr>
        <w:t>45</w:t>
      </w:r>
      <w:bookmarkEnd w:id="28"/>
      <w:r>
        <w:fldChar w:fldCharType="end"/>
      </w:r>
      <w:r w:rsidRPr="002C4EF9">
        <w:t>.  The Appendix to Recommendation CM/Rec(2018)2 of the Council of Europe’s Committee of Ministers to member States on the roles and responsibilities of Internet intermediaries (adopted on 7 March 2018) reads as follows, in so far as relevant:</w:t>
      </w:r>
    </w:p>
    <w:p w:rsidRPr="002C4EF9" w:rsidR="002C4EF9" w:rsidP="002C4EF9" w14:paraId="2FA54F34" w14:textId="77777777">
      <w:pPr>
        <w:pStyle w:val="JuQuot"/>
      </w:pPr>
      <w:r w:rsidRPr="002C4EF9">
        <w:t>“2.4.  Use of personal data</w:t>
      </w:r>
    </w:p>
    <w:p w:rsidRPr="002C4EF9" w:rsidR="002C4EF9" w:rsidP="002C4EF9" w14:paraId="73DC4093" w14:textId="77777777">
      <w:pPr>
        <w:pStyle w:val="JuQuot"/>
      </w:pPr>
      <w:r w:rsidRPr="002C4EF9">
        <w:t>2.4.1.  Intermediaries should not disclose personal data to a third party unless required by law or requested to do so by a judicial authority or other independent administrative authority whose decisions are subject to judicial review that has determined that the disclosure is consistent with applicable laws and standards, necessary in a democratic society and proportionate</w:t>
      </w:r>
      <w:r w:rsidRPr="002C4EF9">
        <w:rPr>
          <w:b/>
          <w:bCs/>
        </w:rPr>
        <w:t xml:space="preserve"> </w:t>
      </w:r>
      <w:r w:rsidRPr="002C4EF9">
        <w:t>to the legitimate aim pursued.</w:t>
      </w:r>
    </w:p>
    <w:p w:rsidRPr="002C4EF9" w:rsidR="002C4EF9" w:rsidP="002C4EF9" w14:paraId="63A63A91" w14:textId="77777777">
      <w:pPr>
        <w:pStyle w:val="JuQuot"/>
      </w:pPr>
      <w:r w:rsidRPr="002C4EF9">
        <w:t>...”</w:t>
      </w:r>
    </w:p>
    <w:p w:rsidRPr="002C4EF9" w:rsidR="002C4EF9" w:rsidP="002C4EF9" w14:paraId="52DD79DB" w14:textId="77777777">
      <w:pPr>
        <w:pStyle w:val="JuPara"/>
      </w:pPr>
      <w:r>
        <w:fldChar w:fldCharType="begin"/>
      </w:r>
      <w:r>
        <w:instrText xml:space="preserve"> SEQ level0 \*arabic \* MERGEFORMAT </w:instrText>
      </w:r>
      <w:r>
        <w:fldChar w:fldCharType="separate"/>
      </w:r>
      <w:bookmarkStart w:name="paragraph00044" w:id="29"/>
      <w:r w:rsidRPr="002C4EF9">
        <w:rPr>
          <w:noProof/>
        </w:rPr>
        <w:t>46</w:t>
      </w:r>
      <w:bookmarkEnd w:id="29"/>
      <w:r>
        <w:fldChar w:fldCharType="end"/>
      </w:r>
      <w:r w:rsidRPr="002C4EF9">
        <w:t>.  The UN Human Rights Council’s Special Rapporteur on the promotion and protection of the right to freedom of opinion and expression stated the following in his report of 22 May 2015 to the Human Rights Council (A/HRC/29/32):</w:t>
      </w:r>
    </w:p>
    <w:p w:rsidRPr="002C4EF9" w:rsidR="002C4EF9" w:rsidP="002C4EF9" w14:paraId="560C1B78" w14:textId="284AA660">
      <w:pPr>
        <w:pStyle w:val="JuQuot"/>
      </w:pPr>
      <w:r w:rsidRPr="002C4EF9">
        <w:t>“60.  States should not restrict encryption and anonymity, which facilitate and often enable the rights to freedom of opinion and expression. Blanket prohibitions fail to be necessary and proportionate. ... States should refrain from making the identification of users a condition for access to digital communications and online services and requiring SIM card registration for mobile users. Corporate actors should likewise consider their own policies that restrict encryption and anonymity (including through the use of pseudonyms). Court-ordered decryption, subject to domestic and international law, may only be permissible when it results from transparent and publicly accessible laws applied solely on a targeted, case-by-case basis to individuals ... and subject to judicial warrant and the protection of due process rights of individuals.”</w:t>
      </w:r>
    </w:p>
    <w:p w:rsidRPr="002C4EF9" w:rsidR="002C4EF9" w:rsidP="002C4EF9" w14:paraId="2986A03D" w14:textId="60956FA5">
      <w:pPr>
        <w:pStyle w:val="JuPara"/>
      </w:pPr>
      <w:r>
        <w:fldChar w:fldCharType="begin"/>
      </w:r>
      <w:r>
        <w:instrText xml:space="preserve"> SEQ level0 \*arabic \* MERGEFORMAT </w:instrText>
      </w:r>
      <w:r>
        <w:fldChar w:fldCharType="separate"/>
      </w:r>
      <w:r w:rsidRPr="002C4EF9">
        <w:rPr>
          <w:noProof/>
        </w:rPr>
        <w:t>47</w:t>
      </w:r>
      <w:r w:rsidRPr="002C4EF9">
        <w:rPr>
          <w:noProof/>
        </w:rPr>
        <w:fldChar w:fldCharType="end"/>
      </w:r>
      <w:r w:rsidRPr="002C4EF9">
        <w:t>.  The UN Human Rights Council’s Special Rapporteur on the promotion and protection of the right to freedom of opinion and expression stated the following in his report of 11 May 2016 to the Human Rights Council (A/HRC/32/38):</w:t>
      </w:r>
    </w:p>
    <w:p w:rsidRPr="002C4EF9" w:rsidR="002C4EF9" w:rsidP="002C4EF9" w14:paraId="2CBE0F3D" w14:textId="77777777">
      <w:pPr>
        <w:pStyle w:val="JuQuot"/>
        <w:rPr>
          <w:strike/>
        </w:rPr>
      </w:pPr>
      <w:r w:rsidRPr="002C4EF9">
        <w:t>“85.  States bear a primary responsibility to protect and respect the right to exercise freedom of opinion and expression. In the information and communication technology context, this means that States must not require or otherwise pressure the private sector to take steps that unnecessarily or disproportionately interfere with freedom of expression, whether through laws, policies, or extra-legal means. Any demands, requests and other measures to take down digital content or access customer information must be based on validly enacted law, subject to external and independent oversight, and demonstrate a necessary and proportionate means of achieving one or more aims under article 19 (3) of the International Covenant on Civil and Political Rights. ...”</w:t>
      </w:r>
    </w:p>
    <w:p w:rsidRPr="002C4EF9" w:rsidR="002C4EF9" w:rsidP="002C4EF9" w14:paraId="125B7127" w14:textId="050FB6A7">
      <w:pPr>
        <w:pStyle w:val="JuPara"/>
      </w:pPr>
      <w:r>
        <w:fldChar w:fldCharType="begin"/>
      </w:r>
      <w:r>
        <w:instrText xml:space="preserve"> SEQ level0 \*arabic \* MERGEFORMAT </w:instrText>
      </w:r>
      <w:r>
        <w:fldChar w:fldCharType="separate"/>
      </w:r>
      <w:bookmarkStart w:name="paragraph00048" w:id="30"/>
      <w:r w:rsidRPr="002C4EF9">
        <w:rPr>
          <w:noProof/>
        </w:rPr>
        <w:t>48</w:t>
      </w:r>
      <w:bookmarkEnd w:id="30"/>
      <w:r>
        <w:fldChar w:fldCharType="end"/>
      </w:r>
      <w:r w:rsidRPr="002C4EF9">
        <w:t>.  The UN Human Rights Council’s Special Rapporteur on the promotion and protection of the right to freedom of opinion and expression stated the following in his report of 30 March 2017 to the Human Rights Council (A/HRC/35/22):</w:t>
      </w:r>
    </w:p>
    <w:p w:rsidRPr="002C4EF9" w:rsidR="002C4EF9" w:rsidP="002C4EF9" w14:paraId="59109E69" w14:textId="77777777">
      <w:pPr>
        <w:pStyle w:val="JuQuot"/>
      </w:pPr>
      <w:r w:rsidRPr="002C4EF9">
        <w:t>“78.  It is also critical for the Council and States to draw the connections between privacy interference and freedom of expression. ... But certain interferences – such as overbroad requests for user data and third-party retention of such data – can have both near- and long-term deterrent effects on expression, and should be avoided as a matter of law and policy. At a minimum, States should ensure that surveillance is authorized by an independent, impartial and competent judicial authority certifying that the request is necessary and proportionate to protect a legitimate aim.”</w:t>
      </w:r>
    </w:p>
    <w:p w:rsidRPr="002C4EF9" w:rsidR="002C4EF9" w:rsidP="002C4EF9" w14:paraId="6D9A19A7" w14:textId="77777777">
      <w:pPr>
        <w:pStyle w:val="JuHHead"/>
        <w:numPr>
          <w:ilvl w:val="0"/>
          <w:numId w:val="0"/>
        </w:numPr>
      </w:pPr>
      <w:r w:rsidRPr="002C4EF9">
        <w:t>THE LAW</w:t>
      </w:r>
    </w:p>
    <w:p w:rsidRPr="002C4EF9" w:rsidR="002C4EF9" w:rsidP="002C4EF9" w14:paraId="4BD71101" w14:textId="77777777">
      <w:pPr>
        <w:pStyle w:val="JuHIRoman"/>
        <w:numPr>
          <w:ilvl w:val="1"/>
          <w:numId w:val="3"/>
        </w:numPr>
      </w:pPr>
      <w:r w:rsidRPr="002C4EF9">
        <w:t>ALLEGED VIOLATION OF ARTICLE 10 OF THE CONVENTION</w:t>
      </w:r>
    </w:p>
    <w:p w:rsidRPr="002C4EF9" w:rsidR="002C4EF9" w:rsidP="002C4EF9" w14:paraId="14B43E97" w14:textId="76BDF2F4">
      <w:pPr>
        <w:pStyle w:val="JuPara"/>
      </w:pPr>
      <w:r w:rsidRPr="002C4EF9">
        <w:fldChar w:fldCharType="begin"/>
      </w:r>
      <w:r w:rsidRPr="002C4EF9">
        <w:instrText xml:space="preserve"> SEQ level0 \*arabic </w:instrText>
      </w:r>
      <w:r w:rsidRPr="002C4EF9">
        <w:fldChar w:fldCharType="separate"/>
      </w:r>
      <w:r w:rsidRPr="002C4EF9">
        <w:rPr>
          <w:noProof/>
        </w:rPr>
        <w:t>49</w:t>
      </w:r>
      <w:r w:rsidRPr="002C4EF9">
        <w:fldChar w:fldCharType="end"/>
      </w:r>
      <w:r w:rsidRPr="002C4EF9">
        <w:t>.  The applicant company complained that being ordered to disclose the data of users who had posted comments on its Internet news portal had infringed its freedom of expression, as provided by Article 10 of the Convention, which reads as follows:</w:t>
      </w:r>
    </w:p>
    <w:p w:rsidRPr="002C4EF9" w:rsidR="002C4EF9" w:rsidP="002C4EF9" w14:paraId="61D1D78F" w14:textId="77777777">
      <w:pPr>
        <w:pStyle w:val="JuQuot"/>
      </w:pPr>
      <w:r w:rsidRPr="002C4EF9">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2C4EF9" w:rsidR="002C4EF9" w:rsidP="002C4EF9" w14:paraId="4A476556" w14:textId="77777777">
      <w:pPr>
        <w:pStyle w:val="JuQuot"/>
      </w:pPr>
      <w:r w:rsidRPr="002C4EF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C4EF9" w:rsidR="002C4EF9" w:rsidP="002C4EF9" w14:paraId="30076CA9" w14:textId="77777777">
      <w:pPr>
        <w:pStyle w:val="JuHA"/>
        <w:numPr>
          <w:ilvl w:val="2"/>
          <w:numId w:val="1"/>
        </w:numPr>
        <w:ind w:left="1224" w:hanging="504"/>
      </w:pPr>
      <w:r w:rsidRPr="002C4EF9">
        <w:t>Admissibility</w:t>
      </w:r>
    </w:p>
    <w:p w:rsidRPr="002C4EF9" w:rsidR="002C4EF9" w:rsidP="002C4EF9" w14:paraId="27E04FC2" w14:textId="250FAB95">
      <w:pPr>
        <w:pStyle w:val="JuPara"/>
      </w:pPr>
      <w:r w:rsidRPr="002C4EF9">
        <w:fldChar w:fldCharType="begin"/>
      </w:r>
      <w:r w:rsidRPr="002C4EF9">
        <w:instrText xml:space="preserve"> SEQ level0 \*arabic </w:instrText>
      </w:r>
      <w:r w:rsidRPr="002C4EF9">
        <w:fldChar w:fldCharType="separate"/>
      </w:r>
      <w:r w:rsidRPr="002C4EF9">
        <w:rPr>
          <w:noProof/>
        </w:rPr>
        <w:t>50</w:t>
      </w:r>
      <w:r w:rsidRPr="002C4EF9">
        <w:fldChar w:fldCharType="end"/>
      </w:r>
      <w:r w:rsidRPr="002C4EF9">
        <w:t>.  The Government argued that the application should be rejected for being manifestly ill-founded, pursuant to Article 35 § 3 (a) and § 4 of the Convention.</w:t>
      </w:r>
    </w:p>
    <w:p w:rsidRPr="002C4EF9" w:rsidR="002C4EF9" w:rsidP="002C4EF9" w14:paraId="6360A070" w14:textId="3BD3EC43">
      <w:pPr>
        <w:pStyle w:val="JuPara"/>
      </w:pPr>
      <w:r w:rsidRPr="002C4EF9">
        <w:fldChar w:fldCharType="begin"/>
      </w:r>
      <w:r w:rsidRPr="002C4EF9">
        <w:instrText xml:space="preserve"> SEQ level0 \*arabic </w:instrText>
      </w:r>
      <w:r w:rsidRPr="002C4EF9">
        <w:fldChar w:fldCharType="separate"/>
      </w:r>
      <w:r w:rsidRPr="002C4EF9">
        <w:rPr>
          <w:noProof/>
        </w:rPr>
        <w:t>51</w:t>
      </w:r>
      <w:r w:rsidRPr="002C4EF9">
        <w:fldChar w:fldCharType="end"/>
      </w:r>
      <w:r w:rsidRPr="002C4EF9">
        <w:t>.  The applicant company submitted that the application was admissible.</w:t>
      </w:r>
    </w:p>
    <w:p w:rsidRPr="002C4EF9" w:rsidR="002C4EF9" w:rsidP="002C4EF9" w14:paraId="0CF7D629" w14:textId="0295E1F3">
      <w:pPr>
        <w:pStyle w:val="JuPara"/>
      </w:pPr>
      <w:r w:rsidRPr="002C4EF9">
        <w:fldChar w:fldCharType="begin"/>
      </w:r>
      <w:r w:rsidRPr="002C4EF9">
        <w:instrText xml:space="preserve"> SEQ level0 \*arabic </w:instrText>
      </w:r>
      <w:r w:rsidRPr="002C4EF9">
        <w:fldChar w:fldCharType="separate"/>
      </w:r>
      <w:r w:rsidRPr="002C4EF9">
        <w:rPr>
          <w:noProof/>
        </w:rPr>
        <w:t>52</w:t>
      </w:r>
      <w:r w:rsidRPr="002C4EF9">
        <w:fldChar w:fldCharType="end"/>
      </w:r>
      <w:r w:rsidRPr="002C4EF9">
        <w:t>.  The Court considers, in the light of the parties’ submissions, that the complaint raises serious issues of fact and law under the Convention, the determination of which requires an examination on the merits. The Court therefore concludes that this complaint is not manifestly ill-founded within the meaning of Article 35 § 3 of the Convention and that the Government’s objection must be dismissed. It also notes that the application is not inadmissible on any other grounds listed in Article 35 of the Convention. It must therefore be declared admissible.</w:t>
      </w:r>
    </w:p>
    <w:p w:rsidRPr="002C4EF9" w:rsidR="002C4EF9" w:rsidP="002C4EF9" w14:paraId="1ADFA4D6" w14:textId="77777777">
      <w:pPr>
        <w:pStyle w:val="JuHA"/>
        <w:numPr>
          <w:ilvl w:val="2"/>
          <w:numId w:val="1"/>
        </w:numPr>
        <w:ind w:left="1224" w:hanging="504"/>
      </w:pPr>
      <w:r w:rsidRPr="002C4EF9">
        <w:t>Merits</w:t>
      </w:r>
    </w:p>
    <w:p w:rsidRPr="002C4EF9" w:rsidR="002C4EF9" w:rsidP="002C4EF9" w14:paraId="10C3533A" w14:textId="53117BAF">
      <w:pPr>
        <w:pStyle w:val="JuH1"/>
        <w:numPr>
          <w:ilvl w:val="3"/>
          <w:numId w:val="3"/>
        </w:numPr>
        <w:tabs>
          <w:tab w:val="num" w:pos="360"/>
        </w:tabs>
      </w:pPr>
      <w:r w:rsidRPr="002C4EF9">
        <w:t>The parties’ submissions</w:t>
      </w:r>
    </w:p>
    <w:p w:rsidRPr="002C4EF9" w:rsidR="002C4EF9" w:rsidP="002C4EF9" w14:paraId="305C955D" w14:textId="77777777">
      <w:pPr>
        <w:pStyle w:val="JuHa0"/>
      </w:pPr>
      <w:r w:rsidRPr="002C4EF9">
        <w:t>The applicant company</w:t>
      </w:r>
    </w:p>
    <w:bookmarkStart w:name="paragraph48" w:id="31"/>
    <w:p w:rsidRPr="002C4EF9" w:rsidR="002C4EF9" w:rsidP="002C4EF9" w14:paraId="6ADADA96" w14:textId="2D5DEF03">
      <w:pPr>
        <w:pStyle w:val="JuPara"/>
      </w:pPr>
      <w:r w:rsidRPr="002C4EF9">
        <w:fldChar w:fldCharType="begin"/>
      </w:r>
      <w:r w:rsidRPr="002C4EF9">
        <w:instrText xml:space="preserve"> SEQ level0 \*arabic </w:instrText>
      </w:r>
      <w:r w:rsidRPr="002C4EF9">
        <w:fldChar w:fldCharType="separate"/>
      </w:r>
      <w:r w:rsidRPr="002C4EF9">
        <w:rPr>
          <w:noProof/>
        </w:rPr>
        <w:t>53</w:t>
      </w:r>
      <w:r w:rsidRPr="002C4EF9">
        <w:fldChar w:fldCharType="end"/>
      </w:r>
      <w:bookmarkEnd w:id="31"/>
      <w:r w:rsidRPr="002C4EF9">
        <w:t xml:space="preserve">.  The applicant company argued that the user data in question constituted journalistic sources. They were thus protected by editorial confidentiality in the same way as were data of authors of readers’ letters published in a newspaper. Furthermore it complained that the domestic courts had characterised the user comments as potentially defamatory under Article 1330 of the Civil Code (see paragraph </w:t>
      </w:r>
      <w:r w:rsidRPr="002C4EF9">
        <w:fldChar w:fldCharType="begin"/>
      </w:r>
      <w:r w:rsidRPr="002C4EF9">
        <w:instrText xml:space="preserve"> REF paragraph34 \h  \* MERGEFORMAT </w:instrText>
      </w:r>
      <w:r w:rsidRPr="002C4EF9">
        <w:fldChar w:fldCharType="separate"/>
      </w:r>
      <w:r w:rsidRPr="002C4EF9">
        <w:t>34</w:t>
      </w:r>
      <w:r w:rsidRPr="002C4EF9">
        <w:fldChar w:fldCharType="end"/>
      </w:r>
      <w:r w:rsidRPr="002C4EF9">
        <w:t xml:space="preserve"> above), arguing that, on the contrary, they in fact constituted permissible value judgments.</w:t>
      </w:r>
    </w:p>
    <w:p w:rsidRPr="002C4EF9" w:rsidR="002C4EF9" w:rsidP="002C4EF9" w14:paraId="6900A978" w14:textId="2EC0C597">
      <w:pPr>
        <w:pStyle w:val="JuPara"/>
      </w:pPr>
      <w:r w:rsidRPr="002C4EF9">
        <w:fldChar w:fldCharType="begin"/>
      </w:r>
      <w:r w:rsidRPr="002C4EF9">
        <w:instrText xml:space="preserve"> SEQ level0 \*arabic </w:instrText>
      </w:r>
      <w:r w:rsidRPr="002C4EF9">
        <w:fldChar w:fldCharType="separate"/>
      </w:r>
      <w:r w:rsidRPr="002C4EF9">
        <w:rPr>
          <w:noProof/>
        </w:rPr>
        <w:t>54</w:t>
      </w:r>
      <w:r w:rsidRPr="002C4EF9">
        <w:fldChar w:fldCharType="end"/>
      </w:r>
      <w:r w:rsidRPr="002C4EF9">
        <w:t>.  Authors of posts in online discussion forums, just as authors of readers’ letters, had to be able to rely on their protection by media owners, as ensured by editorial confidentiality. Otherwise, they could be deterred from assisting the press in informing the public about matters of general interest. At the very least, users would adjust their behaviour by limiting their exercise of the right to open discussion in a way that would be at odds with the kind of free culture of discussion protected by Article 10. The applicant company’s media operations had earned an excellent reputation for offering critical and reflective media coverage. That reputation would without a doubt be negatively affected by an absence of statements on its platform caused by a “chilling effect”.</w:t>
      </w:r>
    </w:p>
    <w:p w:rsidRPr="002C4EF9" w:rsidR="002C4EF9" w:rsidP="002C4EF9" w14:paraId="59725FE5" w14:textId="0E408CA7">
      <w:pPr>
        <w:pStyle w:val="JuPara"/>
      </w:pPr>
      <w:r w:rsidRPr="002C4EF9">
        <w:fldChar w:fldCharType="begin"/>
      </w:r>
      <w:r w:rsidRPr="002C4EF9">
        <w:instrText xml:space="preserve"> SEQ level0 \*arabic </w:instrText>
      </w:r>
      <w:r w:rsidRPr="002C4EF9">
        <w:fldChar w:fldCharType="separate"/>
      </w:r>
      <w:r w:rsidRPr="002C4EF9">
        <w:rPr>
          <w:noProof/>
        </w:rPr>
        <w:t>55</w:t>
      </w:r>
      <w:r w:rsidRPr="002C4EF9">
        <w:fldChar w:fldCharType="end"/>
      </w:r>
      <w:r w:rsidRPr="002C4EF9">
        <w:t>.  Owing to the difficult legal situation, operators of online discussion forums might limit or even shut down those forums for good. Thus, not only the author of the comment, but also the applicant company and the public had a legitimate interest in protecting the identity of people who posted such comments.</w:t>
      </w:r>
    </w:p>
    <w:bookmarkStart w:name="paragraph51" w:id="32"/>
    <w:p w:rsidRPr="002C4EF9" w:rsidR="002C4EF9" w:rsidP="002C4EF9" w14:paraId="13D5C556" w14:textId="3CAAA092">
      <w:pPr>
        <w:pStyle w:val="JuPara"/>
      </w:pPr>
      <w:r w:rsidRPr="002C4EF9">
        <w:fldChar w:fldCharType="begin"/>
      </w:r>
      <w:r w:rsidRPr="002C4EF9">
        <w:instrText xml:space="preserve"> SEQ level0 \*arabic </w:instrText>
      </w:r>
      <w:r w:rsidRPr="002C4EF9">
        <w:fldChar w:fldCharType="separate"/>
      </w:r>
      <w:r w:rsidRPr="002C4EF9">
        <w:rPr>
          <w:noProof/>
        </w:rPr>
        <w:t>56</w:t>
      </w:r>
      <w:r w:rsidRPr="002C4EF9">
        <w:fldChar w:fldCharType="end"/>
      </w:r>
      <w:bookmarkEnd w:id="32"/>
      <w:r w:rsidRPr="002C4EF9">
        <w:t>.  The domestic courts had forced the applicant company into the “corset” of a host with regard to user comments, without taking into consideration its obligation as a media company to exercise due diligence when disclosing sensitive data. The Supreme Court’s view notwithstanding,</w:t>
      </w:r>
      <w:r w:rsidRPr="002C4EF9">
        <w:t xml:space="preserve"> </w:t>
      </w:r>
      <w:r w:rsidRPr="002C4EF9">
        <w:t xml:space="preserve">the forum operated by the applicant company had been developed through significant investment and deployment of personnel, and had to be considered as one where some kind of action or review would be undertaken by specially trained employees (see paragraph </w:t>
      </w:r>
      <w:r w:rsidRPr="002C4EF9">
        <w:fldChar w:fldCharType="begin"/>
      </w:r>
      <w:r w:rsidRPr="002C4EF9">
        <w:instrText xml:space="preserve"> REF paragraph25 \h </w:instrText>
      </w:r>
      <w:r w:rsidRPr="002C4EF9">
        <w:fldChar w:fldCharType="separate"/>
      </w:r>
      <w:r w:rsidRPr="002C4EF9">
        <w:rPr>
          <w:noProof/>
        </w:rPr>
        <w:t>25</w:t>
      </w:r>
      <w:r w:rsidRPr="002C4EF9">
        <w:fldChar w:fldCharType="end"/>
      </w:r>
      <w:r w:rsidRPr="002C4EF9">
        <w:t xml:space="preserve"> above), and where the right to editorial confidentiality was therefore legitimate.</w:t>
      </w:r>
    </w:p>
    <w:p w:rsidRPr="002C4EF9" w:rsidR="002C4EF9" w:rsidP="002C4EF9" w14:paraId="0B00325C" w14:textId="1A34D802">
      <w:pPr>
        <w:pStyle w:val="JuPara"/>
      </w:pPr>
      <w:r w:rsidRPr="002C4EF9">
        <w:fldChar w:fldCharType="begin"/>
      </w:r>
      <w:r w:rsidRPr="002C4EF9">
        <w:instrText xml:space="preserve"> SEQ level0 \*arabic </w:instrText>
      </w:r>
      <w:r w:rsidRPr="002C4EF9">
        <w:fldChar w:fldCharType="separate"/>
      </w:r>
      <w:r w:rsidRPr="002C4EF9">
        <w:rPr>
          <w:noProof/>
        </w:rPr>
        <w:t>57</w:t>
      </w:r>
      <w:r w:rsidRPr="002C4EF9">
        <w:fldChar w:fldCharType="end"/>
      </w:r>
      <w:r w:rsidRPr="002C4EF9">
        <w:t>.  Lastly, the Supreme Court had not considered the particular circumstances of users’ comments, such as whether the person affected by the post in question was a public figure or whether a comment had been posted in the course of a political discussion. It had not carried out an appropriate balancing test as required by the Court’s case-law.</w:t>
      </w:r>
    </w:p>
    <w:p w:rsidRPr="002C4EF9" w:rsidR="002C4EF9" w:rsidP="002C4EF9" w14:paraId="2198BD27" w14:textId="77777777">
      <w:pPr>
        <w:pStyle w:val="JuHa0"/>
      </w:pPr>
      <w:r w:rsidRPr="002C4EF9">
        <w:t>The Government</w:t>
      </w:r>
    </w:p>
    <w:p w:rsidRPr="002C4EF9" w:rsidR="002C4EF9" w:rsidP="002C4EF9" w14:paraId="7B9D50D0" w14:textId="14FD1612">
      <w:pPr>
        <w:pStyle w:val="JuPara"/>
      </w:pPr>
      <w:r w:rsidRPr="002C4EF9">
        <w:fldChar w:fldCharType="begin"/>
      </w:r>
      <w:r w:rsidRPr="002C4EF9">
        <w:instrText xml:space="preserve"> SEQ level0 \*arabic </w:instrText>
      </w:r>
      <w:r w:rsidRPr="002C4EF9">
        <w:fldChar w:fldCharType="separate"/>
      </w:r>
      <w:bookmarkStart w:name="paragraph53" w:id="33"/>
      <w:r w:rsidRPr="002C4EF9">
        <w:rPr>
          <w:noProof/>
        </w:rPr>
        <w:t>58</w:t>
      </w:r>
      <w:bookmarkEnd w:id="33"/>
      <w:r w:rsidRPr="002C4EF9">
        <w:fldChar w:fldCharType="end"/>
      </w:r>
      <w:r w:rsidRPr="002C4EF9">
        <w:t xml:space="preserve">.  The Government stated that in the absence of a sufficient connection between the publication of the comments and the applicant company’s journalistic activities, the applicant company could not in the present case invoke its right to editorial confidentiality. The fact that a host filtered comments through software on the basis of keywords and subsequently manually reviewed those comments did not mean that the host’s activities were journalistic in nature, and nor did the fact that a review was conducted after the publication of such comments. The applicant company’s role as a host offering a discussion forum on its website differed from its role as a publisher of articles. As a publisher, the applicant company had to take full responsibility for its articles. As a host, on the other hand, it enjoyed the exemption from liability enshrined in section 16 of the E-Commerce Act (see paragraph </w:t>
      </w:r>
      <w:r w:rsidRPr="002C4EF9">
        <w:fldChar w:fldCharType="begin"/>
      </w:r>
      <w:r w:rsidRPr="002C4EF9">
        <w:instrText xml:space="preserve"> REF paragraph36 \h </w:instrText>
      </w:r>
      <w:r w:rsidRPr="002C4EF9">
        <w:fldChar w:fldCharType="separate"/>
      </w:r>
      <w:r w:rsidRPr="002C4EF9">
        <w:rPr>
          <w:noProof/>
        </w:rPr>
        <w:t>36</w:t>
      </w:r>
      <w:r w:rsidRPr="002C4EF9">
        <w:fldChar w:fldCharType="end"/>
      </w:r>
      <w:r w:rsidRPr="002C4EF9">
        <w:t xml:space="preserve"> above). To counterbalance that privilege, the applicant company, as a host, had a duty to disclose certain data to persons who made credible an overriding legal interest. The aim of that duty was to enable persons whose rights had been violated (as a result of unlawful activity or information originating from a user unknown to them) to prosecute the offender. The applicant company could not at the same time invoke both the exemption of liability granted to hosts and the safeguards afforded to publishers with regard to their sources.</w:t>
      </w:r>
    </w:p>
    <w:bookmarkStart w:name="paragraph54" w:id="34"/>
    <w:p w:rsidRPr="002C4EF9" w:rsidR="002C4EF9" w:rsidP="002C4EF9" w14:paraId="5D323EFC" w14:textId="23FDCAF7">
      <w:pPr>
        <w:pStyle w:val="JuPara"/>
      </w:pPr>
      <w:r w:rsidRPr="002C4EF9">
        <w:fldChar w:fldCharType="begin"/>
      </w:r>
      <w:r w:rsidRPr="002C4EF9">
        <w:instrText xml:space="preserve"> SEQ level0 \*arabic </w:instrText>
      </w:r>
      <w:r w:rsidRPr="002C4EF9">
        <w:fldChar w:fldCharType="separate"/>
      </w:r>
      <w:r w:rsidRPr="002C4EF9">
        <w:rPr>
          <w:noProof/>
        </w:rPr>
        <w:t>59</w:t>
      </w:r>
      <w:r w:rsidRPr="002C4EF9">
        <w:fldChar w:fldCharType="end"/>
      </w:r>
      <w:bookmarkEnd w:id="34"/>
      <w:r w:rsidRPr="002C4EF9">
        <w:t>.  Moreover, the Supreme Court’s decision had not restricted the applicant company’s right to receive and impart information. The Supreme Court had not required the applicant company to delete the comments nor to pay compensation, and nor had it taken a final decision on the lawfulness of those comments.</w:t>
      </w:r>
    </w:p>
    <w:bookmarkStart w:name="paragraph55" w:id="35"/>
    <w:p w:rsidRPr="002C4EF9" w:rsidR="002C4EF9" w:rsidP="002C4EF9" w14:paraId="6BA73A76" w14:textId="33C23748">
      <w:pPr>
        <w:pStyle w:val="JuPara"/>
      </w:pPr>
      <w:r w:rsidRPr="002C4EF9">
        <w:fldChar w:fldCharType="begin"/>
      </w:r>
      <w:r w:rsidRPr="002C4EF9">
        <w:instrText xml:space="preserve"> SEQ level0 \*arabic </w:instrText>
      </w:r>
      <w:r w:rsidRPr="002C4EF9">
        <w:fldChar w:fldCharType="separate"/>
      </w:r>
      <w:r w:rsidRPr="002C4EF9">
        <w:rPr>
          <w:noProof/>
        </w:rPr>
        <w:t>60</w:t>
      </w:r>
      <w:r w:rsidRPr="002C4EF9">
        <w:fldChar w:fldCharType="end"/>
      </w:r>
      <w:bookmarkEnd w:id="35"/>
      <w:r w:rsidRPr="002C4EF9">
        <w:t>.  Even assuming that there had been an interference with the applicant company’s rights under Article 10, that interference had been prescribed by law and had been proportionate. The legal framework applied by the Supreme Court had struck a fair balance between opposing points of view and interests in respect of the question of fundamental rights and had fallen within the wide margin of appreciation afforded by the Court in this field. As a positive obligation under Article 8 of the Convention, the State had to provide instruments enabling an individual to effectively combat defamation and personal violations by other private persons.</w:t>
      </w:r>
    </w:p>
    <w:bookmarkStart w:name="paragraph56" w:id="36"/>
    <w:p w:rsidRPr="002C4EF9" w:rsidR="002C4EF9" w:rsidP="002C4EF9" w14:paraId="097AB6CF" w14:textId="1BDB859B">
      <w:pPr>
        <w:pStyle w:val="JuPara"/>
      </w:pPr>
      <w:r w:rsidRPr="002C4EF9">
        <w:fldChar w:fldCharType="begin"/>
      </w:r>
      <w:r w:rsidRPr="002C4EF9">
        <w:instrText xml:space="preserve"> SEQ level0 \*arabic </w:instrText>
      </w:r>
      <w:r w:rsidRPr="002C4EF9">
        <w:fldChar w:fldCharType="separate"/>
      </w:r>
      <w:r w:rsidRPr="002C4EF9">
        <w:rPr>
          <w:noProof/>
        </w:rPr>
        <w:t>61</w:t>
      </w:r>
      <w:r w:rsidRPr="002C4EF9">
        <w:fldChar w:fldCharType="end"/>
      </w:r>
      <w:bookmarkEnd w:id="36"/>
      <w:r w:rsidRPr="002C4EF9">
        <w:t>.  Experience had shown that users’ anonymity on the Internet was often abused to defame individuals or to disseminate hatred. Such behaviour did not contribute to a meaningful public debate. It was rather a hindrance to it. Users’ anonymity contributed considerably to an “online disinhibition effect” which could deter other users who valued respectful communication. It had to be ensured that the legitimate interest in anonymity did not eventually reduce the pluralism of opinions and thus restrict freedom of expression.</w:t>
      </w:r>
    </w:p>
    <w:p w:rsidRPr="002C4EF9" w:rsidR="002C4EF9" w:rsidP="002C4EF9" w14:paraId="43C3D314" w14:textId="77777777">
      <w:pPr>
        <w:pStyle w:val="JuH1"/>
      </w:pPr>
      <w:r w:rsidRPr="002C4EF9">
        <w:t>Third-party intervener</w:t>
      </w:r>
    </w:p>
    <w:p w:rsidRPr="002C4EF9" w:rsidR="002C4EF9" w:rsidP="002C4EF9" w14:paraId="4A8582BA" w14:textId="7C258652">
      <w:pPr>
        <w:pStyle w:val="JuPara"/>
      </w:pPr>
      <w:r w:rsidRPr="002C4EF9">
        <w:fldChar w:fldCharType="begin"/>
      </w:r>
      <w:r w:rsidRPr="002C4EF9">
        <w:instrText xml:space="preserve"> SEQ level0 \*arabic </w:instrText>
      </w:r>
      <w:r w:rsidRPr="002C4EF9">
        <w:fldChar w:fldCharType="separate"/>
      </w:r>
      <w:r w:rsidRPr="002C4EF9">
        <w:rPr>
          <w:noProof/>
        </w:rPr>
        <w:t>62</w:t>
      </w:r>
      <w:r w:rsidRPr="002C4EF9">
        <w:fldChar w:fldCharType="end"/>
      </w:r>
      <w:r w:rsidRPr="002C4EF9">
        <w:t>.  The Media Legal Defence Initiative (a non-governmental organisation, based in the United Kingdom, that provides legal support to journalists, bloggers and independent media) submitted that anonymity was of crucial importance to the right to freedom of expression online as people’s willingness to engage in debate on controversial subjects in the public sphere had always been linked to the possibility of doing so anonymously. The disclosure of journalistic sources and surveillance could have negative consequences for the right to freedom of expression, given a breach of the right to confidentiality of an individual in respect of his or her communications. The same applied to cases concerning the disclosure of anonymous user data.</w:t>
      </w:r>
    </w:p>
    <w:p w:rsidRPr="002C4EF9" w:rsidR="002C4EF9" w:rsidP="002C4EF9" w14:paraId="7EF4F8F3" w14:textId="5A88A96F">
      <w:pPr>
        <w:pStyle w:val="JuH1"/>
      </w:pPr>
      <w:r w:rsidRPr="002C4EF9">
        <w:t>The Court’s assessment</w:t>
      </w:r>
    </w:p>
    <w:p w:rsidRPr="002C4EF9" w:rsidR="002C4EF9" w:rsidP="002C4EF9" w14:paraId="16FF8B40" w14:textId="77777777">
      <w:pPr>
        <w:pStyle w:val="JuHa0"/>
      </w:pPr>
      <w:r w:rsidRPr="002C4EF9">
        <w:t>Existence of an interference</w:t>
      </w:r>
    </w:p>
    <w:p w:rsidRPr="002C4EF9" w:rsidR="002C4EF9" w:rsidP="002C4EF9" w14:paraId="648DCB39" w14:textId="6991D380">
      <w:pPr>
        <w:pStyle w:val="JuPara"/>
      </w:pPr>
      <w:r w:rsidRPr="002C4EF9">
        <w:fldChar w:fldCharType="begin"/>
      </w:r>
      <w:r w:rsidRPr="002C4EF9">
        <w:instrText xml:space="preserve"> SEQ level0 \*arabic </w:instrText>
      </w:r>
      <w:r w:rsidRPr="002C4EF9">
        <w:fldChar w:fldCharType="separate"/>
      </w:r>
      <w:r w:rsidRPr="002C4EF9">
        <w:rPr>
          <w:noProof/>
        </w:rPr>
        <w:t>63</w:t>
      </w:r>
      <w:r w:rsidRPr="002C4EF9">
        <w:fldChar w:fldCharType="end"/>
      </w:r>
      <w:r w:rsidRPr="002C4EF9">
        <w:t xml:space="preserve">.  The Government disputed that the applicant company’s right to enjoy freedom of the press, as guaranteed under Article 10 of the Convention, had been interfered with by the domestic courts’ decisions (see paragraphs </w:t>
      </w:r>
      <w:r w:rsidRPr="002C4EF9">
        <w:fldChar w:fldCharType="begin"/>
      </w:r>
      <w:r w:rsidRPr="002C4EF9">
        <w:instrText xml:space="preserve"> REF paragraph53 \h  \* MERGEFORMAT </w:instrText>
      </w:r>
      <w:r w:rsidRPr="002C4EF9">
        <w:fldChar w:fldCharType="separate"/>
      </w:r>
      <w:r w:rsidRPr="002C4EF9">
        <w:t>58</w:t>
      </w:r>
      <w:r w:rsidRPr="002C4EF9">
        <w:fldChar w:fldCharType="end"/>
      </w:r>
      <w:r w:rsidRPr="002C4EF9">
        <w:noBreakHyphen/>
      </w:r>
      <w:r w:rsidRPr="002C4EF9">
        <w:fldChar w:fldCharType="begin"/>
      </w:r>
      <w:r w:rsidRPr="002C4EF9">
        <w:instrText xml:space="preserve"> REF paragraph54 \h  \* MERGEFORMAT </w:instrText>
      </w:r>
      <w:r w:rsidRPr="002C4EF9">
        <w:fldChar w:fldCharType="separate"/>
      </w:r>
      <w:r w:rsidRPr="002C4EF9">
        <w:t>59</w:t>
      </w:r>
      <w:r w:rsidRPr="002C4EF9">
        <w:fldChar w:fldCharType="end"/>
      </w:r>
      <w:r w:rsidRPr="002C4EF9">
        <w:t xml:space="preserve"> above). The Court will first examine whether there was in fact such an interference – either in the light of the need to protect journalistic sources or on other grounds.</w:t>
      </w:r>
    </w:p>
    <w:p w:rsidRPr="002C4EF9" w:rsidR="002C4EF9" w:rsidP="002C4EF9" w14:paraId="2EBA33A8" w14:textId="77777777">
      <w:pPr>
        <w:pStyle w:val="JuHi"/>
        <w:spacing w:line="240" w:lineRule="auto"/>
      </w:pPr>
      <w:r w:rsidRPr="002C4EF9">
        <w:t>General principles</w:t>
      </w:r>
    </w:p>
    <w:p w:rsidRPr="002C4EF9" w:rsidR="002C4EF9" w:rsidP="002C4EF9" w14:paraId="385C87BA" w14:textId="35B5CEC7">
      <w:pPr>
        <w:pStyle w:val="JuPara"/>
      </w:pPr>
      <w:r w:rsidRPr="002C4EF9">
        <w:rPr>
          <w:lang w:bidi="en-US"/>
        </w:rPr>
        <w:fldChar w:fldCharType="begin"/>
      </w:r>
      <w:r w:rsidRPr="002C4EF9">
        <w:rPr>
          <w:lang w:bidi="en-US"/>
        </w:rPr>
        <w:instrText xml:space="preserve"> SEQ level0 \*arabic </w:instrText>
      </w:r>
      <w:r w:rsidRPr="002C4EF9">
        <w:rPr>
          <w:lang w:bidi="en-US"/>
        </w:rPr>
        <w:fldChar w:fldCharType="separate"/>
      </w:r>
      <w:r w:rsidRPr="002C4EF9">
        <w:rPr>
          <w:noProof/>
          <w:lang w:bidi="en-US"/>
        </w:rPr>
        <w:t>64</w:t>
      </w:r>
      <w:r w:rsidRPr="002C4EF9">
        <w:rPr>
          <w:lang w:bidi="en-US"/>
        </w:rPr>
        <w:fldChar w:fldCharType="end"/>
      </w:r>
      <w:r w:rsidRPr="002C4EF9">
        <w:rPr>
          <w:lang w:bidi="en-US"/>
        </w:rPr>
        <w:t xml:space="preserve">.  The fundamental principles concerning freedom of expression and the protection of journalistic sources are well established in the Court’s case-law (see </w:t>
      </w:r>
      <w:r w:rsidRPr="002C4EF9">
        <w:rPr>
          <w:i/>
        </w:rPr>
        <w:t>Sanoma Uitgevers B.V. v. the Netherlands</w:t>
      </w:r>
      <w:r w:rsidRPr="002C4EF9">
        <w:t xml:space="preserve"> [GC], no. 38224/03, §§ 50 and 51, 14 September 2010, and</w:t>
      </w:r>
      <w:r w:rsidRPr="002C4EF9">
        <w:rPr>
          <w:lang w:bidi="en-US"/>
        </w:rPr>
        <w:t xml:space="preserve"> </w:t>
      </w:r>
      <w:r w:rsidRPr="002C4EF9">
        <w:rPr>
          <w:i/>
        </w:rPr>
        <w:t>Goodwin v. the United Kingdom</w:t>
      </w:r>
      <w:r w:rsidRPr="002C4EF9">
        <w:t xml:space="preserve">, 27 March 1996, § 39, </w:t>
      </w:r>
      <w:r w:rsidRPr="002C4EF9">
        <w:rPr>
          <w:i/>
        </w:rPr>
        <w:t>Reports of Judgments and Decisions</w:t>
      </w:r>
      <w:r w:rsidRPr="002C4EF9">
        <w:t xml:space="preserve"> 1996</w:t>
      </w:r>
      <w:r w:rsidRPr="002C4EF9">
        <w:noBreakHyphen/>
        <w:t>II).</w:t>
      </w:r>
    </w:p>
    <w:p w:rsidRPr="002C4EF9" w:rsidR="002C4EF9" w:rsidP="002C4EF9" w14:paraId="50CFC04A" w14:textId="675673DB">
      <w:pPr>
        <w:pStyle w:val="JuPara"/>
      </w:pPr>
      <w:r>
        <w:fldChar w:fldCharType="begin"/>
      </w:r>
      <w:r>
        <w:instrText xml:space="preserve"> SEQ level0 \*arabic \* MERGEFORMAT </w:instrText>
      </w:r>
      <w:r>
        <w:fldChar w:fldCharType="separate"/>
      </w:r>
      <w:bookmarkStart w:name="paragraph00065" w:id="37"/>
      <w:r w:rsidRPr="002C4EF9">
        <w:rPr>
          <w:noProof/>
        </w:rPr>
        <w:t>65</w:t>
      </w:r>
      <w:bookmarkEnd w:id="37"/>
      <w:r>
        <w:fldChar w:fldCharType="end"/>
      </w:r>
      <w:r w:rsidRPr="002C4EF9">
        <w:t xml:space="preserve">.  Regarding journalistic sources, </w:t>
      </w:r>
      <w:r w:rsidRPr="002C4EF9">
        <w:rPr>
          <w:lang w:bidi="en-US"/>
        </w:rPr>
        <w:t xml:space="preserve">the Court’s understanding of the concept of a journalistic “source” is “any person who provides information to a journalist”; it understands the term “information identifying a source” to include, in so far as they are likely to lead to the identification of a source, both “the factual circumstances of acquiring information from a source by a journalist” and “the unpublished content of the information provided by a source to a journalist” (see </w:t>
      </w:r>
      <w:r w:rsidRPr="002C4EF9">
        <w:rPr>
          <w:i/>
        </w:rPr>
        <w:t>Telegraaf Media Nederland Landelijke Media B.V. and Others v. the Netherlands</w:t>
      </w:r>
      <w:r w:rsidRPr="002C4EF9">
        <w:t>, no. 39315/06, § 86, 22 November 2012, and the cases cited therein).</w:t>
      </w:r>
    </w:p>
    <w:p w:rsidRPr="002C4EF9" w:rsidR="002C4EF9" w:rsidP="002C4EF9" w14:paraId="4D10A8EE" w14:textId="220B2892">
      <w:pPr>
        <w:pStyle w:val="JuPara"/>
      </w:pPr>
      <w:r>
        <w:fldChar w:fldCharType="begin"/>
      </w:r>
      <w:r>
        <w:instrText xml:space="preserve"> SEQ level0 \*arabic \* MERGEFORMAT </w:instrText>
      </w:r>
      <w:r>
        <w:fldChar w:fldCharType="separate"/>
      </w:r>
      <w:bookmarkStart w:name="paragraph00066" w:id="38"/>
      <w:r w:rsidRPr="002C4EF9">
        <w:rPr>
          <w:noProof/>
        </w:rPr>
        <w:t>66</w:t>
      </w:r>
      <w:bookmarkEnd w:id="38"/>
      <w:r>
        <w:fldChar w:fldCharType="end"/>
      </w:r>
      <w:r w:rsidRPr="002C4EF9">
        <w:t xml:space="preserve">.  In </w:t>
      </w:r>
      <w:r w:rsidRPr="002C4EF9">
        <w:rPr>
          <w:i/>
        </w:rPr>
        <w:t xml:space="preserve">Schweizerische Radio- und Fernsehgesellschaft and Others v. Switzerland </w:t>
      </w:r>
      <w:r w:rsidRPr="002C4EF9">
        <w:rPr>
          <w:iCs/>
        </w:rPr>
        <w:t>((dec.)</w:t>
      </w:r>
      <w:r w:rsidRPr="002C4EF9">
        <w:rPr>
          <w:i/>
        </w:rPr>
        <w:t xml:space="preserve"> </w:t>
      </w:r>
      <w:r w:rsidRPr="002C4EF9">
        <w:t xml:space="preserve">no. 68995/13, § 71, 12 November 2019) the Court provided an overview of its case-law regarding situations that are considered to constitute an interference with the right to freedom of expression under Article 10 of the Convention. Among other factors, a </w:t>
      </w:r>
      <w:r w:rsidRPr="002C4EF9">
        <w:t xml:space="preserve">conviction or an order to pay damages in a situation that can have a limiting impact on the enjoyment of freedom of expression is seen to constitute an interference (ibid.). </w:t>
      </w:r>
      <w:r w:rsidRPr="002C4EF9">
        <w:rPr>
          <w:rFonts w:ascii="Times New Roman" w:hAnsi="Times New Roman" w:cs="Times New Roman"/>
        </w:rPr>
        <w:t xml:space="preserve">In </w:t>
      </w:r>
      <w:r w:rsidRPr="002C4EF9">
        <w:rPr>
          <w:i/>
        </w:rPr>
        <w:t xml:space="preserve">Nordisk Film &amp; TV A/S v. Denmark </w:t>
      </w:r>
      <w:r w:rsidRPr="002C4EF9">
        <w:rPr>
          <w:iCs/>
        </w:rPr>
        <w:t>(</w:t>
      </w:r>
      <w:r w:rsidRPr="002C4EF9">
        <w:t>(dec.), no. 40485/02, ECHR 2005</w:t>
      </w:r>
      <w:r w:rsidRPr="002C4EF9">
        <w:noBreakHyphen/>
        <w:t>XIII) the Court held that the decision of the Danish Supreme Court to compel the applicant company to hand over unedited footage which could not be regarded as sources of journalistic information nevertheless constituted an interference within the meaning of Article 10 § 1 of the Convention. It found, however, that the degree of protection under Article 10 to be applied in that situation could not reach the same level as that afforded to journalists when it came to their right to keep their sources confidential.</w:t>
      </w:r>
    </w:p>
    <w:p w:rsidRPr="002C4EF9" w:rsidR="002C4EF9" w:rsidP="002C4EF9" w14:paraId="132D8855" w14:textId="08157F9D">
      <w:pPr>
        <w:pStyle w:val="JuPara"/>
        <w:rPr>
          <w:lang w:bidi="en-US"/>
        </w:rPr>
      </w:pPr>
      <w:r>
        <w:fldChar w:fldCharType="begin"/>
      </w:r>
      <w:r>
        <w:instrText xml:space="preserve"> SEQ level0 \*arabic \* MERGEFORMAT </w:instrText>
      </w:r>
      <w:r>
        <w:fldChar w:fldCharType="separate"/>
      </w:r>
      <w:bookmarkStart w:name="paragraph00067" w:id="39"/>
      <w:r w:rsidRPr="002C4EF9">
        <w:rPr>
          <w:noProof/>
        </w:rPr>
        <w:t>67</w:t>
      </w:r>
      <w:bookmarkEnd w:id="39"/>
      <w:r>
        <w:fldChar w:fldCharType="end"/>
      </w:r>
      <w:r w:rsidRPr="002C4EF9">
        <w:t xml:space="preserve">.  The Court has previously ruled on cases concerning the liability of providers of online discussion forums on which users had posted comments. In none of those cases was the interference with the rights of the provider under Article 10 called into question (see </w:t>
      </w:r>
      <w:r w:rsidRPr="002C4EF9">
        <w:rPr>
          <w:i/>
        </w:rPr>
        <w:t>Delfi AS</w:t>
      </w:r>
      <w:r w:rsidRPr="002C4EF9">
        <w:t xml:space="preserve"> </w:t>
      </w:r>
      <w:r w:rsidRPr="002C4EF9">
        <w:rPr>
          <w:i/>
        </w:rPr>
        <w:t>v. Estonia</w:t>
      </w:r>
      <w:r w:rsidRPr="002C4EF9">
        <w:t xml:space="preserve"> [GC], no. 64569/09, § 118, ECHR 2015, and </w:t>
      </w:r>
      <w:r w:rsidRPr="002C4EF9">
        <w:rPr>
          <w:i/>
        </w:rPr>
        <w:t>Magyar Tartalomszolgáltatók Egyesülete and Index.hu Zrt</w:t>
      </w:r>
      <w:r w:rsidRPr="002C4EF9">
        <w:t xml:space="preserve"> </w:t>
      </w:r>
      <w:r w:rsidRPr="002C4EF9">
        <w:rPr>
          <w:i/>
        </w:rPr>
        <w:t>v. Hungary</w:t>
      </w:r>
      <w:r w:rsidRPr="002C4EF9">
        <w:t xml:space="preserve">, no. 22947/13, § 45, 2 February 2016). In </w:t>
      </w:r>
      <w:r w:rsidRPr="002C4EF9">
        <w:rPr>
          <w:i/>
        </w:rPr>
        <w:t>Magyar Tartalomszolgáltatók Egyesülete and Index.hu Zrt</w:t>
      </w:r>
      <w:r w:rsidRPr="002C4EF9">
        <w:t xml:space="preserve"> (cited above, § 61) the Court explicitly stated that the second applicant in that case, as a major news portal, provided a forum for the exercise of freedom of expression, thus enabling the public to impart information and ideas. Accordingly, the Court concluded that the second applicant’s conduct had to be assessed in the light of the principles applicable to the press.</w:t>
      </w:r>
    </w:p>
    <w:p w:rsidRPr="002C4EF9" w:rsidR="002C4EF9" w:rsidP="002C4EF9" w14:paraId="54D3DE7F" w14:textId="77777777">
      <w:pPr>
        <w:pStyle w:val="JuHi"/>
        <w:spacing w:line="240" w:lineRule="auto"/>
      </w:pPr>
      <w:r w:rsidRPr="002C4EF9">
        <w:t>Application of the above principles to the present case</w:t>
      </w:r>
    </w:p>
    <w:p w:rsidRPr="002C4EF9" w:rsidR="002C4EF9" w:rsidP="002C4EF9" w14:paraId="5F0BA220" w14:textId="74831CBB">
      <w:pPr>
        <w:pStyle w:val="JuPara"/>
      </w:pPr>
      <w:r w:rsidRPr="002C4EF9">
        <w:fldChar w:fldCharType="begin"/>
      </w:r>
      <w:r w:rsidRPr="002C4EF9">
        <w:instrText xml:space="preserve"> SEQ level0 \*arabic </w:instrText>
      </w:r>
      <w:r w:rsidRPr="002C4EF9">
        <w:fldChar w:fldCharType="separate"/>
      </w:r>
      <w:bookmarkStart w:name="paragraph00068" w:id="40"/>
      <w:r w:rsidRPr="002C4EF9">
        <w:rPr>
          <w:noProof/>
        </w:rPr>
        <w:t>68</w:t>
      </w:r>
      <w:bookmarkEnd w:id="40"/>
      <w:r w:rsidRPr="002C4EF9">
        <w:fldChar w:fldCharType="end"/>
      </w:r>
      <w:r w:rsidRPr="002C4EF9">
        <w:t>.  The Court notes at the outset that the instant case does not concern the liability as such of the applicant company but its duty as a host to disclose user data in certain circumstances, under section 18 of the E</w:t>
      </w:r>
      <w:r w:rsidRPr="002C4EF9">
        <w:noBreakHyphen/>
        <w:t xml:space="preserve">Commerce Act (see paragraph </w:t>
      </w:r>
      <w:r w:rsidRPr="002C4EF9">
        <w:fldChar w:fldCharType="begin"/>
      </w:r>
      <w:r w:rsidRPr="002C4EF9">
        <w:instrText xml:space="preserve"> REF paragraph37 \h  \* MERGEFORMAT </w:instrText>
      </w:r>
      <w:r w:rsidRPr="002C4EF9">
        <w:fldChar w:fldCharType="separate"/>
      </w:r>
      <w:r w:rsidRPr="002C4EF9">
        <w:t>37</w:t>
      </w:r>
      <w:r w:rsidRPr="002C4EF9">
        <w:fldChar w:fldCharType="end"/>
      </w:r>
      <w:r w:rsidRPr="002C4EF9">
        <w:t xml:space="preserve"> above), despite its role as an editor of journalistic work. In this role, it runs a news portal which carries discussion forums and allows users to post comments relating to articles published by the applicant company (see paragraph </w:t>
      </w:r>
      <w:r w:rsidRPr="002C4EF9">
        <w:fldChar w:fldCharType="begin"/>
      </w:r>
      <w:r w:rsidRPr="002C4EF9">
        <w:instrText xml:space="preserve"> REF paragraph5 \h  \* CharFormat  \* MERGEFORMAT </w:instrText>
      </w:r>
      <w:r w:rsidRPr="002C4EF9">
        <w:fldChar w:fldCharType="separate"/>
      </w:r>
      <w:r w:rsidRPr="002C4EF9">
        <w:t>5</w:t>
      </w:r>
      <w:r w:rsidRPr="002C4EF9">
        <w:fldChar w:fldCharType="end"/>
      </w:r>
      <w:r w:rsidRPr="002C4EF9">
        <w:t xml:space="preserve"> above). It thus uses these forums to participate in the dissemination of ideas with regard to topics of public interest (see paragraphs </w:t>
      </w:r>
      <w:r w:rsidRPr="002C4EF9">
        <w:fldChar w:fldCharType="begin"/>
      </w:r>
      <w:r w:rsidRPr="002C4EF9">
        <w:instrText xml:space="preserve"> REF paragraph00073 \h  \* CharFormat  \* MERGEFORMAT </w:instrText>
      </w:r>
      <w:r w:rsidRPr="002C4EF9">
        <w:fldChar w:fldCharType="separate"/>
      </w:r>
      <w:r w:rsidRPr="002C4EF9">
        <w:t>73</w:t>
      </w:r>
      <w:r w:rsidRPr="002C4EF9">
        <w:fldChar w:fldCharType="end"/>
      </w:r>
      <w:r w:rsidRPr="002C4EF9">
        <w:t xml:space="preserve"> and </w:t>
      </w:r>
      <w:r w:rsidRPr="002C4EF9">
        <w:fldChar w:fldCharType="begin"/>
      </w:r>
      <w:r w:rsidRPr="002C4EF9">
        <w:instrText xml:space="preserve"> REF paragraph00078 \h  \* CharFormat  \* MERGEFORMAT </w:instrText>
      </w:r>
      <w:r w:rsidRPr="002C4EF9">
        <w:fldChar w:fldCharType="separate"/>
      </w:r>
      <w:r w:rsidRPr="002C4EF9">
        <w:t>78</w:t>
      </w:r>
      <w:r w:rsidRPr="002C4EF9">
        <w:fldChar w:fldCharType="end"/>
      </w:r>
      <w:r w:rsidRPr="002C4EF9">
        <w:t xml:space="preserve"> below). The comments at issue in the instant case referred to two articles published by the applicant company (see paragraphs </w:t>
      </w:r>
      <w:r w:rsidRPr="002C4EF9">
        <w:fldChar w:fldCharType="begin"/>
      </w:r>
      <w:r w:rsidRPr="002C4EF9">
        <w:instrText xml:space="preserve"> REF paragraph13 \h  \* CharFormat  \* MERGEFORMAT </w:instrText>
      </w:r>
      <w:r w:rsidRPr="002C4EF9">
        <w:fldChar w:fldCharType="separate"/>
      </w:r>
      <w:r w:rsidRPr="002C4EF9">
        <w:t>13</w:t>
      </w:r>
      <w:r w:rsidRPr="002C4EF9">
        <w:fldChar w:fldCharType="end"/>
      </w:r>
      <w:r w:rsidRPr="002C4EF9">
        <w:t xml:space="preserve"> and </w:t>
      </w:r>
      <w:r w:rsidRPr="002C4EF9">
        <w:fldChar w:fldCharType="begin"/>
      </w:r>
      <w:r w:rsidRPr="002C4EF9">
        <w:instrText xml:space="preserve"> REF paragraph18 \h  \* CharFormat  \* MERGEFORMAT </w:instrText>
      </w:r>
      <w:r w:rsidRPr="002C4EF9">
        <w:fldChar w:fldCharType="separate"/>
      </w:r>
      <w:r w:rsidRPr="002C4EF9">
        <w:t>18</w:t>
      </w:r>
      <w:r w:rsidRPr="002C4EF9">
        <w:fldChar w:fldCharType="end"/>
      </w:r>
      <w:r w:rsidRPr="002C4EF9">
        <w:t xml:space="preserve"> above).</w:t>
      </w:r>
    </w:p>
    <w:p w:rsidRPr="002C4EF9" w:rsidR="002C4EF9" w:rsidP="002C4EF9" w14:paraId="5C57865B" w14:textId="5174F1A8">
      <w:pPr>
        <w:pStyle w:val="JuPara"/>
      </w:pPr>
      <w:r w:rsidRPr="002C4EF9">
        <w:fldChar w:fldCharType="begin"/>
      </w:r>
      <w:r w:rsidRPr="002C4EF9">
        <w:instrText xml:space="preserve"> SEQ level0 \*arabic </w:instrText>
      </w:r>
      <w:r w:rsidRPr="002C4EF9">
        <w:fldChar w:fldCharType="separate"/>
      </w:r>
      <w:r w:rsidRPr="002C4EF9">
        <w:rPr>
          <w:noProof/>
        </w:rPr>
        <w:t>69</w:t>
      </w:r>
      <w:r w:rsidRPr="002C4EF9">
        <w:fldChar w:fldCharType="end"/>
      </w:r>
      <w:r w:rsidRPr="002C4EF9">
        <w:t xml:space="preserve">.  In this connection, during the domestic proceedings the applicant company relied on the argument that the authors of the comments in question constituted journalistic sources and that their identities were therefore protected. The domestic courts, on the other hand, concluded that owing to the fact that no kind of journalistic activity was involved, the applicant company could not invoke editorial confidentiality with respect to the user comments. In the Government’s view, the applicant company could not at the same time invoke both the exemption from liability granted to </w:t>
      </w:r>
      <w:r w:rsidRPr="002C4EF9">
        <w:t xml:space="preserve">hosts and the safeguards afforded to publishers with regard to their sources (see paragraph </w:t>
      </w:r>
      <w:r w:rsidRPr="002C4EF9">
        <w:fldChar w:fldCharType="begin"/>
      </w:r>
      <w:r w:rsidRPr="002C4EF9">
        <w:instrText xml:space="preserve"> REF paragraph53 \h  \* MERGEFORMAT </w:instrText>
      </w:r>
      <w:r w:rsidRPr="002C4EF9">
        <w:fldChar w:fldCharType="separate"/>
      </w:r>
      <w:r w:rsidRPr="002C4EF9">
        <w:t>58</w:t>
      </w:r>
      <w:r w:rsidRPr="002C4EF9">
        <w:fldChar w:fldCharType="end"/>
      </w:r>
      <w:r w:rsidRPr="002C4EF9">
        <w:t xml:space="preserve"> above). According to the Government, there had in any event been no interference with the right to receive and impart information, as the applicant company had not been held liable, and nor had it been obliged to delete any content (see paragraph </w:t>
      </w:r>
      <w:r w:rsidRPr="002C4EF9">
        <w:fldChar w:fldCharType="begin"/>
      </w:r>
      <w:r w:rsidRPr="002C4EF9">
        <w:instrText xml:space="preserve"> REF paragraph54 \h  \* MERGEFORMAT </w:instrText>
      </w:r>
      <w:r w:rsidRPr="002C4EF9">
        <w:fldChar w:fldCharType="separate"/>
      </w:r>
      <w:r w:rsidRPr="002C4EF9">
        <w:t>59</w:t>
      </w:r>
      <w:r w:rsidRPr="002C4EF9">
        <w:fldChar w:fldCharType="end"/>
      </w:r>
      <w:r w:rsidRPr="002C4EF9">
        <w:t xml:space="preserve"> above).</w:t>
      </w:r>
    </w:p>
    <w:p w:rsidRPr="002C4EF9" w:rsidR="002C4EF9" w:rsidP="002C4EF9" w14:paraId="24CA3E02" w14:textId="0DF3299D">
      <w:pPr>
        <w:pStyle w:val="JuPara"/>
      </w:pPr>
      <w:r w:rsidRPr="002C4EF9">
        <w:fldChar w:fldCharType="begin"/>
      </w:r>
      <w:r w:rsidRPr="002C4EF9">
        <w:instrText xml:space="preserve"> SEQ level0 \*arabic </w:instrText>
      </w:r>
      <w:r w:rsidRPr="002C4EF9">
        <w:fldChar w:fldCharType="separate"/>
      </w:r>
      <w:r w:rsidRPr="002C4EF9">
        <w:rPr>
          <w:noProof/>
        </w:rPr>
        <w:t>70</w:t>
      </w:r>
      <w:r w:rsidRPr="002C4EF9">
        <w:fldChar w:fldCharType="end"/>
      </w:r>
      <w:r w:rsidRPr="002C4EF9">
        <w:t>.  The Court’s understanding of a journalistic “source” (see paragraph </w:t>
      </w:r>
      <w:r w:rsidRPr="002C4EF9">
        <w:fldChar w:fldCharType="begin"/>
      </w:r>
      <w:r w:rsidRPr="002C4EF9">
        <w:instrText xml:space="preserve"> REF paragraph00065 \h  \* CharFormat  \* MERGEFORMAT </w:instrText>
      </w:r>
      <w:r w:rsidRPr="002C4EF9">
        <w:fldChar w:fldCharType="separate"/>
      </w:r>
      <w:r w:rsidRPr="002C4EF9">
        <w:t>65</w:t>
      </w:r>
      <w:r w:rsidRPr="002C4EF9">
        <w:fldChar w:fldCharType="end"/>
      </w:r>
      <w:r w:rsidRPr="002C4EF9">
        <w:t xml:space="preserve"> above) is in line with Recommendation No. R (2000) 7 of the Council of Europe’s Committee of Ministers on the right of journalists not to disclose their sources of information and the definitions given in the Appendix thereto (quoted in </w:t>
      </w:r>
      <w:r w:rsidRPr="002C4EF9">
        <w:rPr>
          <w:i/>
        </w:rPr>
        <w:t>Sanoma Uitgevers B.V.</w:t>
      </w:r>
      <w:r w:rsidRPr="002C4EF9">
        <w:t>, cited above, § 44). According to the definitions set out in the Appendix, the term “information” means any statement of fact, opinion or idea in the form of text, sound and/or picture (ibid.).</w:t>
      </w:r>
    </w:p>
    <w:p w:rsidRPr="002C4EF9" w:rsidR="002C4EF9" w:rsidP="002C4EF9" w14:paraId="7DB98A3F" w14:textId="6929A9D8">
      <w:pPr>
        <w:pStyle w:val="JuPara"/>
      </w:pPr>
      <w:r>
        <w:fldChar w:fldCharType="begin"/>
      </w:r>
      <w:r>
        <w:instrText xml:space="preserve"> SEQ level0 \*arabic \* MERGEFORMAT </w:instrText>
      </w:r>
      <w:r>
        <w:fldChar w:fldCharType="separate"/>
      </w:r>
      <w:r w:rsidRPr="002C4EF9">
        <w:rPr>
          <w:noProof/>
        </w:rPr>
        <w:t>71</w:t>
      </w:r>
      <w:r w:rsidRPr="002C4EF9">
        <w:rPr>
          <w:noProof/>
        </w:rPr>
        <w:fldChar w:fldCharType="end"/>
      </w:r>
      <w:r w:rsidRPr="002C4EF9">
        <w:t xml:space="preserve">.  In the instant case, the Court concludes that the comments posted on the forum by readers of the news portal, while constituting opinions and therefore information within the meaning of the Recommendation, were clearly addressed to the public rather than to a journalist. This is sufficient for the Court to conclude that the comments’ authors could not be considered a journalistic source. The Court therefore agrees with the Government that the applicant company could not rely on editorial confidentiality in the instant case. However, an interference with Article 10 may also occur in ways other than by ordering the disclosure of a journalistic source (see paragraph </w:t>
      </w:r>
      <w:r w:rsidRPr="002C4EF9">
        <w:fldChar w:fldCharType="begin"/>
      </w:r>
      <w:r w:rsidRPr="002C4EF9">
        <w:instrText xml:space="preserve"> REF paragraph00066 \h  \* CharFormat  \* MERGEFORMAT </w:instrText>
      </w:r>
      <w:r w:rsidRPr="002C4EF9">
        <w:fldChar w:fldCharType="separate"/>
      </w:r>
      <w:r w:rsidRPr="002C4EF9">
        <w:t>66</w:t>
      </w:r>
      <w:r w:rsidRPr="002C4EF9">
        <w:fldChar w:fldCharType="end"/>
      </w:r>
      <w:r w:rsidRPr="002C4EF9">
        <w:t xml:space="preserve"> above).</w:t>
      </w:r>
    </w:p>
    <w:p w:rsidRPr="002C4EF9" w:rsidR="002C4EF9" w:rsidP="002C4EF9" w14:paraId="51F98394" w14:textId="1F3344A0">
      <w:pPr>
        <w:pStyle w:val="JuPara"/>
      </w:pPr>
      <w:r>
        <w:fldChar w:fldCharType="begin"/>
      </w:r>
      <w:r>
        <w:instrText xml:space="preserve"> SEQ level0 \*arabic \* MERGEFORMAT </w:instrText>
      </w:r>
      <w:r>
        <w:fldChar w:fldCharType="separate"/>
      </w:r>
      <w:r w:rsidRPr="002C4EF9">
        <w:rPr>
          <w:noProof/>
        </w:rPr>
        <w:t>72</w:t>
      </w:r>
      <w:r w:rsidRPr="002C4EF9">
        <w:rPr>
          <w:noProof/>
        </w:rPr>
        <w:fldChar w:fldCharType="end"/>
      </w:r>
      <w:r w:rsidRPr="002C4EF9">
        <w:t xml:space="preserve">.  In </w:t>
      </w:r>
      <w:r w:rsidRPr="002C4EF9">
        <w:rPr>
          <w:i/>
          <w:iCs/>
        </w:rPr>
        <w:t>Delfi AS</w:t>
      </w:r>
      <w:r w:rsidRPr="002C4EF9">
        <w:t xml:space="preserve"> and </w:t>
      </w:r>
      <w:r w:rsidRPr="002C4EF9">
        <w:rPr>
          <w:rFonts w:ascii="Times New Roman" w:hAnsi="Times New Roman" w:eastAsia="PMingLiU"/>
          <w:i/>
          <w:color w:val="000000"/>
          <w:kern w:val="1"/>
        </w:rPr>
        <w:t>Magyar Tartalomszolgáltatók Egyesülete and Index.hu Zrt</w:t>
      </w:r>
      <w:r w:rsidRPr="002C4EF9">
        <w:rPr>
          <w:rFonts w:ascii="Times New Roman" w:hAnsi="Times New Roman" w:eastAsia="Times New Roman"/>
          <w:kern w:val="1"/>
        </w:rPr>
        <w:t xml:space="preserve"> (both cited above) it was undisputed that the liability of providers of online debate forums interfered with their rights under Article 10 (see paragraph </w:t>
      </w:r>
      <w:r w:rsidRPr="002C4EF9">
        <w:rPr>
          <w:rFonts w:ascii="Times New Roman" w:hAnsi="Times New Roman" w:eastAsia="Times New Roman"/>
          <w:kern w:val="1"/>
        </w:rPr>
        <w:fldChar w:fldCharType="begin"/>
      </w:r>
      <w:r w:rsidRPr="002C4EF9">
        <w:rPr>
          <w:rFonts w:ascii="Times New Roman" w:hAnsi="Times New Roman" w:eastAsia="Times New Roman"/>
          <w:kern w:val="1"/>
        </w:rPr>
        <w:instrText xml:space="preserve"> REF paragraph00067 \h  \* CharFormat  \* MERGEFORMAT </w:instrText>
      </w:r>
      <w:r w:rsidRPr="002C4EF9">
        <w:rPr>
          <w:rFonts w:ascii="Times New Roman" w:hAnsi="Times New Roman" w:eastAsia="Times New Roman"/>
          <w:kern w:val="1"/>
        </w:rPr>
        <w:fldChar w:fldCharType="separate"/>
      </w:r>
      <w:r w:rsidRPr="002C4EF9">
        <w:rPr>
          <w:rFonts w:ascii="Times New Roman" w:hAnsi="Times New Roman" w:eastAsia="Times New Roman"/>
          <w:kern w:val="1"/>
        </w:rPr>
        <w:t>67</w:t>
      </w:r>
      <w:r w:rsidRPr="002C4EF9">
        <w:rPr>
          <w:rFonts w:ascii="Times New Roman" w:hAnsi="Times New Roman" w:eastAsia="Times New Roman"/>
          <w:kern w:val="1"/>
        </w:rPr>
        <w:fldChar w:fldCharType="end"/>
      </w:r>
      <w:r w:rsidRPr="002C4EF9">
        <w:rPr>
          <w:rFonts w:ascii="Times New Roman" w:hAnsi="Times New Roman" w:eastAsia="Times New Roman"/>
          <w:kern w:val="1"/>
        </w:rPr>
        <w:t xml:space="preserve"> above). In the latter judgment (§ 25) the Hungarian Constitutional Court had applied the principles of freedom of the press to the applicants. The Court shared this view (see paragraph </w:t>
      </w:r>
      <w:r w:rsidRPr="002C4EF9">
        <w:rPr>
          <w:rFonts w:ascii="Times New Roman" w:hAnsi="Times New Roman" w:eastAsia="Times New Roman"/>
          <w:kern w:val="1"/>
        </w:rPr>
        <w:fldChar w:fldCharType="begin"/>
      </w:r>
      <w:r w:rsidRPr="002C4EF9">
        <w:rPr>
          <w:rFonts w:ascii="Times New Roman" w:hAnsi="Times New Roman" w:eastAsia="Times New Roman"/>
          <w:kern w:val="1"/>
        </w:rPr>
        <w:instrText xml:space="preserve"> REF paragraph00067 \h  \* CharFormat  \* MERGEFORMAT </w:instrText>
      </w:r>
      <w:r w:rsidRPr="002C4EF9">
        <w:rPr>
          <w:rFonts w:ascii="Times New Roman" w:hAnsi="Times New Roman" w:eastAsia="Times New Roman"/>
          <w:kern w:val="1"/>
        </w:rPr>
        <w:fldChar w:fldCharType="separate"/>
      </w:r>
      <w:r w:rsidRPr="002C4EF9">
        <w:rPr>
          <w:rFonts w:ascii="Times New Roman" w:hAnsi="Times New Roman" w:eastAsia="Times New Roman"/>
          <w:kern w:val="1"/>
        </w:rPr>
        <w:t>67</w:t>
      </w:r>
      <w:r w:rsidRPr="002C4EF9">
        <w:rPr>
          <w:rFonts w:ascii="Times New Roman" w:hAnsi="Times New Roman" w:eastAsia="Times New Roman"/>
          <w:kern w:val="1"/>
        </w:rPr>
        <w:fldChar w:fldCharType="end"/>
      </w:r>
      <w:r w:rsidRPr="002C4EF9">
        <w:rPr>
          <w:rFonts w:ascii="Times New Roman" w:hAnsi="Times New Roman" w:eastAsia="Times New Roman"/>
          <w:kern w:val="1"/>
        </w:rPr>
        <w:t xml:space="preserve"> above). </w:t>
      </w:r>
      <w:r w:rsidRPr="002C4EF9">
        <w:t xml:space="preserve">The Court does not overlook the fact that in </w:t>
      </w:r>
      <w:r w:rsidRPr="002C4EF9">
        <w:rPr>
          <w:i/>
          <w:iCs/>
        </w:rPr>
        <w:t>Delfi AS</w:t>
      </w:r>
      <w:r w:rsidRPr="002C4EF9">
        <w:t xml:space="preserve"> (cited above, § 128) </w:t>
      </w:r>
      <w:r w:rsidRPr="002C4EF9">
        <w:rPr>
          <w:iCs/>
        </w:rPr>
        <w:t xml:space="preserve">it </w:t>
      </w:r>
      <w:r w:rsidRPr="002C4EF9">
        <w:t xml:space="preserve">accepted the domestic courts’ classification of the applicant as a publisher, whereas in the instant case the domestic courts, in respect of the comments at issue, considered the applicant company to be a host (see paragraphs </w:t>
      </w:r>
      <w:r w:rsidRPr="002C4EF9">
        <w:fldChar w:fldCharType="begin"/>
      </w:r>
      <w:r w:rsidRPr="002C4EF9">
        <w:instrText xml:space="preserve"> REF paragraph24 \h  \* MERGEFORMAT </w:instrText>
      </w:r>
      <w:r w:rsidRPr="002C4EF9">
        <w:fldChar w:fldCharType="separate"/>
      </w:r>
      <w:r w:rsidRPr="002C4EF9">
        <w:t>24</w:t>
      </w:r>
      <w:r w:rsidRPr="002C4EF9">
        <w:fldChar w:fldCharType="end"/>
      </w:r>
      <w:r w:rsidRPr="002C4EF9">
        <w:t xml:space="preserve"> and </w:t>
      </w:r>
      <w:r w:rsidRPr="002C4EF9">
        <w:fldChar w:fldCharType="begin"/>
      </w:r>
      <w:r w:rsidRPr="002C4EF9">
        <w:instrText xml:space="preserve"> REF paragraph30 \h  \* CharFormat  \* MERGEFORMAT </w:instrText>
      </w:r>
      <w:r w:rsidRPr="002C4EF9">
        <w:fldChar w:fldCharType="separate"/>
      </w:r>
      <w:r w:rsidRPr="002C4EF9">
        <w:t>30</w:t>
      </w:r>
      <w:r w:rsidRPr="002C4EF9">
        <w:fldChar w:fldCharType="end"/>
      </w:r>
      <w:r w:rsidRPr="002C4EF9">
        <w:t xml:space="preserve"> above). However, whether there may be an interference with Article 10 cannot depend on the legal categorisation of a provider by the domestic courts. Rather, the Court finds that it must take into account the circumstances of the case as a whole.</w:t>
      </w:r>
    </w:p>
    <w:p w:rsidRPr="002C4EF9" w:rsidR="002C4EF9" w:rsidP="002C4EF9" w14:paraId="6C39A5CC" w14:textId="55DD08C5">
      <w:pPr>
        <w:pStyle w:val="JuPara"/>
        <w:rPr>
          <w:b/>
          <w:bCs/>
        </w:rPr>
      </w:pPr>
      <w:r w:rsidRPr="002C4EF9">
        <w:fldChar w:fldCharType="begin"/>
      </w:r>
      <w:r w:rsidRPr="002C4EF9">
        <w:instrText xml:space="preserve"> SEQ level0 \*arabic </w:instrText>
      </w:r>
      <w:r w:rsidRPr="002C4EF9">
        <w:fldChar w:fldCharType="separate"/>
      </w:r>
      <w:bookmarkStart w:name="paragraph00073" w:id="41"/>
      <w:r w:rsidRPr="002C4EF9">
        <w:rPr>
          <w:noProof/>
        </w:rPr>
        <w:t>73</w:t>
      </w:r>
      <w:bookmarkEnd w:id="41"/>
      <w:r w:rsidRPr="002C4EF9">
        <w:fldChar w:fldCharType="end"/>
      </w:r>
      <w:r w:rsidRPr="002C4EF9">
        <w:t xml:space="preserve">.  While the Court accepts that the applicant company acted as a host with regard to the publication of the comments at issue, this was only one of its roles as a media company. It publishes a daily newspaper (and an online version thereof) and maintains a news portal on which it initiates conversations regarding its articles by inviting users to post comments (see paragraph </w:t>
      </w:r>
      <w:r w:rsidRPr="002C4EF9">
        <w:fldChar w:fldCharType="begin"/>
      </w:r>
      <w:r w:rsidRPr="002C4EF9">
        <w:instrText xml:space="preserve"> REF paragraph5 \h  \* CharFormat  \* MERGEFORMAT </w:instrText>
      </w:r>
      <w:r w:rsidRPr="002C4EF9">
        <w:fldChar w:fldCharType="separate"/>
      </w:r>
      <w:r w:rsidRPr="002C4EF9">
        <w:t>5</w:t>
      </w:r>
      <w:r w:rsidRPr="002C4EF9">
        <w:fldChar w:fldCharType="end"/>
      </w:r>
      <w:r w:rsidRPr="002C4EF9">
        <w:t xml:space="preserve"> above). Not only does it provide a forum for users but it also takes an active role in guiding them to write comments, describing those </w:t>
      </w:r>
      <w:r w:rsidRPr="002C4EF9">
        <w:t xml:space="preserve">comments as an essential and valuable part of the news portal (see paragraph </w:t>
      </w:r>
      <w:r w:rsidRPr="002C4EF9">
        <w:fldChar w:fldCharType="begin"/>
      </w:r>
      <w:r w:rsidRPr="002C4EF9">
        <w:instrText xml:space="preserve"> REF paragraph7 \h  \* CharFormat  \* MERGEFORMAT </w:instrText>
      </w:r>
      <w:r w:rsidRPr="002C4EF9">
        <w:fldChar w:fldCharType="separate"/>
      </w:r>
      <w:r w:rsidRPr="002C4EF9">
        <w:t>7</w:t>
      </w:r>
      <w:r w:rsidRPr="002C4EF9">
        <w:fldChar w:fldCharType="end"/>
      </w:r>
      <w:r w:rsidRPr="002C4EF9">
        <w:t xml:space="preserve"> above). User-generated content on the applicant company’s portal is at least partly moderated (see paragraphs </w:t>
      </w:r>
      <w:r w:rsidRPr="002C4EF9">
        <w:fldChar w:fldCharType="begin"/>
      </w:r>
      <w:r w:rsidRPr="002C4EF9">
        <w:instrText xml:space="preserve"> REF paragraph8 \h  \* CharFormat  \* MERGEFORMAT </w:instrText>
      </w:r>
      <w:r w:rsidRPr="002C4EF9">
        <w:fldChar w:fldCharType="separate"/>
      </w:r>
      <w:r w:rsidRPr="002C4EF9">
        <w:t>8</w:t>
      </w:r>
      <w:r w:rsidRPr="002C4EF9">
        <w:fldChar w:fldCharType="end"/>
      </w:r>
      <w:r w:rsidRPr="002C4EF9">
        <w:t>-</w:t>
      </w:r>
      <w:r w:rsidRPr="002C4EF9">
        <w:fldChar w:fldCharType="begin"/>
      </w:r>
      <w:r w:rsidRPr="002C4EF9">
        <w:instrText xml:space="preserve"> REF paragraph00012 \h  \* CharFormat  \* MERGEFORMAT </w:instrText>
      </w:r>
      <w:r w:rsidRPr="002C4EF9">
        <w:fldChar w:fldCharType="separate"/>
      </w:r>
      <w:r w:rsidRPr="002C4EF9">
        <w:t>12</w:t>
      </w:r>
      <w:r w:rsidRPr="002C4EF9">
        <w:fldChar w:fldCharType="end"/>
      </w:r>
      <w:r w:rsidRPr="002C4EF9">
        <w:t xml:space="preserve"> above). The Court finds that these activities are closely interlinked. This is supported by the fact that there is no separate editorial office for the portal, which is described as a platform for dialogue as a whole – including both articles and discussions on those articles (see paragraphs </w:t>
      </w:r>
      <w:r w:rsidRPr="002C4EF9">
        <w:fldChar w:fldCharType="begin"/>
      </w:r>
      <w:r w:rsidRPr="002C4EF9">
        <w:instrText xml:space="preserve"> REF paragraph5 \h  \* CharFormat  \* MERGEFORMAT </w:instrText>
      </w:r>
      <w:r w:rsidRPr="002C4EF9">
        <w:fldChar w:fldCharType="separate"/>
      </w:r>
      <w:r w:rsidRPr="002C4EF9">
        <w:t>5</w:t>
      </w:r>
      <w:r w:rsidRPr="002C4EF9">
        <w:fldChar w:fldCharType="end"/>
      </w:r>
      <w:r w:rsidRPr="002C4EF9">
        <w:t xml:space="preserve"> and </w:t>
      </w:r>
      <w:r w:rsidRPr="002C4EF9">
        <w:fldChar w:fldCharType="begin"/>
      </w:r>
      <w:r w:rsidRPr="002C4EF9">
        <w:instrText xml:space="preserve"> REF paragraph7 \h  \* CharFormat  \* MERGEFORMAT </w:instrText>
      </w:r>
      <w:r w:rsidRPr="002C4EF9">
        <w:fldChar w:fldCharType="separate"/>
      </w:r>
      <w:r w:rsidRPr="002C4EF9">
        <w:t>7</w:t>
      </w:r>
      <w:r w:rsidRPr="002C4EF9">
        <w:fldChar w:fldCharType="end"/>
      </w:r>
      <w:r w:rsidRPr="002C4EF9">
        <w:t xml:space="preserve"> above). It is thus apparent that the applicant company’s overall function is to further open discussion and to disseminate ideas with regard to topics of public interest, as protected by freedom of the press (see paragraph </w:t>
      </w:r>
      <w:r w:rsidRPr="002C4EF9">
        <w:fldChar w:fldCharType="begin"/>
      </w:r>
      <w:r w:rsidRPr="002C4EF9">
        <w:instrText xml:space="preserve"> REF paragraph00068 \h  \* CharFormat  \* MERGEFORMAT </w:instrText>
      </w:r>
      <w:r w:rsidRPr="002C4EF9">
        <w:fldChar w:fldCharType="separate"/>
      </w:r>
      <w:r w:rsidRPr="002C4EF9">
        <w:t>68</w:t>
      </w:r>
      <w:r w:rsidRPr="002C4EF9">
        <w:fldChar w:fldCharType="end"/>
      </w:r>
      <w:r w:rsidRPr="002C4EF9">
        <w:t xml:space="preserve"> above).</w:t>
      </w:r>
    </w:p>
    <w:p w:rsidRPr="002C4EF9" w:rsidR="002C4EF9" w:rsidP="002C4EF9" w14:paraId="7A9A6590" w14:textId="7B5E96FD">
      <w:pPr>
        <w:pStyle w:val="JuPara"/>
      </w:pPr>
      <w:r w:rsidRPr="002C4EF9">
        <w:fldChar w:fldCharType="begin"/>
      </w:r>
      <w:r w:rsidRPr="002C4EF9">
        <w:instrText xml:space="preserve"> SEQ level0 \*arabic </w:instrText>
      </w:r>
      <w:r w:rsidRPr="002C4EF9">
        <w:fldChar w:fldCharType="separate"/>
      </w:r>
      <w:bookmarkStart w:name="paragraph00074" w:id="42"/>
      <w:r w:rsidRPr="002C4EF9">
        <w:rPr>
          <w:noProof/>
        </w:rPr>
        <w:t>74</w:t>
      </w:r>
      <w:bookmarkEnd w:id="42"/>
      <w:r w:rsidRPr="002C4EF9">
        <w:fldChar w:fldCharType="end"/>
      </w:r>
      <w:r w:rsidRPr="002C4EF9">
        <w:t xml:space="preserve">.  In the light of the Declaration on freedom of communication on the Internet, adopted by the Committee of Ministers of the Council of Europe on 28 May 2003 (see </w:t>
      </w:r>
      <w:r w:rsidRPr="002C4EF9">
        <w:rPr>
          <w:i/>
          <w:iCs/>
        </w:rPr>
        <w:t>Delfi AS</w:t>
      </w:r>
      <w:r w:rsidRPr="002C4EF9">
        <w:t xml:space="preserve">, cited above, § 44), which emphasises the principle of anonymity for Internet users in order to enhance the free expression of opinions, information and ideas (see also the UN Special Rapporteur’s report cited in paragraph </w:t>
      </w:r>
      <w:r w:rsidRPr="002C4EF9">
        <w:fldChar w:fldCharType="begin"/>
      </w:r>
      <w:r w:rsidRPr="002C4EF9">
        <w:instrText xml:space="preserve"> REF paragraph00044 \h  \* CharFormat  \* MERGEFORMAT </w:instrText>
      </w:r>
      <w:r w:rsidRPr="002C4EF9">
        <w:fldChar w:fldCharType="separate"/>
      </w:r>
      <w:r w:rsidRPr="002C4EF9">
        <w:t>46</w:t>
      </w:r>
      <w:r w:rsidRPr="002C4EF9">
        <w:fldChar w:fldCharType="end"/>
      </w:r>
      <w:r w:rsidRPr="002C4EF9">
        <w:t xml:space="preserve"> above), the Court has no doubt that an obligation to disclose the data of authors of online comments could deter them from contributing to debate and therefore lead to a chilling effect among users posting in forums in general. This affects, indirectly, also the applicant company’s right as a media company to freedom of press. It invites users to comment on its articles in order to further discussion on its journalistic work (see paragraphs </w:t>
      </w:r>
      <w:r w:rsidRPr="002C4EF9">
        <w:fldChar w:fldCharType="begin"/>
      </w:r>
      <w:r w:rsidRPr="002C4EF9">
        <w:instrText xml:space="preserve"> REF paragraph5 \h  \* CharFormat  \* MERGEFORMAT </w:instrText>
      </w:r>
      <w:r w:rsidRPr="002C4EF9">
        <w:fldChar w:fldCharType="separate"/>
      </w:r>
      <w:r w:rsidRPr="002C4EF9">
        <w:t>5</w:t>
      </w:r>
      <w:r w:rsidRPr="002C4EF9">
        <w:fldChar w:fldCharType="end"/>
      </w:r>
      <w:r w:rsidRPr="002C4EF9">
        <w:t xml:space="preserve"> and </w:t>
      </w:r>
      <w:r w:rsidRPr="002C4EF9">
        <w:fldChar w:fldCharType="begin"/>
      </w:r>
      <w:r w:rsidRPr="002C4EF9">
        <w:instrText xml:space="preserve"> REF paragraph00065 \h  \* CharFormat  \* MERGEFORMAT </w:instrText>
      </w:r>
      <w:r w:rsidRPr="002C4EF9">
        <w:fldChar w:fldCharType="separate"/>
      </w:r>
      <w:r w:rsidRPr="002C4EF9">
        <w:t>65</w:t>
      </w:r>
      <w:r w:rsidRPr="002C4EF9">
        <w:fldChar w:fldCharType="end"/>
      </w:r>
      <w:r w:rsidRPr="002C4EF9">
        <w:t xml:space="preserve"> above). To achieve this goal, it allows authors of comments to use usernames (see paragraph </w:t>
      </w:r>
      <w:r w:rsidRPr="002C4EF9">
        <w:fldChar w:fldCharType="begin"/>
      </w:r>
      <w:r w:rsidRPr="002C4EF9">
        <w:instrText xml:space="preserve"> REF paragraph7 \h  \* CharFormat  \* MERGEFORMAT </w:instrText>
      </w:r>
      <w:r w:rsidRPr="002C4EF9">
        <w:fldChar w:fldCharType="separate"/>
      </w:r>
      <w:r w:rsidRPr="002C4EF9">
        <w:t>7</w:t>
      </w:r>
      <w:r w:rsidRPr="002C4EF9">
        <w:fldChar w:fldCharType="end"/>
      </w:r>
      <w:r w:rsidRPr="002C4EF9">
        <w:t xml:space="preserve"> above); upon registration, users are informed that their data will not be seen publicly and will only be disclosed if required by law (see paragraphs </w:t>
      </w:r>
      <w:r w:rsidRPr="002C4EF9">
        <w:fldChar w:fldCharType="begin"/>
      </w:r>
      <w:r w:rsidRPr="002C4EF9">
        <w:instrText xml:space="preserve"> REF paragraph6 \h  \* CharFormat  \* MERGEFORMAT </w:instrText>
      </w:r>
      <w:r w:rsidRPr="002C4EF9">
        <w:fldChar w:fldCharType="separate"/>
      </w:r>
      <w:r w:rsidRPr="002C4EF9">
        <w:t>6</w:t>
      </w:r>
      <w:r w:rsidRPr="002C4EF9">
        <w:fldChar w:fldCharType="end"/>
      </w:r>
      <w:r w:rsidRPr="002C4EF9">
        <w:t xml:space="preserve"> and </w:t>
      </w:r>
      <w:r w:rsidRPr="002C4EF9">
        <w:fldChar w:fldCharType="begin"/>
      </w:r>
      <w:r w:rsidRPr="002C4EF9">
        <w:instrText xml:space="preserve"> REF paragraph7 \h  \* CharFormat  \* MERGEFORMAT </w:instrText>
      </w:r>
      <w:r w:rsidRPr="002C4EF9">
        <w:fldChar w:fldCharType="separate"/>
      </w:r>
      <w:r w:rsidRPr="002C4EF9">
        <w:t>7</w:t>
      </w:r>
      <w:r w:rsidRPr="002C4EF9">
        <w:fldChar w:fldCharType="end"/>
      </w:r>
      <w:r w:rsidRPr="002C4EF9">
        <w:t xml:space="preserve"> above). The forum rules dictate that certain content is not accepted, and that comments are screened by a keyword system, may be subject to a manual review and will be deleted if they are not in line with the rules (see paragraphs </w:t>
      </w:r>
      <w:r w:rsidRPr="002C4EF9">
        <w:fldChar w:fldCharType="begin"/>
      </w:r>
      <w:r w:rsidRPr="002C4EF9">
        <w:instrText xml:space="preserve"> REF paragraph7 \h  \* CharFormat  \* MERGEFORMAT </w:instrText>
      </w:r>
      <w:r w:rsidRPr="002C4EF9">
        <w:fldChar w:fldCharType="separate"/>
      </w:r>
      <w:r w:rsidRPr="002C4EF9">
        <w:t>7</w:t>
      </w:r>
      <w:r w:rsidRPr="002C4EF9">
        <w:fldChar w:fldCharType="end"/>
      </w:r>
      <w:r w:rsidRPr="002C4EF9">
        <w:t>-</w:t>
      </w:r>
      <w:r w:rsidRPr="002C4EF9">
        <w:fldChar w:fldCharType="begin"/>
      </w:r>
      <w:r w:rsidRPr="002C4EF9">
        <w:instrText xml:space="preserve"> REF paragraph00012 \h  \* CharFormat  \* MERGEFORMAT </w:instrText>
      </w:r>
      <w:r w:rsidRPr="002C4EF9">
        <w:fldChar w:fldCharType="separate"/>
      </w:r>
      <w:r w:rsidRPr="002C4EF9">
        <w:t>12</w:t>
      </w:r>
      <w:r w:rsidRPr="002C4EF9">
        <w:fldChar w:fldCharType="end"/>
      </w:r>
      <w:r w:rsidRPr="002C4EF9">
        <w:t xml:space="preserve"> above).</w:t>
      </w:r>
    </w:p>
    <w:p w:rsidRPr="002C4EF9" w:rsidR="002C4EF9" w:rsidP="002C4EF9" w14:paraId="1037393B" w14:textId="661E77D0">
      <w:pPr>
        <w:pStyle w:val="JuPara"/>
      </w:pPr>
      <w:r w:rsidRPr="002C4EF9">
        <w:rPr>
          <w:lang w:bidi="en-US"/>
        </w:rPr>
        <w:fldChar w:fldCharType="begin"/>
      </w:r>
      <w:r w:rsidRPr="002C4EF9">
        <w:rPr>
          <w:lang w:bidi="en-US"/>
        </w:rPr>
        <w:instrText xml:space="preserve"> SEQ level0 \*arabic \* MERGEFORMAT </w:instrText>
      </w:r>
      <w:r w:rsidRPr="002C4EF9">
        <w:rPr>
          <w:lang w:bidi="en-US"/>
        </w:rPr>
        <w:fldChar w:fldCharType="separate"/>
      </w:r>
      <w:bookmarkStart w:name="paragraph00075" w:id="43"/>
      <w:r w:rsidRPr="002C4EF9">
        <w:rPr>
          <w:noProof/>
          <w:lang w:bidi="en-US"/>
        </w:rPr>
        <w:t>75</w:t>
      </w:r>
      <w:bookmarkEnd w:id="43"/>
      <w:r w:rsidRPr="002C4EF9">
        <w:rPr>
          <w:lang w:bidi="en-US"/>
        </w:rPr>
        <w:fldChar w:fldCharType="end"/>
      </w:r>
      <w:r w:rsidRPr="002C4EF9">
        <w:rPr>
          <w:lang w:bidi="en-US"/>
        </w:rPr>
        <w:t xml:space="preserve">.  The Court does not lose sight of the ease, scope and speed of the dissemination of information on the Internet, and the persistence of such information once disclosed, which may considerably aggravate the effects of unlawful speech compared to traditional media (see </w:t>
      </w:r>
      <w:r w:rsidRPr="002C4EF9">
        <w:rPr>
          <w:i/>
          <w:iCs/>
          <w:lang w:bidi="en-US"/>
        </w:rPr>
        <w:t>Delfi AS</w:t>
      </w:r>
      <w:r w:rsidRPr="002C4EF9">
        <w:rPr>
          <w:lang w:bidi="en-US"/>
        </w:rPr>
        <w:t xml:space="preserve">, cited above, § 147). </w:t>
      </w:r>
      <w:r w:rsidRPr="002C4EF9">
        <w:t xml:space="preserve">It therefore agrees with the Government (see paragraph </w:t>
      </w:r>
      <w:r w:rsidRPr="002C4EF9">
        <w:fldChar w:fldCharType="begin"/>
      </w:r>
      <w:r w:rsidRPr="002C4EF9">
        <w:instrText xml:space="preserve"> REF paragraph56 \h  \* MERGEFORMAT </w:instrText>
      </w:r>
      <w:r w:rsidRPr="002C4EF9">
        <w:fldChar w:fldCharType="separate"/>
      </w:r>
      <w:r w:rsidRPr="002C4EF9">
        <w:t>61</w:t>
      </w:r>
      <w:r w:rsidRPr="002C4EF9">
        <w:fldChar w:fldCharType="end"/>
      </w:r>
      <w:r w:rsidRPr="002C4EF9">
        <w:t xml:space="preserve"> above) that the Convention does not provide for an absolute right to anonymity on the Internet.</w:t>
      </w:r>
    </w:p>
    <w:p w:rsidRPr="002C4EF9" w:rsidR="002C4EF9" w:rsidP="002C4EF9" w14:paraId="319B3FE9" w14:textId="733C245E">
      <w:pPr>
        <w:pStyle w:val="JuPara"/>
      </w:pPr>
      <w:r>
        <w:fldChar w:fldCharType="begin"/>
      </w:r>
      <w:r>
        <w:instrText xml:space="preserve"> SEQ level0 \*arabic \* MERGEFORMAT </w:instrText>
      </w:r>
      <w:r>
        <w:fldChar w:fldCharType="separate"/>
      </w:r>
      <w:bookmarkStart w:name="paragraph00076" w:id="44"/>
      <w:r w:rsidRPr="002C4EF9">
        <w:rPr>
          <w:noProof/>
        </w:rPr>
        <w:t>76</w:t>
      </w:r>
      <w:bookmarkEnd w:id="44"/>
      <w:r>
        <w:fldChar w:fldCharType="end"/>
      </w:r>
      <w:r w:rsidRPr="002C4EF9">
        <w:t xml:space="preserve">.  At the same time, the Court is mindful of the interest of Internet users in not disclosing their identity. Anonymity has long been a means of avoiding reprisals or unwanted attention. As such, it is capable of promoting the free flow of opinions, ideas and information in an important manner, including, notably, on the Internet (see </w:t>
      </w:r>
      <w:r w:rsidRPr="002C4EF9">
        <w:rPr>
          <w:i/>
          <w:iCs/>
        </w:rPr>
        <w:t>Delfi AS</w:t>
      </w:r>
      <w:r w:rsidRPr="002C4EF9">
        <w:t>, cited above, § 147). Thus, it can indirectly also serve the interests of a media company (see paragraph </w:t>
      </w:r>
      <w:r w:rsidRPr="002C4EF9">
        <w:fldChar w:fldCharType="begin"/>
      </w:r>
      <w:r w:rsidRPr="002C4EF9">
        <w:instrText xml:space="preserve"> REF paragraph00074 \h  \* CharFormat  \* MERGEFORMAT </w:instrText>
      </w:r>
      <w:r w:rsidRPr="002C4EF9">
        <w:fldChar w:fldCharType="separate"/>
      </w:r>
      <w:r w:rsidRPr="002C4EF9">
        <w:t>74</w:t>
      </w:r>
      <w:r w:rsidRPr="002C4EF9">
        <w:fldChar w:fldCharType="end"/>
      </w:r>
      <w:r w:rsidRPr="002C4EF9">
        <w:t xml:space="preserve"> above).</w:t>
      </w:r>
    </w:p>
    <w:p w:rsidRPr="002C4EF9" w:rsidR="002C4EF9" w:rsidP="002C4EF9" w14:paraId="2BEF9F51" w14:textId="48AE034E">
      <w:pPr>
        <w:pStyle w:val="JuPara"/>
      </w:pPr>
      <w:r>
        <w:fldChar w:fldCharType="begin"/>
      </w:r>
      <w:r>
        <w:instrText xml:space="preserve"> SEQ level0 \*arabic \* MERGEFORMAT </w:instrText>
      </w:r>
      <w:r>
        <w:fldChar w:fldCharType="separate"/>
      </w:r>
      <w:bookmarkStart w:name="paragraph00077" w:id="45"/>
      <w:r w:rsidRPr="002C4EF9">
        <w:rPr>
          <w:noProof/>
        </w:rPr>
        <w:t>77</w:t>
      </w:r>
      <w:bookmarkEnd w:id="45"/>
      <w:r>
        <w:fldChar w:fldCharType="end"/>
      </w:r>
      <w:r w:rsidRPr="002C4EF9">
        <w:t xml:space="preserve">.  The Court observes that different degrees of anonymity are possible on the Internet. An Internet user may be anonymous to the wider public while being identifiable by a service provider through an account or contact data that may be either unverified or subject to some kind of verification. A service provider may also allow an extensive degree of anonymity for its users, in which case users are not required to identify themselves at all and they may only be traceable – to a limited extent – through the information retained by Internet access providers. The release of such information would usually require an injunction by the investigative or judicial authorities and would be subject to restrictive conditions. It may nevertheless be required in some cases in order to identify and prosecute perpetrators (see </w:t>
      </w:r>
      <w:r w:rsidRPr="002C4EF9">
        <w:rPr>
          <w:i/>
          <w:iCs/>
        </w:rPr>
        <w:t>Delfi AS</w:t>
      </w:r>
      <w:r w:rsidRPr="002C4EF9">
        <w:t>, cited above, § 148).</w:t>
      </w:r>
    </w:p>
    <w:p w:rsidRPr="002C4EF9" w:rsidR="002C4EF9" w:rsidP="002C4EF9" w14:paraId="22BFBFD1" w14:textId="260920F9">
      <w:pPr>
        <w:pStyle w:val="JuPara"/>
      </w:pPr>
      <w:r>
        <w:fldChar w:fldCharType="begin"/>
      </w:r>
      <w:r>
        <w:instrText xml:space="preserve"> SEQ level0 \*arabic \* MERGEFORMAT </w:instrText>
      </w:r>
      <w:r>
        <w:fldChar w:fldCharType="separate"/>
      </w:r>
      <w:bookmarkStart w:name="paragraph00078" w:id="46"/>
      <w:r w:rsidRPr="002C4EF9">
        <w:rPr>
          <w:noProof/>
        </w:rPr>
        <w:t>78</w:t>
      </w:r>
      <w:bookmarkEnd w:id="46"/>
      <w:r>
        <w:fldChar w:fldCharType="end"/>
      </w:r>
      <w:r w:rsidRPr="002C4EF9">
        <w:t xml:space="preserve">.  In the instant case, the applicant company, as a media company, awards its users a certain degree of anonymity not only in order to protect its freedom of the press but also to protect users’ private sphere and freedom of expression – rights all guaranteed by Articles 8 and 10 of the Convention (see paragraphs </w:t>
      </w:r>
      <w:r w:rsidRPr="002C4EF9">
        <w:fldChar w:fldCharType="begin"/>
      </w:r>
      <w:r w:rsidRPr="002C4EF9">
        <w:instrText xml:space="preserve"> REF paragraph00068 \h  \* CharFormat  \* MERGEFORMAT </w:instrText>
      </w:r>
      <w:r w:rsidRPr="002C4EF9">
        <w:fldChar w:fldCharType="separate"/>
      </w:r>
      <w:r w:rsidRPr="002C4EF9">
        <w:t>68</w:t>
      </w:r>
      <w:r w:rsidRPr="002C4EF9">
        <w:fldChar w:fldCharType="end"/>
      </w:r>
      <w:r w:rsidRPr="002C4EF9">
        <w:t xml:space="preserve"> and </w:t>
      </w:r>
      <w:r w:rsidRPr="002C4EF9">
        <w:fldChar w:fldCharType="begin"/>
      </w:r>
      <w:r w:rsidRPr="002C4EF9">
        <w:instrText xml:space="preserve"> REF paragraph00073 \h  \* CharFormat  \* MERGEFORMAT </w:instrText>
      </w:r>
      <w:r w:rsidRPr="002C4EF9">
        <w:fldChar w:fldCharType="separate"/>
      </w:r>
      <w:r w:rsidRPr="002C4EF9">
        <w:t>73</w:t>
      </w:r>
      <w:r w:rsidRPr="002C4EF9">
        <w:fldChar w:fldCharType="end"/>
      </w:r>
      <w:r w:rsidRPr="002C4EF9">
        <w:t xml:space="preserve"> above). The Court observes that this anonymity would not be effective if the applicant company could not defend it by its own means. It would be difficult for users to defend their anonymity themselves should their identities be disclosed to the civil courts.</w:t>
      </w:r>
    </w:p>
    <w:p w:rsidRPr="002C4EF9" w:rsidR="002C4EF9" w:rsidP="002C4EF9" w14:paraId="312E8327" w14:textId="5BA91A5D">
      <w:pPr>
        <w:pStyle w:val="JuPara"/>
      </w:pPr>
      <w:r w:rsidRPr="002C4EF9">
        <w:fldChar w:fldCharType="begin"/>
      </w:r>
      <w:r w:rsidRPr="002C4EF9">
        <w:instrText xml:space="preserve"> SEQ level0 \*arabic </w:instrText>
      </w:r>
      <w:r w:rsidRPr="002C4EF9">
        <w:fldChar w:fldCharType="separate"/>
      </w:r>
      <w:r w:rsidRPr="002C4EF9">
        <w:rPr>
          <w:noProof/>
        </w:rPr>
        <w:t>79</w:t>
      </w:r>
      <w:r w:rsidRPr="002C4EF9">
        <w:fldChar w:fldCharType="end"/>
      </w:r>
      <w:r w:rsidRPr="002C4EF9">
        <w:t xml:space="preserve">.  The Government’s argument that no final decision on the lawfulness of the comments has been taken (see paragraph </w:t>
      </w:r>
      <w:r w:rsidRPr="002C4EF9">
        <w:fldChar w:fldCharType="begin"/>
      </w:r>
      <w:r w:rsidRPr="002C4EF9">
        <w:instrText xml:space="preserve"> REF paragraph54 \h  \* MERGEFORMAT </w:instrText>
      </w:r>
      <w:r w:rsidRPr="002C4EF9">
        <w:fldChar w:fldCharType="separate"/>
      </w:r>
      <w:r w:rsidRPr="002C4EF9">
        <w:t>59</w:t>
      </w:r>
      <w:r w:rsidRPr="002C4EF9">
        <w:fldChar w:fldCharType="end"/>
      </w:r>
      <w:r w:rsidRPr="002C4EF9">
        <w:t xml:space="preserve"> </w:t>
      </w:r>
      <w:r w:rsidRPr="002C4EF9">
        <w:rPr>
          <w:i/>
          <w:iCs/>
        </w:rPr>
        <w:t xml:space="preserve">in fine </w:t>
      </w:r>
      <w:r w:rsidRPr="002C4EF9">
        <w:t xml:space="preserve">above) does not change the evaluation, as the interference lies in the lifting of anonymity and the effects thereof, irrespective of the outcome of any subsequent proceedings. Such an interference with the media company’s rights will weigh less heavily than the interference in a case where the media company is held liable for the content of a particular comment by being fined or obliged to delete it. The weight of a given interference is however a matter to be examined in a proportionality test when balancing the interests at stake (see paragraphs </w:t>
      </w:r>
      <w:r w:rsidRPr="002C4EF9">
        <w:fldChar w:fldCharType="begin"/>
      </w:r>
      <w:r w:rsidRPr="002C4EF9">
        <w:instrText xml:space="preserve"> REF paragraph00092 \h  \* CharFormat  \* MERGEFORMAT </w:instrText>
      </w:r>
      <w:r w:rsidRPr="002C4EF9">
        <w:fldChar w:fldCharType="separate"/>
      </w:r>
      <w:r w:rsidRPr="002C4EF9">
        <w:t>92</w:t>
      </w:r>
      <w:r w:rsidRPr="002C4EF9">
        <w:fldChar w:fldCharType="end"/>
      </w:r>
      <w:r w:rsidRPr="002C4EF9">
        <w:t>-</w:t>
      </w:r>
      <w:r w:rsidRPr="002C4EF9">
        <w:fldChar w:fldCharType="begin"/>
      </w:r>
      <w:r w:rsidRPr="002C4EF9">
        <w:instrText xml:space="preserve"> REF paragraph00090 \h  \* CharFormat  \* MERGEFORMAT </w:instrText>
      </w:r>
      <w:r w:rsidRPr="002C4EF9">
        <w:fldChar w:fldCharType="separate"/>
      </w:r>
      <w:r w:rsidRPr="002C4EF9">
        <w:t>95</w:t>
      </w:r>
      <w:r w:rsidRPr="002C4EF9">
        <w:fldChar w:fldCharType="end"/>
      </w:r>
      <w:r w:rsidRPr="002C4EF9">
        <w:t xml:space="preserve"> below).</w:t>
      </w:r>
    </w:p>
    <w:p w:rsidRPr="002C4EF9" w:rsidR="002C4EF9" w:rsidP="002C4EF9" w14:paraId="606A3AEB" w14:textId="64ECA522">
      <w:pPr>
        <w:pStyle w:val="JuPara"/>
      </w:pPr>
      <w:r w:rsidRPr="002C4EF9">
        <w:fldChar w:fldCharType="begin"/>
      </w:r>
      <w:r w:rsidRPr="002C4EF9">
        <w:instrText xml:space="preserve"> SEQ level0 \*arabic </w:instrText>
      </w:r>
      <w:r w:rsidRPr="002C4EF9">
        <w:fldChar w:fldCharType="separate"/>
      </w:r>
      <w:r w:rsidRPr="002C4EF9">
        <w:rPr>
          <w:noProof/>
        </w:rPr>
        <w:t>80</w:t>
      </w:r>
      <w:r w:rsidRPr="002C4EF9">
        <w:fldChar w:fldCharType="end"/>
      </w:r>
      <w:r w:rsidRPr="002C4EF9">
        <w:t xml:space="preserve">.  The Court therefore finds that the domestic courts’ orders, in the two sets of proceedings, to disclose the requested user data constituted an interference with the applicant company’s right to enjoy freedom of the press under Article 10 </w:t>
      </w:r>
      <w:r w:rsidRPr="002C4EF9">
        <w:rPr>
          <w:rFonts w:cstheme="minorHAnsi"/>
        </w:rPr>
        <w:t>§ </w:t>
      </w:r>
      <w:r w:rsidRPr="002C4EF9">
        <w:t xml:space="preserve">1 of the Convention. Such interference will be incompatible with Article 10 </w:t>
      </w:r>
      <w:r w:rsidRPr="002C4EF9">
        <w:rPr>
          <w:rFonts w:cstheme="minorHAnsi"/>
        </w:rPr>
        <w:t>§</w:t>
      </w:r>
      <w:r w:rsidRPr="002C4EF9">
        <w:t> 2 of the Convention unless it is “prescribed by law”, pursues one or more legitimate aims and is “necessary in a democratic society” in order to achieve the aim or aims concerned.</w:t>
      </w:r>
    </w:p>
    <w:p w:rsidRPr="002C4EF9" w:rsidR="002C4EF9" w:rsidP="002C4EF9" w14:paraId="66633BB6" w14:textId="77777777">
      <w:pPr>
        <w:pStyle w:val="JuHa0"/>
      </w:pPr>
      <w:r w:rsidRPr="002C4EF9">
        <w:t>Lawfulness and legitimate aim</w:t>
      </w:r>
    </w:p>
    <w:p w:rsidRPr="002C4EF9" w:rsidR="002C4EF9" w:rsidP="002C4EF9" w14:paraId="07F69601" w14:textId="51D232BE">
      <w:pPr>
        <w:pStyle w:val="JuPara"/>
      </w:pPr>
      <w:r w:rsidRPr="002C4EF9">
        <w:fldChar w:fldCharType="begin"/>
      </w:r>
      <w:r w:rsidRPr="002C4EF9">
        <w:instrText xml:space="preserve"> SEQ level0 \*arabic </w:instrText>
      </w:r>
      <w:r w:rsidRPr="002C4EF9">
        <w:fldChar w:fldCharType="separate"/>
      </w:r>
      <w:r w:rsidRPr="002C4EF9">
        <w:rPr>
          <w:noProof/>
        </w:rPr>
        <w:t>81</w:t>
      </w:r>
      <w:r w:rsidRPr="002C4EF9">
        <w:fldChar w:fldCharType="end"/>
      </w:r>
      <w:r w:rsidRPr="002C4EF9">
        <w:t xml:space="preserve">.  It was not disputed between the parties that the interference was prescribed by law (namely, by section 18(4) of the E-Commerce Act – see paragraph </w:t>
      </w:r>
      <w:r w:rsidRPr="002C4EF9">
        <w:fldChar w:fldCharType="begin"/>
      </w:r>
      <w:r w:rsidRPr="002C4EF9">
        <w:instrText xml:space="preserve"> REF paragraph37 \h  \* MERGEFORMAT </w:instrText>
      </w:r>
      <w:r w:rsidRPr="002C4EF9">
        <w:fldChar w:fldCharType="separate"/>
      </w:r>
      <w:r w:rsidRPr="002C4EF9">
        <w:t>37</w:t>
      </w:r>
      <w:r w:rsidRPr="002C4EF9">
        <w:fldChar w:fldCharType="end"/>
      </w:r>
      <w:r w:rsidRPr="002C4EF9">
        <w:t xml:space="preserve"> above), nor that it served a legitimate aim (namely, the protection of the reputation and rights of others).</w:t>
      </w:r>
    </w:p>
    <w:p w:rsidRPr="002C4EF9" w:rsidR="002C4EF9" w:rsidP="002C4EF9" w14:paraId="19E55286" w14:textId="77777777">
      <w:pPr>
        <w:pStyle w:val="JuHa0"/>
        <w:rPr>
          <w:rFonts w:asciiTheme="minorHAnsi" w:hAnsiTheme="minorHAnsi" w:eastAsiaTheme="minorHAnsi" w:cstheme="minorBidi"/>
          <w:b w:val="0"/>
          <w:bCs w:val="0"/>
          <w:sz w:val="24"/>
          <w:szCs w:val="24"/>
        </w:rPr>
      </w:pPr>
      <w:r w:rsidRPr="002C4EF9">
        <w:t>Necessary in a democratic society</w:t>
      </w:r>
    </w:p>
    <w:p w:rsidRPr="002C4EF9" w:rsidR="002C4EF9" w:rsidP="002C4EF9" w14:paraId="0D9B8DF6" w14:textId="4EA91246">
      <w:pPr>
        <w:pStyle w:val="JuPara"/>
      </w:pPr>
      <w:r w:rsidRPr="002C4EF9">
        <w:fldChar w:fldCharType="begin"/>
      </w:r>
      <w:r w:rsidRPr="002C4EF9">
        <w:instrText xml:space="preserve"> SEQ level0 \*arabic </w:instrText>
      </w:r>
      <w:r w:rsidRPr="002C4EF9">
        <w:fldChar w:fldCharType="separate"/>
      </w:r>
      <w:r w:rsidRPr="002C4EF9">
        <w:rPr>
          <w:noProof/>
        </w:rPr>
        <w:t>82</w:t>
      </w:r>
      <w:r w:rsidRPr="002C4EF9">
        <w:fldChar w:fldCharType="end"/>
      </w:r>
      <w:r w:rsidRPr="002C4EF9">
        <w:t>.  It remains to be determined whether the impugned interference was “necessary in a democratic society”.</w:t>
      </w:r>
    </w:p>
    <w:p w:rsidRPr="002C4EF9" w:rsidR="002C4EF9" w:rsidP="002C4EF9" w14:paraId="23A1E173" w14:textId="77777777">
      <w:pPr>
        <w:pStyle w:val="JuHi"/>
        <w:spacing w:line="240" w:lineRule="auto"/>
      </w:pPr>
      <w:r w:rsidRPr="002C4EF9">
        <w:t>General principles</w:t>
      </w:r>
    </w:p>
    <w:p w:rsidRPr="002C4EF9" w:rsidR="002C4EF9" w:rsidP="002C4EF9" w14:paraId="1452AC68" w14:textId="2C190E6F">
      <w:pPr>
        <w:pStyle w:val="JuPara"/>
      </w:pPr>
      <w:r w:rsidRPr="002C4EF9">
        <w:fldChar w:fldCharType="begin"/>
      </w:r>
      <w:r w:rsidRPr="002C4EF9">
        <w:instrText xml:space="preserve"> SEQ level0 \*arabic </w:instrText>
      </w:r>
      <w:r w:rsidRPr="002C4EF9">
        <w:fldChar w:fldCharType="separate"/>
      </w:r>
      <w:r w:rsidRPr="002C4EF9">
        <w:rPr>
          <w:noProof/>
        </w:rPr>
        <w:t>83</w:t>
      </w:r>
      <w:r w:rsidRPr="002C4EF9">
        <w:fldChar w:fldCharType="end"/>
      </w:r>
      <w:r w:rsidRPr="002C4EF9">
        <w:t xml:space="preserve">.  Freedom of expression constitutes one of the essential foundations of a democratic society and one of the basic conditions for its progress and for each individual’s self-fulfilment.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As enshrined in Article 10, freedom of expression is subject to exceptions, which must, however, be construed strictly, and the need for any restrictions must be established convincingly (see, for example, </w:t>
      </w:r>
      <w:r w:rsidRPr="002C4EF9">
        <w:rPr>
          <w:i/>
        </w:rPr>
        <w:t>Couderc and Hachette Filipacchi Associés</w:t>
      </w:r>
      <w:r w:rsidRPr="002C4EF9">
        <w:t xml:space="preserve"> </w:t>
      </w:r>
      <w:r w:rsidRPr="002C4EF9">
        <w:rPr>
          <w:i/>
        </w:rPr>
        <w:t>v. France</w:t>
      </w:r>
      <w:r w:rsidRPr="002C4EF9">
        <w:t xml:space="preserve"> [GC], no. 40454/07, § 88, ECHR 2015 and the cases cited therein).</w:t>
      </w:r>
    </w:p>
    <w:p w:rsidRPr="002C4EF9" w:rsidR="002C4EF9" w:rsidP="002C4EF9" w14:paraId="42ACCB07" w14:textId="5777C26D">
      <w:pPr>
        <w:pStyle w:val="JuPara"/>
      </w:pPr>
      <w:r w:rsidRPr="002C4EF9">
        <w:fldChar w:fldCharType="begin"/>
      </w:r>
      <w:r w:rsidRPr="002C4EF9">
        <w:instrText xml:space="preserve"> SEQ level0 \*arabic </w:instrText>
      </w:r>
      <w:r w:rsidRPr="002C4EF9">
        <w:fldChar w:fldCharType="separate"/>
      </w:r>
      <w:bookmarkStart w:name="paragraph00080" w:id="47"/>
      <w:r w:rsidRPr="002C4EF9">
        <w:rPr>
          <w:noProof/>
        </w:rPr>
        <w:t>84</w:t>
      </w:r>
      <w:bookmarkEnd w:id="47"/>
      <w:r w:rsidRPr="002C4EF9">
        <w:fldChar w:fldCharType="end"/>
      </w:r>
      <w:r w:rsidRPr="002C4EF9">
        <w:t xml:space="preserve">.  The relevant principles concerning the balancing of interests when examining an interference with freedom of expression have been summarised as follows (see </w:t>
      </w:r>
      <w:r w:rsidRPr="002C4EF9">
        <w:rPr>
          <w:i/>
          <w:iCs/>
        </w:rPr>
        <w:t>Delfi AS</w:t>
      </w:r>
      <w:r w:rsidRPr="002C4EF9">
        <w:t>, cited above, §§ 138 and 139):</w:t>
      </w:r>
    </w:p>
    <w:p w:rsidRPr="002C4EF9" w:rsidR="002C4EF9" w:rsidP="002C4EF9" w14:paraId="79F59CB0" w14:textId="0BE18EE7">
      <w:pPr>
        <w:pStyle w:val="JuQuot"/>
      </w:pPr>
      <w:r w:rsidRPr="002C4EF9">
        <w:t xml:space="preserve">“138.  When examining whether there is a need for an interference with freedom of expression in a democratic society in the interests of the ‘protection of the reputation or rights of others’, the Court may be required to ascertain whether the domestic authorities have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w:t>
      </w:r>
      <w:r w:rsidRPr="002C4EF9">
        <w:rPr>
          <w:rFonts w:cstheme="minorHAnsi"/>
        </w:rPr>
        <w:t xml:space="preserve">(see </w:t>
      </w:r>
      <w:r w:rsidRPr="002C4EF9">
        <w:rPr>
          <w:rFonts w:cstheme="minorHAnsi"/>
          <w:i/>
        </w:rPr>
        <w:t>Hachette Filipacchi Associés v. France</w:t>
      </w:r>
      <w:r w:rsidRPr="002C4EF9">
        <w:rPr>
          <w:rFonts w:cstheme="minorHAnsi"/>
        </w:rPr>
        <w:t xml:space="preserve">, no. 71111/01, § 43, 14 June 2007; </w:t>
      </w:r>
      <w:r w:rsidRPr="002C4EF9">
        <w:rPr>
          <w:rFonts w:cstheme="minorHAnsi"/>
          <w:i/>
        </w:rPr>
        <w:t>MGN Limited v. the United Kingdom</w:t>
      </w:r>
      <w:r w:rsidRPr="002C4EF9">
        <w:rPr>
          <w:rFonts w:cstheme="minorHAnsi"/>
        </w:rPr>
        <w:t>, no. 39401/04</w:t>
      </w:r>
      <w:r w:rsidRPr="002C4EF9">
        <w:rPr>
          <w:rFonts w:cstheme="minorHAnsi"/>
          <w:snapToGrid w:val="0"/>
        </w:rPr>
        <w:t xml:space="preserve">, § 142, 18 January 2011; and </w:t>
      </w:r>
      <w:r w:rsidRPr="002C4EF9">
        <w:rPr>
          <w:rFonts w:cstheme="minorHAnsi"/>
          <w:i/>
        </w:rPr>
        <w:t xml:space="preserve">Axel Springer AG </w:t>
      </w:r>
      <w:r w:rsidRPr="002C4EF9">
        <w:t>[</w:t>
      </w:r>
      <w:r w:rsidRPr="002C4EF9">
        <w:rPr>
          <w:i/>
        </w:rPr>
        <w:t>v. Germany</w:t>
      </w:r>
      <w:r w:rsidRPr="002C4EF9">
        <w:t xml:space="preserve"> [GC], no. 39954/08,] § 84[, 7 February 2012]</w:t>
      </w:r>
      <w:r w:rsidRPr="002C4EF9">
        <w:rPr>
          <w:rFonts w:cstheme="minorHAnsi"/>
          <w:snapToGrid w:val="0"/>
        </w:rPr>
        <w:t>).</w:t>
      </w:r>
    </w:p>
    <w:p w:rsidRPr="002C4EF9" w:rsidR="002C4EF9" w:rsidP="002C4EF9" w14:paraId="5E890146" w14:textId="4EDECCBD">
      <w:pPr>
        <w:pStyle w:val="JuQuot"/>
      </w:pPr>
      <w:r w:rsidRPr="002C4EF9">
        <w:t xml:space="preserve">139.  The Court has found that, as a matter of principle, the rights guaranteed under Articles 8 and 10 deserve equal respect, and the outcome of an application should not, in principle, vary according to whether it has been lodged with the Court under Article 10 of the Convention by the publisher of an offending article or under Article 8 of the Convention by the person who was the subject of that article. Accordingly, the margin of appreciation should in principle be the same in both cases (see </w:t>
      </w:r>
      <w:r w:rsidRPr="002C4EF9">
        <w:rPr>
          <w:i/>
        </w:rPr>
        <w:t>Axel Springer AG</w:t>
      </w:r>
      <w:r w:rsidRPr="002C4EF9">
        <w:t xml:space="preserve">, cited above, § 87, and </w:t>
      </w:r>
      <w:r w:rsidRPr="002C4EF9">
        <w:rPr>
          <w:i/>
          <w:iCs/>
        </w:rPr>
        <w:t>Von Hannover v. Germany</w:t>
      </w:r>
      <w:r w:rsidRPr="002C4EF9">
        <w:t xml:space="preserve"> </w:t>
      </w:r>
      <w:r w:rsidRPr="002C4EF9">
        <w:rPr>
          <w:i/>
          <w:iCs/>
        </w:rPr>
        <w:t>(no. 2)</w:t>
      </w:r>
      <w:r w:rsidRPr="002C4EF9">
        <w:t xml:space="preserve"> [GC], nos. </w:t>
      </w:r>
      <w:hyperlink w:tgtFrame="_blank" w:history="1" w:anchor="{" r:id="rId7">
        <w:r w:rsidRPr="002C4EF9">
          <w:t>40660/08</w:t>
        </w:r>
      </w:hyperlink>
      <w:r w:rsidRPr="002C4EF9">
        <w:t xml:space="preserve"> and </w:t>
      </w:r>
      <w:hyperlink w:tgtFrame="_blank" w:history="1" w:anchor="{" r:id="rId7">
        <w:r w:rsidRPr="002C4EF9">
          <w:t>60641/08</w:t>
        </w:r>
      </w:hyperlink>
      <w:r w:rsidRPr="002C4EF9">
        <w:t>, § 106, ECHR 2012</w:t>
      </w:r>
      <w:r w:rsidRPr="002C4EF9">
        <w:rPr>
          <w:rFonts w:cstheme="minorHAnsi"/>
          <w:snapToGrid w:val="0"/>
        </w:rPr>
        <w:t xml:space="preserve">, </w:t>
      </w:r>
      <w:r w:rsidRPr="002C4EF9">
        <w:rPr>
          <w:rFonts w:cstheme="minorHAnsi"/>
        </w:rPr>
        <w:t xml:space="preserve">with further references to </w:t>
      </w:r>
      <w:r w:rsidRPr="002C4EF9">
        <w:rPr>
          <w:rFonts w:cstheme="minorHAnsi"/>
          <w:i/>
        </w:rPr>
        <w:t>Hachette Filipacchi Associés (</w:t>
      </w:r>
      <w:r w:rsidRPr="002C4EF9">
        <w:rPr>
          <w:rFonts w:cstheme="minorHAnsi"/>
        </w:rPr>
        <w:t>ICI PARIS</w:t>
      </w:r>
      <w:r w:rsidRPr="002C4EF9">
        <w:rPr>
          <w:rFonts w:cstheme="minorHAnsi"/>
          <w:i/>
        </w:rPr>
        <w:t>)</w:t>
      </w:r>
      <w:r w:rsidRPr="002C4EF9">
        <w:rPr>
          <w:rFonts w:cstheme="minorHAnsi"/>
        </w:rPr>
        <w:t xml:space="preserve">, no. 12268/03, § 41, 23 July 2009; </w:t>
      </w:r>
      <w:r w:rsidRPr="002C4EF9">
        <w:rPr>
          <w:rFonts w:cstheme="minorHAnsi"/>
          <w:i/>
          <w:snapToGrid w:val="0"/>
        </w:rPr>
        <w:t>Timciuc v. Romania</w:t>
      </w:r>
      <w:r w:rsidRPr="002C4EF9">
        <w:rPr>
          <w:rFonts w:cstheme="minorHAnsi"/>
          <w:snapToGrid w:val="0"/>
        </w:rPr>
        <w:t xml:space="preserve"> (dec.), no. 28999/03, § 144, 12 October 2010</w:t>
      </w:r>
      <w:r w:rsidRPr="002C4EF9">
        <w:rPr>
          <w:rFonts w:cstheme="minorHAnsi"/>
        </w:rPr>
        <w:t xml:space="preserve">; and </w:t>
      </w:r>
      <w:r w:rsidRPr="002C4EF9">
        <w:rPr>
          <w:rFonts w:cstheme="minorHAnsi"/>
          <w:i/>
        </w:rPr>
        <w:t>Mosley v. the United Kingdom</w:t>
      </w:r>
      <w:r w:rsidRPr="002C4EF9">
        <w:rPr>
          <w:rFonts w:cstheme="minorHAnsi"/>
        </w:rPr>
        <w:t>, no. 48009/08</w:t>
      </w:r>
      <w:r w:rsidRPr="002C4EF9">
        <w:rPr>
          <w:rFonts w:cstheme="minorHAnsi"/>
          <w:snapToGrid w:val="0"/>
        </w:rPr>
        <w:t>, § 111, 10 May 2011</w:t>
      </w:r>
      <w:r w:rsidRPr="002C4EF9">
        <w:t xml:space="preserve">). Where the balancing exercise between those two rights has been undertaken by the national authorities in conformity with the criteria laid down in the Court’s case-law, the Court would require strong reasons to substitute its view for that of the domestic courts (see </w:t>
      </w:r>
      <w:r w:rsidRPr="002C4EF9">
        <w:rPr>
          <w:i/>
          <w:iCs/>
        </w:rPr>
        <w:t>Axel Springer AG</w:t>
      </w:r>
      <w:r w:rsidRPr="002C4EF9">
        <w:t xml:space="preserve">, cited above, § 88, and </w:t>
      </w:r>
      <w:r w:rsidRPr="002C4EF9">
        <w:rPr>
          <w:i/>
          <w:iCs/>
        </w:rPr>
        <w:t>Von Hannover</w:t>
      </w:r>
      <w:r w:rsidRPr="002C4EF9">
        <w:t xml:space="preserve">, cited above, § 107, with further references </w:t>
      </w:r>
      <w:r w:rsidRPr="002C4EF9">
        <w:rPr>
          <w:rFonts w:cstheme="minorHAnsi"/>
        </w:rPr>
        <w:t xml:space="preserve">to </w:t>
      </w:r>
      <w:r w:rsidRPr="002C4EF9">
        <w:rPr>
          <w:i/>
        </w:rPr>
        <w:t>MGN Limited</w:t>
      </w:r>
      <w:r w:rsidRPr="002C4EF9">
        <w:rPr>
          <w:snapToGrid w:val="0"/>
        </w:rPr>
        <w:t>, cited above, §§ 150 and 155</w:t>
      </w:r>
      <w:r w:rsidRPr="002C4EF9">
        <w:t>, and</w:t>
      </w:r>
      <w:r w:rsidRPr="002C4EF9">
        <w:rPr>
          <w:snapToGrid w:val="0"/>
        </w:rPr>
        <w:t xml:space="preserve"> </w:t>
      </w:r>
      <w:r w:rsidRPr="002C4EF9">
        <w:rPr>
          <w:i/>
        </w:rPr>
        <w:t>Palomo Sánchez and Others v. Spain</w:t>
      </w:r>
      <w:r w:rsidRPr="002C4EF9">
        <w:t xml:space="preserve"> [GC], </w:t>
      </w:r>
      <w:r w:rsidRPr="002C4EF9">
        <w:rPr>
          <w:snapToGrid w:val="0"/>
        </w:rPr>
        <w:t>no</w:t>
      </w:r>
      <w:r w:rsidRPr="002C4EF9">
        <w:t>s</w:t>
      </w:r>
      <w:r w:rsidRPr="002C4EF9">
        <w:rPr>
          <w:snapToGrid w:val="0"/>
        </w:rPr>
        <w:t>.</w:t>
      </w:r>
      <w:r w:rsidRPr="002C4EF9">
        <w:t> 28955/06, 28957/06, 28959/06 and 28964/06</w:t>
      </w:r>
      <w:r w:rsidRPr="002C4EF9">
        <w:rPr>
          <w:snapToGrid w:val="0"/>
        </w:rPr>
        <w:t xml:space="preserve">, § 57, </w:t>
      </w:r>
      <w:r w:rsidRPr="002C4EF9">
        <w:t xml:space="preserve">ECHR </w:t>
      </w:r>
      <w:r w:rsidRPr="002C4EF9">
        <w:rPr>
          <w:snapToGrid w:val="0"/>
        </w:rPr>
        <w:t>2011</w:t>
      </w:r>
      <w:r w:rsidRPr="002C4EF9">
        <w:t xml:space="preserve">). In other words, </w:t>
      </w:r>
      <w:r w:rsidRPr="002C4EF9">
        <w:t xml:space="preserve">there will usually be a wide margin afforded by the Court if the State is required to strike a balance between competing private interests or competing Convention rights </w:t>
      </w:r>
      <w:r w:rsidRPr="002C4EF9">
        <w:rPr>
          <w:rFonts w:cstheme="minorHAnsi"/>
          <w:snapToGrid w:val="0"/>
        </w:rPr>
        <w:t xml:space="preserve">(see </w:t>
      </w:r>
      <w:r w:rsidRPr="002C4EF9">
        <w:rPr>
          <w:i/>
        </w:rPr>
        <w:t>Evans v. the United Kingdom</w:t>
      </w:r>
      <w:r w:rsidRPr="002C4EF9">
        <w:t xml:space="preserve"> [GC], no. 6339/05, § 77, ECHR 2007</w:t>
      </w:r>
      <w:r w:rsidRPr="002C4EF9">
        <w:noBreakHyphen/>
        <w:t xml:space="preserve">I; </w:t>
      </w:r>
      <w:r w:rsidRPr="002C4EF9">
        <w:rPr>
          <w:i/>
        </w:rPr>
        <w:t>Chassagnou and Others v. France</w:t>
      </w:r>
      <w:r w:rsidRPr="002C4EF9">
        <w:t xml:space="preserve"> [GC], nos. 25088/94, 28331/95 and 28443/95, § 113, ECHR 1999</w:t>
      </w:r>
      <w:r w:rsidRPr="002C4EF9">
        <w:noBreakHyphen/>
        <w:t xml:space="preserve">III; and </w:t>
      </w:r>
      <w:r w:rsidRPr="002C4EF9">
        <w:rPr>
          <w:i/>
        </w:rPr>
        <w:t>Ashby Donald and Others v. France</w:t>
      </w:r>
      <w:r w:rsidRPr="002C4EF9">
        <w:t>, no. 36769/08</w:t>
      </w:r>
      <w:r w:rsidRPr="002C4EF9">
        <w:rPr>
          <w:snapToGrid w:val="0"/>
        </w:rPr>
        <w:t xml:space="preserve">, § 40, </w:t>
      </w:r>
      <w:r w:rsidRPr="002C4EF9">
        <w:t>10</w:t>
      </w:r>
      <w:r w:rsidRPr="002C4EF9">
        <w:rPr>
          <w:snapToGrid w:val="0"/>
        </w:rPr>
        <w:t xml:space="preserve"> January 2013</w:t>
      </w:r>
      <w:r w:rsidRPr="002C4EF9">
        <w:rPr>
          <w:rFonts w:cstheme="minorHAnsi"/>
          <w:snapToGrid w:val="0"/>
        </w:rPr>
        <w:t>).</w:t>
      </w:r>
      <w:r w:rsidRPr="002C4EF9">
        <w:t>”</w:t>
      </w:r>
    </w:p>
    <w:p w:rsidRPr="002C4EF9" w:rsidR="002C4EF9" w:rsidP="002C4EF9" w14:paraId="4902C5A7" w14:textId="5485B6D5">
      <w:pPr>
        <w:pStyle w:val="JuPara"/>
      </w:pPr>
      <w:r w:rsidRPr="002C4EF9">
        <w:fldChar w:fldCharType="begin"/>
      </w:r>
      <w:r w:rsidRPr="002C4EF9">
        <w:instrText xml:space="preserve"> SEQ level0 \*arabic </w:instrText>
      </w:r>
      <w:r w:rsidRPr="002C4EF9">
        <w:fldChar w:fldCharType="separate"/>
      </w:r>
      <w:r w:rsidRPr="002C4EF9">
        <w:rPr>
          <w:noProof/>
        </w:rPr>
        <w:t>85</w:t>
      </w:r>
      <w:r w:rsidRPr="002C4EF9">
        <w:fldChar w:fldCharType="end"/>
      </w:r>
      <w:r w:rsidRPr="002C4EF9">
        <w:t>.  The Court has identified a number of relevant criteria that must guide its assessment when balancing Articles 8 and 10, of which the following are particularly pertinent to the present case: whether a contribution is made to a debate of public interest; the subject of the report in question; the prior conduct of the person concerned and how well he or she is known; the content, form and consequences of the publication in question; and the gravity of the penalty imposed on the journalists or publishers (see</w:t>
      </w:r>
      <w:r w:rsidRPr="002C4EF9">
        <w:rPr>
          <w:i/>
        </w:rPr>
        <w:t xml:space="preserve"> Von Hannover v. Germany (no. 2)</w:t>
      </w:r>
      <w:r w:rsidRPr="002C4EF9">
        <w:t xml:space="preserve"> [GC], nos. 40660/08 and 60641/08, §§ 109 to 113, ECHR 2012, and </w:t>
      </w:r>
      <w:r w:rsidRPr="002C4EF9">
        <w:rPr>
          <w:i/>
        </w:rPr>
        <w:t>Axel Springer AG v. Germany</w:t>
      </w:r>
      <w:r w:rsidRPr="002C4EF9">
        <w:t xml:space="preserve"> [GC], no. 39954/08, §§ 90 to 95, 7 February 2012).</w:t>
      </w:r>
    </w:p>
    <w:p w:rsidRPr="002C4EF9" w:rsidR="002C4EF9" w:rsidP="002C4EF9" w14:paraId="0A656EBD" w14:textId="428E3D98">
      <w:pPr>
        <w:pStyle w:val="JuPara"/>
      </w:pPr>
      <w:r>
        <w:fldChar w:fldCharType="begin"/>
      </w:r>
      <w:r>
        <w:instrText xml:space="preserve"> SEQ level0 \*arabic \* MERGEFORMAT </w:instrText>
      </w:r>
      <w:r>
        <w:fldChar w:fldCharType="separate"/>
      </w:r>
      <w:bookmarkStart w:name="paragraph00082" w:id="48"/>
      <w:r w:rsidRPr="002C4EF9">
        <w:rPr>
          <w:noProof/>
        </w:rPr>
        <w:t>86</w:t>
      </w:r>
      <w:bookmarkEnd w:id="48"/>
      <w:r>
        <w:fldChar w:fldCharType="end"/>
      </w:r>
      <w:r w:rsidRPr="002C4EF9">
        <w:t xml:space="preserve">.  In this connection, the Court reiterates that there is little scope under Article 10 § 2 of the Convention for restrictions on political speech or on debate on matters of public interest (see, for example, </w:t>
      </w:r>
      <w:r w:rsidRPr="002C4EF9">
        <w:rPr>
          <w:i/>
        </w:rPr>
        <w:t>Ceylan v. Turkey</w:t>
      </w:r>
      <w:r w:rsidRPr="002C4EF9">
        <w:t xml:space="preserve"> [GC], no. 23556/94, § 34, ECHR 1999</w:t>
      </w:r>
      <w:r w:rsidRPr="002C4EF9">
        <w:noBreakHyphen/>
        <w:t xml:space="preserve">IV; </w:t>
      </w:r>
      <w:r w:rsidRPr="002C4EF9">
        <w:rPr>
          <w:i/>
        </w:rPr>
        <w:t>Wingrove v. the United Kingdom</w:t>
      </w:r>
      <w:r w:rsidRPr="002C4EF9">
        <w:t xml:space="preserve">, 25 November 1996, § 58, </w:t>
      </w:r>
      <w:r w:rsidRPr="002C4EF9">
        <w:rPr>
          <w:i/>
        </w:rPr>
        <w:t xml:space="preserve">Reports </w:t>
      </w:r>
      <w:r w:rsidRPr="002C4EF9">
        <w:t>1996</w:t>
      </w:r>
      <w:r w:rsidRPr="002C4EF9">
        <w:noBreakHyphen/>
        <w:t>V; and, more recently,</w:t>
      </w:r>
      <w:r w:rsidRPr="002C4EF9">
        <w:rPr>
          <w:i/>
        </w:rPr>
        <w:t xml:space="preserve"> Couderc and Hachette Filipacchi Associés</w:t>
      </w:r>
      <w:r w:rsidRPr="002C4EF9">
        <w:t>, cited above, § 96).</w:t>
      </w:r>
    </w:p>
    <w:p w:rsidRPr="002C4EF9" w:rsidR="002C4EF9" w:rsidP="002C4EF9" w14:paraId="7055FEAE" w14:textId="43E4B3EC">
      <w:pPr>
        <w:pStyle w:val="JuPara"/>
      </w:pPr>
      <w:r w:rsidRPr="002C4EF9">
        <w:fldChar w:fldCharType="begin"/>
      </w:r>
      <w:r w:rsidRPr="002C4EF9">
        <w:instrText xml:space="preserve"> SEQ level0 \*arabic </w:instrText>
      </w:r>
      <w:r w:rsidRPr="002C4EF9">
        <w:fldChar w:fldCharType="separate"/>
      </w:r>
      <w:bookmarkStart w:name="paragraph78" w:id="49"/>
      <w:r w:rsidRPr="002C4EF9">
        <w:rPr>
          <w:noProof/>
        </w:rPr>
        <w:t>87</w:t>
      </w:r>
      <w:bookmarkEnd w:id="49"/>
      <w:r w:rsidRPr="002C4EF9">
        <w:fldChar w:fldCharType="end"/>
      </w:r>
      <w:r w:rsidRPr="002C4EF9">
        <w:t xml:space="preserve">.  As to the limits of acceptable criticism, the Court has repeatedly held that freedom of the press affords the public one of the best means of discovering and forming an opinion on the ideas and attitudes of political leaders. The limits of acceptable criticism are accordingly wider in respect of a politician than in respect of a private individual. Unlike the latter, the former inevitably and knowingly lays himself open to close scrutiny of his every word and deed by both journalists and the public at large, and he must consequently display a greater degree of tolerance, especially when he himself makes public statements that are susceptible of criticism (see, for example, </w:t>
      </w:r>
      <w:r w:rsidRPr="002C4EF9">
        <w:rPr>
          <w:i/>
        </w:rPr>
        <w:t>Oberschlick v. Austria (no. 1)</w:t>
      </w:r>
      <w:r w:rsidRPr="002C4EF9">
        <w:t xml:space="preserve">, 23 May 1991, §§ 58-59, Series A no. 204; </w:t>
      </w:r>
      <w:r w:rsidRPr="002C4EF9">
        <w:rPr>
          <w:i/>
        </w:rPr>
        <w:t>Lingens v. Austria</w:t>
      </w:r>
      <w:r w:rsidRPr="002C4EF9">
        <w:t xml:space="preserve">, 8 July 1986, § 42, Series A no. 103; and, more recently, </w:t>
      </w:r>
      <w:r w:rsidRPr="002C4EF9">
        <w:rPr>
          <w:i/>
        </w:rPr>
        <w:t>Couderc and Hachette Filipacchi Associés</w:t>
      </w:r>
      <w:r w:rsidRPr="002C4EF9">
        <w:t>, cited above, § 121).</w:t>
      </w:r>
    </w:p>
    <w:p w:rsidRPr="002C4EF9" w:rsidR="002C4EF9" w:rsidP="002C4EF9" w14:paraId="2E1857FE" w14:textId="66099E40">
      <w:pPr>
        <w:pStyle w:val="JuPara"/>
      </w:pPr>
      <w:r w:rsidRPr="002C4EF9">
        <w:fldChar w:fldCharType="begin"/>
      </w:r>
      <w:r w:rsidRPr="002C4EF9">
        <w:instrText xml:space="preserve"> SEQ level0 \*arabic </w:instrText>
      </w:r>
      <w:r w:rsidRPr="002C4EF9">
        <w:fldChar w:fldCharType="separate"/>
      </w:r>
      <w:bookmarkStart w:name="paragraph79" w:id="50"/>
      <w:r w:rsidRPr="002C4EF9">
        <w:rPr>
          <w:noProof/>
        </w:rPr>
        <w:t>88</w:t>
      </w:r>
      <w:bookmarkEnd w:id="50"/>
      <w:r w:rsidRPr="002C4EF9">
        <w:fldChar w:fldCharType="end"/>
      </w:r>
      <w:r w:rsidRPr="002C4EF9">
        <w:t xml:space="preserve">.  Moreover, the Court has clearly stated that speech that is incompatible with the values proclaimed and guaranteed by the Convention is not protected by Article 10, by virtue of Article 17 of the Convention. The examples of such speech examined by the Court have included statements denying the Holocaust, justifying a pro-Nazi policy, linking all Muslims with a grave act of terrorism, or portraying the Jews as the source of evil in Russia (see </w:t>
      </w:r>
      <w:r w:rsidRPr="002C4EF9">
        <w:rPr>
          <w:i/>
          <w:iCs/>
        </w:rPr>
        <w:t>Delfi AS</w:t>
      </w:r>
      <w:r w:rsidRPr="002C4EF9">
        <w:t>, cited above, § 136 and the cases cited therein).</w:t>
      </w:r>
    </w:p>
    <w:p w:rsidRPr="002C4EF9" w:rsidR="002C4EF9" w:rsidP="002C4EF9" w14:paraId="76F46BA2" w14:textId="77777777">
      <w:pPr>
        <w:pStyle w:val="JuHi"/>
        <w:spacing w:line="240" w:lineRule="auto"/>
      </w:pPr>
      <w:r w:rsidRPr="002C4EF9">
        <w:t>Application of those principles to the present case</w:t>
      </w:r>
    </w:p>
    <w:p w:rsidRPr="002C4EF9" w:rsidR="002C4EF9" w:rsidP="002C4EF9" w14:paraId="19D2272E" w14:textId="3623C5C6">
      <w:pPr>
        <w:pStyle w:val="JuPara"/>
      </w:pPr>
      <w:r w:rsidRPr="002C4EF9">
        <w:fldChar w:fldCharType="begin"/>
      </w:r>
      <w:r w:rsidRPr="002C4EF9">
        <w:instrText xml:space="preserve"> SEQ level0 \*arabic </w:instrText>
      </w:r>
      <w:r w:rsidRPr="002C4EF9">
        <w:fldChar w:fldCharType="separate"/>
      </w:r>
      <w:bookmarkStart w:name="paragraph83" w:id="51"/>
      <w:r w:rsidRPr="002C4EF9">
        <w:rPr>
          <w:noProof/>
        </w:rPr>
        <w:t>89</w:t>
      </w:r>
      <w:bookmarkEnd w:id="51"/>
      <w:r w:rsidRPr="002C4EF9">
        <w:fldChar w:fldCharType="end"/>
      </w:r>
      <w:r w:rsidRPr="002C4EF9">
        <w:t>.  The instant case concerns the question whether the applicant company had a duty, as a host, to disclose the personal data of its users, not its own civil (or criminal) liability for the users’ comments (see paragraph </w:t>
      </w:r>
      <w:r w:rsidRPr="002C4EF9">
        <w:fldChar w:fldCharType="begin"/>
      </w:r>
      <w:r w:rsidRPr="002C4EF9">
        <w:instrText xml:space="preserve"> REF paragraph00068 \h  \* CharFormat  \* MERGEFORMAT </w:instrText>
      </w:r>
      <w:r w:rsidRPr="002C4EF9">
        <w:fldChar w:fldCharType="separate"/>
      </w:r>
      <w:r w:rsidRPr="002C4EF9">
        <w:t>68</w:t>
      </w:r>
      <w:r w:rsidRPr="002C4EF9">
        <w:fldChar w:fldCharType="end"/>
      </w:r>
      <w:r w:rsidRPr="002C4EF9">
        <w:t xml:space="preserve"> above; compare and contrast </w:t>
      </w:r>
      <w:r w:rsidRPr="002C4EF9">
        <w:rPr>
          <w:i/>
          <w:iCs/>
        </w:rPr>
        <w:t>Delfi AS</w:t>
      </w:r>
      <w:r w:rsidRPr="002C4EF9">
        <w:t xml:space="preserve">, cited above, § 128). Moreover, the comments made about the claimants (see paragraphs </w:t>
      </w:r>
      <w:r w:rsidRPr="002C4EF9">
        <w:fldChar w:fldCharType="begin"/>
      </w:r>
      <w:r w:rsidRPr="002C4EF9">
        <w:instrText xml:space="preserve"> REF paragraph14 \h  \* MERGEFORMAT </w:instrText>
      </w:r>
      <w:r w:rsidRPr="002C4EF9">
        <w:fldChar w:fldCharType="separate"/>
      </w:r>
      <w:r w:rsidRPr="002C4EF9">
        <w:t>14</w:t>
      </w:r>
      <w:r w:rsidRPr="002C4EF9">
        <w:fldChar w:fldCharType="end"/>
      </w:r>
      <w:r w:rsidRPr="002C4EF9">
        <w:t xml:space="preserve">, </w:t>
      </w:r>
      <w:r w:rsidRPr="002C4EF9">
        <w:fldChar w:fldCharType="begin"/>
      </w:r>
      <w:r w:rsidRPr="002C4EF9">
        <w:instrText xml:space="preserve"> REF paragraph15 \h  \* MERGEFORMAT </w:instrText>
      </w:r>
      <w:r w:rsidRPr="002C4EF9">
        <w:fldChar w:fldCharType="separate"/>
      </w:r>
      <w:r w:rsidRPr="002C4EF9">
        <w:t>15</w:t>
      </w:r>
      <w:r w:rsidRPr="002C4EF9">
        <w:fldChar w:fldCharType="end"/>
      </w:r>
      <w:r w:rsidRPr="002C4EF9">
        <w:t xml:space="preserve"> and </w:t>
      </w:r>
      <w:r w:rsidRPr="002C4EF9">
        <w:fldChar w:fldCharType="begin"/>
      </w:r>
      <w:r w:rsidRPr="002C4EF9">
        <w:instrText xml:space="preserve"> REF paragraph19 \h  \* MERGEFORMAT </w:instrText>
      </w:r>
      <w:r w:rsidRPr="002C4EF9">
        <w:fldChar w:fldCharType="separate"/>
      </w:r>
      <w:r w:rsidRPr="002C4EF9">
        <w:t>19</w:t>
      </w:r>
      <w:r w:rsidRPr="002C4EF9">
        <w:fldChar w:fldCharType="end"/>
      </w:r>
      <w:r w:rsidRPr="002C4EF9">
        <w:t xml:space="preserve"> above) – although offensive and lacking in respect – did not amount to hate speech or incitement to violence (see the case-law referred to in paragraph </w:t>
      </w:r>
      <w:r w:rsidRPr="002C4EF9">
        <w:fldChar w:fldCharType="begin"/>
      </w:r>
      <w:r w:rsidRPr="002C4EF9">
        <w:instrText xml:space="preserve"> REF paragraph79 \h  \* CharFormat  \* MERGEFORMAT </w:instrText>
      </w:r>
      <w:r w:rsidRPr="002C4EF9">
        <w:fldChar w:fldCharType="separate"/>
      </w:r>
      <w:r w:rsidRPr="002C4EF9">
        <w:t>88</w:t>
      </w:r>
      <w:r w:rsidRPr="002C4EF9">
        <w:fldChar w:fldCharType="end"/>
      </w:r>
      <w:r w:rsidRPr="002C4EF9">
        <w:t xml:space="preserve"> above), nor were they otherwise clearly unlawful (compare and contrast </w:t>
      </w:r>
      <w:r w:rsidRPr="002C4EF9">
        <w:rPr>
          <w:i/>
          <w:iCs/>
        </w:rPr>
        <w:t>Delfi AS</w:t>
      </w:r>
      <w:r w:rsidRPr="002C4EF9">
        <w:t>, cited above, § 128).</w:t>
      </w:r>
    </w:p>
    <w:p w:rsidRPr="002C4EF9" w:rsidR="002C4EF9" w:rsidP="002C4EF9" w14:paraId="2E35D6F8" w14:textId="06A081D0">
      <w:pPr>
        <w:pStyle w:val="JuPara"/>
      </w:pPr>
      <w:r>
        <w:fldChar w:fldCharType="begin"/>
      </w:r>
      <w:r>
        <w:instrText xml:space="preserve"> SEQ level0 \*arabic \* MERGEFORMAT </w:instrText>
      </w:r>
      <w:r>
        <w:fldChar w:fldCharType="separate"/>
      </w:r>
      <w:r w:rsidRPr="002C4EF9">
        <w:rPr>
          <w:noProof/>
        </w:rPr>
        <w:t>90</w:t>
      </w:r>
      <w:r w:rsidRPr="002C4EF9">
        <w:rPr>
          <w:noProof/>
        </w:rPr>
        <w:fldChar w:fldCharType="end"/>
      </w:r>
      <w:r w:rsidRPr="002C4EF9">
        <w:t xml:space="preserve">.  The comments in question concerned two politicians and a political party and were expressed in the context of a public debate on issues of legitimate public interest, namely the conduct of those politicians acting in their public capacities and their own comments that had been published on the same news portal (see paragraphs </w:t>
      </w:r>
      <w:r w:rsidRPr="002C4EF9">
        <w:fldChar w:fldCharType="begin"/>
      </w:r>
      <w:r w:rsidRPr="002C4EF9">
        <w:instrText xml:space="preserve"> REF paragraph13 \h  \* CharFormat  \* MERGEFORMAT </w:instrText>
      </w:r>
      <w:r w:rsidRPr="002C4EF9">
        <w:fldChar w:fldCharType="separate"/>
      </w:r>
      <w:r w:rsidRPr="002C4EF9">
        <w:t>13</w:t>
      </w:r>
      <w:r w:rsidRPr="002C4EF9">
        <w:fldChar w:fldCharType="end"/>
      </w:r>
      <w:r w:rsidRPr="002C4EF9">
        <w:t xml:space="preserve"> and </w:t>
      </w:r>
      <w:r w:rsidRPr="002C4EF9">
        <w:fldChar w:fldCharType="begin"/>
      </w:r>
      <w:r w:rsidRPr="002C4EF9">
        <w:instrText xml:space="preserve"> REF paragraph18 \h  \* CharFormat  \* MERGEFORMAT </w:instrText>
      </w:r>
      <w:r w:rsidRPr="002C4EF9">
        <w:fldChar w:fldCharType="separate"/>
      </w:r>
      <w:r w:rsidRPr="002C4EF9">
        <w:t>18</w:t>
      </w:r>
      <w:r w:rsidRPr="002C4EF9">
        <w:fldChar w:fldCharType="end"/>
      </w:r>
      <w:r w:rsidRPr="002C4EF9">
        <w:t xml:space="preserve"> above).</w:t>
      </w:r>
    </w:p>
    <w:p w:rsidRPr="002C4EF9" w:rsidR="002C4EF9" w:rsidP="002C4EF9" w14:paraId="6284B7F7" w14:textId="772A5845">
      <w:pPr>
        <w:pStyle w:val="JuPara"/>
      </w:pPr>
      <w:r>
        <w:fldChar w:fldCharType="begin"/>
      </w:r>
      <w:r>
        <w:instrText xml:space="preserve"> SEQ level0 \*arabic \* MERGEFORMAT </w:instrText>
      </w:r>
      <w:r>
        <w:fldChar w:fldCharType="separate"/>
      </w:r>
      <w:r w:rsidRPr="002C4EF9">
        <w:rPr>
          <w:noProof/>
        </w:rPr>
        <w:t>91</w:t>
      </w:r>
      <w:r w:rsidRPr="002C4EF9">
        <w:rPr>
          <w:noProof/>
        </w:rPr>
        <w:fldChar w:fldCharType="end"/>
      </w:r>
      <w:r w:rsidRPr="002C4EF9">
        <w:t xml:space="preserve">.  Although anonymity on the Internet is an important feature (see paragraphs </w:t>
      </w:r>
      <w:r w:rsidRPr="002C4EF9">
        <w:fldChar w:fldCharType="begin"/>
      </w:r>
      <w:r w:rsidRPr="002C4EF9">
        <w:instrText xml:space="preserve"> REF paragraph00076 \h  \* CharFormat  \* MERGEFORMAT </w:instrText>
      </w:r>
      <w:r w:rsidRPr="002C4EF9">
        <w:fldChar w:fldCharType="separate"/>
      </w:r>
      <w:r w:rsidRPr="002C4EF9">
        <w:t>76</w:t>
      </w:r>
      <w:r w:rsidRPr="002C4EF9">
        <w:fldChar w:fldCharType="end"/>
      </w:r>
      <w:r w:rsidRPr="002C4EF9">
        <w:t>-</w:t>
      </w:r>
      <w:r w:rsidRPr="002C4EF9">
        <w:fldChar w:fldCharType="begin"/>
      </w:r>
      <w:r w:rsidRPr="002C4EF9">
        <w:instrText xml:space="preserve"> REF paragraph00078 \h  \* CharFormat  \* MERGEFORMAT </w:instrText>
      </w:r>
      <w:r w:rsidRPr="002C4EF9">
        <w:fldChar w:fldCharType="separate"/>
      </w:r>
      <w:r w:rsidRPr="002C4EF9">
        <w:t>78</w:t>
      </w:r>
      <w:r w:rsidRPr="002C4EF9">
        <w:fldChar w:fldCharType="end"/>
      </w:r>
      <w:r w:rsidRPr="002C4EF9">
        <w:t xml:space="preserve"> above), the Court is mindful that anonymity must yield on occasion to other legitimate imperatives, such as the prevention of disorder or crime or the protection of the rights and freedoms of others (see </w:t>
      </w:r>
      <w:r w:rsidRPr="002C4EF9">
        <w:rPr>
          <w:i/>
        </w:rPr>
        <w:t>K.U. v. Finland</w:t>
      </w:r>
      <w:r w:rsidRPr="002C4EF9">
        <w:t>, no. 2872/02, § 49, ECHR 2008).</w:t>
      </w:r>
    </w:p>
    <w:p w:rsidRPr="002C4EF9" w:rsidR="002C4EF9" w:rsidP="002C4EF9" w14:paraId="189270B3" w14:textId="3E78F729">
      <w:pPr>
        <w:pStyle w:val="JuPara"/>
        <w:rPr>
          <w:lang w:bidi="en-US"/>
        </w:rPr>
      </w:pPr>
      <w:r w:rsidRPr="002C4EF9">
        <w:fldChar w:fldCharType="begin"/>
      </w:r>
      <w:r w:rsidRPr="002C4EF9">
        <w:instrText xml:space="preserve"> SEQ level0 \*arabic </w:instrText>
      </w:r>
      <w:r w:rsidRPr="002C4EF9">
        <w:fldChar w:fldCharType="separate"/>
      </w:r>
      <w:bookmarkStart w:name="paragraph00092" w:id="52"/>
      <w:r w:rsidRPr="002C4EF9">
        <w:rPr>
          <w:noProof/>
        </w:rPr>
        <w:t>92</w:t>
      </w:r>
      <w:bookmarkEnd w:id="52"/>
      <w:r w:rsidRPr="002C4EF9">
        <w:fldChar w:fldCharType="end"/>
      </w:r>
      <w:r w:rsidRPr="002C4EF9">
        <w:t>.  With that in mind, the Court finds that the competing interests must be weighed up in a sufficient balancing test,</w:t>
      </w:r>
      <w:r w:rsidRPr="002C4EF9">
        <w:rPr>
          <w:lang w:bidi="en-US"/>
        </w:rPr>
        <w:t xml:space="preserve"> in particular where political speech and debates of public interest are concerned. This conclusion is reflected not only in the Court’s long-standing case-law (see paragraphs </w:t>
      </w:r>
      <w:r w:rsidRPr="002C4EF9">
        <w:rPr>
          <w:lang w:bidi="en-US"/>
        </w:rPr>
        <w:fldChar w:fldCharType="begin"/>
      </w:r>
      <w:r w:rsidRPr="002C4EF9">
        <w:rPr>
          <w:lang w:bidi="en-US"/>
        </w:rPr>
        <w:instrText xml:space="preserve"> REF paragraph00082 \h  \* CharFormat  \* MERGEFORMAT </w:instrText>
      </w:r>
      <w:r w:rsidRPr="002C4EF9">
        <w:rPr>
          <w:lang w:bidi="en-US"/>
        </w:rPr>
        <w:fldChar w:fldCharType="separate"/>
      </w:r>
      <w:r w:rsidRPr="002C4EF9">
        <w:rPr>
          <w:lang w:bidi="en-US"/>
        </w:rPr>
        <w:t>86</w:t>
      </w:r>
      <w:r w:rsidRPr="002C4EF9">
        <w:rPr>
          <w:lang w:bidi="en-US"/>
        </w:rPr>
        <w:fldChar w:fldCharType="end"/>
      </w:r>
      <w:r w:rsidRPr="002C4EF9">
        <w:rPr>
          <w:lang w:bidi="en-US"/>
        </w:rPr>
        <w:noBreakHyphen/>
      </w:r>
      <w:r w:rsidRPr="002C4EF9">
        <w:rPr>
          <w:lang w:bidi="en-US"/>
        </w:rPr>
        <w:fldChar w:fldCharType="begin"/>
      </w:r>
      <w:r w:rsidRPr="002C4EF9">
        <w:rPr>
          <w:lang w:bidi="en-US"/>
        </w:rPr>
        <w:instrText xml:space="preserve"> REF paragraph78 \h  \* CharFormat  \* MERGEFORMAT </w:instrText>
      </w:r>
      <w:r w:rsidRPr="002C4EF9">
        <w:rPr>
          <w:lang w:bidi="en-US"/>
        </w:rPr>
        <w:fldChar w:fldCharType="separate"/>
      </w:r>
      <w:r w:rsidRPr="002C4EF9">
        <w:rPr>
          <w:lang w:bidi="en-US"/>
        </w:rPr>
        <w:t>87</w:t>
      </w:r>
      <w:r w:rsidRPr="002C4EF9">
        <w:rPr>
          <w:lang w:bidi="en-US"/>
        </w:rPr>
        <w:fldChar w:fldCharType="end"/>
      </w:r>
      <w:r w:rsidRPr="002C4EF9">
        <w:rPr>
          <w:lang w:bidi="en-US"/>
        </w:rPr>
        <w:t xml:space="preserve"> above), but also in the above-mentioned international-law material concerning Internet intermediaries: the relevant documents of the Council of Europe and the United Nations Human Rights Council state that requests for the disclosure of user data must be necessary and proportionate to the legitimate aim pursued (see paragraphs </w:t>
      </w:r>
      <w:r w:rsidRPr="002C4EF9">
        <w:rPr>
          <w:lang w:bidi="en-US"/>
        </w:rPr>
        <w:fldChar w:fldCharType="begin"/>
      </w:r>
      <w:r w:rsidRPr="002C4EF9">
        <w:rPr>
          <w:lang w:bidi="en-US"/>
        </w:rPr>
        <w:instrText xml:space="preserve"> REF paragraph00045 \h  \* CharFormat  \* MERGEFORMAT </w:instrText>
      </w:r>
      <w:r w:rsidRPr="002C4EF9">
        <w:rPr>
          <w:lang w:bidi="en-US"/>
        </w:rPr>
        <w:fldChar w:fldCharType="separate"/>
      </w:r>
      <w:r w:rsidRPr="002C4EF9">
        <w:rPr>
          <w:lang w:bidi="en-US"/>
        </w:rPr>
        <w:t>45</w:t>
      </w:r>
      <w:r w:rsidRPr="002C4EF9">
        <w:rPr>
          <w:lang w:bidi="en-US"/>
        </w:rPr>
        <w:fldChar w:fldCharType="end"/>
      </w:r>
      <w:r w:rsidRPr="002C4EF9">
        <w:rPr>
          <w:lang w:bidi="en-US"/>
        </w:rPr>
        <w:t>-</w:t>
      </w:r>
      <w:r w:rsidRPr="002C4EF9">
        <w:rPr>
          <w:lang w:bidi="en-US"/>
        </w:rPr>
        <w:fldChar w:fldCharType="begin"/>
      </w:r>
      <w:r w:rsidRPr="002C4EF9">
        <w:rPr>
          <w:lang w:bidi="en-US"/>
        </w:rPr>
        <w:instrText xml:space="preserve"> REF paragraph00048 \h  \* CharFormat  \* MERGEFORMAT </w:instrText>
      </w:r>
      <w:r w:rsidRPr="002C4EF9">
        <w:rPr>
          <w:lang w:bidi="en-US"/>
        </w:rPr>
        <w:fldChar w:fldCharType="separate"/>
      </w:r>
      <w:r w:rsidRPr="002C4EF9">
        <w:rPr>
          <w:lang w:bidi="en-US"/>
        </w:rPr>
        <w:t>48</w:t>
      </w:r>
      <w:r w:rsidRPr="002C4EF9">
        <w:rPr>
          <w:lang w:bidi="en-US"/>
        </w:rPr>
        <w:fldChar w:fldCharType="end"/>
      </w:r>
      <w:r w:rsidRPr="002C4EF9">
        <w:rPr>
          <w:lang w:bidi="en-US"/>
        </w:rPr>
        <w:t xml:space="preserve"> above). As the Government have pointed out </w:t>
      </w:r>
      <w:r w:rsidRPr="002C4EF9">
        <w:t xml:space="preserve">(see paragraph </w:t>
      </w:r>
      <w:r w:rsidRPr="002C4EF9">
        <w:fldChar w:fldCharType="begin"/>
      </w:r>
      <w:r w:rsidRPr="002C4EF9">
        <w:instrText xml:space="preserve"> REF paragraph55 \h  \* MERGEFORMAT </w:instrText>
      </w:r>
      <w:r w:rsidRPr="002C4EF9">
        <w:fldChar w:fldCharType="separate"/>
      </w:r>
      <w:r w:rsidRPr="002C4EF9">
        <w:t>60</w:t>
      </w:r>
      <w:r w:rsidRPr="002C4EF9">
        <w:fldChar w:fldCharType="end"/>
      </w:r>
      <w:r w:rsidRPr="002C4EF9">
        <w:t xml:space="preserve"> above)</w:t>
      </w:r>
      <w:r w:rsidRPr="002C4EF9">
        <w:rPr>
          <w:lang w:bidi="en-US"/>
        </w:rPr>
        <w:t>, a potential victim of a defamatory statement must be afforded effective access to a court in order to assert his or her claims before that court. In the Court’s view this means that the domestic courts will have to examine the alleged claim and weigh up – in accordance with their positive obligations under Articles 8 and 10 of the Convention – the conflicting interests at stake, before deciding whether the data relating to the author’s identity are to be disclosed. In the instant case, those conflicting interests comprise, on the one hand, the claimants’ right to protect their reputation and, on the other, the applicant company’s right to freedom of press, together with its role in protecting the personal data of the authors and their freedom to express their opinions publicly (see paragraph </w:t>
      </w:r>
      <w:r w:rsidRPr="002C4EF9">
        <w:rPr>
          <w:lang w:bidi="en-US"/>
        </w:rPr>
        <w:fldChar w:fldCharType="begin"/>
      </w:r>
      <w:r w:rsidRPr="002C4EF9">
        <w:rPr>
          <w:lang w:bidi="en-US"/>
        </w:rPr>
        <w:instrText xml:space="preserve"> REF paragraph00078 \h  \* CharFormat  \* MERGEFORMAT </w:instrText>
      </w:r>
      <w:r w:rsidRPr="002C4EF9">
        <w:rPr>
          <w:lang w:bidi="en-US"/>
        </w:rPr>
        <w:fldChar w:fldCharType="separate"/>
      </w:r>
      <w:r w:rsidRPr="002C4EF9">
        <w:rPr>
          <w:lang w:bidi="en-US"/>
        </w:rPr>
        <w:t>78</w:t>
      </w:r>
      <w:r w:rsidRPr="002C4EF9">
        <w:rPr>
          <w:lang w:bidi="en-US"/>
        </w:rPr>
        <w:fldChar w:fldCharType="end"/>
      </w:r>
      <w:r w:rsidRPr="002C4EF9">
        <w:rPr>
          <w:lang w:bidi="en-US"/>
        </w:rPr>
        <w:t xml:space="preserve"> above).</w:t>
      </w:r>
    </w:p>
    <w:p w:rsidRPr="002C4EF9" w:rsidR="002C4EF9" w:rsidP="002C4EF9" w14:paraId="44FA4111" w14:textId="3F13A2C0">
      <w:pPr>
        <w:pStyle w:val="JuPara"/>
        <w:rPr>
          <w:lang w:bidi="en-US"/>
        </w:rPr>
      </w:pPr>
      <w:r w:rsidRPr="002C4EF9">
        <w:rPr>
          <w:lang w:bidi="en-US"/>
        </w:rPr>
        <w:fldChar w:fldCharType="begin"/>
      </w:r>
      <w:r w:rsidRPr="002C4EF9">
        <w:rPr>
          <w:lang w:bidi="en-US"/>
        </w:rPr>
        <w:instrText xml:space="preserve"> SEQ level0 \*arabic </w:instrText>
      </w:r>
      <w:r w:rsidRPr="002C4EF9">
        <w:rPr>
          <w:lang w:bidi="en-US"/>
        </w:rPr>
        <w:fldChar w:fldCharType="separate"/>
      </w:r>
      <w:bookmarkStart w:name="paragraph00093" w:id="53"/>
      <w:r w:rsidRPr="002C4EF9">
        <w:rPr>
          <w:noProof/>
          <w:lang w:bidi="en-US"/>
        </w:rPr>
        <w:t>93</w:t>
      </w:r>
      <w:bookmarkEnd w:id="53"/>
      <w:r w:rsidRPr="002C4EF9">
        <w:rPr>
          <w:lang w:bidi="en-US"/>
        </w:rPr>
        <w:fldChar w:fldCharType="end"/>
      </w:r>
      <w:r w:rsidRPr="002C4EF9">
        <w:rPr>
          <w:lang w:bidi="en-US"/>
        </w:rPr>
        <w:t xml:space="preserve">.  The Court agrees with the appellate courts that the comments in question could be understood as seriously offensive. However, while the first-instance courts in both sets of proceedings did conduct a balancing test </w:t>
      </w:r>
      <w:r w:rsidRPr="002C4EF9">
        <w:rPr>
          <w:lang w:bidi="en-US"/>
        </w:rPr>
        <w:t xml:space="preserve">(see paragraphs </w:t>
      </w:r>
      <w:r w:rsidRPr="002C4EF9">
        <w:rPr>
          <w:lang w:bidi="en-US"/>
        </w:rPr>
        <w:fldChar w:fldCharType="begin"/>
      </w:r>
      <w:r w:rsidRPr="002C4EF9">
        <w:rPr>
          <w:lang w:bidi="en-US"/>
        </w:rPr>
        <w:instrText xml:space="preserve"> REF paragraph24 \h  \* MERGEFORMAT </w:instrText>
      </w:r>
      <w:r w:rsidRPr="002C4EF9">
        <w:rPr>
          <w:lang w:bidi="en-US"/>
        </w:rPr>
        <w:fldChar w:fldCharType="separate"/>
      </w:r>
      <w:r w:rsidRPr="002C4EF9">
        <w:t>24</w:t>
      </w:r>
      <w:r w:rsidRPr="002C4EF9">
        <w:rPr>
          <w:lang w:bidi="en-US"/>
        </w:rPr>
        <w:fldChar w:fldCharType="end"/>
      </w:r>
      <w:r w:rsidRPr="002C4EF9">
        <w:rPr>
          <w:lang w:bidi="en-US"/>
        </w:rPr>
        <w:t xml:space="preserve"> and </w:t>
      </w:r>
      <w:r w:rsidRPr="002C4EF9">
        <w:rPr>
          <w:lang w:bidi="en-US"/>
        </w:rPr>
        <w:fldChar w:fldCharType="begin"/>
      </w:r>
      <w:r w:rsidRPr="002C4EF9">
        <w:rPr>
          <w:lang w:bidi="en-US"/>
        </w:rPr>
        <w:instrText xml:space="preserve"> REF paragraph30 \h  \* MERGEFORMAT </w:instrText>
      </w:r>
      <w:r w:rsidRPr="002C4EF9">
        <w:rPr>
          <w:lang w:bidi="en-US"/>
        </w:rPr>
        <w:fldChar w:fldCharType="separate"/>
      </w:r>
      <w:r w:rsidRPr="002C4EF9">
        <w:t>30</w:t>
      </w:r>
      <w:r w:rsidRPr="002C4EF9">
        <w:rPr>
          <w:lang w:bidi="en-US"/>
        </w:rPr>
        <w:fldChar w:fldCharType="end"/>
      </w:r>
      <w:r w:rsidRPr="002C4EF9">
        <w:rPr>
          <w:lang w:bidi="en-US"/>
        </w:rPr>
        <w:t xml:space="preserve"> above), the appellate courts and the Supreme Court did not give any reasons why the claimants’ interest in the disclosure of the data had to be regarded as “overriding” the applicant company’s interest in protecting the authors’ anonymity. This is of particular concern in a case such as the present one where the comments can be characterised as political speech and are not clearly illegal. Referring to the Supreme Court’s case-law, the higher courts merely stated that the balance of interests was not a matter </w:t>
      </w:r>
      <w:r w:rsidRPr="002C4EF9">
        <w:t>to be examined in proceedings against the relevant service provider</w:t>
      </w:r>
      <w:r w:rsidRPr="002C4EF9">
        <w:rPr>
          <w:lang w:bidi="en-US"/>
        </w:rPr>
        <w:t xml:space="preserve">, but rather in proceedings against the author of the allegedly defamatory comments. According to those courts it was sufficient for “a layperson </w:t>
      </w:r>
      <w:r w:rsidRPr="002C4EF9">
        <w:t>[to be] capable of perceiving that a finding of liability under Article 1330 of the Civil Code could not be ruled out”</w:t>
      </w:r>
      <w:r w:rsidRPr="002C4EF9">
        <w:rPr>
          <w:lang w:bidi="en-US"/>
        </w:rPr>
        <w:t xml:space="preserve">; in such cases, the person concerned would have an overriding interest in the disclosure of the user data (see paragraphs </w:t>
      </w:r>
      <w:r w:rsidRPr="002C4EF9">
        <w:rPr>
          <w:lang w:bidi="en-US"/>
        </w:rPr>
        <w:fldChar w:fldCharType="begin"/>
      </w:r>
      <w:r w:rsidRPr="002C4EF9">
        <w:rPr>
          <w:lang w:bidi="en-US"/>
        </w:rPr>
        <w:instrText xml:space="preserve"> REF paragraph25 \h  \* CharFormat  \* MERGEFORMAT </w:instrText>
      </w:r>
      <w:r w:rsidRPr="002C4EF9">
        <w:rPr>
          <w:lang w:bidi="en-US"/>
        </w:rPr>
        <w:fldChar w:fldCharType="separate"/>
      </w:r>
      <w:r w:rsidRPr="002C4EF9">
        <w:rPr>
          <w:lang w:bidi="en-US"/>
        </w:rPr>
        <w:t>25</w:t>
      </w:r>
      <w:r w:rsidRPr="002C4EF9">
        <w:rPr>
          <w:lang w:bidi="en-US"/>
        </w:rPr>
        <w:fldChar w:fldCharType="end"/>
      </w:r>
      <w:r w:rsidRPr="002C4EF9">
        <w:rPr>
          <w:lang w:bidi="en-US"/>
        </w:rPr>
        <w:t>-</w:t>
      </w:r>
      <w:r w:rsidRPr="002C4EF9">
        <w:rPr>
          <w:lang w:bidi="en-US"/>
        </w:rPr>
        <w:fldChar w:fldCharType="begin"/>
      </w:r>
      <w:r w:rsidRPr="002C4EF9">
        <w:rPr>
          <w:lang w:bidi="en-US"/>
        </w:rPr>
        <w:instrText xml:space="preserve"> REF paragraph26 \h  \* MERGEFORMAT </w:instrText>
      </w:r>
      <w:r w:rsidRPr="002C4EF9">
        <w:rPr>
          <w:lang w:bidi="en-US"/>
        </w:rPr>
        <w:fldChar w:fldCharType="separate"/>
      </w:r>
      <w:r w:rsidRPr="002C4EF9">
        <w:t>26</w:t>
      </w:r>
      <w:r w:rsidRPr="002C4EF9">
        <w:rPr>
          <w:lang w:bidi="en-US"/>
        </w:rPr>
        <w:fldChar w:fldCharType="end"/>
      </w:r>
      <w:r w:rsidRPr="002C4EF9">
        <w:rPr>
          <w:lang w:bidi="en-US"/>
        </w:rPr>
        <w:t xml:space="preserve">, </w:t>
      </w:r>
      <w:r w:rsidRPr="002C4EF9">
        <w:rPr>
          <w:lang w:bidi="en-US"/>
        </w:rPr>
        <w:fldChar w:fldCharType="begin"/>
      </w:r>
      <w:r w:rsidRPr="002C4EF9">
        <w:rPr>
          <w:lang w:bidi="en-US"/>
        </w:rPr>
        <w:instrText xml:space="preserve"> REF paragraph27 \h  \* MERGEFORMAT </w:instrText>
      </w:r>
      <w:r w:rsidRPr="002C4EF9">
        <w:rPr>
          <w:lang w:bidi="en-US"/>
        </w:rPr>
        <w:fldChar w:fldCharType="separate"/>
      </w:r>
      <w:r w:rsidRPr="002C4EF9">
        <w:t>27</w:t>
      </w:r>
      <w:r w:rsidRPr="002C4EF9">
        <w:rPr>
          <w:lang w:bidi="en-US"/>
        </w:rPr>
        <w:fldChar w:fldCharType="end"/>
      </w:r>
      <w:r w:rsidRPr="002C4EF9">
        <w:rPr>
          <w:lang w:bidi="en-US"/>
        </w:rPr>
        <w:t xml:space="preserve">, </w:t>
      </w:r>
      <w:r w:rsidRPr="002C4EF9">
        <w:rPr>
          <w:lang w:bidi="en-US"/>
        </w:rPr>
        <w:fldChar w:fldCharType="begin"/>
      </w:r>
      <w:r w:rsidRPr="002C4EF9">
        <w:rPr>
          <w:lang w:bidi="en-US"/>
        </w:rPr>
        <w:instrText xml:space="preserve"> REF paragraph00031 \h  \* CharFormat  \* MERGEFORMAT </w:instrText>
      </w:r>
      <w:r w:rsidRPr="002C4EF9">
        <w:rPr>
          <w:lang w:bidi="en-US"/>
        </w:rPr>
        <w:fldChar w:fldCharType="separate"/>
      </w:r>
      <w:r w:rsidRPr="002C4EF9">
        <w:rPr>
          <w:lang w:bidi="en-US"/>
        </w:rPr>
        <w:t>31</w:t>
      </w:r>
      <w:r w:rsidRPr="002C4EF9">
        <w:rPr>
          <w:lang w:bidi="en-US"/>
        </w:rPr>
        <w:fldChar w:fldCharType="end"/>
      </w:r>
      <w:r w:rsidRPr="002C4EF9">
        <w:rPr>
          <w:lang w:bidi="en-US"/>
        </w:rPr>
        <w:t>-</w:t>
      </w:r>
      <w:r w:rsidRPr="002C4EF9">
        <w:rPr>
          <w:lang w:bidi="en-US"/>
        </w:rPr>
        <w:fldChar w:fldCharType="begin"/>
      </w:r>
      <w:r w:rsidRPr="002C4EF9">
        <w:rPr>
          <w:lang w:bidi="en-US"/>
        </w:rPr>
        <w:instrText xml:space="preserve"> REF paragraph32 \h  \* MERGEFORMAT </w:instrText>
      </w:r>
      <w:r w:rsidRPr="002C4EF9">
        <w:rPr>
          <w:lang w:bidi="en-US"/>
        </w:rPr>
        <w:fldChar w:fldCharType="separate"/>
      </w:r>
      <w:r w:rsidRPr="002C4EF9">
        <w:t>32</w:t>
      </w:r>
      <w:r w:rsidRPr="002C4EF9">
        <w:rPr>
          <w:lang w:bidi="en-US"/>
        </w:rPr>
        <w:fldChar w:fldCharType="end"/>
      </w:r>
      <w:r w:rsidRPr="002C4EF9">
        <w:rPr>
          <w:lang w:bidi="en-US"/>
        </w:rPr>
        <w:t xml:space="preserve"> and </w:t>
      </w:r>
      <w:r w:rsidRPr="002C4EF9">
        <w:rPr>
          <w:lang w:bidi="en-US"/>
        </w:rPr>
        <w:fldChar w:fldCharType="begin"/>
      </w:r>
      <w:r w:rsidRPr="002C4EF9">
        <w:rPr>
          <w:lang w:bidi="en-US"/>
        </w:rPr>
        <w:instrText xml:space="preserve"> REF paragraph38 \h  \* MERGEFORMAT </w:instrText>
      </w:r>
      <w:r w:rsidRPr="002C4EF9">
        <w:rPr>
          <w:lang w:bidi="en-US"/>
        </w:rPr>
        <w:fldChar w:fldCharType="separate"/>
      </w:r>
      <w:r w:rsidRPr="002C4EF9">
        <w:t>39</w:t>
      </w:r>
      <w:r w:rsidRPr="002C4EF9">
        <w:rPr>
          <w:lang w:bidi="en-US"/>
        </w:rPr>
        <w:fldChar w:fldCharType="end"/>
      </w:r>
      <w:r w:rsidRPr="002C4EF9">
        <w:rPr>
          <w:lang w:bidi="en-US"/>
        </w:rPr>
        <w:t xml:space="preserve"> above). They thus concluded – directly from their refusal to accept the argument of editorial confidentiality, the offensive nature of the comments and the condition that a finding of liability could not be ruled out – that the applicant company had had a duty to disclose the data.</w:t>
      </w:r>
    </w:p>
    <w:p w:rsidRPr="002C4EF9" w:rsidR="002C4EF9" w:rsidP="002C4EF9" w14:paraId="4F9F124D" w14:textId="1C5013ED">
      <w:pPr>
        <w:pStyle w:val="JuPara"/>
        <w:rPr>
          <w:lang w:bidi="en-US"/>
        </w:rPr>
      </w:pPr>
      <w:r w:rsidRPr="002C4EF9">
        <w:rPr>
          <w:lang w:bidi="en-US"/>
        </w:rPr>
        <w:fldChar w:fldCharType="begin"/>
      </w:r>
      <w:r w:rsidRPr="002C4EF9">
        <w:rPr>
          <w:lang w:bidi="en-US"/>
        </w:rPr>
        <w:instrText xml:space="preserve"> SEQ level0 \*arabic \* MERGEFORMAT </w:instrText>
      </w:r>
      <w:r w:rsidRPr="002C4EF9">
        <w:rPr>
          <w:lang w:bidi="en-US"/>
        </w:rPr>
        <w:fldChar w:fldCharType="separate"/>
      </w:r>
      <w:bookmarkStart w:name="paragraph00094" w:id="54"/>
      <w:r w:rsidRPr="002C4EF9">
        <w:rPr>
          <w:noProof/>
          <w:lang w:bidi="en-US"/>
        </w:rPr>
        <w:t>94</w:t>
      </w:r>
      <w:bookmarkEnd w:id="54"/>
      <w:r w:rsidRPr="002C4EF9">
        <w:rPr>
          <w:lang w:bidi="en-US"/>
        </w:rPr>
        <w:fldChar w:fldCharType="end"/>
      </w:r>
      <w:r w:rsidRPr="002C4EF9">
        <w:rPr>
          <w:lang w:bidi="en-US"/>
        </w:rPr>
        <w:t>.  The Court finds that the Supreme Court’s case-law does not preclude a balancing test. In fact, that case-law apparently provided for a certain balancing between the opposing interests in respect of fundamental rights when requiring an assessment as to whether a finding of liability under Article 1330 of the Civil Code could not be ruled out. This applied all the more to the instant case, as it was obvious that the comments at issue were part of a political debate. However, the appellate courts and the Supreme Court did not base their assessment on the balance of interests, namely between those of the authors of the particular comments and those of the applicant company in seeking to protect those authors, on the one hand, and the interests of the claimants, on the other.</w:t>
      </w:r>
    </w:p>
    <w:p w:rsidRPr="002C4EF9" w:rsidR="002C4EF9" w:rsidP="002C4EF9" w14:paraId="248DE7BF" w14:textId="671B8271">
      <w:pPr>
        <w:pStyle w:val="JuPara"/>
        <w:rPr>
          <w:lang w:bidi="en-US"/>
        </w:rPr>
      </w:pPr>
      <w:r w:rsidRPr="002C4EF9">
        <w:rPr>
          <w:lang w:bidi="en-US"/>
        </w:rPr>
        <w:fldChar w:fldCharType="begin"/>
      </w:r>
      <w:r w:rsidRPr="002C4EF9">
        <w:rPr>
          <w:lang w:bidi="en-US"/>
        </w:rPr>
        <w:instrText xml:space="preserve"> SEQ level0 \*arabic </w:instrText>
      </w:r>
      <w:r w:rsidRPr="002C4EF9">
        <w:rPr>
          <w:lang w:bidi="en-US"/>
        </w:rPr>
        <w:fldChar w:fldCharType="separate"/>
      </w:r>
      <w:bookmarkStart w:name="paragraph00090" w:id="55"/>
      <w:r w:rsidRPr="002C4EF9">
        <w:rPr>
          <w:noProof/>
          <w:lang w:bidi="en-US"/>
        </w:rPr>
        <w:t>95</w:t>
      </w:r>
      <w:bookmarkEnd w:id="55"/>
      <w:r w:rsidRPr="002C4EF9">
        <w:rPr>
          <w:lang w:bidi="en-US"/>
        </w:rPr>
        <w:fldChar w:fldCharType="end"/>
      </w:r>
      <w:r w:rsidRPr="002C4EF9">
        <w:rPr>
          <w:lang w:bidi="en-US"/>
        </w:rPr>
        <w:t xml:space="preserve">.  As stated above (see paragraphs </w:t>
      </w:r>
      <w:r w:rsidRPr="002C4EF9">
        <w:rPr>
          <w:lang w:bidi="en-US"/>
        </w:rPr>
        <w:fldChar w:fldCharType="begin"/>
      </w:r>
      <w:r w:rsidRPr="002C4EF9">
        <w:rPr>
          <w:lang w:bidi="en-US"/>
        </w:rPr>
        <w:instrText xml:space="preserve"> REF paragraph00068 \h  \* CharFormat  \* MERGEFORMAT </w:instrText>
      </w:r>
      <w:r w:rsidRPr="002C4EF9">
        <w:rPr>
          <w:lang w:bidi="en-US"/>
        </w:rPr>
        <w:fldChar w:fldCharType="separate"/>
      </w:r>
      <w:r w:rsidRPr="002C4EF9">
        <w:rPr>
          <w:lang w:bidi="en-US"/>
        </w:rPr>
        <w:t>68</w:t>
      </w:r>
      <w:r w:rsidRPr="002C4EF9">
        <w:rPr>
          <w:lang w:bidi="en-US"/>
        </w:rPr>
        <w:fldChar w:fldCharType="end"/>
      </w:r>
      <w:r w:rsidRPr="002C4EF9">
        <w:rPr>
          <w:lang w:bidi="en-US"/>
        </w:rPr>
        <w:t xml:space="preserve"> and </w:t>
      </w:r>
      <w:r w:rsidRPr="002C4EF9">
        <w:rPr>
          <w:lang w:bidi="en-US"/>
        </w:rPr>
        <w:fldChar w:fldCharType="begin"/>
      </w:r>
      <w:r w:rsidRPr="002C4EF9">
        <w:rPr>
          <w:lang w:bidi="en-US"/>
        </w:rPr>
        <w:instrText xml:space="preserve"> REF paragraph83 \h  \* CharFormat  \* MERGEFORMAT </w:instrText>
      </w:r>
      <w:r w:rsidRPr="002C4EF9">
        <w:rPr>
          <w:lang w:bidi="en-US"/>
        </w:rPr>
        <w:fldChar w:fldCharType="separate"/>
      </w:r>
      <w:r w:rsidRPr="002C4EF9">
        <w:rPr>
          <w:lang w:bidi="en-US"/>
        </w:rPr>
        <w:t>89</w:t>
      </w:r>
      <w:r w:rsidRPr="002C4EF9">
        <w:rPr>
          <w:lang w:bidi="en-US"/>
        </w:rPr>
        <w:fldChar w:fldCharType="end"/>
      </w:r>
      <w:r w:rsidRPr="002C4EF9">
        <w:rPr>
          <w:lang w:bidi="en-US"/>
        </w:rPr>
        <w:t xml:space="preserve">), the Court does not overlook the fact that the instant case did not concern the question of the applicant company’s liability for the comments (contrast </w:t>
      </w:r>
      <w:r w:rsidRPr="002C4EF9">
        <w:rPr>
          <w:i/>
        </w:rPr>
        <w:t>Delfi AS</w:t>
      </w:r>
      <w:r w:rsidRPr="002C4EF9">
        <w:rPr>
          <w:iCs/>
        </w:rPr>
        <w:t xml:space="preserve">, § </w:t>
      </w:r>
      <w:r w:rsidRPr="002C4EF9">
        <w:t xml:space="preserve">142, and </w:t>
      </w:r>
      <w:r w:rsidRPr="002C4EF9">
        <w:rPr>
          <w:i/>
        </w:rPr>
        <w:t>Magyar Tartalomszolgáltatók Egyesülete and Index.hu Zrt</w:t>
      </w:r>
      <w:r w:rsidRPr="002C4EF9">
        <w:t xml:space="preserve">, § 71, both cited above). </w:t>
      </w:r>
      <w:r w:rsidRPr="002C4EF9">
        <w:rPr>
          <w:lang w:bidi="en-US"/>
        </w:rPr>
        <w:t xml:space="preserve">In this connection, the Court accepts that, by way of a balancing test in proceedings concerning the disclosure of user data, a prima facie examination may suffice (see paragraph </w:t>
      </w:r>
      <w:r w:rsidRPr="002C4EF9">
        <w:rPr>
          <w:lang w:bidi="en-US"/>
        </w:rPr>
        <w:fldChar w:fldCharType="begin"/>
      </w:r>
      <w:r w:rsidRPr="002C4EF9">
        <w:rPr>
          <w:lang w:bidi="en-US"/>
        </w:rPr>
        <w:instrText xml:space="preserve"> REF paragraph00066 \h  \* CharFormat  \* MERGEFORMAT </w:instrText>
      </w:r>
      <w:r w:rsidRPr="002C4EF9">
        <w:rPr>
          <w:lang w:bidi="en-US"/>
        </w:rPr>
        <w:fldChar w:fldCharType="separate"/>
      </w:r>
      <w:r w:rsidRPr="002C4EF9">
        <w:rPr>
          <w:lang w:bidi="en-US"/>
        </w:rPr>
        <w:t>66</w:t>
      </w:r>
      <w:r w:rsidRPr="002C4EF9">
        <w:rPr>
          <w:lang w:bidi="en-US"/>
        </w:rPr>
        <w:fldChar w:fldCharType="end"/>
      </w:r>
      <w:r w:rsidRPr="002C4EF9">
        <w:rPr>
          <w:lang w:bidi="en-US"/>
        </w:rPr>
        <w:t xml:space="preserve"> above). In fact, </w:t>
      </w:r>
      <w:r w:rsidRPr="002C4EF9">
        <w:t xml:space="preserve">section 18(4) of the E-Commerce Act (see paragraph </w:t>
      </w:r>
      <w:r w:rsidRPr="002C4EF9">
        <w:fldChar w:fldCharType="begin"/>
      </w:r>
      <w:r w:rsidRPr="002C4EF9">
        <w:instrText xml:space="preserve"> REF paragraph37 \h  \* CharFormat  \* MERGEFORMAT </w:instrText>
      </w:r>
      <w:r w:rsidRPr="002C4EF9">
        <w:fldChar w:fldCharType="separate"/>
      </w:r>
      <w:r w:rsidRPr="002C4EF9">
        <w:t>37</w:t>
      </w:r>
      <w:r w:rsidRPr="002C4EF9">
        <w:fldChar w:fldCharType="end"/>
      </w:r>
      <w:r w:rsidRPr="002C4EF9">
        <w:t xml:space="preserve"> above) allows for the establishment of prima facie evidence. This was not disputed by the Government (see paragraph </w:t>
      </w:r>
      <w:r w:rsidRPr="002C4EF9">
        <w:fldChar w:fldCharType="begin"/>
      </w:r>
      <w:r w:rsidRPr="002C4EF9">
        <w:instrText xml:space="preserve"> REF paragraph53 \h  \* CharFormat  \* MERGEFORMAT </w:instrText>
      </w:r>
      <w:r w:rsidRPr="002C4EF9">
        <w:fldChar w:fldCharType="separate"/>
      </w:r>
      <w:r w:rsidRPr="002C4EF9">
        <w:t>58</w:t>
      </w:r>
      <w:r w:rsidRPr="002C4EF9">
        <w:fldChar w:fldCharType="end"/>
      </w:r>
      <w:r w:rsidRPr="002C4EF9">
        <w:t xml:space="preserve"> above). </w:t>
      </w:r>
      <w:r w:rsidRPr="002C4EF9">
        <w:rPr>
          <w:lang w:bidi="en-US"/>
        </w:rPr>
        <w:t xml:space="preserve">Furthermore, the courts enjoy a certain margin of appreciation, even if it is narrow where political speech is concerned (see paragraph </w:t>
      </w:r>
      <w:r w:rsidRPr="002C4EF9">
        <w:rPr>
          <w:lang w:bidi="en-US"/>
        </w:rPr>
        <w:fldChar w:fldCharType="begin"/>
      </w:r>
      <w:r w:rsidRPr="002C4EF9">
        <w:rPr>
          <w:lang w:bidi="en-US"/>
        </w:rPr>
        <w:instrText xml:space="preserve"> REF paragraph00082 \h  \* CharFormat  \* MERGEFORMAT </w:instrText>
      </w:r>
      <w:r w:rsidRPr="002C4EF9">
        <w:rPr>
          <w:lang w:bidi="en-US"/>
        </w:rPr>
        <w:fldChar w:fldCharType="separate"/>
      </w:r>
      <w:r w:rsidRPr="002C4EF9">
        <w:rPr>
          <w:lang w:bidi="en-US"/>
        </w:rPr>
        <w:t>86</w:t>
      </w:r>
      <w:r w:rsidRPr="002C4EF9">
        <w:rPr>
          <w:lang w:bidi="en-US"/>
        </w:rPr>
        <w:fldChar w:fldCharType="end"/>
      </w:r>
      <w:r w:rsidRPr="002C4EF9">
        <w:rPr>
          <w:lang w:bidi="en-US"/>
        </w:rPr>
        <w:t xml:space="preserve"> above). However, even a prima facie examination requires some reasoning and balancing. In the instant case the fact that the domestic courts failed to weigh up the competing interests (see paragraph </w:t>
      </w:r>
      <w:r w:rsidRPr="002C4EF9">
        <w:rPr>
          <w:lang w:bidi="en-US"/>
        </w:rPr>
        <w:fldChar w:fldCharType="begin"/>
      </w:r>
      <w:r w:rsidRPr="002C4EF9">
        <w:rPr>
          <w:lang w:bidi="en-US"/>
        </w:rPr>
        <w:instrText xml:space="preserve"> REF paragraph00094 \h  \* CharFormat  \* MERGEFORMAT </w:instrText>
      </w:r>
      <w:r w:rsidRPr="002C4EF9">
        <w:rPr>
          <w:lang w:bidi="en-US"/>
        </w:rPr>
        <w:fldChar w:fldCharType="separate"/>
      </w:r>
      <w:r w:rsidRPr="002C4EF9">
        <w:rPr>
          <w:lang w:bidi="en-US"/>
        </w:rPr>
        <w:t>94</w:t>
      </w:r>
      <w:r w:rsidRPr="002C4EF9">
        <w:rPr>
          <w:lang w:bidi="en-US"/>
        </w:rPr>
        <w:fldChar w:fldCharType="end"/>
      </w:r>
      <w:r w:rsidRPr="002C4EF9">
        <w:rPr>
          <w:lang w:bidi="en-US"/>
        </w:rPr>
        <w:t xml:space="preserve"> above) shows that they overlooked the importance of </w:t>
      </w:r>
      <w:r w:rsidRPr="002C4EF9">
        <w:rPr>
          <w:lang w:bidi="en-US"/>
        </w:rPr>
        <w:t xml:space="preserve">anonymity for the avoidance of reprisals or unwanted attention and thus the role of anonymity in promoting the free flow of opinions, ideas and information, in particular where political speech is concerned, provided it is not hate speech or otherwise clearly unlawful. In view of the fact that no visible weight was given to these aspects, the Court cannot agree with the Government’s submission that </w:t>
      </w:r>
      <w:r w:rsidRPr="002C4EF9">
        <w:t>the Supreme Court struck a fair balance between opposing interests in respect of the question of fundamental rights</w:t>
      </w:r>
      <w:r w:rsidRPr="002C4EF9">
        <w:t xml:space="preserve"> </w:t>
      </w:r>
      <w:r w:rsidRPr="002C4EF9">
        <w:t xml:space="preserve">(see paragraph </w:t>
      </w:r>
      <w:r w:rsidRPr="002C4EF9">
        <w:fldChar w:fldCharType="begin"/>
      </w:r>
      <w:r w:rsidRPr="002C4EF9">
        <w:instrText xml:space="preserve"> REF paragraph55 \h  \* MERGEFORMAT </w:instrText>
      </w:r>
      <w:r w:rsidRPr="002C4EF9">
        <w:fldChar w:fldCharType="separate"/>
      </w:r>
      <w:r w:rsidRPr="002C4EF9">
        <w:t>60</w:t>
      </w:r>
      <w:r w:rsidRPr="002C4EF9">
        <w:fldChar w:fldCharType="end"/>
      </w:r>
      <w:r w:rsidRPr="002C4EF9">
        <w:t xml:space="preserve"> above).</w:t>
      </w:r>
    </w:p>
    <w:p w:rsidRPr="002C4EF9" w:rsidR="002C4EF9" w:rsidP="002C4EF9" w14:paraId="730040B5" w14:textId="1F6A20E8">
      <w:pPr>
        <w:pStyle w:val="JuPara"/>
      </w:pPr>
      <w:r>
        <w:fldChar w:fldCharType="begin"/>
      </w:r>
      <w:r>
        <w:instrText xml:space="preserve"> SEQ level0 \*arabic \* MERGEFORMAT </w:instrText>
      </w:r>
      <w:r>
        <w:fldChar w:fldCharType="separate"/>
      </w:r>
      <w:bookmarkStart w:name="paragraph00091" w:id="56"/>
      <w:r w:rsidRPr="002C4EF9">
        <w:rPr>
          <w:noProof/>
        </w:rPr>
        <w:t>96</w:t>
      </w:r>
      <w:bookmarkEnd w:id="56"/>
      <w:r>
        <w:fldChar w:fldCharType="end"/>
      </w:r>
      <w:r w:rsidRPr="002C4EF9">
        <w:t xml:space="preserve">.  The Court finds that in the absence of any weighing-up of those interests, the decisions of the appellate courts and of the Supreme Court were not supported by relevant and sufficient reasons to justify the interference. It follows that the interference was not in fact “necessary in a democratic society”, within the meaning of Article 10 </w:t>
      </w:r>
      <w:r w:rsidRPr="002C4EF9">
        <w:rPr>
          <w:rFonts w:cstheme="minorHAnsi"/>
        </w:rPr>
        <w:t>§</w:t>
      </w:r>
      <w:r w:rsidRPr="002C4EF9">
        <w:t xml:space="preserve"> 2 of the Convention.</w:t>
      </w:r>
    </w:p>
    <w:p w:rsidRPr="002C4EF9" w:rsidR="002C4EF9" w:rsidP="002C4EF9" w14:paraId="6BBF540A" w14:textId="4D0DD510">
      <w:pPr>
        <w:pStyle w:val="JuPara"/>
      </w:pPr>
      <w:r w:rsidRPr="002C4EF9">
        <w:fldChar w:fldCharType="begin"/>
      </w:r>
      <w:r w:rsidRPr="002C4EF9">
        <w:instrText xml:space="preserve"> SEQ level0 \*arabic </w:instrText>
      </w:r>
      <w:r w:rsidRPr="002C4EF9">
        <w:fldChar w:fldCharType="separate"/>
      </w:r>
      <w:r w:rsidRPr="002C4EF9">
        <w:rPr>
          <w:noProof/>
        </w:rPr>
        <w:t>97</w:t>
      </w:r>
      <w:r w:rsidRPr="002C4EF9">
        <w:fldChar w:fldCharType="end"/>
      </w:r>
      <w:r w:rsidRPr="002C4EF9">
        <w:t>.  There has accordingly been a violation of Article 10 of the Convention.</w:t>
      </w:r>
    </w:p>
    <w:p w:rsidRPr="002C4EF9" w:rsidR="002C4EF9" w:rsidP="002C4EF9" w14:paraId="2608003E" w14:textId="77777777">
      <w:pPr>
        <w:pStyle w:val="JuHIRoman"/>
      </w:pPr>
      <w:r w:rsidRPr="002C4EF9">
        <w:t>APPLICATION OF ARTICLE 41 OF THE CONVENTION</w:t>
      </w:r>
    </w:p>
    <w:p w:rsidRPr="002C4EF9" w:rsidR="002C4EF9" w:rsidP="002C4EF9" w14:paraId="1BFE00B3" w14:textId="414CD060">
      <w:pPr>
        <w:pStyle w:val="JuPara"/>
        <w:keepNext/>
        <w:keepLines/>
      </w:pPr>
      <w:r w:rsidRPr="002C4EF9">
        <w:fldChar w:fldCharType="begin"/>
      </w:r>
      <w:r w:rsidRPr="002C4EF9">
        <w:instrText xml:space="preserve"> SEQ level0 \*arabic </w:instrText>
      </w:r>
      <w:r w:rsidRPr="002C4EF9">
        <w:fldChar w:fldCharType="separate"/>
      </w:r>
      <w:r w:rsidRPr="002C4EF9">
        <w:rPr>
          <w:noProof/>
        </w:rPr>
        <w:t>98</w:t>
      </w:r>
      <w:r w:rsidRPr="002C4EF9">
        <w:fldChar w:fldCharType="end"/>
      </w:r>
      <w:r w:rsidRPr="002C4EF9">
        <w:t>.  Article 41 of the Convention provides:</w:t>
      </w:r>
    </w:p>
    <w:p w:rsidRPr="002C4EF9" w:rsidR="002C4EF9" w:rsidP="002C4EF9" w14:paraId="7A6D9303" w14:textId="77777777">
      <w:pPr>
        <w:pStyle w:val="JuQuot"/>
      </w:pPr>
      <w:r w:rsidRPr="002C4E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C4EF9" w:rsidR="002C4EF9" w:rsidP="002C4EF9" w14:paraId="58ADDEF0" w14:textId="77777777">
      <w:pPr>
        <w:pStyle w:val="JuHA"/>
        <w:numPr>
          <w:ilvl w:val="2"/>
          <w:numId w:val="2"/>
        </w:numPr>
        <w:ind w:left="510" w:hanging="340"/>
      </w:pPr>
      <w:r w:rsidRPr="002C4EF9">
        <w:t>Damage</w:t>
      </w:r>
    </w:p>
    <w:p w:rsidRPr="002C4EF9" w:rsidR="002C4EF9" w:rsidP="002C4EF9" w14:paraId="214E78FA" w14:textId="25CA4691">
      <w:pPr>
        <w:pStyle w:val="JuPara"/>
      </w:pPr>
      <w:r w:rsidRPr="002C4EF9">
        <w:fldChar w:fldCharType="begin"/>
      </w:r>
      <w:r w:rsidRPr="002C4EF9">
        <w:instrText xml:space="preserve"> SEQ level0 \*arabic </w:instrText>
      </w:r>
      <w:r w:rsidRPr="002C4EF9">
        <w:fldChar w:fldCharType="separate"/>
      </w:r>
      <w:r w:rsidRPr="002C4EF9">
        <w:rPr>
          <w:noProof/>
        </w:rPr>
        <w:t>99</w:t>
      </w:r>
      <w:r w:rsidRPr="002C4EF9">
        <w:fldChar w:fldCharType="end"/>
      </w:r>
      <w:r w:rsidRPr="002C4EF9">
        <w:t>.  The applicant company claimed a total amount of 17,882.38 euros (EUR) in respect of pecuniary damage. This sum is composed of EUR 12,254.80 for the costs of legal representation (including VAT) and court fees, which it had to pay to K.S. and FPK in the first set of proceedings, and EUR 5,627.58 for the costs of legal representation (including VAT) and court fees, which it had to pay to H.K. in the second set of proceedings.</w:t>
      </w:r>
    </w:p>
    <w:p w:rsidRPr="002C4EF9" w:rsidR="002C4EF9" w:rsidP="002C4EF9" w14:paraId="5A83D5DA" w14:textId="54BED655">
      <w:pPr>
        <w:pStyle w:val="JuPara"/>
      </w:pPr>
      <w:r w:rsidRPr="002C4EF9">
        <w:fldChar w:fldCharType="begin"/>
      </w:r>
      <w:r w:rsidRPr="002C4EF9">
        <w:instrText xml:space="preserve"> SEQ level0 \*arabic </w:instrText>
      </w:r>
      <w:r w:rsidRPr="002C4EF9">
        <w:fldChar w:fldCharType="separate"/>
      </w:r>
      <w:r w:rsidRPr="002C4EF9">
        <w:rPr>
          <w:noProof/>
        </w:rPr>
        <w:t>100</w:t>
      </w:r>
      <w:r w:rsidRPr="002C4EF9">
        <w:fldChar w:fldCharType="end"/>
      </w:r>
      <w:r w:rsidRPr="002C4EF9">
        <w:t>.  The Government did not contest this claim.</w:t>
      </w:r>
    </w:p>
    <w:p w:rsidRPr="002C4EF9" w:rsidR="002C4EF9" w:rsidP="002C4EF9" w14:paraId="0EAFED88" w14:textId="1D7DAD01">
      <w:pPr>
        <w:pStyle w:val="JuPara"/>
      </w:pPr>
      <w:r w:rsidRPr="002C4EF9">
        <w:fldChar w:fldCharType="begin"/>
      </w:r>
      <w:r w:rsidRPr="002C4EF9">
        <w:instrText xml:space="preserve"> SEQ level0 \*arabic </w:instrText>
      </w:r>
      <w:r w:rsidRPr="002C4EF9">
        <w:fldChar w:fldCharType="separate"/>
      </w:r>
      <w:r w:rsidRPr="002C4EF9">
        <w:rPr>
          <w:noProof/>
        </w:rPr>
        <w:t>101</w:t>
      </w:r>
      <w:r w:rsidRPr="002C4EF9">
        <w:fldChar w:fldCharType="end"/>
      </w:r>
      <w:r w:rsidRPr="002C4EF9">
        <w:t>.  The applicant company also claimed EUR 6,000 in respect of non-pecuniary damage.</w:t>
      </w:r>
    </w:p>
    <w:p w:rsidRPr="002C4EF9" w:rsidR="002C4EF9" w:rsidP="002C4EF9" w14:paraId="0E382C03" w14:textId="3D708840">
      <w:pPr>
        <w:pStyle w:val="JuPara"/>
      </w:pPr>
      <w:r w:rsidRPr="002C4EF9">
        <w:fldChar w:fldCharType="begin"/>
      </w:r>
      <w:r w:rsidRPr="002C4EF9">
        <w:instrText xml:space="preserve"> SEQ level0 \*arabic </w:instrText>
      </w:r>
      <w:r w:rsidRPr="002C4EF9">
        <w:fldChar w:fldCharType="separate"/>
      </w:r>
      <w:r w:rsidRPr="002C4EF9">
        <w:rPr>
          <w:noProof/>
        </w:rPr>
        <w:t>102</w:t>
      </w:r>
      <w:r w:rsidRPr="002C4EF9">
        <w:fldChar w:fldCharType="end"/>
      </w:r>
      <w:r w:rsidRPr="002C4EF9">
        <w:t>.  The Government contested this claim, arguing that the applicant company had failed to set out the basis of its calculation and that the finding of a violation of a Convention right often constituted in itself sufficient reparation.</w:t>
      </w:r>
    </w:p>
    <w:p w:rsidRPr="002C4EF9" w:rsidR="002C4EF9" w:rsidP="002C4EF9" w14:paraId="1BFD2C02" w14:textId="265A076D">
      <w:pPr>
        <w:pStyle w:val="JuPara"/>
      </w:pPr>
      <w:r w:rsidRPr="002C4EF9">
        <w:fldChar w:fldCharType="begin"/>
      </w:r>
      <w:r w:rsidRPr="002C4EF9">
        <w:instrText xml:space="preserve"> SEQ level0 \*arabic </w:instrText>
      </w:r>
      <w:r w:rsidRPr="002C4EF9">
        <w:fldChar w:fldCharType="separate"/>
      </w:r>
      <w:r w:rsidRPr="002C4EF9">
        <w:rPr>
          <w:noProof/>
        </w:rPr>
        <w:t>103</w:t>
      </w:r>
      <w:r w:rsidRPr="002C4EF9">
        <w:fldChar w:fldCharType="end"/>
      </w:r>
      <w:r w:rsidRPr="002C4EF9">
        <w:t xml:space="preserve">.  The Court reiterates that it cannot speculate what the outcome of the proceedings would be if they were in conformity with the requirements of Article 6 § 1 of the Convention (see </w:t>
      </w:r>
      <w:r w:rsidRPr="002C4EF9">
        <w:rPr>
          <w:i/>
          <w:iCs/>
        </w:rPr>
        <w:t>Osinger v. Austria</w:t>
      </w:r>
      <w:r w:rsidRPr="002C4EF9">
        <w:t xml:space="preserve">, no. 54645/00, </w:t>
      </w:r>
      <w:r w:rsidRPr="002C4EF9">
        <w:t xml:space="preserve">§ 57, 24 March 2005 and the references cited therein). The same applies in the instant case in which a procedural violation of Article 10 is found (see paragraph </w:t>
      </w:r>
      <w:r w:rsidRPr="002C4EF9">
        <w:fldChar w:fldCharType="begin"/>
      </w:r>
      <w:r w:rsidRPr="002C4EF9">
        <w:instrText xml:space="preserve"> REF paragraph00091 \h  \* CharFormat </w:instrText>
      </w:r>
      <w:r w:rsidRPr="002C4EF9">
        <w:fldChar w:fldCharType="separate"/>
      </w:r>
      <w:r w:rsidRPr="002C4EF9">
        <w:t>96</w:t>
      </w:r>
      <w:r w:rsidRPr="002C4EF9">
        <w:fldChar w:fldCharType="end"/>
      </w:r>
      <w:r w:rsidRPr="002C4EF9">
        <w:t xml:space="preserve"> above). Accordingly, the Court dismisses the applicant company’s claim for pecuniary damage. As regards the claim for non-pecuniary damage, the Court finds that given the circumstances of the present case the finding of a violation constitutes in itself sufficient just satisfaction for any non-pecuniary damage the applicant company may have sustained (see, for example and </w:t>
      </w:r>
      <w:r w:rsidRPr="002C4EF9">
        <w:rPr>
          <w:i/>
          <w:iCs/>
        </w:rPr>
        <w:t>mutatis mutandis</w:t>
      </w:r>
      <w:r w:rsidRPr="002C4EF9">
        <w:t xml:space="preserve">, </w:t>
      </w:r>
      <w:r w:rsidRPr="002C4EF9">
        <w:rPr>
          <w:i/>
        </w:rPr>
        <w:t>Vereinigung Bildender Künstler v. Austria</w:t>
      </w:r>
      <w:r w:rsidRPr="002C4EF9">
        <w:t>, no. 68354/01, § 44, 25 January 2007).</w:t>
      </w:r>
    </w:p>
    <w:p w:rsidRPr="002C4EF9" w:rsidR="002C4EF9" w:rsidP="002C4EF9" w14:paraId="5A8E160D" w14:textId="77777777">
      <w:pPr>
        <w:pStyle w:val="JuHA"/>
        <w:numPr>
          <w:ilvl w:val="2"/>
          <w:numId w:val="2"/>
        </w:numPr>
        <w:ind w:left="510" w:hanging="340"/>
      </w:pPr>
      <w:r w:rsidRPr="002C4EF9">
        <w:t>Costs and expenses</w:t>
      </w:r>
    </w:p>
    <w:p w:rsidRPr="002C4EF9" w:rsidR="002C4EF9" w:rsidP="002C4EF9" w14:paraId="17F0DBF3" w14:textId="36E06322">
      <w:pPr>
        <w:pStyle w:val="JuPara"/>
      </w:pPr>
      <w:r w:rsidRPr="002C4EF9">
        <w:fldChar w:fldCharType="begin"/>
      </w:r>
      <w:r w:rsidRPr="002C4EF9">
        <w:instrText xml:space="preserve"> SEQ level0 \*arabic </w:instrText>
      </w:r>
      <w:r w:rsidRPr="002C4EF9">
        <w:fldChar w:fldCharType="separate"/>
      </w:r>
      <w:r w:rsidRPr="002C4EF9">
        <w:rPr>
          <w:noProof/>
        </w:rPr>
        <w:t>104</w:t>
      </w:r>
      <w:r w:rsidRPr="002C4EF9">
        <w:fldChar w:fldCharType="end"/>
      </w:r>
      <w:r w:rsidRPr="002C4EF9">
        <w:t>.  The applicant company claimed EUR 22,780.96 for the costs and expenses incurred before the domestic courts and EUR 4,894 for those incurred before the Court. These sums include VAT.</w:t>
      </w:r>
    </w:p>
    <w:p w:rsidRPr="002C4EF9" w:rsidR="002C4EF9" w:rsidP="002C4EF9" w14:paraId="0E32A9FC" w14:textId="0768A5D2">
      <w:pPr>
        <w:pStyle w:val="JuPara"/>
      </w:pPr>
      <w:r w:rsidRPr="002C4EF9">
        <w:fldChar w:fldCharType="begin"/>
      </w:r>
      <w:r w:rsidRPr="002C4EF9">
        <w:instrText xml:space="preserve"> SEQ level0 \*arabic </w:instrText>
      </w:r>
      <w:r w:rsidRPr="002C4EF9">
        <w:fldChar w:fldCharType="separate"/>
      </w:r>
      <w:r w:rsidRPr="002C4EF9">
        <w:rPr>
          <w:noProof/>
        </w:rPr>
        <w:t>105</w:t>
      </w:r>
      <w:r w:rsidRPr="002C4EF9">
        <w:fldChar w:fldCharType="end"/>
      </w:r>
      <w:r w:rsidRPr="002C4EF9">
        <w:t>.  The Government considered these claims excessive and disputed the assertion that the procedural steps taken by the applicant company had been effective. The applicant company could not claim more than it would have been awarded had it been successful in the domestic proceedings. As regards the costs of the proceedings before the Court the Government argued that the applicant company had been able to rely in part on the written submissions presented in the domestic proceedings when preparing the submissions to the Court.</w:t>
      </w:r>
    </w:p>
    <w:p w:rsidRPr="002C4EF9" w:rsidR="002C4EF9" w:rsidP="002C4EF9" w14:paraId="48AFDE92" w14:textId="15E573DD">
      <w:pPr>
        <w:pStyle w:val="JuPara"/>
      </w:pPr>
      <w:r w:rsidRPr="002C4EF9">
        <w:fldChar w:fldCharType="begin"/>
      </w:r>
      <w:r w:rsidRPr="002C4EF9">
        <w:instrText xml:space="preserve"> SEQ level0 \*arabic </w:instrText>
      </w:r>
      <w:r w:rsidRPr="002C4EF9">
        <w:fldChar w:fldCharType="separate"/>
      </w:r>
      <w:r w:rsidRPr="002C4EF9">
        <w:rPr>
          <w:noProof/>
        </w:rPr>
        <w:t>106</w:t>
      </w:r>
      <w:r w:rsidRPr="002C4EF9">
        <w:fldChar w:fldCharType="end"/>
      </w:r>
      <w:r w:rsidRPr="002C4EF9">
        <w:t xml:space="preserve">.  According to the Court’s case-law an applicant is entitled to the reimbursement of costs and expenses only in so far as it has been shown that these were actually and necessarily incurred and are reasonable as to quantum (see </w:t>
      </w:r>
      <w:r w:rsidRPr="002C4EF9">
        <w:rPr>
          <w:i/>
        </w:rPr>
        <w:t>Associated Society of Locomotive Engineers and Firemen (ASLEF) v. the United Kingdom</w:t>
      </w:r>
      <w:r w:rsidRPr="002C4EF9">
        <w:t>, no. 11002/05, § 58, 27 February 2007, and the cases cited therein). In the present case, regard being had to the documents in its possession and the above criteria, the Court considers it reasonable to award the sum of EUR 15,000 for costs and expenses incurred in the domestic proceedings and EUR 2,000 for the proceedings before the Court, plus any tax that may be chargeable to the applicant company.</w:t>
      </w:r>
    </w:p>
    <w:p w:rsidRPr="002C4EF9" w:rsidR="002C4EF9" w:rsidP="002C4EF9" w14:paraId="1DFA5F75" w14:textId="77777777">
      <w:pPr>
        <w:pStyle w:val="JuHA"/>
        <w:numPr>
          <w:ilvl w:val="2"/>
          <w:numId w:val="2"/>
        </w:numPr>
        <w:ind w:left="510" w:hanging="340"/>
      </w:pPr>
      <w:r w:rsidRPr="002C4EF9">
        <w:t>Default interest</w:t>
      </w:r>
    </w:p>
    <w:p w:rsidRPr="002C4EF9" w:rsidR="002C4EF9" w:rsidP="002C4EF9" w14:paraId="292CCBDE" w14:textId="56338467">
      <w:pPr>
        <w:pStyle w:val="JuPara"/>
      </w:pPr>
      <w:r w:rsidRPr="002C4EF9">
        <w:fldChar w:fldCharType="begin"/>
      </w:r>
      <w:r w:rsidRPr="002C4EF9">
        <w:instrText xml:space="preserve"> SEQ level0 \*arabic </w:instrText>
      </w:r>
      <w:r w:rsidRPr="002C4EF9">
        <w:fldChar w:fldCharType="separate"/>
      </w:r>
      <w:r w:rsidRPr="002C4EF9">
        <w:rPr>
          <w:noProof/>
        </w:rPr>
        <w:t>107</w:t>
      </w:r>
      <w:r w:rsidRPr="002C4EF9">
        <w:fldChar w:fldCharType="end"/>
      </w:r>
      <w:r w:rsidRPr="002C4EF9">
        <w:t>.  The Court considers it appropriate that the default interest rate should be based on the marginal lending rate of the European Central Bank, to which should be added three percentage points.</w:t>
      </w:r>
    </w:p>
    <w:p w:rsidRPr="002C4EF9" w:rsidR="002C4EF9" w:rsidP="002C4EF9" w14:paraId="3695DE9D" w14:textId="77777777">
      <w:pPr>
        <w:pStyle w:val="JuHHead"/>
        <w:numPr>
          <w:ilvl w:val="0"/>
          <w:numId w:val="2"/>
        </w:numPr>
      </w:pPr>
      <w:r w:rsidRPr="002C4EF9">
        <w:t>FOR THESE REASONS, THE COURT</w:t>
      </w:r>
    </w:p>
    <w:p w:rsidRPr="002C4EF9" w:rsidR="002C4EF9" w:rsidP="002C4EF9" w14:paraId="2E89F425" w14:textId="77777777">
      <w:pPr>
        <w:pStyle w:val="JuList"/>
      </w:pPr>
      <w:r w:rsidRPr="002C4EF9">
        <w:rPr>
          <w:i/>
        </w:rPr>
        <w:t>Declares</w:t>
      </w:r>
      <w:r w:rsidRPr="002C4EF9">
        <w:t>, by a majority, the application admissible;</w:t>
      </w:r>
    </w:p>
    <w:p w:rsidRPr="002C4EF9" w:rsidR="002C4EF9" w:rsidP="002C4EF9" w14:paraId="7D67F160" w14:textId="77777777">
      <w:pPr>
        <w:pStyle w:val="JuList"/>
      </w:pPr>
      <w:r w:rsidRPr="002C4EF9">
        <w:rPr>
          <w:i/>
        </w:rPr>
        <w:t>Holds</w:t>
      </w:r>
      <w:r w:rsidRPr="002C4EF9">
        <w:t>, unanimously, that there has been a violation of Article 10 of the Convention;</w:t>
      </w:r>
    </w:p>
    <w:p w:rsidRPr="002C4EF9" w:rsidR="002C4EF9" w:rsidP="002C4EF9" w14:paraId="17A3EA16" w14:textId="77777777">
      <w:pPr>
        <w:pStyle w:val="JuList"/>
      </w:pPr>
      <w:r w:rsidRPr="002C4EF9">
        <w:rPr>
          <w:i/>
        </w:rPr>
        <w:t>Holds</w:t>
      </w:r>
      <w:r w:rsidRPr="002C4EF9">
        <w:t>, unanimously, that the finding of a violation constitutes in itself sufficient just satisfaction for the non-pecuniary damage sustained by the applicant company;</w:t>
      </w:r>
    </w:p>
    <w:p w:rsidRPr="002C4EF9" w:rsidR="002C4EF9" w:rsidP="002C4EF9" w14:paraId="06580B5D" w14:textId="77777777">
      <w:pPr>
        <w:pStyle w:val="JuList"/>
      </w:pPr>
      <w:r w:rsidRPr="002C4EF9">
        <w:rPr>
          <w:i/>
        </w:rPr>
        <w:t>Holds</w:t>
      </w:r>
      <w:r w:rsidRPr="002C4EF9">
        <w:t>, unanimously,</w:t>
      </w:r>
    </w:p>
    <w:p w:rsidRPr="002C4EF9" w:rsidR="002C4EF9" w:rsidP="002C4EF9" w14:paraId="7AB89931" w14:textId="77777777">
      <w:pPr>
        <w:pStyle w:val="JuLista"/>
      </w:pPr>
      <w:r w:rsidRPr="002C4EF9">
        <w:t>that the respondent State is to pay the applicant company, within three months from the date on which the judgment becomes final, in accordance with Article 44 § 2 of the Convention,</w:t>
      </w:r>
      <w:r w:rsidRPr="002C4EF9">
        <w:rPr>
          <w:bCs/>
        </w:rPr>
        <w:t xml:space="preserve"> </w:t>
      </w:r>
      <w:r w:rsidRPr="002C4EF9">
        <w:t>EUR 17,000 (seventeen thousand euros), plus any tax that may be chargeable to the applicant company, in respect of costs and expenses;</w:t>
      </w:r>
    </w:p>
    <w:p w:rsidRPr="002C4EF9" w:rsidR="002C4EF9" w:rsidP="002C4EF9" w14:paraId="16D9E5AA" w14:textId="77777777">
      <w:pPr>
        <w:pStyle w:val="JuLista"/>
      </w:pPr>
      <w:r w:rsidRPr="002C4EF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2C4EF9" w:rsidR="002C4EF9" w:rsidP="002C4EF9" w14:paraId="404C5DC9" w14:textId="2D253407">
      <w:pPr>
        <w:pStyle w:val="JuList"/>
      </w:pPr>
      <w:r w:rsidRPr="002C4EF9">
        <w:rPr>
          <w:i/>
        </w:rPr>
        <w:t>Dismisses</w:t>
      </w:r>
      <w:r w:rsidRPr="002C4EF9">
        <w:t>, unanimously, the remainder of the applicant company’s claim for just satisfaction.</w:t>
      </w:r>
    </w:p>
    <w:p w:rsidRPr="002C4EF9" w:rsidR="002C4EF9" w:rsidP="002C4EF9" w14:paraId="4CB6B63F" w14:textId="77777777">
      <w:pPr>
        <w:pStyle w:val="JuParaLast"/>
      </w:pPr>
      <w:r w:rsidRPr="002C4EF9">
        <w:t xml:space="preserve">Done in English, and notified in writing on </w:t>
      </w:r>
      <w:r w:rsidRPr="002C4EF9">
        <w:rPr>
          <w:rFonts w:ascii="Times New Roman" w:hAnsi="Times New Roman" w:cs="Times New Roman"/>
        </w:rPr>
        <w:t>7 December 2021</w:t>
      </w:r>
      <w:r w:rsidRPr="002C4EF9">
        <w:t>, pursuant to Rule 77 §§ 2 and 3 of the Rules of Court.</w:t>
      </w:r>
    </w:p>
    <w:p w:rsidRPr="002C4EF9" w:rsidR="002C4EF9" w:rsidP="002C4EF9" w14:paraId="187A5AA4" w14:textId="77777777">
      <w:pPr>
        <w:pStyle w:val="JuSigned"/>
        <w:rPr>
          <w:lang w:val="it-IT"/>
        </w:rPr>
      </w:pPr>
      <w:r w:rsidRPr="002C4EF9">
        <w:rPr>
          <w:lang w:val="it-IT"/>
        </w:rPr>
        <w:t xml:space="preserve">Andrea Tamietti </w:t>
      </w:r>
      <w:r w:rsidRPr="002C4EF9">
        <w:rPr>
          <w:lang w:val="it-IT"/>
        </w:rPr>
        <w:tab/>
        <w:t>Yonko Grozev</w:t>
      </w:r>
      <w:r w:rsidRPr="002C4EF9">
        <w:rPr>
          <w:lang w:val="it-IT"/>
        </w:rPr>
        <w:br/>
      </w:r>
      <w:r w:rsidRPr="002C4EF9">
        <w:rPr>
          <w:lang w:val="it-IT"/>
        </w:rPr>
        <w:tab/>
      </w:r>
      <w:r w:rsidRPr="002C4EF9">
        <w:rPr>
          <w:iCs/>
          <w:lang w:val="it-IT"/>
        </w:rPr>
        <w:t>Registrar</w:t>
      </w:r>
      <w:r w:rsidRPr="002C4EF9">
        <w:rPr>
          <w:lang w:val="it-IT"/>
        </w:rPr>
        <w:tab/>
        <w:t>President</w:t>
      </w:r>
    </w:p>
    <w:p w:rsidRPr="002C4EF9" w:rsidR="002C4EF9" w:rsidP="002C4EF9" w14:paraId="28F4118F" w14:textId="77777777">
      <w:pPr>
        <w:pStyle w:val="JuPara"/>
        <w:rPr>
          <w:lang w:val="it-IT"/>
        </w:rPr>
      </w:pPr>
    </w:p>
    <w:p w:rsidRPr="002C4EF9" w:rsidR="002C4EF9" w:rsidP="002C4EF9" w14:paraId="36525578" w14:textId="77777777">
      <w:pPr>
        <w:pStyle w:val="JuParaLast"/>
      </w:pPr>
      <w:r w:rsidRPr="002C4EF9">
        <w:t>In accordance with Article 45 § 2 of the Convention and Rule 74 § 2 of the Rules of Court, the separate opinion of Judge Eicke is annexed to this judgment.</w:t>
      </w:r>
    </w:p>
    <w:p w:rsidRPr="002C4EF9" w:rsidR="002C4EF9" w:rsidP="002C4EF9" w14:paraId="0FA5B11E" w14:textId="77777777">
      <w:pPr>
        <w:pStyle w:val="JuInitialled"/>
      </w:pPr>
      <w:r w:rsidRPr="002C4EF9">
        <w:t>Y.G.R.</w:t>
      </w:r>
      <w:r w:rsidRPr="002C4EF9">
        <w:br/>
        <w:t>A.N.T.</w:t>
      </w:r>
      <w:r w:rsidRPr="002C4EF9">
        <w:br/>
      </w:r>
    </w:p>
    <w:p w:rsidRPr="002C4EF9" w:rsidR="002C4EF9" w:rsidP="002C4EF9" w14:paraId="62887B2D" w14:textId="77777777">
      <w:pPr>
        <w:sectPr w:rsidSect="009C2566">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2C4EF9" w:rsidR="002C4EF9" w:rsidP="002C4EF9" w14:paraId="28EA5ECA" w14:textId="77777777">
      <w:pPr>
        <w:pStyle w:val="DecHTitle"/>
      </w:pPr>
      <w:r w:rsidRPr="002C4EF9">
        <w:t>PARTLY DISSENTING OPINION OF JUDGE EICKE</w:t>
      </w:r>
    </w:p>
    <w:p w:rsidRPr="002C4EF9" w:rsidR="002C4EF9" w:rsidP="002C4EF9" w14:paraId="4243455F" w14:textId="77777777">
      <w:pPr>
        <w:pStyle w:val="JuHIRoman"/>
        <w:numPr>
          <w:ilvl w:val="1"/>
          <w:numId w:val="3"/>
        </w:numPr>
      </w:pPr>
      <w:r w:rsidRPr="002C4EF9">
        <w:t>Introduction</w:t>
      </w:r>
    </w:p>
    <w:p w:rsidRPr="002C4EF9" w:rsidR="002C4EF9" w:rsidP="002C4EF9" w14:paraId="29C92D1F" w14:textId="34A6A61F">
      <w:pPr>
        <w:pStyle w:val="JuPara"/>
      </w:pPr>
      <w:r w:rsidRPr="002C4EF9">
        <w:fldChar w:fldCharType="begin"/>
      </w:r>
      <w:r w:rsidRPr="002C4EF9">
        <w:instrText xml:space="preserve"> SEQ level0 \*arabic \r1 </w:instrText>
      </w:r>
      <w:r w:rsidRPr="002C4EF9">
        <w:fldChar w:fldCharType="separate"/>
      </w:r>
      <w:r w:rsidRPr="002C4EF9">
        <w:rPr>
          <w:noProof/>
        </w:rPr>
        <w:t>1</w:t>
      </w:r>
      <w:r w:rsidRPr="002C4EF9">
        <w:fldChar w:fldCharType="end"/>
      </w:r>
      <w:r w:rsidRPr="002C4EF9">
        <w:t xml:space="preserve">.  To my regret, I find myself unable to agree with my colleagues that the applicant newspaper’s Article 10 rights were engaged in this case and I therefore voted against the admissibility of this application </w:t>
      </w:r>
      <w:r w:rsidRPr="002C4EF9">
        <w:rPr>
          <w:i/>
          <w:iCs/>
        </w:rPr>
        <w:t>ratione materiae</w:t>
      </w:r>
      <w:r w:rsidRPr="002C4EF9">
        <w:t xml:space="preserve"> (Operative Part, paragraph 1). In fact, on the evidence (or rather absence of any relevant evidence) before us, the application of Article 10 to this applicant seems to me to constitute an unnecessary and unwarranted further extension of the scope of Article 10.</w:t>
      </w:r>
    </w:p>
    <w:p w:rsidRPr="002C4EF9" w:rsidR="002C4EF9" w:rsidP="002C4EF9" w14:paraId="25D4CF69" w14:textId="7F8A0098">
      <w:pPr>
        <w:pStyle w:val="JuPara"/>
      </w:pPr>
      <w:r>
        <w:fldChar w:fldCharType="begin"/>
      </w:r>
      <w:r>
        <w:instrText xml:space="preserve"> SEQ level0 \*arabic \* MERGEFORMAT </w:instrText>
      </w:r>
      <w:r>
        <w:fldChar w:fldCharType="separate"/>
      </w:r>
      <w:r w:rsidRPr="002C4EF9">
        <w:rPr>
          <w:noProof/>
        </w:rPr>
        <w:t>2</w:t>
      </w:r>
      <w:r w:rsidRPr="002C4EF9">
        <w:rPr>
          <w:noProof/>
        </w:rPr>
        <w:fldChar w:fldCharType="end"/>
      </w:r>
      <w:r w:rsidRPr="002C4EF9">
        <w:t>.  That said, once the majority decided that the complaint under Article 10 was admissible (and therefore fell to be balanced) I agreed with my colleagues that, on the merits, there had been a failure to balance the competing interests before the domestic courts.</w:t>
      </w:r>
    </w:p>
    <w:p w:rsidRPr="002C4EF9" w:rsidR="002C4EF9" w:rsidP="002C4EF9" w14:paraId="7025BE1E" w14:textId="77777777">
      <w:pPr>
        <w:pStyle w:val="JuHIRoman"/>
      </w:pPr>
      <w:r w:rsidRPr="002C4EF9">
        <w:t>The wider context</w:t>
      </w:r>
    </w:p>
    <w:p w:rsidRPr="002C4EF9" w:rsidR="002C4EF9" w:rsidP="002C4EF9" w14:paraId="72FB6FF8" w14:textId="36C06938">
      <w:pPr>
        <w:pStyle w:val="JuPara"/>
      </w:pPr>
      <w:r>
        <w:fldChar w:fldCharType="begin"/>
      </w:r>
      <w:r>
        <w:instrText xml:space="preserve"> SEQ level0 \*arabic \* MERGEFORMAT </w:instrText>
      </w:r>
      <w:r>
        <w:fldChar w:fldCharType="separate"/>
      </w:r>
      <w:r w:rsidRPr="002C4EF9">
        <w:rPr>
          <w:noProof/>
        </w:rPr>
        <w:t>3</w:t>
      </w:r>
      <w:r w:rsidRPr="002C4EF9">
        <w:rPr>
          <w:noProof/>
        </w:rPr>
        <w:fldChar w:fldCharType="end"/>
      </w:r>
      <w:r w:rsidRPr="002C4EF9">
        <w:t>.  In cases like the present, the Court is, of course, confronted with three groups of actors whose respective rights and interests fall to be considered.</w:t>
      </w:r>
    </w:p>
    <w:p w:rsidRPr="002C4EF9" w:rsidR="002C4EF9" w:rsidP="002C4EF9" w14:paraId="33036CAA" w14:textId="77777777">
      <w:pPr>
        <w:pStyle w:val="JuLista"/>
      </w:pPr>
      <w:r w:rsidRPr="002C4EF9">
        <w:tab/>
        <w:t xml:space="preserve">the </w:t>
      </w:r>
      <w:r w:rsidRPr="002C4EF9">
        <w:rPr>
          <w:u w:val="single"/>
        </w:rPr>
        <w:t>first</w:t>
      </w:r>
      <w:r w:rsidRPr="002C4EF9">
        <w:t xml:space="preserve"> such group consists of the authors of the relevant user comments. Their user comments plainly attract the protection of Article 10 and the disclosure of their identity and any (consequent) legal action against them is likely to interfere with their right to freedom of expression as does, arguably, the prompt deletion of their comments by the applicant. However, they are not the applicants before this Court (nor were they parties – directly or indirectly – in the domestic proceedings);</w:t>
      </w:r>
    </w:p>
    <w:p w:rsidRPr="002C4EF9" w:rsidR="002C4EF9" w:rsidP="002C4EF9" w14:paraId="256C7B12" w14:textId="77777777">
      <w:pPr>
        <w:pStyle w:val="JuLista"/>
      </w:pPr>
      <w:r w:rsidRPr="002C4EF9">
        <w:tab/>
        <w:t xml:space="preserve">the </w:t>
      </w:r>
      <w:r w:rsidRPr="002C4EF9">
        <w:rPr>
          <w:u w:val="single"/>
        </w:rPr>
        <w:t>second</w:t>
      </w:r>
      <w:r w:rsidRPr="002C4EF9">
        <w:t xml:space="preserve"> such group consists of the alleged victims of the content of the user comments, in this case K.S., the FPK and H.K., who were seeking to exercise their right of access to court under Article 6 in order to protect the right to their reputation under Article 8. In order to be able to do so and bring civil proceedings for defamation against the anonymised authors of the respective user posts, they sought the assistance of the courts under the E-Commerce Act to order disclosure of their identity and sufficient identifying user data to enable them to initiate such proceedings; and</w:t>
      </w:r>
    </w:p>
    <w:p w:rsidRPr="002C4EF9" w:rsidR="002C4EF9" w:rsidP="002C4EF9" w14:paraId="4DBA15B0" w14:textId="2EB1C98B">
      <w:pPr>
        <w:pStyle w:val="JuLista"/>
      </w:pPr>
      <w:r w:rsidRPr="002C4EF9">
        <w:tab/>
        <w:t xml:space="preserve">finally, the </w:t>
      </w:r>
      <w:r w:rsidRPr="002C4EF9">
        <w:rPr>
          <w:u w:val="single"/>
        </w:rPr>
        <w:t>third</w:t>
      </w:r>
      <w:r w:rsidRPr="002C4EF9">
        <w:t xml:space="preserve"> actor is the service provider who in this case happens to be a newspaper but who, on the evidence before the domestic courts, had not established any manual review of the users’ comments by the applicant’s employees before publication or any other connection between the applicant’s journalistic activities and the user comments.</w:t>
      </w:r>
    </w:p>
    <w:p w:rsidRPr="002C4EF9" w:rsidR="002C4EF9" w:rsidP="002C4EF9" w14:paraId="76DEEAF5" w14:textId="73A41902">
      <w:pPr>
        <w:pStyle w:val="JuPara"/>
      </w:pPr>
      <w:r>
        <w:fldChar w:fldCharType="begin"/>
      </w:r>
      <w:r>
        <w:instrText xml:space="preserve"> SEQ level0 \*arabic \* MERGEFORMAT </w:instrText>
      </w:r>
      <w:r>
        <w:fldChar w:fldCharType="separate"/>
      </w:r>
      <w:r w:rsidRPr="002C4EF9">
        <w:rPr>
          <w:noProof/>
        </w:rPr>
        <w:t>4</w:t>
      </w:r>
      <w:r w:rsidRPr="002C4EF9">
        <w:rPr>
          <w:noProof/>
        </w:rPr>
        <w:fldChar w:fldCharType="end"/>
      </w:r>
      <w:r w:rsidRPr="002C4EF9">
        <w:t>.  The necessary balance between these multiple competing rights and interests in the context of the provision of information society services on the Internet requires careful calibration; something which has, at least at the EU level, been sought to be achieved – with express reference to Article 10 of the Convention – by Directive 2000/31/EC of the European Parliament and of the Council of 8 June 2000 on certain legal aspects of information society services, in particular electronic commerce, in the Internal Market, OJ 2000 L 178, p. 1 (“the E-Commerce Directive”).</w:t>
      </w:r>
    </w:p>
    <w:p w:rsidRPr="002C4EF9" w:rsidR="002C4EF9" w:rsidP="002C4EF9" w14:paraId="60E8BA07" w14:textId="77777777">
      <w:pPr>
        <w:pStyle w:val="JuPara"/>
      </w:pPr>
      <w:r w:rsidRPr="002C4EF9">
        <w:t>It is also the transposition of this Directive into Austrian law, in the form of the E-Commerce Act (</w:t>
      </w:r>
      <w:r w:rsidRPr="002C4EF9">
        <w:rPr>
          <w:i/>
          <w:iCs/>
        </w:rPr>
        <w:t>Bundesgesetz, mit dem bestimmte rechtliche Aspekte des elektronischen Geschäfts- und Rechtsverkehrs geregelt werden (E-Commerce-Gesetz – ECG)</w:t>
      </w:r>
      <w:r w:rsidRPr="002C4EF9">
        <w:t>), which provided the cause of action for the application of the alleged victims against the applicant.</w:t>
      </w:r>
    </w:p>
    <w:p w:rsidRPr="002C4EF9" w:rsidR="002C4EF9" w:rsidP="002C4EF9" w14:paraId="5B3596A7" w14:textId="584D826F">
      <w:pPr>
        <w:pStyle w:val="JuPara"/>
      </w:pPr>
      <w:r>
        <w:fldChar w:fldCharType="begin"/>
      </w:r>
      <w:r>
        <w:instrText xml:space="preserve"> SEQ level0 \*arabic \* MERGEFORMAT </w:instrText>
      </w:r>
      <w:r>
        <w:fldChar w:fldCharType="separate"/>
      </w:r>
      <w:r w:rsidRPr="002C4EF9">
        <w:rPr>
          <w:noProof/>
        </w:rPr>
        <w:t>5</w:t>
      </w:r>
      <w:r w:rsidRPr="002C4EF9">
        <w:rPr>
          <w:noProof/>
        </w:rPr>
        <w:fldChar w:fldCharType="end"/>
      </w:r>
      <w:r w:rsidRPr="002C4EF9">
        <w:t>.  Section 16(1) of the ECG, transposing almost verbatim Article 14 of the E-Commerce Directive, exempts a host or “service provider” from liability for the content of the information stored under two conditions, namely: (a) the service provider does not have actual knowledge of illegal activity or information and, as regards claims for damages, is not aware of facts or circumstances from which the illegal activity or information is apparent; or (b) the service provider, upon obtaining such knowledge or awareness, acts expeditiously to remove or to disable access to the information.</w:t>
      </w:r>
    </w:p>
    <w:p w:rsidRPr="002C4EF9" w:rsidR="002C4EF9" w:rsidP="002C4EF9" w14:paraId="31E16507" w14:textId="49C2D61F">
      <w:pPr>
        <w:pStyle w:val="JuPara"/>
      </w:pPr>
      <w:r>
        <w:fldChar w:fldCharType="begin"/>
      </w:r>
      <w:r>
        <w:instrText xml:space="preserve"> SEQ level0 \*arabic \* MERGEFORMAT </w:instrText>
      </w:r>
      <w:r>
        <w:fldChar w:fldCharType="separate"/>
      </w:r>
      <w:r w:rsidRPr="002C4EF9">
        <w:rPr>
          <w:noProof/>
        </w:rPr>
        <w:t>6</w:t>
      </w:r>
      <w:r w:rsidRPr="002C4EF9">
        <w:rPr>
          <w:noProof/>
        </w:rPr>
        <w:fldChar w:fldCharType="end"/>
      </w:r>
      <w:r w:rsidRPr="002C4EF9">
        <w:t xml:space="preserve">.  The resulting limitation on the users’ right of access to court (Article 6 of the Convention) and a victim’s ability to protect their right to their reputation (Article 8 of the Convention) is compensated for under section 18(4) of the ECG (utilising the enabling power in Article 15 </w:t>
      </w:r>
      <w:r w:rsidRPr="002C4EF9">
        <w:rPr>
          <w:rFonts w:cstheme="minorHAnsi"/>
        </w:rPr>
        <w:t>§</w:t>
      </w:r>
      <w:r w:rsidRPr="002C4EF9">
        <w:t> 4 of the E-Commerce Directive) by imposing on service providers who are exempt from liability under section 16 of the ECG a duty to</w:t>
      </w:r>
    </w:p>
    <w:p w:rsidRPr="002C4EF9" w:rsidR="002C4EF9" w:rsidP="002C4EF9" w14:paraId="2EED87A6" w14:textId="77777777">
      <w:pPr>
        <w:pStyle w:val="JuQuotSub"/>
        <w:rPr>
          <w:lang w:val="en-GB"/>
        </w:rPr>
      </w:pPr>
      <w:r w:rsidRPr="002C4EF9">
        <w:rPr>
          <w:lang w:val="en-GB"/>
        </w:rPr>
        <w:t>“... transmit the name and address of a user of their service, with whom they have concluded agreements concerning the storage of information, to third parties at the request [of those third parties] if they demonstrate (</w:t>
      </w:r>
      <w:r w:rsidRPr="002C4EF9">
        <w:rPr>
          <w:i/>
          <w:iCs/>
          <w:lang w:val="en-GB"/>
        </w:rPr>
        <w:t>glaubhaft machen</w:t>
      </w:r>
      <w:r w:rsidRPr="002C4EF9">
        <w:rPr>
          <w:lang w:val="en-GB"/>
        </w:rPr>
        <w:t>) an overriding legal interest in determining the identity of [that] user and in [establishing the existence of] a particular illegal situation, and furthermore demonstrate that knowledge of such information constitutes an essential prerequisite for the pursuit of legal remedies (</w:t>
      </w:r>
      <w:r w:rsidRPr="002C4EF9">
        <w:rPr>
          <w:i/>
          <w:iCs/>
          <w:lang w:val="en-GB"/>
        </w:rPr>
        <w:t>Rechtsverfolgung</w:t>
      </w:r>
      <w:r w:rsidRPr="002C4EF9">
        <w:rPr>
          <w:lang w:val="en-GB"/>
        </w:rPr>
        <w:t>).”</w:t>
      </w:r>
    </w:p>
    <w:p w:rsidRPr="002C4EF9" w:rsidR="002C4EF9" w:rsidP="002C4EF9" w14:paraId="6979B76E" w14:textId="19CA306A">
      <w:pPr>
        <w:pStyle w:val="JuPara"/>
      </w:pPr>
      <w:r>
        <w:fldChar w:fldCharType="begin"/>
      </w:r>
      <w:r>
        <w:instrText xml:space="preserve"> SEQ level0 \*arabic \* MERGEFORMAT </w:instrText>
      </w:r>
      <w:r>
        <w:fldChar w:fldCharType="separate"/>
      </w:r>
      <w:r w:rsidRPr="002C4EF9">
        <w:rPr>
          <w:noProof/>
        </w:rPr>
        <w:t>7</w:t>
      </w:r>
      <w:r w:rsidRPr="002C4EF9">
        <w:rPr>
          <w:noProof/>
        </w:rPr>
        <w:fldChar w:fldCharType="end"/>
      </w:r>
      <w:r w:rsidRPr="002C4EF9">
        <w:t>.  There are three things worth noting about the legislative scheme under the ECG/E-Commerce Directive:</w:t>
      </w:r>
    </w:p>
    <w:p w:rsidRPr="002C4EF9" w:rsidR="002C4EF9" w:rsidP="002C4EF9" w14:paraId="7D7EE5C7" w14:textId="689CFE50">
      <w:pPr>
        <w:pStyle w:val="JuLista"/>
        <w:numPr>
          <w:ilvl w:val="1"/>
          <w:numId w:val="22"/>
        </w:numPr>
      </w:pPr>
      <w:r w:rsidRPr="002C4EF9">
        <w:tab/>
        <w:t xml:space="preserve">for the exemption from liability to apply and for the qualified duty of disclosure to apply, it requires the courts to be satisfied that the service provider has not played an active role allowing it to have knowledge or control of the message posted or data stored (see judgments of the CJEU of: 23 March 2010 in </w:t>
      </w:r>
      <w:r w:rsidRPr="002C4EF9">
        <w:rPr>
          <w:i/>
          <w:iCs/>
        </w:rPr>
        <w:t>Google France and Google</w:t>
      </w:r>
      <w:r w:rsidRPr="002C4EF9">
        <w:t>, Joined Cases C</w:t>
      </w:r>
      <w:r w:rsidRPr="002C4EF9">
        <w:noBreakHyphen/>
        <w:t>236/08 to C</w:t>
      </w:r>
      <w:r w:rsidRPr="002C4EF9">
        <w:noBreakHyphen/>
        <w:t xml:space="preserve">238/08, ECLI:EU:C:2010:159, paragraph 120; 12 July 2011 in </w:t>
      </w:r>
      <w:r w:rsidRPr="002C4EF9">
        <w:rPr>
          <w:i/>
          <w:iCs/>
        </w:rPr>
        <w:t>L’Oréal and Others</w:t>
      </w:r>
      <w:r w:rsidRPr="002C4EF9">
        <w:t>, C</w:t>
      </w:r>
      <w:r w:rsidRPr="002C4EF9">
        <w:noBreakHyphen/>
        <w:t xml:space="preserve">324/09, ECLI:EU:C:2011:474, paragraph 123; and 22 June 2021 in </w:t>
      </w:r>
      <w:r w:rsidRPr="002C4EF9">
        <w:rPr>
          <w:i/>
          <w:iCs/>
        </w:rPr>
        <w:t>YouTube and Cyando</w:t>
      </w:r>
      <w:r w:rsidRPr="002C4EF9">
        <w:t>, Joined Cases C-682/18 and C</w:t>
      </w:r>
      <w:r w:rsidRPr="002C4EF9">
        <w:noBreakHyphen/>
        <w:t xml:space="preserve">683/18, ECLI:EU:C:2021:503, paragraph 117), such as by providing assistance to the user which entails, in particular, optimising the presentation or promoting the post (see, </w:t>
      </w:r>
      <w:r w:rsidRPr="002C4EF9">
        <w:rPr>
          <w:i/>
          <w:iCs/>
        </w:rPr>
        <w:t>mutatis mutandis</w:t>
      </w:r>
      <w:r w:rsidRPr="002C4EF9">
        <w:t xml:space="preserve">, the CJEU in </w:t>
      </w:r>
      <w:r w:rsidRPr="002C4EF9">
        <w:rPr>
          <w:i/>
          <w:iCs/>
        </w:rPr>
        <w:t>L’Oréal and Others</w:t>
      </w:r>
      <w:r w:rsidRPr="002C4EF9">
        <w:t xml:space="preserve"> at paragraph 123);</w:t>
      </w:r>
    </w:p>
    <w:p w:rsidRPr="002C4EF9" w:rsidR="002C4EF9" w:rsidP="002C4EF9" w14:paraId="0841F5F0" w14:textId="77777777">
      <w:pPr>
        <w:pStyle w:val="JuLista"/>
      </w:pPr>
      <w:r w:rsidRPr="002C4EF9">
        <w:tab/>
        <w:t>it requires there to be a service agreement between the provider and the user; and</w:t>
      </w:r>
    </w:p>
    <w:p w:rsidRPr="002C4EF9" w:rsidR="002C4EF9" w:rsidP="002C4EF9" w14:paraId="6584A85D" w14:textId="77777777">
      <w:pPr>
        <w:pStyle w:val="JuLista"/>
      </w:pPr>
      <w:r w:rsidRPr="002C4EF9">
        <w:tab/>
        <w:t>it requires the alleged victim to demonstrate (i) an overriding legal interest (according to the domestic jurisprudence, the required standard is that of not being able to rule out the possibility of a finding of liability) and (ii) that knowledge of this information is an essential (</w:t>
      </w:r>
      <w:r w:rsidRPr="002C4EF9">
        <w:rPr>
          <w:i/>
          <w:iCs/>
        </w:rPr>
        <w:t>wesentlich</w:t>
      </w:r>
      <w:r w:rsidRPr="002C4EF9">
        <w:t>) pre</w:t>
      </w:r>
      <w:r w:rsidRPr="002C4EF9">
        <w:noBreakHyphen/>
        <w:t>requisite for the pursuit of legal remedies.</w:t>
      </w:r>
    </w:p>
    <w:p w:rsidRPr="002C4EF9" w:rsidR="002C4EF9" w:rsidP="002C4EF9" w14:paraId="2D3BF01F" w14:textId="27F3358D">
      <w:pPr>
        <w:pStyle w:val="JuPara"/>
      </w:pPr>
      <w:r>
        <w:fldChar w:fldCharType="begin"/>
      </w:r>
      <w:r>
        <w:instrText xml:space="preserve"> SEQ level0 \*arabic \* MERGEFORMAT </w:instrText>
      </w:r>
      <w:r>
        <w:fldChar w:fldCharType="separate"/>
      </w:r>
      <w:r w:rsidRPr="002C4EF9">
        <w:rPr>
          <w:noProof/>
        </w:rPr>
        <w:t>8</w:t>
      </w:r>
      <w:r w:rsidRPr="002C4EF9">
        <w:rPr>
          <w:noProof/>
        </w:rPr>
        <w:fldChar w:fldCharType="end"/>
      </w:r>
      <w:r w:rsidRPr="002C4EF9">
        <w:t>.  In resisting the proceedings for disclosure of the users’ identity under the ECG before the domestic courts (as well as before this Court – see paragraph 53), the applicant relied on its right to editorial secrecy/protection of journalistic sources (</w:t>
      </w:r>
      <w:r w:rsidRPr="002C4EF9">
        <w:rPr>
          <w:i/>
          <w:iCs/>
        </w:rPr>
        <w:t>Redaktionsgeheimnis</w:t>
      </w:r>
      <w:r w:rsidRPr="002C4EF9">
        <w:t xml:space="preserve">) as protected in domestic law by section 31(1) of the Media Act (see paragraph 35), a provision which seeks to give effect in domestic law to the requirements of Article 10 of the Convention (see, </w:t>
      </w:r>
      <w:r w:rsidRPr="002C4EF9">
        <w:rPr>
          <w:i/>
          <w:iCs/>
        </w:rPr>
        <w:t>inter alia</w:t>
      </w:r>
      <w:r w:rsidRPr="002C4EF9">
        <w:t>, the Austrian Supreme Court’s discussion in decisions 13 Os 130/10 g and 6 Ob 133/13 x).</w:t>
      </w:r>
    </w:p>
    <w:p w:rsidRPr="002C4EF9" w:rsidR="002C4EF9" w:rsidP="002C4EF9" w14:paraId="6F77A429" w14:textId="773DD4D0">
      <w:pPr>
        <w:pStyle w:val="JuPara"/>
      </w:pPr>
      <w:r>
        <w:fldChar w:fldCharType="begin"/>
      </w:r>
      <w:r>
        <w:instrText xml:space="preserve"> SEQ level0 \*arabic \* MERGEFORMAT </w:instrText>
      </w:r>
      <w:r>
        <w:fldChar w:fldCharType="separate"/>
      </w:r>
      <w:r w:rsidRPr="002C4EF9">
        <w:rPr>
          <w:noProof/>
        </w:rPr>
        <w:t>9</w:t>
      </w:r>
      <w:r w:rsidRPr="002C4EF9">
        <w:rPr>
          <w:noProof/>
        </w:rPr>
        <w:fldChar w:fldCharType="end"/>
      </w:r>
      <w:r w:rsidRPr="002C4EF9">
        <w:t>.  In the inter-play between these two provisions, the Austrian Supreme Court’s consistent case-law has been that:</w:t>
      </w:r>
    </w:p>
    <w:p w:rsidRPr="002C4EF9" w:rsidR="002C4EF9" w:rsidP="002C4EF9" w14:paraId="5BE19CFF" w14:textId="77777777">
      <w:pPr>
        <w:pStyle w:val="JuQuotSub"/>
        <w:rPr>
          <w:lang w:val="en-GB"/>
        </w:rPr>
      </w:pPr>
      <w:r w:rsidRPr="002C4EF9">
        <w:rPr>
          <w:lang w:val="en-GB"/>
        </w:rPr>
        <w:t>“... information obtained by one of the persons referred to in section 31(1) of the Media Act [that is media owners, editors, copy editors and employees of a media company or media service] without it having been deliberately made available to that person by someone by reference to his or her activity does not qualify as a communication protected by editorial secrecy.”</w:t>
      </w:r>
    </w:p>
    <w:p w:rsidRPr="002C4EF9" w:rsidR="002C4EF9" w:rsidP="002C4EF9" w14:paraId="7950D63F" w14:textId="77777777">
      <w:pPr>
        <w:pStyle w:val="JuQuotSub"/>
        <w:spacing w:before="0" w:after="0"/>
        <w:ind w:left="0" w:firstLine="284"/>
        <w:rPr>
          <w:rStyle w:val="JuParaChar"/>
        </w:rPr>
      </w:pPr>
      <w:r w:rsidRPr="002C4EF9">
        <w:rPr>
          <w:rStyle w:val="JuParaChar"/>
        </w:rPr>
        <w:t>(See 13 Os 130/10 g, cited as authority in 6 Ob 133/13 x which, in turn, is cited as authority in the judgment of 15 December 2014 in the present case (6 Ob 188/14 m).)</w:t>
      </w:r>
    </w:p>
    <w:p w:rsidRPr="002C4EF9" w:rsidR="002C4EF9" w:rsidP="002C4EF9" w14:paraId="2D383981" w14:textId="38A0B465">
      <w:pPr>
        <w:pStyle w:val="JuPara"/>
      </w:pPr>
      <w:r>
        <w:fldChar w:fldCharType="begin"/>
      </w:r>
      <w:r>
        <w:instrText xml:space="preserve"> SEQ level0 \*arabic \* MERGEFORMAT </w:instrText>
      </w:r>
      <w:r>
        <w:fldChar w:fldCharType="separate"/>
      </w:r>
      <w:r w:rsidRPr="002C4EF9">
        <w:rPr>
          <w:noProof/>
        </w:rPr>
        <w:t>10</w:t>
      </w:r>
      <w:r w:rsidRPr="002C4EF9">
        <w:rPr>
          <w:noProof/>
        </w:rPr>
        <w:fldChar w:fldCharType="end"/>
      </w:r>
      <w:r w:rsidRPr="002C4EF9">
        <w:t xml:space="preserve">.  In reaching this conclusion, it is clear from the Austrian Supreme Court’s judgments that it has had full regard to the particular importance of the press in the context of the right to freedom of expression under Article 10 as well as to the fact that the protection of journalistic sources is one of the cornerstones of freedom of the press; and it has done so by reference to Article 10 and the Court’s case-law thereunder (including </w:t>
      </w:r>
      <w:r w:rsidRPr="002C4EF9">
        <w:rPr>
          <w:i/>
        </w:rPr>
        <w:t>Goodwin v. the United Kingdom</w:t>
      </w:r>
      <w:r w:rsidRPr="002C4EF9">
        <w:t xml:space="preserve">, 27 March 1996, </w:t>
      </w:r>
      <w:r w:rsidRPr="002C4EF9">
        <w:rPr>
          <w:i/>
        </w:rPr>
        <w:t>Reports of Judgments and Decisions</w:t>
      </w:r>
      <w:r w:rsidRPr="002C4EF9">
        <w:t xml:space="preserve"> 1996</w:t>
      </w:r>
      <w:r w:rsidRPr="002C4EF9">
        <w:noBreakHyphen/>
        <w:t xml:space="preserve">II; </w:t>
      </w:r>
      <w:r w:rsidRPr="002C4EF9">
        <w:rPr>
          <w:i/>
        </w:rPr>
        <w:t>Financial Times Ltd and Others v. the United Kingdom</w:t>
      </w:r>
      <w:r w:rsidRPr="002C4EF9">
        <w:t xml:space="preserve">, no. 821/03, 15 December 2009; </w:t>
      </w:r>
      <w:r w:rsidRPr="002C4EF9">
        <w:rPr>
          <w:i/>
          <w:iCs/>
        </w:rPr>
        <w:t>British Broadcasting Corporation v. the United Kingdom</w:t>
      </w:r>
      <w:r w:rsidRPr="002C4EF9">
        <w:t>, no. 25798/94, Commission decision of 18 January 1996, Decisions and Reports 84</w:t>
      </w:r>
      <w:r w:rsidRPr="002C4EF9">
        <w:noBreakHyphen/>
        <w:t xml:space="preserve">A, p. 129; and </w:t>
      </w:r>
      <w:r w:rsidRPr="002C4EF9">
        <w:rPr>
          <w:i/>
        </w:rPr>
        <w:t>Sanoma Uitgevers B.V. v. the Netherlands</w:t>
      </w:r>
      <w:r w:rsidRPr="002C4EF9">
        <w:t xml:space="preserve"> [GC], no. 38224/03, 14 September 2010).</w:t>
      </w:r>
    </w:p>
    <w:p w:rsidRPr="002C4EF9" w:rsidR="002C4EF9" w:rsidP="002C4EF9" w14:paraId="6102E533" w14:textId="78418C1C">
      <w:pPr>
        <w:pStyle w:val="JuPara"/>
      </w:pPr>
      <w:r w:rsidRPr="002C4EF9">
        <w:t xml:space="preserve">However, drawing on this Court’s decision in </w:t>
      </w:r>
      <w:r w:rsidRPr="002C4EF9">
        <w:rPr>
          <w:i/>
        </w:rPr>
        <w:t xml:space="preserve">Nordisk Film &amp; TV A/S v. Denmark </w:t>
      </w:r>
      <w:r w:rsidRPr="002C4EF9">
        <w:t>(dec.), no. 40485/02, ECHR 2005</w:t>
      </w:r>
      <w:r w:rsidRPr="002C4EF9">
        <w:noBreakHyphen/>
        <w:t>XIII, the Supreme Court also made clear that the applicability of Article 10 in this context is limited to posts/information connected to the journalist’s exercise of his or her function as a journalist. As the Austrian Supreme Court made clear in its decision in the present case (6 Ob 188/14 m):</w:t>
      </w:r>
    </w:p>
    <w:p w:rsidRPr="002C4EF9" w:rsidR="002C4EF9" w:rsidP="002C4EF9" w14:paraId="471FBF7A" w14:textId="77777777">
      <w:pPr>
        <w:pStyle w:val="JuQuotSub"/>
        <w:rPr>
          <w:lang w:val="en-GB"/>
        </w:rPr>
      </w:pPr>
      <w:r w:rsidRPr="002C4EF9">
        <w:rPr>
          <w:lang w:val="en-GB"/>
        </w:rPr>
        <w:t>“Editorial secrecy cannot be invoked where a posting has no connection whatsoever with a journalistic activity. There must therefore be at least some intended activity, control or knowledge of a media employee for the protection of section 31 of the Media Act to be invoked.”</w:t>
      </w:r>
    </w:p>
    <w:p w:rsidRPr="002C4EF9" w:rsidR="002C4EF9" w:rsidP="002C4EF9" w14:paraId="28017F04" w14:textId="0923526E">
      <w:pPr>
        <w:pStyle w:val="JuPara"/>
      </w:pPr>
      <w:r>
        <w:fldChar w:fldCharType="begin"/>
      </w:r>
      <w:r>
        <w:instrText xml:space="preserve"> SEQ level0 \*arabic \* MERGEFORMAT </w:instrText>
      </w:r>
      <w:r>
        <w:fldChar w:fldCharType="separate"/>
      </w:r>
      <w:r w:rsidRPr="002C4EF9">
        <w:rPr>
          <w:noProof/>
        </w:rPr>
        <w:t>11</w:t>
      </w:r>
      <w:r w:rsidRPr="002C4EF9">
        <w:rPr>
          <w:noProof/>
        </w:rPr>
        <w:fldChar w:fldCharType="end"/>
      </w:r>
      <w:r w:rsidRPr="002C4EF9">
        <w:t xml:space="preserve">.  In </w:t>
      </w:r>
      <w:r w:rsidRPr="002C4EF9">
        <w:rPr>
          <w:i/>
        </w:rPr>
        <w:t xml:space="preserve">Nordisk Film &amp; TV A/S </w:t>
      </w:r>
      <w:r w:rsidRPr="002C4EF9">
        <w:rPr>
          <w:iCs/>
        </w:rPr>
        <w:t>(cited above)</w:t>
      </w:r>
      <w:r w:rsidRPr="002C4EF9">
        <w:t xml:space="preserve"> the Court was concerned with an order compelling a television producer to hand over unpublished programme material to the prosecution. In its decision, the Court – having reiterated that “[f]reedom of expression constitutes one of the essential foundations of a democratic society and the safeguards to be afforded to the press are of particular importance” and that “[t]he protection of journalistic sources is one of the cornerstones of freedom of the press” – made clear that:</w:t>
      </w:r>
    </w:p>
    <w:p w:rsidRPr="002C4EF9" w:rsidR="002C4EF9" w:rsidP="002C4EF9" w14:paraId="5C72922B" w14:textId="77777777">
      <w:pPr>
        <w:pStyle w:val="JuQuotSub"/>
        <w:rPr>
          <w:lang w:val="en-GB"/>
        </w:rPr>
      </w:pPr>
      <w:r w:rsidRPr="002C4EF9">
        <w:rPr>
          <w:lang w:val="en-GB"/>
        </w:rPr>
        <w:t>“... there is a difference between the case before it and previous case-law. In the present case, .... In fact, the majority of the persons participating in the programme were not freely assisting the press to inform the public about matters of public interest or matters concerning others, on the contrary. Nor did they consent to being filmed or recorded and thus providing information in that way. Consequently, those participants cannot be regarded as sources of journalistic information in the traditional sense (see for example the definition set out in the explanatory notes to Recommendation No. R (2000) 7, above).</w:t>
      </w:r>
    </w:p>
    <w:p w:rsidRPr="002C4EF9" w:rsidR="002C4EF9" w:rsidP="002C4EF9" w14:paraId="325E7408" w14:textId="77777777">
      <w:pPr>
        <w:pStyle w:val="JuQuotSub"/>
        <w:rPr>
          <w:lang w:val="en-GB"/>
        </w:rPr>
      </w:pPr>
      <w:r w:rsidRPr="002C4EF9">
        <w:rPr>
          <w:lang w:val="en-GB"/>
        </w:rPr>
        <w:t>Seen in this light, the applicant company was not ordered to disclose its journalistic source of information.”</w:t>
      </w:r>
    </w:p>
    <w:p w:rsidRPr="002C4EF9" w:rsidR="002C4EF9" w:rsidP="002C4EF9" w14:paraId="6C962CC6" w14:textId="58B130B4">
      <w:pPr>
        <w:pStyle w:val="JuPara"/>
      </w:pPr>
      <w:r>
        <w:fldChar w:fldCharType="begin"/>
      </w:r>
      <w:r>
        <w:instrText xml:space="preserve"> SEQ level0 \*arabic \* MERGEFORMAT </w:instrText>
      </w:r>
      <w:r>
        <w:fldChar w:fldCharType="separate"/>
      </w:r>
      <w:r w:rsidRPr="002C4EF9">
        <w:rPr>
          <w:noProof/>
        </w:rPr>
        <w:t>12</w:t>
      </w:r>
      <w:r w:rsidRPr="002C4EF9">
        <w:rPr>
          <w:noProof/>
        </w:rPr>
        <w:fldChar w:fldCharType="end"/>
      </w:r>
      <w:r w:rsidRPr="002C4EF9">
        <w:t>.  The basis on which the Court concluded that Article 10 “may” nevertheless apply in such a context was that, in the circumstances of that case, the applicant “was ordered to hand over part of its own research‑material. The Court does not dispute that ... a compulsory hand over of research material may have a chilling effect on the exercise of journalistic freedom of expression”. The posts/information concerned in the present case were significantly further removed from any “journalistic freedom of expression” by the applicant. In fact, the domestic courts clearly found that the applicant had failed to establish “any connection with [its] journalistic activity”.</w:t>
      </w:r>
    </w:p>
    <w:p w:rsidRPr="002C4EF9" w:rsidR="002C4EF9" w:rsidP="002C4EF9" w14:paraId="584087E9" w14:textId="77777777">
      <w:pPr>
        <w:pStyle w:val="JuHIRoman"/>
      </w:pPr>
      <w:r w:rsidRPr="002C4EF9">
        <w:t>The specific circumstances of this case</w:t>
      </w:r>
    </w:p>
    <w:p w:rsidRPr="002C4EF9" w:rsidR="002C4EF9" w:rsidP="002C4EF9" w14:paraId="3EAAE9B5" w14:textId="26EF68B1">
      <w:pPr>
        <w:pStyle w:val="JuPara"/>
      </w:pPr>
      <w:r>
        <w:fldChar w:fldCharType="begin"/>
      </w:r>
      <w:r>
        <w:instrText xml:space="preserve"> SEQ level0 \*arabic \* MERGEFORMAT </w:instrText>
      </w:r>
      <w:r>
        <w:fldChar w:fldCharType="separate"/>
      </w:r>
      <w:r w:rsidRPr="002C4EF9">
        <w:rPr>
          <w:noProof/>
        </w:rPr>
        <w:t>13</w:t>
      </w:r>
      <w:r w:rsidRPr="002C4EF9">
        <w:rPr>
          <w:noProof/>
        </w:rPr>
        <w:fldChar w:fldCharType="end"/>
      </w:r>
      <w:r w:rsidRPr="002C4EF9">
        <w:t>.  In the light of the above and the Court’s established case-law, the following aspects of the present case are, in my view, of particular relevance to the assessment of the question whether the applicant’s Article 10 rights are engaged at all:</w:t>
      </w:r>
    </w:p>
    <w:p w:rsidRPr="002C4EF9" w:rsidR="002C4EF9" w:rsidP="005870F8" w14:paraId="3DD4AC75" w14:textId="77777777">
      <w:pPr>
        <w:pStyle w:val="JuLista"/>
        <w:numPr>
          <w:ilvl w:val="1"/>
          <w:numId w:val="27"/>
        </w:numPr>
      </w:pPr>
      <w:r w:rsidRPr="002C4EF9">
        <w:tab/>
        <w:t>as the Chamber recognise, the domestic courts were expressly and only seised of and concerned with an application under the ECG for disclosure of the names of the users to enable the alleged victims to bring legal proceedings for defamation in defence of their right to respect for their reputation under Article 8 of the Convention;</w:t>
      </w:r>
    </w:p>
    <w:p w:rsidRPr="002C4EF9" w:rsidR="002C4EF9" w:rsidP="002C4EF9" w14:paraId="22E8C6F8" w14:textId="77777777">
      <w:pPr>
        <w:pStyle w:val="JuLista"/>
      </w:pPr>
      <w:r w:rsidRPr="002C4EF9">
        <w:tab/>
        <w:t>it is difficult to see how such proceedings would ever be/have been possible to initiate for a victim without, at least, disclosure of sufficient identifying information of the user/author to enable a claim to be addressed to him or her;</w:t>
      </w:r>
    </w:p>
    <w:p w:rsidRPr="002C4EF9" w:rsidR="002C4EF9" w:rsidP="002C4EF9" w14:paraId="5725CFFD" w14:textId="77777777">
      <w:pPr>
        <w:pStyle w:val="JuLista"/>
      </w:pPr>
      <w:r w:rsidRPr="002C4EF9">
        <w:tab/>
        <w:t xml:space="preserve">unlike in </w:t>
      </w:r>
      <w:r w:rsidRPr="002C4EF9">
        <w:rPr>
          <w:i/>
        </w:rPr>
        <w:t>Delfi AS</w:t>
      </w:r>
      <w:r w:rsidRPr="002C4EF9">
        <w:t xml:space="preserve"> </w:t>
      </w:r>
      <w:r w:rsidRPr="002C4EF9">
        <w:rPr>
          <w:i/>
        </w:rPr>
        <w:t>v. Estonia</w:t>
      </w:r>
      <w:r w:rsidRPr="002C4EF9">
        <w:t xml:space="preserve"> ([GC], no. 64569/09, ECHR 2015) and </w:t>
      </w:r>
      <w:r w:rsidRPr="002C4EF9">
        <w:rPr>
          <w:i/>
        </w:rPr>
        <w:t>Magyar Tartalomszolgáltatók Egyesülete and Index.hu Zrt</w:t>
      </w:r>
      <w:r w:rsidRPr="002C4EF9">
        <w:t xml:space="preserve"> </w:t>
      </w:r>
      <w:r w:rsidRPr="002C4EF9">
        <w:rPr>
          <w:i/>
        </w:rPr>
        <w:t>v. Hungary</w:t>
      </w:r>
      <w:r w:rsidRPr="002C4EF9">
        <w:t xml:space="preserve"> (no. 22947/13, 2 February 2016) et al.,</w:t>
      </w:r>
    </w:p>
    <w:p w:rsidRPr="002C4EF9" w:rsidR="002C4EF9" w:rsidP="002C4EF9" w14:paraId="60A90A14" w14:textId="77777777">
      <w:pPr>
        <w:pStyle w:val="JuListi"/>
      </w:pPr>
      <w:r w:rsidRPr="002C4EF9">
        <w:tab/>
        <w:t>the domestic proceedings were never about the liability of the applicant/service provider for the statements made by the users who had posted the comments (see paragraph 68); and</w:t>
      </w:r>
    </w:p>
    <w:p w:rsidRPr="002C4EF9" w:rsidR="002C4EF9" w:rsidP="002C4EF9" w14:paraId="4FF4940E" w14:textId="77777777">
      <w:pPr>
        <w:pStyle w:val="JuListi"/>
      </w:pPr>
      <w:r w:rsidRPr="002C4EF9">
        <w:t>the domestic courts made very clear findings that the applicant was not a publisher but rather that it was acting as a host or “service provider” for the purposes of the ECG/E-Commerce Directive; a finding made on the basis that it had failed to establish “any connection with journalistic activity”.</w:t>
      </w:r>
    </w:p>
    <w:p w:rsidRPr="002C4EF9" w:rsidR="002C4EF9" w:rsidP="002C4EF9" w14:paraId="74E0C169" w14:textId="3A639E9F">
      <w:pPr>
        <w:pStyle w:val="JuListi"/>
        <w:numPr>
          <w:ilvl w:val="0"/>
          <w:numId w:val="0"/>
        </w:numPr>
        <w:ind w:left="680"/>
      </w:pPr>
      <w:r w:rsidRPr="002C4EF9">
        <w:t>Even if, as the majority assert, “[u]ser-generated content on the applicant company’s portal is at least partly moderated” (see paragraph 73), the domestic courts were very clear in their finding that, in the circumstances of the posts relevant to this particular case, they had not been so moderated. Contrary to the suggestion by the majority (see paragraph 72), this is plainly an essential criterion for the applicability of Article 10 because a finding that the applicant had been a publisher would have been the foundation for possible (joint or several) liability in relation to the statements made and any “chilling effect” arising therefrom would also have affected the applicant directly;</w:t>
      </w:r>
    </w:p>
    <w:p w:rsidRPr="002C4EF9" w:rsidR="002C4EF9" w:rsidP="002C4EF9" w14:paraId="6D68E1A9" w14:textId="77777777">
      <w:pPr>
        <w:pStyle w:val="JuLista"/>
      </w:pPr>
      <w:r w:rsidRPr="002C4EF9">
        <w:tab/>
        <w:t xml:space="preserve">none of the “situations” identified in </w:t>
      </w:r>
      <w:r w:rsidRPr="002C4EF9">
        <w:rPr>
          <w:i/>
        </w:rPr>
        <w:t xml:space="preserve">Schweizerische Radio- und Fernsehgesellschaft and Others v. Switzerland </w:t>
      </w:r>
      <w:r w:rsidRPr="002C4EF9">
        <w:rPr>
          <w:iCs/>
        </w:rPr>
        <w:t>((dec.)</w:t>
      </w:r>
      <w:r w:rsidRPr="002C4EF9">
        <w:rPr>
          <w:i/>
        </w:rPr>
        <w:t xml:space="preserve"> </w:t>
      </w:r>
      <w:r w:rsidRPr="002C4EF9">
        <w:t>no. 68995/13, § 71, 12 November 2019 (cited by the majority in paragraph 66) are relevant or engaged in this case. This is especially so as the majority recognise that the posts in issue “could not be considered a source to a journalist” (see paragraph 71) and the applicant “could not rely on editorial confidentiality in the instant case” (ibid.);</w:t>
      </w:r>
    </w:p>
    <w:p w:rsidRPr="002C4EF9" w:rsidR="002C4EF9" w:rsidP="002C4EF9" w14:paraId="6BA60ECC" w14:textId="2E527482">
      <w:pPr>
        <w:pStyle w:val="JuLista"/>
      </w:pPr>
      <w:r w:rsidRPr="002C4EF9">
        <w:tab/>
        <w:t>the service agreement between the users and the applicant as a host/service provider (in the form of the applicant’s general terms and conditions) made absolutely clear that the applicant would disclose user data if (but only if) required to do so by law (see paragraph 7). The users were, therefore, aware that their anonymity when using the platform provided by the applicant was at best qualified and that they could only rely on the protection provided by such anonymity as long as the disclosure of their identity was not required by law;</w:t>
      </w:r>
    </w:p>
    <w:p w:rsidRPr="002C4EF9" w:rsidR="002C4EF9" w:rsidP="002C4EF9" w14:paraId="5C92926E" w14:textId="77777777">
      <w:pPr>
        <w:pStyle w:val="JuLista"/>
      </w:pPr>
      <w:r w:rsidRPr="002C4EF9">
        <w:tab/>
        <w:t>the applications to the courts for disclosure of the identities of the relevant users, and the subsequent orders by the domestic courts, were made on the basis of a clearly established legal basis both as a matter of legislation, domestic and EU, as well as the established case-law of the Austrian Supreme Court;</w:t>
      </w:r>
    </w:p>
    <w:p w:rsidRPr="002C4EF9" w:rsidR="002C4EF9" w:rsidP="002C4EF9" w14:paraId="7E087C92" w14:textId="77777777">
      <w:pPr>
        <w:pStyle w:val="JuLista"/>
      </w:pPr>
      <w:r w:rsidRPr="002C4EF9">
        <w:tab/>
        <w:t>there was no evidence at all, either before this Court or (as far as I am aware) before the domestic courts which would indicate the attitude of the relevant users (and, therefore, the primary Article 10 rights holders) to the request for disclosure of their identities (or even the prompt take-down of their posts by the applicant), whether before or during the proceedings which are the issue of this application or following the execution of the orders made by the Austrian Supreme Court (of which there is also no direct evidence);</w:t>
      </w:r>
    </w:p>
    <w:p w:rsidRPr="002C4EF9" w:rsidR="002C4EF9" w:rsidP="002C4EF9" w14:paraId="269FDB7C" w14:textId="00364149">
      <w:pPr>
        <w:pStyle w:val="JuLista"/>
      </w:pPr>
      <w:r w:rsidRPr="002C4EF9">
        <w:tab/>
        <w:t>there is neither a suggestion that the applicant was acting for or on behalf of the relevant users in resisting the application for disclosure nor a suggestion (and even less evidence) that, even if they had been acting to protect the users’ interests, the domestic courts could not have found a means of protecting the user in question/proposed defendant if he or she (or the service provider on his or her behalf) had advanced a case asserting the users’ need for protection. No such case was made. Furthermore, there seems to me to be no reason to suggest (contrary to the assertion of the majority in paragraph 78) that the Applicant could not have sought the views of the relevant users and, if the users so wished, sought to assert their rights and their interests for anonymity before the domestic courts; and</w:t>
      </w:r>
    </w:p>
    <w:p w:rsidRPr="002C4EF9" w:rsidR="002C4EF9" w:rsidP="002C4EF9" w14:paraId="5DB3F3FE" w14:textId="2DBF263B">
      <w:pPr>
        <w:pStyle w:val="JuLista"/>
      </w:pPr>
      <w:r w:rsidRPr="002C4EF9">
        <w:tab/>
        <w:t>finally, there is also no evidence at all of the alleged “indirect effect” on the applicant’s “rights” (or even on any identifiable interests of the applicant) caused by the asserted deterrence of users “from contributing to debate” or the asserted “chilling effect” among users posting in forums in general (see paragraph 74). Considering that the consistent case-law of the Austrian Supreme Court goes back at least to January 2014 (6 Ob 133/13 x), there would have been ample opportunity for such evidence to be obtained.</w:t>
      </w:r>
    </w:p>
    <w:p w:rsidRPr="002C4EF9" w:rsidR="002C4EF9" w:rsidP="002C4EF9" w14:paraId="5BA45035" w14:textId="77777777">
      <w:pPr>
        <w:pStyle w:val="JuHIRoman"/>
      </w:pPr>
      <w:r w:rsidRPr="002C4EF9">
        <w:t>Conclusion</w:t>
      </w:r>
    </w:p>
    <w:p w:rsidRPr="002C4EF9" w:rsidR="002C4EF9" w:rsidP="002C4EF9" w14:paraId="49A5E189" w14:textId="0BE34ED1">
      <w:pPr>
        <w:pStyle w:val="JuPara"/>
      </w:pPr>
      <w:r>
        <w:fldChar w:fldCharType="begin"/>
      </w:r>
      <w:r>
        <w:instrText xml:space="preserve"> SEQ level0 \*arabic \* MERGEFORMAT </w:instrText>
      </w:r>
      <w:r>
        <w:fldChar w:fldCharType="separate"/>
      </w:r>
      <w:r w:rsidRPr="002C4EF9">
        <w:rPr>
          <w:noProof/>
        </w:rPr>
        <w:t>14</w:t>
      </w:r>
      <w:r w:rsidRPr="002C4EF9">
        <w:rPr>
          <w:noProof/>
        </w:rPr>
        <w:fldChar w:fldCharType="end"/>
      </w:r>
      <w:r w:rsidRPr="002C4EF9">
        <w:t>.  In the light of the above there is, in my view, no basis either in the Court’s case-law or in principle why the protection of Article 10 should be yet further extended to a “service provider” under the E-Commerce Directive who, by definition (and on the clear findings of the domestic courts), has not played an active role at all allowing it to have knowledge or control of the content of the posts in question.</w:t>
      </w:r>
    </w:p>
    <w:p w:rsidRPr="002C4EF9" w:rsidR="002C4EF9" w:rsidP="002C4EF9" w14:paraId="7BCA2E44" w14:textId="59F4DAF4">
      <w:pPr>
        <w:pStyle w:val="JuPara"/>
      </w:pPr>
      <w:r>
        <w:fldChar w:fldCharType="begin"/>
      </w:r>
      <w:r>
        <w:instrText xml:space="preserve"> SEQ level0 \*arabic \* MERGEFORMAT </w:instrText>
      </w:r>
      <w:r>
        <w:fldChar w:fldCharType="separate"/>
      </w:r>
      <w:r w:rsidRPr="002C4EF9">
        <w:rPr>
          <w:noProof/>
        </w:rPr>
        <w:t>15</w:t>
      </w:r>
      <w:r w:rsidRPr="002C4EF9">
        <w:rPr>
          <w:noProof/>
        </w:rPr>
        <w:fldChar w:fldCharType="end"/>
      </w:r>
      <w:r w:rsidRPr="002C4EF9">
        <w:t>.  The majority’s justification by reference to the – coincidental – identity of this service provider as a “media company” and its purported right to “freedom of the press” is also not persuasive. After all,</w:t>
      </w:r>
    </w:p>
    <w:p w:rsidRPr="002C4EF9" w:rsidR="002C4EF9" w:rsidP="005870F8" w14:paraId="165DDD51" w14:textId="77777777">
      <w:pPr>
        <w:pStyle w:val="JuLista"/>
        <w:numPr>
          <w:ilvl w:val="1"/>
          <w:numId w:val="28"/>
        </w:numPr>
      </w:pPr>
      <w:r w:rsidRPr="002C4EF9">
        <w:t xml:space="preserve">“freedom of the press”, as such, is not a term one finds as a separately guaranteed right/freedom under Article 10; it is a term primarily used by the Court as shorthand for the right to “freedom of expression” as exercised by the press which is, for that reason, subject to heightened protection by the Court (that is the “journalistic freedom of expression” referred to in </w:t>
      </w:r>
      <w:r w:rsidRPr="005870F8">
        <w:rPr>
          <w:i/>
        </w:rPr>
        <w:t>Nordisk Film &amp; TV A/S</w:t>
      </w:r>
      <w:r w:rsidRPr="005870F8">
        <w:rPr>
          <w:iCs/>
        </w:rPr>
        <w:t>, cited above)</w:t>
      </w:r>
      <w:r w:rsidRPr="002C4EF9">
        <w:t>. That right can, however, only be so protected once it has been found to be engaged. On the other hand, there is, in my view, no support for the proposition that there is a residual right to “freedom of the press” which can be invoked solely by reason of the very identity of an applicant as a journalist or member of the press, irrespective of whether the act complained of or the information sought has any connection at all to his or her activity as a “journalist” exercising their right of freedom of expression. The protection provided by Article 10 is functional, not personal; and</w:t>
      </w:r>
    </w:p>
    <w:p w:rsidRPr="002C4EF9" w:rsidR="002C4EF9" w:rsidP="002C4EF9" w14:paraId="2A003495" w14:textId="7CA50608">
      <w:pPr>
        <w:pStyle w:val="JuLista"/>
      </w:pPr>
      <w:r w:rsidRPr="002C4EF9">
        <w:t xml:space="preserve">it is also not sufficient, in my view, to rely solely on the assertion that “the applicant company’s overall function is to further open discussion and to disseminate ideas with regard to topics of public interest” (see paragraph 73). After all, it is no longer possible to limit this recognised “function” to the traditional press (even where they are using non-traditional means of publication). At least since the judgment in </w:t>
      </w:r>
      <w:r w:rsidRPr="002C4EF9">
        <w:rPr>
          <w:i/>
        </w:rPr>
        <w:t xml:space="preserve">Magyar Helsinki Bizottság v. Hungary </w:t>
      </w:r>
      <w:r w:rsidRPr="002C4EF9">
        <w:t xml:space="preserve">[GC], no. 18030/11, § 168, 8 November 2016, the Court has made clear that “given the important role played by the Internet in enhancing the public’s access to news and facilitating the dissemination of information (see </w:t>
      </w:r>
      <w:r w:rsidRPr="002C4EF9">
        <w:rPr>
          <w:i/>
          <w:iCs/>
        </w:rPr>
        <w:t>Delfi AS</w:t>
      </w:r>
      <w:r w:rsidRPr="002C4EF9">
        <w:rPr>
          <w:rStyle w:val="Hyperlink"/>
          <w:color w:val="auto"/>
          <w:u w:val="none"/>
        </w:rPr>
        <w:t>[</w:t>
      </w:r>
      <w:r w:rsidRPr="002C4EF9">
        <w:t>, cited above], § 133), the function of bloggers and popular users of the social media may be also assimilated to that of ‘public watchdogs’ in so far as the protection afforded by Article 10 is concerned”.</w:t>
      </w:r>
    </w:p>
    <w:p w:rsidRPr="002C4EF9" w:rsidR="002C4EF9" w:rsidP="002C4EF9" w14:paraId="64EE0EE5" w14:textId="1B6DD987">
      <w:pPr>
        <w:pStyle w:val="JuPara"/>
      </w:pPr>
      <w:r>
        <w:fldChar w:fldCharType="begin"/>
      </w:r>
      <w:r>
        <w:instrText xml:space="preserve"> SEQ level0 \*arabic \* MERGEFORMAT </w:instrText>
      </w:r>
      <w:r>
        <w:fldChar w:fldCharType="separate"/>
      </w:r>
      <w:r w:rsidRPr="002C4EF9">
        <w:rPr>
          <w:noProof/>
        </w:rPr>
        <w:t>16</w:t>
      </w:r>
      <w:r w:rsidRPr="002C4EF9">
        <w:rPr>
          <w:noProof/>
        </w:rPr>
        <w:fldChar w:fldCharType="end"/>
      </w:r>
      <w:r w:rsidRPr="002C4EF9">
        <w:t>.  This latter point, of course, also carries with it a very real risk that the extension of Article 10 in this context will not be capable of being limited to service providers under the E-Commerce Directive who are also media companies but will ultimately have to be applied to any “bloggers and popular users of the social media”, with the consequent (negative) impact on the ability of victims of abusive posts to seek access to court for the purposes of protecting themselves and their reputation.</w:t>
      </w:r>
    </w:p>
    <w:p w:rsidRPr="002C4EF9" w:rsidR="002C4EF9" w:rsidP="002C4EF9" w14:paraId="1BBE4E12" w14:textId="27277C8E">
      <w:pPr>
        <w:pStyle w:val="JuPara"/>
      </w:pPr>
      <w:r>
        <w:fldChar w:fldCharType="begin"/>
      </w:r>
      <w:r>
        <w:instrText xml:space="preserve"> SEQ level0 \*arabic \* MERGEFORMAT </w:instrText>
      </w:r>
      <w:r>
        <w:fldChar w:fldCharType="separate"/>
      </w:r>
      <w:r w:rsidRPr="002C4EF9">
        <w:rPr>
          <w:noProof/>
        </w:rPr>
        <w:t>17</w:t>
      </w:r>
      <w:r w:rsidRPr="002C4EF9">
        <w:rPr>
          <w:noProof/>
        </w:rPr>
        <w:fldChar w:fldCharType="end"/>
      </w:r>
      <w:r w:rsidRPr="002C4EF9">
        <w:t>.  It is for these reasons that, in the circumstances of this case, I voted against the admissibility of this application and against the applicability of Article 10 to the applicant.</w:t>
      </w:r>
    </w:p>
    <w:p w:rsidRPr="002C4EF9" w:rsidR="00F43562" w:rsidP="002C4EF9" w14:paraId="2E71A449" w14:textId="479956C1"/>
    <w:sectPr w:rsidSect="005509E7">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EF9" w:rsidRPr="00B031E9" w:rsidP="00927A98" w14:paraId="3926E04E" w14:textId="77777777">
    <w:pPr>
      <w:jc w:val="center"/>
    </w:pPr>
    <w:r w:rsidRPr="00CD702E">
      <w:rPr>
        <w:noProof/>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C4EF9" w:rsidRPr="00B031E9" w:rsidP="009E7A6F" w14:paraId="2377ED0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EF9" w:rsidP="009A115C" w14:paraId="5B42FC82"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EF9" w:rsidRPr="000B7195" w:rsidP="007D3701" w14:paraId="647A1F0A" w14:textId="77777777">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EF9" w:rsidRPr="00B031E9" w:rsidP="00927A98" w14:paraId="6EC5CB13" w14:textId="77777777">
    <w:pPr>
      <w:jc w:val="center"/>
    </w:pPr>
    <w:r w:rsidRPr="00CD702E">
      <w:rPr>
        <w:noProof/>
      </w:rPr>
      <w:drawing>
        <wp:inline distT="0" distB="0" distL="0" distR="0">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C4EF9" w:rsidRPr="00B031E9" w14:paraId="350C7D2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EF9" w:rsidRPr="00F927B8" w:rsidP="004D0EC7" w14:paraId="2DE55B0D" w14:textId="77777777">
    <w:pPr>
      <w:pStyle w:val="JuHeader"/>
      <w:rPr>
        <w:lang w:val="de-DE"/>
      </w:rPr>
    </w:pPr>
    <w:r w:rsidRPr="00F927B8">
      <w:rPr>
        <w:lang w:val="de-DE"/>
      </w:rPr>
      <w:t xml:space="preserve">STANDARD VERLAGSGESELLSCHAFT </w:t>
    </w:r>
    <w:r>
      <w:rPr>
        <w:lang w:val="de-DE"/>
      </w:rPr>
      <w:t>mb</w:t>
    </w:r>
    <w:r w:rsidRPr="00F927B8">
      <w:rPr>
        <w:lang w:val="de-DE"/>
      </w:rPr>
      <w:t xml:space="preserve">H v. AUSTRIA </w:t>
    </w:r>
    <w:r>
      <w:rPr>
        <w:lang w:val="de-DE"/>
      </w:rPr>
      <w:t>(No. 3)</w:t>
    </w:r>
    <w:r w:rsidRPr="00F927B8">
      <w:rPr>
        <w:lang w:val="de-DE"/>
      </w:rPr>
      <w:t xml:space="preserve">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EF9" w:rsidRPr="00F927B8" w:rsidP="007D3701" w14:paraId="64729075" w14:textId="77777777">
    <w:pPr>
      <w:pStyle w:val="JuHeader"/>
      <w:rPr>
        <w:lang w:val="de-DE"/>
      </w:rPr>
    </w:pPr>
    <w:r w:rsidRPr="00F927B8">
      <w:rPr>
        <w:lang w:val="de-DE"/>
      </w:rPr>
      <w:t xml:space="preserve">STANDARD VERLAGSGESELLSCHAFT </w:t>
    </w:r>
    <w:r>
      <w:rPr>
        <w:lang w:val="de-DE"/>
      </w:rPr>
      <w:t>mb</w:t>
    </w:r>
    <w:r w:rsidRPr="00F927B8">
      <w:rPr>
        <w:lang w:val="de-DE"/>
      </w:rPr>
      <w:t>H</w:t>
    </w:r>
    <w:r>
      <w:rPr>
        <w:lang w:val="de-DE"/>
      </w:rPr>
      <w:t xml:space="preserve"> </w:t>
    </w:r>
    <w:r w:rsidRPr="00F927B8">
      <w:rPr>
        <w:lang w:val="de-DE"/>
      </w:rPr>
      <w:t xml:space="preserve">v. AUSTRIA </w:t>
    </w:r>
    <w:r>
      <w:rPr>
        <w:lang w:val="de-DE"/>
      </w:rPr>
      <w:t>(No. 3)</w:t>
    </w:r>
    <w:r w:rsidRPr="00F927B8">
      <w:rPr>
        <w:lang w:val="de-DE"/>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562" w:rsidP="00240B1A" w14:paraId="7CE51202" w14:textId="2216AA39">
    <w:pPr>
      <w:pStyle w:val="JuHeader"/>
      <w:tabs>
        <w:tab w:val="center" w:pos="3685"/>
        <w:tab w:val="right" w:pos="7370"/>
      </w:tabs>
      <w:rPr>
        <w:lang w:val="de-DE"/>
      </w:rPr>
    </w:pPr>
    <w:r w:rsidRPr="00F927B8">
      <w:rPr>
        <w:lang w:val="de-DE"/>
      </w:rPr>
      <w:t xml:space="preserve">STANDARD VERLAGSGESELLSCHAFT MBH v. AUSTRIA </w:t>
    </w:r>
    <w:r>
      <w:rPr>
        <w:lang w:val="de-DE"/>
      </w:rPr>
      <w:t>(</w:t>
    </w:r>
    <w:r w:rsidR="00220891">
      <w:rPr>
        <w:lang w:val="de-DE"/>
      </w:rPr>
      <w:t>N</w:t>
    </w:r>
    <w:r>
      <w:rPr>
        <w:lang w:val="de-DE"/>
      </w:rPr>
      <w:t>o. 3)</w:t>
    </w:r>
    <w:r w:rsidRPr="00F927B8">
      <w:rPr>
        <w:lang w:val="de-DE"/>
      </w:rPr>
      <w:t xml:space="preserve"> JUDGMENT</w:t>
    </w:r>
    <w:r>
      <w:rPr>
        <w:lang w:val="de-DE"/>
      </w:rPr>
      <w:t xml:space="preserve"> – </w:t>
    </w:r>
  </w:p>
  <w:p w:rsidR="00F43562" w:rsidRPr="00F927B8" w:rsidP="00240B1A" w14:paraId="2D8A0854" w14:textId="5B62EB2D">
    <w:pPr>
      <w:pStyle w:val="JuHeader"/>
      <w:tabs>
        <w:tab w:val="center" w:pos="3685"/>
        <w:tab w:val="right" w:pos="7370"/>
      </w:tabs>
      <w:rPr>
        <w:lang w:val="de-DE"/>
      </w:rPr>
    </w:pPr>
    <w:r>
      <w:rPr>
        <w:lang w:val="de-DE"/>
      </w:rPr>
      <w:t>SEPARATE OPINION</w:t>
    </w:r>
  </w:p>
  <w:p w:rsidR="00F43562" w:rsidRPr="00F927B8" w:rsidP="004D0EC7" w14:paraId="736A2465" w14:textId="236E5941">
    <w:pPr>
      <w:pStyle w:val="JuHeade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562" w:rsidP="005509E7" w14:paraId="1D7C1F7F" w14:textId="1A586BCE">
    <w:pPr>
      <w:pStyle w:val="JuHeader"/>
      <w:tabs>
        <w:tab w:val="center" w:pos="3685"/>
        <w:tab w:val="right" w:pos="7370"/>
      </w:tabs>
      <w:rPr>
        <w:lang w:val="de-DE"/>
      </w:rPr>
    </w:pPr>
    <w:r w:rsidRPr="00F927B8">
      <w:rPr>
        <w:lang w:val="de-DE"/>
      </w:rPr>
      <w:t xml:space="preserve">STANDARD VERLAGSGESELLSCHAFT MBH v. AUSTRIA </w:t>
    </w:r>
    <w:r>
      <w:rPr>
        <w:lang w:val="de-DE"/>
      </w:rPr>
      <w:t>(</w:t>
    </w:r>
    <w:r w:rsidR="00220891">
      <w:rPr>
        <w:lang w:val="de-DE"/>
      </w:rPr>
      <w:t>N</w:t>
    </w:r>
    <w:r>
      <w:rPr>
        <w:lang w:val="de-DE"/>
      </w:rPr>
      <w:t>o. 3)</w:t>
    </w:r>
    <w:r w:rsidRPr="00F927B8">
      <w:rPr>
        <w:lang w:val="de-DE"/>
      </w:rPr>
      <w:t xml:space="preserve"> JUDGMENT</w:t>
    </w:r>
    <w:r>
      <w:rPr>
        <w:lang w:val="de-DE"/>
      </w:rPr>
      <w:t xml:space="preserve"> – </w:t>
    </w:r>
  </w:p>
  <w:p w:rsidR="00F43562" w:rsidRPr="00F927B8" w:rsidP="005509E7" w14:paraId="20A68D3D" w14:textId="0E33B707">
    <w:pPr>
      <w:pStyle w:val="JuHeader"/>
      <w:tabs>
        <w:tab w:val="center" w:pos="3685"/>
        <w:tab w:val="right" w:pos="7370"/>
      </w:tabs>
      <w:rPr>
        <w:lang w:val="de-DE"/>
      </w:rPr>
    </w:pPr>
    <w:r>
      <w:rPr>
        <w:lang w:val="de-DE"/>
      </w:rPr>
      <w:t>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19605C0"/>
    <w:multiLevelType w:val="multilevel"/>
    <w:tmpl w:val="84A0523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bullet"/>
      <w:lvlText w:val=""/>
      <w:lvlJc w:val="left"/>
      <w:pPr>
        <w:ind w:left="1021" w:hanging="341"/>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4"/>
  </w:num>
  <w:num w:numId="7">
    <w:abstractNumId w:val="11"/>
  </w:num>
  <w:num w:numId="8">
    <w:abstractNumId w:val="10"/>
  </w:num>
  <w:num w:numId="9">
    <w:abstractNumId w:val="15"/>
  </w:num>
  <w:num w:numId="10">
    <w:abstractNumId w:val="12"/>
  </w:num>
  <w:num w:numId="11">
    <w:abstractNumId w:val="16"/>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074AA4"/>
    <w:rsid w:val="0000392E"/>
    <w:rsid w:val="000041F8"/>
    <w:rsid w:val="000042A8"/>
    <w:rsid w:val="00004308"/>
    <w:rsid w:val="00004969"/>
    <w:rsid w:val="00005BF0"/>
    <w:rsid w:val="0000617D"/>
    <w:rsid w:val="00007154"/>
    <w:rsid w:val="000103AE"/>
    <w:rsid w:val="00011D69"/>
    <w:rsid w:val="00012AD3"/>
    <w:rsid w:val="00015C2D"/>
    <w:rsid w:val="00015F00"/>
    <w:rsid w:val="00022C1D"/>
    <w:rsid w:val="00024816"/>
    <w:rsid w:val="00031428"/>
    <w:rsid w:val="00034987"/>
    <w:rsid w:val="00041560"/>
    <w:rsid w:val="000602DF"/>
    <w:rsid w:val="00061B05"/>
    <w:rsid w:val="000632D5"/>
    <w:rsid w:val="000644EE"/>
    <w:rsid w:val="000723A2"/>
    <w:rsid w:val="00074AA4"/>
    <w:rsid w:val="0007780A"/>
    <w:rsid w:val="00085457"/>
    <w:rsid w:val="000925AD"/>
    <w:rsid w:val="00096FE1"/>
    <w:rsid w:val="00097A62"/>
    <w:rsid w:val="000A0E0E"/>
    <w:rsid w:val="000A24EB"/>
    <w:rsid w:val="000B686A"/>
    <w:rsid w:val="000B6923"/>
    <w:rsid w:val="000B7195"/>
    <w:rsid w:val="000B7915"/>
    <w:rsid w:val="000C235D"/>
    <w:rsid w:val="000C5F3C"/>
    <w:rsid w:val="000C6DCC"/>
    <w:rsid w:val="000D1BB6"/>
    <w:rsid w:val="000D47AA"/>
    <w:rsid w:val="000D6D64"/>
    <w:rsid w:val="000D721F"/>
    <w:rsid w:val="000E069B"/>
    <w:rsid w:val="000E0E82"/>
    <w:rsid w:val="000E1DC5"/>
    <w:rsid w:val="000E223F"/>
    <w:rsid w:val="000E46B8"/>
    <w:rsid w:val="000E7D45"/>
    <w:rsid w:val="000F6993"/>
    <w:rsid w:val="000F7851"/>
    <w:rsid w:val="00101505"/>
    <w:rsid w:val="00104E23"/>
    <w:rsid w:val="00110DA8"/>
    <w:rsid w:val="00110EF9"/>
    <w:rsid w:val="00111B0C"/>
    <w:rsid w:val="00120D6C"/>
    <w:rsid w:val="001257EC"/>
    <w:rsid w:val="00133D33"/>
    <w:rsid w:val="00134578"/>
    <w:rsid w:val="00134B6A"/>
    <w:rsid w:val="00134D64"/>
    <w:rsid w:val="00135A30"/>
    <w:rsid w:val="0013612C"/>
    <w:rsid w:val="00137FF6"/>
    <w:rsid w:val="00141650"/>
    <w:rsid w:val="0014527B"/>
    <w:rsid w:val="001561B6"/>
    <w:rsid w:val="00162A12"/>
    <w:rsid w:val="0016594A"/>
    <w:rsid w:val="001659A4"/>
    <w:rsid w:val="00166530"/>
    <w:rsid w:val="00170027"/>
    <w:rsid w:val="00177E3F"/>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268"/>
    <w:rsid w:val="001E6857"/>
    <w:rsid w:val="001E6F32"/>
    <w:rsid w:val="001F2145"/>
    <w:rsid w:val="001F6262"/>
    <w:rsid w:val="001F67B0"/>
    <w:rsid w:val="001F7B3D"/>
    <w:rsid w:val="00202752"/>
    <w:rsid w:val="0020335A"/>
    <w:rsid w:val="002052BC"/>
    <w:rsid w:val="00205F9F"/>
    <w:rsid w:val="00210338"/>
    <w:rsid w:val="002109A2"/>
    <w:rsid w:val="002115FC"/>
    <w:rsid w:val="00213F33"/>
    <w:rsid w:val="0021423C"/>
    <w:rsid w:val="00220891"/>
    <w:rsid w:val="00230D00"/>
    <w:rsid w:val="00231DF7"/>
    <w:rsid w:val="00231FD1"/>
    <w:rsid w:val="00233438"/>
    <w:rsid w:val="002339E0"/>
    <w:rsid w:val="00233CF8"/>
    <w:rsid w:val="0023575D"/>
    <w:rsid w:val="00237148"/>
    <w:rsid w:val="00240B1A"/>
    <w:rsid w:val="0024222D"/>
    <w:rsid w:val="002422B6"/>
    <w:rsid w:val="00244B0E"/>
    <w:rsid w:val="00244F6C"/>
    <w:rsid w:val="00246B89"/>
    <w:rsid w:val="00252C4E"/>
    <w:rsid w:val="002532C5"/>
    <w:rsid w:val="00254DF2"/>
    <w:rsid w:val="00260C03"/>
    <w:rsid w:val="00262292"/>
    <w:rsid w:val="0026540E"/>
    <w:rsid w:val="00272FBB"/>
    <w:rsid w:val="00275123"/>
    <w:rsid w:val="0028059E"/>
    <w:rsid w:val="00282240"/>
    <w:rsid w:val="00282BD8"/>
    <w:rsid w:val="00287AD5"/>
    <w:rsid w:val="00292E02"/>
    <w:rsid w:val="002934D0"/>
    <w:rsid w:val="00293676"/>
    <w:rsid w:val="00293BD9"/>
    <w:rsid w:val="002948AD"/>
    <w:rsid w:val="00294C68"/>
    <w:rsid w:val="002A01CC"/>
    <w:rsid w:val="002A613A"/>
    <w:rsid w:val="002A61B1"/>
    <w:rsid w:val="002A663C"/>
    <w:rsid w:val="002B444B"/>
    <w:rsid w:val="002B5887"/>
    <w:rsid w:val="002B73B5"/>
    <w:rsid w:val="002C0E27"/>
    <w:rsid w:val="002C3040"/>
    <w:rsid w:val="002C4433"/>
    <w:rsid w:val="002C4EF9"/>
    <w:rsid w:val="002C7826"/>
    <w:rsid w:val="002D022D"/>
    <w:rsid w:val="002D24BB"/>
    <w:rsid w:val="002D2FA7"/>
    <w:rsid w:val="002D4202"/>
    <w:rsid w:val="002D47BA"/>
    <w:rsid w:val="002D77B9"/>
    <w:rsid w:val="002E3A8C"/>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5F5"/>
    <w:rsid w:val="00356AC7"/>
    <w:rsid w:val="003609FA"/>
    <w:rsid w:val="003710C8"/>
    <w:rsid w:val="003750BE"/>
    <w:rsid w:val="00385A36"/>
    <w:rsid w:val="00385F3D"/>
    <w:rsid w:val="00387B9D"/>
    <w:rsid w:val="00387C70"/>
    <w:rsid w:val="00390294"/>
    <w:rsid w:val="0039364F"/>
    <w:rsid w:val="00396686"/>
    <w:rsid w:val="0039778E"/>
    <w:rsid w:val="003B32CA"/>
    <w:rsid w:val="003B4202"/>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325F"/>
    <w:rsid w:val="00425C67"/>
    <w:rsid w:val="00426C32"/>
    <w:rsid w:val="00427E7A"/>
    <w:rsid w:val="004355AC"/>
    <w:rsid w:val="00436C49"/>
    <w:rsid w:val="0044309A"/>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4709"/>
    <w:rsid w:val="004950E2"/>
    <w:rsid w:val="00496BFB"/>
    <w:rsid w:val="004A15C7"/>
    <w:rsid w:val="004A3201"/>
    <w:rsid w:val="004A7044"/>
    <w:rsid w:val="004B013B"/>
    <w:rsid w:val="004B112B"/>
    <w:rsid w:val="004B444E"/>
    <w:rsid w:val="004C01E4"/>
    <w:rsid w:val="004C086C"/>
    <w:rsid w:val="004C1F56"/>
    <w:rsid w:val="004C27BC"/>
    <w:rsid w:val="004C6621"/>
    <w:rsid w:val="004D0A0B"/>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01F4"/>
    <w:rsid w:val="005070FB"/>
    <w:rsid w:val="00511C07"/>
    <w:rsid w:val="005125CB"/>
    <w:rsid w:val="00512EC4"/>
    <w:rsid w:val="0051725A"/>
    <w:rsid w:val="005173A6"/>
    <w:rsid w:val="00520354"/>
    <w:rsid w:val="00520BAA"/>
    <w:rsid w:val="005217D8"/>
    <w:rsid w:val="00525106"/>
    <w:rsid w:val="00525208"/>
    <w:rsid w:val="005257A5"/>
    <w:rsid w:val="00526188"/>
    <w:rsid w:val="005264C0"/>
    <w:rsid w:val="00526A8A"/>
    <w:rsid w:val="00527FB1"/>
    <w:rsid w:val="00530FE6"/>
    <w:rsid w:val="00531DF2"/>
    <w:rsid w:val="0053315C"/>
    <w:rsid w:val="00537476"/>
    <w:rsid w:val="005442EE"/>
    <w:rsid w:val="00545DA6"/>
    <w:rsid w:val="00547353"/>
    <w:rsid w:val="005474E7"/>
    <w:rsid w:val="005509E7"/>
    <w:rsid w:val="005512A3"/>
    <w:rsid w:val="0055208B"/>
    <w:rsid w:val="005578CE"/>
    <w:rsid w:val="00562781"/>
    <w:rsid w:val="00562B6C"/>
    <w:rsid w:val="00564BAF"/>
    <w:rsid w:val="0057271C"/>
    <w:rsid w:val="00572845"/>
    <w:rsid w:val="005870F8"/>
    <w:rsid w:val="005879A2"/>
    <w:rsid w:val="00592772"/>
    <w:rsid w:val="0059574A"/>
    <w:rsid w:val="005A042C"/>
    <w:rsid w:val="005A1B9B"/>
    <w:rsid w:val="005A24BD"/>
    <w:rsid w:val="005A2E79"/>
    <w:rsid w:val="005A6751"/>
    <w:rsid w:val="005B092E"/>
    <w:rsid w:val="005B152C"/>
    <w:rsid w:val="005B1EE0"/>
    <w:rsid w:val="005B2B24"/>
    <w:rsid w:val="005B4425"/>
    <w:rsid w:val="005B4B94"/>
    <w:rsid w:val="005B7F27"/>
    <w:rsid w:val="005C3EE8"/>
    <w:rsid w:val="005D2555"/>
    <w:rsid w:val="005D2F2A"/>
    <w:rsid w:val="005D34F9"/>
    <w:rsid w:val="005D4190"/>
    <w:rsid w:val="005D67A3"/>
    <w:rsid w:val="005E2988"/>
    <w:rsid w:val="005E3085"/>
    <w:rsid w:val="005F0EB3"/>
    <w:rsid w:val="005F51E1"/>
    <w:rsid w:val="00607425"/>
    <w:rsid w:val="00611C80"/>
    <w:rsid w:val="00620692"/>
    <w:rsid w:val="006242CA"/>
    <w:rsid w:val="00627507"/>
    <w:rsid w:val="00633717"/>
    <w:rsid w:val="006344E1"/>
    <w:rsid w:val="00643524"/>
    <w:rsid w:val="0064393B"/>
    <w:rsid w:val="00645CF2"/>
    <w:rsid w:val="006545C4"/>
    <w:rsid w:val="00657CF1"/>
    <w:rsid w:val="00661971"/>
    <w:rsid w:val="00661CE8"/>
    <w:rsid w:val="006623D9"/>
    <w:rsid w:val="006642A5"/>
    <w:rsid w:val="0066550C"/>
    <w:rsid w:val="00665BD2"/>
    <w:rsid w:val="006716F2"/>
    <w:rsid w:val="00675AF2"/>
    <w:rsid w:val="00676CFB"/>
    <w:rsid w:val="00682BF2"/>
    <w:rsid w:val="0068573E"/>
    <w:rsid w:val="006859CE"/>
    <w:rsid w:val="00691270"/>
    <w:rsid w:val="00694BA8"/>
    <w:rsid w:val="006A037C"/>
    <w:rsid w:val="006A36F4"/>
    <w:rsid w:val="006A406F"/>
    <w:rsid w:val="006A5D3A"/>
    <w:rsid w:val="006B1464"/>
    <w:rsid w:val="006B1942"/>
    <w:rsid w:val="006C23D4"/>
    <w:rsid w:val="006C7BB0"/>
    <w:rsid w:val="006D3237"/>
    <w:rsid w:val="006D3C4B"/>
    <w:rsid w:val="006E20B0"/>
    <w:rsid w:val="006E2E37"/>
    <w:rsid w:val="006E3CF1"/>
    <w:rsid w:val="006E68A3"/>
    <w:rsid w:val="006E7E80"/>
    <w:rsid w:val="006F1C2D"/>
    <w:rsid w:val="006F48CA"/>
    <w:rsid w:val="006F64DD"/>
    <w:rsid w:val="006F712D"/>
    <w:rsid w:val="00711F8E"/>
    <w:rsid w:val="00712EC5"/>
    <w:rsid w:val="00715127"/>
    <w:rsid w:val="00715E8E"/>
    <w:rsid w:val="00723580"/>
    <w:rsid w:val="00723755"/>
    <w:rsid w:val="0073136C"/>
    <w:rsid w:val="00731F0F"/>
    <w:rsid w:val="00733250"/>
    <w:rsid w:val="00741404"/>
    <w:rsid w:val="007449E5"/>
    <w:rsid w:val="0074750E"/>
    <w:rsid w:val="00747FF0"/>
    <w:rsid w:val="00751E7F"/>
    <w:rsid w:val="0075566E"/>
    <w:rsid w:val="00763602"/>
    <w:rsid w:val="00764D4E"/>
    <w:rsid w:val="00765A1F"/>
    <w:rsid w:val="00775B6D"/>
    <w:rsid w:val="00776D68"/>
    <w:rsid w:val="0078323E"/>
    <w:rsid w:val="007850EE"/>
    <w:rsid w:val="00785B95"/>
    <w:rsid w:val="00790E96"/>
    <w:rsid w:val="007926FD"/>
    <w:rsid w:val="00793366"/>
    <w:rsid w:val="0079666C"/>
    <w:rsid w:val="007A69BD"/>
    <w:rsid w:val="007A716F"/>
    <w:rsid w:val="007B022A"/>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1952"/>
    <w:rsid w:val="00823602"/>
    <w:rsid w:val="008255F5"/>
    <w:rsid w:val="0083014E"/>
    <w:rsid w:val="0083214A"/>
    <w:rsid w:val="00834220"/>
    <w:rsid w:val="00845723"/>
    <w:rsid w:val="00847CEF"/>
    <w:rsid w:val="008519E7"/>
    <w:rsid w:val="00851EF9"/>
    <w:rsid w:val="008577FD"/>
    <w:rsid w:val="00860B03"/>
    <w:rsid w:val="0086497A"/>
    <w:rsid w:val="00867066"/>
    <w:rsid w:val="008713A1"/>
    <w:rsid w:val="00872584"/>
    <w:rsid w:val="008754AB"/>
    <w:rsid w:val="0088060C"/>
    <w:rsid w:val="00882CD5"/>
    <w:rsid w:val="00883151"/>
    <w:rsid w:val="00890D0B"/>
    <w:rsid w:val="00893576"/>
    <w:rsid w:val="00893E73"/>
    <w:rsid w:val="00896280"/>
    <w:rsid w:val="00896670"/>
    <w:rsid w:val="008A48F5"/>
    <w:rsid w:val="008A7441"/>
    <w:rsid w:val="008B02DC"/>
    <w:rsid w:val="008B092C"/>
    <w:rsid w:val="008B57CE"/>
    <w:rsid w:val="008C1D51"/>
    <w:rsid w:val="008C26DE"/>
    <w:rsid w:val="008C3107"/>
    <w:rsid w:val="008D2225"/>
    <w:rsid w:val="008D22E5"/>
    <w:rsid w:val="008D2346"/>
    <w:rsid w:val="008D4752"/>
    <w:rsid w:val="008D5A13"/>
    <w:rsid w:val="008E157C"/>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52C1"/>
    <w:rsid w:val="009066FC"/>
    <w:rsid w:val="00913CE3"/>
    <w:rsid w:val="009140A3"/>
    <w:rsid w:val="009144A2"/>
    <w:rsid w:val="0091510C"/>
    <w:rsid w:val="009259AC"/>
    <w:rsid w:val="00926F38"/>
    <w:rsid w:val="00927A98"/>
    <w:rsid w:val="00927BEB"/>
    <w:rsid w:val="009333DC"/>
    <w:rsid w:val="00934301"/>
    <w:rsid w:val="00936CD1"/>
    <w:rsid w:val="00940FA5"/>
    <w:rsid w:val="00941747"/>
    <w:rsid w:val="00941EFB"/>
    <w:rsid w:val="00947AFB"/>
    <w:rsid w:val="00951AA3"/>
    <w:rsid w:val="00951D7D"/>
    <w:rsid w:val="00956D0C"/>
    <w:rsid w:val="009630C7"/>
    <w:rsid w:val="0097071E"/>
    <w:rsid w:val="00972B55"/>
    <w:rsid w:val="009743B7"/>
    <w:rsid w:val="0098228B"/>
    <w:rsid w:val="009828DA"/>
    <w:rsid w:val="0098410D"/>
    <w:rsid w:val="00985BAB"/>
    <w:rsid w:val="00986B3C"/>
    <w:rsid w:val="009A115C"/>
    <w:rsid w:val="009B1606"/>
    <w:rsid w:val="009B16CA"/>
    <w:rsid w:val="009B1B5F"/>
    <w:rsid w:val="009B6673"/>
    <w:rsid w:val="009C191B"/>
    <w:rsid w:val="009C2566"/>
    <w:rsid w:val="009C2BD6"/>
    <w:rsid w:val="009D2027"/>
    <w:rsid w:val="009E1F32"/>
    <w:rsid w:val="009E2CC2"/>
    <w:rsid w:val="009E47A2"/>
    <w:rsid w:val="009E776C"/>
    <w:rsid w:val="009E7A6F"/>
    <w:rsid w:val="009F4C8F"/>
    <w:rsid w:val="009F4FEE"/>
    <w:rsid w:val="00A02972"/>
    <w:rsid w:val="00A05588"/>
    <w:rsid w:val="00A1448C"/>
    <w:rsid w:val="00A15601"/>
    <w:rsid w:val="00A1726E"/>
    <w:rsid w:val="00A204CF"/>
    <w:rsid w:val="00A21D2B"/>
    <w:rsid w:val="00A22745"/>
    <w:rsid w:val="00A23D49"/>
    <w:rsid w:val="00A27004"/>
    <w:rsid w:val="00A308CE"/>
    <w:rsid w:val="00A30C29"/>
    <w:rsid w:val="00A34DD6"/>
    <w:rsid w:val="00A35683"/>
    <w:rsid w:val="00A36819"/>
    <w:rsid w:val="00A36989"/>
    <w:rsid w:val="00A413DC"/>
    <w:rsid w:val="00A41D86"/>
    <w:rsid w:val="00A43628"/>
    <w:rsid w:val="00A4659C"/>
    <w:rsid w:val="00A51D0F"/>
    <w:rsid w:val="00A5398F"/>
    <w:rsid w:val="00A54192"/>
    <w:rsid w:val="00A57147"/>
    <w:rsid w:val="00A6035E"/>
    <w:rsid w:val="00A60F2D"/>
    <w:rsid w:val="00A6144C"/>
    <w:rsid w:val="00A66617"/>
    <w:rsid w:val="00A671F8"/>
    <w:rsid w:val="00A673A4"/>
    <w:rsid w:val="00A724AE"/>
    <w:rsid w:val="00A73329"/>
    <w:rsid w:val="00A82359"/>
    <w:rsid w:val="00A865D2"/>
    <w:rsid w:val="00A90BCD"/>
    <w:rsid w:val="00A915AC"/>
    <w:rsid w:val="00A94C20"/>
    <w:rsid w:val="00AA1B09"/>
    <w:rsid w:val="00AA227F"/>
    <w:rsid w:val="00AA3BC7"/>
    <w:rsid w:val="00AA42A0"/>
    <w:rsid w:val="00AA754A"/>
    <w:rsid w:val="00AB099E"/>
    <w:rsid w:val="00AB4328"/>
    <w:rsid w:val="00AB6918"/>
    <w:rsid w:val="00AC0DA2"/>
    <w:rsid w:val="00AC4CD4"/>
    <w:rsid w:val="00AD6EFC"/>
    <w:rsid w:val="00AE0A2E"/>
    <w:rsid w:val="00AE354C"/>
    <w:rsid w:val="00AF1ED9"/>
    <w:rsid w:val="00AF485B"/>
    <w:rsid w:val="00AF4B07"/>
    <w:rsid w:val="00AF6186"/>
    <w:rsid w:val="00AF7A3A"/>
    <w:rsid w:val="00B02587"/>
    <w:rsid w:val="00B031E9"/>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0997"/>
    <w:rsid w:val="00BA2D55"/>
    <w:rsid w:val="00BA71B1"/>
    <w:rsid w:val="00BB0637"/>
    <w:rsid w:val="00BB345F"/>
    <w:rsid w:val="00BB5D68"/>
    <w:rsid w:val="00BB68EA"/>
    <w:rsid w:val="00BC0B99"/>
    <w:rsid w:val="00BC1C27"/>
    <w:rsid w:val="00BC6BBF"/>
    <w:rsid w:val="00BD1572"/>
    <w:rsid w:val="00BD6E5C"/>
    <w:rsid w:val="00BD7917"/>
    <w:rsid w:val="00BE14E3"/>
    <w:rsid w:val="00BE3774"/>
    <w:rsid w:val="00BE41E5"/>
    <w:rsid w:val="00BF118F"/>
    <w:rsid w:val="00BF4109"/>
    <w:rsid w:val="00BF4CC3"/>
    <w:rsid w:val="00C030AE"/>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8F1"/>
    <w:rsid w:val="00C509A6"/>
    <w:rsid w:val="00C53F4A"/>
    <w:rsid w:val="00C54125"/>
    <w:rsid w:val="00C55B54"/>
    <w:rsid w:val="00C6098E"/>
    <w:rsid w:val="00C6152C"/>
    <w:rsid w:val="00C74810"/>
    <w:rsid w:val="00C8143D"/>
    <w:rsid w:val="00C90D68"/>
    <w:rsid w:val="00C939FE"/>
    <w:rsid w:val="00CA4BDA"/>
    <w:rsid w:val="00CB13E3"/>
    <w:rsid w:val="00CB1F66"/>
    <w:rsid w:val="00CB232C"/>
    <w:rsid w:val="00CB2951"/>
    <w:rsid w:val="00CB4277"/>
    <w:rsid w:val="00CB525F"/>
    <w:rsid w:val="00CC5067"/>
    <w:rsid w:val="00CD11D3"/>
    <w:rsid w:val="00CD282B"/>
    <w:rsid w:val="00CD447B"/>
    <w:rsid w:val="00CD4C35"/>
    <w:rsid w:val="00CD7369"/>
    <w:rsid w:val="00CE0B0E"/>
    <w:rsid w:val="00CE3831"/>
    <w:rsid w:val="00CF2397"/>
    <w:rsid w:val="00CF3A8E"/>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6E26"/>
    <w:rsid w:val="00D37272"/>
    <w:rsid w:val="00D44C2E"/>
    <w:rsid w:val="00D45414"/>
    <w:rsid w:val="00D50A0A"/>
    <w:rsid w:val="00D53548"/>
    <w:rsid w:val="00D566BD"/>
    <w:rsid w:val="00D57A4D"/>
    <w:rsid w:val="00D60AA7"/>
    <w:rsid w:val="00D6435F"/>
    <w:rsid w:val="00D66471"/>
    <w:rsid w:val="00D70641"/>
    <w:rsid w:val="00D74888"/>
    <w:rsid w:val="00D75E28"/>
    <w:rsid w:val="00D76754"/>
    <w:rsid w:val="00D76DCE"/>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126E"/>
    <w:rsid w:val="00E02C09"/>
    <w:rsid w:val="00E0451B"/>
    <w:rsid w:val="00E04D59"/>
    <w:rsid w:val="00E06073"/>
    <w:rsid w:val="00E060DD"/>
    <w:rsid w:val="00E07DA1"/>
    <w:rsid w:val="00E123CB"/>
    <w:rsid w:val="00E13B09"/>
    <w:rsid w:val="00E20E13"/>
    <w:rsid w:val="00E21DBC"/>
    <w:rsid w:val="00E275D7"/>
    <w:rsid w:val="00E27DBE"/>
    <w:rsid w:val="00E32AB1"/>
    <w:rsid w:val="00E32CAF"/>
    <w:rsid w:val="00E33E49"/>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3885"/>
    <w:rsid w:val="00F07C1E"/>
    <w:rsid w:val="00F105DB"/>
    <w:rsid w:val="00F12949"/>
    <w:rsid w:val="00F132BC"/>
    <w:rsid w:val="00F13D80"/>
    <w:rsid w:val="00F15B4D"/>
    <w:rsid w:val="00F16A7C"/>
    <w:rsid w:val="00F16AAA"/>
    <w:rsid w:val="00F1709C"/>
    <w:rsid w:val="00F21161"/>
    <w:rsid w:val="00F218EF"/>
    <w:rsid w:val="00F21BC7"/>
    <w:rsid w:val="00F266A2"/>
    <w:rsid w:val="00F32269"/>
    <w:rsid w:val="00F35B7A"/>
    <w:rsid w:val="00F379A6"/>
    <w:rsid w:val="00F43562"/>
    <w:rsid w:val="00F50536"/>
    <w:rsid w:val="00F549C3"/>
    <w:rsid w:val="00F56A6F"/>
    <w:rsid w:val="00F5709C"/>
    <w:rsid w:val="00F60B85"/>
    <w:rsid w:val="00F64EF1"/>
    <w:rsid w:val="00F72B14"/>
    <w:rsid w:val="00F7349B"/>
    <w:rsid w:val="00F82C1C"/>
    <w:rsid w:val="00F8765F"/>
    <w:rsid w:val="00F90767"/>
    <w:rsid w:val="00F9263C"/>
    <w:rsid w:val="00F927B8"/>
    <w:rsid w:val="00FA1637"/>
    <w:rsid w:val="00FA25C9"/>
    <w:rsid w:val="00FA685B"/>
    <w:rsid w:val="00FB0C01"/>
    <w:rsid w:val="00FB1730"/>
    <w:rsid w:val="00FB2F89"/>
    <w:rsid w:val="00FB3C06"/>
    <w:rsid w:val="00FB5934"/>
    <w:rsid w:val="00FC18F2"/>
    <w:rsid w:val="00FC2A17"/>
    <w:rsid w:val="00FC38CF"/>
    <w:rsid w:val="00FC39E5"/>
    <w:rsid w:val="00FC3A78"/>
    <w:rsid w:val="00FD1005"/>
    <w:rsid w:val="00FD1F7F"/>
    <w:rsid w:val="00FD6C75"/>
    <w:rsid w:val="00FD7972"/>
    <w:rsid w:val="00FE0401"/>
    <w:rsid w:val="00FE71B3"/>
    <w:rsid w:val="00FF27DE"/>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D435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25106"/>
    <w:rPr>
      <w:sz w:val="24"/>
      <w:szCs w:val="24"/>
      <w:lang w:val="en-GB"/>
    </w:rPr>
  </w:style>
  <w:style w:type="paragraph" w:styleId="Heading1">
    <w:name w:val="heading 1"/>
    <w:basedOn w:val="Normal"/>
    <w:next w:val="Normal"/>
    <w:link w:val="Heading1Char"/>
    <w:uiPriority w:val="98"/>
    <w:semiHidden/>
    <w:rsid w:val="0052510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510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510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510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510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510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510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510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510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5106"/>
    <w:rPr>
      <w:rFonts w:ascii="Tahoma" w:hAnsi="Tahoma" w:cs="Tahoma"/>
      <w:sz w:val="16"/>
      <w:szCs w:val="16"/>
    </w:rPr>
  </w:style>
  <w:style w:type="character" w:customStyle="1" w:styleId="BalloonTextChar">
    <w:name w:val="Balloon Text Char"/>
    <w:basedOn w:val="DefaultParagraphFont"/>
    <w:link w:val="BalloonText"/>
    <w:uiPriority w:val="98"/>
    <w:semiHidden/>
    <w:rsid w:val="00525106"/>
    <w:rPr>
      <w:rFonts w:ascii="Tahoma" w:hAnsi="Tahoma" w:cs="Tahoma"/>
      <w:sz w:val="16"/>
      <w:szCs w:val="16"/>
      <w:lang w:val="en-GB"/>
    </w:rPr>
  </w:style>
  <w:style w:type="character" w:styleId="BookTitle">
    <w:name w:val="Book Title"/>
    <w:uiPriority w:val="98"/>
    <w:semiHidden/>
    <w:qFormat/>
    <w:rsid w:val="00525106"/>
    <w:rPr>
      <w:i/>
      <w:iCs/>
      <w:smallCaps/>
      <w:spacing w:val="5"/>
    </w:rPr>
  </w:style>
  <w:style w:type="paragraph" w:customStyle="1" w:styleId="JuHeader">
    <w:name w:val="Ju_Header"/>
    <w:aliases w:val="_Header"/>
    <w:basedOn w:val="Header0"/>
    <w:uiPriority w:val="29"/>
    <w:qFormat/>
    <w:rsid w:val="00525106"/>
    <w:pPr>
      <w:tabs>
        <w:tab w:val="clear" w:pos="4536"/>
        <w:tab w:val="clear" w:pos="9072"/>
      </w:tabs>
      <w:jc w:val="center"/>
    </w:pPr>
    <w:rPr>
      <w:sz w:val="18"/>
    </w:rPr>
  </w:style>
  <w:style w:type="paragraph" w:customStyle="1" w:styleId="NormalJustified">
    <w:name w:val="Normal_Justified"/>
    <w:basedOn w:val="Normal"/>
    <w:semiHidden/>
    <w:rsid w:val="00525106"/>
    <w:pPr>
      <w:jc w:val="both"/>
    </w:pPr>
  </w:style>
  <w:style w:type="character" w:styleId="Strong">
    <w:name w:val="Strong"/>
    <w:uiPriority w:val="98"/>
    <w:semiHidden/>
    <w:qFormat/>
    <w:rsid w:val="00525106"/>
    <w:rPr>
      <w:b/>
      <w:bCs/>
    </w:rPr>
  </w:style>
  <w:style w:type="paragraph" w:styleId="NoSpacing">
    <w:name w:val="No Spacing"/>
    <w:basedOn w:val="Normal"/>
    <w:link w:val="NoSpacingChar"/>
    <w:uiPriority w:val="98"/>
    <w:semiHidden/>
    <w:qFormat/>
    <w:rsid w:val="00525106"/>
  </w:style>
  <w:style w:type="character" w:customStyle="1" w:styleId="NoSpacingChar">
    <w:name w:val="No Spacing Char"/>
    <w:basedOn w:val="DefaultParagraphFont"/>
    <w:link w:val="NoSpacing"/>
    <w:uiPriority w:val="98"/>
    <w:semiHidden/>
    <w:rsid w:val="00525106"/>
    <w:rPr>
      <w:sz w:val="24"/>
      <w:szCs w:val="24"/>
      <w:lang w:val="en-GB"/>
    </w:rPr>
  </w:style>
  <w:style w:type="paragraph" w:customStyle="1" w:styleId="JuQuot">
    <w:name w:val="Ju_Quot"/>
    <w:aliases w:val="_Quote"/>
    <w:basedOn w:val="NormalJustified"/>
    <w:uiPriority w:val="20"/>
    <w:qFormat/>
    <w:rsid w:val="00525106"/>
    <w:pPr>
      <w:spacing w:before="120" w:after="120"/>
      <w:ind w:left="425" w:firstLine="142"/>
    </w:pPr>
    <w:rPr>
      <w:sz w:val="20"/>
    </w:rPr>
  </w:style>
  <w:style w:type="paragraph" w:customStyle="1" w:styleId="DummyStyle">
    <w:name w:val="Dummy_Style"/>
    <w:aliases w:val="_Dummy"/>
    <w:basedOn w:val="Normal"/>
    <w:semiHidden/>
    <w:qFormat/>
    <w:rsid w:val="00525106"/>
    <w:rPr>
      <w:color w:val="00B050"/>
      <w:sz w:val="22"/>
    </w:rPr>
  </w:style>
  <w:style w:type="paragraph" w:customStyle="1" w:styleId="JuList">
    <w:name w:val="Ju_List"/>
    <w:aliases w:val="_List_1"/>
    <w:basedOn w:val="NormalJustified"/>
    <w:uiPriority w:val="23"/>
    <w:qFormat/>
    <w:rsid w:val="00525106"/>
    <w:pPr>
      <w:numPr>
        <w:numId w:val="10"/>
      </w:numPr>
      <w:spacing w:before="280" w:after="60"/>
    </w:pPr>
  </w:style>
  <w:style w:type="paragraph" w:customStyle="1" w:styleId="JuLista">
    <w:name w:val="Ju_List_a"/>
    <w:aliases w:val="_List_2"/>
    <w:basedOn w:val="NormalJustified"/>
    <w:uiPriority w:val="23"/>
    <w:rsid w:val="00525106"/>
    <w:pPr>
      <w:numPr>
        <w:ilvl w:val="1"/>
        <w:numId w:val="10"/>
      </w:numPr>
    </w:pPr>
  </w:style>
  <w:style w:type="paragraph" w:customStyle="1" w:styleId="JuListi">
    <w:name w:val="Ju_List_i"/>
    <w:aliases w:val="_List_3"/>
    <w:basedOn w:val="NormalJustified"/>
    <w:uiPriority w:val="23"/>
    <w:rsid w:val="00525106"/>
    <w:pPr>
      <w:numPr>
        <w:ilvl w:val="2"/>
        <w:numId w:val="10"/>
      </w:numPr>
    </w:pPr>
  </w:style>
  <w:style w:type="paragraph" w:customStyle="1" w:styleId="JuHArticle">
    <w:name w:val="Ju_H_Article"/>
    <w:aliases w:val="_Title_Quote"/>
    <w:basedOn w:val="Normal"/>
    <w:next w:val="JuQuot"/>
    <w:uiPriority w:val="19"/>
    <w:qFormat/>
    <w:rsid w:val="0052510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510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510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5106"/>
    <w:pPr>
      <w:keepNext/>
      <w:keepLines/>
      <w:numPr>
        <w:numId w:val="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25106"/>
    <w:pPr>
      <w:numPr>
        <w:numId w:val="9"/>
      </w:numPr>
    </w:pPr>
  </w:style>
  <w:style w:type="paragraph" w:customStyle="1" w:styleId="JuSigned">
    <w:name w:val="Ju_Signed"/>
    <w:aliases w:val="_Signature"/>
    <w:basedOn w:val="Normal"/>
    <w:next w:val="JuPara"/>
    <w:uiPriority w:val="31"/>
    <w:qFormat/>
    <w:rsid w:val="00525106"/>
    <w:pPr>
      <w:tabs>
        <w:tab w:val="center" w:pos="851"/>
        <w:tab w:val="center" w:pos="6407"/>
      </w:tabs>
      <w:spacing w:before="720"/>
    </w:pPr>
  </w:style>
  <w:style w:type="paragraph" w:styleId="Title">
    <w:name w:val="Title"/>
    <w:basedOn w:val="Normal"/>
    <w:next w:val="Normal"/>
    <w:link w:val="TitleChar"/>
    <w:uiPriority w:val="98"/>
    <w:semiHidden/>
    <w:qFormat/>
    <w:rsid w:val="0052510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2510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25106"/>
    <w:pPr>
      <w:numPr>
        <w:numId w:val="10"/>
      </w:numPr>
    </w:pPr>
  </w:style>
  <w:style w:type="numbering" w:customStyle="1" w:styleId="ECHRA1StyleNumberedList">
    <w:name w:val="ECHR_A1_Style_Numbered_List"/>
    <w:basedOn w:val="NoList"/>
    <w:rsid w:val="00525106"/>
    <w:pPr>
      <w:numPr>
        <w:numId w:val="11"/>
      </w:numPr>
    </w:pPr>
  </w:style>
  <w:style w:type="table" w:customStyle="1" w:styleId="ECHRTable2019">
    <w:name w:val="ECHR_Table_2019"/>
    <w:basedOn w:val="TableNormal"/>
    <w:uiPriority w:val="99"/>
    <w:rsid w:val="0052510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2510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25106"/>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25106"/>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25106"/>
    <w:pPr>
      <w:keepNext/>
      <w:keepLines/>
      <w:numPr>
        <w:ilvl w:val="3"/>
        <w:numId w:val="5"/>
      </w:numPr>
      <w:spacing w:before="100" w:beforeAutospacing="1" w:after="120"/>
      <w:jc w:val="both"/>
    </w:pPr>
    <w:rPr>
      <w:b w:val="0"/>
      <w:color w:val="auto"/>
      <w:sz w:val="24"/>
    </w:rPr>
  </w:style>
  <w:style w:type="paragraph" w:styleId="Header0">
    <w:name w:val="header"/>
    <w:basedOn w:val="Normal"/>
    <w:link w:val="HeaderChar"/>
    <w:uiPriority w:val="98"/>
    <w:semiHidden/>
    <w:rsid w:val="00525106"/>
    <w:pPr>
      <w:tabs>
        <w:tab w:val="center" w:pos="4536"/>
        <w:tab w:val="right" w:pos="9072"/>
      </w:tabs>
    </w:pPr>
  </w:style>
  <w:style w:type="character" w:customStyle="1" w:styleId="HeaderChar">
    <w:name w:val="Header Char"/>
    <w:basedOn w:val="DefaultParagraphFont"/>
    <w:link w:val="Header0"/>
    <w:uiPriority w:val="98"/>
    <w:semiHidden/>
    <w:rsid w:val="00525106"/>
    <w:rPr>
      <w:sz w:val="24"/>
      <w:szCs w:val="24"/>
      <w:lang w:val="en-GB"/>
    </w:rPr>
  </w:style>
  <w:style w:type="character" w:customStyle="1" w:styleId="Heading1Char">
    <w:name w:val="Heading 1 Char"/>
    <w:basedOn w:val="DefaultParagraphFont"/>
    <w:link w:val="Heading1"/>
    <w:uiPriority w:val="98"/>
    <w:semiHidden/>
    <w:rsid w:val="0052510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5106"/>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uiPriority w:val="17"/>
    <w:rsid w:val="00525106"/>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2510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5106"/>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25106"/>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525106"/>
    <w:rPr>
      <w:rFonts w:asciiTheme="majorHAnsi" w:eastAsiaTheme="majorEastAsia" w:hAnsiTheme="majorHAnsi" w:cstheme="majorBidi"/>
      <w:b/>
      <w:bCs/>
      <w:color w:val="5F5F5F"/>
      <w:lang w:val="en-GB"/>
    </w:rPr>
  </w:style>
  <w:style w:type="paragraph" w:customStyle="1" w:styleId="JuParaLast">
    <w:name w:val="Ju_Para_Last"/>
    <w:aliases w:val="ECHR_Para_Spaced,Para_Spaced,_Para_Spaced"/>
    <w:basedOn w:val="NormalJustified"/>
    <w:uiPriority w:val="5"/>
    <w:qFormat/>
    <w:rsid w:val="00525106"/>
    <w:pPr>
      <w:keepNext/>
      <w:keepLines/>
      <w:spacing w:before="240" w:after="240"/>
      <w:ind w:firstLine="284"/>
    </w:pPr>
  </w:style>
  <w:style w:type="paragraph" w:customStyle="1" w:styleId="JuJudges">
    <w:name w:val="Ju_Judges"/>
    <w:aliases w:val="_Judges"/>
    <w:basedOn w:val="Normal"/>
    <w:uiPriority w:val="32"/>
    <w:qFormat/>
    <w:rsid w:val="00525106"/>
    <w:pPr>
      <w:tabs>
        <w:tab w:val="left" w:pos="567"/>
        <w:tab w:val="left" w:pos="1134"/>
      </w:tabs>
    </w:pPr>
  </w:style>
  <w:style w:type="character" w:customStyle="1" w:styleId="Heading4Char">
    <w:name w:val="Heading 4 Char"/>
    <w:basedOn w:val="DefaultParagraphFont"/>
    <w:link w:val="Heading4"/>
    <w:uiPriority w:val="98"/>
    <w:semiHidden/>
    <w:rsid w:val="0052510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25106"/>
    <w:pPr>
      <w:tabs>
        <w:tab w:val="center" w:pos="6407"/>
      </w:tabs>
      <w:spacing w:before="720"/>
      <w:jc w:val="right"/>
    </w:pPr>
  </w:style>
  <w:style w:type="character" w:customStyle="1" w:styleId="Heading5Char">
    <w:name w:val="Heading 5 Char"/>
    <w:basedOn w:val="DefaultParagraphFont"/>
    <w:link w:val="Heading5"/>
    <w:uiPriority w:val="98"/>
    <w:semiHidden/>
    <w:rsid w:val="0052510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2510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25106"/>
    <w:rPr>
      <w:caps w:val="0"/>
      <w:smallCaps/>
    </w:rPr>
  </w:style>
  <w:style w:type="character" w:styleId="SubtleEmphasis">
    <w:name w:val="Subtle Emphasis"/>
    <w:uiPriority w:val="98"/>
    <w:semiHidden/>
    <w:qFormat/>
    <w:rsid w:val="00525106"/>
    <w:rPr>
      <w:i/>
      <w:iCs/>
    </w:rPr>
  </w:style>
  <w:style w:type="table" w:customStyle="1" w:styleId="ECHRTable">
    <w:name w:val="ECHR_Table"/>
    <w:basedOn w:val="TableNormal"/>
    <w:rsid w:val="0052510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510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qFormat/>
    <w:rsid w:val="00525106"/>
    <w:rPr>
      <w:b/>
      <w:bCs/>
      <w:i/>
      <w:iCs/>
      <w:spacing w:val="10"/>
      <w:bdr w:val="none" w:sz="0" w:space="0" w:color="auto"/>
      <w:shd w:val="clear" w:color="auto" w:fill="auto"/>
    </w:rPr>
  </w:style>
  <w:style w:type="paragraph" w:styleId="Footer1">
    <w:name w:val="footer"/>
    <w:basedOn w:val="Normal"/>
    <w:link w:val="FooterChar"/>
    <w:uiPriority w:val="98"/>
    <w:semiHidden/>
    <w:rsid w:val="00525106"/>
    <w:pPr>
      <w:tabs>
        <w:tab w:val="center" w:pos="3686"/>
        <w:tab w:val="right" w:pos="7371"/>
      </w:tabs>
    </w:pPr>
  </w:style>
  <w:style w:type="character" w:customStyle="1" w:styleId="FooterChar">
    <w:name w:val="Footer Char"/>
    <w:basedOn w:val="DefaultParagraphFont"/>
    <w:link w:val="Footer1"/>
    <w:uiPriority w:val="98"/>
    <w:semiHidden/>
    <w:rsid w:val="00525106"/>
    <w:rPr>
      <w:sz w:val="24"/>
      <w:szCs w:val="24"/>
      <w:lang w:val="en-GB"/>
    </w:rPr>
  </w:style>
  <w:style w:type="character" w:styleId="FootnoteReference">
    <w:name w:val="footnote reference"/>
    <w:basedOn w:val="DefaultParagraphFont"/>
    <w:uiPriority w:val="98"/>
    <w:semiHidden/>
    <w:rsid w:val="00525106"/>
    <w:rPr>
      <w:vertAlign w:val="superscript"/>
    </w:rPr>
  </w:style>
  <w:style w:type="paragraph" w:styleId="FootnoteText">
    <w:name w:val="footnote text"/>
    <w:basedOn w:val="Normal"/>
    <w:link w:val="FootnoteTextChar"/>
    <w:uiPriority w:val="98"/>
    <w:semiHidden/>
    <w:rsid w:val="00525106"/>
    <w:rPr>
      <w:sz w:val="20"/>
      <w:szCs w:val="20"/>
    </w:rPr>
  </w:style>
  <w:style w:type="character" w:customStyle="1" w:styleId="FootnoteTextChar">
    <w:name w:val="Footnote Text Char"/>
    <w:basedOn w:val="DefaultParagraphFont"/>
    <w:link w:val="FootnoteText"/>
    <w:uiPriority w:val="98"/>
    <w:semiHidden/>
    <w:rsid w:val="00525106"/>
    <w:rPr>
      <w:sz w:val="20"/>
      <w:szCs w:val="20"/>
      <w:lang w:val="en-GB"/>
    </w:rPr>
  </w:style>
  <w:style w:type="character" w:customStyle="1" w:styleId="Heading6Char">
    <w:name w:val="Heading 6 Char"/>
    <w:basedOn w:val="DefaultParagraphFont"/>
    <w:link w:val="Heading6"/>
    <w:uiPriority w:val="98"/>
    <w:semiHidden/>
    <w:rsid w:val="0052510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510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510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510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525106"/>
    <w:rPr>
      <w:color w:val="0072BC" w:themeColor="hyperlink"/>
      <w:u w:val="single"/>
    </w:rPr>
  </w:style>
  <w:style w:type="character" w:styleId="IntenseEmphasis">
    <w:name w:val="Intense Emphasis"/>
    <w:uiPriority w:val="98"/>
    <w:semiHidden/>
    <w:qFormat/>
    <w:rsid w:val="00525106"/>
    <w:rPr>
      <w:b/>
      <w:bCs/>
    </w:rPr>
  </w:style>
  <w:style w:type="paragraph" w:styleId="IntenseQuote">
    <w:name w:val="Intense Quote"/>
    <w:basedOn w:val="Normal"/>
    <w:next w:val="Normal"/>
    <w:link w:val="IntenseQuoteChar"/>
    <w:uiPriority w:val="98"/>
    <w:semiHidden/>
    <w:qFormat/>
    <w:rsid w:val="0052510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25106"/>
    <w:rPr>
      <w:b/>
      <w:bCs/>
      <w:i/>
      <w:iCs/>
      <w:sz w:val="24"/>
      <w:szCs w:val="24"/>
      <w:lang w:val="en-GB" w:bidi="en-US"/>
    </w:rPr>
  </w:style>
  <w:style w:type="character" w:styleId="IntenseReference">
    <w:name w:val="Intense Reference"/>
    <w:uiPriority w:val="98"/>
    <w:semiHidden/>
    <w:qFormat/>
    <w:rsid w:val="00525106"/>
    <w:rPr>
      <w:smallCaps/>
      <w:spacing w:val="5"/>
      <w:u w:val="single"/>
    </w:rPr>
  </w:style>
  <w:style w:type="paragraph" w:styleId="ListParagraph">
    <w:name w:val="List Paragraph"/>
    <w:basedOn w:val="Normal"/>
    <w:uiPriority w:val="98"/>
    <w:semiHidden/>
    <w:qFormat/>
    <w:rsid w:val="00525106"/>
    <w:pPr>
      <w:ind w:left="720"/>
      <w:contextualSpacing/>
    </w:pPr>
  </w:style>
  <w:style w:type="table" w:customStyle="1" w:styleId="LtrTableAddress">
    <w:name w:val="Ltr_Table_Address"/>
    <w:aliases w:val="ECHR_Ltr_Table_Address"/>
    <w:basedOn w:val="TableNormal"/>
    <w:uiPriority w:val="99"/>
    <w:rsid w:val="00525106"/>
    <w:rPr>
      <w:sz w:val="24"/>
      <w:szCs w:val="24"/>
    </w:rPr>
    <w:tblPr>
      <w:tblInd w:w="5103" w:type="dxa"/>
    </w:tblPr>
  </w:style>
  <w:style w:type="paragraph" w:styleId="Quote0">
    <w:name w:val="Quote"/>
    <w:basedOn w:val="Normal"/>
    <w:next w:val="Normal"/>
    <w:link w:val="QuoteChar"/>
    <w:uiPriority w:val="98"/>
    <w:semiHidden/>
    <w:qFormat/>
    <w:rsid w:val="00525106"/>
    <w:pPr>
      <w:spacing w:before="200"/>
      <w:ind w:left="360" w:right="360"/>
    </w:pPr>
    <w:rPr>
      <w:i/>
      <w:iCs/>
      <w:lang w:bidi="en-US"/>
    </w:rPr>
  </w:style>
  <w:style w:type="character" w:customStyle="1" w:styleId="QuoteChar">
    <w:name w:val="Quote Char"/>
    <w:basedOn w:val="DefaultParagraphFont"/>
    <w:link w:val="Quote0"/>
    <w:uiPriority w:val="98"/>
    <w:semiHidden/>
    <w:rsid w:val="00525106"/>
    <w:rPr>
      <w:i/>
      <w:iCs/>
      <w:sz w:val="24"/>
      <w:szCs w:val="24"/>
      <w:lang w:val="en-GB" w:bidi="en-US"/>
    </w:rPr>
  </w:style>
  <w:style w:type="character" w:styleId="SubtleReference">
    <w:name w:val="Subtle Reference"/>
    <w:uiPriority w:val="98"/>
    <w:semiHidden/>
    <w:qFormat/>
    <w:rsid w:val="00525106"/>
    <w:rPr>
      <w:smallCaps/>
    </w:rPr>
  </w:style>
  <w:style w:type="table" w:styleId="TableGrid">
    <w:name w:val="Table Grid"/>
    <w:basedOn w:val="TableNormal"/>
    <w:uiPriority w:val="59"/>
    <w:semiHidden/>
    <w:rsid w:val="0052510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510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510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510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510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510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510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2510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510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510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510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2510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510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510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2510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2510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25106"/>
    <w:pPr>
      <w:numPr>
        <w:numId w:val="6"/>
      </w:numPr>
    </w:pPr>
  </w:style>
  <w:style w:type="paragraph" w:customStyle="1" w:styleId="JuPara">
    <w:name w:val="Ju_Para"/>
    <w:aliases w:val="ECHR_Para,Para,_Para"/>
    <w:basedOn w:val="NormalJustified"/>
    <w:link w:val="JuParaChar"/>
    <w:uiPriority w:val="12"/>
    <w:qFormat/>
    <w:rsid w:val="00525106"/>
    <w:pPr>
      <w:ind w:firstLine="284"/>
    </w:pPr>
  </w:style>
  <w:style w:type="numbering" w:styleId="1ai">
    <w:name w:val="Outline List 1"/>
    <w:basedOn w:val="NoList"/>
    <w:uiPriority w:val="99"/>
    <w:semiHidden/>
    <w:unhideWhenUsed/>
    <w:rsid w:val="00525106"/>
    <w:pPr>
      <w:numPr>
        <w:numId w:val="7"/>
      </w:numPr>
    </w:pPr>
  </w:style>
  <w:style w:type="table" w:customStyle="1" w:styleId="ECHRTableSimpleBox">
    <w:name w:val="ECHR_Table_Simple_Box"/>
    <w:basedOn w:val="TableNormal"/>
    <w:uiPriority w:val="99"/>
    <w:rsid w:val="0052510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2510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25106"/>
    <w:pPr>
      <w:numPr>
        <w:numId w:val="8"/>
      </w:numPr>
    </w:pPr>
  </w:style>
  <w:style w:type="table" w:customStyle="1" w:styleId="ECHRTableForInternalUse">
    <w:name w:val="ECHR_Table_For_Internal_Use"/>
    <w:basedOn w:val="TableNormal"/>
    <w:uiPriority w:val="99"/>
    <w:rsid w:val="0052510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510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5106"/>
  </w:style>
  <w:style w:type="paragraph" w:styleId="BlockText">
    <w:name w:val="Block Text"/>
    <w:basedOn w:val="Normal"/>
    <w:uiPriority w:val="98"/>
    <w:semiHidden/>
    <w:rsid w:val="0052510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510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5106"/>
    <w:pPr>
      <w:spacing w:after="120"/>
    </w:pPr>
  </w:style>
  <w:style w:type="character" w:customStyle="1" w:styleId="BodyTextChar">
    <w:name w:val="Body Text Char"/>
    <w:basedOn w:val="DefaultParagraphFont"/>
    <w:link w:val="BodyText"/>
    <w:uiPriority w:val="98"/>
    <w:semiHidden/>
    <w:rsid w:val="00525106"/>
    <w:rPr>
      <w:sz w:val="24"/>
      <w:szCs w:val="24"/>
      <w:lang w:val="en-GB"/>
    </w:rPr>
  </w:style>
  <w:style w:type="table" w:customStyle="1" w:styleId="ECHRTableOddBanded">
    <w:name w:val="ECHR_Table_Odd_Banded"/>
    <w:basedOn w:val="TableNormal"/>
    <w:uiPriority w:val="99"/>
    <w:rsid w:val="0052510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5106"/>
    <w:pPr>
      <w:spacing w:after="120" w:line="480" w:lineRule="auto"/>
    </w:pPr>
  </w:style>
  <w:style w:type="table" w:customStyle="1" w:styleId="ECHRHeaderTableReduced">
    <w:name w:val="ECHR_Header_Table_Reduced"/>
    <w:basedOn w:val="TableNormal"/>
    <w:uiPriority w:val="99"/>
    <w:rsid w:val="0052510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25106"/>
    <w:pPr>
      <w:ind w:firstLine="284"/>
      <w:jc w:val="both"/>
    </w:pPr>
    <w:rPr>
      <w:b/>
    </w:rPr>
  </w:style>
  <w:style w:type="character" w:styleId="PageNumber">
    <w:name w:val="page number"/>
    <w:uiPriority w:val="98"/>
    <w:semiHidden/>
    <w:rsid w:val="00525106"/>
    <w:rPr>
      <w:sz w:val="18"/>
    </w:rPr>
  </w:style>
  <w:style w:type="paragraph" w:styleId="ListBullet">
    <w:name w:val="List Bullet"/>
    <w:basedOn w:val="Normal"/>
    <w:uiPriority w:val="98"/>
    <w:semiHidden/>
    <w:rsid w:val="00525106"/>
    <w:pPr>
      <w:numPr>
        <w:numId w:val="12"/>
      </w:numPr>
    </w:pPr>
  </w:style>
  <w:style w:type="paragraph" w:styleId="ListBullet3">
    <w:name w:val="List Bullet 3"/>
    <w:basedOn w:val="Normal"/>
    <w:uiPriority w:val="98"/>
    <w:semiHidden/>
    <w:rsid w:val="00525106"/>
    <w:pPr>
      <w:numPr>
        <w:numId w:val="14"/>
      </w:numPr>
      <w:contextualSpacing/>
    </w:pPr>
  </w:style>
  <w:style w:type="character" w:customStyle="1" w:styleId="BodyText2Char">
    <w:name w:val="Body Text 2 Char"/>
    <w:basedOn w:val="DefaultParagraphFont"/>
    <w:link w:val="BodyText2"/>
    <w:uiPriority w:val="98"/>
    <w:semiHidden/>
    <w:rsid w:val="00525106"/>
    <w:rPr>
      <w:sz w:val="24"/>
      <w:szCs w:val="24"/>
      <w:lang w:val="en-GB"/>
    </w:rPr>
  </w:style>
  <w:style w:type="paragraph" w:styleId="BodyText3">
    <w:name w:val="Body Text 3"/>
    <w:basedOn w:val="Normal"/>
    <w:link w:val="BodyText3Char"/>
    <w:uiPriority w:val="98"/>
    <w:semiHidden/>
    <w:rsid w:val="00525106"/>
    <w:pPr>
      <w:spacing w:after="120"/>
    </w:pPr>
    <w:rPr>
      <w:sz w:val="16"/>
      <w:szCs w:val="16"/>
    </w:rPr>
  </w:style>
  <w:style w:type="character" w:customStyle="1" w:styleId="BodyText3Char">
    <w:name w:val="Body Text 3 Char"/>
    <w:basedOn w:val="DefaultParagraphFont"/>
    <w:link w:val="BodyText3"/>
    <w:uiPriority w:val="98"/>
    <w:semiHidden/>
    <w:rsid w:val="00525106"/>
    <w:rPr>
      <w:sz w:val="16"/>
      <w:szCs w:val="16"/>
      <w:lang w:val="en-GB"/>
    </w:rPr>
  </w:style>
  <w:style w:type="paragraph" w:styleId="BodyTextFirstIndent">
    <w:name w:val="Body Text First Indent"/>
    <w:basedOn w:val="BodyText"/>
    <w:link w:val="BodyTextFirstIndentChar"/>
    <w:uiPriority w:val="98"/>
    <w:semiHidden/>
    <w:rsid w:val="00525106"/>
    <w:pPr>
      <w:spacing w:after="0"/>
      <w:ind w:firstLine="360"/>
    </w:pPr>
  </w:style>
  <w:style w:type="character" w:customStyle="1" w:styleId="BodyTextFirstIndentChar">
    <w:name w:val="Body Text First Indent Char"/>
    <w:basedOn w:val="BodyTextChar"/>
    <w:link w:val="BodyTextFirstIndent"/>
    <w:uiPriority w:val="98"/>
    <w:semiHidden/>
    <w:rsid w:val="00525106"/>
    <w:rPr>
      <w:sz w:val="24"/>
      <w:szCs w:val="24"/>
      <w:lang w:val="en-GB"/>
    </w:rPr>
  </w:style>
  <w:style w:type="paragraph" w:styleId="BodyTextIndent">
    <w:name w:val="Body Text Indent"/>
    <w:basedOn w:val="Normal"/>
    <w:link w:val="BodyTextIndentChar"/>
    <w:uiPriority w:val="98"/>
    <w:semiHidden/>
    <w:rsid w:val="00525106"/>
    <w:pPr>
      <w:spacing w:after="120"/>
      <w:ind w:left="283"/>
    </w:pPr>
  </w:style>
  <w:style w:type="character" w:customStyle="1" w:styleId="BodyTextIndentChar">
    <w:name w:val="Body Text Indent Char"/>
    <w:basedOn w:val="DefaultParagraphFont"/>
    <w:link w:val="BodyTextIndent"/>
    <w:uiPriority w:val="98"/>
    <w:semiHidden/>
    <w:rsid w:val="00525106"/>
    <w:rPr>
      <w:sz w:val="24"/>
      <w:szCs w:val="24"/>
      <w:lang w:val="en-GB"/>
    </w:rPr>
  </w:style>
  <w:style w:type="paragraph" w:styleId="BodyTextFirstIndent2">
    <w:name w:val="Body Text First Indent 2"/>
    <w:basedOn w:val="BodyTextIndent"/>
    <w:link w:val="BodyTextFirstIndent2Char"/>
    <w:uiPriority w:val="98"/>
    <w:semiHidden/>
    <w:rsid w:val="00525106"/>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5106"/>
    <w:rPr>
      <w:sz w:val="24"/>
      <w:szCs w:val="24"/>
      <w:lang w:val="en-GB"/>
    </w:rPr>
  </w:style>
  <w:style w:type="paragraph" w:styleId="BodyTextIndent2">
    <w:name w:val="Body Text Indent 2"/>
    <w:basedOn w:val="Normal"/>
    <w:link w:val="BodyTextIndent2Char"/>
    <w:uiPriority w:val="98"/>
    <w:semiHidden/>
    <w:rsid w:val="00525106"/>
    <w:pPr>
      <w:spacing w:after="120" w:line="480" w:lineRule="auto"/>
      <w:ind w:left="283"/>
    </w:pPr>
  </w:style>
  <w:style w:type="character" w:customStyle="1" w:styleId="BodyTextIndent2Char">
    <w:name w:val="Body Text Indent 2 Char"/>
    <w:basedOn w:val="DefaultParagraphFont"/>
    <w:link w:val="BodyTextIndent2"/>
    <w:uiPriority w:val="98"/>
    <w:semiHidden/>
    <w:rsid w:val="00525106"/>
    <w:rPr>
      <w:sz w:val="24"/>
      <w:szCs w:val="24"/>
      <w:lang w:val="en-GB"/>
    </w:rPr>
  </w:style>
  <w:style w:type="paragraph" w:styleId="BodyTextIndent3">
    <w:name w:val="Body Text Indent 3"/>
    <w:basedOn w:val="Normal"/>
    <w:link w:val="BodyTextIndent3Char"/>
    <w:uiPriority w:val="98"/>
    <w:semiHidden/>
    <w:rsid w:val="0052510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5106"/>
    <w:rPr>
      <w:sz w:val="16"/>
      <w:szCs w:val="16"/>
      <w:lang w:val="en-GB"/>
    </w:rPr>
  </w:style>
  <w:style w:type="paragraph" w:styleId="Caption">
    <w:name w:val="caption"/>
    <w:basedOn w:val="Normal"/>
    <w:next w:val="Normal"/>
    <w:uiPriority w:val="98"/>
    <w:semiHidden/>
    <w:qFormat/>
    <w:rsid w:val="00525106"/>
    <w:pPr>
      <w:spacing w:after="200"/>
    </w:pPr>
    <w:rPr>
      <w:b/>
      <w:bCs/>
      <w:color w:val="0072BC" w:themeColor="accent1"/>
      <w:sz w:val="18"/>
      <w:szCs w:val="18"/>
    </w:rPr>
  </w:style>
  <w:style w:type="paragraph" w:styleId="Closing">
    <w:name w:val="Closing"/>
    <w:basedOn w:val="Normal"/>
    <w:link w:val="ClosingChar"/>
    <w:uiPriority w:val="98"/>
    <w:semiHidden/>
    <w:rsid w:val="00525106"/>
    <w:pPr>
      <w:ind w:left="4252"/>
    </w:pPr>
  </w:style>
  <w:style w:type="character" w:customStyle="1" w:styleId="ClosingChar">
    <w:name w:val="Closing Char"/>
    <w:basedOn w:val="DefaultParagraphFont"/>
    <w:link w:val="Closing"/>
    <w:uiPriority w:val="98"/>
    <w:semiHidden/>
    <w:rsid w:val="00525106"/>
    <w:rPr>
      <w:sz w:val="24"/>
      <w:szCs w:val="24"/>
      <w:lang w:val="en-GB"/>
    </w:rPr>
  </w:style>
  <w:style w:type="table" w:styleId="ColorfulGrid">
    <w:name w:val="Colorful Grid"/>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510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510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510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510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510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2510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510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510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510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510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510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510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2510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510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510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5106"/>
    <w:rPr>
      <w:sz w:val="16"/>
      <w:szCs w:val="16"/>
    </w:rPr>
  </w:style>
  <w:style w:type="paragraph" w:styleId="CommentText">
    <w:name w:val="annotation text"/>
    <w:basedOn w:val="Normal"/>
    <w:link w:val="CommentTextChar"/>
    <w:uiPriority w:val="98"/>
    <w:semiHidden/>
    <w:rsid w:val="00525106"/>
    <w:rPr>
      <w:sz w:val="20"/>
      <w:szCs w:val="20"/>
    </w:rPr>
  </w:style>
  <w:style w:type="character" w:customStyle="1" w:styleId="CommentTextChar">
    <w:name w:val="Comment Text Char"/>
    <w:basedOn w:val="DefaultParagraphFont"/>
    <w:link w:val="CommentText"/>
    <w:uiPriority w:val="98"/>
    <w:semiHidden/>
    <w:rsid w:val="00525106"/>
    <w:rPr>
      <w:sz w:val="20"/>
      <w:szCs w:val="20"/>
      <w:lang w:val="en-GB"/>
    </w:rPr>
  </w:style>
  <w:style w:type="paragraph" w:styleId="CommentSubject">
    <w:name w:val="annotation subject"/>
    <w:basedOn w:val="CommentText"/>
    <w:next w:val="CommentText"/>
    <w:link w:val="CommentSubjectChar"/>
    <w:uiPriority w:val="98"/>
    <w:semiHidden/>
    <w:rsid w:val="00525106"/>
    <w:rPr>
      <w:b/>
      <w:bCs/>
    </w:rPr>
  </w:style>
  <w:style w:type="character" w:customStyle="1" w:styleId="CommentSubjectChar">
    <w:name w:val="Comment Subject Char"/>
    <w:basedOn w:val="CommentTextChar"/>
    <w:link w:val="CommentSubject"/>
    <w:uiPriority w:val="98"/>
    <w:semiHidden/>
    <w:rsid w:val="00525106"/>
    <w:rPr>
      <w:b/>
      <w:bCs/>
      <w:sz w:val="20"/>
      <w:szCs w:val="20"/>
      <w:lang w:val="en-GB"/>
    </w:rPr>
  </w:style>
  <w:style w:type="table" w:styleId="DarkList">
    <w:name w:val="Dark List"/>
    <w:basedOn w:val="TableNormal"/>
    <w:uiPriority w:val="70"/>
    <w:semiHidden/>
    <w:rsid w:val="0052510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510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510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510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2510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510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510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5106"/>
  </w:style>
  <w:style w:type="character" w:customStyle="1" w:styleId="DateChar">
    <w:name w:val="Date Char"/>
    <w:basedOn w:val="DefaultParagraphFont"/>
    <w:link w:val="Date"/>
    <w:uiPriority w:val="98"/>
    <w:semiHidden/>
    <w:rsid w:val="00525106"/>
    <w:rPr>
      <w:sz w:val="24"/>
      <w:szCs w:val="24"/>
      <w:lang w:val="en-GB"/>
    </w:rPr>
  </w:style>
  <w:style w:type="paragraph" w:styleId="DocumentMap">
    <w:name w:val="Document Map"/>
    <w:basedOn w:val="Normal"/>
    <w:link w:val="DocumentMapChar"/>
    <w:uiPriority w:val="98"/>
    <w:semiHidden/>
    <w:rsid w:val="00525106"/>
    <w:rPr>
      <w:rFonts w:ascii="Tahoma" w:hAnsi="Tahoma" w:cs="Tahoma"/>
      <w:sz w:val="16"/>
      <w:szCs w:val="16"/>
    </w:rPr>
  </w:style>
  <w:style w:type="character" w:customStyle="1" w:styleId="DocumentMapChar">
    <w:name w:val="Document Map Char"/>
    <w:basedOn w:val="DefaultParagraphFont"/>
    <w:link w:val="DocumentMap"/>
    <w:uiPriority w:val="98"/>
    <w:semiHidden/>
    <w:rsid w:val="00525106"/>
    <w:rPr>
      <w:rFonts w:ascii="Tahoma" w:hAnsi="Tahoma" w:cs="Tahoma"/>
      <w:sz w:val="16"/>
      <w:szCs w:val="16"/>
      <w:lang w:val="en-GB"/>
    </w:rPr>
  </w:style>
  <w:style w:type="paragraph" w:styleId="E-mailSignature">
    <w:name w:val="E-mail Signature"/>
    <w:basedOn w:val="Normal"/>
    <w:link w:val="E-mailSignatureChar"/>
    <w:uiPriority w:val="98"/>
    <w:semiHidden/>
    <w:rsid w:val="00525106"/>
  </w:style>
  <w:style w:type="character" w:customStyle="1" w:styleId="E-mailSignatureChar">
    <w:name w:val="E-mail Signature Char"/>
    <w:basedOn w:val="DefaultParagraphFont"/>
    <w:link w:val="E-mailSignature"/>
    <w:uiPriority w:val="98"/>
    <w:semiHidden/>
    <w:rsid w:val="00525106"/>
    <w:rPr>
      <w:sz w:val="24"/>
      <w:szCs w:val="24"/>
      <w:lang w:val="en-GB"/>
    </w:rPr>
  </w:style>
  <w:style w:type="character" w:styleId="EndnoteReference">
    <w:name w:val="endnote reference"/>
    <w:basedOn w:val="DefaultParagraphFont"/>
    <w:uiPriority w:val="98"/>
    <w:semiHidden/>
    <w:rsid w:val="00525106"/>
    <w:rPr>
      <w:vertAlign w:val="superscript"/>
    </w:rPr>
  </w:style>
  <w:style w:type="paragraph" w:styleId="EndnoteText">
    <w:name w:val="endnote text"/>
    <w:basedOn w:val="Normal"/>
    <w:link w:val="EndnoteTextChar"/>
    <w:uiPriority w:val="98"/>
    <w:semiHidden/>
    <w:rsid w:val="00525106"/>
    <w:rPr>
      <w:sz w:val="20"/>
      <w:szCs w:val="20"/>
    </w:rPr>
  </w:style>
  <w:style w:type="character" w:customStyle="1" w:styleId="EndnoteTextChar">
    <w:name w:val="Endnote Text Char"/>
    <w:basedOn w:val="DefaultParagraphFont"/>
    <w:link w:val="EndnoteText"/>
    <w:uiPriority w:val="98"/>
    <w:semiHidden/>
    <w:rsid w:val="00525106"/>
    <w:rPr>
      <w:sz w:val="20"/>
      <w:szCs w:val="20"/>
      <w:lang w:val="en-GB"/>
    </w:rPr>
  </w:style>
  <w:style w:type="paragraph" w:styleId="EnvelopeAddress">
    <w:name w:val="envelope address"/>
    <w:basedOn w:val="Normal"/>
    <w:uiPriority w:val="98"/>
    <w:semiHidden/>
    <w:rsid w:val="0052510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510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5106"/>
    <w:rPr>
      <w:color w:val="7030A0" w:themeColor="followedHyperlink"/>
      <w:u w:val="single"/>
    </w:rPr>
  </w:style>
  <w:style w:type="character" w:styleId="HTMLAcronym">
    <w:name w:val="HTML Acronym"/>
    <w:basedOn w:val="DefaultParagraphFont"/>
    <w:uiPriority w:val="98"/>
    <w:semiHidden/>
    <w:rsid w:val="00525106"/>
  </w:style>
  <w:style w:type="paragraph" w:styleId="HTMLAddress">
    <w:name w:val="HTML Address"/>
    <w:basedOn w:val="Normal"/>
    <w:link w:val="HTMLAddressChar"/>
    <w:uiPriority w:val="98"/>
    <w:semiHidden/>
    <w:rsid w:val="00525106"/>
    <w:rPr>
      <w:i/>
      <w:iCs/>
    </w:rPr>
  </w:style>
  <w:style w:type="character" w:customStyle="1" w:styleId="HTMLAddressChar">
    <w:name w:val="HTML Address Char"/>
    <w:basedOn w:val="DefaultParagraphFont"/>
    <w:link w:val="HTMLAddress"/>
    <w:uiPriority w:val="98"/>
    <w:semiHidden/>
    <w:rsid w:val="00525106"/>
    <w:rPr>
      <w:i/>
      <w:iCs/>
      <w:sz w:val="24"/>
      <w:szCs w:val="24"/>
      <w:lang w:val="en-GB"/>
    </w:rPr>
  </w:style>
  <w:style w:type="character" w:styleId="HTMLCite">
    <w:name w:val="HTML Cite"/>
    <w:basedOn w:val="DefaultParagraphFont"/>
    <w:uiPriority w:val="98"/>
    <w:semiHidden/>
    <w:rsid w:val="00525106"/>
    <w:rPr>
      <w:i/>
      <w:iCs/>
    </w:rPr>
  </w:style>
  <w:style w:type="character" w:styleId="HTMLCode">
    <w:name w:val="HTML Code"/>
    <w:basedOn w:val="DefaultParagraphFont"/>
    <w:uiPriority w:val="98"/>
    <w:semiHidden/>
    <w:rsid w:val="00525106"/>
    <w:rPr>
      <w:rFonts w:ascii="Consolas" w:hAnsi="Consolas" w:cs="Consolas"/>
      <w:sz w:val="20"/>
      <w:szCs w:val="20"/>
    </w:rPr>
  </w:style>
  <w:style w:type="character" w:styleId="HTMLDefinition">
    <w:name w:val="HTML Definition"/>
    <w:basedOn w:val="DefaultParagraphFont"/>
    <w:uiPriority w:val="98"/>
    <w:semiHidden/>
    <w:rsid w:val="00525106"/>
    <w:rPr>
      <w:i/>
      <w:iCs/>
    </w:rPr>
  </w:style>
  <w:style w:type="character" w:styleId="HTMLKeyboard">
    <w:name w:val="HTML Keyboard"/>
    <w:basedOn w:val="DefaultParagraphFont"/>
    <w:uiPriority w:val="98"/>
    <w:semiHidden/>
    <w:rsid w:val="00525106"/>
    <w:rPr>
      <w:rFonts w:ascii="Consolas" w:hAnsi="Consolas" w:cs="Consolas"/>
      <w:sz w:val="20"/>
      <w:szCs w:val="20"/>
    </w:rPr>
  </w:style>
  <w:style w:type="paragraph" w:styleId="HTMLPreformatted">
    <w:name w:val="HTML Preformatted"/>
    <w:basedOn w:val="Normal"/>
    <w:link w:val="HTMLPreformattedChar"/>
    <w:uiPriority w:val="98"/>
    <w:semiHidden/>
    <w:rsid w:val="0052510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5106"/>
    <w:rPr>
      <w:rFonts w:ascii="Consolas" w:hAnsi="Consolas" w:cs="Consolas"/>
      <w:sz w:val="20"/>
      <w:szCs w:val="20"/>
      <w:lang w:val="en-GB"/>
    </w:rPr>
  </w:style>
  <w:style w:type="character" w:styleId="HTMLSample">
    <w:name w:val="HTML Sample"/>
    <w:basedOn w:val="DefaultParagraphFont"/>
    <w:uiPriority w:val="98"/>
    <w:semiHidden/>
    <w:rsid w:val="00525106"/>
    <w:rPr>
      <w:rFonts w:ascii="Consolas" w:hAnsi="Consolas" w:cs="Consolas"/>
      <w:sz w:val="24"/>
      <w:szCs w:val="24"/>
    </w:rPr>
  </w:style>
  <w:style w:type="character" w:styleId="HTMLTypewriter">
    <w:name w:val="HTML Typewriter"/>
    <w:basedOn w:val="DefaultParagraphFont"/>
    <w:uiPriority w:val="98"/>
    <w:semiHidden/>
    <w:rsid w:val="00525106"/>
    <w:rPr>
      <w:rFonts w:ascii="Consolas" w:hAnsi="Consolas" w:cs="Consolas"/>
      <w:sz w:val="20"/>
      <w:szCs w:val="20"/>
    </w:rPr>
  </w:style>
  <w:style w:type="character" w:styleId="HTMLVariable">
    <w:name w:val="HTML Variable"/>
    <w:basedOn w:val="DefaultParagraphFont"/>
    <w:uiPriority w:val="98"/>
    <w:semiHidden/>
    <w:rsid w:val="00525106"/>
    <w:rPr>
      <w:i/>
      <w:iCs/>
    </w:rPr>
  </w:style>
  <w:style w:type="paragraph" w:styleId="Index1">
    <w:name w:val="index 1"/>
    <w:basedOn w:val="Normal"/>
    <w:next w:val="Normal"/>
    <w:autoRedefine/>
    <w:uiPriority w:val="98"/>
    <w:semiHidden/>
    <w:rsid w:val="00525106"/>
    <w:pPr>
      <w:ind w:left="240" w:hanging="240"/>
    </w:pPr>
  </w:style>
  <w:style w:type="paragraph" w:styleId="Index2">
    <w:name w:val="index 2"/>
    <w:basedOn w:val="Normal"/>
    <w:next w:val="Normal"/>
    <w:autoRedefine/>
    <w:uiPriority w:val="98"/>
    <w:semiHidden/>
    <w:rsid w:val="00525106"/>
    <w:pPr>
      <w:ind w:left="480" w:hanging="240"/>
    </w:pPr>
  </w:style>
  <w:style w:type="paragraph" w:styleId="Index3">
    <w:name w:val="index 3"/>
    <w:basedOn w:val="Normal"/>
    <w:next w:val="Normal"/>
    <w:autoRedefine/>
    <w:uiPriority w:val="98"/>
    <w:semiHidden/>
    <w:rsid w:val="00525106"/>
    <w:pPr>
      <w:ind w:left="720" w:hanging="240"/>
    </w:pPr>
  </w:style>
  <w:style w:type="paragraph" w:styleId="Index4">
    <w:name w:val="index 4"/>
    <w:basedOn w:val="Normal"/>
    <w:next w:val="Normal"/>
    <w:autoRedefine/>
    <w:uiPriority w:val="98"/>
    <w:semiHidden/>
    <w:rsid w:val="00525106"/>
    <w:pPr>
      <w:ind w:left="960" w:hanging="240"/>
    </w:pPr>
  </w:style>
  <w:style w:type="paragraph" w:styleId="Index5">
    <w:name w:val="index 5"/>
    <w:basedOn w:val="Normal"/>
    <w:next w:val="Normal"/>
    <w:autoRedefine/>
    <w:uiPriority w:val="98"/>
    <w:semiHidden/>
    <w:rsid w:val="00525106"/>
    <w:pPr>
      <w:ind w:left="1200" w:hanging="240"/>
    </w:pPr>
  </w:style>
  <w:style w:type="paragraph" w:styleId="Index6">
    <w:name w:val="index 6"/>
    <w:basedOn w:val="Normal"/>
    <w:next w:val="Normal"/>
    <w:autoRedefine/>
    <w:uiPriority w:val="98"/>
    <w:semiHidden/>
    <w:rsid w:val="00525106"/>
    <w:pPr>
      <w:ind w:left="1440" w:hanging="240"/>
    </w:pPr>
  </w:style>
  <w:style w:type="paragraph" w:styleId="Index7">
    <w:name w:val="index 7"/>
    <w:basedOn w:val="Normal"/>
    <w:next w:val="Normal"/>
    <w:autoRedefine/>
    <w:uiPriority w:val="98"/>
    <w:semiHidden/>
    <w:rsid w:val="00525106"/>
    <w:pPr>
      <w:ind w:left="1680" w:hanging="240"/>
    </w:pPr>
  </w:style>
  <w:style w:type="paragraph" w:styleId="Index8">
    <w:name w:val="index 8"/>
    <w:basedOn w:val="Normal"/>
    <w:next w:val="Normal"/>
    <w:autoRedefine/>
    <w:uiPriority w:val="98"/>
    <w:semiHidden/>
    <w:rsid w:val="00525106"/>
    <w:pPr>
      <w:ind w:left="1920" w:hanging="240"/>
    </w:pPr>
  </w:style>
  <w:style w:type="paragraph" w:styleId="Index9">
    <w:name w:val="index 9"/>
    <w:basedOn w:val="Normal"/>
    <w:next w:val="Normal"/>
    <w:autoRedefine/>
    <w:uiPriority w:val="98"/>
    <w:semiHidden/>
    <w:rsid w:val="00525106"/>
    <w:pPr>
      <w:ind w:left="2160" w:hanging="240"/>
    </w:pPr>
  </w:style>
  <w:style w:type="paragraph" w:styleId="IndexHeading">
    <w:name w:val="index heading"/>
    <w:basedOn w:val="Normal"/>
    <w:next w:val="Index1"/>
    <w:uiPriority w:val="98"/>
    <w:semiHidden/>
    <w:rsid w:val="00525106"/>
    <w:rPr>
      <w:rFonts w:asciiTheme="majorHAnsi" w:eastAsiaTheme="majorEastAsia" w:hAnsiTheme="majorHAnsi" w:cstheme="majorBidi"/>
      <w:b/>
      <w:bCs/>
    </w:rPr>
  </w:style>
  <w:style w:type="table" w:styleId="LightGrid">
    <w:name w:val="Light Grid"/>
    <w:basedOn w:val="TableNormal"/>
    <w:uiPriority w:val="62"/>
    <w:semiHidden/>
    <w:rsid w:val="0052510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510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510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510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2510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510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510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510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510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510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510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2510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510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510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510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510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510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510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2510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510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510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5106"/>
  </w:style>
  <w:style w:type="paragraph" w:styleId="List">
    <w:name w:val="List"/>
    <w:basedOn w:val="Normal"/>
    <w:uiPriority w:val="98"/>
    <w:semiHidden/>
    <w:rsid w:val="00525106"/>
    <w:pPr>
      <w:ind w:left="283" w:hanging="283"/>
      <w:contextualSpacing/>
    </w:pPr>
  </w:style>
  <w:style w:type="paragraph" w:styleId="List20">
    <w:name w:val="List 2"/>
    <w:basedOn w:val="Normal"/>
    <w:uiPriority w:val="98"/>
    <w:semiHidden/>
    <w:rsid w:val="00525106"/>
    <w:pPr>
      <w:ind w:left="566" w:hanging="283"/>
      <w:contextualSpacing/>
    </w:pPr>
  </w:style>
  <w:style w:type="paragraph" w:styleId="List30">
    <w:name w:val="List 3"/>
    <w:basedOn w:val="Normal"/>
    <w:uiPriority w:val="98"/>
    <w:semiHidden/>
    <w:rsid w:val="00525106"/>
    <w:pPr>
      <w:ind w:left="849" w:hanging="283"/>
      <w:contextualSpacing/>
    </w:pPr>
  </w:style>
  <w:style w:type="paragraph" w:styleId="List4">
    <w:name w:val="List 4"/>
    <w:basedOn w:val="Normal"/>
    <w:uiPriority w:val="98"/>
    <w:semiHidden/>
    <w:rsid w:val="00525106"/>
    <w:pPr>
      <w:ind w:left="1132" w:hanging="283"/>
      <w:contextualSpacing/>
    </w:pPr>
  </w:style>
  <w:style w:type="paragraph" w:styleId="List5">
    <w:name w:val="List 5"/>
    <w:basedOn w:val="Normal"/>
    <w:uiPriority w:val="98"/>
    <w:semiHidden/>
    <w:rsid w:val="00525106"/>
    <w:pPr>
      <w:ind w:left="1415" w:hanging="283"/>
      <w:contextualSpacing/>
    </w:pPr>
  </w:style>
  <w:style w:type="paragraph" w:styleId="ListBullet2">
    <w:name w:val="List Bullet 2"/>
    <w:basedOn w:val="Normal"/>
    <w:uiPriority w:val="98"/>
    <w:semiHidden/>
    <w:rsid w:val="00525106"/>
    <w:pPr>
      <w:numPr>
        <w:numId w:val="13"/>
      </w:numPr>
      <w:contextualSpacing/>
    </w:pPr>
  </w:style>
  <w:style w:type="paragraph" w:styleId="ListBullet4">
    <w:name w:val="List Bullet 4"/>
    <w:basedOn w:val="Normal"/>
    <w:uiPriority w:val="98"/>
    <w:semiHidden/>
    <w:rsid w:val="00525106"/>
    <w:pPr>
      <w:numPr>
        <w:numId w:val="15"/>
      </w:numPr>
      <w:contextualSpacing/>
    </w:pPr>
  </w:style>
  <w:style w:type="paragraph" w:styleId="ListBullet5">
    <w:name w:val="List Bullet 5"/>
    <w:basedOn w:val="Normal"/>
    <w:uiPriority w:val="98"/>
    <w:semiHidden/>
    <w:rsid w:val="00525106"/>
    <w:pPr>
      <w:numPr>
        <w:numId w:val="16"/>
      </w:numPr>
      <w:contextualSpacing/>
    </w:pPr>
  </w:style>
  <w:style w:type="paragraph" w:styleId="ListContinue">
    <w:name w:val="List Continue"/>
    <w:basedOn w:val="Normal"/>
    <w:uiPriority w:val="98"/>
    <w:semiHidden/>
    <w:rsid w:val="00525106"/>
    <w:pPr>
      <w:spacing w:after="120"/>
      <w:ind w:left="283"/>
      <w:contextualSpacing/>
    </w:pPr>
  </w:style>
  <w:style w:type="paragraph" w:styleId="ListContinue2">
    <w:name w:val="List Continue 2"/>
    <w:basedOn w:val="Normal"/>
    <w:uiPriority w:val="98"/>
    <w:semiHidden/>
    <w:rsid w:val="00525106"/>
    <w:pPr>
      <w:spacing w:after="120"/>
      <w:ind w:left="566"/>
      <w:contextualSpacing/>
    </w:pPr>
  </w:style>
  <w:style w:type="paragraph" w:styleId="ListContinue3">
    <w:name w:val="List Continue 3"/>
    <w:basedOn w:val="Normal"/>
    <w:uiPriority w:val="98"/>
    <w:semiHidden/>
    <w:rsid w:val="00525106"/>
    <w:pPr>
      <w:spacing w:after="120"/>
      <w:ind w:left="849"/>
      <w:contextualSpacing/>
    </w:pPr>
  </w:style>
  <w:style w:type="paragraph" w:styleId="ListContinue4">
    <w:name w:val="List Continue 4"/>
    <w:basedOn w:val="Normal"/>
    <w:uiPriority w:val="98"/>
    <w:semiHidden/>
    <w:rsid w:val="00525106"/>
    <w:pPr>
      <w:spacing w:after="120"/>
      <w:ind w:left="1132"/>
      <w:contextualSpacing/>
    </w:pPr>
  </w:style>
  <w:style w:type="paragraph" w:styleId="ListContinue5">
    <w:name w:val="List Continue 5"/>
    <w:basedOn w:val="Normal"/>
    <w:uiPriority w:val="98"/>
    <w:semiHidden/>
    <w:rsid w:val="00525106"/>
    <w:pPr>
      <w:spacing w:after="120"/>
      <w:ind w:left="1415"/>
      <w:contextualSpacing/>
    </w:pPr>
  </w:style>
  <w:style w:type="paragraph" w:styleId="ListNumber">
    <w:name w:val="List Number"/>
    <w:basedOn w:val="Normal"/>
    <w:uiPriority w:val="98"/>
    <w:semiHidden/>
    <w:rsid w:val="00525106"/>
    <w:pPr>
      <w:numPr>
        <w:numId w:val="17"/>
      </w:numPr>
      <w:contextualSpacing/>
    </w:pPr>
  </w:style>
  <w:style w:type="paragraph" w:styleId="ListNumber2">
    <w:name w:val="List Number 2"/>
    <w:basedOn w:val="Normal"/>
    <w:uiPriority w:val="98"/>
    <w:semiHidden/>
    <w:rsid w:val="00525106"/>
    <w:pPr>
      <w:numPr>
        <w:numId w:val="18"/>
      </w:numPr>
      <w:contextualSpacing/>
    </w:pPr>
  </w:style>
  <w:style w:type="paragraph" w:styleId="ListNumber3">
    <w:name w:val="List Number 3"/>
    <w:basedOn w:val="Normal"/>
    <w:uiPriority w:val="98"/>
    <w:semiHidden/>
    <w:rsid w:val="00525106"/>
    <w:pPr>
      <w:numPr>
        <w:numId w:val="19"/>
      </w:numPr>
      <w:contextualSpacing/>
    </w:pPr>
  </w:style>
  <w:style w:type="paragraph" w:styleId="ListNumber4">
    <w:name w:val="List Number 4"/>
    <w:basedOn w:val="Normal"/>
    <w:uiPriority w:val="98"/>
    <w:semiHidden/>
    <w:rsid w:val="00525106"/>
    <w:pPr>
      <w:numPr>
        <w:numId w:val="20"/>
      </w:numPr>
      <w:contextualSpacing/>
    </w:pPr>
  </w:style>
  <w:style w:type="paragraph" w:styleId="ListNumber5">
    <w:name w:val="List Number 5"/>
    <w:basedOn w:val="Normal"/>
    <w:uiPriority w:val="98"/>
    <w:semiHidden/>
    <w:rsid w:val="00525106"/>
    <w:pPr>
      <w:numPr>
        <w:numId w:val="21"/>
      </w:numPr>
      <w:contextualSpacing/>
    </w:pPr>
  </w:style>
  <w:style w:type="paragraph" w:styleId="Macro">
    <w:name w:val="macro"/>
    <w:link w:val="MacroTextChar"/>
    <w:uiPriority w:val="98"/>
    <w:semiHidden/>
    <w:rsid w:val="0052510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25106"/>
    <w:rPr>
      <w:rFonts w:ascii="Consolas" w:hAnsi="Consolas" w:eastAsiaTheme="minorEastAsia" w:cs="Consolas"/>
      <w:sz w:val="20"/>
      <w:szCs w:val="20"/>
    </w:rPr>
  </w:style>
  <w:style w:type="table" w:styleId="MediumGrid1">
    <w:name w:val="Medium Grid 1"/>
    <w:basedOn w:val="TableNormal"/>
    <w:uiPriority w:val="67"/>
    <w:semiHidden/>
    <w:rsid w:val="0052510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510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510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510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2510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510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510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51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2510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510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510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510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2510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510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510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510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2510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510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510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510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510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510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510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51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510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510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25106"/>
    <w:rPr>
      <w:rFonts w:ascii="Times New Roman" w:hAnsi="Times New Roman" w:cs="Times New Roman"/>
    </w:rPr>
  </w:style>
  <w:style w:type="paragraph" w:styleId="NormalIndent">
    <w:name w:val="Normal Indent"/>
    <w:basedOn w:val="Normal"/>
    <w:uiPriority w:val="98"/>
    <w:semiHidden/>
    <w:rsid w:val="00525106"/>
    <w:pPr>
      <w:ind w:left="720"/>
    </w:pPr>
  </w:style>
  <w:style w:type="paragraph" w:styleId="NoteHeading">
    <w:name w:val="Note Heading"/>
    <w:basedOn w:val="Normal"/>
    <w:next w:val="Normal"/>
    <w:link w:val="NoteHeadingChar"/>
    <w:uiPriority w:val="98"/>
    <w:semiHidden/>
    <w:rsid w:val="00525106"/>
  </w:style>
  <w:style w:type="character" w:customStyle="1" w:styleId="NoteHeadingChar">
    <w:name w:val="Note Heading Char"/>
    <w:basedOn w:val="DefaultParagraphFont"/>
    <w:link w:val="NoteHeading"/>
    <w:uiPriority w:val="98"/>
    <w:semiHidden/>
    <w:rsid w:val="00525106"/>
    <w:rPr>
      <w:sz w:val="24"/>
      <w:szCs w:val="24"/>
      <w:lang w:val="en-GB"/>
    </w:rPr>
  </w:style>
  <w:style w:type="character" w:styleId="PlaceholderText">
    <w:name w:val="Placeholder Text"/>
    <w:basedOn w:val="DefaultParagraphFont"/>
    <w:uiPriority w:val="98"/>
    <w:semiHidden/>
    <w:rsid w:val="0052510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5106"/>
    <w:rPr>
      <w:rFonts w:ascii="Consolas" w:hAnsi="Consolas" w:cs="Consolas"/>
      <w:sz w:val="21"/>
      <w:szCs w:val="21"/>
    </w:rPr>
  </w:style>
  <w:style w:type="character" w:customStyle="1" w:styleId="PlainTextChar">
    <w:name w:val="Plain Text Char"/>
    <w:basedOn w:val="DefaultParagraphFont"/>
    <w:link w:val="PlainText"/>
    <w:uiPriority w:val="98"/>
    <w:semiHidden/>
    <w:rsid w:val="00525106"/>
    <w:rPr>
      <w:rFonts w:ascii="Consolas" w:hAnsi="Consolas" w:cs="Consolas"/>
      <w:sz w:val="21"/>
      <w:szCs w:val="21"/>
      <w:lang w:val="en-GB"/>
    </w:rPr>
  </w:style>
  <w:style w:type="paragraph" w:styleId="Salutation">
    <w:name w:val="Salutation"/>
    <w:basedOn w:val="Normal"/>
    <w:next w:val="Normal"/>
    <w:link w:val="SalutationChar"/>
    <w:uiPriority w:val="98"/>
    <w:semiHidden/>
    <w:rsid w:val="00525106"/>
  </w:style>
  <w:style w:type="character" w:customStyle="1" w:styleId="SalutationChar">
    <w:name w:val="Salutation Char"/>
    <w:basedOn w:val="DefaultParagraphFont"/>
    <w:link w:val="Salutation"/>
    <w:uiPriority w:val="98"/>
    <w:semiHidden/>
    <w:rsid w:val="00525106"/>
    <w:rPr>
      <w:sz w:val="24"/>
      <w:szCs w:val="24"/>
      <w:lang w:val="en-GB"/>
    </w:rPr>
  </w:style>
  <w:style w:type="paragraph" w:styleId="Signature0">
    <w:name w:val="Signature"/>
    <w:basedOn w:val="Normal"/>
    <w:link w:val="SignatureChar"/>
    <w:uiPriority w:val="98"/>
    <w:semiHidden/>
    <w:rsid w:val="00525106"/>
    <w:pPr>
      <w:ind w:left="4252"/>
    </w:pPr>
  </w:style>
  <w:style w:type="character" w:customStyle="1" w:styleId="SignatureChar">
    <w:name w:val="Signature Char"/>
    <w:basedOn w:val="DefaultParagraphFont"/>
    <w:link w:val="Signature0"/>
    <w:uiPriority w:val="98"/>
    <w:semiHidden/>
    <w:rsid w:val="00525106"/>
    <w:rPr>
      <w:sz w:val="24"/>
      <w:szCs w:val="24"/>
      <w:lang w:val="en-GB"/>
    </w:rPr>
  </w:style>
  <w:style w:type="table" w:styleId="Table3Deffects1">
    <w:name w:val="Table 3D effects 1"/>
    <w:basedOn w:val="TableNormal"/>
    <w:uiPriority w:val="99"/>
    <w:semiHidden/>
    <w:unhideWhenUsed/>
    <w:rsid w:val="0052510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510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510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510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510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510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510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510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510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510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510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510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510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510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510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510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510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510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510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510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510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510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510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510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510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510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510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510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510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510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510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510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510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5106"/>
    <w:pPr>
      <w:ind w:left="240" w:hanging="240"/>
    </w:pPr>
  </w:style>
  <w:style w:type="paragraph" w:styleId="TableofFigures">
    <w:name w:val="table of figures"/>
    <w:basedOn w:val="Normal"/>
    <w:next w:val="Normal"/>
    <w:uiPriority w:val="98"/>
    <w:semiHidden/>
    <w:rsid w:val="00525106"/>
  </w:style>
  <w:style w:type="table" w:styleId="TableProfessional">
    <w:name w:val="Table Professional"/>
    <w:basedOn w:val="TableNormal"/>
    <w:uiPriority w:val="99"/>
    <w:semiHidden/>
    <w:unhideWhenUsed/>
    <w:rsid w:val="0052510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510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510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510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510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510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510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510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510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510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510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510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5106"/>
    <w:pPr>
      <w:spacing w:after="100"/>
      <w:ind w:left="1680"/>
    </w:pPr>
  </w:style>
  <w:style w:type="paragraph" w:styleId="TOC9">
    <w:name w:val="toc 9"/>
    <w:basedOn w:val="Normal"/>
    <w:next w:val="Normal"/>
    <w:autoRedefine/>
    <w:uiPriority w:val="98"/>
    <w:semiHidden/>
    <w:rsid w:val="0052510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2510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510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510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2510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25106"/>
    <w:pPr>
      <w:numPr>
        <w:numId w:val="9"/>
      </w:numPr>
      <w:spacing w:before="60" w:after="60"/>
    </w:pPr>
  </w:style>
  <w:style w:type="paragraph" w:customStyle="1" w:styleId="ECHRBullet2">
    <w:name w:val="ECHR_Bullet_2"/>
    <w:aliases w:val="_Bul_2"/>
    <w:basedOn w:val="ECHRBullet1"/>
    <w:uiPriority w:val="23"/>
    <w:semiHidden/>
    <w:rsid w:val="00525106"/>
    <w:pPr>
      <w:numPr>
        <w:ilvl w:val="1"/>
      </w:numPr>
    </w:pPr>
  </w:style>
  <w:style w:type="paragraph" w:customStyle="1" w:styleId="ECHRBullet3">
    <w:name w:val="ECHR_Bullet_3"/>
    <w:aliases w:val="_Bul_3"/>
    <w:basedOn w:val="ECHRBullet2"/>
    <w:uiPriority w:val="23"/>
    <w:semiHidden/>
    <w:rsid w:val="00525106"/>
    <w:pPr>
      <w:numPr>
        <w:ilvl w:val="2"/>
      </w:numPr>
    </w:pPr>
  </w:style>
  <w:style w:type="paragraph" w:customStyle="1" w:styleId="ECHRBullet4">
    <w:name w:val="ECHR_Bullet_4"/>
    <w:aliases w:val="_Bul_4"/>
    <w:basedOn w:val="ECHRBullet3"/>
    <w:uiPriority w:val="23"/>
    <w:semiHidden/>
    <w:rsid w:val="00525106"/>
    <w:pPr>
      <w:numPr>
        <w:ilvl w:val="3"/>
      </w:numPr>
    </w:pPr>
  </w:style>
  <w:style w:type="paragraph" w:customStyle="1" w:styleId="ECHRConfidential">
    <w:name w:val="ECHR_Confidential"/>
    <w:aliases w:val="_Confidential"/>
    <w:basedOn w:val="Normal"/>
    <w:next w:val="Normal"/>
    <w:uiPriority w:val="42"/>
    <w:semiHidden/>
    <w:qFormat/>
    <w:rsid w:val="00525106"/>
    <w:pPr>
      <w:jc w:val="right"/>
    </w:pPr>
    <w:rPr>
      <w:color w:val="C00000"/>
      <w:sz w:val="20"/>
    </w:rPr>
  </w:style>
  <w:style w:type="paragraph" w:customStyle="1" w:styleId="ECHRDecisionBody">
    <w:name w:val="ECHR_Decision_Body"/>
    <w:aliases w:val="_Decision_Body"/>
    <w:basedOn w:val="NormalJustified"/>
    <w:uiPriority w:val="54"/>
    <w:semiHidden/>
    <w:rsid w:val="0052510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510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510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2510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25106"/>
    <w:pPr>
      <w:jc w:val="right"/>
    </w:pPr>
    <w:rPr>
      <w:sz w:val="20"/>
    </w:rPr>
  </w:style>
  <w:style w:type="paragraph" w:customStyle="1" w:styleId="ECHRHeaderRefIt">
    <w:name w:val="ECHR_Header_Ref_It"/>
    <w:aliases w:val="_Ref_Ital"/>
    <w:basedOn w:val="Normal"/>
    <w:next w:val="ECHRHeaderDate"/>
    <w:uiPriority w:val="43"/>
    <w:qFormat/>
    <w:rsid w:val="00525106"/>
    <w:pPr>
      <w:jc w:val="right"/>
    </w:pPr>
    <w:rPr>
      <w:i/>
      <w:sz w:val="20"/>
    </w:rPr>
  </w:style>
  <w:style w:type="paragraph" w:customStyle="1" w:styleId="ECHRHeading9">
    <w:name w:val="ECHR_Heading_9"/>
    <w:aliases w:val="_Head_9"/>
    <w:basedOn w:val="Heading9"/>
    <w:uiPriority w:val="17"/>
    <w:semiHidden/>
    <w:rsid w:val="00525106"/>
    <w:pPr>
      <w:keepNext/>
      <w:keepLines/>
      <w:numPr>
        <w:ilvl w:val="8"/>
        <w:numId w:val="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2510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25106"/>
    <w:pPr>
      <w:numPr>
        <w:numId w:val="11"/>
      </w:numPr>
      <w:spacing w:before="60" w:after="60"/>
    </w:pPr>
  </w:style>
  <w:style w:type="paragraph" w:customStyle="1" w:styleId="ECHRNumberedList2">
    <w:name w:val="ECHR_Numbered_List_2"/>
    <w:aliases w:val="_Num_2"/>
    <w:basedOn w:val="ECHRNumberedList1"/>
    <w:uiPriority w:val="23"/>
    <w:semiHidden/>
    <w:rsid w:val="00525106"/>
    <w:pPr>
      <w:numPr>
        <w:ilvl w:val="1"/>
      </w:numPr>
    </w:pPr>
  </w:style>
  <w:style w:type="paragraph" w:customStyle="1" w:styleId="ECHRNumberedList3">
    <w:name w:val="ECHR_Numbered_List_3"/>
    <w:aliases w:val="_Num_3"/>
    <w:basedOn w:val="ECHRNumberedList2"/>
    <w:uiPriority w:val="23"/>
    <w:semiHidden/>
    <w:rsid w:val="00525106"/>
    <w:pPr>
      <w:numPr>
        <w:ilvl w:val="2"/>
      </w:numPr>
    </w:pPr>
  </w:style>
  <w:style w:type="paragraph" w:customStyle="1" w:styleId="ECHRParaHanging">
    <w:name w:val="ECHR_Para_Hanging"/>
    <w:aliases w:val="_Hanging"/>
    <w:basedOn w:val="Normal"/>
    <w:uiPriority w:val="8"/>
    <w:semiHidden/>
    <w:qFormat/>
    <w:rsid w:val="00525106"/>
    <w:pPr>
      <w:ind w:left="567" w:hanging="567"/>
      <w:jc w:val="both"/>
    </w:pPr>
  </w:style>
  <w:style w:type="paragraph" w:customStyle="1" w:styleId="ECHRParaIndent">
    <w:name w:val="ECHR_Para_Indent"/>
    <w:aliases w:val="_Indent"/>
    <w:basedOn w:val="Normal"/>
    <w:uiPriority w:val="7"/>
    <w:semiHidden/>
    <w:qFormat/>
    <w:rsid w:val="00525106"/>
    <w:pPr>
      <w:spacing w:before="120" w:after="120"/>
      <w:ind w:left="284"/>
      <w:jc w:val="both"/>
    </w:pPr>
  </w:style>
  <w:style w:type="character" w:customStyle="1" w:styleId="ECHRRed">
    <w:name w:val="ECHR_Red"/>
    <w:aliases w:val="_Red"/>
    <w:basedOn w:val="DefaultParagraphFont"/>
    <w:uiPriority w:val="15"/>
    <w:semiHidden/>
    <w:qFormat/>
    <w:rsid w:val="00525106"/>
    <w:rPr>
      <w:color w:val="C00000" w:themeColor="accent2"/>
    </w:rPr>
  </w:style>
  <w:style w:type="paragraph" w:customStyle="1" w:styleId="DecList">
    <w:name w:val="Dec_List"/>
    <w:aliases w:val="_List"/>
    <w:basedOn w:val="JuList"/>
    <w:uiPriority w:val="22"/>
    <w:rsid w:val="00525106"/>
    <w:pPr>
      <w:numPr>
        <w:numId w:val="0"/>
      </w:numPr>
      <w:ind w:left="284"/>
    </w:pPr>
  </w:style>
  <w:style w:type="table" w:customStyle="1" w:styleId="ECHRTable2">
    <w:name w:val="ECHR_Table_2"/>
    <w:basedOn w:val="TableNormal"/>
    <w:uiPriority w:val="99"/>
    <w:rsid w:val="0052510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510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2510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2510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2510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2510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2510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2510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25106"/>
    <w:pPr>
      <w:outlineLvl w:val="0"/>
    </w:pPr>
  </w:style>
  <w:style w:type="paragraph" w:customStyle="1" w:styleId="ECHRTitleTOC1">
    <w:name w:val="ECHR_Title_TOC_1"/>
    <w:aliases w:val="_Title_L_TOC"/>
    <w:basedOn w:val="ECHRTitle1"/>
    <w:next w:val="Normal"/>
    <w:uiPriority w:val="27"/>
    <w:semiHidden/>
    <w:qFormat/>
    <w:rsid w:val="00525106"/>
    <w:pPr>
      <w:outlineLvl w:val="0"/>
    </w:pPr>
  </w:style>
  <w:style w:type="paragraph" w:customStyle="1" w:styleId="ECHRPlaceholder">
    <w:name w:val="ECHR_Placeholder"/>
    <w:aliases w:val="_Placeholder"/>
    <w:basedOn w:val="JuSigned"/>
    <w:uiPriority w:val="31"/>
    <w:rsid w:val="00525106"/>
    <w:rPr>
      <w:color w:val="FFFFFF"/>
    </w:rPr>
  </w:style>
  <w:style w:type="paragraph" w:customStyle="1" w:styleId="ECHRSpacer">
    <w:name w:val="ECHR_Spacer"/>
    <w:aliases w:val="_Spacer"/>
    <w:basedOn w:val="Normal"/>
    <w:uiPriority w:val="45"/>
    <w:semiHidden/>
    <w:rsid w:val="00525106"/>
    <w:rPr>
      <w:sz w:val="4"/>
    </w:rPr>
  </w:style>
  <w:style w:type="table" w:customStyle="1" w:styleId="ECHRTableGrey">
    <w:name w:val="ECHR_Table_Grey"/>
    <w:basedOn w:val="TableNormal"/>
    <w:uiPriority w:val="99"/>
    <w:rsid w:val="0052510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5251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ECHR_Para Char,_Para Char"/>
    <w:link w:val="JuPara"/>
    <w:uiPriority w:val="12"/>
    <w:rsid w:val="00074AA4"/>
    <w:rPr>
      <w:sz w:val="24"/>
      <w:szCs w:val="24"/>
      <w:lang w:val="en-GB"/>
    </w:rPr>
  </w:style>
  <w:style w:type="character" w:customStyle="1" w:styleId="JuNames1">
    <w:name w:val="Ju_Names"/>
    <w:rsid w:val="00074AA4"/>
    <w:rPr>
      <w:smallCaps/>
    </w:rPr>
  </w:style>
  <w:style w:type="paragraph" w:customStyle="1" w:styleId="JuList4">
    <w:name w:val="Ju_List_4"/>
    <w:aliases w:val="N_Bul_4"/>
    <w:basedOn w:val="JuListi"/>
    <w:uiPriority w:val="19"/>
    <w:rsid w:val="00074AA4"/>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QuotSub">
    <w:name w:val="Ju_Quot_Sub"/>
    <w:basedOn w:val="JuQuot"/>
    <w:uiPriority w:val="15"/>
    <w:qFormat/>
    <w:rsid w:val="00074AA4"/>
    <w:pPr>
      <w:ind w:left="567"/>
    </w:pPr>
    <w:rPr>
      <w:rFonts w:eastAsiaTheme="minorEastAsia"/>
      <w:szCs w:val="22"/>
      <w:lang w:val="en-US"/>
    </w:rPr>
  </w:style>
  <w:style w:type="character" w:customStyle="1" w:styleId="SingleTxtGChar">
    <w:name w:val="_ Single Txt_G Char"/>
    <w:link w:val="SingleTxtG"/>
    <w:locked/>
    <w:rsid w:val="00074AA4"/>
    <w:rPr>
      <w:lang w:val="en-GB"/>
    </w:rPr>
  </w:style>
  <w:style w:type="paragraph" w:customStyle="1" w:styleId="SingleTxtG">
    <w:name w:val="_ Single Txt_G"/>
    <w:basedOn w:val="Normal"/>
    <w:link w:val="SingleTxtGChar"/>
    <w:qFormat/>
    <w:rsid w:val="00074AA4"/>
    <w:pPr>
      <w:suppressAutoHyphens/>
      <w:spacing w:after="120" w:line="240" w:lineRule="atLeast"/>
      <w:ind w:left="1134" w:right="1134"/>
      <w:jc w:val="both"/>
    </w:pPr>
    <w:rPr>
      <w:sz w:val="22"/>
      <w:szCs w:val="22"/>
    </w:rPr>
  </w:style>
  <w:style w:type="paragraph" w:styleId="Revision">
    <w:name w:val="Revision"/>
    <w:hidden/>
    <w:uiPriority w:val="99"/>
    <w:semiHidden/>
    <w:rsid w:val="00074AA4"/>
    <w:rPr>
      <w:sz w:val="24"/>
      <w:szCs w:val="24"/>
      <w:lang w:val="en-GB"/>
    </w:rPr>
  </w:style>
  <w:style w:type="character" w:customStyle="1" w:styleId="UnresolvedMention">
    <w:name w:val="Unresolved Mention"/>
    <w:basedOn w:val="DefaultParagraphFont"/>
    <w:uiPriority w:val="99"/>
    <w:semiHidden/>
    <w:unhideWhenUsed/>
    <w:rsid w:val="00074AA4"/>
    <w:rPr>
      <w:color w:val="605E5C"/>
      <w:shd w:val="clear" w:color="auto" w:fill="E1DFDD"/>
    </w:rPr>
  </w:style>
  <w:style w:type="table" w:styleId="GridTable1LightAccent1">
    <w:name w:val="Grid Table 1 Light Accent 1"/>
    <w:basedOn w:val="TableNormal"/>
    <w:uiPriority w:val="46"/>
    <w:semiHidden/>
    <w:rsid w:val="0052510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2510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2510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2510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2510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2510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2510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2510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2510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2510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2510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2510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2510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251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251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251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251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251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251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251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251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251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251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251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251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251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251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251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251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251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251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251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251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251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251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251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251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251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251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251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251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251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525106"/>
    <w:rPr>
      <w:color w:val="2B579A"/>
      <w:shd w:val="clear" w:color="auto" w:fill="E1DFDD"/>
    </w:rPr>
  </w:style>
  <w:style w:type="table" w:styleId="ListTable1Light">
    <w:name w:val="List Table 1 Light"/>
    <w:basedOn w:val="TableNormal"/>
    <w:uiPriority w:val="46"/>
    <w:semiHidden/>
    <w:rsid w:val="0052510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2510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2510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2510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2510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2510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2510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2510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2510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2510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2510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2510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2510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2510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2510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2510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2510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2510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2510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2510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2510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251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251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251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251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251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251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251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2510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2510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2510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2510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2510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2510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2510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2510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2510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2510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2510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2510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2510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2510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2510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2510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2510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2510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2510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2510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2510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525106"/>
    <w:rPr>
      <w:color w:val="2B579A"/>
      <w:shd w:val="clear" w:color="auto" w:fill="E1DFDD"/>
    </w:rPr>
  </w:style>
  <w:style w:type="table" w:styleId="PlainTable1">
    <w:name w:val="Plain Table 1"/>
    <w:basedOn w:val="TableNormal"/>
    <w:uiPriority w:val="41"/>
    <w:semiHidden/>
    <w:rsid w:val="0052510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251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251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251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251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525106"/>
    <w:rPr>
      <w:u w:val="dotted"/>
    </w:rPr>
  </w:style>
  <w:style w:type="character" w:styleId="SmartLink">
    <w:name w:val="Smart Link"/>
    <w:basedOn w:val="DefaultParagraphFont"/>
    <w:uiPriority w:val="99"/>
    <w:semiHidden/>
    <w:unhideWhenUsed/>
    <w:rsid w:val="00525106"/>
    <w:rPr>
      <w:color w:val="0000FF"/>
      <w:u w:val="single"/>
      <w:shd w:val="clear" w:color="auto" w:fill="F3F2F1"/>
    </w:rPr>
  </w:style>
  <w:style w:type="table" w:styleId="GridTableLight">
    <w:name w:val="Grid Table Light"/>
    <w:basedOn w:val="TableNormal"/>
    <w:uiPriority w:val="40"/>
    <w:semiHidden/>
    <w:rsid w:val="0052510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8D22E5"/>
    <w:pPr>
      <w:ind w:firstLine="284"/>
      <w:jc w:val="both"/>
    </w:pPr>
    <w:rPr>
      <w:rFonts w:ascii="Times New Roman" w:eastAsia="Times New Roman" w:hAnsi="Times New Roman" w:cs="Times New Roman"/>
      <w:lang w:eastAsia="en-GB"/>
    </w:rPr>
  </w:style>
  <w:style w:type="paragraph" w:customStyle="1" w:styleId="jucase0">
    <w:name w:val="jucase"/>
    <w:basedOn w:val="Normal"/>
    <w:rsid w:val="008D22E5"/>
    <w:pPr>
      <w:ind w:firstLine="284"/>
      <w:jc w:val="both"/>
    </w:pPr>
    <w:rPr>
      <w:rFonts w:ascii="Times New Roman" w:eastAsia="Times New Roman" w:hAnsi="Times New Roman" w:cs="Times New Roman"/>
      <w:b/>
      <w:bCs/>
      <w:lang w:eastAsia="en-GB"/>
    </w:rPr>
  </w:style>
  <w:style w:type="character" w:customStyle="1" w:styleId="s68f5eaef">
    <w:name w:val="s68f5eaef"/>
    <w:basedOn w:val="DefaultParagraphFont"/>
    <w:rsid w:val="002C4EF9"/>
  </w:style>
  <w:style w:type="character" w:customStyle="1" w:styleId="sbc73225d">
    <w:name w:val="sbc73225d"/>
    <w:basedOn w:val="DefaultParagraphFont"/>
    <w:rsid w:val="002C4EF9"/>
  </w:style>
  <w:style w:type="character" w:customStyle="1" w:styleId="sb8d990e2">
    <w:name w:val="sb8d990e2"/>
    <w:basedOn w:val="DefaultParagraphFont"/>
    <w:rsid w:val="002C4EF9"/>
  </w:style>
  <w:style w:type="paragraph" w:customStyle="1" w:styleId="hidden-xs">
    <w:name w:val="hidden-xs"/>
    <w:basedOn w:val="Normal"/>
    <w:rsid w:val="002C4EF9"/>
    <w:pPr>
      <w:spacing w:before="100" w:beforeAutospacing="1" w:after="100" w:afterAutospacing="1"/>
    </w:pPr>
    <w:rPr>
      <w:rFonts w:ascii="Times New Roman" w:eastAsia="Times New Roman" w:hAnsi="Times New Roman" w:cs="Times New Roman"/>
      <w:lang w:val="fr-FR" w:eastAsia="fr-FR"/>
    </w:rPr>
  </w:style>
  <w:style w:type="character" w:customStyle="1" w:styleId="sa36b60a1">
    <w:name w:val="sa36b60a1"/>
    <w:basedOn w:val="DefaultParagraphFont"/>
    <w:rsid w:val="002C4EF9"/>
  </w:style>
  <w:style w:type="character" w:customStyle="1" w:styleId="sbb9ee52a">
    <w:name w:val="sbb9ee52a"/>
    <w:basedOn w:val="DefaultParagraphFont"/>
    <w:rsid w:val="002C4EF9"/>
  </w:style>
  <w:style w:type="character" w:customStyle="1" w:styleId="wordhighlighted">
    <w:name w:val="wordhighlighted"/>
    <w:basedOn w:val="DefaultParagraphFont"/>
    <w:rsid w:val="002C4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hudoc.echr.coe.int/eng" TargetMode="Externa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15914</Words>
  <Characters>87533</Characters>
  <Application>Microsoft Office Word</Application>
  <DocSecurity>0</DocSecurity>
  <Lines>729</Lines>
  <Paragraphs>206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2023-12-06T15:08:00Z</dcterms:created>
  <dcterms:modified xsi:type="dcterms:W3CDTF">2024-05-02T15:24:00Z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1149736</vt:lpwstr>
  </property>
  <property fmtid="{D5CDD505-2E9C-101B-9397-08002B2CF9AE}" pid="3" name="cstLanguage">
    <vt:i4>2057</vt:i4>
  </property>
  <property fmtid="{D5CDD505-2E9C-101B-9397-08002B2CF9AE}" pid="4" name="RegisteredNo">
    <vt:lpwstr>39378/15</vt:lpwstr>
  </property>
</Properties>
</file>