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A529B" w:rsidR="00347AF9" w:rsidP="002A529B" w:rsidRDefault="00347AF9" w14:paraId="3C97444A" w14:textId="77777777">
      <w:pPr>
        <w:jc w:val="center"/>
        <w:rPr>
          <w:rFonts w:ascii="Times New Roman" w:hAnsi="Times New Roman" w:cs="Times New Roman"/>
        </w:rPr>
      </w:pPr>
    </w:p>
    <w:p w:rsidRPr="002A529B" w:rsidR="0098410D" w:rsidP="002A529B" w:rsidRDefault="0098410D" w14:paraId="25DD596E" w14:textId="77777777">
      <w:pPr>
        <w:jc w:val="center"/>
      </w:pPr>
    </w:p>
    <w:p w:rsidRPr="002A529B" w:rsidR="0098410D" w:rsidP="002A529B" w:rsidRDefault="00347AF9" w14:paraId="37BC95F9" w14:textId="63C0BEE8">
      <w:pPr>
        <w:pStyle w:val="DecHCase"/>
      </w:pPr>
      <w:r w:rsidRPr="002A529B">
        <w:t>FIFTH SECTION</w:t>
      </w:r>
    </w:p>
    <w:p w:rsidRPr="002A529B" w:rsidR="008E6217" w:rsidP="002A529B" w:rsidRDefault="008E6217" w14:paraId="58D23019" w14:textId="6EF9B916">
      <w:pPr>
        <w:pStyle w:val="JuTitle"/>
      </w:pPr>
      <w:bookmarkStart w:name="To" w:id="0"/>
      <w:r w:rsidRPr="002A529B">
        <w:rPr>
          <w:color w:val="000000" w:themeColor="text1"/>
        </w:rPr>
        <w:t xml:space="preserve">CASE OF </w:t>
      </w:r>
      <w:bookmarkEnd w:id="0"/>
      <w:r w:rsidRPr="002A529B" w:rsidR="00347AF9">
        <w:t>SEVASTYANOV v. UKRAINE</w:t>
      </w:r>
    </w:p>
    <w:p w:rsidRPr="002A529B" w:rsidR="00D74888" w:rsidP="002A529B" w:rsidRDefault="008E6217" w14:paraId="128C033B" w14:textId="3BCA6897">
      <w:pPr>
        <w:pStyle w:val="ECHRCoverTitle4"/>
      </w:pPr>
      <w:r w:rsidRPr="002A529B">
        <w:t>(</w:t>
      </w:r>
      <w:r w:rsidRPr="002A529B" w:rsidR="00347AF9">
        <w:t>Applications nos.</w:t>
      </w:r>
      <w:r w:rsidRPr="002A529B">
        <w:t xml:space="preserve"> </w:t>
      </w:r>
      <w:r w:rsidRPr="002A529B" w:rsidR="00347AF9">
        <w:t>37650/13 and 55971/13</w:t>
      </w:r>
      <w:r w:rsidRPr="002A529B">
        <w:t>)</w:t>
      </w:r>
    </w:p>
    <w:p w:rsidRPr="002A529B" w:rsidR="0098410D" w:rsidP="002A529B" w:rsidRDefault="0098410D" w14:paraId="2064A13D" w14:textId="77777777">
      <w:pPr>
        <w:pStyle w:val="DecHCase"/>
      </w:pPr>
    </w:p>
    <w:p w:rsidRPr="002A529B" w:rsidR="00AC4CD4" w:rsidP="002A529B" w:rsidRDefault="00AC4CD4" w14:paraId="09BDF8CE" w14:textId="56AA97F3">
      <w:pPr>
        <w:pStyle w:val="DecHCase"/>
      </w:pPr>
    </w:p>
    <w:p w:rsidRPr="002A529B" w:rsidR="002A529B" w:rsidP="002A529B" w:rsidRDefault="002A529B" w14:paraId="69941E71" w14:textId="77777777">
      <w:pPr>
        <w:pStyle w:val="JuPara"/>
      </w:pPr>
    </w:p>
    <w:p w:rsidRPr="002A529B" w:rsidR="0098410D" w:rsidP="002A529B" w:rsidRDefault="0098410D" w14:paraId="57FE9B53" w14:textId="77777777">
      <w:pPr>
        <w:pStyle w:val="DecHCase"/>
      </w:pPr>
    </w:p>
    <w:p w:rsidRPr="002A529B" w:rsidR="008E3C73" w:rsidP="002A529B" w:rsidRDefault="0098410D" w14:paraId="34BBA2FB" w14:textId="77777777">
      <w:pPr>
        <w:pStyle w:val="DecHCase"/>
      </w:pPr>
      <w:r w:rsidRPr="002A529B">
        <w:t>JUDGMENT</w:t>
      </w:r>
      <w:r w:rsidRPr="002A529B" w:rsidR="00AC4CD4">
        <w:br/>
      </w:r>
    </w:p>
    <w:p w:rsidRPr="002A529B" w:rsidR="008E3C73" w:rsidP="002A529B" w:rsidRDefault="008E3C73" w14:paraId="1D684EED" w14:textId="52FF340A">
      <w:pPr>
        <w:pStyle w:val="DecHCase"/>
        <w:rPr>
          <w:sz w:val="22"/>
          <w:szCs w:val="22"/>
        </w:rPr>
      </w:pPr>
      <w:r w:rsidRPr="002A529B">
        <w:rPr>
          <w:i/>
          <w:iCs/>
          <w:sz w:val="22"/>
          <w:szCs w:val="22"/>
        </w:rPr>
        <w:t>This version was rectified on 21 December 2021 under Rule 81 of</w:t>
      </w:r>
      <w:r w:rsidRPr="002A529B">
        <w:rPr>
          <w:i/>
          <w:iCs/>
          <w:sz w:val="22"/>
          <w:szCs w:val="22"/>
        </w:rPr>
        <w:br/>
        <w:t>the Rules of Court.</w:t>
      </w:r>
    </w:p>
    <w:p w:rsidRPr="002A529B" w:rsidR="008E3C73" w:rsidP="002A529B" w:rsidRDefault="008E3C73" w14:paraId="5349FCEE" w14:textId="77777777">
      <w:pPr>
        <w:pStyle w:val="JuPara"/>
      </w:pPr>
    </w:p>
    <w:p w:rsidRPr="002A529B" w:rsidR="0098410D" w:rsidP="002A529B" w:rsidRDefault="0098410D" w14:paraId="6B329B8D" w14:textId="45A8A879">
      <w:pPr>
        <w:pStyle w:val="DecHCase"/>
      </w:pPr>
      <w:r w:rsidRPr="002A529B">
        <w:t>STRASBOURG</w:t>
      </w:r>
    </w:p>
    <w:p w:rsidRPr="002A529B" w:rsidR="0098410D" w:rsidP="002A529B" w:rsidRDefault="00347AF9" w14:paraId="0F86669D" w14:textId="5F64A955">
      <w:pPr>
        <w:pStyle w:val="DecHCase"/>
      </w:pPr>
      <w:r w:rsidRPr="002A529B">
        <w:rPr>
          <w:rFonts w:ascii="Times New Roman" w:hAnsi="Times New Roman" w:cs="Times New Roman"/>
        </w:rPr>
        <w:t>25 November 2021</w:t>
      </w:r>
    </w:p>
    <w:p w:rsidRPr="002A529B" w:rsidR="00AC4CD4" w:rsidP="002A529B" w:rsidRDefault="00AC4CD4" w14:paraId="321B4836" w14:textId="691FD6A0">
      <w:pPr>
        <w:pStyle w:val="JuPara"/>
      </w:pPr>
    </w:p>
    <w:p w:rsidRPr="002A529B" w:rsidR="002A529B" w:rsidP="002A529B" w:rsidRDefault="002A529B" w14:paraId="0579A0CE" w14:textId="261AA8CC">
      <w:pPr>
        <w:pStyle w:val="JuPara"/>
      </w:pPr>
    </w:p>
    <w:p w:rsidRPr="002A529B" w:rsidR="002A529B" w:rsidP="002A529B" w:rsidRDefault="002A529B" w14:paraId="67CA6928" w14:textId="7260B4BB">
      <w:pPr>
        <w:pStyle w:val="JuPara"/>
      </w:pPr>
    </w:p>
    <w:p w:rsidRPr="002A529B" w:rsidR="002A529B" w:rsidP="002A529B" w:rsidRDefault="002A529B" w14:paraId="0302686B" w14:textId="77777777">
      <w:pPr>
        <w:pStyle w:val="JuPara"/>
      </w:pPr>
    </w:p>
    <w:p w:rsidRPr="002A529B" w:rsidR="002422B6" w:rsidP="002A529B" w:rsidRDefault="0098410D" w14:paraId="5BAE1BC7" w14:textId="22CB2F48">
      <w:pPr>
        <w:rPr>
          <w:i/>
          <w:sz w:val="22"/>
        </w:rPr>
      </w:pPr>
      <w:r w:rsidRPr="002A529B">
        <w:rPr>
          <w:i/>
          <w:sz w:val="22"/>
        </w:rPr>
        <w:t xml:space="preserve">This judgment </w:t>
      </w:r>
      <w:r w:rsidRPr="002A529B" w:rsidR="00347AF9">
        <w:rPr>
          <w:i/>
          <w:sz w:val="22"/>
        </w:rPr>
        <w:t>is final but it</w:t>
      </w:r>
      <w:r w:rsidRPr="002A529B">
        <w:rPr>
          <w:i/>
          <w:sz w:val="22"/>
        </w:rPr>
        <w:t xml:space="preserve"> may be subject to editorial revision.</w:t>
      </w:r>
    </w:p>
    <w:p w:rsidRPr="002A529B" w:rsidR="0098410D" w:rsidP="002A529B" w:rsidRDefault="0098410D" w14:paraId="05156D6A" w14:textId="77777777"/>
    <w:p w:rsidRPr="002A529B" w:rsidR="002A529B" w:rsidP="002A529B" w:rsidRDefault="002A529B" w14:paraId="416C8B2B" w14:textId="5B311592">
      <w:pPr>
        <w:sectPr w:rsidRPr="002A529B" w:rsidR="002A529B"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A529B" w:rsidR="0098410D" w:rsidP="002A529B" w:rsidRDefault="0098410D" w14:paraId="7C23BD58" w14:textId="57D49637">
      <w:pPr>
        <w:pStyle w:val="JuCase"/>
      </w:pPr>
      <w:r w:rsidRPr="002A529B">
        <w:t xml:space="preserve">In the case of </w:t>
      </w:r>
      <w:r w:rsidRPr="002A529B" w:rsidR="00347AF9">
        <w:t>Sevastyanov v. Ukraine</w:t>
      </w:r>
      <w:r w:rsidRPr="002A529B">
        <w:t>,</w:t>
      </w:r>
    </w:p>
    <w:p w:rsidRPr="002A529B" w:rsidR="009F4C8F" w:rsidP="002A529B" w:rsidRDefault="009F4C8F" w14:paraId="0223D92D" w14:textId="5EFF581A">
      <w:pPr>
        <w:pStyle w:val="JuPara"/>
      </w:pPr>
      <w:r w:rsidRPr="002A529B">
        <w:t>The European Court of Human Rights (</w:t>
      </w:r>
      <w:r w:rsidRPr="002A529B" w:rsidR="00347AF9">
        <w:t>Fifth Section</w:t>
      </w:r>
      <w:r w:rsidRPr="002A529B">
        <w:t>), sitting as a</w:t>
      </w:r>
      <w:r w:rsidRPr="002A529B" w:rsidR="00DC33DE">
        <w:t> </w:t>
      </w:r>
      <w:r w:rsidRPr="002A529B" w:rsidR="00347AF9">
        <w:t>Committee</w:t>
      </w:r>
      <w:r w:rsidRPr="002A529B">
        <w:t xml:space="preserve"> composed of:</w:t>
      </w:r>
    </w:p>
    <w:p w:rsidRPr="002A529B" w:rsidR="009F4C8F" w:rsidP="002A529B" w:rsidRDefault="00DC33DE" w14:paraId="344F3EBB" w14:textId="3A60D40F">
      <w:pPr>
        <w:pStyle w:val="JuJudges"/>
      </w:pPr>
      <w:r w:rsidRPr="002A529B">
        <w:tab/>
        <w:t>Stéphanie Mourou-Vikström,</w:t>
      </w:r>
      <w:r w:rsidRPr="002A529B">
        <w:rPr>
          <w:i/>
        </w:rPr>
        <w:t xml:space="preserve"> President,</w:t>
      </w:r>
      <w:r w:rsidRPr="002A529B">
        <w:rPr>
          <w:i/>
        </w:rPr>
        <w:br/>
      </w:r>
      <w:r w:rsidRPr="002A529B">
        <w:tab/>
        <w:t>Ganna Yudkivska,</w:t>
      </w:r>
      <w:r w:rsidRPr="002A529B">
        <w:rPr>
          <w:i/>
        </w:rPr>
        <w:br/>
      </w:r>
      <w:r w:rsidRPr="002A529B">
        <w:tab/>
        <w:t>Lado Chanturia,</w:t>
      </w:r>
      <w:r w:rsidRPr="002A529B">
        <w:rPr>
          <w:i/>
        </w:rPr>
        <w:t xml:space="preserve"> judges,</w:t>
      </w:r>
      <w:r w:rsidRPr="002A529B" w:rsidR="009F4C8F">
        <w:br/>
        <w:t xml:space="preserve">and </w:t>
      </w:r>
      <w:r w:rsidRPr="002A529B" w:rsidR="00347AF9">
        <w:t>Martina Keller</w:t>
      </w:r>
      <w:r w:rsidRPr="002A529B" w:rsidR="009F4C8F">
        <w:t xml:space="preserve">, </w:t>
      </w:r>
      <w:r w:rsidRPr="002A529B" w:rsidR="00347AF9">
        <w:rPr>
          <w:i/>
        </w:rPr>
        <w:t xml:space="preserve">Deputy Section </w:t>
      </w:r>
      <w:r w:rsidRPr="002A529B" w:rsidR="00347AF9">
        <w:rPr>
          <w:i/>
          <w:iCs/>
        </w:rPr>
        <w:t>Registrar</w:t>
      </w:r>
      <w:r w:rsidRPr="002A529B" w:rsidR="009F4C8F">
        <w:rPr>
          <w:i/>
        </w:rPr>
        <w:t>,</w:t>
      </w:r>
    </w:p>
    <w:p w:rsidRPr="002A529B" w:rsidR="00347AF9" w:rsidP="002A529B" w:rsidRDefault="00347AF9" w14:paraId="5F266C4B" w14:textId="77777777">
      <w:pPr>
        <w:pStyle w:val="JuPara"/>
      </w:pPr>
      <w:r w:rsidRPr="002A529B">
        <w:t>Having regard to:</w:t>
      </w:r>
    </w:p>
    <w:p w:rsidRPr="002A529B" w:rsidR="00347AF9" w:rsidP="002A529B" w:rsidRDefault="00347AF9" w14:paraId="60155A5A" w14:textId="04BE51A7">
      <w:pPr>
        <w:pStyle w:val="JuPara"/>
      </w:pPr>
      <w:r w:rsidRPr="002A529B">
        <w:t>the applications (nos. 37650/13 and 55971/13) against Ukraine lodged with the Court under Article 34 of the Convention for the Protection of Human Rights and Fundamental Freedoms (“the Convention”) by a</w:t>
      </w:r>
      <w:r w:rsidRPr="002A529B" w:rsidR="00DC33DE">
        <w:t> </w:t>
      </w:r>
      <w:r w:rsidRPr="002A529B">
        <w:t>Ukrainian national, Mr Yuriy Mykolayovych Sevastyanov (“the</w:t>
      </w:r>
      <w:r w:rsidRPr="002A529B" w:rsidR="00DC33DE">
        <w:t> </w:t>
      </w:r>
      <w:r w:rsidRPr="002A529B">
        <w:t>applicant”), on 27 May 2013 and 12 August 2013 respectively;</w:t>
      </w:r>
    </w:p>
    <w:p w:rsidRPr="002A529B" w:rsidR="00347AF9" w:rsidP="002A529B" w:rsidRDefault="00347AF9" w14:paraId="2E38181F" w14:textId="74BE4D67">
      <w:pPr>
        <w:pStyle w:val="JuPara"/>
      </w:pPr>
      <w:r w:rsidRPr="002A529B">
        <w:t>the decision to give notice to the Ukrainian Government (“the</w:t>
      </w:r>
      <w:r w:rsidRPr="002A529B" w:rsidR="00DC33DE">
        <w:t> </w:t>
      </w:r>
      <w:r w:rsidRPr="002A529B">
        <w:t>Government”) of the complaints under Article 3 (police ill-treatment and effectiveness of investigation), Article 5 § 1 (unlawful arrest and detention), Article 5 § 3 (excessive length of pre-trial detention) and Article</w:t>
      </w:r>
      <w:r w:rsidRPr="002A529B" w:rsidR="00DC33DE">
        <w:t> </w:t>
      </w:r>
      <w:r w:rsidRPr="002A529B">
        <w:t>6 § 1 of the Convention (trial within reasonable time) and to declare inadmissible the remainder of the applications;</w:t>
      </w:r>
    </w:p>
    <w:p w:rsidRPr="002A529B" w:rsidR="00347AF9" w:rsidP="002A529B" w:rsidRDefault="00347AF9" w14:paraId="3902268B" w14:textId="532ED221">
      <w:pPr>
        <w:pStyle w:val="JuPara"/>
      </w:pPr>
      <w:r w:rsidRPr="002A529B">
        <w:t>the parties</w:t>
      </w:r>
      <w:r w:rsidRPr="002A529B" w:rsidR="002A529B">
        <w:t>’</w:t>
      </w:r>
      <w:r w:rsidRPr="002A529B">
        <w:t xml:space="preserve"> observations;</w:t>
      </w:r>
    </w:p>
    <w:p w:rsidRPr="002A529B" w:rsidR="009F4C8F" w:rsidP="002A529B" w:rsidRDefault="009F4C8F" w14:paraId="228D6EB3" w14:textId="03C201DB">
      <w:pPr>
        <w:pStyle w:val="JuPara"/>
      </w:pPr>
      <w:r w:rsidRPr="002A529B">
        <w:t xml:space="preserve">Having deliberated in private on </w:t>
      </w:r>
      <w:r w:rsidRPr="002A529B" w:rsidR="00347AF9">
        <w:t>4 November 2021</w:t>
      </w:r>
      <w:r w:rsidRPr="002A529B">
        <w:t>,</w:t>
      </w:r>
    </w:p>
    <w:p w:rsidRPr="002A529B" w:rsidR="009F4C8F" w:rsidP="002A529B" w:rsidRDefault="009F4C8F" w14:paraId="26DC9874" w14:textId="77777777">
      <w:pPr>
        <w:pStyle w:val="JuPara"/>
      </w:pPr>
      <w:r w:rsidRPr="002A529B">
        <w:t>Delivers the following judgment, which was adopted on that date:</w:t>
      </w:r>
    </w:p>
    <w:p w:rsidRPr="002A529B" w:rsidR="00347AF9" w:rsidP="002A529B" w:rsidRDefault="00347AF9" w14:paraId="77D1624B" w14:textId="77777777">
      <w:pPr>
        <w:pStyle w:val="JuHHead"/>
        <w:numPr>
          <w:ilvl w:val="0"/>
          <w:numId w:val="0"/>
        </w:numPr>
      </w:pPr>
      <w:r w:rsidRPr="002A529B">
        <w:t>INTRODUCTION</w:t>
      </w:r>
    </w:p>
    <w:p w:rsidRPr="002A529B" w:rsidR="00347AF9" w:rsidP="002A529B" w:rsidRDefault="00347AF9" w14:paraId="36B4D461" w14:textId="229DE2AF">
      <w:pPr>
        <w:pStyle w:val="JuPara"/>
      </w:pPr>
      <w:r w:rsidRPr="002A529B">
        <w:fldChar w:fldCharType="begin"/>
      </w:r>
      <w:r w:rsidRPr="002A529B">
        <w:instrText xml:space="preserve"> SEQ level0 \*arabic </w:instrText>
      </w:r>
      <w:r w:rsidRPr="002A529B">
        <w:fldChar w:fldCharType="separate"/>
      </w:r>
      <w:r w:rsidRPr="002A529B" w:rsidR="002A529B">
        <w:rPr>
          <w:noProof/>
        </w:rPr>
        <w:t>1</w:t>
      </w:r>
      <w:r w:rsidRPr="002A529B">
        <w:fldChar w:fldCharType="end"/>
      </w:r>
      <w:r w:rsidRPr="002A529B">
        <w:t>.  The case concerns the applicant</w:t>
      </w:r>
      <w:r w:rsidRPr="002A529B" w:rsidR="002A529B">
        <w:t>’</w:t>
      </w:r>
      <w:r w:rsidRPr="002A529B">
        <w:t>s allegations of ill-treatment while in police custody (Article 3), his unlawful and excessive pre-trial detention (Article 5 §§ 1 and 3) as well as the excessive length of criminal proceedings (Article 6 § 1).</w:t>
      </w:r>
    </w:p>
    <w:p w:rsidRPr="002A529B" w:rsidR="00347AF9" w:rsidP="002A529B" w:rsidRDefault="00347AF9" w14:paraId="52444DE7" w14:textId="77777777">
      <w:pPr>
        <w:pStyle w:val="JuHHead"/>
      </w:pPr>
      <w:r w:rsidRPr="002A529B">
        <w:t>THE FACTS</w:t>
      </w:r>
    </w:p>
    <w:p w:rsidRPr="002A529B" w:rsidR="00347AF9" w:rsidP="002A529B" w:rsidRDefault="00347AF9" w14:paraId="216D6765" w14:textId="2191A35E">
      <w:pPr>
        <w:pStyle w:val="JuPara"/>
      </w:pPr>
      <w:r w:rsidRPr="002A529B">
        <w:fldChar w:fldCharType="begin"/>
      </w:r>
      <w:r w:rsidRPr="002A529B">
        <w:instrText xml:space="preserve"> SEQ level0 \*arabic </w:instrText>
      </w:r>
      <w:r w:rsidRPr="002A529B">
        <w:fldChar w:fldCharType="separate"/>
      </w:r>
      <w:r w:rsidRPr="002A529B" w:rsidR="002A529B">
        <w:rPr>
          <w:noProof/>
        </w:rPr>
        <w:t>2</w:t>
      </w:r>
      <w:r w:rsidRPr="002A529B">
        <w:fldChar w:fldCharType="end"/>
      </w:r>
      <w:r w:rsidRPr="002A529B">
        <w:t>.  The applicant was born in 1975 and lives in Vyshneve, Kyiv Region.</w:t>
      </w:r>
    </w:p>
    <w:p w:rsidRPr="002A529B" w:rsidR="00347AF9" w:rsidP="002A529B" w:rsidRDefault="00347AF9" w14:paraId="7D244450" w14:textId="4A188DA8">
      <w:pPr>
        <w:pStyle w:val="JuPara"/>
      </w:pPr>
      <w:r w:rsidRPr="002A529B">
        <w:fldChar w:fldCharType="begin"/>
      </w:r>
      <w:r w:rsidRPr="002A529B">
        <w:instrText xml:space="preserve"> SEQ level0 \*arabic </w:instrText>
      </w:r>
      <w:r w:rsidRPr="002A529B">
        <w:fldChar w:fldCharType="separate"/>
      </w:r>
      <w:r w:rsidRPr="002A529B" w:rsidR="002A529B">
        <w:rPr>
          <w:noProof/>
        </w:rPr>
        <w:t>3</w:t>
      </w:r>
      <w:r w:rsidRPr="002A529B">
        <w:fldChar w:fldCharType="end"/>
      </w:r>
      <w:r w:rsidRPr="002A529B">
        <w:t>.  The Government were represented by their Agent, Mr I. Lishchyna.</w:t>
      </w:r>
    </w:p>
    <w:p w:rsidRPr="002A529B" w:rsidR="00347AF9" w:rsidP="002A529B" w:rsidRDefault="00347AF9" w14:paraId="735D9ADC" w14:textId="48335431">
      <w:pPr>
        <w:pStyle w:val="JuPara"/>
      </w:pPr>
      <w:r w:rsidRPr="002A529B">
        <w:fldChar w:fldCharType="begin"/>
      </w:r>
      <w:r w:rsidRPr="002A529B">
        <w:instrText xml:space="preserve"> SEQ level0 \*arabic </w:instrText>
      </w:r>
      <w:r w:rsidRPr="002A529B">
        <w:fldChar w:fldCharType="separate"/>
      </w:r>
      <w:r w:rsidRPr="002A529B" w:rsidR="002A529B">
        <w:rPr>
          <w:noProof/>
        </w:rPr>
        <w:t>4</w:t>
      </w:r>
      <w:r w:rsidRPr="002A529B">
        <w:fldChar w:fldCharType="end"/>
      </w:r>
      <w:r w:rsidRPr="002A529B">
        <w:t>.  The facts of the case, as submitted by the parties, may be summarised as follows.</w:t>
      </w:r>
    </w:p>
    <w:p w:rsidRPr="002A529B" w:rsidR="00347AF9" w:rsidP="002A529B" w:rsidRDefault="00347AF9" w14:paraId="690AD60B" w14:textId="384D8609">
      <w:pPr>
        <w:pStyle w:val="JuPara"/>
      </w:pPr>
      <w:r w:rsidRPr="002A529B">
        <w:fldChar w:fldCharType="begin"/>
      </w:r>
      <w:r w:rsidRPr="002A529B">
        <w:instrText xml:space="preserve"> SEQ level0 \*arabic </w:instrText>
      </w:r>
      <w:r w:rsidRPr="002A529B">
        <w:fldChar w:fldCharType="separate"/>
      </w:r>
      <w:r w:rsidRPr="002A529B" w:rsidR="002A529B">
        <w:rPr>
          <w:noProof/>
        </w:rPr>
        <w:t>5</w:t>
      </w:r>
      <w:r w:rsidRPr="002A529B">
        <w:fldChar w:fldCharType="end"/>
      </w:r>
      <w:r w:rsidRPr="002A529B">
        <w:t>.  In 2008 and 2009 a series of robberies and burglaries were committed in the Kyiv, Kirovohrad, Volyn and Zhytomyr regions, leading to several criminal investigations being initiated. The applicant was suspected of having participated in the crimes as a member of a criminal group. The</w:t>
      </w:r>
      <w:r w:rsidRPr="002A529B" w:rsidR="00DC33DE">
        <w:t> </w:t>
      </w:r>
      <w:r w:rsidRPr="002A529B">
        <w:t>criminal proceedings were conducted concurrently in those regions of Ukraine.</w:t>
      </w:r>
    </w:p>
    <w:p w:rsidRPr="002A529B" w:rsidR="00347AF9" w:rsidP="002A529B" w:rsidRDefault="00347AF9" w14:paraId="5FC24208" w14:textId="1BE0A782">
      <w:pPr>
        <w:pStyle w:val="JuHIRoman"/>
      </w:pPr>
      <w:r w:rsidRPr="002A529B">
        <w:t>The applicant</w:t>
      </w:r>
      <w:r w:rsidRPr="002A529B" w:rsidR="002A529B">
        <w:t>’</w:t>
      </w:r>
      <w:r w:rsidRPr="002A529B">
        <w:t>s arrest, his alleged ill-treatment and pre-trial detention</w:t>
      </w:r>
    </w:p>
    <w:p w:rsidRPr="002A529B" w:rsidR="00347AF9" w:rsidP="002A529B" w:rsidRDefault="00347AF9" w14:paraId="3A6C052C" w14:textId="15242E89">
      <w:pPr>
        <w:pStyle w:val="JuPara"/>
      </w:pPr>
      <w:r w:rsidRPr="002A529B">
        <w:fldChar w:fldCharType="begin"/>
      </w:r>
      <w:r w:rsidRPr="002A529B">
        <w:instrText xml:space="preserve"> SEQ level0 \*arabic </w:instrText>
      </w:r>
      <w:r w:rsidRPr="002A529B">
        <w:fldChar w:fldCharType="separate"/>
      </w:r>
      <w:r w:rsidRPr="002A529B" w:rsidR="002A529B">
        <w:rPr>
          <w:noProof/>
        </w:rPr>
        <w:t>6</w:t>
      </w:r>
      <w:r w:rsidRPr="002A529B">
        <w:fldChar w:fldCharType="end"/>
      </w:r>
      <w:r w:rsidRPr="002A529B">
        <w:t>.  In the late evening of 2 September 2009 police officers arrested the</w:t>
      </w:r>
      <w:r w:rsidRPr="002A529B" w:rsidR="00DC33DE">
        <w:t> </w:t>
      </w:r>
      <w:r w:rsidRPr="002A529B">
        <w:t>applicant in the town of Vyshneve, Kyiv Region, near his home, and took him to the local police station. The officers allegedly beat him up during the arrest and detention. They then took him by car to the city of Kirovohrad, about 300 kilometres away. The applicant was allegedly held for the whole of the next day at the Kirovohrad Regional Police Department, where police officers allegedly beat him up again and put psychological pressure on him to obtain his confession to a robbery committed in the Kirovohrad Region.</w:t>
      </w:r>
    </w:p>
    <w:p w:rsidRPr="002A529B" w:rsidR="00347AF9" w:rsidP="002A529B" w:rsidRDefault="00347AF9" w14:paraId="5D0F41C6" w14:textId="1F03414C">
      <w:pPr>
        <w:pStyle w:val="JuPara"/>
      </w:pPr>
      <w:r w:rsidRPr="002A529B">
        <w:fldChar w:fldCharType="begin"/>
      </w:r>
      <w:r w:rsidRPr="002A529B">
        <w:instrText xml:space="preserve"> SEQ level0 \*arabic </w:instrText>
      </w:r>
      <w:r w:rsidRPr="002A529B">
        <w:fldChar w:fldCharType="separate"/>
      </w:r>
      <w:r w:rsidRPr="002A529B" w:rsidR="002A529B">
        <w:rPr>
          <w:noProof/>
        </w:rPr>
        <w:t>7</w:t>
      </w:r>
      <w:r w:rsidRPr="002A529B">
        <w:fldChar w:fldCharType="end"/>
      </w:r>
      <w:r w:rsidRPr="002A529B">
        <w:t>.  At 9.02 p.m. on 3 September 2009 a police investigator from the</w:t>
      </w:r>
      <w:r w:rsidRPr="002A529B" w:rsidR="00DC33DE">
        <w:t> </w:t>
      </w:r>
      <w:r w:rsidRPr="002A529B">
        <w:t>Ulyanivskyy District Police Department of the Kirovohrad Region formally placed the applicant under arrest and drew up an arrest report.</w:t>
      </w:r>
    </w:p>
    <w:p w:rsidRPr="002A529B" w:rsidR="00347AF9" w:rsidP="002A529B" w:rsidRDefault="00347AF9" w14:paraId="2D5B2C23" w14:textId="619AACE0">
      <w:pPr>
        <w:pStyle w:val="JuPara"/>
      </w:pPr>
      <w:r w:rsidRPr="002A529B">
        <w:fldChar w:fldCharType="begin"/>
      </w:r>
      <w:r w:rsidRPr="002A529B">
        <w:instrText xml:space="preserve"> SEQ level0 \*arabic </w:instrText>
      </w:r>
      <w:r w:rsidRPr="002A529B">
        <w:fldChar w:fldCharType="separate"/>
      </w:r>
      <w:r w:rsidRPr="002A529B" w:rsidR="002A529B">
        <w:rPr>
          <w:noProof/>
        </w:rPr>
        <w:t>8</w:t>
      </w:r>
      <w:r w:rsidRPr="002A529B">
        <w:fldChar w:fldCharType="end"/>
      </w:r>
      <w:r w:rsidRPr="002A529B">
        <w:t>.  On the same day a medical expert examined the applicant. On 4 September 2009 the expert issued a report stating that the applicant had sustained a bruise on the right ear, two abrasions on the mouth, and four abrasions on both forearms. The expert considered that the injuries had been inflicted by a blunt object, between one and three days before the</w:t>
      </w:r>
      <w:r w:rsidRPr="002A529B" w:rsidR="00DC33DE">
        <w:t> </w:t>
      </w:r>
      <w:r w:rsidRPr="002A529B">
        <w:t>examination.</w:t>
      </w:r>
    </w:p>
    <w:p w:rsidRPr="002A529B" w:rsidR="00347AF9" w:rsidP="002A529B" w:rsidRDefault="00347AF9" w14:paraId="1DB90113" w14:textId="16DBA33A">
      <w:pPr>
        <w:pStyle w:val="JuPara"/>
      </w:pPr>
      <w:r w:rsidRPr="002A529B">
        <w:fldChar w:fldCharType="begin"/>
      </w:r>
      <w:r w:rsidRPr="002A529B">
        <w:instrText xml:space="preserve"> SEQ level0 \*arabic </w:instrText>
      </w:r>
      <w:r w:rsidRPr="002A529B">
        <w:fldChar w:fldCharType="separate"/>
      </w:r>
      <w:r w:rsidRPr="002A529B" w:rsidR="002A529B">
        <w:rPr>
          <w:noProof/>
        </w:rPr>
        <w:t>9</w:t>
      </w:r>
      <w:r w:rsidRPr="002A529B">
        <w:fldChar w:fldCharType="end"/>
      </w:r>
      <w:r w:rsidRPr="002A529B">
        <w:t>.  On 4 September 2009 the Ulyanivskyy District Court of the</w:t>
      </w:r>
      <w:r w:rsidRPr="002A529B" w:rsidR="00DC33DE">
        <w:t> </w:t>
      </w:r>
      <w:r w:rsidRPr="002A529B">
        <w:t>Kirovohrad Region (“Ulyanivskyy District Court”) prolonged the</w:t>
      </w:r>
      <w:r w:rsidRPr="002A529B" w:rsidR="00DC33DE">
        <w:t> </w:t>
      </w:r>
      <w:r w:rsidRPr="002A529B">
        <w:t>applicant</w:t>
      </w:r>
      <w:r w:rsidRPr="002A529B" w:rsidR="002A529B">
        <w:t>’</w:t>
      </w:r>
      <w:r w:rsidRPr="002A529B">
        <w:t>s preliminary detention to ten days, taking into account the</w:t>
      </w:r>
      <w:r w:rsidRPr="002A529B" w:rsidR="00DC33DE">
        <w:t> </w:t>
      </w:r>
      <w:r w:rsidRPr="002A529B">
        <w:t>charges and considering that it had been necessary to have more evidence regarding the applicant.</w:t>
      </w:r>
    </w:p>
    <w:p w:rsidRPr="002A529B" w:rsidR="00347AF9" w:rsidP="002A529B" w:rsidRDefault="00347AF9" w14:paraId="5D6AFEE2" w14:textId="55B9F955">
      <w:pPr>
        <w:pStyle w:val="JuPara"/>
      </w:pPr>
      <w:r w:rsidRPr="002A529B">
        <w:fldChar w:fldCharType="begin"/>
      </w:r>
      <w:r w:rsidRPr="002A529B">
        <w:instrText xml:space="preserve"> SEQ level0 \*arabic </w:instrText>
      </w:r>
      <w:r w:rsidRPr="002A529B">
        <w:fldChar w:fldCharType="separate"/>
      </w:r>
      <w:r w:rsidRPr="002A529B" w:rsidR="002A529B">
        <w:rPr>
          <w:noProof/>
        </w:rPr>
        <w:t>10</w:t>
      </w:r>
      <w:r w:rsidRPr="002A529B">
        <w:fldChar w:fldCharType="end"/>
      </w:r>
      <w:r w:rsidRPr="002A529B">
        <w:t>.  On 11 September 2009 the same court ordered the applicant</w:t>
      </w:r>
      <w:r w:rsidRPr="002A529B" w:rsidR="002A529B">
        <w:t>’</w:t>
      </w:r>
      <w:r w:rsidRPr="002A529B">
        <w:t>s pre-trial detention for two months. The court noted that the applicant was charged with a serious crime and that he did not reside at his registered address; accordingly, there was a risk that the other preventive measures would not ensure his compliance with procedural decisions. On 22</w:t>
      </w:r>
      <w:r w:rsidRPr="002A529B" w:rsidR="003D1934">
        <w:t> </w:t>
      </w:r>
      <w:r w:rsidRPr="002A529B">
        <w:t>September 2009 the Kirovohrad Regional Court of Appeal upheld that ruling, referring to the risks of absconding or impeding the investigation. The appellate court specified that the two-month period had to be calculated from 3 September 2009, when the applicant was arrested.</w:t>
      </w:r>
    </w:p>
    <w:p w:rsidRPr="002A529B" w:rsidR="00347AF9" w:rsidP="002A529B" w:rsidRDefault="00347AF9" w14:paraId="6CC0FACB" w14:textId="75473374">
      <w:pPr>
        <w:pStyle w:val="JuPara"/>
      </w:pPr>
      <w:r w:rsidRPr="002A529B">
        <w:fldChar w:fldCharType="begin"/>
      </w:r>
      <w:r w:rsidRPr="002A529B">
        <w:instrText xml:space="preserve"> SEQ level0 \*arabic </w:instrText>
      </w:r>
      <w:r w:rsidRPr="002A529B">
        <w:fldChar w:fldCharType="separate"/>
      </w:r>
      <w:r w:rsidRPr="002A529B" w:rsidR="002A529B">
        <w:rPr>
          <w:noProof/>
        </w:rPr>
        <w:t>11</w:t>
      </w:r>
      <w:r w:rsidRPr="002A529B">
        <w:fldChar w:fldCharType="end"/>
      </w:r>
      <w:r w:rsidRPr="002A529B">
        <w:t>.  Subsequently, between 2009 and 2016 the courts on numerous occasions extended the applicant</w:t>
      </w:r>
      <w:r w:rsidRPr="002A529B" w:rsidR="002A529B">
        <w:t>’</w:t>
      </w:r>
      <w:r w:rsidRPr="002A529B">
        <w:t>s pre-trial detention, considering that the</w:t>
      </w:r>
      <w:r w:rsidRPr="002A529B" w:rsidR="003D1934">
        <w:t> </w:t>
      </w:r>
      <w:r w:rsidRPr="002A529B">
        <w:t>applicant</w:t>
      </w:r>
      <w:r w:rsidRPr="002A529B" w:rsidR="002A529B">
        <w:t>’</w:t>
      </w:r>
      <w:r w:rsidRPr="002A529B">
        <w:t>s detention had been justified and there had been no grounds to change the preventive measure.</w:t>
      </w:r>
    </w:p>
    <w:p w:rsidRPr="002A529B" w:rsidR="00347AF9" w:rsidP="002A529B" w:rsidRDefault="002A529B" w14:paraId="42621DA8" w14:textId="600267F8">
      <w:pPr>
        <w:pStyle w:val="JuPara"/>
      </w:pPr>
      <w:fldSimple w:instr=" SEQ level0 \*arabic \* MERGEFORMAT ">
        <w:r w:rsidRPr="002A529B">
          <w:rPr>
            <w:noProof/>
          </w:rPr>
          <w:t>12</w:t>
        </w:r>
      </w:fldSimple>
      <w:r w:rsidRPr="002A529B" w:rsidR="00347AF9">
        <w:t>.  On 24 March 2016 the Shevchenkivsky District Court of Kyiv examined the applicant</w:t>
      </w:r>
      <w:r w:rsidRPr="002A529B">
        <w:t>’</w:t>
      </w:r>
      <w:r w:rsidRPr="002A529B" w:rsidR="00347AF9">
        <w:t xml:space="preserve">s complaint and found that, despite several pending criminal proceedings against the applicant, including the one where he had been convicted by a trial court (see paragraph </w:t>
      </w:r>
      <w:r w:rsidRPr="002A529B" w:rsidR="00347AF9">
        <w:fldChar w:fldCharType="begin"/>
      </w:r>
      <w:r w:rsidRPr="002A529B" w:rsidR="00347AF9">
        <w:instrText xml:space="preserve"> REF A1_Conviction_by_trial_court \h  \* MERGEFORMAT </w:instrText>
      </w:r>
      <w:r w:rsidRPr="002A529B" w:rsidR="00347AF9">
        <w:fldChar w:fldCharType="separate"/>
      </w:r>
      <w:r w:rsidRPr="002A529B">
        <w:t>16</w:t>
      </w:r>
      <w:r w:rsidRPr="002A529B" w:rsidR="00347AF9">
        <w:fldChar w:fldCharType="end"/>
      </w:r>
      <w:r w:rsidRPr="002A529B" w:rsidR="00347AF9">
        <w:t xml:space="preserve"> below), there had been no grounds to keep the applicant in detention. The court noted that the</w:t>
      </w:r>
      <w:r w:rsidRPr="002A529B" w:rsidR="003D1934">
        <w:t> </w:t>
      </w:r>
      <w:r w:rsidRPr="002A529B" w:rsidR="00347AF9">
        <w:t>applicant</w:t>
      </w:r>
      <w:r w:rsidRPr="002A529B">
        <w:t>’</w:t>
      </w:r>
      <w:r w:rsidRPr="002A529B" w:rsidR="00347AF9">
        <w:t>s conviction by the trial court had been still under review by the appellate court and there had been no valid pre-trial detention order. The</w:t>
      </w:r>
      <w:r w:rsidRPr="002A529B" w:rsidR="003D1934">
        <w:t> </w:t>
      </w:r>
      <w:r w:rsidRPr="002A529B" w:rsidR="00347AF9">
        <w:t>court therefore considered that the applicant should be released.</w:t>
      </w:r>
    </w:p>
    <w:p w:rsidRPr="002A529B" w:rsidR="00347AF9" w:rsidP="002A529B" w:rsidRDefault="00347AF9" w14:paraId="49187CB0" w14:textId="531143FA">
      <w:pPr>
        <w:pStyle w:val="JuPara"/>
      </w:pPr>
      <w:r w:rsidRPr="002A529B">
        <w:fldChar w:fldCharType="begin"/>
      </w:r>
      <w:r w:rsidRPr="002A529B">
        <w:instrText xml:space="preserve"> SEQ level0 \*arabic </w:instrText>
      </w:r>
      <w:r w:rsidRPr="002A529B">
        <w:fldChar w:fldCharType="separate"/>
      </w:r>
      <w:r w:rsidRPr="002A529B" w:rsidR="002A529B">
        <w:rPr>
          <w:noProof/>
        </w:rPr>
        <w:t>13</w:t>
      </w:r>
      <w:r w:rsidRPr="002A529B">
        <w:fldChar w:fldCharType="end"/>
      </w:r>
      <w:r w:rsidRPr="002A529B">
        <w:t>.  On 25 March 2016 the applicant was released.</w:t>
      </w:r>
    </w:p>
    <w:p w:rsidRPr="002A529B" w:rsidR="00347AF9" w:rsidP="002A529B" w:rsidRDefault="00347AF9" w14:paraId="4B7450CA" w14:textId="2A28106E">
      <w:pPr>
        <w:pStyle w:val="JuPara"/>
      </w:pPr>
      <w:r w:rsidRPr="002A529B">
        <w:fldChar w:fldCharType="begin"/>
      </w:r>
      <w:r w:rsidRPr="002A529B">
        <w:instrText xml:space="preserve"> SEQ level0 \*arabic </w:instrText>
      </w:r>
      <w:r w:rsidRPr="002A529B">
        <w:fldChar w:fldCharType="separate"/>
      </w:r>
      <w:r w:rsidRPr="002A529B" w:rsidR="002A529B">
        <w:rPr>
          <w:noProof/>
        </w:rPr>
        <w:t>14</w:t>
      </w:r>
      <w:r w:rsidRPr="002A529B">
        <w:fldChar w:fldCharType="end"/>
      </w:r>
      <w:r w:rsidRPr="002A529B">
        <w:t>.  As of March 2017 the criminal proceedings against the applicant were pending.</w:t>
      </w:r>
    </w:p>
    <w:p w:rsidRPr="002A529B" w:rsidR="00347AF9" w:rsidP="002A529B" w:rsidRDefault="00347AF9" w14:paraId="484C41F4" w14:textId="6A317331">
      <w:pPr>
        <w:pStyle w:val="JuHIRoman"/>
      </w:pPr>
      <w:r w:rsidRPr="002A529B">
        <w:t>The applicant</w:t>
      </w:r>
      <w:r w:rsidRPr="002A529B" w:rsidR="002A529B">
        <w:t>’</w:t>
      </w:r>
      <w:r w:rsidRPr="002A529B">
        <w:t>s conviction in one of the criminal proceedings</w:t>
      </w:r>
    </w:p>
    <w:p w:rsidRPr="002A529B" w:rsidR="00347AF9" w:rsidP="002A529B" w:rsidRDefault="00347AF9" w14:paraId="308B0F0C" w14:textId="57130D10">
      <w:pPr>
        <w:pStyle w:val="JuPara"/>
      </w:pPr>
      <w:r w:rsidRPr="002A529B">
        <w:fldChar w:fldCharType="begin"/>
      </w:r>
      <w:r w:rsidRPr="002A529B">
        <w:instrText xml:space="preserve"> SEQ level0 \*arabic </w:instrText>
      </w:r>
      <w:r w:rsidRPr="002A529B">
        <w:fldChar w:fldCharType="separate"/>
      </w:r>
      <w:r w:rsidRPr="002A529B" w:rsidR="002A529B">
        <w:rPr>
          <w:noProof/>
        </w:rPr>
        <w:t>15</w:t>
      </w:r>
      <w:r w:rsidRPr="002A529B">
        <w:fldChar w:fldCharType="end"/>
      </w:r>
      <w:r w:rsidRPr="002A529B">
        <w:t>.  On 14 November 2014 the Ratne District Court of the Volyn Region commenced the trial of the applicant and the other defendants on charges of robbery committed in the Volyn Region.</w:t>
      </w:r>
    </w:p>
    <w:bookmarkStart w:name="A1_Conviction_by_trial_court" w:id="1"/>
    <w:p w:rsidRPr="002A529B" w:rsidR="00347AF9" w:rsidP="002A529B" w:rsidRDefault="00347AF9" w14:paraId="61CD1E4B" w14:textId="23D6F695">
      <w:pPr>
        <w:pStyle w:val="JuPara"/>
      </w:pPr>
      <w:r w:rsidRPr="002A529B">
        <w:fldChar w:fldCharType="begin"/>
      </w:r>
      <w:r w:rsidRPr="002A529B">
        <w:instrText xml:space="preserve"> SEQ level0 \*arabic </w:instrText>
      </w:r>
      <w:r w:rsidRPr="002A529B">
        <w:fldChar w:fldCharType="separate"/>
      </w:r>
      <w:r w:rsidRPr="002A529B" w:rsidR="002A529B">
        <w:rPr>
          <w:noProof/>
        </w:rPr>
        <w:t>16</w:t>
      </w:r>
      <w:r w:rsidRPr="002A529B">
        <w:fldChar w:fldCharType="end"/>
      </w:r>
      <w:bookmarkEnd w:id="1"/>
      <w:r w:rsidRPr="002A529B">
        <w:t>.  On 30 April 2015 the same court convicted the applicant of robbery committed in the Volyn Region and sentenced him to nine years</w:t>
      </w:r>
      <w:r w:rsidRPr="002A529B" w:rsidR="002A529B">
        <w:t>’</w:t>
      </w:r>
      <w:r w:rsidRPr="002A529B">
        <w:t xml:space="preserve"> imprisonment. The court also ordered the confiscation of his property. The</w:t>
      </w:r>
      <w:r w:rsidRPr="002A529B" w:rsidR="003D1934">
        <w:t> </w:t>
      </w:r>
      <w:r w:rsidRPr="002A529B">
        <w:t>applicant appealed.</w:t>
      </w:r>
    </w:p>
    <w:bookmarkStart w:name="A1_appeal_review_in_Volyn" w:id="2"/>
    <w:p w:rsidRPr="002A529B" w:rsidR="00347AF9" w:rsidP="002A529B" w:rsidRDefault="00347AF9" w14:paraId="15100268" w14:textId="64E79EC0">
      <w:pPr>
        <w:pStyle w:val="JuPara"/>
      </w:pPr>
      <w:r w:rsidRPr="002A529B">
        <w:fldChar w:fldCharType="begin"/>
      </w:r>
      <w:r w:rsidRPr="002A529B">
        <w:instrText xml:space="preserve"> SEQ level0 \*arabic </w:instrText>
      </w:r>
      <w:r w:rsidRPr="002A529B">
        <w:fldChar w:fldCharType="separate"/>
      </w:r>
      <w:r w:rsidRPr="002A529B" w:rsidR="002A529B">
        <w:rPr>
          <w:noProof/>
        </w:rPr>
        <w:t>17</w:t>
      </w:r>
      <w:r w:rsidRPr="002A529B">
        <w:fldChar w:fldCharType="end"/>
      </w:r>
      <w:bookmarkEnd w:id="2"/>
      <w:r w:rsidRPr="002A529B">
        <w:t>.  On 22 July 2015 the Volyn Regional Court of Appeal upheld the</w:t>
      </w:r>
      <w:r w:rsidRPr="002A529B" w:rsidR="003D1934">
        <w:t> </w:t>
      </w:r>
      <w:r w:rsidRPr="002A529B">
        <w:t xml:space="preserve">judgment of </w:t>
      </w:r>
      <w:r w:rsidRPr="002A529B" w:rsidR="00AE6CBB">
        <w:t>30 April 2015</w:t>
      </w:r>
      <w:r w:rsidRPr="002A529B" w:rsidR="00ED31E6">
        <w:rPr>
          <w:rStyle w:val="FootnoteReference"/>
        </w:rPr>
        <w:footnoteReference w:id="1"/>
      </w:r>
      <w:r w:rsidRPr="002A529B">
        <w:t>, having amended its reasoning part.</w:t>
      </w:r>
    </w:p>
    <w:p w:rsidRPr="002A529B" w:rsidR="00347AF9" w:rsidP="002A529B" w:rsidRDefault="00347AF9" w14:paraId="22391D7C" w14:textId="101F6938">
      <w:pPr>
        <w:pStyle w:val="JuPara"/>
      </w:pPr>
      <w:r w:rsidRPr="002A529B">
        <w:fldChar w:fldCharType="begin"/>
      </w:r>
      <w:r w:rsidRPr="002A529B">
        <w:instrText xml:space="preserve"> SEQ level0 \*arabic </w:instrText>
      </w:r>
      <w:r w:rsidRPr="002A529B">
        <w:fldChar w:fldCharType="separate"/>
      </w:r>
      <w:r w:rsidRPr="002A529B" w:rsidR="002A529B">
        <w:rPr>
          <w:noProof/>
        </w:rPr>
        <w:t>18</w:t>
      </w:r>
      <w:r w:rsidRPr="002A529B">
        <w:fldChar w:fldCharType="end"/>
      </w:r>
      <w:r w:rsidRPr="002A529B">
        <w:t>.  The applicant appealed on points of law to the Higher Specialised Court for Civil and Criminal Matters (“the HSCU”).</w:t>
      </w:r>
    </w:p>
    <w:p w:rsidRPr="002A529B" w:rsidR="00347AF9" w:rsidP="002A529B" w:rsidRDefault="002A529B" w14:paraId="042CDF63" w14:textId="104BE36F">
      <w:pPr>
        <w:pStyle w:val="JuPara"/>
      </w:pPr>
      <w:fldSimple w:instr=" SEQ level0 \*arabic \* MERGEFORMAT ">
        <w:r w:rsidRPr="002A529B">
          <w:rPr>
            <w:noProof/>
          </w:rPr>
          <w:t>19</w:t>
        </w:r>
      </w:fldSimple>
      <w:r w:rsidRPr="002A529B" w:rsidR="00347AF9">
        <w:t>.  On 17 March 2016 the HSCU quashed the appellate court</w:t>
      </w:r>
      <w:r w:rsidRPr="002A529B">
        <w:t>’</w:t>
      </w:r>
      <w:r w:rsidRPr="002A529B" w:rsidR="00347AF9">
        <w:t>s decision of 22 July 2015 and remitted the case for a new hearing before the appellate court.</w:t>
      </w:r>
    </w:p>
    <w:bookmarkStart w:name="A2_Conviction_quashed_HSCU" w:id="3"/>
    <w:p w:rsidRPr="002A529B" w:rsidR="00347AF9" w:rsidP="002A529B" w:rsidRDefault="00347AF9" w14:paraId="48829B6D" w14:textId="04A1AB2B">
      <w:pPr>
        <w:pStyle w:val="JuPara"/>
      </w:pPr>
      <w:r w:rsidRPr="002A529B">
        <w:fldChar w:fldCharType="begin"/>
      </w:r>
      <w:r w:rsidRPr="002A529B">
        <w:instrText xml:space="preserve"> SEQ level0 \*arabic \* MERGEFORMAT </w:instrText>
      </w:r>
      <w:r w:rsidRPr="002A529B">
        <w:fldChar w:fldCharType="separate"/>
      </w:r>
      <w:r w:rsidRPr="002A529B" w:rsidR="002A529B">
        <w:rPr>
          <w:noProof/>
        </w:rPr>
        <w:t>20</w:t>
      </w:r>
      <w:r w:rsidRPr="002A529B">
        <w:fldChar w:fldCharType="end"/>
      </w:r>
      <w:bookmarkEnd w:id="3"/>
      <w:r w:rsidRPr="002A529B">
        <w:t>.  On 5 September 2016 the Volyn Regional Court of Appeal quashed the judgment of 30 April 2015 and remitted the case to Kamin-Kashyrsk District Court for a new trial.</w:t>
      </w:r>
    </w:p>
    <w:p w:rsidRPr="002A529B" w:rsidR="00347AF9" w:rsidP="002A529B" w:rsidRDefault="00347AF9" w14:paraId="559182DB" w14:textId="77777777">
      <w:pPr>
        <w:pStyle w:val="JuHIRoman"/>
      </w:pPr>
      <w:r w:rsidRPr="002A529B">
        <w:t>Allegations of ill-treatment and their investigation</w:t>
      </w:r>
    </w:p>
    <w:p w:rsidRPr="002A529B" w:rsidR="00347AF9" w:rsidP="002A529B" w:rsidRDefault="00347AF9" w14:paraId="4A55F8BB" w14:textId="7FAEB9DB">
      <w:pPr>
        <w:pStyle w:val="JuPara"/>
      </w:pPr>
      <w:r w:rsidRPr="002A529B">
        <w:fldChar w:fldCharType="begin"/>
      </w:r>
      <w:r w:rsidRPr="002A529B">
        <w:instrText xml:space="preserve"> SEQ level0 \*arabic </w:instrText>
      </w:r>
      <w:r w:rsidRPr="002A529B">
        <w:fldChar w:fldCharType="separate"/>
      </w:r>
      <w:r w:rsidRPr="002A529B" w:rsidR="002A529B">
        <w:rPr>
          <w:noProof/>
        </w:rPr>
        <w:t>21</w:t>
      </w:r>
      <w:r w:rsidRPr="002A529B">
        <w:fldChar w:fldCharType="end"/>
      </w:r>
      <w:r w:rsidRPr="002A529B">
        <w:t>.  On 26 November 2009 material from the criminal case file relating to the applicant</w:t>
      </w:r>
      <w:r w:rsidRPr="002A529B" w:rsidR="002A529B">
        <w:t>’</w:t>
      </w:r>
      <w:r w:rsidRPr="002A529B">
        <w:t>s allegations of police ill-treatment was submitted to the</w:t>
      </w:r>
      <w:r w:rsidRPr="002A529B" w:rsidR="003D1934">
        <w:t> </w:t>
      </w:r>
      <w:r w:rsidRPr="002A529B">
        <w:t>prosecutor of the Kirovohrad Region by an investigator of the</w:t>
      </w:r>
      <w:r w:rsidRPr="002A529B" w:rsidR="003D1934">
        <w:t> </w:t>
      </w:r>
      <w:r w:rsidRPr="002A529B">
        <w:t>Kirovohrad Regional Police Department.</w:t>
      </w:r>
    </w:p>
    <w:p w:rsidRPr="002A529B" w:rsidR="00347AF9" w:rsidP="002A529B" w:rsidRDefault="00347AF9" w14:paraId="5F33EA5C" w14:textId="0C5A26DF">
      <w:pPr>
        <w:pStyle w:val="JuPara"/>
      </w:pPr>
      <w:r w:rsidRPr="002A529B">
        <w:fldChar w:fldCharType="begin"/>
      </w:r>
      <w:r w:rsidRPr="002A529B">
        <w:instrText xml:space="preserve"> SEQ level0 \*arabic </w:instrText>
      </w:r>
      <w:r w:rsidRPr="002A529B">
        <w:fldChar w:fldCharType="separate"/>
      </w:r>
      <w:r w:rsidRPr="002A529B" w:rsidR="002A529B">
        <w:rPr>
          <w:noProof/>
        </w:rPr>
        <w:t>22</w:t>
      </w:r>
      <w:r w:rsidRPr="002A529B">
        <w:fldChar w:fldCharType="end"/>
      </w:r>
      <w:r w:rsidRPr="002A529B">
        <w:t>.  On 31 December 2009 the Kirovohrad Regional Prosecutor</w:t>
      </w:r>
      <w:r w:rsidRPr="002A529B" w:rsidR="002A529B">
        <w:t>’</w:t>
      </w:r>
      <w:r w:rsidRPr="002A529B">
        <w:t>s Office, having conducted a pre-investigation inquiry, refused to initiate criminal proceedings against the police officers due to a lack of constituent elements of crime.</w:t>
      </w:r>
    </w:p>
    <w:p w:rsidRPr="002A529B" w:rsidR="00347AF9" w:rsidP="002A529B" w:rsidRDefault="00347AF9" w14:paraId="65B2AFC0" w14:textId="10641B17">
      <w:pPr>
        <w:pStyle w:val="JuPara"/>
      </w:pPr>
      <w:r w:rsidRPr="002A529B">
        <w:fldChar w:fldCharType="begin"/>
      </w:r>
      <w:r w:rsidRPr="002A529B">
        <w:instrText xml:space="preserve"> SEQ level0 \*arabic </w:instrText>
      </w:r>
      <w:r w:rsidRPr="002A529B">
        <w:fldChar w:fldCharType="separate"/>
      </w:r>
      <w:r w:rsidRPr="002A529B" w:rsidR="002A529B">
        <w:rPr>
          <w:noProof/>
        </w:rPr>
        <w:t>23</w:t>
      </w:r>
      <w:r w:rsidRPr="002A529B">
        <w:fldChar w:fldCharType="end"/>
      </w:r>
      <w:r w:rsidRPr="002A529B">
        <w:t>.  Following the applicant</w:t>
      </w:r>
      <w:r w:rsidRPr="002A529B" w:rsidR="002A529B">
        <w:t>’</w:t>
      </w:r>
      <w:r w:rsidRPr="002A529B">
        <w:t>s complaint of 26 February 2014, on 3 April 2014 the Kirovohrad Regional Prosecutor</w:t>
      </w:r>
      <w:r w:rsidRPr="002A529B" w:rsidR="002A529B">
        <w:t>’</w:t>
      </w:r>
      <w:r w:rsidRPr="002A529B">
        <w:t>s Office opened a criminal investigation into the applicant</w:t>
      </w:r>
      <w:r w:rsidRPr="002A529B" w:rsidR="002A529B">
        <w:t>’</w:t>
      </w:r>
      <w:r w:rsidRPr="002A529B">
        <w:t>s alleged ill-treatment.</w:t>
      </w:r>
    </w:p>
    <w:p w:rsidRPr="002A529B" w:rsidR="00347AF9" w:rsidP="002A529B" w:rsidRDefault="00347AF9" w14:paraId="130D3AE9" w14:textId="415EF4F1">
      <w:pPr>
        <w:pStyle w:val="JuPara"/>
      </w:pPr>
      <w:r w:rsidRPr="002A529B">
        <w:fldChar w:fldCharType="begin"/>
      </w:r>
      <w:r w:rsidRPr="002A529B">
        <w:instrText xml:space="preserve"> SEQ level0 \*arabic </w:instrText>
      </w:r>
      <w:r w:rsidRPr="002A529B">
        <w:fldChar w:fldCharType="separate"/>
      </w:r>
      <w:r w:rsidRPr="002A529B" w:rsidR="002A529B">
        <w:rPr>
          <w:noProof/>
        </w:rPr>
        <w:t>24</w:t>
      </w:r>
      <w:r w:rsidRPr="002A529B">
        <w:fldChar w:fldCharType="end"/>
      </w:r>
      <w:r w:rsidRPr="002A529B">
        <w:t>.  On 31 July 2014, 27 May and 30 September 2015 an investigator of the Kirovohrad Regional Prosecutor</w:t>
      </w:r>
      <w:r w:rsidRPr="002A529B" w:rsidR="002A529B">
        <w:t>’</w:t>
      </w:r>
      <w:r w:rsidRPr="002A529B">
        <w:t>s Office repeatedly closed the case due to a lack of evidence that the applicant had been ill-treated or unlawfully arrested by police officers. He referred, in particular, to the statements of the</w:t>
      </w:r>
      <w:r w:rsidRPr="002A529B" w:rsidR="003D1934">
        <w:t> </w:t>
      </w:r>
      <w:r w:rsidRPr="002A529B">
        <w:t>police officers, who denied subjecting the applicant to any ill-treatment or pressure. As to the injuries found on the applicant on 3 September 2009, the investigator considered that they could have been sustained before the</w:t>
      </w:r>
      <w:r w:rsidRPr="002A529B" w:rsidR="003D1934">
        <w:t> </w:t>
      </w:r>
      <w:r w:rsidRPr="002A529B">
        <w:t>applicant</w:t>
      </w:r>
      <w:r w:rsidRPr="002A529B" w:rsidR="002A529B">
        <w:t>’</w:t>
      </w:r>
      <w:r w:rsidRPr="002A529B">
        <w:t>s arrest or they could have been inflicted by the applicant himself.</w:t>
      </w:r>
    </w:p>
    <w:p w:rsidRPr="002A529B" w:rsidR="00347AF9" w:rsidP="002A529B" w:rsidRDefault="00347AF9" w14:paraId="7D99AE2B" w14:textId="5993B610">
      <w:pPr>
        <w:pStyle w:val="JuPara"/>
      </w:pPr>
      <w:r w:rsidRPr="002A529B">
        <w:fldChar w:fldCharType="begin"/>
      </w:r>
      <w:r w:rsidRPr="002A529B">
        <w:instrText xml:space="preserve"> SEQ level0 \*arabic </w:instrText>
      </w:r>
      <w:r w:rsidRPr="002A529B">
        <w:fldChar w:fldCharType="separate"/>
      </w:r>
      <w:r w:rsidRPr="002A529B" w:rsidR="002A529B">
        <w:rPr>
          <w:noProof/>
        </w:rPr>
        <w:t>25</w:t>
      </w:r>
      <w:r w:rsidRPr="002A529B">
        <w:fldChar w:fldCharType="end"/>
      </w:r>
      <w:r w:rsidRPr="002A529B">
        <w:t>.  Following the applicant</w:t>
      </w:r>
      <w:r w:rsidRPr="002A529B" w:rsidR="002A529B">
        <w:t>’</w:t>
      </w:r>
      <w:r w:rsidRPr="002A529B">
        <w:t>s complaints, these decisions were quashed by the Leninskyy District Court of the Kirovohrad Region as unsubstantiated. The court found that the decisions had been taken without an assessment of all the evidence in the case. The origin of the applicant</w:t>
      </w:r>
      <w:r w:rsidRPr="002A529B" w:rsidR="002A529B">
        <w:t>’</w:t>
      </w:r>
      <w:r w:rsidRPr="002A529B">
        <w:t>s injuries and the circumstances of his arrest had not been investigated properly. In addition, the same court repeatedly found that the investigator had unlawfully refused to grant victim status to the applicant and to carry out other measures requested by the applicant.</w:t>
      </w:r>
    </w:p>
    <w:p w:rsidRPr="002A529B" w:rsidR="00347AF9" w:rsidP="002A529B" w:rsidRDefault="002A529B" w14:paraId="0BBBAA4D" w14:textId="61614A51">
      <w:pPr>
        <w:pStyle w:val="JuPara"/>
      </w:pPr>
      <w:fldSimple w:instr=" SEQ level0 \*arabic \* MERGEFORMAT ">
        <w:r w:rsidRPr="002A529B">
          <w:rPr>
            <w:noProof/>
          </w:rPr>
          <w:t>26</w:t>
        </w:r>
      </w:fldSimple>
      <w:r w:rsidRPr="002A529B" w:rsidR="00347AF9">
        <w:t>.  On 25 March 2016 the investigator once again closed the criminal proceedings on similar grounds as before. On 6 May 2016 the court dismissed the applicant</w:t>
      </w:r>
      <w:r w:rsidRPr="002A529B">
        <w:t>’</w:t>
      </w:r>
      <w:r w:rsidRPr="002A529B" w:rsidR="00347AF9">
        <w:t>s complaint against that decision, noting that the</w:t>
      </w:r>
      <w:r w:rsidRPr="002A529B" w:rsidR="003D1934">
        <w:t> </w:t>
      </w:r>
      <w:r w:rsidRPr="002A529B" w:rsidR="00347AF9">
        <w:t>injuries at issue could have been self-inflicted. The applicant tried to appeal against that decision, but his appeal was rejected as lodged out of time.</w:t>
      </w:r>
    </w:p>
    <w:p w:rsidRPr="002A529B" w:rsidR="00347AF9" w:rsidP="002A529B" w:rsidRDefault="00347AF9" w14:paraId="3980F70F" w14:textId="77777777">
      <w:pPr>
        <w:pStyle w:val="JuHHead"/>
      </w:pPr>
      <w:r w:rsidRPr="002A529B">
        <w:t>RELEVANT LEGAL FRAMEWORK</w:t>
      </w:r>
    </w:p>
    <w:p w:rsidRPr="002A529B" w:rsidR="00347AF9" w:rsidP="002A529B" w:rsidRDefault="00347AF9" w14:paraId="2392BEF0" w14:textId="65DBAF66">
      <w:pPr>
        <w:pStyle w:val="JuPara"/>
      </w:pPr>
      <w:r w:rsidRPr="002A529B">
        <w:fldChar w:fldCharType="begin"/>
      </w:r>
      <w:r w:rsidRPr="002A529B">
        <w:instrText xml:space="preserve"> SEQ level0 \*arabic </w:instrText>
      </w:r>
      <w:r w:rsidRPr="002A529B">
        <w:fldChar w:fldCharType="separate"/>
      </w:r>
      <w:r w:rsidRPr="002A529B" w:rsidR="002A529B">
        <w:rPr>
          <w:noProof/>
        </w:rPr>
        <w:t>27</w:t>
      </w:r>
      <w:r w:rsidRPr="002A529B">
        <w:fldChar w:fldCharType="end"/>
      </w:r>
      <w:r w:rsidRPr="002A529B">
        <w:t xml:space="preserve">.  The relevant domestic and international materials may be found in </w:t>
      </w:r>
      <w:r w:rsidRPr="002A529B">
        <w:rPr>
          <w:i/>
          <w:iCs/>
        </w:rPr>
        <w:t>Kaverzin v. Ukraine</w:t>
      </w:r>
      <w:r w:rsidRPr="002A529B">
        <w:t xml:space="preserve"> (no. 23893/03, §§ 44-45, 49-50, 55-64, 67 and 69-79, 15 May 2012) and </w:t>
      </w:r>
      <w:r w:rsidRPr="002A529B">
        <w:rPr>
          <w:i/>
          <w:iCs/>
        </w:rPr>
        <w:t>Nagorskiy v. Ukraine</w:t>
      </w:r>
      <w:r w:rsidRPr="002A529B">
        <w:t xml:space="preserve"> ((dec.), no. 37794/14, § 38, 12 January 2016).</w:t>
      </w:r>
    </w:p>
    <w:p w:rsidRPr="002A529B" w:rsidR="00347AF9" w:rsidP="002A529B" w:rsidRDefault="00347AF9" w14:paraId="4FB3B169" w14:textId="77777777">
      <w:pPr>
        <w:pStyle w:val="JuHHead"/>
        <w:numPr>
          <w:ilvl w:val="0"/>
          <w:numId w:val="2"/>
        </w:numPr>
        <w:ind w:left="360" w:hanging="360"/>
      </w:pPr>
      <w:r w:rsidRPr="002A529B">
        <w:t>THE LAW</w:t>
      </w:r>
    </w:p>
    <w:p w:rsidRPr="002A529B" w:rsidR="00347AF9" w:rsidP="002A529B" w:rsidRDefault="00347AF9" w14:paraId="3BA9FA23" w14:textId="77777777">
      <w:pPr>
        <w:pStyle w:val="JuHIRoman"/>
      </w:pPr>
      <w:r w:rsidRPr="002A529B">
        <w:t>JOINDER OF THE APPLICATIONS</w:t>
      </w:r>
    </w:p>
    <w:p w:rsidRPr="002A529B" w:rsidR="00347AF9" w:rsidP="002A529B" w:rsidRDefault="00347AF9" w14:paraId="02EDE743" w14:textId="485537AC">
      <w:pPr>
        <w:pStyle w:val="JuPara"/>
      </w:pPr>
      <w:r w:rsidRPr="002A529B">
        <w:fldChar w:fldCharType="begin"/>
      </w:r>
      <w:r w:rsidRPr="002A529B">
        <w:instrText xml:space="preserve"> SEQ level0 \*arabic </w:instrText>
      </w:r>
      <w:r w:rsidRPr="002A529B">
        <w:fldChar w:fldCharType="separate"/>
      </w:r>
      <w:r w:rsidRPr="002A529B" w:rsidR="002A529B">
        <w:rPr>
          <w:noProof/>
        </w:rPr>
        <w:t>28</w:t>
      </w:r>
      <w:r w:rsidRPr="002A529B">
        <w:fldChar w:fldCharType="end"/>
      </w:r>
      <w:r w:rsidRPr="002A529B">
        <w:t>.  Having regard to the similar subject matter of the applications, the</w:t>
      </w:r>
      <w:r w:rsidRPr="002A529B" w:rsidR="003D1934">
        <w:t> </w:t>
      </w:r>
      <w:r w:rsidRPr="002A529B">
        <w:t>Court finds it appropriate to examine them jointly in a single judgment.</w:t>
      </w:r>
    </w:p>
    <w:p w:rsidRPr="002A529B" w:rsidR="00347AF9" w:rsidP="002A529B" w:rsidRDefault="00347AF9" w14:paraId="7BCDA0F2" w14:textId="77777777">
      <w:pPr>
        <w:pStyle w:val="JuHIRoman"/>
      </w:pPr>
      <w:r w:rsidRPr="002A529B">
        <w:t>ALLEGED VIOLATION OF ARTICLE 3 OF THE CONVENTION</w:t>
      </w:r>
    </w:p>
    <w:p w:rsidRPr="002A529B" w:rsidR="00347AF9" w:rsidP="002A529B" w:rsidRDefault="00347AF9" w14:paraId="1AA4592F" w14:textId="00508F5C">
      <w:pPr>
        <w:pStyle w:val="JuPara"/>
      </w:pPr>
      <w:r w:rsidRPr="002A529B">
        <w:fldChar w:fldCharType="begin"/>
      </w:r>
      <w:r w:rsidRPr="002A529B">
        <w:instrText xml:space="preserve"> SEQ level0 \*arabic </w:instrText>
      </w:r>
      <w:r w:rsidRPr="002A529B">
        <w:fldChar w:fldCharType="separate"/>
      </w:r>
      <w:r w:rsidRPr="002A529B" w:rsidR="002A529B">
        <w:rPr>
          <w:noProof/>
        </w:rPr>
        <w:t>29</w:t>
      </w:r>
      <w:r w:rsidRPr="002A529B">
        <w:fldChar w:fldCharType="end"/>
      </w:r>
      <w:r w:rsidRPr="002A529B">
        <w:t>.  The applicant complained that he had been ill-treated by the police and that his complaint on that account had not been properly investigated. He relied on Article 3 of the Convention, which reads as follows:</w:t>
      </w:r>
    </w:p>
    <w:p w:rsidRPr="002A529B" w:rsidR="00347AF9" w:rsidP="002A529B" w:rsidRDefault="00347AF9" w14:paraId="2DFE0E75" w14:textId="77777777">
      <w:pPr>
        <w:pStyle w:val="JuQuot"/>
      </w:pPr>
      <w:bookmarkStart w:name="_Hlk34206479" w:id="4"/>
      <w:r w:rsidRPr="002A529B">
        <w:t>“No one shall be subjected to torture or to inhuman or degrading treatment or punishment.”</w:t>
      </w:r>
    </w:p>
    <w:bookmarkEnd w:id="4"/>
    <w:p w:rsidRPr="002A529B" w:rsidR="00347AF9" w:rsidP="002A529B" w:rsidRDefault="00347AF9" w14:paraId="067D62B1" w14:textId="77777777">
      <w:pPr>
        <w:pStyle w:val="JuHA"/>
      </w:pPr>
      <w:r w:rsidRPr="002A529B">
        <w:t>Admissibility</w:t>
      </w:r>
    </w:p>
    <w:p w:rsidRPr="002A529B" w:rsidR="00347AF9" w:rsidP="002A529B" w:rsidRDefault="00347AF9" w14:paraId="133FDF05" w14:textId="2CBA4BF5">
      <w:pPr>
        <w:pStyle w:val="JuPara"/>
      </w:pPr>
      <w:r w:rsidRPr="002A529B">
        <w:fldChar w:fldCharType="begin"/>
      </w:r>
      <w:r w:rsidRPr="002A529B">
        <w:instrText xml:space="preserve"> SEQ level0 \*arabic </w:instrText>
      </w:r>
      <w:r w:rsidRPr="002A529B">
        <w:fldChar w:fldCharType="separate"/>
      </w:r>
      <w:r w:rsidRPr="002A529B" w:rsidR="002A529B">
        <w:rPr>
          <w:noProof/>
        </w:rPr>
        <w:t>30</w:t>
      </w:r>
      <w:r w:rsidRPr="002A529B">
        <w:fldChar w:fldCharType="end"/>
      </w:r>
      <w:r w:rsidRPr="002A529B">
        <w:t>.  The Government submitted that the applicant had failed to appeal against the court decision of 6 May 2016 by which the investigator</w:t>
      </w:r>
      <w:r w:rsidRPr="002A529B" w:rsidR="002A529B">
        <w:t>’</w:t>
      </w:r>
      <w:r w:rsidRPr="002A529B">
        <w:t>s decision to close the criminal proceedings had been upheld. Accordingly, the complaints under Article 3 had to be dismissed on the grounds of non‑exhaustion of domestic remedies.</w:t>
      </w:r>
    </w:p>
    <w:p w:rsidRPr="002A529B" w:rsidR="00347AF9" w:rsidP="002A529B" w:rsidRDefault="00347AF9" w14:paraId="145B7792" w14:textId="127CAF02">
      <w:pPr>
        <w:pStyle w:val="JuPara"/>
      </w:pPr>
      <w:r w:rsidRPr="002A529B">
        <w:fldChar w:fldCharType="begin"/>
      </w:r>
      <w:r w:rsidRPr="002A529B">
        <w:instrText xml:space="preserve"> SEQ level0 \*arabic </w:instrText>
      </w:r>
      <w:r w:rsidRPr="002A529B">
        <w:fldChar w:fldCharType="separate"/>
      </w:r>
      <w:r w:rsidRPr="002A529B" w:rsidR="002A529B">
        <w:rPr>
          <w:noProof/>
        </w:rPr>
        <w:t>31</w:t>
      </w:r>
      <w:r w:rsidRPr="002A529B">
        <w:fldChar w:fldCharType="end"/>
      </w:r>
      <w:r w:rsidRPr="002A529B">
        <w:t>.  The applicant disagreed.</w:t>
      </w:r>
    </w:p>
    <w:p w:rsidRPr="002A529B" w:rsidR="00347AF9" w:rsidP="002A529B" w:rsidRDefault="00347AF9" w14:paraId="1406CAB9" w14:textId="5C31E616">
      <w:pPr>
        <w:pStyle w:val="JuPara"/>
      </w:pPr>
      <w:r w:rsidRPr="002A529B">
        <w:fldChar w:fldCharType="begin"/>
      </w:r>
      <w:r w:rsidRPr="002A529B">
        <w:instrText xml:space="preserve"> SEQ level0 \*arabic </w:instrText>
      </w:r>
      <w:r w:rsidRPr="002A529B">
        <w:fldChar w:fldCharType="separate"/>
      </w:r>
      <w:r w:rsidRPr="002A529B" w:rsidR="002A529B">
        <w:rPr>
          <w:noProof/>
        </w:rPr>
        <w:t>32</w:t>
      </w:r>
      <w:r w:rsidRPr="002A529B">
        <w:fldChar w:fldCharType="end"/>
      </w:r>
      <w:r w:rsidRPr="002A529B">
        <w:t>.  The Court considers that the Government</w:t>
      </w:r>
      <w:r w:rsidRPr="002A529B" w:rsidR="002A529B">
        <w:t>’</w:t>
      </w:r>
      <w:r w:rsidRPr="002A529B">
        <w:t>s objection is closely linked to the substance of the applicant</w:t>
      </w:r>
      <w:r w:rsidRPr="002A529B" w:rsidR="002A529B">
        <w:t>’</w:t>
      </w:r>
      <w:r w:rsidRPr="002A529B">
        <w:t>s complaints. In these circumstances, it joins the objection to the merits of the applicant</w:t>
      </w:r>
      <w:r w:rsidRPr="002A529B" w:rsidR="002A529B">
        <w:t>’</w:t>
      </w:r>
      <w:r w:rsidRPr="002A529B">
        <w:t>s complaints.</w:t>
      </w:r>
    </w:p>
    <w:p w:rsidRPr="002A529B" w:rsidR="00347AF9" w:rsidP="002A529B" w:rsidRDefault="002A529B" w14:paraId="639BD4E6" w14:textId="02C8926B">
      <w:pPr>
        <w:pStyle w:val="JuPara"/>
      </w:pPr>
      <w:fldSimple w:instr=" SEQ level0 \*arabic \* MERGEFORMAT ">
        <w:r w:rsidRPr="002A529B">
          <w:rPr>
            <w:noProof/>
          </w:rPr>
          <w:t>33</w:t>
        </w:r>
      </w:fldSimple>
      <w:r w:rsidRPr="002A529B" w:rsidR="00347AF9">
        <w:t>.  The Court further notes that this part of the application is neither manifestly ill-founded nor inadmissible on any other grounds listed in Article 35 of the Convention. It must therefore be declared admissible.</w:t>
      </w:r>
    </w:p>
    <w:p w:rsidRPr="002A529B" w:rsidR="00347AF9" w:rsidP="002A529B" w:rsidRDefault="00347AF9" w14:paraId="6C437682" w14:textId="77777777">
      <w:pPr>
        <w:pStyle w:val="JuHA"/>
      </w:pPr>
      <w:r w:rsidRPr="002A529B">
        <w:t>Merits</w:t>
      </w:r>
    </w:p>
    <w:p w:rsidRPr="002A529B" w:rsidR="00347AF9" w:rsidP="002A529B" w:rsidRDefault="00347AF9" w14:paraId="73265C33" w14:textId="4941289D">
      <w:pPr>
        <w:pStyle w:val="JuPara"/>
      </w:pPr>
      <w:r w:rsidRPr="002A529B">
        <w:fldChar w:fldCharType="begin"/>
      </w:r>
      <w:r w:rsidRPr="002A529B">
        <w:instrText xml:space="preserve"> SEQ level0 \*arabic </w:instrText>
      </w:r>
      <w:r w:rsidRPr="002A529B">
        <w:fldChar w:fldCharType="separate"/>
      </w:r>
      <w:r w:rsidRPr="002A529B" w:rsidR="002A529B">
        <w:rPr>
          <w:noProof/>
        </w:rPr>
        <w:t>34</w:t>
      </w:r>
      <w:r w:rsidRPr="002A529B">
        <w:fldChar w:fldCharType="end"/>
      </w:r>
      <w:r w:rsidRPr="002A529B">
        <w:t>.  The applicant argued that the Government have not explained the</w:t>
      </w:r>
      <w:r w:rsidRPr="002A529B" w:rsidR="003D1934">
        <w:t> </w:t>
      </w:r>
      <w:r w:rsidRPr="002A529B">
        <w:t>origin of his injuries reported during his detention and that the</w:t>
      </w:r>
      <w:r w:rsidRPr="002A529B" w:rsidR="003D1934">
        <w:t> </w:t>
      </w:r>
      <w:r w:rsidRPr="002A529B">
        <w:t>authorities failed in their procedural obligation under Article 3.</w:t>
      </w:r>
    </w:p>
    <w:p w:rsidRPr="002A529B" w:rsidR="00347AF9" w:rsidP="002A529B" w:rsidRDefault="00347AF9" w14:paraId="21ABFDDA" w14:textId="2CFEDBF6">
      <w:pPr>
        <w:pStyle w:val="JuPara"/>
      </w:pPr>
      <w:r w:rsidRPr="002A529B">
        <w:fldChar w:fldCharType="begin"/>
      </w:r>
      <w:r w:rsidRPr="002A529B">
        <w:instrText xml:space="preserve"> SEQ level0 \*arabic </w:instrText>
      </w:r>
      <w:r w:rsidRPr="002A529B">
        <w:fldChar w:fldCharType="separate"/>
      </w:r>
      <w:r w:rsidRPr="002A529B" w:rsidR="002A529B">
        <w:rPr>
          <w:noProof/>
        </w:rPr>
        <w:t>35</w:t>
      </w:r>
      <w:r w:rsidRPr="002A529B">
        <w:fldChar w:fldCharType="end"/>
      </w:r>
      <w:r w:rsidRPr="002A529B">
        <w:t>.  The Government submitted that there had been no sufficient evidence to establish beyond reasonable doubt that the applicant had been ill-treated. They noted that the injuries documented on 4 September 2009 could have been inflicted by the applicant himself. Furthermore, the</w:t>
      </w:r>
      <w:r w:rsidRPr="002A529B" w:rsidR="003D1934">
        <w:t> </w:t>
      </w:r>
      <w:r w:rsidRPr="002A529B">
        <w:t>investigation of the applicant</w:t>
      </w:r>
      <w:r w:rsidRPr="002A529B" w:rsidR="002A529B">
        <w:t>’</w:t>
      </w:r>
      <w:r w:rsidRPr="002A529B">
        <w:t>s allegations of ill-treatment had been effective for the purpose of Article 3.</w:t>
      </w:r>
    </w:p>
    <w:p w:rsidRPr="002A529B" w:rsidR="00347AF9" w:rsidP="002A529B" w:rsidRDefault="00347AF9" w14:paraId="5E364845" w14:textId="3C4B511F">
      <w:pPr>
        <w:pStyle w:val="JuPara"/>
      </w:pPr>
      <w:r w:rsidRPr="002A529B">
        <w:fldChar w:fldCharType="begin"/>
      </w:r>
      <w:r w:rsidRPr="002A529B">
        <w:instrText xml:space="preserve"> SEQ level0 \*arabic </w:instrText>
      </w:r>
      <w:r w:rsidRPr="002A529B">
        <w:fldChar w:fldCharType="separate"/>
      </w:r>
      <w:r w:rsidRPr="002A529B" w:rsidR="002A529B">
        <w:rPr>
          <w:noProof/>
        </w:rPr>
        <w:t>36</w:t>
      </w:r>
      <w:r w:rsidRPr="002A529B">
        <w:fldChar w:fldCharType="end"/>
      </w:r>
      <w:r w:rsidRPr="002A529B">
        <w:t>.  Reviewing the facts of the present case in the light of the general principles established in its case-law (as a recent authority,</w:t>
      </w:r>
      <w:r w:rsidRPr="002A529B">
        <w:rPr>
          <w:i/>
        </w:rPr>
        <w:t xml:space="preserve"> </w:t>
      </w:r>
      <w:r w:rsidRPr="002A529B">
        <w:t>see</w:t>
      </w:r>
      <w:r w:rsidRPr="002A529B">
        <w:rPr>
          <w:i/>
        </w:rPr>
        <w:t xml:space="preserve"> Bouyid v. Belgium </w:t>
      </w:r>
      <w:r w:rsidRPr="002A529B">
        <w:t>[GC], no. 23380/09, §§ 81-90 and 114-23, ECHR 2015), the</w:t>
      </w:r>
      <w:r w:rsidRPr="002A529B" w:rsidR="003D1934">
        <w:t> </w:t>
      </w:r>
      <w:r w:rsidRPr="002A529B">
        <w:t>Court considers that the applicant raised a credible ill-treatment claim at the domestic level. That claim triggered an obligation on the part of the national authorities to carry out an effective and thorough investigation with a view to establishing the origin of the applicant</w:t>
      </w:r>
      <w:r w:rsidRPr="002A529B" w:rsidR="002A529B">
        <w:t>’</w:t>
      </w:r>
      <w:r w:rsidRPr="002A529B">
        <w:t>s alleged injuries and identifying and punishing those responsible, should the ill-treatment allegations prove to be true.</w:t>
      </w:r>
    </w:p>
    <w:p w:rsidRPr="002A529B" w:rsidR="00347AF9" w:rsidP="002A529B" w:rsidRDefault="00347AF9" w14:paraId="637F621F" w14:textId="67A8F079">
      <w:pPr>
        <w:pStyle w:val="JuPara"/>
        <w:rPr>
          <w:rFonts w:eastAsia="Times New Roman" w:cstheme="minorHAnsi"/>
        </w:rPr>
      </w:pPr>
      <w:r w:rsidRPr="002A529B">
        <w:rPr>
          <w:rFonts w:eastAsia="Times New Roman"/>
        </w:rPr>
        <w:fldChar w:fldCharType="begin"/>
      </w:r>
      <w:r w:rsidRPr="002A529B">
        <w:rPr>
          <w:rFonts w:eastAsia="Times New Roman"/>
        </w:rPr>
        <w:instrText xml:space="preserve"> SEQ level0 \*arabic \* MERGEFORMAT </w:instrText>
      </w:r>
      <w:r w:rsidRPr="002A529B">
        <w:rPr>
          <w:rFonts w:eastAsia="Times New Roman"/>
        </w:rPr>
        <w:fldChar w:fldCharType="separate"/>
      </w:r>
      <w:r w:rsidRPr="002A529B" w:rsidR="002A529B">
        <w:rPr>
          <w:rFonts w:eastAsia="Times New Roman"/>
          <w:noProof/>
        </w:rPr>
        <w:t>37</w:t>
      </w:r>
      <w:r w:rsidRPr="002A529B">
        <w:rPr>
          <w:rFonts w:eastAsia="Times New Roman"/>
        </w:rPr>
        <w:fldChar w:fldCharType="end"/>
      </w:r>
      <w:r w:rsidRPr="002A529B">
        <w:rPr>
          <w:rFonts w:eastAsia="Times New Roman"/>
        </w:rPr>
        <w:t xml:space="preserve">.  From the documents before the Court, it appears that the domestic investigations did not constitute a serious effort to determine the relevant facts. Nothings suggests that the investigators made a </w:t>
      </w:r>
      <w:r w:rsidRPr="002A529B">
        <w:rPr>
          <w:rFonts w:eastAsia="Times New Roman" w:cstheme="minorHAnsi"/>
        </w:rPr>
        <w:t>genuine attempt to carry out a thorough investigation and to determine the origin of the</w:t>
      </w:r>
      <w:r w:rsidRPr="002A529B" w:rsidR="003D1934">
        <w:rPr>
          <w:rFonts w:eastAsia="Times New Roman" w:cstheme="minorHAnsi"/>
        </w:rPr>
        <w:t> </w:t>
      </w:r>
      <w:r w:rsidRPr="002A529B">
        <w:rPr>
          <w:rFonts w:eastAsia="Times New Roman" w:cstheme="minorHAnsi"/>
        </w:rPr>
        <w:t>applicant</w:t>
      </w:r>
      <w:r w:rsidRPr="002A529B" w:rsidR="002A529B">
        <w:rPr>
          <w:rFonts w:eastAsia="Times New Roman" w:cstheme="minorHAnsi"/>
        </w:rPr>
        <w:t>’</w:t>
      </w:r>
      <w:r w:rsidRPr="002A529B">
        <w:rPr>
          <w:rFonts w:eastAsia="Times New Roman" w:cstheme="minorHAnsi"/>
        </w:rPr>
        <w:t>s injuries displayed after his arrest.</w:t>
      </w:r>
    </w:p>
    <w:p w:rsidRPr="002A529B" w:rsidR="00347AF9" w:rsidP="002A529B" w:rsidRDefault="00347AF9" w14:paraId="28E41E0C" w14:textId="3DA80A15">
      <w:pPr>
        <w:pStyle w:val="JuPara"/>
      </w:pPr>
      <w:r w:rsidRPr="002A529B">
        <w:rPr>
          <w:rFonts w:eastAsia="Times New Roman" w:cstheme="minorHAnsi"/>
        </w:rPr>
        <w:fldChar w:fldCharType="begin"/>
      </w:r>
      <w:r w:rsidRPr="002A529B">
        <w:rPr>
          <w:rFonts w:eastAsia="Times New Roman" w:cstheme="minorHAnsi"/>
        </w:rPr>
        <w:instrText xml:space="preserve"> SEQ level0 \*arabic \* MERGEFORMAT </w:instrText>
      </w:r>
      <w:r w:rsidRPr="002A529B">
        <w:rPr>
          <w:rFonts w:eastAsia="Times New Roman" w:cstheme="minorHAnsi"/>
        </w:rPr>
        <w:fldChar w:fldCharType="separate"/>
      </w:r>
      <w:r w:rsidRPr="002A529B" w:rsidR="002A529B">
        <w:rPr>
          <w:rFonts w:eastAsia="Times New Roman" w:cstheme="minorHAnsi"/>
          <w:noProof/>
        </w:rPr>
        <w:t>38</w:t>
      </w:r>
      <w:r w:rsidRPr="002A529B">
        <w:rPr>
          <w:rFonts w:eastAsia="Times New Roman" w:cstheme="minorHAnsi"/>
        </w:rPr>
        <w:fldChar w:fldCharType="end"/>
      </w:r>
      <w:r w:rsidRPr="002A529B">
        <w:rPr>
          <w:rFonts w:eastAsia="Times New Roman" w:cstheme="minorHAnsi"/>
        </w:rPr>
        <w:t xml:space="preserve">.  It is notable that there were </w:t>
      </w:r>
      <w:r w:rsidRPr="002A529B">
        <w:t xml:space="preserve">repeated </w:t>
      </w:r>
      <w:r w:rsidRPr="002A529B">
        <w:rPr>
          <w:color w:val="262626" w:themeColor="accent6" w:themeShade="80"/>
        </w:rPr>
        <w:t xml:space="preserve">remittals of the case for additional investigation owing to the insufficiency of the measures taken by the investigators and their failure to safeguard the </w:t>
      </w:r>
      <w:r w:rsidRPr="002A529B">
        <w:rPr>
          <w:rFonts w:cstheme="minorHAnsi"/>
        </w:rPr>
        <w:t>applicant</w:t>
      </w:r>
      <w:r w:rsidRPr="002A529B" w:rsidR="002A529B">
        <w:rPr>
          <w:rFonts w:cstheme="minorHAnsi"/>
        </w:rPr>
        <w:t>’</w:t>
      </w:r>
      <w:r w:rsidRPr="002A529B">
        <w:rPr>
          <w:rFonts w:cstheme="minorHAnsi"/>
        </w:rPr>
        <w:t>s rights as a</w:t>
      </w:r>
      <w:r w:rsidRPr="002A529B" w:rsidR="003D1934">
        <w:rPr>
          <w:rFonts w:cstheme="minorHAnsi"/>
        </w:rPr>
        <w:t> </w:t>
      </w:r>
      <w:r w:rsidRPr="002A529B">
        <w:rPr>
          <w:rFonts w:cstheme="minorHAnsi"/>
        </w:rPr>
        <w:t>victim. In these circumstances, the Court has no reason to believe that yet another round of investigation following the quashing of the last decision to discontinue the proceedings would redress the earlier shortcomings and render the investigation effective.</w:t>
      </w:r>
    </w:p>
    <w:p w:rsidRPr="002A529B" w:rsidR="00347AF9" w:rsidP="002A529B" w:rsidRDefault="00347AF9" w14:paraId="52618395" w14:textId="3187D3FD">
      <w:pPr>
        <w:pStyle w:val="JuPara"/>
      </w:pPr>
      <w:r w:rsidRPr="002A529B">
        <w:rPr>
          <w:snapToGrid w:val="0"/>
        </w:rPr>
        <w:fldChar w:fldCharType="begin"/>
      </w:r>
      <w:r w:rsidRPr="002A529B">
        <w:rPr>
          <w:snapToGrid w:val="0"/>
        </w:rPr>
        <w:instrText xml:space="preserve"> SEQ level0 \*arabic </w:instrText>
      </w:r>
      <w:r w:rsidRPr="002A529B">
        <w:rPr>
          <w:snapToGrid w:val="0"/>
        </w:rPr>
        <w:fldChar w:fldCharType="separate"/>
      </w:r>
      <w:r w:rsidRPr="002A529B" w:rsidR="002A529B">
        <w:rPr>
          <w:noProof/>
          <w:snapToGrid w:val="0"/>
        </w:rPr>
        <w:t>39</w:t>
      </w:r>
      <w:r w:rsidRPr="002A529B">
        <w:rPr>
          <w:snapToGrid w:val="0"/>
        </w:rPr>
        <w:fldChar w:fldCharType="end"/>
      </w:r>
      <w:r w:rsidRPr="002A529B">
        <w:rPr>
          <w:snapToGrid w:val="0"/>
        </w:rPr>
        <w:t>.  </w:t>
      </w:r>
      <w:r w:rsidRPr="002A529B">
        <w:t xml:space="preserve">The Court notes that in the case of </w:t>
      </w:r>
      <w:r w:rsidRPr="002A529B">
        <w:rPr>
          <w:i/>
        </w:rPr>
        <w:t>Kaverzin v. Ukraine</w:t>
      </w:r>
      <w:r w:rsidRPr="002A529B">
        <w:t xml:space="preserve"> (cited above, §§ 173-80) it found that the reluctance of the authorities to ensure a prompt and thorough investigation into ill-treatment complaints lodged against police authorities constituted a systemic problem within the meaning of Article 46 of the Convention. In view of the circumstances of the present application and its earlier case-law, the Court considers that they constitute another example of such a failure to ensure a prompt and thorough investigation.</w:t>
      </w:r>
    </w:p>
    <w:p w:rsidRPr="002A529B" w:rsidR="00347AF9" w:rsidP="002A529B" w:rsidRDefault="002A529B" w14:paraId="0201C113" w14:textId="3B0F4D50">
      <w:pPr>
        <w:pStyle w:val="JuPara"/>
      </w:pPr>
      <w:fldSimple w:instr=" SEQ level0 \*arabic \* MERGEFORMAT ">
        <w:r w:rsidRPr="002A529B">
          <w:rPr>
            <w:noProof/>
          </w:rPr>
          <w:t>40</w:t>
        </w:r>
      </w:fldSimple>
      <w:r w:rsidRPr="002A529B" w:rsidR="00347AF9">
        <w:t>.  It follows that the Government</w:t>
      </w:r>
      <w:r w:rsidRPr="002A529B">
        <w:t>’</w:t>
      </w:r>
      <w:r w:rsidRPr="002A529B" w:rsidR="00347AF9">
        <w:t>s objection based on the rule of exhaustion of domestic remedies must be dismissed.</w:t>
      </w:r>
    </w:p>
    <w:p w:rsidRPr="002A529B" w:rsidR="00347AF9" w:rsidP="002A529B" w:rsidRDefault="00347AF9" w14:paraId="1858B67E" w14:textId="4191A45B">
      <w:pPr>
        <w:pStyle w:val="JuPara"/>
        <w:rPr>
          <w:snapToGrid w:val="0"/>
        </w:rPr>
      </w:pPr>
      <w:r w:rsidRPr="002A529B">
        <w:fldChar w:fldCharType="begin"/>
      </w:r>
      <w:r w:rsidRPr="002A529B">
        <w:instrText xml:space="preserve"> SEQ level0 \*arabic </w:instrText>
      </w:r>
      <w:r w:rsidRPr="002A529B">
        <w:fldChar w:fldCharType="separate"/>
      </w:r>
      <w:r w:rsidRPr="002A529B" w:rsidR="002A529B">
        <w:rPr>
          <w:noProof/>
        </w:rPr>
        <w:t>41</w:t>
      </w:r>
      <w:r w:rsidRPr="002A529B">
        <w:fldChar w:fldCharType="end"/>
      </w:r>
      <w:r w:rsidRPr="002A529B">
        <w:t xml:space="preserve">.  The Court further finds </w:t>
      </w:r>
      <w:r w:rsidRPr="002A529B">
        <w:rPr>
          <w:snapToGrid w:val="0"/>
        </w:rPr>
        <w:t>that the applicant</w:t>
      </w:r>
      <w:r w:rsidRPr="002A529B" w:rsidR="002A529B">
        <w:rPr>
          <w:snapToGrid w:val="0"/>
        </w:rPr>
        <w:t>’</w:t>
      </w:r>
      <w:r w:rsidRPr="002A529B">
        <w:rPr>
          <w:snapToGrid w:val="0"/>
        </w:rPr>
        <w:t>s account as to the</w:t>
      </w:r>
      <w:r w:rsidRPr="002A529B" w:rsidR="003D1934">
        <w:rPr>
          <w:snapToGrid w:val="0"/>
        </w:rPr>
        <w:t> </w:t>
      </w:r>
      <w:r w:rsidRPr="002A529B">
        <w:rPr>
          <w:snapToGrid w:val="0"/>
        </w:rPr>
        <w:t>circumstances of his alleged ill-treatment is detailed and coherent. The</w:t>
      </w:r>
      <w:r w:rsidRPr="002A529B" w:rsidR="003D1934">
        <w:rPr>
          <w:snapToGrid w:val="0"/>
        </w:rPr>
        <w:t> </w:t>
      </w:r>
      <w:r w:rsidRPr="002A529B">
        <w:rPr>
          <w:snapToGrid w:val="0"/>
        </w:rPr>
        <w:t>results of the investigations, given their shortcomings, did not disprove the applicant</w:t>
      </w:r>
      <w:r w:rsidRPr="002A529B" w:rsidR="002A529B">
        <w:rPr>
          <w:snapToGrid w:val="0"/>
        </w:rPr>
        <w:t>’</w:t>
      </w:r>
      <w:r w:rsidRPr="002A529B">
        <w:rPr>
          <w:snapToGrid w:val="0"/>
        </w:rPr>
        <w:t xml:space="preserve">s allegations that he had been the victim of police ill-treatment. In these circumstances, and given the onus on the State to provide a plausible explanation for injuries sustained by persons under the control of the police (see </w:t>
      </w:r>
      <w:r w:rsidRPr="002A529B">
        <w:rPr>
          <w:i/>
        </w:rPr>
        <w:t>Bouyid</w:t>
      </w:r>
      <w:r w:rsidRPr="002A529B">
        <w:t xml:space="preserve">, cited above, § 83, and also, </w:t>
      </w:r>
      <w:r w:rsidRPr="002A529B">
        <w:rPr>
          <w:snapToGrid w:val="0"/>
        </w:rPr>
        <w:t xml:space="preserve">by way of example, </w:t>
      </w:r>
      <w:r w:rsidRPr="002A529B">
        <w:rPr>
          <w:i/>
          <w:snapToGrid w:val="0"/>
        </w:rPr>
        <w:t>Adnaralov v. Ukraine</w:t>
      </w:r>
      <w:r w:rsidRPr="002A529B">
        <w:rPr>
          <w:snapToGrid w:val="0"/>
        </w:rPr>
        <w:t xml:space="preserve">, no. 10493/12, § 45, 27 November 2014; </w:t>
      </w:r>
      <w:r w:rsidRPr="002A529B">
        <w:rPr>
          <w:i/>
          <w:snapToGrid w:val="0"/>
        </w:rPr>
        <w:t>Kulik v.</w:t>
      </w:r>
      <w:r w:rsidRPr="002A529B" w:rsidR="003D1934">
        <w:rPr>
          <w:i/>
          <w:snapToGrid w:val="0"/>
        </w:rPr>
        <w:t> </w:t>
      </w:r>
      <w:r w:rsidRPr="002A529B">
        <w:rPr>
          <w:i/>
          <w:snapToGrid w:val="0"/>
        </w:rPr>
        <w:t>Ukraine</w:t>
      </w:r>
      <w:r w:rsidRPr="002A529B">
        <w:rPr>
          <w:snapToGrid w:val="0"/>
        </w:rPr>
        <w:t xml:space="preserve">, no. 10397/10, § 59, 19 March 2015; and </w:t>
      </w:r>
      <w:r w:rsidRPr="002A529B">
        <w:rPr>
          <w:i/>
          <w:snapToGrid w:val="0"/>
        </w:rPr>
        <w:t>Yaroshovets and Others v. Ukraine</w:t>
      </w:r>
      <w:r w:rsidRPr="002A529B">
        <w:rPr>
          <w:snapToGrid w:val="0"/>
        </w:rPr>
        <w:t>, nos. 74820/10 and 4 others, § 85, 3 December 2015),</w:t>
      </w:r>
      <w:r w:rsidRPr="002A529B">
        <w:rPr>
          <w:snapToGrid w:val="0"/>
          <w:sz w:val="22"/>
        </w:rPr>
        <w:t xml:space="preserve"> </w:t>
      </w:r>
      <w:r w:rsidRPr="002A529B">
        <w:rPr>
          <w:snapToGrid w:val="0"/>
        </w:rPr>
        <w:t>the</w:t>
      </w:r>
      <w:r w:rsidRPr="002A529B" w:rsidR="003D1934">
        <w:rPr>
          <w:snapToGrid w:val="0"/>
        </w:rPr>
        <w:t> </w:t>
      </w:r>
      <w:r w:rsidRPr="002A529B">
        <w:rPr>
          <w:snapToGrid w:val="0"/>
        </w:rPr>
        <w:t>Court concludes that the State</w:t>
      </w:r>
      <w:r w:rsidRPr="002A529B" w:rsidR="002A529B">
        <w:rPr>
          <w:snapToGrid w:val="0"/>
        </w:rPr>
        <w:t>’</w:t>
      </w:r>
      <w:r w:rsidRPr="002A529B">
        <w:rPr>
          <w:snapToGrid w:val="0"/>
        </w:rPr>
        <w:t>s responsibility for the applicant</w:t>
      </w:r>
      <w:r w:rsidRPr="002A529B" w:rsidR="002A529B">
        <w:rPr>
          <w:snapToGrid w:val="0"/>
        </w:rPr>
        <w:t>’</w:t>
      </w:r>
      <w:r w:rsidRPr="002A529B">
        <w:rPr>
          <w:snapToGrid w:val="0"/>
        </w:rPr>
        <w:t>s ill-treatment is engaged.</w:t>
      </w:r>
    </w:p>
    <w:p w:rsidRPr="002A529B" w:rsidR="00347AF9" w:rsidP="002A529B" w:rsidRDefault="00347AF9" w14:paraId="1E5DC948" w14:textId="73C142C4">
      <w:pPr>
        <w:pStyle w:val="JuPara"/>
      </w:pPr>
      <w:r w:rsidRPr="002A529B">
        <w:fldChar w:fldCharType="begin"/>
      </w:r>
      <w:r w:rsidRPr="002A529B">
        <w:instrText xml:space="preserve"> SEQ level0 \*arabic </w:instrText>
      </w:r>
      <w:r w:rsidRPr="002A529B">
        <w:fldChar w:fldCharType="separate"/>
      </w:r>
      <w:r w:rsidRPr="002A529B" w:rsidR="002A529B">
        <w:rPr>
          <w:noProof/>
        </w:rPr>
        <w:t>42</w:t>
      </w:r>
      <w:r w:rsidRPr="002A529B">
        <w:fldChar w:fldCharType="end"/>
      </w:r>
      <w:r w:rsidRPr="002A529B">
        <w:t>.  The above findings are sufficient for the Court to establish that the</w:t>
      </w:r>
      <w:r w:rsidRPr="002A529B" w:rsidR="003D1934">
        <w:t> </w:t>
      </w:r>
      <w:r w:rsidRPr="002A529B">
        <w:t>applicant was subjected to ill-treatment which must be classified as inhuman and degrading.</w:t>
      </w:r>
    </w:p>
    <w:p w:rsidRPr="002A529B" w:rsidR="00347AF9" w:rsidP="002A529B" w:rsidRDefault="00347AF9" w14:paraId="0EFFA0E8" w14:textId="41088931">
      <w:pPr>
        <w:pStyle w:val="JuPara"/>
      </w:pPr>
      <w:r w:rsidRPr="002A529B">
        <w:rPr>
          <w:snapToGrid w:val="0"/>
        </w:rPr>
        <w:fldChar w:fldCharType="begin"/>
      </w:r>
      <w:r w:rsidRPr="002A529B">
        <w:rPr>
          <w:snapToGrid w:val="0"/>
        </w:rPr>
        <w:instrText xml:space="preserve"> SEQ level0 \*arabic </w:instrText>
      </w:r>
      <w:r w:rsidRPr="002A529B">
        <w:rPr>
          <w:snapToGrid w:val="0"/>
        </w:rPr>
        <w:fldChar w:fldCharType="separate"/>
      </w:r>
      <w:r w:rsidRPr="002A529B" w:rsidR="002A529B">
        <w:rPr>
          <w:noProof/>
          <w:snapToGrid w:val="0"/>
        </w:rPr>
        <w:t>43</w:t>
      </w:r>
      <w:r w:rsidRPr="002A529B">
        <w:rPr>
          <w:snapToGrid w:val="0"/>
        </w:rPr>
        <w:fldChar w:fldCharType="end"/>
      </w:r>
      <w:r w:rsidRPr="002A529B">
        <w:rPr>
          <w:snapToGrid w:val="0"/>
        </w:rPr>
        <w:t>.  </w:t>
      </w:r>
      <w:r w:rsidRPr="002A529B">
        <w:t>The Court therefore concludes that there has been a breach of Article 3 of the Convention in respect of the applicant</w:t>
      </w:r>
      <w:r w:rsidRPr="002A529B" w:rsidR="002A529B">
        <w:t>’</w:t>
      </w:r>
      <w:r w:rsidRPr="002A529B">
        <w:t>s ill-treatment, under both its procedural and substantive limbs.</w:t>
      </w:r>
    </w:p>
    <w:p w:rsidRPr="002A529B" w:rsidR="00347AF9" w:rsidP="002A529B" w:rsidRDefault="00347AF9" w14:paraId="7FCC9E46" w14:textId="2FF84143">
      <w:pPr>
        <w:pStyle w:val="JuHIRoman"/>
      </w:pPr>
      <w:r w:rsidRPr="002A529B">
        <w:t>ALLEGED VIOLATION OF ARTICLE 5 § 1 OF THE</w:t>
      </w:r>
      <w:r w:rsidRPr="002A529B" w:rsidR="003A730B">
        <w:t xml:space="preserve"> </w:t>
      </w:r>
      <w:r w:rsidRPr="002A529B">
        <w:t>CONVENTION</w:t>
      </w:r>
    </w:p>
    <w:p w:rsidRPr="002A529B" w:rsidR="00347AF9" w:rsidP="002A529B" w:rsidRDefault="00347AF9" w14:paraId="67E0D3E5" w14:textId="0168A9DC">
      <w:pPr>
        <w:pStyle w:val="JuPara"/>
      </w:pPr>
      <w:r w:rsidRPr="002A529B">
        <w:fldChar w:fldCharType="begin"/>
      </w:r>
      <w:r w:rsidRPr="002A529B">
        <w:instrText xml:space="preserve"> SEQ level0 \*arabic </w:instrText>
      </w:r>
      <w:r w:rsidRPr="002A529B">
        <w:fldChar w:fldCharType="separate"/>
      </w:r>
      <w:r w:rsidRPr="002A529B" w:rsidR="002A529B">
        <w:rPr>
          <w:noProof/>
        </w:rPr>
        <w:t>44</w:t>
      </w:r>
      <w:r w:rsidRPr="002A529B">
        <w:fldChar w:fldCharType="end"/>
      </w:r>
      <w:r w:rsidRPr="002A529B">
        <w:t>.  The applicant complained under Article 5 § 1 of the Convention that between 2 and 3 September 2009 he was unlawfully arrested and detained.</w:t>
      </w:r>
    </w:p>
    <w:p w:rsidRPr="002A529B" w:rsidR="00347AF9" w:rsidP="002A529B" w:rsidRDefault="002A529B" w14:paraId="372DEAC2" w14:textId="5CDA8F95">
      <w:pPr>
        <w:pStyle w:val="JuPara"/>
      </w:pPr>
      <w:fldSimple w:instr=" SEQ level0 \*arabic \* MERGEFORMAT ">
        <w:r w:rsidRPr="002A529B">
          <w:rPr>
            <w:noProof/>
          </w:rPr>
          <w:t>45</w:t>
        </w:r>
      </w:fldSimple>
      <w:r w:rsidRPr="002A529B" w:rsidR="00347AF9">
        <w:t>.  Article 5 § 1 of the Convention reads, in so far as relevant, as follows:</w:t>
      </w:r>
    </w:p>
    <w:p w:rsidRPr="002A529B" w:rsidR="00347AF9" w:rsidP="002A529B" w:rsidRDefault="00347AF9" w14:paraId="7793E3E6" w14:textId="77777777">
      <w:pPr>
        <w:pStyle w:val="JuQuot"/>
      </w:pPr>
      <w:r w:rsidRPr="002A529B">
        <w:t>“1.  Everyone has the right to liberty and security of person. No one shall be deprived of his liberty save in the following cases and in accordance with a procedure prescribed by law:</w:t>
      </w:r>
    </w:p>
    <w:p w:rsidRPr="002A529B" w:rsidR="00347AF9" w:rsidP="002A529B" w:rsidRDefault="00347AF9" w14:paraId="7F9ADD12" w14:textId="77777777">
      <w:pPr>
        <w:pStyle w:val="JuQuot"/>
      </w:pPr>
      <w:r w:rsidRPr="002A529B">
        <w:t>...</w:t>
      </w:r>
    </w:p>
    <w:p w:rsidRPr="002A529B" w:rsidR="00347AF9" w:rsidP="002A529B" w:rsidRDefault="00347AF9" w14:paraId="731FF8BE" w14:textId="77777777">
      <w:pPr>
        <w:pStyle w:val="JuQuot"/>
      </w:pPr>
      <w:r w:rsidRPr="002A529B">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2A529B" w:rsidR="00347AF9" w:rsidP="002A529B" w:rsidRDefault="00347AF9" w14:paraId="2C967EF2" w14:textId="77777777">
      <w:pPr>
        <w:pStyle w:val="JuHA"/>
        <w:numPr>
          <w:ilvl w:val="2"/>
          <w:numId w:val="2"/>
        </w:numPr>
        <w:ind w:left="1224" w:hanging="504"/>
      </w:pPr>
      <w:r w:rsidRPr="002A529B">
        <w:t>Admissibility</w:t>
      </w:r>
    </w:p>
    <w:p w:rsidRPr="002A529B" w:rsidR="00347AF9" w:rsidP="002A529B" w:rsidRDefault="00347AF9" w14:paraId="2490CF60" w14:textId="0EC54900">
      <w:pPr>
        <w:pStyle w:val="JuPara"/>
      </w:pPr>
      <w:r w:rsidRPr="002A529B">
        <w:fldChar w:fldCharType="begin"/>
      </w:r>
      <w:r w:rsidRPr="002A529B">
        <w:instrText xml:space="preserve"> SEQ level0 \*arabic </w:instrText>
      </w:r>
      <w:r w:rsidRPr="002A529B">
        <w:fldChar w:fldCharType="separate"/>
      </w:r>
      <w:r w:rsidRPr="002A529B" w:rsidR="002A529B">
        <w:rPr>
          <w:noProof/>
        </w:rPr>
        <w:t>46</w:t>
      </w:r>
      <w:r w:rsidRPr="002A529B">
        <w:fldChar w:fldCharType="end"/>
      </w:r>
      <w:r w:rsidRPr="002A529B">
        <w:t>.  The Court notes that this complaint is neither manifestly ill-founded nor inadmissible on any other grounds listed in Article 35 of the</w:t>
      </w:r>
      <w:r w:rsidRPr="002A529B" w:rsidR="003D1934">
        <w:t> </w:t>
      </w:r>
      <w:r w:rsidRPr="002A529B">
        <w:t>Convention. It must therefore be declared admissible.</w:t>
      </w:r>
    </w:p>
    <w:p w:rsidRPr="002A529B" w:rsidR="00347AF9" w:rsidP="002A529B" w:rsidRDefault="00347AF9" w14:paraId="627057F6" w14:textId="77777777">
      <w:pPr>
        <w:pStyle w:val="JuHA"/>
        <w:numPr>
          <w:ilvl w:val="2"/>
          <w:numId w:val="2"/>
        </w:numPr>
        <w:ind w:left="1224" w:hanging="504"/>
      </w:pPr>
      <w:r w:rsidRPr="002A529B">
        <w:t>Merits</w:t>
      </w:r>
    </w:p>
    <w:p w:rsidRPr="002A529B" w:rsidR="00347AF9" w:rsidP="002A529B" w:rsidRDefault="00347AF9" w14:paraId="0AEB5A27" w14:textId="4C5D825F">
      <w:pPr>
        <w:pStyle w:val="JuPara"/>
      </w:pPr>
      <w:r w:rsidRPr="002A529B">
        <w:fldChar w:fldCharType="begin"/>
      </w:r>
      <w:r w:rsidRPr="002A529B">
        <w:instrText xml:space="preserve"> SEQ level0 \*arabic </w:instrText>
      </w:r>
      <w:r w:rsidRPr="002A529B">
        <w:fldChar w:fldCharType="separate"/>
      </w:r>
      <w:r w:rsidRPr="002A529B" w:rsidR="002A529B">
        <w:rPr>
          <w:noProof/>
        </w:rPr>
        <w:t>47</w:t>
      </w:r>
      <w:r w:rsidRPr="002A529B">
        <w:fldChar w:fldCharType="end"/>
      </w:r>
      <w:r w:rsidRPr="002A529B">
        <w:t>.  The applicant maintained his complaint.</w:t>
      </w:r>
    </w:p>
    <w:p w:rsidRPr="002A529B" w:rsidR="00347AF9" w:rsidP="002A529B" w:rsidRDefault="00347AF9" w14:paraId="01EE3F39" w14:textId="719B06B8">
      <w:pPr>
        <w:pStyle w:val="JuPara"/>
      </w:pPr>
      <w:r w:rsidRPr="002A529B">
        <w:fldChar w:fldCharType="begin"/>
      </w:r>
      <w:r w:rsidRPr="002A529B">
        <w:instrText xml:space="preserve"> SEQ level0 \*arabic </w:instrText>
      </w:r>
      <w:r w:rsidRPr="002A529B">
        <w:fldChar w:fldCharType="separate"/>
      </w:r>
      <w:r w:rsidRPr="002A529B" w:rsidR="002A529B">
        <w:rPr>
          <w:noProof/>
        </w:rPr>
        <w:t>48</w:t>
      </w:r>
      <w:r w:rsidRPr="002A529B">
        <w:fldChar w:fldCharType="end"/>
      </w:r>
      <w:r w:rsidRPr="002A529B">
        <w:t>.  The Government submitted that the applicant was indeed arrested on 2 September 2009 but his arrest was documented the next day because it was not technically possible to report it earlier.</w:t>
      </w:r>
    </w:p>
    <w:p w:rsidRPr="002A529B" w:rsidR="00347AF9" w:rsidP="002A529B" w:rsidRDefault="00347AF9" w14:paraId="2BFC11E6" w14:textId="45E574DD">
      <w:pPr>
        <w:pStyle w:val="JuPara"/>
      </w:pPr>
      <w:r w:rsidRPr="002A529B">
        <w:fldChar w:fldCharType="begin"/>
      </w:r>
      <w:r w:rsidRPr="002A529B">
        <w:instrText xml:space="preserve"> SEQ level0 \*arabic </w:instrText>
      </w:r>
      <w:r w:rsidRPr="002A529B">
        <w:fldChar w:fldCharType="separate"/>
      </w:r>
      <w:r w:rsidRPr="002A529B" w:rsidR="002A529B">
        <w:rPr>
          <w:noProof/>
        </w:rPr>
        <w:t>49</w:t>
      </w:r>
      <w:r w:rsidRPr="002A529B">
        <w:fldChar w:fldCharType="end"/>
      </w:r>
      <w:r w:rsidRPr="002A529B">
        <w:t>.  The Court reiterates that the unacknowledged detention of an individual is a complete negation of the fundamentally important guarantees contained in Article 5 of the Convention, and discloses a grave violation of that provision. Failure to record such matters as the date, time and location of detention, the name of the detainee, the reasons for detention and the</w:t>
      </w:r>
      <w:r w:rsidRPr="002A529B" w:rsidR="003D1934">
        <w:t> </w:t>
      </w:r>
      <w:r w:rsidRPr="002A529B">
        <w:t>name of the person carrying it out must be seen as incompatible with the</w:t>
      </w:r>
      <w:r w:rsidRPr="002A529B" w:rsidR="003D1934">
        <w:t> </w:t>
      </w:r>
      <w:r w:rsidRPr="002A529B">
        <w:t>requirement of lawfulness and with the very purpose of Article 5 of the</w:t>
      </w:r>
      <w:r w:rsidRPr="002A529B" w:rsidR="003D1934">
        <w:t> </w:t>
      </w:r>
      <w:r w:rsidRPr="002A529B">
        <w:t xml:space="preserve">Convention (see, among other authorities, </w:t>
      </w:r>
      <w:r w:rsidRPr="002A529B">
        <w:rPr>
          <w:i/>
        </w:rPr>
        <w:t>Smolik v. Ukraine</w:t>
      </w:r>
      <w:r w:rsidRPr="002A529B">
        <w:t>, no. 11778/05, § 45, 19 January 2012).</w:t>
      </w:r>
    </w:p>
    <w:p w:rsidRPr="002A529B" w:rsidR="00347AF9" w:rsidP="002A529B" w:rsidRDefault="002A529B" w14:paraId="00477423" w14:textId="05583DB4">
      <w:pPr>
        <w:pStyle w:val="JuPara"/>
        <w:rPr>
          <w:snapToGrid w:val="0"/>
        </w:rPr>
      </w:pPr>
      <w:fldSimple w:instr=" SEQ level0 \*arabic \* MERGEFORMAT ">
        <w:r w:rsidRPr="002A529B">
          <w:rPr>
            <w:noProof/>
          </w:rPr>
          <w:t>50</w:t>
        </w:r>
      </w:fldSimple>
      <w:r w:rsidRPr="002A529B" w:rsidR="00347AF9">
        <w:t>.  The Court has already found violations in similar circumstances (see</w:t>
      </w:r>
      <w:r w:rsidRPr="002A529B" w:rsidR="003A730B">
        <w:t> </w:t>
      </w:r>
      <w:r w:rsidRPr="002A529B" w:rsidR="00347AF9">
        <w:rPr>
          <w:i/>
          <w:iCs/>
        </w:rPr>
        <w:t>Smolik</w:t>
      </w:r>
      <w:r w:rsidRPr="002A529B" w:rsidR="00347AF9">
        <w:t xml:space="preserve">, cited above, §§ 46-48; </w:t>
      </w:r>
      <w:r w:rsidRPr="002A529B" w:rsidR="00347AF9">
        <w:rPr>
          <w:i/>
        </w:rPr>
        <w:t>Grinenko v. Ukraine</w:t>
      </w:r>
      <w:r w:rsidRPr="002A529B" w:rsidR="00347AF9">
        <w:t>, no. 33627/06</w:t>
      </w:r>
      <w:r w:rsidRPr="002A529B" w:rsidR="00347AF9">
        <w:rPr>
          <w:snapToGrid w:val="0"/>
        </w:rPr>
        <w:t>, §</w:t>
      </w:r>
      <w:r w:rsidRPr="002A529B" w:rsidR="009D17F7">
        <w:rPr>
          <w:snapToGrid w:val="0"/>
        </w:rPr>
        <w:t> </w:t>
      </w:r>
      <w:r w:rsidRPr="002A529B" w:rsidR="00347AF9">
        <w:rPr>
          <w:snapToGrid w:val="0"/>
        </w:rPr>
        <w:t>75</w:t>
      </w:r>
      <w:r w:rsidRPr="002A529B" w:rsidR="009D17F7">
        <w:rPr>
          <w:snapToGrid w:val="0"/>
        </w:rPr>
        <w:t>-</w:t>
      </w:r>
      <w:r w:rsidRPr="002A529B" w:rsidR="00347AF9">
        <w:rPr>
          <w:snapToGrid w:val="0"/>
        </w:rPr>
        <w:t xml:space="preserve">78, 15 November 2012 and </w:t>
      </w:r>
      <w:r w:rsidRPr="002A529B" w:rsidR="00347AF9">
        <w:rPr>
          <w:i/>
          <w:snapToGrid w:val="0"/>
        </w:rPr>
        <w:t>Beley v. Ukraine</w:t>
      </w:r>
      <w:r w:rsidRPr="002A529B" w:rsidR="00347AF9">
        <w:rPr>
          <w:snapToGrid w:val="0"/>
        </w:rPr>
        <w:t xml:space="preserve"> [Committee], no. 34199/09, §§ 46 and 59-61, 20 June 2019).</w:t>
      </w:r>
    </w:p>
    <w:p w:rsidRPr="002A529B" w:rsidR="00347AF9" w:rsidP="002A529B" w:rsidRDefault="002A529B" w14:paraId="503F0315" w14:textId="421C98F4">
      <w:pPr>
        <w:pStyle w:val="JuPara"/>
      </w:pPr>
      <w:fldSimple w:instr=" SEQ level0 \*arabic \* MERGEFORMAT ">
        <w:r w:rsidRPr="002A529B">
          <w:rPr>
            <w:noProof/>
          </w:rPr>
          <w:t>51</w:t>
        </w:r>
      </w:fldSimple>
      <w:r w:rsidRPr="002A529B" w:rsidR="00347AF9">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there was a violation of Article 5 § 1 of the Convention.</w:t>
      </w:r>
    </w:p>
    <w:p w:rsidRPr="002A529B" w:rsidR="00347AF9" w:rsidP="002A529B" w:rsidRDefault="00347AF9" w14:paraId="1C662874" w14:textId="0F2AF183">
      <w:pPr>
        <w:pStyle w:val="JuHIRoman"/>
      </w:pPr>
      <w:r w:rsidRPr="002A529B">
        <w:t>ALLEGED VIOLATION OF ARTICLE 5 § 3 OF THE</w:t>
      </w:r>
      <w:r w:rsidRPr="002A529B" w:rsidR="003A730B">
        <w:t xml:space="preserve"> </w:t>
      </w:r>
      <w:r w:rsidRPr="002A529B">
        <w:t>CONVENTION</w:t>
      </w:r>
    </w:p>
    <w:p w:rsidRPr="002A529B" w:rsidR="00347AF9" w:rsidP="002A529B" w:rsidRDefault="00347AF9" w14:paraId="162ABA9E" w14:textId="7E56978A">
      <w:pPr>
        <w:pStyle w:val="JuPara"/>
      </w:pPr>
      <w:r w:rsidRPr="002A529B">
        <w:fldChar w:fldCharType="begin"/>
      </w:r>
      <w:r w:rsidRPr="002A529B">
        <w:instrText xml:space="preserve"> SEQ level0 \*arabic </w:instrText>
      </w:r>
      <w:r w:rsidRPr="002A529B">
        <w:fldChar w:fldCharType="separate"/>
      </w:r>
      <w:r w:rsidRPr="002A529B" w:rsidR="002A529B">
        <w:rPr>
          <w:noProof/>
        </w:rPr>
        <w:t>52</w:t>
      </w:r>
      <w:r w:rsidRPr="002A529B">
        <w:fldChar w:fldCharType="end"/>
      </w:r>
      <w:r w:rsidRPr="002A529B">
        <w:t>.  The applicant complained under Article 5 § 3 of the Convention that his pre-trial detention had been excessive.</w:t>
      </w:r>
    </w:p>
    <w:p w:rsidRPr="002A529B" w:rsidR="00347AF9" w:rsidP="002A529B" w:rsidRDefault="002A529B" w14:paraId="0045F606" w14:textId="7018E897">
      <w:pPr>
        <w:pStyle w:val="JuPara"/>
      </w:pPr>
      <w:fldSimple w:instr=" SEQ level0 \*arabic \* MERGEFORMAT ">
        <w:r w:rsidRPr="002A529B">
          <w:rPr>
            <w:noProof/>
          </w:rPr>
          <w:t>53</w:t>
        </w:r>
      </w:fldSimple>
      <w:r w:rsidRPr="002A529B" w:rsidR="00347AF9">
        <w:t>.  Article 5 § 3 of the Convention reads as follows:</w:t>
      </w:r>
    </w:p>
    <w:p w:rsidRPr="002A529B" w:rsidR="00347AF9" w:rsidP="002A529B" w:rsidRDefault="00347AF9" w14:paraId="16FC079E" w14:textId="77777777">
      <w:pPr>
        <w:pStyle w:val="JuQuot"/>
      </w:pPr>
      <w:r w:rsidRPr="002A529B">
        <w:t>“3. Everyone arrested or detained in accordance with the provisions of paragraph 1 (c) of this Article shall be ... entitled to trial within a reasonable time or to release pending trial. Release may be conditioned by guarantees to appear for trial.”</w:t>
      </w:r>
    </w:p>
    <w:p w:rsidRPr="002A529B" w:rsidR="00347AF9" w:rsidP="002A529B" w:rsidRDefault="00347AF9" w14:paraId="5DBCFE28" w14:textId="77777777">
      <w:pPr>
        <w:pStyle w:val="JuHA"/>
      </w:pPr>
      <w:r w:rsidRPr="002A529B">
        <w:t>Admissibility</w:t>
      </w:r>
    </w:p>
    <w:p w:rsidRPr="002A529B" w:rsidR="00347AF9" w:rsidP="002A529B" w:rsidRDefault="002A529B" w14:paraId="366F30DC" w14:textId="071DDE14">
      <w:pPr>
        <w:pStyle w:val="JuPara"/>
      </w:pPr>
      <w:fldSimple w:instr=" SEQ level0 \*arabic \* MERGEFORMAT ">
        <w:r w:rsidRPr="002A529B">
          <w:rPr>
            <w:noProof/>
          </w:rPr>
          <w:t>54</w:t>
        </w:r>
      </w:fldSimple>
      <w:r w:rsidRPr="002A529B" w:rsidR="00347AF9">
        <w:t>.  The Court notes that this complaint is neither manifestly ill-founded nor inadmissible on any other grounds listed in Article 35 of the</w:t>
      </w:r>
      <w:r w:rsidRPr="002A529B" w:rsidR="003D1934">
        <w:t> </w:t>
      </w:r>
      <w:r w:rsidRPr="002A529B" w:rsidR="00347AF9">
        <w:t>Convention. It must therefore be declared admissible.</w:t>
      </w:r>
    </w:p>
    <w:p w:rsidRPr="002A529B" w:rsidR="00347AF9" w:rsidP="002A529B" w:rsidRDefault="00347AF9" w14:paraId="62B23C4A" w14:textId="77777777">
      <w:pPr>
        <w:pStyle w:val="JuHA"/>
      </w:pPr>
      <w:r w:rsidRPr="002A529B">
        <w:t>Merits</w:t>
      </w:r>
    </w:p>
    <w:p w:rsidRPr="002A529B" w:rsidR="00347AF9" w:rsidP="002A529B" w:rsidRDefault="002A529B" w14:paraId="6ABFD0F3" w14:textId="02B1193D">
      <w:pPr>
        <w:pStyle w:val="JuPara"/>
      </w:pPr>
      <w:fldSimple w:instr=" SEQ level0 \*arabic \* MERGEFORMAT ">
        <w:r w:rsidRPr="002A529B">
          <w:rPr>
            <w:noProof/>
          </w:rPr>
          <w:t>55</w:t>
        </w:r>
      </w:fldSimple>
      <w:r w:rsidRPr="002A529B" w:rsidR="00347AF9">
        <w:t>.  The applicant</w:t>
      </w:r>
      <w:r w:rsidRPr="002A529B">
        <w:t>’</w:t>
      </w:r>
      <w:r w:rsidRPr="002A529B" w:rsidR="00347AF9">
        <w:t xml:space="preserve">s pre-trial detention started on 2 September 2009 when he was </w:t>
      </w:r>
      <w:r w:rsidRPr="002A529B" w:rsidR="00347AF9">
        <w:rPr>
          <w:i/>
          <w:iCs/>
        </w:rPr>
        <w:t>de facto</w:t>
      </w:r>
      <w:r w:rsidRPr="002A529B" w:rsidR="00347AF9">
        <w:t xml:space="preserve"> arrested on suspicion of criminal activity. His uninterrupted detention continued until 25 March 2016 when he was released pending trial. However, on 30 April 2015 the applicant was convicted of a crime in the concurrent criminal proceedings (see</w:t>
      </w:r>
      <w:r w:rsidRPr="002A529B" w:rsidR="003A730B">
        <w:t> </w:t>
      </w:r>
      <w:r w:rsidRPr="002A529B" w:rsidR="00347AF9">
        <w:t>paragraph</w:t>
      </w:r>
      <w:r w:rsidRPr="002A529B" w:rsidR="003D1934">
        <w:t> </w:t>
      </w:r>
      <w:r w:rsidRPr="002A529B" w:rsidR="00347AF9">
        <w:fldChar w:fldCharType="begin"/>
      </w:r>
      <w:r w:rsidRPr="002A529B" w:rsidR="00347AF9">
        <w:instrText xml:space="preserve"> REF A1_Conviction_by_trial_court \h </w:instrText>
      </w:r>
      <w:r w:rsidRPr="002A529B" w:rsidR="00347AF9">
        <w:fldChar w:fldCharType="separate"/>
      </w:r>
      <w:r w:rsidRPr="002A529B">
        <w:rPr>
          <w:noProof/>
        </w:rPr>
        <w:t>16</w:t>
      </w:r>
      <w:r w:rsidRPr="002A529B" w:rsidR="00347AF9">
        <w:fldChar w:fldCharType="end"/>
      </w:r>
      <w:r w:rsidRPr="002A529B" w:rsidR="00347AF9">
        <w:t xml:space="preserve"> above) and on 5 September 2016 that conviction was quashed (see paragraph </w:t>
      </w:r>
      <w:r w:rsidRPr="002A529B" w:rsidR="00347AF9">
        <w:fldChar w:fldCharType="begin"/>
      </w:r>
      <w:r w:rsidRPr="002A529B" w:rsidR="00347AF9">
        <w:instrText xml:space="preserve"> REF A2_Conviction_quashed_HSCU \h </w:instrText>
      </w:r>
      <w:r w:rsidRPr="002A529B" w:rsidR="00347AF9">
        <w:fldChar w:fldCharType="separate"/>
      </w:r>
      <w:r w:rsidRPr="002A529B">
        <w:rPr>
          <w:noProof/>
        </w:rPr>
        <w:t>20</w:t>
      </w:r>
      <w:r w:rsidRPr="002A529B" w:rsidR="00347AF9">
        <w:fldChar w:fldCharType="end"/>
      </w:r>
      <w:r w:rsidRPr="002A529B" w:rsidR="00347AF9">
        <w:t xml:space="preserve"> above).</w:t>
      </w:r>
    </w:p>
    <w:p w:rsidRPr="002A529B" w:rsidR="00347AF9" w:rsidP="002A529B" w:rsidRDefault="002A529B" w14:paraId="5BBFF3F6" w14:textId="34EFEA56">
      <w:pPr>
        <w:pStyle w:val="JuPara"/>
      </w:pPr>
      <w:fldSimple w:instr=" SEQ level0 \*arabic \* MERGEFORMAT ">
        <w:r w:rsidRPr="002A529B">
          <w:rPr>
            <w:noProof/>
          </w:rPr>
          <w:t>56</w:t>
        </w:r>
      </w:fldSimple>
      <w:r w:rsidRPr="002A529B" w:rsidR="00347AF9">
        <w:t>.  The applicant</w:t>
      </w:r>
      <w:r w:rsidRPr="002A529B">
        <w:t>’</w:t>
      </w:r>
      <w:r w:rsidRPr="002A529B" w:rsidR="00347AF9">
        <w:t xml:space="preserve">s detention following the judgment of the trial court that convicted him falls within the exception set out in sub-paragraph (a) of Article 5 § 1 of the Convention (see </w:t>
      </w:r>
      <w:r w:rsidRPr="002A529B" w:rsidR="00347AF9">
        <w:rPr>
          <w:i/>
          <w:iCs/>
        </w:rPr>
        <w:t>Yaroshovets and Others v. Ukraine</w:t>
      </w:r>
      <w:r w:rsidRPr="002A529B" w:rsidR="00347AF9">
        <w:t xml:space="preserve">, nos. 74820/10 and 4 others, §§ 134 and 135, 3 December 2015), to which Article 5 § 3 does not apply (see, for example, </w:t>
      </w:r>
      <w:r w:rsidRPr="002A529B" w:rsidR="00347AF9">
        <w:rPr>
          <w:i/>
          <w:iCs/>
        </w:rPr>
        <w:t>Borisenko v. Ukraine</w:t>
      </w:r>
      <w:r w:rsidRPr="002A529B" w:rsidR="00347AF9">
        <w:t>, no. 25725/02, § 44, 12 January 2012).</w:t>
      </w:r>
    </w:p>
    <w:p w:rsidRPr="002A529B" w:rsidR="00347AF9" w:rsidP="002A529B" w:rsidRDefault="002A529B" w14:paraId="6DFEFD9B" w14:textId="6494C7F3">
      <w:pPr>
        <w:pStyle w:val="JuPara"/>
      </w:pPr>
      <w:fldSimple w:instr=" SEQ level0 \*arabic \* MERGEFORMAT ">
        <w:r w:rsidRPr="002A529B">
          <w:rPr>
            <w:noProof/>
          </w:rPr>
          <w:t>57</w:t>
        </w:r>
      </w:fldSimple>
      <w:r w:rsidRPr="002A529B" w:rsidR="00347AF9">
        <w:t>.  Accordingly, the period to be taken into consideration, after deducting the period covered by Article 5 § 1 (a) of the Convention lasted about five years and eight months.</w:t>
      </w:r>
    </w:p>
    <w:p w:rsidRPr="002A529B" w:rsidR="00347AF9" w:rsidP="002A529B" w:rsidRDefault="002A529B" w14:paraId="6A5409F5" w14:textId="6A03E669">
      <w:pPr>
        <w:pStyle w:val="JuPara"/>
      </w:pPr>
      <w:fldSimple w:instr=" SEQ level0 \*arabic \* MERGEFORMAT ">
        <w:r w:rsidRPr="002A529B">
          <w:rPr>
            <w:noProof/>
          </w:rPr>
          <w:t>58</w:t>
        </w:r>
      </w:fldSimple>
      <w:r w:rsidRPr="002A529B" w:rsidR="00347AF9">
        <w:t>.  Reviewing the facts of the present case in the light of the general principles developed in the Court</w:t>
      </w:r>
      <w:r w:rsidRPr="002A529B">
        <w:t>’</w:t>
      </w:r>
      <w:r w:rsidRPr="002A529B" w:rsidR="00347AF9">
        <w:t>s case-law (see, among other authorities, </w:t>
      </w:r>
      <w:r w:rsidRPr="002A529B" w:rsidR="00347AF9">
        <w:rPr>
          <w:i/>
          <w:iCs/>
        </w:rPr>
        <w:t>Buzadji v. the Republic of Moldova </w:t>
      </w:r>
      <w:r w:rsidRPr="002A529B" w:rsidR="00347AF9">
        <w:t>([GC], no. 23755/07,</w:t>
      </w:r>
      <w:r w:rsidRPr="002A529B" w:rsidR="009D17F7">
        <w:t xml:space="preserve"> </w:t>
      </w:r>
      <w:r w:rsidRPr="002A529B" w:rsidR="00347AF9">
        <w:t>§§</w:t>
      </w:r>
      <w:r w:rsidRPr="002A529B" w:rsidR="009D17F7">
        <w:t> </w:t>
      </w:r>
      <w:r w:rsidRPr="002A529B" w:rsidR="00347AF9">
        <w:t>84-91 and 102, 5 July 2016), the Court observes that the seriousness of the charges against the applicant and the procedural risks ensuing from those charges might have justified the applicant</w:t>
      </w:r>
      <w:r w:rsidRPr="002A529B">
        <w:t>’</w:t>
      </w:r>
      <w:r w:rsidRPr="002A529B" w:rsidR="00347AF9">
        <w:t>s detention in the initial period. Subsequently, his detention was extended on numerous occasions for a prolonged period of time and the Court has not been provided with all the court decisions concerning the applicant</w:t>
      </w:r>
      <w:r w:rsidRPr="002A529B">
        <w:t>’</w:t>
      </w:r>
      <w:r w:rsidRPr="002A529B" w:rsidR="00347AF9">
        <w:t>s detention. Having regard to the available material, it does not appear that the courts, at the relevant stages of the proceedings, made a thorough assessment of individual facts pertinent to the question of whether such a preventive measure was necessary in the circumstances.</w:t>
      </w:r>
    </w:p>
    <w:p w:rsidRPr="002A529B" w:rsidR="00347AF9" w:rsidP="002A529B" w:rsidRDefault="002A529B" w14:paraId="350EF683" w14:textId="7089876A">
      <w:pPr>
        <w:pStyle w:val="JuPara"/>
      </w:pPr>
      <w:fldSimple w:instr=" SEQ level0 \*arabic \* MERGEFORMAT ">
        <w:r w:rsidRPr="002A529B">
          <w:rPr>
            <w:noProof/>
          </w:rPr>
          <w:t>59</w:t>
        </w:r>
      </w:fldSimple>
      <w:r w:rsidRPr="002A529B" w:rsidR="00347AF9">
        <w:t>.  The Court has often found a violation of Article 5 § 3 of the</w:t>
      </w:r>
      <w:r w:rsidRPr="002A529B" w:rsidR="003D1934">
        <w:t> </w:t>
      </w:r>
      <w:r w:rsidRPr="002A529B" w:rsidR="00347AF9">
        <w:t>Convention in cases against Ukraine on the basis that even in respect of lengthy periods of detention, the domestic courts have referred to the same set of grounds (if there were any) throughout the period of an applicant</w:t>
      </w:r>
      <w:r w:rsidRPr="002A529B">
        <w:t>’</w:t>
      </w:r>
      <w:r w:rsidRPr="002A529B" w:rsidR="00347AF9">
        <w:t>s detention (see, for example, </w:t>
      </w:r>
      <w:r w:rsidRPr="002A529B" w:rsidR="00347AF9">
        <w:rPr>
          <w:i/>
          <w:iCs/>
        </w:rPr>
        <w:t>Kharchenko v. Ukraine</w:t>
      </w:r>
      <w:r w:rsidRPr="002A529B" w:rsidR="00347AF9">
        <w:t>, no. 40107/02, §§ 80</w:t>
      </w:r>
      <w:r w:rsidRPr="002A529B" w:rsidR="00347AF9">
        <w:noBreakHyphen/>
        <w:t>81 and 99, 10 February 2011, and </w:t>
      </w:r>
      <w:r w:rsidRPr="002A529B" w:rsidR="00347AF9">
        <w:rPr>
          <w:i/>
          <w:iCs/>
        </w:rPr>
        <w:t>Ignatov v. Ukraine</w:t>
      </w:r>
      <w:r w:rsidRPr="002A529B" w:rsidR="00347AF9">
        <w:t>, no. 40583/15, §§ 41-42, 15 December 2016).</w:t>
      </w:r>
    </w:p>
    <w:p w:rsidRPr="002A529B" w:rsidR="00347AF9" w:rsidP="002A529B" w:rsidRDefault="002A529B" w14:paraId="1A13D8C2" w14:textId="5AEC7B78">
      <w:pPr>
        <w:pStyle w:val="JuPara"/>
      </w:pPr>
      <w:fldSimple w:instr=" SEQ level0 \*arabic \* MERGEFORMAT ">
        <w:r w:rsidRPr="002A529B">
          <w:rPr>
            <w:noProof/>
          </w:rPr>
          <w:t>60</w:t>
        </w:r>
      </w:fldSimple>
      <w:r w:rsidRPr="002A529B" w:rsidR="00347AF9">
        <w:t>.  In the light of the above circumstances, the Court considers that the</w:t>
      </w:r>
      <w:r w:rsidRPr="002A529B" w:rsidR="003D1934">
        <w:t> </w:t>
      </w:r>
      <w:r w:rsidRPr="002A529B" w:rsidR="00347AF9">
        <w:t>authorities extended the applicant</w:t>
      </w:r>
      <w:r w:rsidRPr="002A529B">
        <w:t>’</w:t>
      </w:r>
      <w:r w:rsidRPr="002A529B" w:rsidR="00347AF9">
        <w:t>s detention on grounds that cannot be regarded as “sufficient” and “relevant” to justify his continuing detention.</w:t>
      </w:r>
    </w:p>
    <w:p w:rsidRPr="002A529B" w:rsidR="00347AF9" w:rsidP="002A529B" w:rsidRDefault="002A529B" w14:paraId="066F43CD" w14:textId="287F698F">
      <w:pPr>
        <w:pStyle w:val="JuPara"/>
      </w:pPr>
      <w:fldSimple w:instr=" SEQ level0 \*arabic \* MERGEFORMAT ">
        <w:r w:rsidRPr="002A529B">
          <w:rPr>
            <w:noProof/>
          </w:rPr>
          <w:t>61</w:t>
        </w:r>
      </w:fldSimple>
      <w:r w:rsidRPr="002A529B" w:rsidR="00347AF9">
        <w:t>.  There has accordingly been a violation of Article 5 § 3 of the</w:t>
      </w:r>
      <w:r w:rsidRPr="002A529B" w:rsidR="003D1934">
        <w:t> </w:t>
      </w:r>
      <w:r w:rsidRPr="002A529B" w:rsidR="00347AF9">
        <w:t>Convention.</w:t>
      </w:r>
    </w:p>
    <w:p w:rsidRPr="002A529B" w:rsidR="00347AF9" w:rsidP="002A529B" w:rsidRDefault="00347AF9" w14:paraId="7588C139" w14:textId="0DAA9196">
      <w:pPr>
        <w:pStyle w:val="JuHIRoman"/>
      </w:pPr>
      <w:r w:rsidRPr="002A529B">
        <w:t>ALLEGED VIOLATION OF ARTICLE 6 § 1 OF THE</w:t>
      </w:r>
      <w:r w:rsidRPr="002A529B" w:rsidR="003A730B">
        <w:t xml:space="preserve"> </w:t>
      </w:r>
      <w:r w:rsidRPr="002A529B">
        <w:t>CONVENTION</w:t>
      </w:r>
    </w:p>
    <w:p w:rsidRPr="002A529B" w:rsidR="00347AF9" w:rsidP="002A529B" w:rsidRDefault="002A529B" w14:paraId="1A6998ED" w14:textId="5CC14F15">
      <w:pPr>
        <w:pStyle w:val="JuPara"/>
      </w:pPr>
      <w:fldSimple w:instr=" SEQ level0 \*arabic \* MERGEFORMAT ">
        <w:r w:rsidRPr="002A529B">
          <w:rPr>
            <w:noProof/>
          </w:rPr>
          <w:t>62</w:t>
        </w:r>
      </w:fldSimple>
      <w:r w:rsidRPr="002A529B" w:rsidR="00347AF9">
        <w:t>.  The applicant complained that the proceedings against him had lasted for an excessively long time. He referred to Article 6 § 1 of the</w:t>
      </w:r>
      <w:r w:rsidRPr="002A529B" w:rsidR="003D1934">
        <w:t> </w:t>
      </w:r>
      <w:r w:rsidRPr="002A529B" w:rsidR="00347AF9">
        <w:t>Convention, the relevant part of which reads as follows:</w:t>
      </w:r>
    </w:p>
    <w:p w:rsidRPr="002A529B" w:rsidR="00347AF9" w:rsidP="002A529B" w:rsidRDefault="00347AF9" w14:paraId="601C8141" w14:textId="77777777">
      <w:pPr>
        <w:pStyle w:val="JuQuot"/>
      </w:pPr>
      <w:r w:rsidRPr="002A529B">
        <w:t>“In the determination of his civil rights and obligations or of any criminal charge against him, everyone is entitled to a ... hearing within a reasonable time by [a] ... tribunal ...”</w:t>
      </w:r>
    </w:p>
    <w:p w:rsidRPr="002A529B" w:rsidR="00347AF9" w:rsidP="002A529B" w:rsidRDefault="00347AF9" w14:paraId="40978D8E" w14:textId="77777777">
      <w:pPr>
        <w:pStyle w:val="JuHA"/>
      </w:pPr>
      <w:r w:rsidRPr="002A529B">
        <w:t>Admissibility</w:t>
      </w:r>
    </w:p>
    <w:p w:rsidRPr="002A529B" w:rsidR="00347AF9" w:rsidP="002A529B" w:rsidRDefault="00347AF9" w14:paraId="111E4C7E" w14:textId="2CBA2AC9">
      <w:pPr>
        <w:pStyle w:val="JuPara"/>
      </w:pPr>
      <w:r w:rsidRPr="002A529B">
        <w:fldChar w:fldCharType="begin"/>
      </w:r>
      <w:r w:rsidRPr="002A529B">
        <w:instrText xml:space="preserve"> SEQ level0 \*arabic </w:instrText>
      </w:r>
      <w:r w:rsidRPr="002A529B">
        <w:fldChar w:fldCharType="separate"/>
      </w:r>
      <w:r w:rsidRPr="002A529B" w:rsidR="002A529B">
        <w:rPr>
          <w:noProof/>
        </w:rPr>
        <w:t>63</w:t>
      </w:r>
      <w:r w:rsidRPr="002A529B">
        <w:fldChar w:fldCharType="end"/>
      </w:r>
      <w:r w:rsidRPr="002A529B">
        <w:t>.  The Court notes that this complaint is neither manifestly ill-founded nor inadmissible on any other grounds listed in Article 35 of the</w:t>
      </w:r>
      <w:r w:rsidRPr="002A529B" w:rsidR="003D1934">
        <w:t> </w:t>
      </w:r>
      <w:r w:rsidRPr="002A529B">
        <w:t>Convention. It must therefore be declared admissible.</w:t>
      </w:r>
    </w:p>
    <w:p w:rsidRPr="002A529B" w:rsidR="00347AF9" w:rsidP="002A529B" w:rsidRDefault="00347AF9" w14:paraId="52693153" w14:textId="77777777">
      <w:pPr>
        <w:pStyle w:val="JuHA"/>
      </w:pPr>
      <w:r w:rsidRPr="002A529B">
        <w:t>Merits</w:t>
      </w:r>
    </w:p>
    <w:p w:rsidRPr="002A529B" w:rsidR="00347AF9" w:rsidP="002A529B" w:rsidRDefault="002A529B" w14:paraId="289615CB" w14:textId="518B97AF">
      <w:pPr>
        <w:pStyle w:val="JuPara"/>
      </w:pPr>
      <w:fldSimple w:instr=" SEQ level0 \*arabic \* MERGEFORMAT ">
        <w:r w:rsidRPr="002A529B">
          <w:rPr>
            <w:noProof/>
          </w:rPr>
          <w:t>64</w:t>
        </w:r>
      </w:fldSimple>
      <w:r w:rsidRPr="002A529B" w:rsidR="00347AF9">
        <w:t>.  The Court reiterates that the reasonableness of the length of the</w:t>
      </w:r>
      <w:r w:rsidRPr="002A529B" w:rsidR="003D1934">
        <w:t> </w:t>
      </w:r>
      <w:r w:rsidRPr="002A529B" w:rsidR="00347AF9">
        <w:t>proceedings must be assessed in the light of the circumstances of the</w:t>
      </w:r>
      <w:r w:rsidRPr="002A529B" w:rsidR="003D1934">
        <w:t> </w:t>
      </w:r>
      <w:r w:rsidRPr="002A529B" w:rsidR="00347AF9">
        <w:t>case and with reference to the following criteria: the complexity of the</w:t>
      </w:r>
      <w:r w:rsidRPr="002A529B" w:rsidR="003D1934">
        <w:t> </w:t>
      </w:r>
      <w:r w:rsidRPr="002A529B" w:rsidR="00347AF9">
        <w:t xml:space="preserve">case, the conduct of the applicant and the relevant authorities, and what was at stake for the applicant in the dispute (see, among many other authorities, </w:t>
      </w:r>
      <w:r w:rsidRPr="002A529B" w:rsidR="00347AF9">
        <w:rPr>
          <w:i/>
          <w:iCs/>
        </w:rPr>
        <w:t>Pélissier and Sassi v. France</w:t>
      </w:r>
      <w:r w:rsidRPr="002A529B" w:rsidR="00347AF9">
        <w:t xml:space="preserve"> [GC], no. 25444/94, § 67, ECHR 1999‑II, and </w:t>
      </w:r>
      <w:r w:rsidRPr="002A529B" w:rsidR="00347AF9">
        <w:rPr>
          <w:i/>
          <w:iCs/>
        </w:rPr>
        <w:t>Frydlender v. France</w:t>
      </w:r>
      <w:r w:rsidRPr="002A529B" w:rsidR="00347AF9">
        <w:t xml:space="preserve"> [GC], no. 30979/96, § 43, ECHR 2000‑VII).</w:t>
      </w:r>
    </w:p>
    <w:p w:rsidRPr="002A529B" w:rsidR="00347AF9" w:rsidP="002A529B" w:rsidRDefault="002A529B" w14:paraId="20CEE204" w14:textId="7F5DAB98">
      <w:pPr>
        <w:pStyle w:val="JuPara"/>
      </w:pPr>
      <w:fldSimple w:instr=" SEQ level0 \*arabic \* MERGEFORMAT ">
        <w:r w:rsidRPr="002A529B">
          <w:rPr>
            <w:noProof/>
          </w:rPr>
          <w:t>65</w:t>
        </w:r>
      </w:fldSimple>
      <w:r w:rsidRPr="002A529B" w:rsidR="00347AF9">
        <w:t xml:space="preserve">.  In the leading case of </w:t>
      </w:r>
      <w:r w:rsidRPr="002A529B" w:rsidR="00347AF9">
        <w:rPr>
          <w:i/>
          <w:iCs/>
        </w:rPr>
        <w:t>Merit v. Ukraine</w:t>
      </w:r>
      <w:r w:rsidRPr="002A529B" w:rsidR="00347AF9">
        <w:t xml:space="preserve"> (no. 66561/01, 30 March 2004), the Court found a violation in respect of issues similar to those in the</w:t>
      </w:r>
      <w:r w:rsidRPr="002A529B" w:rsidR="003D1934">
        <w:t> </w:t>
      </w:r>
      <w:r w:rsidRPr="002A529B" w:rsidR="00347AF9">
        <w:t>present case.</w:t>
      </w:r>
    </w:p>
    <w:p w:rsidRPr="002A529B" w:rsidR="00347AF9" w:rsidP="002A529B" w:rsidRDefault="002A529B" w14:paraId="3BC1820E" w14:textId="6F6D3153">
      <w:pPr>
        <w:pStyle w:val="JuPara"/>
      </w:pPr>
      <w:fldSimple w:instr=" SEQ level0 \*arabic \* MERGEFORMAT ">
        <w:r w:rsidRPr="002A529B">
          <w:rPr>
            <w:noProof/>
          </w:rPr>
          <w:t>66</w:t>
        </w:r>
      </w:fldSimple>
      <w:r w:rsidRPr="002A529B" w:rsidR="00347AF9">
        <w:t>.  Having examined all the material submitted to it, the Court has not found any fact or argument capable of persuading it to reach a different conclusion as to the merits of the present complaint concerning the length of the proceedings, which exceeded seven years and six months over three levels of jurisdiction. Having regard to its case-law on the subject, the Court considers that in the instant case, the length of the proceedings was excessive and failed to meet the “reasonable time” requirement.</w:t>
      </w:r>
    </w:p>
    <w:p w:rsidRPr="002A529B" w:rsidR="00347AF9" w:rsidP="002A529B" w:rsidRDefault="002A529B" w14:paraId="09A71B52" w14:textId="415A3440">
      <w:pPr>
        <w:pStyle w:val="JuPara"/>
      </w:pPr>
      <w:fldSimple w:instr=" SEQ level0 \*arabic \* MERGEFORMAT ">
        <w:r w:rsidRPr="002A529B">
          <w:rPr>
            <w:noProof/>
          </w:rPr>
          <w:t>67</w:t>
        </w:r>
      </w:fldSimple>
      <w:r w:rsidRPr="002A529B" w:rsidR="00347AF9">
        <w:t>.  This complaint therefore discloses a breach of Article 6 § 1 of the</w:t>
      </w:r>
      <w:r w:rsidRPr="002A529B" w:rsidR="003D1934">
        <w:t> </w:t>
      </w:r>
      <w:r w:rsidRPr="002A529B" w:rsidR="00347AF9">
        <w:t>Convention.</w:t>
      </w:r>
    </w:p>
    <w:p w:rsidRPr="002A529B" w:rsidR="00347AF9" w:rsidP="002A529B" w:rsidRDefault="00347AF9" w14:paraId="6ACFD029" w14:textId="77777777">
      <w:pPr>
        <w:pStyle w:val="JuHIRoman"/>
      </w:pPr>
      <w:r w:rsidRPr="002A529B">
        <w:t>APPLICATION OF ARTICLE 41 OF THE CONVENTION</w:t>
      </w:r>
    </w:p>
    <w:p w:rsidRPr="002A529B" w:rsidR="00347AF9" w:rsidP="002A529B" w:rsidRDefault="00347AF9" w14:paraId="417197A6" w14:textId="1C2B19F0">
      <w:pPr>
        <w:pStyle w:val="JuPara"/>
        <w:keepNext/>
        <w:keepLines/>
      </w:pPr>
      <w:r w:rsidRPr="002A529B">
        <w:fldChar w:fldCharType="begin"/>
      </w:r>
      <w:r w:rsidRPr="002A529B">
        <w:instrText xml:space="preserve"> SEQ level0 \*arabic </w:instrText>
      </w:r>
      <w:r w:rsidRPr="002A529B">
        <w:fldChar w:fldCharType="separate"/>
      </w:r>
      <w:r w:rsidRPr="002A529B" w:rsidR="002A529B">
        <w:rPr>
          <w:noProof/>
        </w:rPr>
        <w:t>68</w:t>
      </w:r>
      <w:r w:rsidRPr="002A529B">
        <w:fldChar w:fldCharType="end"/>
      </w:r>
      <w:r w:rsidRPr="002A529B">
        <w:t>.  Article 41 of the Convention provides:</w:t>
      </w:r>
    </w:p>
    <w:p w:rsidRPr="002A529B" w:rsidR="00347AF9" w:rsidP="002A529B" w:rsidRDefault="00347AF9" w14:paraId="3DD3A4BB" w14:textId="77777777">
      <w:pPr>
        <w:pStyle w:val="JuQuot"/>
      </w:pPr>
      <w:r w:rsidRPr="002A529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A529B" w:rsidR="00347AF9" w:rsidP="002A529B" w:rsidRDefault="00347AF9" w14:paraId="7B636336" w14:textId="3638C456">
      <w:pPr>
        <w:pStyle w:val="JuPara"/>
      </w:pPr>
      <w:r w:rsidRPr="002A529B">
        <w:fldChar w:fldCharType="begin"/>
      </w:r>
      <w:r w:rsidRPr="002A529B">
        <w:instrText xml:space="preserve"> SEQ level0 \*arabic </w:instrText>
      </w:r>
      <w:r w:rsidRPr="002A529B">
        <w:fldChar w:fldCharType="separate"/>
      </w:r>
      <w:r w:rsidRPr="002A529B" w:rsidR="002A529B">
        <w:rPr>
          <w:noProof/>
        </w:rPr>
        <w:t>69</w:t>
      </w:r>
      <w:r w:rsidRPr="002A529B">
        <w:fldChar w:fldCharType="end"/>
      </w:r>
      <w:r w:rsidRPr="002A529B">
        <w:t>.  The applicant claimed EUR 1,000,000 euros (EUR) in respect of pecuniary and non-pecuniary damage. He further claimed EUR 10,000 for costs and expenses.</w:t>
      </w:r>
    </w:p>
    <w:p w:rsidRPr="002A529B" w:rsidR="00347AF9" w:rsidP="002A529B" w:rsidRDefault="00347AF9" w14:paraId="2EE2012F" w14:textId="09444322">
      <w:pPr>
        <w:pStyle w:val="JuPara"/>
      </w:pPr>
      <w:r w:rsidRPr="002A529B">
        <w:fldChar w:fldCharType="begin"/>
      </w:r>
      <w:r w:rsidRPr="002A529B">
        <w:instrText xml:space="preserve"> SEQ level0 \*arabic </w:instrText>
      </w:r>
      <w:r w:rsidRPr="002A529B">
        <w:fldChar w:fldCharType="separate"/>
      </w:r>
      <w:r w:rsidRPr="002A529B" w:rsidR="002A529B">
        <w:rPr>
          <w:noProof/>
        </w:rPr>
        <w:t>70</w:t>
      </w:r>
      <w:r w:rsidRPr="002A529B">
        <w:fldChar w:fldCharType="end"/>
      </w:r>
      <w:r w:rsidRPr="002A529B">
        <w:t>.  The Government contested the above claims as exorbitant and unsubstantiated.</w:t>
      </w:r>
    </w:p>
    <w:p w:rsidRPr="002A529B" w:rsidR="00347AF9" w:rsidP="002A529B" w:rsidRDefault="00347AF9" w14:paraId="2F543793" w14:textId="0E32D85D">
      <w:pPr>
        <w:pStyle w:val="JuPara"/>
      </w:pPr>
      <w:r w:rsidRPr="002A529B">
        <w:fldChar w:fldCharType="begin"/>
      </w:r>
      <w:r w:rsidRPr="002A529B">
        <w:instrText xml:space="preserve"> SEQ level0 \*arabic </w:instrText>
      </w:r>
      <w:r w:rsidRPr="002A529B">
        <w:fldChar w:fldCharType="separate"/>
      </w:r>
      <w:r w:rsidRPr="002A529B" w:rsidR="002A529B">
        <w:rPr>
          <w:noProof/>
        </w:rPr>
        <w:t>71</w:t>
      </w:r>
      <w:r w:rsidRPr="002A529B">
        <w:fldChar w:fldCharType="end"/>
      </w:r>
      <w:r w:rsidRPr="002A529B">
        <w:t>.  The Court awards the applicant EUR 15,600 in respect of non-pecuniary damage, plus any tax that may be chargeable on the applicant. It rejects the remainder of the claims as unfounded.</w:t>
      </w:r>
    </w:p>
    <w:p w:rsidRPr="002A529B" w:rsidR="00347AF9" w:rsidP="002A529B" w:rsidRDefault="00347AF9" w14:paraId="4CE4D187" w14:textId="6C01742F">
      <w:pPr>
        <w:pStyle w:val="JuPara"/>
      </w:pPr>
      <w:r w:rsidRPr="002A529B">
        <w:fldChar w:fldCharType="begin"/>
      </w:r>
      <w:r w:rsidRPr="002A529B">
        <w:instrText xml:space="preserve"> SEQ level0 \*arabic </w:instrText>
      </w:r>
      <w:r w:rsidRPr="002A529B">
        <w:fldChar w:fldCharType="separate"/>
      </w:r>
      <w:r w:rsidRPr="002A529B" w:rsidR="002A529B">
        <w:rPr>
          <w:noProof/>
        </w:rPr>
        <w:t>72</w:t>
      </w:r>
      <w:r w:rsidRPr="002A529B">
        <w:fldChar w:fldCharType="end"/>
      </w:r>
      <w:r w:rsidRPr="002A529B">
        <w:t>.  The Court considers it appropriate that the default interest rate should be based on the marginal lending rate of the European Central Bank, to which should be added three percentage points.</w:t>
      </w:r>
    </w:p>
    <w:p w:rsidRPr="002A529B" w:rsidR="00347AF9" w:rsidP="002A529B" w:rsidRDefault="00347AF9" w14:paraId="0146FAB1" w14:textId="77777777">
      <w:pPr>
        <w:pStyle w:val="JuHHead"/>
        <w:numPr>
          <w:ilvl w:val="0"/>
          <w:numId w:val="3"/>
        </w:numPr>
        <w:ind w:left="360" w:hanging="360"/>
      </w:pPr>
      <w:r w:rsidRPr="002A529B">
        <w:t>FOR THESE REASONS, THE COURT, UNANIMOUSLY,</w:t>
      </w:r>
    </w:p>
    <w:p w:rsidRPr="002A529B" w:rsidR="00347AF9" w:rsidP="002A529B" w:rsidRDefault="00347AF9" w14:paraId="1B0C1931" w14:textId="77777777">
      <w:pPr>
        <w:pStyle w:val="JuList"/>
        <w:numPr>
          <w:ilvl w:val="0"/>
          <w:numId w:val="1"/>
        </w:numPr>
        <w:ind w:left="0" w:firstLine="0"/>
      </w:pPr>
      <w:r w:rsidRPr="002A529B">
        <w:rPr>
          <w:i/>
        </w:rPr>
        <w:t xml:space="preserve">Decides </w:t>
      </w:r>
      <w:r w:rsidRPr="002A529B">
        <w:t>to join the applications;</w:t>
      </w:r>
    </w:p>
    <w:p w:rsidRPr="002A529B" w:rsidR="00347AF9" w:rsidP="002A529B" w:rsidRDefault="00347AF9" w14:paraId="3A2F2BD1" w14:textId="2F49178A">
      <w:pPr>
        <w:pStyle w:val="JuList"/>
        <w:numPr>
          <w:ilvl w:val="0"/>
          <w:numId w:val="1"/>
        </w:numPr>
        <w:ind w:left="0" w:firstLine="0"/>
      </w:pPr>
      <w:r w:rsidRPr="002A529B">
        <w:rPr>
          <w:i/>
          <w:iCs/>
        </w:rPr>
        <w:t>Joins to the merits</w:t>
      </w:r>
      <w:r w:rsidRPr="002A529B">
        <w:t xml:space="preserve"> the Government</w:t>
      </w:r>
      <w:r w:rsidRPr="002A529B" w:rsidR="002A529B">
        <w:t>’</w:t>
      </w:r>
      <w:r w:rsidRPr="002A529B">
        <w:t>s objection of non-exhaustion of domestic remedies in respect of the applicant</w:t>
      </w:r>
      <w:r w:rsidRPr="002A529B" w:rsidR="002A529B">
        <w:t>’</w:t>
      </w:r>
      <w:r w:rsidRPr="002A529B">
        <w:t>s complaints under Article 3;</w:t>
      </w:r>
    </w:p>
    <w:p w:rsidRPr="002A529B" w:rsidR="00347AF9" w:rsidP="002A529B" w:rsidRDefault="00347AF9" w14:paraId="3EB0CD0D" w14:textId="77777777">
      <w:pPr>
        <w:pStyle w:val="JuList"/>
        <w:numPr>
          <w:ilvl w:val="0"/>
          <w:numId w:val="1"/>
        </w:numPr>
      </w:pPr>
      <w:r w:rsidRPr="002A529B">
        <w:rPr>
          <w:i/>
        </w:rPr>
        <w:t>Declares</w:t>
      </w:r>
      <w:r w:rsidRPr="002A529B">
        <w:t xml:space="preserve"> the applications admissible;</w:t>
      </w:r>
    </w:p>
    <w:p w:rsidRPr="002A529B" w:rsidR="00347AF9" w:rsidP="002A529B" w:rsidRDefault="00347AF9" w14:paraId="0F54484E" w14:textId="2DBD13AB">
      <w:pPr>
        <w:pStyle w:val="JuList"/>
        <w:numPr>
          <w:ilvl w:val="0"/>
          <w:numId w:val="1"/>
        </w:numPr>
      </w:pPr>
      <w:r w:rsidRPr="002A529B">
        <w:rPr>
          <w:i/>
          <w:iCs/>
        </w:rPr>
        <w:t>Dismisses</w:t>
      </w:r>
      <w:r w:rsidRPr="002A529B">
        <w:t xml:space="preserve"> the Government</w:t>
      </w:r>
      <w:r w:rsidRPr="002A529B" w:rsidR="002A529B">
        <w:t>’</w:t>
      </w:r>
      <w:r w:rsidRPr="002A529B">
        <w:t>s objection of non-exhaustion of domestic remedies;</w:t>
      </w:r>
    </w:p>
    <w:p w:rsidRPr="002A529B" w:rsidR="00347AF9" w:rsidP="002A529B" w:rsidRDefault="00347AF9" w14:paraId="53F4A27E" w14:textId="4FF1EE6A">
      <w:pPr>
        <w:pStyle w:val="JuList"/>
        <w:numPr>
          <w:ilvl w:val="0"/>
          <w:numId w:val="1"/>
        </w:numPr>
      </w:pPr>
      <w:r w:rsidRPr="002A529B">
        <w:rPr>
          <w:i/>
        </w:rPr>
        <w:t>Holds</w:t>
      </w:r>
      <w:r w:rsidRPr="002A529B">
        <w:t xml:space="preserve"> that there has been a violation of Article 3 of the Convention under both its procedural and substantive limbs;</w:t>
      </w:r>
    </w:p>
    <w:p w:rsidRPr="002A529B" w:rsidR="00347AF9" w:rsidP="002A529B" w:rsidRDefault="00347AF9" w14:paraId="6B0AAAAA" w14:textId="77777777">
      <w:pPr>
        <w:pStyle w:val="JuList"/>
        <w:numPr>
          <w:ilvl w:val="0"/>
          <w:numId w:val="1"/>
        </w:numPr>
      </w:pPr>
      <w:r w:rsidRPr="002A529B">
        <w:rPr>
          <w:i/>
        </w:rPr>
        <w:t>Holds</w:t>
      </w:r>
      <w:r w:rsidRPr="002A529B">
        <w:t xml:space="preserve"> that there has been a violation of Article 5 § 1 of the Convention;</w:t>
      </w:r>
    </w:p>
    <w:p w:rsidRPr="002A529B" w:rsidR="00347AF9" w:rsidP="002A529B" w:rsidRDefault="00347AF9" w14:paraId="1342355F" w14:textId="77777777">
      <w:pPr>
        <w:pStyle w:val="JuList"/>
        <w:numPr>
          <w:ilvl w:val="0"/>
          <w:numId w:val="1"/>
        </w:numPr>
      </w:pPr>
      <w:r w:rsidRPr="002A529B">
        <w:rPr>
          <w:i/>
        </w:rPr>
        <w:t>Holds</w:t>
      </w:r>
      <w:r w:rsidRPr="002A529B">
        <w:t xml:space="preserve"> that there has been a violation of Article 5 § 3 of the Convention;</w:t>
      </w:r>
    </w:p>
    <w:p w:rsidRPr="002A529B" w:rsidR="00347AF9" w:rsidP="002A529B" w:rsidRDefault="00347AF9" w14:paraId="6E06297E" w14:textId="77777777">
      <w:pPr>
        <w:pStyle w:val="JuList"/>
        <w:numPr>
          <w:ilvl w:val="0"/>
          <w:numId w:val="1"/>
        </w:numPr>
      </w:pPr>
      <w:r w:rsidRPr="002A529B">
        <w:rPr>
          <w:i/>
        </w:rPr>
        <w:t>Holds</w:t>
      </w:r>
      <w:r w:rsidRPr="002A529B">
        <w:t xml:space="preserve"> that there has been a violation of Article 6 § 1 of the Convention;</w:t>
      </w:r>
    </w:p>
    <w:p w:rsidRPr="002A529B" w:rsidR="00347AF9" w:rsidP="002A529B" w:rsidRDefault="00347AF9" w14:paraId="7D72B883" w14:textId="5E78C286">
      <w:pPr>
        <w:pStyle w:val="JuList"/>
        <w:numPr>
          <w:ilvl w:val="0"/>
          <w:numId w:val="1"/>
        </w:numPr>
      </w:pPr>
      <w:r w:rsidRPr="002A529B">
        <w:rPr>
          <w:i/>
        </w:rPr>
        <w:t>Holds</w:t>
      </w:r>
    </w:p>
    <w:p w:rsidRPr="002A529B" w:rsidR="003D1934" w:rsidP="002A529B" w:rsidRDefault="003D1934" w14:paraId="434E6641" w14:textId="639FDA38">
      <w:pPr>
        <w:pStyle w:val="JuLista"/>
        <w:numPr>
          <w:ilvl w:val="1"/>
          <w:numId w:val="1"/>
        </w:numPr>
      </w:pPr>
      <w:r w:rsidRPr="002A529B">
        <w:t xml:space="preserve">that the respondent State is to pay the applicant, within three months, EUR 15,600 (fifteen thousand six hundred euros), plus any tax that may be chargeable, in respect of non-pecuniary damage, to be converted into </w:t>
      </w:r>
      <w:r w:rsidRPr="002A529B">
        <w:rPr>
          <w:color w:val="000000"/>
        </w:rPr>
        <w:t xml:space="preserve">the currency of the respondent State </w:t>
      </w:r>
      <w:r w:rsidRPr="002A529B">
        <w:t>at the rate applicable at the date of settlement</w:t>
      </w:r>
      <w:r w:rsidRPr="002A529B" w:rsidR="003A730B">
        <w:t>;</w:t>
      </w:r>
    </w:p>
    <w:p w:rsidRPr="002A529B" w:rsidR="003D1934" w:rsidP="002A529B" w:rsidRDefault="003D1934" w14:paraId="31B59DF6" w14:textId="77777777">
      <w:pPr>
        <w:pStyle w:val="JuLista"/>
        <w:numPr>
          <w:ilvl w:val="1"/>
          <w:numId w:val="1"/>
        </w:numPr>
      </w:pPr>
      <w:r w:rsidRPr="002A529B">
        <w:t>that from the expiry of the above-mentioned three months until settlement simple interest shall be payable on the above amount at a rate equal to the marginal lending rate of the European Central Bank during the default period plus three percentage points;</w:t>
      </w:r>
    </w:p>
    <w:p w:rsidRPr="002A529B" w:rsidR="004D0EC7" w:rsidP="002A529B" w:rsidRDefault="003D1934" w14:paraId="0CF3AB01" w14:textId="58F62D8F">
      <w:pPr>
        <w:pStyle w:val="JuList"/>
        <w:numPr>
          <w:ilvl w:val="0"/>
          <w:numId w:val="1"/>
        </w:numPr>
      </w:pPr>
      <w:r w:rsidRPr="002A529B">
        <w:rPr>
          <w:i/>
        </w:rPr>
        <w:t>Dismisses</w:t>
      </w:r>
      <w:r w:rsidRPr="002A529B">
        <w:t xml:space="preserve"> the remainder of the applicant</w:t>
      </w:r>
      <w:r w:rsidRPr="002A529B" w:rsidR="002A529B">
        <w:t>’</w:t>
      </w:r>
      <w:r w:rsidRPr="002A529B">
        <w:t>s claim for just satisfaction</w:t>
      </w:r>
      <w:r w:rsidRPr="002A529B" w:rsidR="00347AF9">
        <w:t>.</w:t>
      </w:r>
    </w:p>
    <w:p w:rsidRPr="002A529B" w:rsidR="00347AF9" w:rsidP="002A529B" w:rsidRDefault="007E2C8C" w14:paraId="0C19FBB8" w14:textId="3485C2E5">
      <w:pPr>
        <w:pStyle w:val="JuParaLast"/>
      </w:pPr>
      <w:r w:rsidRPr="002A529B">
        <w:t xml:space="preserve">Done in English, and notified in writing on </w:t>
      </w:r>
      <w:r w:rsidRPr="002A529B" w:rsidR="00347AF9">
        <w:rPr>
          <w:rFonts w:ascii="Times New Roman" w:hAnsi="Times New Roman" w:cs="Times New Roman"/>
        </w:rPr>
        <w:t>25 November 2021</w:t>
      </w:r>
      <w:r w:rsidRPr="002A529B">
        <w:t>, pursuant to Rule 77 §§ 2 and 3 of the Rules of Court.</w:t>
      </w:r>
    </w:p>
    <w:p w:rsidRPr="002A529B" w:rsidR="001C055B" w:rsidP="002A529B" w:rsidRDefault="00347AF9" w14:paraId="125E1609" w14:textId="2F668C1D">
      <w:pPr>
        <w:pStyle w:val="JuSigned"/>
        <w:tabs>
          <w:tab w:val="center" w:pos="6096"/>
        </w:tabs>
        <w:ind w:firstLine="709"/>
        <w:rPr>
          <w:lang w:val="sv-SE"/>
        </w:rPr>
      </w:pPr>
      <w:r w:rsidRPr="002A529B">
        <w:rPr>
          <w:lang w:val="sv-SE"/>
        </w:rPr>
        <w:t>Martina Keller</w:t>
      </w:r>
      <w:r w:rsidRPr="002A529B" w:rsidR="005879A2">
        <w:rPr>
          <w:lang w:val="sv-SE"/>
        </w:rPr>
        <w:t xml:space="preserve"> </w:t>
      </w:r>
      <w:r w:rsidRPr="002A529B" w:rsidR="009F4C8F">
        <w:rPr>
          <w:lang w:val="sv-SE"/>
        </w:rPr>
        <w:tab/>
      </w:r>
      <w:r w:rsidRPr="002A529B">
        <w:rPr>
          <w:lang w:val="sv-SE"/>
        </w:rPr>
        <w:t>Stéphanie Mourou-Vikström</w:t>
      </w:r>
      <w:r w:rsidRPr="002A529B" w:rsidR="009F4C8F">
        <w:rPr>
          <w:lang w:val="sv-SE"/>
        </w:rPr>
        <w:br/>
      </w:r>
      <w:r w:rsidRPr="002A529B" w:rsidR="009F4C8F">
        <w:rPr>
          <w:lang w:val="sv-SE"/>
        </w:rPr>
        <w:tab/>
      </w:r>
      <w:r w:rsidRPr="002A529B">
        <w:rPr>
          <w:lang w:val="sv-SE"/>
        </w:rPr>
        <w:t xml:space="preserve">Deputy </w:t>
      </w:r>
      <w:r w:rsidRPr="002A529B">
        <w:rPr>
          <w:iCs/>
          <w:lang w:val="sv-SE"/>
        </w:rPr>
        <w:t>Registrar</w:t>
      </w:r>
      <w:r w:rsidRPr="002A529B" w:rsidR="009F4C8F">
        <w:rPr>
          <w:lang w:val="sv-SE"/>
        </w:rPr>
        <w:tab/>
        <w:t>President</w:t>
      </w:r>
    </w:p>
    <w:p w:rsidRPr="002A529B" w:rsidR="00675AF2" w:rsidP="002A529B" w:rsidRDefault="00675AF2" w14:paraId="3E800B0C" w14:textId="77777777">
      <w:pPr>
        <w:pStyle w:val="JuPara"/>
        <w:rPr>
          <w:lang w:val="sv-SE"/>
        </w:rPr>
      </w:pPr>
    </w:p>
    <w:sectPr w:rsidRPr="002A529B" w:rsidR="00675AF2"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29940F" w14:textId="77777777" w:rsidR="00347AF9" w:rsidRPr="00E67565" w:rsidRDefault="00347AF9" w:rsidP="0098410D">
      <w:r w:rsidRPr="00E67565">
        <w:separator/>
      </w:r>
    </w:p>
  </w:endnote>
  <w:endnote w:type="continuationSeparator" w:id="0">
    <w:p w14:paraId="6428349A" w14:textId="77777777" w:rsidR="00347AF9" w:rsidRPr="00E67565" w:rsidRDefault="00347AF9" w:rsidP="0098410D">
      <w:r w:rsidRPr="00E675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F16271" w14:textId="67E5695C" w:rsidR="00347AF9" w:rsidRPr="00150BFA" w:rsidRDefault="00347AF9" w:rsidP="0020718E">
    <w:pPr>
      <w:jc w:val="center"/>
    </w:pPr>
    <w:r>
      <w:rPr>
        <w:noProof/>
        <w:lang w:val="en-US" w:eastAsia="ja-JP"/>
      </w:rPr>
      <w:drawing>
        <wp:inline distT="0" distB="0" distL="0" distR="0" wp14:anchorId="42851704" wp14:editId="06D0DE55">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BFBD668" w14:textId="15EE093F" w:rsidR="0098410D" w:rsidRPr="00E67565"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4A54C4" w14:textId="007A5DF8" w:rsidR="00347AF9" w:rsidRPr="00150BFA" w:rsidRDefault="00347AF9" w:rsidP="0020718E">
    <w:pPr>
      <w:jc w:val="center"/>
    </w:pPr>
    <w:r>
      <w:rPr>
        <w:noProof/>
        <w:lang w:val="en-US" w:eastAsia="ja-JP"/>
      </w:rPr>
      <w:drawing>
        <wp:inline distT="0" distB="0" distL="0" distR="0" wp14:anchorId="23979F10" wp14:editId="0ABDE53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10492E31" w14:textId="320EE52B" w:rsidR="009E7A6F" w:rsidRPr="00E67565"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20449" w14:textId="579BC1D0" w:rsidR="00182EBA" w:rsidRDefault="00347AF9"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6311C8" w14:textId="41A8BED3" w:rsidR="00182EBA" w:rsidRPr="000B7195" w:rsidRDefault="00347AF9" w:rsidP="007D3701">
    <w:pPr>
      <w:pStyle w:val="JuHeader"/>
    </w:pPr>
    <w:r>
      <w:fldChar w:fldCharType="begin"/>
    </w:r>
    <w:r>
      <w:instrText xml:space="preserve"> PAGE </w:instrText>
    </w:r>
    <w:r>
      <w:fldChar w:fldCharType="separate"/>
    </w:r>
    <w:r>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CD3F9" w14:textId="77777777" w:rsidR="00347AF9" w:rsidRPr="00E67565" w:rsidRDefault="00347AF9" w:rsidP="0098410D">
      <w:r w:rsidRPr="00E67565">
        <w:separator/>
      </w:r>
    </w:p>
  </w:footnote>
  <w:footnote w:type="continuationSeparator" w:id="0">
    <w:p w14:paraId="26799FA4" w14:textId="77777777" w:rsidR="00347AF9" w:rsidRPr="00E67565" w:rsidRDefault="00347AF9" w:rsidP="0098410D">
      <w:r w:rsidRPr="00E67565">
        <w:continuationSeparator/>
      </w:r>
    </w:p>
  </w:footnote>
  <w:footnote w:id="1">
    <w:p w14:paraId="55ACEFF4" w14:textId="0F85324A" w:rsidR="00ED31E6" w:rsidRDefault="00ED31E6">
      <w:pPr>
        <w:pStyle w:val="FootnoteText"/>
      </w:pPr>
      <w:r>
        <w:rPr>
          <w:rStyle w:val="FootnoteReference"/>
        </w:rPr>
        <w:footnoteRef/>
      </w:r>
      <w:r>
        <w:t xml:space="preserve"> </w:t>
      </w:r>
      <w:r w:rsidRPr="00ED31E6">
        <w:t xml:space="preserve">Rectified on </w:t>
      </w:r>
      <w:r>
        <w:t>21</w:t>
      </w:r>
      <w:r w:rsidR="003642E4">
        <w:t xml:space="preserve"> </w:t>
      </w:r>
      <w:r>
        <w:t>December</w:t>
      </w:r>
      <w:r w:rsidRPr="00ED31E6">
        <w:t xml:space="preserve"> 2021: the text was “14 November 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18EFDD" w14:textId="4D186C3D" w:rsidR="00347AF9" w:rsidRPr="00A45145" w:rsidRDefault="00347AF9" w:rsidP="00A45145">
    <w:pPr>
      <w:jc w:val="center"/>
    </w:pPr>
    <w:r>
      <w:rPr>
        <w:noProof/>
        <w:lang w:val="en-US" w:eastAsia="ja-JP"/>
      </w:rPr>
      <w:drawing>
        <wp:inline distT="0" distB="0" distL="0" distR="0" wp14:anchorId="6F8E0201" wp14:editId="35EFCCE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32FEC131" w14:textId="4B95CE4E" w:rsidR="0098410D" w:rsidRPr="00E67565"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9CA318" w14:textId="4E56CC99" w:rsidR="00347AF9" w:rsidRPr="00A45145" w:rsidRDefault="00347AF9" w:rsidP="00A45145">
    <w:pPr>
      <w:jc w:val="center"/>
    </w:pPr>
    <w:r>
      <w:rPr>
        <w:noProof/>
        <w:lang w:val="en-US" w:eastAsia="ja-JP"/>
      </w:rPr>
      <w:drawing>
        <wp:inline distT="0" distB="0" distL="0" distR="0" wp14:anchorId="6F37FAA9" wp14:editId="51981ABB">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72A41695" w14:textId="53466328" w:rsidR="0098410D" w:rsidRPr="00E67565"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3DA4F" w14:textId="296BD46B" w:rsidR="00182EBA" w:rsidRPr="004D0EC7" w:rsidRDefault="00347AF9" w:rsidP="004D0EC7">
    <w:pPr>
      <w:pStyle w:val="JuHeader"/>
    </w:pPr>
    <w:r>
      <w:t>SEVASTYANOV v. UKRAINE</w:t>
    </w:r>
    <w:r w:rsidR="00182EBA" w:rsidRPr="004D0EC7">
      <w:t xml:space="preserve"> </w:t>
    </w:r>
    <w:r w:rsidR="00182EBA">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3AAFB8" w14:textId="541E8200" w:rsidR="00182EBA" w:rsidRPr="00882CD5" w:rsidRDefault="00347AF9" w:rsidP="007D3701">
    <w:pPr>
      <w:pStyle w:val="JuHeader"/>
    </w:pPr>
    <w:r>
      <w:t>SEVASTYANOV v. UKRAINE</w:t>
    </w:r>
    <w:r w:rsidR="00182EBA"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2"/>
  </w:num>
  <w:num w:numId="2">
    <w:abstractNumId w:val="16"/>
  </w:num>
  <w:num w:numId="3">
    <w:abstractNumId w:val="18"/>
  </w:num>
  <w:num w:numId="4">
    <w:abstractNumId w:val="9"/>
  </w:num>
  <w:num w:numId="5">
    <w:abstractNumId w:val="13"/>
  </w:num>
  <w:num w:numId="6">
    <w:abstractNumId w:val="11"/>
  </w:num>
  <w:num w:numId="7">
    <w:abstractNumId w:val="10"/>
  </w:num>
  <w:num w:numId="8">
    <w:abstractNumId w:val="14"/>
  </w:num>
  <w:num w:numId="9">
    <w:abstractNumId w:val="12"/>
  </w:num>
  <w:num w:numId="10">
    <w:abstractNumId w:val="15"/>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347AF9"/>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2BD8"/>
    <w:rsid w:val="00287AD5"/>
    <w:rsid w:val="002934D0"/>
    <w:rsid w:val="00293676"/>
    <w:rsid w:val="00293BD9"/>
    <w:rsid w:val="002948AD"/>
    <w:rsid w:val="002A01CC"/>
    <w:rsid w:val="002A529B"/>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47AF9"/>
    <w:rsid w:val="003506B1"/>
    <w:rsid w:val="00355877"/>
    <w:rsid w:val="00356AC7"/>
    <w:rsid w:val="003609FA"/>
    <w:rsid w:val="003642E4"/>
    <w:rsid w:val="003710C8"/>
    <w:rsid w:val="003750BE"/>
    <w:rsid w:val="00385A36"/>
    <w:rsid w:val="00385F3D"/>
    <w:rsid w:val="00387B9D"/>
    <w:rsid w:val="00387C70"/>
    <w:rsid w:val="00390294"/>
    <w:rsid w:val="0039364F"/>
    <w:rsid w:val="00396686"/>
    <w:rsid w:val="0039778E"/>
    <w:rsid w:val="003A730B"/>
    <w:rsid w:val="003B4941"/>
    <w:rsid w:val="003C5714"/>
    <w:rsid w:val="003C6B9F"/>
    <w:rsid w:val="003C6E2A"/>
    <w:rsid w:val="003D0299"/>
    <w:rsid w:val="003D1934"/>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95E2B"/>
    <w:rsid w:val="006A037C"/>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3C73"/>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531A"/>
    <w:rsid w:val="009A115C"/>
    <w:rsid w:val="009B1606"/>
    <w:rsid w:val="009B1B5F"/>
    <w:rsid w:val="009B6673"/>
    <w:rsid w:val="009C191B"/>
    <w:rsid w:val="009C2BD6"/>
    <w:rsid w:val="009D17F7"/>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1456"/>
    <w:rsid w:val="00A34DD6"/>
    <w:rsid w:val="00A35683"/>
    <w:rsid w:val="00A36819"/>
    <w:rsid w:val="00A36989"/>
    <w:rsid w:val="00A41D86"/>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E6CBB"/>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33DE"/>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1078"/>
    <w:rsid w:val="00E63EC7"/>
    <w:rsid w:val="00E64915"/>
    <w:rsid w:val="00E64D3A"/>
    <w:rsid w:val="00E661D4"/>
    <w:rsid w:val="00E67565"/>
    <w:rsid w:val="00E70091"/>
    <w:rsid w:val="00E70D2E"/>
    <w:rsid w:val="00E720F5"/>
    <w:rsid w:val="00E76D47"/>
    <w:rsid w:val="00E827BC"/>
    <w:rsid w:val="00E849F7"/>
    <w:rsid w:val="00E90302"/>
    <w:rsid w:val="00E90CF9"/>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1E6"/>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017E"/>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6DDA3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D17F7"/>
    <w:rPr>
      <w:sz w:val="24"/>
      <w:szCs w:val="24"/>
      <w:lang w:val="en-GB"/>
    </w:rPr>
  </w:style>
  <w:style w:type="paragraph" w:styleId="Heading1">
    <w:name w:val="heading 1"/>
    <w:basedOn w:val="Normal"/>
    <w:next w:val="Normal"/>
    <w:link w:val="Heading1Char"/>
    <w:uiPriority w:val="98"/>
    <w:semiHidden/>
    <w:rsid w:val="009D17F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D17F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D17F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D17F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D17F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D17F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D17F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D17F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D17F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D17F7"/>
    <w:rPr>
      <w:rFonts w:ascii="Tahoma" w:hAnsi="Tahoma" w:cs="Tahoma"/>
      <w:sz w:val="16"/>
      <w:szCs w:val="16"/>
    </w:rPr>
  </w:style>
  <w:style w:type="character" w:customStyle="1" w:styleId="BalloonTextChar">
    <w:name w:val="Balloon Text Char"/>
    <w:basedOn w:val="DefaultParagraphFont"/>
    <w:link w:val="BalloonText"/>
    <w:uiPriority w:val="98"/>
    <w:semiHidden/>
    <w:rsid w:val="009D17F7"/>
    <w:rPr>
      <w:rFonts w:ascii="Tahoma" w:hAnsi="Tahoma" w:cs="Tahoma"/>
      <w:sz w:val="16"/>
      <w:szCs w:val="16"/>
      <w:lang w:val="en-GB"/>
    </w:rPr>
  </w:style>
  <w:style w:type="character" w:styleId="BookTitle">
    <w:name w:val="Book Title"/>
    <w:uiPriority w:val="98"/>
    <w:semiHidden/>
    <w:qFormat/>
    <w:rsid w:val="009D17F7"/>
    <w:rPr>
      <w:i/>
      <w:iCs/>
      <w:smallCaps/>
      <w:spacing w:val="5"/>
    </w:rPr>
  </w:style>
  <w:style w:type="paragraph" w:customStyle="1" w:styleId="JuHeader">
    <w:name w:val="Ju_Header"/>
    <w:aliases w:val="_Header"/>
    <w:basedOn w:val="Header"/>
    <w:uiPriority w:val="29"/>
    <w:qFormat/>
    <w:rsid w:val="009D17F7"/>
    <w:pPr>
      <w:tabs>
        <w:tab w:val="clear" w:pos="4536"/>
        <w:tab w:val="clear" w:pos="9072"/>
      </w:tabs>
      <w:jc w:val="center"/>
    </w:pPr>
    <w:rPr>
      <w:sz w:val="18"/>
    </w:rPr>
  </w:style>
  <w:style w:type="paragraph" w:customStyle="1" w:styleId="NormalJustified">
    <w:name w:val="Normal_Justified"/>
    <w:basedOn w:val="Normal"/>
    <w:semiHidden/>
    <w:rsid w:val="009D17F7"/>
    <w:pPr>
      <w:jc w:val="both"/>
    </w:pPr>
  </w:style>
  <w:style w:type="character" w:styleId="Strong">
    <w:name w:val="Strong"/>
    <w:uiPriority w:val="98"/>
    <w:semiHidden/>
    <w:qFormat/>
    <w:rsid w:val="009D17F7"/>
    <w:rPr>
      <w:b/>
      <w:bCs/>
    </w:rPr>
  </w:style>
  <w:style w:type="paragraph" w:styleId="NoSpacing">
    <w:name w:val="No Spacing"/>
    <w:basedOn w:val="Normal"/>
    <w:link w:val="NoSpacingChar"/>
    <w:uiPriority w:val="98"/>
    <w:semiHidden/>
    <w:qFormat/>
    <w:rsid w:val="009D17F7"/>
  </w:style>
  <w:style w:type="character" w:customStyle="1" w:styleId="NoSpacingChar">
    <w:name w:val="No Spacing Char"/>
    <w:basedOn w:val="DefaultParagraphFont"/>
    <w:link w:val="NoSpacing"/>
    <w:uiPriority w:val="98"/>
    <w:semiHidden/>
    <w:rsid w:val="009D17F7"/>
    <w:rPr>
      <w:sz w:val="24"/>
      <w:szCs w:val="24"/>
      <w:lang w:val="en-GB"/>
    </w:rPr>
  </w:style>
  <w:style w:type="paragraph" w:customStyle="1" w:styleId="JuQuot">
    <w:name w:val="Ju_Quot"/>
    <w:aliases w:val="_Quote"/>
    <w:basedOn w:val="NormalJustified"/>
    <w:uiPriority w:val="20"/>
    <w:qFormat/>
    <w:rsid w:val="009D17F7"/>
    <w:pPr>
      <w:spacing w:before="120" w:after="120"/>
      <w:ind w:left="425" w:firstLine="142"/>
    </w:pPr>
    <w:rPr>
      <w:sz w:val="20"/>
    </w:rPr>
  </w:style>
  <w:style w:type="paragraph" w:customStyle="1" w:styleId="DummyStyle">
    <w:name w:val="Dummy_Style"/>
    <w:aliases w:val="_Dummy"/>
    <w:basedOn w:val="Normal"/>
    <w:semiHidden/>
    <w:qFormat/>
    <w:rsid w:val="009D17F7"/>
    <w:rPr>
      <w:color w:val="00B050"/>
      <w:sz w:val="22"/>
    </w:rPr>
  </w:style>
  <w:style w:type="paragraph" w:customStyle="1" w:styleId="JuList">
    <w:name w:val="Ju_List"/>
    <w:aliases w:val="_List_1"/>
    <w:basedOn w:val="NormalJustified"/>
    <w:uiPriority w:val="23"/>
    <w:qFormat/>
    <w:rsid w:val="009D17F7"/>
    <w:pPr>
      <w:numPr>
        <w:numId w:val="9"/>
      </w:numPr>
      <w:spacing w:before="280" w:after="60"/>
    </w:pPr>
  </w:style>
  <w:style w:type="paragraph" w:customStyle="1" w:styleId="JuLista">
    <w:name w:val="Ju_List_a"/>
    <w:aliases w:val="_List_2"/>
    <w:basedOn w:val="NormalJustified"/>
    <w:uiPriority w:val="23"/>
    <w:rsid w:val="009D17F7"/>
    <w:pPr>
      <w:numPr>
        <w:ilvl w:val="1"/>
        <w:numId w:val="9"/>
      </w:numPr>
    </w:pPr>
  </w:style>
  <w:style w:type="paragraph" w:customStyle="1" w:styleId="JuListi">
    <w:name w:val="Ju_List_i"/>
    <w:aliases w:val="_List_3"/>
    <w:basedOn w:val="NormalJustified"/>
    <w:uiPriority w:val="23"/>
    <w:rsid w:val="009D17F7"/>
    <w:pPr>
      <w:numPr>
        <w:ilvl w:val="2"/>
        <w:numId w:val="9"/>
      </w:numPr>
    </w:pPr>
  </w:style>
  <w:style w:type="paragraph" w:customStyle="1" w:styleId="JuHArticle">
    <w:name w:val="Ju_H_Article"/>
    <w:aliases w:val="_Title_Quote"/>
    <w:basedOn w:val="Normal"/>
    <w:next w:val="JuQuot"/>
    <w:uiPriority w:val="19"/>
    <w:qFormat/>
    <w:rsid w:val="009D17F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D17F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D17F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D17F7"/>
    <w:pPr>
      <w:keepNext/>
      <w:keepLines/>
      <w:numPr>
        <w:numId w:val="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9D17F7"/>
    <w:pPr>
      <w:numPr>
        <w:numId w:val="8"/>
      </w:numPr>
    </w:pPr>
  </w:style>
  <w:style w:type="paragraph" w:customStyle="1" w:styleId="JuSigned">
    <w:name w:val="Ju_Signed"/>
    <w:aliases w:val="_Signature"/>
    <w:basedOn w:val="Normal"/>
    <w:next w:val="JuPara"/>
    <w:uiPriority w:val="31"/>
    <w:qFormat/>
    <w:rsid w:val="009D17F7"/>
    <w:pPr>
      <w:tabs>
        <w:tab w:val="center" w:pos="1418"/>
        <w:tab w:val="center" w:pos="5954"/>
      </w:tabs>
      <w:spacing w:before="720"/>
    </w:pPr>
  </w:style>
  <w:style w:type="paragraph" w:styleId="Title">
    <w:name w:val="Title"/>
    <w:basedOn w:val="Normal"/>
    <w:next w:val="Normal"/>
    <w:link w:val="TitleChar"/>
    <w:uiPriority w:val="98"/>
    <w:semiHidden/>
    <w:qFormat/>
    <w:rsid w:val="009D17F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D17F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D17F7"/>
    <w:pPr>
      <w:numPr>
        <w:numId w:val="1"/>
      </w:numPr>
    </w:pPr>
  </w:style>
  <w:style w:type="numbering" w:customStyle="1" w:styleId="ECHRA1StyleNumberedList">
    <w:name w:val="ECHR_A1_Style_Numbered_List"/>
    <w:basedOn w:val="NoList"/>
    <w:rsid w:val="009D17F7"/>
    <w:pPr>
      <w:numPr>
        <w:numId w:val="10"/>
      </w:numPr>
    </w:pPr>
  </w:style>
  <w:style w:type="table" w:customStyle="1" w:styleId="ECHRTable2019">
    <w:name w:val="ECHR_Table_2019"/>
    <w:basedOn w:val="TableNormal"/>
    <w:uiPriority w:val="99"/>
    <w:rsid w:val="009D17F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9D17F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D17F7"/>
    <w:pPr>
      <w:keepNext/>
      <w:keepLines/>
      <w:numPr>
        <w:ilvl w:val="1"/>
        <w:numId w:val="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link w:val="JuHAChar"/>
    <w:uiPriority w:val="17"/>
    <w:qFormat/>
    <w:rsid w:val="009D17F7"/>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D17F7"/>
    <w:pPr>
      <w:keepNext/>
      <w:keepLines/>
      <w:numPr>
        <w:ilvl w:val="3"/>
        <w:numId w:val="4"/>
      </w:numPr>
      <w:spacing w:before="100" w:beforeAutospacing="1" w:after="120"/>
      <w:jc w:val="both"/>
    </w:pPr>
    <w:rPr>
      <w:b w:val="0"/>
      <w:color w:val="auto"/>
      <w:sz w:val="24"/>
    </w:rPr>
  </w:style>
  <w:style w:type="paragraph" w:styleId="Header">
    <w:name w:val="header"/>
    <w:basedOn w:val="Normal"/>
    <w:link w:val="HeaderChar"/>
    <w:uiPriority w:val="98"/>
    <w:semiHidden/>
    <w:rsid w:val="009D17F7"/>
    <w:pPr>
      <w:tabs>
        <w:tab w:val="center" w:pos="4536"/>
        <w:tab w:val="right" w:pos="9072"/>
      </w:tabs>
    </w:pPr>
  </w:style>
  <w:style w:type="character" w:customStyle="1" w:styleId="HeaderChar">
    <w:name w:val="Header Char"/>
    <w:basedOn w:val="DefaultParagraphFont"/>
    <w:link w:val="Header"/>
    <w:uiPriority w:val="98"/>
    <w:semiHidden/>
    <w:rsid w:val="009D17F7"/>
    <w:rPr>
      <w:sz w:val="24"/>
      <w:szCs w:val="24"/>
      <w:lang w:val="en-GB"/>
    </w:rPr>
  </w:style>
  <w:style w:type="character" w:customStyle="1" w:styleId="Heading1Char">
    <w:name w:val="Heading 1 Char"/>
    <w:basedOn w:val="DefaultParagraphFont"/>
    <w:link w:val="Heading1"/>
    <w:uiPriority w:val="98"/>
    <w:semiHidden/>
    <w:rsid w:val="009D17F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D17F7"/>
    <w:pPr>
      <w:keepNext/>
      <w:keepLines/>
      <w:numPr>
        <w:ilvl w:val="4"/>
        <w:numId w:val="4"/>
      </w:numPr>
      <w:spacing w:before="100" w:beforeAutospacing="1" w:after="120"/>
      <w:jc w:val="both"/>
    </w:pPr>
    <w:rPr>
      <w:color w:val="auto"/>
      <w:sz w:val="20"/>
    </w:rPr>
  </w:style>
  <w:style w:type="paragraph" w:customStyle="1" w:styleId="JuHi">
    <w:name w:val="Ju_H_i"/>
    <w:aliases w:val="_Head_6"/>
    <w:basedOn w:val="Heading6"/>
    <w:next w:val="JuPara"/>
    <w:uiPriority w:val="17"/>
    <w:rsid w:val="009D17F7"/>
    <w:pPr>
      <w:keepNext/>
      <w:keepLines/>
      <w:numPr>
        <w:ilvl w:val="5"/>
        <w:numId w:val="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D17F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D17F7"/>
    <w:pPr>
      <w:keepNext/>
      <w:keepLines/>
      <w:numPr>
        <w:ilvl w:val="6"/>
        <w:numId w:val="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D17F7"/>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9D17F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D17F7"/>
    <w:pPr>
      <w:keepNext/>
      <w:keepLines/>
      <w:spacing w:before="240" w:after="240"/>
      <w:ind w:firstLine="284"/>
    </w:pPr>
  </w:style>
  <w:style w:type="paragraph" w:customStyle="1" w:styleId="JuJudges">
    <w:name w:val="Ju_Judges"/>
    <w:aliases w:val="_Judges"/>
    <w:basedOn w:val="Normal"/>
    <w:uiPriority w:val="32"/>
    <w:qFormat/>
    <w:rsid w:val="009D17F7"/>
    <w:pPr>
      <w:tabs>
        <w:tab w:val="left" w:pos="567"/>
        <w:tab w:val="left" w:pos="1134"/>
      </w:tabs>
    </w:pPr>
  </w:style>
  <w:style w:type="character" w:customStyle="1" w:styleId="Heading4Char">
    <w:name w:val="Heading 4 Char"/>
    <w:basedOn w:val="DefaultParagraphFont"/>
    <w:link w:val="Heading4"/>
    <w:uiPriority w:val="98"/>
    <w:semiHidden/>
    <w:rsid w:val="009D17F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9D17F7"/>
    <w:pPr>
      <w:tabs>
        <w:tab w:val="center" w:pos="6407"/>
      </w:tabs>
      <w:spacing w:before="720"/>
      <w:jc w:val="right"/>
    </w:pPr>
  </w:style>
  <w:style w:type="character" w:customStyle="1" w:styleId="Heading5Char">
    <w:name w:val="Heading 5 Char"/>
    <w:basedOn w:val="DefaultParagraphFont"/>
    <w:link w:val="Heading5"/>
    <w:uiPriority w:val="98"/>
    <w:semiHidden/>
    <w:rsid w:val="009D17F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9D17F7"/>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D17F7"/>
    <w:rPr>
      <w:caps w:val="0"/>
      <w:smallCaps/>
    </w:rPr>
  </w:style>
  <w:style w:type="character" w:styleId="SubtleEmphasis">
    <w:name w:val="Subtle Emphasis"/>
    <w:uiPriority w:val="98"/>
    <w:semiHidden/>
    <w:qFormat/>
    <w:rsid w:val="009D17F7"/>
    <w:rPr>
      <w:i/>
      <w:iCs/>
    </w:rPr>
  </w:style>
  <w:style w:type="table" w:customStyle="1" w:styleId="ECHRTable">
    <w:name w:val="ECHR_Table"/>
    <w:basedOn w:val="TableNormal"/>
    <w:rsid w:val="009D17F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D17F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D17F7"/>
    <w:rPr>
      <w:b/>
      <w:bCs/>
      <w:i/>
      <w:iCs/>
      <w:spacing w:val="10"/>
      <w:bdr w:val="none" w:sz="0" w:space="0" w:color="auto"/>
      <w:shd w:val="clear" w:color="auto" w:fill="auto"/>
    </w:rPr>
  </w:style>
  <w:style w:type="paragraph" w:styleId="Footer0">
    <w:name w:val="footer"/>
    <w:basedOn w:val="Normal"/>
    <w:link w:val="FooterChar"/>
    <w:uiPriority w:val="98"/>
    <w:semiHidden/>
    <w:rsid w:val="009D17F7"/>
    <w:pPr>
      <w:tabs>
        <w:tab w:val="center" w:pos="3686"/>
        <w:tab w:val="right" w:pos="7371"/>
      </w:tabs>
    </w:pPr>
  </w:style>
  <w:style w:type="character" w:customStyle="1" w:styleId="FooterChar">
    <w:name w:val="Footer Char"/>
    <w:basedOn w:val="DefaultParagraphFont"/>
    <w:link w:val="Footer0"/>
    <w:uiPriority w:val="98"/>
    <w:semiHidden/>
    <w:rsid w:val="009D17F7"/>
    <w:rPr>
      <w:sz w:val="24"/>
      <w:szCs w:val="24"/>
      <w:lang w:val="en-GB"/>
    </w:rPr>
  </w:style>
  <w:style w:type="character" w:styleId="FootnoteReference">
    <w:name w:val="footnote reference"/>
    <w:basedOn w:val="DefaultParagraphFont"/>
    <w:uiPriority w:val="98"/>
    <w:semiHidden/>
    <w:rsid w:val="009D17F7"/>
    <w:rPr>
      <w:vertAlign w:val="superscript"/>
    </w:rPr>
  </w:style>
  <w:style w:type="paragraph" w:styleId="FootnoteText">
    <w:name w:val="footnote text"/>
    <w:basedOn w:val="Normal"/>
    <w:link w:val="FootnoteTextChar"/>
    <w:uiPriority w:val="98"/>
    <w:semiHidden/>
    <w:rsid w:val="009D17F7"/>
    <w:rPr>
      <w:sz w:val="20"/>
      <w:szCs w:val="20"/>
    </w:rPr>
  </w:style>
  <w:style w:type="character" w:customStyle="1" w:styleId="FootnoteTextChar">
    <w:name w:val="Footnote Text Char"/>
    <w:basedOn w:val="DefaultParagraphFont"/>
    <w:link w:val="FootnoteText"/>
    <w:uiPriority w:val="98"/>
    <w:semiHidden/>
    <w:rsid w:val="009D17F7"/>
    <w:rPr>
      <w:sz w:val="20"/>
      <w:szCs w:val="20"/>
      <w:lang w:val="en-GB"/>
    </w:rPr>
  </w:style>
  <w:style w:type="character" w:customStyle="1" w:styleId="Heading6Char">
    <w:name w:val="Heading 6 Char"/>
    <w:basedOn w:val="DefaultParagraphFont"/>
    <w:link w:val="Heading6"/>
    <w:uiPriority w:val="98"/>
    <w:semiHidden/>
    <w:rsid w:val="009D17F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D17F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D17F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D17F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D17F7"/>
    <w:rPr>
      <w:color w:val="0072BC" w:themeColor="hyperlink"/>
      <w:u w:val="single"/>
    </w:rPr>
  </w:style>
  <w:style w:type="character" w:styleId="IntenseEmphasis">
    <w:name w:val="Intense Emphasis"/>
    <w:uiPriority w:val="98"/>
    <w:semiHidden/>
    <w:qFormat/>
    <w:rsid w:val="009D17F7"/>
    <w:rPr>
      <w:b/>
      <w:bCs/>
    </w:rPr>
  </w:style>
  <w:style w:type="paragraph" w:styleId="IntenseQuote">
    <w:name w:val="Intense Quote"/>
    <w:basedOn w:val="Normal"/>
    <w:next w:val="Normal"/>
    <w:link w:val="IntenseQuoteChar"/>
    <w:uiPriority w:val="98"/>
    <w:semiHidden/>
    <w:qFormat/>
    <w:rsid w:val="009D17F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D17F7"/>
    <w:rPr>
      <w:b/>
      <w:bCs/>
      <w:i/>
      <w:iCs/>
      <w:sz w:val="24"/>
      <w:szCs w:val="24"/>
      <w:lang w:val="en-GB" w:bidi="en-US"/>
    </w:rPr>
  </w:style>
  <w:style w:type="character" w:styleId="IntenseReference">
    <w:name w:val="Intense Reference"/>
    <w:uiPriority w:val="98"/>
    <w:semiHidden/>
    <w:qFormat/>
    <w:rsid w:val="009D17F7"/>
    <w:rPr>
      <w:smallCaps/>
      <w:spacing w:val="5"/>
      <w:u w:val="single"/>
    </w:rPr>
  </w:style>
  <w:style w:type="paragraph" w:styleId="ListParagraph">
    <w:name w:val="List Paragraph"/>
    <w:basedOn w:val="Normal"/>
    <w:uiPriority w:val="98"/>
    <w:semiHidden/>
    <w:qFormat/>
    <w:rsid w:val="009D17F7"/>
    <w:pPr>
      <w:ind w:left="720"/>
      <w:contextualSpacing/>
    </w:pPr>
  </w:style>
  <w:style w:type="table" w:customStyle="1" w:styleId="LtrTableAddress">
    <w:name w:val="Ltr_Table_Address"/>
    <w:aliases w:val="ECHR_Ltr_Table_Address"/>
    <w:basedOn w:val="TableNormal"/>
    <w:uiPriority w:val="99"/>
    <w:rsid w:val="009D17F7"/>
    <w:rPr>
      <w:sz w:val="24"/>
      <w:szCs w:val="24"/>
    </w:rPr>
    <w:tblPr>
      <w:tblInd w:w="5103" w:type="dxa"/>
    </w:tblPr>
  </w:style>
  <w:style w:type="paragraph" w:styleId="Quote">
    <w:name w:val="Quote"/>
    <w:basedOn w:val="Normal"/>
    <w:next w:val="Normal"/>
    <w:link w:val="QuoteChar"/>
    <w:uiPriority w:val="98"/>
    <w:semiHidden/>
    <w:qFormat/>
    <w:rsid w:val="009D17F7"/>
    <w:pPr>
      <w:spacing w:before="200"/>
      <w:ind w:left="360" w:right="360"/>
    </w:pPr>
    <w:rPr>
      <w:i/>
      <w:iCs/>
      <w:lang w:bidi="en-US"/>
    </w:rPr>
  </w:style>
  <w:style w:type="character" w:customStyle="1" w:styleId="QuoteChar">
    <w:name w:val="Quote Char"/>
    <w:basedOn w:val="DefaultParagraphFont"/>
    <w:link w:val="Quote"/>
    <w:uiPriority w:val="98"/>
    <w:semiHidden/>
    <w:rsid w:val="009D17F7"/>
    <w:rPr>
      <w:i/>
      <w:iCs/>
      <w:sz w:val="24"/>
      <w:szCs w:val="24"/>
      <w:lang w:val="en-GB" w:bidi="en-US"/>
    </w:rPr>
  </w:style>
  <w:style w:type="character" w:styleId="SubtleReference">
    <w:name w:val="Subtle Reference"/>
    <w:uiPriority w:val="98"/>
    <w:semiHidden/>
    <w:qFormat/>
    <w:rsid w:val="009D17F7"/>
    <w:rPr>
      <w:smallCaps/>
    </w:rPr>
  </w:style>
  <w:style w:type="table" w:styleId="TableGrid">
    <w:name w:val="Table Grid"/>
    <w:basedOn w:val="TableNormal"/>
    <w:uiPriority w:val="59"/>
    <w:semiHidden/>
    <w:rsid w:val="009D17F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D17F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D17F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D17F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D17F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D17F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D17F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D17F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D17F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D17F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D17F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D17F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D17F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D17F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D17F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D17F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D17F7"/>
    <w:pPr>
      <w:numPr>
        <w:numId w:val="5"/>
      </w:numPr>
    </w:pPr>
  </w:style>
  <w:style w:type="paragraph" w:customStyle="1" w:styleId="JuPara">
    <w:name w:val="Ju_Para"/>
    <w:aliases w:val="_Para"/>
    <w:basedOn w:val="NormalJustified"/>
    <w:link w:val="JuParaChar"/>
    <w:uiPriority w:val="4"/>
    <w:qFormat/>
    <w:rsid w:val="009D17F7"/>
    <w:pPr>
      <w:ind w:firstLine="284"/>
    </w:pPr>
  </w:style>
  <w:style w:type="numbering" w:styleId="1ai">
    <w:name w:val="Outline List 1"/>
    <w:basedOn w:val="NoList"/>
    <w:uiPriority w:val="99"/>
    <w:semiHidden/>
    <w:unhideWhenUsed/>
    <w:rsid w:val="009D17F7"/>
    <w:pPr>
      <w:numPr>
        <w:numId w:val="6"/>
      </w:numPr>
    </w:pPr>
  </w:style>
  <w:style w:type="table" w:customStyle="1" w:styleId="ECHRTableSimpleBox">
    <w:name w:val="ECHR_Table_Simple_Box"/>
    <w:basedOn w:val="TableNormal"/>
    <w:uiPriority w:val="99"/>
    <w:rsid w:val="009D17F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D17F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D17F7"/>
    <w:pPr>
      <w:numPr>
        <w:numId w:val="7"/>
      </w:numPr>
    </w:pPr>
  </w:style>
  <w:style w:type="table" w:customStyle="1" w:styleId="ECHRTableForInternalUse">
    <w:name w:val="ECHR_Table_For_Internal_Use"/>
    <w:basedOn w:val="TableNormal"/>
    <w:uiPriority w:val="99"/>
    <w:rsid w:val="009D17F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D17F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D17F7"/>
  </w:style>
  <w:style w:type="paragraph" w:styleId="BlockText">
    <w:name w:val="Block Text"/>
    <w:basedOn w:val="Normal"/>
    <w:uiPriority w:val="98"/>
    <w:semiHidden/>
    <w:rsid w:val="009D17F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D17F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D17F7"/>
    <w:pPr>
      <w:spacing w:after="120"/>
    </w:pPr>
  </w:style>
  <w:style w:type="character" w:customStyle="1" w:styleId="BodyTextChar">
    <w:name w:val="Body Text Char"/>
    <w:basedOn w:val="DefaultParagraphFont"/>
    <w:link w:val="BodyText"/>
    <w:uiPriority w:val="98"/>
    <w:semiHidden/>
    <w:rsid w:val="009D17F7"/>
    <w:rPr>
      <w:sz w:val="24"/>
      <w:szCs w:val="24"/>
      <w:lang w:val="en-GB"/>
    </w:rPr>
  </w:style>
  <w:style w:type="table" w:customStyle="1" w:styleId="ECHRTableOddBanded">
    <w:name w:val="ECHR_Table_Odd_Banded"/>
    <w:basedOn w:val="TableNormal"/>
    <w:uiPriority w:val="99"/>
    <w:rsid w:val="009D17F7"/>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D17F7"/>
    <w:pPr>
      <w:spacing w:after="120" w:line="480" w:lineRule="auto"/>
    </w:pPr>
  </w:style>
  <w:style w:type="table" w:customStyle="1" w:styleId="ECHRHeaderTableReduced">
    <w:name w:val="ECHR_Header_Table_Reduced"/>
    <w:basedOn w:val="TableNormal"/>
    <w:uiPriority w:val="99"/>
    <w:rsid w:val="009D17F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9D17F7"/>
    <w:pPr>
      <w:ind w:firstLine="284"/>
      <w:jc w:val="both"/>
    </w:pPr>
    <w:rPr>
      <w:b/>
    </w:rPr>
  </w:style>
  <w:style w:type="character" w:styleId="PageNumber">
    <w:name w:val="page number"/>
    <w:uiPriority w:val="98"/>
    <w:semiHidden/>
    <w:rsid w:val="009D17F7"/>
    <w:rPr>
      <w:sz w:val="18"/>
    </w:rPr>
  </w:style>
  <w:style w:type="paragraph" w:styleId="ListBullet">
    <w:name w:val="List Bullet"/>
    <w:basedOn w:val="Normal"/>
    <w:uiPriority w:val="98"/>
    <w:semiHidden/>
    <w:rsid w:val="009D17F7"/>
    <w:pPr>
      <w:numPr>
        <w:numId w:val="11"/>
      </w:numPr>
    </w:pPr>
  </w:style>
  <w:style w:type="paragraph" w:styleId="ListBullet3">
    <w:name w:val="List Bullet 3"/>
    <w:basedOn w:val="Normal"/>
    <w:uiPriority w:val="98"/>
    <w:semiHidden/>
    <w:rsid w:val="009D17F7"/>
    <w:pPr>
      <w:numPr>
        <w:numId w:val="13"/>
      </w:numPr>
      <w:contextualSpacing/>
    </w:pPr>
  </w:style>
  <w:style w:type="character" w:customStyle="1" w:styleId="BodyText2Char">
    <w:name w:val="Body Text 2 Char"/>
    <w:basedOn w:val="DefaultParagraphFont"/>
    <w:link w:val="BodyText2"/>
    <w:uiPriority w:val="98"/>
    <w:semiHidden/>
    <w:rsid w:val="009D17F7"/>
    <w:rPr>
      <w:sz w:val="24"/>
      <w:szCs w:val="24"/>
      <w:lang w:val="en-GB"/>
    </w:rPr>
  </w:style>
  <w:style w:type="paragraph" w:styleId="BodyText3">
    <w:name w:val="Body Text 3"/>
    <w:basedOn w:val="Normal"/>
    <w:link w:val="BodyText3Char"/>
    <w:uiPriority w:val="98"/>
    <w:semiHidden/>
    <w:rsid w:val="009D17F7"/>
    <w:pPr>
      <w:spacing w:after="120"/>
    </w:pPr>
    <w:rPr>
      <w:sz w:val="16"/>
      <w:szCs w:val="16"/>
    </w:rPr>
  </w:style>
  <w:style w:type="character" w:customStyle="1" w:styleId="BodyText3Char">
    <w:name w:val="Body Text 3 Char"/>
    <w:basedOn w:val="DefaultParagraphFont"/>
    <w:link w:val="BodyText3"/>
    <w:uiPriority w:val="98"/>
    <w:semiHidden/>
    <w:rsid w:val="009D17F7"/>
    <w:rPr>
      <w:sz w:val="16"/>
      <w:szCs w:val="16"/>
      <w:lang w:val="en-GB"/>
    </w:rPr>
  </w:style>
  <w:style w:type="paragraph" w:styleId="BodyTextFirstIndent">
    <w:name w:val="Body Text First Indent"/>
    <w:basedOn w:val="BodyText"/>
    <w:link w:val="BodyTextFirstIndentChar"/>
    <w:uiPriority w:val="98"/>
    <w:semiHidden/>
    <w:rsid w:val="009D17F7"/>
    <w:pPr>
      <w:spacing w:after="0"/>
      <w:ind w:firstLine="360"/>
    </w:pPr>
  </w:style>
  <w:style w:type="character" w:customStyle="1" w:styleId="BodyTextFirstIndentChar">
    <w:name w:val="Body Text First Indent Char"/>
    <w:basedOn w:val="BodyTextChar"/>
    <w:link w:val="BodyTextFirstIndent"/>
    <w:uiPriority w:val="98"/>
    <w:semiHidden/>
    <w:rsid w:val="009D17F7"/>
    <w:rPr>
      <w:sz w:val="24"/>
      <w:szCs w:val="24"/>
      <w:lang w:val="en-GB"/>
    </w:rPr>
  </w:style>
  <w:style w:type="paragraph" w:styleId="BodyTextIndent">
    <w:name w:val="Body Text Indent"/>
    <w:basedOn w:val="Normal"/>
    <w:link w:val="BodyTextIndentChar"/>
    <w:uiPriority w:val="98"/>
    <w:semiHidden/>
    <w:rsid w:val="009D17F7"/>
    <w:pPr>
      <w:spacing w:after="120"/>
      <w:ind w:left="283"/>
    </w:pPr>
  </w:style>
  <w:style w:type="character" w:customStyle="1" w:styleId="BodyTextIndentChar">
    <w:name w:val="Body Text Indent Char"/>
    <w:basedOn w:val="DefaultParagraphFont"/>
    <w:link w:val="BodyTextIndent"/>
    <w:uiPriority w:val="98"/>
    <w:semiHidden/>
    <w:rsid w:val="009D17F7"/>
    <w:rPr>
      <w:sz w:val="24"/>
      <w:szCs w:val="24"/>
      <w:lang w:val="en-GB"/>
    </w:rPr>
  </w:style>
  <w:style w:type="paragraph" w:styleId="BodyTextFirstIndent2">
    <w:name w:val="Body Text First Indent 2"/>
    <w:basedOn w:val="BodyTextIndent"/>
    <w:link w:val="BodyTextFirstIndent2Char"/>
    <w:uiPriority w:val="98"/>
    <w:semiHidden/>
    <w:rsid w:val="009D17F7"/>
    <w:pPr>
      <w:spacing w:after="0"/>
      <w:ind w:left="360" w:firstLine="360"/>
    </w:pPr>
  </w:style>
  <w:style w:type="character" w:customStyle="1" w:styleId="BodyTextFirstIndent2Char">
    <w:name w:val="Body Text First Indent 2 Char"/>
    <w:basedOn w:val="BodyTextIndentChar"/>
    <w:link w:val="BodyTextFirstIndent2"/>
    <w:uiPriority w:val="98"/>
    <w:semiHidden/>
    <w:rsid w:val="009D17F7"/>
    <w:rPr>
      <w:sz w:val="24"/>
      <w:szCs w:val="24"/>
      <w:lang w:val="en-GB"/>
    </w:rPr>
  </w:style>
  <w:style w:type="paragraph" w:styleId="BodyTextIndent2">
    <w:name w:val="Body Text Indent 2"/>
    <w:basedOn w:val="Normal"/>
    <w:link w:val="BodyTextIndent2Char"/>
    <w:uiPriority w:val="98"/>
    <w:semiHidden/>
    <w:rsid w:val="009D17F7"/>
    <w:pPr>
      <w:spacing w:after="120" w:line="480" w:lineRule="auto"/>
      <w:ind w:left="283"/>
    </w:pPr>
  </w:style>
  <w:style w:type="character" w:customStyle="1" w:styleId="BodyTextIndent2Char">
    <w:name w:val="Body Text Indent 2 Char"/>
    <w:basedOn w:val="DefaultParagraphFont"/>
    <w:link w:val="BodyTextIndent2"/>
    <w:uiPriority w:val="98"/>
    <w:semiHidden/>
    <w:rsid w:val="009D17F7"/>
    <w:rPr>
      <w:sz w:val="24"/>
      <w:szCs w:val="24"/>
      <w:lang w:val="en-GB"/>
    </w:rPr>
  </w:style>
  <w:style w:type="paragraph" w:styleId="BodyTextIndent3">
    <w:name w:val="Body Text Indent 3"/>
    <w:basedOn w:val="Normal"/>
    <w:link w:val="BodyTextIndent3Char"/>
    <w:uiPriority w:val="98"/>
    <w:semiHidden/>
    <w:rsid w:val="009D17F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D17F7"/>
    <w:rPr>
      <w:sz w:val="16"/>
      <w:szCs w:val="16"/>
      <w:lang w:val="en-GB"/>
    </w:rPr>
  </w:style>
  <w:style w:type="paragraph" w:styleId="Caption">
    <w:name w:val="caption"/>
    <w:basedOn w:val="Normal"/>
    <w:next w:val="Normal"/>
    <w:uiPriority w:val="98"/>
    <w:semiHidden/>
    <w:qFormat/>
    <w:rsid w:val="009D17F7"/>
    <w:pPr>
      <w:spacing w:after="200"/>
    </w:pPr>
    <w:rPr>
      <w:b/>
      <w:bCs/>
      <w:color w:val="0072BC" w:themeColor="accent1"/>
      <w:sz w:val="18"/>
      <w:szCs w:val="18"/>
    </w:rPr>
  </w:style>
  <w:style w:type="paragraph" w:styleId="Closing">
    <w:name w:val="Closing"/>
    <w:basedOn w:val="Normal"/>
    <w:link w:val="ClosingChar"/>
    <w:uiPriority w:val="98"/>
    <w:semiHidden/>
    <w:rsid w:val="009D17F7"/>
    <w:pPr>
      <w:ind w:left="4252"/>
    </w:pPr>
  </w:style>
  <w:style w:type="character" w:customStyle="1" w:styleId="ClosingChar">
    <w:name w:val="Closing Char"/>
    <w:basedOn w:val="DefaultParagraphFont"/>
    <w:link w:val="Closing"/>
    <w:uiPriority w:val="98"/>
    <w:semiHidden/>
    <w:rsid w:val="009D17F7"/>
    <w:rPr>
      <w:sz w:val="24"/>
      <w:szCs w:val="24"/>
      <w:lang w:val="en-GB"/>
    </w:rPr>
  </w:style>
  <w:style w:type="table" w:styleId="ColorfulGrid">
    <w:name w:val="Colorful Grid"/>
    <w:basedOn w:val="TableNormal"/>
    <w:uiPriority w:val="73"/>
    <w:semiHidden/>
    <w:rsid w:val="009D17F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D17F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D17F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D17F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D17F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D17F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D17F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D17F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D17F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D17F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D17F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D17F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D17F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D17F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D17F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D17F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D17F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D17F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D17F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D17F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D17F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D17F7"/>
    <w:rPr>
      <w:sz w:val="16"/>
      <w:szCs w:val="16"/>
    </w:rPr>
  </w:style>
  <w:style w:type="paragraph" w:styleId="CommentText">
    <w:name w:val="annotation text"/>
    <w:basedOn w:val="Normal"/>
    <w:link w:val="CommentTextChar"/>
    <w:uiPriority w:val="98"/>
    <w:semiHidden/>
    <w:rsid w:val="009D17F7"/>
    <w:rPr>
      <w:sz w:val="20"/>
      <w:szCs w:val="20"/>
    </w:rPr>
  </w:style>
  <w:style w:type="character" w:customStyle="1" w:styleId="CommentTextChar">
    <w:name w:val="Comment Text Char"/>
    <w:basedOn w:val="DefaultParagraphFont"/>
    <w:link w:val="CommentText"/>
    <w:uiPriority w:val="98"/>
    <w:semiHidden/>
    <w:rsid w:val="009D17F7"/>
    <w:rPr>
      <w:sz w:val="20"/>
      <w:szCs w:val="20"/>
      <w:lang w:val="en-GB"/>
    </w:rPr>
  </w:style>
  <w:style w:type="paragraph" w:styleId="CommentSubject">
    <w:name w:val="annotation subject"/>
    <w:basedOn w:val="CommentText"/>
    <w:next w:val="CommentText"/>
    <w:link w:val="CommentSubjectChar"/>
    <w:uiPriority w:val="98"/>
    <w:semiHidden/>
    <w:rsid w:val="009D17F7"/>
    <w:rPr>
      <w:b/>
      <w:bCs/>
    </w:rPr>
  </w:style>
  <w:style w:type="character" w:customStyle="1" w:styleId="CommentSubjectChar">
    <w:name w:val="Comment Subject Char"/>
    <w:basedOn w:val="CommentTextChar"/>
    <w:link w:val="CommentSubject"/>
    <w:uiPriority w:val="98"/>
    <w:semiHidden/>
    <w:rsid w:val="009D17F7"/>
    <w:rPr>
      <w:b/>
      <w:bCs/>
      <w:sz w:val="20"/>
      <w:szCs w:val="20"/>
      <w:lang w:val="en-GB"/>
    </w:rPr>
  </w:style>
  <w:style w:type="table" w:styleId="DarkList">
    <w:name w:val="Dark List"/>
    <w:basedOn w:val="TableNormal"/>
    <w:uiPriority w:val="70"/>
    <w:semiHidden/>
    <w:rsid w:val="009D17F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D17F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D17F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D17F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D17F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D17F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D17F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D17F7"/>
  </w:style>
  <w:style w:type="character" w:customStyle="1" w:styleId="DateChar">
    <w:name w:val="Date Char"/>
    <w:basedOn w:val="DefaultParagraphFont"/>
    <w:link w:val="Date"/>
    <w:uiPriority w:val="98"/>
    <w:semiHidden/>
    <w:rsid w:val="009D17F7"/>
    <w:rPr>
      <w:sz w:val="24"/>
      <w:szCs w:val="24"/>
      <w:lang w:val="en-GB"/>
    </w:rPr>
  </w:style>
  <w:style w:type="paragraph" w:styleId="DocumentMap">
    <w:name w:val="Document Map"/>
    <w:basedOn w:val="Normal"/>
    <w:link w:val="DocumentMapChar"/>
    <w:uiPriority w:val="98"/>
    <w:semiHidden/>
    <w:rsid w:val="009D17F7"/>
    <w:rPr>
      <w:rFonts w:ascii="Tahoma" w:hAnsi="Tahoma" w:cs="Tahoma"/>
      <w:sz w:val="16"/>
      <w:szCs w:val="16"/>
    </w:rPr>
  </w:style>
  <w:style w:type="character" w:customStyle="1" w:styleId="DocumentMapChar">
    <w:name w:val="Document Map Char"/>
    <w:basedOn w:val="DefaultParagraphFont"/>
    <w:link w:val="DocumentMap"/>
    <w:uiPriority w:val="98"/>
    <w:semiHidden/>
    <w:rsid w:val="009D17F7"/>
    <w:rPr>
      <w:rFonts w:ascii="Tahoma" w:hAnsi="Tahoma" w:cs="Tahoma"/>
      <w:sz w:val="16"/>
      <w:szCs w:val="16"/>
      <w:lang w:val="en-GB"/>
    </w:rPr>
  </w:style>
  <w:style w:type="paragraph" w:styleId="E-mailSignature">
    <w:name w:val="E-mail Signature"/>
    <w:basedOn w:val="Normal"/>
    <w:link w:val="E-mailSignatureChar"/>
    <w:uiPriority w:val="98"/>
    <w:semiHidden/>
    <w:rsid w:val="009D17F7"/>
  </w:style>
  <w:style w:type="character" w:customStyle="1" w:styleId="E-mailSignatureChar">
    <w:name w:val="E-mail Signature Char"/>
    <w:basedOn w:val="DefaultParagraphFont"/>
    <w:link w:val="E-mailSignature"/>
    <w:uiPriority w:val="98"/>
    <w:semiHidden/>
    <w:rsid w:val="009D17F7"/>
    <w:rPr>
      <w:sz w:val="24"/>
      <w:szCs w:val="24"/>
      <w:lang w:val="en-GB"/>
    </w:rPr>
  </w:style>
  <w:style w:type="character" w:styleId="EndnoteReference">
    <w:name w:val="endnote reference"/>
    <w:basedOn w:val="DefaultParagraphFont"/>
    <w:uiPriority w:val="98"/>
    <w:semiHidden/>
    <w:rsid w:val="009D17F7"/>
    <w:rPr>
      <w:vertAlign w:val="superscript"/>
    </w:rPr>
  </w:style>
  <w:style w:type="paragraph" w:styleId="EndnoteText">
    <w:name w:val="endnote text"/>
    <w:basedOn w:val="Normal"/>
    <w:link w:val="EndnoteTextChar"/>
    <w:uiPriority w:val="98"/>
    <w:semiHidden/>
    <w:rsid w:val="009D17F7"/>
    <w:rPr>
      <w:sz w:val="20"/>
      <w:szCs w:val="20"/>
    </w:rPr>
  </w:style>
  <w:style w:type="character" w:customStyle="1" w:styleId="EndnoteTextChar">
    <w:name w:val="Endnote Text Char"/>
    <w:basedOn w:val="DefaultParagraphFont"/>
    <w:link w:val="EndnoteText"/>
    <w:uiPriority w:val="98"/>
    <w:semiHidden/>
    <w:rsid w:val="009D17F7"/>
    <w:rPr>
      <w:sz w:val="20"/>
      <w:szCs w:val="20"/>
      <w:lang w:val="en-GB"/>
    </w:rPr>
  </w:style>
  <w:style w:type="paragraph" w:styleId="EnvelopeAddress">
    <w:name w:val="envelope address"/>
    <w:basedOn w:val="Normal"/>
    <w:uiPriority w:val="98"/>
    <w:semiHidden/>
    <w:rsid w:val="009D17F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D17F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D17F7"/>
    <w:rPr>
      <w:color w:val="7030A0" w:themeColor="followedHyperlink"/>
      <w:u w:val="single"/>
    </w:rPr>
  </w:style>
  <w:style w:type="character" w:styleId="HTMLAcronym">
    <w:name w:val="HTML Acronym"/>
    <w:basedOn w:val="DefaultParagraphFont"/>
    <w:uiPriority w:val="98"/>
    <w:semiHidden/>
    <w:rsid w:val="009D17F7"/>
  </w:style>
  <w:style w:type="paragraph" w:styleId="HTMLAddress">
    <w:name w:val="HTML Address"/>
    <w:basedOn w:val="Normal"/>
    <w:link w:val="HTMLAddressChar"/>
    <w:uiPriority w:val="98"/>
    <w:semiHidden/>
    <w:rsid w:val="009D17F7"/>
    <w:rPr>
      <w:i/>
      <w:iCs/>
    </w:rPr>
  </w:style>
  <w:style w:type="character" w:customStyle="1" w:styleId="HTMLAddressChar">
    <w:name w:val="HTML Address Char"/>
    <w:basedOn w:val="DefaultParagraphFont"/>
    <w:link w:val="HTMLAddress"/>
    <w:uiPriority w:val="98"/>
    <w:semiHidden/>
    <w:rsid w:val="009D17F7"/>
    <w:rPr>
      <w:i/>
      <w:iCs/>
      <w:sz w:val="24"/>
      <w:szCs w:val="24"/>
      <w:lang w:val="en-GB"/>
    </w:rPr>
  </w:style>
  <w:style w:type="character" w:styleId="HTMLCite">
    <w:name w:val="HTML Cite"/>
    <w:basedOn w:val="DefaultParagraphFont"/>
    <w:uiPriority w:val="98"/>
    <w:semiHidden/>
    <w:rsid w:val="009D17F7"/>
    <w:rPr>
      <w:i/>
      <w:iCs/>
    </w:rPr>
  </w:style>
  <w:style w:type="character" w:styleId="HTMLCode">
    <w:name w:val="HTML Code"/>
    <w:basedOn w:val="DefaultParagraphFont"/>
    <w:uiPriority w:val="98"/>
    <w:semiHidden/>
    <w:rsid w:val="009D17F7"/>
    <w:rPr>
      <w:rFonts w:ascii="Consolas" w:hAnsi="Consolas" w:cs="Consolas"/>
      <w:sz w:val="20"/>
      <w:szCs w:val="20"/>
    </w:rPr>
  </w:style>
  <w:style w:type="character" w:styleId="HTMLDefinition">
    <w:name w:val="HTML Definition"/>
    <w:basedOn w:val="DefaultParagraphFont"/>
    <w:uiPriority w:val="98"/>
    <w:semiHidden/>
    <w:rsid w:val="009D17F7"/>
    <w:rPr>
      <w:i/>
      <w:iCs/>
    </w:rPr>
  </w:style>
  <w:style w:type="character" w:styleId="HTMLKeyboard">
    <w:name w:val="HTML Keyboard"/>
    <w:basedOn w:val="DefaultParagraphFont"/>
    <w:uiPriority w:val="98"/>
    <w:semiHidden/>
    <w:rsid w:val="009D17F7"/>
    <w:rPr>
      <w:rFonts w:ascii="Consolas" w:hAnsi="Consolas" w:cs="Consolas"/>
      <w:sz w:val="20"/>
      <w:szCs w:val="20"/>
    </w:rPr>
  </w:style>
  <w:style w:type="paragraph" w:styleId="HTMLPreformatted">
    <w:name w:val="HTML Preformatted"/>
    <w:basedOn w:val="Normal"/>
    <w:link w:val="HTMLPreformattedChar"/>
    <w:uiPriority w:val="98"/>
    <w:semiHidden/>
    <w:rsid w:val="009D17F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D17F7"/>
    <w:rPr>
      <w:rFonts w:ascii="Consolas" w:hAnsi="Consolas" w:cs="Consolas"/>
      <w:sz w:val="20"/>
      <w:szCs w:val="20"/>
      <w:lang w:val="en-GB"/>
    </w:rPr>
  </w:style>
  <w:style w:type="character" w:styleId="HTMLSample">
    <w:name w:val="HTML Sample"/>
    <w:basedOn w:val="DefaultParagraphFont"/>
    <w:uiPriority w:val="98"/>
    <w:semiHidden/>
    <w:rsid w:val="009D17F7"/>
    <w:rPr>
      <w:rFonts w:ascii="Consolas" w:hAnsi="Consolas" w:cs="Consolas"/>
      <w:sz w:val="24"/>
      <w:szCs w:val="24"/>
    </w:rPr>
  </w:style>
  <w:style w:type="character" w:styleId="HTMLTypewriter">
    <w:name w:val="HTML Typewriter"/>
    <w:basedOn w:val="DefaultParagraphFont"/>
    <w:uiPriority w:val="98"/>
    <w:semiHidden/>
    <w:rsid w:val="009D17F7"/>
    <w:rPr>
      <w:rFonts w:ascii="Consolas" w:hAnsi="Consolas" w:cs="Consolas"/>
      <w:sz w:val="20"/>
      <w:szCs w:val="20"/>
    </w:rPr>
  </w:style>
  <w:style w:type="character" w:styleId="HTMLVariable">
    <w:name w:val="HTML Variable"/>
    <w:basedOn w:val="DefaultParagraphFont"/>
    <w:uiPriority w:val="98"/>
    <w:semiHidden/>
    <w:rsid w:val="009D17F7"/>
    <w:rPr>
      <w:i/>
      <w:iCs/>
    </w:rPr>
  </w:style>
  <w:style w:type="paragraph" w:styleId="Index1">
    <w:name w:val="index 1"/>
    <w:basedOn w:val="Normal"/>
    <w:next w:val="Normal"/>
    <w:autoRedefine/>
    <w:uiPriority w:val="98"/>
    <w:semiHidden/>
    <w:rsid w:val="009D17F7"/>
    <w:pPr>
      <w:ind w:left="240" w:hanging="240"/>
    </w:pPr>
  </w:style>
  <w:style w:type="paragraph" w:styleId="Index2">
    <w:name w:val="index 2"/>
    <w:basedOn w:val="Normal"/>
    <w:next w:val="Normal"/>
    <w:autoRedefine/>
    <w:uiPriority w:val="98"/>
    <w:semiHidden/>
    <w:rsid w:val="009D17F7"/>
    <w:pPr>
      <w:ind w:left="480" w:hanging="240"/>
    </w:pPr>
  </w:style>
  <w:style w:type="paragraph" w:styleId="Index3">
    <w:name w:val="index 3"/>
    <w:basedOn w:val="Normal"/>
    <w:next w:val="Normal"/>
    <w:autoRedefine/>
    <w:uiPriority w:val="98"/>
    <w:semiHidden/>
    <w:rsid w:val="009D17F7"/>
    <w:pPr>
      <w:ind w:left="720" w:hanging="240"/>
    </w:pPr>
  </w:style>
  <w:style w:type="paragraph" w:styleId="Index4">
    <w:name w:val="index 4"/>
    <w:basedOn w:val="Normal"/>
    <w:next w:val="Normal"/>
    <w:autoRedefine/>
    <w:uiPriority w:val="98"/>
    <w:semiHidden/>
    <w:rsid w:val="009D17F7"/>
    <w:pPr>
      <w:ind w:left="960" w:hanging="240"/>
    </w:pPr>
  </w:style>
  <w:style w:type="paragraph" w:styleId="Index5">
    <w:name w:val="index 5"/>
    <w:basedOn w:val="Normal"/>
    <w:next w:val="Normal"/>
    <w:autoRedefine/>
    <w:uiPriority w:val="98"/>
    <w:semiHidden/>
    <w:rsid w:val="009D17F7"/>
    <w:pPr>
      <w:ind w:left="1200" w:hanging="240"/>
    </w:pPr>
  </w:style>
  <w:style w:type="paragraph" w:styleId="Index6">
    <w:name w:val="index 6"/>
    <w:basedOn w:val="Normal"/>
    <w:next w:val="Normal"/>
    <w:autoRedefine/>
    <w:uiPriority w:val="98"/>
    <w:semiHidden/>
    <w:rsid w:val="009D17F7"/>
    <w:pPr>
      <w:ind w:left="1440" w:hanging="240"/>
    </w:pPr>
  </w:style>
  <w:style w:type="paragraph" w:styleId="Index7">
    <w:name w:val="index 7"/>
    <w:basedOn w:val="Normal"/>
    <w:next w:val="Normal"/>
    <w:autoRedefine/>
    <w:uiPriority w:val="98"/>
    <w:semiHidden/>
    <w:rsid w:val="009D17F7"/>
    <w:pPr>
      <w:ind w:left="1680" w:hanging="240"/>
    </w:pPr>
  </w:style>
  <w:style w:type="paragraph" w:styleId="Index8">
    <w:name w:val="index 8"/>
    <w:basedOn w:val="Normal"/>
    <w:next w:val="Normal"/>
    <w:autoRedefine/>
    <w:uiPriority w:val="98"/>
    <w:semiHidden/>
    <w:rsid w:val="009D17F7"/>
    <w:pPr>
      <w:ind w:left="1920" w:hanging="240"/>
    </w:pPr>
  </w:style>
  <w:style w:type="paragraph" w:styleId="Index9">
    <w:name w:val="index 9"/>
    <w:basedOn w:val="Normal"/>
    <w:next w:val="Normal"/>
    <w:autoRedefine/>
    <w:uiPriority w:val="98"/>
    <w:semiHidden/>
    <w:rsid w:val="009D17F7"/>
    <w:pPr>
      <w:ind w:left="2160" w:hanging="240"/>
    </w:pPr>
  </w:style>
  <w:style w:type="paragraph" w:styleId="IndexHeading">
    <w:name w:val="index heading"/>
    <w:basedOn w:val="Normal"/>
    <w:next w:val="Index1"/>
    <w:uiPriority w:val="98"/>
    <w:semiHidden/>
    <w:rsid w:val="009D17F7"/>
    <w:rPr>
      <w:rFonts w:asciiTheme="majorHAnsi" w:eastAsiaTheme="majorEastAsia" w:hAnsiTheme="majorHAnsi" w:cstheme="majorBidi"/>
      <w:b/>
      <w:bCs/>
    </w:rPr>
  </w:style>
  <w:style w:type="table" w:styleId="LightGrid">
    <w:name w:val="Light Grid"/>
    <w:basedOn w:val="TableNormal"/>
    <w:uiPriority w:val="62"/>
    <w:semiHidden/>
    <w:rsid w:val="009D17F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D17F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D17F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D17F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D17F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D17F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D17F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D17F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D17F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D17F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D17F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D17F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D17F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D17F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D17F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D17F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D17F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D17F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D17F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D17F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D17F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D17F7"/>
  </w:style>
  <w:style w:type="paragraph" w:styleId="List">
    <w:name w:val="List"/>
    <w:basedOn w:val="Normal"/>
    <w:uiPriority w:val="98"/>
    <w:semiHidden/>
    <w:rsid w:val="009D17F7"/>
    <w:pPr>
      <w:ind w:left="283" w:hanging="283"/>
      <w:contextualSpacing/>
    </w:pPr>
  </w:style>
  <w:style w:type="paragraph" w:styleId="List2">
    <w:name w:val="List 2"/>
    <w:basedOn w:val="Normal"/>
    <w:uiPriority w:val="98"/>
    <w:semiHidden/>
    <w:rsid w:val="009D17F7"/>
    <w:pPr>
      <w:ind w:left="566" w:hanging="283"/>
      <w:contextualSpacing/>
    </w:pPr>
  </w:style>
  <w:style w:type="paragraph" w:styleId="List3">
    <w:name w:val="List 3"/>
    <w:basedOn w:val="Normal"/>
    <w:uiPriority w:val="98"/>
    <w:semiHidden/>
    <w:rsid w:val="009D17F7"/>
    <w:pPr>
      <w:ind w:left="849" w:hanging="283"/>
      <w:contextualSpacing/>
    </w:pPr>
  </w:style>
  <w:style w:type="paragraph" w:styleId="List4">
    <w:name w:val="List 4"/>
    <w:basedOn w:val="Normal"/>
    <w:uiPriority w:val="98"/>
    <w:semiHidden/>
    <w:rsid w:val="009D17F7"/>
    <w:pPr>
      <w:ind w:left="1132" w:hanging="283"/>
      <w:contextualSpacing/>
    </w:pPr>
  </w:style>
  <w:style w:type="paragraph" w:styleId="List5">
    <w:name w:val="List 5"/>
    <w:basedOn w:val="Normal"/>
    <w:uiPriority w:val="98"/>
    <w:semiHidden/>
    <w:rsid w:val="009D17F7"/>
    <w:pPr>
      <w:ind w:left="1415" w:hanging="283"/>
      <w:contextualSpacing/>
    </w:pPr>
  </w:style>
  <w:style w:type="paragraph" w:styleId="ListBullet2">
    <w:name w:val="List Bullet 2"/>
    <w:basedOn w:val="Normal"/>
    <w:uiPriority w:val="98"/>
    <w:semiHidden/>
    <w:rsid w:val="009D17F7"/>
    <w:pPr>
      <w:numPr>
        <w:numId w:val="12"/>
      </w:numPr>
      <w:contextualSpacing/>
    </w:pPr>
  </w:style>
  <w:style w:type="paragraph" w:styleId="ListBullet4">
    <w:name w:val="List Bullet 4"/>
    <w:basedOn w:val="Normal"/>
    <w:uiPriority w:val="98"/>
    <w:semiHidden/>
    <w:rsid w:val="009D17F7"/>
    <w:pPr>
      <w:numPr>
        <w:numId w:val="14"/>
      </w:numPr>
      <w:contextualSpacing/>
    </w:pPr>
  </w:style>
  <w:style w:type="paragraph" w:styleId="ListBullet5">
    <w:name w:val="List Bullet 5"/>
    <w:basedOn w:val="Normal"/>
    <w:uiPriority w:val="98"/>
    <w:semiHidden/>
    <w:rsid w:val="009D17F7"/>
    <w:pPr>
      <w:numPr>
        <w:numId w:val="15"/>
      </w:numPr>
      <w:contextualSpacing/>
    </w:pPr>
  </w:style>
  <w:style w:type="paragraph" w:styleId="ListContinue">
    <w:name w:val="List Continue"/>
    <w:basedOn w:val="Normal"/>
    <w:uiPriority w:val="98"/>
    <w:semiHidden/>
    <w:rsid w:val="009D17F7"/>
    <w:pPr>
      <w:spacing w:after="120"/>
      <w:ind w:left="283"/>
      <w:contextualSpacing/>
    </w:pPr>
  </w:style>
  <w:style w:type="paragraph" w:styleId="ListContinue2">
    <w:name w:val="List Continue 2"/>
    <w:basedOn w:val="Normal"/>
    <w:uiPriority w:val="98"/>
    <w:semiHidden/>
    <w:rsid w:val="009D17F7"/>
    <w:pPr>
      <w:spacing w:after="120"/>
      <w:ind w:left="566"/>
      <w:contextualSpacing/>
    </w:pPr>
  </w:style>
  <w:style w:type="paragraph" w:styleId="ListContinue3">
    <w:name w:val="List Continue 3"/>
    <w:basedOn w:val="Normal"/>
    <w:uiPriority w:val="98"/>
    <w:semiHidden/>
    <w:rsid w:val="009D17F7"/>
    <w:pPr>
      <w:spacing w:after="120"/>
      <w:ind w:left="849"/>
      <w:contextualSpacing/>
    </w:pPr>
  </w:style>
  <w:style w:type="paragraph" w:styleId="ListContinue4">
    <w:name w:val="List Continue 4"/>
    <w:basedOn w:val="Normal"/>
    <w:uiPriority w:val="98"/>
    <w:semiHidden/>
    <w:rsid w:val="009D17F7"/>
    <w:pPr>
      <w:spacing w:after="120"/>
      <w:ind w:left="1132"/>
      <w:contextualSpacing/>
    </w:pPr>
  </w:style>
  <w:style w:type="paragraph" w:styleId="ListContinue5">
    <w:name w:val="List Continue 5"/>
    <w:basedOn w:val="Normal"/>
    <w:uiPriority w:val="98"/>
    <w:semiHidden/>
    <w:rsid w:val="009D17F7"/>
    <w:pPr>
      <w:spacing w:after="120"/>
      <w:ind w:left="1415"/>
      <w:contextualSpacing/>
    </w:pPr>
  </w:style>
  <w:style w:type="paragraph" w:styleId="ListNumber">
    <w:name w:val="List Number"/>
    <w:basedOn w:val="Normal"/>
    <w:uiPriority w:val="98"/>
    <w:semiHidden/>
    <w:rsid w:val="009D17F7"/>
    <w:pPr>
      <w:numPr>
        <w:numId w:val="16"/>
      </w:numPr>
      <w:contextualSpacing/>
    </w:pPr>
  </w:style>
  <w:style w:type="paragraph" w:styleId="ListNumber2">
    <w:name w:val="List Number 2"/>
    <w:basedOn w:val="Normal"/>
    <w:uiPriority w:val="98"/>
    <w:semiHidden/>
    <w:rsid w:val="009D17F7"/>
    <w:pPr>
      <w:numPr>
        <w:numId w:val="17"/>
      </w:numPr>
      <w:contextualSpacing/>
    </w:pPr>
  </w:style>
  <w:style w:type="paragraph" w:styleId="ListNumber3">
    <w:name w:val="List Number 3"/>
    <w:basedOn w:val="Normal"/>
    <w:uiPriority w:val="98"/>
    <w:semiHidden/>
    <w:rsid w:val="009D17F7"/>
    <w:pPr>
      <w:numPr>
        <w:numId w:val="18"/>
      </w:numPr>
      <w:contextualSpacing/>
    </w:pPr>
  </w:style>
  <w:style w:type="paragraph" w:styleId="ListNumber4">
    <w:name w:val="List Number 4"/>
    <w:basedOn w:val="Normal"/>
    <w:uiPriority w:val="98"/>
    <w:semiHidden/>
    <w:rsid w:val="009D17F7"/>
    <w:pPr>
      <w:numPr>
        <w:numId w:val="19"/>
      </w:numPr>
      <w:contextualSpacing/>
    </w:pPr>
  </w:style>
  <w:style w:type="paragraph" w:styleId="ListNumber5">
    <w:name w:val="List Number 5"/>
    <w:basedOn w:val="Normal"/>
    <w:uiPriority w:val="98"/>
    <w:semiHidden/>
    <w:rsid w:val="009D17F7"/>
    <w:pPr>
      <w:numPr>
        <w:numId w:val="20"/>
      </w:numPr>
      <w:contextualSpacing/>
    </w:pPr>
  </w:style>
  <w:style w:type="paragraph" w:styleId="MacroText">
    <w:name w:val="macro"/>
    <w:link w:val="MacroTextChar"/>
    <w:uiPriority w:val="98"/>
    <w:semiHidden/>
    <w:rsid w:val="009D17F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9D17F7"/>
    <w:rPr>
      <w:rFonts w:ascii="Consolas" w:eastAsiaTheme="minorEastAsia" w:hAnsi="Consolas" w:cs="Consolas"/>
      <w:sz w:val="20"/>
      <w:szCs w:val="20"/>
    </w:rPr>
  </w:style>
  <w:style w:type="table" w:styleId="MediumGrid1">
    <w:name w:val="Medium Grid 1"/>
    <w:basedOn w:val="TableNormal"/>
    <w:uiPriority w:val="67"/>
    <w:semiHidden/>
    <w:rsid w:val="009D17F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D17F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D17F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D17F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D17F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D17F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D17F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D17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D17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D17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D17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D17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D17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D17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D17F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D17F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D17F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D17F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D17F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D17F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D17F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D17F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D17F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D17F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D17F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D17F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D17F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D17F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D17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D17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D17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D17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D17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D17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D17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D17F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D17F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D17F7"/>
    <w:rPr>
      <w:rFonts w:ascii="Times New Roman" w:hAnsi="Times New Roman" w:cs="Times New Roman"/>
    </w:rPr>
  </w:style>
  <w:style w:type="paragraph" w:styleId="NormalIndent">
    <w:name w:val="Normal Indent"/>
    <w:basedOn w:val="Normal"/>
    <w:uiPriority w:val="98"/>
    <w:semiHidden/>
    <w:rsid w:val="009D17F7"/>
    <w:pPr>
      <w:ind w:left="720"/>
    </w:pPr>
  </w:style>
  <w:style w:type="paragraph" w:styleId="NoteHeading">
    <w:name w:val="Note Heading"/>
    <w:basedOn w:val="Normal"/>
    <w:next w:val="Normal"/>
    <w:link w:val="NoteHeadingChar"/>
    <w:uiPriority w:val="98"/>
    <w:semiHidden/>
    <w:rsid w:val="009D17F7"/>
  </w:style>
  <w:style w:type="character" w:customStyle="1" w:styleId="NoteHeadingChar">
    <w:name w:val="Note Heading Char"/>
    <w:basedOn w:val="DefaultParagraphFont"/>
    <w:link w:val="NoteHeading"/>
    <w:uiPriority w:val="98"/>
    <w:semiHidden/>
    <w:rsid w:val="009D17F7"/>
    <w:rPr>
      <w:sz w:val="24"/>
      <w:szCs w:val="24"/>
      <w:lang w:val="en-GB"/>
    </w:rPr>
  </w:style>
  <w:style w:type="character" w:styleId="PlaceholderText">
    <w:name w:val="Placeholder Text"/>
    <w:basedOn w:val="DefaultParagraphFont"/>
    <w:uiPriority w:val="98"/>
    <w:semiHidden/>
    <w:rsid w:val="009D17F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D17F7"/>
    <w:rPr>
      <w:rFonts w:ascii="Consolas" w:hAnsi="Consolas" w:cs="Consolas"/>
      <w:sz w:val="21"/>
      <w:szCs w:val="21"/>
    </w:rPr>
  </w:style>
  <w:style w:type="character" w:customStyle="1" w:styleId="PlainTextChar">
    <w:name w:val="Plain Text Char"/>
    <w:basedOn w:val="DefaultParagraphFont"/>
    <w:link w:val="PlainText"/>
    <w:uiPriority w:val="98"/>
    <w:semiHidden/>
    <w:rsid w:val="009D17F7"/>
    <w:rPr>
      <w:rFonts w:ascii="Consolas" w:hAnsi="Consolas" w:cs="Consolas"/>
      <w:sz w:val="21"/>
      <w:szCs w:val="21"/>
      <w:lang w:val="en-GB"/>
    </w:rPr>
  </w:style>
  <w:style w:type="paragraph" w:styleId="Salutation">
    <w:name w:val="Salutation"/>
    <w:basedOn w:val="Normal"/>
    <w:next w:val="Normal"/>
    <w:link w:val="SalutationChar"/>
    <w:uiPriority w:val="98"/>
    <w:semiHidden/>
    <w:rsid w:val="009D17F7"/>
  </w:style>
  <w:style w:type="character" w:customStyle="1" w:styleId="SalutationChar">
    <w:name w:val="Salutation Char"/>
    <w:basedOn w:val="DefaultParagraphFont"/>
    <w:link w:val="Salutation"/>
    <w:uiPriority w:val="98"/>
    <w:semiHidden/>
    <w:rsid w:val="009D17F7"/>
    <w:rPr>
      <w:sz w:val="24"/>
      <w:szCs w:val="24"/>
      <w:lang w:val="en-GB"/>
    </w:rPr>
  </w:style>
  <w:style w:type="paragraph" w:styleId="Signature">
    <w:name w:val="Signature"/>
    <w:basedOn w:val="Normal"/>
    <w:link w:val="SignatureChar"/>
    <w:uiPriority w:val="98"/>
    <w:semiHidden/>
    <w:rsid w:val="009D17F7"/>
    <w:pPr>
      <w:ind w:left="4252"/>
    </w:pPr>
  </w:style>
  <w:style w:type="character" w:customStyle="1" w:styleId="SignatureChar">
    <w:name w:val="Signature Char"/>
    <w:basedOn w:val="DefaultParagraphFont"/>
    <w:link w:val="Signature"/>
    <w:uiPriority w:val="98"/>
    <w:semiHidden/>
    <w:rsid w:val="009D17F7"/>
    <w:rPr>
      <w:sz w:val="24"/>
      <w:szCs w:val="24"/>
      <w:lang w:val="en-GB"/>
    </w:rPr>
  </w:style>
  <w:style w:type="table" w:styleId="Table3Deffects1">
    <w:name w:val="Table 3D effects 1"/>
    <w:basedOn w:val="TableNormal"/>
    <w:uiPriority w:val="99"/>
    <w:semiHidden/>
    <w:unhideWhenUsed/>
    <w:rsid w:val="009D17F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17F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17F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17F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17F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17F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17F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17F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17F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17F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17F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17F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17F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17F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17F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17F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17F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17F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17F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17F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17F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17F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17F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17F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17F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17F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17F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17F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17F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17F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17F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17F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17F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D17F7"/>
    <w:pPr>
      <w:ind w:left="240" w:hanging="240"/>
    </w:pPr>
  </w:style>
  <w:style w:type="paragraph" w:styleId="TableofFigures">
    <w:name w:val="table of figures"/>
    <w:basedOn w:val="Normal"/>
    <w:next w:val="Normal"/>
    <w:uiPriority w:val="98"/>
    <w:semiHidden/>
    <w:rsid w:val="009D17F7"/>
  </w:style>
  <w:style w:type="table" w:styleId="TableProfessional">
    <w:name w:val="Table Professional"/>
    <w:basedOn w:val="TableNormal"/>
    <w:uiPriority w:val="99"/>
    <w:semiHidden/>
    <w:unhideWhenUsed/>
    <w:rsid w:val="009D17F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17F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17F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17F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17F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17F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17F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17F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17F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17F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D17F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D17F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D17F7"/>
    <w:pPr>
      <w:spacing w:after="100"/>
      <w:ind w:left="1680"/>
    </w:pPr>
  </w:style>
  <w:style w:type="paragraph" w:styleId="TOC9">
    <w:name w:val="toc 9"/>
    <w:basedOn w:val="Normal"/>
    <w:next w:val="Normal"/>
    <w:autoRedefine/>
    <w:uiPriority w:val="98"/>
    <w:semiHidden/>
    <w:rsid w:val="009D17F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9D17F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D17F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D17F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9D17F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9D17F7"/>
    <w:pPr>
      <w:numPr>
        <w:numId w:val="8"/>
      </w:numPr>
      <w:spacing w:before="60" w:after="60"/>
    </w:pPr>
  </w:style>
  <w:style w:type="paragraph" w:customStyle="1" w:styleId="ECHRBullet2">
    <w:name w:val="ECHR_Bullet_2"/>
    <w:aliases w:val="_Bul_2"/>
    <w:basedOn w:val="ECHRBullet1"/>
    <w:uiPriority w:val="23"/>
    <w:semiHidden/>
    <w:rsid w:val="009D17F7"/>
    <w:pPr>
      <w:numPr>
        <w:ilvl w:val="1"/>
      </w:numPr>
    </w:pPr>
  </w:style>
  <w:style w:type="paragraph" w:customStyle="1" w:styleId="ECHRBullet3">
    <w:name w:val="ECHR_Bullet_3"/>
    <w:aliases w:val="_Bul_3"/>
    <w:basedOn w:val="ECHRBullet2"/>
    <w:uiPriority w:val="23"/>
    <w:semiHidden/>
    <w:rsid w:val="009D17F7"/>
    <w:pPr>
      <w:numPr>
        <w:ilvl w:val="2"/>
      </w:numPr>
    </w:pPr>
  </w:style>
  <w:style w:type="paragraph" w:customStyle="1" w:styleId="ECHRBullet4">
    <w:name w:val="ECHR_Bullet_4"/>
    <w:aliases w:val="_Bul_4"/>
    <w:basedOn w:val="ECHRBullet3"/>
    <w:uiPriority w:val="23"/>
    <w:semiHidden/>
    <w:rsid w:val="009D17F7"/>
    <w:pPr>
      <w:numPr>
        <w:ilvl w:val="3"/>
      </w:numPr>
    </w:pPr>
  </w:style>
  <w:style w:type="paragraph" w:customStyle="1" w:styleId="ECHRConfidential">
    <w:name w:val="ECHR_Confidential"/>
    <w:aliases w:val="_Confidential"/>
    <w:basedOn w:val="Normal"/>
    <w:next w:val="Normal"/>
    <w:uiPriority w:val="42"/>
    <w:semiHidden/>
    <w:qFormat/>
    <w:rsid w:val="009D17F7"/>
    <w:pPr>
      <w:jc w:val="right"/>
    </w:pPr>
    <w:rPr>
      <w:color w:val="C00000"/>
      <w:sz w:val="20"/>
    </w:rPr>
  </w:style>
  <w:style w:type="paragraph" w:customStyle="1" w:styleId="ECHRDecisionBody">
    <w:name w:val="ECHR_Decision_Body"/>
    <w:aliases w:val="_Decision_Body"/>
    <w:basedOn w:val="NormalJustified"/>
    <w:uiPriority w:val="54"/>
    <w:semiHidden/>
    <w:rsid w:val="009D17F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D17F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D17F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D17F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9D17F7"/>
    <w:pPr>
      <w:jc w:val="right"/>
    </w:pPr>
    <w:rPr>
      <w:sz w:val="20"/>
    </w:rPr>
  </w:style>
  <w:style w:type="paragraph" w:customStyle="1" w:styleId="ECHRHeaderRefIt">
    <w:name w:val="ECHR_Header_Ref_It"/>
    <w:aliases w:val="_Ref_Ital"/>
    <w:basedOn w:val="Normal"/>
    <w:next w:val="ECHRHeaderDate"/>
    <w:uiPriority w:val="43"/>
    <w:semiHidden/>
    <w:qFormat/>
    <w:rsid w:val="009D17F7"/>
    <w:pPr>
      <w:jc w:val="right"/>
    </w:pPr>
    <w:rPr>
      <w:i/>
      <w:sz w:val="20"/>
    </w:rPr>
  </w:style>
  <w:style w:type="paragraph" w:customStyle="1" w:styleId="ECHRHeading9">
    <w:name w:val="ECHR_Heading_9"/>
    <w:aliases w:val="_Head_9"/>
    <w:basedOn w:val="Heading9"/>
    <w:uiPriority w:val="17"/>
    <w:semiHidden/>
    <w:rsid w:val="009D17F7"/>
    <w:pPr>
      <w:keepNext/>
      <w:keepLines/>
      <w:numPr>
        <w:ilvl w:val="8"/>
        <w:numId w:val="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D17F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9D17F7"/>
    <w:pPr>
      <w:numPr>
        <w:numId w:val="10"/>
      </w:numPr>
      <w:spacing w:before="60" w:after="60"/>
    </w:pPr>
  </w:style>
  <w:style w:type="paragraph" w:customStyle="1" w:styleId="ECHRNumberedList2">
    <w:name w:val="ECHR_Numbered_List_2"/>
    <w:aliases w:val="_Num_2"/>
    <w:basedOn w:val="ECHRNumberedList1"/>
    <w:uiPriority w:val="23"/>
    <w:semiHidden/>
    <w:rsid w:val="009D17F7"/>
    <w:pPr>
      <w:numPr>
        <w:ilvl w:val="1"/>
      </w:numPr>
    </w:pPr>
  </w:style>
  <w:style w:type="paragraph" w:customStyle="1" w:styleId="ECHRNumberedList3">
    <w:name w:val="ECHR_Numbered_List_3"/>
    <w:aliases w:val="_Num_3"/>
    <w:basedOn w:val="ECHRNumberedList2"/>
    <w:uiPriority w:val="23"/>
    <w:semiHidden/>
    <w:rsid w:val="009D17F7"/>
    <w:pPr>
      <w:numPr>
        <w:ilvl w:val="2"/>
      </w:numPr>
    </w:pPr>
  </w:style>
  <w:style w:type="paragraph" w:customStyle="1" w:styleId="ECHRParaHanging">
    <w:name w:val="ECHR_Para_Hanging"/>
    <w:aliases w:val="_Hanging"/>
    <w:basedOn w:val="Normal"/>
    <w:uiPriority w:val="8"/>
    <w:semiHidden/>
    <w:qFormat/>
    <w:rsid w:val="009D17F7"/>
    <w:pPr>
      <w:ind w:left="567" w:hanging="567"/>
      <w:jc w:val="both"/>
    </w:pPr>
  </w:style>
  <w:style w:type="paragraph" w:customStyle="1" w:styleId="ECHRParaIndent">
    <w:name w:val="ECHR_Para_Indent"/>
    <w:aliases w:val="_Indent"/>
    <w:basedOn w:val="Normal"/>
    <w:uiPriority w:val="7"/>
    <w:semiHidden/>
    <w:qFormat/>
    <w:rsid w:val="009D17F7"/>
    <w:pPr>
      <w:spacing w:before="120" w:after="120"/>
      <w:ind w:left="284"/>
      <w:jc w:val="both"/>
    </w:pPr>
  </w:style>
  <w:style w:type="character" w:customStyle="1" w:styleId="ECHRRed">
    <w:name w:val="ECHR_Red"/>
    <w:aliases w:val="_Red"/>
    <w:basedOn w:val="DefaultParagraphFont"/>
    <w:uiPriority w:val="15"/>
    <w:semiHidden/>
    <w:qFormat/>
    <w:rsid w:val="009D17F7"/>
    <w:rPr>
      <w:color w:val="C00000" w:themeColor="accent2"/>
    </w:rPr>
  </w:style>
  <w:style w:type="paragraph" w:customStyle="1" w:styleId="DecList">
    <w:name w:val="Dec_List"/>
    <w:aliases w:val="_List"/>
    <w:basedOn w:val="JuList"/>
    <w:uiPriority w:val="22"/>
    <w:rsid w:val="009D17F7"/>
    <w:pPr>
      <w:numPr>
        <w:numId w:val="0"/>
      </w:numPr>
      <w:ind w:left="284"/>
    </w:pPr>
  </w:style>
  <w:style w:type="table" w:customStyle="1" w:styleId="ECHRTable2">
    <w:name w:val="ECHR_Table_2"/>
    <w:basedOn w:val="TableNormal"/>
    <w:uiPriority w:val="99"/>
    <w:rsid w:val="009D17F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D17F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D17F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D17F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D17F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D17F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D17F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D17F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D17F7"/>
    <w:pPr>
      <w:outlineLvl w:val="0"/>
    </w:pPr>
  </w:style>
  <w:style w:type="paragraph" w:customStyle="1" w:styleId="ECHRTitleTOC1">
    <w:name w:val="ECHR_Title_TOC_1"/>
    <w:aliases w:val="_Title_L_TOC"/>
    <w:basedOn w:val="ECHRTitle1"/>
    <w:next w:val="Normal"/>
    <w:uiPriority w:val="27"/>
    <w:semiHidden/>
    <w:qFormat/>
    <w:rsid w:val="009D17F7"/>
    <w:pPr>
      <w:outlineLvl w:val="0"/>
    </w:pPr>
  </w:style>
  <w:style w:type="paragraph" w:customStyle="1" w:styleId="ECHRPlaceholder">
    <w:name w:val="ECHR_Placeholder"/>
    <w:aliases w:val="_Placeholder"/>
    <w:basedOn w:val="JuSigned"/>
    <w:uiPriority w:val="31"/>
    <w:rsid w:val="009D17F7"/>
    <w:rPr>
      <w:color w:val="FFFFFF"/>
    </w:rPr>
  </w:style>
  <w:style w:type="paragraph" w:customStyle="1" w:styleId="ECHRSpacer">
    <w:name w:val="ECHR_Spacer"/>
    <w:aliases w:val="_Spacer"/>
    <w:basedOn w:val="Normal"/>
    <w:uiPriority w:val="45"/>
    <w:semiHidden/>
    <w:rsid w:val="009D17F7"/>
    <w:rPr>
      <w:sz w:val="4"/>
    </w:rPr>
  </w:style>
  <w:style w:type="table" w:customStyle="1" w:styleId="ECHRTableGrey">
    <w:name w:val="ECHR_Table_Grey"/>
    <w:basedOn w:val="TableNormal"/>
    <w:uiPriority w:val="99"/>
    <w:rsid w:val="009D17F7"/>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styleId="GridTable1Light">
    <w:name w:val="Grid Table 1 Light"/>
    <w:basedOn w:val="TableNormal"/>
    <w:uiPriority w:val="46"/>
    <w:semiHidden/>
    <w:rsid w:val="009D17F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ParaChar">
    <w:name w:val="Ju_Para Char"/>
    <w:aliases w:val="_Para Char"/>
    <w:link w:val="JuPara"/>
    <w:uiPriority w:val="4"/>
    <w:rsid w:val="00347AF9"/>
    <w:rPr>
      <w:sz w:val="24"/>
      <w:szCs w:val="24"/>
      <w:lang w:val="en-GB"/>
    </w:rPr>
  </w:style>
  <w:style w:type="character" w:customStyle="1" w:styleId="JuHAChar">
    <w:name w:val="Ju_H_A Char"/>
    <w:link w:val="JuHA"/>
    <w:uiPriority w:val="17"/>
    <w:rsid w:val="00347AF9"/>
    <w:rPr>
      <w:rFonts w:asciiTheme="majorHAnsi" w:eastAsiaTheme="majorEastAsia" w:hAnsiTheme="majorHAnsi" w:cstheme="majorBidi"/>
      <w:b/>
      <w:bCs/>
      <w:sz w:val="24"/>
      <w:lang w:val="en-GB"/>
    </w:rPr>
  </w:style>
  <w:style w:type="table" w:styleId="GridTable1Light-Accent1">
    <w:name w:val="Grid Table 1 Light Accent 1"/>
    <w:basedOn w:val="TableNormal"/>
    <w:uiPriority w:val="46"/>
    <w:semiHidden/>
    <w:rsid w:val="009D17F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D17F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D17F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D17F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D17F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D17F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D17F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D17F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D17F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D17F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9D17F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D17F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D17F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D17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D17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D17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D17F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9D17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D17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D17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D17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D17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D17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D17F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9D17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D17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D17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D17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D17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D17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D17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9D17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D17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D17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D17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D17F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D17F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D17F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9D17F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D17F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D17F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D17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D17F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D17F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D17F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9D17F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D17F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D17F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9D17F7"/>
    <w:rPr>
      <w:color w:val="2B579A"/>
      <w:shd w:val="clear" w:color="auto" w:fill="E1DFDD"/>
    </w:rPr>
  </w:style>
  <w:style w:type="table" w:styleId="ListTable1Light">
    <w:name w:val="List Table 1 Light"/>
    <w:basedOn w:val="TableNormal"/>
    <w:uiPriority w:val="46"/>
    <w:semiHidden/>
    <w:rsid w:val="009D17F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D17F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D17F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D17F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9D17F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D17F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D17F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D17F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D17F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D17F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D17F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9D17F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D17F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D17F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D17F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D17F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D17F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D17F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9D17F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D17F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D17F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D17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D17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D17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D17F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9D17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D17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D17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D17F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D17F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D17F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D17F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D17F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D17F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D17F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D17F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D17F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D17F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D17F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9D17F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D17F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D17F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D17F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D17F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D17F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D17F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D17F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D17F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D17F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9D17F7"/>
    <w:rPr>
      <w:color w:val="2B579A"/>
      <w:shd w:val="clear" w:color="auto" w:fill="E1DFDD"/>
    </w:rPr>
  </w:style>
  <w:style w:type="table" w:styleId="PlainTable1">
    <w:name w:val="Plain Table 1"/>
    <w:basedOn w:val="TableNormal"/>
    <w:uiPriority w:val="41"/>
    <w:semiHidden/>
    <w:rsid w:val="009D17F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9D17F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D17F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D17F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9D17F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9D17F7"/>
    <w:rPr>
      <w:u w:val="dotted"/>
    </w:rPr>
  </w:style>
  <w:style w:type="character" w:customStyle="1" w:styleId="SmartLink">
    <w:name w:val="Smart Link"/>
    <w:basedOn w:val="DefaultParagraphFont"/>
    <w:uiPriority w:val="99"/>
    <w:semiHidden/>
    <w:unhideWhenUsed/>
    <w:rsid w:val="009D17F7"/>
    <w:rPr>
      <w:color w:val="0000FF"/>
      <w:u w:val="single"/>
      <w:shd w:val="clear" w:color="auto" w:fill="F3F2F1"/>
    </w:rPr>
  </w:style>
  <w:style w:type="table" w:styleId="TableGridLight">
    <w:name w:val="Grid Table Light"/>
    <w:basedOn w:val="TableNormal"/>
    <w:uiPriority w:val="40"/>
    <w:semiHidden/>
    <w:rsid w:val="009D17F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9D17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E50BB7-632D-44CA-8F4E-771918827FE9}">
  <ds:schemaRefs>
    <ds:schemaRef ds:uri="http://schemas.openxmlformats.org/officeDocument/2006/bibliography"/>
  </ds:schemaRefs>
</ds:datastoreItem>
</file>

<file path=customXml/itemProps2.xml><?xml version="1.0" encoding="utf-8"?>
<ds:datastoreItem xmlns:ds="http://schemas.openxmlformats.org/officeDocument/2006/customXml" ds:itemID="{DDCFBA5D-6B7B-4706-B550-E05A4709BAD7}"/>
</file>

<file path=customXml/itemProps3.xml><?xml version="1.0" encoding="utf-8"?>
<ds:datastoreItem xmlns:ds="http://schemas.openxmlformats.org/officeDocument/2006/customXml" ds:itemID="{415D00AD-F871-43E5-83B8-0C33599AD2A9}"/>
</file>

<file path=customXml/itemProps4.xml><?xml version="1.0" encoding="utf-8"?>
<ds:datastoreItem xmlns:ds="http://schemas.openxmlformats.org/officeDocument/2006/customXml" ds:itemID="{42070B42-3827-47C0-A5AE-57EC57EC1FDD}"/>
</file>

<file path=docProps/app.xml><?xml version="1.0" encoding="utf-8"?>
<Properties xmlns="http://schemas.openxmlformats.org/officeDocument/2006/extended-properties" xmlns:vt="http://schemas.openxmlformats.org/officeDocument/2006/docPropsVTypes">
  <Template>Normal.dotm</Template>
  <TotalTime>0</TotalTime>
  <Pages>1</Pages>
  <Words>3975</Words>
  <Characters>22662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26584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2022-01-31T13:58:00Z</dcterms:created>
  <dcterms:modified xsi:type="dcterms:W3CDTF">2022-01-31T13:58:00Z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37650/13</vt:lpwstr>
  </property>
  <property fmtid="{D5CDD505-2E9C-101B-9397-08002B2CF9AE}" pid="4" name="CASEID">
    <vt:lpwstr>888279</vt:lpwstr>
  </property>
  <property fmtid="{D5CDD505-2E9C-101B-9397-08002B2CF9AE}" pid="5" name="ContentTypeId">
    <vt:lpwstr>0x010100558EB02BDB9E204AB350EDD385B68E10</vt:lpwstr>
  </property>
</Properties>
</file>