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D279A" w:rsidR="00E93FC7" w:rsidP="00881D4C" w:rsidRDefault="003406A9" w14:paraId="7C971DDD" w14:textId="09D14A61">
      <w:pPr>
        <w:jc w:val="center"/>
        <w:rPr>
          <w:sz w:val="4"/>
          <w:szCs w:val="4"/>
        </w:rPr>
      </w:pPr>
    </w:p>
    <w:p w:rsidRPr="007D279A" w:rsidR="00E93FC7" w:rsidP="00881D4C" w:rsidRDefault="007D279A" w14:paraId="4C6194FB" w14:textId="6DB6667A">
      <w:pPr>
        <w:pStyle w:val="DecHTitle"/>
      </w:pPr>
      <w:r>
        <w:t>THIRD SECTION</w:t>
      </w:r>
    </w:p>
    <w:p w:rsidRPr="007D279A" w:rsidR="00E93FC7" w:rsidP="00881D4C" w:rsidRDefault="006267D3" w14:paraId="569D3806" w14:textId="77777777">
      <w:pPr>
        <w:pStyle w:val="DecHTitle"/>
      </w:pPr>
      <w:r w:rsidRPr="007D279A">
        <w:t>DECISION</w:t>
      </w:r>
    </w:p>
    <w:p w:rsidR="00EE3667" w:rsidP="00C75D1C" w:rsidRDefault="007D279A" w14:paraId="687B2C06" w14:textId="2C3B6BB6">
      <w:pPr>
        <w:pStyle w:val="DecHCase"/>
      </w:pPr>
      <w:r w:rsidRPr="007D279A">
        <w:t>Application no.</w:t>
      </w:r>
      <w:r w:rsidRPr="007D279A" w:rsidR="006267D3">
        <w:t xml:space="preserve"> </w:t>
      </w:r>
      <w:r>
        <w:t>40477/13</w:t>
      </w:r>
      <w:r w:rsidRPr="007D279A" w:rsidR="006267D3">
        <w:br/>
      </w:r>
      <w:r>
        <w:t>Marc</w:t>
      </w:r>
      <w:r w:rsidRPr="007D279A">
        <w:t xml:space="preserve"> </w:t>
      </w:r>
      <w:r>
        <w:t>GLAISEN</w:t>
      </w:r>
      <w:r w:rsidRPr="007D279A">
        <w:br/>
      </w:r>
      <w:r w:rsidRPr="007D279A" w:rsidR="006267D3">
        <w:t xml:space="preserve">against </w:t>
      </w:r>
      <w:r>
        <w:t>Switzerland</w:t>
      </w:r>
    </w:p>
    <w:p w:rsidRPr="00C74EE7" w:rsidR="00C74EE7" w:rsidP="00C74EE7" w:rsidRDefault="00C74EE7" w14:paraId="7E9FF4B0" w14:textId="77777777">
      <w:pPr>
        <w:pStyle w:val="JuPara"/>
      </w:pPr>
    </w:p>
    <w:p w:rsidRPr="002E4A29" w:rsidR="00972D4A" w:rsidP="00972D4A" w:rsidRDefault="00972D4A" w14:paraId="4030D925" w14:textId="77777777">
      <w:pPr>
        <w:pStyle w:val="JuPara"/>
      </w:pPr>
      <w:r w:rsidRPr="002E4A29">
        <w:t>The European Court of Human Rights (</w:t>
      </w:r>
      <w:r>
        <w:t>Third Section</w:t>
      </w:r>
      <w:r w:rsidRPr="002E4A29">
        <w:t xml:space="preserve">), sitting on </w:t>
      </w:r>
      <w:r>
        <w:t>25 June 2019</w:t>
      </w:r>
      <w:r w:rsidRPr="002E4A29">
        <w:t xml:space="preserve"> as a </w:t>
      </w:r>
      <w:r>
        <w:t>Chamber</w:t>
      </w:r>
      <w:r w:rsidRPr="002E4A29">
        <w:t xml:space="preserve"> composed of:</w:t>
      </w:r>
    </w:p>
    <w:p w:rsidRPr="002E4A29" w:rsidR="00972D4A" w:rsidP="00972D4A" w:rsidRDefault="00972D4A" w14:paraId="2D0741DA" w14:textId="77777777">
      <w:pPr>
        <w:pStyle w:val="JuJudges"/>
      </w:pPr>
      <w:r w:rsidRPr="002E1616">
        <w:tab/>
        <w:t xml:space="preserve">Georgios A. Serghides, </w:t>
      </w:r>
      <w:r w:rsidRPr="004822E1">
        <w:rPr>
          <w:i/>
          <w:iCs/>
        </w:rPr>
        <w:t>President</w:t>
      </w:r>
      <w:r w:rsidRPr="002E1616">
        <w:t>,</w:t>
      </w:r>
      <w:r w:rsidRPr="002E1616">
        <w:br/>
      </w:r>
      <w:r w:rsidRPr="002E1616">
        <w:tab/>
        <w:t>Helen Keller,</w:t>
      </w:r>
      <w:r w:rsidRPr="002E1616">
        <w:br/>
      </w:r>
      <w:r w:rsidRPr="002E1616">
        <w:tab/>
        <w:t>Dmitry Dedov,</w:t>
      </w:r>
      <w:r w:rsidRPr="002E1616">
        <w:br/>
      </w:r>
      <w:r w:rsidRPr="002E1616">
        <w:tab/>
      </w:r>
      <w:proofErr w:type="spellStart"/>
      <w:r w:rsidRPr="002E1616">
        <w:t>Branko</w:t>
      </w:r>
      <w:proofErr w:type="spellEnd"/>
      <w:r w:rsidRPr="002E1616">
        <w:t xml:space="preserve"> </w:t>
      </w:r>
      <w:proofErr w:type="spellStart"/>
      <w:r w:rsidRPr="002E1616">
        <w:t>Lubarda</w:t>
      </w:r>
      <w:proofErr w:type="spellEnd"/>
      <w:r w:rsidRPr="002E1616">
        <w:t>,</w:t>
      </w:r>
      <w:r w:rsidRPr="002E1616">
        <w:br/>
      </w:r>
      <w:r w:rsidRPr="002E1616">
        <w:tab/>
        <w:t xml:space="preserve">Alena </w:t>
      </w:r>
      <w:proofErr w:type="spellStart"/>
      <w:r w:rsidRPr="002E1616">
        <w:t>Poláčková</w:t>
      </w:r>
      <w:proofErr w:type="spellEnd"/>
      <w:r w:rsidRPr="002E1616">
        <w:t>,</w:t>
      </w:r>
      <w:r w:rsidRPr="002E1616">
        <w:br/>
      </w:r>
      <w:r w:rsidRPr="002E1616">
        <w:tab/>
        <w:t xml:space="preserve">María </w:t>
      </w:r>
      <w:proofErr w:type="spellStart"/>
      <w:r w:rsidRPr="002E1616">
        <w:t>Elósegui</w:t>
      </w:r>
      <w:proofErr w:type="spellEnd"/>
      <w:r w:rsidRPr="002E1616">
        <w:t>,</w:t>
      </w:r>
      <w:r w:rsidRPr="002E1616">
        <w:br/>
      </w:r>
      <w:r w:rsidRPr="002E1616">
        <w:tab/>
        <w:t xml:space="preserve">Erik </w:t>
      </w:r>
      <w:proofErr w:type="spellStart"/>
      <w:r w:rsidRPr="002E1616">
        <w:t>Wennerström</w:t>
      </w:r>
      <w:proofErr w:type="spellEnd"/>
      <w:r w:rsidRPr="002E1616">
        <w:t>, judges</w:t>
      </w:r>
      <w:r w:rsidRPr="002E1616">
        <w:rPr>
          <w:i/>
        </w:rPr>
        <w:t>,</w:t>
      </w:r>
      <w:r>
        <w:rPr>
          <w:i/>
        </w:rPr>
        <w:br/>
      </w:r>
      <w:r w:rsidRPr="002E4A29">
        <w:t xml:space="preserve">and </w:t>
      </w:r>
      <w:proofErr w:type="spellStart"/>
      <w:r w:rsidRPr="00E80C67">
        <w:t>Fatoş</w:t>
      </w:r>
      <w:proofErr w:type="spellEnd"/>
      <w:r w:rsidRPr="00E80C67">
        <w:t xml:space="preserve"> </w:t>
      </w:r>
      <w:proofErr w:type="spellStart"/>
      <w:r w:rsidRPr="00E80C67">
        <w:t>Aracı</w:t>
      </w:r>
      <w:proofErr w:type="spellEnd"/>
      <w:r w:rsidRPr="002E4A29">
        <w:t xml:space="preserve">, </w:t>
      </w:r>
      <w:r>
        <w:rPr>
          <w:i/>
          <w:iCs/>
        </w:rPr>
        <w:t>Deputy S</w:t>
      </w:r>
      <w:r w:rsidRPr="002E4A29">
        <w:rPr>
          <w:i/>
          <w:iCs/>
        </w:rPr>
        <w:t>ection Registrar</w:t>
      </w:r>
      <w:r w:rsidRPr="002E4A29">
        <w:rPr>
          <w:i/>
        </w:rPr>
        <w:t>,</w:t>
      </w:r>
    </w:p>
    <w:p w:rsidRPr="002E4A29" w:rsidR="00972D4A" w:rsidP="00972D4A" w:rsidRDefault="00972D4A" w14:paraId="0A7600C5" w14:textId="77777777">
      <w:pPr>
        <w:pStyle w:val="JuPara"/>
      </w:pPr>
      <w:r w:rsidRPr="002E4A29">
        <w:t xml:space="preserve">Having regard to the above application lodged on </w:t>
      </w:r>
      <w:r>
        <w:t>19 June 2013</w:t>
      </w:r>
      <w:r w:rsidRPr="002E4A29">
        <w:t>,</w:t>
      </w:r>
    </w:p>
    <w:p w:rsidRPr="002E4A29" w:rsidR="00972D4A" w:rsidP="00972D4A" w:rsidRDefault="00972D4A" w14:paraId="6C083E5C" w14:textId="77777777">
      <w:pPr>
        <w:pStyle w:val="JuPara"/>
      </w:pPr>
      <w:r w:rsidRPr="002E4A29">
        <w:t>Having regard to the observations submitted by the respondent Government and the observations in reply submitted by the applicant,</w:t>
      </w:r>
    </w:p>
    <w:p w:rsidRPr="00ED7C54" w:rsidR="00972D4A" w:rsidP="00972D4A" w:rsidRDefault="00972D4A" w14:paraId="134D437D" w14:textId="77777777">
      <w:pPr>
        <w:pStyle w:val="JuPara"/>
      </w:pPr>
      <w:r w:rsidRPr="002E4A29">
        <w:t>Having deliberated, decides as follows</w:t>
      </w:r>
      <w:r w:rsidRPr="00ED7C54">
        <w:t>:</w:t>
      </w:r>
    </w:p>
    <w:p w:rsidRPr="00ED7C54" w:rsidR="00972D4A" w:rsidP="00972D4A" w:rsidRDefault="00972D4A" w14:paraId="1622D3D3" w14:textId="77777777">
      <w:pPr>
        <w:pStyle w:val="JuHHead"/>
      </w:pPr>
      <w:r w:rsidRPr="00ED7C54">
        <w:t>THE FACTS</w:t>
      </w:r>
    </w:p>
    <w:p w:rsidR="00972D4A" w:rsidP="00972D4A" w:rsidRDefault="003406A9" w14:paraId="51250F15" w14:textId="77777777">
      <w:pPr>
        <w:pStyle w:val="JuPara"/>
      </w:pPr>
      <w:r>
        <w:rPr>
          <w:noProof/>
        </w:rPr>
        <w:fldChar w:fldCharType="begin"/>
      </w:r>
      <w:r>
        <w:rPr>
          <w:noProof/>
        </w:rPr>
        <w:instrText xml:space="preserve"> SEQ level0 \*arabic \* MERGEFORMAT </w:instrText>
      </w:r>
      <w:r>
        <w:rPr>
          <w:noProof/>
        </w:rPr>
        <w:fldChar w:fldCharType="separate"/>
      </w:r>
      <w:r w:rsidR="00972D4A">
        <w:rPr>
          <w:noProof/>
        </w:rPr>
        <w:t>1</w:t>
      </w:r>
      <w:r>
        <w:rPr>
          <w:noProof/>
        </w:rPr>
        <w:fldChar w:fldCharType="end"/>
      </w:r>
      <w:r w:rsidR="00972D4A">
        <w:t xml:space="preserve">.  The applicant, Mr Marc </w:t>
      </w:r>
      <w:proofErr w:type="spellStart"/>
      <w:r w:rsidR="00972D4A">
        <w:t>Glaisen</w:t>
      </w:r>
      <w:proofErr w:type="spellEnd"/>
      <w:r w:rsidR="00972D4A">
        <w:t xml:space="preserve">, is a Swiss national, who was born in 1968 and lives in Geneva. He was represented before the Court by Mr C. Mizrahi, a lawyer practising in </w:t>
      </w:r>
      <w:proofErr w:type="spellStart"/>
      <w:r w:rsidR="00972D4A">
        <w:t>Carouge</w:t>
      </w:r>
      <w:proofErr w:type="spellEnd"/>
      <w:r w:rsidR="00972D4A">
        <w:t>.</w:t>
      </w:r>
    </w:p>
    <w:p w:rsidR="00972D4A" w:rsidP="00972D4A" w:rsidRDefault="003406A9" w14:paraId="15C072C5" w14:textId="77777777">
      <w:pPr>
        <w:pStyle w:val="JuPara"/>
      </w:pPr>
      <w:r>
        <w:rPr>
          <w:noProof/>
        </w:rPr>
        <w:fldChar w:fldCharType="begin"/>
      </w:r>
      <w:r>
        <w:rPr>
          <w:noProof/>
        </w:rPr>
        <w:instrText xml:space="preserve"> SEQ level0 \*arabic \* MERGEFORMAT </w:instrText>
      </w:r>
      <w:r>
        <w:rPr>
          <w:noProof/>
        </w:rPr>
        <w:fldChar w:fldCharType="separate"/>
      </w:r>
      <w:r w:rsidR="00972D4A">
        <w:rPr>
          <w:noProof/>
        </w:rPr>
        <w:t>2</w:t>
      </w:r>
      <w:r>
        <w:rPr>
          <w:noProof/>
        </w:rPr>
        <w:fldChar w:fldCharType="end"/>
      </w:r>
      <w:r w:rsidR="00972D4A">
        <w:t xml:space="preserve">.  The Swiss Government (“the Government”) were represented by their former Agent, F. </w:t>
      </w:r>
      <w:proofErr w:type="spellStart"/>
      <w:r w:rsidR="00972D4A">
        <w:t>Schürmann</w:t>
      </w:r>
      <w:proofErr w:type="spellEnd"/>
      <w:r w:rsidR="00972D4A">
        <w:t>, of the Federal Justice Department.</w:t>
      </w:r>
    </w:p>
    <w:p w:rsidRPr="00194E2B" w:rsidR="00972D4A" w:rsidP="00972D4A" w:rsidRDefault="00972D4A" w14:paraId="12FFB6C0" w14:textId="77777777">
      <w:pPr>
        <w:pStyle w:val="JuHA"/>
        <w:ind w:left="1224" w:hanging="504"/>
      </w:pPr>
      <w:r w:rsidRPr="00194E2B">
        <w:t>The circumstances of the case</w:t>
      </w:r>
    </w:p>
    <w:p w:rsidRPr="00AB4A5F" w:rsidR="00972D4A" w:rsidP="00972D4A" w:rsidRDefault="00972D4A" w14:paraId="7712ACA7" w14:textId="77777777">
      <w:pPr>
        <w:pStyle w:val="JuPara"/>
        <w:rPr>
          <w:rFonts w:eastAsiaTheme="minorEastAsia"/>
          <w:szCs w:val="22"/>
        </w:rPr>
      </w:pPr>
      <w:r>
        <w:rPr>
          <w:rFonts w:eastAsiaTheme="minorEastAsia"/>
          <w:szCs w:val="22"/>
        </w:rPr>
        <w:fldChar w:fldCharType="begin"/>
      </w:r>
      <w:r>
        <w:rPr>
          <w:rFonts w:eastAsiaTheme="minorEastAsia"/>
          <w:szCs w:val="22"/>
        </w:rPr>
        <w:instrText xml:space="preserve"> SEQ level0 \*arabic \* MERGEFORMAT </w:instrText>
      </w:r>
      <w:r>
        <w:rPr>
          <w:rFonts w:eastAsiaTheme="minorEastAsia"/>
          <w:szCs w:val="22"/>
        </w:rPr>
        <w:fldChar w:fldCharType="separate"/>
      </w:r>
      <w:r>
        <w:rPr>
          <w:rFonts w:eastAsiaTheme="minorEastAsia"/>
          <w:noProof/>
          <w:szCs w:val="22"/>
        </w:rPr>
        <w:t>3</w:t>
      </w:r>
      <w:r>
        <w:rPr>
          <w:rFonts w:eastAsiaTheme="minorEastAsia"/>
          <w:szCs w:val="22"/>
        </w:rPr>
        <w:fldChar w:fldCharType="end"/>
      </w:r>
      <w:r>
        <w:rPr>
          <w:rFonts w:eastAsiaTheme="minorEastAsia"/>
          <w:szCs w:val="22"/>
        </w:rPr>
        <w:t>.  </w:t>
      </w:r>
      <w:r w:rsidRPr="00AB4A5F">
        <w:t>The facts of the case, as submitted by the parties, may be summarised as follows</w:t>
      </w:r>
      <w:r w:rsidRPr="00AB4A5F">
        <w:rPr>
          <w:rFonts w:eastAsiaTheme="minorEastAsia"/>
          <w:szCs w:val="22"/>
        </w:rPr>
        <w:t>.</w:t>
      </w:r>
    </w:p>
    <w:p w:rsidRPr="00AB4A5F" w:rsidR="00972D4A" w:rsidP="00972D4A" w:rsidRDefault="00972D4A" w14:paraId="227678C2" w14:textId="77777777">
      <w:pPr>
        <w:pStyle w:val="JuPara"/>
        <w:rPr>
          <w:rFonts w:eastAsiaTheme="minorEastAsia"/>
          <w:szCs w:val="22"/>
        </w:rPr>
      </w:pPr>
      <w:r>
        <w:rPr>
          <w:rFonts w:eastAsiaTheme="minorEastAsia"/>
          <w:szCs w:val="22"/>
        </w:rPr>
        <w:fldChar w:fldCharType="begin"/>
      </w:r>
      <w:r>
        <w:rPr>
          <w:rFonts w:eastAsiaTheme="minorEastAsia"/>
          <w:szCs w:val="22"/>
        </w:rPr>
        <w:instrText xml:space="preserve"> SEQ level0 \*arabic \* MERGEFORMAT </w:instrText>
      </w:r>
      <w:r>
        <w:rPr>
          <w:rFonts w:eastAsiaTheme="minorEastAsia"/>
          <w:szCs w:val="22"/>
        </w:rPr>
        <w:fldChar w:fldCharType="separate"/>
      </w:r>
      <w:r>
        <w:rPr>
          <w:rFonts w:eastAsiaTheme="minorEastAsia"/>
          <w:noProof/>
          <w:szCs w:val="22"/>
        </w:rPr>
        <w:t>4</w:t>
      </w:r>
      <w:r>
        <w:rPr>
          <w:rFonts w:eastAsiaTheme="minorEastAsia"/>
          <w:szCs w:val="22"/>
        </w:rPr>
        <w:fldChar w:fldCharType="end"/>
      </w:r>
      <w:r>
        <w:rPr>
          <w:rFonts w:eastAsiaTheme="minorEastAsia"/>
          <w:szCs w:val="22"/>
        </w:rPr>
        <w:t>.  </w:t>
      </w:r>
      <w:r w:rsidRPr="00AB4A5F">
        <w:rPr>
          <w:rFonts w:eastAsiaTheme="minorEastAsia"/>
          <w:szCs w:val="22"/>
        </w:rPr>
        <w:t>The applicant was born in 1968 and lives in Geneva.</w:t>
      </w:r>
    </w:p>
    <w:p w:rsidRPr="00AB4A5F" w:rsidR="00972D4A" w:rsidP="00972D4A" w:rsidRDefault="00972D4A" w14:paraId="36036825" w14:textId="77777777">
      <w:pPr>
        <w:pStyle w:val="JuPara"/>
        <w:rPr>
          <w:rFonts w:eastAsiaTheme="minorEastAsia"/>
          <w:szCs w:val="22"/>
          <w:lang w:eastAsia="fr-FR"/>
        </w:rPr>
      </w:pPr>
      <w:r>
        <w:rPr>
          <w:rFonts w:eastAsiaTheme="minorEastAsia"/>
          <w:szCs w:val="22"/>
          <w:lang w:eastAsia="fr-FR"/>
        </w:rPr>
        <w:fldChar w:fldCharType="begin"/>
      </w:r>
      <w:r>
        <w:rPr>
          <w:rFonts w:eastAsiaTheme="minorEastAsia"/>
          <w:szCs w:val="22"/>
          <w:lang w:eastAsia="fr-FR"/>
        </w:rPr>
        <w:instrText xml:space="preserve"> SEQ level0 \*arabic \* MERGEFORMAT </w:instrText>
      </w:r>
      <w:r>
        <w:rPr>
          <w:rFonts w:eastAsiaTheme="minorEastAsia"/>
          <w:szCs w:val="22"/>
          <w:lang w:eastAsia="fr-FR"/>
        </w:rPr>
        <w:fldChar w:fldCharType="separate"/>
      </w:r>
      <w:r>
        <w:rPr>
          <w:rFonts w:eastAsiaTheme="minorEastAsia"/>
          <w:noProof/>
          <w:szCs w:val="22"/>
          <w:lang w:eastAsia="fr-FR"/>
        </w:rPr>
        <w:t>5</w:t>
      </w:r>
      <w:r>
        <w:rPr>
          <w:rFonts w:eastAsiaTheme="minorEastAsia"/>
          <w:szCs w:val="22"/>
          <w:lang w:eastAsia="fr-FR"/>
        </w:rPr>
        <w:fldChar w:fldCharType="end"/>
      </w:r>
      <w:r>
        <w:rPr>
          <w:rFonts w:eastAsiaTheme="minorEastAsia"/>
          <w:szCs w:val="22"/>
          <w:lang w:eastAsia="fr-FR"/>
        </w:rPr>
        <w:t xml:space="preserve">.  The applicant, a psychologist, has been </w:t>
      </w:r>
      <w:r w:rsidRPr="00AB4A5F">
        <w:rPr>
          <w:rFonts w:eastAsiaTheme="minorEastAsia"/>
          <w:szCs w:val="22"/>
          <w:lang w:eastAsia="fr-FR"/>
        </w:rPr>
        <w:t>parapl</w:t>
      </w:r>
      <w:r>
        <w:rPr>
          <w:rFonts w:eastAsiaTheme="minorEastAsia"/>
          <w:szCs w:val="22"/>
          <w:lang w:eastAsia="fr-FR"/>
        </w:rPr>
        <w:t>e</w:t>
      </w:r>
      <w:r w:rsidRPr="00AB4A5F">
        <w:rPr>
          <w:rFonts w:eastAsiaTheme="minorEastAsia"/>
          <w:szCs w:val="22"/>
          <w:lang w:eastAsia="fr-FR"/>
        </w:rPr>
        <w:t>gi</w:t>
      </w:r>
      <w:r>
        <w:rPr>
          <w:rFonts w:eastAsiaTheme="minorEastAsia"/>
          <w:szCs w:val="22"/>
          <w:lang w:eastAsia="fr-FR"/>
        </w:rPr>
        <w:t xml:space="preserve">c since </w:t>
      </w:r>
      <w:r w:rsidRPr="00AB4A5F">
        <w:rPr>
          <w:rFonts w:eastAsiaTheme="minorEastAsia"/>
          <w:szCs w:val="22"/>
          <w:lang w:eastAsia="fr-FR"/>
        </w:rPr>
        <w:t>1987. On 4</w:t>
      </w:r>
      <w:r>
        <w:rPr>
          <w:rFonts w:eastAsiaTheme="minorEastAsia"/>
          <w:szCs w:val="22"/>
          <w:lang w:eastAsia="fr-FR"/>
        </w:rPr>
        <w:t> </w:t>
      </w:r>
      <w:r w:rsidRPr="00AB4A5F">
        <w:rPr>
          <w:rFonts w:eastAsiaTheme="minorEastAsia"/>
          <w:szCs w:val="22"/>
          <w:lang w:eastAsia="fr-FR"/>
        </w:rPr>
        <w:t xml:space="preserve">October 2008 </w:t>
      </w:r>
      <w:r>
        <w:rPr>
          <w:rFonts w:eastAsiaTheme="minorEastAsia"/>
          <w:szCs w:val="22"/>
          <w:lang w:eastAsia="fr-FR"/>
        </w:rPr>
        <w:t xml:space="preserve">he </w:t>
      </w:r>
      <w:r w:rsidRPr="00AB4A5F">
        <w:rPr>
          <w:rFonts w:eastAsiaTheme="minorEastAsia"/>
          <w:szCs w:val="22"/>
          <w:lang w:eastAsia="fr-FR"/>
        </w:rPr>
        <w:t>went</w:t>
      </w:r>
      <w:r>
        <w:rPr>
          <w:rFonts w:eastAsiaTheme="minorEastAsia"/>
          <w:szCs w:val="22"/>
          <w:lang w:eastAsia="fr-FR"/>
        </w:rPr>
        <w:t>,</w:t>
      </w:r>
      <w:r w:rsidRPr="00AB4A5F">
        <w:rPr>
          <w:rFonts w:eastAsiaTheme="minorEastAsia"/>
          <w:szCs w:val="22"/>
          <w:lang w:eastAsia="fr-FR"/>
        </w:rPr>
        <w:t xml:space="preserve"> on his own</w:t>
      </w:r>
      <w:r>
        <w:rPr>
          <w:rFonts w:eastAsiaTheme="minorEastAsia"/>
          <w:szCs w:val="22"/>
          <w:lang w:eastAsia="fr-FR"/>
        </w:rPr>
        <w:t>,</w:t>
      </w:r>
      <w:r w:rsidRPr="00AB4A5F">
        <w:rPr>
          <w:rFonts w:eastAsiaTheme="minorEastAsia"/>
          <w:szCs w:val="22"/>
          <w:lang w:eastAsia="fr-FR"/>
        </w:rPr>
        <w:t xml:space="preserve"> to the </w:t>
      </w:r>
      <w:proofErr w:type="spellStart"/>
      <w:r w:rsidRPr="00AB4A5F">
        <w:rPr>
          <w:rFonts w:eastAsiaTheme="minorEastAsia"/>
          <w:szCs w:val="22"/>
          <w:lang w:eastAsia="fr-FR"/>
        </w:rPr>
        <w:t>Pathé</w:t>
      </w:r>
      <w:proofErr w:type="spellEnd"/>
      <w:r w:rsidRPr="00AB4A5F">
        <w:rPr>
          <w:rFonts w:eastAsiaTheme="minorEastAsia"/>
          <w:szCs w:val="22"/>
          <w:lang w:eastAsia="fr-FR"/>
        </w:rPr>
        <w:t xml:space="preserve"> Rialto cinema in Geneva to </w:t>
      </w:r>
      <w:r>
        <w:rPr>
          <w:rFonts w:eastAsiaTheme="minorEastAsia"/>
          <w:szCs w:val="22"/>
          <w:lang w:eastAsia="fr-FR"/>
        </w:rPr>
        <w:t xml:space="preserve">watch </w:t>
      </w:r>
      <w:r w:rsidRPr="00AB4A5F">
        <w:rPr>
          <w:rFonts w:eastAsiaTheme="minorEastAsia"/>
          <w:szCs w:val="22"/>
          <w:lang w:eastAsia="fr-FR"/>
        </w:rPr>
        <w:t xml:space="preserve">a film </w:t>
      </w:r>
      <w:r>
        <w:rPr>
          <w:rFonts w:eastAsiaTheme="minorEastAsia"/>
          <w:szCs w:val="22"/>
          <w:lang w:eastAsia="fr-FR"/>
        </w:rPr>
        <w:t>(“</w:t>
      </w:r>
      <w:proofErr w:type="spellStart"/>
      <w:r>
        <w:rPr>
          <w:rFonts w:eastAsiaTheme="minorEastAsia"/>
          <w:szCs w:val="22"/>
          <w:lang w:eastAsia="fr-FR"/>
        </w:rPr>
        <w:t>Vinyan</w:t>
      </w:r>
      <w:proofErr w:type="spellEnd"/>
      <w:r>
        <w:rPr>
          <w:rFonts w:eastAsiaTheme="minorEastAsia"/>
          <w:szCs w:val="22"/>
          <w:lang w:eastAsia="fr-FR"/>
        </w:rPr>
        <w:t xml:space="preserve">”) </w:t>
      </w:r>
      <w:r w:rsidRPr="00AB4A5F">
        <w:rPr>
          <w:rFonts w:eastAsiaTheme="minorEastAsia"/>
          <w:szCs w:val="22"/>
          <w:lang w:eastAsia="fr-FR"/>
        </w:rPr>
        <w:t>which was not being shown in any other cinema in the city.</w:t>
      </w:r>
      <w:r>
        <w:rPr>
          <w:rFonts w:eastAsiaTheme="minorEastAsia"/>
          <w:szCs w:val="22"/>
          <w:lang w:eastAsia="fr-FR"/>
        </w:rPr>
        <w:t xml:space="preserve"> The building housing the cinema, operated by </w:t>
      </w:r>
      <w:proofErr w:type="spellStart"/>
      <w:r w:rsidRPr="00AB4A5F">
        <w:rPr>
          <w:rFonts w:eastAsiaTheme="minorEastAsia"/>
          <w:szCs w:val="22"/>
          <w:lang w:eastAsia="fr-FR"/>
        </w:rPr>
        <w:t>Pathé</w:t>
      </w:r>
      <w:proofErr w:type="spellEnd"/>
      <w:r w:rsidRPr="00AB4A5F">
        <w:rPr>
          <w:rFonts w:eastAsiaTheme="minorEastAsia"/>
          <w:szCs w:val="22"/>
          <w:lang w:eastAsia="fr-FR"/>
        </w:rPr>
        <w:t xml:space="preserve"> Romandie </w:t>
      </w:r>
      <w:proofErr w:type="spellStart"/>
      <w:r w:rsidRPr="00AB4A5F">
        <w:rPr>
          <w:rFonts w:eastAsiaTheme="minorEastAsia"/>
          <w:szCs w:val="22"/>
          <w:lang w:eastAsia="fr-FR"/>
        </w:rPr>
        <w:t>Sàrl</w:t>
      </w:r>
      <w:proofErr w:type="spellEnd"/>
      <w:r>
        <w:rPr>
          <w:rFonts w:eastAsiaTheme="minorEastAsia"/>
          <w:szCs w:val="22"/>
          <w:lang w:eastAsia="fr-FR"/>
        </w:rPr>
        <w:t xml:space="preserve">, was not adapted to wheelchair users; they could neither enter nor leave the auditoria without help from another person. The applicant was refused access on the basis of the operating company’s internal safety </w:t>
      </w:r>
      <w:proofErr w:type="gramStart"/>
      <w:r>
        <w:rPr>
          <w:rFonts w:eastAsiaTheme="minorEastAsia"/>
          <w:szCs w:val="22"/>
          <w:lang w:eastAsia="fr-FR"/>
        </w:rPr>
        <w:t>instructions, and</w:t>
      </w:r>
      <w:proofErr w:type="gramEnd"/>
      <w:r>
        <w:rPr>
          <w:rFonts w:eastAsiaTheme="minorEastAsia"/>
          <w:szCs w:val="22"/>
          <w:lang w:eastAsia="fr-FR"/>
        </w:rPr>
        <w:t xml:space="preserve"> was turned away before he could ask if other members of the public were willing to help him, and before he could even buy a ticket</w:t>
      </w:r>
      <w:r w:rsidRPr="00AB4A5F">
        <w:rPr>
          <w:rFonts w:eastAsiaTheme="minorEastAsia"/>
          <w:szCs w:val="22"/>
        </w:rPr>
        <w:t xml:space="preserve">. </w:t>
      </w:r>
      <w:r>
        <w:rPr>
          <w:rFonts w:eastAsiaTheme="minorEastAsia"/>
          <w:szCs w:val="22"/>
        </w:rPr>
        <w:t xml:space="preserve">He complained, unsuccessfully, to </w:t>
      </w:r>
      <w:proofErr w:type="spellStart"/>
      <w:r w:rsidRPr="00AB4A5F">
        <w:rPr>
          <w:rFonts w:eastAsiaTheme="minorEastAsia"/>
          <w:szCs w:val="22"/>
          <w:lang w:bidi="en-US"/>
        </w:rPr>
        <w:t>Pathé</w:t>
      </w:r>
      <w:proofErr w:type="spellEnd"/>
      <w:r w:rsidRPr="00AB4A5F">
        <w:rPr>
          <w:rFonts w:eastAsiaTheme="minorEastAsia"/>
          <w:szCs w:val="22"/>
          <w:lang w:bidi="en-US"/>
        </w:rPr>
        <w:t xml:space="preserve"> Romandie </w:t>
      </w:r>
      <w:proofErr w:type="spellStart"/>
      <w:r w:rsidRPr="00AB4A5F">
        <w:rPr>
          <w:rFonts w:eastAsiaTheme="minorEastAsia"/>
          <w:szCs w:val="22"/>
          <w:lang w:bidi="en-US"/>
        </w:rPr>
        <w:t>Sàrl</w:t>
      </w:r>
      <w:proofErr w:type="spellEnd"/>
      <w:r w:rsidRPr="00AB4A5F">
        <w:rPr>
          <w:rFonts w:eastAsiaTheme="minorEastAsia"/>
          <w:szCs w:val="22"/>
          <w:lang w:eastAsia="fr-FR"/>
        </w:rPr>
        <w:t>.</w:t>
      </w:r>
    </w:p>
    <w:p w:rsidRPr="00AB4A5F" w:rsidR="00972D4A" w:rsidP="00972D4A" w:rsidRDefault="00972D4A" w14:paraId="3BBF19BA" w14:textId="38502804">
      <w:pPr>
        <w:pStyle w:val="JuPara"/>
        <w:rPr>
          <w:rFonts w:eastAsiaTheme="minorEastAsia"/>
          <w:szCs w:val="22"/>
          <w:lang w:eastAsia="fr-FR"/>
        </w:rPr>
      </w:pPr>
      <w:r>
        <w:rPr>
          <w:rFonts w:eastAsiaTheme="minorEastAsia"/>
          <w:szCs w:val="22"/>
          <w:lang w:eastAsia="fr-FR"/>
        </w:rPr>
        <w:fldChar w:fldCharType="begin"/>
      </w:r>
      <w:r>
        <w:rPr>
          <w:rFonts w:eastAsiaTheme="minorEastAsia"/>
          <w:szCs w:val="22"/>
          <w:lang w:eastAsia="fr-FR"/>
        </w:rPr>
        <w:instrText xml:space="preserve"> SEQ level0 \*arabic \* MERGEFORMAT </w:instrText>
      </w:r>
      <w:r>
        <w:rPr>
          <w:rFonts w:eastAsiaTheme="minorEastAsia"/>
          <w:szCs w:val="22"/>
          <w:lang w:eastAsia="fr-FR"/>
        </w:rPr>
        <w:fldChar w:fldCharType="separate"/>
      </w:r>
      <w:r>
        <w:rPr>
          <w:rFonts w:eastAsiaTheme="minorEastAsia"/>
          <w:noProof/>
          <w:szCs w:val="22"/>
          <w:lang w:eastAsia="fr-FR"/>
        </w:rPr>
        <w:t>6</w:t>
      </w:r>
      <w:r>
        <w:rPr>
          <w:rFonts w:eastAsiaTheme="minorEastAsia"/>
          <w:szCs w:val="22"/>
          <w:lang w:eastAsia="fr-FR"/>
        </w:rPr>
        <w:fldChar w:fldCharType="end"/>
      </w:r>
      <w:r>
        <w:rPr>
          <w:rFonts w:eastAsiaTheme="minorEastAsia"/>
          <w:szCs w:val="22"/>
          <w:lang w:eastAsia="fr-FR"/>
        </w:rPr>
        <w:t xml:space="preserve">.  On </w:t>
      </w:r>
      <w:r w:rsidRPr="00AB4A5F">
        <w:rPr>
          <w:rFonts w:eastAsiaTheme="minorEastAsia"/>
          <w:szCs w:val="22"/>
          <w:lang w:eastAsia="fr-FR"/>
        </w:rPr>
        <w:t>28 September 2009</w:t>
      </w:r>
      <w:r>
        <w:rPr>
          <w:rFonts w:eastAsiaTheme="minorEastAsia"/>
          <w:szCs w:val="22"/>
          <w:lang w:eastAsia="fr-FR"/>
        </w:rPr>
        <w:t xml:space="preserve"> the applicant brought an action for damages against </w:t>
      </w:r>
      <w:r w:rsidRPr="00AB4A5F">
        <w:rPr>
          <w:rFonts w:eastAsiaTheme="minorEastAsia"/>
          <w:szCs w:val="22"/>
          <w:lang w:eastAsia="fr-FR"/>
        </w:rPr>
        <w:t xml:space="preserve">X. </w:t>
      </w:r>
      <w:proofErr w:type="spellStart"/>
      <w:r w:rsidRPr="00AB4A5F">
        <w:rPr>
          <w:rFonts w:eastAsiaTheme="minorEastAsia"/>
          <w:szCs w:val="22"/>
          <w:lang w:eastAsia="fr-FR"/>
        </w:rPr>
        <w:t>Sàrl</w:t>
      </w:r>
      <w:proofErr w:type="spellEnd"/>
      <w:r w:rsidRPr="00AB4A5F">
        <w:rPr>
          <w:rFonts w:eastAsiaTheme="minorEastAsia"/>
          <w:szCs w:val="22"/>
          <w:lang w:eastAsia="fr-FR"/>
        </w:rPr>
        <w:t xml:space="preserve">, </w:t>
      </w:r>
      <w:r>
        <w:rPr>
          <w:rFonts w:eastAsiaTheme="minorEastAsia"/>
          <w:szCs w:val="22"/>
          <w:lang w:eastAsia="fr-FR"/>
        </w:rPr>
        <w:t xml:space="preserve">seeking damages of </w:t>
      </w:r>
      <w:r w:rsidRPr="00AB4A5F">
        <w:rPr>
          <w:rFonts w:eastAsiaTheme="minorEastAsia"/>
          <w:szCs w:val="22"/>
          <w:lang w:eastAsia="fr-FR"/>
        </w:rPr>
        <w:t>5</w:t>
      </w:r>
      <w:r>
        <w:rPr>
          <w:rFonts w:eastAsiaTheme="minorEastAsia"/>
          <w:szCs w:val="22"/>
          <w:lang w:eastAsia="fr-FR"/>
        </w:rPr>
        <w:t>,</w:t>
      </w:r>
      <w:r w:rsidRPr="00AB4A5F">
        <w:rPr>
          <w:rFonts w:eastAsiaTheme="minorEastAsia"/>
          <w:szCs w:val="22"/>
          <w:lang w:eastAsia="fr-FR"/>
        </w:rPr>
        <w:t xml:space="preserve">000 </w:t>
      </w:r>
      <w:r>
        <w:rPr>
          <w:rFonts w:eastAsiaTheme="minorEastAsia"/>
          <w:szCs w:val="22"/>
          <w:lang w:eastAsia="fr-FR"/>
        </w:rPr>
        <w:t xml:space="preserve">Swiss </w:t>
      </w:r>
      <w:r w:rsidRPr="00AB4A5F">
        <w:rPr>
          <w:rFonts w:eastAsiaTheme="minorEastAsia"/>
          <w:szCs w:val="22"/>
          <w:lang w:eastAsia="fr-FR"/>
        </w:rPr>
        <w:t xml:space="preserve">francs (CHF; </w:t>
      </w:r>
      <w:r>
        <w:rPr>
          <w:rFonts w:eastAsiaTheme="minorEastAsia"/>
          <w:szCs w:val="22"/>
          <w:lang w:eastAsia="fr-FR"/>
        </w:rPr>
        <w:t xml:space="preserve">about </w:t>
      </w:r>
      <w:r w:rsidRPr="00AB4A5F">
        <w:rPr>
          <w:rFonts w:eastAsiaTheme="minorEastAsia"/>
          <w:szCs w:val="22"/>
          <w:lang w:eastAsia="fr-FR"/>
        </w:rPr>
        <w:t>4</w:t>
      </w:r>
      <w:r>
        <w:rPr>
          <w:rFonts w:eastAsiaTheme="minorEastAsia"/>
          <w:szCs w:val="22"/>
          <w:lang w:eastAsia="fr-FR"/>
        </w:rPr>
        <w:t>,</w:t>
      </w:r>
      <w:r w:rsidRPr="00AB4A5F">
        <w:rPr>
          <w:rFonts w:eastAsiaTheme="minorEastAsia"/>
          <w:szCs w:val="22"/>
          <w:lang w:eastAsia="fr-FR"/>
        </w:rPr>
        <w:t>000</w:t>
      </w:r>
      <w:r w:rsidR="00CD4CD4">
        <w:rPr>
          <w:rFonts w:eastAsiaTheme="minorEastAsia"/>
          <w:szCs w:val="22"/>
          <w:lang w:eastAsia="fr-FR"/>
        </w:rPr>
        <w:t> euros (EUR)</w:t>
      </w:r>
      <w:r w:rsidRPr="00AB4A5F">
        <w:rPr>
          <w:rFonts w:eastAsiaTheme="minorEastAsia"/>
          <w:szCs w:val="22"/>
          <w:lang w:eastAsia="fr-FR"/>
        </w:rPr>
        <w:t>), plus int</w:t>
      </w:r>
      <w:r>
        <w:rPr>
          <w:rFonts w:eastAsiaTheme="minorEastAsia"/>
          <w:szCs w:val="22"/>
          <w:lang w:eastAsia="fr-FR"/>
        </w:rPr>
        <w:t>erest</w:t>
      </w:r>
      <w:r w:rsidRPr="00AB4A5F">
        <w:rPr>
          <w:rFonts w:eastAsiaTheme="minorEastAsia"/>
          <w:szCs w:val="22"/>
          <w:lang w:eastAsia="fr-FR"/>
        </w:rPr>
        <w:t xml:space="preserve">. </w:t>
      </w:r>
      <w:r>
        <w:rPr>
          <w:rFonts w:eastAsiaTheme="minorEastAsia"/>
          <w:szCs w:val="22"/>
          <w:lang w:eastAsia="fr-FR"/>
        </w:rPr>
        <w:t>He considered that he had been discriminated against in being denied access to the cinema</w:t>
      </w:r>
      <w:r w:rsidRPr="00AB4A5F">
        <w:rPr>
          <w:rFonts w:eastAsiaTheme="minorEastAsia"/>
          <w:szCs w:val="22"/>
          <w:lang w:eastAsia="fr-FR"/>
        </w:rPr>
        <w:t>.</w:t>
      </w:r>
    </w:p>
    <w:p w:rsidRPr="00AB4A5F" w:rsidR="00972D4A" w:rsidP="00972D4A" w:rsidRDefault="00972D4A" w14:paraId="2D4AB695" w14:textId="77777777">
      <w:pPr>
        <w:pStyle w:val="JuPara"/>
        <w:rPr>
          <w:rFonts w:eastAsiaTheme="minorEastAsia"/>
          <w:szCs w:val="22"/>
          <w:lang w:eastAsia="fr-FR"/>
        </w:rPr>
      </w:pPr>
      <w:r>
        <w:rPr>
          <w:rFonts w:eastAsiaTheme="minorEastAsia"/>
          <w:szCs w:val="22"/>
          <w:lang w:eastAsia="fr-FR"/>
        </w:rPr>
        <w:fldChar w:fldCharType="begin"/>
      </w:r>
      <w:r>
        <w:rPr>
          <w:rFonts w:eastAsiaTheme="minorEastAsia"/>
          <w:szCs w:val="22"/>
          <w:lang w:eastAsia="fr-FR"/>
        </w:rPr>
        <w:instrText xml:space="preserve"> SEQ level0 \*arabic \* MERGEFORMAT </w:instrText>
      </w:r>
      <w:r>
        <w:rPr>
          <w:rFonts w:eastAsiaTheme="minorEastAsia"/>
          <w:szCs w:val="22"/>
          <w:lang w:eastAsia="fr-FR"/>
        </w:rPr>
        <w:fldChar w:fldCharType="separate"/>
      </w:r>
      <w:r>
        <w:rPr>
          <w:rFonts w:eastAsiaTheme="minorEastAsia"/>
          <w:noProof/>
          <w:szCs w:val="22"/>
          <w:lang w:eastAsia="fr-FR"/>
        </w:rPr>
        <w:t>7</w:t>
      </w:r>
      <w:r>
        <w:rPr>
          <w:rFonts w:eastAsiaTheme="minorEastAsia"/>
          <w:szCs w:val="22"/>
          <w:lang w:eastAsia="fr-FR"/>
        </w:rPr>
        <w:fldChar w:fldCharType="end"/>
      </w:r>
      <w:r>
        <w:rPr>
          <w:rFonts w:eastAsiaTheme="minorEastAsia"/>
          <w:szCs w:val="22"/>
          <w:lang w:eastAsia="fr-FR"/>
        </w:rPr>
        <w:t>.  </w:t>
      </w:r>
      <w:r w:rsidRPr="00AB4A5F">
        <w:rPr>
          <w:rFonts w:eastAsiaTheme="minorEastAsia"/>
          <w:szCs w:val="22"/>
          <w:lang w:eastAsia="fr-FR"/>
        </w:rPr>
        <w:t>A</w:t>
      </w:r>
      <w:r>
        <w:rPr>
          <w:rFonts w:eastAsiaTheme="minorEastAsia"/>
          <w:szCs w:val="22"/>
          <w:lang w:eastAsia="fr-FR"/>
        </w:rPr>
        <w:t xml:space="preserve">n on-site inspection was carried out as part of the investigation. On that occasion, the applicant (who weighs </w:t>
      </w:r>
      <w:r w:rsidRPr="00AB4A5F">
        <w:rPr>
          <w:rFonts w:eastAsiaTheme="minorEastAsia"/>
          <w:szCs w:val="22"/>
          <w:lang w:eastAsia="fr-FR"/>
        </w:rPr>
        <w:t>80 kg</w:t>
      </w:r>
      <w:r>
        <w:rPr>
          <w:rFonts w:eastAsiaTheme="minorEastAsia"/>
          <w:szCs w:val="22"/>
          <w:lang w:eastAsia="fr-FR"/>
        </w:rPr>
        <w:t xml:space="preserve">) demonstrated that, with the assistance of two people, he could enter the </w:t>
      </w:r>
      <w:r w:rsidRPr="00A6404E">
        <w:rPr>
          <w:rFonts w:eastAsiaTheme="minorEastAsia"/>
          <w:szCs w:val="22"/>
          <w:lang w:eastAsia="fr-FR"/>
        </w:rPr>
        <w:t>auditorium</w:t>
      </w:r>
      <w:r>
        <w:rPr>
          <w:rFonts w:eastAsiaTheme="minorEastAsia"/>
          <w:szCs w:val="22"/>
          <w:lang w:eastAsia="fr-FR"/>
        </w:rPr>
        <w:t xml:space="preserve"> in a wheelchair (weighing approximately </w:t>
      </w:r>
      <w:r w:rsidRPr="00AB4A5F">
        <w:rPr>
          <w:rFonts w:eastAsiaTheme="minorEastAsia"/>
          <w:szCs w:val="22"/>
          <w:lang w:eastAsia="fr-FR"/>
        </w:rPr>
        <w:t>15 kg</w:t>
      </w:r>
      <w:r>
        <w:rPr>
          <w:rFonts w:eastAsiaTheme="minorEastAsia"/>
          <w:szCs w:val="22"/>
          <w:lang w:eastAsia="fr-FR"/>
        </w:rPr>
        <w:t>) and leave by the emergency exit</w:t>
      </w:r>
      <w:r w:rsidRPr="00AB4A5F">
        <w:rPr>
          <w:rFonts w:eastAsiaTheme="minorEastAsia"/>
          <w:szCs w:val="22"/>
          <w:lang w:eastAsia="fr-FR"/>
        </w:rPr>
        <w:t>.</w:t>
      </w:r>
    </w:p>
    <w:p w:rsidRPr="00AB4A5F" w:rsidR="00972D4A" w:rsidP="00972D4A" w:rsidRDefault="00972D4A" w14:paraId="264B4CF2" w14:textId="77777777">
      <w:pPr>
        <w:pStyle w:val="JuPara"/>
        <w:rPr>
          <w:rFonts w:eastAsiaTheme="minorEastAsia"/>
          <w:szCs w:val="22"/>
          <w:lang w:eastAsia="fr-FR"/>
        </w:rPr>
      </w:pPr>
      <w:r>
        <w:rPr>
          <w:rFonts w:eastAsiaTheme="minorEastAsia"/>
          <w:szCs w:val="22"/>
          <w:lang w:eastAsia="fr-FR"/>
        </w:rPr>
        <w:fldChar w:fldCharType="begin"/>
      </w:r>
      <w:r>
        <w:rPr>
          <w:rFonts w:eastAsiaTheme="minorEastAsia"/>
          <w:szCs w:val="22"/>
          <w:lang w:eastAsia="fr-FR"/>
        </w:rPr>
        <w:instrText xml:space="preserve"> SEQ level0 \*arabic \* MERGEFORMAT </w:instrText>
      </w:r>
      <w:r>
        <w:rPr>
          <w:rFonts w:eastAsiaTheme="minorEastAsia"/>
          <w:szCs w:val="22"/>
          <w:lang w:eastAsia="fr-FR"/>
        </w:rPr>
        <w:fldChar w:fldCharType="separate"/>
      </w:r>
      <w:r>
        <w:rPr>
          <w:rFonts w:eastAsiaTheme="minorEastAsia"/>
          <w:noProof/>
          <w:szCs w:val="22"/>
          <w:lang w:eastAsia="fr-FR"/>
        </w:rPr>
        <w:t>8</w:t>
      </w:r>
      <w:r>
        <w:rPr>
          <w:rFonts w:eastAsiaTheme="minorEastAsia"/>
          <w:szCs w:val="22"/>
          <w:lang w:eastAsia="fr-FR"/>
        </w:rPr>
        <w:fldChar w:fldCharType="end"/>
      </w:r>
      <w:r>
        <w:rPr>
          <w:rFonts w:eastAsiaTheme="minorEastAsia"/>
          <w:szCs w:val="22"/>
          <w:lang w:eastAsia="fr-FR"/>
        </w:rPr>
        <w:t xml:space="preserve">.  By a judgment of </w:t>
      </w:r>
      <w:r w:rsidRPr="00AB4A5F">
        <w:rPr>
          <w:rFonts w:eastAsiaTheme="minorEastAsia"/>
          <w:szCs w:val="22"/>
          <w:lang w:eastAsia="fr-FR"/>
        </w:rPr>
        <w:t xml:space="preserve">15 September 2011, </w:t>
      </w:r>
      <w:r>
        <w:rPr>
          <w:rFonts w:eastAsiaTheme="minorEastAsia"/>
          <w:szCs w:val="22"/>
          <w:lang w:eastAsia="fr-FR"/>
        </w:rPr>
        <w:t>the Canton of Geneva Court of First Instance</w:t>
      </w:r>
      <w:r w:rsidRPr="00AB4A5F">
        <w:rPr>
          <w:rFonts w:eastAsiaTheme="minorEastAsia"/>
          <w:szCs w:val="22"/>
          <w:lang w:eastAsia="fr-FR"/>
        </w:rPr>
        <w:t xml:space="preserve"> </w:t>
      </w:r>
      <w:r>
        <w:rPr>
          <w:rFonts w:eastAsiaTheme="minorEastAsia"/>
          <w:szCs w:val="22"/>
          <w:lang w:eastAsia="fr-FR"/>
        </w:rPr>
        <w:t>dismissed the applicant’s action</w:t>
      </w:r>
      <w:r w:rsidRPr="00AB4A5F">
        <w:rPr>
          <w:rFonts w:eastAsiaTheme="minorEastAsia"/>
          <w:szCs w:val="22"/>
          <w:lang w:eastAsia="fr-FR"/>
        </w:rPr>
        <w:t>.</w:t>
      </w:r>
    </w:p>
    <w:p w:rsidRPr="00AB4A5F" w:rsidR="00972D4A" w:rsidP="00972D4A" w:rsidRDefault="00972D4A" w14:paraId="31D39916" w14:textId="59BFF216">
      <w:pPr>
        <w:pStyle w:val="JuPara"/>
        <w:rPr>
          <w:rFonts w:eastAsiaTheme="minorEastAsia"/>
          <w:szCs w:val="22"/>
          <w:lang w:eastAsia="fr-FR"/>
        </w:rPr>
      </w:pPr>
      <w:r>
        <w:rPr>
          <w:rFonts w:eastAsiaTheme="minorEastAsia"/>
          <w:szCs w:val="22"/>
          <w:lang w:eastAsia="fr-FR"/>
        </w:rPr>
        <w:fldChar w:fldCharType="begin"/>
      </w:r>
      <w:r>
        <w:rPr>
          <w:rFonts w:eastAsiaTheme="minorEastAsia"/>
          <w:szCs w:val="22"/>
          <w:lang w:eastAsia="fr-FR"/>
        </w:rPr>
        <w:instrText xml:space="preserve"> SEQ level0 \*arabic \* MERGEFORMAT </w:instrText>
      </w:r>
      <w:r>
        <w:rPr>
          <w:rFonts w:eastAsiaTheme="minorEastAsia"/>
          <w:szCs w:val="22"/>
          <w:lang w:eastAsia="fr-FR"/>
        </w:rPr>
        <w:fldChar w:fldCharType="separate"/>
      </w:r>
      <w:r>
        <w:rPr>
          <w:rFonts w:eastAsiaTheme="minorEastAsia"/>
          <w:noProof/>
          <w:szCs w:val="22"/>
          <w:lang w:eastAsia="fr-FR"/>
        </w:rPr>
        <w:t>9</w:t>
      </w:r>
      <w:r>
        <w:rPr>
          <w:rFonts w:eastAsiaTheme="minorEastAsia"/>
          <w:szCs w:val="22"/>
          <w:lang w:eastAsia="fr-FR"/>
        </w:rPr>
        <w:fldChar w:fldCharType="end"/>
      </w:r>
      <w:r>
        <w:rPr>
          <w:rFonts w:eastAsiaTheme="minorEastAsia"/>
          <w:szCs w:val="22"/>
          <w:lang w:eastAsia="fr-FR"/>
        </w:rPr>
        <w:t>.  The applicant lodged an appeal, which was dismissed by the</w:t>
      </w:r>
      <w:r w:rsidRPr="00AB4A5F">
        <w:rPr>
          <w:rFonts w:eastAsiaTheme="minorEastAsia"/>
          <w:szCs w:val="22"/>
          <w:lang w:eastAsia="fr-FR"/>
        </w:rPr>
        <w:t xml:space="preserve"> </w:t>
      </w:r>
      <w:r>
        <w:rPr>
          <w:rFonts w:eastAsiaTheme="minorEastAsia"/>
          <w:szCs w:val="22"/>
          <w:lang w:eastAsia="fr-FR"/>
        </w:rPr>
        <w:t xml:space="preserve">Civil Division of the Court of Justice of the Canton of Geneva in a judgment of </w:t>
      </w:r>
      <w:r w:rsidRPr="00AB4A5F">
        <w:rPr>
          <w:rFonts w:eastAsiaTheme="minorEastAsia"/>
          <w:szCs w:val="22"/>
          <w:lang w:eastAsia="fr-FR"/>
        </w:rPr>
        <w:t>11</w:t>
      </w:r>
      <w:r w:rsidR="00EF2AF6">
        <w:rPr>
          <w:rFonts w:eastAsiaTheme="minorEastAsia"/>
          <w:szCs w:val="22"/>
          <w:lang w:eastAsia="fr-FR"/>
        </w:rPr>
        <w:t> </w:t>
      </w:r>
      <w:r>
        <w:rPr>
          <w:rFonts w:eastAsiaTheme="minorEastAsia"/>
          <w:szCs w:val="22"/>
          <w:lang w:eastAsia="fr-FR"/>
        </w:rPr>
        <w:t xml:space="preserve">May </w:t>
      </w:r>
      <w:r w:rsidRPr="00AB4A5F">
        <w:rPr>
          <w:rFonts w:eastAsiaTheme="minorEastAsia"/>
          <w:szCs w:val="22"/>
          <w:lang w:eastAsia="fr-FR"/>
        </w:rPr>
        <w:t>2012.</w:t>
      </w:r>
    </w:p>
    <w:p w:rsidRPr="00AB4A5F" w:rsidR="00972D4A" w:rsidP="00972D4A" w:rsidRDefault="00972D4A" w14:paraId="1DA4AB2C" w14:textId="77777777">
      <w:pPr>
        <w:pStyle w:val="JuPara"/>
        <w:rPr>
          <w:rFonts w:eastAsiaTheme="minorEastAsia"/>
          <w:szCs w:val="22"/>
          <w:lang w:eastAsia="fr-FR"/>
        </w:rPr>
      </w:pPr>
      <w:r>
        <w:rPr>
          <w:rFonts w:eastAsiaTheme="minorEastAsia"/>
          <w:szCs w:val="22"/>
          <w:lang w:eastAsia="fr-FR"/>
        </w:rPr>
        <w:fldChar w:fldCharType="begin"/>
      </w:r>
      <w:r>
        <w:rPr>
          <w:rFonts w:eastAsiaTheme="minorEastAsia"/>
          <w:szCs w:val="22"/>
          <w:lang w:eastAsia="fr-FR"/>
        </w:rPr>
        <w:instrText xml:space="preserve"> SEQ level0 \*arabic \* MERGEFORMAT </w:instrText>
      </w:r>
      <w:r>
        <w:rPr>
          <w:rFonts w:eastAsiaTheme="minorEastAsia"/>
          <w:szCs w:val="22"/>
          <w:lang w:eastAsia="fr-FR"/>
        </w:rPr>
        <w:fldChar w:fldCharType="separate"/>
      </w:r>
      <w:r>
        <w:rPr>
          <w:rFonts w:eastAsiaTheme="minorEastAsia"/>
          <w:noProof/>
          <w:szCs w:val="22"/>
          <w:lang w:eastAsia="fr-FR"/>
        </w:rPr>
        <w:t>10</w:t>
      </w:r>
      <w:r>
        <w:rPr>
          <w:rFonts w:eastAsiaTheme="minorEastAsia"/>
          <w:szCs w:val="22"/>
          <w:lang w:eastAsia="fr-FR"/>
        </w:rPr>
        <w:fldChar w:fldCharType="end"/>
      </w:r>
      <w:r>
        <w:rPr>
          <w:rFonts w:eastAsiaTheme="minorEastAsia"/>
          <w:szCs w:val="22"/>
          <w:lang w:eastAsia="fr-FR"/>
        </w:rPr>
        <w:t>.  The applicant lodged a civil-law appeal</w:t>
      </w:r>
      <w:r w:rsidRPr="00AB4A5F">
        <w:rPr>
          <w:rFonts w:eastAsiaTheme="minorEastAsia"/>
          <w:szCs w:val="22"/>
          <w:lang w:eastAsia="fr-FR"/>
        </w:rPr>
        <w:t xml:space="preserve"> </w:t>
      </w:r>
      <w:r>
        <w:rPr>
          <w:rFonts w:eastAsiaTheme="minorEastAsia"/>
          <w:szCs w:val="22"/>
          <w:lang w:eastAsia="fr-FR"/>
        </w:rPr>
        <w:t xml:space="preserve">and, in the alternative, a constitutional appeal, requesting that </w:t>
      </w:r>
      <w:proofErr w:type="spellStart"/>
      <w:r w:rsidRPr="00AB4A5F">
        <w:rPr>
          <w:rFonts w:eastAsiaTheme="minorEastAsia"/>
          <w:szCs w:val="22"/>
          <w:lang w:bidi="en-US"/>
        </w:rPr>
        <w:t>Pathé</w:t>
      </w:r>
      <w:proofErr w:type="spellEnd"/>
      <w:r w:rsidRPr="00AB4A5F">
        <w:rPr>
          <w:rFonts w:eastAsiaTheme="minorEastAsia"/>
          <w:szCs w:val="22"/>
          <w:lang w:bidi="en-US"/>
        </w:rPr>
        <w:t xml:space="preserve"> Romandie </w:t>
      </w:r>
      <w:proofErr w:type="spellStart"/>
      <w:r w:rsidRPr="00AB4A5F">
        <w:rPr>
          <w:rFonts w:eastAsiaTheme="minorEastAsia"/>
          <w:szCs w:val="22"/>
          <w:lang w:bidi="en-US"/>
        </w:rPr>
        <w:t>Sàrl</w:t>
      </w:r>
      <w:proofErr w:type="spellEnd"/>
      <w:r w:rsidRPr="00AB4A5F">
        <w:rPr>
          <w:rFonts w:eastAsiaTheme="minorEastAsia"/>
          <w:szCs w:val="22"/>
          <w:lang w:eastAsia="fr-FR"/>
        </w:rPr>
        <w:t xml:space="preserve"> </w:t>
      </w:r>
      <w:r>
        <w:rPr>
          <w:rFonts w:eastAsiaTheme="minorEastAsia"/>
          <w:szCs w:val="22"/>
          <w:lang w:eastAsia="fr-FR"/>
        </w:rPr>
        <w:t xml:space="preserve">be ordered to pay him CHF </w:t>
      </w:r>
      <w:r w:rsidRPr="00AB4A5F">
        <w:rPr>
          <w:rFonts w:eastAsiaTheme="minorEastAsia"/>
          <w:szCs w:val="22"/>
          <w:lang w:eastAsia="fr-FR"/>
        </w:rPr>
        <w:t>5</w:t>
      </w:r>
      <w:r>
        <w:rPr>
          <w:rFonts w:eastAsiaTheme="minorEastAsia"/>
          <w:szCs w:val="22"/>
          <w:lang w:eastAsia="fr-FR"/>
        </w:rPr>
        <w:t xml:space="preserve">,000, plus 5% interest, backdated to </w:t>
      </w:r>
      <w:r w:rsidRPr="00AB4A5F">
        <w:rPr>
          <w:rFonts w:eastAsiaTheme="minorEastAsia"/>
          <w:szCs w:val="22"/>
          <w:lang w:eastAsia="fr-FR"/>
        </w:rPr>
        <w:t>4 October 2008.</w:t>
      </w:r>
    </w:p>
    <w:p w:rsidRPr="00AB4A5F" w:rsidR="00972D4A" w:rsidP="00972D4A" w:rsidRDefault="00972D4A" w14:paraId="51478A14" w14:textId="43A3A550">
      <w:pPr>
        <w:pStyle w:val="JuPara"/>
        <w:rPr>
          <w:rFonts w:eastAsiaTheme="minorEastAsia"/>
          <w:szCs w:val="22"/>
          <w:lang w:eastAsia="fr-FR"/>
        </w:rPr>
      </w:pPr>
      <w:r>
        <w:rPr>
          <w:rFonts w:eastAsiaTheme="minorEastAsia"/>
          <w:szCs w:val="22"/>
          <w:lang w:eastAsia="fr-FR"/>
        </w:rPr>
        <w:fldChar w:fldCharType="begin"/>
      </w:r>
      <w:r>
        <w:rPr>
          <w:rFonts w:eastAsiaTheme="minorEastAsia"/>
          <w:szCs w:val="22"/>
          <w:lang w:eastAsia="fr-FR"/>
        </w:rPr>
        <w:instrText xml:space="preserve"> SEQ level0 \*arabic \* MERGEFORMAT </w:instrText>
      </w:r>
      <w:r>
        <w:rPr>
          <w:rFonts w:eastAsiaTheme="minorEastAsia"/>
          <w:szCs w:val="22"/>
          <w:lang w:eastAsia="fr-FR"/>
        </w:rPr>
        <w:fldChar w:fldCharType="separate"/>
      </w:r>
      <w:r>
        <w:rPr>
          <w:rFonts w:eastAsiaTheme="minorEastAsia"/>
          <w:noProof/>
          <w:szCs w:val="22"/>
          <w:lang w:eastAsia="fr-FR"/>
        </w:rPr>
        <w:t>11</w:t>
      </w:r>
      <w:r>
        <w:rPr>
          <w:rFonts w:eastAsiaTheme="minorEastAsia"/>
          <w:szCs w:val="22"/>
          <w:lang w:eastAsia="fr-FR"/>
        </w:rPr>
        <w:fldChar w:fldCharType="end"/>
      </w:r>
      <w:r>
        <w:rPr>
          <w:rFonts w:eastAsiaTheme="minorEastAsia"/>
          <w:szCs w:val="22"/>
          <w:lang w:eastAsia="fr-FR"/>
        </w:rPr>
        <w:t xml:space="preserve">.  By a judgment of </w:t>
      </w:r>
      <w:r w:rsidRPr="00AB4A5F">
        <w:rPr>
          <w:rFonts w:eastAsiaTheme="minorEastAsia"/>
          <w:szCs w:val="22"/>
          <w:lang w:eastAsia="fr-FR"/>
        </w:rPr>
        <w:t>10 October 2012, notifi</w:t>
      </w:r>
      <w:r>
        <w:rPr>
          <w:rFonts w:eastAsiaTheme="minorEastAsia"/>
          <w:szCs w:val="22"/>
          <w:lang w:eastAsia="fr-FR"/>
        </w:rPr>
        <w:t xml:space="preserve">ed to the applicant on </w:t>
      </w:r>
      <w:r w:rsidRPr="00AB4A5F">
        <w:rPr>
          <w:rFonts w:eastAsiaTheme="minorEastAsia"/>
          <w:szCs w:val="22"/>
          <w:lang w:eastAsia="fr-FR"/>
        </w:rPr>
        <w:t>20 </w:t>
      </w:r>
      <w:r w:rsidRPr="00AB4A5F">
        <w:rPr>
          <w:rFonts w:eastAsiaTheme="minorEastAsia"/>
          <w:szCs w:val="22"/>
        </w:rPr>
        <w:t>December</w:t>
      </w:r>
      <w:r w:rsidRPr="00AB4A5F">
        <w:rPr>
          <w:rFonts w:eastAsiaTheme="minorEastAsia"/>
          <w:szCs w:val="22"/>
          <w:lang w:eastAsia="fr-FR"/>
        </w:rPr>
        <w:t> 2012 (</w:t>
      </w:r>
      <w:r>
        <w:rPr>
          <w:rFonts w:eastAsiaTheme="minorEastAsia"/>
          <w:szCs w:val="22"/>
          <w:lang w:eastAsia="fr-FR"/>
        </w:rPr>
        <w:t xml:space="preserve">and received by him on </w:t>
      </w:r>
      <w:r w:rsidRPr="00AB4A5F">
        <w:rPr>
          <w:rFonts w:eastAsiaTheme="minorEastAsia"/>
          <w:szCs w:val="22"/>
          <w:lang w:eastAsia="fr-FR"/>
        </w:rPr>
        <w:t xml:space="preserve">21 December 2012), </w:t>
      </w:r>
      <w:r>
        <w:rPr>
          <w:rFonts w:eastAsiaTheme="minorEastAsia"/>
          <w:szCs w:val="22"/>
          <w:lang w:eastAsia="fr-FR"/>
        </w:rPr>
        <w:t>the Federal Supreme Court dismissed the appeal</w:t>
      </w:r>
      <w:r w:rsidR="00CD4CD4">
        <w:rPr>
          <w:rFonts w:eastAsiaTheme="minorEastAsia"/>
          <w:szCs w:val="22"/>
          <w:lang w:eastAsia="fr-FR"/>
        </w:rPr>
        <w:t xml:space="preserve"> on, </w:t>
      </w:r>
      <w:r w:rsidRPr="00CD4CD4" w:rsidR="00CD4CD4">
        <w:rPr>
          <w:rFonts w:eastAsiaTheme="minorEastAsia"/>
          <w:i/>
          <w:iCs/>
          <w:szCs w:val="22"/>
          <w:lang w:eastAsia="fr-FR"/>
        </w:rPr>
        <w:t>inter alia</w:t>
      </w:r>
      <w:r w:rsidR="00CD4CD4">
        <w:rPr>
          <w:rFonts w:eastAsiaTheme="minorEastAsia"/>
          <w:szCs w:val="22"/>
          <w:lang w:eastAsia="fr-FR"/>
        </w:rPr>
        <w:t>, the grounds set out below</w:t>
      </w:r>
      <w:r w:rsidRPr="00AB4A5F">
        <w:rPr>
          <w:rFonts w:eastAsiaTheme="minorEastAsia"/>
          <w:szCs w:val="22"/>
          <w:lang w:eastAsia="fr-FR"/>
        </w:rPr>
        <w:t>:</w:t>
      </w:r>
    </w:p>
    <w:p w:rsidRPr="00AB4A5F" w:rsidR="00972D4A" w:rsidP="00972D4A" w:rsidRDefault="00972D4A" w14:paraId="40890BF7" w14:textId="0952F514">
      <w:pPr>
        <w:pStyle w:val="JuQuot"/>
        <w:rPr>
          <w:rFonts w:eastAsiaTheme="minorEastAsia"/>
          <w:lang w:eastAsia="fr-FR"/>
        </w:rPr>
      </w:pPr>
      <w:r>
        <w:rPr>
          <w:rFonts w:eastAsiaTheme="minorEastAsia"/>
          <w:lang w:eastAsia="fr-FR"/>
        </w:rPr>
        <w:t>“</w:t>
      </w:r>
      <w:r w:rsidRPr="00AB4A5F">
        <w:rPr>
          <w:rFonts w:eastAsiaTheme="minorEastAsia"/>
          <w:lang w:eastAsia="fr-FR"/>
        </w:rPr>
        <w:t>2.2  </w:t>
      </w:r>
      <w:r w:rsidR="00CD4CD4">
        <w:rPr>
          <w:rFonts w:eastAsiaTheme="minorEastAsia"/>
          <w:lang w:eastAsia="fr-FR"/>
        </w:rPr>
        <w:t xml:space="preserve">In </w:t>
      </w:r>
      <w:r>
        <w:rPr>
          <w:rFonts w:eastAsiaTheme="minorEastAsia"/>
          <w:lang w:eastAsia="fr-FR"/>
        </w:rPr>
        <w:t xml:space="preserve">the Cantonal Court’s findings, it </w:t>
      </w:r>
      <w:r w:rsidR="00CD4CD4">
        <w:rPr>
          <w:rFonts w:eastAsiaTheme="minorEastAsia"/>
          <w:lang w:eastAsia="fr-FR"/>
        </w:rPr>
        <w:t>‘</w:t>
      </w:r>
      <w:r>
        <w:rPr>
          <w:rFonts w:eastAsiaTheme="minorEastAsia"/>
          <w:lang w:eastAsia="fr-FR"/>
        </w:rPr>
        <w:t xml:space="preserve">does not seem easy to </w:t>
      </w:r>
      <w:r w:rsidRPr="00AB4A5F">
        <w:rPr>
          <w:rFonts w:eastAsiaTheme="minorEastAsia"/>
          <w:lang w:eastAsia="fr-FR"/>
        </w:rPr>
        <w:t>manipulat</w:t>
      </w:r>
      <w:r>
        <w:rPr>
          <w:rFonts w:eastAsiaTheme="minorEastAsia"/>
          <w:lang w:eastAsia="fr-FR"/>
        </w:rPr>
        <w:t xml:space="preserve">e the wheelchair occupied by </w:t>
      </w:r>
      <w:r w:rsidRPr="00AB4A5F">
        <w:rPr>
          <w:rFonts w:eastAsiaTheme="minorEastAsia"/>
          <w:lang w:eastAsia="fr-FR"/>
        </w:rPr>
        <w:t>A. [</w:t>
      </w:r>
      <w:r>
        <w:rPr>
          <w:rFonts w:eastAsiaTheme="minorEastAsia"/>
          <w:lang w:eastAsia="fr-FR"/>
        </w:rPr>
        <w:t>the applicant</w:t>
      </w:r>
      <w:r w:rsidRPr="00AB4A5F">
        <w:rPr>
          <w:rFonts w:eastAsiaTheme="minorEastAsia"/>
          <w:lang w:eastAsia="fr-FR"/>
        </w:rPr>
        <w:t xml:space="preserve">], </w:t>
      </w:r>
      <w:r>
        <w:rPr>
          <w:rFonts w:eastAsiaTheme="minorEastAsia"/>
          <w:lang w:eastAsia="fr-FR"/>
        </w:rPr>
        <w:t xml:space="preserve">weighing </w:t>
      </w:r>
      <w:r w:rsidRPr="00AB4A5F">
        <w:rPr>
          <w:rFonts w:eastAsiaTheme="minorEastAsia"/>
          <w:lang w:eastAsia="fr-FR"/>
        </w:rPr>
        <w:t>100 kg</w:t>
      </w:r>
      <w:r>
        <w:rPr>
          <w:rFonts w:eastAsiaTheme="minorEastAsia"/>
          <w:lang w:eastAsia="fr-FR"/>
        </w:rPr>
        <w:t xml:space="preserve"> in total</w:t>
      </w:r>
      <w:r w:rsidRPr="00AB4A5F">
        <w:rPr>
          <w:rFonts w:eastAsiaTheme="minorEastAsia"/>
          <w:lang w:eastAsia="fr-FR"/>
        </w:rPr>
        <w:t xml:space="preserve">, </w:t>
      </w:r>
      <w:r>
        <w:rPr>
          <w:rFonts w:eastAsiaTheme="minorEastAsia"/>
          <w:lang w:eastAsia="fr-FR"/>
        </w:rPr>
        <w:t>especially when several steps must be climbed</w:t>
      </w:r>
      <w:r w:rsidRPr="005641E5">
        <w:rPr>
          <w:rFonts w:eastAsiaTheme="minorEastAsia"/>
          <w:lang w:eastAsia="fr-FR"/>
        </w:rPr>
        <w:t xml:space="preserve"> </w:t>
      </w:r>
      <w:r>
        <w:rPr>
          <w:rFonts w:eastAsiaTheme="minorEastAsia"/>
          <w:lang w:eastAsia="fr-FR"/>
        </w:rPr>
        <w:t>on the staircase</w:t>
      </w:r>
      <w:r w:rsidRPr="00AB4A5F">
        <w:rPr>
          <w:rFonts w:eastAsiaTheme="minorEastAsia"/>
          <w:lang w:eastAsia="fr-FR"/>
        </w:rPr>
        <w:t>.</w:t>
      </w:r>
      <w:r w:rsidR="00CD4CD4">
        <w:rPr>
          <w:rFonts w:eastAsiaTheme="minorEastAsia"/>
          <w:lang w:eastAsia="fr-FR"/>
        </w:rPr>
        <w:t>’</w:t>
      </w:r>
      <w:r w:rsidRPr="00AB4A5F">
        <w:rPr>
          <w:rFonts w:eastAsiaTheme="minorEastAsia"/>
          <w:lang w:eastAsia="fr-FR"/>
        </w:rPr>
        <w:t xml:space="preserve"> </w:t>
      </w:r>
      <w:r>
        <w:rPr>
          <w:rFonts w:eastAsiaTheme="minorEastAsia"/>
          <w:lang w:eastAsia="fr-FR"/>
        </w:rPr>
        <w:t xml:space="preserve">The appellant criticises this conclusion, referring to the reports drawn up at first instance. In his view, the </w:t>
      </w:r>
      <w:r w:rsidRPr="00AB4A5F">
        <w:rPr>
          <w:rFonts w:eastAsiaTheme="minorEastAsia"/>
          <w:lang w:eastAsia="fr-FR"/>
        </w:rPr>
        <w:t>man</w:t>
      </w:r>
      <w:r>
        <w:rPr>
          <w:rFonts w:eastAsiaTheme="minorEastAsia"/>
          <w:lang w:eastAsia="fr-FR"/>
        </w:rPr>
        <w:t>oe</w:t>
      </w:r>
      <w:r w:rsidRPr="00AB4A5F">
        <w:rPr>
          <w:rFonts w:eastAsiaTheme="minorEastAsia"/>
          <w:lang w:eastAsia="fr-FR"/>
        </w:rPr>
        <w:t xml:space="preserve">uvre </w:t>
      </w:r>
      <w:r>
        <w:rPr>
          <w:rFonts w:eastAsiaTheme="minorEastAsia"/>
          <w:lang w:eastAsia="fr-FR"/>
        </w:rPr>
        <w:t xml:space="preserve">can be carried out by any person capable of following his </w:t>
      </w:r>
      <w:r w:rsidRPr="00AB4A5F">
        <w:rPr>
          <w:rFonts w:eastAsiaTheme="minorEastAsia"/>
          <w:lang w:eastAsia="fr-FR"/>
        </w:rPr>
        <w:t xml:space="preserve">instructions; </w:t>
      </w:r>
      <w:r>
        <w:rPr>
          <w:rFonts w:eastAsiaTheme="minorEastAsia"/>
          <w:lang w:eastAsia="fr-FR"/>
        </w:rPr>
        <w:t xml:space="preserve">as evidence, he cites the demonstration given during the on-site visit, when a man of normal strength and a woman suffering from a herniated disk </w:t>
      </w:r>
      <w:r w:rsidR="00CD4CD4">
        <w:rPr>
          <w:rFonts w:eastAsiaTheme="minorEastAsia"/>
          <w:lang w:eastAsia="fr-FR"/>
        </w:rPr>
        <w:t xml:space="preserve">succeeded in </w:t>
      </w:r>
      <w:r>
        <w:rPr>
          <w:rFonts w:eastAsiaTheme="minorEastAsia"/>
          <w:lang w:eastAsia="fr-FR"/>
        </w:rPr>
        <w:t>carry</w:t>
      </w:r>
      <w:r w:rsidR="00CD4CD4">
        <w:rPr>
          <w:rFonts w:eastAsiaTheme="minorEastAsia"/>
          <w:lang w:eastAsia="fr-FR"/>
        </w:rPr>
        <w:t>ing</w:t>
      </w:r>
      <w:r>
        <w:rPr>
          <w:rFonts w:eastAsiaTheme="minorEastAsia"/>
          <w:lang w:eastAsia="fr-FR"/>
        </w:rPr>
        <w:t xml:space="preserve"> him up the stairs</w:t>
      </w:r>
      <w:r w:rsidRPr="00AB4A5F">
        <w:rPr>
          <w:rFonts w:eastAsiaTheme="minorEastAsia"/>
          <w:lang w:eastAsia="fr-FR"/>
        </w:rPr>
        <w:t>.</w:t>
      </w:r>
    </w:p>
    <w:p w:rsidRPr="00AB4A5F" w:rsidR="00972D4A" w:rsidP="00972D4A" w:rsidRDefault="00972D4A" w14:paraId="649CCF61" w14:textId="7733D5B3">
      <w:pPr>
        <w:pStyle w:val="JuQuot"/>
        <w:rPr>
          <w:rFonts w:eastAsiaTheme="minorEastAsia"/>
          <w:lang w:eastAsia="fr-FR"/>
        </w:rPr>
      </w:pPr>
      <w:r>
        <w:rPr>
          <w:rFonts w:eastAsiaTheme="minorEastAsia"/>
          <w:lang w:eastAsia="fr-FR"/>
        </w:rPr>
        <w:t xml:space="preserve">The appellant is, to a certain extent, playing on words. The Civil Division did not find that the </w:t>
      </w:r>
      <w:r w:rsidRPr="00AB4A5F">
        <w:rPr>
          <w:rFonts w:eastAsiaTheme="minorEastAsia"/>
          <w:lang w:eastAsia="fr-FR"/>
        </w:rPr>
        <w:t>man</w:t>
      </w:r>
      <w:r>
        <w:rPr>
          <w:rFonts w:eastAsiaTheme="minorEastAsia"/>
          <w:lang w:eastAsia="fr-FR"/>
        </w:rPr>
        <w:t>oe</w:t>
      </w:r>
      <w:r w:rsidRPr="00AB4A5F">
        <w:rPr>
          <w:rFonts w:eastAsiaTheme="minorEastAsia"/>
          <w:lang w:eastAsia="fr-FR"/>
        </w:rPr>
        <w:t xml:space="preserve">uvre </w:t>
      </w:r>
      <w:r>
        <w:rPr>
          <w:rFonts w:eastAsiaTheme="minorEastAsia"/>
          <w:lang w:eastAsia="fr-FR"/>
        </w:rPr>
        <w:t xml:space="preserve">was </w:t>
      </w:r>
      <w:r w:rsidRPr="00AB4A5F">
        <w:rPr>
          <w:rFonts w:eastAsiaTheme="minorEastAsia"/>
          <w:lang w:eastAsia="fr-FR"/>
        </w:rPr>
        <w:t>impossible o</w:t>
      </w:r>
      <w:r>
        <w:rPr>
          <w:rFonts w:eastAsiaTheme="minorEastAsia"/>
          <w:lang w:eastAsia="fr-FR"/>
        </w:rPr>
        <w:t xml:space="preserve">r particularly difficult, but only that it was not easy. However, there is nothing unreasonable in noting that </w:t>
      </w:r>
      <w:r w:rsidR="00CD4CD4">
        <w:rPr>
          <w:rFonts w:eastAsiaTheme="minorEastAsia"/>
          <w:lang w:eastAsia="fr-FR"/>
        </w:rPr>
        <w:t xml:space="preserve">it is not an easy task to </w:t>
      </w:r>
      <w:r>
        <w:rPr>
          <w:rFonts w:eastAsiaTheme="minorEastAsia"/>
          <w:lang w:eastAsia="fr-FR"/>
        </w:rPr>
        <w:t xml:space="preserve">carry an individual in a wheelchair, weighing </w:t>
      </w:r>
      <w:r w:rsidRPr="00AB4A5F">
        <w:rPr>
          <w:rFonts w:eastAsiaTheme="minorEastAsia"/>
          <w:lang w:eastAsia="fr-FR"/>
        </w:rPr>
        <w:t>100 kg</w:t>
      </w:r>
      <w:r>
        <w:rPr>
          <w:rFonts w:eastAsiaTheme="minorEastAsia"/>
          <w:lang w:eastAsia="fr-FR"/>
        </w:rPr>
        <w:t xml:space="preserve"> in total</w:t>
      </w:r>
      <w:r w:rsidRPr="00AB4A5F">
        <w:rPr>
          <w:rFonts w:eastAsiaTheme="minorEastAsia"/>
          <w:lang w:eastAsia="fr-FR"/>
        </w:rPr>
        <w:t xml:space="preserve">, </w:t>
      </w:r>
      <w:r>
        <w:rPr>
          <w:rFonts w:eastAsiaTheme="minorEastAsia"/>
          <w:lang w:eastAsia="fr-FR"/>
        </w:rPr>
        <w:t xml:space="preserve">up a flight of stairs, </w:t>
      </w:r>
      <w:r w:rsidR="00CD4CD4">
        <w:rPr>
          <w:rFonts w:eastAsiaTheme="minorEastAsia"/>
          <w:lang w:eastAsia="fr-FR"/>
        </w:rPr>
        <w:t xml:space="preserve">at least not for </w:t>
      </w:r>
      <w:r>
        <w:rPr>
          <w:rFonts w:eastAsiaTheme="minorEastAsia"/>
          <w:lang w:eastAsia="fr-FR"/>
        </w:rPr>
        <w:t xml:space="preserve">persons who are </w:t>
      </w:r>
      <w:r w:rsidR="00CD4CD4">
        <w:rPr>
          <w:rFonts w:eastAsiaTheme="minorEastAsia"/>
          <w:lang w:eastAsia="fr-FR"/>
        </w:rPr>
        <w:t xml:space="preserve">unaccustomed </w:t>
      </w:r>
      <w:r>
        <w:rPr>
          <w:rFonts w:eastAsiaTheme="minorEastAsia"/>
          <w:lang w:eastAsia="fr-FR"/>
        </w:rPr>
        <w:t>to this task</w:t>
      </w:r>
      <w:r w:rsidRPr="00AB4A5F">
        <w:rPr>
          <w:rFonts w:eastAsiaTheme="minorEastAsia"/>
          <w:lang w:eastAsia="fr-FR"/>
        </w:rPr>
        <w:t>.</w:t>
      </w:r>
    </w:p>
    <w:p w:rsidRPr="00AB4A5F" w:rsidR="00972D4A" w:rsidP="00972D4A" w:rsidRDefault="00972D4A" w14:paraId="6ECCB578" w14:textId="77777777">
      <w:pPr>
        <w:pStyle w:val="JuQuot"/>
        <w:rPr>
          <w:rFonts w:eastAsiaTheme="minorEastAsia"/>
          <w:lang w:eastAsia="fr-FR"/>
        </w:rPr>
      </w:pPr>
      <w:r>
        <w:rPr>
          <w:rFonts w:eastAsiaTheme="minorEastAsia"/>
          <w:lang w:eastAsia="fr-FR"/>
        </w:rPr>
        <w:t>As will be seen below, however, this matter is not decisive for the outcome of the dispute, so that a correction of the factual findings is in any event beside the point</w:t>
      </w:r>
      <w:r w:rsidRPr="00AB4A5F">
        <w:rPr>
          <w:rFonts w:eastAsiaTheme="minorEastAsia"/>
          <w:lang w:eastAsia="fr-FR"/>
        </w:rPr>
        <w:t>.</w:t>
      </w:r>
    </w:p>
    <w:p w:rsidRPr="00AB4A5F" w:rsidR="00972D4A" w:rsidP="00972D4A" w:rsidRDefault="00972D4A" w14:paraId="3E5AB8C0" w14:textId="5BD544A2">
      <w:pPr>
        <w:pStyle w:val="JuQuot"/>
        <w:rPr>
          <w:rFonts w:eastAsiaTheme="minorEastAsia"/>
          <w:lang w:eastAsia="fr-FR"/>
        </w:rPr>
      </w:pPr>
      <w:r w:rsidRPr="00AB4A5F">
        <w:rPr>
          <w:rFonts w:eastAsiaTheme="minorEastAsia"/>
          <w:lang w:eastAsia="fr-FR"/>
        </w:rPr>
        <w:t>3.  </w:t>
      </w:r>
      <w:r>
        <w:rPr>
          <w:rFonts w:eastAsiaTheme="minorEastAsia"/>
          <w:lang w:eastAsia="fr-FR"/>
        </w:rPr>
        <w:t xml:space="preserve">Secondly, the appellant complains of a violation of section </w:t>
      </w:r>
      <w:r w:rsidRPr="00AB4A5F">
        <w:rPr>
          <w:rFonts w:eastAsiaTheme="minorEastAsia"/>
          <w:lang w:eastAsia="fr-FR"/>
        </w:rPr>
        <w:t xml:space="preserve">6 </w:t>
      </w:r>
      <w:r>
        <w:rPr>
          <w:rFonts w:eastAsiaTheme="minorEastAsia"/>
          <w:lang w:eastAsia="fr-FR"/>
        </w:rPr>
        <w:t xml:space="preserve">of the Disability Act </w:t>
      </w:r>
      <w:r w:rsidRPr="00AB4A5F">
        <w:rPr>
          <w:rFonts w:eastAsiaTheme="minorEastAsia"/>
          <w:lang w:eastAsia="fr-FR"/>
        </w:rPr>
        <w:t>[</w:t>
      </w:r>
      <w:r>
        <w:rPr>
          <w:rFonts w:eastAsiaTheme="minorEastAsia"/>
          <w:lang w:eastAsia="fr-FR"/>
        </w:rPr>
        <w:t xml:space="preserve">Federal Law of 13 December 2002 on the </w:t>
      </w:r>
      <w:r w:rsidR="00CD4CD4">
        <w:rPr>
          <w:rFonts w:eastAsiaTheme="minorEastAsia"/>
          <w:lang w:eastAsia="fr-FR"/>
        </w:rPr>
        <w:t>E</w:t>
      </w:r>
      <w:r>
        <w:rPr>
          <w:rFonts w:eastAsiaTheme="minorEastAsia"/>
          <w:lang w:eastAsia="fr-FR"/>
        </w:rPr>
        <w:t xml:space="preserve">limination of </w:t>
      </w:r>
      <w:r w:rsidR="00CD4CD4">
        <w:rPr>
          <w:rFonts w:eastAsiaTheme="minorEastAsia"/>
          <w:lang w:eastAsia="fr-FR"/>
        </w:rPr>
        <w:t>I</w:t>
      </w:r>
      <w:r>
        <w:rPr>
          <w:rFonts w:eastAsiaTheme="minorEastAsia"/>
          <w:lang w:eastAsia="fr-FR"/>
        </w:rPr>
        <w:t xml:space="preserve">nequalities affecting </w:t>
      </w:r>
      <w:r w:rsidR="00CD4CD4">
        <w:rPr>
          <w:rFonts w:eastAsiaTheme="minorEastAsia"/>
          <w:lang w:eastAsia="fr-FR"/>
        </w:rPr>
        <w:t>Persons with D</w:t>
      </w:r>
      <w:r>
        <w:rPr>
          <w:rFonts w:eastAsiaTheme="minorEastAsia"/>
          <w:lang w:eastAsia="fr-FR"/>
        </w:rPr>
        <w:t>isab</w:t>
      </w:r>
      <w:r w:rsidR="00CD4CD4">
        <w:rPr>
          <w:rFonts w:eastAsiaTheme="minorEastAsia"/>
          <w:lang w:eastAsia="fr-FR"/>
        </w:rPr>
        <w:t>ilities</w:t>
      </w:r>
      <w:r w:rsidRPr="00AB4A5F">
        <w:rPr>
          <w:rFonts w:eastAsiaTheme="minorEastAsia"/>
          <w:lang w:eastAsia="fr-FR"/>
        </w:rPr>
        <w:t>].</w:t>
      </w:r>
    </w:p>
    <w:p w:rsidRPr="00AB4A5F" w:rsidR="00972D4A" w:rsidP="00972D4A" w:rsidRDefault="00972D4A" w14:paraId="396E76D7" w14:textId="19B63A1D">
      <w:pPr>
        <w:pStyle w:val="JuQuot"/>
        <w:rPr>
          <w:rFonts w:eastAsiaTheme="minorEastAsia"/>
          <w:lang w:eastAsia="fr-FR"/>
        </w:rPr>
      </w:pPr>
      <w:r w:rsidRPr="00AB4A5F">
        <w:rPr>
          <w:rFonts w:eastAsiaTheme="minorEastAsia"/>
          <w:lang w:eastAsia="fr-FR"/>
        </w:rPr>
        <w:t>3.1</w:t>
      </w:r>
      <w:r>
        <w:rPr>
          <w:rFonts w:eastAsiaTheme="minorEastAsia"/>
          <w:lang w:eastAsia="fr-FR"/>
        </w:rPr>
        <w:t>.</w:t>
      </w:r>
      <w:r w:rsidR="003A065F">
        <w:rPr>
          <w:rFonts w:eastAsiaTheme="minorEastAsia"/>
          <w:lang w:eastAsia="fr-FR"/>
        </w:rPr>
        <w:t> </w:t>
      </w:r>
      <w:r w:rsidRPr="00AB4A5F">
        <w:rPr>
          <w:rFonts w:eastAsiaTheme="minorEastAsia"/>
          <w:lang w:eastAsia="fr-FR"/>
        </w:rPr>
        <w:t> </w:t>
      </w:r>
      <w:r>
        <w:rPr>
          <w:rFonts w:eastAsiaTheme="minorEastAsia"/>
          <w:lang w:eastAsia="fr-FR"/>
        </w:rPr>
        <w:t>Rightly, he does not criticise the fact that the cinema building itself is constructed in such a way that access to the auditoria is impossible or difficult for persons in wheelchairs. The Disability Act</w:t>
      </w:r>
      <w:r w:rsidRPr="00AB4A5F">
        <w:rPr>
          <w:rFonts w:eastAsiaTheme="minorEastAsia"/>
          <w:lang w:eastAsia="fr-FR"/>
        </w:rPr>
        <w:t xml:space="preserve"> </w:t>
      </w:r>
      <w:r>
        <w:rPr>
          <w:rFonts w:eastAsiaTheme="minorEastAsia"/>
          <w:lang w:eastAsia="fr-FR"/>
        </w:rPr>
        <w:t>does not apply to this building, which was erected and renovated prior to the entry into force of the Law o</w:t>
      </w:r>
      <w:r w:rsidR="00CD4CD4">
        <w:rPr>
          <w:rFonts w:eastAsiaTheme="minorEastAsia"/>
          <w:lang w:eastAsia="fr-FR"/>
        </w:rPr>
        <w:t>f</w:t>
      </w:r>
      <w:r>
        <w:rPr>
          <w:rFonts w:eastAsiaTheme="minorEastAsia"/>
          <w:lang w:eastAsia="fr-FR"/>
        </w:rPr>
        <w:t xml:space="preserve"> </w:t>
      </w:r>
      <w:r w:rsidRPr="00AB4A5F">
        <w:rPr>
          <w:rFonts w:eastAsiaTheme="minorEastAsia"/>
          <w:lang w:eastAsia="fr-FR"/>
        </w:rPr>
        <w:t>1</w:t>
      </w:r>
      <w:r w:rsidR="00EF2AF6">
        <w:rPr>
          <w:rFonts w:eastAsiaTheme="minorEastAsia"/>
          <w:lang w:eastAsia="fr-FR"/>
        </w:rPr>
        <w:t> </w:t>
      </w:r>
      <w:r>
        <w:rPr>
          <w:rFonts w:eastAsiaTheme="minorEastAsia"/>
          <w:lang w:eastAsia="fr-FR"/>
        </w:rPr>
        <w:t xml:space="preserve">January </w:t>
      </w:r>
      <w:r w:rsidRPr="00AB4A5F">
        <w:rPr>
          <w:rFonts w:eastAsiaTheme="minorEastAsia"/>
          <w:lang w:eastAsia="fr-FR"/>
        </w:rPr>
        <w:t>2004 (</w:t>
      </w:r>
      <w:r>
        <w:rPr>
          <w:rFonts w:eastAsiaTheme="minorEastAsia"/>
          <w:lang w:eastAsia="fr-FR"/>
        </w:rPr>
        <w:t xml:space="preserve">section </w:t>
      </w:r>
      <w:r w:rsidRPr="00AB4A5F">
        <w:rPr>
          <w:rFonts w:eastAsiaTheme="minorEastAsia"/>
          <w:lang w:eastAsia="fr-FR"/>
        </w:rPr>
        <w:t>3</w:t>
      </w:r>
      <w:r>
        <w:rPr>
          <w:rFonts w:eastAsiaTheme="minorEastAsia"/>
          <w:lang w:eastAsia="fr-FR"/>
        </w:rPr>
        <w:t>(a) of the Disability Act</w:t>
      </w:r>
      <w:r w:rsidRPr="00AB4A5F">
        <w:rPr>
          <w:rFonts w:eastAsiaTheme="minorEastAsia"/>
          <w:lang w:eastAsia="fr-FR"/>
        </w:rPr>
        <w:t xml:space="preserve">). </w:t>
      </w:r>
      <w:r>
        <w:rPr>
          <w:rFonts w:eastAsiaTheme="minorEastAsia"/>
          <w:lang w:eastAsia="fr-FR"/>
        </w:rPr>
        <w:t xml:space="preserve">Nor does the appellant challenge the fact that no members of staff </w:t>
      </w:r>
      <w:r w:rsidR="00CD4CD4">
        <w:rPr>
          <w:rFonts w:eastAsiaTheme="minorEastAsia"/>
          <w:lang w:eastAsia="fr-FR"/>
        </w:rPr>
        <w:t xml:space="preserve">were </w:t>
      </w:r>
      <w:r>
        <w:rPr>
          <w:rFonts w:eastAsiaTheme="minorEastAsia"/>
          <w:lang w:eastAsia="fr-FR"/>
        </w:rPr>
        <w:t>present with responsibility for assisting wheelchair users to enter the auditorium, since the Disability Act</w:t>
      </w:r>
      <w:r w:rsidRPr="00AB4A5F">
        <w:rPr>
          <w:rFonts w:eastAsiaTheme="minorEastAsia"/>
          <w:lang w:eastAsia="fr-FR"/>
        </w:rPr>
        <w:t xml:space="preserve"> </w:t>
      </w:r>
      <w:r>
        <w:rPr>
          <w:rFonts w:eastAsiaTheme="minorEastAsia"/>
          <w:lang w:eastAsia="fr-FR"/>
        </w:rPr>
        <w:t xml:space="preserve">does not create any such </w:t>
      </w:r>
      <w:r w:rsidRPr="00AB4A5F">
        <w:rPr>
          <w:rFonts w:eastAsiaTheme="minorEastAsia"/>
          <w:lang w:eastAsia="fr-FR"/>
        </w:rPr>
        <w:t>obligation</w:t>
      </w:r>
      <w:r>
        <w:rPr>
          <w:rFonts w:eastAsiaTheme="minorEastAsia"/>
          <w:lang w:eastAsia="fr-FR"/>
        </w:rPr>
        <w:t xml:space="preserve"> for private service providers </w:t>
      </w:r>
      <w:r w:rsidRPr="00AB4A5F">
        <w:rPr>
          <w:rFonts w:eastAsiaTheme="minorEastAsia"/>
          <w:lang w:eastAsia="fr-FR"/>
        </w:rPr>
        <w:t>(</w:t>
      </w:r>
      <w:r>
        <w:rPr>
          <w:rFonts w:eastAsiaTheme="minorEastAsia"/>
          <w:lang w:eastAsia="fr-FR"/>
        </w:rPr>
        <w:t xml:space="preserve">section </w:t>
      </w:r>
      <w:r w:rsidRPr="00AB4A5F">
        <w:rPr>
          <w:rFonts w:eastAsiaTheme="minorEastAsia"/>
          <w:lang w:eastAsia="fr-FR"/>
        </w:rPr>
        <w:t xml:space="preserve">6 </w:t>
      </w:r>
      <w:r>
        <w:rPr>
          <w:rFonts w:eastAsiaTheme="minorEastAsia"/>
          <w:lang w:eastAsia="fr-FR"/>
        </w:rPr>
        <w:t xml:space="preserve">of the Disability Act; see, </w:t>
      </w:r>
      <w:r w:rsidRPr="002B34E5">
        <w:rPr>
          <w:rFonts w:eastAsiaTheme="minorEastAsia"/>
          <w:i/>
          <w:iCs/>
          <w:lang w:eastAsia="fr-FR"/>
        </w:rPr>
        <w:t>a</w:t>
      </w:r>
      <w:r w:rsidR="00EF2AF6">
        <w:rPr>
          <w:rFonts w:eastAsiaTheme="minorEastAsia"/>
          <w:i/>
          <w:iCs/>
          <w:lang w:eastAsia="fr-FR"/>
        </w:rPr>
        <w:t> </w:t>
      </w:r>
      <w:proofErr w:type="spellStart"/>
      <w:r w:rsidRPr="002B34E5">
        <w:rPr>
          <w:rFonts w:eastAsiaTheme="minorEastAsia"/>
          <w:i/>
          <w:iCs/>
          <w:lang w:eastAsia="fr-FR"/>
        </w:rPr>
        <w:t>contrario</w:t>
      </w:r>
      <w:proofErr w:type="spellEnd"/>
      <w:r>
        <w:rPr>
          <w:rFonts w:eastAsiaTheme="minorEastAsia"/>
          <w:lang w:eastAsia="fr-FR"/>
        </w:rPr>
        <w:t xml:space="preserve">, </w:t>
      </w:r>
      <w:r w:rsidR="00CD4CD4">
        <w:rPr>
          <w:rFonts w:eastAsiaTheme="minorEastAsia"/>
          <w:lang w:eastAsia="fr-FR"/>
        </w:rPr>
        <w:t xml:space="preserve">the </w:t>
      </w:r>
      <w:r>
        <w:rPr>
          <w:rFonts w:eastAsiaTheme="minorEastAsia"/>
          <w:lang w:eastAsia="fr-FR"/>
        </w:rPr>
        <w:t xml:space="preserve">memorandum of </w:t>
      </w:r>
      <w:r w:rsidRPr="00AB4A5F">
        <w:rPr>
          <w:rFonts w:eastAsiaTheme="minorEastAsia"/>
          <w:lang w:eastAsia="fr-FR"/>
        </w:rPr>
        <w:t xml:space="preserve">11 December 2000 </w:t>
      </w:r>
      <w:r>
        <w:rPr>
          <w:rFonts w:eastAsiaTheme="minorEastAsia"/>
          <w:lang w:eastAsia="fr-FR"/>
        </w:rPr>
        <w:t>on the federal popular initiative “Equal rights for Disabled Persons” and the draft federal law on the elimination of inequalities affecting disabled persons</w:t>
      </w:r>
      <w:r w:rsidRPr="00AB4A5F">
        <w:rPr>
          <w:rFonts w:eastAsiaTheme="minorEastAsia"/>
          <w:lang w:eastAsia="fr-FR"/>
        </w:rPr>
        <w:t>, FF 2001 1698 ch</w:t>
      </w:r>
      <w:r>
        <w:rPr>
          <w:rFonts w:eastAsiaTheme="minorEastAsia"/>
          <w:lang w:eastAsia="fr-FR"/>
        </w:rPr>
        <w:t>apter</w:t>
      </w:r>
      <w:r w:rsidRPr="00AB4A5F">
        <w:rPr>
          <w:rFonts w:eastAsiaTheme="minorEastAsia"/>
          <w:lang w:eastAsia="fr-FR"/>
        </w:rPr>
        <w:t> 5.4.4).</w:t>
      </w:r>
    </w:p>
    <w:p w:rsidRPr="002B34E5" w:rsidR="00972D4A" w:rsidP="00972D4A" w:rsidRDefault="00972D4A" w14:paraId="5DD1EED2" w14:textId="1688B8BF">
      <w:pPr>
        <w:pStyle w:val="JuQuot"/>
        <w:rPr>
          <w:rFonts w:eastAsiaTheme="minorEastAsia"/>
          <w:lang w:eastAsia="fr-FR"/>
        </w:rPr>
      </w:pPr>
      <w:r>
        <w:rPr>
          <w:rFonts w:eastAsiaTheme="minorEastAsia"/>
          <w:lang w:eastAsia="fr-FR"/>
        </w:rPr>
        <w:t xml:space="preserve">However, the appellant does contest the grounds put forward by the respondent for refusing him access to the auditorium. He notes that the specific risks in the event of evacuation are intrinsic to the </w:t>
      </w:r>
      <w:r w:rsidRPr="002B34E5">
        <w:rPr>
          <w:rFonts w:eastAsiaTheme="minorEastAsia"/>
          <w:lang w:eastAsia="fr-FR"/>
        </w:rPr>
        <w:t xml:space="preserve">condition </w:t>
      </w:r>
      <w:r>
        <w:rPr>
          <w:rFonts w:eastAsiaTheme="minorEastAsia"/>
          <w:lang w:eastAsia="fr-FR"/>
        </w:rPr>
        <w:t xml:space="preserve">of a wheelchair user and typical of numerous </w:t>
      </w:r>
      <w:r w:rsidRPr="002B34E5">
        <w:rPr>
          <w:rFonts w:eastAsiaTheme="minorEastAsia"/>
          <w:lang w:eastAsia="fr-FR"/>
        </w:rPr>
        <w:t xml:space="preserve">situations </w:t>
      </w:r>
      <w:r>
        <w:rPr>
          <w:rFonts w:eastAsiaTheme="minorEastAsia"/>
          <w:lang w:eastAsia="fr-FR"/>
        </w:rPr>
        <w:t>in the daily life of the individuals concerned; by way of example, he refers to the fact that lifts are not supposed to be used in the event of a fire, a possibility which clearly could not justify a ban on entry</w:t>
      </w:r>
      <w:r w:rsidRPr="00442297" w:rsidR="00442297">
        <w:rPr>
          <w:rFonts w:eastAsiaTheme="minorEastAsia"/>
          <w:lang w:eastAsia="fr-FR"/>
        </w:rPr>
        <w:t xml:space="preserve"> </w:t>
      </w:r>
      <w:r w:rsidR="00442297">
        <w:rPr>
          <w:rFonts w:eastAsiaTheme="minorEastAsia"/>
          <w:lang w:eastAsia="fr-FR"/>
        </w:rPr>
        <w:t xml:space="preserve">to all premises that are </w:t>
      </w:r>
      <w:r w:rsidRPr="002B34E5" w:rsidR="00442297">
        <w:rPr>
          <w:rFonts w:eastAsiaTheme="minorEastAsia"/>
          <w:lang w:eastAsia="fr-FR"/>
        </w:rPr>
        <w:t>accessible</w:t>
      </w:r>
      <w:r w:rsidR="00442297">
        <w:rPr>
          <w:rFonts w:eastAsiaTheme="minorEastAsia"/>
          <w:lang w:eastAsia="fr-FR"/>
        </w:rPr>
        <w:t xml:space="preserve"> solely by staircase or lift</w:t>
      </w:r>
      <w:r w:rsidRPr="002B34E5">
        <w:rPr>
          <w:rFonts w:eastAsiaTheme="minorEastAsia"/>
          <w:lang w:eastAsia="fr-FR"/>
        </w:rPr>
        <w:t xml:space="preserve">, </w:t>
      </w:r>
      <w:r>
        <w:rPr>
          <w:rFonts w:eastAsiaTheme="minorEastAsia"/>
          <w:lang w:eastAsia="fr-FR"/>
        </w:rPr>
        <w:t>unless disabled persons are to be excluded from</w:t>
      </w:r>
      <w:r w:rsidR="00442297">
        <w:rPr>
          <w:rFonts w:eastAsiaTheme="minorEastAsia"/>
          <w:lang w:eastAsia="fr-FR"/>
        </w:rPr>
        <w:t xml:space="preserve"> them</w:t>
      </w:r>
      <w:r>
        <w:rPr>
          <w:rFonts w:eastAsiaTheme="minorEastAsia"/>
          <w:lang w:eastAsia="fr-FR"/>
        </w:rPr>
        <w:t>. In addition, the appellant considers that the absence of staff capable of assisting a disabled person is not decisive if third parties are willing to help</w:t>
      </w:r>
      <w:r w:rsidR="00442297">
        <w:rPr>
          <w:rFonts w:eastAsiaTheme="minorEastAsia"/>
          <w:lang w:eastAsia="fr-FR"/>
        </w:rPr>
        <w:t xml:space="preserve">, </w:t>
      </w:r>
      <w:r>
        <w:rPr>
          <w:rFonts w:eastAsiaTheme="minorEastAsia"/>
          <w:lang w:eastAsia="fr-FR"/>
        </w:rPr>
        <w:t>third parties that he was in this instance willing to find himself from among audience members</w:t>
      </w:r>
      <w:r w:rsidRPr="002B34E5">
        <w:rPr>
          <w:rFonts w:eastAsiaTheme="minorEastAsia"/>
          <w:lang w:eastAsia="fr-FR"/>
        </w:rPr>
        <w:t xml:space="preserve">. </w:t>
      </w:r>
      <w:r>
        <w:rPr>
          <w:rFonts w:eastAsiaTheme="minorEastAsia"/>
          <w:lang w:eastAsia="fr-FR"/>
        </w:rPr>
        <w:t>Lastly, he argues that, contrary to what is claimed by the respondent, the liability of the cinema operator would not have been incurred if he or the above-mentioned third parties had sustained an injury. The appellant concludes that there were no valid reasons for refusing him access to the cinema and that he suffered discrimination within the meaning of section</w:t>
      </w:r>
      <w:r w:rsidR="00442297">
        <w:rPr>
          <w:rFonts w:eastAsiaTheme="minorEastAsia"/>
          <w:lang w:eastAsia="fr-FR"/>
        </w:rPr>
        <w:t> </w:t>
      </w:r>
      <w:r w:rsidRPr="002B34E5">
        <w:rPr>
          <w:rFonts w:eastAsiaTheme="minorEastAsia"/>
          <w:lang w:eastAsia="fr-FR"/>
        </w:rPr>
        <w:t xml:space="preserve">6 </w:t>
      </w:r>
      <w:r>
        <w:rPr>
          <w:rFonts w:eastAsiaTheme="minorEastAsia"/>
          <w:lang w:eastAsia="fr-FR"/>
        </w:rPr>
        <w:t>of the Disability Act</w:t>
      </w:r>
      <w:r w:rsidRPr="002B34E5">
        <w:rPr>
          <w:rFonts w:eastAsiaTheme="minorEastAsia"/>
          <w:lang w:eastAsia="fr-FR"/>
        </w:rPr>
        <w:t>.</w:t>
      </w:r>
    </w:p>
    <w:p w:rsidRPr="002B34E5" w:rsidR="00972D4A" w:rsidP="00972D4A" w:rsidRDefault="00972D4A" w14:paraId="59C3CA86" w14:textId="7A2F1B97">
      <w:pPr>
        <w:pStyle w:val="JuQuot"/>
        <w:rPr>
          <w:rFonts w:eastAsiaTheme="minorEastAsia"/>
          <w:lang w:eastAsia="fr-FR"/>
        </w:rPr>
      </w:pPr>
      <w:r w:rsidRPr="002B34E5">
        <w:rPr>
          <w:rFonts w:eastAsiaTheme="minorEastAsia"/>
          <w:lang w:eastAsia="fr-FR"/>
        </w:rPr>
        <w:t>3.2  </w:t>
      </w:r>
      <w:r>
        <w:rPr>
          <w:rFonts w:eastAsiaTheme="minorEastAsia"/>
          <w:lang w:eastAsia="fr-FR"/>
        </w:rPr>
        <w:t>The appellant’s objections are not completely without foundation.</w:t>
      </w:r>
      <w:r w:rsidRPr="002B34E5">
        <w:rPr>
          <w:rFonts w:eastAsiaTheme="minorEastAsia"/>
          <w:lang w:eastAsia="fr-FR"/>
        </w:rPr>
        <w:t xml:space="preserve"> </w:t>
      </w:r>
      <w:r>
        <w:rPr>
          <w:rFonts w:eastAsiaTheme="minorEastAsia"/>
          <w:lang w:eastAsia="fr-FR"/>
        </w:rPr>
        <w:t xml:space="preserve">Nevertheless, they do not </w:t>
      </w:r>
      <w:r w:rsidR="00442297">
        <w:rPr>
          <w:rFonts w:eastAsiaTheme="minorEastAsia"/>
          <w:lang w:eastAsia="fr-FR"/>
        </w:rPr>
        <w:t xml:space="preserve">invalidate </w:t>
      </w:r>
      <w:r>
        <w:rPr>
          <w:rFonts w:eastAsiaTheme="minorEastAsia"/>
          <w:lang w:eastAsia="fr-FR"/>
        </w:rPr>
        <w:t xml:space="preserve">the grounds put forward by the respondent </w:t>
      </w:r>
      <w:r w:rsidR="00442297">
        <w:rPr>
          <w:rFonts w:eastAsiaTheme="minorEastAsia"/>
          <w:lang w:eastAsia="fr-FR"/>
        </w:rPr>
        <w:t xml:space="preserve">to </w:t>
      </w:r>
      <w:r w:rsidRPr="002B34E5">
        <w:rPr>
          <w:rFonts w:eastAsiaTheme="minorEastAsia"/>
          <w:lang w:eastAsia="fr-FR"/>
        </w:rPr>
        <w:t>justif</w:t>
      </w:r>
      <w:r>
        <w:rPr>
          <w:rFonts w:eastAsiaTheme="minorEastAsia"/>
          <w:lang w:eastAsia="fr-FR"/>
        </w:rPr>
        <w:t>y</w:t>
      </w:r>
      <w:r w:rsidR="00442297">
        <w:rPr>
          <w:rFonts w:eastAsiaTheme="minorEastAsia"/>
          <w:lang w:eastAsia="fr-FR"/>
        </w:rPr>
        <w:t xml:space="preserve"> </w:t>
      </w:r>
      <w:r>
        <w:rPr>
          <w:rFonts w:eastAsiaTheme="minorEastAsia"/>
          <w:lang w:eastAsia="fr-FR"/>
        </w:rPr>
        <w:t xml:space="preserve">the refusal to sell him an </w:t>
      </w:r>
      <w:r w:rsidR="00442297">
        <w:rPr>
          <w:rFonts w:eastAsiaTheme="minorEastAsia"/>
          <w:lang w:eastAsia="fr-FR"/>
        </w:rPr>
        <w:t xml:space="preserve">admission </w:t>
      </w:r>
      <w:r>
        <w:rPr>
          <w:rFonts w:eastAsiaTheme="minorEastAsia"/>
          <w:lang w:eastAsia="fr-FR"/>
        </w:rPr>
        <w:t>ticket</w:t>
      </w:r>
      <w:r w:rsidRPr="002B34E5">
        <w:rPr>
          <w:rFonts w:eastAsiaTheme="minorEastAsia"/>
          <w:lang w:eastAsia="fr-FR"/>
        </w:rPr>
        <w:t>.</w:t>
      </w:r>
    </w:p>
    <w:p w:rsidRPr="002B34E5" w:rsidR="00972D4A" w:rsidP="00972D4A" w:rsidRDefault="00972D4A" w14:paraId="473D6786" w14:textId="70DAA30A">
      <w:pPr>
        <w:pStyle w:val="JuQuot"/>
        <w:rPr>
          <w:rFonts w:eastAsiaTheme="minorEastAsia"/>
          <w:lang w:eastAsia="fr-FR"/>
        </w:rPr>
      </w:pPr>
      <w:r>
        <w:rPr>
          <w:rFonts w:eastAsiaTheme="minorEastAsia"/>
          <w:lang w:eastAsia="fr-FR"/>
        </w:rPr>
        <w:t>Admittedly, the emergency evacuation of any building or premises entails particular risks for a wheelchair user, especially if he or she is unaccompanied. However, these risks are even greater with regard to the emergency evacuation of an entertainment venue, given the large number of people potentially present and the attendant risk of crushing</w:t>
      </w:r>
      <w:r w:rsidRPr="002B34E5">
        <w:rPr>
          <w:rFonts w:eastAsiaTheme="minorEastAsia"/>
          <w:lang w:eastAsia="fr-FR"/>
        </w:rPr>
        <w:t xml:space="preserve">. </w:t>
      </w:r>
      <w:r>
        <w:rPr>
          <w:rFonts w:eastAsiaTheme="minorEastAsia"/>
          <w:lang w:eastAsia="fr-FR"/>
        </w:rPr>
        <w:t xml:space="preserve">Furthermore, even if the cinema operator’s legal liability were not to be engaged in the event of death or injury to a disabled person or a third party providing assistance, </w:t>
      </w:r>
      <w:r w:rsidRPr="002B34E5">
        <w:rPr>
          <w:rFonts w:eastAsiaTheme="minorEastAsia"/>
          <w:lang w:eastAsia="fr-FR"/>
        </w:rPr>
        <w:t>i</w:t>
      </w:r>
      <w:r>
        <w:rPr>
          <w:rFonts w:eastAsiaTheme="minorEastAsia"/>
          <w:lang w:eastAsia="fr-FR"/>
        </w:rPr>
        <w:t xml:space="preserve">t is understandable that the operator is wary of the possible criticisms that could be levelled against it by the victim’s relatives </w:t>
      </w:r>
      <w:r w:rsidRPr="002B34E5">
        <w:rPr>
          <w:rFonts w:eastAsiaTheme="minorEastAsia"/>
          <w:lang w:eastAsia="fr-FR"/>
        </w:rPr>
        <w:t>o</w:t>
      </w:r>
      <w:r>
        <w:rPr>
          <w:rFonts w:eastAsiaTheme="minorEastAsia"/>
          <w:lang w:eastAsia="fr-FR"/>
        </w:rPr>
        <w:t xml:space="preserve">r by other parties for failing to have regard to a disabled person to whom they had nonetheless sold an </w:t>
      </w:r>
      <w:r w:rsidR="00442297">
        <w:rPr>
          <w:rFonts w:eastAsiaTheme="minorEastAsia"/>
          <w:lang w:eastAsia="fr-FR"/>
        </w:rPr>
        <w:t xml:space="preserve">admission </w:t>
      </w:r>
      <w:r>
        <w:rPr>
          <w:rFonts w:eastAsiaTheme="minorEastAsia"/>
          <w:lang w:eastAsia="fr-FR"/>
        </w:rPr>
        <w:t>ticket to the auditorium</w:t>
      </w:r>
      <w:r w:rsidRPr="002B34E5">
        <w:rPr>
          <w:rFonts w:eastAsiaTheme="minorEastAsia"/>
          <w:lang w:eastAsia="fr-FR"/>
        </w:rPr>
        <w:t>.</w:t>
      </w:r>
    </w:p>
    <w:p w:rsidRPr="002B34E5" w:rsidR="00972D4A" w:rsidP="00972D4A" w:rsidRDefault="00972D4A" w14:paraId="19B9484A" w14:textId="454FB98D">
      <w:pPr>
        <w:pStyle w:val="JuQuot"/>
        <w:rPr>
          <w:rFonts w:eastAsiaTheme="minorEastAsia"/>
          <w:lang w:eastAsia="fr-FR"/>
        </w:rPr>
      </w:pPr>
      <w:r>
        <w:rPr>
          <w:rFonts w:eastAsiaTheme="minorEastAsia"/>
          <w:lang w:eastAsia="fr-FR"/>
        </w:rPr>
        <w:t xml:space="preserve">That being stated, it is necessary to examine whether, in refusing the appellant entry to the cinema on the above-mentioned grounds, the respondent </w:t>
      </w:r>
      <w:r w:rsidR="00442297">
        <w:rPr>
          <w:rFonts w:eastAsiaTheme="minorEastAsia"/>
          <w:lang w:eastAsia="fr-FR"/>
        </w:rPr>
        <w:t xml:space="preserve">subjected him to </w:t>
      </w:r>
      <w:r>
        <w:rPr>
          <w:rFonts w:eastAsiaTheme="minorEastAsia"/>
          <w:lang w:eastAsia="fr-FR"/>
        </w:rPr>
        <w:t>discriminat</w:t>
      </w:r>
      <w:r w:rsidR="00442297">
        <w:rPr>
          <w:rFonts w:eastAsiaTheme="minorEastAsia"/>
          <w:lang w:eastAsia="fr-FR"/>
        </w:rPr>
        <w:t>ion that is prohibited by law</w:t>
      </w:r>
      <w:r w:rsidRPr="002B34E5">
        <w:rPr>
          <w:rFonts w:eastAsiaTheme="minorEastAsia"/>
          <w:lang w:eastAsia="fr-FR"/>
        </w:rPr>
        <w:t>.</w:t>
      </w:r>
    </w:p>
    <w:p w:rsidRPr="002B34E5" w:rsidR="00972D4A" w:rsidP="00972D4A" w:rsidRDefault="00972D4A" w14:paraId="7416F2BB" w14:textId="77777777">
      <w:pPr>
        <w:pStyle w:val="JuQuot"/>
        <w:rPr>
          <w:rFonts w:eastAsiaTheme="minorEastAsia"/>
          <w:lang w:eastAsia="fr-FR"/>
        </w:rPr>
      </w:pPr>
      <w:r w:rsidRPr="002B34E5">
        <w:rPr>
          <w:rFonts w:eastAsiaTheme="minorEastAsia"/>
          <w:lang w:eastAsia="fr-FR"/>
        </w:rPr>
        <w:t>3.3  </w:t>
      </w:r>
      <w:r>
        <w:rPr>
          <w:rFonts w:eastAsiaTheme="minorEastAsia"/>
          <w:lang w:eastAsia="fr-FR"/>
        </w:rPr>
        <w:t xml:space="preserve">In accordance with section </w:t>
      </w:r>
      <w:r w:rsidRPr="002B34E5">
        <w:rPr>
          <w:rFonts w:eastAsiaTheme="minorEastAsia"/>
          <w:lang w:eastAsia="fr-FR"/>
        </w:rPr>
        <w:t xml:space="preserve">6 </w:t>
      </w:r>
      <w:r>
        <w:rPr>
          <w:rFonts w:eastAsiaTheme="minorEastAsia"/>
          <w:lang w:eastAsia="fr-FR"/>
        </w:rPr>
        <w:t>of the Disability Act</w:t>
      </w:r>
      <w:r w:rsidRPr="002B34E5">
        <w:rPr>
          <w:rFonts w:eastAsiaTheme="minorEastAsia"/>
          <w:lang w:eastAsia="fr-FR"/>
        </w:rPr>
        <w:t xml:space="preserve">, </w:t>
      </w:r>
      <w:r>
        <w:rPr>
          <w:rFonts w:eastAsiaTheme="minorEastAsia"/>
          <w:lang w:eastAsia="fr-FR"/>
        </w:rPr>
        <w:t xml:space="preserve">private persons who provide services to the public must not treat disabled persons in a discriminatory manner on account of their disability. The concept of </w:t>
      </w:r>
      <w:r w:rsidRPr="002B34E5">
        <w:rPr>
          <w:rFonts w:eastAsiaTheme="minorEastAsia"/>
          <w:lang w:eastAsia="fr-FR"/>
        </w:rPr>
        <w:t xml:space="preserve">discrimination </w:t>
      </w:r>
      <w:r>
        <w:rPr>
          <w:rFonts w:eastAsiaTheme="minorEastAsia"/>
          <w:lang w:eastAsia="fr-FR"/>
        </w:rPr>
        <w:t xml:space="preserve">within the meaning of this provision must be interpreted with specific reference to the will of the legislature as reflected, in particular, in the drafting history </w:t>
      </w:r>
      <w:r w:rsidRPr="002B34E5">
        <w:rPr>
          <w:rFonts w:eastAsiaTheme="minorEastAsia"/>
          <w:lang w:eastAsia="fr-FR"/>
        </w:rPr>
        <w:t>(c</w:t>
      </w:r>
      <w:r>
        <w:rPr>
          <w:rFonts w:eastAsiaTheme="minorEastAsia"/>
          <w:lang w:eastAsia="fr-FR"/>
        </w:rPr>
        <w:t>ompare Official Reports (“</w:t>
      </w:r>
      <w:r w:rsidRPr="002B34E5">
        <w:rPr>
          <w:rFonts w:eastAsiaTheme="minorEastAsia"/>
          <w:lang w:eastAsia="fr-FR"/>
        </w:rPr>
        <w:t>ATF</w:t>
      </w:r>
      <w:r>
        <w:rPr>
          <w:rFonts w:eastAsiaTheme="minorEastAsia"/>
          <w:lang w:eastAsia="fr-FR"/>
        </w:rPr>
        <w:t>”)</w:t>
      </w:r>
      <w:r w:rsidRPr="002B34E5">
        <w:rPr>
          <w:rFonts w:eastAsiaTheme="minorEastAsia"/>
          <w:lang w:eastAsia="fr-FR"/>
        </w:rPr>
        <w:t xml:space="preserve"> 135 III 20 </w:t>
      </w:r>
      <w:r>
        <w:rPr>
          <w:rFonts w:eastAsiaTheme="minorEastAsia"/>
          <w:lang w:eastAsia="fr-FR"/>
        </w:rPr>
        <w:t xml:space="preserve">at </w:t>
      </w:r>
      <w:r w:rsidRPr="002B34E5">
        <w:rPr>
          <w:rFonts w:eastAsiaTheme="minorEastAsia"/>
          <w:lang w:eastAsia="fr-FR"/>
        </w:rPr>
        <w:t xml:space="preserve">4.4 p. 23, 112 </w:t>
      </w:r>
      <w:r>
        <w:rPr>
          <w:rFonts w:eastAsiaTheme="minorEastAsia"/>
          <w:lang w:eastAsia="fr-FR"/>
        </w:rPr>
        <w:t xml:space="preserve">at </w:t>
      </w:r>
      <w:r w:rsidRPr="002B34E5">
        <w:rPr>
          <w:rFonts w:eastAsiaTheme="minorEastAsia"/>
          <w:lang w:eastAsia="fr-FR"/>
        </w:rPr>
        <w:t>3.3.2 p. 116).</w:t>
      </w:r>
    </w:p>
    <w:p w:rsidRPr="002B34E5" w:rsidR="00972D4A" w:rsidP="00972D4A" w:rsidRDefault="00972D4A" w14:paraId="2F6AE473" w14:textId="492950E6">
      <w:pPr>
        <w:pStyle w:val="JuQuot"/>
        <w:rPr>
          <w:rFonts w:eastAsiaTheme="minorEastAsia"/>
          <w:lang w:eastAsia="fr-FR"/>
        </w:rPr>
      </w:pPr>
      <w:r w:rsidRPr="002B34E5">
        <w:rPr>
          <w:rFonts w:eastAsiaTheme="minorEastAsia"/>
          <w:lang w:eastAsia="fr-FR"/>
        </w:rPr>
        <w:t>3.3.1  </w:t>
      </w:r>
      <w:r>
        <w:rPr>
          <w:rFonts w:eastAsiaTheme="minorEastAsia"/>
          <w:lang w:eastAsia="fr-FR"/>
        </w:rPr>
        <w:t>Apart from replacing the term “</w:t>
      </w:r>
      <w:proofErr w:type="spellStart"/>
      <w:r w:rsidRPr="00E80C67">
        <w:rPr>
          <w:rFonts w:eastAsiaTheme="minorEastAsia"/>
          <w:i/>
          <w:iCs/>
          <w:lang w:eastAsia="fr-FR"/>
        </w:rPr>
        <w:t>personnes</w:t>
      </w:r>
      <w:proofErr w:type="spellEnd"/>
      <w:r w:rsidRPr="00E80C67">
        <w:rPr>
          <w:rFonts w:eastAsiaTheme="minorEastAsia"/>
          <w:i/>
          <w:iCs/>
          <w:lang w:eastAsia="fr-FR"/>
        </w:rPr>
        <w:t xml:space="preserve"> </w:t>
      </w:r>
      <w:proofErr w:type="spellStart"/>
      <w:r w:rsidRPr="00E80C67">
        <w:rPr>
          <w:rFonts w:eastAsiaTheme="minorEastAsia"/>
          <w:i/>
          <w:iCs/>
          <w:lang w:eastAsia="fr-FR"/>
        </w:rPr>
        <w:t>privées</w:t>
      </w:r>
      <w:proofErr w:type="spellEnd"/>
      <w:r>
        <w:rPr>
          <w:rFonts w:eastAsiaTheme="minorEastAsia"/>
          <w:lang w:eastAsia="fr-FR"/>
        </w:rPr>
        <w:t>” [that is, private individuals] by “</w:t>
      </w:r>
      <w:proofErr w:type="spellStart"/>
      <w:r w:rsidRPr="00E80C67">
        <w:rPr>
          <w:rFonts w:eastAsiaTheme="minorEastAsia"/>
          <w:i/>
          <w:iCs/>
          <w:lang w:eastAsia="fr-FR"/>
        </w:rPr>
        <w:t>particuliers</w:t>
      </w:r>
      <w:proofErr w:type="spellEnd"/>
      <w:r>
        <w:rPr>
          <w:rFonts w:eastAsiaTheme="minorEastAsia"/>
          <w:lang w:eastAsia="fr-FR"/>
        </w:rPr>
        <w:t>” [translated hereafter as “private persons”, that is, private-sector legal entities and also private individuals], section </w:t>
      </w:r>
      <w:r w:rsidRPr="002B34E5">
        <w:rPr>
          <w:rFonts w:eastAsiaTheme="minorEastAsia"/>
          <w:lang w:eastAsia="fr-FR"/>
        </w:rPr>
        <w:t xml:space="preserve">6 </w:t>
      </w:r>
      <w:r>
        <w:rPr>
          <w:rFonts w:eastAsiaTheme="minorEastAsia"/>
          <w:lang w:eastAsia="fr-FR"/>
        </w:rPr>
        <w:t>of the Disability Act</w:t>
      </w:r>
      <w:r w:rsidRPr="002B34E5">
        <w:rPr>
          <w:rFonts w:eastAsiaTheme="minorEastAsia"/>
          <w:lang w:eastAsia="fr-FR"/>
        </w:rPr>
        <w:t xml:space="preserve"> correspond</w:t>
      </w:r>
      <w:r>
        <w:rPr>
          <w:rFonts w:eastAsiaTheme="minorEastAsia"/>
          <w:lang w:eastAsia="fr-FR"/>
        </w:rPr>
        <w:t xml:space="preserve">s to the wording of section </w:t>
      </w:r>
      <w:r w:rsidRPr="002B34E5">
        <w:rPr>
          <w:rFonts w:eastAsiaTheme="minorEastAsia"/>
          <w:lang w:eastAsia="fr-FR"/>
        </w:rPr>
        <w:t xml:space="preserve">6 </w:t>
      </w:r>
      <w:r>
        <w:rPr>
          <w:rFonts w:eastAsiaTheme="minorEastAsia"/>
          <w:lang w:eastAsia="fr-FR"/>
        </w:rPr>
        <w:t xml:space="preserve">in the </w:t>
      </w:r>
      <w:r w:rsidR="00442297">
        <w:rPr>
          <w:rFonts w:eastAsiaTheme="minorEastAsia"/>
          <w:lang w:eastAsia="fr-FR"/>
        </w:rPr>
        <w:t xml:space="preserve">draft law </w:t>
      </w:r>
      <w:r>
        <w:rPr>
          <w:rFonts w:eastAsiaTheme="minorEastAsia"/>
          <w:lang w:eastAsia="fr-FR"/>
        </w:rPr>
        <w:t xml:space="preserve">put before the Federal Council. The Federal Parliament enacted this provision without discussion </w:t>
      </w:r>
      <w:r w:rsidRPr="002B34E5">
        <w:rPr>
          <w:rFonts w:eastAsiaTheme="minorEastAsia"/>
          <w:lang w:eastAsia="fr-FR"/>
        </w:rPr>
        <w:t>(</w:t>
      </w:r>
      <w:r>
        <w:rPr>
          <w:rFonts w:eastAsiaTheme="minorEastAsia"/>
          <w:lang w:eastAsia="fr-FR"/>
        </w:rPr>
        <w:t xml:space="preserve">see </w:t>
      </w:r>
      <w:r w:rsidRPr="002B34E5">
        <w:rPr>
          <w:rFonts w:eastAsiaTheme="minorEastAsia"/>
          <w:lang w:eastAsia="fr-FR"/>
        </w:rPr>
        <w:t xml:space="preserve">BO 2001 CE 619 </w:t>
      </w:r>
      <w:r>
        <w:rPr>
          <w:rFonts w:eastAsiaTheme="minorEastAsia"/>
          <w:lang w:eastAsia="fr-FR"/>
        </w:rPr>
        <w:t xml:space="preserve">and </w:t>
      </w:r>
      <w:r w:rsidRPr="002B34E5">
        <w:rPr>
          <w:rFonts w:eastAsiaTheme="minorEastAsia"/>
          <w:lang w:eastAsia="fr-FR"/>
        </w:rPr>
        <w:t xml:space="preserve">BO 2002 CN 944). </w:t>
      </w:r>
      <w:r>
        <w:rPr>
          <w:rFonts w:eastAsiaTheme="minorEastAsia"/>
          <w:lang w:eastAsia="fr-FR"/>
        </w:rPr>
        <w:t xml:space="preserve">In the above-cited memorandum, the prohibited </w:t>
      </w:r>
      <w:r w:rsidRPr="002B34E5">
        <w:rPr>
          <w:rFonts w:eastAsiaTheme="minorEastAsia"/>
          <w:lang w:eastAsia="fr-FR"/>
        </w:rPr>
        <w:t xml:space="preserve">discrimination </w:t>
      </w:r>
      <w:r>
        <w:rPr>
          <w:rFonts w:eastAsiaTheme="minorEastAsia"/>
          <w:lang w:eastAsia="fr-FR"/>
        </w:rPr>
        <w:t xml:space="preserve">is defined as follows: </w:t>
      </w:r>
      <w:r w:rsidR="00442297">
        <w:rPr>
          <w:rFonts w:eastAsiaTheme="minorEastAsia"/>
          <w:lang w:eastAsia="fr-FR"/>
        </w:rPr>
        <w:t>‘</w:t>
      </w:r>
      <w:r>
        <w:rPr>
          <w:rFonts w:eastAsiaTheme="minorEastAsia"/>
          <w:lang w:eastAsia="fr-FR"/>
        </w:rPr>
        <w:t>D</w:t>
      </w:r>
      <w:r w:rsidRPr="002B34E5">
        <w:rPr>
          <w:rFonts w:eastAsiaTheme="minorEastAsia"/>
          <w:lang w:eastAsia="fr-FR"/>
        </w:rPr>
        <w:t xml:space="preserve">iscrimination </w:t>
      </w:r>
      <w:r>
        <w:rPr>
          <w:rFonts w:eastAsiaTheme="minorEastAsia"/>
          <w:lang w:eastAsia="fr-FR"/>
        </w:rPr>
        <w:t xml:space="preserve">is qualified inequality, that is, a manifest or particularly shocking difference in treatment which may have a disparaging </w:t>
      </w:r>
      <w:r w:rsidRPr="002B34E5">
        <w:rPr>
          <w:rFonts w:eastAsiaTheme="minorEastAsia"/>
          <w:lang w:eastAsia="fr-FR"/>
        </w:rPr>
        <w:t>connotation. Appli</w:t>
      </w:r>
      <w:r>
        <w:rPr>
          <w:rFonts w:eastAsiaTheme="minorEastAsia"/>
          <w:lang w:eastAsia="fr-FR"/>
        </w:rPr>
        <w:t>ed to a private person, the principle of non</w:t>
      </w:r>
      <w:r w:rsidRPr="002B34E5">
        <w:rPr>
          <w:rFonts w:eastAsiaTheme="minorEastAsia"/>
          <w:lang w:eastAsia="fr-FR"/>
        </w:rPr>
        <w:noBreakHyphen/>
        <w:t xml:space="preserve">discrimination </w:t>
      </w:r>
      <w:r>
        <w:rPr>
          <w:rFonts w:eastAsiaTheme="minorEastAsia"/>
          <w:lang w:eastAsia="fr-FR"/>
        </w:rPr>
        <w:t xml:space="preserve">does not however entail for that person an obligation to take particular (positive) </w:t>
      </w:r>
      <w:r w:rsidRPr="002B34E5">
        <w:rPr>
          <w:rFonts w:eastAsiaTheme="minorEastAsia"/>
          <w:lang w:eastAsia="fr-FR"/>
        </w:rPr>
        <w:t>me</w:t>
      </w:r>
      <w:r>
        <w:rPr>
          <w:rFonts w:eastAsiaTheme="minorEastAsia"/>
          <w:lang w:eastAsia="fr-FR"/>
        </w:rPr>
        <w:t>a</w:t>
      </w:r>
      <w:r w:rsidRPr="002B34E5">
        <w:rPr>
          <w:rFonts w:eastAsiaTheme="minorEastAsia"/>
          <w:lang w:eastAsia="fr-FR"/>
        </w:rPr>
        <w:t xml:space="preserve">sures </w:t>
      </w:r>
      <w:r>
        <w:rPr>
          <w:rFonts w:eastAsiaTheme="minorEastAsia"/>
          <w:lang w:eastAsia="fr-FR"/>
        </w:rPr>
        <w:t xml:space="preserve">to eliminate </w:t>
      </w:r>
      <w:r w:rsidRPr="0002095A">
        <w:rPr>
          <w:rFonts w:eastAsiaTheme="minorEastAsia"/>
          <w:i/>
          <w:iCs/>
          <w:lang w:eastAsia="fr-FR"/>
        </w:rPr>
        <w:t>de facto</w:t>
      </w:r>
      <w:r>
        <w:rPr>
          <w:rFonts w:eastAsiaTheme="minorEastAsia"/>
          <w:lang w:eastAsia="fr-FR"/>
        </w:rPr>
        <w:t xml:space="preserve"> inequalities</w:t>
      </w:r>
      <w:r w:rsidRPr="002B34E5">
        <w:rPr>
          <w:rFonts w:eastAsiaTheme="minorEastAsia"/>
          <w:lang w:eastAsia="fr-FR"/>
        </w:rPr>
        <w:t xml:space="preserve">. </w:t>
      </w:r>
      <w:r>
        <w:rPr>
          <w:rFonts w:eastAsiaTheme="minorEastAsia"/>
          <w:lang w:eastAsia="fr-FR"/>
        </w:rPr>
        <w:t>Nor does it oblige him/her to engage in egalitarian conduct and does not prohibit him/her from differentiating services on the basis of his/her clients</w:t>
      </w:r>
      <w:r w:rsidRPr="002B34E5">
        <w:rPr>
          <w:rFonts w:eastAsiaTheme="minorEastAsia"/>
          <w:lang w:eastAsia="fr-FR"/>
        </w:rPr>
        <w:t xml:space="preserve">. </w:t>
      </w:r>
      <w:r>
        <w:rPr>
          <w:rFonts w:eastAsiaTheme="minorEastAsia"/>
          <w:lang w:eastAsia="fr-FR"/>
        </w:rPr>
        <w:t xml:space="preserve">In other words, this provision is intended to prevent serious practices of segregation which might exclude disabled persons from certain activities from fear that their very </w:t>
      </w:r>
      <w:r w:rsidRPr="002B34E5">
        <w:rPr>
          <w:rFonts w:eastAsiaTheme="minorEastAsia"/>
          <w:lang w:eastAsia="fr-FR"/>
        </w:rPr>
        <w:t xml:space="preserve">presence </w:t>
      </w:r>
      <w:r>
        <w:rPr>
          <w:rFonts w:eastAsiaTheme="minorEastAsia"/>
          <w:lang w:eastAsia="fr-FR"/>
        </w:rPr>
        <w:t>would disturb the peace or social habits of the usual customers</w:t>
      </w:r>
      <w:r w:rsidRPr="002B34E5">
        <w:rPr>
          <w:rFonts w:eastAsiaTheme="minorEastAsia"/>
          <w:lang w:eastAsia="fr-FR"/>
        </w:rPr>
        <w:t xml:space="preserve">. </w:t>
      </w:r>
      <w:r>
        <w:rPr>
          <w:rFonts w:eastAsiaTheme="minorEastAsia"/>
          <w:lang w:eastAsia="fr-FR"/>
        </w:rPr>
        <w:t>Thus, a restaurant owner cannot refuse a person with mental disabilities access to his or her premises simply from fear that the presence of this disabled person would dissuade his/her usual clientele from coming and without there being sufficient grounds for considering that this person would compromise the atmosphere and calm of the premises</w:t>
      </w:r>
      <w:r w:rsidRPr="002B34E5">
        <w:rPr>
          <w:rFonts w:eastAsiaTheme="minorEastAsia"/>
          <w:lang w:eastAsia="fr-FR"/>
        </w:rPr>
        <w:t xml:space="preserve">. </w:t>
      </w:r>
      <w:r>
        <w:rPr>
          <w:rFonts w:eastAsiaTheme="minorEastAsia"/>
          <w:lang w:eastAsia="fr-FR"/>
        </w:rPr>
        <w:t>In so far as the disabled person does not disrupt order and decorum in the premises and his or her conduct is unlikely to disturb the other clients, it would be discriminatory to refuse to grant access. This provision thus targets conduct that is particularly shocking and contrary to the mutual tolerance that the different members of the same society owe to each other</w:t>
      </w:r>
      <w:r w:rsidR="00442297">
        <w:rPr>
          <w:rFonts w:eastAsiaTheme="minorEastAsia"/>
          <w:lang w:eastAsia="fr-FR"/>
        </w:rPr>
        <w:t>’</w:t>
      </w:r>
      <w:r w:rsidRPr="002B34E5">
        <w:rPr>
          <w:rFonts w:eastAsiaTheme="minorEastAsia"/>
          <w:lang w:eastAsia="fr-FR"/>
        </w:rPr>
        <w:t xml:space="preserve"> (FF 2001 1671</w:t>
      </w:r>
      <w:r>
        <w:rPr>
          <w:rFonts w:eastAsiaTheme="minorEastAsia"/>
          <w:lang w:eastAsia="fr-FR"/>
        </w:rPr>
        <w:t>,</w:t>
      </w:r>
      <w:r w:rsidRPr="002B34E5">
        <w:rPr>
          <w:rFonts w:eastAsiaTheme="minorEastAsia"/>
          <w:lang w:eastAsia="fr-FR"/>
        </w:rPr>
        <w:t xml:space="preserve"> ch</w:t>
      </w:r>
      <w:r>
        <w:rPr>
          <w:rFonts w:eastAsiaTheme="minorEastAsia"/>
          <w:lang w:eastAsia="fr-FR"/>
        </w:rPr>
        <w:t xml:space="preserve">apter </w:t>
      </w:r>
      <w:r w:rsidRPr="002B34E5">
        <w:rPr>
          <w:rFonts w:eastAsiaTheme="minorEastAsia"/>
          <w:lang w:eastAsia="fr-FR"/>
        </w:rPr>
        <w:t xml:space="preserve">4.3.2 </w:t>
      </w:r>
      <w:r>
        <w:rPr>
          <w:rFonts w:eastAsiaTheme="minorEastAsia"/>
          <w:lang w:eastAsia="fr-FR"/>
        </w:rPr>
        <w:t xml:space="preserve">on section </w:t>
      </w:r>
      <w:r w:rsidRPr="002B34E5">
        <w:rPr>
          <w:rFonts w:eastAsiaTheme="minorEastAsia"/>
          <w:lang w:eastAsia="fr-FR"/>
        </w:rPr>
        <w:t>6).</w:t>
      </w:r>
    </w:p>
    <w:p w:rsidRPr="002B34E5" w:rsidR="00972D4A" w:rsidP="00972D4A" w:rsidRDefault="00972D4A" w14:paraId="32CAD4A3" w14:textId="7FAF937B">
      <w:pPr>
        <w:pStyle w:val="JuQuot"/>
        <w:rPr>
          <w:rFonts w:eastAsiaTheme="minorEastAsia"/>
          <w:lang w:eastAsia="fr-FR"/>
        </w:rPr>
      </w:pPr>
      <w:r>
        <w:rPr>
          <w:rFonts w:eastAsiaTheme="minorEastAsia"/>
          <w:lang w:eastAsia="fr-FR"/>
        </w:rPr>
        <w:t>The Federal Council echoed those principles in the implementing ordinance</w:t>
      </w:r>
      <w:r w:rsidRPr="002B34E5">
        <w:rPr>
          <w:rFonts w:eastAsiaTheme="minorEastAsia"/>
          <w:lang w:eastAsia="fr-FR"/>
        </w:rPr>
        <w:t xml:space="preserve">; </w:t>
      </w:r>
      <w:r>
        <w:rPr>
          <w:rFonts w:eastAsiaTheme="minorEastAsia"/>
          <w:lang w:eastAsia="fr-FR"/>
        </w:rPr>
        <w:t xml:space="preserve">the latter defines </w:t>
      </w:r>
      <w:r w:rsidRPr="002B34E5">
        <w:rPr>
          <w:rFonts w:eastAsiaTheme="minorEastAsia"/>
          <w:lang w:eastAsia="fr-FR"/>
        </w:rPr>
        <w:t xml:space="preserve">discrimination </w:t>
      </w:r>
      <w:r>
        <w:rPr>
          <w:rFonts w:eastAsiaTheme="minorEastAsia"/>
          <w:lang w:eastAsia="fr-FR"/>
        </w:rPr>
        <w:t xml:space="preserve">for the purposes of sections </w:t>
      </w:r>
      <w:r w:rsidRPr="002B34E5">
        <w:rPr>
          <w:rFonts w:eastAsiaTheme="minorEastAsia"/>
          <w:lang w:eastAsia="fr-FR"/>
        </w:rPr>
        <w:t xml:space="preserve">6 </w:t>
      </w:r>
      <w:r>
        <w:rPr>
          <w:rFonts w:eastAsiaTheme="minorEastAsia"/>
          <w:lang w:eastAsia="fr-FR"/>
        </w:rPr>
        <w:t xml:space="preserve">and </w:t>
      </w:r>
      <w:r w:rsidRPr="002B34E5">
        <w:rPr>
          <w:rFonts w:eastAsiaTheme="minorEastAsia"/>
          <w:lang w:eastAsia="fr-FR"/>
        </w:rPr>
        <w:t>8</w:t>
      </w:r>
      <w:r w:rsidR="00442297">
        <w:rPr>
          <w:rFonts w:eastAsiaTheme="minorEastAsia"/>
          <w:lang w:eastAsia="fr-FR"/>
        </w:rPr>
        <w:t>(</w:t>
      </w:r>
      <w:r w:rsidRPr="002B34E5">
        <w:rPr>
          <w:rFonts w:eastAsiaTheme="minorEastAsia"/>
          <w:lang w:eastAsia="fr-FR"/>
        </w:rPr>
        <w:t>3</w:t>
      </w:r>
      <w:r w:rsidR="00442297">
        <w:rPr>
          <w:rFonts w:eastAsiaTheme="minorEastAsia"/>
          <w:lang w:eastAsia="fr-FR"/>
        </w:rPr>
        <w:t>)</w:t>
      </w:r>
      <w:r w:rsidRPr="002B34E5">
        <w:rPr>
          <w:rFonts w:eastAsiaTheme="minorEastAsia"/>
          <w:lang w:eastAsia="fr-FR"/>
        </w:rPr>
        <w:t xml:space="preserve"> </w:t>
      </w:r>
      <w:r>
        <w:rPr>
          <w:rFonts w:eastAsiaTheme="minorEastAsia"/>
          <w:lang w:eastAsia="fr-FR"/>
        </w:rPr>
        <w:t>of the Disability Act</w:t>
      </w:r>
      <w:r w:rsidRPr="002B34E5">
        <w:rPr>
          <w:rFonts w:eastAsiaTheme="minorEastAsia"/>
          <w:lang w:eastAsia="fr-FR"/>
        </w:rPr>
        <w:t xml:space="preserve"> </w:t>
      </w:r>
      <w:r>
        <w:rPr>
          <w:rFonts w:eastAsiaTheme="minorEastAsia"/>
          <w:lang w:eastAsia="fr-FR"/>
        </w:rPr>
        <w:t xml:space="preserve">as any difference in treatment which is particularly marked and entailing serious inequality, with the intention or consequence of degrading or marginalising a disabled person </w:t>
      </w:r>
      <w:r w:rsidRPr="002B34E5">
        <w:rPr>
          <w:rFonts w:eastAsiaTheme="minorEastAsia"/>
          <w:lang w:eastAsia="fr-FR"/>
        </w:rPr>
        <w:t>(</w:t>
      </w:r>
      <w:r w:rsidR="00EB755F">
        <w:rPr>
          <w:rFonts w:eastAsiaTheme="minorEastAsia"/>
          <w:lang w:eastAsia="fr-FR"/>
        </w:rPr>
        <w:t xml:space="preserve">Article </w:t>
      </w:r>
      <w:r w:rsidRPr="002B34E5">
        <w:rPr>
          <w:rFonts w:eastAsiaTheme="minorEastAsia"/>
          <w:lang w:eastAsia="fr-FR"/>
        </w:rPr>
        <w:t>2</w:t>
      </w:r>
      <w:r>
        <w:rPr>
          <w:rFonts w:eastAsiaTheme="minorEastAsia"/>
          <w:lang w:eastAsia="fr-FR"/>
        </w:rPr>
        <w:t>(</w:t>
      </w:r>
      <w:r w:rsidRPr="002B34E5">
        <w:rPr>
          <w:rFonts w:eastAsiaTheme="minorEastAsia"/>
          <w:lang w:eastAsia="fr-FR"/>
        </w:rPr>
        <w:t>d</w:t>
      </w:r>
      <w:r>
        <w:rPr>
          <w:rFonts w:eastAsiaTheme="minorEastAsia"/>
          <w:lang w:eastAsia="fr-FR"/>
        </w:rPr>
        <w:t>) of the O</w:t>
      </w:r>
      <w:r w:rsidRPr="002B34E5">
        <w:rPr>
          <w:rFonts w:eastAsiaTheme="minorEastAsia"/>
          <w:lang w:eastAsia="fr-FR"/>
        </w:rPr>
        <w:t>rd</w:t>
      </w:r>
      <w:r>
        <w:rPr>
          <w:rFonts w:eastAsiaTheme="minorEastAsia"/>
          <w:lang w:eastAsia="fr-FR"/>
        </w:rPr>
        <w:t>in</w:t>
      </w:r>
      <w:r w:rsidRPr="002B34E5">
        <w:rPr>
          <w:rFonts w:eastAsiaTheme="minorEastAsia"/>
          <w:lang w:eastAsia="fr-FR"/>
        </w:rPr>
        <w:t xml:space="preserve">ance </w:t>
      </w:r>
      <w:r>
        <w:rPr>
          <w:rFonts w:eastAsiaTheme="minorEastAsia"/>
          <w:lang w:eastAsia="fr-FR"/>
        </w:rPr>
        <w:t xml:space="preserve">on the elimination of inequalities affecting disabled people </w:t>
      </w:r>
      <w:r w:rsidRPr="002B34E5">
        <w:rPr>
          <w:rFonts w:eastAsiaTheme="minorEastAsia"/>
          <w:lang w:eastAsia="fr-FR"/>
        </w:rPr>
        <w:t>[</w:t>
      </w:r>
      <w:r>
        <w:rPr>
          <w:rFonts w:eastAsiaTheme="minorEastAsia"/>
          <w:lang w:eastAsia="fr-FR"/>
        </w:rPr>
        <w:t>“the Disability Ordinance”</w:t>
      </w:r>
      <w:r w:rsidRPr="002B34E5">
        <w:rPr>
          <w:rFonts w:eastAsiaTheme="minorEastAsia"/>
          <w:lang w:eastAsia="fr-FR"/>
        </w:rPr>
        <w:t>; RS 151.31]).</w:t>
      </w:r>
    </w:p>
    <w:p w:rsidRPr="002B34E5" w:rsidR="00972D4A" w:rsidP="00972D4A" w:rsidRDefault="00972D4A" w14:paraId="2A4C4848" w14:textId="305533D5">
      <w:pPr>
        <w:pStyle w:val="JuQuot"/>
        <w:rPr>
          <w:rFonts w:eastAsiaTheme="minorEastAsia"/>
          <w:lang w:eastAsia="fr-FR"/>
        </w:rPr>
      </w:pPr>
      <w:r>
        <w:rPr>
          <w:rFonts w:eastAsiaTheme="minorEastAsia"/>
          <w:lang w:eastAsia="fr-FR"/>
        </w:rPr>
        <w:t>In the present case, the impugned refusal to provide a service cannot be classified in this way. Based on safety considerations that were at least understandable</w:t>
      </w:r>
      <w:r w:rsidRPr="002B34E5">
        <w:rPr>
          <w:rFonts w:eastAsiaTheme="minorEastAsia"/>
          <w:lang w:eastAsia="fr-FR"/>
        </w:rPr>
        <w:t xml:space="preserve">, </w:t>
      </w:r>
      <w:r>
        <w:rPr>
          <w:rFonts w:eastAsiaTheme="minorEastAsia"/>
          <w:lang w:eastAsia="fr-FR"/>
        </w:rPr>
        <w:t>the operating company’s conduct in respect of the appellant cannot be considered particularly shocking</w:t>
      </w:r>
      <w:r w:rsidRPr="002B34E5">
        <w:rPr>
          <w:rFonts w:eastAsiaTheme="minorEastAsia"/>
          <w:lang w:eastAsia="fr-FR"/>
        </w:rPr>
        <w:t>; i</w:t>
      </w:r>
      <w:r>
        <w:rPr>
          <w:rFonts w:eastAsiaTheme="minorEastAsia"/>
          <w:lang w:eastAsia="fr-FR"/>
        </w:rPr>
        <w:t xml:space="preserve">t does not </w:t>
      </w:r>
      <w:r w:rsidR="00442297">
        <w:rPr>
          <w:rFonts w:eastAsiaTheme="minorEastAsia"/>
          <w:lang w:eastAsia="fr-FR"/>
        </w:rPr>
        <w:t xml:space="preserve">reflect </w:t>
      </w:r>
      <w:r>
        <w:rPr>
          <w:rFonts w:eastAsiaTheme="minorEastAsia"/>
          <w:lang w:eastAsia="fr-FR"/>
        </w:rPr>
        <w:t>either a lack of tolerance or a wish to exclude wheelchairs</w:t>
      </w:r>
      <w:r w:rsidR="00442297">
        <w:rPr>
          <w:rFonts w:eastAsiaTheme="minorEastAsia"/>
          <w:lang w:eastAsia="fr-FR"/>
        </w:rPr>
        <w:t xml:space="preserve"> users</w:t>
      </w:r>
      <w:r w:rsidRPr="002B34E5">
        <w:rPr>
          <w:rFonts w:eastAsiaTheme="minorEastAsia"/>
          <w:lang w:eastAsia="fr-FR"/>
        </w:rPr>
        <w:t xml:space="preserve">. </w:t>
      </w:r>
      <w:r>
        <w:rPr>
          <w:rFonts w:eastAsiaTheme="minorEastAsia"/>
          <w:lang w:eastAsia="fr-FR"/>
        </w:rPr>
        <w:t xml:space="preserve">Indeed, the respondent provides unrestricted access to the latter group in its other cinemas in </w:t>
      </w:r>
      <w:r w:rsidRPr="002B34E5">
        <w:rPr>
          <w:rFonts w:eastAsiaTheme="minorEastAsia"/>
          <w:lang w:eastAsia="fr-FR"/>
        </w:rPr>
        <w:t>Gen</w:t>
      </w:r>
      <w:r>
        <w:rPr>
          <w:rFonts w:eastAsiaTheme="minorEastAsia"/>
          <w:lang w:eastAsia="fr-FR"/>
        </w:rPr>
        <w:t>eva</w:t>
      </w:r>
      <w:r w:rsidRPr="002B34E5">
        <w:rPr>
          <w:rFonts w:eastAsiaTheme="minorEastAsia"/>
          <w:lang w:eastAsia="fr-FR"/>
        </w:rPr>
        <w:t>,</w:t>
      </w:r>
      <w:r>
        <w:rPr>
          <w:rFonts w:eastAsiaTheme="minorEastAsia"/>
          <w:lang w:eastAsia="fr-FR"/>
        </w:rPr>
        <w:t xml:space="preserve"> in that they are accessible for people with restricted mobility</w:t>
      </w:r>
      <w:r w:rsidRPr="002B34E5">
        <w:rPr>
          <w:rFonts w:eastAsiaTheme="minorEastAsia"/>
          <w:lang w:eastAsia="fr-FR"/>
        </w:rPr>
        <w:t>.</w:t>
      </w:r>
    </w:p>
    <w:p w:rsidRPr="005515C5" w:rsidR="00972D4A" w:rsidP="00972D4A" w:rsidRDefault="00972D4A" w14:paraId="4B7DCE8B" w14:textId="31C41170">
      <w:pPr>
        <w:pStyle w:val="JuQuot"/>
        <w:rPr>
          <w:rFonts w:eastAsiaTheme="minorEastAsia"/>
          <w:lang w:eastAsia="fr-FR"/>
        </w:rPr>
      </w:pPr>
      <w:r w:rsidRPr="005515C5">
        <w:rPr>
          <w:rFonts w:eastAsiaTheme="minorEastAsia"/>
          <w:lang w:eastAsia="fr-FR"/>
        </w:rPr>
        <w:t>3.3.2  </w:t>
      </w:r>
      <w:r>
        <w:rPr>
          <w:rFonts w:eastAsiaTheme="minorEastAsia"/>
          <w:lang w:eastAsia="fr-FR"/>
        </w:rPr>
        <w:t xml:space="preserve">On the basis of a recent opinion by two authors, the appellant defends a wider concept of </w:t>
      </w:r>
      <w:r w:rsidRPr="005515C5">
        <w:rPr>
          <w:rFonts w:eastAsiaTheme="minorEastAsia"/>
          <w:lang w:eastAsia="fr-FR"/>
        </w:rPr>
        <w:t xml:space="preserve">discrimination </w:t>
      </w:r>
      <w:r>
        <w:rPr>
          <w:rFonts w:eastAsiaTheme="minorEastAsia"/>
          <w:lang w:eastAsia="fr-FR"/>
        </w:rPr>
        <w:t xml:space="preserve">and alleges that section </w:t>
      </w:r>
      <w:r w:rsidRPr="005515C5">
        <w:rPr>
          <w:rFonts w:eastAsiaTheme="minorEastAsia"/>
          <w:lang w:eastAsia="fr-FR"/>
        </w:rPr>
        <w:t xml:space="preserve">6 </w:t>
      </w:r>
      <w:r>
        <w:rPr>
          <w:rFonts w:eastAsiaTheme="minorEastAsia"/>
          <w:lang w:eastAsia="fr-FR"/>
        </w:rPr>
        <w:t>of the Disability Act</w:t>
      </w:r>
      <w:r w:rsidRPr="005515C5">
        <w:rPr>
          <w:rFonts w:eastAsiaTheme="minorEastAsia"/>
          <w:lang w:eastAsia="fr-FR"/>
        </w:rPr>
        <w:t xml:space="preserve"> </w:t>
      </w:r>
      <w:r>
        <w:rPr>
          <w:rFonts w:eastAsiaTheme="minorEastAsia"/>
          <w:lang w:eastAsia="fr-FR"/>
        </w:rPr>
        <w:t xml:space="preserve">must be interpreted in accordance with the </w:t>
      </w:r>
      <w:r w:rsidRPr="005515C5">
        <w:rPr>
          <w:rFonts w:eastAsiaTheme="minorEastAsia"/>
          <w:lang w:eastAsia="fr-FR"/>
        </w:rPr>
        <w:t xml:space="preserve">Constitution. </w:t>
      </w:r>
      <w:r>
        <w:rPr>
          <w:rFonts w:eastAsiaTheme="minorEastAsia"/>
          <w:lang w:eastAsia="fr-FR"/>
        </w:rPr>
        <w:t xml:space="preserve">Without further demonstration, the authors in question state that discrimination does not need to be particularly crass; it is sufficient that there is unequal treatment that cannot be sufficiently justified </w:t>
      </w:r>
      <w:r w:rsidRPr="005515C5">
        <w:rPr>
          <w:rFonts w:eastAsiaTheme="minorEastAsia"/>
          <w:lang w:eastAsia="fr-FR"/>
        </w:rPr>
        <w:t>(M</w:t>
      </w:r>
      <w:r>
        <w:rPr>
          <w:rFonts w:eastAsiaTheme="minorEastAsia"/>
          <w:lang w:eastAsia="fr-FR"/>
        </w:rPr>
        <w:t xml:space="preserve">arkus </w:t>
      </w:r>
      <w:proofErr w:type="spellStart"/>
      <w:r>
        <w:rPr>
          <w:rFonts w:eastAsiaTheme="minorEastAsia"/>
          <w:lang w:eastAsia="fr-FR"/>
        </w:rPr>
        <w:t>Schefer</w:t>
      </w:r>
      <w:proofErr w:type="spellEnd"/>
      <w:r>
        <w:rPr>
          <w:rFonts w:eastAsiaTheme="minorEastAsia"/>
          <w:lang w:eastAsia="fr-FR"/>
        </w:rPr>
        <w:t>/Caroline Hess-Klein, “</w:t>
      </w:r>
      <w:r w:rsidRPr="005515C5">
        <w:rPr>
          <w:rFonts w:eastAsiaTheme="minorEastAsia"/>
          <w:lang w:eastAsia="fr-FR"/>
        </w:rPr>
        <w:t xml:space="preserve">Die </w:t>
      </w:r>
      <w:proofErr w:type="spellStart"/>
      <w:r w:rsidRPr="005515C5">
        <w:rPr>
          <w:rFonts w:eastAsiaTheme="minorEastAsia"/>
          <w:lang w:eastAsia="fr-FR"/>
        </w:rPr>
        <w:t>Gleichstellung</w:t>
      </w:r>
      <w:proofErr w:type="spellEnd"/>
      <w:r w:rsidRPr="005515C5">
        <w:rPr>
          <w:rFonts w:eastAsiaTheme="minorEastAsia"/>
          <w:lang w:eastAsia="fr-FR"/>
        </w:rPr>
        <w:t xml:space="preserve"> von Menschen </w:t>
      </w:r>
      <w:proofErr w:type="spellStart"/>
      <w:r w:rsidRPr="005515C5">
        <w:rPr>
          <w:rFonts w:eastAsiaTheme="minorEastAsia"/>
          <w:lang w:eastAsia="fr-FR"/>
        </w:rPr>
        <w:t>mit</w:t>
      </w:r>
      <w:proofErr w:type="spellEnd"/>
      <w:r w:rsidRPr="005515C5">
        <w:rPr>
          <w:rFonts w:eastAsiaTheme="minorEastAsia"/>
          <w:lang w:eastAsia="fr-FR"/>
        </w:rPr>
        <w:t xml:space="preserve"> </w:t>
      </w:r>
      <w:proofErr w:type="spellStart"/>
      <w:r w:rsidRPr="005515C5">
        <w:rPr>
          <w:rFonts w:eastAsiaTheme="minorEastAsia"/>
          <w:lang w:eastAsia="fr-FR"/>
        </w:rPr>
        <w:t>Behinderung</w:t>
      </w:r>
      <w:proofErr w:type="spellEnd"/>
      <w:r w:rsidRPr="005515C5">
        <w:rPr>
          <w:rFonts w:eastAsiaTheme="minorEastAsia"/>
          <w:lang w:eastAsia="fr-FR"/>
        </w:rPr>
        <w:t xml:space="preserve"> </w:t>
      </w:r>
      <w:proofErr w:type="spellStart"/>
      <w:r w:rsidRPr="005515C5">
        <w:rPr>
          <w:rFonts w:eastAsiaTheme="minorEastAsia"/>
          <w:lang w:eastAsia="fr-FR"/>
        </w:rPr>
        <w:t>bei</w:t>
      </w:r>
      <w:proofErr w:type="spellEnd"/>
      <w:r w:rsidRPr="005515C5">
        <w:rPr>
          <w:rFonts w:eastAsiaTheme="minorEastAsia"/>
          <w:lang w:eastAsia="fr-FR"/>
        </w:rPr>
        <w:t xml:space="preserve"> </w:t>
      </w:r>
      <w:proofErr w:type="spellStart"/>
      <w:r w:rsidRPr="005515C5">
        <w:rPr>
          <w:rFonts w:eastAsiaTheme="minorEastAsia"/>
          <w:lang w:eastAsia="fr-FR"/>
        </w:rPr>
        <w:t>Dienstleistungen</w:t>
      </w:r>
      <w:proofErr w:type="spellEnd"/>
      <w:r w:rsidRPr="005515C5">
        <w:rPr>
          <w:rFonts w:eastAsiaTheme="minorEastAsia"/>
          <w:lang w:eastAsia="fr-FR"/>
        </w:rPr>
        <w:t xml:space="preserve">, in der </w:t>
      </w:r>
      <w:proofErr w:type="spellStart"/>
      <w:r w:rsidRPr="005515C5">
        <w:rPr>
          <w:rFonts w:eastAsiaTheme="minorEastAsia"/>
          <w:lang w:eastAsia="fr-FR"/>
        </w:rPr>
        <w:t>Bildung</w:t>
      </w:r>
      <w:proofErr w:type="spellEnd"/>
      <w:r w:rsidRPr="005515C5">
        <w:rPr>
          <w:rFonts w:eastAsiaTheme="minorEastAsia"/>
          <w:lang w:eastAsia="fr-FR"/>
        </w:rPr>
        <w:t xml:space="preserve"> und in </w:t>
      </w:r>
      <w:proofErr w:type="spellStart"/>
      <w:r w:rsidRPr="005515C5">
        <w:rPr>
          <w:rFonts w:eastAsiaTheme="minorEastAsia"/>
          <w:lang w:eastAsia="fr-FR"/>
        </w:rPr>
        <w:t>Arbeitsverhältnissen</w:t>
      </w:r>
      <w:proofErr w:type="spellEnd"/>
      <w:r>
        <w:rPr>
          <w:rFonts w:eastAsiaTheme="minorEastAsia"/>
          <w:lang w:eastAsia="fr-FR"/>
        </w:rPr>
        <w:t>”</w:t>
      </w:r>
      <w:r w:rsidRPr="005515C5">
        <w:rPr>
          <w:rFonts w:eastAsiaTheme="minorEastAsia"/>
          <w:lang w:eastAsia="fr-FR"/>
        </w:rPr>
        <w:t xml:space="preserve">, </w:t>
      </w:r>
      <w:proofErr w:type="spellStart"/>
      <w:r w:rsidRPr="00E03B76">
        <w:rPr>
          <w:rFonts w:eastAsiaTheme="minorEastAsia"/>
          <w:i/>
          <w:iCs/>
          <w:lang w:eastAsia="fr-FR"/>
        </w:rPr>
        <w:t>Jusletter</w:t>
      </w:r>
      <w:proofErr w:type="spellEnd"/>
      <w:r w:rsidRPr="005515C5">
        <w:rPr>
          <w:rFonts w:eastAsiaTheme="minorEastAsia"/>
          <w:lang w:eastAsia="fr-FR"/>
        </w:rPr>
        <w:t xml:space="preserve"> </w:t>
      </w:r>
      <w:r>
        <w:rPr>
          <w:rFonts w:eastAsiaTheme="minorEastAsia"/>
          <w:lang w:eastAsia="fr-FR"/>
        </w:rPr>
        <w:t xml:space="preserve">of </w:t>
      </w:r>
      <w:r w:rsidRPr="005515C5">
        <w:rPr>
          <w:rFonts w:eastAsiaTheme="minorEastAsia"/>
          <w:lang w:eastAsia="fr-FR"/>
        </w:rPr>
        <w:t>19</w:t>
      </w:r>
      <w:r w:rsidR="00896795">
        <w:rPr>
          <w:rFonts w:eastAsiaTheme="minorEastAsia"/>
          <w:lang w:eastAsia="fr-FR"/>
        </w:rPr>
        <w:t> </w:t>
      </w:r>
      <w:r w:rsidRPr="005515C5">
        <w:rPr>
          <w:rFonts w:eastAsiaTheme="minorEastAsia"/>
          <w:lang w:eastAsia="fr-FR"/>
        </w:rPr>
        <w:t>September 2011, B/II/2 p. 6).</w:t>
      </w:r>
    </w:p>
    <w:p w:rsidRPr="00015009" w:rsidR="00972D4A" w:rsidP="00972D4A" w:rsidRDefault="00972D4A" w14:paraId="346982EA" w14:textId="05149E2D">
      <w:pPr>
        <w:pStyle w:val="JuQuot"/>
        <w:rPr>
          <w:rFonts w:eastAsiaTheme="minorEastAsia"/>
          <w:lang w:eastAsia="fr-FR"/>
        </w:rPr>
      </w:pPr>
      <w:r w:rsidRPr="00015009">
        <w:rPr>
          <w:rFonts w:eastAsiaTheme="minorEastAsia"/>
          <w:lang w:eastAsia="fr-FR"/>
        </w:rPr>
        <w:t xml:space="preserve">This raises the </w:t>
      </w:r>
      <w:r>
        <w:rPr>
          <w:rFonts w:eastAsiaTheme="minorEastAsia"/>
          <w:lang w:eastAsia="fr-FR"/>
        </w:rPr>
        <w:t xml:space="preserve">issue </w:t>
      </w:r>
      <w:r w:rsidRPr="00015009">
        <w:rPr>
          <w:rFonts w:eastAsiaTheme="minorEastAsia"/>
          <w:lang w:eastAsia="fr-FR"/>
        </w:rPr>
        <w:t>of the application of the constitutional prohibition of discrimination (</w:t>
      </w:r>
      <w:r>
        <w:rPr>
          <w:rFonts w:eastAsiaTheme="minorEastAsia"/>
          <w:lang w:eastAsia="fr-FR"/>
        </w:rPr>
        <w:t xml:space="preserve">Article </w:t>
      </w:r>
      <w:r w:rsidRPr="00015009">
        <w:rPr>
          <w:rFonts w:eastAsiaTheme="minorEastAsia"/>
          <w:lang w:eastAsia="fr-FR"/>
        </w:rPr>
        <w:t xml:space="preserve">8 </w:t>
      </w:r>
      <w:r>
        <w:rPr>
          <w:rFonts w:eastAsiaTheme="minorEastAsia"/>
          <w:lang w:eastAsia="fr-FR"/>
        </w:rPr>
        <w:t xml:space="preserve">§ </w:t>
      </w:r>
      <w:r w:rsidRPr="00015009">
        <w:rPr>
          <w:rFonts w:eastAsiaTheme="minorEastAsia"/>
          <w:lang w:eastAsia="fr-FR"/>
        </w:rPr>
        <w:t xml:space="preserve">2 of the Federal Constitution) to relations between </w:t>
      </w:r>
      <w:r>
        <w:rPr>
          <w:rFonts w:eastAsiaTheme="minorEastAsia"/>
          <w:lang w:eastAsia="fr-FR"/>
        </w:rPr>
        <w:t>private persons</w:t>
      </w:r>
      <w:r w:rsidRPr="00015009">
        <w:rPr>
          <w:rFonts w:eastAsiaTheme="minorEastAsia"/>
          <w:lang w:eastAsia="fr-FR"/>
        </w:rPr>
        <w:t xml:space="preserve">, </w:t>
      </w:r>
      <w:r>
        <w:rPr>
          <w:rFonts w:eastAsiaTheme="minorEastAsia"/>
          <w:lang w:eastAsia="fr-FR"/>
        </w:rPr>
        <w:t xml:space="preserve">or, </w:t>
      </w:r>
      <w:r w:rsidRPr="00015009">
        <w:rPr>
          <w:rFonts w:eastAsiaTheme="minorEastAsia"/>
          <w:lang w:eastAsia="fr-FR"/>
        </w:rPr>
        <w:t xml:space="preserve">more generally, the horizontal effect of fundamental rights. </w:t>
      </w:r>
      <w:r>
        <w:rPr>
          <w:rFonts w:eastAsiaTheme="minorEastAsia"/>
          <w:lang w:eastAsia="fr-FR"/>
        </w:rPr>
        <w:t>Under</w:t>
      </w:r>
      <w:r w:rsidRPr="00015009">
        <w:rPr>
          <w:rFonts w:eastAsiaTheme="minorEastAsia"/>
          <w:lang w:eastAsia="fr-FR"/>
        </w:rPr>
        <w:t xml:space="preserve"> </w:t>
      </w:r>
      <w:r>
        <w:rPr>
          <w:rFonts w:eastAsiaTheme="minorEastAsia"/>
          <w:lang w:eastAsia="fr-FR"/>
        </w:rPr>
        <w:t>A</w:t>
      </w:r>
      <w:r w:rsidRPr="00015009">
        <w:rPr>
          <w:rFonts w:eastAsiaTheme="minorEastAsia"/>
          <w:lang w:eastAsia="fr-FR"/>
        </w:rPr>
        <w:t>rt</w:t>
      </w:r>
      <w:r>
        <w:rPr>
          <w:rFonts w:eastAsiaTheme="minorEastAsia"/>
          <w:lang w:eastAsia="fr-FR"/>
        </w:rPr>
        <w:t>icle</w:t>
      </w:r>
      <w:r w:rsidR="00442297">
        <w:rPr>
          <w:rFonts w:eastAsiaTheme="minorEastAsia"/>
          <w:lang w:eastAsia="fr-FR"/>
        </w:rPr>
        <w:t> </w:t>
      </w:r>
      <w:r w:rsidRPr="00015009">
        <w:rPr>
          <w:rFonts w:eastAsiaTheme="minorEastAsia"/>
          <w:lang w:eastAsia="fr-FR"/>
        </w:rPr>
        <w:t xml:space="preserve">35 of the Constitution, fundamental rights must be </w:t>
      </w:r>
      <w:r>
        <w:rPr>
          <w:rFonts w:eastAsiaTheme="minorEastAsia"/>
          <w:lang w:eastAsia="fr-FR"/>
        </w:rPr>
        <w:t>upheld</w:t>
      </w:r>
      <w:r w:rsidRPr="00015009">
        <w:rPr>
          <w:rFonts w:eastAsiaTheme="minorEastAsia"/>
          <w:lang w:eastAsia="fr-FR"/>
        </w:rPr>
        <w:t xml:space="preserve"> </w:t>
      </w:r>
      <w:r>
        <w:rPr>
          <w:rFonts w:eastAsiaTheme="minorEastAsia"/>
          <w:lang w:eastAsia="fr-FR"/>
        </w:rPr>
        <w:t xml:space="preserve">throughout the </w:t>
      </w:r>
      <w:r w:rsidRPr="00015009">
        <w:rPr>
          <w:rFonts w:eastAsiaTheme="minorEastAsia"/>
          <w:lang w:eastAsia="fr-FR"/>
        </w:rPr>
        <w:t>legal system (</w:t>
      </w:r>
      <w:r>
        <w:rPr>
          <w:rFonts w:eastAsiaTheme="minorEastAsia"/>
          <w:lang w:eastAsia="fr-FR"/>
        </w:rPr>
        <w:t>§</w:t>
      </w:r>
      <w:r w:rsidR="00052F59">
        <w:rPr>
          <w:rFonts w:eastAsiaTheme="minorEastAsia"/>
          <w:lang w:eastAsia="fr-FR"/>
        </w:rPr>
        <w:t> </w:t>
      </w:r>
      <w:r w:rsidRPr="00015009">
        <w:rPr>
          <w:rFonts w:eastAsiaTheme="minorEastAsia"/>
          <w:lang w:eastAsia="fr-FR"/>
        </w:rPr>
        <w:t xml:space="preserve">1), and the authorities must ensure that these rights are also </w:t>
      </w:r>
      <w:r>
        <w:rPr>
          <w:rFonts w:eastAsiaTheme="minorEastAsia"/>
          <w:lang w:eastAsia="fr-FR"/>
        </w:rPr>
        <w:t>applied</w:t>
      </w:r>
      <w:r w:rsidRPr="00015009">
        <w:rPr>
          <w:rFonts w:eastAsiaTheme="minorEastAsia"/>
          <w:lang w:eastAsia="fr-FR"/>
        </w:rPr>
        <w:t>, in</w:t>
      </w:r>
      <w:r>
        <w:rPr>
          <w:rFonts w:eastAsiaTheme="minorEastAsia"/>
          <w:lang w:eastAsia="fr-FR"/>
        </w:rPr>
        <w:t xml:space="preserve"> </w:t>
      </w:r>
      <w:r w:rsidRPr="00015009">
        <w:rPr>
          <w:rFonts w:eastAsiaTheme="minorEastAsia"/>
          <w:lang w:eastAsia="fr-FR"/>
        </w:rPr>
        <w:t>so</w:t>
      </w:r>
      <w:r>
        <w:rPr>
          <w:rFonts w:eastAsiaTheme="minorEastAsia"/>
          <w:lang w:eastAsia="fr-FR"/>
        </w:rPr>
        <w:t xml:space="preserve"> </w:t>
      </w:r>
      <w:r w:rsidRPr="00015009">
        <w:rPr>
          <w:rFonts w:eastAsiaTheme="minorEastAsia"/>
          <w:lang w:eastAsia="fr-FR"/>
        </w:rPr>
        <w:t xml:space="preserve">far as </w:t>
      </w:r>
      <w:r>
        <w:rPr>
          <w:rFonts w:eastAsiaTheme="minorEastAsia"/>
          <w:lang w:eastAsia="fr-FR"/>
        </w:rPr>
        <w:t>possible</w:t>
      </w:r>
      <w:r w:rsidRPr="00015009">
        <w:rPr>
          <w:rFonts w:eastAsiaTheme="minorEastAsia"/>
          <w:lang w:eastAsia="fr-FR"/>
        </w:rPr>
        <w:t xml:space="preserve">, in relations between </w:t>
      </w:r>
      <w:r>
        <w:rPr>
          <w:rFonts w:eastAsiaTheme="minorEastAsia"/>
          <w:lang w:eastAsia="fr-FR"/>
        </w:rPr>
        <w:t xml:space="preserve">private persons </w:t>
      </w:r>
      <w:r w:rsidRPr="00015009">
        <w:rPr>
          <w:rFonts w:eastAsiaTheme="minorEastAsia"/>
          <w:lang w:eastAsia="fr-FR"/>
        </w:rPr>
        <w:t>(</w:t>
      </w:r>
      <w:r>
        <w:rPr>
          <w:rFonts w:eastAsiaTheme="minorEastAsia"/>
          <w:lang w:eastAsia="fr-FR"/>
        </w:rPr>
        <w:t>§</w:t>
      </w:r>
      <w:r w:rsidR="00052F59">
        <w:rPr>
          <w:rFonts w:eastAsiaTheme="minorEastAsia"/>
          <w:lang w:eastAsia="fr-FR"/>
        </w:rPr>
        <w:t> </w:t>
      </w:r>
      <w:r w:rsidRPr="00015009">
        <w:rPr>
          <w:rFonts w:eastAsiaTheme="minorEastAsia"/>
          <w:lang w:eastAsia="fr-FR"/>
        </w:rPr>
        <w:t xml:space="preserve">3). </w:t>
      </w:r>
      <w:r>
        <w:rPr>
          <w:rFonts w:eastAsiaTheme="minorEastAsia"/>
          <w:lang w:eastAsia="fr-FR"/>
        </w:rPr>
        <w:t xml:space="preserve">While </w:t>
      </w:r>
      <w:r w:rsidRPr="00015009">
        <w:rPr>
          <w:rFonts w:eastAsiaTheme="minorEastAsia"/>
          <w:lang w:eastAsia="fr-FR"/>
        </w:rPr>
        <w:t xml:space="preserve">it is accepted that fundamental rights are not only a defence against </w:t>
      </w:r>
      <w:r>
        <w:rPr>
          <w:rFonts w:eastAsiaTheme="minorEastAsia"/>
          <w:lang w:eastAsia="fr-FR"/>
        </w:rPr>
        <w:t xml:space="preserve">violations imputable to </w:t>
      </w:r>
      <w:r w:rsidRPr="00015009">
        <w:rPr>
          <w:rFonts w:eastAsiaTheme="minorEastAsia"/>
          <w:lang w:eastAsia="fr-FR"/>
        </w:rPr>
        <w:t xml:space="preserve">the </w:t>
      </w:r>
      <w:r>
        <w:rPr>
          <w:rFonts w:eastAsiaTheme="minorEastAsia"/>
          <w:lang w:eastAsia="fr-FR"/>
        </w:rPr>
        <w:t>S</w:t>
      </w:r>
      <w:r w:rsidRPr="00015009">
        <w:rPr>
          <w:rFonts w:eastAsiaTheme="minorEastAsia"/>
          <w:lang w:eastAsia="fr-FR"/>
        </w:rPr>
        <w:t xml:space="preserve">tate, but </w:t>
      </w:r>
      <w:r>
        <w:rPr>
          <w:rFonts w:eastAsiaTheme="minorEastAsia"/>
          <w:lang w:eastAsia="fr-FR"/>
        </w:rPr>
        <w:t xml:space="preserve">are </w:t>
      </w:r>
      <w:r w:rsidRPr="00015009">
        <w:rPr>
          <w:rFonts w:eastAsiaTheme="minorEastAsia"/>
          <w:lang w:eastAsia="fr-FR"/>
        </w:rPr>
        <w:t xml:space="preserve">also the basis for </w:t>
      </w:r>
      <w:r>
        <w:rPr>
          <w:rFonts w:eastAsiaTheme="minorEastAsia"/>
          <w:lang w:eastAsia="fr-FR"/>
        </w:rPr>
        <w:t>the S</w:t>
      </w:r>
      <w:r w:rsidRPr="00015009">
        <w:rPr>
          <w:rFonts w:eastAsiaTheme="minorEastAsia"/>
          <w:lang w:eastAsia="fr-FR"/>
        </w:rPr>
        <w:t>tate</w:t>
      </w:r>
      <w:r>
        <w:rPr>
          <w:rFonts w:eastAsiaTheme="minorEastAsia"/>
          <w:lang w:eastAsia="fr-FR"/>
        </w:rPr>
        <w:t>’s</w:t>
      </w:r>
      <w:r w:rsidRPr="00015009">
        <w:rPr>
          <w:rFonts w:eastAsiaTheme="minorEastAsia"/>
          <w:lang w:eastAsia="fr-FR"/>
        </w:rPr>
        <w:t xml:space="preserve"> duty to protect against </w:t>
      </w:r>
      <w:r>
        <w:rPr>
          <w:rFonts w:eastAsiaTheme="minorEastAsia"/>
          <w:lang w:eastAsia="fr-FR"/>
        </w:rPr>
        <w:t xml:space="preserve">breaches </w:t>
      </w:r>
      <w:r w:rsidRPr="00015009">
        <w:rPr>
          <w:rFonts w:eastAsiaTheme="minorEastAsia"/>
          <w:lang w:eastAsia="fr-FR"/>
        </w:rPr>
        <w:t xml:space="preserve">by third parties, </w:t>
      </w:r>
      <w:r>
        <w:rPr>
          <w:rFonts w:eastAsiaTheme="minorEastAsia"/>
          <w:lang w:eastAsia="fr-FR"/>
        </w:rPr>
        <w:t xml:space="preserve">it remains the case that </w:t>
      </w:r>
      <w:r w:rsidRPr="00015009">
        <w:rPr>
          <w:rFonts w:eastAsiaTheme="minorEastAsia"/>
          <w:lang w:eastAsia="fr-FR"/>
        </w:rPr>
        <w:t xml:space="preserve">the constitutional rights of these third parties must also be protected; the various interests involved </w:t>
      </w:r>
      <w:r>
        <w:rPr>
          <w:rFonts w:eastAsiaTheme="minorEastAsia"/>
          <w:lang w:eastAsia="fr-FR"/>
        </w:rPr>
        <w:t>must be weighed up</w:t>
      </w:r>
      <w:r w:rsidRPr="00015009">
        <w:rPr>
          <w:rFonts w:eastAsiaTheme="minorEastAsia"/>
          <w:lang w:eastAsia="fr-FR"/>
        </w:rPr>
        <w:t xml:space="preserve">. It is primarily the task of specific legislation to determine which acts are permissible and which are not, and to delimit the rights of the </w:t>
      </w:r>
      <w:r>
        <w:rPr>
          <w:rFonts w:eastAsiaTheme="minorEastAsia"/>
          <w:lang w:eastAsia="fr-FR"/>
        </w:rPr>
        <w:t xml:space="preserve">private persons </w:t>
      </w:r>
      <w:r w:rsidRPr="00015009">
        <w:rPr>
          <w:rFonts w:eastAsiaTheme="minorEastAsia"/>
          <w:lang w:eastAsia="fr-FR"/>
        </w:rPr>
        <w:t xml:space="preserve">involved. The </w:t>
      </w:r>
      <w:r>
        <w:rPr>
          <w:rFonts w:eastAsiaTheme="minorEastAsia"/>
          <w:lang w:eastAsia="fr-FR"/>
        </w:rPr>
        <w:t xml:space="preserve">issue </w:t>
      </w:r>
      <w:r w:rsidRPr="00015009">
        <w:rPr>
          <w:rFonts w:eastAsiaTheme="minorEastAsia"/>
          <w:lang w:eastAsia="fr-FR"/>
        </w:rPr>
        <w:t xml:space="preserve">of the extent of the duty to protect fundamental rights thus </w:t>
      </w:r>
      <w:r>
        <w:rPr>
          <w:rFonts w:eastAsiaTheme="minorEastAsia"/>
          <w:lang w:eastAsia="fr-FR"/>
        </w:rPr>
        <w:t xml:space="preserve">merges </w:t>
      </w:r>
      <w:r w:rsidRPr="00015009">
        <w:rPr>
          <w:rFonts w:eastAsiaTheme="minorEastAsia"/>
          <w:lang w:eastAsia="fr-FR"/>
        </w:rPr>
        <w:t xml:space="preserve">with the question of the correct application of </w:t>
      </w:r>
      <w:r>
        <w:rPr>
          <w:rFonts w:eastAsiaTheme="minorEastAsia"/>
          <w:lang w:eastAsia="fr-FR"/>
        </w:rPr>
        <w:t xml:space="preserve">the </w:t>
      </w:r>
      <w:r w:rsidRPr="00015009">
        <w:rPr>
          <w:rFonts w:eastAsiaTheme="minorEastAsia"/>
          <w:lang w:eastAsia="fr-FR"/>
        </w:rPr>
        <w:t>specific legislation (</w:t>
      </w:r>
      <w:r>
        <w:rPr>
          <w:rFonts w:eastAsiaTheme="minorEastAsia"/>
          <w:lang w:eastAsia="fr-FR"/>
        </w:rPr>
        <w:t xml:space="preserve">Federal Supreme Court judgment </w:t>
      </w:r>
      <w:r w:rsidRPr="00015009">
        <w:rPr>
          <w:rFonts w:eastAsiaTheme="minorEastAsia"/>
          <w:lang w:eastAsia="fr-FR"/>
        </w:rPr>
        <w:t>126 II 300, p</w:t>
      </w:r>
      <w:r>
        <w:rPr>
          <w:rFonts w:eastAsiaTheme="minorEastAsia"/>
          <w:lang w:eastAsia="fr-FR"/>
        </w:rPr>
        <w:t>oint </w:t>
      </w:r>
      <w:r w:rsidRPr="00015009">
        <w:rPr>
          <w:rFonts w:eastAsiaTheme="minorEastAsia"/>
          <w:lang w:eastAsia="fr-FR"/>
        </w:rPr>
        <w:t xml:space="preserve">5, </w:t>
      </w:r>
      <w:r w:rsidRPr="00E03B76">
        <w:rPr>
          <w:rFonts w:eastAsiaTheme="minorEastAsia"/>
          <w:lang w:eastAsia="fr-FR"/>
        </w:rPr>
        <w:t>pp.</w:t>
      </w:r>
      <w:r w:rsidR="00052F59">
        <w:rPr>
          <w:rFonts w:eastAsiaTheme="minorEastAsia"/>
          <w:lang w:eastAsia="fr-FR"/>
        </w:rPr>
        <w:t> </w:t>
      </w:r>
      <w:r w:rsidRPr="00E03B76">
        <w:rPr>
          <w:rFonts w:eastAsiaTheme="minorEastAsia"/>
          <w:lang w:eastAsia="fr-FR"/>
        </w:rPr>
        <w:t xml:space="preserve">314 </w:t>
      </w:r>
      <w:r>
        <w:rPr>
          <w:rFonts w:eastAsiaTheme="minorEastAsia"/>
          <w:lang w:eastAsia="fr-FR"/>
        </w:rPr>
        <w:t>FF</w:t>
      </w:r>
      <w:r w:rsidRPr="00E03B76">
        <w:rPr>
          <w:rFonts w:eastAsiaTheme="minorEastAsia"/>
          <w:lang w:eastAsia="fr-FR"/>
        </w:rPr>
        <w:t>;</w:t>
      </w:r>
      <w:r w:rsidRPr="00015009">
        <w:rPr>
          <w:rFonts w:eastAsiaTheme="minorEastAsia"/>
          <w:lang w:eastAsia="fr-FR"/>
        </w:rPr>
        <w:t xml:space="preserve"> see also </w:t>
      </w:r>
      <w:r>
        <w:rPr>
          <w:rFonts w:eastAsiaTheme="minorEastAsia"/>
          <w:lang w:eastAsia="fr-FR"/>
        </w:rPr>
        <w:t xml:space="preserve">Federal Supreme Court judgment </w:t>
      </w:r>
      <w:r w:rsidRPr="00015009">
        <w:rPr>
          <w:rFonts w:eastAsiaTheme="minorEastAsia"/>
          <w:lang w:eastAsia="fr-FR"/>
        </w:rPr>
        <w:t>137 I 305, p</w:t>
      </w:r>
      <w:r>
        <w:rPr>
          <w:rFonts w:eastAsiaTheme="minorEastAsia"/>
          <w:lang w:eastAsia="fr-FR"/>
        </w:rPr>
        <w:t xml:space="preserve">oint </w:t>
      </w:r>
      <w:r w:rsidRPr="00015009">
        <w:rPr>
          <w:rFonts w:eastAsiaTheme="minorEastAsia"/>
          <w:lang w:eastAsia="fr-FR"/>
        </w:rPr>
        <w:t>2.4, pp.</w:t>
      </w:r>
      <w:r w:rsidR="00052F59">
        <w:rPr>
          <w:rFonts w:eastAsiaTheme="minorEastAsia"/>
          <w:lang w:eastAsia="fr-FR"/>
        </w:rPr>
        <w:t> </w:t>
      </w:r>
      <w:r w:rsidRPr="00015009">
        <w:rPr>
          <w:rFonts w:eastAsiaTheme="minorEastAsia"/>
          <w:lang w:eastAsia="fr-FR"/>
        </w:rPr>
        <w:t>315).</w:t>
      </w:r>
    </w:p>
    <w:p w:rsidRPr="007138AF" w:rsidR="00972D4A" w:rsidP="00972D4A" w:rsidRDefault="00972D4A" w14:paraId="4ED00B5F" w14:textId="47C057A0">
      <w:pPr>
        <w:pStyle w:val="JuQuot"/>
        <w:rPr>
          <w:rFonts w:eastAsiaTheme="minorEastAsia"/>
          <w:lang w:eastAsia="fr-FR"/>
        </w:rPr>
      </w:pPr>
      <w:r w:rsidRPr="007138AF">
        <w:rPr>
          <w:rFonts w:eastAsiaTheme="minorEastAsia"/>
          <w:lang w:eastAsia="fr-FR"/>
        </w:rPr>
        <w:t xml:space="preserve">In the present case, </w:t>
      </w:r>
      <w:r>
        <w:rPr>
          <w:rFonts w:eastAsiaTheme="minorEastAsia"/>
          <w:lang w:eastAsia="fr-FR"/>
        </w:rPr>
        <w:t xml:space="preserve">section 6 of the Disability Act </w:t>
      </w:r>
      <w:r w:rsidRPr="007138AF">
        <w:rPr>
          <w:rFonts w:eastAsiaTheme="minorEastAsia"/>
          <w:lang w:eastAsia="fr-FR"/>
        </w:rPr>
        <w:t>establishes the principle that the prohibition of discrimination</w:t>
      </w:r>
      <w:r>
        <w:rPr>
          <w:rFonts w:eastAsiaTheme="minorEastAsia"/>
          <w:lang w:eastAsia="fr-FR"/>
        </w:rPr>
        <w:t xml:space="preserve"> within the meaning of </w:t>
      </w:r>
      <w:r w:rsidRPr="007138AF">
        <w:rPr>
          <w:rFonts w:eastAsiaTheme="minorEastAsia"/>
          <w:lang w:eastAsia="fr-FR"/>
        </w:rPr>
        <w:t>Art</w:t>
      </w:r>
      <w:r>
        <w:rPr>
          <w:rFonts w:eastAsiaTheme="minorEastAsia"/>
          <w:lang w:eastAsia="fr-FR"/>
        </w:rPr>
        <w:t xml:space="preserve">icle </w:t>
      </w:r>
      <w:r w:rsidRPr="007138AF">
        <w:rPr>
          <w:rFonts w:eastAsiaTheme="minorEastAsia"/>
          <w:lang w:eastAsia="fr-FR"/>
        </w:rPr>
        <w:t xml:space="preserve">8 </w:t>
      </w:r>
      <w:r>
        <w:rPr>
          <w:rFonts w:eastAsiaTheme="minorEastAsia"/>
          <w:lang w:eastAsia="fr-FR"/>
        </w:rPr>
        <w:t>§</w:t>
      </w:r>
      <w:r w:rsidR="00052F59">
        <w:rPr>
          <w:rFonts w:eastAsiaTheme="minorEastAsia"/>
          <w:lang w:eastAsia="fr-FR"/>
        </w:rPr>
        <w:t> </w:t>
      </w:r>
      <w:r w:rsidRPr="007138AF">
        <w:rPr>
          <w:rFonts w:eastAsiaTheme="minorEastAsia"/>
          <w:lang w:eastAsia="fr-FR"/>
        </w:rPr>
        <w:t xml:space="preserve">2 of the Federal Constitution applies not only to relations between the State and </w:t>
      </w:r>
      <w:r>
        <w:rPr>
          <w:rFonts w:eastAsiaTheme="minorEastAsia"/>
          <w:lang w:eastAsia="fr-FR"/>
        </w:rPr>
        <w:t>private persons</w:t>
      </w:r>
      <w:r w:rsidRPr="007138AF">
        <w:rPr>
          <w:rFonts w:eastAsiaTheme="minorEastAsia"/>
          <w:lang w:eastAsia="fr-FR"/>
        </w:rPr>
        <w:t xml:space="preserve">, but also </w:t>
      </w:r>
      <w:r w:rsidRPr="00E03B76">
        <w:rPr>
          <w:rFonts w:eastAsiaTheme="minorEastAsia"/>
          <w:lang w:eastAsia="fr-FR"/>
        </w:rPr>
        <w:t xml:space="preserve">to relations between </w:t>
      </w:r>
      <w:r>
        <w:rPr>
          <w:rFonts w:eastAsiaTheme="minorEastAsia"/>
          <w:lang w:eastAsia="fr-FR"/>
        </w:rPr>
        <w:t xml:space="preserve">private persons </w:t>
      </w:r>
      <w:r w:rsidRPr="00E03B76">
        <w:rPr>
          <w:rFonts w:eastAsiaTheme="minorEastAsia"/>
          <w:lang w:eastAsia="fr-FR"/>
        </w:rPr>
        <w:t xml:space="preserve">(FF 2001 1671 chapter 4.3.2 on section 6). This provision was thus specifically adopted with the aim of </w:t>
      </w:r>
      <w:r>
        <w:rPr>
          <w:rFonts w:eastAsiaTheme="minorEastAsia"/>
          <w:lang w:eastAsia="fr-FR"/>
        </w:rPr>
        <w:t xml:space="preserve">establishing </w:t>
      </w:r>
      <w:r w:rsidRPr="00E03B76">
        <w:rPr>
          <w:rFonts w:eastAsiaTheme="minorEastAsia"/>
          <w:lang w:eastAsia="fr-FR"/>
        </w:rPr>
        <w:t>the horizontal effect of the constitutional prohibition of discrimination. Regard must therefore be</w:t>
      </w:r>
      <w:r>
        <w:rPr>
          <w:rFonts w:eastAsiaTheme="minorEastAsia"/>
          <w:lang w:eastAsia="fr-FR"/>
        </w:rPr>
        <w:t xml:space="preserve"> had to th</w:t>
      </w:r>
      <w:r w:rsidRPr="007138AF">
        <w:rPr>
          <w:rFonts w:eastAsiaTheme="minorEastAsia"/>
          <w:lang w:eastAsia="fr-FR"/>
        </w:rPr>
        <w:t>e concept of discrimination intended by the legislature, as set out above (see p</w:t>
      </w:r>
      <w:r>
        <w:rPr>
          <w:rFonts w:eastAsiaTheme="minorEastAsia"/>
          <w:lang w:eastAsia="fr-FR"/>
        </w:rPr>
        <w:t>oint </w:t>
      </w:r>
      <w:r w:rsidRPr="007138AF">
        <w:rPr>
          <w:rFonts w:eastAsiaTheme="minorEastAsia"/>
          <w:lang w:eastAsia="fr-FR"/>
        </w:rPr>
        <w:t>3.3.1).</w:t>
      </w:r>
    </w:p>
    <w:p w:rsidRPr="001E4852" w:rsidR="00972D4A" w:rsidP="00972D4A" w:rsidRDefault="00972D4A" w14:paraId="1E51167A" w14:textId="77777777">
      <w:pPr>
        <w:pStyle w:val="JuQuot"/>
        <w:rPr>
          <w:rFonts w:eastAsiaTheme="minorEastAsia"/>
          <w:lang w:eastAsia="fr-FR"/>
        </w:rPr>
      </w:pPr>
      <w:r w:rsidRPr="001E4852">
        <w:rPr>
          <w:rFonts w:eastAsiaTheme="minorEastAsia"/>
          <w:lang w:eastAsia="fr-FR"/>
        </w:rPr>
        <w:t>3.4  </w:t>
      </w:r>
      <w:r>
        <w:rPr>
          <w:rFonts w:eastAsiaTheme="minorEastAsia"/>
          <w:lang w:eastAsia="fr-FR"/>
        </w:rPr>
        <w:t>I</w:t>
      </w:r>
      <w:r w:rsidRPr="001E4852">
        <w:rPr>
          <w:rFonts w:eastAsiaTheme="minorEastAsia"/>
          <w:lang w:eastAsia="fr-FR"/>
        </w:rPr>
        <w:t xml:space="preserve">n conclusion, </w:t>
      </w:r>
      <w:r>
        <w:rPr>
          <w:rFonts w:eastAsiaTheme="minorEastAsia"/>
          <w:lang w:eastAsia="fr-FR"/>
        </w:rPr>
        <w:t xml:space="preserve">the ground of appeal alleging a </w:t>
      </w:r>
      <w:r w:rsidRPr="001E4852">
        <w:rPr>
          <w:rFonts w:eastAsiaTheme="minorEastAsia"/>
          <w:lang w:eastAsia="fr-FR"/>
        </w:rPr>
        <w:t xml:space="preserve">violation </w:t>
      </w:r>
      <w:r>
        <w:rPr>
          <w:rFonts w:eastAsiaTheme="minorEastAsia"/>
          <w:lang w:eastAsia="fr-FR"/>
        </w:rPr>
        <w:t xml:space="preserve">of section </w:t>
      </w:r>
      <w:r w:rsidRPr="001E4852">
        <w:rPr>
          <w:rFonts w:eastAsiaTheme="minorEastAsia"/>
          <w:lang w:eastAsia="fr-FR"/>
        </w:rPr>
        <w:t xml:space="preserve">6 </w:t>
      </w:r>
      <w:r>
        <w:rPr>
          <w:rFonts w:eastAsiaTheme="minorEastAsia"/>
          <w:lang w:eastAsia="fr-FR"/>
        </w:rPr>
        <w:t>of the Disability Act</w:t>
      </w:r>
      <w:r w:rsidRPr="001E4852">
        <w:rPr>
          <w:rFonts w:eastAsiaTheme="minorEastAsia"/>
          <w:lang w:eastAsia="fr-FR"/>
        </w:rPr>
        <w:t xml:space="preserve"> </w:t>
      </w:r>
      <w:r>
        <w:rPr>
          <w:rFonts w:eastAsiaTheme="minorEastAsia"/>
          <w:lang w:eastAsia="fr-FR"/>
        </w:rPr>
        <w:t>is ill-founded</w:t>
      </w:r>
      <w:r w:rsidRPr="001E4852">
        <w:rPr>
          <w:rFonts w:eastAsiaTheme="minorEastAsia"/>
          <w:lang w:eastAsia="fr-FR"/>
        </w:rPr>
        <w:t>.</w:t>
      </w:r>
    </w:p>
    <w:p w:rsidR="00972D4A" w:rsidP="00972D4A" w:rsidRDefault="00972D4A" w14:paraId="27D80D6E" w14:textId="7DCA989F">
      <w:pPr>
        <w:pStyle w:val="JuQuot"/>
        <w:rPr>
          <w:rFonts w:eastAsiaTheme="minorEastAsia"/>
          <w:lang w:eastAsia="fr-FR"/>
        </w:rPr>
      </w:pPr>
      <w:r w:rsidRPr="001E4852">
        <w:rPr>
          <w:rFonts w:eastAsiaTheme="minorEastAsia"/>
          <w:lang w:eastAsia="fr-FR"/>
        </w:rPr>
        <w:t>4.  </w:t>
      </w:r>
      <w:r>
        <w:rPr>
          <w:rFonts w:eastAsiaTheme="minorEastAsia"/>
          <w:lang w:eastAsia="fr-FR"/>
        </w:rPr>
        <w:t xml:space="preserve">Lastly, the appellant alleges that there has been a violation of international law. He relies on Article 14 [of the </w:t>
      </w:r>
      <w:r w:rsidR="00442297">
        <w:rPr>
          <w:rFonts w:eastAsiaTheme="minorEastAsia"/>
          <w:lang w:eastAsia="fr-FR"/>
        </w:rPr>
        <w:t xml:space="preserve">European </w:t>
      </w:r>
      <w:r>
        <w:rPr>
          <w:rFonts w:eastAsiaTheme="minorEastAsia"/>
          <w:lang w:eastAsia="fr-FR"/>
        </w:rPr>
        <w:t>Convention</w:t>
      </w:r>
      <w:r w:rsidR="00442297">
        <w:rPr>
          <w:rFonts w:eastAsiaTheme="minorEastAsia"/>
          <w:lang w:eastAsia="fr-FR"/>
        </w:rPr>
        <w:t xml:space="preserve"> on Human Rights</w:t>
      </w:r>
      <w:r>
        <w:rPr>
          <w:rFonts w:eastAsiaTheme="minorEastAsia"/>
          <w:lang w:eastAsia="fr-FR"/>
        </w:rPr>
        <w:t xml:space="preserve">] on the prohibition of discrimination, taken together, firstly, with Article 10 [of the Convention], guaranteeing freedom of expression, and, secondly, with Article 8 [of the Convention], guaranteeing the right to respect for private and family life. He argues that the right to access a cinema, a quintessential venue for the dissemination of cultural productions, is covered by Article 10 taken together with Article 14, and that this right was denied to him without any relevant justification from the perspective of the Convention. Equally, the refusal to grant him access, in so far as it seriously affected his psychological integrity, amounted, in the absence of any objective justification, to a violation of Article 8 taken together with Article 14 of the Convention. </w:t>
      </w:r>
    </w:p>
    <w:p w:rsidRPr="00B749FC" w:rsidR="00972D4A" w:rsidP="00972D4A" w:rsidRDefault="00972D4A" w14:paraId="2687F6E6" w14:textId="416D07A4">
      <w:pPr>
        <w:pStyle w:val="JuQuot"/>
        <w:rPr>
          <w:rFonts w:eastAsiaTheme="minorEastAsia"/>
          <w:lang w:val="fr-FR" w:eastAsia="fr-FR"/>
        </w:rPr>
      </w:pPr>
      <w:r w:rsidRPr="00DA29C4">
        <w:rPr>
          <w:rFonts w:eastAsiaTheme="minorEastAsia"/>
          <w:lang w:eastAsia="fr-FR"/>
        </w:rPr>
        <w:t xml:space="preserve">4.1  The obligation to respect the fundamental rights arising from the [Convention] is directed at States (Article 1 of the Convention). In order to guarantee the effectiveness of these rights, it may nevertheless be necessary to protect them in relations between private persons. </w:t>
      </w:r>
      <w:r w:rsidRPr="00507924">
        <w:rPr>
          <w:rFonts w:eastAsiaTheme="minorEastAsia"/>
          <w:lang w:eastAsia="fr-FR"/>
        </w:rPr>
        <w:t>If it is not to violate Convention rights, a State may be obliged to take sufficient measures to protect these rights against breaches by private persons (see Federal Supreme Court judgment 136 I 167, point 2.2 p.</w:t>
      </w:r>
      <w:r w:rsidRPr="00507924" w:rsidR="001E331B">
        <w:rPr>
          <w:rFonts w:eastAsiaTheme="minorEastAsia"/>
          <w:lang w:eastAsia="fr-FR"/>
        </w:rPr>
        <w:t> </w:t>
      </w:r>
      <w:r w:rsidRPr="00507924">
        <w:rPr>
          <w:rFonts w:eastAsiaTheme="minorEastAsia"/>
          <w:lang w:eastAsia="fr-FR"/>
        </w:rPr>
        <w:t>170;</w:t>
      </w:r>
      <w:r w:rsidRPr="00B749FC">
        <w:rPr>
          <w:rFonts w:eastAsiaTheme="minorEastAsia"/>
          <w:lang w:val="fr-FR" w:eastAsia="fr-FR"/>
        </w:rPr>
        <w:t xml:space="preserve"> Franz </w:t>
      </w:r>
      <w:proofErr w:type="spellStart"/>
      <w:r w:rsidRPr="00B749FC">
        <w:rPr>
          <w:rFonts w:eastAsiaTheme="minorEastAsia"/>
          <w:lang w:val="fr-FR" w:eastAsia="fr-FR"/>
        </w:rPr>
        <w:t>Werro</w:t>
      </w:r>
      <w:proofErr w:type="spellEnd"/>
      <w:r w:rsidRPr="00B749FC">
        <w:rPr>
          <w:rFonts w:eastAsiaTheme="minorEastAsia"/>
          <w:lang w:val="fr-FR" w:eastAsia="fr-FR"/>
        </w:rPr>
        <w:t>/Ir</w:t>
      </w:r>
      <w:r w:rsidRPr="00B749FC">
        <w:rPr>
          <w:rFonts w:eastAsiaTheme="minorEastAsia" w:cstheme="minorHAnsi"/>
          <w:lang w:val="fr-FR" w:eastAsia="fr-FR"/>
        </w:rPr>
        <w:t>è</w:t>
      </w:r>
      <w:r w:rsidRPr="00B749FC">
        <w:rPr>
          <w:rFonts w:eastAsiaTheme="minorEastAsia"/>
          <w:lang w:val="fr-FR" w:eastAsia="fr-FR"/>
        </w:rPr>
        <w:t xml:space="preserve">ne </w:t>
      </w:r>
      <w:proofErr w:type="spellStart"/>
      <w:r w:rsidRPr="00B749FC">
        <w:rPr>
          <w:rFonts w:eastAsiaTheme="minorEastAsia"/>
          <w:lang w:val="fr-FR" w:eastAsia="fr-FR"/>
        </w:rPr>
        <w:t>Schmidlin</w:t>
      </w:r>
      <w:proofErr w:type="spellEnd"/>
      <w:r w:rsidRPr="00B749FC">
        <w:rPr>
          <w:rFonts w:eastAsiaTheme="minorEastAsia"/>
          <w:lang w:val="fr-FR" w:eastAsia="fr-FR"/>
        </w:rPr>
        <w:t xml:space="preserve">, </w:t>
      </w:r>
      <w:r w:rsidRPr="0043705E">
        <w:rPr>
          <w:rFonts w:eastAsiaTheme="minorEastAsia"/>
          <w:lang w:val="fr-FR" w:eastAsia="fr-FR"/>
        </w:rPr>
        <w:t xml:space="preserve">“La protection de la personnalité et les médias : une illustration de la rencontre du droit civil et du droit constitutionnel”, in </w:t>
      </w:r>
      <w:r w:rsidRPr="0043705E">
        <w:rPr>
          <w:rFonts w:eastAsiaTheme="minorEastAsia"/>
          <w:i/>
          <w:iCs/>
          <w:lang w:val="fr-FR" w:eastAsia="fr-FR"/>
        </w:rPr>
        <w:t>Droit civil et Convention européenne des droits de l’homme</w:t>
      </w:r>
      <w:r w:rsidRPr="0043705E">
        <w:rPr>
          <w:rFonts w:eastAsiaTheme="minorEastAsia"/>
          <w:lang w:val="fr-FR" w:eastAsia="fr-FR"/>
        </w:rPr>
        <w:t>, 2006, p.</w:t>
      </w:r>
      <w:r w:rsidRPr="0043705E" w:rsidR="001E331B">
        <w:rPr>
          <w:rFonts w:eastAsiaTheme="minorEastAsia"/>
          <w:lang w:val="fr-FR" w:eastAsia="fr-FR"/>
        </w:rPr>
        <w:t> </w:t>
      </w:r>
      <w:r w:rsidRPr="0043705E">
        <w:rPr>
          <w:rFonts w:eastAsiaTheme="minorEastAsia"/>
          <w:lang w:val="fr-FR" w:eastAsia="fr-FR"/>
        </w:rPr>
        <w:t>184).</w:t>
      </w:r>
    </w:p>
    <w:p w:rsidRPr="006B45BB" w:rsidR="00972D4A" w:rsidP="00972D4A" w:rsidRDefault="00972D4A" w14:paraId="4917A966" w14:textId="31170C2F">
      <w:pPr>
        <w:pStyle w:val="JuQuot"/>
        <w:rPr>
          <w:rFonts w:eastAsiaTheme="minorEastAsia"/>
          <w:lang w:eastAsia="fr-FR"/>
        </w:rPr>
      </w:pPr>
      <w:r w:rsidRPr="00E80C67">
        <w:rPr>
          <w:rFonts w:eastAsiaTheme="minorEastAsia"/>
          <w:lang w:eastAsia="fr-FR"/>
        </w:rPr>
        <w:t>4.2 </w:t>
      </w:r>
      <w:r w:rsidR="001E331B">
        <w:rPr>
          <w:rFonts w:eastAsiaTheme="minorEastAsia"/>
          <w:lang w:eastAsia="fr-FR"/>
        </w:rPr>
        <w:t> </w:t>
      </w:r>
      <w:r w:rsidRPr="006B45BB">
        <w:rPr>
          <w:rFonts w:eastAsiaTheme="minorEastAsia"/>
          <w:lang w:eastAsia="fr-FR"/>
        </w:rPr>
        <w:t xml:space="preserve">In the present case, Switzerland adopted the </w:t>
      </w:r>
      <w:r>
        <w:rPr>
          <w:rFonts w:eastAsiaTheme="minorEastAsia"/>
          <w:lang w:eastAsia="fr-FR"/>
        </w:rPr>
        <w:t>Disability Act</w:t>
      </w:r>
      <w:r w:rsidRPr="006B45BB">
        <w:rPr>
          <w:rFonts w:eastAsiaTheme="minorEastAsia"/>
          <w:lang w:eastAsia="fr-FR"/>
        </w:rPr>
        <w:t xml:space="preserve"> with the </w:t>
      </w:r>
      <w:r>
        <w:rPr>
          <w:rFonts w:eastAsiaTheme="minorEastAsia"/>
          <w:lang w:eastAsia="fr-FR"/>
        </w:rPr>
        <w:t xml:space="preserve">purpose </w:t>
      </w:r>
      <w:r w:rsidRPr="006B45BB">
        <w:rPr>
          <w:rFonts w:eastAsiaTheme="minorEastAsia"/>
          <w:lang w:eastAsia="fr-FR"/>
        </w:rPr>
        <w:t xml:space="preserve">of preventing, </w:t>
      </w:r>
      <w:proofErr w:type="gramStart"/>
      <w:r w:rsidRPr="006B45BB">
        <w:rPr>
          <w:rFonts w:eastAsiaTheme="minorEastAsia"/>
          <w:lang w:eastAsia="fr-FR"/>
        </w:rPr>
        <w:t>reducing</w:t>
      </w:r>
      <w:proofErr w:type="gramEnd"/>
      <w:r w:rsidRPr="006B45BB">
        <w:rPr>
          <w:rFonts w:eastAsiaTheme="minorEastAsia"/>
          <w:lang w:eastAsia="fr-FR"/>
        </w:rPr>
        <w:t xml:space="preserve"> or eliminating </w:t>
      </w:r>
      <w:r>
        <w:rPr>
          <w:rFonts w:eastAsiaTheme="minorEastAsia"/>
          <w:lang w:eastAsia="fr-FR"/>
        </w:rPr>
        <w:t xml:space="preserve">the </w:t>
      </w:r>
      <w:r w:rsidRPr="006B45BB">
        <w:rPr>
          <w:rFonts w:eastAsiaTheme="minorEastAsia"/>
          <w:lang w:eastAsia="fr-FR"/>
        </w:rPr>
        <w:t xml:space="preserve">inequalities </w:t>
      </w:r>
      <w:r>
        <w:rPr>
          <w:rFonts w:eastAsiaTheme="minorEastAsia"/>
          <w:lang w:eastAsia="fr-FR"/>
        </w:rPr>
        <w:t xml:space="preserve">which </w:t>
      </w:r>
      <w:r w:rsidRPr="006B45BB">
        <w:rPr>
          <w:rFonts w:eastAsiaTheme="minorEastAsia"/>
          <w:lang w:eastAsia="fr-FR"/>
        </w:rPr>
        <w:t>affect</w:t>
      </w:r>
      <w:r>
        <w:rPr>
          <w:rFonts w:eastAsiaTheme="minorEastAsia"/>
          <w:lang w:eastAsia="fr-FR"/>
        </w:rPr>
        <w:t xml:space="preserve"> </w:t>
      </w:r>
      <w:r w:rsidRPr="006B45BB">
        <w:rPr>
          <w:rFonts w:eastAsiaTheme="minorEastAsia"/>
          <w:lang w:eastAsia="fr-FR"/>
        </w:rPr>
        <w:t>people with disabilities (</w:t>
      </w:r>
      <w:r>
        <w:rPr>
          <w:rFonts w:eastAsiaTheme="minorEastAsia"/>
          <w:lang w:eastAsia="fr-FR"/>
        </w:rPr>
        <w:t>section </w:t>
      </w:r>
      <w:r w:rsidRPr="006B45BB">
        <w:rPr>
          <w:rFonts w:eastAsiaTheme="minorEastAsia"/>
          <w:lang w:eastAsia="fr-FR"/>
        </w:rPr>
        <w:t xml:space="preserve">1 </w:t>
      </w:r>
      <w:r>
        <w:rPr>
          <w:rFonts w:eastAsiaTheme="minorEastAsia"/>
          <w:lang w:eastAsia="fr-FR"/>
        </w:rPr>
        <w:t>of the Disability Act</w:t>
      </w:r>
      <w:r w:rsidRPr="006B45BB">
        <w:rPr>
          <w:rFonts w:eastAsiaTheme="minorEastAsia"/>
          <w:lang w:eastAsia="fr-FR"/>
        </w:rPr>
        <w:t>). In this context, the federal legislat</w:t>
      </w:r>
      <w:r>
        <w:rPr>
          <w:rFonts w:eastAsiaTheme="minorEastAsia"/>
          <w:lang w:eastAsia="fr-FR"/>
        </w:rPr>
        <w:t xml:space="preserve">ure </w:t>
      </w:r>
      <w:r w:rsidRPr="006B45BB">
        <w:rPr>
          <w:rFonts w:eastAsiaTheme="minorEastAsia"/>
          <w:lang w:eastAsia="fr-FR"/>
        </w:rPr>
        <w:t xml:space="preserve">provided, </w:t>
      </w:r>
      <w:r w:rsidRPr="00F54F81">
        <w:rPr>
          <w:rFonts w:eastAsiaTheme="minorEastAsia"/>
          <w:i/>
          <w:iCs/>
          <w:lang w:eastAsia="fr-FR"/>
        </w:rPr>
        <w:t>inter alia</w:t>
      </w:r>
      <w:r w:rsidRPr="006B45BB">
        <w:rPr>
          <w:rFonts w:eastAsiaTheme="minorEastAsia"/>
          <w:lang w:eastAsia="fr-FR"/>
        </w:rPr>
        <w:t xml:space="preserve">, that buildings and facilities </w:t>
      </w:r>
      <w:r>
        <w:rPr>
          <w:rFonts w:eastAsiaTheme="minorEastAsia"/>
          <w:lang w:eastAsia="fr-FR"/>
        </w:rPr>
        <w:t xml:space="preserve">which are open </w:t>
      </w:r>
      <w:r w:rsidRPr="006B45BB">
        <w:rPr>
          <w:rFonts w:eastAsiaTheme="minorEastAsia"/>
          <w:lang w:eastAsia="fr-FR"/>
        </w:rPr>
        <w:t xml:space="preserve">to the public </w:t>
      </w:r>
      <w:r>
        <w:rPr>
          <w:rFonts w:eastAsiaTheme="minorEastAsia"/>
          <w:lang w:eastAsia="fr-FR"/>
        </w:rPr>
        <w:t xml:space="preserve">and </w:t>
      </w:r>
      <w:r w:rsidRPr="006B45BB">
        <w:rPr>
          <w:rFonts w:eastAsiaTheme="minorEastAsia"/>
          <w:lang w:eastAsia="fr-FR"/>
        </w:rPr>
        <w:t>for which authori</w:t>
      </w:r>
      <w:r>
        <w:rPr>
          <w:rFonts w:eastAsiaTheme="minorEastAsia"/>
          <w:lang w:eastAsia="fr-FR"/>
        </w:rPr>
        <w:t>s</w:t>
      </w:r>
      <w:r w:rsidRPr="006B45BB">
        <w:rPr>
          <w:rFonts w:eastAsiaTheme="minorEastAsia"/>
          <w:lang w:eastAsia="fr-FR"/>
        </w:rPr>
        <w:t xml:space="preserve">ation to build or renovate was granted after the entry into force of the </w:t>
      </w:r>
      <w:r>
        <w:rPr>
          <w:rFonts w:eastAsiaTheme="minorEastAsia"/>
          <w:lang w:eastAsia="fr-FR"/>
        </w:rPr>
        <w:t>Disability Act</w:t>
      </w:r>
      <w:r w:rsidRPr="006B45BB">
        <w:rPr>
          <w:rFonts w:eastAsiaTheme="minorEastAsia"/>
          <w:lang w:eastAsia="fr-FR"/>
        </w:rPr>
        <w:t xml:space="preserve"> had to be easily accessible to persons </w:t>
      </w:r>
      <w:r>
        <w:rPr>
          <w:rFonts w:eastAsiaTheme="minorEastAsia"/>
          <w:lang w:eastAsia="fr-FR"/>
        </w:rPr>
        <w:t xml:space="preserve">with disabilities </w:t>
      </w:r>
      <w:r w:rsidRPr="006B45BB">
        <w:rPr>
          <w:rFonts w:eastAsiaTheme="minorEastAsia"/>
          <w:lang w:eastAsia="fr-FR"/>
        </w:rPr>
        <w:t>(</w:t>
      </w:r>
      <w:r>
        <w:rPr>
          <w:rFonts w:eastAsiaTheme="minorEastAsia"/>
          <w:lang w:eastAsia="fr-FR"/>
        </w:rPr>
        <w:t xml:space="preserve">section </w:t>
      </w:r>
      <w:r w:rsidRPr="006B45BB">
        <w:rPr>
          <w:rFonts w:eastAsiaTheme="minorEastAsia"/>
          <w:lang w:eastAsia="fr-FR"/>
        </w:rPr>
        <w:t>2</w:t>
      </w:r>
      <w:r w:rsidR="00442297">
        <w:rPr>
          <w:rFonts w:eastAsiaTheme="minorEastAsia"/>
          <w:lang w:eastAsia="fr-FR"/>
        </w:rPr>
        <w:t>(</w:t>
      </w:r>
      <w:r w:rsidRPr="006B45BB">
        <w:rPr>
          <w:rFonts w:eastAsiaTheme="minorEastAsia"/>
          <w:lang w:eastAsia="fr-FR"/>
        </w:rPr>
        <w:t>3</w:t>
      </w:r>
      <w:r w:rsidR="00442297">
        <w:rPr>
          <w:rFonts w:eastAsiaTheme="minorEastAsia"/>
          <w:lang w:eastAsia="fr-FR"/>
        </w:rPr>
        <w:t>)</w:t>
      </w:r>
      <w:r w:rsidRPr="006B45BB">
        <w:rPr>
          <w:rFonts w:eastAsiaTheme="minorEastAsia"/>
          <w:lang w:eastAsia="fr-FR"/>
        </w:rPr>
        <w:t xml:space="preserve"> and </w:t>
      </w:r>
      <w:r>
        <w:rPr>
          <w:rFonts w:eastAsiaTheme="minorEastAsia"/>
          <w:lang w:eastAsia="fr-FR"/>
        </w:rPr>
        <w:t xml:space="preserve">section </w:t>
      </w:r>
      <w:r w:rsidRPr="006B45BB">
        <w:rPr>
          <w:rFonts w:eastAsiaTheme="minorEastAsia"/>
          <w:lang w:eastAsia="fr-FR"/>
        </w:rPr>
        <w:t>3</w:t>
      </w:r>
      <w:r>
        <w:rPr>
          <w:rFonts w:eastAsiaTheme="minorEastAsia"/>
          <w:lang w:eastAsia="fr-FR"/>
        </w:rPr>
        <w:t>(</w:t>
      </w:r>
      <w:r w:rsidRPr="006B45BB">
        <w:rPr>
          <w:rFonts w:eastAsiaTheme="minorEastAsia"/>
          <w:lang w:eastAsia="fr-FR"/>
        </w:rPr>
        <w:t>a</w:t>
      </w:r>
      <w:r>
        <w:rPr>
          <w:rFonts w:eastAsiaTheme="minorEastAsia"/>
          <w:lang w:eastAsia="fr-FR"/>
        </w:rPr>
        <w:t>)</w:t>
      </w:r>
      <w:r w:rsidRPr="006B45BB">
        <w:rPr>
          <w:rFonts w:eastAsiaTheme="minorEastAsia"/>
          <w:lang w:eastAsia="fr-FR"/>
        </w:rPr>
        <w:t xml:space="preserve"> </w:t>
      </w:r>
      <w:r>
        <w:rPr>
          <w:rFonts w:eastAsiaTheme="minorEastAsia"/>
          <w:lang w:eastAsia="fr-FR"/>
        </w:rPr>
        <w:t>of the Disability Act</w:t>
      </w:r>
      <w:r w:rsidRPr="006B45BB">
        <w:rPr>
          <w:rFonts w:eastAsiaTheme="minorEastAsia"/>
          <w:lang w:eastAsia="fr-FR"/>
        </w:rPr>
        <w:t xml:space="preserve">); it imposed a prohibition of discrimination on private </w:t>
      </w:r>
      <w:r>
        <w:rPr>
          <w:rFonts w:eastAsiaTheme="minorEastAsia"/>
          <w:lang w:eastAsia="fr-FR"/>
        </w:rPr>
        <w:t xml:space="preserve">persons </w:t>
      </w:r>
      <w:r w:rsidRPr="006B45BB">
        <w:rPr>
          <w:rFonts w:eastAsiaTheme="minorEastAsia"/>
          <w:lang w:eastAsia="fr-FR"/>
        </w:rPr>
        <w:t>who provide services to the public (</w:t>
      </w:r>
      <w:r>
        <w:rPr>
          <w:rFonts w:eastAsiaTheme="minorEastAsia"/>
          <w:lang w:eastAsia="fr-FR"/>
        </w:rPr>
        <w:t xml:space="preserve">section </w:t>
      </w:r>
      <w:r w:rsidRPr="006B45BB">
        <w:rPr>
          <w:rFonts w:eastAsiaTheme="minorEastAsia"/>
          <w:lang w:eastAsia="fr-FR"/>
        </w:rPr>
        <w:t xml:space="preserve">6 </w:t>
      </w:r>
      <w:r>
        <w:rPr>
          <w:rFonts w:eastAsiaTheme="minorEastAsia"/>
          <w:lang w:eastAsia="fr-FR"/>
        </w:rPr>
        <w:t>of the Disability Act</w:t>
      </w:r>
      <w:r w:rsidRPr="006B45BB">
        <w:rPr>
          <w:rFonts w:eastAsiaTheme="minorEastAsia"/>
          <w:lang w:eastAsia="fr-FR"/>
        </w:rPr>
        <w:t>); it also gave pe</w:t>
      </w:r>
      <w:r>
        <w:rPr>
          <w:rFonts w:eastAsiaTheme="minorEastAsia"/>
          <w:lang w:eastAsia="fr-FR"/>
        </w:rPr>
        <w:t xml:space="preserve">ople with disabilities </w:t>
      </w:r>
      <w:r w:rsidRPr="006B45BB">
        <w:rPr>
          <w:rFonts w:eastAsiaTheme="minorEastAsia"/>
          <w:lang w:eastAsia="fr-FR"/>
        </w:rPr>
        <w:t>and certain organi</w:t>
      </w:r>
      <w:r>
        <w:rPr>
          <w:rFonts w:eastAsiaTheme="minorEastAsia"/>
          <w:lang w:eastAsia="fr-FR"/>
        </w:rPr>
        <w:t>s</w:t>
      </w:r>
      <w:r w:rsidRPr="006B45BB">
        <w:rPr>
          <w:rFonts w:eastAsiaTheme="minorEastAsia"/>
          <w:lang w:eastAsia="fr-FR"/>
        </w:rPr>
        <w:t xml:space="preserve">ations </w:t>
      </w:r>
      <w:r>
        <w:rPr>
          <w:rFonts w:eastAsiaTheme="minorEastAsia"/>
          <w:lang w:eastAsia="fr-FR"/>
        </w:rPr>
        <w:t xml:space="preserve">working to </w:t>
      </w:r>
      <w:r w:rsidRPr="006B45BB">
        <w:rPr>
          <w:rFonts w:eastAsiaTheme="minorEastAsia"/>
          <w:lang w:eastAsia="fr-FR"/>
        </w:rPr>
        <w:t>support the</w:t>
      </w:r>
      <w:r>
        <w:rPr>
          <w:rFonts w:eastAsiaTheme="minorEastAsia"/>
          <w:lang w:eastAsia="fr-FR"/>
        </w:rPr>
        <w:t xml:space="preserve">m </w:t>
      </w:r>
      <w:r w:rsidRPr="006B45BB">
        <w:rPr>
          <w:rFonts w:eastAsiaTheme="minorEastAsia"/>
          <w:lang w:eastAsia="fr-FR"/>
        </w:rPr>
        <w:t>the right to take legal action if necessary (</w:t>
      </w:r>
      <w:r>
        <w:rPr>
          <w:rFonts w:eastAsiaTheme="minorEastAsia"/>
          <w:lang w:eastAsia="fr-FR"/>
        </w:rPr>
        <w:t xml:space="preserve">section </w:t>
      </w:r>
      <w:r w:rsidRPr="006B45BB">
        <w:rPr>
          <w:rFonts w:eastAsiaTheme="minorEastAsia"/>
          <w:lang w:eastAsia="fr-FR"/>
        </w:rPr>
        <w:t>7</w:t>
      </w:r>
      <w:r w:rsidR="00442297">
        <w:rPr>
          <w:rFonts w:eastAsiaTheme="minorEastAsia"/>
          <w:lang w:eastAsia="fr-FR"/>
        </w:rPr>
        <w:t>(</w:t>
      </w:r>
      <w:r w:rsidRPr="006B45BB">
        <w:rPr>
          <w:rFonts w:eastAsiaTheme="minorEastAsia"/>
          <w:lang w:eastAsia="fr-FR"/>
        </w:rPr>
        <w:t>1</w:t>
      </w:r>
      <w:r w:rsidR="00442297">
        <w:rPr>
          <w:rFonts w:eastAsiaTheme="minorEastAsia"/>
          <w:lang w:eastAsia="fr-FR"/>
        </w:rPr>
        <w:t>)</w:t>
      </w:r>
      <w:r w:rsidRPr="006B45BB">
        <w:rPr>
          <w:rFonts w:eastAsiaTheme="minorEastAsia"/>
          <w:lang w:eastAsia="fr-FR"/>
        </w:rPr>
        <w:t xml:space="preserve">, </w:t>
      </w:r>
      <w:r>
        <w:rPr>
          <w:rFonts w:eastAsiaTheme="minorEastAsia"/>
          <w:lang w:eastAsia="fr-FR"/>
        </w:rPr>
        <w:t xml:space="preserve">section </w:t>
      </w:r>
      <w:r w:rsidRPr="006B45BB">
        <w:rPr>
          <w:rFonts w:eastAsiaTheme="minorEastAsia"/>
          <w:lang w:eastAsia="fr-FR"/>
        </w:rPr>
        <w:t>8</w:t>
      </w:r>
      <w:r w:rsidR="00442297">
        <w:rPr>
          <w:rFonts w:eastAsiaTheme="minorEastAsia"/>
          <w:lang w:eastAsia="fr-FR"/>
        </w:rPr>
        <w:t>(</w:t>
      </w:r>
      <w:r w:rsidRPr="006B45BB">
        <w:rPr>
          <w:rFonts w:eastAsiaTheme="minorEastAsia"/>
          <w:lang w:eastAsia="fr-FR"/>
        </w:rPr>
        <w:t>3</w:t>
      </w:r>
      <w:r w:rsidR="00442297">
        <w:rPr>
          <w:rFonts w:eastAsiaTheme="minorEastAsia"/>
          <w:lang w:eastAsia="fr-FR"/>
        </w:rPr>
        <w:t>)</w:t>
      </w:r>
      <w:r w:rsidRPr="006B45BB">
        <w:rPr>
          <w:rFonts w:eastAsiaTheme="minorEastAsia"/>
          <w:lang w:eastAsia="fr-FR"/>
        </w:rPr>
        <w:t xml:space="preserve">, </w:t>
      </w:r>
      <w:r>
        <w:rPr>
          <w:rFonts w:eastAsiaTheme="minorEastAsia"/>
          <w:lang w:eastAsia="fr-FR"/>
        </w:rPr>
        <w:t xml:space="preserve">section </w:t>
      </w:r>
      <w:r w:rsidRPr="006B45BB">
        <w:rPr>
          <w:rFonts w:eastAsiaTheme="minorEastAsia"/>
          <w:lang w:eastAsia="fr-FR"/>
        </w:rPr>
        <w:t>9</w:t>
      </w:r>
      <w:r w:rsidR="00442297">
        <w:rPr>
          <w:rFonts w:eastAsiaTheme="minorEastAsia"/>
          <w:lang w:eastAsia="fr-FR"/>
        </w:rPr>
        <w:t>(</w:t>
      </w:r>
      <w:r w:rsidRPr="006B45BB">
        <w:rPr>
          <w:rFonts w:eastAsiaTheme="minorEastAsia"/>
          <w:lang w:eastAsia="fr-FR"/>
        </w:rPr>
        <w:t>3</w:t>
      </w:r>
      <w:r w:rsidR="00442297">
        <w:rPr>
          <w:rFonts w:eastAsiaTheme="minorEastAsia"/>
          <w:lang w:eastAsia="fr-FR"/>
        </w:rPr>
        <w:t>)</w:t>
      </w:r>
      <w:r>
        <w:rPr>
          <w:rFonts w:eastAsiaTheme="minorEastAsia"/>
          <w:lang w:eastAsia="fr-FR"/>
        </w:rPr>
        <w:t>(</w:t>
      </w:r>
      <w:r w:rsidRPr="006B45BB">
        <w:rPr>
          <w:rFonts w:eastAsiaTheme="minorEastAsia"/>
          <w:lang w:eastAsia="fr-FR"/>
        </w:rPr>
        <w:t>a</w:t>
      </w:r>
      <w:r>
        <w:rPr>
          <w:rFonts w:eastAsiaTheme="minorEastAsia"/>
          <w:lang w:eastAsia="fr-FR"/>
        </w:rPr>
        <w:t>)</w:t>
      </w:r>
      <w:r w:rsidRPr="006B45BB">
        <w:rPr>
          <w:rFonts w:eastAsiaTheme="minorEastAsia"/>
          <w:lang w:eastAsia="fr-FR"/>
        </w:rPr>
        <w:t xml:space="preserve"> and </w:t>
      </w:r>
      <w:r>
        <w:rPr>
          <w:rFonts w:eastAsiaTheme="minorEastAsia"/>
          <w:lang w:eastAsia="fr-FR"/>
        </w:rPr>
        <w:t>(</w:t>
      </w:r>
      <w:r w:rsidRPr="006B45BB">
        <w:rPr>
          <w:rFonts w:eastAsiaTheme="minorEastAsia"/>
          <w:lang w:eastAsia="fr-FR"/>
        </w:rPr>
        <w:t>b</w:t>
      </w:r>
      <w:r>
        <w:rPr>
          <w:rFonts w:eastAsiaTheme="minorEastAsia"/>
          <w:lang w:eastAsia="fr-FR"/>
        </w:rPr>
        <w:t>) of the Disability Act</w:t>
      </w:r>
      <w:r w:rsidRPr="006B45BB">
        <w:rPr>
          <w:rFonts w:eastAsiaTheme="minorEastAsia"/>
          <w:lang w:eastAsia="fr-FR"/>
        </w:rPr>
        <w:t xml:space="preserve">). The question is whether these legislative measures are sufficient under the </w:t>
      </w:r>
      <w:r>
        <w:rPr>
          <w:rFonts w:eastAsiaTheme="minorEastAsia"/>
          <w:lang w:eastAsia="fr-FR"/>
        </w:rPr>
        <w:t xml:space="preserve">Convention </w:t>
      </w:r>
      <w:r w:rsidRPr="006B45BB">
        <w:rPr>
          <w:rFonts w:eastAsiaTheme="minorEastAsia"/>
          <w:lang w:eastAsia="fr-FR"/>
        </w:rPr>
        <w:t xml:space="preserve">and, in particular, whether the Convention requires Switzerland to adopt a broader concept of discrimination than that contained in </w:t>
      </w:r>
      <w:r>
        <w:rPr>
          <w:rFonts w:eastAsiaTheme="minorEastAsia"/>
          <w:lang w:eastAsia="fr-FR"/>
        </w:rPr>
        <w:t>section</w:t>
      </w:r>
      <w:r w:rsidRPr="006B45BB">
        <w:rPr>
          <w:rFonts w:eastAsiaTheme="minorEastAsia"/>
          <w:lang w:eastAsia="fr-FR"/>
        </w:rPr>
        <w:t xml:space="preserve"> 6 of the </w:t>
      </w:r>
      <w:r>
        <w:rPr>
          <w:rFonts w:eastAsiaTheme="minorEastAsia"/>
          <w:lang w:eastAsia="fr-FR"/>
        </w:rPr>
        <w:t xml:space="preserve">Disability Act </w:t>
      </w:r>
      <w:r w:rsidRPr="006B45BB">
        <w:rPr>
          <w:rFonts w:eastAsiaTheme="minorEastAsia"/>
          <w:lang w:eastAsia="fr-FR"/>
        </w:rPr>
        <w:t>(</w:t>
      </w:r>
      <w:r>
        <w:rPr>
          <w:rFonts w:eastAsiaTheme="minorEastAsia"/>
          <w:lang w:eastAsia="fr-FR"/>
        </w:rPr>
        <w:t xml:space="preserve">see points </w:t>
      </w:r>
      <w:r w:rsidRPr="006B45BB">
        <w:rPr>
          <w:rFonts w:eastAsiaTheme="minorEastAsia"/>
          <w:lang w:eastAsia="fr-FR"/>
        </w:rPr>
        <w:t>3.3.1 and 3.3.2</w:t>
      </w:r>
      <w:r w:rsidR="00442297">
        <w:rPr>
          <w:rFonts w:eastAsiaTheme="minorEastAsia"/>
          <w:lang w:eastAsia="fr-FR"/>
        </w:rPr>
        <w:t xml:space="preserve"> above</w:t>
      </w:r>
      <w:r w:rsidRPr="006B45BB">
        <w:rPr>
          <w:rFonts w:eastAsiaTheme="minorEastAsia"/>
          <w:lang w:eastAsia="fr-FR"/>
        </w:rPr>
        <w:t>).</w:t>
      </w:r>
    </w:p>
    <w:p w:rsidRPr="00DE124C" w:rsidR="00972D4A" w:rsidP="00972D4A" w:rsidRDefault="00972D4A" w14:paraId="2BCA91B6" w14:textId="59433F08">
      <w:pPr>
        <w:pStyle w:val="JuQuot"/>
        <w:rPr>
          <w:rFonts w:eastAsiaTheme="minorEastAsia"/>
          <w:lang w:eastAsia="fr-FR"/>
        </w:rPr>
      </w:pPr>
      <w:r w:rsidRPr="00DE124C">
        <w:rPr>
          <w:rFonts w:eastAsiaTheme="minorEastAsia"/>
          <w:lang w:eastAsia="fr-FR"/>
        </w:rPr>
        <w:t xml:space="preserve">The appellant </w:t>
      </w:r>
      <w:r>
        <w:rPr>
          <w:rFonts w:eastAsiaTheme="minorEastAsia"/>
          <w:lang w:eastAsia="fr-FR"/>
        </w:rPr>
        <w:t xml:space="preserve">makes the above allegation </w:t>
      </w:r>
      <w:r w:rsidRPr="00DE124C">
        <w:rPr>
          <w:rFonts w:eastAsiaTheme="minorEastAsia"/>
          <w:lang w:eastAsia="fr-FR"/>
        </w:rPr>
        <w:t xml:space="preserve">on the basis of general considerations. However, he does not cite any judgment in which the European Court of Human Rights has held that a comparable obligation exists. The </w:t>
      </w:r>
      <w:proofErr w:type="spellStart"/>
      <w:r w:rsidRPr="00DE124C">
        <w:rPr>
          <w:rFonts w:eastAsiaTheme="minorEastAsia"/>
          <w:i/>
          <w:iCs/>
          <w:lang w:eastAsia="fr-FR"/>
        </w:rPr>
        <w:t>Botta</w:t>
      </w:r>
      <w:proofErr w:type="spellEnd"/>
      <w:r w:rsidRPr="00DE124C">
        <w:rPr>
          <w:rFonts w:eastAsiaTheme="minorEastAsia"/>
          <w:i/>
          <w:iCs/>
          <w:lang w:eastAsia="fr-FR"/>
        </w:rPr>
        <w:t xml:space="preserve"> v.</w:t>
      </w:r>
      <w:r w:rsidR="001E331B">
        <w:rPr>
          <w:rFonts w:eastAsiaTheme="minorEastAsia"/>
          <w:i/>
          <w:iCs/>
          <w:lang w:eastAsia="fr-FR"/>
        </w:rPr>
        <w:t> </w:t>
      </w:r>
      <w:r w:rsidRPr="00DE124C">
        <w:rPr>
          <w:rFonts w:eastAsiaTheme="minorEastAsia"/>
          <w:i/>
          <w:iCs/>
          <w:lang w:eastAsia="fr-FR"/>
        </w:rPr>
        <w:t>Italy</w:t>
      </w:r>
      <w:r w:rsidRPr="00DE124C">
        <w:rPr>
          <w:rFonts w:eastAsiaTheme="minorEastAsia"/>
          <w:lang w:eastAsia="fr-FR"/>
        </w:rPr>
        <w:t xml:space="preserve"> judgment </w:t>
      </w:r>
      <w:r>
        <w:rPr>
          <w:rFonts w:eastAsiaTheme="minorEastAsia"/>
          <w:lang w:eastAsia="fr-FR"/>
        </w:rPr>
        <w:t xml:space="preserve">relied on by him </w:t>
      </w:r>
      <w:r w:rsidRPr="00DE124C">
        <w:rPr>
          <w:rFonts w:eastAsiaTheme="minorEastAsia"/>
          <w:lang w:eastAsia="fr-FR"/>
        </w:rPr>
        <w:t>(24</w:t>
      </w:r>
      <w:r>
        <w:rPr>
          <w:rFonts w:eastAsiaTheme="minorEastAsia"/>
          <w:lang w:eastAsia="fr-FR"/>
        </w:rPr>
        <w:t> </w:t>
      </w:r>
      <w:r w:rsidRPr="00DE124C">
        <w:rPr>
          <w:rFonts w:eastAsiaTheme="minorEastAsia"/>
          <w:lang w:eastAsia="fr-FR"/>
        </w:rPr>
        <w:t>February 1998</w:t>
      </w:r>
      <w:r>
        <w:rPr>
          <w:rFonts w:eastAsiaTheme="minorEastAsia"/>
          <w:lang w:eastAsia="fr-FR"/>
        </w:rPr>
        <w:t xml:space="preserve">, </w:t>
      </w:r>
      <w:r w:rsidRPr="00E80C67">
        <w:rPr>
          <w:rFonts w:eastAsiaTheme="minorEastAsia"/>
          <w:lang w:eastAsia="fr-FR"/>
        </w:rPr>
        <w:t>Reports 1998-I</w:t>
      </w:r>
      <w:r w:rsidRPr="00DE124C">
        <w:rPr>
          <w:rFonts w:eastAsiaTheme="minorEastAsia"/>
          <w:lang w:eastAsia="fr-FR"/>
        </w:rPr>
        <w:t>) concerns the case of a</w:t>
      </w:r>
      <w:r>
        <w:rPr>
          <w:rFonts w:eastAsiaTheme="minorEastAsia"/>
          <w:lang w:eastAsia="fr-FR"/>
        </w:rPr>
        <w:t xml:space="preserve"> disabled individual </w:t>
      </w:r>
      <w:r w:rsidRPr="00DE124C">
        <w:rPr>
          <w:rFonts w:eastAsiaTheme="minorEastAsia"/>
          <w:lang w:eastAsia="fr-FR"/>
        </w:rPr>
        <w:t xml:space="preserve">who </w:t>
      </w:r>
      <w:r>
        <w:rPr>
          <w:rFonts w:eastAsiaTheme="minorEastAsia"/>
          <w:lang w:eastAsia="fr-FR"/>
        </w:rPr>
        <w:t xml:space="preserve">criticised </w:t>
      </w:r>
      <w:r w:rsidRPr="00DE124C">
        <w:rPr>
          <w:rFonts w:eastAsiaTheme="minorEastAsia"/>
          <w:lang w:eastAsia="fr-FR"/>
        </w:rPr>
        <w:t xml:space="preserve">the authorities for </w:t>
      </w:r>
      <w:r>
        <w:rPr>
          <w:rFonts w:eastAsiaTheme="minorEastAsia"/>
          <w:lang w:eastAsia="fr-FR"/>
        </w:rPr>
        <w:t xml:space="preserve">failing to </w:t>
      </w:r>
      <w:r w:rsidRPr="00DE124C">
        <w:rPr>
          <w:rFonts w:eastAsiaTheme="minorEastAsia"/>
          <w:lang w:eastAsia="fr-FR"/>
        </w:rPr>
        <w:t>react</w:t>
      </w:r>
      <w:r>
        <w:rPr>
          <w:rFonts w:eastAsiaTheme="minorEastAsia"/>
          <w:lang w:eastAsia="fr-FR"/>
        </w:rPr>
        <w:t xml:space="preserve"> </w:t>
      </w:r>
      <w:r w:rsidRPr="00DE124C">
        <w:rPr>
          <w:rFonts w:eastAsiaTheme="minorEastAsia"/>
          <w:lang w:eastAsia="fr-FR"/>
        </w:rPr>
        <w:t xml:space="preserve">to his complaints about beaches not being equipped with </w:t>
      </w:r>
      <w:r>
        <w:rPr>
          <w:rFonts w:eastAsiaTheme="minorEastAsia"/>
          <w:lang w:eastAsia="fr-FR"/>
        </w:rPr>
        <w:t xml:space="preserve">facilities </w:t>
      </w:r>
      <w:r w:rsidRPr="00DE124C">
        <w:rPr>
          <w:rFonts w:eastAsiaTheme="minorEastAsia"/>
          <w:lang w:eastAsia="fr-FR"/>
        </w:rPr>
        <w:t>for disabled</w:t>
      </w:r>
      <w:r>
        <w:rPr>
          <w:rFonts w:eastAsiaTheme="minorEastAsia"/>
          <w:lang w:eastAsia="fr-FR"/>
        </w:rPr>
        <w:t xml:space="preserve"> persons</w:t>
      </w:r>
      <w:r w:rsidRPr="00DE124C">
        <w:rPr>
          <w:rFonts w:eastAsiaTheme="minorEastAsia"/>
          <w:lang w:eastAsia="fr-FR"/>
        </w:rPr>
        <w:t xml:space="preserve">, </w:t>
      </w:r>
      <w:r>
        <w:rPr>
          <w:rFonts w:eastAsiaTheme="minorEastAsia"/>
          <w:lang w:eastAsia="fr-FR"/>
        </w:rPr>
        <w:t>alt</w:t>
      </w:r>
      <w:r w:rsidRPr="00DE124C">
        <w:rPr>
          <w:rFonts w:eastAsiaTheme="minorEastAsia"/>
          <w:lang w:eastAsia="fr-FR"/>
        </w:rPr>
        <w:t>hough the</w:t>
      </w:r>
      <w:r>
        <w:rPr>
          <w:rFonts w:eastAsiaTheme="minorEastAsia"/>
          <w:lang w:eastAsia="fr-FR"/>
        </w:rPr>
        <w:t xml:space="preserve">se </w:t>
      </w:r>
      <w:r w:rsidRPr="00DE124C">
        <w:rPr>
          <w:rFonts w:eastAsiaTheme="minorEastAsia"/>
          <w:lang w:eastAsia="fr-FR"/>
        </w:rPr>
        <w:t xml:space="preserve">were required by law and </w:t>
      </w:r>
      <w:r>
        <w:rPr>
          <w:rFonts w:eastAsiaTheme="minorEastAsia"/>
          <w:lang w:eastAsia="fr-FR"/>
        </w:rPr>
        <w:t xml:space="preserve">their absence could result in withdrawal of a beach’s </w:t>
      </w:r>
      <w:r w:rsidRPr="00DE124C">
        <w:rPr>
          <w:rFonts w:eastAsiaTheme="minorEastAsia"/>
          <w:lang w:eastAsia="fr-FR"/>
        </w:rPr>
        <w:t xml:space="preserve">license. The Court </w:t>
      </w:r>
      <w:r>
        <w:rPr>
          <w:rFonts w:eastAsiaTheme="minorEastAsia"/>
          <w:lang w:eastAsia="fr-FR"/>
        </w:rPr>
        <w:t xml:space="preserve">found that there had been no </w:t>
      </w:r>
      <w:r w:rsidRPr="00DE124C">
        <w:rPr>
          <w:rFonts w:eastAsiaTheme="minorEastAsia"/>
          <w:lang w:eastAsia="fr-FR"/>
        </w:rPr>
        <w:t xml:space="preserve">violation of </w:t>
      </w:r>
      <w:r>
        <w:rPr>
          <w:rFonts w:eastAsiaTheme="minorEastAsia"/>
          <w:lang w:eastAsia="fr-FR"/>
        </w:rPr>
        <w:t>A</w:t>
      </w:r>
      <w:r w:rsidRPr="00DE124C">
        <w:rPr>
          <w:rFonts w:eastAsiaTheme="minorEastAsia"/>
          <w:lang w:eastAsia="fr-FR"/>
        </w:rPr>
        <w:t xml:space="preserve">rticles 8 and 14 </w:t>
      </w:r>
      <w:r>
        <w:rPr>
          <w:rFonts w:eastAsiaTheme="minorEastAsia"/>
          <w:lang w:eastAsia="fr-FR"/>
        </w:rPr>
        <w:t xml:space="preserve">[of the Convention], </w:t>
      </w:r>
      <w:r w:rsidRPr="00DE124C">
        <w:rPr>
          <w:rFonts w:eastAsiaTheme="minorEastAsia"/>
          <w:lang w:eastAsia="fr-FR"/>
        </w:rPr>
        <w:t xml:space="preserve">on the grounds that the right </w:t>
      </w:r>
      <w:r>
        <w:rPr>
          <w:rFonts w:eastAsiaTheme="minorEastAsia"/>
          <w:lang w:eastAsia="fr-FR"/>
        </w:rPr>
        <w:t xml:space="preserve">asserted </w:t>
      </w:r>
      <w:r w:rsidRPr="00DE124C">
        <w:rPr>
          <w:rFonts w:eastAsiaTheme="minorEastAsia"/>
          <w:lang w:eastAsia="fr-FR"/>
        </w:rPr>
        <w:t xml:space="preserve">by the applicant, </w:t>
      </w:r>
      <w:r>
        <w:rPr>
          <w:rFonts w:eastAsiaTheme="minorEastAsia"/>
          <w:lang w:eastAsia="fr-FR"/>
        </w:rPr>
        <w:t xml:space="preserve">namely the right to gain access to the beach and the sea at a place distant from his normal place of residence during his holidays, concerned interpersonal relations of such broad and indeterminate scope that there could be no conceivable direct link between the measures the State was urged to take in order to make good the omissions of the private bathing establishments and the applicant’s private life </w:t>
      </w:r>
      <w:r w:rsidRPr="00DE124C">
        <w:rPr>
          <w:rFonts w:eastAsiaTheme="minorEastAsia"/>
          <w:lang w:eastAsia="fr-FR"/>
        </w:rPr>
        <w:t>(§</w:t>
      </w:r>
      <w:r w:rsidR="001E331B">
        <w:rPr>
          <w:rFonts w:eastAsiaTheme="minorEastAsia"/>
          <w:lang w:eastAsia="fr-FR"/>
        </w:rPr>
        <w:t> </w:t>
      </w:r>
      <w:r w:rsidRPr="00DE124C">
        <w:rPr>
          <w:rFonts w:eastAsiaTheme="minorEastAsia"/>
          <w:lang w:eastAsia="fr-FR"/>
        </w:rPr>
        <w:t xml:space="preserve">35). </w:t>
      </w:r>
      <w:r>
        <w:rPr>
          <w:rFonts w:eastAsiaTheme="minorEastAsia"/>
          <w:lang w:eastAsia="fr-FR"/>
        </w:rPr>
        <w:t xml:space="preserve">That </w:t>
      </w:r>
      <w:r w:rsidRPr="00DE124C">
        <w:rPr>
          <w:rFonts w:eastAsiaTheme="minorEastAsia"/>
          <w:lang w:eastAsia="fr-FR"/>
        </w:rPr>
        <w:t xml:space="preserve">judgment is </w:t>
      </w:r>
      <w:r>
        <w:rPr>
          <w:rFonts w:eastAsiaTheme="minorEastAsia"/>
          <w:lang w:eastAsia="fr-FR"/>
        </w:rPr>
        <w:t xml:space="preserve">admittedly </w:t>
      </w:r>
      <w:r w:rsidRPr="00DE124C">
        <w:rPr>
          <w:rFonts w:eastAsiaTheme="minorEastAsia"/>
          <w:lang w:eastAsia="fr-FR"/>
        </w:rPr>
        <w:t xml:space="preserve">quite old, </w:t>
      </w:r>
      <w:r>
        <w:rPr>
          <w:rFonts w:eastAsiaTheme="minorEastAsia"/>
          <w:lang w:eastAsia="fr-FR"/>
        </w:rPr>
        <w:t xml:space="preserve">but </w:t>
      </w:r>
      <w:r w:rsidRPr="00DE124C">
        <w:rPr>
          <w:rFonts w:eastAsiaTheme="minorEastAsia"/>
          <w:lang w:eastAsia="fr-FR"/>
        </w:rPr>
        <w:t xml:space="preserve">the appellant has not shown that the Court has explicitly or implicitly departed from </w:t>
      </w:r>
      <w:r>
        <w:rPr>
          <w:rFonts w:eastAsiaTheme="minorEastAsia"/>
          <w:lang w:eastAsia="fr-FR"/>
        </w:rPr>
        <w:t xml:space="preserve">this case-law in </w:t>
      </w:r>
      <w:r w:rsidRPr="00DE124C">
        <w:rPr>
          <w:rFonts w:eastAsiaTheme="minorEastAsia"/>
          <w:lang w:eastAsia="fr-FR"/>
        </w:rPr>
        <w:t>recent</w:t>
      </w:r>
      <w:r>
        <w:rPr>
          <w:rFonts w:eastAsiaTheme="minorEastAsia"/>
          <w:lang w:eastAsia="fr-FR"/>
        </w:rPr>
        <w:t xml:space="preserve"> years</w:t>
      </w:r>
      <w:r w:rsidRPr="00DE124C">
        <w:rPr>
          <w:rFonts w:eastAsiaTheme="minorEastAsia"/>
          <w:lang w:eastAsia="fr-FR"/>
        </w:rPr>
        <w:t>.</w:t>
      </w:r>
    </w:p>
    <w:p w:rsidRPr="008211AE" w:rsidR="00972D4A" w:rsidP="00972D4A" w:rsidRDefault="00972D4A" w14:paraId="1544BCED" w14:textId="5EAC175B">
      <w:pPr>
        <w:pStyle w:val="JuQuot"/>
      </w:pPr>
      <w:r w:rsidRPr="008211AE">
        <w:t>On the contrary, in a later judgment concerning persons with reduced mobility who could not enter buildings open to the public (</w:t>
      </w:r>
      <w:proofErr w:type="spellStart"/>
      <w:r w:rsidRPr="001B68BB">
        <w:rPr>
          <w:i/>
          <w:iCs/>
        </w:rPr>
        <w:t>Zehnalová</w:t>
      </w:r>
      <w:proofErr w:type="spellEnd"/>
      <w:r w:rsidRPr="001B68BB">
        <w:rPr>
          <w:i/>
          <w:iCs/>
        </w:rPr>
        <w:t xml:space="preserve"> and </w:t>
      </w:r>
      <w:proofErr w:type="spellStart"/>
      <w:r w:rsidRPr="001B68BB">
        <w:rPr>
          <w:i/>
          <w:iCs/>
        </w:rPr>
        <w:t>Zehnal</w:t>
      </w:r>
      <w:proofErr w:type="spellEnd"/>
      <w:r w:rsidRPr="001B68BB">
        <w:rPr>
          <w:i/>
          <w:iCs/>
        </w:rPr>
        <w:t xml:space="preserve"> v.</w:t>
      </w:r>
      <w:r w:rsidR="001E331B">
        <w:rPr>
          <w:i/>
          <w:iCs/>
        </w:rPr>
        <w:t> </w:t>
      </w:r>
      <w:r w:rsidRPr="001B68BB">
        <w:rPr>
          <w:i/>
          <w:iCs/>
        </w:rPr>
        <w:t>the Czech Republic</w:t>
      </w:r>
      <w:r w:rsidRPr="001B68BB">
        <w:t xml:space="preserve"> (dec.), no. 38621/97, ECHR 2002</w:t>
      </w:r>
      <w:r w:rsidRPr="001B68BB">
        <w:noBreakHyphen/>
        <w:t>V</w:t>
      </w:r>
      <w:r w:rsidRPr="008211AE">
        <w:t>), the Court held that the</w:t>
      </w:r>
      <w:r>
        <w:t xml:space="preserve"> sphere of State intervention and the evolutive concept of private life do not always coincide with the more limited scope of the State’s positive obligations</w:t>
      </w:r>
      <w:r w:rsidRPr="008211AE">
        <w:t xml:space="preserve">. It </w:t>
      </w:r>
      <w:r>
        <w:t xml:space="preserve">considered that </w:t>
      </w:r>
      <w:r w:rsidRPr="008211AE">
        <w:t>Art</w:t>
      </w:r>
      <w:r>
        <w:t xml:space="preserve">icle </w:t>
      </w:r>
      <w:r w:rsidRPr="008211AE">
        <w:t xml:space="preserve">8 </w:t>
      </w:r>
      <w:r>
        <w:t xml:space="preserve">[of the Convention] </w:t>
      </w:r>
      <w:r w:rsidRPr="008211AE">
        <w:t>c</w:t>
      </w:r>
      <w:r>
        <w:t>ould n</w:t>
      </w:r>
      <w:r w:rsidRPr="008211AE">
        <w:t xml:space="preserve">ot </w:t>
      </w:r>
      <w:r>
        <w:t>be taken to be generally applicable each time the everyday life of persons with disabilities is disrupted; it applies only in exceptional cases where their lack of access to public buildings and buildings open to the public affects their life in such a way as to interfere with their right to personal development and their right to establish and develop relationships with other human beings and the outside world</w:t>
      </w:r>
      <w:r w:rsidRPr="008211AE">
        <w:t xml:space="preserve">; it </w:t>
      </w:r>
      <w:r>
        <w:t xml:space="preserve">further observed, without attaching decisive importance to the matter, that the national authorities had not remained inactive </w:t>
      </w:r>
      <w:r w:rsidRPr="008211AE">
        <w:t>(p.</w:t>
      </w:r>
      <w:r w:rsidR="001E331B">
        <w:t> </w:t>
      </w:r>
      <w:r w:rsidRPr="008211AE">
        <w:t>332).</w:t>
      </w:r>
    </w:p>
    <w:p w:rsidRPr="005D18D1" w:rsidR="00972D4A" w:rsidP="00972D4A" w:rsidRDefault="00972D4A" w14:paraId="0910805B" w14:textId="180BBDD1">
      <w:pPr>
        <w:pStyle w:val="JuQuot"/>
        <w:rPr>
          <w:sz w:val="24"/>
        </w:rPr>
      </w:pPr>
      <w:r w:rsidRPr="001266D0">
        <w:rPr>
          <w:rFonts w:eastAsiaTheme="minorEastAsia"/>
          <w:szCs w:val="22"/>
          <w:lang w:eastAsia="fr-FR"/>
        </w:rPr>
        <w:t xml:space="preserve">The appellant also refers to the </w:t>
      </w:r>
      <w:proofErr w:type="spellStart"/>
      <w:r w:rsidRPr="003F79A6">
        <w:rPr>
          <w:i/>
        </w:rPr>
        <w:t>Glor</w:t>
      </w:r>
      <w:proofErr w:type="spellEnd"/>
      <w:r w:rsidRPr="003F79A6">
        <w:rPr>
          <w:i/>
        </w:rPr>
        <w:t xml:space="preserve"> v.</w:t>
      </w:r>
      <w:r w:rsidR="001E331B">
        <w:rPr>
          <w:i/>
        </w:rPr>
        <w:t> </w:t>
      </w:r>
      <w:r w:rsidRPr="003F79A6">
        <w:rPr>
          <w:i/>
        </w:rPr>
        <w:t>Switzerland</w:t>
      </w:r>
      <w:r>
        <w:rPr>
          <w:i/>
        </w:rPr>
        <w:t xml:space="preserve"> </w:t>
      </w:r>
      <w:r w:rsidRPr="001266D0">
        <w:rPr>
          <w:rFonts w:eastAsiaTheme="minorEastAsia"/>
          <w:szCs w:val="22"/>
          <w:lang w:eastAsia="fr-FR"/>
        </w:rPr>
        <w:t>judgment of 30</w:t>
      </w:r>
      <w:r w:rsidR="001E331B">
        <w:rPr>
          <w:rFonts w:eastAsiaTheme="minorEastAsia"/>
          <w:szCs w:val="22"/>
          <w:lang w:eastAsia="fr-FR"/>
        </w:rPr>
        <w:t> </w:t>
      </w:r>
      <w:r w:rsidRPr="001266D0">
        <w:rPr>
          <w:rFonts w:eastAsiaTheme="minorEastAsia"/>
          <w:szCs w:val="22"/>
          <w:lang w:eastAsia="fr-FR"/>
        </w:rPr>
        <w:t xml:space="preserve">April 2009 (in </w:t>
      </w:r>
      <w:r w:rsidRPr="007263DE">
        <w:rPr>
          <w:rFonts w:eastAsiaTheme="minorEastAsia"/>
          <w:szCs w:val="22"/>
          <w:lang w:eastAsia="fr-FR"/>
        </w:rPr>
        <w:t>ASA</w:t>
      </w:r>
      <w:r w:rsidRPr="001266D0">
        <w:rPr>
          <w:rFonts w:eastAsiaTheme="minorEastAsia"/>
          <w:szCs w:val="22"/>
          <w:lang w:eastAsia="fr-FR"/>
        </w:rPr>
        <w:t xml:space="preserve"> </w:t>
      </w:r>
      <w:r>
        <w:rPr>
          <w:rFonts w:eastAsiaTheme="minorEastAsia"/>
          <w:szCs w:val="22"/>
          <w:lang w:eastAsia="fr-FR"/>
        </w:rPr>
        <w:t xml:space="preserve">(Swiss Tax Archives Review) </w:t>
      </w:r>
      <w:r w:rsidRPr="001266D0">
        <w:rPr>
          <w:rFonts w:eastAsiaTheme="minorEastAsia"/>
          <w:szCs w:val="22"/>
          <w:lang w:eastAsia="fr-FR"/>
        </w:rPr>
        <w:t>80, p.</w:t>
      </w:r>
      <w:r w:rsidR="001E331B">
        <w:rPr>
          <w:rFonts w:eastAsiaTheme="minorEastAsia"/>
          <w:szCs w:val="22"/>
          <w:lang w:eastAsia="fr-FR"/>
        </w:rPr>
        <w:t> </w:t>
      </w:r>
      <w:r w:rsidRPr="001266D0">
        <w:rPr>
          <w:rFonts w:eastAsiaTheme="minorEastAsia"/>
          <w:szCs w:val="22"/>
          <w:lang w:eastAsia="fr-FR"/>
        </w:rPr>
        <w:t xml:space="preserve">693), in which the Court </w:t>
      </w:r>
      <w:r>
        <w:rPr>
          <w:rFonts w:eastAsiaTheme="minorEastAsia"/>
          <w:szCs w:val="22"/>
          <w:lang w:eastAsia="fr-FR"/>
        </w:rPr>
        <w:t xml:space="preserve">held </w:t>
      </w:r>
      <w:r w:rsidRPr="001266D0">
        <w:rPr>
          <w:rFonts w:eastAsiaTheme="minorEastAsia"/>
          <w:szCs w:val="22"/>
          <w:lang w:eastAsia="fr-FR"/>
        </w:rPr>
        <w:t xml:space="preserve">that a person suffering from diabetes </w:t>
      </w:r>
      <w:r>
        <w:rPr>
          <w:rFonts w:eastAsiaTheme="minorEastAsia"/>
          <w:szCs w:val="22"/>
          <w:lang w:eastAsia="fr-FR"/>
        </w:rPr>
        <w:t xml:space="preserve">had been </w:t>
      </w:r>
      <w:r w:rsidRPr="001266D0">
        <w:rPr>
          <w:rFonts w:eastAsiaTheme="minorEastAsia"/>
          <w:szCs w:val="22"/>
          <w:lang w:eastAsia="fr-FR"/>
        </w:rPr>
        <w:t>treated in a discriminatory manner</w:t>
      </w:r>
      <w:r>
        <w:rPr>
          <w:rFonts w:eastAsiaTheme="minorEastAsia"/>
          <w:szCs w:val="22"/>
          <w:lang w:eastAsia="fr-FR"/>
        </w:rPr>
        <w:t>,</w:t>
      </w:r>
      <w:r w:rsidRPr="001266D0">
        <w:rPr>
          <w:rFonts w:eastAsiaTheme="minorEastAsia"/>
          <w:szCs w:val="22"/>
          <w:lang w:eastAsia="fr-FR"/>
        </w:rPr>
        <w:t xml:space="preserve"> in </w:t>
      </w:r>
      <w:r>
        <w:rPr>
          <w:rFonts w:eastAsiaTheme="minorEastAsia"/>
          <w:szCs w:val="22"/>
          <w:lang w:eastAsia="fr-FR"/>
        </w:rPr>
        <w:t xml:space="preserve">breach </w:t>
      </w:r>
      <w:r w:rsidRPr="001266D0">
        <w:rPr>
          <w:rFonts w:eastAsiaTheme="minorEastAsia"/>
          <w:szCs w:val="22"/>
          <w:lang w:eastAsia="fr-FR"/>
        </w:rPr>
        <w:t xml:space="preserve">of Article 14 </w:t>
      </w:r>
      <w:r>
        <w:rPr>
          <w:rFonts w:eastAsiaTheme="minorEastAsia"/>
          <w:szCs w:val="22"/>
          <w:lang w:eastAsia="fr-FR"/>
        </w:rPr>
        <w:t xml:space="preserve">taken together with </w:t>
      </w:r>
      <w:r w:rsidRPr="001266D0">
        <w:rPr>
          <w:rFonts w:eastAsiaTheme="minorEastAsia"/>
          <w:szCs w:val="22"/>
          <w:lang w:eastAsia="fr-FR"/>
        </w:rPr>
        <w:t xml:space="preserve">Article 8 </w:t>
      </w:r>
      <w:r>
        <w:rPr>
          <w:rFonts w:eastAsiaTheme="minorEastAsia"/>
          <w:szCs w:val="22"/>
          <w:lang w:eastAsia="fr-FR"/>
        </w:rPr>
        <w:t>[of the Convention]</w:t>
      </w:r>
      <w:r w:rsidRPr="001266D0">
        <w:rPr>
          <w:rFonts w:eastAsiaTheme="minorEastAsia"/>
          <w:szCs w:val="22"/>
          <w:lang w:eastAsia="fr-FR"/>
        </w:rPr>
        <w:t>. As th</w:t>
      </w:r>
      <w:r>
        <w:rPr>
          <w:rFonts w:eastAsiaTheme="minorEastAsia"/>
          <w:szCs w:val="22"/>
          <w:lang w:eastAsia="fr-FR"/>
        </w:rPr>
        <w:t xml:space="preserve">at </w:t>
      </w:r>
      <w:r w:rsidRPr="001266D0">
        <w:rPr>
          <w:rFonts w:eastAsiaTheme="minorEastAsia"/>
          <w:szCs w:val="22"/>
          <w:lang w:eastAsia="fr-FR"/>
        </w:rPr>
        <w:t>case concern</w:t>
      </w:r>
      <w:r>
        <w:rPr>
          <w:rFonts w:eastAsiaTheme="minorEastAsia"/>
          <w:szCs w:val="22"/>
          <w:lang w:eastAsia="fr-FR"/>
        </w:rPr>
        <w:t xml:space="preserve">ed </w:t>
      </w:r>
      <w:r w:rsidRPr="001266D0">
        <w:rPr>
          <w:rFonts w:eastAsiaTheme="minorEastAsia"/>
          <w:szCs w:val="22"/>
          <w:lang w:eastAsia="fr-FR"/>
        </w:rPr>
        <w:t xml:space="preserve">imposition of the military service exemption tax, </w:t>
      </w:r>
      <w:r w:rsidR="004155F3">
        <w:rPr>
          <w:rFonts w:eastAsiaTheme="minorEastAsia"/>
          <w:szCs w:val="22"/>
          <w:lang w:eastAsia="fr-FR"/>
        </w:rPr>
        <w:t>that is,</w:t>
      </w:r>
      <w:r w:rsidRPr="001266D0">
        <w:rPr>
          <w:rFonts w:eastAsiaTheme="minorEastAsia"/>
          <w:szCs w:val="22"/>
          <w:lang w:eastAsia="fr-FR"/>
        </w:rPr>
        <w:t xml:space="preserve"> a </w:t>
      </w:r>
      <w:r>
        <w:rPr>
          <w:rFonts w:eastAsiaTheme="minorEastAsia"/>
          <w:szCs w:val="22"/>
          <w:lang w:eastAsia="fr-FR"/>
        </w:rPr>
        <w:t>S</w:t>
      </w:r>
      <w:r w:rsidRPr="001266D0">
        <w:rPr>
          <w:rFonts w:eastAsiaTheme="minorEastAsia"/>
          <w:szCs w:val="22"/>
          <w:lang w:eastAsia="fr-FR"/>
        </w:rPr>
        <w:t xml:space="preserve">tate tax, the above-mentioned judgment is </w:t>
      </w:r>
      <w:r w:rsidR="004155F3">
        <w:rPr>
          <w:rFonts w:eastAsiaTheme="minorEastAsia"/>
          <w:szCs w:val="22"/>
          <w:lang w:eastAsia="fr-FR"/>
        </w:rPr>
        <w:t xml:space="preserve">at once </w:t>
      </w:r>
      <w:r w:rsidRPr="001266D0">
        <w:rPr>
          <w:rFonts w:eastAsiaTheme="minorEastAsia"/>
          <w:szCs w:val="22"/>
          <w:lang w:eastAsia="fr-FR"/>
        </w:rPr>
        <w:t xml:space="preserve">irrelevant when, as in this case, the horizontal effect of fundamental rights between </w:t>
      </w:r>
      <w:r>
        <w:rPr>
          <w:rFonts w:eastAsiaTheme="minorEastAsia"/>
          <w:szCs w:val="22"/>
          <w:lang w:eastAsia="fr-FR"/>
        </w:rPr>
        <w:t>private persons are being assessed</w:t>
      </w:r>
      <w:r w:rsidRPr="001266D0">
        <w:rPr>
          <w:rFonts w:eastAsiaTheme="minorEastAsia"/>
          <w:szCs w:val="22"/>
          <w:lang w:eastAsia="fr-FR"/>
        </w:rPr>
        <w:t>.</w:t>
      </w:r>
    </w:p>
    <w:p w:rsidRPr="00434FC6" w:rsidR="00972D4A" w:rsidP="00972D4A" w:rsidRDefault="00972D4A" w14:paraId="5918D5A2" w14:textId="77777777">
      <w:pPr>
        <w:pStyle w:val="JuQuot"/>
        <w:rPr>
          <w:rFonts w:eastAsiaTheme="minorEastAsia"/>
          <w:szCs w:val="22"/>
          <w:lang w:eastAsia="fr-FR"/>
        </w:rPr>
      </w:pPr>
      <w:r w:rsidRPr="0097577F">
        <w:rPr>
          <w:rFonts w:eastAsiaTheme="minorEastAsia"/>
          <w:szCs w:val="22"/>
          <w:lang w:eastAsia="fr-FR"/>
        </w:rPr>
        <w:t xml:space="preserve">In these circumstances, it does not appear that the </w:t>
      </w:r>
      <w:r>
        <w:rPr>
          <w:rFonts w:eastAsiaTheme="minorEastAsia"/>
          <w:szCs w:val="22"/>
          <w:lang w:eastAsia="fr-FR"/>
        </w:rPr>
        <w:t xml:space="preserve">[Court] </w:t>
      </w:r>
      <w:r w:rsidRPr="0097577F">
        <w:rPr>
          <w:rFonts w:eastAsiaTheme="minorEastAsia"/>
          <w:szCs w:val="22"/>
          <w:lang w:eastAsia="fr-FR"/>
        </w:rPr>
        <w:t xml:space="preserve">obliges Switzerland to adopt, in its legislation aimed at eliminating </w:t>
      </w:r>
      <w:r>
        <w:rPr>
          <w:rFonts w:eastAsiaTheme="minorEastAsia"/>
          <w:szCs w:val="22"/>
          <w:lang w:eastAsia="fr-FR"/>
        </w:rPr>
        <w:t xml:space="preserve">the </w:t>
      </w:r>
      <w:r w:rsidRPr="0097577F">
        <w:rPr>
          <w:rFonts w:eastAsiaTheme="minorEastAsia"/>
          <w:szCs w:val="22"/>
          <w:lang w:eastAsia="fr-FR"/>
        </w:rPr>
        <w:t xml:space="preserve">inequalities </w:t>
      </w:r>
      <w:r>
        <w:rPr>
          <w:rFonts w:eastAsiaTheme="minorEastAsia"/>
          <w:szCs w:val="22"/>
          <w:lang w:eastAsia="fr-FR"/>
        </w:rPr>
        <w:t xml:space="preserve">which </w:t>
      </w:r>
      <w:r w:rsidRPr="0097577F">
        <w:rPr>
          <w:rFonts w:eastAsiaTheme="minorEastAsia"/>
          <w:szCs w:val="22"/>
          <w:lang w:eastAsia="fr-FR"/>
        </w:rPr>
        <w:t>affect</w:t>
      </w:r>
      <w:r>
        <w:rPr>
          <w:rFonts w:eastAsiaTheme="minorEastAsia"/>
          <w:szCs w:val="22"/>
          <w:lang w:eastAsia="fr-FR"/>
        </w:rPr>
        <w:t xml:space="preserve"> people with </w:t>
      </w:r>
      <w:r w:rsidRPr="0097577F">
        <w:rPr>
          <w:rFonts w:eastAsiaTheme="minorEastAsia"/>
          <w:szCs w:val="22"/>
          <w:lang w:eastAsia="fr-FR"/>
        </w:rPr>
        <w:t>disab</w:t>
      </w:r>
      <w:r>
        <w:rPr>
          <w:rFonts w:eastAsiaTheme="minorEastAsia"/>
          <w:szCs w:val="22"/>
          <w:lang w:eastAsia="fr-FR"/>
        </w:rPr>
        <w:t xml:space="preserve">ilities, </w:t>
      </w:r>
      <w:r w:rsidRPr="0097577F">
        <w:rPr>
          <w:rFonts w:eastAsiaTheme="minorEastAsia"/>
          <w:szCs w:val="22"/>
          <w:lang w:eastAsia="fr-FR"/>
        </w:rPr>
        <w:t xml:space="preserve">a broader concept of discrimination than that described above, or that it obliges the </w:t>
      </w:r>
      <w:r w:rsidRPr="00434FC6">
        <w:rPr>
          <w:rFonts w:eastAsiaTheme="minorEastAsia"/>
          <w:szCs w:val="22"/>
          <w:lang w:eastAsia="fr-FR"/>
        </w:rPr>
        <w:t xml:space="preserve">courts </w:t>
      </w:r>
      <w:r w:rsidRPr="0097577F">
        <w:rPr>
          <w:rFonts w:eastAsiaTheme="minorEastAsia"/>
          <w:szCs w:val="22"/>
          <w:lang w:eastAsia="fr-FR"/>
        </w:rPr>
        <w:t xml:space="preserve">to interpret </w:t>
      </w:r>
      <w:r w:rsidRPr="00434FC6">
        <w:rPr>
          <w:rFonts w:eastAsiaTheme="minorEastAsia"/>
          <w:szCs w:val="22"/>
          <w:lang w:eastAsia="fr-FR"/>
        </w:rPr>
        <w:t xml:space="preserve">in a broader manner </w:t>
      </w:r>
      <w:r w:rsidRPr="0097577F">
        <w:rPr>
          <w:rFonts w:eastAsiaTheme="minorEastAsia"/>
          <w:szCs w:val="22"/>
          <w:lang w:eastAsia="fr-FR"/>
        </w:rPr>
        <w:t xml:space="preserve">discrimination </w:t>
      </w:r>
      <w:r w:rsidRPr="00434FC6">
        <w:rPr>
          <w:rFonts w:eastAsiaTheme="minorEastAsia"/>
          <w:szCs w:val="22"/>
          <w:lang w:eastAsia="fr-FR"/>
        </w:rPr>
        <w:t xml:space="preserve">for the purposes of section </w:t>
      </w:r>
      <w:r w:rsidRPr="0097577F">
        <w:rPr>
          <w:rFonts w:eastAsiaTheme="minorEastAsia"/>
          <w:szCs w:val="22"/>
          <w:lang w:eastAsia="fr-FR"/>
        </w:rPr>
        <w:t xml:space="preserve">6 </w:t>
      </w:r>
      <w:r>
        <w:rPr>
          <w:rFonts w:eastAsiaTheme="minorEastAsia"/>
          <w:szCs w:val="22"/>
          <w:lang w:eastAsia="fr-FR"/>
        </w:rPr>
        <w:t>of the Disability Act</w:t>
      </w:r>
      <w:r w:rsidRPr="00434FC6">
        <w:rPr>
          <w:rFonts w:eastAsiaTheme="minorEastAsia"/>
          <w:szCs w:val="22"/>
          <w:lang w:eastAsia="fr-FR"/>
        </w:rPr>
        <w:t>.</w:t>
      </w:r>
      <w:r>
        <w:rPr>
          <w:rFonts w:eastAsiaTheme="minorEastAsia"/>
          <w:szCs w:val="22"/>
          <w:lang w:eastAsia="fr-FR"/>
        </w:rPr>
        <w:t>”</w:t>
      </w:r>
    </w:p>
    <w:p w:rsidRPr="007D56B0" w:rsidR="00972D4A" w:rsidP="00972D4A" w:rsidRDefault="00972D4A" w14:paraId="28C898FF" w14:textId="77777777">
      <w:pPr>
        <w:pStyle w:val="JuHA"/>
        <w:ind w:left="1224" w:hanging="504"/>
      </w:pPr>
      <w:r w:rsidRPr="007D56B0">
        <w:t>Relevant domestic law and practice</w:t>
      </w:r>
    </w:p>
    <w:p w:rsidRPr="00472A63" w:rsidR="00972D4A" w:rsidP="00972D4A" w:rsidRDefault="00972D4A" w14:paraId="32A22CC1" w14:textId="77777777">
      <w:pPr>
        <w:pStyle w:val="JuH1"/>
      </w:pPr>
      <w:r w:rsidRPr="00472A63">
        <w:t>Domestic law</w:t>
      </w:r>
    </w:p>
    <w:p w:rsidR="00972D4A" w:rsidP="00972D4A" w:rsidRDefault="003406A9" w14:paraId="129BB1D9" w14:textId="77777777">
      <w:pPr>
        <w:pStyle w:val="JuPara"/>
        <w:rPr>
          <w:lang w:eastAsia="fr-FR"/>
        </w:rPr>
      </w:pPr>
      <w:r>
        <w:rPr>
          <w:noProof/>
        </w:rPr>
        <w:fldChar w:fldCharType="begin"/>
      </w:r>
      <w:r>
        <w:rPr>
          <w:noProof/>
        </w:rPr>
        <w:instrText xml:space="preserve"> SEQ level0 \*arabic \* MERGEFORMAT </w:instrText>
      </w:r>
      <w:r>
        <w:rPr>
          <w:noProof/>
        </w:rPr>
        <w:fldChar w:fldCharType="separate"/>
      </w:r>
      <w:r w:rsidR="00972D4A">
        <w:rPr>
          <w:noProof/>
        </w:rPr>
        <w:t>12</w:t>
      </w:r>
      <w:r>
        <w:rPr>
          <w:noProof/>
        </w:rPr>
        <w:fldChar w:fldCharType="end"/>
      </w:r>
      <w:r w:rsidR="00972D4A">
        <w:t>.  </w:t>
      </w:r>
      <w:r w:rsidRPr="00472A63" w:rsidR="00972D4A">
        <w:t xml:space="preserve">The relevant provisions of the Federal Law of </w:t>
      </w:r>
      <w:r w:rsidRPr="00472A63" w:rsidR="00972D4A">
        <w:rPr>
          <w:lang w:eastAsia="fr-FR"/>
        </w:rPr>
        <w:t>13 December 2002 on the elimination of inequalities affecting disabled persons (</w:t>
      </w:r>
      <w:proofErr w:type="spellStart"/>
      <w:r w:rsidRPr="00472A63" w:rsidR="00972D4A">
        <w:rPr>
          <w:i/>
          <w:iCs/>
          <w:lang w:eastAsia="fr-FR"/>
        </w:rPr>
        <w:t>Recueil</w:t>
      </w:r>
      <w:proofErr w:type="spellEnd"/>
      <w:r w:rsidRPr="00472A63" w:rsidR="00972D4A">
        <w:rPr>
          <w:i/>
          <w:iCs/>
          <w:lang w:eastAsia="fr-FR"/>
        </w:rPr>
        <w:t xml:space="preserve"> </w:t>
      </w:r>
      <w:proofErr w:type="spellStart"/>
      <w:r w:rsidRPr="00472A63" w:rsidR="00972D4A">
        <w:rPr>
          <w:i/>
          <w:iCs/>
          <w:lang w:eastAsia="fr-FR"/>
        </w:rPr>
        <w:t>systématique</w:t>
      </w:r>
      <w:proofErr w:type="spellEnd"/>
      <w:r w:rsidRPr="00472A63" w:rsidR="00972D4A">
        <w:rPr>
          <w:lang w:eastAsia="fr-FR"/>
        </w:rPr>
        <w:t xml:space="preserve"> - Compendium of Federal Law, RS 151.3; hereafter, “the Disability Act”) are worded as follows:</w:t>
      </w:r>
    </w:p>
    <w:p w:rsidRPr="00472A63" w:rsidR="00972D4A" w:rsidP="00972D4A" w:rsidRDefault="00972D4A" w14:paraId="7A027B1D" w14:textId="369B7C8D">
      <w:pPr>
        <w:pStyle w:val="JuHArticle"/>
        <w:rPr>
          <w:rFonts w:ascii="TimesNewRoman" w:hAnsi="TimesNewRoman" w:cs="TimesNewRoman"/>
          <w:lang w:eastAsia="fr-FR"/>
        </w:rPr>
      </w:pPr>
      <w:bookmarkStart w:name="_Hlk85556739" w:id="0"/>
      <w:r w:rsidRPr="00472A63">
        <w:rPr>
          <w:lang w:eastAsia="fr-FR"/>
        </w:rPr>
        <w:t>Section</w:t>
      </w:r>
      <w:bookmarkEnd w:id="0"/>
      <w:r w:rsidRPr="00472A63">
        <w:rPr>
          <w:lang w:eastAsia="fr-FR"/>
        </w:rPr>
        <w:t xml:space="preserve"> 1: Purpose  </w:t>
      </w:r>
    </w:p>
    <w:p w:rsidRPr="00472A63" w:rsidR="00972D4A" w:rsidP="00972D4A" w:rsidRDefault="00381F13" w14:paraId="4C3A0AF5" w14:textId="09035380">
      <w:pPr>
        <w:pStyle w:val="JuQuot"/>
        <w:rPr>
          <w:lang w:eastAsia="fr-FR"/>
        </w:rPr>
      </w:pPr>
      <w:r>
        <w:rPr>
          <w:lang w:eastAsia="fr-FR"/>
        </w:rPr>
        <w:t>“</w:t>
      </w:r>
      <w:r w:rsidRPr="00472A63" w:rsidR="00972D4A">
        <w:rPr>
          <w:lang w:eastAsia="fr-FR"/>
        </w:rPr>
        <w:t>The purpose of this Act shall be to prevent, reduce or eliminate the inequalities affecting people with disabilities.</w:t>
      </w:r>
    </w:p>
    <w:p w:rsidRPr="00472A63" w:rsidR="00972D4A" w:rsidP="00972D4A" w:rsidRDefault="00972D4A" w14:paraId="69C349EB" w14:textId="3628F396">
      <w:pPr>
        <w:pStyle w:val="JuQuot"/>
        <w:rPr>
          <w:lang w:eastAsia="fr-FR"/>
        </w:rPr>
      </w:pPr>
      <w:r w:rsidRPr="00472A63">
        <w:rPr>
          <w:lang w:eastAsia="fr-FR"/>
        </w:rPr>
        <w:t>It shall create conditions to facilitate the participation of persons with disabilities in the life of society, in particular by helping them to be autonomous in establishing social contacts, in completing training and in exercising a professional activity.</w:t>
      </w:r>
      <w:r w:rsidR="00695265">
        <w:rPr>
          <w:lang w:eastAsia="fr-FR"/>
        </w:rPr>
        <w:t>”</w:t>
      </w:r>
    </w:p>
    <w:p w:rsidRPr="00472A63" w:rsidR="00972D4A" w:rsidP="00972D4A" w:rsidRDefault="00972D4A" w14:paraId="03F7B250" w14:textId="77777777">
      <w:pPr>
        <w:pStyle w:val="JuHArticle"/>
        <w:rPr>
          <w:lang w:eastAsia="fr-FR"/>
        </w:rPr>
      </w:pPr>
      <w:r w:rsidRPr="00472A63">
        <w:t>Section</w:t>
      </w:r>
      <w:r w:rsidRPr="00472A63">
        <w:rPr>
          <w:lang w:eastAsia="fr-FR"/>
        </w:rPr>
        <w:t xml:space="preserve"> 2: Definitions</w:t>
      </w:r>
    </w:p>
    <w:p w:rsidRPr="00472A63" w:rsidR="00972D4A" w:rsidP="00972D4A" w:rsidRDefault="00695265" w14:paraId="508056CB" w14:textId="72694875">
      <w:pPr>
        <w:pStyle w:val="JuQuot"/>
        <w:rPr>
          <w:lang w:eastAsia="fr-FR"/>
        </w:rPr>
      </w:pPr>
      <w:r>
        <w:rPr>
          <w:lang w:eastAsia="fr-FR"/>
        </w:rPr>
        <w:t>“</w:t>
      </w:r>
      <w:r w:rsidRPr="00472A63" w:rsidR="00972D4A">
        <w:rPr>
          <w:lang w:eastAsia="fr-FR"/>
        </w:rPr>
        <w:t xml:space="preserve">For the purposes of the present Act a person with disabilities shall be considered to be any person whose physical, mental or psychological impairment, presumed to be </w:t>
      </w:r>
      <w:r w:rsidR="004155F3">
        <w:rPr>
          <w:lang w:eastAsia="fr-FR"/>
        </w:rPr>
        <w:t>long-term</w:t>
      </w:r>
      <w:r w:rsidRPr="00472A63" w:rsidR="00972D4A">
        <w:rPr>
          <w:lang w:eastAsia="fr-FR"/>
        </w:rPr>
        <w:t xml:space="preserve">, prevents him or her from carrying out everyday activities, maintaining social contacts, moving about, following a training course, improving his or her skills or exercising a professional activity, or impedes him or her in carrying out these activities. </w:t>
      </w:r>
    </w:p>
    <w:p w:rsidRPr="00472A63" w:rsidR="00972D4A" w:rsidP="00972D4A" w:rsidRDefault="00972D4A" w14:paraId="668E7845" w14:textId="77777777">
      <w:pPr>
        <w:pStyle w:val="JuQuot"/>
        <w:rPr>
          <w:lang w:eastAsia="fr-FR"/>
        </w:rPr>
      </w:pPr>
      <w:r w:rsidRPr="00472A63">
        <w:rPr>
          <w:lang w:eastAsia="fr-FR"/>
        </w:rPr>
        <w:t xml:space="preserve">Inequality shall be considered to exist when persons with disabilities are subject to a </w:t>
      </w:r>
      <w:r w:rsidRPr="00472A63">
        <w:rPr>
          <w:i/>
          <w:iCs/>
          <w:lang w:eastAsia="fr-FR"/>
        </w:rPr>
        <w:t>de jure</w:t>
      </w:r>
      <w:r w:rsidRPr="00472A63">
        <w:rPr>
          <w:lang w:eastAsia="fr-FR"/>
        </w:rPr>
        <w:t xml:space="preserve"> or </w:t>
      </w:r>
      <w:r w:rsidRPr="00472A63">
        <w:rPr>
          <w:i/>
          <w:iCs/>
          <w:lang w:eastAsia="fr-FR"/>
        </w:rPr>
        <w:t>de facto</w:t>
      </w:r>
      <w:r w:rsidRPr="00472A63">
        <w:rPr>
          <w:lang w:eastAsia="fr-FR"/>
        </w:rPr>
        <w:t xml:space="preserve"> difference in treatment compared to non-disabled persons, placing them at a disadvantage without objective justification, or when a difference in treatment that is necessary to restore </w:t>
      </w:r>
      <w:r w:rsidRPr="00472A63">
        <w:rPr>
          <w:i/>
          <w:iCs/>
          <w:lang w:eastAsia="fr-FR"/>
        </w:rPr>
        <w:t>de facto</w:t>
      </w:r>
      <w:r w:rsidRPr="00472A63">
        <w:rPr>
          <w:lang w:eastAsia="fr-FR"/>
        </w:rPr>
        <w:t xml:space="preserve"> equality between those two groups of persons is lacking.</w:t>
      </w:r>
    </w:p>
    <w:p w:rsidRPr="00472A63" w:rsidR="00972D4A" w:rsidP="00972D4A" w:rsidRDefault="00972D4A" w14:paraId="02A8D6B2" w14:textId="77777777">
      <w:pPr>
        <w:pStyle w:val="JuQuot"/>
        <w:rPr>
          <w:lang w:eastAsia="fr-FR"/>
        </w:rPr>
      </w:pPr>
      <w:r w:rsidRPr="00472A63">
        <w:rPr>
          <w:lang w:eastAsia="fr-FR"/>
        </w:rPr>
        <w:t>Inequality in access to a building, facility, residential building or public transport facility or vehicle shall be considered to exist when such access is impossible or difficult for persons with disabilities for architectural reasons or on account of the design of the vehicle.</w:t>
      </w:r>
    </w:p>
    <w:p w:rsidRPr="00472A63" w:rsidR="00972D4A" w:rsidP="00972D4A" w:rsidRDefault="00972D4A" w14:paraId="22412629" w14:textId="77777777">
      <w:pPr>
        <w:pStyle w:val="JuQuot"/>
        <w:rPr>
          <w:lang w:eastAsia="fr-FR"/>
        </w:rPr>
      </w:pPr>
      <w:r w:rsidRPr="00472A63">
        <w:rPr>
          <w:lang w:eastAsia="fr-FR"/>
        </w:rPr>
        <w:t>Inequity in access to a benefit shall be considered to exist when such access is impossible or difficult for persons with disabilities.</w:t>
      </w:r>
    </w:p>
    <w:p w:rsidRPr="00472A63" w:rsidR="00972D4A" w:rsidP="00972D4A" w:rsidRDefault="00972D4A" w14:paraId="3861AEEA" w14:textId="77777777">
      <w:pPr>
        <w:pStyle w:val="JuQuot"/>
        <w:rPr>
          <w:lang w:eastAsia="fr-FR"/>
        </w:rPr>
      </w:pPr>
      <w:r w:rsidRPr="00472A63">
        <w:rPr>
          <w:lang w:eastAsia="fr-FR"/>
        </w:rPr>
        <w:t>Inequity in access to training or continuing education shall be considered to exist, in particular, when:</w:t>
      </w:r>
    </w:p>
    <w:p w:rsidRPr="00472A63" w:rsidR="00972D4A" w:rsidP="00972D4A" w:rsidRDefault="00972D4A" w14:paraId="16802472" w14:textId="77777777">
      <w:pPr>
        <w:pStyle w:val="JuQuot"/>
        <w:rPr>
          <w:lang w:eastAsia="fr-FR"/>
        </w:rPr>
      </w:pPr>
      <w:r w:rsidRPr="00472A63">
        <w:rPr>
          <w:lang w:eastAsia="fr-FR"/>
        </w:rPr>
        <w:t xml:space="preserve">(a) persons with disabilities are not granted the specific additional measures or personal assistance required by </w:t>
      </w:r>
      <w:proofErr w:type="gramStart"/>
      <w:r w:rsidRPr="00472A63">
        <w:rPr>
          <w:lang w:eastAsia="fr-FR"/>
        </w:rPr>
        <w:t>them;</w:t>
      </w:r>
      <w:proofErr w:type="gramEnd"/>
    </w:p>
    <w:p w:rsidRPr="00472A63" w:rsidR="00972D4A" w:rsidP="00972D4A" w:rsidRDefault="00972D4A" w14:paraId="4D02F04C" w14:textId="5A57269E">
      <w:pPr>
        <w:pStyle w:val="JuQuot"/>
        <w:rPr>
          <w:lang w:eastAsia="fr-FR"/>
        </w:rPr>
      </w:pPr>
      <w:r w:rsidRPr="00472A63">
        <w:rPr>
          <w:lang w:eastAsia="fr-FR"/>
        </w:rPr>
        <w:t xml:space="preserve">(b) the duration and organisation of the training courses </w:t>
      </w:r>
      <w:proofErr w:type="gramStart"/>
      <w:r w:rsidRPr="00472A63">
        <w:rPr>
          <w:lang w:eastAsia="fr-FR"/>
        </w:rPr>
        <w:t>offered</w:t>
      </w:r>
      <w:proofErr w:type="gramEnd"/>
      <w:r w:rsidRPr="00472A63">
        <w:rPr>
          <w:lang w:eastAsia="fr-FR"/>
        </w:rPr>
        <w:t xml:space="preserve"> and the examinations required are not adapted to the specific needs of persons with disabilities.</w:t>
      </w:r>
      <w:r w:rsidR="00695265">
        <w:rPr>
          <w:lang w:eastAsia="fr-FR"/>
        </w:rPr>
        <w:t>”</w:t>
      </w:r>
    </w:p>
    <w:p w:rsidRPr="00472A63" w:rsidR="00972D4A" w:rsidP="00972D4A" w:rsidRDefault="00972D4A" w14:paraId="04C96702" w14:textId="77777777">
      <w:pPr>
        <w:pStyle w:val="JuHArticle"/>
        <w:rPr>
          <w:lang w:eastAsia="fr-FR"/>
        </w:rPr>
      </w:pPr>
      <w:r w:rsidRPr="00472A63">
        <w:rPr>
          <w:lang w:eastAsia="fr-FR"/>
        </w:rPr>
        <w:t>Section 5: Measures to be taken by the Confederation and the cantons</w:t>
      </w:r>
    </w:p>
    <w:p w:rsidRPr="00472A63" w:rsidR="00972D4A" w:rsidP="00972D4A" w:rsidRDefault="00695265" w14:paraId="3D817192" w14:textId="0D56406B">
      <w:pPr>
        <w:pStyle w:val="JuQuot"/>
        <w:rPr>
          <w:lang w:eastAsia="fr-FR"/>
        </w:rPr>
      </w:pPr>
      <w:r>
        <w:rPr>
          <w:lang w:eastAsia="fr-FR"/>
        </w:rPr>
        <w:t>“</w:t>
      </w:r>
      <w:r w:rsidRPr="00472A63" w:rsidR="00972D4A">
        <w:rPr>
          <w:lang w:eastAsia="fr-FR"/>
        </w:rPr>
        <w:t>The Confederation and the cantons shall take the measures required to prevent, reduce or eliminate inequalities; they shall take account of the specific needs of women with disabilities.</w:t>
      </w:r>
    </w:p>
    <w:p w:rsidRPr="00472A63" w:rsidR="00972D4A" w:rsidP="00972D4A" w:rsidRDefault="00972D4A" w14:paraId="29EED092" w14:textId="0E7A32E9">
      <w:pPr>
        <w:pStyle w:val="JuQuot"/>
        <w:rPr>
          <w:lang w:eastAsia="fr-FR"/>
        </w:rPr>
      </w:pPr>
      <w:r w:rsidRPr="00472A63">
        <w:rPr>
          <w:lang w:eastAsia="fr-FR"/>
        </w:rPr>
        <w:t>Appropriate measures to counterbalance the inequalities affecting persons with disabilities shall not be considered contrary to Article 8 §</w:t>
      </w:r>
      <w:r w:rsidR="00012FFC">
        <w:rPr>
          <w:lang w:eastAsia="fr-FR"/>
        </w:rPr>
        <w:t> </w:t>
      </w:r>
      <w:r w:rsidRPr="00472A63">
        <w:rPr>
          <w:lang w:eastAsia="fr-FR"/>
        </w:rPr>
        <w:t>1 of the Constitution.</w:t>
      </w:r>
      <w:r w:rsidR="00695265">
        <w:rPr>
          <w:lang w:eastAsia="fr-FR"/>
        </w:rPr>
        <w:t>”</w:t>
      </w:r>
    </w:p>
    <w:p w:rsidR="00972D4A" w:rsidP="00972D4A" w:rsidRDefault="00972D4A" w14:paraId="49C44568" w14:textId="77777777">
      <w:pPr>
        <w:pStyle w:val="JuHArticle"/>
        <w:rPr>
          <w:lang w:eastAsia="fr-FR"/>
        </w:rPr>
      </w:pPr>
      <w:r w:rsidRPr="00472A63">
        <w:rPr>
          <w:lang w:eastAsia="fr-FR"/>
        </w:rPr>
        <w:t>Section 6: Services provided by private</w:t>
      </w:r>
      <w:r>
        <w:rPr>
          <w:lang w:eastAsia="fr-FR"/>
        </w:rPr>
        <w:t xml:space="preserve"> persons</w:t>
      </w:r>
    </w:p>
    <w:p w:rsidRPr="00472A63" w:rsidR="00972D4A" w:rsidP="00972D4A" w:rsidRDefault="00695265" w14:paraId="09A794DB" w14:textId="1671940E">
      <w:pPr>
        <w:pStyle w:val="JuQuot"/>
        <w:rPr>
          <w:lang w:eastAsia="fr-FR"/>
        </w:rPr>
      </w:pPr>
      <w:r>
        <w:rPr>
          <w:lang w:eastAsia="fr-FR"/>
        </w:rPr>
        <w:t>“</w:t>
      </w:r>
      <w:r w:rsidRPr="00472A63" w:rsidR="00972D4A">
        <w:rPr>
          <w:lang w:eastAsia="fr-FR"/>
        </w:rPr>
        <w:t xml:space="preserve">Private </w:t>
      </w:r>
      <w:r w:rsidR="00972D4A">
        <w:rPr>
          <w:lang w:eastAsia="fr-FR"/>
        </w:rPr>
        <w:t xml:space="preserve">persons </w:t>
      </w:r>
      <w:r w:rsidRPr="00472A63" w:rsidR="00972D4A">
        <w:rPr>
          <w:lang w:eastAsia="fr-FR"/>
        </w:rPr>
        <w:t>who provide services to the public shall not treat a person with a disability in a discriminatory manner on account of his or her disability.</w:t>
      </w:r>
      <w:r>
        <w:rPr>
          <w:lang w:eastAsia="fr-FR"/>
        </w:rPr>
        <w:t>”</w:t>
      </w:r>
    </w:p>
    <w:p w:rsidRPr="00472A63" w:rsidR="00972D4A" w:rsidP="00972D4A" w:rsidRDefault="00972D4A" w14:paraId="7D064283" w14:textId="0347BAD4">
      <w:pPr>
        <w:pStyle w:val="JuHArticle"/>
        <w:rPr>
          <w:lang w:eastAsia="fr-FR"/>
        </w:rPr>
      </w:pPr>
      <w:r w:rsidRPr="00472A63">
        <w:rPr>
          <w:lang w:eastAsia="fr-FR"/>
        </w:rPr>
        <w:t xml:space="preserve">Section 7: Subjective rights in relation to </w:t>
      </w:r>
      <w:r w:rsidR="004155F3">
        <w:rPr>
          <w:lang w:eastAsia="fr-FR"/>
        </w:rPr>
        <w:t xml:space="preserve">buildings, </w:t>
      </w:r>
      <w:proofErr w:type="gramStart"/>
      <w:r w:rsidRPr="00472A63">
        <w:rPr>
          <w:lang w:eastAsia="fr-FR"/>
        </w:rPr>
        <w:t>facilities</w:t>
      </w:r>
      <w:proofErr w:type="gramEnd"/>
      <w:r w:rsidRPr="00472A63">
        <w:rPr>
          <w:lang w:eastAsia="fr-FR"/>
        </w:rPr>
        <w:t xml:space="preserve"> or vehicles</w:t>
      </w:r>
    </w:p>
    <w:p w:rsidRPr="00472A63" w:rsidR="00972D4A" w:rsidP="00972D4A" w:rsidRDefault="00695265" w14:paraId="74329B31" w14:textId="738A0AAD">
      <w:pPr>
        <w:pStyle w:val="JuQuot"/>
        <w:rPr>
          <w:lang w:eastAsia="fr-FR"/>
        </w:rPr>
      </w:pPr>
      <w:r>
        <w:rPr>
          <w:lang w:eastAsia="fr-FR"/>
        </w:rPr>
        <w:t>“</w:t>
      </w:r>
      <w:r w:rsidRPr="00472A63" w:rsidR="00972D4A">
        <w:rPr>
          <w:lang w:eastAsia="fr-FR"/>
        </w:rPr>
        <w:t xml:space="preserve">Any person who </w:t>
      </w:r>
      <w:r w:rsidR="00972D4A">
        <w:rPr>
          <w:lang w:eastAsia="fr-FR"/>
        </w:rPr>
        <w:t xml:space="preserve">is subjected to </w:t>
      </w:r>
      <w:r w:rsidRPr="00472A63" w:rsidR="00972D4A">
        <w:rPr>
          <w:lang w:eastAsia="fr-FR"/>
        </w:rPr>
        <w:t>unequal treatment within the meaning of section</w:t>
      </w:r>
      <w:r w:rsidR="004155F3">
        <w:rPr>
          <w:lang w:eastAsia="fr-FR"/>
        </w:rPr>
        <w:t> </w:t>
      </w:r>
      <w:r w:rsidRPr="00472A63" w:rsidR="00972D4A">
        <w:rPr>
          <w:lang w:eastAsia="fr-FR"/>
        </w:rPr>
        <w:t>2</w:t>
      </w:r>
      <w:r w:rsidR="004155F3">
        <w:rPr>
          <w:lang w:eastAsia="fr-FR"/>
        </w:rPr>
        <w:t>(</w:t>
      </w:r>
      <w:r w:rsidRPr="00472A63" w:rsidR="00972D4A">
        <w:rPr>
          <w:lang w:eastAsia="fr-FR"/>
        </w:rPr>
        <w:t>3</w:t>
      </w:r>
      <w:r w:rsidR="004155F3">
        <w:rPr>
          <w:lang w:eastAsia="fr-FR"/>
        </w:rPr>
        <w:t>)</w:t>
      </w:r>
      <w:r w:rsidRPr="00472A63" w:rsidR="00972D4A">
        <w:rPr>
          <w:lang w:eastAsia="fr-FR"/>
        </w:rPr>
        <w:t xml:space="preserve"> may, in the event of the construction or renovation of a building or facility within the meaning of section 3(a), (c) or (d): </w:t>
      </w:r>
    </w:p>
    <w:p w:rsidRPr="00472A63" w:rsidR="00972D4A" w:rsidP="00972D4A" w:rsidRDefault="00972D4A" w14:paraId="54788D87" w14:textId="77777777">
      <w:pPr>
        <w:pStyle w:val="JuQuot"/>
        <w:rPr>
          <w:rFonts w:eastAsiaTheme="minorEastAsia"/>
          <w:szCs w:val="22"/>
          <w:lang w:eastAsia="fr-FR"/>
        </w:rPr>
      </w:pPr>
      <w:r w:rsidRPr="00472A63">
        <w:rPr>
          <w:rFonts w:eastAsiaTheme="minorEastAsia"/>
          <w:szCs w:val="22"/>
          <w:lang w:eastAsia="fr-FR"/>
        </w:rPr>
        <w:t>(a)  </w:t>
      </w:r>
      <w:r>
        <w:rPr>
          <w:rFonts w:eastAsiaTheme="minorEastAsia"/>
          <w:szCs w:val="22"/>
          <w:lang w:eastAsia="fr-FR"/>
        </w:rPr>
        <w:t xml:space="preserve">request </w:t>
      </w:r>
      <w:r w:rsidRPr="00472A63">
        <w:rPr>
          <w:rFonts w:eastAsiaTheme="minorEastAsia"/>
          <w:szCs w:val="22"/>
          <w:lang w:eastAsia="fr-FR"/>
        </w:rPr>
        <w:t xml:space="preserve">the competent authority, within the procedure for granting a building permit, to ensure that inequality is refrained </w:t>
      </w:r>
      <w:proofErr w:type="gramStart"/>
      <w:r w:rsidRPr="00472A63">
        <w:rPr>
          <w:rFonts w:eastAsiaTheme="minorEastAsia"/>
          <w:szCs w:val="22"/>
          <w:lang w:eastAsia="fr-FR"/>
        </w:rPr>
        <w:t>from;</w:t>
      </w:r>
      <w:proofErr w:type="gramEnd"/>
    </w:p>
    <w:p w:rsidRPr="00472A63" w:rsidR="00972D4A" w:rsidP="00972D4A" w:rsidRDefault="00972D4A" w14:paraId="2FDA4F15" w14:textId="77777777">
      <w:pPr>
        <w:pStyle w:val="JuQuot"/>
        <w:rPr>
          <w:rFonts w:eastAsiaTheme="minorEastAsia"/>
          <w:szCs w:val="22"/>
          <w:lang w:eastAsia="fr-FR"/>
        </w:rPr>
      </w:pPr>
      <w:r w:rsidRPr="00472A63">
        <w:rPr>
          <w:rFonts w:eastAsiaTheme="minorEastAsia"/>
          <w:szCs w:val="22"/>
          <w:lang w:eastAsia="fr-FR"/>
        </w:rPr>
        <w:t>(b)  at the close of the building permit procedure, request the civil courts, on an exceptional basis, to ensure elimination of the inequality, if it had been impossible to ascertain the absence of the legally required measures during the procedure to obtain the building permit.</w:t>
      </w:r>
    </w:p>
    <w:p w:rsidRPr="00472A63" w:rsidR="00972D4A" w:rsidP="00972D4A" w:rsidRDefault="00972D4A" w14:paraId="6518A6B4" w14:textId="5EC118E5">
      <w:pPr>
        <w:pStyle w:val="JuQuot"/>
        <w:rPr>
          <w:lang w:eastAsia="fr-FR"/>
        </w:rPr>
      </w:pPr>
      <w:r w:rsidRPr="00472A63">
        <w:rPr>
          <w:lang w:eastAsia="fr-FR"/>
        </w:rPr>
        <w:t>Any person who is subjected to unequal treatment within the meaning of section</w:t>
      </w:r>
      <w:r w:rsidR="004155F3">
        <w:rPr>
          <w:lang w:eastAsia="fr-FR"/>
        </w:rPr>
        <w:t> </w:t>
      </w:r>
      <w:r w:rsidRPr="00472A63">
        <w:rPr>
          <w:lang w:eastAsia="fr-FR"/>
        </w:rPr>
        <w:t>2</w:t>
      </w:r>
      <w:r w:rsidR="004155F3">
        <w:rPr>
          <w:lang w:eastAsia="fr-FR"/>
        </w:rPr>
        <w:t>(</w:t>
      </w:r>
      <w:r w:rsidRPr="00472A63">
        <w:rPr>
          <w:lang w:eastAsia="fr-FR"/>
        </w:rPr>
        <w:t>3</w:t>
      </w:r>
      <w:r w:rsidR="004155F3">
        <w:rPr>
          <w:lang w:eastAsia="fr-FR"/>
        </w:rPr>
        <w:t>)</w:t>
      </w:r>
      <w:r w:rsidRPr="00472A63">
        <w:rPr>
          <w:lang w:eastAsia="fr-FR"/>
        </w:rPr>
        <w:t>, where this concerns a public-transport facility or vehicle as referred to in section 3(b), shall be entitled to request the competent authority to ensure that the company operating the transport service eliminate the inequality or refrain from acting in the unlawful manner.</w:t>
      </w:r>
      <w:r w:rsidR="00695265">
        <w:rPr>
          <w:lang w:eastAsia="fr-FR"/>
        </w:rPr>
        <w:t>”</w:t>
      </w:r>
    </w:p>
    <w:p w:rsidRPr="00472A63" w:rsidR="00972D4A" w:rsidP="00972D4A" w:rsidRDefault="00972D4A" w14:paraId="7DC02B91" w14:textId="77777777">
      <w:pPr>
        <w:pStyle w:val="JuHArticle"/>
        <w:rPr>
          <w:lang w:eastAsia="fr-FR"/>
        </w:rPr>
      </w:pPr>
      <w:r w:rsidRPr="00472A63">
        <w:rPr>
          <w:lang w:eastAsia="fr-FR"/>
        </w:rPr>
        <w:t>Section 8: Subjective rights in relation to services</w:t>
      </w:r>
    </w:p>
    <w:p w:rsidRPr="00472A63" w:rsidR="00972D4A" w:rsidP="00972D4A" w:rsidRDefault="00695265" w14:paraId="50545442" w14:textId="77143EFB">
      <w:pPr>
        <w:pStyle w:val="JuQuot"/>
        <w:rPr>
          <w:lang w:eastAsia="fr-FR"/>
        </w:rPr>
      </w:pPr>
      <w:r>
        <w:rPr>
          <w:lang w:eastAsia="fr-FR"/>
        </w:rPr>
        <w:t>“</w:t>
      </w:r>
      <w:r w:rsidRPr="00472A63" w:rsidR="00972D4A">
        <w:rPr>
          <w:lang w:eastAsia="fr-FR"/>
        </w:rPr>
        <w:t>Any person who is subjected to unequal treatment within the meaning of section</w:t>
      </w:r>
      <w:r w:rsidR="004155F3">
        <w:rPr>
          <w:lang w:eastAsia="fr-FR"/>
        </w:rPr>
        <w:t> </w:t>
      </w:r>
      <w:r w:rsidRPr="00472A63" w:rsidR="00972D4A">
        <w:rPr>
          <w:lang w:eastAsia="fr-FR"/>
        </w:rPr>
        <w:t>2</w:t>
      </w:r>
      <w:r w:rsidR="004155F3">
        <w:rPr>
          <w:lang w:eastAsia="fr-FR"/>
        </w:rPr>
        <w:t>(</w:t>
      </w:r>
      <w:r w:rsidRPr="00472A63" w:rsidR="00972D4A">
        <w:rPr>
          <w:lang w:eastAsia="fr-FR"/>
        </w:rPr>
        <w:t>4</w:t>
      </w:r>
      <w:r w:rsidR="004155F3">
        <w:rPr>
          <w:lang w:eastAsia="fr-FR"/>
        </w:rPr>
        <w:t>)</w:t>
      </w:r>
      <w:r w:rsidRPr="00472A63" w:rsidR="00972D4A">
        <w:rPr>
          <w:lang w:eastAsia="fr-FR"/>
        </w:rPr>
        <w:t xml:space="preserve"> as a result of actions by a company to which a license has been granted or by a public authority shall be entitled to request a court or an administrative authority to order that the service-provider eliminate the inequality or refrain from acting in an unlawful manner. </w:t>
      </w:r>
    </w:p>
    <w:p w:rsidRPr="00472A63" w:rsidR="00972D4A" w:rsidP="00972D4A" w:rsidRDefault="00972D4A" w14:paraId="4E31481C" w14:textId="382848BF">
      <w:pPr>
        <w:pStyle w:val="JuQuot"/>
        <w:rPr>
          <w:lang w:eastAsia="fr-FR"/>
        </w:rPr>
      </w:pPr>
      <w:r w:rsidRPr="00472A63">
        <w:rPr>
          <w:lang w:eastAsia="fr-FR"/>
        </w:rPr>
        <w:t xml:space="preserve">Any person who </w:t>
      </w:r>
      <w:r>
        <w:rPr>
          <w:lang w:eastAsia="fr-FR"/>
        </w:rPr>
        <w:t xml:space="preserve">is subjected to </w:t>
      </w:r>
      <w:r w:rsidRPr="00472A63">
        <w:rPr>
          <w:lang w:eastAsia="fr-FR"/>
        </w:rPr>
        <w:t>unequal treatment within the meaning of section</w:t>
      </w:r>
      <w:r w:rsidR="004155F3">
        <w:rPr>
          <w:lang w:eastAsia="fr-FR"/>
        </w:rPr>
        <w:t> </w:t>
      </w:r>
      <w:r w:rsidRPr="00472A63">
        <w:rPr>
          <w:lang w:eastAsia="fr-FR"/>
        </w:rPr>
        <w:t>2</w:t>
      </w:r>
      <w:r w:rsidR="004155F3">
        <w:rPr>
          <w:lang w:eastAsia="fr-FR"/>
        </w:rPr>
        <w:t>(</w:t>
      </w:r>
      <w:r w:rsidRPr="00472A63">
        <w:rPr>
          <w:lang w:eastAsia="fr-FR"/>
        </w:rPr>
        <w:t>5</w:t>
      </w:r>
      <w:r w:rsidR="004155F3">
        <w:rPr>
          <w:lang w:eastAsia="fr-FR"/>
        </w:rPr>
        <w:t>)</w:t>
      </w:r>
      <w:r w:rsidRPr="00472A63">
        <w:rPr>
          <w:lang w:eastAsia="fr-FR"/>
        </w:rPr>
        <w:t xml:space="preserve"> as a result of actions by a public authority shall be entitled to request a court or an administrative authority to order that the service-provider eliminate the inequality or refrain from acting in an unlawful manner.</w:t>
      </w:r>
    </w:p>
    <w:p w:rsidRPr="00472A63" w:rsidR="00972D4A" w:rsidP="00972D4A" w:rsidRDefault="00972D4A" w14:paraId="53A835BC" w14:textId="716631ED">
      <w:pPr>
        <w:pStyle w:val="JuQuot"/>
        <w:rPr>
          <w:lang w:eastAsia="fr-FR"/>
        </w:rPr>
      </w:pPr>
      <w:r w:rsidRPr="00472A63">
        <w:rPr>
          <w:lang w:eastAsia="fr-FR"/>
        </w:rPr>
        <w:t>Any person who is subjected to discrimination within the meaning of section 6 shall be entitled to apply to a court for compensation.</w:t>
      </w:r>
      <w:r w:rsidR="00695265">
        <w:rPr>
          <w:lang w:eastAsia="fr-FR"/>
        </w:rPr>
        <w:t>”</w:t>
      </w:r>
    </w:p>
    <w:p w:rsidR="00972D4A" w:rsidP="00525554" w:rsidRDefault="00972D4A" w14:paraId="772245C9" w14:textId="30E3B1E5">
      <w:pPr>
        <w:pStyle w:val="JuHArticle"/>
        <w:spacing w:before="0" w:beforeAutospacing="0" w:after="0"/>
        <w:rPr>
          <w:lang w:eastAsia="fr-FR"/>
        </w:rPr>
      </w:pPr>
      <w:r w:rsidRPr="00472A63">
        <w:rPr>
          <w:lang w:eastAsia="fr-FR"/>
        </w:rPr>
        <w:t>Part 3: Proportionality</w:t>
      </w:r>
    </w:p>
    <w:p w:rsidRPr="00525554" w:rsidR="00525554" w:rsidP="00525554" w:rsidRDefault="00525554" w14:paraId="2A2C599D" w14:textId="77777777">
      <w:pPr>
        <w:pStyle w:val="JuQuot"/>
        <w:spacing w:before="0" w:after="0"/>
        <w:rPr>
          <w:lang w:eastAsia="fr-FR"/>
        </w:rPr>
      </w:pPr>
    </w:p>
    <w:p w:rsidRPr="00472A63" w:rsidR="00972D4A" w:rsidP="00525554" w:rsidRDefault="00972D4A" w14:paraId="78DC1DB6" w14:textId="77777777">
      <w:pPr>
        <w:pStyle w:val="JuHArticle"/>
        <w:spacing w:before="0" w:beforeAutospacing="0" w:after="0"/>
        <w:rPr>
          <w:lang w:eastAsia="fr-FR"/>
        </w:rPr>
      </w:pPr>
      <w:r w:rsidRPr="00472A63">
        <w:rPr>
          <w:lang w:eastAsia="fr-FR"/>
        </w:rPr>
        <w:t>Section 11: Principles</w:t>
      </w:r>
    </w:p>
    <w:p w:rsidRPr="00472A63" w:rsidR="00972D4A" w:rsidP="00972D4A" w:rsidRDefault="00695265" w14:paraId="2F6CCC53" w14:textId="562C6817">
      <w:pPr>
        <w:pStyle w:val="JuQuot"/>
        <w:rPr>
          <w:lang w:eastAsia="fr-FR"/>
        </w:rPr>
      </w:pPr>
      <w:r>
        <w:rPr>
          <w:lang w:eastAsia="fr-FR"/>
        </w:rPr>
        <w:t>“</w:t>
      </w:r>
      <w:r w:rsidRPr="00472A63" w:rsidR="00972D4A">
        <w:rPr>
          <w:lang w:eastAsia="fr-FR"/>
        </w:rPr>
        <w:t xml:space="preserve">The court or the administrative authority shall not order the elimination of the inequality where the benefit that would be provided to persons with disabilities is disproportionate, </w:t>
      </w:r>
      <w:r w:rsidRPr="00472A63" w:rsidR="00972D4A">
        <w:rPr>
          <w:i/>
          <w:iCs/>
          <w:lang w:eastAsia="fr-FR"/>
        </w:rPr>
        <w:t>inter alia</w:t>
      </w:r>
      <w:r w:rsidR="004155F3">
        <w:rPr>
          <w:lang w:eastAsia="fr-FR"/>
        </w:rPr>
        <w:t>, to</w:t>
      </w:r>
      <w:r w:rsidRPr="00472A63" w:rsidR="00972D4A">
        <w:rPr>
          <w:lang w:eastAsia="fr-FR"/>
        </w:rPr>
        <w:t>:</w:t>
      </w:r>
    </w:p>
    <w:p w:rsidRPr="00472A63" w:rsidR="00972D4A" w:rsidP="00972D4A" w:rsidRDefault="00972D4A" w14:paraId="7BE753B5" w14:textId="77777777">
      <w:pPr>
        <w:pStyle w:val="JuQuot"/>
        <w:rPr>
          <w:rFonts w:eastAsiaTheme="minorEastAsia"/>
          <w:szCs w:val="22"/>
          <w:lang w:eastAsia="fr-FR"/>
        </w:rPr>
      </w:pPr>
      <w:r>
        <w:rPr>
          <w:rFonts w:eastAsiaTheme="minorEastAsia"/>
          <w:szCs w:val="22"/>
          <w:lang w:eastAsia="fr-FR"/>
        </w:rPr>
        <w:t>(</w:t>
      </w:r>
      <w:r w:rsidRPr="00472A63">
        <w:rPr>
          <w:rFonts w:eastAsiaTheme="minorEastAsia"/>
          <w:szCs w:val="22"/>
          <w:lang w:eastAsia="fr-FR"/>
        </w:rPr>
        <w:t>a</w:t>
      </w:r>
      <w:r>
        <w:rPr>
          <w:rFonts w:eastAsiaTheme="minorEastAsia"/>
          <w:szCs w:val="22"/>
          <w:lang w:eastAsia="fr-FR"/>
        </w:rPr>
        <w:t>)</w:t>
      </w:r>
      <w:r w:rsidRPr="00472A63">
        <w:rPr>
          <w:rFonts w:eastAsiaTheme="minorEastAsia"/>
          <w:szCs w:val="22"/>
          <w:lang w:eastAsia="fr-FR"/>
        </w:rPr>
        <w:t xml:space="preserve">  the expenditure </w:t>
      </w:r>
      <w:proofErr w:type="gramStart"/>
      <w:r w:rsidRPr="00472A63">
        <w:rPr>
          <w:rFonts w:eastAsiaTheme="minorEastAsia"/>
          <w:szCs w:val="22"/>
          <w:lang w:eastAsia="fr-FR"/>
        </w:rPr>
        <w:t>incurred;</w:t>
      </w:r>
      <w:proofErr w:type="gramEnd"/>
    </w:p>
    <w:p w:rsidRPr="00472A63" w:rsidR="00972D4A" w:rsidP="00972D4A" w:rsidRDefault="00972D4A" w14:paraId="7483327F" w14:textId="77777777">
      <w:pPr>
        <w:pStyle w:val="JuQuot"/>
        <w:rPr>
          <w:rFonts w:eastAsiaTheme="minorEastAsia"/>
          <w:szCs w:val="22"/>
          <w:lang w:eastAsia="fr-FR"/>
        </w:rPr>
      </w:pPr>
      <w:r>
        <w:rPr>
          <w:rFonts w:eastAsiaTheme="minorEastAsia"/>
          <w:szCs w:val="22"/>
          <w:lang w:eastAsia="fr-FR"/>
        </w:rPr>
        <w:t>(</w:t>
      </w:r>
      <w:r w:rsidRPr="00472A63">
        <w:rPr>
          <w:rFonts w:eastAsiaTheme="minorEastAsia"/>
          <w:szCs w:val="22"/>
          <w:lang w:eastAsia="fr-FR"/>
        </w:rPr>
        <w:t>b</w:t>
      </w:r>
      <w:r>
        <w:rPr>
          <w:rFonts w:eastAsiaTheme="minorEastAsia"/>
          <w:szCs w:val="22"/>
          <w:lang w:eastAsia="fr-FR"/>
        </w:rPr>
        <w:t>)</w:t>
      </w:r>
      <w:r w:rsidRPr="00472A63">
        <w:rPr>
          <w:rFonts w:eastAsiaTheme="minorEastAsia"/>
          <w:szCs w:val="22"/>
          <w:lang w:eastAsia="fr-FR"/>
        </w:rPr>
        <w:t xml:space="preserve">  the harm that would be done to the environment, nature or </w:t>
      </w:r>
      <w:proofErr w:type="gramStart"/>
      <w:r w:rsidRPr="00472A63">
        <w:rPr>
          <w:rFonts w:eastAsiaTheme="minorEastAsia"/>
          <w:szCs w:val="22"/>
          <w:lang w:eastAsia="fr-FR"/>
        </w:rPr>
        <w:t>heritage;</w:t>
      </w:r>
      <w:proofErr w:type="gramEnd"/>
    </w:p>
    <w:p w:rsidRPr="00472A63" w:rsidR="00972D4A" w:rsidP="00972D4A" w:rsidRDefault="00972D4A" w14:paraId="68353A21" w14:textId="77777777">
      <w:pPr>
        <w:pStyle w:val="JuQuot"/>
        <w:rPr>
          <w:rFonts w:eastAsiaTheme="minorEastAsia"/>
          <w:szCs w:val="22"/>
          <w:lang w:eastAsia="fr-FR"/>
        </w:rPr>
      </w:pPr>
      <w:r>
        <w:rPr>
          <w:rFonts w:eastAsiaTheme="minorEastAsia"/>
          <w:szCs w:val="22"/>
          <w:lang w:eastAsia="fr-FR"/>
        </w:rPr>
        <w:t>(c)</w:t>
      </w:r>
      <w:r w:rsidRPr="00472A63">
        <w:rPr>
          <w:rFonts w:eastAsiaTheme="minorEastAsia"/>
          <w:szCs w:val="22"/>
          <w:lang w:eastAsia="fr-FR"/>
        </w:rPr>
        <w:t>  the potential harm to traffic or operational safety.</w:t>
      </w:r>
    </w:p>
    <w:p w:rsidRPr="00472A63" w:rsidR="00972D4A" w:rsidP="00972D4A" w:rsidRDefault="00972D4A" w14:paraId="5D03F7E7" w14:textId="2A43722A">
      <w:pPr>
        <w:pStyle w:val="JuQuot"/>
        <w:rPr>
          <w:lang w:eastAsia="fr-FR"/>
        </w:rPr>
      </w:pPr>
      <w:r w:rsidRPr="00472A63">
        <w:rPr>
          <w:lang w:eastAsia="fr-FR"/>
        </w:rPr>
        <w:t>The court shall determine the compensation provided for in section 8</w:t>
      </w:r>
      <w:r w:rsidR="004155F3">
        <w:rPr>
          <w:lang w:eastAsia="fr-FR"/>
        </w:rPr>
        <w:t>(</w:t>
      </w:r>
      <w:r w:rsidRPr="00472A63">
        <w:rPr>
          <w:lang w:eastAsia="fr-FR"/>
        </w:rPr>
        <w:t>3</w:t>
      </w:r>
      <w:r w:rsidR="004155F3">
        <w:rPr>
          <w:lang w:eastAsia="fr-FR"/>
        </w:rPr>
        <w:t>)</w:t>
      </w:r>
      <w:r w:rsidRPr="00472A63">
        <w:rPr>
          <w:lang w:eastAsia="fr-FR"/>
        </w:rPr>
        <w:t>, having regard to the circumstances, the gravity of the discrimination and the value of the relevant service.</w:t>
      </w:r>
    </w:p>
    <w:p w:rsidRPr="00472A63" w:rsidR="00972D4A" w:rsidP="00972D4A" w:rsidRDefault="00972D4A" w14:paraId="7C4A32AE" w14:textId="77777777">
      <w:pPr>
        <w:pStyle w:val="JuQuot"/>
        <w:rPr>
          <w:lang w:eastAsia="fr-FR"/>
        </w:rPr>
      </w:pPr>
      <w:r w:rsidRPr="00472A63">
        <w:rPr>
          <w:lang w:eastAsia="fr-FR"/>
        </w:rPr>
        <w:t>The maximum amount of compensation shall be 5,000 Swiss francs.”</w:t>
      </w:r>
    </w:p>
    <w:p w:rsidRPr="00472A63" w:rsidR="00972D4A" w:rsidP="00972D4A" w:rsidRDefault="00972D4A" w14:paraId="45872E47" w14:textId="6C2D9A26">
      <w:pPr>
        <w:pStyle w:val="JuPara"/>
        <w:rPr>
          <w:lang w:eastAsia="fr-FR"/>
        </w:rPr>
      </w:pPr>
      <w:r>
        <w:rPr>
          <w:lang w:eastAsia="fr-FR"/>
        </w:rPr>
        <w:fldChar w:fldCharType="begin"/>
      </w:r>
      <w:r>
        <w:rPr>
          <w:lang w:eastAsia="fr-FR"/>
        </w:rPr>
        <w:instrText xml:space="preserve"> SEQ level0 \*arabic \* MERGEFORMAT </w:instrText>
      </w:r>
      <w:r>
        <w:rPr>
          <w:lang w:eastAsia="fr-FR"/>
        </w:rPr>
        <w:fldChar w:fldCharType="separate"/>
      </w:r>
      <w:r>
        <w:rPr>
          <w:noProof/>
          <w:lang w:eastAsia="fr-FR"/>
        </w:rPr>
        <w:t>13</w:t>
      </w:r>
      <w:r>
        <w:rPr>
          <w:lang w:eastAsia="fr-FR"/>
        </w:rPr>
        <w:fldChar w:fldCharType="end"/>
      </w:r>
      <w:r>
        <w:rPr>
          <w:lang w:eastAsia="fr-FR"/>
        </w:rPr>
        <w:t>.  </w:t>
      </w:r>
      <w:r w:rsidRPr="00472A63">
        <w:rPr>
          <w:lang w:eastAsia="fr-FR"/>
        </w:rPr>
        <w:t>The Ordinance of 19 November 2003 on the elimination of inequalities affecting disabled people (“the Disability Ordinance”) defined the concept of disability:</w:t>
      </w:r>
    </w:p>
    <w:p w:rsidRPr="00472A63" w:rsidR="00972D4A" w:rsidP="00972D4A" w:rsidRDefault="00972D4A" w14:paraId="6E073760" w14:textId="2C7F8E94">
      <w:pPr>
        <w:pStyle w:val="JuHArticle"/>
        <w:rPr>
          <w:lang w:eastAsia="fr-FR"/>
        </w:rPr>
      </w:pPr>
      <w:r w:rsidRPr="00472A63">
        <w:rPr>
          <w:lang w:eastAsia="fr-FR"/>
        </w:rPr>
        <w:t>Article 2: Definitions</w:t>
      </w:r>
    </w:p>
    <w:p w:rsidRPr="00472A63" w:rsidR="00972D4A" w:rsidP="00972D4A" w:rsidRDefault="00972D4A" w14:paraId="25E4590F" w14:textId="69858ABF">
      <w:pPr>
        <w:pStyle w:val="JuQuot"/>
        <w:rPr>
          <w:lang w:eastAsia="fr-FR"/>
        </w:rPr>
      </w:pPr>
      <w:r w:rsidRPr="00472A63">
        <w:rPr>
          <w:lang w:eastAsia="fr-FR"/>
        </w:rPr>
        <w:t xml:space="preserve">“... (d) </w:t>
      </w:r>
      <w:r w:rsidRPr="00E176E0">
        <w:rPr>
          <w:lang w:eastAsia="fr-FR"/>
        </w:rPr>
        <w:t>discrimination (sections 6 and 8</w:t>
      </w:r>
      <w:r w:rsidR="004155F3">
        <w:rPr>
          <w:lang w:eastAsia="fr-FR"/>
        </w:rPr>
        <w:t>(</w:t>
      </w:r>
      <w:r w:rsidRPr="00E176E0">
        <w:rPr>
          <w:lang w:eastAsia="fr-FR"/>
        </w:rPr>
        <w:t>3</w:t>
      </w:r>
      <w:r w:rsidR="004155F3">
        <w:rPr>
          <w:lang w:eastAsia="fr-FR"/>
        </w:rPr>
        <w:t>)</w:t>
      </w:r>
      <w:r w:rsidRPr="00E176E0">
        <w:rPr>
          <w:lang w:eastAsia="fr-FR"/>
        </w:rPr>
        <w:t xml:space="preserve"> of the Disability Act)</w:t>
      </w:r>
      <w:r w:rsidRPr="00472A63">
        <w:rPr>
          <w:i/>
          <w:iCs/>
          <w:lang w:eastAsia="fr-FR"/>
        </w:rPr>
        <w:t xml:space="preserve"> </w:t>
      </w:r>
      <w:r w:rsidRPr="00472A63">
        <w:rPr>
          <w:lang w:eastAsia="fr-FR"/>
        </w:rPr>
        <w:t>is understood to mean: any difference in treatment which is particularly marked and entailing serious inequality, with the intention or consequence of degrading or marginalising a person with disabilities.</w:t>
      </w:r>
      <w:r w:rsidR="00DA67EE">
        <w:rPr>
          <w:lang w:eastAsia="fr-FR"/>
        </w:rPr>
        <w:t>”</w:t>
      </w:r>
    </w:p>
    <w:p w:rsidRPr="00472A63" w:rsidR="00972D4A" w:rsidP="00972D4A" w:rsidRDefault="00972D4A" w14:paraId="44395F9A" w14:textId="77777777">
      <w:pPr>
        <w:pStyle w:val="JuH1"/>
      </w:pPr>
      <w:r w:rsidRPr="00472A63">
        <w:t>Domestic practice</w:t>
      </w:r>
    </w:p>
    <w:p w:rsidRPr="00472A63" w:rsidR="00972D4A" w:rsidP="00972D4A" w:rsidRDefault="00972D4A" w14:paraId="681577E7" w14:textId="571BDCC1">
      <w:pPr>
        <w:pStyle w:val="JuPara"/>
        <w:rPr>
          <w:lang w:eastAsia="fr-FR"/>
        </w:rPr>
      </w:pPr>
      <w:r>
        <w:rPr>
          <w:lang w:eastAsia="fr-FR"/>
        </w:rPr>
        <w:fldChar w:fldCharType="begin"/>
      </w:r>
      <w:r>
        <w:rPr>
          <w:lang w:eastAsia="fr-FR"/>
        </w:rPr>
        <w:instrText xml:space="preserve"> SEQ level0 \*arabic \* MERGEFORMAT </w:instrText>
      </w:r>
      <w:r>
        <w:rPr>
          <w:lang w:eastAsia="fr-FR"/>
        </w:rPr>
        <w:fldChar w:fldCharType="separate"/>
      </w:r>
      <w:r>
        <w:rPr>
          <w:noProof/>
          <w:lang w:eastAsia="fr-FR"/>
        </w:rPr>
        <w:t>14</w:t>
      </w:r>
      <w:r>
        <w:rPr>
          <w:lang w:eastAsia="fr-FR"/>
        </w:rPr>
        <w:fldChar w:fldCharType="end"/>
      </w:r>
      <w:r>
        <w:rPr>
          <w:lang w:eastAsia="fr-FR"/>
        </w:rPr>
        <w:t>.  </w:t>
      </w:r>
      <w:r w:rsidRPr="00472A63">
        <w:rPr>
          <w:lang w:eastAsia="fr-FR"/>
        </w:rPr>
        <w:t xml:space="preserve">A report by the Federal Council entitled “The right to protection against discrimination” of 25 May 2016, in response to the non-binding motion by Mr </w:t>
      </w:r>
      <w:proofErr w:type="spellStart"/>
      <w:r w:rsidRPr="00472A63">
        <w:rPr>
          <w:lang w:eastAsia="fr-FR"/>
        </w:rPr>
        <w:t>Naef</w:t>
      </w:r>
      <w:proofErr w:type="spellEnd"/>
      <w:r w:rsidRPr="00472A63">
        <w:rPr>
          <w:lang w:eastAsia="fr-FR"/>
        </w:rPr>
        <w:t xml:space="preserve"> (12.3543) of 14 June 2012, states that federal law protects persons with disabilities from discrimination by </w:t>
      </w:r>
      <w:r>
        <w:rPr>
          <w:lang w:eastAsia="fr-FR"/>
        </w:rPr>
        <w:t xml:space="preserve">private persons </w:t>
      </w:r>
      <w:r w:rsidRPr="00472A63">
        <w:rPr>
          <w:lang w:eastAsia="fr-FR"/>
        </w:rPr>
        <w:t xml:space="preserve">to only a marginal extent. People with disabilities who are discriminated against by private </w:t>
      </w:r>
      <w:r>
        <w:rPr>
          <w:lang w:eastAsia="fr-FR"/>
        </w:rPr>
        <w:t xml:space="preserve">persons </w:t>
      </w:r>
      <w:r w:rsidRPr="00472A63">
        <w:rPr>
          <w:lang w:eastAsia="fr-FR"/>
        </w:rPr>
        <w:t xml:space="preserve">must therefore rely on the general provisions on the protection of personality rights. They are entitled only to claim compensation in such instances, whereas if the discrimination is caused by the </w:t>
      </w:r>
      <w:proofErr w:type="gramStart"/>
      <w:r w:rsidRPr="00472A63">
        <w:rPr>
          <w:lang w:eastAsia="fr-FR"/>
        </w:rPr>
        <w:t>State</w:t>
      </w:r>
      <w:proofErr w:type="gramEnd"/>
      <w:r w:rsidRPr="00472A63">
        <w:rPr>
          <w:lang w:eastAsia="fr-FR"/>
        </w:rPr>
        <w:t xml:space="preserve"> they can take steps to ensure that it is brought to an end. According to the same report, there is not currently a strong enough awareness of this problem. At the same time, the relevant stakeholders often lack the experience, </w:t>
      </w:r>
      <w:proofErr w:type="gramStart"/>
      <w:r w:rsidRPr="00472A63">
        <w:rPr>
          <w:lang w:eastAsia="fr-FR"/>
        </w:rPr>
        <w:t>skills</w:t>
      </w:r>
      <w:proofErr w:type="gramEnd"/>
      <w:r w:rsidRPr="00472A63">
        <w:rPr>
          <w:lang w:eastAsia="fr-FR"/>
        </w:rPr>
        <w:t xml:space="preserve"> and knowledge necessary to be in a position to guarantee that their services are accessible in practice at a reasonable investment cost.</w:t>
      </w:r>
    </w:p>
    <w:p w:rsidRPr="00472A63" w:rsidR="00972D4A" w:rsidP="00972D4A" w:rsidRDefault="00972D4A" w14:paraId="1AA5B468" w14:textId="77777777">
      <w:pPr>
        <w:pStyle w:val="JuPara"/>
        <w:rPr>
          <w:lang w:eastAsia="fr-FR"/>
        </w:rPr>
      </w:pPr>
      <w:r>
        <w:rPr>
          <w:lang w:eastAsia="fr-FR"/>
        </w:rPr>
        <w:fldChar w:fldCharType="begin"/>
      </w:r>
      <w:r>
        <w:rPr>
          <w:lang w:eastAsia="fr-FR"/>
        </w:rPr>
        <w:instrText xml:space="preserve"> SEQ level0 \*arabic \* MERGEFORMAT </w:instrText>
      </w:r>
      <w:r>
        <w:rPr>
          <w:lang w:eastAsia="fr-FR"/>
        </w:rPr>
        <w:fldChar w:fldCharType="separate"/>
      </w:r>
      <w:r>
        <w:rPr>
          <w:noProof/>
          <w:lang w:eastAsia="fr-FR"/>
        </w:rPr>
        <w:t>15</w:t>
      </w:r>
      <w:r>
        <w:rPr>
          <w:lang w:eastAsia="fr-FR"/>
        </w:rPr>
        <w:fldChar w:fldCharType="end"/>
      </w:r>
      <w:r>
        <w:rPr>
          <w:lang w:eastAsia="fr-FR"/>
        </w:rPr>
        <w:t>.  </w:t>
      </w:r>
      <w:r w:rsidRPr="00472A63">
        <w:rPr>
          <w:lang w:eastAsia="fr-FR"/>
        </w:rPr>
        <w:t>These conclusions were confirmed by the Evaluation report on the Federal Law on the Elimination of Inequalities Affecting Persons with Disabilities (Disability Act), prepared in August 2015 on behalf of the Secretariat General of the Federal Department of the Interior/Federal Office for Equality for Persons with Disabilities; the relevant parts of its general conclusions read as follows (abridged version):</w:t>
      </w:r>
    </w:p>
    <w:p w:rsidRPr="00472A63" w:rsidR="00972D4A" w:rsidP="00972D4A" w:rsidRDefault="00972D4A" w14:paraId="6206CB4D" w14:textId="77777777">
      <w:pPr>
        <w:pStyle w:val="JuQuot"/>
        <w:rPr>
          <w:lang w:eastAsia="fr-FR"/>
        </w:rPr>
      </w:pPr>
      <w:r w:rsidRPr="00472A63">
        <w:rPr>
          <w:lang w:eastAsia="fr-FR"/>
        </w:rPr>
        <w:t xml:space="preserve">“With regard to the services provided by State bodies, there has been some improvement in accessibility since the entry into force of the Disability Act, but the situation still cannot be said to be straightforward. With regard to services provided by private </w:t>
      </w:r>
      <w:r>
        <w:rPr>
          <w:lang w:eastAsia="fr-FR"/>
        </w:rPr>
        <w:t>persons</w:t>
      </w:r>
      <w:r w:rsidRPr="00472A63">
        <w:rPr>
          <w:lang w:eastAsia="fr-FR"/>
        </w:rPr>
        <w:t xml:space="preserve">, the Disability Act merely prohibits any particularly marked difference in treatment, which, according to the current case-law (a single case), presupposes intentionality. It is most often the sectors that are also required to meet architectural requirements, such as stores and restaurants, which are aware of these issues. The evaluation suggests that the situation has hardly changed with regard to services provided by private </w:t>
      </w:r>
      <w:r>
        <w:rPr>
          <w:lang w:eastAsia="fr-FR"/>
        </w:rPr>
        <w:t xml:space="preserve">persons </w:t>
      </w:r>
      <w:r w:rsidRPr="00472A63">
        <w:rPr>
          <w:lang w:eastAsia="fr-FR"/>
        </w:rPr>
        <w:t>...</w:t>
      </w:r>
    </w:p>
    <w:p w:rsidRPr="00472A63" w:rsidR="00972D4A" w:rsidP="00972D4A" w:rsidRDefault="00972D4A" w14:paraId="39B23ACA" w14:textId="6F84CA2F">
      <w:pPr>
        <w:pStyle w:val="JuQuot"/>
      </w:pPr>
      <w:r w:rsidRPr="00472A63">
        <w:t xml:space="preserve">In sum, it can be seen that the Disability Act has had a very positive impact in areas that are important to people with disabilities </w:t>
      </w:r>
      <w:r w:rsidR="00EB755F">
        <w:t xml:space="preserve">– </w:t>
      </w:r>
      <w:r w:rsidRPr="00472A63">
        <w:t xml:space="preserve">physical access to buildings, facilities and public transport </w:t>
      </w:r>
      <w:r w:rsidR="00EB755F">
        <w:t xml:space="preserve">– </w:t>
      </w:r>
      <w:r w:rsidRPr="00472A63">
        <w:t xml:space="preserve">although equality has not yet been achieved and there are still problems to be solved here and there. In other spheres, the Disability Act has given a signal that has been well received and whose echo </w:t>
      </w:r>
      <w:r w:rsidR="00EB755F">
        <w:t>continues to reverberate</w:t>
      </w:r>
      <w:r w:rsidRPr="00472A63">
        <w:t xml:space="preserve">, such as in the area of post-compulsory education. </w:t>
      </w:r>
      <w:r w:rsidR="00EB755F">
        <w:t xml:space="preserve">In </w:t>
      </w:r>
      <w:r w:rsidRPr="00472A63">
        <w:t xml:space="preserve">other spheres, </w:t>
      </w:r>
      <w:r w:rsidR="00EB755F">
        <w:t xml:space="preserve">however, </w:t>
      </w:r>
      <w:r w:rsidRPr="00472A63">
        <w:t xml:space="preserve">which are just as important for people with disabilities, it has not brought about much tangible change. This is the case with regard to stigmatisation, which has barely diminished in society, and to the largely unregulated area of services </w:t>
      </w:r>
      <w:r>
        <w:t>provided by private persons</w:t>
      </w:r>
      <w:r w:rsidRPr="00472A63">
        <w:t>... ”</w:t>
      </w:r>
    </w:p>
    <w:p w:rsidRPr="00472A63" w:rsidR="00972D4A" w:rsidP="00972D4A" w:rsidRDefault="00972D4A" w14:paraId="05862DDB" w14:textId="77777777">
      <w:pPr>
        <w:pStyle w:val="JuH1"/>
        <w:rPr>
          <w:lang w:eastAsia="fr-FR"/>
        </w:rPr>
      </w:pPr>
      <w:r w:rsidRPr="00472A63">
        <w:rPr>
          <w:lang w:eastAsia="fr-FR"/>
        </w:rPr>
        <w:t>Relevant international law</w:t>
      </w:r>
    </w:p>
    <w:p w:rsidRPr="00472A63" w:rsidR="00972D4A" w:rsidP="00972D4A" w:rsidRDefault="00972D4A" w14:paraId="0799CF34" w14:textId="05832B40">
      <w:pPr>
        <w:pStyle w:val="JuPara"/>
        <w:rPr>
          <w:lang w:eastAsia="fr-FR"/>
        </w:rPr>
      </w:pPr>
      <w:r>
        <w:rPr>
          <w:lang w:eastAsia="fr-FR"/>
        </w:rPr>
        <w:fldChar w:fldCharType="begin"/>
      </w:r>
      <w:r>
        <w:rPr>
          <w:lang w:eastAsia="fr-FR"/>
        </w:rPr>
        <w:instrText xml:space="preserve"> SEQ level0 \*arabic \* MERGEFORMAT </w:instrText>
      </w:r>
      <w:r>
        <w:rPr>
          <w:lang w:eastAsia="fr-FR"/>
        </w:rPr>
        <w:fldChar w:fldCharType="separate"/>
      </w:r>
      <w:r>
        <w:rPr>
          <w:noProof/>
          <w:lang w:eastAsia="fr-FR"/>
        </w:rPr>
        <w:t>16</w:t>
      </w:r>
      <w:r>
        <w:rPr>
          <w:lang w:eastAsia="fr-FR"/>
        </w:rPr>
        <w:fldChar w:fldCharType="end"/>
      </w:r>
      <w:r>
        <w:rPr>
          <w:lang w:eastAsia="fr-FR"/>
        </w:rPr>
        <w:t>.  </w:t>
      </w:r>
      <w:r w:rsidRPr="00472A63">
        <w:rPr>
          <w:lang w:eastAsia="fr-FR"/>
        </w:rPr>
        <w:t>The United Nations Convention on the Rights of Persons with Disabilities was adopted on 13 December 2006 at the United Nations Headquarters in New York and was opened for signature on 30 March 2007. It entered into force on 3 May 2008 and has to date been ratified by 177 States. It was approved by the Federal Assembly on 13</w:t>
      </w:r>
      <w:r w:rsidR="00344775">
        <w:rPr>
          <w:lang w:eastAsia="fr-FR"/>
        </w:rPr>
        <w:t> </w:t>
      </w:r>
      <w:r w:rsidRPr="00472A63">
        <w:rPr>
          <w:lang w:eastAsia="fr-FR"/>
        </w:rPr>
        <w:t>December 2013 and the Confederation acceded to it on 15 April 2014. The introductory provisions are worded as follows:</w:t>
      </w:r>
    </w:p>
    <w:p w:rsidRPr="00472A63" w:rsidR="00972D4A" w:rsidP="00972D4A" w:rsidRDefault="00972D4A" w14:paraId="32AEAA8D" w14:textId="77777777">
      <w:pPr>
        <w:pStyle w:val="JuHArticle"/>
        <w:rPr>
          <w:lang w:eastAsia="fr-FR"/>
        </w:rPr>
      </w:pPr>
      <w:r w:rsidRPr="00472A63">
        <w:rPr>
          <w:lang w:eastAsia="fr-FR"/>
        </w:rPr>
        <w:t>Article 1 – Purpose</w:t>
      </w:r>
    </w:p>
    <w:p w:rsidRPr="00472A63" w:rsidR="00972D4A" w:rsidP="00972D4A" w:rsidRDefault="00344775" w14:paraId="71D1A096" w14:textId="2FDF5FA0">
      <w:pPr>
        <w:pStyle w:val="JuQuot"/>
        <w:rPr>
          <w:lang w:eastAsia="fr-FR"/>
        </w:rPr>
      </w:pPr>
      <w:bookmarkStart w:name="text" w:id="1"/>
      <w:bookmarkEnd w:id="1"/>
      <w:r>
        <w:rPr>
          <w:lang w:eastAsia="fr-FR"/>
        </w:rPr>
        <w:t>“</w:t>
      </w:r>
      <w:r w:rsidRPr="00472A63" w:rsidR="00972D4A">
        <w:rPr>
          <w:lang w:eastAsia="fr-FR"/>
        </w:rPr>
        <w:t>The purpose of the present Convention is to promote, protect and ensure the full and equal enjoyment of all human rights and fundamental freedoms by all persons with disabilities, and to promote respect for their inherent dignity.</w:t>
      </w:r>
    </w:p>
    <w:p w:rsidRPr="00472A63" w:rsidR="00972D4A" w:rsidP="00972D4A" w:rsidRDefault="00972D4A" w14:paraId="120A91A2" w14:textId="61FACC1C">
      <w:pPr>
        <w:pStyle w:val="JuQuot"/>
        <w:rPr>
          <w:lang w:eastAsia="fr-FR"/>
        </w:rPr>
      </w:pPr>
      <w:r w:rsidRPr="00472A63">
        <w:rPr>
          <w:lang w:eastAsia="fr-FR"/>
        </w:rPr>
        <w:t>Persons with disabilities include those who have long-term physical, mental, intellectual or sensory impairments which in interaction with various barriers may hinder their full and effective participation in society on an equal basis with others.</w:t>
      </w:r>
      <w:r w:rsidR="007F785E">
        <w:rPr>
          <w:lang w:eastAsia="fr-FR"/>
        </w:rPr>
        <w:t>”</w:t>
      </w:r>
    </w:p>
    <w:p w:rsidRPr="00472A63" w:rsidR="00972D4A" w:rsidP="00972D4A" w:rsidRDefault="00972D4A" w14:paraId="3A81A023" w14:textId="77777777">
      <w:pPr>
        <w:pStyle w:val="JuHArticle"/>
        <w:rPr>
          <w:lang w:eastAsia="fr-FR"/>
        </w:rPr>
      </w:pPr>
      <w:r w:rsidRPr="00472A63">
        <w:rPr>
          <w:lang w:eastAsia="fr-FR"/>
        </w:rPr>
        <w:t>Article 3 – General principles</w:t>
      </w:r>
    </w:p>
    <w:p w:rsidRPr="00472A63" w:rsidR="00972D4A" w:rsidP="00972D4A" w:rsidRDefault="007F785E" w14:paraId="19E91F9B" w14:textId="67B1D5F1">
      <w:pPr>
        <w:pStyle w:val="JuQuot"/>
        <w:rPr>
          <w:lang w:eastAsia="fr-FR"/>
        </w:rPr>
      </w:pPr>
      <w:r>
        <w:rPr>
          <w:lang w:eastAsia="fr-FR"/>
        </w:rPr>
        <w:t>“</w:t>
      </w:r>
      <w:r w:rsidRPr="00472A63" w:rsidR="00972D4A">
        <w:rPr>
          <w:lang w:eastAsia="fr-FR"/>
        </w:rPr>
        <w:t>The principles of the present Convention shall be:</w:t>
      </w:r>
    </w:p>
    <w:p w:rsidRPr="00472A63" w:rsidR="00972D4A" w:rsidP="00972D4A" w:rsidRDefault="00972D4A" w14:paraId="1F6E3C53" w14:textId="77777777">
      <w:pPr>
        <w:pStyle w:val="JuQuot"/>
        <w:rPr>
          <w:lang w:eastAsia="fr-FR"/>
        </w:rPr>
      </w:pPr>
      <w:r>
        <w:rPr>
          <w:lang w:eastAsia="fr-FR"/>
        </w:rPr>
        <w:t>1.  </w:t>
      </w:r>
      <w:r w:rsidRPr="00472A63">
        <w:rPr>
          <w:lang w:eastAsia="fr-FR"/>
        </w:rPr>
        <w:t xml:space="preserve">Respect for inherent dignity, individual autonomy including the freedom to make one’s own choices, and independence of </w:t>
      </w:r>
      <w:proofErr w:type="gramStart"/>
      <w:r w:rsidRPr="00472A63">
        <w:rPr>
          <w:lang w:eastAsia="fr-FR"/>
        </w:rPr>
        <w:t>persons;</w:t>
      </w:r>
      <w:proofErr w:type="gramEnd"/>
    </w:p>
    <w:p w:rsidRPr="00472A63" w:rsidR="00972D4A" w:rsidP="00972D4A" w:rsidRDefault="00972D4A" w14:paraId="630D0CC6" w14:textId="77777777">
      <w:pPr>
        <w:pStyle w:val="JuQuot"/>
        <w:rPr>
          <w:lang w:eastAsia="fr-FR"/>
        </w:rPr>
      </w:pPr>
      <w:r>
        <w:rPr>
          <w:lang w:eastAsia="fr-FR"/>
        </w:rPr>
        <w:t>2.  </w:t>
      </w:r>
      <w:proofErr w:type="gramStart"/>
      <w:r w:rsidRPr="00472A63">
        <w:rPr>
          <w:lang w:eastAsia="fr-FR"/>
        </w:rPr>
        <w:t>Non-discrimination;</w:t>
      </w:r>
      <w:proofErr w:type="gramEnd"/>
    </w:p>
    <w:p w:rsidRPr="00472A63" w:rsidR="00972D4A" w:rsidP="00972D4A" w:rsidRDefault="00972D4A" w14:paraId="06AFF2DB" w14:textId="77777777">
      <w:pPr>
        <w:pStyle w:val="JuQuot"/>
        <w:rPr>
          <w:lang w:eastAsia="fr-FR"/>
        </w:rPr>
      </w:pPr>
      <w:r>
        <w:rPr>
          <w:lang w:eastAsia="fr-FR"/>
        </w:rPr>
        <w:t>3.  </w:t>
      </w:r>
      <w:r w:rsidRPr="00472A63">
        <w:rPr>
          <w:lang w:eastAsia="fr-FR"/>
        </w:rPr>
        <w:t xml:space="preserve">Full and effective participation and inclusion in </w:t>
      </w:r>
      <w:proofErr w:type="gramStart"/>
      <w:r w:rsidRPr="00472A63">
        <w:rPr>
          <w:lang w:eastAsia="fr-FR"/>
        </w:rPr>
        <w:t>society;</w:t>
      </w:r>
      <w:proofErr w:type="gramEnd"/>
    </w:p>
    <w:p w:rsidRPr="00472A63" w:rsidR="00972D4A" w:rsidP="00972D4A" w:rsidRDefault="00972D4A" w14:paraId="270476C1" w14:textId="77777777">
      <w:pPr>
        <w:pStyle w:val="JuQuot"/>
        <w:rPr>
          <w:lang w:eastAsia="fr-FR"/>
        </w:rPr>
      </w:pPr>
      <w:r>
        <w:rPr>
          <w:lang w:eastAsia="fr-FR"/>
        </w:rPr>
        <w:t>4.  </w:t>
      </w:r>
      <w:r w:rsidRPr="00472A63">
        <w:rPr>
          <w:lang w:eastAsia="fr-FR"/>
        </w:rPr>
        <w:t xml:space="preserve">Respect for difference and acceptance of persons with disabilities as part of human diversity and </w:t>
      </w:r>
      <w:proofErr w:type="gramStart"/>
      <w:r w:rsidRPr="00472A63">
        <w:rPr>
          <w:lang w:eastAsia="fr-FR"/>
        </w:rPr>
        <w:t>humanity;</w:t>
      </w:r>
      <w:proofErr w:type="gramEnd"/>
    </w:p>
    <w:p w:rsidRPr="00472A63" w:rsidR="00972D4A" w:rsidP="00972D4A" w:rsidRDefault="00972D4A" w14:paraId="714C909E" w14:textId="77777777">
      <w:pPr>
        <w:pStyle w:val="JuQuot"/>
        <w:rPr>
          <w:lang w:eastAsia="fr-FR"/>
        </w:rPr>
      </w:pPr>
      <w:r>
        <w:rPr>
          <w:lang w:eastAsia="fr-FR"/>
        </w:rPr>
        <w:t>5.  </w:t>
      </w:r>
      <w:r w:rsidRPr="00472A63">
        <w:rPr>
          <w:lang w:eastAsia="fr-FR"/>
        </w:rPr>
        <w:t xml:space="preserve">Equality of </w:t>
      </w:r>
      <w:proofErr w:type="gramStart"/>
      <w:r w:rsidRPr="00472A63">
        <w:rPr>
          <w:lang w:eastAsia="fr-FR"/>
        </w:rPr>
        <w:t>opportunity;</w:t>
      </w:r>
      <w:proofErr w:type="gramEnd"/>
    </w:p>
    <w:p w:rsidRPr="00472A63" w:rsidR="00972D4A" w:rsidP="00972D4A" w:rsidRDefault="00972D4A" w14:paraId="2154FAAE" w14:textId="77777777">
      <w:pPr>
        <w:pStyle w:val="JuQuot"/>
        <w:rPr>
          <w:lang w:eastAsia="fr-FR"/>
        </w:rPr>
      </w:pPr>
      <w:r>
        <w:rPr>
          <w:lang w:eastAsia="fr-FR"/>
        </w:rPr>
        <w:t>6.  </w:t>
      </w:r>
      <w:proofErr w:type="gramStart"/>
      <w:r w:rsidRPr="00472A63">
        <w:rPr>
          <w:lang w:eastAsia="fr-FR"/>
        </w:rPr>
        <w:t>Accessibility;</w:t>
      </w:r>
      <w:proofErr w:type="gramEnd"/>
    </w:p>
    <w:p w:rsidRPr="00472A63" w:rsidR="00972D4A" w:rsidP="00972D4A" w:rsidRDefault="00972D4A" w14:paraId="5421B3A9" w14:textId="77777777">
      <w:pPr>
        <w:pStyle w:val="JuQuot"/>
        <w:rPr>
          <w:lang w:eastAsia="fr-FR"/>
        </w:rPr>
      </w:pPr>
      <w:r>
        <w:rPr>
          <w:lang w:eastAsia="fr-FR"/>
        </w:rPr>
        <w:t>7.  </w:t>
      </w:r>
      <w:r w:rsidRPr="00472A63">
        <w:rPr>
          <w:lang w:eastAsia="fr-FR"/>
        </w:rPr>
        <w:t xml:space="preserve">Equality between men and </w:t>
      </w:r>
      <w:proofErr w:type="gramStart"/>
      <w:r w:rsidRPr="00472A63">
        <w:rPr>
          <w:lang w:eastAsia="fr-FR"/>
        </w:rPr>
        <w:t>women;</w:t>
      </w:r>
      <w:proofErr w:type="gramEnd"/>
    </w:p>
    <w:p w:rsidRPr="00E80C67" w:rsidR="00972D4A" w:rsidP="00972D4A" w:rsidRDefault="00972D4A" w14:paraId="2BF63B0E" w14:textId="596FDFD0">
      <w:pPr>
        <w:pStyle w:val="JuQuot"/>
        <w:rPr>
          <w:lang w:eastAsia="fr-FR"/>
        </w:rPr>
      </w:pPr>
      <w:r>
        <w:rPr>
          <w:lang w:eastAsia="fr-FR"/>
        </w:rPr>
        <w:t>8.  </w:t>
      </w:r>
      <w:r w:rsidRPr="00472A63">
        <w:rPr>
          <w:lang w:eastAsia="fr-FR"/>
        </w:rPr>
        <w:t>Respect for the evolving capacities of children with disabilities and respect for the right of children with disabilities to preserve their identities</w:t>
      </w:r>
      <w:r w:rsidRPr="00E80C67">
        <w:rPr>
          <w:lang w:eastAsia="fr-FR"/>
        </w:rPr>
        <w:t>.</w:t>
      </w:r>
      <w:r w:rsidR="007F785E">
        <w:rPr>
          <w:lang w:eastAsia="fr-FR"/>
        </w:rPr>
        <w:t>”</w:t>
      </w:r>
    </w:p>
    <w:p w:rsidRPr="00472A63" w:rsidR="00972D4A" w:rsidP="00972D4A" w:rsidRDefault="00972D4A" w14:paraId="204447B4" w14:textId="77777777">
      <w:pPr>
        <w:pStyle w:val="JuHArticle"/>
        <w:rPr>
          <w:lang w:eastAsia="fr-FR"/>
        </w:rPr>
      </w:pPr>
      <w:r w:rsidRPr="00472A63">
        <w:rPr>
          <w:lang w:eastAsia="fr-FR"/>
        </w:rPr>
        <w:t>Article 5 – Equality and non-discrimination</w:t>
      </w:r>
    </w:p>
    <w:p w:rsidRPr="00472A63" w:rsidR="00972D4A" w:rsidP="00972D4A" w:rsidRDefault="007F785E" w14:paraId="767F8008" w14:textId="3C238DD0">
      <w:pPr>
        <w:pStyle w:val="JuQuot"/>
        <w:rPr>
          <w:lang w:eastAsia="fr-FR"/>
        </w:rPr>
      </w:pPr>
      <w:r>
        <w:rPr>
          <w:lang w:eastAsia="fr-FR"/>
        </w:rPr>
        <w:t>“</w:t>
      </w:r>
      <w:r w:rsidRPr="00472A63" w:rsidR="00972D4A">
        <w:rPr>
          <w:lang w:eastAsia="fr-FR"/>
        </w:rPr>
        <w:t>1.</w:t>
      </w:r>
      <w:r w:rsidR="00972D4A">
        <w:rPr>
          <w:lang w:eastAsia="fr-FR"/>
        </w:rPr>
        <w:t>  </w:t>
      </w:r>
      <w:r w:rsidRPr="00472A63" w:rsidR="00972D4A">
        <w:rPr>
          <w:lang w:eastAsia="fr-FR"/>
        </w:rPr>
        <w:t>States Parties recognize that all persons are equal before and under the law and are entitled without any discrimination to the equal protection and equal benefit of the law.</w:t>
      </w:r>
    </w:p>
    <w:p w:rsidRPr="00472A63" w:rsidR="00972D4A" w:rsidP="00972D4A" w:rsidRDefault="00972D4A" w14:paraId="145FA33A" w14:textId="77777777">
      <w:pPr>
        <w:pStyle w:val="JuQuot"/>
        <w:rPr>
          <w:lang w:eastAsia="fr-FR"/>
        </w:rPr>
      </w:pPr>
      <w:r w:rsidRPr="00472A63">
        <w:rPr>
          <w:lang w:eastAsia="fr-FR"/>
        </w:rPr>
        <w:t>2.</w:t>
      </w:r>
      <w:r>
        <w:rPr>
          <w:lang w:eastAsia="fr-FR"/>
        </w:rPr>
        <w:t>  </w:t>
      </w:r>
      <w:r w:rsidRPr="00472A63">
        <w:rPr>
          <w:lang w:eastAsia="fr-FR"/>
        </w:rPr>
        <w:t>States Parties shall prohibit all discrimination on the basis of disability and guarantee to persons with disabilities equal and effective legal protection against discrimination on all grounds.</w:t>
      </w:r>
    </w:p>
    <w:p w:rsidRPr="00472A63" w:rsidR="00972D4A" w:rsidP="00972D4A" w:rsidRDefault="00972D4A" w14:paraId="3405A656" w14:textId="77777777">
      <w:pPr>
        <w:pStyle w:val="JuQuot"/>
        <w:rPr>
          <w:lang w:eastAsia="fr-FR"/>
        </w:rPr>
      </w:pPr>
      <w:r w:rsidRPr="00472A63">
        <w:rPr>
          <w:lang w:eastAsia="fr-FR"/>
        </w:rPr>
        <w:t>3.</w:t>
      </w:r>
      <w:r>
        <w:rPr>
          <w:lang w:eastAsia="fr-FR"/>
        </w:rPr>
        <w:t>  </w:t>
      </w:r>
      <w:r w:rsidRPr="00472A63">
        <w:rPr>
          <w:lang w:eastAsia="fr-FR"/>
        </w:rPr>
        <w:t>In order to promote equality and eliminate discrimination, States Parties shall take all appropriate steps to ensure that reasonable accommodation is provided.</w:t>
      </w:r>
    </w:p>
    <w:p w:rsidRPr="00472A63" w:rsidR="00972D4A" w:rsidP="00972D4A" w:rsidRDefault="00972D4A" w14:paraId="57CB08E8" w14:textId="70258300">
      <w:pPr>
        <w:pStyle w:val="JuQuot"/>
        <w:rPr>
          <w:lang w:eastAsia="fr-FR"/>
        </w:rPr>
      </w:pPr>
      <w:r w:rsidRPr="00472A63">
        <w:rPr>
          <w:lang w:eastAsia="fr-FR"/>
        </w:rPr>
        <w:t>4.</w:t>
      </w:r>
      <w:r>
        <w:rPr>
          <w:lang w:eastAsia="fr-FR"/>
        </w:rPr>
        <w:t>  </w:t>
      </w:r>
      <w:r w:rsidRPr="00472A63">
        <w:rPr>
          <w:lang w:eastAsia="fr-FR"/>
        </w:rPr>
        <w:t>Specific measures which are necessary to accelerate or achieve de facto equality of persons with disabilities shall not be considered discrimination under the terms of the present Convention.</w:t>
      </w:r>
      <w:r w:rsidR="007F785E">
        <w:rPr>
          <w:lang w:eastAsia="fr-FR"/>
        </w:rPr>
        <w:t>”</w:t>
      </w:r>
    </w:p>
    <w:p w:rsidRPr="00472A63" w:rsidR="00972D4A" w:rsidP="00972D4A" w:rsidRDefault="00972D4A" w14:paraId="23219A0E" w14:textId="77777777">
      <w:pPr>
        <w:pStyle w:val="JuHArticle"/>
        <w:rPr>
          <w:lang w:eastAsia="fr-FR"/>
        </w:rPr>
      </w:pPr>
      <w:r w:rsidRPr="00472A63">
        <w:rPr>
          <w:lang w:eastAsia="fr-FR"/>
        </w:rPr>
        <w:t>Article 9 – Accessibility</w:t>
      </w:r>
    </w:p>
    <w:p w:rsidRPr="00472A63" w:rsidR="00972D4A" w:rsidP="00972D4A" w:rsidRDefault="007F785E" w14:paraId="5B1FC288" w14:textId="746C98DA">
      <w:pPr>
        <w:pStyle w:val="JuQuot"/>
        <w:rPr>
          <w:lang w:eastAsia="fr-FR"/>
        </w:rPr>
      </w:pPr>
      <w:r>
        <w:rPr>
          <w:lang w:eastAsia="fr-FR"/>
        </w:rPr>
        <w:t>“</w:t>
      </w:r>
      <w:r w:rsidRPr="00472A63" w:rsidR="00972D4A">
        <w:rPr>
          <w:lang w:eastAsia="fr-FR"/>
        </w:rPr>
        <w:t>1.</w:t>
      </w:r>
      <w:r w:rsidR="00972D4A">
        <w:rPr>
          <w:lang w:eastAsia="fr-FR"/>
        </w:rPr>
        <w:t>  </w:t>
      </w:r>
      <w:r w:rsidRPr="00472A63" w:rsidR="00972D4A">
        <w:rPr>
          <w:lang w:eastAsia="fr-FR"/>
        </w:rPr>
        <w:t xml:space="preserve">To enable persons with disabilities to live independently and participate fully in all aspects of life, States Parties shall take appropriate measures to ensure to persons with disabilities access, on an equal basis with others, to the physical environment, to transportation, to information and communications, including information and communications technologies and systems, and to other facilities and services open or provided to the public, both in urban and in rural areas. These measures, which shall include the identification and elimination of obstacles and barriers to accessibility, shall apply to, </w:t>
      </w:r>
      <w:r w:rsidRPr="00482405" w:rsidR="00972D4A">
        <w:rPr>
          <w:i/>
          <w:iCs/>
          <w:lang w:eastAsia="fr-FR"/>
        </w:rPr>
        <w:t>inter alia</w:t>
      </w:r>
      <w:r w:rsidRPr="00472A63" w:rsidR="00972D4A">
        <w:rPr>
          <w:lang w:eastAsia="fr-FR"/>
        </w:rPr>
        <w:t>:</w:t>
      </w:r>
    </w:p>
    <w:p w:rsidRPr="00472A63" w:rsidR="00972D4A" w:rsidP="00972D4A" w:rsidRDefault="00972D4A" w14:paraId="6C76C521" w14:textId="77777777">
      <w:pPr>
        <w:pStyle w:val="JuQuot"/>
        <w:rPr>
          <w:lang w:eastAsia="fr-FR"/>
        </w:rPr>
      </w:pPr>
      <w:r w:rsidRPr="00472A63">
        <w:rPr>
          <w:lang w:eastAsia="fr-FR"/>
        </w:rPr>
        <w:t>(a)</w:t>
      </w:r>
      <w:r>
        <w:rPr>
          <w:lang w:eastAsia="fr-FR"/>
        </w:rPr>
        <w:t>  </w:t>
      </w:r>
      <w:r w:rsidRPr="00472A63">
        <w:rPr>
          <w:lang w:eastAsia="fr-FR"/>
        </w:rPr>
        <w:t xml:space="preserve">Buildings, roads, transportation and other indoor and outdoor facilities, including schools, housing, medical facilities and </w:t>
      </w:r>
      <w:proofErr w:type="gramStart"/>
      <w:r w:rsidRPr="00472A63">
        <w:rPr>
          <w:lang w:eastAsia="fr-FR"/>
        </w:rPr>
        <w:t>workplaces;</w:t>
      </w:r>
      <w:proofErr w:type="gramEnd"/>
    </w:p>
    <w:p w:rsidRPr="00472A63" w:rsidR="00972D4A" w:rsidP="00972D4A" w:rsidRDefault="00972D4A" w14:paraId="23756825" w14:textId="77777777">
      <w:pPr>
        <w:pStyle w:val="JuQuot"/>
        <w:rPr>
          <w:lang w:eastAsia="fr-FR"/>
        </w:rPr>
      </w:pPr>
      <w:r w:rsidRPr="00472A63">
        <w:rPr>
          <w:lang w:eastAsia="fr-FR"/>
        </w:rPr>
        <w:t>(b)</w:t>
      </w:r>
      <w:r>
        <w:rPr>
          <w:lang w:eastAsia="fr-FR"/>
        </w:rPr>
        <w:t>  </w:t>
      </w:r>
      <w:r w:rsidRPr="00472A63">
        <w:rPr>
          <w:lang w:eastAsia="fr-FR"/>
        </w:rPr>
        <w:t xml:space="preserve">Information, </w:t>
      </w:r>
      <w:proofErr w:type="gramStart"/>
      <w:r w:rsidRPr="00472A63">
        <w:rPr>
          <w:lang w:eastAsia="fr-FR"/>
        </w:rPr>
        <w:t>communications</w:t>
      </w:r>
      <w:proofErr w:type="gramEnd"/>
      <w:r w:rsidRPr="00472A63">
        <w:rPr>
          <w:lang w:eastAsia="fr-FR"/>
        </w:rPr>
        <w:t xml:space="preserve"> and other services, including electronic services and emergency services.</w:t>
      </w:r>
    </w:p>
    <w:p w:rsidRPr="00472A63" w:rsidR="00972D4A" w:rsidP="00972D4A" w:rsidRDefault="00972D4A" w14:paraId="6A290F4F" w14:textId="77777777">
      <w:pPr>
        <w:pStyle w:val="JuQuot"/>
        <w:rPr>
          <w:lang w:eastAsia="fr-FR"/>
        </w:rPr>
      </w:pPr>
      <w:r w:rsidRPr="00472A63">
        <w:rPr>
          <w:lang w:eastAsia="fr-FR"/>
        </w:rPr>
        <w:t>2.</w:t>
      </w:r>
      <w:r>
        <w:rPr>
          <w:lang w:eastAsia="fr-FR"/>
        </w:rPr>
        <w:t>  </w:t>
      </w:r>
      <w:r w:rsidRPr="00472A63">
        <w:rPr>
          <w:lang w:eastAsia="fr-FR"/>
        </w:rPr>
        <w:t>States Parties shall also take appropriate measures:</w:t>
      </w:r>
    </w:p>
    <w:p w:rsidRPr="00472A63" w:rsidR="00972D4A" w:rsidP="00972D4A" w:rsidRDefault="00972D4A" w14:paraId="443D288F" w14:textId="77777777">
      <w:pPr>
        <w:pStyle w:val="JuQuot"/>
        <w:rPr>
          <w:lang w:eastAsia="fr-FR"/>
        </w:rPr>
      </w:pPr>
      <w:r w:rsidRPr="00472A63">
        <w:rPr>
          <w:lang w:eastAsia="fr-FR"/>
        </w:rPr>
        <w:t>(a)</w:t>
      </w:r>
      <w:r>
        <w:rPr>
          <w:lang w:eastAsia="fr-FR"/>
        </w:rPr>
        <w:t>  </w:t>
      </w:r>
      <w:r w:rsidRPr="00472A63">
        <w:rPr>
          <w:lang w:eastAsia="fr-FR"/>
        </w:rPr>
        <w:t xml:space="preserve">To develop, promulgate and monitor the implementation of minimum standards and guidelines for the accessibility of facilities and services open or provided to the </w:t>
      </w:r>
      <w:proofErr w:type="gramStart"/>
      <w:r w:rsidRPr="00472A63">
        <w:rPr>
          <w:lang w:eastAsia="fr-FR"/>
        </w:rPr>
        <w:t>public;</w:t>
      </w:r>
      <w:proofErr w:type="gramEnd"/>
    </w:p>
    <w:p w:rsidRPr="00472A63" w:rsidR="00972D4A" w:rsidP="00972D4A" w:rsidRDefault="00972D4A" w14:paraId="7949CE23" w14:textId="77777777">
      <w:pPr>
        <w:pStyle w:val="JuQuot"/>
        <w:rPr>
          <w:lang w:eastAsia="fr-FR"/>
        </w:rPr>
      </w:pPr>
      <w:r w:rsidRPr="00472A63">
        <w:rPr>
          <w:lang w:eastAsia="fr-FR"/>
        </w:rPr>
        <w:t>(b)</w:t>
      </w:r>
      <w:r>
        <w:rPr>
          <w:lang w:eastAsia="fr-FR"/>
        </w:rPr>
        <w:t>  </w:t>
      </w:r>
      <w:r w:rsidRPr="00472A63">
        <w:rPr>
          <w:lang w:eastAsia="fr-FR"/>
        </w:rPr>
        <w:t xml:space="preserve">To ensure that private entities that offer facilities and services which are open or provided to the public take into account all aspects of accessibility for persons with </w:t>
      </w:r>
      <w:proofErr w:type="gramStart"/>
      <w:r w:rsidRPr="00472A63">
        <w:rPr>
          <w:lang w:eastAsia="fr-FR"/>
        </w:rPr>
        <w:t>disabilities;</w:t>
      </w:r>
      <w:proofErr w:type="gramEnd"/>
    </w:p>
    <w:p w:rsidRPr="00472A63" w:rsidR="00972D4A" w:rsidP="00972D4A" w:rsidRDefault="00972D4A" w14:paraId="1F760CE7" w14:textId="77777777">
      <w:pPr>
        <w:pStyle w:val="JuQuot"/>
        <w:rPr>
          <w:lang w:eastAsia="fr-FR"/>
        </w:rPr>
      </w:pPr>
      <w:r w:rsidRPr="00472A63">
        <w:rPr>
          <w:lang w:eastAsia="fr-FR"/>
        </w:rPr>
        <w:t>(c)</w:t>
      </w:r>
      <w:r>
        <w:rPr>
          <w:lang w:eastAsia="fr-FR"/>
        </w:rPr>
        <w:t>  </w:t>
      </w:r>
      <w:r w:rsidRPr="00472A63">
        <w:rPr>
          <w:lang w:eastAsia="fr-FR"/>
        </w:rPr>
        <w:t xml:space="preserve">To provide training for stakeholders on accessibility issues facing persons with </w:t>
      </w:r>
      <w:proofErr w:type="gramStart"/>
      <w:r w:rsidRPr="00472A63">
        <w:rPr>
          <w:lang w:eastAsia="fr-FR"/>
        </w:rPr>
        <w:t>disabilities;</w:t>
      </w:r>
      <w:proofErr w:type="gramEnd"/>
    </w:p>
    <w:p w:rsidRPr="00472A63" w:rsidR="00972D4A" w:rsidP="00972D4A" w:rsidRDefault="00972D4A" w14:paraId="0ED9BAE2" w14:textId="77777777">
      <w:pPr>
        <w:pStyle w:val="JuQuot"/>
        <w:rPr>
          <w:lang w:eastAsia="fr-FR"/>
        </w:rPr>
      </w:pPr>
      <w:r w:rsidRPr="00472A63">
        <w:rPr>
          <w:lang w:eastAsia="fr-FR"/>
        </w:rPr>
        <w:t>(d)</w:t>
      </w:r>
      <w:r>
        <w:rPr>
          <w:lang w:eastAsia="fr-FR"/>
        </w:rPr>
        <w:t>  </w:t>
      </w:r>
      <w:r w:rsidRPr="00472A63">
        <w:rPr>
          <w:lang w:eastAsia="fr-FR"/>
        </w:rPr>
        <w:t xml:space="preserve">To provide in buildings and other facilities open to the public signage in Braille and in easy to read and understand </w:t>
      </w:r>
      <w:proofErr w:type="gramStart"/>
      <w:r w:rsidRPr="00472A63">
        <w:rPr>
          <w:lang w:eastAsia="fr-FR"/>
        </w:rPr>
        <w:t>forms;</w:t>
      </w:r>
      <w:proofErr w:type="gramEnd"/>
    </w:p>
    <w:p w:rsidRPr="00472A63" w:rsidR="00972D4A" w:rsidP="00972D4A" w:rsidRDefault="00972D4A" w14:paraId="51E33615" w14:textId="77777777">
      <w:pPr>
        <w:pStyle w:val="JuQuot"/>
        <w:rPr>
          <w:lang w:eastAsia="fr-FR"/>
        </w:rPr>
      </w:pPr>
      <w:r w:rsidRPr="00472A63">
        <w:rPr>
          <w:lang w:eastAsia="fr-FR"/>
        </w:rPr>
        <w:t>(e)</w:t>
      </w:r>
      <w:r>
        <w:rPr>
          <w:lang w:eastAsia="fr-FR"/>
        </w:rPr>
        <w:t>  </w:t>
      </w:r>
      <w:r w:rsidRPr="00472A63">
        <w:rPr>
          <w:lang w:eastAsia="fr-FR"/>
        </w:rPr>
        <w:t xml:space="preserve">To provide forms of live assistance and intermediaries, including guides, readers and professional sign language interpreters, to facilitate accessibility to buildings and other facilities open to the </w:t>
      </w:r>
      <w:proofErr w:type="gramStart"/>
      <w:r w:rsidRPr="00472A63">
        <w:rPr>
          <w:lang w:eastAsia="fr-FR"/>
        </w:rPr>
        <w:t>public;</w:t>
      </w:r>
      <w:proofErr w:type="gramEnd"/>
    </w:p>
    <w:p w:rsidRPr="00472A63" w:rsidR="00972D4A" w:rsidP="00972D4A" w:rsidRDefault="00972D4A" w14:paraId="149EB67F" w14:textId="77777777">
      <w:pPr>
        <w:pStyle w:val="JuQuot"/>
        <w:rPr>
          <w:lang w:eastAsia="fr-FR"/>
        </w:rPr>
      </w:pPr>
      <w:r w:rsidRPr="00472A63">
        <w:rPr>
          <w:lang w:eastAsia="fr-FR"/>
        </w:rPr>
        <w:t>(f)</w:t>
      </w:r>
      <w:r>
        <w:rPr>
          <w:lang w:eastAsia="fr-FR"/>
        </w:rPr>
        <w:t>  </w:t>
      </w:r>
      <w:r w:rsidRPr="00472A63">
        <w:rPr>
          <w:lang w:eastAsia="fr-FR"/>
        </w:rPr>
        <w:t xml:space="preserve">To promote other appropriate forms of assistance and support to persons with disabilities to ensure their access to </w:t>
      </w:r>
      <w:proofErr w:type="gramStart"/>
      <w:r w:rsidRPr="00472A63">
        <w:rPr>
          <w:lang w:eastAsia="fr-FR"/>
        </w:rPr>
        <w:t>information;</w:t>
      </w:r>
      <w:proofErr w:type="gramEnd"/>
    </w:p>
    <w:p w:rsidRPr="00472A63" w:rsidR="00972D4A" w:rsidP="00972D4A" w:rsidRDefault="00972D4A" w14:paraId="27CBEB13" w14:textId="77777777">
      <w:pPr>
        <w:pStyle w:val="JuQuot"/>
        <w:rPr>
          <w:lang w:eastAsia="fr-FR"/>
        </w:rPr>
      </w:pPr>
      <w:r w:rsidRPr="00472A63">
        <w:rPr>
          <w:lang w:eastAsia="fr-FR"/>
        </w:rPr>
        <w:t>(g)</w:t>
      </w:r>
      <w:r>
        <w:rPr>
          <w:lang w:eastAsia="fr-FR"/>
        </w:rPr>
        <w:t>  </w:t>
      </w:r>
      <w:r w:rsidRPr="00472A63">
        <w:rPr>
          <w:lang w:eastAsia="fr-FR"/>
        </w:rPr>
        <w:t xml:space="preserve">To promote access for persons with disabilities to new information and communications technologies and systems, including the </w:t>
      </w:r>
      <w:proofErr w:type="gramStart"/>
      <w:r w:rsidRPr="00472A63">
        <w:rPr>
          <w:lang w:eastAsia="fr-FR"/>
        </w:rPr>
        <w:t>Internet;</w:t>
      </w:r>
      <w:proofErr w:type="gramEnd"/>
    </w:p>
    <w:p w:rsidRPr="00472A63" w:rsidR="00972D4A" w:rsidP="00972D4A" w:rsidRDefault="00972D4A" w14:paraId="5505EF93" w14:textId="66783FA2">
      <w:pPr>
        <w:pStyle w:val="JuQuot"/>
        <w:rPr>
          <w:lang w:eastAsia="fr-FR"/>
        </w:rPr>
      </w:pPr>
      <w:r w:rsidRPr="00472A63">
        <w:rPr>
          <w:lang w:eastAsia="fr-FR"/>
        </w:rPr>
        <w:t>(h)</w:t>
      </w:r>
      <w:r>
        <w:rPr>
          <w:lang w:eastAsia="fr-FR"/>
        </w:rPr>
        <w:t>  </w:t>
      </w:r>
      <w:r w:rsidRPr="00472A63">
        <w:rPr>
          <w:lang w:eastAsia="fr-FR"/>
        </w:rPr>
        <w:t>To promote the design, development, production and distribution of accessible information and communications technologies and systems at an early stage, so that these technologies and systems become accessible at minimum cost.</w:t>
      </w:r>
      <w:r w:rsidR="00344775">
        <w:rPr>
          <w:lang w:eastAsia="fr-FR"/>
        </w:rPr>
        <w:t>”</w:t>
      </w:r>
    </w:p>
    <w:p w:rsidRPr="00116029" w:rsidR="00972D4A" w:rsidP="00972D4A" w:rsidRDefault="00972D4A" w14:paraId="5FC4B2AB" w14:textId="77777777">
      <w:pPr>
        <w:pStyle w:val="JuHHead"/>
      </w:pPr>
      <w:r w:rsidRPr="00116029">
        <w:t>COMPLAINT</w:t>
      </w:r>
    </w:p>
    <w:p w:rsidRPr="0040393D" w:rsidR="00972D4A" w:rsidP="00972D4A" w:rsidRDefault="003406A9" w14:paraId="180722EA" w14:textId="77777777">
      <w:pPr>
        <w:pStyle w:val="JuPara"/>
      </w:pPr>
      <w:r>
        <w:rPr>
          <w:noProof/>
        </w:rPr>
        <w:fldChar w:fldCharType="begin"/>
      </w:r>
      <w:r>
        <w:rPr>
          <w:noProof/>
        </w:rPr>
        <w:instrText xml:space="preserve"> SEQ level0 \*arabic \* MERGEFORMAT </w:instrText>
      </w:r>
      <w:r>
        <w:rPr>
          <w:noProof/>
        </w:rPr>
        <w:fldChar w:fldCharType="separate"/>
      </w:r>
      <w:r w:rsidR="00972D4A">
        <w:rPr>
          <w:noProof/>
        </w:rPr>
        <w:t>17</w:t>
      </w:r>
      <w:r>
        <w:rPr>
          <w:noProof/>
        </w:rPr>
        <w:fldChar w:fldCharType="end"/>
      </w:r>
      <w:r w:rsidR="00972D4A">
        <w:t>.  </w:t>
      </w:r>
      <w:r w:rsidRPr="0040393D" w:rsidR="00972D4A">
        <w:t xml:space="preserve">The applicant, who is paraplegic, complained before the Court that the domestic courts had failed to categorise as discrimination the refusal by the </w:t>
      </w:r>
      <w:proofErr w:type="spellStart"/>
      <w:r w:rsidRPr="0040393D" w:rsidR="00972D4A">
        <w:t>Pathé</w:t>
      </w:r>
      <w:proofErr w:type="spellEnd"/>
      <w:r w:rsidRPr="0040393D" w:rsidR="00972D4A">
        <w:t xml:space="preserve"> Rialto cinema in Geneva, operated by a private company, to grant him access. He relied on Article 14, taken together with Articles 8 and 10 of the Convention.</w:t>
      </w:r>
    </w:p>
    <w:p w:rsidRPr="00116029" w:rsidR="00972D4A" w:rsidP="00972D4A" w:rsidRDefault="00972D4A" w14:paraId="64D327D9" w14:textId="77777777">
      <w:pPr>
        <w:pStyle w:val="JuHHead"/>
      </w:pPr>
      <w:r w:rsidRPr="00116029">
        <w:t>THE LAW</w:t>
      </w:r>
    </w:p>
    <w:p w:rsidRPr="0040393D" w:rsidR="00972D4A" w:rsidP="00972D4A" w:rsidRDefault="003406A9" w14:paraId="13AC9C8E" w14:textId="77777777">
      <w:pPr>
        <w:pStyle w:val="JuPara"/>
      </w:pPr>
      <w:r>
        <w:rPr>
          <w:noProof/>
        </w:rPr>
        <w:fldChar w:fldCharType="begin"/>
      </w:r>
      <w:r>
        <w:rPr>
          <w:noProof/>
        </w:rPr>
        <w:instrText xml:space="preserve"> SEQ level0 \*arabic \* MERGEFORMAT </w:instrText>
      </w:r>
      <w:r>
        <w:rPr>
          <w:noProof/>
        </w:rPr>
        <w:fldChar w:fldCharType="separate"/>
      </w:r>
      <w:r w:rsidR="00972D4A">
        <w:rPr>
          <w:noProof/>
        </w:rPr>
        <w:t>18</w:t>
      </w:r>
      <w:r>
        <w:rPr>
          <w:noProof/>
        </w:rPr>
        <w:fldChar w:fldCharType="end"/>
      </w:r>
      <w:r w:rsidR="00972D4A">
        <w:t>.  </w:t>
      </w:r>
      <w:r w:rsidRPr="0040393D" w:rsidR="00972D4A">
        <w:t xml:space="preserve">The applicant alleged that the judgment by the Federal Supreme Court, finding that the decision to deny him access to the cinema on account of his disability did not amount to </w:t>
      </w:r>
      <w:r w:rsidRPr="007018E6" w:rsidR="00972D4A">
        <w:t>discrimination, had been in breach of Article 14 of the Convention, taken together with Articles 8 and 10.</w:t>
      </w:r>
      <w:r w:rsidRPr="0040393D" w:rsidR="00972D4A">
        <w:t xml:space="preserve"> These provisions are worded as follows:</w:t>
      </w:r>
    </w:p>
    <w:p w:rsidRPr="001E3225" w:rsidR="00972D4A" w:rsidP="00972D4A" w:rsidRDefault="00972D4A" w14:paraId="5FFEBC91" w14:textId="77777777">
      <w:pPr>
        <w:pStyle w:val="JuHArticle"/>
        <w:rPr>
          <w:lang w:bidi="en-US"/>
        </w:rPr>
      </w:pPr>
      <w:r w:rsidRPr="001E3225">
        <w:rPr>
          <w:lang w:bidi="en-US"/>
        </w:rPr>
        <w:t>Article 14</w:t>
      </w:r>
    </w:p>
    <w:p w:rsidR="00972D4A" w:rsidP="00972D4A" w:rsidRDefault="00972D4A" w14:paraId="4A94DD5E" w14:textId="77777777">
      <w:pPr>
        <w:pStyle w:val="JuQuot"/>
      </w:pPr>
      <w:r w:rsidRPr="00282EA7">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1E3225" w:rsidR="00972D4A" w:rsidP="00972D4A" w:rsidRDefault="00972D4A" w14:paraId="4BFD3F0E" w14:textId="77777777">
      <w:pPr>
        <w:pStyle w:val="JuHArticle"/>
        <w:rPr>
          <w:lang w:bidi="en-US"/>
        </w:rPr>
      </w:pPr>
      <w:r w:rsidRPr="001E3225">
        <w:rPr>
          <w:lang w:bidi="en-US"/>
        </w:rPr>
        <w:t>Article 8</w:t>
      </w:r>
    </w:p>
    <w:p w:rsidRPr="00282EA7" w:rsidR="00972D4A" w:rsidP="00972D4A" w:rsidRDefault="00972D4A" w14:paraId="4D68E91B" w14:textId="77777777">
      <w:pPr>
        <w:pStyle w:val="JuQuot"/>
      </w:pPr>
      <w:r w:rsidRPr="00282EA7">
        <w:t xml:space="preserve">“1.  Everyone has the right to respect for his private and family life, his </w:t>
      </w:r>
      <w:proofErr w:type="gramStart"/>
      <w:r w:rsidRPr="00282EA7">
        <w:t>home</w:t>
      </w:r>
      <w:proofErr w:type="gramEnd"/>
      <w:r w:rsidRPr="00282EA7">
        <w:t xml:space="preserve"> and his correspondence.</w:t>
      </w:r>
    </w:p>
    <w:p w:rsidR="00972D4A" w:rsidP="00972D4A" w:rsidRDefault="00972D4A" w14:paraId="4CC395A9" w14:textId="77777777">
      <w:pPr>
        <w:pStyle w:val="JuQuot"/>
      </w:pPr>
      <w:r w:rsidRPr="00282EA7">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E3225" w:rsidR="00972D4A" w:rsidP="00972D4A" w:rsidRDefault="00972D4A" w14:paraId="065160F8" w14:textId="77777777">
      <w:pPr>
        <w:pStyle w:val="JuHArticle"/>
        <w:rPr>
          <w:lang w:bidi="en-US"/>
        </w:rPr>
      </w:pPr>
      <w:r w:rsidRPr="001E3225">
        <w:rPr>
          <w:lang w:bidi="en-US"/>
        </w:rPr>
        <w:t>Article 10</w:t>
      </w:r>
    </w:p>
    <w:p w:rsidRPr="00282EA7" w:rsidR="00972D4A" w:rsidP="00972D4A" w:rsidRDefault="00972D4A" w14:paraId="7B01C522" w14:textId="04B5502F">
      <w:pPr>
        <w:pStyle w:val="JuQuot"/>
      </w:pPr>
      <w:r w:rsidRPr="00282EA7">
        <w:t>“1.  Everyone has the right to freedom of expression. This right shall include freedom to hold opinions and to receive and impart information and ideas without interference by public authority and regardless of frontiers</w:t>
      </w:r>
      <w:r w:rsidR="00EB755F">
        <w:t xml:space="preserve"> ... </w:t>
      </w:r>
    </w:p>
    <w:p w:rsidR="00972D4A" w:rsidP="00972D4A" w:rsidRDefault="00972D4A" w14:paraId="0DF4AEA7" w14:textId="77777777">
      <w:pPr>
        <w:pStyle w:val="JuQuot"/>
      </w:pPr>
      <w:r w:rsidRPr="00282EA7">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1E3225" w:rsidR="00972D4A" w:rsidP="00972D4A" w:rsidRDefault="003406A9" w14:paraId="7EDCF589" w14:textId="161F7475">
      <w:pPr>
        <w:pStyle w:val="JuPara"/>
      </w:pPr>
      <w:r>
        <w:rPr>
          <w:noProof/>
        </w:rPr>
        <w:fldChar w:fldCharType="begin"/>
      </w:r>
      <w:r>
        <w:rPr>
          <w:noProof/>
        </w:rPr>
        <w:instrText xml:space="preserve"> SEQ level0 \*arabic \* MERGEFORMAT </w:instrText>
      </w:r>
      <w:r>
        <w:rPr>
          <w:noProof/>
        </w:rPr>
        <w:fldChar w:fldCharType="separate"/>
      </w:r>
      <w:r w:rsidR="00972D4A">
        <w:rPr>
          <w:noProof/>
        </w:rPr>
        <w:t>19</w:t>
      </w:r>
      <w:r>
        <w:rPr>
          <w:noProof/>
        </w:rPr>
        <w:fldChar w:fldCharType="end"/>
      </w:r>
      <w:r w:rsidR="00972D4A">
        <w:t>.  The Government contested this argument</w:t>
      </w:r>
      <w:r w:rsidRPr="001E3225" w:rsidR="00972D4A">
        <w:t xml:space="preserve">. </w:t>
      </w:r>
      <w:r w:rsidR="00972D4A">
        <w:t>They contended that the subject matter of the application fell outside the scope of Article 14, taken together with Articles 8 or 10 of the Convention</w:t>
      </w:r>
      <w:r w:rsidRPr="001E3225" w:rsidR="00972D4A">
        <w:t xml:space="preserve">. </w:t>
      </w:r>
      <w:r w:rsidR="00972D4A">
        <w:t xml:space="preserve">It </w:t>
      </w:r>
      <w:r w:rsidR="00EB755F">
        <w:t xml:space="preserve">ought </w:t>
      </w:r>
      <w:r w:rsidR="00972D4A">
        <w:t xml:space="preserve">therefore </w:t>
      </w:r>
      <w:r w:rsidR="00EB755F">
        <w:t xml:space="preserve">to </w:t>
      </w:r>
      <w:r w:rsidR="00972D4A">
        <w:t xml:space="preserve">be declared </w:t>
      </w:r>
      <w:r w:rsidRPr="001E3225" w:rsidR="00972D4A">
        <w:t xml:space="preserve">incompatible </w:t>
      </w:r>
      <w:r w:rsidRPr="001E3225" w:rsidR="00972D4A">
        <w:rPr>
          <w:i/>
        </w:rPr>
        <w:t xml:space="preserve">ratione </w:t>
      </w:r>
      <w:proofErr w:type="spellStart"/>
      <w:r w:rsidRPr="001E3225" w:rsidR="00972D4A">
        <w:rPr>
          <w:i/>
        </w:rPr>
        <w:t>materiae</w:t>
      </w:r>
      <w:proofErr w:type="spellEnd"/>
      <w:r w:rsidRPr="001E3225" w:rsidR="00972D4A">
        <w:t xml:space="preserve"> </w:t>
      </w:r>
      <w:r w:rsidR="00972D4A">
        <w:t xml:space="preserve">with the </w:t>
      </w:r>
      <w:r w:rsidRPr="001E3225" w:rsidR="00972D4A">
        <w:t>Convention.</w:t>
      </w:r>
    </w:p>
    <w:p w:rsidRPr="001E3225" w:rsidR="00972D4A" w:rsidP="00972D4A" w:rsidRDefault="00972D4A" w14:paraId="7DC483CC" w14:textId="2A389FC0">
      <w:pPr>
        <w:pStyle w:val="JuH1"/>
        <w:numPr>
          <w:ilvl w:val="3"/>
          <w:numId w:val="22"/>
        </w:numPr>
        <w:tabs>
          <w:tab w:val="num" w:pos="1209"/>
        </w:tabs>
        <w:ind w:left="1209" w:hanging="360"/>
      </w:pPr>
      <w:r>
        <w:t>The parties’ submissions</w:t>
      </w:r>
    </w:p>
    <w:p w:rsidRPr="00D006D5" w:rsidR="00972D4A" w:rsidP="00D006D5" w:rsidRDefault="00972D4A" w14:paraId="77013333" w14:textId="18DBD64F">
      <w:pPr>
        <w:pStyle w:val="JuHa0"/>
      </w:pPr>
      <w:r w:rsidRPr="00D006D5">
        <w:t>The Government</w:t>
      </w:r>
    </w:p>
    <w:p w:rsidRPr="001E3225" w:rsidR="00972D4A" w:rsidP="00972D4A" w:rsidRDefault="00972D4A" w14:paraId="041622BE" w14:textId="54303524">
      <w:pPr>
        <w:pStyle w:val="JuPara"/>
      </w:pPr>
      <w:r>
        <w:rPr>
          <w:lang w:bidi="en-US"/>
        </w:rPr>
        <w:fldChar w:fldCharType="begin"/>
      </w:r>
      <w:r>
        <w:rPr>
          <w:lang w:bidi="en-US"/>
        </w:rPr>
        <w:instrText xml:space="preserve"> SEQ level0 \*arabic \* MERGEFORMAT </w:instrText>
      </w:r>
      <w:r>
        <w:rPr>
          <w:lang w:bidi="en-US"/>
        </w:rPr>
        <w:fldChar w:fldCharType="separate"/>
      </w:r>
      <w:r>
        <w:rPr>
          <w:noProof/>
          <w:lang w:bidi="en-US"/>
        </w:rPr>
        <w:t>20</w:t>
      </w:r>
      <w:r>
        <w:rPr>
          <w:lang w:bidi="en-US"/>
        </w:rPr>
        <w:fldChar w:fldCharType="end"/>
      </w:r>
      <w:r>
        <w:rPr>
          <w:lang w:bidi="en-US"/>
        </w:rPr>
        <w:t xml:space="preserve">.  The </w:t>
      </w:r>
      <w:r w:rsidRPr="001E3225">
        <w:rPr>
          <w:lang w:bidi="en-US"/>
        </w:rPr>
        <w:t>Government r</w:t>
      </w:r>
      <w:r>
        <w:rPr>
          <w:lang w:bidi="en-US"/>
        </w:rPr>
        <w:t>eiterated that, in order for Article 8 §</w:t>
      </w:r>
      <w:r w:rsidR="000D5D49">
        <w:rPr>
          <w:lang w:bidi="en-US"/>
        </w:rPr>
        <w:t> </w:t>
      </w:r>
      <w:r>
        <w:rPr>
          <w:lang w:bidi="en-US"/>
        </w:rPr>
        <w:t>1 of the Convention to be applicable, a direct link had to exist between the measures sought by an applicant and the latter’s private life</w:t>
      </w:r>
      <w:r w:rsidRPr="001E3225">
        <w:rPr>
          <w:lang w:bidi="en-US"/>
        </w:rPr>
        <w:t xml:space="preserve">. </w:t>
      </w:r>
      <w:r>
        <w:rPr>
          <w:lang w:bidi="en-US"/>
        </w:rPr>
        <w:t xml:space="preserve">This link </w:t>
      </w:r>
      <w:r w:rsidR="00EB755F">
        <w:rPr>
          <w:lang w:bidi="en-US"/>
        </w:rPr>
        <w:t xml:space="preserve">had been recognised </w:t>
      </w:r>
      <w:r>
        <w:rPr>
          <w:lang w:bidi="en-US"/>
        </w:rPr>
        <w:t xml:space="preserve">where it concerned the layout of areas used on a daily basis (home, workplace) or the possibility of access to a polling station, as the only means of exercising his civic rights. In contrast, such a link </w:t>
      </w:r>
      <w:r w:rsidR="00EB755F">
        <w:rPr>
          <w:lang w:bidi="en-US"/>
        </w:rPr>
        <w:t xml:space="preserve">had not been recognised as </w:t>
      </w:r>
      <w:r>
        <w:rPr>
          <w:lang w:bidi="en-US"/>
        </w:rPr>
        <w:t>regard</w:t>
      </w:r>
      <w:r w:rsidR="00EB755F">
        <w:rPr>
          <w:lang w:bidi="en-US"/>
        </w:rPr>
        <w:t>s</w:t>
      </w:r>
      <w:r>
        <w:rPr>
          <w:lang w:bidi="en-US"/>
        </w:rPr>
        <w:t xml:space="preserve"> access to buildings that were not used on a daily basis </w:t>
      </w:r>
      <w:r w:rsidRPr="001E3225">
        <w:rPr>
          <w:lang w:bidi="en-US"/>
        </w:rPr>
        <w:t>(</w:t>
      </w:r>
      <w:r>
        <w:rPr>
          <w:lang w:bidi="en-US"/>
        </w:rPr>
        <w:t xml:space="preserve">they referred to </w:t>
      </w:r>
      <w:proofErr w:type="spellStart"/>
      <w:r w:rsidRPr="001E3225">
        <w:rPr>
          <w:i/>
        </w:rPr>
        <w:t>Zehnalová</w:t>
      </w:r>
      <w:proofErr w:type="spellEnd"/>
      <w:r w:rsidRPr="001E3225">
        <w:rPr>
          <w:i/>
        </w:rPr>
        <w:t xml:space="preserve"> </w:t>
      </w:r>
      <w:r>
        <w:rPr>
          <w:i/>
        </w:rPr>
        <w:t xml:space="preserve">and </w:t>
      </w:r>
      <w:proofErr w:type="spellStart"/>
      <w:r w:rsidRPr="001E3225">
        <w:rPr>
          <w:i/>
        </w:rPr>
        <w:t>Zehnal</w:t>
      </w:r>
      <w:proofErr w:type="spellEnd"/>
      <w:r w:rsidRPr="001E3225">
        <w:rPr>
          <w:i/>
        </w:rPr>
        <w:t xml:space="preserve"> </w:t>
      </w:r>
      <w:r>
        <w:rPr>
          <w:i/>
        </w:rPr>
        <w:t>v</w:t>
      </w:r>
      <w:r w:rsidRPr="001E3225">
        <w:rPr>
          <w:i/>
        </w:rPr>
        <w:t>.</w:t>
      </w:r>
      <w:r w:rsidR="000D5D49">
        <w:rPr>
          <w:i/>
        </w:rPr>
        <w:t> </w:t>
      </w:r>
      <w:r>
        <w:rPr>
          <w:i/>
        </w:rPr>
        <w:t xml:space="preserve">the Czech </w:t>
      </w:r>
      <w:r w:rsidRPr="001E3225">
        <w:rPr>
          <w:i/>
        </w:rPr>
        <w:t>R</w:t>
      </w:r>
      <w:r>
        <w:rPr>
          <w:i/>
        </w:rPr>
        <w:t>e</w:t>
      </w:r>
      <w:r w:rsidRPr="001E3225">
        <w:rPr>
          <w:i/>
        </w:rPr>
        <w:t>publi</w:t>
      </w:r>
      <w:r>
        <w:rPr>
          <w:i/>
        </w:rPr>
        <w:t xml:space="preserve">c </w:t>
      </w:r>
      <w:r w:rsidRPr="001E3225">
        <w:t>(d</w:t>
      </w:r>
      <w:r>
        <w:t>e</w:t>
      </w:r>
      <w:r w:rsidRPr="001E3225">
        <w:t>c.), n</w:t>
      </w:r>
      <w:r>
        <w:t>o.</w:t>
      </w:r>
      <w:r w:rsidR="000D5D49">
        <w:t> </w:t>
      </w:r>
      <w:r w:rsidRPr="001E3225">
        <w:t xml:space="preserve">38621/97, </w:t>
      </w:r>
      <w:r>
        <w:t>E</w:t>
      </w:r>
      <w:r w:rsidRPr="001E3225">
        <w:t>CH</w:t>
      </w:r>
      <w:r>
        <w:t>R</w:t>
      </w:r>
      <w:r w:rsidRPr="001E3225">
        <w:t xml:space="preserve"> 2002</w:t>
      </w:r>
      <w:r w:rsidRPr="001E3225">
        <w:noBreakHyphen/>
        <w:t>V)</w:t>
      </w:r>
      <w:r w:rsidRPr="001E3225">
        <w:rPr>
          <w:lang w:bidi="en-US"/>
        </w:rPr>
        <w:t xml:space="preserve"> </w:t>
      </w:r>
      <w:r>
        <w:rPr>
          <w:lang w:bidi="en-US"/>
        </w:rPr>
        <w:t xml:space="preserve">and access to a leisure facility </w:t>
      </w:r>
      <w:r w:rsidRPr="001E3225">
        <w:rPr>
          <w:lang w:bidi="en-US"/>
        </w:rPr>
        <w:t>(</w:t>
      </w:r>
      <w:r>
        <w:rPr>
          <w:lang w:bidi="en-US"/>
        </w:rPr>
        <w:t xml:space="preserve">citing </w:t>
      </w:r>
      <w:proofErr w:type="spellStart"/>
      <w:r w:rsidRPr="001E3225">
        <w:rPr>
          <w:i/>
        </w:rPr>
        <w:t>Botta</w:t>
      </w:r>
      <w:proofErr w:type="spellEnd"/>
      <w:r w:rsidRPr="001E3225">
        <w:rPr>
          <w:i/>
        </w:rPr>
        <w:t xml:space="preserve"> </w:t>
      </w:r>
      <w:r>
        <w:rPr>
          <w:i/>
        </w:rPr>
        <w:t>v</w:t>
      </w:r>
      <w:r w:rsidRPr="001E3225">
        <w:rPr>
          <w:i/>
        </w:rPr>
        <w:t>.</w:t>
      </w:r>
      <w:r w:rsidR="000D5D49">
        <w:rPr>
          <w:i/>
        </w:rPr>
        <w:t> </w:t>
      </w:r>
      <w:r w:rsidRPr="001E3225">
        <w:rPr>
          <w:i/>
        </w:rPr>
        <w:t>Ital</w:t>
      </w:r>
      <w:r>
        <w:rPr>
          <w:i/>
        </w:rPr>
        <w:t>y</w:t>
      </w:r>
      <w:r w:rsidRPr="001E3225">
        <w:t xml:space="preserve">, 24 </w:t>
      </w:r>
      <w:r>
        <w:t xml:space="preserve">February </w:t>
      </w:r>
      <w:r w:rsidRPr="001E3225">
        <w:t xml:space="preserve">1998, </w:t>
      </w:r>
      <w:r w:rsidRPr="001E3225">
        <w:rPr>
          <w:i/>
        </w:rPr>
        <w:t>Re</w:t>
      </w:r>
      <w:r>
        <w:rPr>
          <w:i/>
        </w:rPr>
        <w:t xml:space="preserve">ports of Judgments and Decisions </w:t>
      </w:r>
      <w:r w:rsidRPr="001E3225">
        <w:t>1998</w:t>
      </w:r>
      <w:r w:rsidRPr="001E3225">
        <w:noBreakHyphen/>
        <w:t>I</w:t>
      </w:r>
      <w:r w:rsidRPr="001E3225">
        <w:rPr>
          <w:lang w:bidi="en-US"/>
        </w:rPr>
        <w:t>).</w:t>
      </w:r>
    </w:p>
    <w:p w:rsidRPr="001E3225" w:rsidR="00972D4A" w:rsidP="00972D4A" w:rsidRDefault="00972D4A" w14:paraId="603F8633" w14:textId="77777777">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21</w:t>
      </w:r>
      <w:r>
        <w:rPr>
          <w:lang w:bidi="en-US"/>
        </w:rPr>
        <w:fldChar w:fldCharType="end"/>
      </w:r>
      <w:r>
        <w:rPr>
          <w:lang w:bidi="en-US"/>
        </w:rPr>
        <w:t xml:space="preserve">.  In the </w:t>
      </w:r>
      <w:r w:rsidRPr="001E3225">
        <w:rPr>
          <w:lang w:bidi="en-US"/>
        </w:rPr>
        <w:t>Government</w:t>
      </w:r>
      <w:r>
        <w:rPr>
          <w:lang w:bidi="en-US"/>
        </w:rPr>
        <w:t>’s submission</w:t>
      </w:r>
      <w:r w:rsidRPr="001E3225">
        <w:rPr>
          <w:lang w:bidi="en-US"/>
        </w:rPr>
        <w:t xml:space="preserve">, </w:t>
      </w:r>
      <w:r>
        <w:rPr>
          <w:lang w:bidi="en-US"/>
        </w:rPr>
        <w:t xml:space="preserve">the present case was </w:t>
      </w:r>
      <w:r w:rsidRPr="001E3225">
        <w:rPr>
          <w:lang w:bidi="en-US"/>
        </w:rPr>
        <w:t xml:space="preserve">comparable </w:t>
      </w:r>
      <w:r>
        <w:rPr>
          <w:lang w:bidi="en-US"/>
        </w:rPr>
        <w:t xml:space="preserve">to the </w:t>
      </w:r>
      <w:proofErr w:type="spellStart"/>
      <w:r w:rsidRPr="001E3225">
        <w:rPr>
          <w:i/>
          <w:lang w:bidi="en-US"/>
        </w:rPr>
        <w:t>Botta</w:t>
      </w:r>
      <w:proofErr w:type="spellEnd"/>
      <w:r>
        <w:rPr>
          <w:lang w:bidi="en-US"/>
        </w:rPr>
        <w:t xml:space="preserve"> case, in that it concerned access to a recreational facility. The principles set out in that judgment were therefore applicable in the present case and the existence of a direct and immediate link had to be ruled out.</w:t>
      </w:r>
    </w:p>
    <w:p w:rsidR="00972D4A" w:rsidP="00972D4A" w:rsidRDefault="00972D4A" w14:paraId="000C2EB2" w14:textId="77777777">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22</w:t>
      </w:r>
      <w:r>
        <w:rPr>
          <w:lang w:bidi="en-US"/>
        </w:rPr>
        <w:fldChar w:fldCharType="end"/>
      </w:r>
      <w:r>
        <w:rPr>
          <w:lang w:bidi="en-US"/>
        </w:rPr>
        <w:t xml:space="preserve">.  The Government considered that this conclusion was all the more valid in that, unlike the owners of private beaches in the </w:t>
      </w:r>
      <w:proofErr w:type="spellStart"/>
      <w:r w:rsidRPr="00C41961">
        <w:rPr>
          <w:i/>
          <w:iCs/>
          <w:lang w:bidi="en-US"/>
        </w:rPr>
        <w:t>Botta</w:t>
      </w:r>
      <w:proofErr w:type="spellEnd"/>
      <w:r w:rsidRPr="00C41961">
        <w:rPr>
          <w:i/>
          <w:iCs/>
          <w:lang w:bidi="en-US"/>
        </w:rPr>
        <w:t xml:space="preserve"> </w:t>
      </w:r>
      <w:r>
        <w:rPr>
          <w:lang w:bidi="en-US"/>
        </w:rPr>
        <w:t xml:space="preserve">case, the operators of the </w:t>
      </w:r>
      <w:proofErr w:type="spellStart"/>
      <w:r>
        <w:rPr>
          <w:lang w:bidi="en-US"/>
        </w:rPr>
        <w:t>Pathé</w:t>
      </w:r>
      <w:proofErr w:type="spellEnd"/>
      <w:r>
        <w:rPr>
          <w:lang w:bidi="en-US"/>
        </w:rPr>
        <w:t xml:space="preserve"> Rialto cinema were not required by law to make improvements to the cinema building in order to render it accessible to persons with disabilities. The possibility of access requested by the applicant was thus not incorporated in the domestic law, as it had been in the </w:t>
      </w:r>
      <w:proofErr w:type="spellStart"/>
      <w:r w:rsidRPr="00C41961">
        <w:rPr>
          <w:i/>
          <w:iCs/>
          <w:lang w:bidi="en-US"/>
        </w:rPr>
        <w:t>Botta</w:t>
      </w:r>
      <w:proofErr w:type="spellEnd"/>
      <w:r>
        <w:rPr>
          <w:lang w:bidi="en-US"/>
        </w:rPr>
        <w:t xml:space="preserve"> case.</w:t>
      </w:r>
    </w:p>
    <w:p w:rsidR="00972D4A" w:rsidP="00972D4A" w:rsidRDefault="00972D4A" w14:paraId="6E67FFCF" w14:textId="15C1AC7B">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23</w:t>
      </w:r>
      <w:r>
        <w:rPr>
          <w:lang w:bidi="en-US"/>
        </w:rPr>
        <w:fldChar w:fldCharType="end"/>
      </w:r>
      <w:r>
        <w:rPr>
          <w:lang w:bidi="en-US"/>
        </w:rPr>
        <w:t xml:space="preserve">.  The Government also submitted that, since the applicant had gone to the cinema alone, his access to the auditorium in question had required that the cinema staff or third parties assist him in reaching it. In the Government’s view, however, the applicable legislation did not require private service providers to adapt their services to the particular needs of persons with disabilities, apart from the obligations which arose in the event of construction or renovation of buildings, which were not applicable in the present case. The Government added that, according to the domestic authorities’ findings, the applicant weighed 80 kilos, to which should be added the weight of the wheelchair (15 kg). However, access to the auditorium where the </w:t>
      </w:r>
      <w:r w:rsidR="00EB755F">
        <w:rPr>
          <w:lang w:bidi="en-US"/>
        </w:rPr>
        <w:t xml:space="preserve">film </w:t>
      </w:r>
      <w:r>
        <w:rPr>
          <w:lang w:bidi="en-US"/>
        </w:rPr>
        <w:t>“</w:t>
      </w:r>
      <w:proofErr w:type="spellStart"/>
      <w:r>
        <w:rPr>
          <w:lang w:bidi="en-US"/>
        </w:rPr>
        <w:t>Vinyan</w:t>
      </w:r>
      <w:proofErr w:type="spellEnd"/>
      <w:r>
        <w:rPr>
          <w:lang w:bidi="en-US"/>
        </w:rPr>
        <w:t>” was being screened implied going down eight steps; leaving the cinema also implied climbing at least six steps. Moreover, it appeared from the arguments presented by the cinema, and confirmed by the domestic court decisions, that only female members of staff were working on the evening in question.</w:t>
      </w:r>
    </w:p>
    <w:p w:rsidR="00972D4A" w:rsidP="00972D4A" w:rsidRDefault="00972D4A" w14:paraId="26CD9B4B" w14:textId="77777777">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24</w:t>
      </w:r>
      <w:r>
        <w:rPr>
          <w:lang w:bidi="en-US"/>
        </w:rPr>
        <w:fldChar w:fldCharType="end"/>
      </w:r>
      <w:r>
        <w:rPr>
          <w:lang w:bidi="en-US"/>
        </w:rPr>
        <w:t xml:space="preserve">.  The Government also submitted that in the present case, given that the cinema staff had been unable to assist the applicant in climbing the stairs, access to the cinema auditorium was possible only with the help of third parties, that is, other cinemagoers. They pointed out that the applicant had argued in the domestic proceedings that he ought not to have been denied access since he could have asked third parties to help him. However, he did not claim that he had already identified people willing to take responsibility for doing so at the point that he was attempting to buy his ticket. </w:t>
      </w:r>
    </w:p>
    <w:p w:rsidR="00972D4A" w:rsidP="00972D4A" w:rsidRDefault="00972D4A" w14:paraId="38CB4D82" w14:textId="77777777">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25</w:t>
      </w:r>
      <w:r>
        <w:rPr>
          <w:lang w:bidi="en-US"/>
        </w:rPr>
        <w:fldChar w:fldCharType="end"/>
      </w:r>
      <w:r>
        <w:rPr>
          <w:lang w:bidi="en-US"/>
        </w:rPr>
        <w:t>.  In the Government’s view, it was also necessary to bear in mind that, in addition to the practical difficulties described, the applicant’s access also raised the question of the cinema’s liability. That liability could be incurred in the event of injury to the applicant himself, a member of staff or a third party. Even without a legal obligation to adapt the building or its services to the needs of people with disabilities, the cinema’s various forms of liability – contractual liability, liability as the building owner, employer’s liability for employees – came into play as soon as the cinema granted access to the applicant.</w:t>
      </w:r>
    </w:p>
    <w:p w:rsidR="00972D4A" w:rsidP="00972D4A" w:rsidRDefault="00972D4A" w14:paraId="6A695615" w14:textId="53FAA2D3">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26</w:t>
      </w:r>
      <w:r>
        <w:rPr>
          <w:lang w:bidi="en-US"/>
        </w:rPr>
        <w:fldChar w:fldCharType="end"/>
      </w:r>
      <w:r>
        <w:rPr>
          <w:lang w:bidi="en-US"/>
        </w:rPr>
        <w:t xml:space="preserve">.  As to the effects of the refusal of access on the applicant, the Government pointed out that he claimed to be a </w:t>
      </w:r>
      <w:r w:rsidR="00EB755F">
        <w:rPr>
          <w:lang w:bidi="en-US"/>
        </w:rPr>
        <w:t xml:space="preserve">film buff </w:t>
      </w:r>
      <w:r>
        <w:rPr>
          <w:lang w:bidi="en-US"/>
        </w:rPr>
        <w:t xml:space="preserve">who devoted a substantial proportion of his time to cinema. This was an important aspect of his personal development. In that connection, the Government submitted that other cinemas operated by </w:t>
      </w:r>
      <w:proofErr w:type="spellStart"/>
      <w:r>
        <w:rPr>
          <w:lang w:bidi="en-US"/>
        </w:rPr>
        <w:t>Pathé</w:t>
      </w:r>
      <w:proofErr w:type="spellEnd"/>
      <w:r>
        <w:rPr>
          <w:lang w:bidi="en-US"/>
        </w:rPr>
        <w:t xml:space="preserve"> Romandie </w:t>
      </w:r>
      <w:proofErr w:type="spellStart"/>
      <w:r>
        <w:rPr>
          <w:lang w:bidi="en-US"/>
        </w:rPr>
        <w:t>Sàrl</w:t>
      </w:r>
      <w:proofErr w:type="spellEnd"/>
      <w:r>
        <w:rPr>
          <w:lang w:bidi="en-US"/>
        </w:rPr>
        <w:t xml:space="preserve">, specifically the </w:t>
      </w:r>
      <w:proofErr w:type="spellStart"/>
      <w:r>
        <w:rPr>
          <w:lang w:bidi="en-US"/>
        </w:rPr>
        <w:t>Pathé</w:t>
      </w:r>
      <w:proofErr w:type="spellEnd"/>
      <w:r>
        <w:rPr>
          <w:lang w:bidi="en-US"/>
        </w:rPr>
        <w:t xml:space="preserve"> Balexert and </w:t>
      </w:r>
      <w:proofErr w:type="spellStart"/>
      <w:r>
        <w:rPr>
          <w:lang w:bidi="en-US"/>
        </w:rPr>
        <w:t>Pathé</w:t>
      </w:r>
      <w:proofErr w:type="spellEnd"/>
      <w:r>
        <w:rPr>
          <w:lang w:bidi="en-US"/>
        </w:rPr>
        <w:t xml:space="preserve"> Rex, were adapted to the needs of wheelchair users and were therefore freely accessible to the applicant. Furthermore, it appeared from the domestic court decisions that, according to </w:t>
      </w:r>
      <w:proofErr w:type="spellStart"/>
      <w:r>
        <w:rPr>
          <w:lang w:bidi="en-US"/>
        </w:rPr>
        <w:t>Pathé</w:t>
      </w:r>
      <w:proofErr w:type="spellEnd"/>
      <w:r>
        <w:rPr>
          <w:lang w:bidi="en-US"/>
        </w:rPr>
        <w:t xml:space="preserve"> Romandie </w:t>
      </w:r>
      <w:proofErr w:type="spellStart"/>
      <w:r>
        <w:rPr>
          <w:lang w:bidi="en-US"/>
        </w:rPr>
        <w:t>Sàrl’s</w:t>
      </w:r>
      <w:proofErr w:type="spellEnd"/>
      <w:r>
        <w:rPr>
          <w:lang w:bidi="en-US"/>
        </w:rPr>
        <w:t xml:space="preserve"> statistics, the percentage of films shown only at the </w:t>
      </w:r>
      <w:proofErr w:type="spellStart"/>
      <w:r>
        <w:rPr>
          <w:lang w:bidi="en-US"/>
        </w:rPr>
        <w:t>Pathé</w:t>
      </w:r>
      <w:proofErr w:type="spellEnd"/>
      <w:r>
        <w:rPr>
          <w:lang w:bidi="en-US"/>
        </w:rPr>
        <w:t xml:space="preserve"> Rialto cinema in Geneva was approximately 10% in 2009 and approximately 12% between January and July 2010.</w:t>
      </w:r>
    </w:p>
    <w:p w:rsidRPr="001E3225" w:rsidR="00972D4A" w:rsidP="00972D4A" w:rsidRDefault="00972D4A" w14:paraId="66184602" w14:textId="77777777">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27</w:t>
      </w:r>
      <w:r>
        <w:rPr>
          <w:lang w:bidi="en-US"/>
        </w:rPr>
        <w:fldChar w:fldCharType="end"/>
      </w:r>
      <w:r>
        <w:rPr>
          <w:lang w:bidi="en-US"/>
        </w:rPr>
        <w:t>.  For all these reasons, the Government considered that there was not a sufficient link in the present case between the measure requested by the applicant and his private life within the meaning of the Convention, so that Article 8 of the Convention was not applicable.</w:t>
      </w:r>
    </w:p>
    <w:p w:rsidR="00972D4A" w:rsidP="00972D4A" w:rsidRDefault="00972D4A" w14:paraId="4C42A786" w14:textId="4543CD28">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28</w:t>
      </w:r>
      <w:r>
        <w:rPr>
          <w:lang w:bidi="en-US"/>
        </w:rPr>
        <w:fldChar w:fldCharType="end"/>
      </w:r>
      <w:r>
        <w:rPr>
          <w:lang w:bidi="en-US"/>
        </w:rPr>
        <w:t xml:space="preserve">.  The Government considered that, in a case such as the present one, </w:t>
      </w:r>
      <w:r w:rsidR="00D91CA8">
        <w:rPr>
          <w:lang w:bidi="en-US"/>
        </w:rPr>
        <w:t xml:space="preserve">the scope of </w:t>
      </w:r>
      <w:r>
        <w:rPr>
          <w:lang w:bidi="en-US"/>
        </w:rPr>
        <w:t xml:space="preserve">Article 10 did not </w:t>
      </w:r>
      <w:r w:rsidR="00D91CA8">
        <w:rPr>
          <w:lang w:bidi="en-US"/>
        </w:rPr>
        <w:t xml:space="preserve">extend </w:t>
      </w:r>
      <w:r>
        <w:rPr>
          <w:lang w:bidi="en-US"/>
        </w:rPr>
        <w:t>beyond that of Article 8. They submitted that Article 10 could not oblige States to require private persons to take specific measures or to rely on customers present at a given venue to take such measures whenever a cultural service was not accessible as such to a disabled person.</w:t>
      </w:r>
    </w:p>
    <w:p w:rsidRPr="00D006D5" w:rsidR="00972D4A" w:rsidP="00D006D5" w:rsidRDefault="00972D4A" w14:paraId="34218FA1" w14:textId="4FE34000">
      <w:pPr>
        <w:pStyle w:val="JuHa0"/>
      </w:pPr>
      <w:r w:rsidRPr="00D006D5">
        <w:t xml:space="preserve">The applicant </w:t>
      </w:r>
    </w:p>
    <w:p w:rsidRPr="001E3225" w:rsidR="00972D4A" w:rsidP="00972D4A" w:rsidRDefault="00972D4A" w14:paraId="068FE610" w14:textId="59E50261">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29</w:t>
      </w:r>
      <w:r>
        <w:rPr>
          <w:lang w:bidi="en-US"/>
        </w:rPr>
        <w:fldChar w:fldCharType="end"/>
      </w:r>
      <w:r>
        <w:rPr>
          <w:lang w:bidi="en-US"/>
        </w:rPr>
        <w:t xml:space="preserve">.  With regard to the application of Article 8 to the present case, the applicant argued that the Swiss Government had not taken sufficient account of the social contacts that could be formed during a visit to the cinema. In particular, by comparing the present dispute to the above-cited </w:t>
      </w:r>
      <w:proofErr w:type="spellStart"/>
      <w:r w:rsidRPr="00612003">
        <w:rPr>
          <w:i/>
          <w:iCs/>
          <w:lang w:bidi="en-US"/>
        </w:rPr>
        <w:t>Botta</w:t>
      </w:r>
      <w:proofErr w:type="spellEnd"/>
      <w:r w:rsidRPr="00612003">
        <w:rPr>
          <w:i/>
          <w:iCs/>
          <w:lang w:bidi="en-US"/>
        </w:rPr>
        <w:t xml:space="preserve"> </w:t>
      </w:r>
      <w:r>
        <w:rPr>
          <w:lang w:bidi="en-US"/>
        </w:rPr>
        <w:t xml:space="preserve">case, they </w:t>
      </w:r>
      <w:r w:rsidR="00D91CA8">
        <w:rPr>
          <w:lang w:bidi="en-US"/>
        </w:rPr>
        <w:t xml:space="preserve">had </w:t>
      </w:r>
      <w:r>
        <w:rPr>
          <w:lang w:bidi="en-US"/>
        </w:rPr>
        <w:t>reduced it to a problem of access to a recreational facility.</w:t>
      </w:r>
    </w:p>
    <w:p w:rsidR="00972D4A" w:rsidP="00972D4A" w:rsidRDefault="00972D4A" w14:paraId="5979ADBB" w14:textId="19EFD86F">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30</w:t>
      </w:r>
      <w:r>
        <w:rPr>
          <w:lang w:bidi="en-US"/>
        </w:rPr>
        <w:fldChar w:fldCharType="end"/>
      </w:r>
      <w:r>
        <w:rPr>
          <w:lang w:bidi="en-US"/>
        </w:rPr>
        <w:t>.  </w:t>
      </w:r>
      <w:r w:rsidRPr="00761240">
        <w:rPr>
          <w:lang w:bidi="en-US"/>
        </w:rPr>
        <w:t>The applicant consider</w:t>
      </w:r>
      <w:r>
        <w:rPr>
          <w:lang w:bidi="en-US"/>
        </w:rPr>
        <w:t>ed</w:t>
      </w:r>
      <w:r w:rsidRPr="00761240">
        <w:rPr>
          <w:lang w:bidi="en-US"/>
        </w:rPr>
        <w:t xml:space="preserve"> that a se</w:t>
      </w:r>
      <w:r>
        <w:rPr>
          <w:lang w:bidi="en-US"/>
        </w:rPr>
        <w:t xml:space="preserve">ries </w:t>
      </w:r>
      <w:r w:rsidRPr="00761240">
        <w:rPr>
          <w:lang w:bidi="en-US"/>
        </w:rPr>
        <w:t xml:space="preserve">of </w:t>
      </w:r>
      <w:r w:rsidR="00D91CA8">
        <w:rPr>
          <w:lang w:bidi="en-US"/>
        </w:rPr>
        <w:t xml:space="preserve">acts in </w:t>
      </w:r>
      <w:r w:rsidRPr="00761240">
        <w:rPr>
          <w:lang w:bidi="en-US"/>
        </w:rPr>
        <w:t xml:space="preserve">everyday </w:t>
      </w:r>
      <w:r w:rsidR="00D91CA8">
        <w:rPr>
          <w:lang w:bidi="en-US"/>
        </w:rPr>
        <w:t xml:space="preserve">life </w:t>
      </w:r>
      <w:r>
        <w:rPr>
          <w:lang w:bidi="en-US"/>
        </w:rPr>
        <w:t xml:space="preserve">could </w:t>
      </w:r>
      <w:r w:rsidRPr="00761240">
        <w:rPr>
          <w:lang w:bidi="en-US"/>
        </w:rPr>
        <w:t xml:space="preserve">be </w:t>
      </w:r>
      <w:r w:rsidR="00D91CA8">
        <w:rPr>
          <w:lang w:bidi="en-US"/>
        </w:rPr>
        <w:t xml:space="preserve">considered </w:t>
      </w:r>
      <w:r w:rsidRPr="00761240">
        <w:rPr>
          <w:lang w:bidi="en-US"/>
        </w:rPr>
        <w:t xml:space="preserve">essential for the conduct of an independent life under </w:t>
      </w:r>
      <w:r>
        <w:rPr>
          <w:lang w:bidi="en-US"/>
        </w:rPr>
        <w:t>A</w:t>
      </w:r>
      <w:r w:rsidRPr="00761240">
        <w:rPr>
          <w:lang w:bidi="en-US"/>
        </w:rPr>
        <w:t>rticle</w:t>
      </w:r>
      <w:r w:rsidR="00D91CA8">
        <w:rPr>
          <w:lang w:bidi="en-US"/>
        </w:rPr>
        <w:t> </w:t>
      </w:r>
      <w:r w:rsidRPr="00761240">
        <w:rPr>
          <w:lang w:bidi="en-US"/>
        </w:rPr>
        <w:t xml:space="preserve">8 of the Convention. </w:t>
      </w:r>
      <w:r>
        <w:rPr>
          <w:lang w:bidi="en-US"/>
        </w:rPr>
        <w:t>R</w:t>
      </w:r>
      <w:r w:rsidRPr="00761240">
        <w:rPr>
          <w:lang w:bidi="en-US"/>
        </w:rPr>
        <w:t xml:space="preserve">ecognition of this principle </w:t>
      </w:r>
      <w:r>
        <w:rPr>
          <w:lang w:bidi="en-US"/>
        </w:rPr>
        <w:t xml:space="preserve">was </w:t>
      </w:r>
      <w:r w:rsidRPr="00761240">
        <w:rPr>
          <w:lang w:bidi="en-US"/>
        </w:rPr>
        <w:t xml:space="preserve">particularly important when the autonomous participation in society </w:t>
      </w:r>
      <w:r w:rsidRPr="00761240" w:rsidR="00D91CA8">
        <w:rPr>
          <w:lang w:bidi="en-US"/>
        </w:rPr>
        <w:t xml:space="preserve">of </w:t>
      </w:r>
      <w:r w:rsidR="00D91CA8">
        <w:rPr>
          <w:lang w:bidi="en-US"/>
        </w:rPr>
        <w:t xml:space="preserve">disabled </w:t>
      </w:r>
      <w:r w:rsidRPr="00761240" w:rsidR="00D91CA8">
        <w:rPr>
          <w:lang w:bidi="en-US"/>
        </w:rPr>
        <w:t xml:space="preserve">persons </w:t>
      </w:r>
      <w:r>
        <w:rPr>
          <w:lang w:bidi="en-US"/>
        </w:rPr>
        <w:t xml:space="preserve">was </w:t>
      </w:r>
      <w:r w:rsidRPr="00761240">
        <w:rPr>
          <w:lang w:bidi="en-US"/>
        </w:rPr>
        <w:t>at stake.</w:t>
      </w:r>
    </w:p>
    <w:p w:rsidR="00972D4A" w:rsidP="00972D4A" w:rsidRDefault="00972D4A" w14:paraId="2C0AC86F" w14:textId="3530E0FA">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31</w:t>
      </w:r>
      <w:r>
        <w:rPr>
          <w:lang w:bidi="en-US"/>
        </w:rPr>
        <w:fldChar w:fldCharType="end"/>
      </w:r>
      <w:r>
        <w:rPr>
          <w:lang w:bidi="en-US"/>
        </w:rPr>
        <w:t>.  Furthermore, over and above the restriction of his rights sustained by the applicant as a result of the refusal of access to the cinema, it was necessary when ruling on the application of Article 8 of the Convention to take account in this case of the harmful nature of the Federal Supreme Court’s case-law with regard to disabled persons’ autonomous conduct of their lives. He submitted that by failing to qualify as discrimination the cinema’s practice of denying access to a person on the basis of his or her disability without special grounds, the Federal Supreme Court had created a precedent applicable to all private-sector providers of services to individuals. On the basis of this case-law, restaurants, shops, supermarkets, theatres, sports halls or even banks could now refuse access to wheelchair users without any further justification, provided that the architecture of the premises was not adapted to the needs of persons with disabilities and the service provider referred to its fear of being blamed should an accident occur. This case-law thus had an impact on many acts of daily life and resulted in a breach</w:t>
      </w:r>
      <w:r w:rsidR="00D91CA8">
        <w:rPr>
          <w:lang w:bidi="en-US"/>
        </w:rPr>
        <w:t xml:space="preserve">, in respect of </w:t>
      </w:r>
      <w:r>
        <w:rPr>
          <w:lang w:bidi="en-US"/>
        </w:rPr>
        <w:t>the applicant</w:t>
      </w:r>
      <w:r w:rsidR="00D91CA8">
        <w:rPr>
          <w:lang w:bidi="en-US"/>
        </w:rPr>
        <w:t xml:space="preserve"> and of disabled persons in general, of their </w:t>
      </w:r>
      <w:r>
        <w:rPr>
          <w:lang w:bidi="en-US"/>
        </w:rPr>
        <w:t>right, enshrined in Article 8, to choose their social contacts and consequently</w:t>
      </w:r>
      <w:r w:rsidR="00D91CA8">
        <w:rPr>
          <w:lang w:bidi="en-US"/>
        </w:rPr>
        <w:t xml:space="preserve"> resulted </w:t>
      </w:r>
      <w:r>
        <w:rPr>
          <w:lang w:bidi="en-US"/>
        </w:rPr>
        <w:t>in a restriction of their autonomy.</w:t>
      </w:r>
    </w:p>
    <w:p w:rsidRPr="001E3225" w:rsidR="00972D4A" w:rsidP="00972D4A" w:rsidRDefault="00972D4A" w14:paraId="34B81A93" w14:textId="77777777">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32</w:t>
      </w:r>
      <w:r>
        <w:rPr>
          <w:lang w:bidi="en-US"/>
        </w:rPr>
        <w:fldChar w:fldCharType="end"/>
      </w:r>
      <w:r>
        <w:rPr>
          <w:lang w:bidi="en-US"/>
        </w:rPr>
        <w:t>.  In the light of the foregoing, the applicant considered that there was thus indeed a direct and immediate link between the measure that he was urging the State to take in the present dispute, namely a prohibition on refusing to permit individuals to access services on account of a disability where that refusal could not be justified on specific grounds, and the right to lead an independent life under Article 8 of the Convention</w:t>
      </w:r>
      <w:r w:rsidRPr="001E3225">
        <w:rPr>
          <w:lang w:bidi="en-US"/>
        </w:rPr>
        <w:t>.</w:t>
      </w:r>
      <w:r>
        <w:rPr>
          <w:lang w:bidi="en-US"/>
        </w:rPr>
        <w:t xml:space="preserve"> </w:t>
      </w:r>
    </w:p>
    <w:p w:rsidR="00972D4A" w:rsidP="00972D4A" w:rsidRDefault="00972D4A" w14:paraId="15E0417C" w14:textId="7EE93533">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33</w:t>
      </w:r>
      <w:r>
        <w:rPr>
          <w:lang w:bidi="en-US"/>
        </w:rPr>
        <w:fldChar w:fldCharType="end"/>
      </w:r>
      <w:r>
        <w:rPr>
          <w:lang w:bidi="en-US"/>
        </w:rPr>
        <w:t xml:space="preserve">.  The applicant considered that the Government had erred in comparing the present case with the above-cited </w:t>
      </w:r>
      <w:proofErr w:type="spellStart"/>
      <w:r w:rsidRPr="00015AFD">
        <w:rPr>
          <w:i/>
          <w:iCs/>
          <w:lang w:bidi="en-US"/>
        </w:rPr>
        <w:t>Botta</w:t>
      </w:r>
      <w:proofErr w:type="spellEnd"/>
      <w:r>
        <w:rPr>
          <w:lang w:bidi="en-US"/>
        </w:rPr>
        <w:t xml:space="preserve"> case, arguing that he had in fact never claimed that the architecture of the cinema building should be adapted. Nor had he requested any change to the service provided by the cinema, such as, for example, assistance from </w:t>
      </w:r>
      <w:r w:rsidR="00D91CA8">
        <w:rPr>
          <w:lang w:bidi="en-US"/>
        </w:rPr>
        <w:t>its</w:t>
      </w:r>
      <w:r>
        <w:rPr>
          <w:lang w:bidi="en-US"/>
        </w:rPr>
        <w:t xml:space="preserve"> staff. Instead, the applicant merely required that Switzerland interpret the provisions of the domestic legislation on equality for persons with disabilities in a manner that was compatible with Article 14, by asking that the State ensure that the cinema refrain from refusing access to a person on the basis of his or her disability without valid reason. However, contrary to the Government’s submissions, this right to request compliance with non-discriminatory access to a service offered to the public by </w:t>
      </w:r>
      <w:r w:rsidRPr="00F775A7">
        <w:rPr>
          <w:lang w:bidi="en-US"/>
        </w:rPr>
        <w:t xml:space="preserve">a private person </w:t>
      </w:r>
      <w:r>
        <w:rPr>
          <w:lang w:bidi="en-US"/>
        </w:rPr>
        <w:t>had clearly been confirmed by Swiss law in section 6 of the Disability Act.</w:t>
      </w:r>
    </w:p>
    <w:p w:rsidR="00972D4A" w:rsidP="00972D4A" w:rsidRDefault="00972D4A" w14:paraId="573D01D8" w14:textId="77777777">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34</w:t>
      </w:r>
      <w:r>
        <w:rPr>
          <w:lang w:bidi="en-US"/>
        </w:rPr>
        <w:fldChar w:fldCharType="end"/>
      </w:r>
      <w:r>
        <w:rPr>
          <w:lang w:bidi="en-US"/>
        </w:rPr>
        <w:t>.  The applicant argued that, independently of the Disability Act, private law prohibited the operator of a cinema from denying a disabled person access to a cinema. On the basis of the prohibition of immoral conduct, the Federal Supreme Court had recognised an obligation to contract under four conditions: the entrepreneur must offer the services or goods</w:t>
      </w:r>
      <w:r w:rsidRPr="007A11C3">
        <w:rPr>
          <w:lang w:bidi="en-US"/>
        </w:rPr>
        <w:t xml:space="preserve"> </w:t>
      </w:r>
      <w:r>
        <w:rPr>
          <w:lang w:bidi="en-US"/>
        </w:rPr>
        <w:t>publicly; the service or goods must cover ordinary needs; because of the position of strength of the service or goods provider, there must be no other reasonable possibility of obtaining the desired goods or services; and the provider is unable to produce relevant reasons justifying a refusal to contract (Federal Supreme Court decision, ATF 129 III 35, point 6.3). Since these conditions had been met in this case, the service provider was also obliged, on the sole basis of Swiss private law, to contract with the disabled person.</w:t>
      </w:r>
    </w:p>
    <w:p w:rsidR="00972D4A" w:rsidP="00972D4A" w:rsidRDefault="00972D4A" w14:paraId="5A7CA677" w14:textId="77777777">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35</w:t>
      </w:r>
      <w:r>
        <w:rPr>
          <w:lang w:bidi="en-US"/>
        </w:rPr>
        <w:fldChar w:fldCharType="end"/>
      </w:r>
      <w:r>
        <w:rPr>
          <w:lang w:bidi="en-US"/>
        </w:rPr>
        <w:t>.  With regard to the cinema operator’s civil liability “in the event of injury to the applicant himself, a member of staff or a third party”, he submitted that, unless they acted in a clearly inattentive and dangerous manner, individuals (members of staff or customers) who attempted to assist a person with disabilities in gaining access to a building that was unsuited to his or her needs in terms of safety could not be held liable for any physical injuries that the disabled person might sustain in this process.</w:t>
      </w:r>
    </w:p>
    <w:p w:rsidR="00972D4A" w:rsidP="00972D4A" w:rsidRDefault="00972D4A" w14:paraId="7B0B0BC1" w14:textId="77777777">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Pr>
          <w:noProof/>
          <w:lang w:bidi="en-US"/>
        </w:rPr>
        <w:t>36</w:t>
      </w:r>
      <w:r>
        <w:rPr>
          <w:lang w:bidi="en-US"/>
        </w:rPr>
        <w:fldChar w:fldCharType="end"/>
      </w:r>
      <w:r>
        <w:rPr>
          <w:lang w:bidi="en-US"/>
        </w:rPr>
        <w:t>.  With regard to the application of Article 10 to the present case, the applicant pointed out that the scope of this provision was not limited to restrictions on the right to receive information on account of its content. It also protected against restrictions on the right to access information which, as in the present case, resulted from unequal treatment based on disability. In his view, section 6 of the Disability Act imposed an obligation on the private provider to enable wheelchair users to access buildings that were not adapted to their needs. In other words, it required the respondent State, in accordance with the Court’s case-law on Article 14, to prohibit inequality in access to information on the basis of disability that could not be justified on specific grounds.</w:t>
      </w:r>
    </w:p>
    <w:p w:rsidRPr="00487F03" w:rsidR="00972D4A" w:rsidP="00487F03" w:rsidRDefault="00972D4A" w14:paraId="71CED3DC" w14:textId="15843174">
      <w:pPr>
        <w:pStyle w:val="JuH1"/>
      </w:pPr>
      <w:r w:rsidRPr="00487F03">
        <w:t>The Court’s assessment</w:t>
      </w:r>
    </w:p>
    <w:p w:rsidRPr="00D006D5" w:rsidR="00972D4A" w:rsidP="00D006D5" w:rsidRDefault="00972D4A" w14:paraId="26A29CBA" w14:textId="4B91B781">
      <w:pPr>
        <w:pStyle w:val="JuHa0"/>
        <w:numPr>
          <w:ilvl w:val="4"/>
          <w:numId w:val="24"/>
        </w:numPr>
      </w:pPr>
      <w:r w:rsidRPr="00D006D5">
        <w:t xml:space="preserve">Applicable principles </w:t>
      </w:r>
    </w:p>
    <w:p w:rsidRPr="001E3225" w:rsidR="00972D4A" w:rsidP="00972D4A" w:rsidRDefault="003406A9" w14:paraId="47636483" w14:textId="5FCE3A8A">
      <w:pPr>
        <w:pStyle w:val="JuPara"/>
      </w:pPr>
      <w:r>
        <w:rPr>
          <w:noProof/>
        </w:rPr>
        <w:fldChar w:fldCharType="begin"/>
      </w:r>
      <w:r>
        <w:rPr>
          <w:noProof/>
        </w:rPr>
        <w:instrText xml:space="preserve"> SEQ level0 \*arabic \* MERGEFORMAT </w:instrText>
      </w:r>
      <w:r>
        <w:rPr>
          <w:noProof/>
        </w:rPr>
        <w:fldChar w:fldCharType="separate"/>
      </w:r>
      <w:r w:rsidR="00972D4A">
        <w:rPr>
          <w:noProof/>
        </w:rPr>
        <w:t>37</w:t>
      </w:r>
      <w:r>
        <w:rPr>
          <w:noProof/>
        </w:rPr>
        <w:fldChar w:fldCharType="end"/>
      </w:r>
      <w:r w:rsidR="00972D4A">
        <w:t xml:space="preserve">.  As regards protection against discrimination, it should be remembered that Article 14 only complements the other substantive provisions of the Convention and the Protocols thereto. It has no independent existence since it has effect solely in relation to “the enjoyment of the rights and freedoms” safeguarded by those provisions </w:t>
      </w:r>
      <w:r w:rsidRPr="001E3225" w:rsidR="00972D4A">
        <w:t>(</w:t>
      </w:r>
      <w:r w:rsidR="00972D4A">
        <w:t>see, among many other authorities</w:t>
      </w:r>
      <w:r w:rsidRPr="001E3225" w:rsidR="00972D4A">
        <w:t xml:space="preserve">, </w:t>
      </w:r>
      <w:proofErr w:type="spellStart"/>
      <w:r w:rsidRPr="001E3225" w:rsidR="00972D4A">
        <w:rPr>
          <w:i/>
        </w:rPr>
        <w:t>Sahin</w:t>
      </w:r>
      <w:proofErr w:type="spellEnd"/>
      <w:r w:rsidRPr="001E3225" w:rsidR="00972D4A">
        <w:rPr>
          <w:i/>
        </w:rPr>
        <w:t> </w:t>
      </w:r>
      <w:r w:rsidR="00972D4A">
        <w:rPr>
          <w:i/>
        </w:rPr>
        <w:t>v</w:t>
      </w:r>
      <w:r w:rsidRPr="001E3225" w:rsidR="00972D4A">
        <w:rPr>
          <w:i/>
        </w:rPr>
        <w:t>. </w:t>
      </w:r>
      <w:r w:rsidR="00972D4A">
        <w:rPr>
          <w:i/>
        </w:rPr>
        <w:t>Germany</w:t>
      </w:r>
      <w:r w:rsidRPr="001E3225" w:rsidR="00972D4A">
        <w:t xml:space="preserve"> [GC], n</w:t>
      </w:r>
      <w:r w:rsidR="00972D4A">
        <w:t>o. </w:t>
      </w:r>
      <w:r w:rsidRPr="001E3225" w:rsidR="00972D4A">
        <w:t>30943/96, §</w:t>
      </w:r>
      <w:r w:rsidR="00972D4A">
        <w:t> </w:t>
      </w:r>
      <w:r w:rsidRPr="001E3225" w:rsidR="00972D4A">
        <w:t>85, E</w:t>
      </w:r>
      <w:r w:rsidR="00972D4A">
        <w:t>C</w:t>
      </w:r>
      <w:r w:rsidRPr="001E3225" w:rsidR="00972D4A">
        <w:t>H</w:t>
      </w:r>
      <w:r w:rsidR="00972D4A">
        <w:t>R</w:t>
      </w:r>
      <w:r w:rsidR="003440CF">
        <w:t> </w:t>
      </w:r>
      <w:r w:rsidRPr="001E3225" w:rsidR="00972D4A">
        <w:t xml:space="preserve">2003-VIII). </w:t>
      </w:r>
      <w:r w:rsidR="00972D4A">
        <w:t xml:space="preserve">Its application does not necessarily presuppose the violation of one of the substantive rights guaranteed by the Convention. It is necessary and sufficient that the facts of the case fall within the ambit of one or more of the provisions of the Convention or of its Protocols </w:t>
      </w:r>
      <w:r w:rsidRPr="001E3225" w:rsidR="00972D4A">
        <w:t>(</w:t>
      </w:r>
      <w:r w:rsidR="00972D4A">
        <w:t xml:space="preserve">see </w:t>
      </w:r>
      <w:proofErr w:type="spellStart"/>
      <w:r w:rsidRPr="001E3225" w:rsidR="00972D4A">
        <w:rPr>
          <w:i/>
        </w:rPr>
        <w:t>Vallianatos</w:t>
      </w:r>
      <w:proofErr w:type="spellEnd"/>
      <w:r w:rsidRPr="001E3225" w:rsidR="00972D4A">
        <w:rPr>
          <w:i/>
        </w:rPr>
        <w:t xml:space="preserve"> </w:t>
      </w:r>
      <w:r w:rsidR="00972D4A">
        <w:rPr>
          <w:i/>
        </w:rPr>
        <w:t>and Others v.</w:t>
      </w:r>
      <w:r w:rsidR="009D22C0">
        <w:rPr>
          <w:i/>
        </w:rPr>
        <w:t> </w:t>
      </w:r>
      <w:r w:rsidRPr="001E3225" w:rsidR="00972D4A">
        <w:rPr>
          <w:i/>
        </w:rPr>
        <w:t>Greece</w:t>
      </w:r>
      <w:r w:rsidRPr="001E3225" w:rsidR="00972D4A">
        <w:t xml:space="preserve"> [GC], n</w:t>
      </w:r>
      <w:r w:rsidR="00972D4A">
        <w:t>os.</w:t>
      </w:r>
      <w:r w:rsidR="009D22C0">
        <w:t> </w:t>
      </w:r>
      <w:r w:rsidRPr="001E3225" w:rsidR="00972D4A">
        <w:t xml:space="preserve">29381/09 </w:t>
      </w:r>
      <w:r w:rsidR="00972D4A">
        <w:t xml:space="preserve">and </w:t>
      </w:r>
      <w:r w:rsidRPr="001E3225" w:rsidR="00972D4A">
        <w:t>32684/09, §</w:t>
      </w:r>
      <w:r w:rsidR="00972D4A">
        <w:t> </w:t>
      </w:r>
      <w:r w:rsidRPr="001E3225" w:rsidR="00972D4A">
        <w:t>72, E</w:t>
      </w:r>
      <w:r w:rsidR="00972D4A">
        <w:t>C</w:t>
      </w:r>
      <w:r w:rsidRPr="001E3225" w:rsidR="00972D4A">
        <w:t>H</w:t>
      </w:r>
      <w:r w:rsidR="00972D4A">
        <w:t>R</w:t>
      </w:r>
      <w:r w:rsidRPr="001E3225" w:rsidR="00972D4A">
        <w:t xml:space="preserve"> 2013 (extra</w:t>
      </w:r>
      <w:r w:rsidR="00972D4A">
        <w:t>c</w:t>
      </w:r>
      <w:r w:rsidRPr="001E3225" w:rsidR="00972D4A">
        <w:t>ts)).</w:t>
      </w:r>
    </w:p>
    <w:p w:rsidRPr="001E3225" w:rsidR="00972D4A" w:rsidP="00972D4A" w:rsidRDefault="003406A9" w14:paraId="4B13C05E" w14:textId="0321EED5">
      <w:pPr>
        <w:pStyle w:val="JuPara"/>
        <w:rPr>
          <w:color w:val="000000"/>
        </w:rPr>
      </w:pPr>
      <w:r>
        <w:rPr>
          <w:noProof/>
        </w:rPr>
        <w:fldChar w:fldCharType="begin"/>
      </w:r>
      <w:r>
        <w:rPr>
          <w:noProof/>
        </w:rPr>
        <w:instrText xml:space="preserve"> SEQ level0 \*arabic \* MERGEFORMAT </w:instrText>
      </w:r>
      <w:r>
        <w:rPr>
          <w:noProof/>
        </w:rPr>
        <w:fldChar w:fldCharType="separate"/>
      </w:r>
      <w:r w:rsidR="00972D4A">
        <w:rPr>
          <w:noProof/>
        </w:rPr>
        <w:t>38</w:t>
      </w:r>
      <w:r>
        <w:rPr>
          <w:noProof/>
        </w:rPr>
        <w:fldChar w:fldCharType="end"/>
      </w:r>
      <w:r w:rsidR="00972D4A">
        <w:t>.  As regards the “private life” aspect of Article 8, the Court has already had occasion to observe that it is a broad term which is not susceptible to exhaustive definition</w:t>
      </w:r>
      <w:r w:rsidRPr="001E3225" w:rsidR="00972D4A">
        <w:t xml:space="preserve">. </w:t>
      </w:r>
      <w:r w:rsidR="00972D4A">
        <w:t>It can therefore embrace multiple aspects of a person’s physical and social identity</w:t>
      </w:r>
      <w:r w:rsidRPr="001E3225" w:rsidR="00972D4A">
        <w:t xml:space="preserve"> (</w:t>
      </w:r>
      <w:r w:rsidR="00972D4A">
        <w:t xml:space="preserve">see </w:t>
      </w:r>
      <w:proofErr w:type="spellStart"/>
      <w:r w:rsidRPr="001E3225" w:rsidR="00972D4A">
        <w:rPr>
          <w:i/>
        </w:rPr>
        <w:t>Glor</w:t>
      </w:r>
      <w:proofErr w:type="spellEnd"/>
      <w:r w:rsidRPr="001E3225" w:rsidR="00972D4A">
        <w:rPr>
          <w:i/>
        </w:rPr>
        <w:t xml:space="preserve"> </w:t>
      </w:r>
      <w:r w:rsidR="00972D4A">
        <w:rPr>
          <w:i/>
        </w:rPr>
        <w:t>v</w:t>
      </w:r>
      <w:r w:rsidRPr="001E3225" w:rsidR="00972D4A">
        <w:rPr>
          <w:i/>
        </w:rPr>
        <w:t>.</w:t>
      </w:r>
      <w:r w:rsidR="00972D4A">
        <w:rPr>
          <w:i/>
        </w:rPr>
        <w:t> </w:t>
      </w:r>
      <w:r w:rsidRPr="001E3225" w:rsidR="00972D4A">
        <w:rPr>
          <w:i/>
        </w:rPr>
        <w:t>S</w:t>
      </w:r>
      <w:r w:rsidR="00972D4A">
        <w:rPr>
          <w:i/>
        </w:rPr>
        <w:t>witzerland</w:t>
      </w:r>
      <w:r w:rsidRPr="001E3225" w:rsidR="00972D4A">
        <w:t>, n</w:t>
      </w:r>
      <w:r w:rsidR="00972D4A">
        <w:t>o. </w:t>
      </w:r>
      <w:r w:rsidRPr="001E3225" w:rsidR="00972D4A">
        <w:t>13444/04, §</w:t>
      </w:r>
      <w:r w:rsidR="009D22C0">
        <w:t> </w:t>
      </w:r>
      <w:r w:rsidRPr="001E3225" w:rsidR="00972D4A">
        <w:t xml:space="preserve">52, </w:t>
      </w:r>
      <w:r w:rsidR="00972D4A">
        <w:t>ECHR</w:t>
      </w:r>
      <w:r w:rsidRPr="001E3225" w:rsidR="00972D4A">
        <w:t xml:space="preserve"> 2009; </w:t>
      </w:r>
      <w:proofErr w:type="spellStart"/>
      <w:r w:rsidRPr="001E3225" w:rsidR="00972D4A">
        <w:rPr>
          <w:i/>
        </w:rPr>
        <w:t>Mikulić</w:t>
      </w:r>
      <w:proofErr w:type="spellEnd"/>
      <w:r w:rsidRPr="001E3225" w:rsidR="00972D4A">
        <w:rPr>
          <w:i/>
        </w:rPr>
        <w:t xml:space="preserve"> </w:t>
      </w:r>
      <w:r w:rsidR="00972D4A">
        <w:rPr>
          <w:i/>
        </w:rPr>
        <w:t>v</w:t>
      </w:r>
      <w:r w:rsidRPr="001E3225" w:rsidR="00972D4A">
        <w:rPr>
          <w:i/>
        </w:rPr>
        <w:t>.</w:t>
      </w:r>
      <w:r w:rsidR="00972D4A">
        <w:rPr>
          <w:i/>
        </w:rPr>
        <w:t> </w:t>
      </w:r>
      <w:r w:rsidRPr="001E3225" w:rsidR="00972D4A">
        <w:rPr>
          <w:i/>
        </w:rPr>
        <w:t>Croatia</w:t>
      </w:r>
      <w:r w:rsidRPr="001E3225" w:rsidR="00972D4A">
        <w:t>, n</w:t>
      </w:r>
      <w:r w:rsidR="00972D4A">
        <w:t>o. </w:t>
      </w:r>
      <w:r w:rsidRPr="001E3225" w:rsidR="00972D4A">
        <w:t>53176/99, §</w:t>
      </w:r>
      <w:r w:rsidR="00972D4A">
        <w:t> </w:t>
      </w:r>
      <w:r w:rsidRPr="001E3225" w:rsidR="00972D4A">
        <w:t xml:space="preserve">53, </w:t>
      </w:r>
      <w:r w:rsidR="00972D4A">
        <w:t>ECHR</w:t>
      </w:r>
      <w:r w:rsidRPr="001E3225" w:rsidR="00972D4A">
        <w:t xml:space="preserve"> 2002-I</w:t>
      </w:r>
      <w:r w:rsidR="00972D4A">
        <w:t>;</w:t>
      </w:r>
      <w:r w:rsidRPr="001E3225" w:rsidR="00972D4A">
        <w:t xml:space="preserve"> </w:t>
      </w:r>
      <w:r w:rsidR="00972D4A">
        <w:t xml:space="preserve">and </w:t>
      </w:r>
      <w:proofErr w:type="spellStart"/>
      <w:r w:rsidRPr="001E3225" w:rsidR="00972D4A">
        <w:rPr>
          <w:i/>
          <w:iCs/>
        </w:rPr>
        <w:t>Otgon</w:t>
      </w:r>
      <w:proofErr w:type="spellEnd"/>
      <w:r w:rsidRPr="001E3225" w:rsidR="00972D4A">
        <w:rPr>
          <w:i/>
          <w:iCs/>
        </w:rPr>
        <w:t xml:space="preserve"> </w:t>
      </w:r>
      <w:r w:rsidR="00972D4A">
        <w:rPr>
          <w:i/>
          <w:iCs/>
        </w:rPr>
        <w:t>v.</w:t>
      </w:r>
      <w:r w:rsidR="00C43BA7">
        <w:rPr>
          <w:i/>
          <w:iCs/>
        </w:rPr>
        <w:t> </w:t>
      </w:r>
      <w:r w:rsidR="00972D4A">
        <w:rPr>
          <w:i/>
          <w:iCs/>
        </w:rPr>
        <w:t>the Republic of Moldova</w:t>
      </w:r>
      <w:r w:rsidRPr="00E80C67" w:rsidR="00972D4A">
        <w:t>,</w:t>
      </w:r>
      <w:r w:rsidRPr="00E80C67" w:rsidR="00972D4A">
        <w:rPr>
          <w:rFonts w:ascii="Arial" w:hAnsi="Arial" w:cs="Arial"/>
          <w:sz w:val="20"/>
        </w:rPr>
        <w:t xml:space="preserve"> </w:t>
      </w:r>
      <w:r w:rsidRPr="001E3225" w:rsidR="00972D4A">
        <w:t>n</w:t>
      </w:r>
      <w:r w:rsidR="00972D4A">
        <w:t>o. </w:t>
      </w:r>
      <w:r w:rsidRPr="001E3225" w:rsidR="00972D4A">
        <w:t>22743/07</w:t>
      </w:r>
      <w:r w:rsidRPr="001E3225" w:rsidR="00972D4A">
        <w:rPr>
          <w:color w:val="000000"/>
        </w:rPr>
        <w:t>, 25 October 2016).</w:t>
      </w:r>
    </w:p>
    <w:p w:rsidRPr="003A5B68" w:rsidR="00972D4A" w:rsidP="00972D4A" w:rsidRDefault="003406A9" w14:paraId="4FC7BAA0" w14:textId="7361ACE4">
      <w:pPr>
        <w:pStyle w:val="JuPara"/>
      </w:pPr>
      <w:r>
        <w:rPr>
          <w:noProof/>
        </w:rPr>
        <w:fldChar w:fldCharType="begin"/>
      </w:r>
      <w:r>
        <w:rPr>
          <w:noProof/>
        </w:rPr>
        <w:instrText xml:space="preserve"> SEQ level0 \*arabic \* MERGEFORMAT </w:instrText>
      </w:r>
      <w:r>
        <w:rPr>
          <w:noProof/>
        </w:rPr>
        <w:fldChar w:fldCharType="separate"/>
      </w:r>
      <w:r w:rsidR="00972D4A">
        <w:rPr>
          <w:noProof/>
        </w:rPr>
        <w:t>39</w:t>
      </w:r>
      <w:r>
        <w:rPr>
          <w:noProof/>
        </w:rPr>
        <w:fldChar w:fldCharType="end"/>
      </w:r>
      <w:r w:rsidR="00972D4A">
        <w:t>.  </w:t>
      </w:r>
      <w:r w:rsidRPr="003A5B68" w:rsidR="00972D4A">
        <w:t xml:space="preserve">The “private life” concept also covers the right to personal development and to establish and develop relationships with other human beings and the outside world (see, for example, </w:t>
      </w:r>
      <w:r w:rsidRPr="003A5B68" w:rsidR="00972D4A">
        <w:rPr>
          <w:i/>
        </w:rPr>
        <w:t>Evans </w:t>
      </w:r>
      <w:bookmarkStart w:name="_Hlk85723094" w:id="2"/>
      <w:r w:rsidRPr="003A5B68" w:rsidR="00972D4A">
        <w:rPr>
          <w:i/>
        </w:rPr>
        <w:t>v. the United Kingdom</w:t>
      </w:r>
      <w:bookmarkEnd w:id="2"/>
      <w:r w:rsidRPr="003A5B68" w:rsidR="00972D4A">
        <w:t xml:space="preserve"> [GC], no. 6339/05, §</w:t>
      </w:r>
      <w:r w:rsidR="00C43BA7">
        <w:t> </w:t>
      </w:r>
      <w:r w:rsidRPr="003A5B68" w:rsidR="00972D4A">
        <w:t>71, ECHR 2007</w:t>
      </w:r>
      <w:r w:rsidRPr="003A5B68" w:rsidR="00972D4A">
        <w:rPr>
          <w:rFonts w:ascii="MS Mincho" w:hAnsi="MS Mincho" w:eastAsia="MS Mincho" w:cs="MS Mincho"/>
        </w:rPr>
        <w:t>‑</w:t>
      </w:r>
      <w:r w:rsidRPr="003A5B68" w:rsidR="00972D4A">
        <w:t xml:space="preserve">I). Albeit in a different context, the Court has also found that “living together” </w:t>
      </w:r>
      <w:r w:rsidR="00972D4A">
        <w:t>is an important element in modern society and</w:t>
      </w:r>
      <w:r w:rsidRPr="003A5B68" w:rsidR="00972D4A">
        <w:t xml:space="preserve">, </w:t>
      </w:r>
      <w:r w:rsidR="00972D4A">
        <w:t>accordingly, is covered by A</w:t>
      </w:r>
      <w:r w:rsidRPr="003A5B68" w:rsidR="00972D4A">
        <w:t xml:space="preserve">rticles 8 </w:t>
      </w:r>
      <w:r w:rsidR="00972D4A">
        <w:t>and </w:t>
      </w:r>
      <w:r w:rsidRPr="003A5B68" w:rsidR="00972D4A">
        <w:t xml:space="preserve">9 </w:t>
      </w:r>
      <w:r w:rsidR="00972D4A">
        <w:t xml:space="preserve">of the </w:t>
      </w:r>
      <w:r w:rsidRPr="003A5B68" w:rsidR="00972D4A">
        <w:t xml:space="preserve">Convention (see </w:t>
      </w:r>
      <w:r w:rsidRPr="003A5B68" w:rsidR="00972D4A">
        <w:rPr>
          <w:i/>
        </w:rPr>
        <w:t>S.A.S.</w:t>
      </w:r>
      <w:r w:rsidRPr="003A5B68" w:rsidR="00972D4A">
        <w:t xml:space="preserve"> v</w:t>
      </w:r>
      <w:r w:rsidRPr="003A5B68" w:rsidR="00972D4A">
        <w:rPr>
          <w:i/>
        </w:rPr>
        <w:t>.</w:t>
      </w:r>
      <w:r w:rsidR="00C43BA7">
        <w:rPr>
          <w:i/>
        </w:rPr>
        <w:t> </w:t>
      </w:r>
      <w:r w:rsidRPr="003A5B68" w:rsidR="00972D4A">
        <w:rPr>
          <w:i/>
        </w:rPr>
        <w:t>France</w:t>
      </w:r>
      <w:r w:rsidRPr="003A5B68" w:rsidR="00972D4A">
        <w:t xml:space="preserve"> [GC]</w:t>
      </w:r>
      <w:r w:rsidRPr="003A5B68" w:rsidR="00972D4A">
        <w:rPr>
          <w:snapToGrid w:val="0"/>
        </w:rPr>
        <w:t>, no. </w:t>
      </w:r>
      <w:r w:rsidRPr="003A5B68" w:rsidR="00972D4A">
        <w:t>43835/11, §§</w:t>
      </w:r>
      <w:r w:rsidR="00972D4A">
        <w:t> </w:t>
      </w:r>
      <w:r w:rsidRPr="003A5B68" w:rsidR="00972D4A">
        <w:t>121 and 157, ECHR 2014 (extracts)).</w:t>
      </w:r>
    </w:p>
    <w:p w:rsidRPr="003A5B68" w:rsidR="00972D4A" w:rsidP="00972D4A" w:rsidRDefault="003406A9" w14:paraId="3C4F7C38" w14:textId="0BCDA6C6">
      <w:pPr>
        <w:pStyle w:val="JuPara"/>
      </w:pPr>
      <w:r>
        <w:rPr>
          <w:noProof/>
        </w:rPr>
        <w:fldChar w:fldCharType="begin"/>
      </w:r>
      <w:r>
        <w:rPr>
          <w:noProof/>
        </w:rPr>
        <w:instrText xml:space="preserve"> SEQ level0 \*arabic \* MERGEFORMAT </w:instrText>
      </w:r>
      <w:r>
        <w:rPr>
          <w:noProof/>
        </w:rPr>
        <w:fldChar w:fldCharType="separate"/>
      </w:r>
      <w:r w:rsidR="00972D4A">
        <w:rPr>
          <w:noProof/>
        </w:rPr>
        <w:t>40</w:t>
      </w:r>
      <w:r>
        <w:rPr>
          <w:noProof/>
        </w:rPr>
        <w:fldChar w:fldCharType="end"/>
      </w:r>
      <w:r w:rsidR="00972D4A">
        <w:t xml:space="preserve">.  The Court has held that the notion of personal autonomy is an important principle underlying the interpretation of the guarantees of Article 8 </w:t>
      </w:r>
      <w:r w:rsidRPr="003A5B68" w:rsidR="00972D4A">
        <w:t>(</w:t>
      </w:r>
      <w:r w:rsidR="00972D4A">
        <w:t xml:space="preserve">see </w:t>
      </w:r>
      <w:r w:rsidRPr="003A5B68" w:rsidR="00972D4A">
        <w:rPr>
          <w:i/>
        </w:rPr>
        <w:t>Pretty </w:t>
      </w:r>
      <w:r w:rsidRPr="00582CFA" w:rsidR="00972D4A">
        <w:rPr>
          <w:i/>
        </w:rPr>
        <w:t>v. the United Kingdom</w:t>
      </w:r>
      <w:r w:rsidRPr="003A5B68" w:rsidR="00972D4A">
        <w:rPr>
          <w:i/>
        </w:rPr>
        <w:t>,</w:t>
      </w:r>
      <w:r w:rsidRPr="003A5B68" w:rsidR="00972D4A">
        <w:t xml:space="preserve"> n</w:t>
      </w:r>
      <w:r w:rsidR="00972D4A">
        <w:t>o</w:t>
      </w:r>
      <w:r w:rsidR="00C43BA7">
        <w:t>. </w:t>
      </w:r>
      <w:r w:rsidRPr="003A5B68" w:rsidR="00972D4A">
        <w:t>2346/02, §</w:t>
      </w:r>
      <w:r w:rsidR="00972D4A">
        <w:t> </w:t>
      </w:r>
      <w:r w:rsidRPr="003A5B68" w:rsidR="00972D4A">
        <w:t>61, ECHR 2002</w:t>
      </w:r>
      <w:r w:rsidRPr="003A5B68" w:rsidR="00972D4A">
        <w:rPr>
          <w:rFonts w:ascii="MS Mincho" w:hAnsi="MS Mincho" w:eastAsia="MS Mincho" w:cs="MS Mincho"/>
        </w:rPr>
        <w:noBreakHyphen/>
      </w:r>
      <w:r w:rsidRPr="003A5B68" w:rsidR="00972D4A">
        <w:t>III</w:t>
      </w:r>
      <w:r w:rsidR="00972D4A">
        <w:t>;</w:t>
      </w:r>
      <w:r w:rsidRPr="003A5B68" w:rsidR="00972D4A">
        <w:t xml:space="preserve"> </w:t>
      </w:r>
      <w:r w:rsidRPr="003A5B68" w:rsidR="00972D4A">
        <w:rPr>
          <w:i/>
        </w:rPr>
        <w:t>Haas </w:t>
      </w:r>
      <w:r w:rsidR="00972D4A">
        <w:rPr>
          <w:i/>
        </w:rPr>
        <w:t>v</w:t>
      </w:r>
      <w:r w:rsidRPr="003A5B68" w:rsidR="00972D4A">
        <w:rPr>
          <w:i/>
        </w:rPr>
        <w:t>. S</w:t>
      </w:r>
      <w:r w:rsidR="00972D4A">
        <w:rPr>
          <w:i/>
        </w:rPr>
        <w:t>witzerland</w:t>
      </w:r>
      <w:r w:rsidRPr="003A5B68" w:rsidR="00972D4A">
        <w:t>, n</w:t>
      </w:r>
      <w:r w:rsidR="00972D4A">
        <w:t>o,</w:t>
      </w:r>
      <w:r w:rsidRPr="003A5B68" w:rsidR="00972D4A">
        <w:t xml:space="preserve"> 31322/07, </w:t>
      </w:r>
      <w:r w:rsidRPr="003A5B68" w:rsidR="00972D4A">
        <w:rPr>
          <w:rFonts w:ascii="Times New Roman" w:hAnsi="Times New Roman" w:cs="Times New Roman"/>
        </w:rPr>
        <w:t>§</w:t>
      </w:r>
      <w:r w:rsidRPr="003A5B68" w:rsidR="00972D4A">
        <w:t xml:space="preserve"> 51, ECHR 2011</w:t>
      </w:r>
      <w:r w:rsidR="00972D4A">
        <w:t xml:space="preserve">; and </w:t>
      </w:r>
      <w:proofErr w:type="spellStart"/>
      <w:r w:rsidRPr="003A5B68" w:rsidR="00972D4A">
        <w:rPr>
          <w:i/>
        </w:rPr>
        <w:t>Neagu</w:t>
      </w:r>
      <w:proofErr w:type="spellEnd"/>
      <w:r w:rsidRPr="003A5B68" w:rsidR="00972D4A">
        <w:rPr>
          <w:i/>
        </w:rPr>
        <w:t xml:space="preserve"> </w:t>
      </w:r>
      <w:r w:rsidR="00972D4A">
        <w:rPr>
          <w:i/>
        </w:rPr>
        <w:t>v</w:t>
      </w:r>
      <w:r w:rsidRPr="003A5B68" w:rsidR="00972D4A">
        <w:rPr>
          <w:i/>
        </w:rPr>
        <w:t>.</w:t>
      </w:r>
      <w:r w:rsidR="00972D4A">
        <w:rPr>
          <w:i/>
        </w:rPr>
        <w:t> </w:t>
      </w:r>
      <w:r w:rsidRPr="003A5B68" w:rsidR="00972D4A">
        <w:rPr>
          <w:i/>
        </w:rPr>
        <w:t xml:space="preserve">Romania </w:t>
      </w:r>
      <w:r w:rsidRPr="003A5B68" w:rsidR="00972D4A">
        <w:t>((dec.), n</w:t>
      </w:r>
      <w:r w:rsidR="00972D4A">
        <w:t>o.</w:t>
      </w:r>
      <w:r w:rsidRPr="003A5B68" w:rsidR="00972D4A">
        <w:t xml:space="preserve"> 49651/16, 29 </w:t>
      </w:r>
      <w:r w:rsidR="00972D4A">
        <w:t xml:space="preserve">January </w:t>
      </w:r>
      <w:r w:rsidRPr="003A5B68" w:rsidR="00972D4A">
        <w:t xml:space="preserve">2019). </w:t>
      </w:r>
      <w:r w:rsidR="00972D4A">
        <w:t xml:space="preserve">In a recent case against Switzerland, the Court considered Article 8 applicable under its “private” aspect, in so far as that provision guarantees the right to personal development and personal autonomy </w:t>
      </w:r>
      <w:r w:rsidRPr="003A5B68" w:rsidR="00972D4A">
        <w:t>(</w:t>
      </w:r>
      <w:r w:rsidR="00972D4A">
        <w:t xml:space="preserve">see </w:t>
      </w:r>
      <w:r w:rsidRPr="003A5B68" w:rsidR="00972D4A">
        <w:rPr>
          <w:i/>
        </w:rPr>
        <w:t xml:space="preserve">Di </w:t>
      </w:r>
      <w:proofErr w:type="spellStart"/>
      <w:r w:rsidRPr="003A5B68" w:rsidR="00972D4A">
        <w:rPr>
          <w:i/>
        </w:rPr>
        <w:t>Trizio</w:t>
      </w:r>
      <w:proofErr w:type="spellEnd"/>
      <w:r w:rsidRPr="003A5B68" w:rsidR="00972D4A">
        <w:t xml:space="preserve">, </w:t>
      </w:r>
      <w:r w:rsidR="00972D4A">
        <w:t>cited above</w:t>
      </w:r>
      <w:r w:rsidRPr="003A5B68" w:rsidR="00972D4A">
        <w:t xml:space="preserve">, </w:t>
      </w:r>
      <w:r w:rsidRPr="003A5B68" w:rsidR="00972D4A">
        <w:rPr>
          <w:snapToGrid w:val="0"/>
        </w:rPr>
        <w:t>§</w:t>
      </w:r>
      <w:r w:rsidR="00972D4A">
        <w:rPr>
          <w:snapToGrid w:val="0"/>
        </w:rPr>
        <w:t> </w:t>
      </w:r>
      <w:r w:rsidRPr="003A5B68" w:rsidR="00972D4A">
        <w:rPr>
          <w:snapToGrid w:val="0"/>
        </w:rPr>
        <w:t>64</w:t>
      </w:r>
      <w:r w:rsidRPr="003A5B68" w:rsidR="00972D4A">
        <w:t>).</w:t>
      </w:r>
    </w:p>
    <w:p w:rsidRPr="003A5B68" w:rsidR="00972D4A" w:rsidP="00972D4A" w:rsidRDefault="003406A9" w14:paraId="505D3FFE" w14:textId="71E1FC4E">
      <w:pPr>
        <w:pStyle w:val="JuPara"/>
      </w:pPr>
      <w:r>
        <w:rPr>
          <w:noProof/>
        </w:rPr>
        <w:fldChar w:fldCharType="begin"/>
      </w:r>
      <w:r>
        <w:rPr>
          <w:noProof/>
        </w:rPr>
        <w:instrText xml:space="preserve"> SEQ level0 \*arabic \* MERGEFORMAT </w:instrText>
      </w:r>
      <w:r>
        <w:rPr>
          <w:noProof/>
        </w:rPr>
        <w:fldChar w:fldCharType="separate"/>
      </w:r>
      <w:r w:rsidR="00972D4A">
        <w:rPr>
          <w:noProof/>
        </w:rPr>
        <w:t>41</w:t>
      </w:r>
      <w:r>
        <w:rPr>
          <w:noProof/>
        </w:rPr>
        <w:fldChar w:fldCharType="end"/>
      </w:r>
      <w:r w:rsidR="00972D4A">
        <w:t xml:space="preserve">.  The Court also reiterates that the Convention is intended to guarantee not rights that are theoretical or illusory but rights that are practical and effective </w:t>
      </w:r>
      <w:r w:rsidRPr="003A5B68" w:rsidR="00972D4A">
        <w:t>(</w:t>
      </w:r>
      <w:r w:rsidR="00972D4A">
        <w:t xml:space="preserve">see, among many other authorities, </w:t>
      </w:r>
      <w:proofErr w:type="spellStart"/>
      <w:r w:rsidRPr="003A5B68" w:rsidR="00972D4A">
        <w:rPr>
          <w:i/>
        </w:rPr>
        <w:t>Kimlya</w:t>
      </w:r>
      <w:proofErr w:type="spellEnd"/>
      <w:r w:rsidRPr="003A5B68" w:rsidR="00972D4A">
        <w:rPr>
          <w:i/>
        </w:rPr>
        <w:t xml:space="preserve"> </w:t>
      </w:r>
      <w:r w:rsidR="00972D4A">
        <w:rPr>
          <w:i/>
        </w:rPr>
        <w:t>and Others v. </w:t>
      </w:r>
      <w:r w:rsidRPr="003A5B68" w:rsidR="00972D4A">
        <w:rPr>
          <w:i/>
        </w:rPr>
        <w:t>Russi</w:t>
      </w:r>
      <w:r w:rsidR="00972D4A">
        <w:rPr>
          <w:i/>
        </w:rPr>
        <w:t>a</w:t>
      </w:r>
      <w:r w:rsidRPr="003A5B68" w:rsidR="00972D4A">
        <w:t>, n</w:t>
      </w:r>
      <w:r w:rsidR="00972D4A">
        <w:t xml:space="preserve">os. </w:t>
      </w:r>
      <w:r w:rsidRPr="003A5B68" w:rsidR="00972D4A">
        <w:t xml:space="preserve">76836/01 </w:t>
      </w:r>
      <w:r w:rsidR="00972D4A">
        <w:t xml:space="preserve">and </w:t>
      </w:r>
      <w:r w:rsidRPr="003A5B68" w:rsidR="00972D4A">
        <w:t>32782/03, §</w:t>
      </w:r>
      <w:r w:rsidR="00C43BA7">
        <w:t> </w:t>
      </w:r>
      <w:r w:rsidRPr="003A5B68" w:rsidR="00972D4A">
        <w:t>86, ECHR 2009</w:t>
      </w:r>
      <w:r w:rsidR="00972D4A">
        <w:t>,</w:t>
      </w:r>
      <w:r w:rsidRPr="003A5B68" w:rsidR="00972D4A">
        <w:t xml:space="preserve"> </w:t>
      </w:r>
      <w:r w:rsidR="00972D4A">
        <w:t xml:space="preserve">and </w:t>
      </w:r>
      <w:proofErr w:type="spellStart"/>
      <w:r w:rsidRPr="003A5B68" w:rsidR="00972D4A">
        <w:rPr>
          <w:i/>
        </w:rPr>
        <w:t>Artico</w:t>
      </w:r>
      <w:proofErr w:type="spellEnd"/>
      <w:r w:rsidRPr="003A5B68" w:rsidR="00972D4A">
        <w:rPr>
          <w:i/>
        </w:rPr>
        <w:t> </w:t>
      </w:r>
      <w:r w:rsidR="00972D4A">
        <w:rPr>
          <w:i/>
        </w:rPr>
        <w:t>v</w:t>
      </w:r>
      <w:r w:rsidRPr="003A5B68" w:rsidR="00972D4A">
        <w:rPr>
          <w:i/>
        </w:rPr>
        <w:t>. Ital</w:t>
      </w:r>
      <w:r w:rsidR="00972D4A">
        <w:rPr>
          <w:i/>
        </w:rPr>
        <w:t>y</w:t>
      </w:r>
      <w:r w:rsidRPr="003A5B68" w:rsidR="00972D4A">
        <w:t>, 13 May 1980, §</w:t>
      </w:r>
      <w:r w:rsidR="00C43BA7">
        <w:t> </w:t>
      </w:r>
      <w:r w:rsidRPr="003A5B68" w:rsidR="00972D4A">
        <w:t xml:space="preserve">33, </w:t>
      </w:r>
      <w:r w:rsidR="00972D4A">
        <w:t>Se</w:t>
      </w:r>
      <w:r w:rsidRPr="003A5B68" w:rsidR="00972D4A">
        <w:t>rie</w:t>
      </w:r>
      <w:r w:rsidR="00972D4A">
        <w:t>s</w:t>
      </w:r>
      <w:r w:rsidRPr="003A5B68" w:rsidR="00972D4A">
        <w:t> A n</w:t>
      </w:r>
      <w:r w:rsidR="00972D4A">
        <w:t>o.</w:t>
      </w:r>
      <w:r w:rsidRPr="003A5B68" w:rsidR="00972D4A">
        <w:t xml:space="preserve"> 37). </w:t>
      </w:r>
      <w:r w:rsidR="00972D4A">
        <w:t>In other words, regard must be had to the particular features of the case under consideration and, in particular, of the social and family situations in which applicants find themselves</w:t>
      </w:r>
      <w:r w:rsidRPr="003A5B68" w:rsidR="00972D4A">
        <w:t>.</w:t>
      </w:r>
    </w:p>
    <w:p w:rsidRPr="001E3225" w:rsidR="00972D4A" w:rsidP="00972D4A" w:rsidRDefault="003406A9" w14:paraId="246CD056" w14:textId="61C8A206">
      <w:pPr>
        <w:pStyle w:val="JuPara"/>
        <w:rPr>
          <w:i/>
        </w:rPr>
      </w:pPr>
      <w:r>
        <w:rPr>
          <w:noProof/>
        </w:rPr>
        <w:fldChar w:fldCharType="begin"/>
      </w:r>
      <w:r>
        <w:rPr>
          <w:noProof/>
        </w:rPr>
        <w:instrText xml:space="preserve"> SEQ level0 \*arabic \* MERGEFORMAT </w:instrText>
      </w:r>
      <w:r>
        <w:rPr>
          <w:noProof/>
        </w:rPr>
        <w:fldChar w:fldCharType="separate"/>
      </w:r>
      <w:r w:rsidR="00972D4A">
        <w:rPr>
          <w:noProof/>
        </w:rPr>
        <w:t>42</w:t>
      </w:r>
      <w:r>
        <w:rPr>
          <w:noProof/>
        </w:rPr>
        <w:fldChar w:fldCharType="end"/>
      </w:r>
      <w:r w:rsidR="00972D4A">
        <w:t xml:space="preserve">.  Lastly, the Court reiterates that the Convention is a living instrument which must be interpreted in the light of present-day conditions and of the ideas prevailing in democratic States today </w:t>
      </w:r>
      <w:r w:rsidRPr="003A5B68" w:rsidR="00972D4A">
        <w:t>(</w:t>
      </w:r>
      <w:r w:rsidR="00972D4A">
        <w:t>see, among many other authorities,</w:t>
      </w:r>
      <w:r w:rsidRPr="003A5B68" w:rsidR="00972D4A">
        <w:t xml:space="preserve"> </w:t>
      </w:r>
      <w:proofErr w:type="spellStart"/>
      <w:r w:rsidRPr="003A5B68" w:rsidR="00972D4A">
        <w:rPr>
          <w:i/>
        </w:rPr>
        <w:t>Bayatyan</w:t>
      </w:r>
      <w:proofErr w:type="spellEnd"/>
      <w:r w:rsidRPr="003A5B68" w:rsidR="00972D4A">
        <w:rPr>
          <w:i/>
        </w:rPr>
        <w:t xml:space="preserve"> </w:t>
      </w:r>
      <w:r w:rsidR="00972D4A">
        <w:rPr>
          <w:i/>
        </w:rPr>
        <w:t>v</w:t>
      </w:r>
      <w:r w:rsidRPr="003A5B68" w:rsidR="00972D4A">
        <w:rPr>
          <w:i/>
        </w:rPr>
        <w:t>.</w:t>
      </w:r>
      <w:r w:rsidR="00972D4A">
        <w:rPr>
          <w:i/>
        </w:rPr>
        <w:t> </w:t>
      </w:r>
      <w:r w:rsidRPr="003A5B68" w:rsidR="00972D4A">
        <w:rPr>
          <w:i/>
        </w:rPr>
        <w:t>Armenia</w:t>
      </w:r>
      <w:r w:rsidRPr="003A5B68" w:rsidR="00972D4A">
        <w:t xml:space="preserve"> [GC], n</w:t>
      </w:r>
      <w:r w:rsidR="00972D4A">
        <w:t>o. </w:t>
      </w:r>
      <w:r w:rsidRPr="003A5B68" w:rsidR="00972D4A">
        <w:t>23459/03, §</w:t>
      </w:r>
      <w:r w:rsidR="00972D4A">
        <w:t> </w:t>
      </w:r>
      <w:r w:rsidRPr="003A5B68" w:rsidR="00972D4A">
        <w:t>102, ECHR 2011</w:t>
      </w:r>
      <w:r w:rsidR="00972D4A">
        <w:t>;</w:t>
      </w:r>
      <w:r w:rsidRPr="001E3225" w:rsidR="00972D4A">
        <w:t xml:space="preserve"> </w:t>
      </w:r>
      <w:proofErr w:type="spellStart"/>
      <w:r w:rsidRPr="001E3225" w:rsidR="00972D4A">
        <w:rPr>
          <w:i/>
        </w:rPr>
        <w:t>Tyrer</w:t>
      </w:r>
      <w:proofErr w:type="spellEnd"/>
      <w:r w:rsidRPr="001E3225" w:rsidR="00972D4A">
        <w:rPr>
          <w:i/>
        </w:rPr>
        <w:t> </w:t>
      </w:r>
      <w:r w:rsidR="00972D4A">
        <w:rPr>
          <w:i/>
        </w:rPr>
        <w:t>v</w:t>
      </w:r>
      <w:r w:rsidRPr="001E3225" w:rsidR="00972D4A">
        <w:rPr>
          <w:i/>
        </w:rPr>
        <w:t>.</w:t>
      </w:r>
      <w:r w:rsidR="00C43BA7">
        <w:rPr>
          <w:i/>
        </w:rPr>
        <w:t> </w:t>
      </w:r>
      <w:r w:rsidR="00972D4A">
        <w:rPr>
          <w:i/>
        </w:rPr>
        <w:t xml:space="preserve">the United Kingdom, </w:t>
      </w:r>
      <w:r w:rsidRPr="001E3225" w:rsidR="00972D4A">
        <w:t xml:space="preserve">25 </w:t>
      </w:r>
      <w:r w:rsidR="00972D4A">
        <w:t xml:space="preserve">April </w:t>
      </w:r>
      <w:r w:rsidRPr="001E3225" w:rsidR="00972D4A">
        <w:t>1978, §</w:t>
      </w:r>
      <w:r w:rsidR="00972D4A">
        <w:t> </w:t>
      </w:r>
      <w:r w:rsidRPr="001E3225" w:rsidR="00972D4A">
        <w:t xml:space="preserve">31, </w:t>
      </w:r>
      <w:r w:rsidR="00972D4A">
        <w:t>Se</w:t>
      </w:r>
      <w:r w:rsidRPr="001E3225" w:rsidR="00972D4A">
        <w:t>rie</w:t>
      </w:r>
      <w:r w:rsidR="00972D4A">
        <w:t>s</w:t>
      </w:r>
      <w:r w:rsidRPr="001E3225" w:rsidR="00972D4A">
        <w:t xml:space="preserve"> A n</w:t>
      </w:r>
      <w:r w:rsidR="00972D4A">
        <w:t>o. </w:t>
      </w:r>
      <w:r w:rsidRPr="001E3225" w:rsidR="00972D4A">
        <w:t>26</w:t>
      </w:r>
      <w:r w:rsidR="00972D4A">
        <w:t xml:space="preserve">; and </w:t>
      </w:r>
      <w:r w:rsidRPr="001E3225" w:rsidR="00972D4A">
        <w:rPr>
          <w:i/>
        </w:rPr>
        <w:t>Kress </w:t>
      </w:r>
      <w:r w:rsidR="00972D4A">
        <w:rPr>
          <w:i/>
        </w:rPr>
        <w:t>v</w:t>
      </w:r>
      <w:r w:rsidRPr="001E3225" w:rsidR="00972D4A">
        <w:rPr>
          <w:i/>
        </w:rPr>
        <w:t>. France</w:t>
      </w:r>
      <w:r w:rsidRPr="001E3225" w:rsidR="00972D4A">
        <w:t xml:space="preserve"> [GC], n</w:t>
      </w:r>
      <w:r w:rsidR="00972D4A">
        <w:t>o. </w:t>
      </w:r>
      <w:hyperlink w:tgtFrame="_blank" w:history="1" w:anchor="{&quot;appno&quot;:[&quot;39594/98&quot;]}" r:id="rId8">
        <w:r w:rsidRPr="001E3225" w:rsidR="00972D4A">
          <w:t>39594/98</w:t>
        </w:r>
      </w:hyperlink>
      <w:r w:rsidRPr="001E3225" w:rsidR="00972D4A">
        <w:t>, §</w:t>
      </w:r>
      <w:r w:rsidR="00972D4A">
        <w:t> </w:t>
      </w:r>
      <w:r w:rsidRPr="001E3225" w:rsidR="00972D4A">
        <w:t xml:space="preserve">70, </w:t>
      </w:r>
      <w:r w:rsidR="00972D4A">
        <w:t>ECHR</w:t>
      </w:r>
      <w:r w:rsidRPr="001E3225" w:rsidR="00972D4A">
        <w:t xml:space="preserve"> 2001</w:t>
      </w:r>
      <w:r w:rsidRPr="001E3225" w:rsidR="00972D4A">
        <w:noBreakHyphen/>
        <w:t>VI).</w:t>
      </w:r>
    </w:p>
    <w:p w:rsidRPr="00D006D5" w:rsidR="00972D4A" w:rsidP="00D006D5" w:rsidRDefault="00972D4A" w14:paraId="7D813DA4" w14:textId="7290E9A5">
      <w:pPr>
        <w:pStyle w:val="JuHa0"/>
        <w:numPr>
          <w:ilvl w:val="4"/>
          <w:numId w:val="24"/>
        </w:numPr>
      </w:pPr>
      <w:r w:rsidRPr="00D006D5">
        <w:t>Cases similar to the present one</w:t>
      </w:r>
    </w:p>
    <w:p w:rsidRPr="001E3225" w:rsidR="00972D4A" w:rsidP="00972D4A" w:rsidRDefault="003406A9" w14:paraId="6226CAF1" w14:textId="0FCD021E">
      <w:pPr>
        <w:pStyle w:val="JuPara"/>
      </w:pPr>
      <w:r>
        <w:rPr>
          <w:noProof/>
        </w:rPr>
        <w:fldChar w:fldCharType="begin"/>
      </w:r>
      <w:r>
        <w:rPr>
          <w:noProof/>
        </w:rPr>
        <w:instrText xml:space="preserve"> SEQ level0 \*arabic \* MERGEFORMAT</w:instrText>
      </w:r>
      <w:r>
        <w:rPr>
          <w:noProof/>
        </w:rPr>
        <w:instrText xml:space="preserve"> </w:instrText>
      </w:r>
      <w:r>
        <w:rPr>
          <w:noProof/>
        </w:rPr>
        <w:fldChar w:fldCharType="separate"/>
      </w:r>
      <w:r w:rsidR="00972D4A">
        <w:rPr>
          <w:noProof/>
        </w:rPr>
        <w:t>43</w:t>
      </w:r>
      <w:r>
        <w:rPr>
          <w:noProof/>
        </w:rPr>
        <w:fldChar w:fldCharType="end"/>
      </w:r>
      <w:r w:rsidR="00972D4A">
        <w:t>.  The Court considers that</w:t>
      </w:r>
      <w:r w:rsidR="00C43BA7">
        <w:t xml:space="preserve"> there</w:t>
      </w:r>
      <w:r w:rsidR="00972D4A">
        <w:t xml:space="preserve"> are certain similarities between the present case, in which the applicant complains about the fact that he was refused access to a cinema on account of his disability, and the following cases already ruled on by the </w:t>
      </w:r>
      <w:r w:rsidRPr="001E3225" w:rsidR="00972D4A">
        <w:t>Cour</w:t>
      </w:r>
      <w:r w:rsidR="00972D4A">
        <w:t>t</w:t>
      </w:r>
      <w:r w:rsidRPr="001E3225" w:rsidR="00972D4A">
        <w:t xml:space="preserve">. </w:t>
      </w:r>
      <w:r w:rsidR="00972D4A">
        <w:t xml:space="preserve">In the above-cited </w:t>
      </w:r>
      <w:proofErr w:type="spellStart"/>
      <w:r w:rsidRPr="001E3225" w:rsidR="00972D4A">
        <w:rPr>
          <w:i/>
        </w:rPr>
        <w:t>Botta</w:t>
      </w:r>
      <w:proofErr w:type="spellEnd"/>
      <w:r w:rsidRPr="001E3225" w:rsidR="00972D4A">
        <w:t xml:space="preserve"> </w:t>
      </w:r>
      <w:r w:rsidR="00972D4A">
        <w:t>case</w:t>
      </w:r>
      <w:r w:rsidRPr="001E3225" w:rsidR="00972D4A">
        <w:t xml:space="preserve">, </w:t>
      </w:r>
      <w:r w:rsidRPr="00F0632B" w:rsidR="00972D4A">
        <w:rPr>
          <w:rFonts w:asciiTheme="majorHAnsi" w:hAnsiTheme="majorHAnsi" w:cstheme="majorHAnsi"/>
        </w:rPr>
        <w:t>decided in 1998,</w:t>
      </w:r>
      <w:r w:rsidRPr="00F0632B" w:rsidR="00972D4A">
        <w:rPr>
          <w:rFonts w:asciiTheme="majorHAnsi" w:hAnsiTheme="majorHAnsi" w:cstheme="majorHAnsi"/>
          <w:color w:val="000000"/>
        </w:rPr>
        <w:t xml:space="preserve"> th</w:t>
      </w:r>
      <w:r w:rsidR="00972D4A">
        <w:rPr>
          <w:rFonts w:asciiTheme="majorHAnsi" w:hAnsiTheme="majorHAnsi" w:cstheme="majorHAnsi"/>
          <w:color w:val="000000"/>
        </w:rPr>
        <w:t xml:space="preserve">e applicant complained about </w:t>
      </w:r>
      <w:r w:rsidRPr="00F0632B" w:rsidR="00972D4A">
        <w:rPr>
          <w:rFonts w:asciiTheme="majorHAnsi" w:hAnsiTheme="majorHAnsi" w:cstheme="majorHAnsi"/>
        </w:rPr>
        <w:t>the State’s failure</w:t>
      </w:r>
      <w:r w:rsidR="00972D4A">
        <w:t xml:space="preserve"> to take appropriate measures to remedy the omissions imputable to private bathing establishments, preventing access to the beach and the sea for disabled people</w:t>
      </w:r>
      <w:r w:rsidRPr="001E3225" w:rsidR="00972D4A">
        <w:t xml:space="preserve">. </w:t>
      </w:r>
      <w:r w:rsidR="00972D4A">
        <w:t>The Court found in that case that the right asserted by Mr </w:t>
      </w:r>
      <w:proofErr w:type="spellStart"/>
      <w:r w:rsidR="00972D4A">
        <w:t>Botta</w:t>
      </w:r>
      <w:proofErr w:type="spellEnd"/>
      <w:r w:rsidR="00972D4A">
        <w:t xml:space="preserve">, namely the right to gain access to the beach and the sea at a place distant from his normal place of residence during his holidays, concerned interpersonal relations of such broad and indeterminate scope that there could be no conceivable direct link between the measures the State was urged to take in order to make good the omissions of the private bathing establishments and the applicant’s private life </w:t>
      </w:r>
      <w:r w:rsidRPr="001E3225" w:rsidR="00972D4A">
        <w:t>(§</w:t>
      </w:r>
      <w:r w:rsidR="00972D4A">
        <w:t> </w:t>
      </w:r>
      <w:r w:rsidRPr="001E3225" w:rsidR="00972D4A">
        <w:t xml:space="preserve">35). </w:t>
      </w:r>
      <w:r w:rsidR="00972D4A">
        <w:t>It followed that A</w:t>
      </w:r>
      <w:r w:rsidRPr="001E3225" w:rsidR="00972D4A">
        <w:t>rticle</w:t>
      </w:r>
      <w:r w:rsidR="00972D4A">
        <w:t> </w:t>
      </w:r>
      <w:r w:rsidRPr="001E3225" w:rsidR="00972D4A">
        <w:t xml:space="preserve">8 </w:t>
      </w:r>
      <w:r w:rsidR="00972D4A">
        <w:t>was not applicable</w:t>
      </w:r>
      <w:r w:rsidRPr="001E3225" w:rsidR="00972D4A">
        <w:t>.</w:t>
      </w:r>
    </w:p>
    <w:p w:rsidRPr="001E3225" w:rsidR="00972D4A" w:rsidP="00972D4A" w:rsidRDefault="003406A9" w14:paraId="05445DE4" w14:textId="33C7AA25">
      <w:pPr>
        <w:pStyle w:val="JuPara"/>
      </w:pPr>
      <w:r>
        <w:rPr>
          <w:noProof/>
        </w:rPr>
        <w:fldChar w:fldCharType="begin"/>
      </w:r>
      <w:r>
        <w:rPr>
          <w:noProof/>
        </w:rPr>
        <w:instrText xml:space="preserve"> SEQ level0 \*arabic \* MERGEFORMAT </w:instrText>
      </w:r>
      <w:r>
        <w:rPr>
          <w:noProof/>
        </w:rPr>
        <w:fldChar w:fldCharType="separate"/>
      </w:r>
      <w:r w:rsidR="00972D4A">
        <w:rPr>
          <w:noProof/>
        </w:rPr>
        <w:t>44</w:t>
      </w:r>
      <w:r>
        <w:rPr>
          <w:noProof/>
        </w:rPr>
        <w:fldChar w:fldCharType="end"/>
      </w:r>
      <w:r w:rsidR="00972D4A">
        <w:t xml:space="preserve">.  In the case of </w:t>
      </w:r>
      <w:proofErr w:type="spellStart"/>
      <w:r w:rsidRPr="001E3225" w:rsidR="00972D4A">
        <w:rPr>
          <w:i/>
        </w:rPr>
        <w:t>Zehnalová</w:t>
      </w:r>
      <w:proofErr w:type="spellEnd"/>
      <w:r w:rsidRPr="001E3225" w:rsidR="00972D4A">
        <w:rPr>
          <w:i/>
        </w:rPr>
        <w:t xml:space="preserve"> </w:t>
      </w:r>
      <w:r w:rsidR="00972D4A">
        <w:rPr>
          <w:i/>
        </w:rPr>
        <w:t xml:space="preserve">and </w:t>
      </w:r>
      <w:proofErr w:type="spellStart"/>
      <w:r w:rsidRPr="001E3225" w:rsidR="00972D4A">
        <w:rPr>
          <w:i/>
        </w:rPr>
        <w:t>Zehnal</w:t>
      </w:r>
      <w:proofErr w:type="spellEnd"/>
      <w:r w:rsidRPr="001E3225" w:rsidR="00972D4A">
        <w:t xml:space="preserve"> (</w:t>
      </w:r>
      <w:r w:rsidR="00972D4A">
        <w:t>cited above</w:t>
      </w:r>
      <w:r w:rsidRPr="001E3225" w:rsidR="00972D4A">
        <w:t xml:space="preserve">), </w:t>
      </w:r>
      <w:r w:rsidR="00972D4A">
        <w:t xml:space="preserve">which was decided in </w:t>
      </w:r>
      <w:r w:rsidRPr="001E3225" w:rsidR="00972D4A">
        <w:t xml:space="preserve">2002, </w:t>
      </w:r>
      <w:r w:rsidR="00972D4A">
        <w:t>the first applicant complained that</w:t>
      </w:r>
      <w:r w:rsidRPr="001E3225" w:rsidR="00972D4A">
        <w:t xml:space="preserve"> </w:t>
      </w:r>
      <w:r w:rsidR="00972D4A">
        <w:t>a large number of public buildings and buildings open to the public in her home town were not equipped with access facilities for people with disabilities, which adversely affected her private life</w:t>
      </w:r>
      <w:r w:rsidRPr="001E3225" w:rsidR="00972D4A">
        <w:t xml:space="preserve">. </w:t>
      </w:r>
      <w:r w:rsidR="00972D4A">
        <w:t>The Court held that “Article 8 of the Convention cannot be taken to be generally applicable each time the first applicant’s everyday life is disrupted; it applies only in exceptional cases where her lack of access to public buildings and buildings open to the public affects her life in such a way as to interfere with her right to personal development and her right to establish and develop relationships with other human beings and the outside world”</w:t>
      </w:r>
      <w:r w:rsidRPr="001E3225" w:rsidR="00972D4A">
        <w:t xml:space="preserve"> (</w:t>
      </w:r>
      <w:r w:rsidR="00972D4A">
        <w:t xml:space="preserve">see also </w:t>
      </w:r>
      <w:r w:rsidR="003440CF">
        <w:t xml:space="preserve">the above-cited </w:t>
      </w:r>
      <w:r w:rsidRPr="001E3225" w:rsidR="00972D4A">
        <w:rPr>
          <w:i/>
        </w:rPr>
        <w:t>Pretty</w:t>
      </w:r>
      <w:r w:rsidR="00972D4A">
        <w:rPr>
          <w:iCs/>
        </w:rPr>
        <w:t xml:space="preserve"> </w:t>
      </w:r>
      <w:r w:rsidR="003440CF">
        <w:rPr>
          <w:iCs/>
        </w:rPr>
        <w:t>case</w:t>
      </w:r>
      <w:r w:rsidRPr="001E3225" w:rsidR="00972D4A">
        <w:t xml:space="preserve">). </w:t>
      </w:r>
      <w:r w:rsidR="00972D4A">
        <w:t xml:space="preserve">In the </w:t>
      </w:r>
      <w:r w:rsidR="003440CF">
        <w:t xml:space="preserve">case of </w:t>
      </w:r>
      <w:proofErr w:type="spellStart"/>
      <w:r w:rsidRPr="003440CF" w:rsidR="003440CF">
        <w:rPr>
          <w:i/>
          <w:iCs/>
        </w:rPr>
        <w:t>Zehnalová</w:t>
      </w:r>
      <w:proofErr w:type="spellEnd"/>
      <w:r w:rsidRPr="003440CF" w:rsidR="003440CF">
        <w:rPr>
          <w:i/>
          <w:iCs/>
        </w:rPr>
        <w:t xml:space="preserve"> and </w:t>
      </w:r>
      <w:proofErr w:type="spellStart"/>
      <w:r w:rsidRPr="003440CF" w:rsidR="003440CF">
        <w:rPr>
          <w:i/>
          <w:iCs/>
        </w:rPr>
        <w:t>Zehnal</w:t>
      </w:r>
      <w:proofErr w:type="spellEnd"/>
      <w:r w:rsidR="00972D4A">
        <w:t>, the Court considered that the rights relied on were too broad and indeterminate, as the applicants had failed to give precise details of the alleged obstacles and had not adduced persuasive evidence of any interference with their private life</w:t>
      </w:r>
      <w:r w:rsidRPr="001E3225" w:rsidR="00972D4A">
        <w:t xml:space="preserve">. </w:t>
      </w:r>
      <w:r w:rsidR="00972D4A">
        <w:t>In the Court’s view, the first applicant had not demonstrated the existence of a special link between the lack of access to the buildings in question and the particular needs of her private life</w:t>
      </w:r>
      <w:r w:rsidRPr="001E3225" w:rsidR="00972D4A">
        <w:t xml:space="preserve">. </w:t>
      </w:r>
      <w:r w:rsidR="00972D4A">
        <w:t>In view of the large number of buildings complained of, doubts remained as to whether the first applicant needed to use them on a daily basis and whether there was a direct and immediate link between the measures the State was being urged to take and the applicants’ private life; the applicants had done nothing to dispel those doubts.</w:t>
      </w:r>
      <w:r w:rsidRPr="001E3225" w:rsidR="00972D4A">
        <w:t xml:space="preserve"> </w:t>
      </w:r>
      <w:r w:rsidR="00972D4A">
        <w:t>In consequence, a majority of judges found that A</w:t>
      </w:r>
      <w:r w:rsidRPr="001E3225" w:rsidR="00972D4A">
        <w:t xml:space="preserve">rticle 8 </w:t>
      </w:r>
      <w:r w:rsidR="00972D4A">
        <w:t>was not applicable</w:t>
      </w:r>
      <w:r w:rsidRPr="001E3225" w:rsidR="00972D4A">
        <w:t>.</w:t>
      </w:r>
    </w:p>
    <w:p w:rsidRPr="001E3225" w:rsidR="00972D4A" w:rsidP="00972D4A" w:rsidRDefault="003406A9" w14:paraId="2AD29B3E" w14:textId="4EDFEF07">
      <w:pPr>
        <w:pStyle w:val="JuPara"/>
      </w:pPr>
      <w:r>
        <w:rPr>
          <w:noProof/>
        </w:rPr>
        <w:fldChar w:fldCharType="begin"/>
      </w:r>
      <w:r>
        <w:rPr>
          <w:noProof/>
        </w:rPr>
        <w:instrText xml:space="preserve"> SEQ level0 \*arabic \* MERGEFORMAT </w:instrText>
      </w:r>
      <w:r>
        <w:rPr>
          <w:noProof/>
        </w:rPr>
        <w:fldChar w:fldCharType="separate"/>
      </w:r>
      <w:r w:rsidR="00972D4A">
        <w:rPr>
          <w:noProof/>
        </w:rPr>
        <w:t>45</w:t>
      </w:r>
      <w:r>
        <w:rPr>
          <w:noProof/>
        </w:rPr>
        <w:fldChar w:fldCharType="end"/>
      </w:r>
      <w:r w:rsidR="00972D4A">
        <w:t xml:space="preserve">.  In </w:t>
      </w:r>
      <w:proofErr w:type="spellStart"/>
      <w:r w:rsidRPr="001E3225" w:rsidR="00972D4A">
        <w:rPr>
          <w:i/>
        </w:rPr>
        <w:t>Mółka</w:t>
      </w:r>
      <w:proofErr w:type="spellEnd"/>
      <w:r w:rsidRPr="001E3225" w:rsidR="00972D4A">
        <w:rPr>
          <w:i/>
        </w:rPr>
        <w:t xml:space="preserve"> </w:t>
      </w:r>
      <w:r w:rsidR="00972D4A">
        <w:rPr>
          <w:i/>
        </w:rPr>
        <w:t>v</w:t>
      </w:r>
      <w:r w:rsidRPr="001E3225" w:rsidR="00972D4A">
        <w:rPr>
          <w:i/>
        </w:rPr>
        <w:t>.</w:t>
      </w:r>
      <w:r w:rsidR="005C3F03">
        <w:rPr>
          <w:i/>
        </w:rPr>
        <w:t> </w:t>
      </w:r>
      <w:r w:rsidRPr="001E3225" w:rsidR="00972D4A">
        <w:rPr>
          <w:i/>
        </w:rPr>
        <w:t>Pol</w:t>
      </w:r>
      <w:r w:rsidR="00972D4A">
        <w:rPr>
          <w:i/>
        </w:rPr>
        <w:t xml:space="preserve">and </w:t>
      </w:r>
      <w:r w:rsidRPr="001E3225" w:rsidR="00972D4A">
        <w:t>(dec.), n</w:t>
      </w:r>
      <w:r w:rsidR="00972D4A">
        <w:t>o.</w:t>
      </w:r>
      <w:r w:rsidR="005C3F03">
        <w:t> </w:t>
      </w:r>
      <w:r w:rsidRPr="001E3225" w:rsidR="00972D4A">
        <w:t xml:space="preserve">56550/00, </w:t>
      </w:r>
      <w:r w:rsidR="00972D4A">
        <w:t>ECHR</w:t>
      </w:r>
      <w:r w:rsidRPr="001E3225" w:rsidR="00972D4A">
        <w:t xml:space="preserve"> 2006</w:t>
      </w:r>
      <w:r w:rsidRPr="001E3225" w:rsidR="00972D4A">
        <w:noBreakHyphen/>
        <w:t xml:space="preserve">IV, </w:t>
      </w:r>
      <w:r w:rsidR="00972D4A">
        <w:t xml:space="preserve">the applicant alleged, </w:t>
      </w:r>
      <w:r w:rsidRPr="00D06268" w:rsidR="00972D4A">
        <w:rPr>
          <w:i/>
          <w:iCs/>
        </w:rPr>
        <w:t>inter alia</w:t>
      </w:r>
      <w:r w:rsidR="00972D4A">
        <w:t xml:space="preserve"> under A</w:t>
      </w:r>
      <w:r w:rsidRPr="001E3225" w:rsidR="00972D4A">
        <w:t>rticle 8,</w:t>
      </w:r>
      <w:r w:rsidR="00972D4A">
        <w:t xml:space="preserve"> that he had been deprived of his right to vote on account of the lack of appropriate access, adapted to his disability, to a polling station</w:t>
      </w:r>
      <w:r w:rsidRPr="001E3225" w:rsidR="00972D4A">
        <w:t xml:space="preserve">. </w:t>
      </w:r>
      <w:r w:rsidR="00972D4A">
        <w:t>The Court did not rule out the possibility that, in circumstances such as those before it, a sufficient link would exist to attract the protection of Article 8.</w:t>
      </w:r>
      <w:r w:rsidRPr="001E3225" w:rsidR="00972D4A">
        <w:t xml:space="preserve"> </w:t>
      </w:r>
      <w:r w:rsidR="00972D4A">
        <w:t xml:space="preserve">However, it did not ultimately find it necessary to determine the applicability of that </w:t>
      </w:r>
      <w:r w:rsidR="003440CF">
        <w:t xml:space="preserve">provision </w:t>
      </w:r>
      <w:r w:rsidR="00972D4A">
        <w:t xml:space="preserve">in the </w:t>
      </w:r>
      <w:proofErr w:type="spellStart"/>
      <w:r w:rsidRPr="00D06268" w:rsidR="00972D4A">
        <w:rPr>
          <w:i/>
          <w:iCs/>
        </w:rPr>
        <w:t>Mółka</w:t>
      </w:r>
      <w:proofErr w:type="spellEnd"/>
      <w:r w:rsidR="00972D4A">
        <w:rPr>
          <w:i/>
          <w:iCs/>
        </w:rPr>
        <w:t xml:space="preserve"> </w:t>
      </w:r>
      <w:r w:rsidR="00972D4A">
        <w:t>case, since the application was in any event inadmissible on other grounds</w:t>
      </w:r>
      <w:r w:rsidRPr="001E3225" w:rsidR="00972D4A">
        <w:t>.</w:t>
      </w:r>
    </w:p>
    <w:p w:rsidRPr="001E3225" w:rsidR="00972D4A" w:rsidP="00972D4A" w:rsidRDefault="003406A9" w14:paraId="6C9A61D4" w14:textId="77777777">
      <w:pPr>
        <w:pStyle w:val="JuPara"/>
      </w:pPr>
      <w:r>
        <w:rPr>
          <w:noProof/>
        </w:rPr>
        <w:fldChar w:fldCharType="begin"/>
      </w:r>
      <w:r>
        <w:rPr>
          <w:noProof/>
        </w:rPr>
        <w:instrText xml:space="preserve"> SEQ level0 \*arabic \* MERGEFORMAT </w:instrText>
      </w:r>
      <w:r>
        <w:rPr>
          <w:noProof/>
        </w:rPr>
        <w:fldChar w:fldCharType="separate"/>
      </w:r>
      <w:r w:rsidR="00972D4A">
        <w:rPr>
          <w:noProof/>
        </w:rPr>
        <w:t>46</w:t>
      </w:r>
      <w:r>
        <w:rPr>
          <w:noProof/>
        </w:rPr>
        <w:fldChar w:fldCharType="end"/>
      </w:r>
      <w:r w:rsidR="00972D4A">
        <w:t xml:space="preserve">.  Lastly, in the above-cited </w:t>
      </w:r>
      <w:proofErr w:type="spellStart"/>
      <w:r w:rsidRPr="001E3225" w:rsidR="00972D4A">
        <w:rPr>
          <w:i/>
        </w:rPr>
        <w:t>Neagu</w:t>
      </w:r>
      <w:proofErr w:type="spellEnd"/>
      <w:r w:rsidRPr="001E3225" w:rsidR="00972D4A">
        <w:t xml:space="preserve"> </w:t>
      </w:r>
      <w:r w:rsidR="00972D4A">
        <w:t>case, the applicant</w:t>
      </w:r>
      <w:r w:rsidRPr="001E3225" w:rsidR="00972D4A">
        <w:t xml:space="preserve">, </w:t>
      </w:r>
      <w:r w:rsidR="00972D4A">
        <w:t>who moves around with the help of a wheelchair, complained under A</w:t>
      </w:r>
      <w:r w:rsidRPr="001E3225" w:rsidR="00972D4A">
        <w:t xml:space="preserve">rticles 8 </w:t>
      </w:r>
      <w:r w:rsidR="00972D4A">
        <w:t xml:space="preserve">and </w:t>
      </w:r>
      <w:r w:rsidRPr="001E3225" w:rsidR="00972D4A">
        <w:t xml:space="preserve">14 </w:t>
      </w:r>
      <w:r w:rsidR="00972D4A">
        <w:t xml:space="preserve">of the </w:t>
      </w:r>
      <w:r w:rsidRPr="001E3225" w:rsidR="00972D4A">
        <w:t>Convention</w:t>
      </w:r>
      <w:r w:rsidR="00972D4A">
        <w:t xml:space="preserve"> that she was unable to exercise her right to a private life because the main entrance to her residential building was not </w:t>
      </w:r>
      <w:r w:rsidRPr="001E3225" w:rsidR="00972D4A">
        <w:t>accessible</w:t>
      </w:r>
      <w:r w:rsidR="00972D4A">
        <w:t xml:space="preserve"> for her</w:t>
      </w:r>
      <w:r w:rsidRPr="001E3225" w:rsidR="00972D4A">
        <w:t xml:space="preserve">. </w:t>
      </w:r>
      <w:r w:rsidR="00972D4A">
        <w:t xml:space="preserve">The Court left open the </w:t>
      </w:r>
      <w:r w:rsidRPr="001E3225" w:rsidR="00972D4A">
        <w:t xml:space="preserve">question </w:t>
      </w:r>
      <w:r w:rsidR="00972D4A">
        <w:t>whether the applicant’s situation fell within the scope of Article 8</w:t>
      </w:r>
      <w:r w:rsidRPr="001E3225" w:rsidR="00972D4A">
        <w:t xml:space="preserve">, </w:t>
      </w:r>
      <w:r w:rsidR="00972D4A">
        <w:t>in so far as it declared this complaint inadmissible on other grounds</w:t>
      </w:r>
      <w:r w:rsidRPr="001E3225" w:rsidR="00972D4A">
        <w:t>.</w:t>
      </w:r>
    </w:p>
    <w:p w:rsidRPr="00D006D5" w:rsidR="00972D4A" w:rsidP="00D006D5" w:rsidRDefault="00972D4A" w14:paraId="79A7E6B7" w14:textId="1C92247A">
      <w:pPr>
        <w:pStyle w:val="JuHa0"/>
      </w:pPr>
      <w:r w:rsidRPr="00D006D5">
        <w:t xml:space="preserve">Application of the above-mentioned principles to the present case in the light of the above-cited case-law </w:t>
      </w:r>
    </w:p>
    <w:p w:rsidRPr="001E3225" w:rsidR="00972D4A" w:rsidP="00972D4A" w:rsidRDefault="003406A9" w14:paraId="394AFF7B" w14:textId="0FD37349">
      <w:pPr>
        <w:pStyle w:val="JuPara"/>
      </w:pPr>
      <w:r>
        <w:rPr>
          <w:noProof/>
        </w:rPr>
        <w:fldChar w:fldCharType="begin"/>
      </w:r>
      <w:r>
        <w:rPr>
          <w:noProof/>
        </w:rPr>
        <w:instrText xml:space="preserve"> SEQ level0 \*arabic \* MERGEFORMAT </w:instrText>
      </w:r>
      <w:r>
        <w:rPr>
          <w:noProof/>
        </w:rPr>
        <w:fldChar w:fldCharType="separate"/>
      </w:r>
      <w:r w:rsidR="00972D4A">
        <w:rPr>
          <w:noProof/>
        </w:rPr>
        <w:t>47</w:t>
      </w:r>
      <w:r>
        <w:rPr>
          <w:noProof/>
        </w:rPr>
        <w:fldChar w:fldCharType="end"/>
      </w:r>
      <w:r w:rsidR="00972D4A">
        <w:t xml:space="preserve">.  With regard to the present case, the Court reiterates that, admittedly, one of the principles of the 2006 UN Convention on the Rights of Persons with Disabilities is that of “full and effective participation and inclusion in society” (Article 3(c); see </w:t>
      </w:r>
      <w:r w:rsidRPr="001E3225" w:rsidR="00972D4A">
        <w:t xml:space="preserve">paragraph 16 </w:t>
      </w:r>
      <w:r w:rsidR="00972D4A">
        <w:t>above</w:t>
      </w:r>
      <w:r w:rsidRPr="001E3225" w:rsidR="00972D4A">
        <w:t xml:space="preserve">). </w:t>
      </w:r>
      <w:r w:rsidR="00972D4A">
        <w:t xml:space="preserve">However, it also emphasises that Article 8 of the Convention comes into play in such circumstances only in exceptional cases, where the applicant’s lack of access to public buildings and buildings open to the public affects his or her life in such a way as to interfere with his or her right to personal development and her right to establish and develop relationships with other human beings and the outside world </w:t>
      </w:r>
      <w:r w:rsidRPr="001E3225" w:rsidR="00972D4A">
        <w:t>(</w:t>
      </w:r>
      <w:r w:rsidR="00972D4A">
        <w:t xml:space="preserve">see </w:t>
      </w:r>
      <w:proofErr w:type="spellStart"/>
      <w:r w:rsidRPr="001E3225" w:rsidR="00972D4A">
        <w:rPr>
          <w:i/>
        </w:rPr>
        <w:t>Zehnalová</w:t>
      </w:r>
      <w:proofErr w:type="spellEnd"/>
      <w:r w:rsidRPr="001E3225" w:rsidR="00972D4A">
        <w:rPr>
          <w:i/>
        </w:rPr>
        <w:t xml:space="preserve"> </w:t>
      </w:r>
      <w:r w:rsidR="00972D4A">
        <w:rPr>
          <w:i/>
        </w:rPr>
        <w:t xml:space="preserve">and </w:t>
      </w:r>
      <w:proofErr w:type="spellStart"/>
      <w:r w:rsidRPr="001E3225" w:rsidR="00972D4A">
        <w:rPr>
          <w:i/>
        </w:rPr>
        <w:t>Zehnal</w:t>
      </w:r>
      <w:proofErr w:type="spellEnd"/>
      <w:r w:rsidR="00972D4A">
        <w:rPr>
          <w:iCs/>
        </w:rPr>
        <w:t>,</w:t>
      </w:r>
      <w:r w:rsidRPr="001E3225" w:rsidR="00972D4A">
        <w:t xml:space="preserve"> </w:t>
      </w:r>
      <w:r w:rsidR="00972D4A">
        <w:t>cited above</w:t>
      </w:r>
      <w:r w:rsidRPr="001E3225" w:rsidR="00972D4A">
        <w:t>).</w:t>
      </w:r>
    </w:p>
    <w:p w:rsidRPr="001E3225" w:rsidR="00972D4A" w:rsidP="00972D4A" w:rsidRDefault="003406A9" w14:paraId="0D37D50C" w14:textId="7BCD37A0">
      <w:pPr>
        <w:pStyle w:val="JuPara"/>
      </w:pPr>
      <w:r>
        <w:rPr>
          <w:noProof/>
        </w:rPr>
        <w:fldChar w:fldCharType="begin"/>
      </w:r>
      <w:r>
        <w:rPr>
          <w:noProof/>
        </w:rPr>
        <w:instrText xml:space="preserve"> SEQ level0 \*arabic \* MERGEFORMAT </w:instrText>
      </w:r>
      <w:r>
        <w:rPr>
          <w:noProof/>
        </w:rPr>
        <w:fldChar w:fldCharType="separate"/>
      </w:r>
      <w:r w:rsidR="00972D4A">
        <w:rPr>
          <w:noProof/>
        </w:rPr>
        <w:t>48</w:t>
      </w:r>
      <w:r>
        <w:rPr>
          <w:noProof/>
        </w:rPr>
        <w:fldChar w:fldCharType="end"/>
      </w:r>
      <w:r w:rsidR="00972D4A">
        <w:t xml:space="preserve">.  The applicant submitted that the Swiss courts and the Government had taken insufficient account of the social contacts that were created during a visit to the cinema. </w:t>
      </w:r>
      <w:r w:rsidR="00B749FC">
        <w:t xml:space="preserve">Noting </w:t>
      </w:r>
      <w:r w:rsidR="00972D4A">
        <w:t xml:space="preserve">that it </w:t>
      </w:r>
      <w:r w:rsidR="00B749FC">
        <w:t xml:space="preserve">is </w:t>
      </w:r>
      <w:r w:rsidR="00972D4A">
        <w:t>necessary to take account of the specific</w:t>
      </w:r>
      <w:r w:rsidR="00B749FC">
        <w:t xml:space="preserve"> features </w:t>
      </w:r>
      <w:r w:rsidR="00972D4A">
        <w:t>of the case at hand, particularly the applicant’s social and family situation</w:t>
      </w:r>
      <w:r w:rsidRPr="001E3225" w:rsidR="00972D4A">
        <w:t xml:space="preserve">, </w:t>
      </w:r>
      <w:r w:rsidR="00972D4A">
        <w:t>the Court d</w:t>
      </w:r>
      <w:r w:rsidR="00B749FC">
        <w:t xml:space="preserve">oes </w:t>
      </w:r>
      <w:r w:rsidR="00972D4A">
        <w:t>not rule out the possibility that for the applicant, who is paraplegic, the importance of going to the cinema is not confined merely to seeing a film</w:t>
      </w:r>
      <w:r w:rsidR="00B749FC">
        <w:t xml:space="preserve"> </w:t>
      </w:r>
      <w:r w:rsidR="00972D4A">
        <w:t>that he might be able to watch at home instead, but also involves exchanges with other people. Moreover, the applicant, who has had to forego many other leisure activities because of his physical disability, considers himself a film buff, a fact which the Government have not called into question.</w:t>
      </w:r>
    </w:p>
    <w:p w:rsidRPr="001E3225" w:rsidR="00972D4A" w:rsidP="00972D4A" w:rsidRDefault="003406A9" w14:paraId="31F4EC27" w14:textId="2C985F71">
      <w:pPr>
        <w:pStyle w:val="JuPara"/>
      </w:pPr>
      <w:r>
        <w:rPr>
          <w:noProof/>
        </w:rPr>
        <w:fldChar w:fldCharType="begin"/>
      </w:r>
      <w:r>
        <w:rPr>
          <w:noProof/>
        </w:rPr>
        <w:instrText xml:space="preserve"> SEQ level0 \*arabic \* MERGEFORMAT </w:instrText>
      </w:r>
      <w:r>
        <w:rPr>
          <w:noProof/>
        </w:rPr>
        <w:fldChar w:fldCharType="separate"/>
      </w:r>
      <w:r w:rsidR="00972D4A">
        <w:rPr>
          <w:noProof/>
        </w:rPr>
        <w:t>49</w:t>
      </w:r>
      <w:r>
        <w:rPr>
          <w:noProof/>
        </w:rPr>
        <w:fldChar w:fldCharType="end"/>
      </w:r>
      <w:r w:rsidR="00972D4A">
        <w:t xml:space="preserve">.  Nonetheless, the Court considers that Article 8 cannot be construed as conferring a right of access to a particular cinema to </w:t>
      </w:r>
      <w:r w:rsidR="00B749FC">
        <w:t xml:space="preserve">watch </w:t>
      </w:r>
      <w:r w:rsidR="00972D4A">
        <w:t xml:space="preserve">a specific film, provided that there is general access to other cinemas in the vicinity. The Court considers relevant the Government’s argument, undisputed by the applicant, to the effect that other cinemas operated by </w:t>
      </w:r>
      <w:proofErr w:type="spellStart"/>
      <w:r w:rsidRPr="001E3225" w:rsidR="00972D4A">
        <w:t>Pathé</w:t>
      </w:r>
      <w:proofErr w:type="spellEnd"/>
      <w:r w:rsidRPr="001E3225" w:rsidR="00972D4A">
        <w:t xml:space="preserve"> Romandie </w:t>
      </w:r>
      <w:proofErr w:type="spellStart"/>
      <w:r w:rsidRPr="001E3225" w:rsidR="00972D4A">
        <w:t>Sàrl</w:t>
      </w:r>
      <w:proofErr w:type="spellEnd"/>
      <w:r w:rsidRPr="001E3225" w:rsidR="00972D4A">
        <w:t xml:space="preserve">, </w:t>
      </w:r>
      <w:r w:rsidR="00972D4A">
        <w:t xml:space="preserve">in particular the </w:t>
      </w:r>
      <w:proofErr w:type="spellStart"/>
      <w:r w:rsidRPr="001E3225" w:rsidR="00972D4A">
        <w:t>Pathé</w:t>
      </w:r>
      <w:proofErr w:type="spellEnd"/>
      <w:r w:rsidRPr="001E3225" w:rsidR="00972D4A">
        <w:t xml:space="preserve"> Balexert </w:t>
      </w:r>
      <w:r w:rsidR="00972D4A">
        <w:t xml:space="preserve">and </w:t>
      </w:r>
      <w:proofErr w:type="spellStart"/>
      <w:r w:rsidRPr="001E3225" w:rsidR="00972D4A">
        <w:t>Pathé</w:t>
      </w:r>
      <w:proofErr w:type="spellEnd"/>
      <w:r w:rsidRPr="001E3225" w:rsidR="00972D4A">
        <w:t xml:space="preserve"> Rex, </w:t>
      </w:r>
      <w:r w:rsidR="00972D4A">
        <w:t>were adapted to the applicant’s needs</w:t>
      </w:r>
      <w:r w:rsidRPr="001E3225" w:rsidR="00972D4A">
        <w:t xml:space="preserve">. </w:t>
      </w:r>
      <w:r w:rsidR="00972D4A">
        <w:t xml:space="preserve">The Court also notes the </w:t>
      </w:r>
      <w:r w:rsidRPr="001E3225" w:rsidR="00972D4A">
        <w:t>statisti</w:t>
      </w:r>
      <w:r w:rsidR="00972D4A">
        <w:t xml:space="preserve">cs provided in the domestic courts’ decisions, and referred to by the </w:t>
      </w:r>
      <w:r w:rsidRPr="001E3225" w:rsidR="00972D4A">
        <w:t>Government</w:t>
      </w:r>
      <w:r w:rsidR="00972D4A">
        <w:t xml:space="preserve"> </w:t>
      </w:r>
      <w:r w:rsidRPr="001E3225" w:rsidR="00972D4A">
        <w:t>(</w:t>
      </w:r>
      <w:r w:rsidR="00972D4A">
        <w:t xml:space="preserve">see </w:t>
      </w:r>
      <w:r w:rsidRPr="001E3225" w:rsidR="00972D4A">
        <w:t>paragraph 26</w:t>
      </w:r>
      <w:r w:rsidRPr="00312A09" w:rsidR="00972D4A">
        <w:t xml:space="preserve"> </w:t>
      </w:r>
      <w:r w:rsidR="00972D4A">
        <w:t>above</w:t>
      </w:r>
      <w:r w:rsidRPr="001E3225" w:rsidR="00972D4A">
        <w:t>)</w:t>
      </w:r>
      <w:r w:rsidR="00972D4A">
        <w:t>, showing that the percentage of films shown solely at the cinema at issue in the present case</w:t>
      </w:r>
      <w:r w:rsidR="00B749FC">
        <w:t xml:space="preserve"> (</w:t>
      </w:r>
      <w:r w:rsidR="00972D4A">
        <w:t xml:space="preserve">the </w:t>
      </w:r>
      <w:proofErr w:type="spellStart"/>
      <w:r w:rsidR="00972D4A">
        <w:t>Pathé</w:t>
      </w:r>
      <w:proofErr w:type="spellEnd"/>
      <w:r w:rsidR="00972D4A">
        <w:t xml:space="preserve"> Rialto</w:t>
      </w:r>
      <w:r w:rsidR="00B749FC">
        <w:t>)</w:t>
      </w:r>
      <w:r w:rsidR="00972D4A">
        <w:t>, amounted to only around 10</w:t>
      </w:r>
      <w:r w:rsidR="00B749FC">
        <w:t>-</w:t>
      </w:r>
      <w:r w:rsidR="00972D4A">
        <w:t>12% in 2009 and 2010. It follows that, in the present case, the applicant generally had access to local cinemas</w:t>
      </w:r>
      <w:r w:rsidRPr="001E3225" w:rsidR="00972D4A">
        <w:t>.</w:t>
      </w:r>
      <w:r w:rsidR="00972D4A">
        <w:t xml:space="preserve"> </w:t>
      </w:r>
    </w:p>
    <w:p w:rsidRPr="001E3225" w:rsidR="00972D4A" w:rsidP="00972D4A" w:rsidRDefault="003406A9" w14:paraId="1C144FE3" w14:textId="77777777">
      <w:pPr>
        <w:pStyle w:val="JuPara"/>
      </w:pPr>
      <w:r>
        <w:rPr>
          <w:noProof/>
        </w:rPr>
        <w:fldChar w:fldCharType="begin"/>
      </w:r>
      <w:r>
        <w:rPr>
          <w:noProof/>
        </w:rPr>
        <w:instrText xml:space="preserve"> SEQ level0 \*arabic \* MERGEFORMAT </w:instrText>
      </w:r>
      <w:r>
        <w:rPr>
          <w:noProof/>
        </w:rPr>
        <w:fldChar w:fldCharType="separate"/>
      </w:r>
      <w:r w:rsidR="00972D4A">
        <w:rPr>
          <w:noProof/>
        </w:rPr>
        <w:t>50</w:t>
      </w:r>
      <w:r>
        <w:rPr>
          <w:noProof/>
        </w:rPr>
        <w:fldChar w:fldCharType="end"/>
      </w:r>
      <w:r w:rsidR="00972D4A">
        <w:t xml:space="preserve">.  In other words, the Court considers that the refusal to allow the applicant to enter the </w:t>
      </w:r>
      <w:proofErr w:type="spellStart"/>
      <w:r w:rsidRPr="001E3225" w:rsidR="00972D4A">
        <w:t>Pathé</w:t>
      </w:r>
      <w:proofErr w:type="spellEnd"/>
      <w:r w:rsidRPr="001E3225" w:rsidR="00972D4A">
        <w:t xml:space="preserve"> Rialto</w:t>
      </w:r>
      <w:r w:rsidR="00972D4A">
        <w:t xml:space="preserve"> cinema to see a specific film </w:t>
      </w:r>
      <w:r w:rsidRPr="001E3225" w:rsidR="00972D4A">
        <w:t>(</w:t>
      </w:r>
      <w:r w:rsidR="00972D4A">
        <w:t>“</w:t>
      </w:r>
      <w:proofErr w:type="spellStart"/>
      <w:r w:rsidRPr="001E3225" w:rsidR="00972D4A">
        <w:t>Vinyan</w:t>
      </w:r>
      <w:proofErr w:type="spellEnd"/>
      <w:r w:rsidR="00972D4A">
        <w:t>”</w:t>
      </w:r>
      <w:r w:rsidRPr="001E3225" w:rsidR="00972D4A">
        <w:t xml:space="preserve">), </w:t>
      </w:r>
      <w:r w:rsidR="00972D4A">
        <w:t>did not affect his life in such a way as to interfere with his right to personal development or to establish and develop relationships with other human beings and the outside world, within the meaning of the above-cited case-law</w:t>
      </w:r>
      <w:r w:rsidRPr="001E3225" w:rsidR="00972D4A">
        <w:t>.</w:t>
      </w:r>
    </w:p>
    <w:p w:rsidRPr="001E3225" w:rsidR="00972D4A" w:rsidP="00972D4A" w:rsidRDefault="003406A9" w14:paraId="52498863" w14:textId="480D6852">
      <w:pPr>
        <w:pStyle w:val="JuPara"/>
      </w:pPr>
      <w:r>
        <w:rPr>
          <w:noProof/>
        </w:rPr>
        <w:fldChar w:fldCharType="begin"/>
      </w:r>
      <w:r>
        <w:rPr>
          <w:noProof/>
        </w:rPr>
        <w:instrText xml:space="preserve"> SEQ level0 \*arabic \* MERGEFORMAT </w:instrText>
      </w:r>
      <w:r>
        <w:rPr>
          <w:noProof/>
        </w:rPr>
        <w:fldChar w:fldCharType="separate"/>
      </w:r>
      <w:r w:rsidR="00972D4A">
        <w:rPr>
          <w:noProof/>
        </w:rPr>
        <w:t>51</w:t>
      </w:r>
      <w:r>
        <w:rPr>
          <w:noProof/>
        </w:rPr>
        <w:fldChar w:fldCharType="end"/>
      </w:r>
      <w:r w:rsidR="00972D4A">
        <w:t xml:space="preserve">.  The Court also reiterates that States are afforded a broad margin of appreciation in situations where they must strike a balance between competing private and public interests or between different Convention rights </w:t>
      </w:r>
      <w:r w:rsidRPr="001E3225" w:rsidR="00972D4A">
        <w:t>(</w:t>
      </w:r>
      <w:r w:rsidR="00972D4A">
        <w:t xml:space="preserve">see </w:t>
      </w:r>
      <w:r w:rsidRPr="001E3225" w:rsidR="00972D4A">
        <w:rPr>
          <w:i/>
        </w:rPr>
        <w:t xml:space="preserve">S.H. </w:t>
      </w:r>
      <w:r w:rsidR="00972D4A">
        <w:rPr>
          <w:i/>
        </w:rPr>
        <w:t>and Others v.</w:t>
      </w:r>
      <w:r w:rsidR="005C3F03">
        <w:rPr>
          <w:i/>
        </w:rPr>
        <w:t> </w:t>
      </w:r>
      <w:r w:rsidRPr="001E3225" w:rsidR="00972D4A">
        <w:rPr>
          <w:i/>
        </w:rPr>
        <w:t>Au</w:t>
      </w:r>
      <w:r w:rsidR="00972D4A">
        <w:rPr>
          <w:i/>
        </w:rPr>
        <w:t>s</w:t>
      </w:r>
      <w:r w:rsidRPr="001E3225" w:rsidR="00972D4A">
        <w:rPr>
          <w:i/>
        </w:rPr>
        <w:t>tr</w:t>
      </w:r>
      <w:r w:rsidR="00972D4A">
        <w:rPr>
          <w:i/>
        </w:rPr>
        <w:t xml:space="preserve">ia </w:t>
      </w:r>
      <w:r w:rsidRPr="001E3225" w:rsidR="00972D4A">
        <w:t>[GC], n</w:t>
      </w:r>
      <w:r w:rsidR="00972D4A">
        <w:t>o. </w:t>
      </w:r>
      <w:r w:rsidRPr="001E3225" w:rsidR="00972D4A">
        <w:t>57813/00, §</w:t>
      </w:r>
      <w:r w:rsidR="00972D4A">
        <w:t> </w:t>
      </w:r>
      <w:r w:rsidRPr="001E3225" w:rsidR="00972D4A">
        <w:t xml:space="preserve">94, </w:t>
      </w:r>
      <w:r w:rsidR="00972D4A">
        <w:t>ECHR</w:t>
      </w:r>
      <w:r w:rsidR="00B749FC">
        <w:t> </w:t>
      </w:r>
      <w:r w:rsidRPr="001E3225" w:rsidR="00972D4A">
        <w:t>2011).</w:t>
      </w:r>
      <w:r w:rsidR="00972D4A">
        <w:t xml:space="preserve"> At the same time, the domestic courts must </w:t>
      </w:r>
      <w:r w:rsidR="00B749FC">
        <w:t xml:space="preserve">provide </w:t>
      </w:r>
      <w:r w:rsidR="00972D4A">
        <w:t xml:space="preserve">sufficiently detailed reasons for their decisions, not least to enable the Court to carry out the European supervision entrusted to it </w:t>
      </w:r>
      <w:r w:rsidRPr="001E3225" w:rsidR="00972D4A">
        <w:t>(</w:t>
      </w:r>
      <w:r w:rsidR="00972D4A">
        <w:t>see</w:t>
      </w:r>
      <w:r w:rsidRPr="001E3225" w:rsidR="00972D4A">
        <w:t xml:space="preserve">, </w:t>
      </w:r>
      <w:r w:rsidRPr="001E3225" w:rsidR="00972D4A">
        <w:rPr>
          <w:i/>
        </w:rPr>
        <w:t>mutatis mutandis</w:t>
      </w:r>
      <w:r w:rsidRPr="001E3225" w:rsidR="00972D4A">
        <w:t xml:space="preserve">, </w:t>
      </w:r>
      <w:r w:rsidRPr="001E3225" w:rsidR="00972D4A">
        <w:rPr>
          <w:i/>
        </w:rPr>
        <w:t>X</w:t>
      </w:r>
      <w:r w:rsidR="00972D4A">
        <w:rPr>
          <w:i/>
        </w:rPr>
        <w:t> v</w:t>
      </w:r>
      <w:r w:rsidRPr="001E3225" w:rsidR="00972D4A">
        <w:rPr>
          <w:i/>
        </w:rPr>
        <w:t>.</w:t>
      </w:r>
      <w:r w:rsidR="00972D4A">
        <w:rPr>
          <w:i/>
        </w:rPr>
        <w:t> </w:t>
      </w:r>
      <w:r w:rsidRPr="001E3225" w:rsidR="00972D4A">
        <w:rPr>
          <w:i/>
        </w:rPr>
        <w:t>L</w:t>
      </w:r>
      <w:r w:rsidR="00972D4A">
        <w:rPr>
          <w:i/>
        </w:rPr>
        <w:t xml:space="preserve">atvia </w:t>
      </w:r>
      <w:r w:rsidRPr="001E3225" w:rsidR="00972D4A">
        <w:t>[GC], n</w:t>
      </w:r>
      <w:r w:rsidR="00972D4A">
        <w:t>o. </w:t>
      </w:r>
      <w:r w:rsidRPr="001E3225" w:rsidR="00972D4A">
        <w:t>27853/09, §</w:t>
      </w:r>
      <w:r w:rsidR="005C3F03">
        <w:t> </w:t>
      </w:r>
      <w:r w:rsidRPr="001E3225" w:rsidR="00972D4A">
        <w:t xml:space="preserve">107, </w:t>
      </w:r>
      <w:r w:rsidR="00972D4A">
        <w:t>ECHR</w:t>
      </w:r>
      <w:r w:rsidRPr="001E3225" w:rsidR="00972D4A">
        <w:t xml:space="preserve"> 2013, </w:t>
      </w:r>
      <w:r w:rsidR="00972D4A">
        <w:t xml:space="preserve">and </w:t>
      </w:r>
      <w:r w:rsidRPr="001E3225" w:rsidR="00972D4A">
        <w:rPr>
          <w:i/>
        </w:rPr>
        <w:t xml:space="preserve">El </w:t>
      </w:r>
      <w:proofErr w:type="spellStart"/>
      <w:r w:rsidRPr="001E3225" w:rsidR="00972D4A">
        <w:rPr>
          <w:i/>
        </w:rPr>
        <w:t>Ghatet</w:t>
      </w:r>
      <w:proofErr w:type="spellEnd"/>
      <w:r w:rsidRPr="001E3225" w:rsidR="00972D4A">
        <w:rPr>
          <w:i/>
        </w:rPr>
        <w:t xml:space="preserve"> </w:t>
      </w:r>
      <w:r w:rsidR="00972D4A">
        <w:rPr>
          <w:i/>
        </w:rPr>
        <w:t>v</w:t>
      </w:r>
      <w:r w:rsidRPr="001E3225" w:rsidR="00972D4A">
        <w:rPr>
          <w:i/>
        </w:rPr>
        <w:t>.</w:t>
      </w:r>
      <w:r w:rsidR="00972D4A">
        <w:rPr>
          <w:i/>
        </w:rPr>
        <w:t> </w:t>
      </w:r>
      <w:r w:rsidRPr="001E3225" w:rsidR="00972D4A">
        <w:rPr>
          <w:i/>
        </w:rPr>
        <w:t>S</w:t>
      </w:r>
      <w:r w:rsidR="00972D4A">
        <w:rPr>
          <w:i/>
        </w:rPr>
        <w:t>witzerland</w:t>
      </w:r>
      <w:r w:rsidRPr="001E3225" w:rsidR="00972D4A">
        <w:t>, n</w:t>
      </w:r>
      <w:r w:rsidR="00972D4A">
        <w:t>o. </w:t>
      </w:r>
      <w:r w:rsidRPr="001E3225" w:rsidR="00972D4A">
        <w:t>56971/10, §</w:t>
      </w:r>
      <w:r w:rsidR="005C3F03">
        <w:t> </w:t>
      </w:r>
      <w:r w:rsidRPr="001E3225" w:rsidR="00972D4A">
        <w:t>47, 8 November 2016).</w:t>
      </w:r>
    </w:p>
    <w:p w:rsidRPr="001E3225" w:rsidR="00972D4A" w:rsidP="00972D4A" w:rsidRDefault="003406A9" w14:paraId="6A021E65" w14:textId="189F3FCA">
      <w:pPr>
        <w:pStyle w:val="JuPara"/>
      </w:pPr>
      <w:r>
        <w:rPr>
          <w:noProof/>
        </w:rPr>
        <w:fldChar w:fldCharType="begin"/>
      </w:r>
      <w:r>
        <w:rPr>
          <w:noProof/>
        </w:rPr>
        <w:instrText xml:space="preserve"> SEQ level0 \*arabic \* MERGEFORMAT </w:instrText>
      </w:r>
      <w:r>
        <w:rPr>
          <w:noProof/>
        </w:rPr>
        <w:fldChar w:fldCharType="separate"/>
      </w:r>
      <w:r w:rsidR="00972D4A">
        <w:rPr>
          <w:noProof/>
        </w:rPr>
        <w:t>52</w:t>
      </w:r>
      <w:r>
        <w:rPr>
          <w:noProof/>
        </w:rPr>
        <w:fldChar w:fldCharType="end"/>
      </w:r>
      <w:r w:rsidR="00972D4A">
        <w:t>.  </w:t>
      </w:r>
      <w:r w:rsidRPr="002E2C9B" w:rsidR="00972D4A">
        <w:t xml:space="preserve">As </w:t>
      </w:r>
      <w:r w:rsidR="00972D4A">
        <w:t xml:space="preserve">regards, firstly, the </w:t>
      </w:r>
      <w:r w:rsidRPr="002E2C9B" w:rsidR="00972D4A">
        <w:t>domestic legislation</w:t>
      </w:r>
      <w:r w:rsidR="00972D4A">
        <w:t xml:space="preserve"> put in place</w:t>
      </w:r>
      <w:r w:rsidRPr="002E2C9B" w:rsidR="00972D4A">
        <w:t>, the Court observe</w:t>
      </w:r>
      <w:r w:rsidR="00972D4A">
        <w:t>s</w:t>
      </w:r>
      <w:r w:rsidRPr="002E2C9B" w:rsidR="00972D4A">
        <w:t xml:space="preserve"> that one of the </w:t>
      </w:r>
      <w:r w:rsidR="00972D4A">
        <w:t xml:space="preserve">purposes </w:t>
      </w:r>
      <w:r w:rsidRPr="002E2C9B" w:rsidR="00972D4A">
        <w:t xml:space="preserve">of the </w:t>
      </w:r>
      <w:r w:rsidR="00972D4A">
        <w:t>Disability Act is to create appropriate conditions to facilitate the participation of persons with disabilities in the life of society, in particular by helping them to be self-sufficient in establishing social contacts (section 1</w:t>
      </w:r>
      <w:r w:rsidR="00B749FC">
        <w:t>(</w:t>
      </w:r>
      <w:r w:rsidRPr="001E3225" w:rsidR="00972D4A">
        <w:t>2</w:t>
      </w:r>
      <w:r w:rsidR="00B749FC">
        <w:t>)</w:t>
      </w:r>
      <w:r w:rsidRPr="001E3225" w:rsidR="00972D4A">
        <w:t xml:space="preserve">; </w:t>
      </w:r>
      <w:r w:rsidR="00972D4A">
        <w:t xml:space="preserve">see </w:t>
      </w:r>
      <w:r w:rsidRPr="001E3225" w:rsidR="00972D4A">
        <w:t>paragraph</w:t>
      </w:r>
      <w:r w:rsidR="00972D4A">
        <w:t> </w:t>
      </w:r>
      <w:r w:rsidRPr="001E3225" w:rsidR="00972D4A">
        <w:t xml:space="preserve">12 </w:t>
      </w:r>
      <w:r w:rsidR="00972D4A">
        <w:t>above</w:t>
      </w:r>
      <w:r w:rsidRPr="001E3225" w:rsidR="00972D4A">
        <w:t>)</w:t>
      </w:r>
      <w:r w:rsidRPr="002E2C9B" w:rsidR="00972D4A">
        <w:t>.</w:t>
      </w:r>
      <w:r w:rsidR="00972D4A">
        <w:t xml:space="preserve"> On the other hand, it appears from the preparatory work for the Disability Act</w:t>
      </w:r>
      <w:r w:rsidRPr="001E3225" w:rsidR="00972D4A">
        <w:t xml:space="preserve"> </w:t>
      </w:r>
      <w:r w:rsidR="00972D4A">
        <w:t xml:space="preserve">that the scope of its section </w:t>
      </w:r>
      <w:r w:rsidRPr="001E3225" w:rsidR="00972D4A">
        <w:t xml:space="preserve">6, </w:t>
      </w:r>
      <w:r w:rsidR="00972D4A">
        <w:t>concerning services provided by private persons, is limited.</w:t>
      </w:r>
      <w:r w:rsidRPr="001E3225" w:rsidR="00972D4A">
        <w:t xml:space="preserve"> I</w:t>
      </w:r>
      <w:r w:rsidR="00972D4A">
        <w:t xml:space="preserve">n particular, it appears from the Federal Supreme Court’s judgment that this provision is intended to </w:t>
      </w:r>
      <w:r w:rsidRPr="001E3225" w:rsidR="00972D4A">
        <w:t>pr</w:t>
      </w:r>
      <w:r w:rsidR="00972D4A">
        <w:t xml:space="preserve">event serious practices of isolation, whereby people with disabilities are excluded from certain activities from fear that their mere presence will trouble the calm atmosphere and social habits of the usual clientele </w:t>
      </w:r>
      <w:r w:rsidRPr="001E3225" w:rsidR="00972D4A">
        <w:t>(</w:t>
      </w:r>
      <w:r w:rsidR="00972D4A">
        <w:t xml:space="preserve">see the Federal Supreme Court’s judgment, point </w:t>
      </w:r>
      <w:r w:rsidRPr="001E3225" w:rsidR="00972D4A">
        <w:t>3.3.1</w:t>
      </w:r>
      <w:r w:rsidR="00972D4A">
        <w:t xml:space="preserve">, </w:t>
      </w:r>
      <w:r w:rsidRPr="001E3225" w:rsidR="00972D4A">
        <w:t xml:space="preserve">paragraph 11 </w:t>
      </w:r>
      <w:r w:rsidR="00972D4A">
        <w:t>above</w:t>
      </w:r>
      <w:r w:rsidRPr="001E3225" w:rsidR="00972D4A">
        <w:t xml:space="preserve">). </w:t>
      </w:r>
      <w:r w:rsidR="00972D4A">
        <w:t xml:space="preserve">Furthermore, this restrictive interpretation is </w:t>
      </w:r>
      <w:r w:rsidRPr="001E3225" w:rsidR="00972D4A">
        <w:t>confirm</w:t>
      </w:r>
      <w:r w:rsidR="00972D4A">
        <w:t xml:space="preserve">ed by the </w:t>
      </w:r>
      <w:r w:rsidRPr="001E3225" w:rsidR="00972D4A">
        <w:t>definition</w:t>
      </w:r>
      <w:r w:rsidR="00972D4A">
        <w:t xml:space="preserve"> of </w:t>
      </w:r>
      <w:r w:rsidRPr="001E3225" w:rsidR="00972D4A">
        <w:t xml:space="preserve">discrimination </w:t>
      </w:r>
      <w:r w:rsidR="00972D4A">
        <w:t xml:space="preserve">found in </w:t>
      </w:r>
      <w:r w:rsidRPr="0012691B" w:rsidR="00972D4A">
        <w:t>Article</w:t>
      </w:r>
      <w:r w:rsidRPr="001E3225" w:rsidR="00972D4A">
        <w:t xml:space="preserve"> 2 </w:t>
      </w:r>
      <w:r w:rsidR="00972D4A">
        <w:t xml:space="preserve">of the Disability </w:t>
      </w:r>
      <w:r w:rsidRPr="001E3225" w:rsidR="00972D4A">
        <w:t>O</w:t>
      </w:r>
      <w:r w:rsidR="00972D4A">
        <w:t xml:space="preserve">rdinance, according to which </w:t>
      </w:r>
      <w:r w:rsidRPr="001E3225" w:rsidR="00972D4A">
        <w:t xml:space="preserve">discrimination </w:t>
      </w:r>
      <w:r w:rsidR="00972D4A">
        <w:t>is any difference in treatment “which is particularly marked and entailing serious inequality, with the intention or consequence of degrading or marginalising a person with disabilities”</w:t>
      </w:r>
      <w:r w:rsidRPr="001E3225" w:rsidR="00972D4A">
        <w:t xml:space="preserve"> (</w:t>
      </w:r>
      <w:r w:rsidR="00972D4A">
        <w:t xml:space="preserve">see </w:t>
      </w:r>
      <w:r w:rsidRPr="001E3225" w:rsidR="00972D4A">
        <w:t xml:space="preserve">paragraph 13 </w:t>
      </w:r>
      <w:r w:rsidR="00972D4A">
        <w:t>above</w:t>
      </w:r>
      <w:r w:rsidRPr="001E3225" w:rsidR="00972D4A">
        <w:t>).</w:t>
      </w:r>
    </w:p>
    <w:p w:rsidRPr="001E3225" w:rsidR="00972D4A" w:rsidP="00972D4A" w:rsidRDefault="00972D4A" w14:paraId="6E550020" w14:textId="77777777">
      <w:pPr>
        <w:pStyle w:val="JuPara"/>
        <w:rPr>
          <w:lang w:eastAsia="fr-FR"/>
        </w:rPr>
      </w:pPr>
      <w:r>
        <w:rPr>
          <w:lang w:eastAsia="fr-FR"/>
        </w:rPr>
        <w:fldChar w:fldCharType="begin"/>
      </w:r>
      <w:r>
        <w:rPr>
          <w:lang w:eastAsia="fr-FR"/>
        </w:rPr>
        <w:instrText xml:space="preserve"> SEQ level0 \*arabic \* MERGEFORMAT </w:instrText>
      </w:r>
      <w:r>
        <w:rPr>
          <w:lang w:eastAsia="fr-FR"/>
        </w:rPr>
        <w:fldChar w:fldCharType="separate"/>
      </w:r>
      <w:r>
        <w:rPr>
          <w:noProof/>
          <w:lang w:eastAsia="fr-FR"/>
        </w:rPr>
        <w:t>53</w:t>
      </w:r>
      <w:r>
        <w:rPr>
          <w:lang w:eastAsia="fr-FR"/>
        </w:rPr>
        <w:fldChar w:fldCharType="end"/>
      </w:r>
      <w:r>
        <w:rPr>
          <w:lang w:eastAsia="fr-FR"/>
        </w:rPr>
        <w:t xml:space="preserve">.  Further, with regard to the </w:t>
      </w:r>
      <w:r w:rsidRPr="001E3225">
        <w:rPr>
          <w:lang w:eastAsia="fr-FR"/>
        </w:rPr>
        <w:t xml:space="preserve">application </w:t>
      </w:r>
      <w:r>
        <w:rPr>
          <w:lang w:eastAsia="fr-FR"/>
        </w:rPr>
        <w:t>of this Act in the present case, the Court considers that the Federal Supreme Court set out sufficient grounds explaining why the situation faced by the applicant was not serious enough to fall within the concept of discrimination</w:t>
      </w:r>
      <w:r w:rsidRPr="001E3225">
        <w:rPr>
          <w:lang w:eastAsia="fr-FR"/>
        </w:rPr>
        <w:t xml:space="preserve">. </w:t>
      </w:r>
      <w:r>
        <w:rPr>
          <w:lang w:eastAsia="fr-FR"/>
        </w:rPr>
        <w:t xml:space="preserve">In consequence, it sees no reason to depart from the </w:t>
      </w:r>
      <w:r w:rsidRPr="001E3225">
        <w:t xml:space="preserve">conclusions </w:t>
      </w:r>
      <w:r>
        <w:t xml:space="preserve">of the Swiss courts, </w:t>
      </w:r>
      <w:r w:rsidRPr="001E3225">
        <w:t>particul</w:t>
      </w:r>
      <w:r>
        <w:t xml:space="preserve">arly those of the Federal Supreme Court, which, in a clearly delimited judgment and with reference to the Court’s relevant case-law, held that the </w:t>
      </w:r>
      <w:r w:rsidRPr="001E3225">
        <w:t xml:space="preserve">Convention </w:t>
      </w:r>
      <w:r>
        <w:t>does not oblige Switzerland to adopt in its domestic legislation a concept of discrimination such as that requested by the applicant</w:t>
      </w:r>
      <w:r w:rsidRPr="001E3225">
        <w:t>.</w:t>
      </w:r>
    </w:p>
    <w:p w:rsidRPr="001E3225" w:rsidR="00972D4A" w:rsidP="00972D4A" w:rsidRDefault="003406A9" w14:paraId="4DF2B9FE" w14:textId="204A141F">
      <w:pPr>
        <w:pStyle w:val="JuPara"/>
      </w:pPr>
      <w:r>
        <w:rPr>
          <w:noProof/>
        </w:rPr>
        <w:fldChar w:fldCharType="begin"/>
      </w:r>
      <w:r>
        <w:rPr>
          <w:noProof/>
        </w:rPr>
        <w:instrText xml:space="preserve"> SEQ level0 \*arabic \* MERGEFORMAT </w:instrText>
      </w:r>
      <w:r>
        <w:rPr>
          <w:noProof/>
        </w:rPr>
        <w:fldChar w:fldCharType="separate"/>
      </w:r>
      <w:r w:rsidR="00972D4A">
        <w:rPr>
          <w:noProof/>
        </w:rPr>
        <w:t>54</w:t>
      </w:r>
      <w:r>
        <w:rPr>
          <w:noProof/>
        </w:rPr>
        <w:fldChar w:fldCharType="end"/>
      </w:r>
      <w:r w:rsidR="00972D4A">
        <w:t>.  It follows that the applicant cannot rely on Article 8 of the Convention</w:t>
      </w:r>
      <w:r w:rsidRPr="001E3225" w:rsidR="00972D4A">
        <w:t xml:space="preserve">. </w:t>
      </w:r>
      <w:r w:rsidR="00972D4A">
        <w:t xml:space="preserve">With regard to the </w:t>
      </w:r>
      <w:r w:rsidRPr="001E3225" w:rsidR="00972D4A">
        <w:t>applicabilit</w:t>
      </w:r>
      <w:r w:rsidR="00972D4A">
        <w:t>y of A</w:t>
      </w:r>
      <w:r w:rsidRPr="001E3225" w:rsidR="00972D4A">
        <w:t xml:space="preserve">rticle 10 </w:t>
      </w:r>
      <w:r w:rsidR="00972D4A">
        <w:t xml:space="preserve">of the </w:t>
      </w:r>
      <w:r w:rsidRPr="001E3225" w:rsidR="00972D4A">
        <w:t xml:space="preserve">Convention, </w:t>
      </w:r>
      <w:r w:rsidR="00972D4A">
        <w:t xml:space="preserve">the Court agrees with the Government that </w:t>
      </w:r>
      <w:r w:rsidR="00B749FC">
        <w:t xml:space="preserve">the scope of </w:t>
      </w:r>
      <w:r w:rsidR="00972D4A">
        <w:t>this provision does not, in the present case, extend</w:t>
      </w:r>
      <w:r w:rsidR="00B749FC">
        <w:t xml:space="preserve"> </w:t>
      </w:r>
      <w:r w:rsidR="00972D4A">
        <w:t xml:space="preserve">beyond that of Article 8  of the </w:t>
      </w:r>
      <w:r w:rsidRPr="001E3225" w:rsidR="00972D4A">
        <w:t xml:space="preserve">Convention. </w:t>
      </w:r>
      <w:r w:rsidR="00972D4A">
        <w:t xml:space="preserve">In other words, the Court considers that Article 10 of the Convention, </w:t>
      </w:r>
      <w:r w:rsidR="00507924">
        <w:t xml:space="preserve">and </w:t>
      </w:r>
      <w:r w:rsidR="00972D4A">
        <w:t>more specifically the right to receive information, does not go so far as to enable the applicant to gain access to the cinema in which a film he wishes to watch is being shown</w:t>
      </w:r>
      <w:r w:rsidRPr="001E3225" w:rsidR="00972D4A">
        <w:t>.</w:t>
      </w:r>
    </w:p>
    <w:p w:rsidRPr="001E3225" w:rsidR="00972D4A" w:rsidP="00972D4A" w:rsidRDefault="003406A9" w14:paraId="73D6348A" w14:textId="77777777">
      <w:pPr>
        <w:pStyle w:val="JuPara"/>
      </w:pPr>
      <w:r>
        <w:rPr>
          <w:noProof/>
        </w:rPr>
        <w:fldChar w:fldCharType="begin"/>
      </w:r>
      <w:r>
        <w:rPr>
          <w:noProof/>
        </w:rPr>
        <w:instrText xml:space="preserve"> SEQ level0 \*arabic \* MERGEFORMAT </w:instrText>
      </w:r>
      <w:r>
        <w:rPr>
          <w:noProof/>
        </w:rPr>
        <w:fldChar w:fldCharType="separate"/>
      </w:r>
      <w:r w:rsidR="00972D4A">
        <w:rPr>
          <w:noProof/>
        </w:rPr>
        <w:t>55</w:t>
      </w:r>
      <w:r>
        <w:rPr>
          <w:noProof/>
        </w:rPr>
        <w:fldChar w:fldCharType="end"/>
      </w:r>
      <w:r w:rsidR="00972D4A">
        <w:t xml:space="preserve">.  It follows that this complaint is incompatible </w:t>
      </w:r>
      <w:r w:rsidRPr="009E6353" w:rsidR="00972D4A">
        <w:rPr>
          <w:i/>
          <w:iCs/>
        </w:rPr>
        <w:t xml:space="preserve">ratione </w:t>
      </w:r>
      <w:proofErr w:type="spellStart"/>
      <w:r w:rsidRPr="009E6353" w:rsidR="00972D4A">
        <w:rPr>
          <w:i/>
          <w:iCs/>
        </w:rPr>
        <w:t>materiae</w:t>
      </w:r>
      <w:proofErr w:type="spellEnd"/>
      <w:r w:rsidR="00972D4A">
        <w:t xml:space="preserve"> with the provisions of the Convention and must be rejected pursuant to Article 35 §§ 3 (a) and 4 of the Convention.</w:t>
      </w:r>
    </w:p>
    <w:p w:rsidRPr="00293576" w:rsidR="00972D4A" w:rsidP="00972D4A" w:rsidRDefault="00972D4A" w14:paraId="7BAA8837" w14:textId="77777777">
      <w:pPr>
        <w:pStyle w:val="JuParaLast"/>
      </w:pPr>
      <w:r w:rsidRPr="00293576">
        <w:t>For these reasons, the Court, by a majority,</w:t>
      </w:r>
    </w:p>
    <w:p w:rsidR="00972D4A" w:rsidP="005C3F03" w:rsidRDefault="00972D4A" w14:paraId="5838B05F" w14:textId="77777777">
      <w:pPr>
        <w:pStyle w:val="JuList"/>
        <w:numPr>
          <w:ilvl w:val="0"/>
          <w:numId w:val="0"/>
        </w:numPr>
        <w:ind w:left="340"/>
      </w:pPr>
      <w:r w:rsidRPr="00116029">
        <w:rPr>
          <w:rStyle w:val="QuoteChar"/>
        </w:rPr>
        <w:t>Declares</w:t>
      </w:r>
      <w:r w:rsidRPr="00116029">
        <w:t xml:space="preserve"> the application inadmissible</w:t>
      </w:r>
      <w:r>
        <w:t>.</w:t>
      </w:r>
    </w:p>
    <w:p w:rsidRPr="002E4A29" w:rsidR="00972D4A" w:rsidP="00972D4A" w:rsidRDefault="00972D4A" w14:paraId="11D3193C" w14:textId="77777777">
      <w:pPr>
        <w:pStyle w:val="JuParaLast"/>
      </w:pPr>
      <w:r w:rsidRPr="002E4A29">
        <w:t xml:space="preserve">Done in </w:t>
      </w:r>
      <w:r>
        <w:t xml:space="preserve">French </w:t>
      </w:r>
      <w:r w:rsidRPr="002E4A29">
        <w:t xml:space="preserve">and notified in writing on </w:t>
      </w:r>
      <w:r>
        <w:t>18 July 2019</w:t>
      </w:r>
      <w:r w:rsidRPr="002E4A29">
        <w:t>.</w:t>
      </w:r>
    </w:p>
    <w:p w:rsidRPr="00DA29C4" w:rsidR="00972D4A" w:rsidP="00F54E05" w:rsidRDefault="00972D4A" w14:paraId="217F1EDA" w14:textId="3D9359C8">
      <w:pPr>
        <w:pStyle w:val="JuSigned"/>
        <w:rPr>
          <w:lang w:val="pt-PT"/>
        </w:rPr>
      </w:pPr>
      <w:r w:rsidRPr="002866CD">
        <w:tab/>
      </w:r>
      <w:proofErr w:type="spellStart"/>
      <w:r w:rsidRPr="00DA29C4">
        <w:rPr>
          <w:lang w:val="pt-PT"/>
        </w:rPr>
        <w:t>Fatoş</w:t>
      </w:r>
      <w:proofErr w:type="spellEnd"/>
      <w:r w:rsidRPr="00DA29C4">
        <w:rPr>
          <w:lang w:val="pt-PT"/>
        </w:rPr>
        <w:t xml:space="preserve"> </w:t>
      </w:r>
      <w:proofErr w:type="spellStart"/>
      <w:r w:rsidRPr="00DA29C4">
        <w:rPr>
          <w:lang w:val="pt-PT"/>
        </w:rPr>
        <w:t>Aracı</w:t>
      </w:r>
      <w:proofErr w:type="spellEnd"/>
      <w:r w:rsidRPr="00DA29C4">
        <w:rPr>
          <w:lang w:val="pt-PT"/>
        </w:rPr>
        <w:tab/>
        <w:t>Georgios A. Serghides</w:t>
      </w:r>
      <w:r w:rsidRPr="00DA29C4">
        <w:rPr>
          <w:lang w:val="pt-PT"/>
        </w:rPr>
        <w:br/>
      </w:r>
      <w:r w:rsidRPr="00DA29C4">
        <w:rPr>
          <w:iCs/>
          <w:lang w:val="pt-PT"/>
        </w:rPr>
        <w:tab/>
      </w:r>
      <w:proofErr w:type="spellStart"/>
      <w:r w:rsidRPr="00D006D5">
        <w:rPr>
          <w:iCs/>
          <w:lang w:val="pt-PT"/>
        </w:rPr>
        <w:t>Deputy</w:t>
      </w:r>
      <w:proofErr w:type="spellEnd"/>
      <w:r w:rsidRPr="00D006D5">
        <w:rPr>
          <w:iCs/>
          <w:lang w:val="pt-PT"/>
        </w:rPr>
        <w:t xml:space="preserve"> </w:t>
      </w:r>
      <w:proofErr w:type="gramStart"/>
      <w:r w:rsidRPr="00D006D5">
        <w:rPr>
          <w:iCs/>
          <w:lang w:val="pt-PT"/>
        </w:rPr>
        <w:t>Registrar</w:t>
      </w:r>
      <w:proofErr w:type="gramEnd"/>
      <w:r w:rsidRPr="00DA29C4">
        <w:rPr>
          <w:lang w:val="pt-PT"/>
        </w:rPr>
        <w:tab/>
      </w:r>
      <w:proofErr w:type="spellStart"/>
      <w:r w:rsidRPr="00D006D5">
        <w:rPr>
          <w:lang w:val="pt-PT"/>
        </w:rPr>
        <w:t>President</w:t>
      </w:r>
      <w:proofErr w:type="spellEnd"/>
    </w:p>
    <w:p w:rsidRPr="00DA29C4" w:rsidR="00E93FC7" w:rsidP="000E3A89" w:rsidRDefault="003406A9" w14:paraId="5854C6F5" w14:textId="253A9766">
      <w:pPr>
        <w:rPr>
          <w:sz w:val="2"/>
          <w:szCs w:val="2"/>
          <w:lang w:val="pt-PT"/>
        </w:rPr>
      </w:pPr>
    </w:p>
    <w:sectPr w:rsidRPr="00DA29C4" w:rsidR="00E93FC7" w:rsidSect="0076040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7CDE1" w14:textId="77777777" w:rsidR="007D279A" w:rsidRPr="007D279A" w:rsidRDefault="007D279A">
      <w:r w:rsidRPr="007D279A">
        <w:separator/>
      </w:r>
    </w:p>
  </w:endnote>
  <w:endnote w:type="continuationSeparator" w:id="0">
    <w:p w14:paraId="63ED8563" w14:textId="77777777" w:rsidR="007D279A" w:rsidRPr="007D279A" w:rsidRDefault="007D279A">
      <w:r w:rsidRPr="007D27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88EF00" w14:textId="2E68BDC7" w:rsidR="001818B5" w:rsidRPr="007D279A" w:rsidRDefault="007D279A"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7BCAB" w14:textId="58B89881" w:rsidR="001818B5" w:rsidRPr="007D279A" w:rsidRDefault="007D279A"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C9660" w14:textId="6F2AC122" w:rsidR="007D279A" w:rsidRPr="00150BFA" w:rsidRDefault="007D279A" w:rsidP="0020718E">
    <w:pPr>
      <w:jc w:val="center"/>
    </w:pPr>
    <w:r w:rsidRPr="007D279A">
      <w:rPr>
        <w:noProof/>
        <w:lang w:val="en-US" w:eastAsia="ja-JP"/>
      </w:rPr>
      <w:drawing>
        <wp:inline distT="0" distB="0" distL="0" distR="0" wp14:anchorId="7213E1CB" wp14:editId="7FCA2B6B">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90D678E" w14:textId="09F09FAF" w:rsidR="00F05C7B" w:rsidRPr="007D279A" w:rsidRDefault="003406A9"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E25C0E" w14:textId="77777777" w:rsidR="007D279A" w:rsidRPr="007D279A" w:rsidRDefault="007D279A">
      <w:r w:rsidRPr="007D279A">
        <w:separator/>
      </w:r>
    </w:p>
  </w:footnote>
  <w:footnote w:type="continuationSeparator" w:id="0">
    <w:p w14:paraId="471FBF13" w14:textId="77777777" w:rsidR="007D279A" w:rsidRPr="007D279A" w:rsidRDefault="007D279A">
      <w:r w:rsidRPr="007D279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7F820" w14:textId="62BB4CED" w:rsidR="00F05C7B" w:rsidRPr="007D279A" w:rsidRDefault="007D279A" w:rsidP="0076040F">
    <w:pPr>
      <w:pStyle w:val="JuHeader"/>
    </w:pPr>
    <w:r>
      <w:t>GLAISEN v. SWITZERLAND</w:t>
    </w:r>
    <w:r w:rsidR="006267D3" w:rsidRPr="007D279A">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3FC807" w14:textId="387EACBC" w:rsidR="00F05C7B" w:rsidRPr="007D279A" w:rsidRDefault="007D279A" w:rsidP="000D61E7">
    <w:pPr>
      <w:pStyle w:val="JuHeader"/>
    </w:pPr>
    <w:r>
      <w:t>GLAISEN v. SWITZERLAND</w:t>
    </w:r>
    <w:r w:rsidR="006267D3" w:rsidRPr="007D279A">
      <w:t xml:space="preserve"> DECISION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C78D28" w14:textId="23230F01" w:rsidR="007D279A" w:rsidRPr="00A45145" w:rsidRDefault="007D279A" w:rsidP="00A45145">
    <w:pPr>
      <w:jc w:val="center"/>
    </w:pPr>
    <w:r>
      <w:rPr>
        <w:noProof/>
        <w:lang w:val="en-US" w:eastAsia="ja-JP"/>
      </w:rPr>
      <w:drawing>
        <wp:inline distT="0" distB="0" distL="0" distR="0" wp14:anchorId="57ED10A7" wp14:editId="3CA4A99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5326CCE" w14:textId="140BC8CD" w:rsidR="00F05C7B" w:rsidRPr="007D279A" w:rsidRDefault="003406A9"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4A920269"/>
    <w:multiLevelType w:val="hybridMultilevel"/>
    <w:tmpl w:val="6F6264EC"/>
    <w:lvl w:ilvl="0" w:tplc="040C0017">
      <w:start w:val="1"/>
      <w:numFmt w:val="lowerLetter"/>
      <w:lvlText w:val="%1)"/>
      <w:lvlJc w:val="left"/>
      <w:pPr>
        <w:ind w:left="1230" w:hanging="360"/>
      </w:pPr>
    </w:lvl>
    <w:lvl w:ilvl="1" w:tplc="040C0019" w:tentative="1">
      <w:start w:val="1"/>
      <w:numFmt w:val="lowerLetter"/>
      <w:lvlText w:val="%2."/>
      <w:lvlJc w:val="left"/>
      <w:pPr>
        <w:ind w:left="1950" w:hanging="360"/>
      </w:pPr>
    </w:lvl>
    <w:lvl w:ilvl="2" w:tplc="040C001B" w:tentative="1">
      <w:start w:val="1"/>
      <w:numFmt w:val="lowerRoman"/>
      <w:lvlText w:val="%3."/>
      <w:lvlJc w:val="right"/>
      <w:pPr>
        <w:ind w:left="2670" w:hanging="180"/>
      </w:pPr>
    </w:lvl>
    <w:lvl w:ilvl="3" w:tplc="040C000F" w:tentative="1">
      <w:start w:val="1"/>
      <w:numFmt w:val="decimal"/>
      <w:lvlText w:val="%4."/>
      <w:lvlJc w:val="left"/>
      <w:pPr>
        <w:ind w:left="3390" w:hanging="360"/>
      </w:pPr>
    </w:lvl>
    <w:lvl w:ilvl="4" w:tplc="040C0019" w:tentative="1">
      <w:start w:val="1"/>
      <w:numFmt w:val="lowerLetter"/>
      <w:lvlText w:val="%5."/>
      <w:lvlJc w:val="left"/>
      <w:pPr>
        <w:ind w:left="4110" w:hanging="360"/>
      </w:pPr>
    </w:lvl>
    <w:lvl w:ilvl="5" w:tplc="040C001B" w:tentative="1">
      <w:start w:val="1"/>
      <w:numFmt w:val="lowerRoman"/>
      <w:lvlText w:val="%6."/>
      <w:lvlJc w:val="right"/>
      <w:pPr>
        <w:ind w:left="4830" w:hanging="180"/>
      </w:pPr>
    </w:lvl>
    <w:lvl w:ilvl="6" w:tplc="040C000F" w:tentative="1">
      <w:start w:val="1"/>
      <w:numFmt w:val="decimal"/>
      <w:lvlText w:val="%7."/>
      <w:lvlJc w:val="left"/>
      <w:pPr>
        <w:ind w:left="5550" w:hanging="360"/>
      </w:pPr>
    </w:lvl>
    <w:lvl w:ilvl="7" w:tplc="040C0019" w:tentative="1">
      <w:start w:val="1"/>
      <w:numFmt w:val="lowerLetter"/>
      <w:lvlText w:val="%8."/>
      <w:lvlJc w:val="left"/>
      <w:pPr>
        <w:ind w:left="6270" w:hanging="360"/>
      </w:pPr>
    </w:lvl>
    <w:lvl w:ilvl="8" w:tplc="040C001B" w:tentative="1">
      <w:start w:val="1"/>
      <w:numFmt w:val="lowerRoman"/>
      <w:lvlText w:val="%9."/>
      <w:lvlJc w:val="right"/>
      <w:pPr>
        <w:ind w:left="6990" w:hanging="180"/>
      </w:p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72CE1255"/>
    <w:multiLevelType w:val="multilevel"/>
    <w:tmpl w:val="E04A2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2"/>
  </w:num>
  <w:num w:numId="3">
    <w:abstractNumId w:val="11"/>
  </w:num>
  <w:num w:numId="4">
    <w:abstractNumId w:val="15"/>
  </w:num>
  <w:num w:numId="5">
    <w:abstractNumId w:val="13"/>
  </w:num>
  <w:num w:numId="6">
    <w:abstractNumId w:val="17"/>
  </w:num>
  <w:num w:numId="7">
    <w:abstractNumId w:val="15"/>
  </w:num>
  <w:num w:numId="8">
    <w:abstractNumId w:val="17"/>
  </w:num>
  <w:num w:numId="9">
    <w:abstractNumId w:val="10"/>
  </w:num>
  <w:num w:numId="10">
    <w:abstractNumId w:val="9"/>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0"/>
  </w:num>
  <w:num w:numId="22">
    <w:abstractNumId w:val="18"/>
  </w:num>
  <w:num w:numId="23">
    <w:abstractNumId w:val="16"/>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hdrShapeDefaults>
    <o:shapedefaults v:ext="edit" spidmax="1638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D279A"/>
    <w:rsid w:val="00012FFC"/>
    <w:rsid w:val="00052F59"/>
    <w:rsid w:val="00095FD8"/>
    <w:rsid w:val="000A6D82"/>
    <w:rsid w:val="000B1FA9"/>
    <w:rsid w:val="000C293F"/>
    <w:rsid w:val="000D5D49"/>
    <w:rsid w:val="000D61E7"/>
    <w:rsid w:val="000E3A89"/>
    <w:rsid w:val="00132029"/>
    <w:rsid w:val="001D1233"/>
    <w:rsid w:val="001E331B"/>
    <w:rsid w:val="00223591"/>
    <w:rsid w:val="002A7443"/>
    <w:rsid w:val="003406A9"/>
    <w:rsid w:val="003440CF"/>
    <w:rsid w:val="00344775"/>
    <w:rsid w:val="00376166"/>
    <w:rsid w:val="00381F13"/>
    <w:rsid w:val="003A065F"/>
    <w:rsid w:val="003B50D7"/>
    <w:rsid w:val="003E3C60"/>
    <w:rsid w:val="004155F3"/>
    <w:rsid w:val="0043705E"/>
    <w:rsid w:val="00442297"/>
    <w:rsid w:val="00452087"/>
    <w:rsid w:val="00464268"/>
    <w:rsid w:val="00482405"/>
    <w:rsid w:val="00487F03"/>
    <w:rsid w:val="004A4C71"/>
    <w:rsid w:val="004B4E73"/>
    <w:rsid w:val="00507924"/>
    <w:rsid w:val="00525554"/>
    <w:rsid w:val="00566CF0"/>
    <w:rsid w:val="005C3F03"/>
    <w:rsid w:val="005E56C2"/>
    <w:rsid w:val="005F11CB"/>
    <w:rsid w:val="006262FA"/>
    <w:rsid w:val="006267D3"/>
    <w:rsid w:val="006300E9"/>
    <w:rsid w:val="00653EF4"/>
    <w:rsid w:val="00656B81"/>
    <w:rsid w:val="00695265"/>
    <w:rsid w:val="006D4D63"/>
    <w:rsid w:val="006E123B"/>
    <w:rsid w:val="00733781"/>
    <w:rsid w:val="007879A7"/>
    <w:rsid w:val="007907C0"/>
    <w:rsid w:val="007A74FC"/>
    <w:rsid w:val="007B2364"/>
    <w:rsid w:val="007D279A"/>
    <w:rsid w:val="007F785E"/>
    <w:rsid w:val="00805A5F"/>
    <w:rsid w:val="00812D10"/>
    <w:rsid w:val="00896795"/>
    <w:rsid w:val="008D10E4"/>
    <w:rsid w:val="008F0A92"/>
    <w:rsid w:val="008F7189"/>
    <w:rsid w:val="00956B2A"/>
    <w:rsid w:val="0096293E"/>
    <w:rsid w:val="009656DE"/>
    <w:rsid w:val="00972D4A"/>
    <w:rsid w:val="009B6F49"/>
    <w:rsid w:val="009C21E8"/>
    <w:rsid w:val="009D22C0"/>
    <w:rsid w:val="009E01FB"/>
    <w:rsid w:val="00AA5AEE"/>
    <w:rsid w:val="00AC58E5"/>
    <w:rsid w:val="00B11153"/>
    <w:rsid w:val="00B140D3"/>
    <w:rsid w:val="00B749FC"/>
    <w:rsid w:val="00BD1692"/>
    <w:rsid w:val="00C42C12"/>
    <w:rsid w:val="00C43BA7"/>
    <w:rsid w:val="00C74EE7"/>
    <w:rsid w:val="00CD4CD4"/>
    <w:rsid w:val="00D006D5"/>
    <w:rsid w:val="00D415D6"/>
    <w:rsid w:val="00D91CA8"/>
    <w:rsid w:val="00DA29C4"/>
    <w:rsid w:val="00DA67EE"/>
    <w:rsid w:val="00DB6354"/>
    <w:rsid w:val="00E5464B"/>
    <w:rsid w:val="00EB755F"/>
    <w:rsid w:val="00EE38CA"/>
    <w:rsid w:val="00EF2AF6"/>
    <w:rsid w:val="00F24AB9"/>
    <w:rsid w:val="00F54E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AB8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A74FC"/>
    <w:rPr>
      <w:sz w:val="24"/>
      <w:szCs w:val="24"/>
      <w:lang w:val="en-GB"/>
    </w:rPr>
  </w:style>
  <w:style w:type="paragraph" w:styleId="Heading1">
    <w:name w:val="heading 1"/>
    <w:basedOn w:val="Normal"/>
    <w:next w:val="Normal"/>
    <w:link w:val="Heading1Char"/>
    <w:uiPriority w:val="98"/>
    <w:rsid w:val="007A74F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rsid w:val="007A74F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rsid w:val="007A74F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A74F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A74F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A74F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A74F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A74F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A74F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2"/>
    <w:qFormat/>
    <w:rsid w:val="007A74FC"/>
    <w:pPr>
      <w:tabs>
        <w:tab w:val="center" w:pos="851"/>
        <w:tab w:val="center" w:pos="6407"/>
      </w:tabs>
      <w:spacing w:before="720"/>
    </w:pPr>
  </w:style>
  <w:style w:type="paragraph" w:customStyle="1" w:styleId="JuPara">
    <w:name w:val="Ju_Para"/>
    <w:aliases w:val="_Para"/>
    <w:basedOn w:val="NormalJustified"/>
    <w:link w:val="JuParaChar"/>
    <w:uiPriority w:val="4"/>
    <w:qFormat/>
    <w:rsid w:val="007A74FC"/>
    <w:pPr>
      <w:ind w:firstLine="284"/>
    </w:pPr>
  </w:style>
  <w:style w:type="character" w:styleId="PageNumber">
    <w:name w:val="page number"/>
    <w:uiPriority w:val="98"/>
    <w:rsid w:val="007A74FC"/>
    <w:rPr>
      <w:sz w:val="18"/>
    </w:rPr>
  </w:style>
  <w:style w:type="character" w:styleId="CommentReference">
    <w:name w:val="annotation reference"/>
    <w:basedOn w:val="DefaultParagraphFont"/>
    <w:uiPriority w:val="98"/>
    <w:semiHidden/>
    <w:rsid w:val="007A74FC"/>
    <w:rPr>
      <w:sz w:val="16"/>
      <w:szCs w:val="16"/>
    </w:rPr>
  </w:style>
  <w:style w:type="paragraph" w:styleId="CommentText">
    <w:name w:val="annotation text"/>
    <w:basedOn w:val="Normal"/>
    <w:link w:val="CommentTextChar"/>
    <w:uiPriority w:val="98"/>
    <w:semiHidden/>
    <w:rsid w:val="007A74FC"/>
    <w:rPr>
      <w:sz w:val="20"/>
      <w:szCs w:val="20"/>
    </w:rPr>
  </w:style>
  <w:style w:type="character" w:customStyle="1" w:styleId="CommentTextChar">
    <w:name w:val="Comment Text Char"/>
    <w:basedOn w:val="DefaultParagraphFont"/>
    <w:link w:val="CommentText"/>
    <w:uiPriority w:val="98"/>
    <w:semiHidden/>
    <w:rsid w:val="007A74FC"/>
    <w:rPr>
      <w:sz w:val="20"/>
      <w:szCs w:val="20"/>
      <w:lang w:val="en-GB"/>
    </w:rPr>
  </w:style>
  <w:style w:type="paragraph" w:customStyle="1" w:styleId="DecHTitle">
    <w:name w:val="Dec_H_Title"/>
    <w:aliases w:val="_Title_1"/>
    <w:basedOn w:val="JuPara"/>
    <w:next w:val="JuPara"/>
    <w:uiPriority w:val="38"/>
    <w:qFormat/>
    <w:rsid w:val="007A74F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7A74F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A74FC"/>
    <w:pPr>
      <w:keepNext/>
      <w:keepLines/>
      <w:spacing w:before="1320" w:after="280"/>
      <w:contextualSpacing/>
      <w:jc w:val="center"/>
    </w:pPr>
    <w:rPr>
      <w:b/>
    </w:rPr>
  </w:style>
  <w:style w:type="paragraph" w:customStyle="1" w:styleId="JuHeader">
    <w:name w:val="Ju_Header"/>
    <w:aliases w:val="_Header"/>
    <w:basedOn w:val="Header"/>
    <w:uiPriority w:val="29"/>
    <w:qFormat/>
    <w:rsid w:val="007A74FC"/>
    <w:pPr>
      <w:tabs>
        <w:tab w:val="clear" w:pos="4536"/>
        <w:tab w:val="clear" w:pos="9072"/>
      </w:tabs>
      <w:jc w:val="center"/>
    </w:pPr>
    <w:rPr>
      <w:sz w:val="18"/>
    </w:rPr>
  </w:style>
  <w:style w:type="paragraph" w:styleId="Header">
    <w:name w:val="header"/>
    <w:basedOn w:val="Normal"/>
    <w:link w:val="HeaderChar"/>
    <w:uiPriority w:val="98"/>
    <w:rsid w:val="007A74FC"/>
    <w:pPr>
      <w:tabs>
        <w:tab w:val="center" w:pos="4536"/>
        <w:tab w:val="right" w:pos="9072"/>
      </w:tabs>
    </w:pPr>
  </w:style>
  <w:style w:type="character" w:customStyle="1" w:styleId="HeaderChar">
    <w:name w:val="Header Char"/>
    <w:basedOn w:val="DefaultParagraphFont"/>
    <w:link w:val="Header"/>
    <w:uiPriority w:val="98"/>
    <w:rsid w:val="007A74FC"/>
    <w:rPr>
      <w:sz w:val="24"/>
      <w:szCs w:val="24"/>
      <w:lang w:val="en-GB"/>
    </w:rPr>
  </w:style>
  <w:style w:type="paragraph" w:styleId="BalloonText">
    <w:name w:val="Balloon Text"/>
    <w:basedOn w:val="Normal"/>
    <w:link w:val="BalloonTextChar"/>
    <w:uiPriority w:val="98"/>
    <w:semiHidden/>
    <w:rsid w:val="007A74FC"/>
    <w:rPr>
      <w:rFonts w:ascii="Tahoma" w:hAnsi="Tahoma" w:cs="Tahoma"/>
      <w:sz w:val="16"/>
      <w:szCs w:val="16"/>
    </w:rPr>
  </w:style>
  <w:style w:type="character" w:customStyle="1" w:styleId="BalloonTextChar">
    <w:name w:val="Balloon Text Char"/>
    <w:basedOn w:val="DefaultParagraphFont"/>
    <w:link w:val="BalloonText"/>
    <w:uiPriority w:val="98"/>
    <w:semiHidden/>
    <w:rsid w:val="007A74FC"/>
    <w:rPr>
      <w:rFonts w:ascii="Tahoma" w:hAnsi="Tahoma" w:cs="Tahoma"/>
      <w:sz w:val="16"/>
      <w:szCs w:val="16"/>
      <w:lang w:val="en-GB"/>
    </w:rPr>
  </w:style>
  <w:style w:type="paragraph" w:customStyle="1" w:styleId="DummyStyle">
    <w:name w:val="Dummy_Style"/>
    <w:aliases w:val="_Dummy"/>
    <w:basedOn w:val="Normal"/>
    <w:semiHidden/>
    <w:qFormat/>
    <w:rsid w:val="007A74FC"/>
    <w:rPr>
      <w:color w:val="00B050"/>
      <w:sz w:val="22"/>
    </w:rPr>
  </w:style>
  <w:style w:type="paragraph" w:customStyle="1" w:styleId="NormalJustified">
    <w:name w:val="Normal_Justified"/>
    <w:basedOn w:val="Normal"/>
    <w:semiHidden/>
    <w:rsid w:val="007A74FC"/>
    <w:pPr>
      <w:jc w:val="both"/>
    </w:pPr>
  </w:style>
  <w:style w:type="paragraph" w:customStyle="1" w:styleId="JuQuot">
    <w:name w:val="Ju_Quot"/>
    <w:aliases w:val="_Quote,ECHR_Para_Quote"/>
    <w:basedOn w:val="NormalJustified"/>
    <w:qFormat/>
    <w:rsid w:val="007A74F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7A74FC"/>
    <w:pPr>
      <w:keepNext/>
      <w:keepLines/>
      <w:tabs>
        <w:tab w:val="right" w:pos="7938"/>
      </w:tabs>
      <w:ind w:firstLine="0"/>
      <w:jc w:val="center"/>
    </w:pPr>
    <w:rPr>
      <w:i/>
    </w:rPr>
  </w:style>
  <w:style w:type="table" w:customStyle="1" w:styleId="ECHRDNTable">
    <w:name w:val="ECHR_DN_Table"/>
    <w:basedOn w:val="TableNormal"/>
    <w:uiPriority w:val="99"/>
    <w:rsid w:val="007A74F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7A74FC"/>
    <w:pPr>
      <w:numPr>
        <w:numId w:val="4"/>
      </w:numPr>
    </w:pPr>
  </w:style>
  <w:style w:type="numbering" w:customStyle="1" w:styleId="ECHRA1StyleList">
    <w:name w:val="ECHR_A1_Style_List"/>
    <w:basedOn w:val="NoList"/>
    <w:uiPriority w:val="99"/>
    <w:rsid w:val="007A74FC"/>
    <w:pPr>
      <w:numPr>
        <w:numId w:val="5"/>
      </w:numPr>
    </w:pPr>
  </w:style>
  <w:style w:type="paragraph" w:customStyle="1" w:styleId="JuHArticle">
    <w:name w:val="Ju_H_Article"/>
    <w:aliases w:val="_Title_Quote"/>
    <w:basedOn w:val="Normal"/>
    <w:next w:val="JuQuot"/>
    <w:uiPriority w:val="27"/>
    <w:qFormat/>
    <w:rsid w:val="007A74FC"/>
    <w:pPr>
      <w:keepNext/>
      <w:spacing w:before="100" w:beforeAutospacing="1" w:after="120"/>
      <w:contextualSpacing/>
      <w:jc w:val="center"/>
    </w:pPr>
    <w:rPr>
      <w:b/>
      <w:sz w:val="20"/>
    </w:rPr>
  </w:style>
  <w:style w:type="numbering" w:customStyle="1" w:styleId="ECHRA1StyleNumberedList">
    <w:name w:val="ECHR_A1_Style_Numbered_List"/>
    <w:basedOn w:val="NoList"/>
    <w:rsid w:val="007A74FC"/>
    <w:pPr>
      <w:numPr>
        <w:numId w:val="6"/>
      </w:numPr>
    </w:pPr>
  </w:style>
  <w:style w:type="table" w:customStyle="1" w:styleId="ECHRHeaderTable">
    <w:name w:val="ECHR_Header_Table"/>
    <w:basedOn w:val="TableNormal"/>
    <w:uiPriority w:val="99"/>
    <w:rsid w:val="007A74F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7A74F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7A74FC"/>
    <w:pPr>
      <w:tabs>
        <w:tab w:val="center" w:pos="6407"/>
      </w:tabs>
      <w:spacing w:before="720"/>
      <w:jc w:val="right"/>
    </w:pPr>
  </w:style>
  <w:style w:type="table" w:customStyle="1" w:styleId="ECHRHeaderTableReduced">
    <w:name w:val="ECHR_Header_Table_Reduced"/>
    <w:basedOn w:val="TableNormal"/>
    <w:uiPriority w:val="99"/>
    <w:rsid w:val="007A74F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7A74FC"/>
    <w:rPr>
      <w:caps w:val="0"/>
      <w:smallCaps/>
    </w:rPr>
  </w:style>
  <w:style w:type="character" w:customStyle="1" w:styleId="JuITMark">
    <w:name w:val="Ju_ITMark"/>
    <w:aliases w:val="_ITMark"/>
    <w:basedOn w:val="DefaultParagraphFont"/>
    <w:uiPriority w:val="54"/>
    <w:qFormat/>
    <w:rsid w:val="007A74F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7A74F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7A74F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A74FC"/>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7A74F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7A74F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rsid w:val="007A74F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7A74F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rsid w:val="007A74F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7A74F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7A74F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7A74F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7A74F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7A74F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7A74F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7A74F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7A74F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7A74FC"/>
    <w:pPr>
      <w:keepNext/>
      <w:keepLines/>
      <w:spacing w:before="240" w:after="240"/>
      <w:ind w:firstLine="284"/>
    </w:pPr>
  </w:style>
  <w:style w:type="table" w:customStyle="1" w:styleId="ECHRTableBoxHeader">
    <w:name w:val="ECHR_Table_Box_Header"/>
    <w:basedOn w:val="TableNormal"/>
    <w:rsid w:val="007A74F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7A74FC"/>
    <w:pPr>
      <w:tabs>
        <w:tab w:val="left" w:pos="567"/>
        <w:tab w:val="left" w:pos="1134"/>
      </w:tabs>
    </w:pPr>
  </w:style>
  <w:style w:type="paragraph" w:customStyle="1" w:styleId="JuList">
    <w:name w:val="Ju_List"/>
    <w:aliases w:val="_List_1"/>
    <w:basedOn w:val="NormalJustified"/>
    <w:uiPriority w:val="23"/>
    <w:qFormat/>
    <w:rsid w:val="007A74FC"/>
    <w:pPr>
      <w:numPr>
        <w:numId w:val="10"/>
      </w:numPr>
      <w:spacing w:before="280" w:after="60"/>
    </w:pPr>
  </w:style>
  <w:style w:type="paragraph" w:customStyle="1" w:styleId="JuLista">
    <w:name w:val="Ju_List_a"/>
    <w:aliases w:val="_List_2"/>
    <w:basedOn w:val="NormalJustified"/>
    <w:uiPriority w:val="23"/>
    <w:rsid w:val="007A74FC"/>
    <w:pPr>
      <w:numPr>
        <w:ilvl w:val="1"/>
        <w:numId w:val="10"/>
      </w:numPr>
    </w:pPr>
  </w:style>
  <w:style w:type="paragraph" w:customStyle="1" w:styleId="JuListi">
    <w:name w:val="Ju_List_i"/>
    <w:aliases w:val="_List_3"/>
    <w:basedOn w:val="NormalJustified"/>
    <w:uiPriority w:val="23"/>
    <w:rsid w:val="007A74FC"/>
    <w:pPr>
      <w:numPr>
        <w:ilvl w:val="2"/>
        <w:numId w:val="10"/>
      </w:numPr>
    </w:pPr>
  </w:style>
  <w:style w:type="table" w:customStyle="1" w:styleId="ECHRTableFax">
    <w:name w:val="ECHR_Table_Fax"/>
    <w:basedOn w:val="TableNormal"/>
    <w:uiPriority w:val="99"/>
    <w:rsid w:val="007A74F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7A74F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7A74F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7A74F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A74F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qFormat/>
    <w:rsid w:val="007A74F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A74F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qFormat/>
    <w:rsid w:val="007A74F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A74FC"/>
    <w:rPr>
      <w:rFonts w:asciiTheme="majorHAnsi" w:eastAsiaTheme="majorEastAsia" w:hAnsiTheme="majorHAnsi" w:cstheme="majorBidi"/>
      <w:i/>
      <w:iCs/>
      <w:spacing w:val="13"/>
      <w:sz w:val="24"/>
      <w:szCs w:val="24"/>
      <w:lang w:val="en-GB" w:bidi="en-US"/>
    </w:rPr>
  </w:style>
  <w:style w:type="character" w:styleId="Strong">
    <w:name w:val="Strong"/>
    <w:uiPriority w:val="98"/>
    <w:qFormat/>
    <w:rsid w:val="007A74FC"/>
    <w:rPr>
      <w:b/>
      <w:bCs/>
    </w:rPr>
  </w:style>
  <w:style w:type="character" w:styleId="Emphasis">
    <w:name w:val="Emphasis"/>
    <w:uiPriority w:val="98"/>
    <w:qFormat/>
    <w:rsid w:val="007A74FC"/>
    <w:rPr>
      <w:b/>
      <w:bCs/>
      <w:i/>
      <w:iCs/>
      <w:spacing w:val="10"/>
      <w:bdr w:val="none" w:sz="0" w:space="0" w:color="auto"/>
      <w:shd w:val="clear" w:color="auto" w:fill="auto"/>
    </w:rPr>
  </w:style>
  <w:style w:type="paragraph" w:styleId="NoSpacing">
    <w:name w:val="No Spacing"/>
    <w:basedOn w:val="Normal"/>
    <w:link w:val="NoSpacingChar"/>
    <w:uiPriority w:val="98"/>
    <w:qFormat/>
    <w:rsid w:val="007A74FC"/>
  </w:style>
  <w:style w:type="character" w:customStyle="1" w:styleId="NoSpacingChar">
    <w:name w:val="No Spacing Char"/>
    <w:basedOn w:val="DefaultParagraphFont"/>
    <w:link w:val="NoSpacing"/>
    <w:uiPriority w:val="98"/>
    <w:rsid w:val="007A74FC"/>
    <w:rPr>
      <w:sz w:val="24"/>
      <w:szCs w:val="24"/>
      <w:lang w:val="en-GB"/>
    </w:rPr>
  </w:style>
  <w:style w:type="paragraph" w:styleId="ListParagraph">
    <w:name w:val="List Paragraph"/>
    <w:basedOn w:val="Normal"/>
    <w:uiPriority w:val="98"/>
    <w:qFormat/>
    <w:rsid w:val="007A74FC"/>
    <w:pPr>
      <w:ind w:left="720"/>
      <w:contextualSpacing/>
    </w:pPr>
  </w:style>
  <w:style w:type="paragraph" w:styleId="Quote">
    <w:name w:val="Quote"/>
    <w:basedOn w:val="Normal"/>
    <w:next w:val="Normal"/>
    <w:link w:val="QuoteChar"/>
    <w:uiPriority w:val="98"/>
    <w:qFormat/>
    <w:rsid w:val="007A74FC"/>
    <w:pPr>
      <w:spacing w:before="200"/>
      <w:ind w:left="360" w:right="360"/>
    </w:pPr>
    <w:rPr>
      <w:i/>
      <w:iCs/>
      <w:lang w:bidi="en-US"/>
    </w:rPr>
  </w:style>
  <w:style w:type="character" w:customStyle="1" w:styleId="QuoteChar">
    <w:name w:val="Quote Char"/>
    <w:basedOn w:val="DefaultParagraphFont"/>
    <w:link w:val="Quote"/>
    <w:uiPriority w:val="98"/>
    <w:rsid w:val="007A74FC"/>
    <w:rPr>
      <w:i/>
      <w:iCs/>
      <w:sz w:val="24"/>
      <w:szCs w:val="24"/>
      <w:lang w:val="en-GB" w:bidi="en-US"/>
    </w:rPr>
  </w:style>
  <w:style w:type="paragraph" w:styleId="IntenseQuote">
    <w:name w:val="Intense Quote"/>
    <w:basedOn w:val="Normal"/>
    <w:next w:val="Normal"/>
    <w:link w:val="IntenseQuoteChar"/>
    <w:uiPriority w:val="98"/>
    <w:qFormat/>
    <w:rsid w:val="007A74F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A74FC"/>
    <w:rPr>
      <w:b/>
      <w:bCs/>
      <w:i/>
      <w:iCs/>
      <w:sz w:val="24"/>
      <w:szCs w:val="24"/>
      <w:lang w:val="en-GB" w:bidi="en-US"/>
    </w:rPr>
  </w:style>
  <w:style w:type="character" w:styleId="SubtleEmphasis">
    <w:name w:val="Subtle Emphasis"/>
    <w:uiPriority w:val="98"/>
    <w:qFormat/>
    <w:rsid w:val="007A74FC"/>
    <w:rPr>
      <w:i/>
      <w:iCs/>
    </w:rPr>
  </w:style>
  <w:style w:type="character" w:styleId="IntenseEmphasis">
    <w:name w:val="Intense Emphasis"/>
    <w:uiPriority w:val="98"/>
    <w:qFormat/>
    <w:rsid w:val="007A74FC"/>
    <w:rPr>
      <w:b/>
      <w:bCs/>
    </w:rPr>
  </w:style>
  <w:style w:type="character" w:styleId="SubtleReference">
    <w:name w:val="Subtle Reference"/>
    <w:uiPriority w:val="98"/>
    <w:qFormat/>
    <w:rsid w:val="007A74FC"/>
    <w:rPr>
      <w:smallCaps/>
    </w:rPr>
  </w:style>
  <w:style w:type="character" w:styleId="IntenseReference">
    <w:name w:val="Intense Reference"/>
    <w:uiPriority w:val="98"/>
    <w:qFormat/>
    <w:rsid w:val="007A74FC"/>
    <w:rPr>
      <w:smallCaps/>
      <w:spacing w:val="5"/>
      <w:u w:val="single"/>
    </w:rPr>
  </w:style>
  <w:style w:type="character" w:styleId="BookTitle">
    <w:name w:val="Book Title"/>
    <w:uiPriority w:val="98"/>
    <w:qFormat/>
    <w:rsid w:val="007A74FC"/>
    <w:rPr>
      <w:i/>
      <w:iCs/>
      <w:smallCaps/>
      <w:spacing w:val="5"/>
    </w:rPr>
  </w:style>
  <w:style w:type="paragraph" w:styleId="TOCHeading">
    <w:name w:val="TOC Heading"/>
    <w:basedOn w:val="Normal"/>
    <w:next w:val="Normal"/>
    <w:uiPriority w:val="98"/>
    <w:semiHidden/>
    <w:qFormat/>
    <w:rsid w:val="007A74F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7A74FC"/>
    <w:pPr>
      <w:numPr>
        <w:numId w:val="1"/>
      </w:numPr>
    </w:pPr>
  </w:style>
  <w:style w:type="numbering" w:styleId="1ai">
    <w:name w:val="Outline List 1"/>
    <w:basedOn w:val="NoList"/>
    <w:uiPriority w:val="99"/>
    <w:semiHidden/>
    <w:unhideWhenUsed/>
    <w:rsid w:val="007A74FC"/>
    <w:pPr>
      <w:numPr>
        <w:numId w:val="2"/>
      </w:numPr>
    </w:pPr>
  </w:style>
  <w:style w:type="numbering" w:styleId="ArticleSection">
    <w:name w:val="Outline List 3"/>
    <w:basedOn w:val="NoList"/>
    <w:uiPriority w:val="99"/>
    <w:semiHidden/>
    <w:unhideWhenUsed/>
    <w:rsid w:val="007A74FC"/>
    <w:pPr>
      <w:numPr>
        <w:numId w:val="3"/>
      </w:numPr>
    </w:pPr>
  </w:style>
  <w:style w:type="paragraph" w:styleId="Bibliography">
    <w:name w:val="Bibliography"/>
    <w:basedOn w:val="Normal"/>
    <w:next w:val="Normal"/>
    <w:uiPriority w:val="98"/>
    <w:semiHidden/>
    <w:rsid w:val="007A74FC"/>
  </w:style>
  <w:style w:type="paragraph" w:styleId="BlockText">
    <w:name w:val="Block Text"/>
    <w:basedOn w:val="Normal"/>
    <w:uiPriority w:val="98"/>
    <w:semiHidden/>
    <w:rsid w:val="007A74F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7A74FC"/>
    <w:pPr>
      <w:spacing w:after="120"/>
    </w:pPr>
  </w:style>
  <w:style w:type="character" w:customStyle="1" w:styleId="BodyTextChar">
    <w:name w:val="Body Text Char"/>
    <w:basedOn w:val="DefaultParagraphFont"/>
    <w:link w:val="BodyText"/>
    <w:uiPriority w:val="98"/>
    <w:semiHidden/>
    <w:rsid w:val="007A74FC"/>
    <w:rPr>
      <w:sz w:val="24"/>
      <w:szCs w:val="24"/>
      <w:lang w:val="en-GB"/>
    </w:rPr>
  </w:style>
  <w:style w:type="paragraph" w:styleId="BodyText2">
    <w:name w:val="Body Text 2"/>
    <w:basedOn w:val="Normal"/>
    <w:link w:val="BodyText2Char"/>
    <w:uiPriority w:val="98"/>
    <w:semiHidden/>
    <w:rsid w:val="007A74FC"/>
    <w:pPr>
      <w:spacing w:after="120" w:line="480" w:lineRule="auto"/>
    </w:pPr>
  </w:style>
  <w:style w:type="character" w:customStyle="1" w:styleId="BodyText2Char">
    <w:name w:val="Body Text 2 Char"/>
    <w:basedOn w:val="DefaultParagraphFont"/>
    <w:link w:val="BodyText2"/>
    <w:uiPriority w:val="98"/>
    <w:semiHidden/>
    <w:rsid w:val="007A74FC"/>
    <w:rPr>
      <w:sz w:val="24"/>
      <w:szCs w:val="24"/>
      <w:lang w:val="en-GB"/>
    </w:rPr>
  </w:style>
  <w:style w:type="paragraph" w:styleId="BodyText3">
    <w:name w:val="Body Text 3"/>
    <w:basedOn w:val="Normal"/>
    <w:link w:val="BodyText3Char"/>
    <w:uiPriority w:val="98"/>
    <w:semiHidden/>
    <w:rsid w:val="007A74FC"/>
    <w:pPr>
      <w:spacing w:after="120"/>
    </w:pPr>
    <w:rPr>
      <w:sz w:val="16"/>
      <w:szCs w:val="16"/>
    </w:rPr>
  </w:style>
  <w:style w:type="character" w:customStyle="1" w:styleId="BodyText3Char">
    <w:name w:val="Body Text 3 Char"/>
    <w:basedOn w:val="DefaultParagraphFont"/>
    <w:link w:val="BodyText3"/>
    <w:uiPriority w:val="98"/>
    <w:semiHidden/>
    <w:rsid w:val="007A74FC"/>
    <w:rPr>
      <w:sz w:val="16"/>
      <w:szCs w:val="16"/>
      <w:lang w:val="en-GB"/>
    </w:rPr>
  </w:style>
  <w:style w:type="paragraph" w:styleId="BodyTextFirstIndent">
    <w:name w:val="Body Text First Indent"/>
    <w:basedOn w:val="BodyText"/>
    <w:link w:val="BodyTextFirstIndentChar"/>
    <w:uiPriority w:val="98"/>
    <w:semiHidden/>
    <w:rsid w:val="007A74FC"/>
    <w:pPr>
      <w:spacing w:after="0"/>
      <w:ind w:firstLine="360"/>
    </w:pPr>
  </w:style>
  <w:style w:type="character" w:customStyle="1" w:styleId="BodyTextFirstIndentChar">
    <w:name w:val="Body Text First Indent Char"/>
    <w:basedOn w:val="BodyTextChar"/>
    <w:link w:val="BodyTextFirstIndent"/>
    <w:uiPriority w:val="98"/>
    <w:semiHidden/>
    <w:rsid w:val="007A74FC"/>
    <w:rPr>
      <w:sz w:val="24"/>
      <w:szCs w:val="24"/>
      <w:lang w:val="en-GB"/>
    </w:rPr>
  </w:style>
  <w:style w:type="paragraph" w:styleId="BodyTextIndent">
    <w:name w:val="Body Text Indent"/>
    <w:basedOn w:val="Normal"/>
    <w:link w:val="BodyTextIndentChar"/>
    <w:uiPriority w:val="98"/>
    <w:semiHidden/>
    <w:rsid w:val="007A74FC"/>
    <w:pPr>
      <w:spacing w:after="120"/>
      <w:ind w:left="283"/>
    </w:pPr>
  </w:style>
  <w:style w:type="character" w:customStyle="1" w:styleId="BodyTextIndentChar">
    <w:name w:val="Body Text Indent Char"/>
    <w:basedOn w:val="DefaultParagraphFont"/>
    <w:link w:val="BodyTextIndent"/>
    <w:uiPriority w:val="98"/>
    <w:semiHidden/>
    <w:rsid w:val="007A74FC"/>
    <w:rPr>
      <w:sz w:val="24"/>
      <w:szCs w:val="24"/>
      <w:lang w:val="en-GB"/>
    </w:rPr>
  </w:style>
  <w:style w:type="paragraph" w:styleId="BodyTextFirstIndent2">
    <w:name w:val="Body Text First Indent 2"/>
    <w:basedOn w:val="BodyTextIndent"/>
    <w:link w:val="BodyTextFirstIndent2Char"/>
    <w:uiPriority w:val="98"/>
    <w:semiHidden/>
    <w:rsid w:val="007A74FC"/>
    <w:pPr>
      <w:spacing w:after="0"/>
      <w:ind w:left="360" w:firstLine="360"/>
    </w:pPr>
  </w:style>
  <w:style w:type="character" w:customStyle="1" w:styleId="BodyTextFirstIndent2Char">
    <w:name w:val="Body Text First Indent 2 Char"/>
    <w:basedOn w:val="BodyTextIndentChar"/>
    <w:link w:val="BodyTextFirstIndent2"/>
    <w:uiPriority w:val="98"/>
    <w:semiHidden/>
    <w:rsid w:val="007A74FC"/>
    <w:rPr>
      <w:sz w:val="24"/>
      <w:szCs w:val="24"/>
      <w:lang w:val="en-GB"/>
    </w:rPr>
  </w:style>
  <w:style w:type="paragraph" w:styleId="BodyTextIndent2">
    <w:name w:val="Body Text Indent 2"/>
    <w:basedOn w:val="Normal"/>
    <w:link w:val="BodyTextIndent2Char"/>
    <w:uiPriority w:val="98"/>
    <w:semiHidden/>
    <w:rsid w:val="007A74FC"/>
    <w:pPr>
      <w:spacing w:after="120" w:line="480" w:lineRule="auto"/>
      <w:ind w:left="283"/>
    </w:pPr>
  </w:style>
  <w:style w:type="character" w:customStyle="1" w:styleId="BodyTextIndent2Char">
    <w:name w:val="Body Text Indent 2 Char"/>
    <w:basedOn w:val="DefaultParagraphFont"/>
    <w:link w:val="BodyTextIndent2"/>
    <w:uiPriority w:val="98"/>
    <w:semiHidden/>
    <w:rsid w:val="007A74FC"/>
    <w:rPr>
      <w:sz w:val="24"/>
      <w:szCs w:val="24"/>
      <w:lang w:val="en-GB"/>
    </w:rPr>
  </w:style>
  <w:style w:type="paragraph" w:styleId="BodyTextIndent3">
    <w:name w:val="Body Text Indent 3"/>
    <w:basedOn w:val="Normal"/>
    <w:link w:val="BodyTextIndent3Char"/>
    <w:uiPriority w:val="98"/>
    <w:semiHidden/>
    <w:rsid w:val="007A74F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A74FC"/>
    <w:rPr>
      <w:sz w:val="16"/>
      <w:szCs w:val="16"/>
      <w:lang w:val="en-GB"/>
    </w:rPr>
  </w:style>
  <w:style w:type="paragraph" w:styleId="Caption">
    <w:name w:val="caption"/>
    <w:basedOn w:val="Normal"/>
    <w:next w:val="Normal"/>
    <w:uiPriority w:val="98"/>
    <w:semiHidden/>
    <w:qFormat/>
    <w:rsid w:val="007A74FC"/>
    <w:pPr>
      <w:spacing w:after="200"/>
    </w:pPr>
    <w:rPr>
      <w:b/>
      <w:bCs/>
      <w:color w:val="0072BC" w:themeColor="accent1"/>
      <w:sz w:val="18"/>
      <w:szCs w:val="18"/>
    </w:rPr>
  </w:style>
  <w:style w:type="paragraph" w:styleId="Closing">
    <w:name w:val="Closing"/>
    <w:basedOn w:val="Normal"/>
    <w:link w:val="ClosingChar"/>
    <w:uiPriority w:val="98"/>
    <w:semiHidden/>
    <w:rsid w:val="007A74FC"/>
    <w:pPr>
      <w:ind w:left="4252"/>
    </w:pPr>
  </w:style>
  <w:style w:type="character" w:customStyle="1" w:styleId="ClosingChar">
    <w:name w:val="Closing Char"/>
    <w:basedOn w:val="DefaultParagraphFont"/>
    <w:link w:val="Closing"/>
    <w:uiPriority w:val="98"/>
    <w:semiHidden/>
    <w:rsid w:val="007A74FC"/>
    <w:rPr>
      <w:sz w:val="24"/>
      <w:szCs w:val="24"/>
      <w:lang w:val="en-GB"/>
    </w:rPr>
  </w:style>
  <w:style w:type="table" w:styleId="ColorfulGrid">
    <w:name w:val="Colorful Grid"/>
    <w:basedOn w:val="TableNormal"/>
    <w:uiPriority w:val="73"/>
    <w:semiHidden/>
    <w:rsid w:val="007A74F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A74F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A74F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A74F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A74F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A74F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rsid w:val="007A74F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A74F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A74F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A74F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A74F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A74F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A74F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A74F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A74F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A74F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A74F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A74F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A74F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A74F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A74F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A74FC"/>
    <w:rPr>
      <w:b/>
      <w:bCs/>
    </w:rPr>
  </w:style>
  <w:style w:type="character" w:customStyle="1" w:styleId="CommentSubjectChar">
    <w:name w:val="Comment Subject Char"/>
    <w:basedOn w:val="CommentTextChar"/>
    <w:link w:val="CommentSubject"/>
    <w:uiPriority w:val="98"/>
    <w:semiHidden/>
    <w:rsid w:val="007A74FC"/>
    <w:rPr>
      <w:b/>
      <w:bCs/>
      <w:sz w:val="20"/>
      <w:szCs w:val="20"/>
      <w:lang w:val="en-GB"/>
    </w:rPr>
  </w:style>
  <w:style w:type="table" w:styleId="DarkList">
    <w:name w:val="Dark List"/>
    <w:basedOn w:val="TableNormal"/>
    <w:uiPriority w:val="70"/>
    <w:semiHidden/>
    <w:rsid w:val="007A74F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A74F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A74F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A74F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A74F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A74F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A74F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A74FC"/>
  </w:style>
  <w:style w:type="character" w:customStyle="1" w:styleId="DateChar">
    <w:name w:val="Date Char"/>
    <w:basedOn w:val="DefaultParagraphFont"/>
    <w:link w:val="Date"/>
    <w:uiPriority w:val="98"/>
    <w:semiHidden/>
    <w:rsid w:val="007A74FC"/>
    <w:rPr>
      <w:sz w:val="24"/>
      <w:szCs w:val="24"/>
      <w:lang w:val="en-GB"/>
    </w:rPr>
  </w:style>
  <w:style w:type="paragraph" w:styleId="DocumentMap">
    <w:name w:val="Document Map"/>
    <w:basedOn w:val="Normal"/>
    <w:link w:val="DocumentMapChar"/>
    <w:uiPriority w:val="98"/>
    <w:semiHidden/>
    <w:rsid w:val="007A74FC"/>
    <w:rPr>
      <w:rFonts w:ascii="Tahoma" w:hAnsi="Tahoma" w:cs="Tahoma"/>
      <w:sz w:val="16"/>
      <w:szCs w:val="16"/>
    </w:rPr>
  </w:style>
  <w:style w:type="character" w:customStyle="1" w:styleId="DocumentMapChar">
    <w:name w:val="Document Map Char"/>
    <w:basedOn w:val="DefaultParagraphFont"/>
    <w:link w:val="DocumentMap"/>
    <w:uiPriority w:val="98"/>
    <w:semiHidden/>
    <w:rsid w:val="007A74FC"/>
    <w:rPr>
      <w:rFonts w:ascii="Tahoma" w:hAnsi="Tahoma" w:cs="Tahoma"/>
      <w:sz w:val="16"/>
      <w:szCs w:val="16"/>
      <w:lang w:val="en-GB"/>
    </w:rPr>
  </w:style>
  <w:style w:type="paragraph" w:styleId="E-mailSignature">
    <w:name w:val="E-mail Signature"/>
    <w:basedOn w:val="Normal"/>
    <w:link w:val="E-mailSignatureChar"/>
    <w:uiPriority w:val="98"/>
    <w:semiHidden/>
    <w:rsid w:val="007A74FC"/>
  </w:style>
  <w:style w:type="character" w:customStyle="1" w:styleId="E-mailSignatureChar">
    <w:name w:val="E-mail Signature Char"/>
    <w:basedOn w:val="DefaultParagraphFont"/>
    <w:link w:val="E-mailSignature"/>
    <w:uiPriority w:val="98"/>
    <w:semiHidden/>
    <w:rsid w:val="007A74FC"/>
    <w:rPr>
      <w:sz w:val="24"/>
      <w:szCs w:val="24"/>
      <w:lang w:val="en-GB"/>
    </w:rPr>
  </w:style>
  <w:style w:type="character" w:styleId="EndnoteReference">
    <w:name w:val="endnote reference"/>
    <w:basedOn w:val="DefaultParagraphFont"/>
    <w:uiPriority w:val="98"/>
    <w:semiHidden/>
    <w:rsid w:val="007A74FC"/>
    <w:rPr>
      <w:vertAlign w:val="superscript"/>
    </w:rPr>
  </w:style>
  <w:style w:type="paragraph" w:styleId="EndnoteText">
    <w:name w:val="endnote text"/>
    <w:basedOn w:val="Normal"/>
    <w:link w:val="EndnoteTextChar"/>
    <w:uiPriority w:val="98"/>
    <w:semiHidden/>
    <w:rsid w:val="007A74FC"/>
    <w:rPr>
      <w:sz w:val="20"/>
      <w:szCs w:val="20"/>
    </w:rPr>
  </w:style>
  <w:style w:type="character" w:customStyle="1" w:styleId="EndnoteTextChar">
    <w:name w:val="Endnote Text Char"/>
    <w:basedOn w:val="DefaultParagraphFont"/>
    <w:link w:val="EndnoteText"/>
    <w:uiPriority w:val="98"/>
    <w:semiHidden/>
    <w:rsid w:val="007A74FC"/>
    <w:rPr>
      <w:sz w:val="20"/>
      <w:szCs w:val="20"/>
      <w:lang w:val="en-GB"/>
    </w:rPr>
  </w:style>
  <w:style w:type="paragraph" w:styleId="EnvelopeAddress">
    <w:name w:val="envelope address"/>
    <w:basedOn w:val="Normal"/>
    <w:uiPriority w:val="98"/>
    <w:semiHidden/>
    <w:rsid w:val="007A74F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A74FC"/>
    <w:rPr>
      <w:rFonts w:asciiTheme="majorHAnsi" w:eastAsiaTheme="majorEastAsia" w:hAnsiTheme="majorHAnsi" w:cstheme="majorBidi"/>
      <w:sz w:val="20"/>
      <w:szCs w:val="20"/>
    </w:rPr>
  </w:style>
  <w:style w:type="character" w:styleId="FollowedHyperlink">
    <w:name w:val="FollowedHyperlink"/>
    <w:basedOn w:val="DefaultParagraphFont"/>
    <w:uiPriority w:val="98"/>
    <w:rsid w:val="007A74FC"/>
    <w:rPr>
      <w:color w:val="7030A0" w:themeColor="followedHyperlink"/>
      <w:u w:val="single"/>
    </w:rPr>
  </w:style>
  <w:style w:type="character" w:styleId="FootnoteReference">
    <w:name w:val="footnote reference"/>
    <w:basedOn w:val="DefaultParagraphFont"/>
    <w:uiPriority w:val="98"/>
    <w:semiHidden/>
    <w:rsid w:val="007A74FC"/>
    <w:rPr>
      <w:vertAlign w:val="superscript"/>
    </w:rPr>
  </w:style>
  <w:style w:type="paragraph" w:styleId="FootnoteText">
    <w:name w:val="footnote text"/>
    <w:basedOn w:val="Normal"/>
    <w:link w:val="FootnoteTextChar"/>
    <w:uiPriority w:val="98"/>
    <w:semiHidden/>
    <w:rsid w:val="007A74FC"/>
    <w:rPr>
      <w:sz w:val="20"/>
      <w:szCs w:val="20"/>
    </w:rPr>
  </w:style>
  <w:style w:type="character" w:customStyle="1" w:styleId="FootnoteTextChar">
    <w:name w:val="Footnote Text Char"/>
    <w:basedOn w:val="DefaultParagraphFont"/>
    <w:link w:val="FootnoteText"/>
    <w:uiPriority w:val="98"/>
    <w:semiHidden/>
    <w:rsid w:val="007A74FC"/>
    <w:rPr>
      <w:sz w:val="20"/>
      <w:szCs w:val="20"/>
      <w:lang w:val="en-GB"/>
    </w:rPr>
  </w:style>
  <w:style w:type="character" w:styleId="HTMLAcronym">
    <w:name w:val="HTML Acronym"/>
    <w:basedOn w:val="DefaultParagraphFont"/>
    <w:uiPriority w:val="98"/>
    <w:semiHidden/>
    <w:rsid w:val="007A74FC"/>
  </w:style>
  <w:style w:type="paragraph" w:styleId="HTMLAddress">
    <w:name w:val="HTML Address"/>
    <w:basedOn w:val="Normal"/>
    <w:link w:val="HTMLAddressChar"/>
    <w:uiPriority w:val="98"/>
    <w:semiHidden/>
    <w:rsid w:val="007A74FC"/>
    <w:rPr>
      <w:i/>
      <w:iCs/>
    </w:rPr>
  </w:style>
  <w:style w:type="character" w:customStyle="1" w:styleId="HTMLAddressChar">
    <w:name w:val="HTML Address Char"/>
    <w:basedOn w:val="DefaultParagraphFont"/>
    <w:link w:val="HTMLAddress"/>
    <w:uiPriority w:val="98"/>
    <w:semiHidden/>
    <w:rsid w:val="007A74FC"/>
    <w:rPr>
      <w:i/>
      <w:iCs/>
      <w:sz w:val="24"/>
      <w:szCs w:val="24"/>
      <w:lang w:val="en-GB"/>
    </w:rPr>
  </w:style>
  <w:style w:type="character" w:styleId="HTMLCite">
    <w:name w:val="HTML Cite"/>
    <w:basedOn w:val="DefaultParagraphFont"/>
    <w:uiPriority w:val="98"/>
    <w:semiHidden/>
    <w:rsid w:val="007A74FC"/>
    <w:rPr>
      <w:i/>
      <w:iCs/>
    </w:rPr>
  </w:style>
  <w:style w:type="character" w:styleId="HTMLCode">
    <w:name w:val="HTML Code"/>
    <w:basedOn w:val="DefaultParagraphFont"/>
    <w:uiPriority w:val="98"/>
    <w:semiHidden/>
    <w:rsid w:val="007A74FC"/>
    <w:rPr>
      <w:rFonts w:ascii="Consolas" w:hAnsi="Consolas" w:cs="Consolas"/>
      <w:sz w:val="20"/>
      <w:szCs w:val="20"/>
    </w:rPr>
  </w:style>
  <w:style w:type="character" w:styleId="HTMLDefinition">
    <w:name w:val="HTML Definition"/>
    <w:basedOn w:val="DefaultParagraphFont"/>
    <w:uiPriority w:val="98"/>
    <w:semiHidden/>
    <w:rsid w:val="007A74FC"/>
    <w:rPr>
      <w:i/>
      <w:iCs/>
    </w:rPr>
  </w:style>
  <w:style w:type="character" w:styleId="HTMLKeyboard">
    <w:name w:val="HTML Keyboard"/>
    <w:basedOn w:val="DefaultParagraphFont"/>
    <w:uiPriority w:val="98"/>
    <w:semiHidden/>
    <w:rsid w:val="007A74FC"/>
    <w:rPr>
      <w:rFonts w:ascii="Consolas" w:hAnsi="Consolas" w:cs="Consolas"/>
      <w:sz w:val="20"/>
      <w:szCs w:val="20"/>
    </w:rPr>
  </w:style>
  <w:style w:type="paragraph" w:styleId="HTMLPreformatted">
    <w:name w:val="HTML Preformatted"/>
    <w:basedOn w:val="Normal"/>
    <w:link w:val="HTMLPreformattedChar"/>
    <w:uiPriority w:val="98"/>
    <w:semiHidden/>
    <w:rsid w:val="007A74F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A74FC"/>
    <w:rPr>
      <w:rFonts w:ascii="Consolas" w:hAnsi="Consolas" w:cs="Consolas"/>
      <w:sz w:val="20"/>
      <w:szCs w:val="20"/>
      <w:lang w:val="en-GB"/>
    </w:rPr>
  </w:style>
  <w:style w:type="character" w:styleId="HTMLSample">
    <w:name w:val="HTML Sample"/>
    <w:basedOn w:val="DefaultParagraphFont"/>
    <w:uiPriority w:val="98"/>
    <w:semiHidden/>
    <w:rsid w:val="007A74FC"/>
    <w:rPr>
      <w:rFonts w:ascii="Consolas" w:hAnsi="Consolas" w:cs="Consolas"/>
      <w:sz w:val="24"/>
      <w:szCs w:val="24"/>
    </w:rPr>
  </w:style>
  <w:style w:type="character" w:styleId="HTMLTypewriter">
    <w:name w:val="HTML Typewriter"/>
    <w:basedOn w:val="DefaultParagraphFont"/>
    <w:uiPriority w:val="98"/>
    <w:semiHidden/>
    <w:rsid w:val="007A74FC"/>
    <w:rPr>
      <w:rFonts w:ascii="Consolas" w:hAnsi="Consolas" w:cs="Consolas"/>
      <w:sz w:val="20"/>
      <w:szCs w:val="20"/>
    </w:rPr>
  </w:style>
  <w:style w:type="character" w:styleId="HTMLVariable">
    <w:name w:val="HTML Variable"/>
    <w:basedOn w:val="DefaultParagraphFont"/>
    <w:uiPriority w:val="98"/>
    <w:semiHidden/>
    <w:rsid w:val="007A74FC"/>
    <w:rPr>
      <w:i/>
      <w:iCs/>
    </w:rPr>
  </w:style>
  <w:style w:type="character" w:styleId="Hyperlink">
    <w:name w:val="Hyperlink"/>
    <w:basedOn w:val="DefaultParagraphFont"/>
    <w:uiPriority w:val="98"/>
    <w:rsid w:val="007A74FC"/>
    <w:rPr>
      <w:color w:val="0072BC" w:themeColor="hyperlink"/>
      <w:u w:val="single"/>
    </w:rPr>
  </w:style>
  <w:style w:type="paragraph" w:styleId="Index1">
    <w:name w:val="index 1"/>
    <w:basedOn w:val="Normal"/>
    <w:next w:val="Normal"/>
    <w:autoRedefine/>
    <w:uiPriority w:val="98"/>
    <w:semiHidden/>
    <w:rsid w:val="007A74FC"/>
    <w:pPr>
      <w:ind w:left="240" w:hanging="240"/>
    </w:pPr>
  </w:style>
  <w:style w:type="paragraph" w:styleId="Index2">
    <w:name w:val="index 2"/>
    <w:basedOn w:val="Normal"/>
    <w:next w:val="Normal"/>
    <w:autoRedefine/>
    <w:uiPriority w:val="98"/>
    <w:semiHidden/>
    <w:rsid w:val="007A74FC"/>
    <w:pPr>
      <w:ind w:left="480" w:hanging="240"/>
    </w:pPr>
  </w:style>
  <w:style w:type="paragraph" w:styleId="Index3">
    <w:name w:val="index 3"/>
    <w:basedOn w:val="Normal"/>
    <w:next w:val="Normal"/>
    <w:autoRedefine/>
    <w:uiPriority w:val="98"/>
    <w:semiHidden/>
    <w:rsid w:val="007A74FC"/>
    <w:pPr>
      <w:ind w:left="720" w:hanging="240"/>
    </w:pPr>
  </w:style>
  <w:style w:type="paragraph" w:styleId="Index4">
    <w:name w:val="index 4"/>
    <w:basedOn w:val="Normal"/>
    <w:next w:val="Normal"/>
    <w:autoRedefine/>
    <w:uiPriority w:val="98"/>
    <w:semiHidden/>
    <w:rsid w:val="007A74FC"/>
    <w:pPr>
      <w:ind w:left="960" w:hanging="240"/>
    </w:pPr>
  </w:style>
  <w:style w:type="paragraph" w:styleId="Index5">
    <w:name w:val="index 5"/>
    <w:basedOn w:val="Normal"/>
    <w:next w:val="Normal"/>
    <w:autoRedefine/>
    <w:uiPriority w:val="98"/>
    <w:semiHidden/>
    <w:rsid w:val="007A74FC"/>
    <w:pPr>
      <w:ind w:left="1200" w:hanging="240"/>
    </w:pPr>
  </w:style>
  <w:style w:type="paragraph" w:styleId="Index6">
    <w:name w:val="index 6"/>
    <w:basedOn w:val="Normal"/>
    <w:next w:val="Normal"/>
    <w:autoRedefine/>
    <w:uiPriority w:val="98"/>
    <w:semiHidden/>
    <w:rsid w:val="007A74FC"/>
    <w:pPr>
      <w:ind w:left="1440" w:hanging="240"/>
    </w:pPr>
  </w:style>
  <w:style w:type="paragraph" w:styleId="Index7">
    <w:name w:val="index 7"/>
    <w:basedOn w:val="Normal"/>
    <w:next w:val="Normal"/>
    <w:autoRedefine/>
    <w:uiPriority w:val="98"/>
    <w:semiHidden/>
    <w:rsid w:val="007A74FC"/>
    <w:pPr>
      <w:ind w:left="1680" w:hanging="240"/>
    </w:pPr>
  </w:style>
  <w:style w:type="paragraph" w:styleId="Index8">
    <w:name w:val="index 8"/>
    <w:basedOn w:val="Normal"/>
    <w:next w:val="Normal"/>
    <w:autoRedefine/>
    <w:uiPriority w:val="98"/>
    <w:semiHidden/>
    <w:rsid w:val="007A74FC"/>
    <w:pPr>
      <w:ind w:left="1920" w:hanging="240"/>
    </w:pPr>
  </w:style>
  <w:style w:type="paragraph" w:styleId="Index9">
    <w:name w:val="index 9"/>
    <w:basedOn w:val="Normal"/>
    <w:next w:val="Normal"/>
    <w:autoRedefine/>
    <w:uiPriority w:val="98"/>
    <w:semiHidden/>
    <w:rsid w:val="007A74FC"/>
    <w:pPr>
      <w:ind w:left="2160" w:hanging="240"/>
    </w:pPr>
  </w:style>
  <w:style w:type="paragraph" w:styleId="IndexHeading">
    <w:name w:val="index heading"/>
    <w:basedOn w:val="Normal"/>
    <w:next w:val="Index1"/>
    <w:uiPriority w:val="98"/>
    <w:semiHidden/>
    <w:rsid w:val="007A74FC"/>
    <w:rPr>
      <w:rFonts w:asciiTheme="majorHAnsi" w:eastAsiaTheme="majorEastAsia" w:hAnsiTheme="majorHAnsi" w:cstheme="majorBidi"/>
      <w:b/>
      <w:bCs/>
    </w:rPr>
  </w:style>
  <w:style w:type="table" w:styleId="LightGrid">
    <w:name w:val="Light Grid"/>
    <w:basedOn w:val="TableNormal"/>
    <w:uiPriority w:val="62"/>
    <w:semiHidden/>
    <w:rsid w:val="007A74F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A74F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A74F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A74F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A74F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A74F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A74F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A74F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A74F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A74F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A74F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A74F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A74F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A74F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A74F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A74F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A74F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A74F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A74F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A74F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A74F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A74FC"/>
  </w:style>
  <w:style w:type="paragraph" w:styleId="List">
    <w:name w:val="List"/>
    <w:basedOn w:val="Normal"/>
    <w:uiPriority w:val="98"/>
    <w:semiHidden/>
    <w:rsid w:val="007A74FC"/>
    <w:pPr>
      <w:ind w:left="283" w:hanging="283"/>
      <w:contextualSpacing/>
    </w:pPr>
  </w:style>
  <w:style w:type="paragraph" w:styleId="List2">
    <w:name w:val="List 2"/>
    <w:basedOn w:val="Normal"/>
    <w:uiPriority w:val="98"/>
    <w:semiHidden/>
    <w:rsid w:val="007A74FC"/>
    <w:pPr>
      <w:ind w:left="566" w:hanging="283"/>
      <w:contextualSpacing/>
    </w:pPr>
  </w:style>
  <w:style w:type="paragraph" w:styleId="List3">
    <w:name w:val="List 3"/>
    <w:basedOn w:val="Normal"/>
    <w:uiPriority w:val="98"/>
    <w:semiHidden/>
    <w:rsid w:val="007A74FC"/>
    <w:pPr>
      <w:ind w:left="849" w:hanging="283"/>
      <w:contextualSpacing/>
    </w:pPr>
  </w:style>
  <w:style w:type="paragraph" w:styleId="List4">
    <w:name w:val="List 4"/>
    <w:basedOn w:val="Normal"/>
    <w:uiPriority w:val="98"/>
    <w:semiHidden/>
    <w:rsid w:val="007A74FC"/>
    <w:pPr>
      <w:ind w:left="1132" w:hanging="283"/>
      <w:contextualSpacing/>
    </w:pPr>
  </w:style>
  <w:style w:type="paragraph" w:styleId="List5">
    <w:name w:val="List 5"/>
    <w:basedOn w:val="Normal"/>
    <w:uiPriority w:val="98"/>
    <w:semiHidden/>
    <w:rsid w:val="007A74FC"/>
    <w:pPr>
      <w:ind w:left="1415" w:hanging="283"/>
      <w:contextualSpacing/>
    </w:pPr>
  </w:style>
  <w:style w:type="paragraph" w:styleId="ListBullet">
    <w:name w:val="List Bullet"/>
    <w:basedOn w:val="Normal"/>
    <w:uiPriority w:val="98"/>
    <w:rsid w:val="007A74FC"/>
    <w:pPr>
      <w:numPr>
        <w:numId w:val="11"/>
      </w:numPr>
    </w:pPr>
  </w:style>
  <w:style w:type="paragraph" w:styleId="ListBullet2">
    <w:name w:val="List Bullet 2"/>
    <w:basedOn w:val="Normal"/>
    <w:uiPriority w:val="98"/>
    <w:semiHidden/>
    <w:rsid w:val="007A74FC"/>
    <w:pPr>
      <w:numPr>
        <w:numId w:val="12"/>
      </w:numPr>
      <w:contextualSpacing/>
    </w:pPr>
  </w:style>
  <w:style w:type="paragraph" w:styleId="ListBullet3">
    <w:name w:val="List Bullet 3"/>
    <w:basedOn w:val="Normal"/>
    <w:uiPriority w:val="98"/>
    <w:semiHidden/>
    <w:rsid w:val="007A74FC"/>
    <w:pPr>
      <w:numPr>
        <w:numId w:val="13"/>
      </w:numPr>
      <w:contextualSpacing/>
    </w:pPr>
  </w:style>
  <w:style w:type="paragraph" w:styleId="ListBullet4">
    <w:name w:val="List Bullet 4"/>
    <w:basedOn w:val="Normal"/>
    <w:uiPriority w:val="98"/>
    <w:semiHidden/>
    <w:rsid w:val="007A74FC"/>
    <w:pPr>
      <w:numPr>
        <w:numId w:val="14"/>
      </w:numPr>
      <w:contextualSpacing/>
    </w:pPr>
  </w:style>
  <w:style w:type="paragraph" w:styleId="ListBullet5">
    <w:name w:val="List Bullet 5"/>
    <w:basedOn w:val="Normal"/>
    <w:uiPriority w:val="98"/>
    <w:semiHidden/>
    <w:rsid w:val="007A74FC"/>
    <w:pPr>
      <w:numPr>
        <w:numId w:val="15"/>
      </w:numPr>
      <w:contextualSpacing/>
    </w:pPr>
  </w:style>
  <w:style w:type="paragraph" w:styleId="ListContinue">
    <w:name w:val="List Continue"/>
    <w:basedOn w:val="Normal"/>
    <w:uiPriority w:val="98"/>
    <w:semiHidden/>
    <w:rsid w:val="007A74FC"/>
    <w:pPr>
      <w:spacing w:after="120"/>
      <w:ind w:left="283"/>
      <w:contextualSpacing/>
    </w:pPr>
  </w:style>
  <w:style w:type="paragraph" w:styleId="ListContinue2">
    <w:name w:val="List Continue 2"/>
    <w:basedOn w:val="Normal"/>
    <w:uiPriority w:val="98"/>
    <w:semiHidden/>
    <w:rsid w:val="007A74FC"/>
    <w:pPr>
      <w:spacing w:after="120"/>
      <w:ind w:left="566"/>
      <w:contextualSpacing/>
    </w:pPr>
  </w:style>
  <w:style w:type="paragraph" w:styleId="ListContinue3">
    <w:name w:val="List Continue 3"/>
    <w:basedOn w:val="Normal"/>
    <w:uiPriority w:val="98"/>
    <w:rsid w:val="007A74FC"/>
    <w:pPr>
      <w:spacing w:after="120"/>
      <w:ind w:left="849"/>
      <w:contextualSpacing/>
    </w:pPr>
  </w:style>
  <w:style w:type="paragraph" w:styleId="ListContinue4">
    <w:name w:val="List Continue 4"/>
    <w:basedOn w:val="Normal"/>
    <w:uiPriority w:val="98"/>
    <w:rsid w:val="007A74FC"/>
    <w:pPr>
      <w:spacing w:after="120"/>
      <w:ind w:left="1132"/>
      <w:contextualSpacing/>
    </w:pPr>
  </w:style>
  <w:style w:type="paragraph" w:styleId="ListContinue5">
    <w:name w:val="List Continue 5"/>
    <w:basedOn w:val="Normal"/>
    <w:uiPriority w:val="98"/>
    <w:rsid w:val="007A74FC"/>
    <w:pPr>
      <w:spacing w:after="120"/>
      <w:ind w:left="1415"/>
      <w:contextualSpacing/>
    </w:pPr>
  </w:style>
  <w:style w:type="paragraph" w:styleId="ListNumber">
    <w:name w:val="List Number"/>
    <w:basedOn w:val="Normal"/>
    <w:uiPriority w:val="98"/>
    <w:rsid w:val="007A74FC"/>
    <w:pPr>
      <w:numPr>
        <w:numId w:val="16"/>
      </w:numPr>
      <w:contextualSpacing/>
    </w:pPr>
  </w:style>
  <w:style w:type="paragraph" w:styleId="ListNumber2">
    <w:name w:val="List Number 2"/>
    <w:basedOn w:val="Normal"/>
    <w:uiPriority w:val="98"/>
    <w:semiHidden/>
    <w:rsid w:val="007A74FC"/>
    <w:pPr>
      <w:numPr>
        <w:numId w:val="17"/>
      </w:numPr>
      <w:contextualSpacing/>
    </w:pPr>
  </w:style>
  <w:style w:type="paragraph" w:styleId="ListNumber3">
    <w:name w:val="List Number 3"/>
    <w:basedOn w:val="Normal"/>
    <w:uiPriority w:val="98"/>
    <w:semiHidden/>
    <w:rsid w:val="007A74FC"/>
    <w:pPr>
      <w:numPr>
        <w:numId w:val="18"/>
      </w:numPr>
      <w:contextualSpacing/>
    </w:pPr>
  </w:style>
  <w:style w:type="paragraph" w:styleId="ListNumber4">
    <w:name w:val="List Number 4"/>
    <w:basedOn w:val="Normal"/>
    <w:uiPriority w:val="98"/>
    <w:semiHidden/>
    <w:rsid w:val="007A74FC"/>
    <w:pPr>
      <w:numPr>
        <w:numId w:val="19"/>
      </w:numPr>
      <w:contextualSpacing/>
    </w:pPr>
  </w:style>
  <w:style w:type="paragraph" w:styleId="ListNumber5">
    <w:name w:val="List Number 5"/>
    <w:basedOn w:val="Normal"/>
    <w:uiPriority w:val="98"/>
    <w:semiHidden/>
    <w:rsid w:val="007A74FC"/>
    <w:pPr>
      <w:numPr>
        <w:numId w:val="20"/>
      </w:numPr>
      <w:contextualSpacing/>
    </w:pPr>
  </w:style>
  <w:style w:type="paragraph" w:styleId="MacroText">
    <w:name w:val="macro"/>
    <w:link w:val="MacroTextChar"/>
    <w:uiPriority w:val="98"/>
    <w:rsid w:val="007A74F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rsid w:val="007A74FC"/>
    <w:rPr>
      <w:rFonts w:ascii="Consolas" w:eastAsiaTheme="minorEastAsia" w:hAnsi="Consolas" w:cs="Consolas"/>
      <w:sz w:val="20"/>
      <w:szCs w:val="20"/>
    </w:rPr>
  </w:style>
  <w:style w:type="table" w:styleId="MediumGrid1">
    <w:name w:val="Medium Grid 1"/>
    <w:basedOn w:val="TableNormal"/>
    <w:uiPriority w:val="67"/>
    <w:semiHidden/>
    <w:rsid w:val="007A74F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A74F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A74F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A74F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A74F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A74F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A74F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A74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A74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A74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A74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A74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A74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A74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A74F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7A74F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A74F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A74F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A74F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A74F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A74F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A74F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A74F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A74F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A74F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A74F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A74F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A74F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A74F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A74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A74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A74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A74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A74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A74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A74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rsid w:val="007A74F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rsid w:val="007A74F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A74FC"/>
    <w:rPr>
      <w:rFonts w:ascii="Times New Roman" w:hAnsi="Times New Roman" w:cs="Times New Roman"/>
    </w:rPr>
  </w:style>
  <w:style w:type="paragraph" w:styleId="NormalIndent">
    <w:name w:val="Normal Indent"/>
    <w:basedOn w:val="Normal"/>
    <w:uiPriority w:val="98"/>
    <w:semiHidden/>
    <w:rsid w:val="007A74FC"/>
    <w:pPr>
      <w:ind w:left="720"/>
    </w:pPr>
  </w:style>
  <w:style w:type="table" w:customStyle="1" w:styleId="ECHRTableNoLines">
    <w:name w:val="ECHR_Table_No_Lines"/>
    <w:basedOn w:val="TableNormal"/>
    <w:uiPriority w:val="99"/>
    <w:rsid w:val="007A74F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7A74F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7A74F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A74FC"/>
    <w:rPr>
      <w:rFonts w:ascii="Consolas" w:hAnsi="Consolas" w:cs="Consolas"/>
      <w:sz w:val="21"/>
      <w:szCs w:val="21"/>
    </w:rPr>
  </w:style>
  <w:style w:type="character" w:customStyle="1" w:styleId="PlainTextChar">
    <w:name w:val="Plain Text Char"/>
    <w:basedOn w:val="DefaultParagraphFont"/>
    <w:link w:val="PlainText"/>
    <w:uiPriority w:val="98"/>
    <w:semiHidden/>
    <w:rsid w:val="007A74FC"/>
    <w:rPr>
      <w:rFonts w:ascii="Consolas" w:hAnsi="Consolas" w:cs="Consolas"/>
      <w:sz w:val="21"/>
      <w:szCs w:val="21"/>
      <w:lang w:val="en-GB"/>
    </w:rPr>
  </w:style>
  <w:style w:type="paragraph" w:styleId="Salutation">
    <w:name w:val="Salutation"/>
    <w:basedOn w:val="Normal"/>
    <w:next w:val="Normal"/>
    <w:link w:val="SalutationChar"/>
    <w:uiPriority w:val="98"/>
    <w:semiHidden/>
    <w:rsid w:val="007A74FC"/>
  </w:style>
  <w:style w:type="character" w:customStyle="1" w:styleId="SalutationChar">
    <w:name w:val="Salutation Char"/>
    <w:basedOn w:val="DefaultParagraphFont"/>
    <w:link w:val="Salutation"/>
    <w:uiPriority w:val="98"/>
    <w:semiHidden/>
    <w:rsid w:val="007A74FC"/>
    <w:rPr>
      <w:sz w:val="24"/>
      <w:szCs w:val="24"/>
      <w:lang w:val="en-GB"/>
    </w:rPr>
  </w:style>
  <w:style w:type="paragraph" w:styleId="Signature">
    <w:name w:val="Signature"/>
    <w:basedOn w:val="Normal"/>
    <w:link w:val="SignatureChar"/>
    <w:uiPriority w:val="98"/>
    <w:semiHidden/>
    <w:rsid w:val="007A74FC"/>
    <w:pPr>
      <w:ind w:left="4252"/>
    </w:pPr>
  </w:style>
  <w:style w:type="character" w:customStyle="1" w:styleId="SignatureChar">
    <w:name w:val="Signature Char"/>
    <w:basedOn w:val="DefaultParagraphFont"/>
    <w:link w:val="Signature"/>
    <w:uiPriority w:val="98"/>
    <w:semiHidden/>
    <w:rsid w:val="007A74FC"/>
    <w:rPr>
      <w:sz w:val="24"/>
      <w:szCs w:val="24"/>
      <w:lang w:val="en-GB"/>
    </w:rPr>
  </w:style>
  <w:style w:type="table" w:styleId="Table3Deffects1">
    <w:name w:val="Table 3D effects 1"/>
    <w:basedOn w:val="TableNormal"/>
    <w:uiPriority w:val="99"/>
    <w:semiHidden/>
    <w:unhideWhenUsed/>
    <w:rsid w:val="007A74F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A74F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A74F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A74F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A74F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A74F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A74F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A74F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A74F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A74F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A74F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A74F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A74F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A74F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A74F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A74F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A74F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7A74F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7A74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A74F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A74F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A74F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A74F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A74F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A74F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A74F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A74F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A74F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A74F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A74F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A74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A74F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A74F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A74F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A74FC"/>
    <w:pPr>
      <w:ind w:left="240" w:hanging="240"/>
    </w:pPr>
  </w:style>
  <w:style w:type="paragraph" w:styleId="TableofFigures">
    <w:name w:val="table of figures"/>
    <w:basedOn w:val="Normal"/>
    <w:next w:val="Normal"/>
    <w:uiPriority w:val="98"/>
    <w:semiHidden/>
    <w:rsid w:val="007A74FC"/>
  </w:style>
  <w:style w:type="table" w:styleId="TableProfessional">
    <w:name w:val="Table Professional"/>
    <w:basedOn w:val="TableNormal"/>
    <w:uiPriority w:val="99"/>
    <w:semiHidden/>
    <w:unhideWhenUsed/>
    <w:rsid w:val="007A74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A74F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A74F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A74F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A74F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A74F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7A74F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A74F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A74F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7A74F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rsid w:val="007A74F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rsid w:val="007A74F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rsid w:val="007A74F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rsid w:val="007A74F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rsid w:val="007A74F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rsid w:val="007A74F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rsid w:val="007A74F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rsid w:val="007A74F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A74FC"/>
    <w:pPr>
      <w:spacing w:after="100"/>
      <w:ind w:left="1680"/>
    </w:pPr>
  </w:style>
  <w:style w:type="paragraph" w:styleId="TOC9">
    <w:name w:val="toc 9"/>
    <w:basedOn w:val="Normal"/>
    <w:next w:val="Normal"/>
    <w:autoRedefine/>
    <w:uiPriority w:val="98"/>
    <w:semiHidden/>
    <w:rsid w:val="007A74FC"/>
    <w:pPr>
      <w:spacing w:after="100"/>
      <w:ind w:left="1920"/>
    </w:pPr>
  </w:style>
  <w:style w:type="paragraph" w:customStyle="1" w:styleId="ECHRFooter">
    <w:name w:val="ECHR_Footer"/>
    <w:aliases w:val="Footer_ECHR"/>
    <w:basedOn w:val="Footer"/>
    <w:uiPriority w:val="30"/>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rsid w:val="007A74FC"/>
    <w:pPr>
      <w:tabs>
        <w:tab w:val="center" w:pos="3686"/>
        <w:tab w:val="right" w:pos="7371"/>
      </w:tabs>
    </w:pPr>
  </w:style>
  <w:style w:type="character" w:customStyle="1" w:styleId="FooterChar">
    <w:name w:val="Footer Char"/>
    <w:basedOn w:val="DefaultParagraphFont"/>
    <w:link w:val="Footer"/>
    <w:uiPriority w:val="98"/>
    <w:rsid w:val="007A74FC"/>
    <w:rPr>
      <w:sz w:val="24"/>
      <w:szCs w:val="24"/>
      <w:lang w:val="en-GB"/>
    </w:rPr>
  </w:style>
  <w:style w:type="paragraph" w:customStyle="1" w:styleId="ECHRFooterLine">
    <w:name w:val="ECHR_Footer_Line"/>
    <w:aliases w:val="_Footer_Line"/>
    <w:basedOn w:val="Normal"/>
    <w:next w:val="Normal"/>
    <w:uiPriority w:val="30"/>
    <w:semiHidden/>
    <w:rsid w:val="007A74F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7A74F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7A74FC"/>
    <w:pPr>
      <w:ind w:firstLine="284"/>
    </w:pPr>
    <w:rPr>
      <w:b/>
    </w:rPr>
  </w:style>
  <w:style w:type="paragraph" w:styleId="NoteHeading">
    <w:name w:val="Note Heading"/>
    <w:basedOn w:val="Normal"/>
    <w:next w:val="Normal"/>
    <w:link w:val="NoteHeadingChar"/>
    <w:uiPriority w:val="98"/>
    <w:semiHidden/>
    <w:rsid w:val="007A74FC"/>
  </w:style>
  <w:style w:type="character" w:customStyle="1" w:styleId="NoteHeadingChar">
    <w:name w:val="Note Heading Char"/>
    <w:basedOn w:val="DefaultParagraphFont"/>
    <w:link w:val="NoteHeading"/>
    <w:uiPriority w:val="98"/>
    <w:semiHidden/>
    <w:rsid w:val="007A74FC"/>
    <w:rPr>
      <w:sz w:val="24"/>
      <w:szCs w:val="24"/>
      <w:lang w:val="en-GB"/>
    </w:rPr>
  </w:style>
  <w:style w:type="paragraph" w:customStyle="1" w:styleId="ECHRHeaderLandscape">
    <w:name w:val="ECHR_Header_Landscape"/>
    <w:aliases w:val="_Header_Landscape"/>
    <w:basedOn w:val="JuHeader"/>
    <w:uiPriority w:val="29"/>
    <w:semiHidden/>
    <w:rsid w:val="007A74F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A74FC"/>
    <w:pPr>
      <w:numPr>
        <w:numId w:val="7"/>
      </w:numPr>
      <w:spacing w:before="60" w:after="60"/>
    </w:pPr>
  </w:style>
  <w:style w:type="paragraph" w:customStyle="1" w:styleId="ECHRBullet2">
    <w:name w:val="ECHR_Bullet_2"/>
    <w:aliases w:val="_Bul_2"/>
    <w:basedOn w:val="ECHRBullet1"/>
    <w:uiPriority w:val="23"/>
    <w:semiHidden/>
    <w:rsid w:val="007A74FC"/>
    <w:pPr>
      <w:numPr>
        <w:ilvl w:val="1"/>
      </w:numPr>
    </w:pPr>
  </w:style>
  <w:style w:type="paragraph" w:customStyle="1" w:styleId="ECHRBullet3">
    <w:name w:val="ECHR_Bullet_3"/>
    <w:aliases w:val="_Bul_3"/>
    <w:basedOn w:val="ECHRBullet2"/>
    <w:uiPriority w:val="23"/>
    <w:semiHidden/>
    <w:rsid w:val="007A74FC"/>
    <w:pPr>
      <w:numPr>
        <w:ilvl w:val="2"/>
      </w:numPr>
    </w:pPr>
  </w:style>
  <w:style w:type="paragraph" w:customStyle="1" w:styleId="ECHRBullet4">
    <w:name w:val="ECHR_Bullet_4"/>
    <w:aliases w:val="_Bul_4"/>
    <w:basedOn w:val="ECHRBullet3"/>
    <w:uiPriority w:val="23"/>
    <w:semiHidden/>
    <w:rsid w:val="007A74FC"/>
    <w:pPr>
      <w:numPr>
        <w:ilvl w:val="3"/>
      </w:numPr>
    </w:pPr>
  </w:style>
  <w:style w:type="paragraph" w:customStyle="1" w:styleId="ECHRConfidential">
    <w:name w:val="ECHR_Confidential"/>
    <w:aliases w:val="_Confidential"/>
    <w:basedOn w:val="Normal"/>
    <w:next w:val="Normal"/>
    <w:uiPriority w:val="42"/>
    <w:semiHidden/>
    <w:qFormat/>
    <w:rsid w:val="007A74FC"/>
    <w:pPr>
      <w:jc w:val="right"/>
    </w:pPr>
    <w:rPr>
      <w:color w:val="C00000"/>
      <w:sz w:val="20"/>
    </w:rPr>
  </w:style>
  <w:style w:type="paragraph" w:customStyle="1" w:styleId="ECHRDecisionBody">
    <w:name w:val="ECHR_Decision_Body"/>
    <w:aliases w:val="_Decision_Body"/>
    <w:basedOn w:val="NormalJustified"/>
    <w:uiPriority w:val="54"/>
    <w:rsid w:val="007A74F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A74F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A74F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A74F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A74FC"/>
    <w:pPr>
      <w:jc w:val="right"/>
    </w:pPr>
    <w:rPr>
      <w:sz w:val="20"/>
    </w:rPr>
  </w:style>
  <w:style w:type="paragraph" w:customStyle="1" w:styleId="ECHRHeaderRefIt">
    <w:name w:val="ECHR_Header_Ref_It"/>
    <w:aliases w:val="_Ref_Ital"/>
    <w:basedOn w:val="Normal"/>
    <w:next w:val="ECHRHeaderDate"/>
    <w:uiPriority w:val="43"/>
    <w:semiHidden/>
    <w:qFormat/>
    <w:rsid w:val="007A74FC"/>
    <w:pPr>
      <w:jc w:val="right"/>
    </w:pPr>
    <w:rPr>
      <w:i/>
      <w:sz w:val="20"/>
    </w:rPr>
  </w:style>
  <w:style w:type="paragraph" w:customStyle="1" w:styleId="ECHRHeading9">
    <w:name w:val="ECHR_Heading_9"/>
    <w:aliases w:val="_Head_9"/>
    <w:basedOn w:val="Heading9"/>
    <w:uiPriority w:val="17"/>
    <w:semiHidden/>
    <w:rsid w:val="007A74F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A74F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A74FC"/>
    <w:pPr>
      <w:numPr>
        <w:numId w:val="8"/>
      </w:numPr>
      <w:spacing w:before="60" w:after="60"/>
    </w:pPr>
  </w:style>
  <w:style w:type="paragraph" w:customStyle="1" w:styleId="ECHRNumberedList2">
    <w:name w:val="ECHR_Numbered_List_2"/>
    <w:aliases w:val="_Num_2"/>
    <w:basedOn w:val="ECHRNumberedList1"/>
    <w:uiPriority w:val="23"/>
    <w:semiHidden/>
    <w:rsid w:val="007A74FC"/>
    <w:pPr>
      <w:numPr>
        <w:ilvl w:val="1"/>
      </w:numPr>
    </w:pPr>
  </w:style>
  <w:style w:type="paragraph" w:customStyle="1" w:styleId="ECHRNumberedList3">
    <w:name w:val="ECHR_Numbered_List_3"/>
    <w:aliases w:val="_Num_3"/>
    <w:basedOn w:val="ECHRNumberedList2"/>
    <w:uiPriority w:val="23"/>
    <w:semiHidden/>
    <w:rsid w:val="007A74FC"/>
    <w:pPr>
      <w:numPr>
        <w:ilvl w:val="2"/>
      </w:numPr>
    </w:pPr>
  </w:style>
  <w:style w:type="paragraph" w:customStyle="1" w:styleId="ECHRParaHanging">
    <w:name w:val="ECHR_Para_Hanging"/>
    <w:aliases w:val="_Hanging"/>
    <w:basedOn w:val="Normal"/>
    <w:uiPriority w:val="8"/>
    <w:semiHidden/>
    <w:qFormat/>
    <w:rsid w:val="007A74FC"/>
    <w:pPr>
      <w:ind w:left="567" w:hanging="567"/>
      <w:jc w:val="both"/>
    </w:pPr>
  </w:style>
  <w:style w:type="paragraph" w:customStyle="1" w:styleId="ECHRParaIndent">
    <w:name w:val="ECHR_Para_Indent"/>
    <w:aliases w:val="_Indent"/>
    <w:basedOn w:val="Normal"/>
    <w:uiPriority w:val="7"/>
    <w:semiHidden/>
    <w:qFormat/>
    <w:rsid w:val="007A74FC"/>
    <w:pPr>
      <w:spacing w:before="120" w:after="120"/>
      <w:ind w:left="284"/>
      <w:jc w:val="both"/>
    </w:pPr>
  </w:style>
  <w:style w:type="character" w:customStyle="1" w:styleId="ECHRRed">
    <w:name w:val="ECHR_Red"/>
    <w:aliases w:val="_Red"/>
    <w:basedOn w:val="DefaultParagraphFont"/>
    <w:uiPriority w:val="15"/>
    <w:semiHidden/>
    <w:qFormat/>
    <w:rsid w:val="007A74FC"/>
    <w:rPr>
      <w:color w:val="C00000" w:themeColor="accent2"/>
    </w:rPr>
  </w:style>
  <w:style w:type="paragraph" w:customStyle="1" w:styleId="DecList">
    <w:name w:val="Dec_List"/>
    <w:aliases w:val="_List"/>
    <w:basedOn w:val="JuList"/>
    <w:uiPriority w:val="22"/>
    <w:rsid w:val="007A74FC"/>
    <w:pPr>
      <w:numPr>
        <w:numId w:val="0"/>
      </w:numPr>
      <w:ind w:left="284"/>
    </w:pPr>
  </w:style>
  <w:style w:type="table" w:customStyle="1" w:styleId="ECHRTable">
    <w:name w:val="ECHR_Table"/>
    <w:basedOn w:val="TableNormal"/>
    <w:rsid w:val="007A74F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7A74F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A74F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A74F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A74F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A74F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A74F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A74F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7A74F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A74FC"/>
    <w:pPr>
      <w:outlineLvl w:val="0"/>
    </w:pPr>
  </w:style>
  <w:style w:type="paragraph" w:customStyle="1" w:styleId="ECHRTitleTOC1">
    <w:name w:val="ECHR_Title_TOC_1"/>
    <w:aliases w:val="_Title_L_TOC"/>
    <w:basedOn w:val="ECHRTitle1"/>
    <w:next w:val="Normal"/>
    <w:uiPriority w:val="27"/>
    <w:semiHidden/>
    <w:qFormat/>
    <w:rsid w:val="007A74FC"/>
    <w:pPr>
      <w:outlineLvl w:val="0"/>
    </w:pPr>
  </w:style>
  <w:style w:type="table" w:customStyle="1" w:styleId="LtrTableAddress">
    <w:name w:val="Ltr_Table_Address"/>
    <w:aliases w:val="ECHR_Ltr_Table_Address"/>
    <w:basedOn w:val="TableNormal"/>
    <w:uiPriority w:val="99"/>
    <w:rsid w:val="007A74FC"/>
    <w:rPr>
      <w:sz w:val="24"/>
      <w:szCs w:val="24"/>
    </w:rPr>
    <w:tblPr>
      <w:tblInd w:w="5103" w:type="dxa"/>
    </w:tblPr>
  </w:style>
  <w:style w:type="table" w:customStyle="1" w:styleId="PCFTableStyle">
    <w:name w:val="PCF_Table_Style"/>
    <w:aliases w:val="ECHR_PCF_Table_Style"/>
    <w:basedOn w:val="TableNormal"/>
    <w:uiPriority w:val="99"/>
    <w:rsid w:val="007A74F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7A74F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A74F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7A74FC"/>
    <w:rPr>
      <w:color w:val="FFFFFF"/>
    </w:rPr>
  </w:style>
  <w:style w:type="paragraph" w:customStyle="1" w:styleId="ECHRSpacer">
    <w:name w:val="ECHR_Spacer"/>
    <w:aliases w:val="_Spacer"/>
    <w:basedOn w:val="Normal"/>
    <w:uiPriority w:val="45"/>
    <w:semiHidden/>
    <w:rsid w:val="007A74FC"/>
    <w:rPr>
      <w:sz w:val="4"/>
    </w:rPr>
  </w:style>
  <w:style w:type="table" w:customStyle="1" w:styleId="ECHRTableGrey">
    <w:name w:val="ECHR_Table_Grey"/>
    <w:basedOn w:val="TableNormal"/>
    <w:uiPriority w:val="99"/>
    <w:rsid w:val="007A74F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7A74F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7D279A"/>
    <w:rPr>
      <w:sz w:val="24"/>
      <w:szCs w:val="24"/>
      <w:lang w:val="en-GB"/>
    </w:rPr>
  </w:style>
  <w:style w:type="character" w:customStyle="1" w:styleId="ECHRParaChar">
    <w:name w:val="ECHR_Para Char"/>
    <w:aliases w:val="Para Char"/>
    <w:basedOn w:val="DefaultParagraphFont"/>
    <w:uiPriority w:val="4"/>
    <w:rsid w:val="00972D4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doc.echr.coe.int/eng"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A2B39E-EFC6-40BD-A6CE-E9D6E2F9DBCB}">
  <ds:schemaRefs>
    <ds:schemaRef ds:uri="http://schemas.openxmlformats.org/officeDocument/2006/bibliography"/>
  </ds:schemaRefs>
</ds:datastoreItem>
</file>

<file path=customXml/itemProps2.xml><?xml version="1.0" encoding="utf-8"?>
<ds:datastoreItem xmlns:ds="http://schemas.openxmlformats.org/officeDocument/2006/customXml" ds:itemID="{99A4A132-F2DE-4583-A7B9-FEC4E823232B}"/>
</file>

<file path=customXml/itemProps3.xml><?xml version="1.0" encoding="utf-8"?>
<ds:datastoreItem xmlns:ds="http://schemas.openxmlformats.org/officeDocument/2006/customXml" ds:itemID="{B47880E2-2973-4421-BD59-74F13D9A1663}"/>
</file>

<file path=customXml/itemProps4.xml><?xml version="1.0" encoding="utf-8"?>
<ds:datastoreItem xmlns:ds="http://schemas.openxmlformats.org/officeDocument/2006/customXml" ds:itemID="{354B820B-5709-4FD1-8C97-8FF182725B6C}"/>
</file>

<file path=docProps/app.xml><?xml version="1.0" encoding="utf-8"?>
<Properties xmlns="http://schemas.openxmlformats.org/officeDocument/2006/extended-properties" xmlns:vt="http://schemas.openxmlformats.org/officeDocument/2006/docPropsVTypes">
  <Template>Normal.dotm</Template>
  <TotalTime>0</TotalTime>
  <Pages>1</Pages>
  <Words>9393</Words>
  <Characters>53544</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2021-11-17T14:41:00Z</dcterms:created>
  <dcterms:modified xsi:type="dcterms:W3CDTF">2021-11-17T14:41:00Z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40477/13</vt:lpwstr>
  </property>
  <property fmtid="{D5CDD505-2E9C-101B-9397-08002B2CF9AE}" pid="4" name="CASEID">
    <vt:lpwstr>891106</vt:lpwstr>
  </property>
  <property fmtid="{D5CDD505-2E9C-101B-9397-08002B2CF9AE}" pid="5" name="ContentTypeId">
    <vt:lpwstr>0x010100558EB02BDB9E204AB350EDD385B68E10</vt:lpwstr>
  </property>
</Properties>
</file>