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9747A" w:rsidR="005E56B3" w:rsidP="0019747A" w:rsidRDefault="005E56B3">
      <w:pPr>
        <w:rPr>
          <w:rFonts w:ascii="Times New Roman" w:hAnsi="Times New Roman" w:cs="Times New Roman"/>
        </w:rPr>
      </w:pPr>
    </w:p>
    <w:p w:rsidRPr="0019747A" w:rsidR="007A4070" w:rsidP="0019747A" w:rsidRDefault="005E56B3">
      <w:pPr>
        <w:pStyle w:val="DecHCase"/>
      </w:pPr>
      <w:r w:rsidRPr="0019747A">
        <w:t>DEUXIÈME SECTION</w:t>
      </w:r>
    </w:p>
    <w:p w:rsidRPr="0019747A" w:rsidR="007A4070" w:rsidP="00EB1972" w:rsidRDefault="007A4070">
      <w:pPr>
        <w:pStyle w:val="JuTitle"/>
        <w:spacing w:before="960"/>
      </w:pPr>
      <w:r w:rsidRPr="0019747A">
        <w:t xml:space="preserve">AFFAIRE </w:t>
      </w:r>
      <w:r w:rsidRPr="0019747A" w:rsidR="005E56B3">
        <w:t>ROTARU c. RÉPUBLIQUE DE MOLDOVA</w:t>
      </w:r>
    </w:p>
    <w:p w:rsidRPr="0019747A" w:rsidR="007A4070" w:rsidP="0019747A" w:rsidRDefault="007A4070">
      <w:pPr>
        <w:pStyle w:val="ECHRCoverTitle4"/>
      </w:pPr>
      <w:r w:rsidRPr="0019747A">
        <w:t>(</w:t>
      </w:r>
      <w:r w:rsidRPr="0019747A" w:rsidR="005E56B3">
        <w:t>Requête n</w:t>
      </w:r>
      <w:r w:rsidRPr="0019747A" w:rsidR="005E56B3">
        <w:rPr>
          <w:vertAlign w:val="superscript"/>
        </w:rPr>
        <w:t>o</w:t>
      </w:r>
      <w:r w:rsidRPr="0019747A">
        <w:t xml:space="preserve"> </w:t>
      </w:r>
      <w:r w:rsidRPr="0019747A" w:rsidR="005E56B3">
        <w:t>26764/12</w:t>
      </w:r>
      <w:r w:rsidRPr="0019747A">
        <w:t>)</w:t>
      </w:r>
    </w:p>
    <w:p w:rsidRPr="0019747A" w:rsidR="007A4070" w:rsidP="00EB1972" w:rsidRDefault="007A4070">
      <w:pPr>
        <w:pStyle w:val="DecHCase"/>
        <w:spacing w:after="360"/>
      </w:pPr>
    </w:p>
    <w:p w:rsidRPr="0019747A" w:rsidR="0019747A" w:rsidP="0019747A" w:rsidRDefault="007A4070">
      <w:pPr>
        <w:pStyle w:val="DecHCase"/>
      </w:pPr>
      <w:r w:rsidRPr="0019747A">
        <w:t>ARRÊT</w:t>
      </w:r>
      <w:r w:rsidRPr="0019747A">
        <w:br/>
      </w:r>
    </w:p>
    <w:p w:rsidRPr="00EB1972" w:rsidR="0019747A" w:rsidP="0019747A" w:rsidRDefault="0019747A">
      <w:pPr>
        <w:pStyle w:val="DecHCase"/>
        <w:pBdr>
          <w:top w:val="single" w:color="auto" w:sz="4" w:space="1"/>
          <w:left w:val="single" w:color="auto" w:sz="4" w:space="4"/>
          <w:bottom w:val="single" w:color="auto" w:sz="4" w:space="1"/>
          <w:right w:val="single" w:color="auto" w:sz="4" w:space="4"/>
        </w:pBdr>
        <w:jc w:val="both"/>
        <w:rPr>
          <w:sz w:val="22"/>
          <w:szCs w:val="22"/>
        </w:rPr>
      </w:pPr>
      <w:r w:rsidRPr="00EB1972">
        <w:rPr>
          <w:sz w:val="22"/>
          <w:szCs w:val="22"/>
        </w:rPr>
        <w:t>Art 2 P4 • Liberté de circulation • Refus des autorités internes de renouveler le passeport du requérant en raison de la non-exécution de la décision de justice l’obligeant à rembourser une dette à un tiers • Impossibilité de quitter le territoire • Base légale rédigée d’une manière très générale et dépourvue de la protection nécessaire contre l’arbitraire • Absence de garanties procédurales suffisantes pour prévenir le risque d’abus de pouvoir de la part des autorités • Mesure de caractère automatique, sans limitation de durée et sans contrôle effectif et périodique • Mesure adoptée douze ans environ après la condamnation du requérant et en l’absence de toute procédure d’exécution pendante devant un huissier de justice • Contrôle de la proportionnalité des restrictions au droit à la liberté de circulation expressément exigé par la Cour constitutionnelle • Absence d’analyse de la situation individuelle du requérant et de la question de la proportionnalité de l’ingérence de la part des juridictions internes</w:t>
      </w:r>
    </w:p>
    <w:p w:rsidRPr="0019747A" w:rsidR="007A4070" w:rsidP="0019747A" w:rsidRDefault="007A4070">
      <w:pPr>
        <w:pStyle w:val="DecHCase"/>
      </w:pPr>
      <w:r w:rsidRPr="0019747A">
        <w:t>STRASBOURG</w:t>
      </w:r>
    </w:p>
    <w:p w:rsidRPr="0019747A" w:rsidR="007A4070" w:rsidP="00EB1972" w:rsidRDefault="005E56B3">
      <w:pPr>
        <w:pStyle w:val="DecHCase"/>
        <w:spacing w:after="480"/>
      </w:pPr>
      <w:r w:rsidRPr="0019747A">
        <w:t>8 décembre 2020</w:t>
      </w:r>
      <w:bookmarkStart w:name="_GoBack" w:id="0"/>
      <w:bookmarkEnd w:id="0"/>
    </w:p>
    <w:p w:rsidRPr="00EB1972" w:rsidR="00EB1972" w:rsidP="00EB1972" w:rsidRDefault="00EB1972">
      <w:pPr>
        <w:pStyle w:val="jucase0"/>
        <w:ind w:firstLine="0"/>
        <w:jc w:val="center"/>
        <w:rPr>
          <w:color w:val="FF0000"/>
          <w:sz w:val="26"/>
          <w:szCs w:val="26"/>
          <w:u w:val="single"/>
          <w:lang w:val="fr-FR"/>
        </w:rPr>
      </w:pPr>
      <w:bookmarkStart w:name="_Hlk59705989" w:id="1"/>
      <w:bookmarkStart w:name="_Hlk65662728" w:id="2"/>
      <w:r w:rsidRPr="00EB1972">
        <w:rPr>
          <w:color w:val="FF0000"/>
          <w:sz w:val="26"/>
          <w:szCs w:val="26"/>
          <w:u w:val="single"/>
          <w:lang w:val="fr-FR"/>
        </w:rPr>
        <w:t>DÉFINITIF</w:t>
      </w:r>
    </w:p>
    <w:p w:rsidRPr="00EB1972" w:rsidR="00EB1972" w:rsidP="00EB1972" w:rsidRDefault="00EB1972">
      <w:pPr>
        <w:pStyle w:val="jucase0"/>
        <w:ind w:firstLine="0"/>
        <w:jc w:val="center"/>
        <w:rPr>
          <w:b w:val="0"/>
          <w:bCs w:val="0"/>
          <w:color w:val="FF0000"/>
          <w:sz w:val="26"/>
          <w:szCs w:val="26"/>
          <w:u w:val="single"/>
          <w:lang w:val="fr-FR"/>
        </w:rPr>
      </w:pPr>
    </w:p>
    <w:p w:rsidRPr="00EB1972" w:rsidR="00EB1972" w:rsidP="00EB1972" w:rsidRDefault="00EB1972">
      <w:pPr>
        <w:pStyle w:val="jucase0"/>
        <w:ind w:firstLine="0"/>
        <w:jc w:val="center"/>
        <w:rPr>
          <w:b w:val="0"/>
          <w:color w:val="FF0000"/>
          <w:sz w:val="26"/>
          <w:szCs w:val="26"/>
          <w:lang w:val="fr-FR"/>
        </w:rPr>
      </w:pPr>
      <w:r w:rsidRPr="00EB1972">
        <w:rPr>
          <w:b w:val="0"/>
          <w:color w:val="FF0000"/>
          <w:sz w:val="26"/>
          <w:szCs w:val="26"/>
          <w:lang w:val="fr-FR"/>
        </w:rPr>
        <w:t>08/03/2021</w:t>
      </w:r>
    </w:p>
    <w:p w:rsidRPr="00261F46" w:rsidR="00EB1972" w:rsidP="00EB1972" w:rsidRDefault="00EB1972">
      <w:pPr>
        <w:pStyle w:val="jupara0"/>
        <w:spacing w:after="120"/>
        <w:ind w:firstLine="0"/>
        <w:jc w:val="center"/>
        <w:rPr>
          <w:u w:val="single"/>
          <w:lang w:val="fr-FR"/>
        </w:rPr>
      </w:pPr>
    </w:p>
    <w:p w:rsidRPr="0019747A" w:rsidR="00516B59" w:rsidP="00EB1972" w:rsidRDefault="00EB1972">
      <w:pPr>
        <w:jc w:val="both"/>
        <w:rPr>
          <w:rFonts w:ascii="Times New Roman" w:hAnsi="Times New Roman" w:cs="Times New Roman"/>
          <w:i/>
          <w:sz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End w:id="1"/>
      <w:bookmarkEnd w:id="2"/>
    </w:p>
    <w:p w:rsidRPr="0019747A" w:rsidR="00516B59" w:rsidP="0019747A" w:rsidRDefault="00516B59">
      <w:pPr>
        <w:ind w:left="720"/>
        <w:rPr>
          <w:rFonts w:ascii="Times New Roman" w:hAnsi="Times New Roman" w:cs="Times New Roman"/>
          <w:sz w:val="22"/>
        </w:rPr>
        <w:sectPr w:rsidRPr="0019747A" w:rsidR="00516B59" w:rsidSect="00902601">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9747A" w:rsidR="004344E6" w:rsidP="0019747A" w:rsidRDefault="004344E6">
      <w:pPr>
        <w:pStyle w:val="JuCase"/>
      </w:pPr>
      <w:r w:rsidRPr="0019747A">
        <w:t>En l</w:t>
      </w:r>
      <w:r w:rsidRPr="0019747A" w:rsidR="0019747A">
        <w:t>’</w:t>
      </w:r>
      <w:r w:rsidRPr="0019747A">
        <w:t xml:space="preserve">affaire </w:t>
      </w:r>
      <w:proofErr w:type="spellStart"/>
      <w:r w:rsidRPr="0019747A" w:rsidR="005E56B3">
        <w:t>Rotaru</w:t>
      </w:r>
      <w:proofErr w:type="spellEnd"/>
      <w:r w:rsidRPr="0019747A" w:rsidR="005E56B3">
        <w:t xml:space="preserve"> c. République de Moldova</w:t>
      </w:r>
      <w:r w:rsidRPr="0019747A">
        <w:t>,</w:t>
      </w:r>
    </w:p>
    <w:p w:rsidRPr="0019747A" w:rsidR="004344E6" w:rsidP="0019747A" w:rsidRDefault="004344E6">
      <w:pPr>
        <w:pStyle w:val="JuPara"/>
      </w:pPr>
      <w:r w:rsidRPr="0019747A">
        <w:t>La Cour européenne des droits de l</w:t>
      </w:r>
      <w:r w:rsidRPr="0019747A" w:rsidR="0019747A">
        <w:t>’</w:t>
      </w:r>
      <w:r w:rsidRPr="0019747A">
        <w:t>homme (</w:t>
      </w:r>
      <w:r w:rsidRPr="0019747A" w:rsidR="005E56B3">
        <w:t>deuxième section</w:t>
      </w:r>
      <w:r w:rsidRPr="0019747A">
        <w:t xml:space="preserve">), siégeant en </w:t>
      </w:r>
      <w:r w:rsidRPr="0019747A" w:rsidR="005E56B3">
        <w:rPr>
          <w:color w:val="000000"/>
        </w:rPr>
        <w:t>une</w:t>
      </w:r>
      <w:r w:rsidRPr="0019747A" w:rsidR="005E56B3">
        <w:t xml:space="preserve"> Chambre composée</w:t>
      </w:r>
      <w:r w:rsidRPr="0019747A">
        <w:t xml:space="preserve"> de :</w:t>
      </w:r>
    </w:p>
    <w:p w:rsidRPr="0019747A" w:rsidR="004344E6" w:rsidP="0019747A" w:rsidRDefault="00C74482">
      <w:pPr>
        <w:pStyle w:val="JuJudges"/>
      </w:pPr>
      <w:r w:rsidRPr="0019747A">
        <w:tab/>
        <w:t xml:space="preserve">Jon </w:t>
      </w:r>
      <w:proofErr w:type="spellStart"/>
      <w:r w:rsidRPr="0019747A">
        <w:t>Fridrik</w:t>
      </w:r>
      <w:proofErr w:type="spellEnd"/>
      <w:r w:rsidRPr="0019747A">
        <w:t xml:space="preserve"> </w:t>
      </w:r>
      <w:proofErr w:type="spellStart"/>
      <w:r w:rsidRPr="0019747A">
        <w:t>Kjølbro</w:t>
      </w:r>
      <w:proofErr w:type="spellEnd"/>
      <w:r w:rsidRPr="0019747A">
        <w:t>,</w:t>
      </w:r>
      <w:r w:rsidRPr="0019747A">
        <w:rPr>
          <w:i/>
        </w:rPr>
        <w:t xml:space="preserve"> président,</w:t>
      </w:r>
      <w:r w:rsidRPr="0019747A">
        <w:rPr>
          <w:i/>
        </w:rPr>
        <w:br/>
      </w:r>
      <w:r w:rsidRPr="0019747A">
        <w:tab/>
        <w:t xml:space="preserve">Marko </w:t>
      </w:r>
      <w:proofErr w:type="spellStart"/>
      <w:r w:rsidRPr="0019747A">
        <w:t>Bošnjak</w:t>
      </w:r>
      <w:proofErr w:type="spellEnd"/>
      <w:r w:rsidRPr="0019747A">
        <w:t>,</w:t>
      </w:r>
      <w:r w:rsidRPr="0019747A">
        <w:rPr>
          <w:i/>
        </w:rPr>
        <w:br/>
      </w:r>
      <w:r w:rsidRPr="0019747A">
        <w:tab/>
      </w:r>
      <w:proofErr w:type="spellStart"/>
      <w:r w:rsidRPr="0019747A">
        <w:t>Aleš</w:t>
      </w:r>
      <w:proofErr w:type="spellEnd"/>
      <w:r w:rsidRPr="0019747A">
        <w:t xml:space="preserve"> Pejchal,</w:t>
      </w:r>
      <w:r w:rsidRPr="0019747A">
        <w:rPr>
          <w:i/>
        </w:rPr>
        <w:br/>
      </w:r>
      <w:r w:rsidRPr="0019747A">
        <w:tab/>
      </w:r>
      <w:proofErr w:type="spellStart"/>
      <w:r w:rsidRPr="0019747A">
        <w:t>Valeriu</w:t>
      </w:r>
      <w:proofErr w:type="spellEnd"/>
      <w:r w:rsidRPr="0019747A">
        <w:t xml:space="preserve"> </w:t>
      </w:r>
      <w:proofErr w:type="spellStart"/>
      <w:r w:rsidRPr="0019747A">
        <w:t>Griţco</w:t>
      </w:r>
      <w:proofErr w:type="spellEnd"/>
      <w:r w:rsidRPr="0019747A">
        <w:t>,</w:t>
      </w:r>
      <w:r w:rsidRPr="0019747A">
        <w:rPr>
          <w:i/>
        </w:rPr>
        <w:br/>
      </w:r>
      <w:r w:rsidRPr="0019747A">
        <w:tab/>
        <w:t xml:space="preserve">Branko </w:t>
      </w:r>
      <w:proofErr w:type="spellStart"/>
      <w:r w:rsidRPr="0019747A">
        <w:t>Lubarda</w:t>
      </w:r>
      <w:proofErr w:type="spellEnd"/>
      <w:r w:rsidRPr="0019747A">
        <w:t>,</w:t>
      </w:r>
      <w:r w:rsidRPr="0019747A">
        <w:rPr>
          <w:i/>
        </w:rPr>
        <w:br/>
      </w:r>
      <w:r w:rsidRPr="0019747A">
        <w:tab/>
        <w:t>Carlo Ranzoni,</w:t>
      </w:r>
      <w:r w:rsidRPr="0019747A">
        <w:rPr>
          <w:i/>
        </w:rPr>
        <w:br/>
      </w:r>
      <w:r w:rsidRPr="0019747A">
        <w:tab/>
      </w:r>
      <w:proofErr w:type="spellStart"/>
      <w:r w:rsidRPr="0019747A">
        <w:t>Saadet</w:t>
      </w:r>
      <w:proofErr w:type="spellEnd"/>
      <w:r w:rsidRPr="0019747A">
        <w:t xml:space="preserve"> </w:t>
      </w:r>
      <w:proofErr w:type="spellStart"/>
      <w:r w:rsidRPr="0019747A">
        <w:t>Yüksel</w:t>
      </w:r>
      <w:proofErr w:type="spellEnd"/>
      <w:r w:rsidRPr="0019747A">
        <w:t>,</w:t>
      </w:r>
      <w:r w:rsidRPr="0019747A">
        <w:rPr>
          <w:i/>
        </w:rPr>
        <w:t xml:space="preserve"> juges,</w:t>
      </w:r>
      <w:r w:rsidRPr="0019747A">
        <w:rPr>
          <w:i/>
        </w:rPr>
        <w:br/>
      </w:r>
      <w:r w:rsidRPr="0019747A" w:rsidR="004344E6">
        <w:t xml:space="preserve">et de </w:t>
      </w:r>
      <w:r w:rsidRPr="0019747A" w:rsidR="005E56B3">
        <w:t>Stanley Naismith</w:t>
      </w:r>
      <w:r w:rsidRPr="0019747A" w:rsidR="004344E6">
        <w:t xml:space="preserve">, </w:t>
      </w:r>
      <w:r w:rsidRPr="0019747A" w:rsidR="005E56B3">
        <w:rPr>
          <w:i/>
        </w:rPr>
        <w:t>greffier</w:t>
      </w:r>
      <w:r w:rsidRPr="0019747A" w:rsidR="005E56B3">
        <w:rPr>
          <w:iCs/>
        </w:rPr>
        <w:t xml:space="preserve"> </w:t>
      </w:r>
      <w:r w:rsidRPr="0019747A" w:rsidR="005E56B3">
        <w:rPr>
          <w:i/>
          <w:iCs/>
        </w:rPr>
        <w:t>d</w:t>
      </w:r>
      <w:r w:rsidRPr="0019747A" w:rsidR="005E56B3">
        <w:rPr>
          <w:i/>
        </w:rPr>
        <w:t>e section</w:t>
      </w:r>
      <w:r w:rsidRPr="0019747A" w:rsidR="004344E6">
        <w:t>,</w:t>
      </w:r>
    </w:p>
    <w:p w:rsidRPr="0019747A" w:rsidR="005E56B3" w:rsidP="0019747A" w:rsidRDefault="005E56B3">
      <w:pPr>
        <w:pStyle w:val="JuPara"/>
      </w:pPr>
      <w:bookmarkStart w:name="ITMARKHavingStart" w:id="3"/>
      <w:bookmarkEnd w:id="3"/>
      <w:r w:rsidRPr="0019747A">
        <w:t>Vu :</w:t>
      </w:r>
    </w:p>
    <w:p w:rsidRPr="0019747A" w:rsidR="005E56B3" w:rsidP="0019747A" w:rsidRDefault="005E56B3">
      <w:pPr>
        <w:pStyle w:val="JuPara"/>
      </w:pPr>
      <w:proofErr w:type="gramStart"/>
      <w:r w:rsidRPr="0019747A">
        <w:t>la</w:t>
      </w:r>
      <w:proofErr w:type="gramEnd"/>
      <w:r w:rsidRPr="0019747A">
        <w:t xml:space="preserve"> requête (n</w:t>
      </w:r>
      <w:r w:rsidRPr="0019747A">
        <w:rPr>
          <w:vertAlign w:val="superscript"/>
        </w:rPr>
        <w:t>o</w:t>
      </w:r>
      <w:r w:rsidRPr="0019747A">
        <w:t xml:space="preserve"> 26764/12) dirigée contre la République de Moldova et dont un ressortissant de cet État, M. Victor </w:t>
      </w:r>
      <w:proofErr w:type="spellStart"/>
      <w:r w:rsidRPr="0019747A">
        <w:t>Rotaru</w:t>
      </w:r>
      <w:proofErr w:type="spellEnd"/>
      <w:r w:rsidRPr="0019747A">
        <w:t xml:space="preserve"> (« le requérant ») a </w:t>
      </w:r>
      <w:bookmarkStart w:name="_Hlk36124016" w:id="4"/>
      <w:r w:rsidRPr="0019747A">
        <w:t>saisi la Cour en vertu de l</w:t>
      </w:r>
      <w:r w:rsidRPr="0019747A" w:rsidR="0019747A">
        <w:t>’</w:t>
      </w:r>
      <w:r w:rsidRPr="0019747A">
        <w:t>article 34 de la Convention de sauvegarde des droits de l</w:t>
      </w:r>
      <w:r w:rsidRPr="0019747A" w:rsidR="0019747A">
        <w:t>’</w:t>
      </w:r>
      <w:r w:rsidRPr="0019747A">
        <w:t>homme et des libertés fondamentales (« la Convention »)</w:t>
      </w:r>
      <w:bookmarkEnd w:id="4"/>
      <w:r w:rsidRPr="0019747A">
        <w:t xml:space="preserve"> le 24 avril 2012,</w:t>
      </w:r>
    </w:p>
    <w:p w:rsidRPr="0019747A" w:rsidR="005E56B3" w:rsidP="0019747A" w:rsidRDefault="005E56B3">
      <w:pPr>
        <w:pStyle w:val="JuPara"/>
      </w:pPr>
      <w:proofErr w:type="gramStart"/>
      <w:r w:rsidRPr="0019747A">
        <w:t>la</w:t>
      </w:r>
      <w:proofErr w:type="gramEnd"/>
      <w:r w:rsidRPr="0019747A">
        <w:t xml:space="preserve"> décision de porter à la connaissance du gouvernement moldave (« le Gouvernement ») le grief tiré de l</w:t>
      </w:r>
      <w:r w:rsidRPr="0019747A" w:rsidR="0019747A">
        <w:t>’</w:t>
      </w:r>
      <w:r w:rsidRPr="0019747A">
        <w:t>article 2 du Protocole n</w:t>
      </w:r>
      <w:r w:rsidRPr="0019747A">
        <w:rPr>
          <w:vertAlign w:val="superscript"/>
        </w:rPr>
        <w:t>o</w:t>
      </w:r>
      <w:r w:rsidRPr="0019747A">
        <w:t xml:space="preserve"> 4 et de déclarer la requête irrecevable pour le surplus,</w:t>
      </w:r>
    </w:p>
    <w:p w:rsidRPr="0019747A" w:rsidR="005E56B3" w:rsidP="0019747A" w:rsidRDefault="005E56B3">
      <w:pPr>
        <w:pStyle w:val="JuPara"/>
      </w:pPr>
      <w:proofErr w:type="gramStart"/>
      <w:r w:rsidRPr="0019747A">
        <w:t>les</w:t>
      </w:r>
      <w:proofErr w:type="gramEnd"/>
      <w:r w:rsidRPr="0019747A">
        <w:t xml:space="preserve"> observations des parties,</w:t>
      </w:r>
    </w:p>
    <w:p w:rsidRPr="0019747A" w:rsidR="004344E6" w:rsidP="0019747A" w:rsidRDefault="004344E6">
      <w:pPr>
        <w:pStyle w:val="JuPara"/>
      </w:pPr>
      <w:r w:rsidRPr="0019747A">
        <w:t xml:space="preserve">Après en avoir délibéré en chambre du conseil le </w:t>
      </w:r>
      <w:r w:rsidRPr="0019747A" w:rsidR="005E56B3">
        <w:t>17 novembre 2020</w:t>
      </w:r>
      <w:r w:rsidRPr="0019747A">
        <w:t>,</w:t>
      </w:r>
    </w:p>
    <w:p w:rsidRPr="0019747A" w:rsidR="005E56B3" w:rsidP="0019747A" w:rsidRDefault="004344E6">
      <w:pPr>
        <w:pStyle w:val="JuPara"/>
      </w:pPr>
      <w:r w:rsidRPr="0019747A">
        <w:t>Rend l</w:t>
      </w:r>
      <w:r w:rsidRPr="0019747A" w:rsidR="0019747A">
        <w:t>’</w:t>
      </w:r>
      <w:r w:rsidRPr="0019747A">
        <w:t>arrêt que voici</w:t>
      </w:r>
      <w:r w:rsidRPr="0019747A" w:rsidR="00876F03">
        <w:t>, adopté à cette date :</w:t>
      </w:r>
    </w:p>
    <w:p w:rsidRPr="0019747A" w:rsidR="005E56B3" w:rsidP="0019747A" w:rsidRDefault="005E56B3">
      <w:pPr>
        <w:pStyle w:val="JuHHead"/>
        <w:numPr>
          <w:ilvl w:val="0"/>
          <w:numId w:val="1"/>
        </w:numPr>
      </w:pPr>
      <w:r w:rsidRPr="0019747A">
        <w:rPr>
          <w:caps w:val="0"/>
        </w:rPr>
        <w:t>INTRODUCTION</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1</w:t>
      </w:r>
      <w:r w:rsidRPr="0019747A">
        <w:fldChar w:fldCharType="end"/>
      </w:r>
      <w:r w:rsidRPr="0019747A">
        <w:t>.  La requête porte sur le refus des autorités internes de renouveler le passeport du requérant en raison de la non-exécution de la décision de justice l</w:t>
      </w:r>
      <w:r w:rsidRPr="0019747A" w:rsidR="0019747A">
        <w:t>’</w:t>
      </w:r>
      <w:r w:rsidRPr="0019747A">
        <w:t>obligeant à rembourser une dette à un tiers. Elle soulève en particulier des questions relatives à la qualité de la loi ayant fondé l</w:t>
      </w:r>
      <w:r w:rsidRPr="0019747A" w:rsidR="0019747A">
        <w:t>’</w:t>
      </w:r>
      <w:r w:rsidRPr="0019747A">
        <w:t>ingérence alléguée dans le droit de l</w:t>
      </w:r>
      <w:r w:rsidRPr="0019747A" w:rsidR="0019747A">
        <w:t>’</w:t>
      </w:r>
      <w:r w:rsidRPr="0019747A">
        <w:t>intéressé à la liberté de circulation.</w:t>
      </w:r>
    </w:p>
    <w:p w:rsidRPr="0019747A" w:rsidR="005E56B3" w:rsidP="0019747A" w:rsidRDefault="005E56B3">
      <w:pPr>
        <w:pStyle w:val="JuHHead"/>
        <w:numPr>
          <w:ilvl w:val="0"/>
          <w:numId w:val="1"/>
        </w:numPr>
      </w:pPr>
      <w:bookmarkStart w:name="_Hlk36126677" w:id="5"/>
      <w:r w:rsidRPr="0019747A">
        <w:t>EN FAIT</w:t>
      </w:r>
    </w:p>
    <w:bookmarkEnd w:id="5"/>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2</w:t>
      </w:r>
      <w:r w:rsidRPr="0019747A">
        <w:fldChar w:fldCharType="end"/>
      </w:r>
      <w:r w:rsidRPr="0019747A">
        <w:t xml:space="preserve">.  Le requérant réside à </w:t>
      </w:r>
      <w:proofErr w:type="spellStart"/>
      <w:r w:rsidRPr="0019747A">
        <w:t>Chișinău</w:t>
      </w:r>
      <w:proofErr w:type="spellEnd"/>
      <w:r w:rsidRPr="0019747A">
        <w:t>. Il est représenté par M</w:t>
      </w:r>
      <w:r w:rsidRPr="0019747A">
        <w:rPr>
          <w:vertAlign w:val="superscript"/>
        </w:rPr>
        <w:t>e</w:t>
      </w:r>
      <w:r w:rsidRPr="0019747A">
        <w:t> I. </w:t>
      </w:r>
      <w:proofErr w:type="spellStart"/>
      <w:r w:rsidRPr="0019747A">
        <w:t>Cerga</w:t>
      </w:r>
      <w:proofErr w:type="spellEnd"/>
      <w:r w:rsidRPr="0019747A">
        <w:t>, avocat.</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3</w:t>
      </w:r>
      <w:r w:rsidRPr="0019747A">
        <w:fldChar w:fldCharType="end"/>
      </w:r>
      <w:r w:rsidRPr="0019747A">
        <w:t>.  </w:t>
      </w:r>
      <w:bookmarkStart w:name="_Hlk36127123" w:id="6"/>
      <w:r w:rsidRPr="0019747A">
        <w:t xml:space="preserve">Le Gouvernement a été représenté par son agent, M. L. </w:t>
      </w:r>
      <w:proofErr w:type="spellStart"/>
      <w:r w:rsidRPr="0019747A">
        <w:t>Apostol</w:t>
      </w:r>
      <w:proofErr w:type="spellEnd"/>
      <w:r w:rsidRPr="0019747A">
        <w:t>.</w:t>
      </w:r>
      <w:bookmarkEnd w:id="6"/>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4</w:t>
      </w:r>
      <w:r w:rsidRPr="0019747A">
        <w:fldChar w:fldCharType="end"/>
      </w:r>
      <w:r w:rsidRPr="0019747A">
        <w:t xml:space="preserve">.  Par un jugement du 11 juin 1998, le tribunal de </w:t>
      </w:r>
      <w:proofErr w:type="spellStart"/>
      <w:r w:rsidRPr="0019747A">
        <w:t>Botanica</w:t>
      </w:r>
      <w:proofErr w:type="spellEnd"/>
      <w:r w:rsidRPr="0019747A">
        <w:t xml:space="preserve"> (</w:t>
      </w:r>
      <w:proofErr w:type="spellStart"/>
      <w:r w:rsidRPr="0019747A">
        <w:t>Chișinău</w:t>
      </w:r>
      <w:proofErr w:type="spellEnd"/>
      <w:r w:rsidRPr="0019747A">
        <w:t>) ordonna au requérant de payer à la banque E. 77 908,51 lei moldaves (environ 16 450 dollars américains selon le taux de change en vigueur à l</w:t>
      </w:r>
      <w:r w:rsidRPr="0019747A" w:rsidR="0019747A">
        <w:t>’</w:t>
      </w:r>
      <w:r w:rsidRPr="0019747A">
        <w:t>époque) au titre d</w:t>
      </w:r>
      <w:r w:rsidRPr="0019747A" w:rsidR="0019747A">
        <w:t>’</w:t>
      </w:r>
      <w:r w:rsidRPr="0019747A">
        <w:t>un crédit non remboursé et des pénalités de retard. Ce jugement passa en force de chose jugée.</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5</w:t>
      </w:r>
      <w:r w:rsidRPr="0019747A">
        <w:fldChar w:fldCharType="end"/>
      </w:r>
      <w:r w:rsidRPr="0019747A">
        <w:t>.  En 2004, le requérant partit s</w:t>
      </w:r>
      <w:r w:rsidRPr="0019747A" w:rsidR="0019747A">
        <w:t>’</w:t>
      </w:r>
      <w:r w:rsidRPr="0019747A">
        <w:t>installer avec sa famille en Roumanie.</w:t>
      </w:r>
    </w:p>
    <w:bookmarkStart w:name="demande_banque_E_interdiction" w:id="7"/>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6</w:t>
      </w:r>
      <w:r w:rsidRPr="0019747A">
        <w:fldChar w:fldCharType="end"/>
      </w:r>
      <w:bookmarkEnd w:id="7"/>
      <w:r w:rsidRPr="0019747A">
        <w:t>.  Par une lettre du 2 avril 2007, la banque E. invita l</w:t>
      </w:r>
      <w:r w:rsidRPr="0019747A" w:rsidR="0019747A">
        <w:t>’</w:t>
      </w:r>
      <w:r w:rsidRPr="0019747A">
        <w:t>autorité d</w:t>
      </w:r>
      <w:r w:rsidRPr="0019747A" w:rsidR="0019747A">
        <w:t>’</w:t>
      </w:r>
      <w:r w:rsidRPr="0019747A">
        <w:t>état civil à refuser toute demande éventuelle du requérant concernant la délivrance d</w:t>
      </w:r>
      <w:r w:rsidRPr="0019747A" w:rsidR="0019747A">
        <w:t>’</w:t>
      </w:r>
      <w:r w:rsidRPr="0019747A">
        <w:t>un document de voyage.</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7</w:t>
      </w:r>
      <w:r w:rsidRPr="0019747A">
        <w:fldChar w:fldCharType="end"/>
      </w:r>
      <w:r w:rsidRPr="0019747A">
        <w:t>.  Le 22 avril 2009, l</w:t>
      </w:r>
      <w:r w:rsidRPr="0019747A" w:rsidR="0019747A">
        <w:t>’</w:t>
      </w:r>
      <w:r w:rsidRPr="0019747A">
        <w:t>office d</w:t>
      </w:r>
      <w:r w:rsidRPr="0019747A" w:rsidR="0019747A">
        <w:t>’</w:t>
      </w:r>
      <w:r w:rsidRPr="0019747A">
        <w:t>exécution des décisions de justice compétent informa la banque E. qu</w:t>
      </w:r>
      <w:r w:rsidRPr="0019747A" w:rsidR="0019747A">
        <w:t>’</w:t>
      </w:r>
      <w:r w:rsidRPr="0019747A">
        <w:t>aucune procédure d</w:t>
      </w:r>
      <w:r w:rsidRPr="0019747A" w:rsidR="0019747A">
        <w:t>’</w:t>
      </w:r>
      <w:r w:rsidRPr="0019747A">
        <w:t>exécution à l</w:t>
      </w:r>
      <w:r w:rsidRPr="0019747A" w:rsidR="0019747A">
        <w:t>’</w:t>
      </w:r>
      <w:r w:rsidRPr="0019747A">
        <w:t>encontre du requérant n</w:t>
      </w:r>
      <w:r w:rsidRPr="0019747A" w:rsidR="0019747A">
        <w:t>’</w:t>
      </w:r>
      <w:r w:rsidRPr="0019747A">
        <w:t>était pendante.</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8</w:t>
      </w:r>
      <w:r w:rsidRPr="0019747A">
        <w:fldChar w:fldCharType="end"/>
      </w:r>
      <w:r w:rsidRPr="0019747A">
        <w:t>.  Le 14 janvier 2010, le requérant, de retour en Moldova, demanda le renouvellement de son passeport.</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9</w:t>
      </w:r>
      <w:r w:rsidRPr="0019747A">
        <w:fldChar w:fldCharType="end"/>
      </w:r>
      <w:r w:rsidRPr="0019747A">
        <w:t>.  Le 6 avril 2010, l</w:t>
      </w:r>
      <w:r w:rsidRPr="0019747A" w:rsidR="0019747A">
        <w:t>’</w:t>
      </w:r>
      <w:r w:rsidRPr="0019747A">
        <w:t>autorité d</w:t>
      </w:r>
      <w:r w:rsidRPr="0019747A" w:rsidR="0019747A">
        <w:t>’</w:t>
      </w:r>
      <w:r w:rsidRPr="0019747A">
        <w:t>état civil rejeta la demande au motif que la dette envers la banque E. n</w:t>
      </w:r>
      <w:r w:rsidRPr="0019747A" w:rsidR="0019747A">
        <w:t>’</w:t>
      </w:r>
      <w:r w:rsidRPr="0019747A">
        <w:t>était pas remboursée. Elle fondait sa décision sur l</w:t>
      </w:r>
      <w:r w:rsidRPr="0019747A" w:rsidR="0019747A">
        <w:t>’</w:t>
      </w:r>
      <w:r w:rsidRPr="0019747A">
        <w:t>article 8 g) de la loi n</w:t>
      </w:r>
      <w:r w:rsidRPr="0019747A">
        <w:rPr>
          <w:vertAlign w:val="superscript"/>
        </w:rPr>
        <w:t>o</w:t>
      </w:r>
      <w:r w:rsidRPr="0019747A">
        <w:t xml:space="preserve"> 269 sur l</w:t>
      </w:r>
      <w:r w:rsidRPr="0019747A" w:rsidR="0019747A">
        <w:t>’</w:t>
      </w:r>
      <w:r w:rsidRPr="0019747A">
        <w:t>entrée et la sortie de la République de Moldova (« la loi n</w:t>
      </w:r>
      <w:r w:rsidRPr="0019747A">
        <w:rPr>
          <w:vertAlign w:val="superscript"/>
        </w:rPr>
        <w:t>o</w:t>
      </w:r>
      <w:r w:rsidRPr="0019747A">
        <w:t xml:space="preserve"> 269 ») (paragraphe </w:t>
      </w:r>
      <w:r w:rsidRPr="0019747A">
        <w:fldChar w:fldCharType="begin"/>
      </w:r>
      <w:r w:rsidRPr="0019747A">
        <w:instrText xml:space="preserve"> REF loi_269 \h </w:instrText>
      </w:r>
      <w:r w:rsidRPr="0019747A">
        <w:fldChar w:fldCharType="separate"/>
      </w:r>
      <w:r w:rsidRPr="0019747A" w:rsidR="0019747A">
        <w:rPr>
          <w:noProof/>
        </w:rPr>
        <w:t>16</w:t>
      </w:r>
      <w:r w:rsidRPr="0019747A">
        <w:fldChar w:fldCharType="end"/>
      </w:r>
      <w:r w:rsidRPr="0019747A">
        <w:t xml:space="preserve"> ci-dessous).</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10</w:t>
      </w:r>
      <w:r w:rsidRPr="0019747A">
        <w:fldChar w:fldCharType="end"/>
      </w:r>
      <w:r w:rsidRPr="0019747A">
        <w:t>.  Le 19 avril 2010, le requérant contesta ce refus devant un tribunal. Il dénonçait une ingérence illégale dans son droit à la liberté de circulation. Il soutenait que le délai légal de trois ans pour demander l</w:t>
      </w:r>
      <w:r w:rsidRPr="0019747A" w:rsidR="0019747A">
        <w:t>’</w:t>
      </w:r>
      <w:r w:rsidRPr="0019747A">
        <w:t>exécution du jugement du 11 juin 1998 était échu en l</w:t>
      </w:r>
      <w:r w:rsidRPr="0019747A" w:rsidR="0019747A">
        <w:t>’</w:t>
      </w:r>
      <w:r w:rsidRPr="0019747A">
        <w:t>espèce. Il arguait dès lors que l</w:t>
      </w:r>
      <w:r w:rsidRPr="0019747A" w:rsidR="0019747A">
        <w:t>’</w:t>
      </w:r>
      <w:r w:rsidRPr="0019747A">
        <w:t>autorité d</w:t>
      </w:r>
      <w:r w:rsidRPr="0019747A" w:rsidR="0019747A">
        <w:t>’</w:t>
      </w:r>
      <w:r w:rsidRPr="0019747A">
        <w:t>état civil n</w:t>
      </w:r>
      <w:r w:rsidRPr="0019747A" w:rsidR="0019747A">
        <w:t>’</w:t>
      </w:r>
      <w:r w:rsidRPr="0019747A">
        <w:t>était pas en droit d</w:t>
      </w:r>
      <w:r w:rsidRPr="0019747A" w:rsidR="0019747A">
        <w:t>’</w:t>
      </w:r>
      <w:r w:rsidRPr="0019747A">
        <w:t xml:space="preserve">accéder à la demande de la banque E. du 2 avril 2007 (paragraphe </w:t>
      </w:r>
      <w:r w:rsidRPr="0019747A">
        <w:fldChar w:fldCharType="begin"/>
      </w:r>
      <w:r w:rsidRPr="0019747A">
        <w:instrText xml:space="preserve"> REF demande_banque_E_interdiction \h </w:instrText>
      </w:r>
      <w:r w:rsidRPr="0019747A">
        <w:fldChar w:fldCharType="separate"/>
      </w:r>
      <w:r w:rsidRPr="0019747A" w:rsidR="0019747A">
        <w:rPr>
          <w:noProof/>
        </w:rPr>
        <w:t>6</w:t>
      </w:r>
      <w:r w:rsidRPr="0019747A">
        <w:fldChar w:fldCharType="end"/>
      </w:r>
      <w:r w:rsidRPr="0019747A">
        <w:t xml:space="preserve"> ci-dessus).</w:t>
      </w:r>
    </w:p>
    <w:bookmarkStart w:name="interdiction_huissier" w:id="8"/>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11</w:t>
      </w:r>
      <w:r w:rsidRPr="0019747A">
        <w:fldChar w:fldCharType="end"/>
      </w:r>
      <w:bookmarkEnd w:id="8"/>
      <w:r w:rsidRPr="0019747A">
        <w:t>.  Le 1</w:t>
      </w:r>
      <w:r w:rsidRPr="0019747A">
        <w:rPr>
          <w:vertAlign w:val="superscript"/>
        </w:rPr>
        <w:t>er</w:t>
      </w:r>
      <w:r w:rsidRPr="0019747A">
        <w:t xml:space="preserve"> septembre 2010, la banque E. demanda à un huissier de justice l</w:t>
      </w:r>
      <w:r w:rsidRPr="0019747A" w:rsidR="0019747A">
        <w:t>’</w:t>
      </w:r>
      <w:r w:rsidRPr="0019747A">
        <w:t>exécution du jugement du 11 juin 1998. Le 18 septembre 2010, celui-ci interdit à l</w:t>
      </w:r>
      <w:r w:rsidRPr="0019747A" w:rsidR="0019747A">
        <w:t>’</w:t>
      </w:r>
      <w:r w:rsidRPr="0019747A">
        <w:t>autorité d</w:t>
      </w:r>
      <w:r w:rsidRPr="0019747A" w:rsidR="0019747A">
        <w:t>’</w:t>
      </w:r>
      <w:r w:rsidRPr="0019747A">
        <w:t>état civil de délivrer un passeport au requérant.</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12</w:t>
      </w:r>
      <w:r w:rsidRPr="0019747A">
        <w:fldChar w:fldCharType="end"/>
      </w:r>
      <w:r w:rsidRPr="0019747A">
        <w:t>.  Le 11 mars 2011, la cour d</w:t>
      </w:r>
      <w:r w:rsidRPr="0019747A" w:rsidR="0019747A">
        <w:t>’</w:t>
      </w:r>
      <w:r w:rsidRPr="0019747A">
        <w:t xml:space="preserve">appel de </w:t>
      </w:r>
      <w:proofErr w:type="spellStart"/>
      <w:r w:rsidRPr="0019747A">
        <w:t>Chișinău</w:t>
      </w:r>
      <w:proofErr w:type="spellEnd"/>
      <w:r w:rsidRPr="0019747A">
        <w:t xml:space="preserve"> rejeta l</w:t>
      </w:r>
      <w:r w:rsidRPr="0019747A" w:rsidR="0019747A">
        <w:t>’</w:t>
      </w:r>
      <w:r w:rsidRPr="0019747A">
        <w:t>action du requérant comme mal fondée. Elle jugeait que le refus de délivrer un passeport à l</w:t>
      </w:r>
      <w:r w:rsidRPr="0019747A" w:rsidR="0019747A">
        <w:t>’</w:t>
      </w:r>
      <w:r w:rsidRPr="0019747A">
        <w:t>intéressé était légal, car prévu par l</w:t>
      </w:r>
      <w:r w:rsidRPr="0019747A" w:rsidR="0019747A">
        <w:t>’</w:t>
      </w:r>
      <w:r w:rsidRPr="0019747A">
        <w:t>article 8 g) de la loi n</w:t>
      </w:r>
      <w:r w:rsidRPr="0019747A">
        <w:rPr>
          <w:vertAlign w:val="superscript"/>
        </w:rPr>
        <w:t>o</w:t>
      </w:r>
      <w:r w:rsidRPr="0019747A">
        <w:t> 269, et que ce refus était pleinement justifié en raison du non-remboursement de la dette fixée par le jugement du 11 juin 1998.</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13</w:t>
      </w:r>
      <w:r w:rsidRPr="0019747A">
        <w:fldChar w:fldCharType="end"/>
      </w:r>
      <w:r w:rsidRPr="0019747A">
        <w:t>.  Le 19 mars 2011, le requérant forma un recours. Il ajoutait un argument supplémentaire selon lequel, en vertu du droit en vigueur, seulement un huissier de justice aurait pu interdire la délivrance du passeport. Il précisait que, au moment où il avait demandé le renouvellement de son passeport, il n</w:t>
      </w:r>
      <w:r w:rsidRPr="0019747A" w:rsidR="0019747A">
        <w:t>’</w:t>
      </w:r>
      <w:r w:rsidRPr="0019747A">
        <w:t>y avait aucune interdiction mise en place par un huissier de justice et que la décision du 18 septembre 2010 (paragraphe </w:t>
      </w:r>
      <w:r w:rsidRPr="0019747A">
        <w:fldChar w:fldCharType="begin"/>
      </w:r>
      <w:r w:rsidRPr="0019747A">
        <w:instrText xml:space="preserve"> REF interdiction_huissier \h </w:instrText>
      </w:r>
      <w:r w:rsidRPr="0019747A">
        <w:fldChar w:fldCharType="separate"/>
      </w:r>
      <w:r w:rsidRPr="0019747A" w:rsidR="0019747A">
        <w:rPr>
          <w:noProof/>
        </w:rPr>
        <w:t>11</w:t>
      </w:r>
      <w:r w:rsidRPr="0019747A">
        <w:fldChar w:fldCharType="end"/>
      </w:r>
      <w:r w:rsidRPr="0019747A">
        <w:t xml:space="preserve"> ci-dessus) était bien ultérieure à sa demande de renouvèlement de passeport. Il affirmait enfin que, en raison de la mesure contestée, il ne pouvait plus retourner sur son lieu de résidence en Roumanie et rejoindre sa famille, et qu</w:t>
      </w:r>
      <w:r w:rsidRPr="0019747A" w:rsidR="0019747A">
        <w:t>’</w:t>
      </w:r>
      <w:r w:rsidRPr="0019747A">
        <w:t>il avait également perdu son travail là-bas.</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14</w:t>
      </w:r>
      <w:r w:rsidRPr="0019747A">
        <w:fldChar w:fldCharType="end"/>
      </w:r>
      <w:r w:rsidRPr="0019747A">
        <w:t>.  Par une décision du 23 novembre 2011, la Cour suprême de justice rejeta le recours et confirma l</w:t>
      </w:r>
      <w:r w:rsidRPr="0019747A" w:rsidR="0019747A">
        <w:t>’</w:t>
      </w:r>
      <w:r w:rsidRPr="0019747A">
        <w:t>arrêt de l</w:t>
      </w:r>
      <w:r w:rsidRPr="0019747A" w:rsidR="0019747A">
        <w:t>’</w:t>
      </w:r>
      <w:r w:rsidRPr="0019747A">
        <w:t>instance inférieure.</w:t>
      </w:r>
    </w:p>
    <w:p w:rsidRPr="0019747A" w:rsidR="005E56B3" w:rsidP="0019747A" w:rsidRDefault="005E56B3">
      <w:pPr>
        <w:pStyle w:val="JuHHead"/>
        <w:numPr>
          <w:ilvl w:val="0"/>
          <w:numId w:val="1"/>
        </w:numPr>
      </w:pPr>
      <w:bookmarkStart w:name="_Hlk36127227" w:id="9"/>
      <w:r w:rsidRPr="0019747A">
        <w:rPr>
          <w:caps w:val="0"/>
        </w:rPr>
        <w:t>LE CADRE JURIDIQUE ET LA PRATIQUE INTERNES PERTINENTS</w:t>
      </w:r>
    </w:p>
    <w:bookmarkStart w:name="code_exécution" w:id="10"/>
    <w:bookmarkEnd w:id="9"/>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15</w:t>
      </w:r>
      <w:r w:rsidRPr="0019747A">
        <w:fldChar w:fldCharType="end"/>
      </w:r>
      <w:bookmarkEnd w:id="10"/>
      <w:r w:rsidRPr="0019747A">
        <w:t>.  Les dispositions pertinentes en l</w:t>
      </w:r>
      <w:r w:rsidRPr="0019747A" w:rsidR="0019747A">
        <w:t>’</w:t>
      </w:r>
      <w:r w:rsidRPr="0019747A">
        <w:t>espèce du code de l</w:t>
      </w:r>
      <w:r w:rsidRPr="0019747A" w:rsidR="0019747A">
        <w:t>’</w:t>
      </w:r>
      <w:r w:rsidRPr="0019747A">
        <w:t>exécution du 24 décembre 2004, telles qu</w:t>
      </w:r>
      <w:r w:rsidRPr="0019747A" w:rsidR="0019747A">
        <w:t>’</w:t>
      </w:r>
      <w:r w:rsidRPr="0019747A">
        <w:t>en vigueur au moment des faits, étaient ainsi libellées :</w:t>
      </w:r>
    </w:p>
    <w:p w:rsidRPr="0019747A" w:rsidR="005E56B3" w:rsidP="0019747A" w:rsidRDefault="005E56B3">
      <w:pPr>
        <w:pStyle w:val="JuHArticle"/>
      </w:pPr>
      <w:r w:rsidRPr="0019747A">
        <w:t>« Article 18. Les délais de présentation des documents exécutoires en vue de leur exécution</w:t>
      </w:r>
    </w:p>
    <w:p w:rsidRPr="0019747A" w:rsidR="005E56B3" w:rsidP="0019747A" w:rsidRDefault="005E56B3">
      <w:pPr>
        <w:pStyle w:val="JuQuot"/>
      </w:pPr>
      <w:r w:rsidRPr="0019747A">
        <w:t>1.  Aux fins d</w:t>
      </w:r>
      <w:r w:rsidRPr="0019747A" w:rsidR="0019747A">
        <w:t>’</w:t>
      </w:r>
      <w:r w:rsidRPr="0019747A">
        <w:t>obtenir son exécution, la décision du tribunal peut être remise [à un huissier de justice] dans un délai de trois ans à partir de son passage en force de chose jugée (...).</w:t>
      </w:r>
    </w:p>
    <w:p w:rsidRPr="0019747A" w:rsidR="005E56B3" w:rsidP="0019747A" w:rsidRDefault="005E56B3">
      <w:pPr>
        <w:pStyle w:val="JuQuot"/>
      </w:pPr>
      <w:r w:rsidRPr="0019747A">
        <w:t>(...)</w:t>
      </w:r>
    </w:p>
    <w:p w:rsidRPr="0019747A" w:rsidR="005E56B3" w:rsidP="0019747A" w:rsidRDefault="005E56B3">
      <w:pPr>
        <w:pStyle w:val="JuHArticle"/>
      </w:pPr>
      <w:r w:rsidRPr="0019747A">
        <w:t>Article 20.  La levée de forclusion</w:t>
      </w:r>
    </w:p>
    <w:p w:rsidRPr="0019747A" w:rsidR="005E56B3" w:rsidP="0019747A" w:rsidRDefault="005E56B3">
      <w:pPr>
        <w:pStyle w:val="JuQuot"/>
      </w:pPr>
      <w:r w:rsidRPr="0019747A">
        <w:t>1.  Le créancier qui a omis le délai de présentation du document exécutoire en vue de son exécution peut être relevé de sa forclusion par le tribunal.</w:t>
      </w:r>
    </w:p>
    <w:p w:rsidRPr="0019747A" w:rsidR="005E56B3" w:rsidP="0019747A" w:rsidRDefault="005E56B3">
      <w:pPr>
        <w:pStyle w:val="JuQuot"/>
        <w:rPr>
          <w:lang w:val="ro-RO"/>
        </w:rPr>
      </w:pPr>
      <w:r w:rsidRPr="0019747A">
        <w:rPr>
          <w:lang w:val="ro-RO"/>
        </w:rPr>
        <w:t>(...)</w:t>
      </w:r>
    </w:p>
    <w:p w:rsidRPr="0019747A" w:rsidR="005E56B3" w:rsidP="0019747A" w:rsidRDefault="005E56B3">
      <w:pPr>
        <w:pStyle w:val="JuHArticle"/>
      </w:pPr>
      <w:r w:rsidRPr="0019747A">
        <w:t>Article 54.  La mise en mouvement de la procédure d</w:t>
      </w:r>
      <w:r w:rsidRPr="0019747A" w:rsidR="0019747A">
        <w:t>’</w:t>
      </w:r>
      <w:r w:rsidRPr="0019747A">
        <w:t>exécution</w:t>
      </w:r>
    </w:p>
    <w:p w:rsidRPr="0019747A" w:rsidR="005E56B3" w:rsidP="0019747A" w:rsidRDefault="005E56B3">
      <w:pPr>
        <w:pStyle w:val="JuQuot"/>
      </w:pPr>
      <w:r w:rsidRPr="0019747A">
        <w:t>1.  La procédure d</w:t>
      </w:r>
      <w:r w:rsidRPr="0019747A" w:rsidR="0019747A">
        <w:t>’</w:t>
      </w:r>
      <w:r w:rsidRPr="0019747A">
        <w:t>exécution est déclenchée à la demande du créancier ou du tribunal (...).</w:t>
      </w:r>
    </w:p>
    <w:p w:rsidRPr="0019747A" w:rsidR="005E56B3" w:rsidP="0019747A" w:rsidRDefault="005E56B3">
      <w:pPr>
        <w:pStyle w:val="JuQuot"/>
      </w:pPr>
      <w:r w:rsidRPr="0019747A">
        <w:t>(...)</w:t>
      </w:r>
    </w:p>
    <w:p w:rsidRPr="0019747A" w:rsidR="005E56B3" w:rsidP="0019747A" w:rsidRDefault="005E56B3">
      <w:pPr>
        <w:pStyle w:val="JuHArticle"/>
      </w:pPr>
      <w:r w:rsidRPr="0019747A">
        <w:t>Article 57.  Les mesures garantissant l</w:t>
      </w:r>
      <w:r w:rsidRPr="0019747A" w:rsidR="0019747A">
        <w:t>’</w:t>
      </w:r>
      <w:r w:rsidRPr="0019747A">
        <w:t>exécution du document exécutoire</w:t>
      </w:r>
    </w:p>
    <w:p w:rsidRPr="0019747A" w:rsidR="005E56B3" w:rsidP="0019747A" w:rsidRDefault="005E56B3">
      <w:pPr>
        <w:pStyle w:val="JuQuot"/>
      </w:pPr>
      <w:r w:rsidRPr="0019747A">
        <w:t>1.  Afin d</w:t>
      </w:r>
      <w:r w:rsidRPr="0019747A" w:rsidR="0019747A">
        <w:t>’</w:t>
      </w:r>
      <w:r w:rsidRPr="0019747A">
        <w:t>assurer l</w:t>
      </w:r>
      <w:r w:rsidRPr="0019747A" w:rsidR="0019747A">
        <w:t>’</w:t>
      </w:r>
      <w:r w:rsidRPr="0019747A">
        <w:t>exécution du document exécutoire, (...), l</w:t>
      </w:r>
      <w:r w:rsidRPr="0019747A" w:rsidR="0019747A">
        <w:t>’</w:t>
      </w:r>
      <w:r w:rsidRPr="0019747A">
        <w:t>huissier de justice peut :</w:t>
      </w:r>
    </w:p>
    <w:p w:rsidRPr="0019747A" w:rsidR="005E56B3" w:rsidP="0019747A" w:rsidRDefault="005E56B3">
      <w:pPr>
        <w:pStyle w:val="JuQuot"/>
      </w:pPr>
      <w:r w:rsidRPr="0019747A">
        <w:t>(...)</w:t>
      </w:r>
    </w:p>
    <w:p w:rsidRPr="0019747A" w:rsidR="005E56B3" w:rsidP="0019747A" w:rsidRDefault="005E56B3">
      <w:pPr>
        <w:pStyle w:val="JuQuot"/>
      </w:pPr>
      <w:r w:rsidRPr="0019747A">
        <w:t>c) interdire aux tiers (...) d</w:t>
      </w:r>
      <w:r w:rsidRPr="0019747A" w:rsidR="0019747A">
        <w:t>’</w:t>
      </w:r>
      <w:r w:rsidRPr="0019747A">
        <w:t>accomplir à l</w:t>
      </w:r>
      <w:r w:rsidRPr="0019747A" w:rsidR="0019747A">
        <w:t>’</w:t>
      </w:r>
      <w:r w:rsidRPr="0019747A">
        <w:t>égard du débiteur [certaines] obligations. »</w:t>
      </w:r>
    </w:p>
    <w:bookmarkStart w:name="loi_269" w:id="11"/>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16</w:t>
      </w:r>
      <w:r w:rsidRPr="0019747A">
        <w:fldChar w:fldCharType="end"/>
      </w:r>
      <w:bookmarkEnd w:id="11"/>
      <w:r w:rsidRPr="0019747A">
        <w:t>.  L</w:t>
      </w:r>
      <w:r w:rsidRPr="0019747A" w:rsidR="0019747A">
        <w:t>’</w:t>
      </w:r>
      <w:r w:rsidRPr="0019747A">
        <w:t>article 8 de la loi n</w:t>
      </w:r>
      <w:r w:rsidRPr="0019747A">
        <w:rPr>
          <w:vertAlign w:val="superscript"/>
        </w:rPr>
        <w:t>o</w:t>
      </w:r>
      <w:r w:rsidRPr="0019747A">
        <w:t xml:space="preserve"> 269 du 9 novembre 1994 concernant l</w:t>
      </w:r>
      <w:r w:rsidRPr="0019747A" w:rsidR="0019747A">
        <w:t>’</w:t>
      </w:r>
      <w:r w:rsidRPr="0019747A">
        <w:t>entrée et la sortie de la République de Moldova (« la loi n</w:t>
      </w:r>
      <w:r w:rsidRPr="0019747A">
        <w:rPr>
          <w:vertAlign w:val="superscript"/>
        </w:rPr>
        <w:t>o</w:t>
      </w:r>
      <w:r w:rsidRPr="0019747A">
        <w:t xml:space="preserve"> 269 »), dans ses passages pertinents en l</w:t>
      </w:r>
      <w:r w:rsidRPr="0019747A" w:rsidR="0019747A">
        <w:t>’</w:t>
      </w:r>
      <w:r w:rsidRPr="0019747A">
        <w:t>espèce et tel qu</w:t>
      </w:r>
      <w:r w:rsidRPr="0019747A" w:rsidR="0019747A">
        <w:t>’</w:t>
      </w:r>
      <w:r w:rsidRPr="0019747A">
        <w:t>il était en vigueur à l</w:t>
      </w:r>
      <w:r w:rsidRPr="0019747A" w:rsidR="0019747A">
        <w:t>’</w:t>
      </w:r>
      <w:r w:rsidRPr="0019747A">
        <w:t>époque des faits, se lisait comme suit :</w:t>
      </w:r>
    </w:p>
    <w:p w:rsidRPr="0019747A" w:rsidR="005E56B3" w:rsidP="0019747A" w:rsidRDefault="005E56B3">
      <w:pPr>
        <w:pStyle w:val="JuQuot"/>
      </w:pPr>
      <w:r w:rsidRPr="0019747A">
        <w:t>« La délivrance du passeport et du document de voyage ou la prolongation de leur délai de validité sont refusées si le demandeur :</w:t>
      </w:r>
    </w:p>
    <w:p w:rsidRPr="0019747A" w:rsidR="005E56B3" w:rsidP="0019747A" w:rsidRDefault="005E56B3">
      <w:pPr>
        <w:pStyle w:val="JuQuot"/>
      </w:pPr>
      <w:r w:rsidRPr="0019747A">
        <w:t>(...)</w:t>
      </w:r>
    </w:p>
    <w:p w:rsidRPr="0019747A" w:rsidR="005E56B3" w:rsidP="0019747A" w:rsidRDefault="005E56B3">
      <w:pPr>
        <w:pStyle w:val="JuQuot"/>
      </w:pPr>
      <w:r w:rsidRPr="0019747A">
        <w:t>g) a des obligations patrimoniales envers l</w:t>
      </w:r>
      <w:r w:rsidRPr="0019747A" w:rsidR="0019747A">
        <w:t>’</w:t>
      </w:r>
      <w:r w:rsidRPr="0019747A">
        <w:t>État, des personnes physiques et morales, établies par une décision de justice. »</w:t>
      </w:r>
    </w:p>
    <w:bookmarkStart w:name="décision_Cour_Constit" w:id="12"/>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17</w:t>
      </w:r>
      <w:r w:rsidRPr="0019747A">
        <w:fldChar w:fldCharType="end"/>
      </w:r>
      <w:bookmarkEnd w:id="12"/>
      <w:r w:rsidRPr="0019747A">
        <w:t>.  La décision de la Cour constitutionnelle n</w:t>
      </w:r>
      <w:r w:rsidRPr="0019747A">
        <w:rPr>
          <w:vertAlign w:val="superscript"/>
        </w:rPr>
        <w:t>o</w:t>
      </w:r>
      <w:r w:rsidRPr="0019747A">
        <w:t xml:space="preserve"> 7 du 15 avril 2011 déclarant constitutionnel l</w:t>
      </w:r>
      <w:r w:rsidRPr="0019747A" w:rsidR="0019747A">
        <w:t>’</w:t>
      </w:r>
      <w:r w:rsidRPr="0019747A">
        <w:t>article 8 g) de la loi n</w:t>
      </w:r>
      <w:r w:rsidRPr="0019747A">
        <w:rPr>
          <w:vertAlign w:val="superscript"/>
        </w:rPr>
        <w:t>o</w:t>
      </w:r>
      <w:r w:rsidRPr="0019747A">
        <w:t xml:space="preserve"> 269, dans ses passages pertinents en l</w:t>
      </w:r>
      <w:r w:rsidRPr="0019747A" w:rsidR="0019747A">
        <w:t>’</w:t>
      </w:r>
      <w:r w:rsidRPr="0019747A">
        <w:t>espèce, est ainsi libellée :</w:t>
      </w:r>
    </w:p>
    <w:p w:rsidRPr="0019747A" w:rsidR="005E56B3" w:rsidP="0019747A" w:rsidRDefault="005E56B3">
      <w:pPr>
        <w:pStyle w:val="JuQuot"/>
      </w:pPr>
      <w:r w:rsidRPr="0019747A">
        <w:t>« (...)</w:t>
      </w:r>
    </w:p>
    <w:p w:rsidRPr="0019747A" w:rsidR="005E56B3" w:rsidP="0019747A" w:rsidRDefault="005E56B3">
      <w:pPr>
        <w:pStyle w:val="JuQuot"/>
      </w:pPr>
      <w:r w:rsidRPr="0019747A">
        <w:t>La Cour relève que toute limitation du droit à la libre circulation, manifestée soit par le refus de délivrer un document de voyage nécessaire pour l</w:t>
      </w:r>
      <w:r w:rsidRPr="0019747A" w:rsidR="0019747A">
        <w:t>’</w:t>
      </w:r>
      <w:r w:rsidRPr="0019747A">
        <w:t>exercice de ce droit, soit par l</w:t>
      </w:r>
      <w:r w:rsidRPr="0019747A" w:rsidR="0019747A">
        <w:t>’</w:t>
      </w:r>
      <w:r w:rsidRPr="0019747A">
        <w:t>interdiction de quitter le territoire, doit être conforme à certaines exigences d</w:t>
      </w:r>
      <w:r w:rsidRPr="0019747A" w:rsidR="0019747A">
        <w:t>’</w:t>
      </w:r>
      <w:r w:rsidRPr="0019747A">
        <w:t>ordre matériel et procédural, susceptibles de garantir sa proportionnalité avec le but poursuivi.</w:t>
      </w:r>
    </w:p>
    <w:p w:rsidRPr="0019747A" w:rsidR="005E56B3" w:rsidP="0019747A" w:rsidRDefault="005E56B3">
      <w:pPr>
        <w:pStyle w:val="JuQuot"/>
      </w:pPr>
      <w:r w:rsidRPr="0019747A">
        <w:t>(...)</w:t>
      </w:r>
    </w:p>
    <w:p w:rsidRPr="0019747A" w:rsidR="005E56B3" w:rsidP="0019747A" w:rsidRDefault="005E56B3">
      <w:pPr>
        <w:pStyle w:val="JuQuot"/>
      </w:pPr>
      <w:r w:rsidRPr="0019747A">
        <w:t>La possession du passeport et du document de voyage est une condition pour que la personne puisse sortir du pays. Le refus de les délivrer doit être motivé et subordonné au principe de la proportionnalité.</w:t>
      </w:r>
    </w:p>
    <w:p w:rsidRPr="0019747A" w:rsidR="005E56B3" w:rsidP="0019747A" w:rsidRDefault="005E56B3">
      <w:pPr>
        <w:pStyle w:val="JuQuot"/>
      </w:pPr>
      <w:r w:rsidRPr="0019747A">
        <w:t xml:space="preserve"> (...), la mesure restrictive doit être expressément prévue par la loi (...) et doit être appliquée seulement après l</w:t>
      </w:r>
      <w:r w:rsidRPr="0019747A" w:rsidR="0019747A">
        <w:t>’</w:t>
      </w:r>
      <w:r w:rsidRPr="0019747A">
        <w:t>expiration du délai d</w:t>
      </w:r>
      <w:r w:rsidRPr="0019747A" w:rsidR="0019747A">
        <w:t>’</w:t>
      </w:r>
      <w:r w:rsidRPr="0019747A">
        <w:t>exécution bénévole du titre exécutoire et après l</w:t>
      </w:r>
      <w:r w:rsidRPr="0019747A" w:rsidR="0019747A">
        <w:t>’</w:t>
      </w:r>
      <w:r w:rsidRPr="0019747A">
        <w:t>adoption de mesures raisonnables pour percevoir la créance par d</w:t>
      </w:r>
      <w:r w:rsidRPr="0019747A" w:rsidR="0019747A">
        <w:t>’</w:t>
      </w:r>
      <w:r w:rsidRPr="0019747A">
        <w:t>autres moyens, de sorte que la restriction soit le dernier recours afin d</w:t>
      </w:r>
      <w:r w:rsidRPr="0019747A" w:rsidR="0019747A">
        <w:t>’</w:t>
      </w:r>
      <w:r w:rsidRPr="0019747A">
        <w:t>influencer la conduite (...) des débiteurs (...). »</w:t>
      </w:r>
    </w:p>
    <w:p w:rsidRPr="0019747A" w:rsidR="005E56B3" w:rsidP="0019747A" w:rsidRDefault="005E56B3">
      <w:pPr>
        <w:pStyle w:val="JuHHead"/>
        <w:numPr>
          <w:ilvl w:val="0"/>
          <w:numId w:val="1"/>
        </w:numPr>
      </w:pPr>
      <w:bookmarkStart w:name="_Hlk36127250" w:id="13"/>
      <w:r w:rsidRPr="0019747A">
        <w:rPr>
          <w:caps w:val="0"/>
        </w:rPr>
        <w:t>EN DROIT</w:t>
      </w:r>
    </w:p>
    <w:p w:rsidRPr="0019747A" w:rsidR="005E56B3" w:rsidP="0019747A" w:rsidRDefault="005E56B3">
      <w:pPr>
        <w:pStyle w:val="JuHIRoman"/>
        <w:numPr>
          <w:ilvl w:val="1"/>
          <w:numId w:val="1"/>
        </w:numPr>
      </w:pPr>
      <w:bookmarkStart w:name="_Hlk36127423" w:id="14"/>
      <w:bookmarkStart w:name="_Hlk34839031" w:id="15"/>
      <w:bookmarkEnd w:id="13"/>
      <w:r w:rsidRPr="0019747A">
        <w:t>SUR LA VIOLATION ALLÉGUÉE DE L</w:t>
      </w:r>
      <w:r w:rsidRPr="0019747A" w:rsidR="0019747A">
        <w:t>’</w:t>
      </w:r>
      <w:r w:rsidRPr="0019747A">
        <w:t>ARTICLE 2 du Protocole n</w:t>
      </w:r>
      <w:r w:rsidRPr="0019747A">
        <w:rPr>
          <w:vertAlign w:val="superscript"/>
        </w:rPr>
        <w:t>o</w:t>
      </w:r>
      <w:r w:rsidRPr="0019747A">
        <w:t xml:space="preserve"> 4 DE LA CONVENTION</w:t>
      </w:r>
      <w:bookmarkEnd w:id="14"/>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18</w:t>
      </w:r>
      <w:r w:rsidRPr="0019747A">
        <w:fldChar w:fldCharType="end"/>
      </w:r>
      <w:r w:rsidRPr="0019747A">
        <w:t>.  Invoquant l</w:t>
      </w:r>
      <w:r w:rsidRPr="0019747A" w:rsidR="0019747A">
        <w:t>’</w:t>
      </w:r>
      <w:r w:rsidRPr="0019747A">
        <w:t>article 2 du Protocole n</w:t>
      </w:r>
      <w:r w:rsidRPr="0019747A">
        <w:rPr>
          <w:vertAlign w:val="superscript"/>
        </w:rPr>
        <w:t>o</w:t>
      </w:r>
      <w:r w:rsidRPr="0019747A">
        <w:t xml:space="preserve"> 4 à la Convention, le requérant se plaint d</w:t>
      </w:r>
      <w:r w:rsidRPr="0019747A" w:rsidR="0019747A">
        <w:t>’</w:t>
      </w:r>
      <w:r w:rsidRPr="0019747A">
        <w:t>une atteinte illégale et disproportionné à sa liberté de circulation. Cette disposition, dans ses passages pertinents en l</w:t>
      </w:r>
      <w:r w:rsidRPr="0019747A" w:rsidR="0019747A">
        <w:t>’</w:t>
      </w:r>
      <w:r w:rsidRPr="0019747A">
        <w:t>espèce, est</w:t>
      </w:r>
      <w:bookmarkStart w:name="_Hlk36127508" w:id="16"/>
      <w:r w:rsidRPr="0019747A">
        <w:t xml:space="preserve"> ainsi libellée :</w:t>
      </w:r>
    </w:p>
    <w:p w:rsidRPr="0019747A" w:rsidR="005E56B3" w:rsidP="0019747A" w:rsidRDefault="005E56B3">
      <w:pPr>
        <w:pStyle w:val="JuQuot"/>
      </w:pPr>
      <w:bookmarkStart w:name="_Hlk36127545" w:id="17"/>
      <w:bookmarkEnd w:id="16"/>
      <w:r w:rsidRPr="0019747A">
        <w:t>« (...)</w:t>
      </w:r>
    </w:p>
    <w:p w:rsidRPr="0019747A" w:rsidR="005E56B3" w:rsidP="0019747A" w:rsidRDefault="005E56B3">
      <w:pPr>
        <w:pStyle w:val="JuQuot"/>
      </w:pPr>
      <w:r w:rsidRPr="0019747A">
        <w:t>2.  Toute personne est libre de quitter n</w:t>
      </w:r>
      <w:r w:rsidRPr="0019747A" w:rsidR="0019747A">
        <w:t>’</w:t>
      </w:r>
      <w:r w:rsidRPr="0019747A">
        <w:t>importe quel pays, y compris le sien.</w:t>
      </w:r>
    </w:p>
    <w:p w:rsidRPr="0019747A" w:rsidR="005E56B3" w:rsidP="0019747A" w:rsidRDefault="005E56B3">
      <w:pPr>
        <w:pStyle w:val="JuQuot"/>
      </w:pPr>
      <w:r w:rsidRPr="0019747A">
        <w:t>3.  L</w:t>
      </w:r>
      <w:r w:rsidRPr="0019747A" w:rsidR="0019747A">
        <w:t>’</w:t>
      </w:r>
      <w:r w:rsidRPr="0019747A">
        <w:t>exercice de ces droits ne peut faire l</w:t>
      </w:r>
      <w:r w:rsidRPr="0019747A" w:rsidR="0019747A">
        <w:t>’</w:t>
      </w:r>
      <w:r w:rsidRPr="0019747A">
        <w:t>objet d</w:t>
      </w:r>
      <w:r w:rsidRPr="0019747A" w:rsidR="0019747A">
        <w:t>’</w:t>
      </w:r>
      <w:r w:rsidRPr="0019747A">
        <w:t>autres restrictions que celles qui, prévues par la loi, constituent des mesures nécessaires, dans une société démocratique, à la sécurité nationale, à la sûreté publique, au maintien de l</w:t>
      </w:r>
      <w:r w:rsidRPr="0019747A" w:rsidR="0019747A">
        <w:t>’</w:t>
      </w:r>
      <w:r w:rsidRPr="0019747A">
        <w:t>ordre public, à la prévention des infractions pénales, à la protection de la santé ou de la morale, ou à la protection des droits et libertés d</w:t>
      </w:r>
      <w:r w:rsidRPr="0019747A" w:rsidR="0019747A">
        <w:t>’</w:t>
      </w:r>
      <w:r w:rsidRPr="0019747A">
        <w:t>autrui.</w:t>
      </w:r>
    </w:p>
    <w:p w:rsidRPr="0019747A" w:rsidR="005E56B3" w:rsidP="0019747A" w:rsidRDefault="005E56B3">
      <w:pPr>
        <w:pStyle w:val="JuQuot"/>
      </w:pPr>
      <w:r w:rsidRPr="0019747A">
        <w:t>(...) »</w:t>
      </w:r>
    </w:p>
    <w:p w:rsidRPr="0019747A" w:rsidR="005E56B3" w:rsidP="0019747A" w:rsidRDefault="005E56B3">
      <w:pPr>
        <w:pStyle w:val="JuHA"/>
        <w:numPr>
          <w:ilvl w:val="2"/>
          <w:numId w:val="1"/>
        </w:numPr>
      </w:pPr>
      <w:r w:rsidRPr="0019747A">
        <w:t>Sur la recevabilité</w:t>
      </w:r>
      <w:bookmarkEnd w:id="17"/>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19</w:t>
      </w:r>
      <w:r w:rsidRPr="0019747A">
        <w:fldChar w:fldCharType="end"/>
      </w:r>
      <w:r w:rsidRPr="0019747A">
        <w:t>.  </w:t>
      </w:r>
      <w:bookmarkStart w:name="_Hlk36127606" w:id="18"/>
      <w:r w:rsidRPr="0019747A">
        <w:t>Constatant que ce grief n</w:t>
      </w:r>
      <w:r w:rsidRPr="0019747A" w:rsidR="0019747A">
        <w:t>’</w:t>
      </w:r>
      <w:r w:rsidRPr="0019747A">
        <w:t>est pas manifestement mal fondé ni irrecevable pour un autre motif visé à l</w:t>
      </w:r>
      <w:r w:rsidRPr="0019747A" w:rsidR="0019747A">
        <w:t>’</w:t>
      </w:r>
      <w:r w:rsidRPr="0019747A">
        <w:t>article 35 de la Convention, la Cour le déclare recevable.</w:t>
      </w:r>
      <w:bookmarkEnd w:id="18"/>
    </w:p>
    <w:p w:rsidRPr="0019747A" w:rsidR="005E56B3" w:rsidP="0019747A" w:rsidRDefault="005E56B3">
      <w:pPr>
        <w:pStyle w:val="JuHA"/>
        <w:numPr>
          <w:ilvl w:val="2"/>
          <w:numId w:val="1"/>
        </w:numPr>
      </w:pPr>
      <w:bookmarkStart w:name="_Hlk36127650" w:id="19"/>
      <w:r w:rsidRPr="0019747A">
        <w:t>Sur le fond</w:t>
      </w:r>
      <w:bookmarkEnd w:id="19"/>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20</w:t>
      </w:r>
      <w:r w:rsidRPr="0019747A">
        <w:fldChar w:fldCharType="end"/>
      </w:r>
      <w:r w:rsidRPr="0019747A">
        <w:t>.  Le requérant met en exergue le fait que le refus des autorités de lui délivrer un passeport, pour dette, est survenu en dehors de toute procédure d</w:t>
      </w:r>
      <w:r w:rsidRPr="0019747A" w:rsidR="0019747A">
        <w:t>’</w:t>
      </w:r>
      <w:r w:rsidRPr="0019747A">
        <w:t>exécution et plus de dix ans après le jugement l</w:t>
      </w:r>
      <w:r w:rsidRPr="0019747A" w:rsidR="0019747A">
        <w:t>’</w:t>
      </w:r>
      <w:r w:rsidRPr="0019747A">
        <w:t>ayant condamné à rembourser cette dette. Il allègue qu</w:t>
      </w:r>
      <w:r w:rsidRPr="0019747A" w:rsidR="0019747A">
        <w:t>’</w:t>
      </w:r>
      <w:r w:rsidRPr="0019747A">
        <w:t>il y a eu ingérence dans son droit à la liberté de circulation qui n</w:t>
      </w:r>
      <w:r w:rsidRPr="0019747A" w:rsidR="0019747A">
        <w:t>’</w:t>
      </w:r>
      <w:r w:rsidRPr="0019747A">
        <w:t>était ni légale ni proportionnée. Il soutient également que, en raison de la mesure litigieuse, il ne pouvait plus regagner sa résidence en Roumanie, qu</w:t>
      </w:r>
      <w:r w:rsidRPr="0019747A" w:rsidR="0019747A">
        <w:t>’</w:t>
      </w:r>
      <w:r w:rsidRPr="0019747A">
        <w:t>il a perdu son travail dans ce pays et qu</w:t>
      </w:r>
      <w:r w:rsidRPr="0019747A" w:rsidR="0019747A">
        <w:t>’</w:t>
      </w:r>
      <w:r w:rsidRPr="0019747A">
        <w:t>il n</w:t>
      </w:r>
      <w:r w:rsidRPr="0019747A" w:rsidR="0019747A">
        <w:t>’</w:t>
      </w:r>
      <w:r w:rsidRPr="0019747A">
        <w:t>a pas la possibilité de rembourser la dette en restant en Moldova.</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21</w:t>
      </w:r>
      <w:r w:rsidRPr="0019747A">
        <w:fldChar w:fldCharType="end"/>
      </w:r>
      <w:r w:rsidRPr="0019747A">
        <w:t>.  Le Gouvernement signale que le requérant n</w:t>
      </w:r>
      <w:r w:rsidRPr="0019747A" w:rsidR="0019747A">
        <w:t>’</w:t>
      </w:r>
      <w:r w:rsidRPr="0019747A">
        <w:t>a pas été interdit de quitter le territoire moldave. À ce sujet, il avance que, compte tenu du fait que le requérant avait résidé en Roumanie, l</w:t>
      </w:r>
      <w:r w:rsidRPr="0019747A" w:rsidR="0019747A">
        <w:t>’</w:t>
      </w:r>
      <w:r w:rsidRPr="0019747A">
        <w:t>on peut supposer que celui-ci détenait un passeport roumain qui lui aurait permis de circuler librement. D</w:t>
      </w:r>
      <w:r w:rsidRPr="0019747A" w:rsidR="0019747A">
        <w:t>’</w:t>
      </w:r>
      <w:r w:rsidRPr="0019747A">
        <w:t>autre part, le Gouvernement avance que le refus des autorités moldaves de délivrer un passeport au requérant était légal et proportionné au but poursuivi qui était celui de recouvrer la dette.</w:t>
      </w:r>
    </w:p>
    <w:bookmarkStart w:name="_Hlk36127691" w:id="20"/>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22</w:t>
      </w:r>
      <w:r w:rsidRPr="0019747A">
        <w:fldChar w:fldCharType="end"/>
      </w:r>
      <w:r w:rsidRPr="0019747A">
        <w:t>.  Dans la mesure où le Gouvernement semble contester qu</w:t>
      </w:r>
      <w:r w:rsidRPr="0019747A" w:rsidR="0019747A">
        <w:t>’</w:t>
      </w:r>
      <w:r w:rsidRPr="0019747A">
        <w:t>il y a eu ingérence en l</w:t>
      </w:r>
      <w:r w:rsidRPr="0019747A" w:rsidR="0019747A">
        <w:t>’</w:t>
      </w:r>
      <w:r w:rsidRPr="0019747A">
        <w:t>espèce au sens de l</w:t>
      </w:r>
      <w:r w:rsidRPr="0019747A" w:rsidR="0019747A">
        <w:t>’</w:t>
      </w:r>
      <w:r w:rsidRPr="0019747A">
        <w:t>article 2 du Protocole n</w:t>
      </w:r>
      <w:r w:rsidRPr="0019747A">
        <w:rPr>
          <w:vertAlign w:val="superscript"/>
        </w:rPr>
        <w:t>o</w:t>
      </w:r>
      <w:r w:rsidRPr="0019747A">
        <w:t xml:space="preserve"> 4 à la Convention, la Cour note qu</w:t>
      </w:r>
      <w:r w:rsidRPr="0019747A" w:rsidR="0019747A">
        <w:t>’</w:t>
      </w:r>
      <w:r w:rsidRPr="0019747A">
        <w:t>il n</w:t>
      </w:r>
      <w:r w:rsidRPr="0019747A" w:rsidR="0019747A">
        <w:t>’</w:t>
      </w:r>
      <w:r w:rsidRPr="0019747A">
        <w:t>a pas été prouvé que le requérant détenait une autre nationalité que celle moldave. Il ne ressort pas non plus des éléments dont elle dispose que, après le refus des autorités de lui renouveler le passeport, l</w:t>
      </w:r>
      <w:r w:rsidRPr="0019747A" w:rsidR="0019747A">
        <w:t>’</w:t>
      </w:r>
      <w:r w:rsidRPr="0019747A">
        <w:t>intéressé a pu effectivement quitter le territoire de la République de Moldova. Par conséquent et compte tenu de sa jurisprudence constante en la matière, elle ne peut que conclure que la mesure contestée s</w:t>
      </w:r>
      <w:r w:rsidRPr="0019747A" w:rsidR="0019747A">
        <w:t>’</w:t>
      </w:r>
      <w:r w:rsidRPr="0019747A">
        <w:t>analyse en une ingérence dans l</w:t>
      </w:r>
      <w:r w:rsidRPr="0019747A" w:rsidR="0019747A">
        <w:t>’</w:t>
      </w:r>
      <w:r w:rsidRPr="0019747A">
        <w:t>exercice par le requérant de son droit de quitter le pays (</w:t>
      </w:r>
      <w:r w:rsidRPr="0019747A">
        <w:rPr>
          <w:i/>
        </w:rPr>
        <w:t>Baumann c. France</w:t>
      </w:r>
      <w:r w:rsidRPr="0019747A">
        <w:t>, n</w:t>
      </w:r>
      <w:r w:rsidRPr="0019747A">
        <w:rPr>
          <w:vertAlign w:val="superscript"/>
        </w:rPr>
        <w:t>o</w:t>
      </w:r>
      <w:r w:rsidRPr="0019747A">
        <w:t xml:space="preserve"> 33592/96, § 62, CEDH 2001</w:t>
      </w:r>
      <w:r w:rsidRPr="0019747A">
        <w:noBreakHyphen/>
        <w:t xml:space="preserve">V (extraits), </w:t>
      </w:r>
      <w:proofErr w:type="spellStart"/>
      <w:r w:rsidRPr="0019747A">
        <w:rPr>
          <w:i/>
        </w:rPr>
        <w:t>Ignatov</w:t>
      </w:r>
      <w:proofErr w:type="spellEnd"/>
      <w:r w:rsidRPr="0019747A">
        <w:rPr>
          <w:i/>
        </w:rPr>
        <w:t xml:space="preserve"> c. Bulgarie</w:t>
      </w:r>
      <w:r w:rsidRPr="0019747A">
        <w:t>, n</w:t>
      </w:r>
      <w:r w:rsidRPr="0019747A">
        <w:rPr>
          <w:vertAlign w:val="superscript"/>
        </w:rPr>
        <w:t>o</w:t>
      </w:r>
      <w:r w:rsidRPr="0019747A">
        <w:t> 50/02</w:t>
      </w:r>
      <w:r w:rsidRPr="0019747A">
        <w:rPr>
          <w:snapToGrid w:val="0"/>
        </w:rPr>
        <w:t xml:space="preserve">, § 33, </w:t>
      </w:r>
      <w:r w:rsidRPr="0019747A">
        <w:t>2 juillet</w:t>
      </w:r>
      <w:r w:rsidRPr="0019747A">
        <w:rPr>
          <w:snapToGrid w:val="0"/>
        </w:rPr>
        <w:t xml:space="preserve"> 2009, et </w:t>
      </w:r>
      <w:proofErr w:type="spellStart"/>
      <w:r w:rsidRPr="0019747A">
        <w:rPr>
          <w:i/>
        </w:rPr>
        <w:t>Kerimli</w:t>
      </w:r>
      <w:proofErr w:type="spellEnd"/>
      <w:r w:rsidRPr="0019747A">
        <w:rPr>
          <w:i/>
        </w:rPr>
        <w:t xml:space="preserve"> c.</w:t>
      </w:r>
      <w:r w:rsidRPr="0019747A" w:rsidR="00C74482">
        <w:rPr>
          <w:i/>
        </w:rPr>
        <w:t> </w:t>
      </w:r>
      <w:r w:rsidRPr="0019747A">
        <w:rPr>
          <w:i/>
        </w:rPr>
        <w:t>Azerbaïdjan</w:t>
      </w:r>
      <w:r w:rsidRPr="0019747A">
        <w:t>, n</w:t>
      </w:r>
      <w:r w:rsidRPr="0019747A">
        <w:rPr>
          <w:vertAlign w:val="superscript"/>
        </w:rPr>
        <w:t>o</w:t>
      </w:r>
      <w:r w:rsidRPr="0019747A">
        <w:t xml:space="preserve"> 3967/09</w:t>
      </w:r>
      <w:r w:rsidRPr="0019747A">
        <w:rPr>
          <w:snapToGrid w:val="0"/>
        </w:rPr>
        <w:t xml:space="preserve">, § 47, 16 </w:t>
      </w:r>
      <w:r w:rsidRPr="0019747A">
        <w:t>juillet</w:t>
      </w:r>
      <w:r w:rsidRPr="0019747A">
        <w:rPr>
          <w:snapToGrid w:val="0"/>
        </w:rPr>
        <w:t xml:space="preserve"> 2015). </w:t>
      </w:r>
      <w:r w:rsidRPr="0019747A">
        <w:t>Pareille ingérence enfreint l</w:t>
      </w:r>
      <w:r w:rsidRPr="0019747A" w:rsidR="0019747A">
        <w:t>’</w:t>
      </w:r>
      <w:r w:rsidRPr="0019747A">
        <w:t>article 2 du Protocole n</w:t>
      </w:r>
      <w:r w:rsidRPr="0019747A">
        <w:rPr>
          <w:vertAlign w:val="superscript"/>
        </w:rPr>
        <w:t>o</w:t>
      </w:r>
      <w:r w:rsidRPr="0019747A">
        <w:t xml:space="preserve"> 4 à la Convention, sauf si elle satisfait aux conditions du paragraphe 3 de cette disposition, c</w:t>
      </w:r>
      <w:r w:rsidRPr="0019747A" w:rsidR="0019747A">
        <w:t>’</w:t>
      </w:r>
      <w:r w:rsidRPr="0019747A">
        <w:t>est-à-dire si elle est « prévue par la loi », poursuit un ou plusieurs buts légitimes et est « nécessaire », « dans une société démocratique », à la réalisation de ce ou ces buts.</w:t>
      </w:r>
    </w:p>
    <w:p w:rsidRPr="0019747A" w:rsidR="005E56B3" w:rsidP="0019747A" w:rsidRDefault="005E56B3">
      <w:pPr>
        <w:pStyle w:val="JuPara"/>
      </w:pPr>
      <w:r w:rsidRPr="0019747A">
        <w:rPr>
          <w:rFonts w:eastAsia="Times New Roman" w:cs="Times New Roman"/>
        </w:rPr>
        <w:fldChar w:fldCharType="begin"/>
      </w:r>
      <w:r w:rsidRPr="0019747A">
        <w:rPr>
          <w:rFonts w:eastAsia="Times New Roman" w:cs="Times New Roman"/>
        </w:rPr>
        <w:instrText xml:space="preserve"> SEQ level0 \*arabic </w:instrText>
      </w:r>
      <w:r w:rsidRPr="0019747A">
        <w:rPr>
          <w:rFonts w:eastAsia="Times New Roman" w:cs="Times New Roman"/>
        </w:rPr>
        <w:fldChar w:fldCharType="separate"/>
      </w:r>
      <w:r w:rsidRPr="0019747A" w:rsidR="0019747A">
        <w:rPr>
          <w:rFonts w:eastAsia="Times New Roman" w:cs="Times New Roman"/>
          <w:noProof/>
        </w:rPr>
        <w:t>23</w:t>
      </w:r>
      <w:r w:rsidRPr="0019747A">
        <w:rPr>
          <w:rFonts w:eastAsia="Times New Roman" w:cs="Times New Roman"/>
        </w:rPr>
        <w:fldChar w:fldCharType="end"/>
      </w:r>
      <w:r w:rsidRPr="0019747A">
        <w:rPr>
          <w:rFonts w:eastAsia="Times New Roman" w:cs="Times New Roman"/>
        </w:rPr>
        <w:t xml:space="preserve">.  La </w:t>
      </w:r>
      <w:r w:rsidRPr="0019747A">
        <w:t>Cour rappelle d</w:t>
      </w:r>
      <w:r w:rsidRPr="0019747A" w:rsidR="0019747A">
        <w:t>’</w:t>
      </w:r>
      <w:r w:rsidRPr="0019747A">
        <w:t xml:space="preserve">emblée que </w:t>
      </w:r>
      <w:bookmarkStart w:name="lt_pId599" w:id="21"/>
      <w:r w:rsidRPr="0019747A">
        <w:t>la prééminence du droit, l</w:t>
      </w:r>
      <w:r w:rsidRPr="0019747A" w:rsidR="0019747A">
        <w:t>’</w:t>
      </w:r>
      <w:r w:rsidRPr="0019747A">
        <w:t>un des principes fondamentaux de toute société démocratique, est une notion inhérente à l</w:t>
      </w:r>
      <w:r w:rsidRPr="0019747A" w:rsidR="0019747A">
        <w:t>’</w:t>
      </w:r>
      <w:r w:rsidRPr="0019747A">
        <w:t>ensemble des articles de la Convention</w:t>
      </w:r>
      <w:bookmarkEnd w:id="21"/>
      <w:r w:rsidRPr="0019747A">
        <w:t xml:space="preserve"> (voir, parmi beaucoup d</w:t>
      </w:r>
      <w:r w:rsidRPr="0019747A" w:rsidR="0019747A">
        <w:t>’</w:t>
      </w:r>
      <w:r w:rsidRPr="0019747A">
        <w:t xml:space="preserve">autres, </w:t>
      </w:r>
      <w:proofErr w:type="spellStart"/>
      <w:r w:rsidRPr="0019747A">
        <w:rPr>
          <w:i/>
          <w:iCs/>
        </w:rPr>
        <w:t>Lekić</w:t>
      </w:r>
      <w:proofErr w:type="spellEnd"/>
      <w:r w:rsidRPr="0019747A">
        <w:rPr>
          <w:i/>
          <w:iCs/>
        </w:rPr>
        <w:t xml:space="preserve"> c. Slovénie</w:t>
      </w:r>
      <w:r w:rsidRPr="0019747A">
        <w:t xml:space="preserve"> [GC], n</w:t>
      </w:r>
      <w:r w:rsidRPr="0019747A">
        <w:rPr>
          <w:vertAlign w:val="superscript"/>
        </w:rPr>
        <w:t>o</w:t>
      </w:r>
      <w:r w:rsidRPr="0019747A">
        <w:t xml:space="preserve"> 36480/07, § 94 </w:t>
      </w:r>
      <w:r w:rsidRPr="0019747A">
        <w:rPr>
          <w:i/>
        </w:rPr>
        <w:t>in fine</w:t>
      </w:r>
      <w:r w:rsidRPr="0019747A">
        <w:t>, 11 décembre 2018).</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24</w:t>
      </w:r>
      <w:r w:rsidRPr="0019747A">
        <w:fldChar w:fldCharType="end"/>
      </w:r>
      <w:r w:rsidRPr="0019747A">
        <w:t>.  Elle renvoie également à sa jurisprudence constante relative à l</w:t>
      </w:r>
      <w:r w:rsidRPr="0019747A" w:rsidR="0019747A">
        <w:t>’</w:t>
      </w:r>
      <w:r w:rsidRPr="0019747A">
        <w:t>interprétation des mots « prévue par la loi » et aux exigences qualitatives d</w:t>
      </w:r>
      <w:r w:rsidRPr="0019747A" w:rsidR="0019747A">
        <w:t>’</w:t>
      </w:r>
      <w:r w:rsidRPr="0019747A">
        <w:t xml:space="preserve">accessibilité et de prévisibilité auxquelles doit répondre la législation interne (voir, </w:t>
      </w:r>
      <w:r w:rsidRPr="0019747A">
        <w:rPr>
          <w:rFonts w:eastAsia="Times New Roman" w:cs="Times New Roman"/>
        </w:rPr>
        <w:t>sur le terrain de l</w:t>
      </w:r>
      <w:r w:rsidRPr="0019747A" w:rsidR="0019747A">
        <w:rPr>
          <w:rFonts w:eastAsia="Times New Roman" w:cs="Times New Roman"/>
        </w:rPr>
        <w:t>’</w:t>
      </w:r>
      <w:r w:rsidRPr="0019747A">
        <w:rPr>
          <w:rFonts w:eastAsia="Times New Roman" w:cs="Times New Roman"/>
        </w:rPr>
        <w:t>article 2 du Protocole n</w:t>
      </w:r>
      <w:r w:rsidRPr="0019747A">
        <w:rPr>
          <w:rFonts w:eastAsia="Times New Roman" w:cs="Times New Roman"/>
          <w:vertAlign w:val="superscript"/>
        </w:rPr>
        <w:t>o</w:t>
      </w:r>
      <w:r w:rsidRPr="0019747A">
        <w:rPr>
          <w:rFonts w:eastAsia="Times New Roman" w:cs="Times New Roman"/>
        </w:rPr>
        <w:t xml:space="preserve"> 4, </w:t>
      </w:r>
      <w:proofErr w:type="spellStart"/>
      <w:r w:rsidRPr="0019747A">
        <w:rPr>
          <w:i/>
        </w:rPr>
        <w:t>Olivieira</w:t>
      </w:r>
      <w:proofErr w:type="spellEnd"/>
      <w:r w:rsidRPr="0019747A">
        <w:rPr>
          <w:i/>
        </w:rPr>
        <w:t xml:space="preserve"> c.</w:t>
      </w:r>
      <w:r w:rsidRPr="0019747A" w:rsidR="00C74482">
        <w:rPr>
          <w:i/>
        </w:rPr>
        <w:t> </w:t>
      </w:r>
      <w:r w:rsidRPr="0019747A">
        <w:rPr>
          <w:i/>
        </w:rPr>
        <w:t>Pays</w:t>
      </w:r>
      <w:r w:rsidRPr="0019747A" w:rsidR="00C74482">
        <w:rPr>
          <w:i/>
        </w:rPr>
        <w:noBreakHyphen/>
      </w:r>
      <w:r w:rsidRPr="0019747A">
        <w:rPr>
          <w:i/>
        </w:rPr>
        <w:t>Bas</w:t>
      </w:r>
      <w:r w:rsidRPr="0019747A">
        <w:t>, n</w:t>
      </w:r>
      <w:r w:rsidRPr="0019747A">
        <w:rPr>
          <w:vertAlign w:val="superscript"/>
        </w:rPr>
        <w:t>o</w:t>
      </w:r>
      <w:r w:rsidRPr="0019747A">
        <w:t xml:space="preserve"> 33129/96, §§ 47 et 52, CEDH 2002</w:t>
      </w:r>
      <w:r w:rsidRPr="0019747A">
        <w:noBreakHyphen/>
        <w:t xml:space="preserve">IV, et </w:t>
      </w:r>
      <w:r w:rsidRPr="0019747A">
        <w:rPr>
          <w:i/>
        </w:rPr>
        <w:t>De Tommaso c.</w:t>
      </w:r>
      <w:r w:rsidRPr="0019747A" w:rsidR="00C74482">
        <w:rPr>
          <w:i/>
        </w:rPr>
        <w:t> </w:t>
      </w:r>
      <w:r w:rsidRPr="0019747A">
        <w:rPr>
          <w:i/>
        </w:rPr>
        <w:t>Italie</w:t>
      </w:r>
      <w:r w:rsidRPr="0019747A">
        <w:t xml:space="preserve"> [GC], n</w:t>
      </w:r>
      <w:r w:rsidRPr="0019747A">
        <w:rPr>
          <w:vertAlign w:val="superscript"/>
        </w:rPr>
        <w:t>o</w:t>
      </w:r>
      <w:r w:rsidRPr="0019747A">
        <w:t xml:space="preserve"> 43395/09, §§ 106-109, 23 février 2017). La Cour redit en particulier qu</w:t>
      </w:r>
      <w:r w:rsidRPr="0019747A" w:rsidR="0019747A">
        <w:t>’</w:t>
      </w:r>
      <w:r w:rsidRPr="0019747A">
        <w:t>une norme est « prévisible » lorsqu</w:t>
      </w:r>
      <w:r w:rsidRPr="0019747A" w:rsidR="0019747A">
        <w:t>’</w:t>
      </w:r>
      <w:r w:rsidRPr="0019747A">
        <w:t>elle offre une certaine garantie contre des atteintes arbitraires de la puissance publique. Une loi conférant un pouvoir d</w:t>
      </w:r>
      <w:r w:rsidRPr="0019747A" w:rsidR="0019747A">
        <w:t>’</w:t>
      </w:r>
      <w:r w:rsidRPr="0019747A">
        <w:t>appréciation doit en fixer la portée, bien que le détail des normes et procédures à observer n</w:t>
      </w:r>
      <w:r w:rsidRPr="0019747A" w:rsidR="0019747A">
        <w:t>’</w:t>
      </w:r>
      <w:r w:rsidRPr="0019747A">
        <w:t>ait pas besoin de figurer dans la législation elle-même (</w:t>
      </w:r>
      <w:proofErr w:type="spellStart"/>
      <w:r w:rsidRPr="0019747A">
        <w:rPr>
          <w:i/>
        </w:rPr>
        <w:t>Khlyustov</w:t>
      </w:r>
      <w:proofErr w:type="spellEnd"/>
      <w:r w:rsidRPr="0019747A">
        <w:rPr>
          <w:i/>
        </w:rPr>
        <w:t xml:space="preserve"> c. Russie</w:t>
      </w:r>
      <w:r w:rsidRPr="0019747A">
        <w:rPr>
          <w:snapToGrid w:val="0"/>
        </w:rPr>
        <w:t>, n</w:t>
      </w:r>
      <w:r w:rsidRPr="0019747A">
        <w:rPr>
          <w:snapToGrid w:val="0"/>
          <w:vertAlign w:val="superscript"/>
        </w:rPr>
        <w:t>o</w:t>
      </w:r>
      <w:r w:rsidRPr="0019747A">
        <w:rPr>
          <w:snapToGrid w:val="0"/>
        </w:rPr>
        <w:t xml:space="preserve"> 28975/05, § 70, 11 juillet 2013, et </w:t>
      </w:r>
      <w:r w:rsidRPr="0019747A">
        <w:rPr>
          <w:i/>
        </w:rPr>
        <w:t>De Tommaso</w:t>
      </w:r>
      <w:r w:rsidRPr="0019747A">
        <w:t>, précité, § 109). Afin d</w:t>
      </w:r>
      <w:r w:rsidRPr="0019747A" w:rsidR="0019747A">
        <w:t>’</w:t>
      </w:r>
      <w:r w:rsidRPr="0019747A">
        <w:t>être compatible avec la prééminence du droit et de protéger contre l</w:t>
      </w:r>
      <w:r w:rsidRPr="0019747A" w:rsidR="0019747A">
        <w:t>’</w:t>
      </w:r>
      <w:r w:rsidRPr="0019747A">
        <w:t>arbitraire, la loi applicable doit offrir des garanties procédurales minimales, en rapport avec l</w:t>
      </w:r>
      <w:r w:rsidRPr="0019747A" w:rsidR="0019747A">
        <w:t>’</w:t>
      </w:r>
      <w:r w:rsidRPr="0019747A">
        <w:t>importance du droit en jeu (voir, par exemple, sur le terrain de l</w:t>
      </w:r>
      <w:r w:rsidRPr="0019747A" w:rsidR="0019747A">
        <w:t>’</w:t>
      </w:r>
      <w:r w:rsidRPr="0019747A">
        <w:t xml:space="preserve">article 10 de la Convention, </w:t>
      </w:r>
      <w:proofErr w:type="spellStart"/>
      <w:r w:rsidRPr="0019747A">
        <w:rPr>
          <w:i/>
        </w:rPr>
        <w:t>Sanoma</w:t>
      </w:r>
      <w:proofErr w:type="spellEnd"/>
      <w:r w:rsidRPr="0019747A">
        <w:rPr>
          <w:i/>
        </w:rPr>
        <w:t xml:space="preserve"> </w:t>
      </w:r>
      <w:proofErr w:type="spellStart"/>
      <w:r w:rsidRPr="0019747A">
        <w:rPr>
          <w:i/>
        </w:rPr>
        <w:t>Uitgevers</w:t>
      </w:r>
      <w:proofErr w:type="spellEnd"/>
      <w:r w:rsidRPr="0019747A">
        <w:rPr>
          <w:i/>
        </w:rPr>
        <w:t xml:space="preserve"> B.V. c. Pays-Bas</w:t>
      </w:r>
      <w:r w:rsidRPr="0019747A">
        <w:rPr>
          <w:snapToGrid w:val="0"/>
        </w:rPr>
        <w:t xml:space="preserve"> [GC], n</w:t>
      </w:r>
      <w:r w:rsidRPr="0019747A">
        <w:rPr>
          <w:snapToGrid w:val="0"/>
          <w:vertAlign w:val="superscript"/>
        </w:rPr>
        <w:t>o</w:t>
      </w:r>
      <w:r w:rsidRPr="0019747A">
        <w:rPr>
          <w:snapToGrid w:val="0"/>
        </w:rPr>
        <w:t xml:space="preserve"> 38224/03</w:t>
      </w:r>
      <w:r w:rsidRPr="0019747A">
        <w:t>, §§ 82 et 88, 14 septembre 2010, et, sur le terrain de l</w:t>
      </w:r>
      <w:r w:rsidRPr="0019747A" w:rsidR="0019747A">
        <w:t>’</w:t>
      </w:r>
      <w:r w:rsidRPr="0019747A">
        <w:t>article 1 du Protocole n</w:t>
      </w:r>
      <w:r w:rsidRPr="0019747A">
        <w:rPr>
          <w:vertAlign w:val="superscript"/>
        </w:rPr>
        <w:t>o</w:t>
      </w:r>
      <w:r w:rsidRPr="0019747A">
        <w:t xml:space="preserve"> 1, </w:t>
      </w:r>
      <w:proofErr w:type="spellStart"/>
      <w:r w:rsidRPr="0019747A">
        <w:rPr>
          <w:i/>
        </w:rPr>
        <w:t>Vistiņš</w:t>
      </w:r>
      <w:proofErr w:type="spellEnd"/>
      <w:r w:rsidRPr="0019747A">
        <w:rPr>
          <w:i/>
        </w:rPr>
        <w:t xml:space="preserve"> et </w:t>
      </w:r>
      <w:proofErr w:type="spellStart"/>
      <w:r w:rsidRPr="0019747A">
        <w:rPr>
          <w:i/>
        </w:rPr>
        <w:t>Perepjolkins</w:t>
      </w:r>
      <w:proofErr w:type="spellEnd"/>
      <w:r w:rsidRPr="0019747A">
        <w:rPr>
          <w:i/>
        </w:rPr>
        <w:t xml:space="preserve"> c. Lettonie</w:t>
      </w:r>
      <w:r w:rsidRPr="0019747A">
        <w:t xml:space="preserve"> [GC], n</w:t>
      </w:r>
      <w:r w:rsidRPr="0019747A">
        <w:rPr>
          <w:vertAlign w:val="superscript"/>
        </w:rPr>
        <w:t>o</w:t>
      </w:r>
      <w:r w:rsidRPr="0019747A">
        <w:t xml:space="preserve"> 71243/01, §§ 96 et 97 </w:t>
      </w:r>
      <w:r w:rsidRPr="0019747A">
        <w:rPr>
          <w:i/>
        </w:rPr>
        <w:t>in fine</w:t>
      </w:r>
      <w:r w:rsidRPr="0019747A">
        <w:t>, 25 octobre 2012).</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25</w:t>
      </w:r>
      <w:r w:rsidRPr="0019747A">
        <w:fldChar w:fldCharType="end"/>
      </w:r>
      <w:r w:rsidRPr="0019747A">
        <w:t>.  La Cour a déjà eu l</w:t>
      </w:r>
      <w:r w:rsidRPr="0019747A" w:rsidR="0019747A">
        <w:t>’</w:t>
      </w:r>
      <w:r w:rsidRPr="0019747A">
        <w:t>occasion d</w:t>
      </w:r>
      <w:r w:rsidRPr="0019747A" w:rsidR="0019747A">
        <w:t>’</w:t>
      </w:r>
      <w:r w:rsidRPr="0019747A">
        <w:t>affirmer qu</w:t>
      </w:r>
      <w:r w:rsidRPr="0019747A" w:rsidR="0019747A">
        <w:t>’</w:t>
      </w:r>
      <w:r w:rsidRPr="0019747A">
        <w:t>une ingérence de l</w:t>
      </w:r>
      <w:r w:rsidRPr="0019747A" w:rsidR="0019747A">
        <w:t>’</w:t>
      </w:r>
      <w:r w:rsidRPr="0019747A">
        <w:t>exécutif dans les droits garantis par l</w:t>
      </w:r>
      <w:r w:rsidRPr="0019747A" w:rsidR="0019747A">
        <w:t>’</w:t>
      </w:r>
      <w:r w:rsidRPr="0019747A">
        <w:t>article 2 du Protocole n</w:t>
      </w:r>
      <w:r w:rsidRPr="0019747A">
        <w:rPr>
          <w:vertAlign w:val="superscript"/>
        </w:rPr>
        <w:t>o</w:t>
      </w:r>
      <w:r w:rsidRPr="0019747A">
        <w:t xml:space="preserve"> 4 doit être soumise à un contrôle efficace que doit normalement assurer, au moins en dernier ressort, le pouvoir judiciaire, car il offre les meilleures garanties d</w:t>
      </w:r>
      <w:r w:rsidRPr="0019747A" w:rsidR="0019747A">
        <w:t>’</w:t>
      </w:r>
      <w:r w:rsidRPr="0019747A">
        <w:t>indépendance, d</w:t>
      </w:r>
      <w:r w:rsidRPr="0019747A" w:rsidR="0019747A">
        <w:t>’</w:t>
      </w:r>
      <w:r w:rsidRPr="0019747A">
        <w:t>impartialité et de procédure régulière (</w:t>
      </w:r>
      <w:proofErr w:type="spellStart"/>
      <w:r w:rsidRPr="0019747A">
        <w:rPr>
          <w:i/>
        </w:rPr>
        <w:t>Sissanis</w:t>
      </w:r>
      <w:proofErr w:type="spellEnd"/>
      <w:r w:rsidRPr="0019747A">
        <w:rPr>
          <w:i/>
        </w:rPr>
        <w:t xml:space="preserve"> c. Roumanie</w:t>
      </w:r>
      <w:r w:rsidRPr="0019747A">
        <w:t>, n</w:t>
      </w:r>
      <w:r w:rsidRPr="0019747A">
        <w:rPr>
          <w:vertAlign w:val="superscript"/>
        </w:rPr>
        <w:t>o</w:t>
      </w:r>
      <w:r w:rsidRPr="0019747A">
        <w:t xml:space="preserve"> 23468/02, § 70, 25 janvier 2007, et </w:t>
      </w:r>
      <w:proofErr w:type="spellStart"/>
      <w:r w:rsidRPr="0019747A">
        <w:rPr>
          <w:i/>
        </w:rPr>
        <w:t>Sarkizov</w:t>
      </w:r>
      <w:proofErr w:type="spellEnd"/>
      <w:r w:rsidRPr="0019747A">
        <w:rPr>
          <w:i/>
        </w:rPr>
        <w:t xml:space="preserve"> et autres c. Bulgarie</w:t>
      </w:r>
      <w:r w:rsidRPr="0019747A">
        <w:t>, n</w:t>
      </w:r>
      <w:r w:rsidRPr="0019747A">
        <w:rPr>
          <w:rFonts w:cs="Times New Roman"/>
          <w:vertAlign w:val="superscript"/>
        </w:rPr>
        <w:t>os</w:t>
      </w:r>
      <w:r w:rsidRPr="0019747A">
        <w:t xml:space="preserve"> 37981/06 et 3 autres, § 69, 17 avril 2012). Ce contrôle doit porter tant sur la légalité (</w:t>
      </w:r>
      <w:proofErr w:type="spellStart"/>
      <w:r w:rsidRPr="0019747A">
        <w:rPr>
          <w:i/>
          <w:iCs/>
        </w:rPr>
        <w:t>Mursaliyev</w:t>
      </w:r>
      <w:proofErr w:type="spellEnd"/>
      <w:r w:rsidRPr="0019747A">
        <w:rPr>
          <w:i/>
          <w:iCs/>
        </w:rPr>
        <w:t xml:space="preserve"> et autres c. Azerbaïdjan</w:t>
      </w:r>
      <w:r w:rsidRPr="0019747A">
        <w:t xml:space="preserve">, </w:t>
      </w:r>
      <w:r w:rsidRPr="0019747A">
        <w:rPr>
          <w:lang w:eastAsia="en-GB"/>
        </w:rPr>
        <w:t>n</w:t>
      </w:r>
      <w:r w:rsidRPr="0019747A">
        <w:rPr>
          <w:vertAlign w:val="superscript"/>
          <w:lang w:eastAsia="en-GB"/>
        </w:rPr>
        <w:t>os</w:t>
      </w:r>
      <w:r w:rsidRPr="0019747A">
        <w:rPr>
          <w:lang w:eastAsia="en-GB"/>
        </w:rPr>
        <w:t xml:space="preserve"> </w:t>
      </w:r>
      <w:r w:rsidRPr="0019747A">
        <w:t>66650/13 et 10 autres, § 34, 13 décembre 2018) que sur la proportionnalité de la mesure litigieuse (voir, par exemple,</w:t>
      </w:r>
      <w:r w:rsidRPr="0019747A">
        <w:rPr>
          <w:i/>
        </w:rPr>
        <w:t xml:space="preserve"> </w:t>
      </w:r>
      <w:proofErr w:type="spellStart"/>
      <w:r w:rsidRPr="0019747A">
        <w:rPr>
          <w:i/>
        </w:rPr>
        <w:t>Riener</w:t>
      </w:r>
      <w:proofErr w:type="spellEnd"/>
      <w:r w:rsidRPr="0019747A">
        <w:rPr>
          <w:i/>
        </w:rPr>
        <w:t xml:space="preserve"> c. Bulgarie</w:t>
      </w:r>
      <w:r w:rsidRPr="0019747A">
        <w:t>, n</w:t>
      </w:r>
      <w:r w:rsidRPr="0019747A">
        <w:rPr>
          <w:vertAlign w:val="superscript"/>
        </w:rPr>
        <w:t>o</w:t>
      </w:r>
      <w:r w:rsidRPr="0019747A">
        <w:t xml:space="preserve"> 46343/99, § 126, 23 mai 2006, </w:t>
      </w:r>
      <w:proofErr w:type="spellStart"/>
      <w:r w:rsidRPr="0019747A">
        <w:rPr>
          <w:i/>
        </w:rPr>
        <w:t>Gochev</w:t>
      </w:r>
      <w:proofErr w:type="spellEnd"/>
      <w:r w:rsidRPr="0019747A">
        <w:rPr>
          <w:i/>
        </w:rPr>
        <w:t xml:space="preserve"> c. Bulgarie</w:t>
      </w:r>
      <w:r w:rsidRPr="0019747A">
        <w:t>, n</w:t>
      </w:r>
      <w:r w:rsidRPr="0019747A">
        <w:rPr>
          <w:vertAlign w:val="superscript"/>
        </w:rPr>
        <w:t>o</w:t>
      </w:r>
      <w:r w:rsidRPr="0019747A">
        <w:t xml:space="preserve"> 34383/03</w:t>
      </w:r>
      <w:r w:rsidRPr="0019747A">
        <w:rPr>
          <w:snapToGrid w:val="0"/>
        </w:rPr>
        <w:t xml:space="preserve">, § 50 </w:t>
      </w:r>
      <w:r w:rsidRPr="0019747A">
        <w:rPr>
          <w:i/>
          <w:snapToGrid w:val="0"/>
        </w:rPr>
        <w:t>in fine</w:t>
      </w:r>
      <w:r w:rsidRPr="0019747A">
        <w:rPr>
          <w:snapToGrid w:val="0"/>
        </w:rPr>
        <w:t xml:space="preserve">, 26 </w:t>
      </w:r>
      <w:r w:rsidRPr="0019747A">
        <w:t>novembre</w:t>
      </w:r>
      <w:r w:rsidRPr="0019747A">
        <w:rPr>
          <w:snapToGrid w:val="0"/>
        </w:rPr>
        <w:t xml:space="preserve"> 2009, et </w:t>
      </w:r>
      <w:proofErr w:type="spellStart"/>
      <w:r w:rsidRPr="0019747A">
        <w:rPr>
          <w:i/>
        </w:rPr>
        <w:t>Popoviciu</w:t>
      </w:r>
      <w:proofErr w:type="spellEnd"/>
      <w:r w:rsidRPr="0019747A">
        <w:rPr>
          <w:i/>
        </w:rPr>
        <w:t xml:space="preserve"> c. Roumanie</w:t>
      </w:r>
      <w:r w:rsidRPr="0019747A">
        <w:t>, n</w:t>
      </w:r>
      <w:r w:rsidRPr="0019747A">
        <w:rPr>
          <w:vertAlign w:val="superscript"/>
        </w:rPr>
        <w:t>o</w:t>
      </w:r>
      <w:r w:rsidRPr="0019747A">
        <w:t xml:space="preserve"> 52942/09</w:t>
      </w:r>
      <w:r w:rsidRPr="0019747A">
        <w:rPr>
          <w:snapToGrid w:val="0"/>
        </w:rPr>
        <w:t>, §§ 92-93, 1</w:t>
      </w:r>
      <w:r w:rsidRPr="0019747A">
        <w:rPr>
          <w:snapToGrid w:val="0"/>
          <w:vertAlign w:val="superscript"/>
        </w:rPr>
        <w:t>er</w:t>
      </w:r>
      <w:r w:rsidRPr="0019747A">
        <w:rPr>
          <w:snapToGrid w:val="0"/>
        </w:rPr>
        <w:t> </w:t>
      </w:r>
      <w:r w:rsidRPr="0019747A">
        <w:t xml:space="preserve">mars </w:t>
      </w:r>
      <w:r w:rsidRPr="0019747A">
        <w:rPr>
          <w:snapToGrid w:val="0"/>
        </w:rPr>
        <w:t>2016 ; et comparer avec, sur le terrain de l</w:t>
      </w:r>
      <w:r w:rsidRPr="0019747A" w:rsidR="0019747A">
        <w:rPr>
          <w:snapToGrid w:val="0"/>
        </w:rPr>
        <w:t>’</w:t>
      </w:r>
      <w:r w:rsidRPr="0019747A">
        <w:rPr>
          <w:snapToGrid w:val="0"/>
        </w:rPr>
        <w:t xml:space="preserve">article 8 de la Convention, </w:t>
      </w:r>
      <w:proofErr w:type="spellStart"/>
      <w:r w:rsidRPr="0019747A">
        <w:rPr>
          <w:i/>
        </w:rPr>
        <w:t>Heino</w:t>
      </w:r>
      <w:proofErr w:type="spellEnd"/>
      <w:r w:rsidRPr="0019747A">
        <w:rPr>
          <w:i/>
        </w:rPr>
        <w:t xml:space="preserve"> c.</w:t>
      </w:r>
      <w:r w:rsidRPr="0019747A" w:rsidR="00C74482">
        <w:rPr>
          <w:i/>
        </w:rPr>
        <w:t> </w:t>
      </w:r>
      <w:r w:rsidRPr="0019747A">
        <w:rPr>
          <w:i/>
        </w:rPr>
        <w:t>Finlande</w:t>
      </w:r>
      <w:r w:rsidRPr="0019747A">
        <w:t>, n</w:t>
      </w:r>
      <w:r w:rsidRPr="0019747A">
        <w:rPr>
          <w:vertAlign w:val="superscript"/>
        </w:rPr>
        <w:t>o</w:t>
      </w:r>
      <w:r w:rsidRPr="0019747A">
        <w:t> 56720/09</w:t>
      </w:r>
      <w:r w:rsidRPr="0019747A">
        <w:rPr>
          <w:snapToGrid w:val="0"/>
        </w:rPr>
        <w:t xml:space="preserve">, § 45, 15 </w:t>
      </w:r>
      <w:r w:rsidRPr="0019747A">
        <w:t>février</w:t>
      </w:r>
      <w:r w:rsidRPr="0019747A">
        <w:rPr>
          <w:snapToGrid w:val="0"/>
        </w:rPr>
        <w:t xml:space="preserve"> 2011, et </w:t>
      </w:r>
      <w:r w:rsidRPr="0019747A">
        <w:rPr>
          <w:i/>
        </w:rPr>
        <w:t xml:space="preserve">DELTA PEKÁRNY </w:t>
      </w:r>
      <w:proofErr w:type="spellStart"/>
      <w:r w:rsidRPr="0019747A">
        <w:rPr>
          <w:i/>
        </w:rPr>
        <w:t>a.s</w:t>
      </w:r>
      <w:proofErr w:type="spellEnd"/>
      <w:r w:rsidRPr="0019747A">
        <w:rPr>
          <w:i/>
        </w:rPr>
        <w:t>. c.</w:t>
      </w:r>
      <w:r w:rsidRPr="0019747A" w:rsidR="00C74482">
        <w:rPr>
          <w:i/>
        </w:rPr>
        <w:t> </w:t>
      </w:r>
      <w:r w:rsidRPr="0019747A">
        <w:rPr>
          <w:i/>
        </w:rPr>
        <w:t>République tchèque</w:t>
      </w:r>
      <w:r w:rsidRPr="0019747A">
        <w:t>, n</w:t>
      </w:r>
      <w:r w:rsidRPr="0019747A">
        <w:rPr>
          <w:vertAlign w:val="superscript"/>
        </w:rPr>
        <w:t>o</w:t>
      </w:r>
      <w:r w:rsidRPr="0019747A">
        <w:t> 97/11</w:t>
      </w:r>
      <w:r w:rsidRPr="0019747A">
        <w:rPr>
          <w:snapToGrid w:val="0"/>
        </w:rPr>
        <w:t xml:space="preserve">, § 87, 2 </w:t>
      </w:r>
      <w:r w:rsidRPr="0019747A">
        <w:t>octobre</w:t>
      </w:r>
      <w:r w:rsidRPr="0019747A">
        <w:rPr>
          <w:snapToGrid w:val="0"/>
        </w:rPr>
        <w:t xml:space="preserve"> 2014</w:t>
      </w:r>
      <w:r w:rsidRPr="0019747A">
        <w:t>). De plus, les autorités internes ne peuvent prolonger longtemps des mesures restreignant la liberté de circulation d</w:t>
      </w:r>
      <w:r w:rsidRPr="0019747A" w:rsidR="0019747A">
        <w:t>’</w:t>
      </w:r>
      <w:r w:rsidRPr="0019747A">
        <w:t xml:space="preserve">une personne sans réexaminer périodiquement si celles-ci sont justifiées (voir, par exemple, </w:t>
      </w:r>
      <w:proofErr w:type="spellStart"/>
      <w:r w:rsidRPr="0019747A">
        <w:rPr>
          <w:i/>
        </w:rPr>
        <w:t>Riener</w:t>
      </w:r>
      <w:proofErr w:type="spellEnd"/>
      <w:r w:rsidRPr="0019747A">
        <w:t xml:space="preserve">, précité, § 124, et </w:t>
      </w:r>
      <w:proofErr w:type="spellStart"/>
      <w:r w:rsidRPr="0019747A">
        <w:rPr>
          <w:i/>
        </w:rPr>
        <w:t>Kerimli</w:t>
      </w:r>
      <w:proofErr w:type="spellEnd"/>
      <w:r w:rsidRPr="0019747A">
        <w:t>, précité, § 56)</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26</w:t>
      </w:r>
      <w:r w:rsidRPr="0019747A">
        <w:fldChar w:fldCharType="end"/>
      </w:r>
      <w:r w:rsidRPr="0019747A">
        <w:t>.  En l</w:t>
      </w:r>
      <w:r w:rsidRPr="0019747A" w:rsidR="0019747A">
        <w:t>’</w:t>
      </w:r>
      <w:r w:rsidRPr="0019747A">
        <w:t>espèce, la Cour note que les autorités ont fondé la mesure litigieuse sur l</w:t>
      </w:r>
      <w:r w:rsidRPr="0019747A" w:rsidR="0019747A">
        <w:t>’</w:t>
      </w:r>
      <w:r w:rsidRPr="0019747A">
        <w:t>article 8 g) de la loi n</w:t>
      </w:r>
      <w:r w:rsidRPr="0019747A">
        <w:rPr>
          <w:vertAlign w:val="superscript"/>
        </w:rPr>
        <w:t>o</w:t>
      </w:r>
      <w:r w:rsidRPr="0019747A">
        <w:t xml:space="preserve"> 269 (paragraphe </w:t>
      </w:r>
      <w:r w:rsidRPr="0019747A">
        <w:fldChar w:fldCharType="begin"/>
      </w:r>
      <w:r w:rsidRPr="0019747A">
        <w:instrText xml:space="preserve"> REF loi_269 \h </w:instrText>
      </w:r>
      <w:r w:rsidRPr="0019747A">
        <w:fldChar w:fldCharType="separate"/>
      </w:r>
      <w:r w:rsidRPr="0019747A" w:rsidR="0019747A">
        <w:rPr>
          <w:noProof/>
        </w:rPr>
        <w:t>16</w:t>
      </w:r>
      <w:r w:rsidRPr="0019747A">
        <w:fldChar w:fldCharType="end"/>
      </w:r>
      <w:r w:rsidRPr="0019747A">
        <w:t xml:space="preserve"> ci-dessus), qui leur permettait de refuser la délivrance d</w:t>
      </w:r>
      <w:r w:rsidRPr="0019747A" w:rsidR="0019747A">
        <w:t>’</w:t>
      </w:r>
      <w:r w:rsidRPr="0019747A">
        <w:t>un passeport en cas de dette non remboursée, établie par une décision de justice. Elle constate qu</w:t>
      </w:r>
      <w:r w:rsidRPr="0019747A" w:rsidR="0019747A">
        <w:t>’</w:t>
      </w:r>
      <w:r w:rsidRPr="0019747A">
        <w:t>il n</w:t>
      </w:r>
      <w:r w:rsidRPr="0019747A" w:rsidR="0019747A">
        <w:t>’</w:t>
      </w:r>
      <w:r w:rsidRPr="0019747A">
        <w:t>y a aucune controverse entre les parties quant à la condition d</w:t>
      </w:r>
      <w:r w:rsidRPr="0019747A" w:rsidR="0019747A">
        <w:t>’</w:t>
      </w:r>
      <w:r w:rsidRPr="0019747A">
        <w:t>accessibilité de cette base légale.</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27</w:t>
      </w:r>
      <w:r w:rsidRPr="0019747A">
        <w:fldChar w:fldCharType="end"/>
      </w:r>
      <w:r w:rsidRPr="0019747A">
        <w:t>.  Pour ce qui est de la prévisibilité de la loi interne et de sa compatibilité avec la prééminence du droit, la Cour observe que la disposition précitée était rédigée d</w:t>
      </w:r>
      <w:r w:rsidRPr="0019747A" w:rsidR="0019747A">
        <w:t>’</w:t>
      </w:r>
      <w:r w:rsidRPr="0019747A">
        <w:t>une manière concise et très générale. En effet, celle-ci ne précisait ni la procédure à suivre par l</w:t>
      </w:r>
      <w:r w:rsidRPr="0019747A" w:rsidR="0019747A">
        <w:t>’</w:t>
      </w:r>
      <w:r w:rsidRPr="0019747A">
        <w:t>autorité d</w:t>
      </w:r>
      <w:r w:rsidRPr="0019747A" w:rsidR="0019747A">
        <w:t>’</w:t>
      </w:r>
      <w:r w:rsidRPr="0019747A">
        <w:t>état civil, notamment pour ce qui était des sujets qui pouvaient demander ou imposer une interdiction de délivrance de passeport, ni si cette autorité disposait d</w:t>
      </w:r>
      <w:r w:rsidRPr="0019747A" w:rsidR="0019747A">
        <w:t>’</w:t>
      </w:r>
      <w:r w:rsidRPr="0019747A">
        <w:t>une marge de manœuvre quant à l</w:t>
      </w:r>
      <w:r w:rsidRPr="0019747A" w:rsidR="0019747A">
        <w:t>’</w:t>
      </w:r>
      <w:r w:rsidRPr="0019747A">
        <w:t>appréciation de la nécessité et de la durée d</w:t>
      </w:r>
      <w:r w:rsidRPr="0019747A" w:rsidR="0019747A">
        <w:t>’</w:t>
      </w:r>
      <w:r w:rsidRPr="0019747A">
        <w:t>une telle mesure. La disposition en question n</w:t>
      </w:r>
      <w:r w:rsidRPr="0019747A" w:rsidR="0019747A">
        <w:t>’</w:t>
      </w:r>
      <w:r w:rsidRPr="0019747A">
        <w:t>indiquait pas non plus dans quelle situation cette interdiction pouvait être levée.</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28</w:t>
      </w:r>
      <w:r w:rsidRPr="0019747A">
        <w:fldChar w:fldCharType="end"/>
      </w:r>
      <w:r w:rsidRPr="0019747A">
        <w:t>.  Dans le cas présent, la Cour note que l</w:t>
      </w:r>
      <w:r w:rsidRPr="0019747A" w:rsidR="0019747A">
        <w:t>’</w:t>
      </w:r>
      <w:r w:rsidRPr="0019747A">
        <w:t>autorité d</w:t>
      </w:r>
      <w:r w:rsidRPr="0019747A" w:rsidR="0019747A">
        <w:t>’</w:t>
      </w:r>
      <w:r w:rsidRPr="0019747A">
        <w:t>état civil a refusé de délivrer le passeport au requérant sur simple demande du créancier et après avoir considéré que la seule condition imposée par l</w:t>
      </w:r>
      <w:r w:rsidRPr="0019747A" w:rsidR="0019747A">
        <w:t>’</w:t>
      </w:r>
      <w:r w:rsidRPr="0019747A">
        <w:t>article 8 g) de la loi n</w:t>
      </w:r>
      <w:r w:rsidRPr="0019747A">
        <w:rPr>
          <w:vertAlign w:val="superscript"/>
        </w:rPr>
        <w:t>o</w:t>
      </w:r>
      <w:r w:rsidRPr="0019747A">
        <w:t xml:space="preserve"> 269 était remplie, à savoir le non-remboursement de la dette par le requérant. La durée de l</w:t>
      </w:r>
      <w:r w:rsidRPr="0019747A" w:rsidR="0019747A">
        <w:t>’</w:t>
      </w:r>
      <w:r w:rsidRPr="0019747A">
        <w:t>interdiction d</w:t>
      </w:r>
      <w:r w:rsidRPr="0019747A" w:rsidR="0019747A">
        <w:t>’</w:t>
      </w:r>
      <w:r w:rsidRPr="0019747A">
        <w:t>obtenir un passeport n</w:t>
      </w:r>
      <w:r w:rsidRPr="0019747A" w:rsidR="0019747A">
        <w:t>’</w:t>
      </w:r>
      <w:r w:rsidRPr="0019747A">
        <w:t>a pas été précisée et il n</w:t>
      </w:r>
      <w:r w:rsidRPr="0019747A" w:rsidR="0019747A">
        <w:t>’</w:t>
      </w:r>
      <w:r w:rsidRPr="0019747A">
        <w:t>apparaît pas qu</w:t>
      </w:r>
      <w:r w:rsidRPr="0019747A" w:rsidR="0019747A">
        <w:t>’</w:t>
      </w:r>
      <w:r w:rsidRPr="0019747A">
        <w:t>un quelconque contrôle sur la proportionnalité de la mesure ait été effectué à cette étape-là. Dans ces conditions, la Cour conclut que le refus opposé au requérant par l</w:t>
      </w:r>
      <w:r w:rsidRPr="0019747A" w:rsidR="0019747A">
        <w:t>’</w:t>
      </w:r>
      <w:r w:rsidRPr="0019747A">
        <w:t>autorité administrative s</w:t>
      </w:r>
      <w:r w:rsidRPr="0019747A" w:rsidR="0019747A">
        <w:t>’</w:t>
      </w:r>
      <w:r w:rsidRPr="0019747A">
        <w:t>apparente à une mesure automatique, qui plus est d</w:t>
      </w:r>
      <w:r w:rsidRPr="0019747A" w:rsidR="0019747A">
        <w:t>’</w:t>
      </w:r>
      <w:r w:rsidRPr="0019747A">
        <w:t>une durée indéterminée. À ce sujet, elle rappelle qu</w:t>
      </w:r>
      <w:r w:rsidRPr="0019747A" w:rsidR="0019747A">
        <w:t>’</w:t>
      </w:r>
      <w:r w:rsidRPr="0019747A">
        <w:t>une interdiction automatique de voyager est contraire aux obligations pesant sur les autorités au sens de l</w:t>
      </w:r>
      <w:r w:rsidRPr="0019747A" w:rsidR="0019747A">
        <w:t>’</w:t>
      </w:r>
      <w:r w:rsidRPr="0019747A">
        <w:t>article 2 du Protocole n</w:t>
      </w:r>
      <w:r w:rsidRPr="0019747A">
        <w:rPr>
          <w:vertAlign w:val="superscript"/>
        </w:rPr>
        <w:t>o</w:t>
      </w:r>
      <w:r w:rsidRPr="0019747A">
        <w:t xml:space="preserve"> 4 (</w:t>
      </w:r>
      <w:proofErr w:type="spellStart"/>
      <w:r w:rsidRPr="0019747A">
        <w:rPr>
          <w:i/>
        </w:rPr>
        <w:t>Riener</w:t>
      </w:r>
      <w:proofErr w:type="spellEnd"/>
      <w:r w:rsidRPr="0019747A">
        <w:t>, précité, § 128).</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29</w:t>
      </w:r>
      <w:r w:rsidRPr="0019747A">
        <w:fldChar w:fldCharType="end"/>
      </w:r>
      <w:r w:rsidRPr="0019747A">
        <w:t>.  Cela étant, la Cour doit rechercher si, dans les circonstances particulières de l</w:t>
      </w:r>
      <w:r w:rsidRPr="0019747A" w:rsidR="0019747A">
        <w:t>’</w:t>
      </w:r>
      <w:r w:rsidRPr="0019747A">
        <w:t>affaire en cause, il y a eu un contrôle judiciaire effectif sur la légalité et la proportionnalité de la mesure litigieuse. Un tel contrôle était d</w:t>
      </w:r>
      <w:r w:rsidRPr="0019747A" w:rsidR="0019747A">
        <w:t>’</w:t>
      </w:r>
      <w:r w:rsidRPr="0019747A">
        <w:t>autant plus nécessaire que cette mesure a été adoptée douze ans environ après le prononcé du jugement ayant condamné le requérant à rembourser la dette et en l</w:t>
      </w:r>
      <w:r w:rsidRPr="0019747A" w:rsidR="0019747A">
        <w:t>’</w:t>
      </w:r>
      <w:r w:rsidRPr="0019747A">
        <w:t>absence de toute procédure d</w:t>
      </w:r>
      <w:r w:rsidRPr="0019747A" w:rsidR="0019747A">
        <w:t>’</w:t>
      </w:r>
      <w:r w:rsidRPr="0019747A">
        <w:t xml:space="preserve">exécution pendante devant un huissier de justice. De plus, un contrôle de proportionnalité pour toute restriction du droit à la liberté de circulation était expressément exigé par la Cour constitutionnelle (paragraphe </w:t>
      </w:r>
      <w:r w:rsidRPr="0019747A">
        <w:fldChar w:fldCharType="begin"/>
      </w:r>
      <w:r w:rsidRPr="0019747A">
        <w:instrText xml:space="preserve"> REF décision_Cour_Constit \h </w:instrText>
      </w:r>
      <w:r w:rsidRPr="0019747A">
        <w:fldChar w:fldCharType="separate"/>
      </w:r>
      <w:r w:rsidRPr="0019747A" w:rsidR="0019747A">
        <w:rPr>
          <w:noProof/>
        </w:rPr>
        <w:t>17</w:t>
      </w:r>
      <w:r w:rsidRPr="0019747A">
        <w:fldChar w:fldCharType="end"/>
      </w:r>
      <w:r w:rsidRPr="0019747A">
        <w:t xml:space="preserve"> ci-dessus), dont la décision correspondante a été prononcée au moment où la présente affaire était encore sur le rôle de la Cour suprême de justice.</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30</w:t>
      </w:r>
      <w:r w:rsidRPr="0019747A">
        <w:fldChar w:fldCharType="end"/>
      </w:r>
      <w:r w:rsidRPr="0019747A">
        <w:t>.  Sur ce point, la Cour relève que les tribunaux internes se sont contentés de valider la mesure litigieuse comme étant conforme à l</w:t>
      </w:r>
      <w:r w:rsidRPr="0019747A" w:rsidR="0019747A">
        <w:t>’</w:t>
      </w:r>
      <w:r w:rsidRPr="0019747A">
        <w:t>article 8 g) de la loi n</w:t>
      </w:r>
      <w:r w:rsidRPr="0019747A">
        <w:rPr>
          <w:vertAlign w:val="superscript"/>
        </w:rPr>
        <w:t>o</w:t>
      </w:r>
      <w:r w:rsidRPr="0019747A">
        <w:t> 269. Cependant, ceux-ci ne se sont nullement penchés sur la question de savoir si le refus de délivrer un passeport se conciliait avec les dispositions relatives à l</w:t>
      </w:r>
      <w:r w:rsidRPr="0019747A" w:rsidR="0019747A">
        <w:t>’</w:t>
      </w:r>
      <w:r w:rsidRPr="0019747A">
        <w:t xml:space="preserve">exécution des décisions de justice, notamment celles fixant à trois ans le délai de forclusion pour présenter le titre exécutoire (paragraphe </w:t>
      </w:r>
      <w:r w:rsidRPr="0019747A">
        <w:fldChar w:fldCharType="begin"/>
      </w:r>
      <w:r w:rsidRPr="0019747A">
        <w:instrText xml:space="preserve"> REF code_exécution \h </w:instrText>
      </w:r>
      <w:r w:rsidRPr="0019747A">
        <w:fldChar w:fldCharType="separate"/>
      </w:r>
      <w:r w:rsidRPr="0019747A" w:rsidR="0019747A">
        <w:rPr>
          <w:noProof/>
        </w:rPr>
        <w:t>15</w:t>
      </w:r>
      <w:r w:rsidRPr="0019747A">
        <w:fldChar w:fldCharType="end"/>
      </w:r>
      <w:r w:rsidRPr="0019747A">
        <w:t xml:space="preserve"> ci-dessus). La Cour ne perd pas de vue qu</w:t>
      </w:r>
      <w:r w:rsidRPr="0019747A" w:rsidR="0019747A">
        <w:t>’</w:t>
      </w:r>
      <w:r w:rsidRPr="0019747A">
        <w:t>une procédure d</w:t>
      </w:r>
      <w:r w:rsidRPr="0019747A" w:rsidR="0019747A">
        <w:t>’</w:t>
      </w:r>
      <w:r w:rsidRPr="0019747A">
        <w:t>exécution avait été déclenchée par un huissier de justice à la demande du créancier (paragraphe </w:t>
      </w:r>
      <w:r w:rsidRPr="0019747A">
        <w:fldChar w:fldCharType="begin"/>
      </w:r>
      <w:r w:rsidRPr="0019747A">
        <w:instrText xml:space="preserve"> REF interdiction_huissier \h </w:instrText>
      </w:r>
      <w:r w:rsidRPr="0019747A">
        <w:fldChar w:fldCharType="separate"/>
      </w:r>
      <w:r w:rsidRPr="0019747A" w:rsidR="0019747A">
        <w:rPr>
          <w:noProof/>
        </w:rPr>
        <w:t>11</w:t>
      </w:r>
      <w:r w:rsidRPr="0019747A">
        <w:fldChar w:fldCharType="end"/>
      </w:r>
      <w:r w:rsidRPr="0019747A">
        <w:t xml:space="preserve"> ci-dessus). Elle observe toutefois que cela est bel et bien survenu après le refus de l</w:t>
      </w:r>
      <w:r w:rsidRPr="0019747A" w:rsidR="0019747A">
        <w:t>’</w:t>
      </w:r>
      <w:r w:rsidRPr="0019747A">
        <w:t>administration de renouveler le passeport du requérant et que la question de la compatibilité de cette mesure avec les dispositions du code de l</w:t>
      </w:r>
      <w:r w:rsidRPr="0019747A" w:rsidR="0019747A">
        <w:t>’</w:t>
      </w:r>
      <w:r w:rsidRPr="0019747A">
        <w:t>exécution restait entière, au moins pour ce qui était de la période précédant la mise en mouvement de la procédure d</w:t>
      </w:r>
      <w:r w:rsidRPr="0019747A" w:rsidR="0019747A">
        <w:t>’</w:t>
      </w:r>
      <w:r w:rsidRPr="0019747A">
        <w:t>exécution. Elle souligne également que le requérant a soulevé l</w:t>
      </w:r>
      <w:r w:rsidRPr="0019747A" w:rsidR="0019747A">
        <w:t>’</w:t>
      </w:r>
      <w:r w:rsidRPr="0019747A">
        <w:t>argument tiré de la forclusion du créancier à demander l</w:t>
      </w:r>
      <w:r w:rsidRPr="0019747A" w:rsidR="0019747A">
        <w:t>’</w:t>
      </w:r>
      <w:r w:rsidRPr="0019747A">
        <w:t>exécution et que les éléments dont elle dispose n</w:t>
      </w:r>
      <w:r w:rsidRPr="0019747A" w:rsidR="0019747A">
        <w:t>’</w:t>
      </w:r>
      <w:r w:rsidRPr="0019747A">
        <w:t>indiquent pas qu</w:t>
      </w:r>
      <w:r w:rsidRPr="0019747A" w:rsidR="0019747A">
        <w:t>’</w:t>
      </w:r>
      <w:r w:rsidRPr="0019747A">
        <w:t>il y avait un quelconque obstacle juridique empêchant les tribunaux nationaux d</w:t>
      </w:r>
      <w:r w:rsidRPr="0019747A" w:rsidR="0019747A">
        <w:t>’</w:t>
      </w:r>
      <w:r w:rsidRPr="0019747A">
        <w:t xml:space="preserve">examiner ce moyen (comparer avec </w:t>
      </w:r>
      <w:proofErr w:type="spellStart"/>
      <w:r w:rsidRPr="0019747A">
        <w:rPr>
          <w:i/>
        </w:rPr>
        <w:t>Kerimli</w:t>
      </w:r>
      <w:proofErr w:type="spellEnd"/>
      <w:r w:rsidRPr="0019747A">
        <w:t>, précité, § 52).</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31</w:t>
      </w:r>
      <w:r w:rsidRPr="0019747A">
        <w:fldChar w:fldCharType="end"/>
      </w:r>
      <w:r w:rsidRPr="0019747A">
        <w:t>.  En tout état de cause, la Cour fait remarquer que les juridictions internes n</w:t>
      </w:r>
      <w:r w:rsidRPr="0019747A" w:rsidR="0019747A">
        <w:t>’</w:t>
      </w:r>
      <w:r w:rsidRPr="0019747A">
        <w:t>ont pas analysé la situation individuelle du requérant et la question de la proportionnalité de l</w:t>
      </w:r>
      <w:r w:rsidRPr="0019747A" w:rsidR="0019747A">
        <w:t>’</w:t>
      </w:r>
      <w:r w:rsidRPr="0019747A">
        <w:t xml:space="preserve">ingérence (voir le rappel des éléments à prendre en compte dans </w:t>
      </w:r>
      <w:proofErr w:type="spellStart"/>
      <w:r w:rsidRPr="0019747A">
        <w:rPr>
          <w:i/>
        </w:rPr>
        <w:t>Riener</w:t>
      </w:r>
      <w:proofErr w:type="spellEnd"/>
      <w:r w:rsidRPr="0019747A">
        <w:t xml:space="preserve">, précité, §§ 122-26, et </w:t>
      </w:r>
      <w:proofErr w:type="spellStart"/>
      <w:r w:rsidRPr="0019747A">
        <w:rPr>
          <w:i/>
        </w:rPr>
        <w:t>Khlyustov</w:t>
      </w:r>
      <w:proofErr w:type="spellEnd"/>
      <w:r w:rsidRPr="0019747A">
        <w:t>, précité, § 91).</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32</w:t>
      </w:r>
      <w:r w:rsidRPr="0019747A">
        <w:fldChar w:fldCharType="end"/>
      </w:r>
      <w:r w:rsidRPr="0019747A">
        <w:t>.  Quant à l</w:t>
      </w:r>
      <w:r w:rsidRPr="0019747A" w:rsidR="0019747A">
        <w:t>’</w:t>
      </w:r>
      <w:r w:rsidRPr="0019747A">
        <w:t>obligation des autorités de réexaminer régulièrement la mesure restreignant la liberté de circulation du requérant, elle note que ce dernier est vraisemblablement resté sous le coup de cette mesure durant plusieurs années. Elle constate que, après la confirmation par les tribunaux internes du refus initial des autorités de délivrer le passeport, il n</w:t>
      </w:r>
      <w:r w:rsidRPr="0019747A" w:rsidR="0019747A">
        <w:t>’</w:t>
      </w:r>
      <w:r w:rsidRPr="0019747A">
        <w:t>y a eu aucun réexamen de la justification de l</w:t>
      </w:r>
      <w:r w:rsidRPr="0019747A" w:rsidR="0019747A">
        <w:t>’</w:t>
      </w:r>
      <w:r w:rsidRPr="0019747A">
        <w:t>interdiction de voyager. Cela est dû au fait que le droit interne n</w:t>
      </w:r>
      <w:r w:rsidRPr="0019747A" w:rsidR="0019747A">
        <w:t>’</w:t>
      </w:r>
      <w:r w:rsidRPr="0019747A">
        <w:t xml:space="preserve">en offrait pas la possibilité (comparer avec </w:t>
      </w:r>
      <w:proofErr w:type="spellStart"/>
      <w:r w:rsidRPr="0019747A">
        <w:rPr>
          <w:i/>
        </w:rPr>
        <w:t>Gochev</w:t>
      </w:r>
      <w:proofErr w:type="spellEnd"/>
      <w:r w:rsidRPr="0019747A">
        <w:t xml:space="preserve">, précité, § 55 et </w:t>
      </w:r>
      <w:proofErr w:type="spellStart"/>
      <w:r w:rsidRPr="0019747A">
        <w:rPr>
          <w:i/>
        </w:rPr>
        <w:t>Kerimli</w:t>
      </w:r>
      <w:proofErr w:type="spellEnd"/>
      <w:r w:rsidRPr="0019747A">
        <w:t>, précité, § 56).</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33</w:t>
      </w:r>
      <w:r w:rsidRPr="0019747A">
        <w:fldChar w:fldCharType="end"/>
      </w:r>
      <w:r w:rsidRPr="0019747A">
        <w:t>.  Eu égard à ces considérations, la Cour juge que le requérant a été soumis à une mesure de caractère automatique, sans limitation de durée et en l</w:t>
      </w:r>
      <w:r w:rsidRPr="0019747A" w:rsidR="0019747A">
        <w:t>’</w:t>
      </w:r>
      <w:r w:rsidRPr="0019747A">
        <w:t>absence d</w:t>
      </w:r>
      <w:r w:rsidRPr="0019747A" w:rsidR="0019747A">
        <w:t>’</w:t>
      </w:r>
      <w:r w:rsidRPr="0019747A">
        <w:t xml:space="preserve">un contrôle effectif et périodique (comparer avec </w:t>
      </w:r>
      <w:proofErr w:type="spellStart"/>
      <w:r w:rsidRPr="0019747A">
        <w:rPr>
          <w:i/>
        </w:rPr>
        <w:t>Sarkizov</w:t>
      </w:r>
      <w:proofErr w:type="spellEnd"/>
      <w:r w:rsidRPr="0019747A">
        <w:rPr>
          <w:i/>
        </w:rPr>
        <w:t xml:space="preserve"> et autres</w:t>
      </w:r>
      <w:r w:rsidRPr="0019747A">
        <w:t>, précité, § 67). Ces éléments lui suffisent pour conclure que la législation interne, tel qu</w:t>
      </w:r>
      <w:r w:rsidRPr="0019747A" w:rsidR="0019747A">
        <w:t>’</w:t>
      </w:r>
      <w:r w:rsidRPr="0019747A">
        <w:t>appliquée en l</w:t>
      </w:r>
      <w:r w:rsidRPr="0019747A" w:rsidR="0019747A">
        <w:t>’</w:t>
      </w:r>
      <w:r w:rsidRPr="0019747A">
        <w:t>espèce, n</w:t>
      </w:r>
      <w:r w:rsidRPr="0019747A" w:rsidR="0019747A">
        <w:t>’</w:t>
      </w:r>
      <w:r w:rsidRPr="0019747A">
        <w:t>a pas offert à l</w:t>
      </w:r>
      <w:r w:rsidRPr="0019747A" w:rsidR="0019747A">
        <w:t>’</w:t>
      </w:r>
      <w:r w:rsidRPr="0019747A">
        <w:t>intéressé la possibilité de bénéficier de garanties procédurales suffisantes pour prévenir le risque d</w:t>
      </w:r>
      <w:r w:rsidRPr="0019747A" w:rsidR="0019747A">
        <w:t>’</w:t>
      </w:r>
      <w:r w:rsidRPr="0019747A">
        <w:t>abus de pouvoir de la part des autorités et que celui-ci a été donc privé de la protection nécessaire contre l</w:t>
      </w:r>
      <w:r w:rsidRPr="0019747A" w:rsidR="0019747A">
        <w:t>’</w:t>
      </w:r>
      <w:r w:rsidRPr="0019747A">
        <w:t>arbitraire que lui conférait le principe de la prééminence du droit dans une société démocratique.</w:t>
      </w:r>
    </w:p>
    <w:bookmarkStart w:name="lt_pId604" w:id="22"/>
    <w:bookmarkEnd w:id="22"/>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34</w:t>
      </w:r>
      <w:r w:rsidRPr="0019747A">
        <w:fldChar w:fldCharType="end"/>
      </w:r>
      <w:r w:rsidRPr="0019747A">
        <w:t>.  Dans ces circonstances, la Cour considère que l</w:t>
      </w:r>
      <w:r w:rsidRPr="0019747A" w:rsidR="0019747A">
        <w:t>’</w:t>
      </w:r>
      <w:r w:rsidRPr="0019747A">
        <w:t>ingérence dans le droit à la liberté de circulation du requérant n</w:t>
      </w:r>
      <w:r w:rsidRPr="0019747A" w:rsidR="0019747A">
        <w:t>’</w:t>
      </w:r>
      <w:r w:rsidRPr="0019747A">
        <w:t>était pas « prévue par la loi ». Ce constat rend superflu l</w:t>
      </w:r>
      <w:r w:rsidRPr="0019747A" w:rsidR="0019747A">
        <w:t>’</w:t>
      </w:r>
      <w:r w:rsidRPr="0019747A">
        <w:t xml:space="preserve">examen du respect des autres </w:t>
      </w:r>
      <w:r w:rsidRPr="0019747A">
        <w:rPr>
          <w:rFonts w:ascii="Times New Roman" w:hAnsi="Times New Roman" w:cs="Times New Roman"/>
          <w:color w:val="000000"/>
        </w:rPr>
        <w:t xml:space="preserve">exigences </w:t>
      </w:r>
      <w:r w:rsidRPr="0019747A">
        <w:t>exposées dans l</w:t>
      </w:r>
      <w:r w:rsidRPr="0019747A" w:rsidR="0019747A">
        <w:t>’</w:t>
      </w:r>
      <w:r w:rsidRPr="0019747A">
        <w:t>article 2 du Protocole n</w:t>
      </w:r>
      <w:r w:rsidRPr="0019747A">
        <w:rPr>
          <w:vertAlign w:val="superscript"/>
        </w:rPr>
        <w:t>o</w:t>
      </w:r>
      <w:r w:rsidRPr="0019747A">
        <w:t xml:space="preserve"> 4 à la Convention.</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35</w:t>
      </w:r>
      <w:r w:rsidRPr="0019747A">
        <w:fldChar w:fldCharType="end"/>
      </w:r>
      <w:r w:rsidRPr="0019747A">
        <w:t>.  Partant, il y a eu violation de cette disposition.</w:t>
      </w:r>
    </w:p>
    <w:bookmarkEnd w:id="15"/>
    <w:bookmarkEnd w:id="20"/>
    <w:p w:rsidRPr="0019747A" w:rsidR="005E56B3" w:rsidP="0019747A" w:rsidRDefault="005E56B3">
      <w:pPr>
        <w:pStyle w:val="JuHIRoman"/>
        <w:numPr>
          <w:ilvl w:val="1"/>
          <w:numId w:val="1"/>
        </w:numPr>
      </w:pPr>
      <w:r w:rsidRPr="0019747A">
        <w:rPr>
          <w:caps w:val="0"/>
        </w:rPr>
        <w:t>SUR L</w:t>
      </w:r>
      <w:r w:rsidRPr="0019747A" w:rsidR="0019747A">
        <w:rPr>
          <w:caps w:val="0"/>
        </w:rPr>
        <w:t>’</w:t>
      </w:r>
      <w:r w:rsidRPr="0019747A">
        <w:rPr>
          <w:caps w:val="0"/>
        </w:rPr>
        <w:t>APPLICATION DE L</w:t>
      </w:r>
      <w:r w:rsidRPr="0019747A" w:rsidR="0019747A">
        <w:rPr>
          <w:caps w:val="0"/>
        </w:rPr>
        <w:t>’</w:t>
      </w:r>
      <w:r w:rsidRPr="0019747A">
        <w:rPr>
          <w:caps w:val="0"/>
        </w:rPr>
        <w:t>ARTICLE 41 DE LA CONVENTION</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36</w:t>
      </w:r>
      <w:r w:rsidRPr="0019747A">
        <w:fldChar w:fldCharType="end"/>
      </w:r>
      <w:r w:rsidRPr="0019747A">
        <w:t>.  </w:t>
      </w:r>
      <w:bookmarkStart w:name="_Hlk36128236" w:id="23"/>
      <w:r w:rsidRPr="0019747A">
        <w:t>Aux termes de l</w:t>
      </w:r>
      <w:r w:rsidRPr="0019747A" w:rsidR="0019747A">
        <w:t>’</w:t>
      </w:r>
      <w:r w:rsidRPr="0019747A">
        <w:t>article 41 de la Convention :</w:t>
      </w:r>
      <w:bookmarkEnd w:id="23"/>
    </w:p>
    <w:p w:rsidRPr="0019747A" w:rsidR="005E56B3" w:rsidP="0019747A" w:rsidRDefault="005E56B3">
      <w:pPr>
        <w:pStyle w:val="JuQuot"/>
      </w:pPr>
      <w:bookmarkStart w:name="_Hlk36128242" w:id="24"/>
      <w:r w:rsidRPr="0019747A">
        <w:t>« Si la Cour déclare qu</w:t>
      </w:r>
      <w:r w:rsidRPr="0019747A" w:rsidR="0019747A">
        <w:t>’</w:t>
      </w:r>
      <w:r w:rsidRPr="0019747A">
        <w:t>il y a eu violation de la Convention ou de ses Protocoles, et si le droit interne de la Haute Partie contractante ne permet d</w:t>
      </w:r>
      <w:r w:rsidRPr="0019747A" w:rsidR="0019747A">
        <w:t>’</w:t>
      </w:r>
      <w:r w:rsidRPr="0019747A">
        <w:t>effacer qu</w:t>
      </w:r>
      <w:r w:rsidRPr="0019747A" w:rsidR="0019747A">
        <w:t>’</w:t>
      </w:r>
      <w:r w:rsidRPr="0019747A">
        <w:t>imparfaitement les conséquences de cette violation, la Cour accorde à la partie lésée, s</w:t>
      </w:r>
      <w:r w:rsidRPr="0019747A" w:rsidR="0019747A">
        <w:t>’</w:t>
      </w:r>
      <w:r w:rsidRPr="0019747A">
        <w:t>il y a lieu, une satisfaction équitable. »</w:t>
      </w:r>
      <w:bookmarkEnd w:id="24"/>
    </w:p>
    <w:p w:rsidRPr="0019747A" w:rsidR="005E56B3" w:rsidP="0019747A" w:rsidRDefault="005E56B3">
      <w:pPr>
        <w:pStyle w:val="JuHA"/>
        <w:numPr>
          <w:ilvl w:val="2"/>
          <w:numId w:val="1"/>
        </w:numPr>
      </w:pPr>
      <w:r w:rsidRPr="0019747A">
        <w:t>Dommage</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37</w:t>
      </w:r>
      <w:r w:rsidRPr="0019747A">
        <w:fldChar w:fldCharType="end"/>
      </w:r>
      <w:r w:rsidRPr="0019747A">
        <w:t>.  Le requérant demande 10 000 euros (EUR) au titre du dommage moral qu</w:t>
      </w:r>
      <w:r w:rsidRPr="0019747A" w:rsidR="0019747A">
        <w:t>’</w:t>
      </w:r>
      <w:r w:rsidRPr="0019747A">
        <w:t>il estime avoir subi.</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38</w:t>
      </w:r>
      <w:r w:rsidRPr="0019747A">
        <w:fldChar w:fldCharType="end"/>
      </w:r>
      <w:r w:rsidRPr="0019747A">
        <w:t>.  Le Gouvernement soutient que cette somme est excessive.</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39</w:t>
      </w:r>
      <w:r w:rsidRPr="0019747A">
        <w:fldChar w:fldCharType="end"/>
      </w:r>
      <w:r w:rsidRPr="0019747A">
        <w:t>.  La Cour considère que le requérant a dû subir un préjudice en raison de la violation constatée ci-dessus. Statuant en équité, elle lui octroie 3 000 EUR pour dommage moral, plus tout montant pouvant être dû sur cette somme à titre d</w:t>
      </w:r>
      <w:r w:rsidRPr="0019747A" w:rsidR="0019747A">
        <w:t>’</w:t>
      </w:r>
      <w:r w:rsidRPr="0019747A">
        <w:t>impôt.</w:t>
      </w:r>
    </w:p>
    <w:p w:rsidRPr="0019747A" w:rsidR="005E56B3" w:rsidP="0019747A" w:rsidRDefault="005E56B3">
      <w:pPr>
        <w:pStyle w:val="JuHA"/>
        <w:numPr>
          <w:ilvl w:val="2"/>
          <w:numId w:val="1"/>
        </w:numPr>
      </w:pPr>
      <w:r w:rsidRPr="0019747A">
        <w:t>Intérêts moratoires</w:t>
      </w:r>
    </w:p>
    <w:p w:rsidRPr="0019747A" w:rsidR="005E56B3" w:rsidP="0019747A" w:rsidRDefault="005E56B3">
      <w:pPr>
        <w:pStyle w:val="JuPara"/>
      </w:pPr>
      <w:r w:rsidRPr="0019747A">
        <w:fldChar w:fldCharType="begin"/>
      </w:r>
      <w:r w:rsidRPr="0019747A">
        <w:instrText xml:space="preserve"> SEQ level0 \*arabic </w:instrText>
      </w:r>
      <w:r w:rsidRPr="0019747A">
        <w:fldChar w:fldCharType="separate"/>
      </w:r>
      <w:r w:rsidRPr="0019747A" w:rsidR="0019747A">
        <w:rPr>
          <w:noProof/>
        </w:rPr>
        <w:t>40</w:t>
      </w:r>
      <w:r w:rsidRPr="0019747A">
        <w:fldChar w:fldCharType="end"/>
      </w:r>
      <w:r w:rsidRPr="0019747A">
        <w:t>.  La Cour juge approprié de calquer le taux des intérêts moratoires sur le taux d</w:t>
      </w:r>
      <w:r w:rsidRPr="0019747A" w:rsidR="0019747A">
        <w:t>’</w:t>
      </w:r>
      <w:r w:rsidRPr="0019747A">
        <w:t>intérêt de la facilité de prêt marginal de la Banque centrale européenne majoré de trois points de pourcentage.</w:t>
      </w:r>
    </w:p>
    <w:p w:rsidRPr="0019747A" w:rsidR="005E56B3" w:rsidP="0019747A" w:rsidRDefault="005E56B3">
      <w:pPr>
        <w:pStyle w:val="JuHHead"/>
        <w:numPr>
          <w:ilvl w:val="0"/>
          <w:numId w:val="1"/>
        </w:numPr>
      </w:pPr>
      <w:r w:rsidRPr="0019747A">
        <w:t xml:space="preserve">PAR CES MOTIFS, LA COUR, </w:t>
      </w:r>
      <w:r w:rsidRPr="0019747A">
        <w:rPr>
          <w:caps w:val="0"/>
        </w:rPr>
        <w:t>À L</w:t>
      </w:r>
      <w:r w:rsidRPr="0019747A" w:rsidR="0019747A">
        <w:rPr>
          <w:caps w:val="0"/>
        </w:rPr>
        <w:t>’</w:t>
      </w:r>
      <w:r w:rsidRPr="0019747A">
        <w:rPr>
          <w:caps w:val="0"/>
        </w:rPr>
        <w:t>UNANIMITÉ</w:t>
      </w:r>
      <w:r w:rsidRPr="0019747A">
        <w:t>,</w:t>
      </w:r>
    </w:p>
    <w:p w:rsidRPr="0019747A" w:rsidR="005E56B3" w:rsidP="0019747A" w:rsidRDefault="005E56B3">
      <w:pPr>
        <w:pStyle w:val="JuList"/>
      </w:pPr>
      <w:r w:rsidRPr="0019747A">
        <w:rPr>
          <w:i/>
        </w:rPr>
        <w:t>Déclare</w:t>
      </w:r>
      <w:r w:rsidRPr="0019747A">
        <w:t xml:space="preserve"> la requête recevable ;</w:t>
      </w:r>
    </w:p>
    <w:p w:rsidRPr="0019747A" w:rsidR="005E56B3" w:rsidP="0019747A" w:rsidRDefault="005E56B3">
      <w:pPr>
        <w:pStyle w:val="JuList"/>
      </w:pPr>
      <w:r w:rsidRPr="0019747A">
        <w:rPr>
          <w:i/>
        </w:rPr>
        <w:t>Dit</w:t>
      </w:r>
      <w:r w:rsidRPr="0019747A">
        <w:t xml:space="preserve"> qu</w:t>
      </w:r>
      <w:r w:rsidRPr="0019747A" w:rsidR="0019747A">
        <w:t>’</w:t>
      </w:r>
      <w:r w:rsidRPr="0019747A">
        <w:t>il y a eu violation de l</w:t>
      </w:r>
      <w:r w:rsidRPr="0019747A" w:rsidR="0019747A">
        <w:t>’</w:t>
      </w:r>
      <w:r w:rsidRPr="0019747A">
        <w:t>article 2 du Protocole n</w:t>
      </w:r>
      <w:r w:rsidRPr="0019747A">
        <w:rPr>
          <w:vertAlign w:val="superscript"/>
        </w:rPr>
        <w:t>o</w:t>
      </w:r>
      <w:r w:rsidRPr="0019747A">
        <w:t xml:space="preserve"> 4 à la Convention ;</w:t>
      </w:r>
    </w:p>
    <w:p w:rsidRPr="0019747A" w:rsidR="005E56B3" w:rsidP="0019747A" w:rsidRDefault="005E56B3">
      <w:pPr>
        <w:pStyle w:val="JuList"/>
        <w:rPr>
          <w:i/>
          <w:iCs/>
        </w:rPr>
      </w:pPr>
      <w:r w:rsidRPr="0019747A">
        <w:rPr>
          <w:i/>
          <w:iCs/>
        </w:rPr>
        <w:t>Dit</w:t>
      </w:r>
    </w:p>
    <w:p w:rsidRPr="0019747A" w:rsidR="005E56B3" w:rsidP="0019747A" w:rsidRDefault="005E56B3">
      <w:pPr>
        <w:pStyle w:val="JuLista"/>
        <w:numPr>
          <w:ilvl w:val="1"/>
          <w:numId w:val="2"/>
        </w:numPr>
      </w:pPr>
      <w:r w:rsidRPr="0019747A">
        <w:t>que l</w:t>
      </w:r>
      <w:r w:rsidRPr="0019747A" w:rsidR="0019747A">
        <w:t>’</w:t>
      </w:r>
      <w:r w:rsidRPr="0019747A">
        <w:t>État défendeur doit verser au requérant, dans un délai de trois</w:t>
      </w:r>
      <w:r w:rsidRPr="0019747A" w:rsidR="00C74482">
        <w:t> </w:t>
      </w:r>
      <w:r w:rsidRPr="0019747A">
        <w:t>mois à compter de la date à laquelle l</w:t>
      </w:r>
      <w:r w:rsidRPr="0019747A" w:rsidR="0019747A">
        <w:t>’</w:t>
      </w:r>
      <w:r w:rsidRPr="0019747A">
        <w:t>arrêt sera devenu définitif conformément à l</w:t>
      </w:r>
      <w:r w:rsidRPr="0019747A" w:rsidR="0019747A">
        <w:t>’</w:t>
      </w:r>
      <w:r w:rsidRPr="0019747A">
        <w:t>article 44 § 2 de la Convention, la somme de 3 000 EUR (trois mille euros) pour dommage moral, plus tout montant pouvant être dû sur cette somme à titre d</w:t>
      </w:r>
      <w:r w:rsidRPr="0019747A" w:rsidR="0019747A">
        <w:t>’</w:t>
      </w:r>
      <w:r w:rsidRPr="0019747A">
        <w:t>impôt, à convertir dans la monnaie de l</w:t>
      </w:r>
      <w:r w:rsidRPr="0019747A" w:rsidR="0019747A">
        <w:t>’</w:t>
      </w:r>
      <w:r w:rsidRPr="0019747A">
        <w:t>État défendeur au taux applicable à la date du règlement,</w:t>
      </w:r>
    </w:p>
    <w:p w:rsidRPr="0019747A" w:rsidR="005E56B3" w:rsidP="0019747A" w:rsidRDefault="005E56B3">
      <w:pPr>
        <w:pStyle w:val="JuLista"/>
        <w:numPr>
          <w:ilvl w:val="1"/>
          <w:numId w:val="2"/>
        </w:numPr>
      </w:pPr>
      <w:r w:rsidRPr="0019747A">
        <w:t>qu</w:t>
      </w:r>
      <w:r w:rsidRPr="0019747A" w:rsidR="0019747A">
        <w:t>’</w:t>
      </w:r>
      <w:r w:rsidRPr="0019747A">
        <w:t>à compter de l</w:t>
      </w:r>
      <w:r w:rsidRPr="0019747A" w:rsidR="0019747A">
        <w:t>’</w:t>
      </w:r>
      <w:r w:rsidRPr="0019747A">
        <w:t>expiration dudit délai et jusqu</w:t>
      </w:r>
      <w:r w:rsidRPr="0019747A" w:rsidR="0019747A">
        <w:t>’</w:t>
      </w:r>
      <w:r w:rsidRPr="0019747A">
        <w:t>au versement, ce montant sera à majorer d</w:t>
      </w:r>
      <w:r w:rsidRPr="0019747A" w:rsidR="0019747A">
        <w:t>’</w:t>
      </w:r>
      <w:r w:rsidRPr="0019747A">
        <w:t>un intérêt simple à un taux égal à celui de la facilité de prêt marginal de la Banque centrale européenne applicable pendant cette période, augmenté de trois points de pourcentage ;</w:t>
      </w:r>
    </w:p>
    <w:p w:rsidRPr="0019747A" w:rsidR="00876F03" w:rsidP="0019747A" w:rsidRDefault="005E56B3">
      <w:pPr>
        <w:pStyle w:val="JuList"/>
      </w:pPr>
      <w:r w:rsidRPr="0019747A">
        <w:rPr>
          <w:i/>
        </w:rPr>
        <w:t>Rejette</w:t>
      </w:r>
      <w:r w:rsidRPr="0019747A">
        <w:t xml:space="preserve"> le surplus de la demande de satisfaction équitable.</w:t>
      </w:r>
    </w:p>
    <w:p w:rsidRPr="0019747A" w:rsidR="00893F30" w:rsidP="0019747A" w:rsidRDefault="00893F30">
      <w:pPr>
        <w:pStyle w:val="JuParaLast"/>
      </w:pPr>
      <w:r w:rsidRPr="0019747A">
        <w:t xml:space="preserve">Fait en français, puis communiqué par écrit le </w:t>
      </w:r>
      <w:r w:rsidRPr="0019747A" w:rsidR="005E56B3">
        <w:t>8 décembre 2020</w:t>
      </w:r>
      <w:r w:rsidRPr="0019747A">
        <w:t>, en application de l</w:t>
      </w:r>
      <w:r w:rsidRPr="0019747A" w:rsidR="0019747A">
        <w:t>’</w:t>
      </w:r>
      <w:r w:rsidRPr="0019747A">
        <w:t>article 77 §§ 2 et 3 du règlement.</w:t>
      </w:r>
    </w:p>
    <w:p w:rsidRPr="0019747A" w:rsidR="00876F03" w:rsidP="0019747A" w:rsidRDefault="005E56B3">
      <w:pPr>
        <w:pStyle w:val="JuSigned"/>
      </w:pPr>
      <w:r w:rsidRPr="0019747A">
        <w:t>Stanley Naismith</w:t>
      </w:r>
      <w:r w:rsidRPr="0019747A" w:rsidR="004344E6">
        <w:tab/>
      </w:r>
      <w:r w:rsidRPr="0019747A" w:rsidR="00C74482">
        <w:t xml:space="preserve">Jon </w:t>
      </w:r>
      <w:proofErr w:type="spellStart"/>
      <w:r w:rsidRPr="0019747A" w:rsidR="00C74482">
        <w:t>Fridrik</w:t>
      </w:r>
      <w:proofErr w:type="spellEnd"/>
      <w:r w:rsidRPr="0019747A" w:rsidR="00C74482">
        <w:t xml:space="preserve"> </w:t>
      </w:r>
      <w:proofErr w:type="spellStart"/>
      <w:r w:rsidRPr="0019747A" w:rsidR="00C74482">
        <w:t>Kjølbro</w:t>
      </w:r>
      <w:proofErr w:type="spellEnd"/>
      <w:r w:rsidRPr="0019747A" w:rsidR="004344E6">
        <w:br/>
      </w:r>
      <w:r w:rsidRPr="0019747A" w:rsidR="004344E6">
        <w:tab/>
      </w:r>
      <w:r w:rsidRPr="0019747A">
        <w:t>Greffier</w:t>
      </w:r>
      <w:r w:rsidRPr="0019747A" w:rsidR="004344E6">
        <w:tab/>
      </w:r>
      <w:r w:rsidRPr="0019747A">
        <w:t>Présiden</w:t>
      </w:r>
      <w:r w:rsidRPr="0019747A" w:rsidR="00C74482">
        <w:t>t</w:t>
      </w:r>
    </w:p>
    <w:sectPr w:rsidRPr="0019747A" w:rsidR="00876F03">
      <w:headerReference w:type="even" r:id="rId13"/>
      <w:headerReference w:type="default" r:id="rId14"/>
      <w:footerReference w:type="default" r:id="rId15"/>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56B3" w:rsidRPr="000A20EB" w:rsidRDefault="005E56B3" w:rsidP="00516B59">
      <w:r w:rsidRPr="000A20EB">
        <w:separator/>
      </w:r>
    </w:p>
  </w:endnote>
  <w:endnote w:type="continuationSeparator" w:id="0">
    <w:p w:rsidR="005E56B3" w:rsidRPr="000A20EB" w:rsidRDefault="005E56B3" w:rsidP="00516B59">
      <w:r w:rsidRPr="000A20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AD6" w:rsidRDefault="005E56B3" w:rsidP="00954AD6">
    <w:pPr>
      <w:pStyle w:val="JuHeader"/>
    </w:pPr>
    <w:r>
      <w:fldChar w:fldCharType="begin"/>
    </w:r>
    <w:r>
      <w:instrText xml:space="preserve"> PAGE </w:instrText>
    </w:r>
    <w:r>
      <w:fldChar w:fldCharType="separate"/>
    </w:r>
    <w:r w:rsidR="0019747A">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6B3" w:rsidRPr="00150BFA" w:rsidRDefault="005E56B3" w:rsidP="0020718E">
    <w:pPr>
      <w:jc w:val="center"/>
    </w:pPr>
    <w:r>
      <w:rPr>
        <w:noProof/>
        <w:lang w:val="en-US" w:eastAsia="ja-JP"/>
      </w:rPr>
      <w:drawing>
        <wp:inline distT="0" distB="0" distL="0" distR="0" wp14:anchorId="091F0340" wp14:editId="05CC7297">
          <wp:extent cx="771525" cy="619125"/>
          <wp:effectExtent l="0" t="0" r="9525" b="9525"/>
          <wp:docPr id="67" name="Picture 6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22D5C" w:rsidRPr="000A20EB" w:rsidRDefault="00407718"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6B3" w:rsidRPr="00150BFA" w:rsidRDefault="005E56B3" w:rsidP="0020718E">
    <w:pPr>
      <w:jc w:val="center"/>
    </w:pPr>
    <w:r>
      <w:rPr>
        <w:noProof/>
        <w:lang w:val="en-US" w:eastAsia="ja-JP"/>
      </w:rPr>
      <w:drawing>
        <wp:inline distT="0" distB="0" distL="0" distR="0" wp14:anchorId="7A8D210F" wp14:editId="133A37C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02601" w:rsidRPr="000A20EB" w:rsidRDefault="00902601" w:rsidP="00902601">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D01935" w:rsidRDefault="005E56B3" w:rsidP="00662882">
    <w:pPr>
      <w:pStyle w:val="JuHeader"/>
    </w:pPr>
    <w:r>
      <w:fldChar w:fldCharType="begin"/>
    </w:r>
    <w:r>
      <w:instrText xml:space="preserve"> PAGE </w:instrText>
    </w:r>
    <w:r>
      <w:fldChar w:fldCharType="separate"/>
    </w:r>
    <w:r w:rsidR="0019747A">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56B3" w:rsidRPr="000A20EB" w:rsidRDefault="005E56B3" w:rsidP="00516B59">
      <w:r w:rsidRPr="000A20EB">
        <w:separator/>
      </w:r>
    </w:p>
  </w:footnote>
  <w:footnote w:type="continuationSeparator" w:id="0">
    <w:p w:rsidR="005E56B3" w:rsidRPr="000A20EB" w:rsidRDefault="005E56B3" w:rsidP="00516B59">
      <w:r w:rsidRPr="000A20E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6B3" w:rsidRPr="00A45145" w:rsidRDefault="005E56B3" w:rsidP="00A45145">
    <w:pPr>
      <w:jc w:val="center"/>
    </w:pPr>
    <w:r>
      <w:rPr>
        <w:noProof/>
        <w:lang w:val="en-US" w:eastAsia="ja-JP"/>
      </w:rPr>
      <w:drawing>
        <wp:inline distT="0" distB="0" distL="0" distR="0" wp14:anchorId="75BD8268" wp14:editId="0240C054">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22D5C" w:rsidRPr="000A20EB" w:rsidRDefault="00407718" w:rsidP="009840A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6B3" w:rsidRPr="00A45145" w:rsidRDefault="005E56B3" w:rsidP="00A45145">
    <w:pPr>
      <w:jc w:val="center"/>
    </w:pPr>
    <w:r>
      <w:rPr>
        <w:noProof/>
        <w:lang w:val="en-US" w:eastAsia="ja-JP"/>
      </w:rPr>
      <w:drawing>
        <wp:inline distT="0" distB="0" distL="0" distR="0" wp14:anchorId="0F54C824" wp14:editId="428EC7A0">
          <wp:extent cx="2962275" cy="1219200"/>
          <wp:effectExtent l="0" t="0" r="9525" b="0"/>
          <wp:docPr id="55" name="Picture 5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02601" w:rsidRPr="000A20EB" w:rsidRDefault="00902601" w:rsidP="00902601">
    <w:pPr>
      <w:jc w:val="center"/>
      <w:rPr>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C74482" w:rsidRDefault="00A21624" w:rsidP="00A21624">
    <w:pPr>
      <w:pStyle w:val="JuHeader"/>
    </w:pPr>
    <w:r w:rsidRPr="00C74482">
      <w:t>ARRÊT</w:t>
    </w:r>
    <w:r w:rsidR="00256F45" w:rsidRPr="00C74482">
      <w:t xml:space="preserve"> </w:t>
    </w:r>
    <w:r w:rsidR="005E56B3" w:rsidRPr="00C74482">
      <w:t>ROTARU c. RÉPUBLIQUE DE MOLDOVA</w:t>
    </w:r>
    <w:r w:rsidR="005E56B3" w:rsidRPr="00C74482">
      <w:rPr>
        <w:noProof/>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662882" w:rsidRDefault="00256F45" w:rsidP="00662882">
    <w:pPr>
      <w:pStyle w:val="JuHeader"/>
    </w:pPr>
    <w:r w:rsidRPr="00C74482">
      <w:t>ARRÊT</w:t>
    </w:r>
    <w:r w:rsidR="00162967" w:rsidRPr="00C74482">
      <w:t xml:space="preserve"> </w:t>
    </w:r>
    <w:r w:rsidR="005E56B3" w:rsidRPr="00C74482">
      <w:t>ROTARU c. RÉPUBLIQUE DE MOLDOVA</w:t>
    </w:r>
    <w:r w:rsidR="007971FF" w:rsidRPr="00C74482">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A44CA382"/>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E0E65820"/>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lvlOverride w:ilvl="0">
      <w:lvl w:ilvl="0">
        <w:start w:val="1"/>
        <w:numFmt w:val="decimal"/>
        <w:pStyle w:val="JuList"/>
        <w:lvlText w:val="%1."/>
        <w:lvlJc w:val="left"/>
        <w:pPr>
          <w:tabs>
            <w:tab w:val="num" w:pos="340"/>
          </w:tabs>
          <w:ind w:left="340" w:hanging="340"/>
        </w:pPr>
        <w:rPr>
          <w:rFonts w:hint="default"/>
          <w:i w:val="0"/>
        </w:rPr>
      </w:lvl>
    </w:lvlOverride>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E56B3"/>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9747A"/>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E56B3"/>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17F8E"/>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1BF0"/>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482"/>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1972"/>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9747A"/>
    <w:rPr>
      <w:sz w:val="24"/>
      <w:szCs w:val="24"/>
      <w:lang w:val="fr-FR"/>
    </w:rPr>
  </w:style>
  <w:style w:type="paragraph" w:styleId="Heading1">
    <w:name w:val="heading 1"/>
    <w:basedOn w:val="Normal"/>
    <w:next w:val="Normal"/>
    <w:link w:val="Heading1Char"/>
    <w:uiPriority w:val="98"/>
    <w:semiHidden/>
    <w:rsid w:val="0019747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9747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9747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9747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9747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9747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9747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9747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9747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9747A"/>
    <w:rPr>
      <w:rFonts w:ascii="Tahoma" w:hAnsi="Tahoma" w:cs="Tahoma"/>
      <w:sz w:val="16"/>
      <w:szCs w:val="16"/>
    </w:rPr>
  </w:style>
  <w:style w:type="character" w:customStyle="1" w:styleId="BalloonTextChar">
    <w:name w:val="Balloon Text Char"/>
    <w:basedOn w:val="DefaultParagraphFont"/>
    <w:link w:val="BalloonText"/>
    <w:uiPriority w:val="98"/>
    <w:semiHidden/>
    <w:rsid w:val="0019747A"/>
    <w:rPr>
      <w:rFonts w:ascii="Tahoma" w:hAnsi="Tahoma" w:cs="Tahoma"/>
      <w:sz w:val="16"/>
      <w:szCs w:val="16"/>
      <w:lang w:val="fr-FR"/>
    </w:rPr>
  </w:style>
  <w:style w:type="character" w:styleId="BookTitle">
    <w:name w:val="Book Title"/>
    <w:uiPriority w:val="98"/>
    <w:semiHidden/>
    <w:qFormat/>
    <w:rsid w:val="0019747A"/>
    <w:rPr>
      <w:i/>
      <w:iCs/>
      <w:smallCaps/>
      <w:spacing w:val="5"/>
    </w:rPr>
  </w:style>
  <w:style w:type="paragraph" w:customStyle="1" w:styleId="JuHeader">
    <w:name w:val="Ju_Header"/>
    <w:aliases w:val="_Header"/>
    <w:basedOn w:val="Header"/>
    <w:uiPriority w:val="29"/>
    <w:qFormat/>
    <w:rsid w:val="0019747A"/>
    <w:pPr>
      <w:tabs>
        <w:tab w:val="clear" w:pos="4536"/>
        <w:tab w:val="clear" w:pos="9072"/>
      </w:tabs>
      <w:jc w:val="center"/>
    </w:pPr>
    <w:rPr>
      <w:sz w:val="18"/>
    </w:rPr>
  </w:style>
  <w:style w:type="paragraph" w:customStyle="1" w:styleId="DecList">
    <w:name w:val="Dec_List"/>
    <w:aliases w:val="_List"/>
    <w:basedOn w:val="JuList"/>
    <w:uiPriority w:val="22"/>
    <w:rsid w:val="0019747A"/>
    <w:pPr>
      <w:numPr>
        <w:numId w:val="0"/>
      </w:numPr>
      <w:ind w:left="284"/>
    </w:pPr>
  </w:style>
  <w:style w:type="character" w:styleId="Strong">
    <w:name w:val="Strong"/>
    <w:uiPriority w:val="98"/>
    <w:semiHidden/>
    <w:qFormat/>
    <w:rsid w:val="0019747A"/>
    <w:rPr>
      <w:b/>
      <w:bCs/>
    </w:rPr>
  </w:style>
  <w:style w:type="paragraph" w:styleId="NoSpacing">
    <w:name w:val="No Spacing"/>
    <w:basedOn w:val="Normal"/>
    <w:link w:val="NoSpacingChar"/>
    <w:uiPriority w:val="98"/>
    <w:semiHidden/>
    <w:qFormat/>
    <w:rsid w:val="0019747A"/>
  </w:style>
  <w:style w:type="character" w:customStyle="1" w:styleId="NoSpacingChar">
    <w:name w:val="No Spacing Char"/>
    <w:basedOn w:val="DefaultParagraphFont"/>
    <w:link w:val="NoSpacing"/>
    <w:uiPriority w:val="98"/>
    <w:semiHidden/>
    <w:rsid w:val="0019747A"/>
    <w:rPr>
      <w:sz w:val="24"/>
      <w:szCs w:val="24"/>
      <w:lang w:val="fr-FR"/>
    </w:rPr>
  </w:style>
  <w:style w:type="paragraph" w:customStyle="1" w:styleId="JuQuot">
    <w:name w:val="Ju_Quot"/>
    <w:aliases w:val="_Quote"/>
    <w:basedOn w:val="NormalJustified"/>
    <w:uiPriority w:val="20"/>
    <w:qFormat/>
    <w:rsid w:val="0019747A"/>
    <w:pPr>
      <w:spacing w:before="120" w:after="120"/>
      <w:ind w:left="425" w:firstLine="142"/>
    </w:pPr>
    <w:rPr>
      <w:sz w:val="20"/>
    </w:rPr>
  </w:style>
  <w:style w:type="paragraph" w:customStyle="1" w:styleId="JuList">
    <w:name w:val="Ju_List"/>
    <w:aliases w:val="_List_1"/>
    <w:basedOn w:val="NormalJustified"/>
    <w:uiPriority w:val="23"/>
    <w:qFormat/>
    <w:rsid w:val="0019747A"/>
    <w:pPr>
      <w:numPr>
        <w:numId w:val="8"/>
      </w:numPr>
      <w:spacing w:before="280" w:after="60"/>
    </w:pPr>
  </w:style>
  <w:style w:type="paragraph" w:customStyle="1" w:styleId="JuLista">
    <w:name w:val="Ju_List_a"/>
    <w:aliases w:val="_List_2"/>
    <w:basedOn w:val="NormalJustified"/>
    <w:uiPriority w:val="23"/>
    <w:rsid w:val="0019747A"/>
    <w:pPr>
      <w:numPr>
        <w:ilvl w:val="1"/>
        <w:numId w:val="8"/>
      </w:numPr>
    </w:pPr>
  </w:style>
  <w:style w:type="paragraph" w:customStyle="1" w:styleId="JuListi">
    <w:name w:val="Ju_List_i"/>
    <w:aliases w:val="_List_3"/>
    <w:basedOn w:val="NormalJustified"/>
    <w:uiPriority w:val="23"/>
    <w:rsid w:val="0019747A"/>
    <w:pPr>
      <w:numPr>
        <w:ilvl w:val="2"/>
        <w:numId w:val="8"/>
      </w:numPr>
    </w:pPr>
  </w:style>
  <w:style w:type="paragraph" w:customStyle="1" w:styleId="DecHTitle">
    <w:name w:val="Dec_H_Title"/>
    <w:aliases w:val="_Title_1"/>
    <w:basedOn w:val="JuPara"/>
    <w:next w:val="JuPara"/>
    <w:uiPriority w:val="38"/>
    <w:qFormat/>
    <w:rsid w:val="0019747A"/>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19747A"/>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19747A"/>
    <w:pPr>
      <w:keepNext/>
      <w:keepLines/>
      <w:tabs>
        <w:tab w:val="right" w:pos="7938"/>
      </w:tabs>
      <w:ind w:firstLine="0"/>
      <w:jc w:val="center"/>
    </w:pPr>
    <w:rPr>
      <w:i/>
    </w:rPr>
  </w:style>
  <w:style w:type="numbering" w:customStyle="1" w:styleId="ECHRA1StyleBulletedSquare">
    <w:name w:val="ECHR_A1_Style_Bulleted_Square"/>
    <w:basedOn w:val="NoList"/>
    <w:rsid w:val="0019747A"/>
    <w:pPr>
      <w:numPr>
        <w:numId w:val="7"/>
      </w:numPr>
    </w:pPr>
  </w:style>
  <w:style w:type="paragraph" w:customStyle="1" w:styleId="JuHHead">
    <w:name w:val="Ju_H_Head"/>
    <w:aliases w:val="_Head_1"/>
    <w:basedOn w:val="Heading1"/>
    <w:next w:val="JuPara"/>
    <w:uiPriority w:val="17"/>
    <w:qFormat/>
    <w:rsid w:val="0019747A"/>
    <w:pPr>
      <w:keepNext/>
      <w:keepLines/>
      <w:numPr>
        <w:numId w:val="3"/>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19747A"/>
    <w:pPr>
      <w:numPr>
        <w:numId w:val="20"/>
      </w:numPr>
    </w:pPr>
  </w:style>
  <w:style w:type="paragraph" w:customStyle="1" w:styleId="JuSigned">
    <w:name w:val="Ju_Signed"/>
    <w:aliases w:val="_Signature"/>
    <w:basedOn w:val="Normal"/>
    <w:next w:val="JuPara"/>
    <w:uiPriority w:val="31"/>
    <w:qFormat/>
    <w:rsid w:val="0019747A"/>
    <w:pPr>
      <w:tabs>
        <w:tab w:val="center" w:pos="851"/>
        <w:tab w:val="center" w:pos="6407"/>
      </w:tabs>
      <w:spacing w:before="720"/>
    </w:pPr>
  </w:style>
  <w:style w:type="paragraph" w:styleId="Title">
    <w:name w:val="Title"/>
    <w:basedOn w:val="Normal"/>
    <w:next w:val="Normal"/>
    <w:link w:val="TitleChar"/>
    <w:uiPriority w:val="98"/>
    <w:semiHidden/>
    <w:qFormat/>
    <w:rsid w:val="0019747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9747A"/>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19747A"/>
    <w:pPr>
      <w:numPr>
        <w:numId w:val="9"/>
      </w:numPr>
    </w:pPr>
  </w:style>
  <w:style w:type="table" w:customStyle="1" w:styleId="ECHRTable2019">
    <w:name w:val="ECHR_Table_2019"/>
    <w:basedOn w:val="TableNormal"/>
    <w:uiPriority w:val="99"/>
    <w:rsid w:val="0019747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917F8E"/>
    <w:rPr>
      <w:sz w:val="8"/>
    </w:rPr>
  </w:style>
  <w:style w:type="paragraph" w:customStyle="1" w:styleId="JuCourt">
    <w:name w:val="Ju_Court"/>
    <w:aliases w:val="_Court_Names"/>
    <w:basedOn w:val="Normal"/>
    <w:next w:val="Normal"/>
    <w:uiPriority w:val="32"/>
    <w:qFormat/>
    <w:rsid w:val="0019747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19747A"/>
    <w:pPr>
      <w:tabs>
        <w:tab w:val="center" w:pos="6407"/>
      </w:tabs>
      <w:spacing w:before="720"/>
      <w:jc w:val="right"/>
    </w:pPr>
  </w:style>
  <w:style w:type="paragraph" w:customStyle="1" w:styleId="JuHIRoman">
    <w:name w:val="Ju_H_I_Roman"/>
    <w:aliases w:val="_Head_2"/>
    <w:basedOn w:val="Heading2"/>
    <w:next w:val="JuPara"/>
    <w:uiPriority w:val="17"/>
    <w:qFormat/>
    <w:rsid w:val="0019747A"/>
    <w:pPr>
      <w:keepNext/>
      <w:keepLines/>
      <w:numPr>
        <w:ilvl w:val="1"/>
        <w:numId w:val="3"/>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9747A"/>
    <w:pPr>
      <w:keepNext/>
      <w:keepLines/>
      <w:numPr>
        <w:ilvl w:val="2"/>
        <w:numId w:val="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9747A"/>
    <w:pPr>
      <w:keepNext/>
      <w:keepLines/>
      <w:numPr>
        <w:ilvl w:val="3"/>
        <w:numId w:val="3"/>
      </w:numPr>
      <w:spacing w:before="100" w:beforeAutospacing="1" w:after="120"/>
      <w:jc w:val="both"/>
    </w:pPr>
    <w:rPr>
      <w:b w:val="0"/>
      <w:color w:val="auto"/>
      <w:sz w:val="24"/>
    </w:rPr>
  </w:style>
  <w:style w:type="paragraph" w:styleId="Header">
    <w:name w:val="header"/>
    <w:basedOn w:val="Normal"/>
    <w:link w:val="HeaderChar"/>
    <w:uiPriority w:val="98"/>
    <w:semiHidden/>
    <w:rsid w:val="0019747A"/>
    <w:pPr>
      <w:tabs>
        <w:tab w:val="center" w:pos="4536"/>
        <w:tab w:val="right" w:pos="9072"/>
      </w:tabs>
    </w:pPr>
  </w:style>
  <w:style w:type="character" w:customStyle="1" w:styleId="HeaderChar">
    <w:name w:val="Header Char"/>
    <w:basedOn w:val="DefaultParagraphFont"/>
    <w:link w:val="Header"/>
    <w:uiPriority w:val="98"/>
    <w:semiHidden/>
    <w:rsid w:val="0019747A"/>
    <w:rPr>
      <w:sz w:val="24"/>
      <w:szCs w:val="24"/>
      <w:lang w:val="fr-FR"/>
    </w:rPr>
  </w:style>
  <w:style w:type="character" w:customStyle="1" w:styleId="Heading1Char">
    <w:name w:val="Heading 1 Char"/>
    <w:basedOn w:val="DefaultParagraphFont"/>
    <w:link w:val="Heading1"/>
    <w:uiPriority w:val="98"/>
    <w:semiHidden/>
    <w:rsid w:val="0019747A"/>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19747A"/>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19747A"/>
    <w:pPr>
      <w:keepNext/>
      <w:keepLines/>
      <w:numPr>
        <w:ilvl w:val="5"/>
        <w:numId w:val="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9747A"/>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19747A"/>
    <w:pPr>
      <w:keepNext/>
      <w:keepLines/>
      <w:numPr>
        <w:ilvl w:val="6"/>
        <w:numId w:val="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9747A"/>
    <w:pPr>
      <w:keepNext/>
      <w:keepLines/>
      <w:numPr>
        <w:ilvl w:val="7"/>
        <w:numId w:val="3"/>
      </w:numPr>
      <w:spacing w:before="100" w:beforeAutospacing="1" w:after="120"/>
      <w:jc w:val="both"/>
    </w:pPr>
    <w:rPr>
      <w:i/>
    </w:rPr>
  </w:style>
  <w:style w:type="character" w:customStyle="1" w:styleId="Heading3Char">
    <w:name w:val="Heading 3 Char"/>
    <w:basedOn w:val="DefaultParagraphFont"/>
    <w:link w:val="Heading3"/>
    <w:uiPriority w:val="98"/>
    <w:semiHidden/>
    <w:rsid w:val="0019747A"/>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19747A"/>
    <w:pPr>
      <w:keepNext/>
      <w:keepLines/>
      <w:spacing w:before="240" w:after="240"/>
      <w:ind w:firstLine="284"/>
    </w:pPr>
  </w:style>
  <w:style w:type="paragraph" w:customStyle="1" w:styleId="JuJudges">
    <w:name w:val="Ju_Judges"/>
    <w:aliases w:val="_Judges"/>
    <w:basedOn w:val="Normal"/>
    <w:uiPriority w:val="32"/>
    <w:qFormat/>
    <w:rsid w:val="0019747A"/>
    <w:pPr>
      <w:tabs>
        <w:tab w:val="left" w:pos="567"/>
        <w:tab w:val="left" w:pos="1134"/>
      </w:tabs>
    </w:pPr>
  </w:style>
  <w:style w:type="character" w:customStyle="1" w:styleId="Heading4Char">
    <w:name w:val="Heading 4 Char"/>
    <w:basedOn w:val="DefaultParagraphFont"/>
    <w:link w:val="Heading4"/>
    <w:uiPriority w:val="98"/>
    <w:semiHidden/>
    <w:rsid w:val="0019747A"/>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semiHidden/>
    <w:qFormat/>
    <w:rsid w:val="0019747A"/>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19747A"/>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19747A"/>
    <w:rPr>
      <w:caps w:val="0"/>
      <w:smallCaps/>
    </w:rPr>
  </w:style>
  <w:style w:type="paragraph" w:customStyle="1" w:styleId="NormalJustified">
    <w:name w:val="Normal_Justified"/>
    <w:basedOn w:val="Normal"/>
    <w:semiHidden/>
    <w:rsid w:val="0019747A"/>
    <w:pPr>
      <w:jc w:val="both"/>
    </w:pPr>
  </w:style>
  <w:style w:type="character" w:styleId="SubtleEmphasis">
    <w:name w:val="Subtle Emphasis"/>
    <w:uiPriority w:val="98"/>
    <w:semiHidden/>
    <w:qFormat/>
    <w:rsid w:val="0019747A"/>
    <w:rPr>
      <w:i/>
      <w:iCs/>
    </w:rPr>
  </w:style>
  <w:style w:type="table" w:customStyle="1" w:styleId="ECHRTable">
    <w:name w:val="ECHR_Table"/>
    <w:basedOn w:val="TableNormal"/>
    <w:rsid w:val="0019747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9747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9747A"/>
    <w:rPr>
      <w:b/>
      <w:bCs/>
      <w:i/>
      <w:iCs/>
      <w:spacing w:val="10"/>
      <w:bdr w:val="none" w:sz="0" w:space="0" w:color="auto"/>
      <w:shd w:val="clear" w:color="auto" w:fill="auto"/>
    </w:rPr>
  </w:style>
  <w:style w:type="paragraph" w:styleId="Footer0">
    <w:name w:val="footer"/>
    <w:basedOn w:val="Normal"/>
    <w:link w:val="FooterChar"/>
    <w:uiPriority w:val="98"/>
    <w:semiHidden/>
    <w:rsid w:val="0019747A"/>
    <w:pPr>
      <w:tabs>
        <w:tab w:val="center" w:pos="3686"/>
        <w:tab w:val="right" w:pos="7371"/>
      </w:tabs>
    </w:pPr>
  </w:style>
  <w:style w:type="character" w:customStyle="1" w:styleId="FooterChar">
    <w:name w:val="Footer Char"/>
    <w:basedOn w:val="DefaultParagraphFont"/>
    <w:link w:val="Footer0"/>
    <w:uiPriority w:val="98"/>
    <w:semiHidden/>
    <w:rsid w:val="0019747A"/>
    <w:rPr>
      <w:sz w:val="24"/>
      <w:szCs w:val="24"/>
      <w:lang w:val="fr-FR"/>
    </w:rPr>
  </w:style>
  <w:style w:type="character" w:styleId="FootnoteReference">
    <w:name w:val="footnote reference"/>
    <w:basedOn w:val="DefaultParagraphFont"/>
    <w:uiPriority w:val="98"/>
    <w:semiHidden/>
    <w:rsid w:val="0019747A"/>
    <w:rPr>
      <w:vertAlign w:val="superscript"/>
    </w:rPr>
  </w:style>
  <w:style w:type="paragraph" w:styleId="FootnoteText">
    <w:name w:val="footnote text"/>
    <w:basedOn w:val="Normal"/>
    <w:link w:val="FootnoteTextChar"/>
    <w:uiPriority w:val="98"/>
    <w:semiHidden/>
    <w:rsid w:val="0019747A"/>
    <w:rPr>
      <w:sz w:val="20"/>
      <w:szCs w:val="20"/>
    </w:rPr>
  </w:style>
  <w:style w:type="character" w:customStyle="1" w:styleId="FootnoteTextChar">
    <w:name w:val="Footnote Text Char"/>
    <w:basedOn w:val="DefaultParagraphFont"/>
    <w:link w:val="FootnoteText"/>
    <w:uiPriority w:val="98"/>
    <w:semiHidden/>
    <w:rsid w:val="0019747A"/>
    <w:rPr>
      <w:sz w:val="20"/>
      <w:szCs w:val="20"/>
      <w:lang w:val="fr-FR"/>
    </w:rPr>
  </w:style>
  <w:style w:type="character" w:customStyle="1" w:styleId="Heading6Char">
    <w:name w:val="Heading 6 Char"/>
    <w:basedOn w:val="DefaultParagraphFont"/>
    <w:link w:val="Heading6"/>
    <w:uiPriority w:val="98"/>
    <w:semiHidden/>
    <w:rsid w:val="0019747A"/>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19747A"/>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19747A"/>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19747A"/>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19747A"/>
    <w:rPr>
      <w:color w:val="0072BC" w:themeColor="hyperlink"/>
      <w:u w:val="single"/>
    </w:rPr>
  </w:style>
  <w:style w:type="character" w:styleId="IntenseEmphasis">
    <w:name w:val="Intense Emphasis"/>
    <w:uiPriority w:val="98"/>
    <w:semiHidden/>
    <w:qFormat/>
    <w:rsid w:val="0019747A"/>
    <w:rPr>
      <w:b/>
      <w:bCs/>
    </w:rPr>
  </w:style>
  <w:style w:type="paragraph" w:styleId="IntenseQuote">
    <w:name w:val="Intense Quote"/>
    <w:basedOn w:val="Normal"/>
    <w:next w:val="Normal"/>
    <w:link w:val="IntenseQuoteChar"/>
    <w:uiPriority w:val="98"/>
    <w:semiHidden/>
    <w:qFormat/>
    <w:rsid w:val="0019747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9747A"/>
    <w:rPr>
      <w:b/>
      <w:bCs/>
      <w:i/>
      <w:iCs/>
      <w:sz w:val="24"/>
      <w:szCs w:val="24"/>
      <w:lang w:val="fr-FR" w:bidi="en-US"/>
    </w:rPr>
  </w:style>
  <w:style w:type="character" w:styleId="IntenseReference">
    <w:name w:val="Intense Reference"/>
    <w:uiPriority w:val="98"/>
    <w:semiHidden/>
    <w:qFormat/>
    <w:rsid w:val="0019747A"/>
    <w:rPr>
      <w:smallCaps/>
      <w:spacing w:val="5"/>
      <w:u w:val="single"/>
    </w:rPr>
  </w:style>
  <w:style w:type="paragraph" w:styleId="ListParagraph">
    <w:name w:val="List Paragraph"/>
    <w:basedOn w:val="Normal"/>
    <w:uiPriority w:val="98"/>
    <w:semiHidden/>
    <w:qFormat/>
    <w:rsid w:val="0019747A"/>
    <w:pPr>
      <w:ind w:left="720"/>
      <w:contextualSpacing/>
    </w:pPr>
  </w:style>
  <w:style w:type="table" w:customStyle="1" w:styleId="LtrTableAddress">
    <w:name w:val="Ltr_Table_Address"/>
    <w:aliases w:val="ECHR_Ltr_Table_Address"/>
    <w:basedOn w:val="TableNormal"/>
    <w:uiPriority w:val="99"/>
    <w:rsid w:val="0019747A"/>
    <w:rPr>
      <w:sz w:val="24"/>
      <w:szCs w:val="24"/>
    </w:rPr>
    <w:tblPr>
      <w:tblInd w:w="5103" w:type="dxa"/>
    </w:tblPr>
  </w:style>
  <w:style w:type="paragraph" w:styleId="Quote">
    <w:name w:val="Quote"/>
    <w:basedOn w:val="Normal"/>
    <w:next w:val="Normal"/>
    <w:link w:val="QuoteChar"/>
    <w:uiPriority w:val="98"/>
    <w:semiHidden/>
    <w:qFormat/>
    <w:rsid w:val="0019747A"/>
    <w:pPr>
      <w:spacing w:before="200"/>
      <w:ind w:left="360" w:right="360"/>
    </w:pPr>
    <w:rPr>
      <w:i/>
      <w:iCs/>
      <w:lang w:bidi="en-US"/>
    </w:rPr>
  </w:style>
  <w:style w:type="character" w:customStyle="1" w:styleId="QuoteChar">
    <w:name w:val="Quote Char"/>
    <w:basedOn w:val="DefaultParagraphFont"/>
    <w:link w:val="Quote"/>
    <w:uiPriority w:val="98"/>
    <w:semiHidden/>
    <w:rsid w:val="0019747A"/>
    <w:rPr>
      <w:i/>
      <w:iCs/>
      <w:sz w:val="24"/>
      <w:szCs w:val="24"/>
      <w:lang w:val="fr-FR" w:bidi="en-US"/>
    </w:rPr>
  </w:style>
  <w:style w:type="character" w:styleId="SubtleReference">
    <w:name w:val="Subtle Reference"/>
    <w:uiPriority w:val="98"/>
    <w:semiHidden/>
    <w:qFormat/>
    <w:rsid w:val="0019747A"/>
    <w:rPr>
      <w:smallCaps/>
    </w:rPr>
  </w:style>
  <w:style w:type="table" w:styleId="TableGrid">
    <w:name w:val="Table Grid"/>
    <w:basedOn w:val="TableNormal"/>
    <w:uiPriority w:val="59"/>
    <w:semiHidden/>
    <w:rsid w:val="0019747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9747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9747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9747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9747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9747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9747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9747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9747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9747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9747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9747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9747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9747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19747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9747A"/>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19747A"/>
    <w:pPr>
      <w:numPr>
        <w:numId w:val="4"/>
      </w:numPr>
    </w:pPr>
  </w:style>
  <w:style w:type="paragraph" w:customStyle="1" w:styleId="JuPara">
    <w:name w:val="Ju_Para"/>
    <w:aliases w:val="_Para"/>
    <w:basedOn w:val="NormalJustified"/>
    <w:link w:val="JuParaChar"/>
    <w:uiPriority w:val="4"/>
    <w:qFormat/>
    <w:rsid w:val="0019747A"/>
    <w:pPr>
      <w:ind w:firstLine="284"/>
    </w:pPr>
  </w:style>
  <w:style w:type="numbering" w:styleId="1ai">
    <w:name w:val="Outline List 1"/>
    <w:basedOn w:val="NoList"/>
    <w:uiPriority w:val="99"/>
    <w:semiHidden/>
    <w:unhideWhenUsed/>
    <w:rsid w:val="0019747A"/>
    <w:pPr>
      <w:numPr>
        <w:numId w:val="5"/>
      </w:numPr>
    </w:pPr>
  </w:style>
  <w:style w:type="table" w:customStyle="1" w:styleId="ECHRTableSimpleBox">
    <w:name w:val="ECHR_Table_Simple_Box"/>
    <w:basedOn w:val="TableNormal"/>
    <w:uiPriority w:val="99"/>
    <w:rsid w:val="0019747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9747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9747A"/>
    <w:pPr>
      <w:numPr>
        <w:numId w:val="6"/>
      </w:numPr>
    </w:pPr>
  </w:style>
  <w:style w:type="table" w:customStyle="1" w:styleId="ECHRTableForInternalUse">
    <w:name w:val="ECHR_Table_For_Internal_Use"/>
    <w:basedOn w:val="TableNormal"/>
    <w:uiPriority w:val="99"/>
    <w:rsid w:val="0019747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9747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9747A"/>
  </w:style>
  <w:style w:type="paragraph" w:styleId="BlockText">
    <w:name w:val="Block Text"/>
    <w:basedOn w:val="Normal"/>
    <w:uiPriority w:val="98"/>
    <w:semiHidden/>
    <w:rsid w:val="0019747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9747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9747A"/>
    <w:pPr>
      <w:spacing w:after="120"/>
    </w:pPr>
  </w:style>
  <w:style w:type="character" w:customStyle="1" w:styleId="BodyTextChar">
    <w:name w:val="Body Text Char"/>
    <w:basedOn w:val="DefaultParagraphFont"/>
    <w:link w:val="BodyText"/>
    <w:uiPriority w:val="98"/>
    <w:semiHidden/>
    <w:rsid w:val="0019747A"/>
    <w:rPr>
      <w:sz w:val="24"/>
      <w:szCs w:val="24"/>
      <w:lang w:val="fr-FR"/>
    </w:rPr>
  </w:style>
  <w:style w:type="table" w:customStyle="1" w:styleId="ECHRTableOddBanded">
    <w:name w:val="ECHR_Table_Odd_Banded"/>
    <w:basedOn w:val="TableNormal"/>
    <w:uiPriority w:val="99"/>
    <w:rsid w:val="0019747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9747A"/>
    <w:pPr>
      <w:spacing w:after="120" w:line="480" w:lineRule="auto"/>
    </w:pPr>
  </w:style>
  <w:style w:type="table" w:customStyle="1" w:styleId="ECHRHeaderTableReduced">
    <w:name w:val="ECHR_Header_Table_Reduced"/>
    <w:basedOn w:val="TableNormal"/>
    <w:uiPriority w:val="99"/>
    <w:rsid w:val="0019747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19747A"/>
    <w:pPr>
      <w:ind w:firstLine="284"/>
    </w:pPr>
    <w:rPr>
      <w:b/>
    </w:rPr>
  </w:style>
  <w:style w:type="character" w:styleId="PageNumber">
    <w:name w:val="page number"/>
    <w:uiPriority w:val="98"/>
    <w:semiHidden/>
    <w:rsid w:val="0019747A"/>
    <w:rPr>
      <w:sz w:val="18"/>
    </w:rPr>
  </w:style>
  <w:style w:type="paragraph" w:styleId="ListBullet2">
    <w:name w:val="List Bullet 2"/>
    <w:basedOn w:val="Normal"/>
    <w:uiPriority w:val="98"/>
    <w:semiHidden/>
    <w:rsid w:val="0019747A"/>
    <w:pPr>
      <w:numPr>
        <w:numId w:val="11"/>
      </w:numPr>
      <w:contextualSpacing/>
    </w:pPr>
  </w:style>
  <w:style w:type="character" w:customStyle="1" w:styleId="BodyText2Char">
    <w:name w:val="Body Text 2 Char"/>
    <w:basedOn w:val="DefaultParagraphFont"/>
    <w:link w:val="BodyText2"/>
    <w:uiPriority w:val="98"/>
    <w:semiHidden/>
    <w:rsid w:val="0019747A"/>
    <w:rPr>
      <w:sz w:val="24"/>
      <w:szCs w:val="24"/>
      <w:lang w:val="fr-FR"/>
    </w:rPr>
  </w:style>
  <w:style w:type="paragraph" w:styleId="BodyText3">
    <w:name w:val="Body Text 3"/>
    <w:basedOn w:val="Normal"/>
    <w:link w:val="BodyText3Char"/>
    <w:uiPriority w:val="98"/>
    <w:semiHidden/>
    <w:rsid w:val="0019747A"/>
    <w:pPr>
      <w:spacing w:after="120"/>
    </w:pPr>
    <w:rPr>
      <w:sz w:val="16"/>
      <w:szCs w:val="16"/>
    </w:rPr>
  </w:style>
  <w:style w:type="character" w:customStyle="1" w:styleId="BodyText3Char">
    <w:name w:val="Body Text 3 Char"/>
    <w:basedOn w:val="DefaultParagraphFont"/>
    <w:link w:val="BodyText3"/>
    <w:uiPriority w:val="98"/>
    <w:semiHidden/>
    <w:rsid w:val="0019747A"/>
    <w:rPr>
      <w:sz w:val="16"/>
      <w:szCs w:val="16"/>
      <w:lang w:val="fr-FR"/>
    </w:rPr>
  </w:style>
  <w:style w:type="paragraph" w:styleId="BodyTextFirstIndent">
    <w:name w:val="Body Text First Indent"/>
    <w:basedOn w:val="BodyText"/>
    <w:link w:val="BodyTextFirstIndentChar"/>
    <w:uiPriority w:val="98"/>
    <w:semiHidden/>
    <w:rsid w:val="0019747A"/>
    <w:pPr>
      <w:spacing w:after="0"/>
      <w:ind w:firstLine="360"/>
    </w:pPr>
  </w:style>
  <w:style w:type="character" w:customStyle="1" w:styleId="BodyTextFirstIndentChar">
    <w:name w:val="Body Text First Indent Char"/>
    <w:basedOn w:val="BodyTextChar"/>
    <w:link w:val="BodyTextFirstIndent"/>
    <w:uiPriority w:val="98"/>
    <w:semiHidden/>
    <w:rsid w:val="0019747A"/>
    <w:rPr>
      <w:sz w:val="24"/>
      <w:szCs w:val="24"/>
      <w:lang w:val="fr-FR"/>
    </w:rPr>
  </w:style>
  <w:style w:type="paragraph" w:styleId="BodyTextIndent">
    <w:name w:val="Body Text Indent"/>
    <w:basedOn w:val="Normal"/>
    <w:link w:val="BodyTextIndentChar"/>
    <w:uiPriority w:val="98"/>
    <w:semiHidden/>
    <w:rsid w:val="0019747A"/>
    <w:pPr>
      <w:spacing w:after="120"/>
      <w:ind w:left="283"/>
    </w:pPr>
  </w:style>
  <w:style w:type="character" w:customStyle="1" w:styleId="BodyTextIndentChar">
    <w:name w:val="Body Text Indent Char"/>
    <w:basedOn w:val="DefaultParagraphFont"/>
    <w:link w:val="BodyTextIndent"/>
    <w:uiPriority w:val="98"/>
    <w:semiHidden/>
    <w:rsid w:val="0019747A"/>
    <w:rPr>
      <w:sz w:val="24"/>
      <w:szCs w:val="24"/>
      <w:lang w:val="fr-FR"/>
    </w:rPr>
  </w:style>
  <w:style w:type="paragraph" w:styleId="BodyTextFirstIndent2">
    <w:name w:val="Body Text First Indent 2"/>
    <w:basedOn w:val="BodyTextIndent"/>
    <w:link w:val="BodyTextFirstIndent2Char"/>
    <w:uiPriority w:val="98"/>
    <w:semiHidden/>
    <w:rsid w:val="0019747A"/>
    <w:pPr>
      <w:spacing w:after="0"/>
      <w:ind w:left="360" w:firstLine="360"/>
    </w:pPr>
  </w:style>
  <w:style w:type="character" w:customStyle="1" w:styleId="BodyTextFirstIndent2Char">
    <w:name w:val="Body Text First Indent 2 Char"/>
    <w:basedOn w:val="BodyTextIndentChar"/>
    <w:link w:val="BodyTextFirstIndent2"/>
    <w:uiPriority w:val="98"/>
    <w:semiHidden/>
    <w:rsid w:val="0019747A"/>
    <w:rPr>
      <w:sz w:val="24"/>
      <w:szCs w:val="24"/>
      <w:lang w:val="fr-FR"/>
    </w:rPr>
  </w:style>
  <w:style w:type="paragraph" w:styleId="BodyTextIndent2">
    <w:name w:val="Body Text Indent 2"/>
    <w:basedOn w:val="Normal"/>
    <w:link w:val="BodyTextIndent2Char"/>
    <w:uiPriority w:val="98"/>
    <w:semiHidden/>
    <w:rsid w:val="0019747A"/>
    <w:pPr>
      <w:spacing w:after="120" w:line="480" w:lineRule="auto"/>
      <w:ind w:left="283"/>
    </w:pPr>
  </w:style>
  <w:style w:type="character" w:customStyle="1" w:styleId="BodyTextIndent2Char">
    <w:name w:val="Body Text Indent 2 Char"/>
    <w:basedOn w:val="DefaultParagraphFont"/>
    <w:link w:val="BodyTextIndent2"/>
    <w:uiPriority w:val="98"/>
    <w:semiHidden/>
    <w:rsid w:val="0019747A"/>
    <w:rPr>
      <w:sz w:val="24"/>
      <w:szCs w:val="24"/>
      <w:lang w:val="fr-FR"/>
    </w:rPr>
  </w:style>
  <w:style w:type="paragraph" w:styleId="BodyTextIndent3">
    <w:name w:val="Body Text Indent 3"/>
    <w:basedOn w:val="Normal"/>
    <w:link w:val="BodyTextIndent3Char"/>
    <w:uiPriority w:val="98"/>
    <w:semiHidden/>
    <w:rsid w:val="0019747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9747A"/>
    <w:rPr>
      <w:sz w:val="16"/>
      <w:szCs w:val="16"/>
      <w:lang w:val="fr-FR"/>
    </w:rPr>
  </w:style>
  <w:style w:type="paragraph" w:styleId="Caption">
    <w:name w:val="caption"/>
    <w:basedOn w:val="Normal"/>
    <w:next w:val="Normal"/>
    <w:uiPriority w:val="98"/>
    <w:semiHidden/>
    <w:qFormat/>
    <w:rsid w:val="0019747A"/>
    <w:pPr>
      <w:spacing w:after="200"/>
    </w:pPr>
    <w:rPr>
      <w:b/>
      <w:bCs/>
      <w:color w:val="0072BC" w:themeColor="accent1"/>
      <w:sz w:val="18"/>
      <w:szCs w:val="18"/>
    </w:rPr>
  </w:style>
  <w:style w:type="paragraph" w:styleId="Closing">
    <w:name w:val="Closing"/>
    <w:basedOn w:val="Normal"/>
    <w:link w:val="ClosingChar"/>
    <w:uiPriority w:val="98"/>
    <w:semiHidden/>
    <w:rsid w:val="0019747A"/>
    <w:pPr>
      <w:ind w:left="4252"/>
    </w:pPr>
  </w:style>
  <w:style w:type="character" w:customStyle="1" w:styleId="ClosingChar">
    <w:name w:val="Closing Char"/>
    <w:basedOn w:val="DefaultParagraphFont"/>
    <w:link w:val="Closing"/>
    <w:uiPriority w:val="98"/>
    <w:semiHidden/>
    <w:rsid w:val="0019747A"/>
    <w:rPr>
      <w:sz w:val="24"/>
      <w:szCs w:val="24"/>
      <w:lang w:val="fr-FR"/>
    </w:rPr>
  </w:style>
  <w:style w:type="table" w:styleId="ColorfulGrid">
    <w:name w:val="Colorful Grid"/>
    <w:basedOn w:val="TableNormal"/>
    <w:uiPriority w:val="73"/>
    <w:semiHidden/>
    <w:rsid w:val="0019747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9747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9747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9747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9747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9747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9747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9747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9747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9747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9747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9747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9747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9747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9747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9747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9747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9747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9747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9747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9747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9747A"/>
    <w:rPr>
      <w:sz w:val="16"/>
      <w:szCs w:val="16"/>
    </w:rPr>
  </w:style>
  <w:style w:type="paragraph" w:styleId="CommentText">
    <w:name w:val="annotation text"/>
    <w:basedOn w:val="Normal"/>
    <w:link w:val="CommentTextChar"/>
    <w:uiPriority w:val="98"/>
    <w:semiHidden/>
    <w:rsid w:val="0019747A"/>
    <w:rPr>
      <w:sz w:val="20"/>
      <w:szCs w:val="20"/>
    </w:rPr>
  </w:style>
  <w:style w:type="character" w:customStyle="1" w:styleId="CommentTextChar">
    <w:name w:val="Comment Text Char"/>
    <w:basedOn w:val="DefaultParagraphFont"/>
    <w:link w:val="CommentText"/>
    <w:uiPriority w:val="98"/>
    <w:semiHidden/>
    <w:rsid w:val="0019747A"/>
    <w:rPr>
      <w:sz w:val="20"/>
      <w:szCs w:val="20"/>
      <w:lang w:val="fr-FR"/>
    </w:rPr>
  </w:style>
  <w:style w:type="paragraph" w:styleId="CommentSubject">
    <w:name w:val="annotation subject"/>
    <w:basedOn w:val="CommentText"/>
    <w:next w:val="CommentText"/>
    <w:link w:val="CommentSubjectChar"/>
    <w:uiPriority w:val="98"/>
    <w:semiHidden/>
    <w:rsid w:val="0019747A"/>
    <w:rPr>
      <w:b/>
      <w:bCs/>
    </w:rPr>
  </w:style>
  <w:style w:type="character" w:customStyle="1" w:styleId="CommentSubjectChar">
    <w:name w:val="Comment Subject Char"/>
    <w:basedOn w:val="CommentTextChar"/>
    <w:link w:val="CommentSubject"/>
    <w:uiPriority w:val="98"/>
    <w:semiHidden/>
    <w:rsid w:val="0019747A"/>
    <w:rPr>
      <w:b/>
      <w:bCs/>
      <w:sz w:val="20"/>
      <w:szCs w:val="20"/>
      <w:lang w:val="fr-FR"/>
    </w:rPr>
  </w:style>
  <w:style w:type="table" w:styleId="DarkList">
    <w:name w:val="Dark List"/>
    <w:basedOn w:val="TableNormal"/>
    <w:uiPriority w:val="70"/>
    <w:semiHidden/>
    <w:rsid w:val="0019747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9747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9747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9747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9747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9747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9747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9747A"/>
  </w:style>
  <w:style w:type="character" w:customStyle="1" w:styleId="DateChar">
    <w:name w:val="Date Char"/>
    <w:basedOn w:val="DefaultParagraphFont"/>
    <w:link w:val="Date"/>
    <w:uiPriority w:val="98"/>
    <w:semiHidden/>
    <w:rsid w:val="0019747A"/>
    <w:rPr>
      <w:sz w:val="24"/>
      <w:szCs w:val="24"/>
      <w:lang w:val="fr-FR"/>
    </w:rPr>
  </w:style>
  <w:style w:type="paragraph" w:styleId="DocumentMap">
    <w:name w:val="Document Map"/>
    <w:basedOn w:val="Normal"/>
    <w:link w:val="DocumentMapChar"/>
    <w:uiPriority w:val="98"/>
    <w:semiHidden/>
    <w:rsid w:val="0019747A"/>
    <w:rPr>
      <w:rFonts w:ascii="Tahoma" w:hAnsi="Tahoma" w:cs="Tahoma"/>
      <w:sz w:val="16"/>
      <w:szCs w:val="16"/>
    </w:rPr>
  </w:style>
  <w:style w:type="character" w:customStyle="1" w:styleId="DocumentMapChar">
    <w:name w:val="Document Map Char"/>
    <w:basedOn w:val="DefaultParagraphFont"/>
    <w:link w:val="DocumentMap"/>
    <w:uiPriority w:val="98"/>
    <w:semiHidden/>
    <w:rsid w:val="0019747A"/>
    <w:rPr>
      <w:rFonts w:ascii="Tahoma" w:hAnsi="Tahoma" w:cs="Tahoma"/>
      <w:sz w:val="16"/>
      <w:szCs w:val="16"/>
      <w:lang w:val="fr-FR"/>
    </w:rPr>
  </w:style>
  <w:style w:type="paragraph" w:styleId="E-mailSignature">
    <w:name w:val="E-mail Signature"/>
    <w:basedOn w:val="Normal"/>
    <w:link w:val="E-mailSignatureChar"/>
    <w:uiPriority w:val="98"/>
    <w:semiHidden/>
    <w:rsid w:val="0019747A"/>
  </w:style>
  <w:style w:type="character" w:customStyle="1" w:styleId="E-mailSignatureChar">
    <w:name w:val="E-mail Signature Char"/>
    <w:basedOn w:val="DefaultParagraphFont"/>
    <w:link w:val="E-mailSignature"/>
    <w:uiPriority w:val="98"/>
    <w:semiHidden/>
    <w:rsid w:val="0019747A"/>
    <w:rPr>
      <w:sz w:val="24"/>
      <w:szCs w:val="24"/>
      <w:lang w:val="fr-FR"/>
    </w:rPr>
  </w:style>
  <w:style w:type="character" w:styleId="EndnoteReference">
    <w:name w:val="endnote reference"/>
    <w:basedOn w:val="DefaultParagraphFont"/>
    <w:uiPriority w:val="98"/>
    <w:semiHidden/>
    <w:rsid w:val="0019747A"/>
    <w:rPr>
      <w:vertAlign w:val="superscript"/>
    </w:rPr>
  </w:style>
  <w:style w:type="paragraph" w:styleId="EndnoteText">
    <w:name w:val="endnote text"/>
    <w:basedOn w:val="Normal"/>
    <w:link w:val="EndnoteTextChar"/>
    <w:uiPriority w:val="98"/>
    <w:semiHidden/>
    <w:rsid w:val="0019747A"/>
    <w:rPr>
      <w:sz w:val="20"/>
      <w:szCs w:val="20"/>
    </w:rPr>
  </w:style>
  <w:style w:type="character" w:customStyle="1" w:styleId="EndnoteTextChar">
    <w:name w:val="Endnote Text Char"/>
    <w:basedOn w:val="DefaultParagraphFont"/>
    <w:link w:val="EndnoteText"/>
    <w:uiPriority w:val="98"/>
    <w:semiHidden/>
    <w:rsid w:val="0019747A"/>
    <w:rPr>
      <w:sz w:val="20"/>
      <w:szCs w:val="20"/>
      <w:lang w:val="fr-FR"/>
    </w:rPr>
  </w:style>
  <w:style w:type="paragraph" w:styleId="EnvelopeAddress">
    <w:name w:val="envelope address"/>
    <w:basedOn w:val="Normal"/>
    <w:uiPriority w:val="98"/>
    <w:semiHidden/>
    <w:rsid w:val="0019747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9747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9747A"/>
    <w:rPr>
      <w:color w:val="7030A0" w:themeColor="followedHyperlink"/>
      <w:u w:val="single"/>
    </w:rPr>
  </w:style>
  <w:style w:type="character" w:styleId="HTMLAcronym">
    <w:name w:val="HTML Acronym"/>
    <w:basedOn w:val="DefaultParagraphFont"/>
    <w:uiPriority w:val="98"/>
    <w:semiHidden/>
    <w:rsid w:val="0019747A"/>
  </w:style>
  <w:style w:type="paragraph" w:styleId="HTMLAddress">
    <w:name w:val="HTML Address"/>
    <w:basedOn w:val="Normal"/>
    <w:link w:val="HTMLAddressChar"/>
    <w:uiPriority w:val="98"/>
    <w:semiHidden/>
    <w:rsid w:val="0019747A"/>
    <w:rPr>
      <w:i/>
      <w:iCs/>
    </w:rPr>
  </w:style>
  <w:style w:type="character" w:customStyle="1" w:styleId="HTMLAddressChar">
    <w:name w:val="HTML Address Char"/>
    <w:basedOn w:val="DefaultParagraphFont"/>
    <w:link w:val="HTMLAddress"/>
    <w:uiPriority w:val="98"/>
    <w:semiHidden/>
    <w:rsid w:val="0019747A"/>
    <w:rPr>
      <w:i/>
      <w:iCs/>
      <w:sz w:val="24"/>
      <w:szCs w:val="24"/>
      <w:lang w:val="fr-FR"/>
    </w:rPr>
  </w:style>
  <w:style w:type="character" w:styleId="HTMLCite">
    <w:name w:val="HTML Cite"/>
    <w:basedOn w:val="DefaultParagraphFont"/>
    <w:uiPriority w:val="98"/>
    <w:semiHidden/>
    <w:rsid w:val="0019747A"/>
    <w:rPr>
      <w:i/>
      <w:iCs/>
    </w:rPr>
  </w:style>
  <w:style w:type="character" w:styleId="HTMLCode">
    <w:name w:val="HTML Code"/>
    <w:basedOn w:val="DefaultParagraphFont"/>
    <w:uiPriority w:val="98"/>
    <w:semiHidden/>
    <w:rsid w:val="0019747A"/>
    <w:rPr>
      <w:rFonts w:ascii="Consolas" w:hAnsi="Consolas" w:cs="Consolas"/>
      <w:sz w:val="20"/>
      <w:szCs w:val="20"/>
    </w:rPr>
  </w:style>
  <w:style w:type="character" w:styleId="HTMLDefinition">
    <w:name w:val="HTML Definition"/>
    <w:basedOn w:val="DefaultParagraphFont"/>
    <w:uiPriority w:val="98"/>
    <w:semiHidden/>
    <w:rsid w:val="0019747A"/>
    <w:rPr>
      <w:i/>
      <w:iCs/>
    </w:rPr>
  </w:style>
  <w:style w:type="character" w:styleId="HTMLKeyboard">
    <w:name w:val="HTML Keyboard"/>
    <w:basedOn w:val="DefaultParagraphFont"/>
    <w:uiPriority w:val="98"/>
    <w:semiHidden/>
    <w:rsid w:val="0019747A"/>
    <w:rPr>
      <w:rFonts w:ascii="Consolas" w:hAnsi="Consolas" w:cs="Consolas"/>
      <w:sz w:val="20"/>
      <w:szCs w:val="20"/>
    </w:rPr>
  </w:style>
  <w:style w:type="paragraph" w:styleId="HTMLPreformatted">
    <w:name w:val="HTML Preformatted"/>
    <w:basedOn w:val="Normal"/>
    <w:link w:val="HTMLPreformattedChar"/>
    <w:uiPriority w:val="98"/>
    <w:semiHidden/>
    <w:rsid w:val="0019747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9747A"/>
    <w:rPr>
      <w:rFonts w:ascii="Consolas" w:hAnsi="Consolas" w:cs="Consolas"/>
      <w:sz w:val="20"/>
      <w:szCs w:val="20"/>
      <w:lang w:val="fr-FR"/>
    </w:rPr>
  </w:style>
  <w:style w:type="character" w:styleId="HTMLSample">
    <w:name w:val="HTML Sample"/>
    <w:basedOn w:val="DefaultParagraphFont"/>
    <w:uiPriority w:val="98"/>
    <w:semiHidden/>
    <w:rsid w:val="0019747A"/>
    <w:rPr>
      <w:rFonts w:ascii="Consolas" w:hAnsi="Consolas" w:cs="Consolas"/>
      <w:sz w:val="24"/>
      <w:szCs w:val="24"/>
    </w:rPr>
  </w:style>
  <w:style w:type="character" w:styleId="HTMLTypewriter">
    <w:name w:val="HTML Typewriter"/>
    <w:basedOn w:val="DefaultParagraphFont"/>
    <w:uiPriority w:val="98"/>
    <w:semiHidden/>
    <w:rsid w:val="0019747A"/>
    <w:rPr>
      <w:rFonts w:ascii="Consolas" w:hAnsi="Consolas" w:cs="Consolas"/>
      <w:sz w:val="20"/>
      <w:szCs w:val="20"/>
    </w:rPr>
  </w:style>
  <w:style w:type="character" w:styleId="HTMLVariable">
    <w:name w:val="HTML Variable"/>
    <w:basedOn w:val="DefaultParagraphFont"/>
    <w:uiPriority w:val="98"/>
    <w:semiHidden/>
    <w:rsid w:val="0019747A"/>
    <w:rPr>
      <w:i/>
      <w:iCs/>
    </w:rPr>
  </w:style>
  <w:style w:type="paragraph" w:styleId="Index1">
    <w:name w:val="index 1"/>
    <w:basedOn w:val="Normal"/>
    <w:next w:val="Normal"/>
    <w:autoRedefine/>
    <w:uiPriority w:val="98"/>
    <w:semiHidden/>
    <w:rsid w:val="0019747A"/>
    <w:pPr>
      <w:ind w:left="240" w:hanging="240"/>
    </w:pPr>
  </w:style>
  <w:style w:type="paragraph" w:styleId="Index2">
    <w:name w:val="index 2"/>
    <w:basedOn w:val="Normal"/>
    <w:next w:val="Normal"/>
    <w:autoRedefine/>
    <w:uiPriority w:val="98"/>
    <w:semiHidden/>
    <w:rsid w:val="0019747A"/>
    <w:pPr>
      <w:ind w:left="480" w:hanging="240"/>
    </w:pPr>
  </w:style>
  <w:style w:type="paragraph" w:styleId="Index3">
    <w:name w:val="index 3"/>
    <w:basedOn w:val="Normal"/>
    <w:next w:val="Normal"/>
    <w:autoRedefine/>
    <w:uiPriority w:val="98"/>
    <w:semiHidden/>
    <w:rsid w:val="0019747A"/>
    <w:pPr>
      <w:ind w:left="720" w:hanging="240"/>
    </w:pPr>
  </w:style>
  <w:style w:type="paragraph" w:styleId="Index4">
    <w:name w:val="index 4"/>
    <w:basedOn w:val="Normal"/>
    <w:next w:val="Normal"/>
    <w:autoRedefine/>
    <w:uiPriority w:val="98"/>
    <w:semiHidden/>
    <w:rsid w:val="0019747A"/>
    <w:pPr>
      <w:ind w:left="960" w:hanging="240"/>
    </w:pPr>
  </w:style>
  <w:style w:type="paragraph" w:styleId="Index5">
    <w:name w:val="index 5"/>
    <w:basedOn w:val="Normal"/>
    <w:next w:val="Normal"/>
    <w:autoRedefine/>
    <w:uiPriority w:val="98"/>
    <w:semiHidden/>
    <w:rsid w:val="0019747A"/>
    <w:pPr>
      <w:ind w:left="1200" w:hanging="240"/>
    </w:pPr>
  </w:style>
  <w:style w:type="paragraph" w:styleId="Index6">
    <w:name w:val="index 6"/>
    <w:basedOn w:val="Normal"/>
    <w:next w:val="Normal"/>
    <w:autoRedefine/>
    <w:uiPriority w:val="98"/>
    <w:semiHidden/>
    <w:rsid w:val="0019747A"/>
    <w:pPr>
      <w:ind w:left="1440" w:hanging="240"/>
    </w:pPr>
  </w:style>
  <w:style w:type="paragraph" w:styleId="Index7">
    <w:name w:val="index 7"/>
    <w:basedOn w:val="Normal"/>
    <w:next w:val="Normal"/>
    <w:autoRedefine/>
    <w:uiPriority w:val="98"/>
    <w:semiHidden/>
    <w:rsid w:val="0019747A"/>
    <w:pPr>
      <w:ind w:left="1680" w:hanging="240"/>
    </w:pPr>
  </w:style>
  <w:style w:type="paragraph" w:styleId="Index8">
    <w:name w:val="index 8"/>
    <w:basedOn w:val="Normal"/>
    <w:next w:val="Normal"/>
    <w:autoRedefine/>
    <w:uiPriority w:val="98"/>
    <w:semiHidden/>
    <w:rsid w:val="0019747A"/>
    <w:pPr>
      <w:ind w:left="1920" w:hanging="240"/>
    </w:pPr>
  </w:style>
  <w:style w:type="paragraph" w:styleId="Index9">
    <w:name w:val="index 9"/>
    <w:basedOn w:val="Normal"/>
    <w:next w:val="Normal"/>
    <w:autoRedefine/>
    <w:uiPriority w:val="98"/>
    <w:semiHidden/>
    <w:rsid w:val="0019747A"/>
    <w:pPr>
      <w:ind w:left="2160" w:hanging="240"/>
    </w:pPr>
  </w:style>
  <w:style w:type="paragraph" w:styleId="IndexHeading">
    <w:name w:val="index heading"/>
    <w:basedOn w:val="Normal"/>
    <w:next w:val="Index1"/>
    <w:uiPriority w:val="98"/>
    <w:semiHidden/>
    <w:rsid w:val="0019747A"/>
    <w:rPr>
      <w:rFonts w:asciiTheme="majorHAnsi" w:eastAsiaTheme="majorEastAsia" w:hAnsiTheme="majorHAnsi" w:cstheme="majorBidi"/>
      <w:b/>
      <w:bCs/>
    </w:rPr>
  </w:style>
  <w:style w:type="table" w:styleId="LightGrid">
    <w:name w:val="Light Grid"/>
    <w:basedOn w:val="TableNormal"/>
    <w:uiPriority w:val="62"/>
    <w:semiHidden/>
    <w:rsid w:val="0019747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9747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9747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9747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9747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9747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9747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9747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9747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9747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9747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9747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9747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9747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9747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9747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9747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9747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9747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9747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9747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9747A"/>
  </w:style>
  <w:style w:type="paragraph" w:styleId="List">
    <w:name w:val="List"/>
    <w:basedOn w:val="Normal"/>
    <w:uiPriority w:val="98"/>
    <w:semiHidden/>
    <w:rsid w:val="0019747A"/>
    <w:pPr>
      <w:ind w:left="283" w:hanging="283"/>
      <w:contextualSpacing/>
    </w:pPr>
  </w:style>
  <w:style w:type="paragraph" w:styleId="List2">
    <w:name w:val="List 2"/>
    <w:basedOn w:val="Normal"/>
    <w:uiPriority w:val="98"/>
    <w:semiHidden/>
    <w:rsid w:val="0019747A"/>
    <w:pPr>
      <w:ind w:left="566" w:hanging="283"/>
      <w:contextualSpacing/>
    </w:pPr>
  </w:style>
  <w:style w:type="paragraph" w:styleId="List3">
    <w:name w:val="List 3"/>
    <w:basedOn w:val="Normal"/>
    <w:uiPriority w:val="98"/>
    <w:semiHidden/>
    <w:rsid w:val="0019747A"/>
    <w:pPr>
      <w:ind w:left="849" w:hanging="283"/>
      <w:contextualSpacing/>
    </w:pPr>
  </w:style>
  <w:style w:type="paragraph" w:styleId="List4">
    <w:name w:val="List 4"/>
    <w:basedOn w:val="Normal"/>
    <w:uiPriority w:val="98"/>
    <w:semiHidden/>
    <w:rsid w:val="0019747A"/>
    <w:pPr>
      <w:ind w:left="1132" w:hanging="283"/>
      <w:contextualSpacing/>
    </w:pPr>
  </w:style>
  <w:style w:type="paragraph" w:styleId="List5">
    <w:name w:val="List 5"/>
    <w:basedOn w:val="Normal"/>
    <w:uiPriority w:val="98"/>
    <w:semiHidden/>
    <w:rsid w:val="0019747A"/>
    <w:pPr>
      <w:ind w:left="1415" w:hanging="283"/>
      <w:contextualSpacing/>
    </w:pPr>
  </w:style>
  <w:style w:type="paragraph" w:styleId="ListBullet">
    <w:name w:val="List Bullet"/>
    <w:basedOn w:val="Normal"/>
    <w:uiPriority w:val="98"/>
    <w:semiHidden/>
    <w:rsid w:val="0019747A"/>
    <w:pPr>
      <w:numPr>
        <w:numId w:val="10"/>
      </w:numPr>
    </w:pPr>
  </w:style>
  <w:style w:type="paragraph" w:styleId="ListBullet3">
    <w:name w:val="List Bullet 3"/>
    <w:basedOn w:val="Normal"/>
    <w:uiPriority w:val="98"/>
    <w:semiHidden/>
    <w:rsid w:val="0019747A"/>
    <w:pPr>
      <w:numPr>
        <w:numId w:val="12"/>
      </w:numPr>
      <w:contextualSpacing/>
    </w:pPr>
  </w:style>
  <w:style w:type="paragraph" w:styleId="ListBullet4">
    <w:name w:val="List Bullet 4"/>
    <w:basedOn w:val="Normal"/>
    <w:uiPriority w:val="98"/>
    <w:semiHidden/>
    <w:rsid w:val="0019747A"/>
    <w:pPr>
      <w:numPr>
        <w:numId w:val="13"/>
      </w:numPr>
      <w:contextualSpacing/>
    </w:pPr>
  </w:style>
  <w:style w:type="paragraph" w:styleId="ListBullet5">
    <w:name w:val="List Bullet 5"/>
    <w:basedOn w:val="Normal"/>
    <w:uiPriority w:val="98"/>
    <w:semiHidden/>
    <w:rsid w:val="0019747A"/>
    <w:pPr>
      <w:numPr>
        <w:numId w:val="14"/>
      </w:numPr>
      <w:contextualSpacing/>
    </w:pPr>
  </w:style>
  <w:style w:type="paragraph" w:styleId="ListContinue">
    <w:name w:val="List Continue"/>
    <w:basedOn w:val="Normal"/>
    <w:uiPriority w:val="98"/>
    <w:semiHidden/>
    <w:rsid w:val="0019747A"/>
    <w:pPr>
      <w:spacing w:after="120"/>
      <w:ind w:left="283"/>
      <w:contextualSpacing/>
    </w:pPr>
  </w:style>
  <w:style w:type="paragraph" w:styleId="ListContinue2">
    <w:name w:val="List Continue 2"/>
    <w:basedOn w:val="Normal"/>
    <w:uiPriority w:val="98"/>
    <w:semiHidden/>
    <w:rsid w:val="0019747A"/>
    <w:pPr>
      <w:spacing w:after="120"/>
      <w:ind w:left="566"/>
      <w:contextualSpacing/>
    </w:pPr>
  </w:style>
  <w:style w:type="paragraph" w:styleId="ListContinue3">
    <w:name w:val="List Continue 3"/>
    <w:basedOn w:val="Normal"/>
    <w:uiPriority w:val="98"/>
    <w:semiHidden/>
    <w:rsid w:val="0019747A"/>
    <w:pPr>
      <w:spacing w:after="120"/>
      <w:ind w:left="849"/>
      <w:contextualSpacing/>
    </w:pPr>
  </w:style>
  <w:style w:type="paragraph" w:styleId="ListContinue4">
    <w:name w:val="List Continue 4"/>
    <w:basedOn w:val="Normal"/>
    <w:uiPriority w:val="98"/>
    <w:semiHidden/>
    <w:rsid w:val="0019747A"/>
    <w:pPr>
      <w:spacing w:after="120"/>
      <w:ind w:left="1132"/>
      <w:contextualSpacing/>
    </w:pPr>
  </w:style>
  <w:style w:type="paragraph" w:styleId="ListContinue5">
    <w:name w:val="List Continue 5"/>
    <w:basedOn w:val="Normal"/>
    <w:uiPriority w:val="98"/>
    <w:semiHidden/>
    <w:rsid w:val="0019747A"/>
    <w:pPr>
      <w:spacing w:after="120"/>
      <w:ind w:left="1415"/>
      <w:contextualSpacing/>
    </w:pPr>
  </w:style>
  <w:style w:type="paragraph" w:styleId="ListNumber">
    <w:name w:val="List Number"/>
    <w:basedOn w:val="Normal"/>
    <w:uiPriority w:val="98"/>
    <w:semiHidden/>
    <w:rsid w:val="0019747A"/>
    <w:pPr>
      <w:numPr>
        <w:numId w:val="15"/>
      </w:numPr>
      <w:contextualSpacing/>
    </w:pPr>
  </w:style>
  <w:style w:type="paragraph" w:styleId="ListNumber2">
    <w:name w:val="List Number 2"/>
    <w:basedOn w:val="Normal"/>
    <w:uiPriority w:val="98"/>
    <w:semiHidden/>
    <w:rsid w:val="0019747A"/>
    <w:pPr>
      <w:numPr>
        <w:numId w:val="16"/>
      </w:numPr>
      <w:contextualSpacing/>
    </w:pPr>
  </w:style>
  <w:style w:type="paragraph" w:styleId="ListNumber3">
    <w:name w:val="List Number 3"/>
    <w:basedOn w:val="Normal"/>
    <w:uiPriority w:val="98"/>
    <w:semiHidden/>
    <w:rsid w:val="0019747A"/>
    <w:pPr>
      <w:numPr>
        <w:numId w:val="17"/>
      </w:numPr>
      <w:contextualSpacing/>
    </w:pPr>
  </w:style>
  <w:style w:type="paragraph" w:styleId="ListNumber4">
    <w:name w:val="List Number 4"/>
    <w:basedOn w:val="Normal"/>
    <w:uiPriority w:val="98"/>
    <w:semiHidden/>
    <w:rsid w:val="0019747A"/>
    <w:pPr>
      <w:numPr>
        <w:numId w:val="18"/>
      </w:numPr>
      <w:contextualSpacing/>
    </w:pPr>
  </w:style>
  <w:style w:type="paragraph" w:styleId="ListNumber5">
    <w:name w:val="List Number 5"/>
    <w:basedOn w:val="Normal"/>
    <w:uiPriority w:val="98"/>
    <w:semiHidden/>
    <w:rsid w:val="0019747A"/>
    <w:pPr>
      <w:numPr>
        <w:numId w:val="19"/>
      </w:numPr>
      <w:contextualSpacing/>
    </w:pPr>
  </w:style>
  <w:style w:type="paragraph" w:styleId="MacroText">
    <w:name w:val="macro"/>
    <w:link w:val="MacroTextChar"/>
    <w:uiPriority w:val="98"/>
    <w:semiHidden/>
    <w:rsid w:val="0019747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19747A"/>
    <w:rPr>
      <w:rFonts w:ascii="Consolas" w:eastAsiaTheme="minorEastAsia" w:hAnsi="Consolas" w:cs="Consolas"/>
      <w:sz w:val="20"/>
      <w:szCs w:val="20"/>
    </w:rPr>
  </w:style>
  <w:style w:type="table" w:styleId="MediumGrid1">
    <w:name w:val="Medium Grid 1"/>
    <w:basedOn w:val="TableNormal"/>
    <w:uiPriority w:val="67"/>
    <w:semiHidden/>
    <w:rsid w:val="0019747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9747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9747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9747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9747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9747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9747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9747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9747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9747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9747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9747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9747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9747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9747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9747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9747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9747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9747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9747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9747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9747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9747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9747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9747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9747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9747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9747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9747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9747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9747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9747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9747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9747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9747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9747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9747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9747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9747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9747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9747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9747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9747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9747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9747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9747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9747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9747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9747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9747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9747A"/>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19747A"/>
    <w:rPr>
      <w:rFonts w:ascii="Times New Roman" w:hAnsi="Times New Roman" w:cs="Times New Roman"/>
    </w:rPr>
  </w:style>
  <w:style w:type="paragraph" w:styleId="NormalIndent">
    <w:name w:val="Normal Indent"/>
    <w:basedOn w:val="Normal"/>
    <w:uiPriority w:val="98"/>
    <w:semiHidden/>
    <w:rsid w:val="0019747A"/>
    <w:pPr>
      <w:ind w:left="720"/>
    </w:pPr>
  </w:style>
  <w:style w:type="paragraph" w:styleId="NoteHeading">
    <w:name w:val="Note Heading"/>
    <w:basedOn w:val="Normal"/>
    <w:next w:val="Normal"/>
    <w:link w:val="NoteHeadingChar"/>
    <w:uiPriority w:val="98"/>
    <w:semiHidden/>
    <w:rsid w:val="0019747A"/>
  </w:style>
  <w:style w:type="character" w:customStyle="1" w:styleId="NoteHeadingChar">
    <w:name w:val="Note Heading Char"/>
    <w:basedOn w:val="DefaultParagraphFont"/>
    <w:link w:val="NoteHeading"/>
    <w:uiPriority w:val="98"/>
    <w:semiHidden/>
    <w:rsid w:val="0019747A"/>
    <w:rPr>
      <w:sz w:val="24"/>
      <w:szCs w:val="24"/>
      <w:lang w:val="fr-FR"/>
    </w:rPr>
  </w:style>
  <w:style w:type="character" w:styleId="PlaceholderText">
    <w:name w:val="Placeholder Text"/>
    <w:basedOn w:val="DefaultParagraphFont"/>
    <w:uiPriority w:val="98"/>
    <w:semiHidden/>
    <w:rsid w:val="0019747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9747A"/>
    <w:rPr>
      <w:rFonts w:ascii="Consolas" w:hAnsi="Consolas" w:cs="Consolas"/>
      <w:sz w:val="21"/>
      <w:szCs w:val="21"/>
    </w:rPr>
  </w:style>
  <w:style w:type="character" w:customStyle="1" w:styleId="PlainTextChar">
    <w:name w:val="Plain Text Char"/>
    <w:basedOn w:val="DefaultParagraphFont"/>
    <w:link w:val="PlainText"/>
    <w:uiPriority w:val="98"/>
    <w:semiHidden/>
    <w:rsid w:val="0019747A"/>
    <w:rPr>
      <w:rFonts w:ascii="Consolas" w:hAnsi="Consolas" w:cs="Consolas"/>
      <w:sz w:val="21"/>
      <w:szCs w:val="21"/>
      <w:lang w:val="fr-FR"/>
    </w:rPr>
  </w:style>
  <w:style w:type="paragraph" w:styleId="Salutation">
    <w:name w:val="Salutation"/>
    <w:basedOn w:val="Normal"/>
    <w:next w:val="Normal"/>
    <w:link w:val="SalutationChar"/>
    <w:uiPriority w:val="98"/>
    <w:semiHidden/>
    <w:rsid w:val="0019747A"/>
  </w:style>
  <w:style w:type="character" w:customStyle="1" w:styleId="SalutationChar">
    <w:name w:val="Salutation Char"/>
    <w:basedOn w:val="DefaultParagraphFont"/>
    <w:link w:val="Salutation"/>
    <w:uiPriority w:val="98"/>
    <w:semiHidden/>
    <w:rsid w:val="0019747A"/>
    <w:rPr>
      <w:sz w:val="24"/>
      <w:szCs w:val="24"/>
      <w:lang w:val="fr-FR"/>
    </w:rPr>
  </w:style>
  <w:style w:type="paragraph" w:styleId="Signature">
    <w:name w:val="Signature"/>
    <w:basedOn w:val="Normal"/>
    <w:link w:val="SignatureChar"/>
    <w:uiPriority w:val="98"/>
    <w:semiHidden/>
    <w:rsid w:val="0019747A"/>
    <w:pPr>
      <w:ind w:left="4252"/>
    </w:pPr>
  </w:style>
  <w:style w:type="character" w:customStyle="1" w:styleId="SignatureChar">
    <w:name w:val="Signature Char"/>
    <w:basedOn w:val="DefaultParagraphFont"/>
    <w:link w:val="Signature"/>
    <w:uiPriority w:val="98"/>
    <w:semiHidden/>
    <w:rsid w:val="0019747A"/>
    <w:rPr>
      <w:sz w:val="24"/>
      <w:szCs w:val="24"/>
      <w:lang w:val="fr-FR"/>
    </w:rPr>
  </w:style>
  <w:style w:type="table" w:styleId="Table3Deffects1">
    <w:name w:val="Table 3D effects 1"/>
    <w:basedOn w:val="TableNormal"/>
    <w:uiPriority w:val="99"/>
    <w:semiHidden/>
    <w:unhideWhenUsed/>
    <w:rsid w:val="0019747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9747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9747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9747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9747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9747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9747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9747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9747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9747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9747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9747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9747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9747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9747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9747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9747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9747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9747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9747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9747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9747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9747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9747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9747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9747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9747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9747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9747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9747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9747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9747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9747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9747A"/>
    <w:pPr>
      <w:ind w:left="240" w:hanging="240"/>
    </w:pPr>
  </w:style>
  <w:style w:type="paragraph" w:styleId="TableofFigures">
    <w:name w:val="table of figures"/>
    <w:basedOn w:val="Normal"/>
    <w:next w:val="Normal"/>
    <w:uiPriority w:val="98"/>
    <w:semiHidden/>
    <w:rsid w:val="0019747A"/>
  </w:style>
  <w:style w:type="table" w:styleId="TableProfessional">
    <w:name w:val="Table Professional"/>
    <w:basedOn w:val="TableNormal"/>
    <w:uiPriority w:val="99"/>
    <w:semiHidden/>
    <w:unhideWhenUsed/>
    <w:rsid w:val="0019747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9747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9747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9747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9747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9747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9747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9747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9747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9747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9747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9747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9747A"/>
    <w:pPr>
      <w:spacing w:after="100"/>
      <w:ind w:left="1680"/>
    </w:pPr>
  </w:style>
  <w:style w:type="paragraph" w:styleId="TOC9">
    <w:name w:val="toc 9"/>
    <w:basedOn w:val="Normal"/>
    <w:next w:val="Normal"/>
    <w:autoRedefine/>
    <w:uiPriority w:val="98"/>
    <w:semiHidden/>
    <w:rsid w:val="0019747A"/>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ECHRFooterLine">
    <w:name w:val="ECHR_Footer_Line"/>
    <w:aliases w:val="_Footer_Line"/>
    <w:basedOn w:val="Normal"/>
    <w:next w:val="Normal"/>
    <w:uiPriority w:val="29"/>
    <w:semiHidden/>
    <w:rsid w:val="0019747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9747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9747A"/>
    <w:pPr>
      <w:keepNext/>
      <w:keepLines/>
      <w:spacing w:before="1320" w:after="280"/>
      <w:contextualSpacing/>
      <w:jc w:val="center"/>
    </w:pPr>
    <w:rPr>
      <w:b/>
    </w:rPr>
  </w:style>
  <w:style w:type="paragraph" w:customStyle="1" w:styleId="DummyStyle">
    <w:name w:val="Dummy_Style"/>
    <w:aliases w:val="_Dummy"/>
    <w:basedOn w:val="Normal"/>
    <w:semiHidden/>
    <w:qFormat/>
    <w:rsid w:val="0019747A"/>
    <w:rPr>
      <w:color w:val="00B050"/>
      <w:sz w:val="22"/>
    </w:rPr>
  </w:style>
  <w:style w:type="paragraph" w:customStyle="1" w:styleId="ECHRBullet1">
    <w:name w:val="ECHR_Bullet_1"/>
    <w:aliases w:val="_Bul_1"/>
    <w:basedOn w:val="NormalJustified"/>
    <w:uiPriority w:val="23"/>
    <w:semiHidden/>
    <w:qFormat/>
    <w:rsid w:val="0019747A"/>
    <w:pPr>
      <w:numPr>
        <w:numId w:val="7"/>
      </w:numPr>
      <w:spacing w:before="60" w:after="60"/>
    </w:pPr>
  </w:style>
  <w:style w:type="paragraph" w:customStyle="1" w:styleId="ECHRBullet2">
    <w:name w:val="ECHR_Bullet_2"/>
    <w:aliases w:val="_Bul_2"/>
    <w:basedOn w:val="ECHRBullet1"/>
    <w:uiPriority w:val="23"/>
    <w:semiHidden/>
    <w:rsid w:val="0019747A"/>
    <w:pPr>
      <w:numPr>
        <w:ilvl w:val="1"/>
      </w:numPr>
    </w:pPr>
  </w:style>
  <w:style w:type="paragraph" w:customStyle="1" w:styleId="ECHRBullet3">
    <w:name w:val="ECHR_Bullet_3"/>
    <w:aliases w:val="_Bul_3"/>
    <w:basedOn w:val="ECHRBullet2"/>
    <w:uiPriority w:val="23"/>
    <w:semiHidden/>
    <w:rsid w:val="0019747A"/>
    <w:pPr>
      <w:numPr>
        <w:ilvl w:val="2"/>
      </w:numPr>
    </w:pPr>
  </w:style>
  <w:style w:type="paragraph" w:customStyle="1" w:styleId="ECHRBullet4">
    <w:name w:val="ECHR_Bullet_4"/>
    <w:aliases w:val="_Bul_4"/>
    <w:basedOn w:val="ECHRBullet3"/>
    <w:uiPriority w:val="23"/>
    <w:semiHidden/>
    <w:rsid w:val="0019747A"/>
    <w:pPr>
      <w:numPr>
        <w:ilvl w:val="3"/>
      </w:numPr>
    </w:pPr>
  </w:style>
  <w:style w:type="paragraph" w:customStyle="1" w:styleId="ECHRConfidential">
    <w:name w:val="ECHR_Confidential"/>
    <w:aliases w:val="_Confidential"/>
    <w:basedOn w:val="Normal"/>
    <w:next w:val="Normal"/>
    <w:uiPriority w:val="42"/>
    <w:semiHidden/>
    <w:qFormat/>
    <w:rsid w:val="0019747A"/>
    <w:pPr>
      <w:jc w:val="right"/>
    </w:pPr>
    <w:rPr>
      <w:color w:val="C00000"/>
      <w:sz w:val="20"/>
    </w:rPr>
  </w:style>
  <w:style w:type="paragraph" w:customStyle="1" w:styleId="ECHRDecisionBody">
    <w:name w:val="ECHR_Decision_Body"/>
    <w:aliases w:val="_Decision_Body"/>
    <w:basedOn w:val="NormalJustified"/>
    <w:uiPriority w:val="54"/>
    <w:semiHidden/>
    <w:rsid w:val="0019747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9747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9747A"/>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19747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9747A"/>
    <w:pPr>
      <w:jc w:val="right"/>
    </w:pPr>
    <w:rPr>
      <w:sz w:val="20"/>
    </w:rPr>
  </w:style>
  <w:style w:type="paragraph" w:customStyle="1" w:styleId="ECHRHeaderRefIt">
    <w:name w:val="ECHR_Header_Ref_It"/>
    <w:aliases w:val="_Ref_Ital"/>
    <w:basedOn w:val="Normal"/>
    <w:next w:val="ECHRHeaderDate"/>
    <w:uiPriority w:val="43"/>
    <w:semiHidden/>
    <w:qFormat/>
    <w:rsid w:val="0019747A"/>
    <w:pPr>
      <w:jc w:val="right"/>
    </w:pPr>
    <w:rPr>
      <w:i/>
      <w:sz w:val="20"/>
    </w:rPr>
  </w:style>
  <w:style w:type="paragraph" w:customStyle="1" w:styleId="ECHRHeading9">
    <w:name w:val="ECHR_Heading_9"/>
    <w:aliases w:val="_Head_9"/>
    <w:basedOn w:val="Heading9"/>
    <w:uiPriority w:val="17"/>
    <w:semiHidden/>
    <w:rsid w:val="0019747A"/>
    <w:pPr>
      <w:keepNext/>
      <w:keepLines/>
      <w:numPr>
        <w:ilvl w:val="8"/>
        <w:numId w:val="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9747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9747A"/>
    <w:pPr>
      <w:numPr>
        <w:numId w:val="9"/>
      </w:numPr>
      <w:spacing w:before="60" w:after="60"/>
    </w:pPr>
  </w:style>
  <w:style w:type="paragraph" w:customStyle="1" w:styleId="ECHRNumberedList2">
    <w:name w:val="ECHR_Numbered_List_2"/>
    <w:aliases w:val="_Num_2"/>
    <w:basedOn w:val="ECHRNumberedList1"/>
    <w:uiPriority w:val="23"/>
    <w:semiHidden/>
    <w:rsid w:val="0019747A"/>
    <w:pPr>
      <w:numPr>
        <w:ilvl w:val="1"/>
      </w:numPr>
    </w:pPr>
  </w:style>
  <w:style w:type="paragraph" w:customStyle="1" w:styleId="ECHRNumberedList3">
    <w:name w:val="ECHR_Numbered_List_3"/>
    <w:aliases w:val="_Num_3"/>
    <w:basedOn w:val="ECHRNumberedList2"/>
    <w:uiPriority w:val="23"/>
    <w:semiHidden/>
    <w:rsid w:val="0019747A"/>
    <w:pPr>
      <w:numPr>
        <w:ilvl w:val="2"/>
      </w:numPr>
    </w:pPr>
  </w:style>
  <w:style w:type="paragraph" w:customStyle="1" w:styleId="ECHRParaHanging">
    <w:name w:val="ECHR_Para_Hanging"/>
    <w:aliases w:val="_Hanging"/>
    <w:basedOn w:val="Normal"/>
    <w:uiPriority w:val="8"/>
    <w:semiHidden/>
    <w:qFormat/>
    <w:rsid w:val="0019747A"/>
    <w:pPr>
      <w:ind w:left="567" w:hanging="567"/>
      <w:jc w:val="both"/>
    </w:pPr>
  </w:style>
  <w:style w:type="paragraph" w:customStyle="1" w:styleId="ECHRParaIndent">
    <w:name w:val="ECHR_Para_Indent"/>
    <w:aliases w:val="_Indent"/>
    <w:basedOn w:val="Normal"/>
    <w:uiPriority w:val="7"/>
    <w:semiHidden/>
    <w:qFormat/>
    <w:rsid w:val="0019747A"/>
    <w:pPr>
      <w:spacing w:before="120" w:after="120"/>
      <w:ind w:left="567"/>
      <w:jc w:val="both"/>
    </w:pPr>
  </w:style>
  <w:style w:type="character" w:customStyle="1" w:styleId="ECHRRed">
    <w:name w:val="ECHR_Red"/>
    <w:aliases w:val="_Red"/>
    <w:basedOn w:val="DefaultParagraphFont"/>
    <w:uiPriority w:val="15"/>
    <w:semiHidden/>
    <w:qFormat/>
    <w:rsid w:val="0019747A"/>
    <w:rPr>
      <w:color w:val="C00000" w:themeColor="accent2"/>
    </w:rPr>
  </w:style>
  <w:style w:type="paragraph" w:customStyle="1" w:styleId="ECHRSpacer">
    <w:name w:val="ECHR_Spacer"/>
    <w:aliases w:val="_Spacer"/>
    <w:basedOn w:val="Normal"/>
    <w:uiPriority w:val="45"/>
    <w:semiHidden/>
    <w:rsid w:val="0019747A"/>
    <w:rPr>
      <w:sz w:val="4"/>
    </w:rPr>
  </w:style>
  <w:style w:type="table" w:customStyle="1" w:styleId="ECHRTable2">
    <w:name w:val="ECHR_Table_2"/>
    <w:basedOn w:val="TableNormal"/>
    <w:uiPriority w:val="99"/>
    <w:rsid w:val="0019747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9747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9747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9747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9747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9747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9747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9747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9747A"/>
    <w:pPr>
      <w:outlineLvl w:val="0"/>
    </w:pPr>
  </w:style>
  <w:style w:type="paragraph" w:customStyle="1" w:styleId="ECHRTitleTOC1">
    <w:name w:val="ECHR_Title_TOC_1"/>
    <w:aliases w:val="_Title_L_TOC"/>
    <w:basedOn w:val="ECHRTitle1"/>
    <w:next w:val="Normal"/>
    <w:uiPriority w:val="27"/>
    <w:semiHidden/>
    <w:qFormat/>
    <w:rsid w:val="0019747A"/>
    <w:pPr>
      <w:outlineLvl w:val="0"/>
    </w:pPr>
  </w:style>
  <w:style w:type="character" w:customStyle="1" w:styleId="JuParaChar">
    <w:name w:val="Ju_Para Char"/>
    <w:aliases w:val="_Para Char"/>
    <w:link w:val="JuPara"/>
    <w:uiPriority w:val="4"/>
    <w:rsid w:val="005E56B3"/>
    <w:rPr>
      <w:sz w:val="24"/>
      <w:szCs w:val="24"/>
      <w:lang w:val="fr-FR"/>
    </w:rPr>
  </w:style>
  <w:style w:type="table" w:customStyle="1" w:styleId="GridTable1Light1">
    <w:name w:val="Grid Table 1 Light1"/>
    <w:basedOn w:val="TableNormal"/>
    <w:uiPriority w:val="46"/>
    <w:semiHidden/>
    <w:rsid w:val="00917F8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917F8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917F8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917F8E"/>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917F8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917F8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917F8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917F8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917F8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917F8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917F8E"/>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917F8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917F8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917F8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917F8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917F8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917F8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917F8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917F8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917F8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917F8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917F8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917F8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917F8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917F8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917F8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917F8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917F8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917F8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917F8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917F8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917F8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917F8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917F8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917F8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917F8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917F8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917F8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917F8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917F8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917F8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917F8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917F8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917F8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917F8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917F8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917F8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917F8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917F8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paragraph" w:customStyle="1" w:styleId="ECHRHeaderLandscape">
    <w:name w:val="ECHR_Header_Landscape"/>
    <w:aliases w:val="_Header_Landscape"/>
    <w:basedOn w:val="JuHeader"/>
    <w:uiPriority w:val="29"/>
    <w:semiHidden/>
    <w:rsid w:val="0019747A"/>
    <w:pPr>
      <w:tabs>
        <w:tab w:val="center" w:pos="6146"/>
        <w:tab w:val="right" w:pos="13778"/>
      </w:tabs>
      <w:ind w:left="-1474" w:right="-1474"/>
    </w:pPr>
  </w:style>
  <w:style w:type="table" w:customStyle="1" w:styleId="ListTable1Light1">
    <w:name w:val="List Table 1 Light1"/>
    <w:basedOn w:val="TableNormal"/>
    <w:uiPriority w:val="46"/>
    <w:semiHidden/>
    <w:rsid w:val="00917F8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917F8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917F8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917F8E"/>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917F8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917F8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917F8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917F8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917F8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917F8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917F8E"/>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917F8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917F8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917F8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917F8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917F8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917F8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917F8E"/>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917F8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917F8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917F8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917F8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917F8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917F8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917F8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917F8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917F8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917F8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917F8E"/>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917F8E"/>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917F8E"/>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917F8E"/>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917F8E"/>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917F8E"/>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917F8E"/>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917F8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917F8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917F8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917F8E"/>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917F8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917F8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917F8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917F8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917F8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917F8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917F8E"/>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917F8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917F8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917F8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CHRPlaceholder">
    <w:name w:val="ECHR_Placeholder"/>
    <w:aliases w:val="_Placeholder"/>
    <w:basedOn w:val="JuSigned"/>
    <w:uiPriority w:val="31"/>
    <w:rsid w:val="0019747A"/>
    <w:rPr>
      <w:color w:val="FFFFFF"/>
    </w:rPr>
  </w:style>
  <w:style w:type="table" w:customStyle="1" w:styleId="PlainTable11">
    <w:name w:val="Plain Table 11"/>
    <w:basedOn w:val="TableNormal"/>
    <w:uiPriority w:val="41"/>
    <w:semiHidden/>
    <w:rsid w:val="00917F8E"/>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917F8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917F8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917F8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917F8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CHRTableGrey">
    <w:name w:val="ECHR_Table_Grey"/>
    <w:basedOn w:val="TableNormal"/>
    <w:uiPriority w:val="99"/>
    <w:rsid w:val="0019747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TableGridLight1">
    <w:name w:val="Table Grid Light1"/>
    <w:basedOn w:val="TableNormal"/>
    <w:uiPriority w:val="40"/>
    <w:semiHidden/>
    <w:rsid w:val="00917F8E"/>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EB1972"/>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EB1972"/>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698F42-1F83-40E3-8B02-C5CC32DDAA27}">
  <ds:schemaRefs>
    <ds:schemaRef ds:uri="http://schemas.openxmlformats.org/officeDocument/2006/bibliography"/>
  </ds:schemaRefs>
</ds:datastoreItem>
</file>

<file path=customXml/itemProps2.xml><?xml version="1.0" encoding="utf-8"?>
<ds:datastoreItem xmlns:ds="http://schemas.openxmlformats.org/officeDocument/2006/customXml" ds:itemID="{C82FF97C-0AE1-40A8-A072-36DE26A12E02}"/>
</file>

<file path=customXml/itemProps3.xml><?xml version="1.0" encoding="utf-8"?>
<ds:datastoreItem xmlns:ds="http://schemas.openxmlformats.org/officeDocument/2006/customXml" ds:itemID="{EF3452D4-0A3C-4574-847D-642B14F69757}"/>
</file>

<file path=customXml/itemProps4.xml><?xml version="1.0" encoding="utf-8"?>
<ds:datastoreItem xmlns:ds="http://schemas.openxmlformats.org/officeDocument/2006/customXml" ds:itemID="{2EF17F58-55F5-494E-8151-5120B433E7FB}"/>
</file>

<file path=docProps/app.xml><?xml version="1.0" encoding="utf-8"?>
<Properties xmlns="http://schemas.openxmlformats.org/officeDocument/2006/extended-properties" xmlns:vt="http://schemas.openxmlformats.org/officeDocument/2006/docPropsVTypes">
  <Template>Normal.dotm</Template>
  <TotalTime>0</TotalTime>
  <Pages>1</Pages>
  <Words>3581</Words>
  <Characters>20415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Arrêt</vt:lpstr>
    </vt:vector>
  </TitlesOfParts>
  <Manager/>
  <Company/>
  <LinksUpToDate>false</LinksUpToDate>
  <CharactersWithSpaces>23949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2021-03-18T20:10:00Z</dcterms:created>
  <dcterms:modified xsi:type="dcterms:W3CDTF">2021-03-18T20:10:00Z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26764/12</vt:lpwstr>
  </property>
  <property fmtid="{D5CDD505-2E9C-101B-9397-08002B2CF9AE}" pid="4" name="CASEID">
    <vt:lpwstr>795377</vt:lpwstr>
  </property>
  <property fmtid="{D5CDD505-2E9C-101B-9397-08002B2CF9AE}" pid="5" name="ContentTypeId">
    <vt:lpwstr>0x010100558EB02BDB9E204AB350EDD385B68E10</vt:lpwstr>
  </property>
</Properties>
</file>