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E3129" w:rsidR="00D33065" w:rsidP="003E3129" w14:paraId="22DDF7B8" w14:textId="77777777">
      <w:pPr>
        <w:rPr>
          <w:rFonts w:ascii="Times New Roman" w:hAnsi="Times New Roman" w:cs="Times New Roman"/>
        </w:rPr>
      </w:pPr>
    </w:p>
    <w:p w:rsidRPr="003E3129" w:rsidR="007A4070" w:rsidP="003E3129" w14:paraId="38751A7F" w14:textId="77777777"/>
    <w:p w:rsidRPr="003E3129" w:rsidR="007A4070" w:rsidP="003E3129" w14:paraId="7F864D01" w14:textId="77777777">
      <w:pPr>
        <w:pStyle w:val="DecHCase"/>
        <w:keepNext w:val="0"/>
        <w:keepLines w:val="0"/>
      </w:pPr>
      <w:r w:rsidRPr="003E3129">
        <w:t>DEUXIÈME SECTION</w:t>
      </w:r>
    </w:p>
    <w:p w:rsidRPr="003E3129" w:rsidR="007A4070" w:rsidP="00487902" w14:paraId="5E451B85" w14:textId="77777777">
      <w:pPr>
        <w:pStyle w:val="JuTitle"/>
        <w:keepNext w:val="0"/>
        <w:keepLines w:val="0"/>
        <w:spacing w:before="1080"/>
      </w:pPr>
      <w:r w:rsidRPr="003E3129">
        <w:t xml:space="preserve">AFFAIRE </w:t>
      </w:r>
      <w:r w:rsidRPr="003E3129" w:rsidR="00D33065">
        <w:t>FELIX GUŢU c. RÉPUBLIQUE DE MOLDOVA</w:t>
      </w:r>
    </w:p>
    <w:p w:rsidRPr="003E3129" w:rsidR="007A4070" w:rsidP="003E3129" w14:paraId="1C3D9669" w14:textId="77777777">
      <w:pPr>
        <w:pStyle w:val="ECHRCoverTitle4"/>
        <w:keepNext w:val="0"/>
        <w:keepLines w:val="0"/>
      </w:pPr>
      <w:r w:rsidRPr="003E3129">
        <w:t>(</w:t>
      </w:r>
      <w:r w:rsidRPr="003E3129" w:rsidR="00D33065">
        <w:t>Requête n</w:t>
      </w:r>
      <w:r w:rsidRPr="003E3129" w:rsidR="00D33065">
        <w:rPr>
          <w:vertAlign w:val="superscript"/>
        </w:rPr>
        <w:t>o</w:t>
      </w:r>
      <w:r w:rsidRPr="003E3129">
        <w:t xml:space="preserve"> </w:t>
      </w:r>
      <w:r w:rsidRPr="003E3129" w:rsidR="00D33065">
        <w:t>13112/07</w:t>
      </w:r>
      <w:r w:rsidRPr="003E3129">
        <w:t>)</w:t>
      </w:r>
    </w:p>
    <w:p w:rsidRPr="003E3129" w:rsidR="007A4070" w:rsidP="003E3129" w14:paraId="01BFEC80" w14:textId="77777777">
      <w:pPr>
        <w:pStyle w:val="DecHCase"/>
        <w:keepNext w:val="0"/>
        <w:keepLines w:val="0"/>
      </w:pPr>
    </w:p>
    <w:p w:rsidRPr="003E3129" w:rsidR="007A4070" w:rsidP="003E3129" w14:paraId="3AE0A060" w14:textId="77777777">
      <w:pPr>
        <w:pStyle w:val="DecHCase"/>
        <w:keepNext w:val="0"/>
        <w:keepLines w:val="0"/>
      </w:pPr>
    </w:p>
    <w:p w:rsidRPr="003E3129" w:rsidR="007A4070" w:rsidP="003E3129" w14:paraId="56754D5B" w14:textId="77777777">
      <w:pPr>
        <w:pStyle w:val="DecHCase"/>
        <w:keepNext w:val="0"/>
        <w:keepLines w:val="0"/>
      </w:pPr>
      <w:r w:rsidRPr="003E3129">
        <w:t>ARRÊT</w:t>
      </w:r>
    </w:p>
    <w:p w:rsidRPr="003E3129" w:rsidR="003E3129" w:rsidP="003E3129" w14:paraId="6D257BAA" w14:textId="77777777">
      <w:pPr>
        <w:pBdr>
          <w:top w:val="single" w:color="auto" w:sz="4" w:space="1"/>
          <w:left w:val="single" w:color="auto" w:sz="4" w:space="4"/>
          <w:bottom w:val="single" w:color="auto" w:sz="4" w:space="1"/>
          <w:right w:val="single" w:color="auto" w:sz="4" w:space="4"/>
        </w:pBdr>
        <w:jc w:val="both"/>
      </w:pPr>
      <w:r w:rsidRPr="003E3129">
        <w:t>Art 6 § 2 • Présomption d’innocence • Arrêt des poursuites pénales pour cause d’amnistie et licenciement pour vol basé sur des preuves recueillies dans le cadre de la procédure pénale • Procédure pénale close avant examen au fond • Demande d’amnistie ne valant pas reconnaissance de culpabilité en droit interne • Absence de renonciation consciente et éclairée au droit d’être présumé innocent et de ne pas contribuer à sa propre incrimination • Licenciement valant déclaration civile sans équivoque de culpabilité</w:t>
      </w:r>
    </w:p>
    <w:p w:rsidRPr="003E3129" w:rsidR="003E3129" w:rsidP="003E3129" w14:paraId="52062045" w14:textId="77777777">
      <w:pPr>
        <w:pBdr>
          <w:top w:val="single" w:color="auto" w:sz="4" w:space="1"/>
          <w:left w:val="single" w:color="auto" w:sz="4" w:space="4"/>
          <w:bottom w:val="single" w:color="auto" w:sz="4" w:space="1"/>
          <w:right w:val="single" w:color="auto" w:sz="4" w:space="4"/>
        </w:pBdr>
        <w:jc w:val="both"/>
      </w:pPr>
      <w:r w:rsidRPr="003E3129">
        <w:t>Art 41 • Satisfaction équitable • Dommage matériel • Octroi d’une somme pour perte de salaire consécutive au licenciement • Dommage moral</w:t>
      </w:r>
    </w:p>
    <w:p w:rsidRPr="003E3129" w:rsidR="003E3129" w:rsidP="00487902" w14:paraId="5010C61D" w14:textId="77777777">
      <w:pPr>
        <w:pStyle w:val="DecHCase"/>
        <w:keepNext w:val="0"/>
        <w:keepLines w:val="0"/>
        <w:spacing w:after="120"/>
      </w:pPr>
    </w:p>
    <w:p w:rsidRPr="003E3129" w:rsidR="007A4070" w:rsidP="003E3129" w14:paraId="2E8D3894" w14:textId="77777777">
      <w:pPr>
        <w:pStyle w:val="DecHCase"/>
        <w:keepNext w:val="0"/>
        <w:keepLines w:val="0"/>
      </w:pPr>
      <w:r w:rsidRPr="003E3129">
        <w:t>STRASBOURG</w:t>
      </w:r>
    </w:p>
    <w:p w:rsidRPr="003E3129" w:rsidR="007A4070" w:rsidP="003E3129" w14:paraId="7AC04AC5" w14:textId="77777777">
      <w:pPr>
        <w:pStyle w:val="DecHCase"/>
        <w:keepNext w:val="0"/>
        <w:keepLines w:val="0"/>
      </w:pPr>
      <w:r w:rsidRPr="003E3129">
        <w:t>20 octobre 2020</w:t>
      </w:r>
    </w:p>
    <w:p w:rsidRPr="003E3129" w:rsidR="007A4070" w:rsidP="00487902" w14:paraId="3E0172EF" w14:textId="77777777">
      <w:pPr>
        <w:pStyle w:val="DecHCase"/>
        <w:keepNext w:val="0"/>
        <w:keepLines w:val="0"/>
        <w:spacing w:after="120"/>
      </w:pPr>
    </w:p>
    <w:p w:rsidR="00487902" w:rsidP="00487902" w14:paraId="58A30EF8" w14:textId="77777777">
      <w:pPr>
        <w:pStyle w:val="jucase0"/>
        <w:ind w:firstLine="0"/>
        <w:jc w:val="center"/>
        <w:rPr>
          <w:color w:val="FF0000"/>
          <w:sz w:val="28"/>
          <w:szCs w:val="28"/>
          <w:u w:val="single"/>
          <w:lang w:val="fr-FR"/>
        </w:rPr>
      </w:pPr>
      <w:bookmarkStart w:name="_Hlk59705989" w:id="0"/>
      <w:r w:rsidRPr="00261F46">
        <w:rPr>
          <w:color w:val="FF0000"/>
          <w:sz w:val="28"/>
          <w:szCs w:val="28"/>
          <w:u w:val="single"/>
          <w:lang w:val="fr-FR"/>
        </w:rPr>
        <w:t>DÉFINITIF</w:t>
      </w:r>
    </w:p>
    <w:p w:rsidRPr="006D760C" w:rsidR="00487902" w:rsidP="00487902" w14:paraId="02821943" w14:textId="77777777">
      <w:pPr>
        <w:pStyle w:val="jucase0"/>
        <w:ind w:firstLine="0"/>
        <w:jc w:val="center"/>
        <w:rPr>
          <w:b w:val="0"/>
          <w:bCs w:val="0"/>
          <w:color w:val="FF0000"/>
          <w:u w:val="single"/>
          <w:lang w:val="fr-FR"/>
        </w:rPr>
      </w:pPr>
    </w:p>
    <w:p w:rsidRPr="00E974D6" w:rsidR="00487902" w:rsidP="00487902" w14:paraId="540FD8A9" w14:textId="77777777">
      <w:pPr>
        <w:pStyle w:val="jucase0"/>
        <w:ind w:firstLine="0"/>
        <w:jc w:val="center"/>
        <w:rPr>
          <w:b w:val="0"/>
          <w:color w:val="FF0000"/>
          <w:sz w:val="28"/>
          <w:szCs w:val="28"/>
          <w:lang w:val="fr-FR"/>
        </w:rPr>
      </w:pPr>
      <w:r>
        <w:rPr>
          <w:b w:val="0"/>
          <w:color w:val="FF0000"/>
          <w:sz w:val="28"/>
          <w:szCs w:val="28"/>
          <w:lang w:val="fr-FR"/>
        </w:rPr>
        <w:t>20/01/2021</w:t>
      </w:r>
    </w:p>
    <w:p w:rsidRPr="00261F46" w:rsidR="00487902" w:rsidP="00487902" w14:paraId="7EF7A382" w14:textId="77777777">
      <w:pPr>
        <w:pStyle w:val="jupara0"/>
        <w:ind w:firstLine="0"/>
        <w:jc w:val="center"/>
        <w:rPr>
          <w:u w:val="single"/>
          <w:lang w:val="fr-FR"/>
        </w:rPr>
      </w:pPr>
    </w:p>
    <w:p w:rsidRPr="003E3129" w:rsidR="00516B59" w:rsidP="00487902" w14:paraId="7D48BA71" w14:textId="77777777">
      <w:pPr>
        <w:jc w:val="both"/>
        <w:rPr>
          <w:rFonts w:ascii="Times New Roman" w:hAnsi="Times New Roman" w:cs="Times New Roman"/>
          <w:i/>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0"/>
    </w:p>
    <w:p w:rsidRPr="003E3129" w:rsidR="00516B59" w:rsidP="003E3129" w14:paraId="6A2589F1"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E3129" w:rsidR="004344E6" w:rsidP="003E3129" w14:paraId="3D29DD5C" w14:textId="77777777">
      <w:pPr>
        <w:pStyle w:val="JuCase"/>
      </w:pPr>
      <w:r w:rsidRPr="003E3129">
        <w:t>En l</w:t>
      </w:r>
      <w:r w:rsidRPr="003E3129" w:rsidR="003E3129">
        <w:t>’</w:t>
      </w:r>
      <w:r w:rsidRPr="003E3129">
        <w:t xml:space="preserve">affaire </w:t>
      </w:r>
      <w:r w:rsidRPr="003E3129" w:rsidR="00D33065">
        <w:t>Felix Guţu c. République de Moldova</w:t>
      </w:r>
      <w:r w:rsidRPr="003E3129">
        <w:t>,</w:t>
      </w:r>
    </w:p>
    <w:p w:rsidRPr="003E3129" w:rsidR="004344E6" w:rsidP="003E3129" w14:paraId="0A1DE11A" w14:textId="77777777">
      <w:pPr>
        <w:pStyle w:val="JuPara"/>
      </w:pPr>
      <w:r w:rsidRPr="003E3129">
        <w:t>La Cour européenne des droits de l</w:t>
      </w:r>
      <w:r w:rsidRPr="003E3129" w:rsidR="003E3129">
        <w:t>’</w:t>
      </w:r>
      <w:r w:rsidRPr="003E3129">
        <w:t>homme (</w:t>
      </w:r>
      <w:r w:rsidRPr="003E3129" w:rsidR="00D33065">
        <w:t>deuxième section</w:t>
      </w:r>
      <w:r w:rsidRPr="003E3129">
        <w:t xml:space="preserve">), siégeant en </w:t>
      </w:r>
      <w:r w:rsidRPr="003E3129" w:rsidR="00D33065">
        <w:rPr>
          <w:color w:val="000000"/>
        </w:rPr>
        <w:t>une</w:t>
      </w:r>
      <w:r w:rsidRPr="003E3129" w:rsidR="00D33065">
        <w:t xml:space="preserve"> Chambre composée</w:t>
      </w:r>
      <w:r w:rsidRPr="003E3129">
        <w:t xml:space="preserve"> de :</w:t>
      </w:r>
    </w:p>
    <w:p w:rsidRPr="003E3129" w:rsidR="004344E6" w:rsidP="003E3129" w14:paraId="37514B48" w14:textId="77777777">
      <w:pPr>
        <w:pStyle w:val="JuJudges"/>
      </w:pPr>
      <w:r w:rsidRPr="003E3129">
        <w:tab/>
        <w:t>Jon Fridrik Kjølbro,</w:t>
      </w:r>
      <w:r w:rsidRPr="003E3129">
        <w:rPr>
          <w:i/>
        </w:rPr>
        <w:t xml:space="preserve"> président,</w:t>
      </w:r>
      <w:r w:rsidRPr="003E3129">
        <w:rPr>
          <w:i/>
        </w:rPr>
        <w:br/>
      </w:r>
      <w:r w:rsidRPr="003E3129">
        <w:tab/>
        <w:t>Marko Bošnjak,</w:t>
      </w:r>
      <w:r w:rsidRPr="003E3129">
        <w:rPr>
          <w:i/>
        </w:rPr>
        <w:br/>
      </w:r>
      <w:r w:rsidRPr="003E3129">
        <w:tab/>
        <w:t>Valeriu Griţco,</w:t>
      </w:r>
      <w:r w:rsidRPr="003E3129">
        <w:rPr>
          <w:i/>
        </w:rPr>
        <w:br/>
      </w:r>
      <w:r w:rsidRPr="003E3129">
        <w:tab/>
        <w:t>Ivana Jelić,</w:t>
      </w:r>
      <w:r w:rsidRPr="003E3129">
        <w:rPr>
          <w:i/>
        </w:rPr>
        <w:br/>
      </w:r>
      <w:r w:rsidRPr="003E3129">
        <w:tab/>
        <w:t>Arnfinn Bårdsen,</w:t>
      </w:r>
      <w:r w:rsidRPr="003E3129">
        <w:rPr>
          <w:i/>
        </w:rPr>
        <w:br/>
      </w:r>
      <w:r w:rsidRPr="003E3129">
        <w:tab/>
        <w:t>Darian Pavli,</w:t>
      </w:r>
      <w:r w:rsidRPr="003E3129">
        <w:rPr>
          <w:i/>
        </w:rPr>
        <w:br/>
      </w:r>
      <w:r w:rsidRPr="003E3129">
        <w:tab/>
        <w:t>Peeter Roosma,</w:t>
      </w:r>
      <w:r w:rsidRPr="003E3129">
        <w:rPr>
          <w:i/>
        </w:rPr>
        <w:t xml:space="preserve"> juges,</w:t>
      </w:r>
      <w:r w:rsidRPr="003E3129">
        <w:br/>
        <w:t xml:space="preserve">et </w:t>
      </w:r>
      <w:r w:rsidRPr="003E3129" w:rsidR="00346708">
        <w:t xml:space="preserve">de Hasan Bakırcı, </w:t>
      </w:r>
      <w:r w:rsidRPr="003E3129" w:rsidR="00346708">
        <w:rPr>
          <w:i/>
        </w:rPr>
        <w:t>greffier adjoint de section</w:t>
      </w:r>
      <w:r w:rsidRPr="003E3129">
        <w:t>,</w:t>
      </w:r>
    </w:p>
    <w:p w:rsidRPr="003E3129" w:rsidR="00D33065" w:rsidP="003E3129" w14:paraId="44C1E2C5" w14:textId="77777777">
      <w:pPr>
        <w:pStyle w:val="JuPara"/>
      </w:pPr>
      <w:bookmarkStart w:name="ITMARKHavingStart" w:id="1"/>
      <w:bookmarkEnd w:id="1"/>
      <w:r w:rsidRPr="003E3129">
        <w:t>Vu :</w:t>
      </w:r>
    </w:p>
    <w:p w:rsidRPr="003E3129" w:rsidR="00D33065" w:rsidP="003E3129" w14:paraId="5D2582B2" w14:textId="77777777">
      <w:pPr>
        <w:pStyle w:val="JuPara"/>
      </w:pPr>
      <w:r w:rsidRPr="003E3129">
        <w:t>la</w:t>
      </w:r>
      <w:r w:rsidRPr="003E3129">
        <w:t xml:space="preserve"> requête susmentionnée (n</w:t>
      </w:r>
      <w:r w:rsidRPr="003E3129">
        <w:rPr>
          <w:vertAlign w:val="superscript"/>
        </w:rPr>
        <w:t>o</w:t>
      </w:r>
      <w:r w:rsidRPr="003E3129">
        <w:t> 13112/07) dirigée contre la République de Moldova et dont un ressortissant de cet État, M. Felix Guţu (« le requérant ») a saisi la Cour en vertu de l</w:t>
      </w:r>
      <w:r w:rsidRPr="003E3129" w:rsidR="003E3129">
        <w:t>’</w:t>
      </w:r>
      <w:r w:rsidRPr="003E3129">
        <w:t>article 34 de la Convention de sauvegarde des droits de l</w:t>
      </w:r>
      <w:r w:rsidRPr="003E3129" w:rsidR="003E3129">
        <w:t>’</w:t>
      </w:r>
      <w:r w:rsidRPr="003E3129">
        <w:t>homme et des libertés fondamentales (« la Convention ») le 1</w:t>
      </w:r>
      <w:r w:rsidRPr="003E3129">
        <w:rPr>
          <w:vertAlign w:val="superscript"/>
        </w:rPr>
        <w:t>er</w:t>
      </w:r>
      <w:r w:rsidRPr="003E3129">
        <w:t xml:space="preserve"> mars 2007,</w:t>
      </w:r>
    </w:p>
    <w:p w:rsidRPr="003E3129" w:rsidR="00D33065" w:rsidP="003E3129" w14:paraId="0313CC6C" w14:textId="77777777">
      <w:pPr>
        <w:pStyle w:val="JuPara"/>
      </w:pPr>
      <w:r w:rsidRPr="003E3129">
        <w:t>la</w:t>
      </w:r>
      <w:r w:rsidRPr="003E3129">
        <w:t xml:space="preserve"> décision de porter</w:t>
      </w:r>
      <w:r w:rsidRPr="003E3129">
        <w:rPr>
          <w:lang w:val="ro-RO"/>
        </w:rPr>
        <w:t xml:space="preserve"> l</w:t>
      </w:r>
      <w:r w:rsidRPr="003E3129">
        <w:t>a</w:t>
      </w:r>
      <w:r w:rsidRPr="003E3129">
        <w:rPr>
          <w:lang w:val="ro-RO"/>
        </w:rPr>
        <w:t xml:space="preserve"> re</w:t>
      </w:r>
      <w:r w:rsidRPr="003E3129">
        <w:t>quête à la connaissance du gouvernement moldave (« le Gouvernement »),</w:t>
      </w:r>
    </w:p>
    <w:p w:rsidRPr="003E3129" w:rsidR="00D33065" w:rsidP="003E3129" w14:paraId="2995F1F9" w14:textId="77777777">
      <w:pPr>
        <w:pStyle w:val="JuPara"/>
      </w:pPr>
      <w:r w:rsidRPr="003E3129">
        <w:t>les</w:t>
      </w:r>
      <w:r w:rsidRPr="003E3129">
        <w:t xml:space="preserve"> observations des parties,</w:t>
      </w:r>
    </w:p>
    <w:p w:rsidRPr="003E3129" w:rsidR="004344E6" w:rsidP="003E3129" w14:paraId="7870B3C6" w14:textId="77777777">
      <w:pPr>
        <w:pStyle w:val="JuPara"/>
      </w:pPr>
      <w:r w:rsidRPr="003E3129">
        <w:t xml:space="preserve">Après en avoir délibéré en chambre du conseil le </w:t>
      </w:r>
      <w:r w:rsidRPr="003E3129" w:rsidR="00D33065">
        <w:t>22 septembre 2020</w:t>
      </w:r>
      <w:r w:rsidRPr="003E3129">
        <w:t>,</w:t>
      </w:r>
    </w:p>
    <w:p w:rsidRPr="003E3129" w:rsidR="00876F03" w:rsidP="003E3129" w14:paraId="16ADAD5E" w14:textId="77777777">
      <w:pPr>
        <w:pStyle w:val="JuPara"/>
      </w:pPr>
      <w:r w:rsidRPr="003E3129">
        <w:t>Rend l</w:t>
      </w:r>
      <w:r w:rsidRPr="003E3129" w:rsidR="003E3129">
        <w:t>’</w:t>
      </w:r>
      <w:r w:rsidRPr="003E3129">
        <w:t>arrêt que voici</w:t>
      </w:r>
      <w:r w:rsidRPr="003E3129">
        <w:t>, adopté à cette date :</w:t>
      </w:r>
    </w:p>
    <w:p w:rsidRPr="003E3129" w:rsidR="00D33065" w:rsidP="003E3129" w14:paraId="1FE09B22" w14:textId="77777777">
      <w:pPr>
        <w:pStyle w:val="JuHHead"/>
        <w:rPr>
          <w:lang w:val="fr-FR"/>
        </w:rPr>
      </w:pPr>
      <w:r w:rsidRPr="003E3129">
        <w:rPr>
          <w:lang w:val="fr-FR"/>
        </w:rPr>
        <w:t>INTRODUCTION</w:t>
      </w:r>
    </w:p>
    <w:p w:rsidRPr="003E3129" w:rsidR="00D33065" w:rsidP="003E3129" w14:paraId="06AC32BC"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1</w:t>
      </w:r>
      <w:r w:rsidRPr="003E3129">
        <w:fldChar w:fldCharType="end"/>
      </w:r>
      <w:r w:rsidRPr="003E3129">
        <w:t>.  La présente affaire soulève principalement des questions quant à l</w:t>
      </w:r>
      <w:r w:rsidRPr="003E3129" w:rsidR="003E3129">
        <w:t>’</w:t>
      </w:r>
      <w:r w:rsidRPr="003E3129">
        <w:t>applicabilité et au respect du principe de la présomption d</w:t>
      </w:r>
      <w:r w:rsidRPr="003E3129" w:rsidR="003E3129">
        <w:t>’</w:t>
      </w:r>
      <w:r w:rsidRPr="003E3129">
        <w:t>innocence dans le cadre d</w:t>
      </w:r>
      <w:r w:rsidRPr="003E3129" w:rsidR="003E3129">
        <w:t>’</w:t>
      </w:r>
      <w:r w:rsidRPr="003E3129">
        <w:t>une procédure civile subséquente à l</w:t>
      </w:r>
      <w:r w:rsidRPr="003E3129" w:rsidR="003E3129">
        <w:t>’</w:t>
      </w:r>
      <w:r w:rsidRPr="003E3129">
        <w:t>arrêt des poursuites pénales pour cause d</w:t>
      </w:r>
      <w:r w:rsidRPr="003E3129" w:rsidR="003E3129">
        <w:t>’</w:t>
      </w:r>
      <w:r w:rsidRPr="003E3129">
        <w:t>amnistie.</w:t>
      </w:r>
    </w:p>
    <w:p w:rsidRPr="003E3129" w:rsidR="00D33065" w:rsidP="003E3129" w14:paraId="1722FF6F" w14:textId="77777777">
      <w:pPr>
        <w:pStyle w:val="JuHHead"/>
      </w:pPr>
      <w:r w:rsidRPr="003E3129">
        <w:t>EN FAIT</w:t>
      </w:r>
    </w:p>
    <w:p w:rsidRPr="003E3129" w:rsidR="00D33065" w:rsidP="003E3129" w14:paraId="34AE1473"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2</w:t>
      </w:r>
      <w:r w:rsidRPr="003E3129">
        <w:fldChar w:fldCharType="end"/>
      </w:r>
      <w:r w:rsidRPr="003E3129">
        <w:t>.  Le requérant est né en 1966 et réside à Chișinău. Il est représenté par M</w:t>
      </w:r>
      <w:r w:rsidRPr="003E3129">
        <w:rPr>
          <w:vertAlign w:val="superscript"/>
        </w:rPr>
        <w:t>e</w:t>
      </w:r>
      <w:r w:rsidRPr="003E3129">
        <w:t> I. Guzun, avocat.</w:t>
      </w:r>
    </w:p>
    <w:p w:rsidRPr="003E3129" w:rsidR="00D33065" w:rsidP="003E3129" w14:paraId="1553526D"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3</w:t>
      </w:r>
      <w:r w:rsidRPr="003E3129">
        <w:fldChar w:fldCharType="end"/>
      </w:r>
      <w:r w:rsidRPr="003E3129">
        <w:t>.  Le Gouvernement a été représenté par son agent, M. L. Apostol.</w:t>
      </w:r>
    </w:p>
    <w:p w:rsidRPr="003E3129" w:rsidR="00D33065" w:rsidP="003E3129" w14:paraId="388DE07D" w14:textId="77777777">
      <w:pPr>
        <w:pStyle w:val="JuHIRoman"/>
        <w:rPr>
          <w:lang w:val="fr-FR"/>
        </w:rPr>
      </w:pPr>
      <w:r w:rsidRPr="003E3129">
        <w:rPr>
          <w:lang w:val="fr-FR"/>
        </w:rPr>
        <w:t>Informations fournies par le requérant dans sa requête</w:t>
      </w:r>
    </w:p>
    <w:p w:rsidRPr="003E3129" w:rsidR="00D33065" w:rsidP="003E3129" w14:paraId="35E9DA6D"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4</w:t>
      </w:r>
      <w:r w:rsidRPr="003E3129">
        <w:fldChar w:fldCharType="end"/>
      </w:r>
      <w:r w:rsidRPr="003E3129">
        <w:t>.  Le 26 août 2003, le parquet entama des poursuites pénales à l</w:t>
      </w:r>
      <w:r w:rsidRPr="003E3129" w:rsidR="003E3129">
        <w:t>’</w:t>
      </w:r>
      <w:r w:rsidRPr="003E3129">
        <w:t>encontre du requérant soupçonné de détournement de fonds en sa qualité de salarié de la société publique M.</w:t>
      </w:r>
    </w:p>
    <w:bookmarkStart w:name="ordonnance_fond_2dec2003" w:id="2"/>
    <w:p w:rsidRPr="003E3129" w:rsidR="00D33065" w:rsidP="003E3129" w14:paraId="676D5838"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5</w:t>
      </w:r>
      <w:r w:rsidRPr="003E3129">
        <w:fldChar w:fldCharType="end"/>
      </w:r>
      <w:bookmarkEnd w:id="2"/>
      <w:r w:rsidRPr="003E3129">
        <w:t>.  Le 2 décembre 2003, le procureur en charge de l</w:t>
      </w:r>
      <w:r w:rsidRPr="003E3129" w:rsidR="003E3129">
        <w:t>’</w:t>
      </w:r>
      <w:r w:rsidRPr="003E3129">
        <w:t>affaire adopta une ordonnance d</w:t>
      </w:r>
      <w:r w:rsidRPr="003E3129" w:rsidR="003E3129">
        <w:t>’</w:t>
      </w:r>
      <w:r w:rsidRPr="003E3129">
        <w:t>arrêt des poursuites pénales (</w:t>
      </w:r>
      <w:r w:rsidRPr="003E3129">
        <w:rPr>
          <w:i/>
          <w:lang w:val="ro-RO"/>
        </w:rPr>
        <w:t xml:space="preserve">ordonanță de încetare a </w:t>
      </w:r>
      <w:r w:rsidRPr="003E3129">
        <w:rPr>
          <w:i/>
          <w:lang w:val="ro-RO"/>
        </w:rPr>
        <w:t>urmăririi penale</w:t>
      </w:r>
      <w:r w:rsidRPr="003E3129">
        <w:t>). Il relevait que l</w:t>
      </w:r>
      <w:r w:rsidRPr="003E3129" w:rsidR="003E3129">
        <w:t>’</w:t>
      </w:r>
      <w:r w:rsidRPr="003E3129">
        <w:t>enquête pénale avait établi que, dans le but de soustraire de l</w:t>
      </w:r>
      <w:r w:rsidRPr="003E3129" w:rsidR="003E3129">
        <w:t>’</w:t>
      </w:r>
      <w:r w:rsidRPr="003E3129">
        <w:t>argent à son employeur, le requérant avait présenté à ce dernier une note de frais accompagnée d</w:t>
      </w:r>
      <w:r w:rsidRPr="003E3129" w:rsidR="003E3129">
        <w:t>’</w:t>
      </w:r>
      <w:r w:rsidRPr="003E3129">
        <w:t>une fausse facture d</w:t>
      </w:r>
      <w:r w:rsidRPr="003E3129" w:rsidR="003E3129">
        <w:t>’</w:t>
      </w:r>
      <w:r w:rsidRPr="003E3129">
        <w:t>hôtel, et que, selon l</w:t>
      </w:r>
      <w:r w:rsidRPr="003E3129" w:rsidR="003E3129">
        <w:t>’</w:t>
      </w:r>
      <w:r w:rsidRPr="003E3129">
        <w:t>information fournie par l</w:t>
      </w:r>
      <w:r w:rsidRPr="003E3129" w:rsidR="003E3129">
        <w:t>’</w:t>
      </w:r>
      <w:r w:rsidRPr="003E3129">
        <w:t>hôtel en question, le montant payé en réalité par le requérant était environ deux fois moins élevé que celui déclaré dans la note de frais. Il mentionnait les dépositions du requérant, qui considérait notamment ne pas avoir commis d</w:t>
      </w:r>
      <w:r w:rsidRPr="003E3129" w:rsidR="003E3129">
        <w:t>’</w:t>
      </w:r>
      <w:r w:rsidRPr="003E3129">
        <w:t>infraction, et celles de la comptable en chef de la société M. Après avoir examiné tous les éléments du dossier, le procureur estimait que l</w:t>
      </w:r>
      <w:r w:rsidRPr="003E3129" w:rsidR="003E3129">
        <w:t>’</w:t>
      </w:r>
      <w:r w:rsidRPr="003E3129">
        <w:t>infraction de détournement de fonds n</w:t>
      </w:r>
      <w:r w:rsidRPr="003E3129" w:rsidR="003E3129">
        <w:t>’</w:t>
      </w:r>
      <w:r w:rsidRPr="003E3129">
        <w:t>était pas constituée. À ce sujet, il relevait premièrement que le requérant avait, immédiatement après le rejet de sa note de frais par le service comptable, demandé à ce que les frais non justifiés fussent déduits de son salaire. Deuxièmement, il précisait que la somme indiquée dans la note de frais ne dépassait pas le montant maximal réglementaire auquel le requérant avait droit pour couvrir ses frais de déplacement.</w:t>
      </w:r>
    </w:p>
    <w:p w:rsidRPr="003E3129" w:rsidR="00D33065" w:rsidP="003E3129" w14:paraId="68DE4744"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6</w:t>
      </w:r>
      <w:r w:rsidRPr="003E3129">
        <w:fldChar w:fldCharType="end"/>
      </w:r>
      <w:r w:rsidRPr="003E3129">
        <w:t>.  Le 23 mars 2005, le premier adjoint du procureur général de la République de Moldova infirma le classement sans suite du 2 décembre 2003 et ordonna un complément d</w:t>
      </w:r>
      <w:r w:rsidRPr="003E3129" w:rsidR="003E3129">
        <w:t>’</w:t>
      </w:r>
      <w:r w:rsidRPr="003E3129">
        <w:t>enquête.</w:t>
      </w:r>
    </w:p>
    <w:bookmarkStart w:name="ordonnance_parquet_amnistie" w:id="3"/>
    <w:p w:rsidRPr="003E3129" w:rsidR="00D33065" w:rsidP="003E3129" w14:paraId="3260DD43"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7</w:t>
      </w:r>
      <w:r w:rsidRPr="003E3129">
        <w:fldChar w:fldCharType="end"/>
      </w:r>
      <w:bookmarkEnd w:id="3"/>
      <w:r w:rsidRPr="003E3129">
        <w:t>.  Par une ordonnance du 20 mai 2005, le procureur en charge de l</w:t>
      </w:r>
      <w:r w:rsidRPr="003E3129" w:rsidR="003E3129">
        <w:t>’</w:t>
      </w:r>
      <w:r w:rsidRPr="003E3129">
        <w:t>affaire arrêta une deuxième fois les poursuites pénales au motif que les faits allégués tombaient sous le coup de la loi d</w:t>
      </w:r>
      <w:r w:rsidRPr="003E3129" w:rsidR="003E3129">
        <w:t>’</w:t>
      </w:r>
      <w:r w:rsidRPr="003E3129">
        <w:t>amnistie du 16 juillet 2004 (paragraphe </w:t>
      </w:r>
      <w:r w:rsidRPr="003E3129">
        <w:fldChar w:fldCharType="begin"/>
      </w:r>
      <w:r w:rsidRPr="003E3129">
        <w:instrText xml:space="preserve"> REF loi_amnistie_2004 \h </w:instrText>
      </w:r>
      <w:r w:rsidRPr="003E3129">
        <w:fldChar w:fldCharType="separate"/>
      </w:r>
      <w:r w:rsidRPr="003E3129" w:rsidR="003E3129">
        <w:rPr>
          <w:noProof/>
        </w:rPr>
        <w:t>21</w:t>
      </w:r>
      <w:r w:rsidRPr="003E3129">
        <w:fldChar w:fldCharType="end"/>
      </w:r>
      <w:r w:rsidRPr="003E3129">
        <w:t xml:space="preserve"> ci-dessous). Il rappelait certains constats opérés dans l</w:t>
      </w:r>
      <w:r w:rsidRPr="003E3129" w:rsidR="003E3129">
        <w:t>’</w:t>
      </w:r>
      <w:r w:rsidRPr="003E3129">
        <w:t>ordonnance précédente, notamment le fait que le requérant avait présenté une note de frais accompagnée d</w:t>
      </w:r>
      <w:r w:rsidRPr="003E3129" w:rsidR="003E3129">
        <w:t>’</w:t>
      </w:r>
      <w:r w:rsidRPr="003E3129">
        <w:t>une fausse facture dans le but de soustraire de l</w:t>
      </w:r>
      <w:r w:rsidRPr="003E3129" w:rsidR="003E3129">
        <w:t>’</w:t>
      </w:r>
      <w:r w:rsidRPr="003E3129">
        <w:t>argent à son employeur. Le procureur notait également que le requérant avait été officiellement reconnu comme suspect de détournement de fonds, mais que tous les critères étaient réunis pour appliquer en l</w:t>
      </w:r>
      <w:r w:rsidRPr="003E3129" w:rsidR="003E3129">
        <w:t>’</w:t>
      </w:r>
      <w:r w:rsidRPr="003E3129">
        <w:t>espèce la loi d</w:t>
      </w:r>
      <w:r w:rsidRPr="003E3129" w:rsidR="003E3129">
        <w:t>’</w:t>
      </w:r>
      <w:r w:rsidRPr="003E3129">
        <w:t>amnistie.</w:t>
      </w:r>
    </w:p>
    <w:p w:rsidRPr="003E3129" w:rsidR="00D33065" w:rsidP="003E3129" w14:paraId="491519D9"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8</w:t>
      </w:r>
      <w:r w:rsidRPr="003E3129">
        <w:fldChar w:fldCharType="end"/>
      </w:r>
      <w:r w:rsidRPr="003E3129">
        <w:t>.  Par une lettre du 12 juillet 2005, le parquet informa la société M. des résultats de l</w:t>
      </w:r>
      <w:r w:rsidRPr="003E3129" w:rsidR="003E3129">
        <w:t>’</w:t>
      </w:r>
      <w:r w:rsidRPr="003E3129">
        <w:t>enquête pénale et de l</w:t>
      </w:r>
      <w:r w:rsidRPr="003E3129" w:rsidR="003E3129">
        <w:t>’</w:t>
      </w:r>
      <w:r w:rsidRPr="003E3129">
        <w:t>application de l</w:t>
      </w:r>
      <w:r w:rsidRPr="003E3129" w:rsidR="003E3129">
        <w:t>’</w:t>
      </w:r>
      <w:r w:rsidRPr="003E3129">
        <w:t>amnistie à l</w:t>
      </w:r>
      <w:r w:rsidRPr="003E3129" w:rsidR="003E3129">
        <w:t>’</w:t>
      </w:r>
      <w:r w:rsidRPr="003E3129">
        <w:t>égard du requérant.</w:t>
      </w:r>
    </w:p>
    <w:p w:rsidRPr="003E3129" w:rsidR="00D33065" w:rsidP="003E3129" w14:paraId="498D70C0"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9</w:t>
      </w:r>
      <w:r w:rsidRPr="003E3129">
        <w:fldChar w:fldCharType="end"/>
      </w:r>
      <w:r w:rsidRPr="003E3129">
        <w:t>.  Le 18 août 2005, la société M. licencia le requérant pour vol, en application de l</w:t>
      </w:r>
      <w:r w:rsidRPr="003E3129" w:rsidR="003E3129">
        <w:t>’</w:t>
      </w:r>
      <w:r w:rsidRPr="003E3129">
        <w:t xml:space="preserve">article 86 § 1 j) du code du travail (paragraphe </w:t>
      </w:r>
      <w:r w:rsidRPr="003E3129">
        <w:fldChar w:fldCharType="begin"/>
      </w:r>
      <w:r w:rsidRPr="003E3129">
        <w:instrText xml:space="preserve"> REF code_du_travail \h </w:instrText>
      </w:r>
      <w:r w:rsidRPr="003E3129">
        <w:fldChar w:fldCharType="separate"/>
      </w:r>
      <w:r w:rsidRPr="003E3129" w:rsidR="003E3129">
        <w:rPr>
          <w:noProof/>
        </w:rPr>
        <w:t>20</w:t>
      </w:r>
      <w:r w:rsidRPr="003E3129">
        <w:fldChar w:fldCharType="end"/>
      </w:r>
      <w:r w:rsidRPr="003E3129">
        <w:t xml:space="preserve"> ci-dessous). La décision de licenciement précisait notamment que l</w:t>
      </w:r>
      <w:r w:rsidRPr="003E3129" w:rsidR="003E3129">
        <w:t>’</w:t>
      </w:r>
      <w:r w:rsidRPr="003E3129">
        <w:t>enquête pénale avait établie qu</w:t>
      </w:r>
      <w:r w:rsidRPr="003E3129" w:rsidR="003E3129">
        <w:t>’</w:t>
      </w:r>
      <w:r w:rsidRPr="003E3129">
        <w:t>il y avait eu appropriation illégale des sommes d</w:t>
      </w:r>
      <w:r w:rsidRPr="003E3129" w:rsidR="003E3129">
        <w:t>’</w:t>
      </w:r>
      <w:r w:rsidRPr="003E3129">
        <w:t>argent.</w:t>
      </w:r>
    </w:p>
    <w:p w:rsidRPr="003E3129" w:rsidR="00D33065" w:rsidP="003E3129" w14:paraId="522B4433"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10</w:t>
      </w:r>
      <w:r w:rsidRPr="003E3129">
        <w:fldChar w:fldCharType="end"/>
      </w:r>
      <w:r w:rsidRPr="003E3129">
        <w:t>.  Le 19 octobre 2005, l</w:t>
      </w:r>
      <w:r w:rsidRPr="003E3129" w:rsidR="003E3129">
        <w:t>’</w:t>
      </w:r>
      <w:r w:rsidRPr="003E3129">
        <w:t>intéressé contesta son licenciement devant les tribunaux. Il objectait principalement que, contrairement à ce qu</w:t>
      </w:r>
      <w:r w:rsidRPr="003E3129" w:rsidR="003E3129">
        <w:t>’</w:t>
      </w:r>
      <w:r w:rsidRPr="003E3129">
        <w:t>aurait exigé le texte de l</w:t>
      </w:r>
      <w:r w:rsidRPr="003E3129" w:rsidR="003E3129">
        <w:t>’</w:t>
      </w:r>
      <w:r w:rsidRPr="003E3129">
        <w:t>article 86 § 1 j) du code du travail, aucune décision d</w:t>
      </w:r>
      <w:r w:rsidRPr="003E3129" w:rsidR="003E3129">
        <w:t>’</w:t>
      </w:r>
      <w:r w:rsidRPr="003E3129">
        <w:t>un tribunal ou d</w:t>
      </w:r>
      <w:r w:rsidRPr="003E3129" w:rsidR="003E3129">
        <w:t>’</w:t>
      </w:r>
      <w:r w:rsidRPr="003E3129">
        <w:t>une autorité ayant compétence à appliquer des sanctions administratives n</w:t>
      </w:r>
      <w:r w:rsidRPr="003E3129" w:rsidR="003E3129">
        <w:t>’</w:t>
      </w:r>
      <w:r w:rsidRPr="003E3129">
        <w:t>avait établi qu</w:t>
      </w:r>
      <w:r w:rsidRPr="003E3129" w:rsidR="003E3129">
        <w:t>’</w:t>
      </w:r>
      <w:r w:rsidRPr="003E3129">
        <w:t>il avait commis le détournement de fonds allégué.</w:t>
      </w:r>
    </w:p>
    <w:p w:rsidRPr="003E3129" w:rsidR="00D33065" w:rsidP="003E3129" w14:paraId="60E4392F"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11</w:t>
      </w:r>
      <w:r w:rsidRPr="003E3129">
        <w:fldChar w:fldCharType="end"/>
      </w:r>
      <w:r w:rsidRPr="003E3129">
        <w:t>.  Par un jugement du 22 mars 2006, le tribunal de Botanica (Chișinău) rejeta l</w:t>
      </w:r>
      <w:r w:rsidRPr="003E3129" w:rsidR="003E3129">
        <w:t>’</w:t>
      </w:r>
      <w:r w:rsidRPr="003E3129">
        <w:t xml:space="preserve">action comme mal fondée. Il notait que le requérant avait </w:t>
      </w:r>
      <w:r w:rsidRPr="003E3129">
        <w:t>bénévolement restitué l</w:t>
      </w:r>
      <w:r w:rsidRPr="003E3129" w:rsidR="003E3129">
        <w:t>’</w:t>
      </w:r>
      <w:r w:rsidRPr="003E3129">
        <w:t>argent, que celui-ci avait lui-même formulé une demande auprès du parquet pour que l</w:t>
      </w:r>
      <w:r w:rsidRPr="003E3129" w:rsidR="003E3129">
        <w:t>’</w:t>
      </w:r>
      <w:r w:rsidRPr="003E3129">
        <w:t>amnistie lui fût appliquée et que l</w:t>
      </w:r>
      <w:r w:rsidRPr="003E3129" w:rsidR="003E3129">
        <w:t>’</w:t>
      </w:r>
      <w:r w:rsidRPr="003E3129">
        <w:t>amnistie n</w:t>
      </w:r>
      <w:r w:rsidRPr="003E3129" w:rsidR="003E3129">
        <w:t>’</w:t>
      </w:r>
      <w:r w:rsidRPr="003E3129">
        <w:t>était qu</w:t>
      </w:r>
      <w:r w:rsidRPr="003E3129" w:rsidR="003E3129">
        <w:t>’</w:t>
      </w:r>
      <w:r w:rsidRPr="003E3129">
        <w:t>un acte exonératoire de responsabilité pénale ou de peine. Il estimait que, compte tenu de ces éléments, le requérant avait reconnu avoir soustrait de l</w:t>
      </w:r>
      <w:r w:rsidRPr="003E3129" w:rsidR="003E3129">
        <w:t>’</w:t>
      </w:r>
      <w:r w:rsidRPr="003E3129">
        <w:t>argent sur son lieu de travail et que, dès lors, le licenciement était légal.</w:t>
      </w:r>
    </w:p>
    <w:bookmarkStart w:name="arrêt_CA_Chisinau" w:id="4"/>
    <w:p w:rsidRPr="003E3129" w:rsidR="00D33065" w:rsidP="003E3129" w14:paraId="2E72A60E"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12</w:t>
      </w:r>
      <w:r w:rsidRPr="003E3129">
        <w:fldChar w:fldCharType="end"/>
      </w:r>
      <w:bookmarkEnd w:id="4"/>
      <w:r w:rsidRPr="003E3129">
        <w:t>.  Sur appel du requérant, la cour d</w:t>
      </w:r>
      <w:r w:rsidRPr="003E3129" w:rsidR="003E3129">
        <w:t>’</w:t>
      </w:r>
      <w:r w:rsidRPr="003E3129">
        <w:t>appel de Chișinău infirma le 25 mai 2006 le jugement de la première instance et accueillit l</w:t>
      </w:r>
      <w:r w:rsidRPr="003E3129" w:rsidR="003E3129">
        <w:t>’</w:t>
      </w:r>
      <w:r w:rsidRPr="003E3129">
        <w:t>action. Elle relevait notamment que, pour pouvoir licencier un salarié sur le fondement de l</w:t>
      </w:r>
      <w:r w:rsidRPr="003E3129" w:rsidR="003E3129">
        <w:t>’</w:t>
      </w:r>
      <w:r w:rsidRPr="003E3129">
        <w:t>article 86 § 1 j) du code du travail, le vol devait être établi par décision d</w:t>
      </w:r>
      <w:r w:rsidRPr="003E3129" w:rsidR="003E3129">
        <w:t>’</w:t>
      </w:r>
      <w:r w:rsidRPr="003E3129">
        <w:t>un tribunal ou d</w:t>
      </w:r>
      <w:r w:rsidRPr="003E3129" w:rsidR="003E3129">
        <w:t>’</w:t>
      </w:r>
      <w:r w:rsidRPr="003E3129">
        <w:t>une autorité ayant compétence à appliquer des sanctions administratives. Or, elle estimait que le classement sans suite du 20 mai 2005 relativement à l</w:t>
      </w:r>
      <w:r w:rsidRPr="003E3129" w:rsidR="003E3129">
        <w:t>’</w:t>
      </w:r>
      <w:r w:rsidRPr="003E3129">
        <w:t>application de l</w:t>
      </w:r>
      <w:r w:rsidRPr="003E3129" w:rsidR="003E3129">
        <w:t>’</w:t>
      </w:r>
      <w:r w:rsidRPr="003E3129">
        <w:t>amnistie à l</w:t>
      </w:r>
      <w:r w:rsidRPr="003E3129" w:rsidR="003E3129">
        <w:t>’</w:t>
      </w:r>
      <w:r w:rsidRPr="003E3129">
        <w:t>égard du requérant ne pouvait pas se substituer à une telle décision. Par conséquent, la cour d</w:t>
      </w:r>
      <w:r w:rsidRPr="003E3129" w:rsidR="003E3129">
        <w:t>’</w:t>
      </w:r>
      <w:r w:rsidRPr="003E3129">
        <w:t>appel jugea le licenciement de l</w:t>
      </w:r>
      <w:r w:rsidRPr="003E3129" w:rsidR="003E3129">
        <w:t>’</w:t>
      </w:r>
      <w:r w:rsidRPr="003E3129">
        <w:t>intéressé contraire à l</w:t>
      </w:r>
      <w:r w:rsidRPr="003E3129" w:rsidR="003E3129">
        <w:t>’</w:t>
      </w:r>
      <w:r w:rsidRPr="003E3129">
        <w:t>article 86 § 1 j) du code du travail et ordonna sa réintégration au poste. Elle enjoignit également à l</w:t>
      </w:r>
      <w:r w:rsidRPr="003E3129" w:rsidR="003E3129">
        <w:t>’</w:t>
      </w:r>
      <w:r w:rsidRPr="003E3129">
        <w:t>employeur de verser au requérant un salaire mensuel de 5 056,52 lei moldaves (MDL) (300 euros (EUR) selon le taux de change en vigueur à la date de l</w:t>
      </w:r>
      <w:r w:rsidRPr="003E3129" w:rsidR="003E3129">
        <w:t>’</w:t>
      </w:r>
      <w:r w:rsidRPr="003E3129">
        <w:t>adoption de l</w:t>
      </w:r>
      <w:r w:rsidRPr="003E3129" w:rsidR="003E3129">
        <w:t>’</w:t>
      </w:r>
      <w:r w:rsidRPr="003E3129">
        <w:t>arrêt) pour neuf mois d</w:t>
      </w:r>
      <w:r w:rsidRPr="003E3129" w:rsidR="003E3129">
        <w:t>’</w:t>
      </w:r>
      <w:r w:rsidRPr="003E3129">
        <w:t>absence forcée du travail ainsi qu</w:t>
      </w:r>
      <w:r w:rsidRPr="003E3129" w:rsidR="003E3129">
        <w:t>’</w:t>
      </w:r>
      <w:r w:rsidRPr="003E3129">
        <w:t>un mois de salaire supplémentaire pour préjudice moral. La somme totale s</w:t>
      </w:r>
      <w:r w:rsidRPr="003E3129" w:rsidR="003E3129">
        <w:t>’</w:t>
      </w:r>
      <w:r w:rsidRPr="003E3129">
        <w:t>élevait à 50 565,20 MDL (3 000 EUR).</w:t>
      </w:r>
    </w:p>
    <w:bookmarkStart w:name="Déc_CSJ" w:id="5"/>
    <w:p w:rsidRPr="003E3129" w:rsidR="00D33065" w:rsidP="003E3129" w14:paraId="7F5922BA"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13</w:t>
      </w:r>
      <w:r w:rsidRPr="003E3129">
        <w:fldChar w:fldCharType="end"/>
      </w:r>
      <w:bookmarkEnd w:id="5"/>
      <w:r w:rsidRPr="003E3129">
        <w:t>.  Sur recours de la société M., la Cour suprême de justice infirma, par une décision définitive du 30 août 2006, l</w:t>
      </w:r>
      <w:r w:rsidRPr="003E3129" w:rsidR="003E3129">
        <w:t>’</w:t>
      </w:r>
      <w:r w:rsidRPr="003E3129">
        <w:t>arrêt de la cour d</w:t>
      </w:r>
      <w:r w:rsidRPr="003E3129" w:rsidR="003E3129">
        <w:t>’</w:t>
      </w:r>
      <w:r w:rsidRPr="003E3129">
        <w:t>appel et confirma le jugement de la première instance. Les passages pertinents en l</w:t>
      </w:r>
      <w:r w:rsidRPr="003E3129" w:rsidR="003E3129">
        <w:t>’</w:t>
      </w:r>
      <w:r w:rsidRPr="003E3129">
        <w:t>espèce de cette décision se lisent comme suit :</w:t>
      </w:r>
    </w:p>
    <w:p w:rsidRPr="003E3129" w:rsidR="00D33065" w:rsidP="003E3129" w14:paraId="199629E4" w14:textId="77777777">
      <w:pPr>
        <w:pStyle w:val="JuQuot"/>
      </w:pPr>
      <w:r w:rsidRPr="003E3129">
        <w:t>« En audience, il a été établi que [le requérant] (...) avait fourni à son employeur des faux documents concernant les frais encourus. [Par la suite], [le requérant] avait bénévolement restitué l</w:t>
      </w:r>
      <w:r w:rsidRPr="003E3129" w:rsidR="003E3129">
        <w:t>’</w:t>
      </w:r>
      <w:r w:rsidRPr="003E3129">
        <w:t>argent et avait demandé au procureur d</w:t>
      </w:r>
      <w:r w:rsidRPr="003E3129" w:rsidR="003E3129">
        <w:t>’</w:t>
      </w:r>
      <w:r w:rsidRPr="003E3129">
        <w:t>appliquer à son égard la loi d</w:t>
      </w:r>
      <w:r w:rsidRPr="003E3129" w:rsidR="003E3129">
        <w:t>’</w:t>
      </w:r>
      <w:r w:rsidRPr="003E3129">
        <w:t>amnistie. (...)</w:t>
      </w:r>
    </w:p>
    <w:p w:rsidRPr="003E3129" w:rsidR="00D33065" w:rsidP="003E3129" w14:paraId="30D1CE18" w14:textId="77777777">
      <w:pPr>
        <w:pStyle w:val="JuQuot"/>
      </w:pPr>
      <w:r w:rsidRPr="003E3129">
        <w:t>Dans ces conditions, l</w:t>
      </w:r>
      <w:r w:rsidRPr="003E3129" w:rsidR="003E3129">
        <w:t>’</w:t>
      </w:r>
      <w:r w:rsidRPr="003E3129">
        <w:t>instance de recours estime que le licenciement du [requérant] était conforme aux dispositions de l</w:t>
      </w:r>
      <w:r w:rsidRPr="003E3129" w:rsidR="003E3129">
        <w:t>’</w:t>
      </w:r>
      <w:r w:rsidRPr="003E3129">
        <w:t>article 86 § 1 j) du code du travail.</w:t>
      </w:r>
    </w:p>
    <w:p w:rsidRPr="003E3129" w:rsidR="00D33065" w:rsidP="003E3129" w14:paraId="7BDC4662" w14:textId="77777777">
      <w:pPr>
        <w:pStyle w:val="JuQuot"/>
      </w:pPr>
      <w:r w:rsidRPr="003E3129">
        <w:t>La Cour suprême de justice ne saurait accueillir les arguments du [requérant] tirés d</w:t>
      </w:r>
      <w:r w:rsidRPr="003E3129" w:rsidR="003E3129">
        <w:t>’</w:t>
      </w:r>
      <w:r w:rsidRPr="003E3129">
        <w:t>une absence de décision d</w:t>
      </w:r>
      <w:r w:rsidRPr="003E3129" w:rsidR="003E3129">
        <w:t>’</w:t>
      </w:r>
      <w:r w:rsidRPr="003E3129">
        <w:t>un tribunal ou d</w:t>
      </w:r>
      <w:r w:rsidRPr="003E3129" w:rsidR="003E3129">
        <w:t>’</w:t>
      </w:r>
      <w:r w:rsidRPr="003E3129">
        <w:t>une autorité ayant compétence à appliquer des sanctions administratives énoncés à l</w:t>
      </w:r>
      <w:r w:rsidRPr="003E3129" w:rsidR="003E3129">
        <w:t>’</w:t>
      </w:r>
      <w:r w:rsidRPr="003E3129">
        <w:t>article 86 § 1 j) du code du travail, car l</w:t>
      </w:r>
      <w:r w:rsidRPr="003E3129" w:rsidR="003E3129">
        <w:t>’</w:t>
      </w:r>
      <w:r w:rsidRPr="003E3129">
        <w:t>ordonnance de classement sans suite (...), [adoptée] en application de l</w:t>
      </w:r>
      <w:r w:rsidRPr="003E3129" w:rsidR="003E3129">
        <w:t>’</w:t>
      </w:r>
      <w:r w:rsidRPr="003E3129">
        <w:t>article 275 § 4 du code de procédure pénale, constitue une circonstance qui exclut les poursuites pénales en raison de l</w:t>
      </w:r>
      <w:r w:rsidRPr="003E3129" w:rsidR="003E3129">
        <w:t>’</w:t>
      </w:r>
      <w:r w:rsidRPr="003E3129">
        <w:t>application d</w:t>
      </w:r>
      <w:r w:rsidRPr="003E3129" w:rsidR="003E3129">
        <w:t>’</w:t>
      </w:r>
      <w:r w:rsidRPr="003E3129">
        <w:t>un acte d</w:t>
      </w:r>
      <w:r w:rsidRPr="003E3129" w:rsidR="003E3129">
        <w:t>’</w:t>
      </w:r>
      <w:r w:rsidRPr="003E3129">
        <w:t>amnistie et non pas au motif de l</w:t>
      </w:r>
      <w:r w:rsidRPr="003E3129" w:rsidR="003E3129">
        <w:t>’</w:t>
      </w:r>
      <w:r w:rsidRPr="003E3129">
        <w:t>inexistence du fait infractionnel. De surcroît, [le requérant] – reconnaissant en substance le caractère infractionnel des faits – a demandé l</w:t>
      </w:r>
      <w:r w:rsidRPr="003E3129" w:rsidR="003E3129">
        <w:t>’</w:t>
      </w:r>
      <w:r w:rsidRPr="003E3129">
        <w:t>application de la loi d</w:t>
      </w:r>
      <w:r w:rsidRPr="003E3129" w:rsidR="003E3129">
        <w:t>’</w:t>
      </w:r>
      <w:r w:rsidRPr="003E3129">
        <w:t>amnistie à son égard.</w:t>
      </w:r>
    </w:p>
    <w:p w:rsidRPr="003E3129" w:rsidR="00D33065" w:rsidP="003E3129" w14:paraId="4C850B5F" w14:textId="77777777">
      <w:pPr>
        <w:pStyle w:val="JuQuot"/>
      </w:pPr>
      <w:r w:rsidRPr="003E3129">
        <w:t>Or, selon l</w:t>
      </w:r>
      <w:r w:rsidRPr="003E3129" w:rsidR="003E3129">
        <w:t>’</w:t>
      </w:r>
      <w:r w:rsidRPr="003E3129">
        <w:t>article 107 du code pénal, l</w:t>
      </w:r>
      <w:r w:rsidRPr="003E3129" w:rsidR="003E3129">
        <w:t>’</w:t>
      </w:r>
      <w:r w:rsidRPr="003E3129">
        <w:t>amnistie est l</w:t>
      </w:r>
      <w:r w:rsidRPr="003E3129" w:rsidR="003E3129">
        <w:t>’</w:t>
      </w:r>
      <w:r w:rsidRPr="003E3129">
        <w:t>acte qui a comme effet l</w:t>
      </w:r>
      <w:r w:rsidRPr="003E3129" w:rsidR="003E3129">
        <w:t>’</w:t>
      </w:r>
      <w:r w:rsidRPr="003E3129">
        <w:t>exonération de responsabilité pénale ou de peine et n</w:t>
      </w:r>
      <w:r w:rsidRPr="003E3129" w:rsidR="003E3129">
        <w:t>’</w:t>
      </w:r>
      <w:r w:rsidRPr="003E3129">
        <w:t>a pas d</w:t>
      </w:r>
      <w:r w:rsidRPr="003E3129" w:rsidR="003E3129">
        <w:t>’</w:t>
      </w:r>
      <w:r w:rsidRPr="003E3129">
        <w:t>incidence sur (..) les droits de la partie lésée. »</w:t>
      </w:r>
    </w:p>
    <w:p w:rsidRPr="003E3129" w:rsidR="00D33065" w:rsidP="003E3129" w14:paraId="27121966" w14:textId="77777777">
      <w:pPr>
        <w:pStyle w:val="JuHIRoman"/>
        <w:rPr>
          <w:lang w:val="fr-FR"/>
        </w:rPr>
      </w:pPr>
      <w:r w:rsidRPr="003E3129">
        <w:rPr>
          <w:lang w:val="fr-FR"/>
        </w:rPr>
        <w:t>Informations fournies par le Gouvernement après la communication</w:t>
      </w:r>
    </w:p>
    <w:p w:rsidRPr="003E3129" w:rsidR="00D33065" w:rsidP="003E3129" w14:paraId="7C652861"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14</w:t>
      </w:r>
      <w:r w:rsidRPr="003E3129">
        <w:fldChar w:fldCharType="end"/>
      </w:r>
      <w:r w:rsidRPr="003E3129">
        <w:t>.  À une date non précisée en septembre 2006, l</w:t>
      </w:r>
      <w:r w:rsidRPr="003E3129" w:rsidR="003E3129">
        <w:t>’</w:t>
      </w:r>
      <w:r w:rsidRPr="003E3129">
        <w:t>adjoint du procureur général de la République de Moldova infirma le classement sans suite du 20 mai 2005 relativement à l</w:t>
      </w:r>
      <w:r w:rsidRPr="003E3129" w:rsidR="003E3129">
        <w:t>’</w:t>
      </w:r>
      <w:r w:rsidRPr="003E3129">
        <w:t>application de l</w:t>
      </w:r>
      <w:r w:rsidRPr="003E3129" w:rsidR="003E3129">
        <w:t>’</w:t>
      </w:r>
      <w:r w:rsidRPr="003E3129">
        <w:t>amnistie à l</w:t>
      </w:r>
      <w:r w:rsidRPr="003E3129" w:rsidR="003E3129">
        <w:t>’</w:t>
      </w:r>
      <w:r w:rsidRPr="003E3129">
        <w:t xml:space="preserve">égard du requérant (paragraphe </w:t>
      </w:r>
      <w:r w:rsidRPr="003E3129">
        <w:fldChar w:fldCharType="begin"/>
      </w:r>
      <w:r w:rsidRPr="003E3129">
        <w:instrText xml:space="preserve"> REF ordonnance_parquet_amnistie \h </w:instrText>
      </w:r>
      <w:r w:rsidRPr="003E3129">
        <w:fldChar w:fldCharType="separate"/>
      </w:r>
      <w:r w:rsidRPr="003E3129" w:rsidR="003E3129">
        <w:rPr>
          <w:noProof/>
        </w:rPr>
        <w:t>7</w:t>
      </w:r>
      <w:r w:rsidRPr="003E3129">
        <w:fldChar w:fldCharType="end"/>
      </w:r>
      <w:r w:rsidRPr="003E3129">
        <w:t xml:space="preserve"> ci-dessus) et ordonna un complément d</w:t>
      </w:r>
      <w:r w:rsidRPr="003E3129" w:rsidR="003E3129">
        <w:t>’</w:t>
      </w:r>
      <w:r w:rsidRPr="003E3129">
        <w:t>enquête.</w:t>
      </w:r>
    </w:p>
    <w:p w:rsidRPr="003E3129" w:rsidR="00D33065" w:rsidP="003E3129" w14:paraId="4FCB18A2"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15</w:t>
      </w:r>
      <w:r w:rsidRPr="003E3129">
        <w:fldChar w:fldCharType="end"/>
      </w:r>
      <w:r w:rsidRPr="003E3129">
        <w:t>.  Le 4 janvier 2007, le procureur en charge de l</w:t>
      </w:r>
      <w:r w:rsidRPr="003E3129" w:rsidR="003E3129">
        <w:t>’</w:t>
      </w:r>
      <w:r w:rsidRPr="003E3129">
        <w:t>affaire arrêta de nouveau les poursuites pénales contre le requérant pour cause d</w:t>
      </w:r>
      <w:r w:rsidRPr="003E3129" w:rsidR="003E3129">
        <w:t>’</w:t>
      </w:r>
      <w:r w:rsidRPr="003E3129">
        <w:t>amnistie. Sur recours du requérant, un juge d</w:t>
      </w:r>
      <w:r w:rsidRPr="003E3129" w:rsidR="003E3129">
        <w:t>’</w:t>
      </w:r>
      <w:r w:rsidRPr="003E3129">
        <w:t>instruction annula cette décision et ordonna la reprise de l</w:t>
      </w:r>
      <w:r w:rsidRPr="003E3129" w:rsidR="003E3129">
        <w:t>’</w:t>
      </w:r>
      <w:r w:rsidRPr="003E3129">
        <w:t>enquête.</w:t>
      </w:r>
    </w:p>
    <w:bookmarkStart w:name="ordonnance_fond_25jan2011" w:id="6"/>
    <w:p w:rsidRPr="003E3129" w:rsidR="00D33065" w:rsidP="003E3129" w14:paraId="3D7CE162"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16</w:t>
      </w:r>
      <w:r w:rsidRPr="003E3129">
        <w:fldChar w:fldCharType="end"/>
      </w:r>
      <w:bookmarkEnd w:id="6"/>
      <w:r w:rsidRPr="003E3129">
        <w:t>.  Le 25 janvier 2011, le procureur en charge de l</w:t>
      </w:r>
      <w:r w:rsidRPr="003E3129" w:rsidR="003E3129">
        <w:t>’</w:t>
      </w:r>
      <w:r w:rsidRPr="003E3129">
        <w:t>affaire adopta une ordonnance d</w:t>
      </w:r>
      <w:r w:rsidRPr="003E3129" w:rsidR="003E3129">
        <w:t>’</w:t>
      </w:r>
      <w:r w:rsidRPr="003E3129">
        <w:t>arrêt des poursuites pénales au motif que l</w:t>
      </w:r>
      <w:r w:rsidRPr="003E3129" w:rsidR="003E3129">
        <w:t>’</w:t>
      </w:r>
      <w:r w:rsidRPr="003E3129">
        <w:t>infraction reprochée au requérant n</w:t>
      </w:r>
      <w:r w:rsidRPr="003E3129" w:rsidR="003E3129">
        <w:t>’</w:t>
      </w:r>
      <w:r w:rsidRPr="003E3129">
        <w:t>était pas constituée. Il notait en particulier que les frais non justifiés avaient, à la demande du requérant, été déduits du salaire de celui-ci et que, dès lors, il n</w:t>
      </w:r>
      <w:r w:rsidRPr="003E3129" w:rsidR="003E3129">
        <w:t>’</w:t>
      </w:r>
      <w:r w:rsidRPr="003E3129">
        <w:t>y avait pas eu appropriation des fonds.</w:t>
      </w:r>
    </w:p>
    <w:p w:rsidRPr="003E3129" w:rsidR="00D33065" w:rsidP="003E3129" w14:paraId="7ADF40F8"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17</w:t>
      </w:r>
      <w:r w:rsidRPr="003E3129">
        <w:fldChar w:fldCharType="end"/>
      </w:r>
      <w:r w:rsidRPr="003E3129">
        <w:t>.  Le 16 septembre 2011, un juge d</w:t>
      </w:r>
      <w:r w:rsidRPr="003E3129" w:rsidR="003E3129">
        <w:t>’</w:t>
      </w:r>
      <w:r w:rsidRPr="003E3129">
        <w:t>instruction annula sur recours de la société M. cette ordonnance.</w:t>
      </w:r>
    </w:p>
    <w:bookmarkStart w:name="ordonnance_fond_19oct2012" w:id="7"/>
    <w:p w:rsidRPr="003E3129" w:rsidR="00D33065" w:rsidP="003E3129" w14:paraId="61CC5829"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18</w:t>
      </w:r>
      <w:r w:rsidRPr="003E3129">
        <w:fldChar w:fldCharType="end"/>
      </w:r>
      <w:bookmarkEnd w:id="7"/>
      <w:r w:rsidRPr="003E3129">
        <w:t>.  Enfin, le parquet adopta le 19 octobre 2012 une ordonnance d</w:t>
      </w:r>
      <w:r w:rsidRPr="003E3129" w:rsidR="003E3129">
        <w:t>’</w:t>
      </w:r>
      <w:r w:rsidRPr="003E3129">
        <w:t>arrêt des poursuites pénales au motif que l</w:t>
      </w:r>
      <w:r w:rsidRPr="003E3129" w:rsidR="003E3129">
        <w:t>’</w:t>
      </w:r>
      <w:r w:rsidRPr="003E3129">
        <w:t>infraction reprochée au requérant n</w:t>
      </w:r>
      <w:r w:rsidRPr="003E3129" w:rsidR="003E3129">
        <w:t>’</w:t>
      </w:r>
      <w:r w:rsidRPr="003E3129">
        <w:t>était pas constituée. Cette décision ne fut pas contestée.</w:t>
      </w:r>
    </w:p>
    <w:p w:rsidRPr="003E3129" w:rsidR="00D33065" w:rsidP="003E3129" w14:paraId="775F16A6" w14:textId="77777777">
      <w:pPr>
        <w:pStyle w:val="JuPara"/>
      </w:pPr>
      <w:r w:rsidRPr="003E3129">
        <w:t>Les parties n</w:t>
      </w:r>
      <w:r w:rsidRPr="003E3129" w:rsidR="003E3129">
        <w:t>’</w:t>
      </w:r>
      <w:r w:rsidRPr="003E3129">
        <w:t>en ont pas fourni copie à la Cour.</w:t>
      </w:r>
    </w:p>
    <w:p w:rsidRPr="003E3129" w:rsidR="00D33065" w:rsidP="003E3129" w14:paraId="15F4E4E1"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19</w:t>
      </w:r>
      <w:r w:rsidRPr="003E3129">
        <w:fldChar w:fldCharType="end"/>
      </w:r>
      <w:r w:rsidRPr="003E3129">
        <w:t xml:space="preserve">.  Entre-temps, la Cour suprême de justice avait le 19 octobre 2011 rejeté comme irrecevable une demande du requérant en révision de la décision définitive adoptée au civil (paragraphe </w:t>
      </w:r>
      <w:r w:rsidRPr="003E3129">
        <w:fldChar w:fldCharType="begin"/>
      </w:r>
      <w:r w:rsidRPr="003E3129">
        <w:instrText xml:space="preserve"> REF Déc_CSJ \h </w:instrText>
      </w:r>
      <w:r w:rsidRPr="003E3129">
        <w:fldChar w:fldCharType="separate"/>
      </w:r>
      <w:r w:rsidRPr="003E3129" w:rsidR="003E3129">
        <w:rPr>
          <w:noProof/>
        </w:rPr>
        <w:t>13</w:t>
      </w:r>
      <w:r w:rsidRPr="003E3129">
        <w:fldChar w:fldCharType="end"/>
      </w:r>
      <w:r w:rsidRPr="003E3129">
        <w:t xml:space="preserve"> ci-dessus).</w:t>
      </w:r>
    </w:p>
    <w:p w:rsidRPr="003E3129" w:rsidR="00D33065" w:rsidP="003E3129" w14:paraId="6EFD47E7" w14:textId="77777777">
      <w:pPr>
        <w:pStyle w:val="JuHHead"/>
        <w:numPr>
          <w:ilvl w:val="0"/>
          <w:numId w:val="2"/>
        </w:numPr>
        <w:spacing w:line="259" w:lineRule="auto"/>
      </w:pPr>
      <w:r w:rsidRPr="003E3129">
        <w:rPr>
          <w:caps w:val="0"/>
        </w:rPr>
        <w:t>LE CADRE JURIDIQUE INTERNE PERTINENT</w:t>
      </w:r>
    </w:p>
    <w:bookmarkStart w:name="code_du_travail" w:id="8"/>
    <w:p w:rsidRPr="003E3129" w:rsidR="00D33065" w:rsidP="003E3129" w14:paraId="05BC63A8"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20</w:t>
      </w:r>
      <w:r w:rsidRPr="003E3129">
        <w:fldChar w:fldCharType="end"/>
      </w:r>
      <w:bookmarkEnd w:id="8"/>
      <w:r w:rsidRPr="003E3129">
        <w:t>.  Les passages pertinents en l</w:t>
      </w:r>
      <w:r w:rsidRPr="003E3129" w:rsidR="003E3129">
        <w:t>’</w:t>
      </w:r>
      <w:r w:rsidRPr="003E3129">
        <w:t>espèce de l</w:t>
      </w:r>
      <w:r w:rsidRPr="003E3129" w:rsidR="003E3129">
        <w:t>’</w:t>
      </w:r>
      <w:r w:rsidRPr="003E3129">
        <w:t>article 86 du code du travail, tels que libellés à l</w:t>
      </w:r>
      <w:r w:rsidRPr="003E3129" w:rsidR="003E3129">
        <w:t>’</w:t>
      </w:r>
      <w:r w:rsidRPr="003E3129">
        <w:t>époque des faits, se lisaient comme suit :</w:t>
      </w:r>
    </w:p>
    <w:p w:rsidRPr="003E3129" w:rsidR="00D33065" w:rsidP="003E3129" w14:paraId="2747C587" w14:textId="77777777">
      <w:pPr>
        <w:pStyle w:val="JuHArticle"/>
        <w:rPr>
          <w:rFonts w:eastAsia="Times New Roman"/>
        </w:rPr>
      </w:pPr>
      <w:bookmarkStart w:name="A86" w:id="9"/>
      <w:r w:rsidRPr="003E3129">
        <w:rPr>
          <w:rFonts w:eastAsia="Times New Roman"/>
        </w:rPr>
        <w:t>« Article 86.  Le licenciement</w:t>
      </w:r>
    </w:p>
    <w:p w:rsidRPr="003E3129" w:rsidR="00D33065" w:rsidP="003E3129" w14:paraId="077186F1" w14:textId="77777777">
      <w:pPr>
        <w:pStyle w:val="JuQuot"/>
        <w:rPr>
          <w:rFonts w:eastAsia="Times New Roman"/>
        </w:rPr>
      </w:pPr>
      <w:r w:rsidRPr="003E3129">
        <w:rPr>
          <w:rFonts w:eastAsia="Times New Roman"/>
        </w:rPr>
        <w:t>1.  Le licenciement – [c</w:t>
      </w:r>
      <w:r w:rsidRPr="003E3129" w:rsidR="003E3129">
        <w:rPr>
          <w:rFonts w:eastAsia="Times New Roman"/>
        </w:rPr>
        <w:t>’</w:t>
      </w:r>
      <w:r w:rsidRPr="003E3129">
        <w:rPr>
          <w:rFonts w:eastAsia="Times New Roman"/>
        </w:rPr>
        <w:t>est-à-dire] la résiliation à l</w:t>
      </w:r>
      <w:r w:rsidRPr="003E3129" w:rsidR="003E3129">
        <w:rPr>
          <w:rFonts w:eastAsia="Times New Roman"/>
        </w:rPr>
        <w:t>’</w:t>
      </w:r>
      <w:r w:rsidRPr="003E3129">
        <w:rPr>
          <w:rFonts w:eastAsia="Times New Roman"/>
        </w:rPr>
        <w:t>initiative de l</w:t>
      </w:r>
      <w:r w:rsidRPr="003E3129" w:rsidR="003E3129">
        <w:rPr>
          <w:rFonts w:eastAsia="Times New Roman"/>
        </w:rPr>
        <w:t>’</w:t>
      </w:r>
      <w:r w:rsidRPr="003E3129">
        <w:rPr>
          <w:rFonts w:eastAsia="Times New Roman"/>
        </w:rPr>
        <w:t>employeur du contrat individuel de travail (...) – est autorisé pour les motifs suivants :</w:t>
      </w:r>
    </w:p>
    <w:p w:rsidRPr="003E3129" w:rsidR="00D33065" w:rsidP="003E3129" w14:paraId="29527630" w14:textId="77777777">
      <w:pPr>
        <w:pStyle w:val="JuQuot"/>
        <w:rPr>
          <w:rFonts w:eastAsia="Times New Roman"/>
        </w:rPr>
      </w:pPr>
      <w:r w:rsidRPr="003E3129">
        <w:rPr>
          <w:rFonts w:eastAsia="Times New Roman"/>
        </w:rPr>
        <w:t>(...)</w:t>
      </w:r>
    </w:p>
    <w:p w:rsidRPr="003E3129" w:rsidR="00D33065" w:rsidP="003E3129" w14:paraId="5B8CD079" w14:textId="77777777">
      <w:pPr>
        <w:pStyle w:val="JuQuot"/>
        <w:rPr>
          <w:rFonts w:eastAsia="Times New Roman"/>
        </w:rPr>
      </w:pPr>
      <w:r w:rsidRPr="003E3129">
        <w:rPr>
          <w:rFonts w:eastAsia="Times New Roman"/>
        </w:rPr>
        <w:t>j)  la commission sur le lieu de travail d</w:t>
      </w:r>
      <w:r w:rsidRPr="003E3129" w:rsidR="003E3129">
        <w:rPr>
          <w:rFonts w:eastAsia="Times New Roman"/>
        </w:rPr>
        <w:t>’</w:t>
      </w:r>
      <w:r w:rsidRPr="003E3129">
        <w:rPr>
          <w:rFonts w:eastAsia="Times New Roman"/>
        </w:rPr>
        <w:t>un vol (y compris mineur) du patrimoine de l</w:t>
      </w:r>
      <w:r w:rsidRPr="003E3129" w:rsidR="003E3129">
        <w:rPr>
          <w:rFonts w:eastAsia="Times New Roman"/>
        </w:rPr>
        <w:t>’</w:t>
      </w:r>
      <w:r w:rsidRPr="003E3129">
        <w:rPr>
          <w:rFonts w:eastAsia="Times New Roman"/>
        </w:rPr>
        <w:t>unité, établi par une décision du tribunal ou de l</w:t>
      </w:r>
      <w:r w:rsidRPr="003E3129" w:rsidR="003E3129">
        <w:rPr>
          <w:rFonts w:eastAsia="Times New Roman"/>
        </w:rPr>
        <w:t>’</w:t>
      </w:r>
      <w:r w:rsidRPr="003E3129">
        <w:rPr>
          <w:rFonts w:eastAsia="Times New Roman"/>
        </w:rPr>
        <w:t>autorité ayant compétence à appliquer des sanctions administratives ;</w:t>
      </w:r>
    </w:p>
    <w:p w:rsidRPr="003E3129" w:rsidR="00D33065" w:rsidP="003E3129" w14:paraId="4426A546" w14:textId="77777777">
      <w:pPr>
        <w:pStyle w:val="JuQuot"/>
        <w:rPr>
          <w:rFonts w:eastAsia="Times New Roman"/>
        </w:rPr>
      </w:pPr>
      <w:r w:rsidRPr="003E3129">
        <w:rPr>
          <w:rFonts w:eastAsia="Times New Roman"/>
        </w:rPr>
        <w:t>(...) »</w:t>
      </w:r>
    </w:p>
    <w:bookmarkStart w:name="loi_amnistie_2004" w:id="10"/>
    <w:bookmarkEnd w:id="9"/>
    <w:p w:rsidRPr="003E3129" w:rsidR="00D33065" w:rsidP="003E3129" w14:paraId="199F36D0"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21</w:t>
      </w:r>
      <w:r w:rsidRPr="003E3129">
        <w:fldChar w:fldCharType="end"/>
      </w:r>
      <w:bookmarkEnd w:id="10"/>
      <w:r w:rsidRPr="003E3129">
        <w:t>.  Les passages pertinents en l</w:t>
      </w:r>
      <w:r w:rsidRPr="003E3129" w:rsidR="003E3129">
        <w:t>’</w:t>
      </w:r>
      <w:r w:rsidRPr="003E3129">
        <w:t>espèce de la loi d</w:t>
      </w:r>
      <w:r w:rsidRPr="003E3129" w:rsidR="003E3129">
        <w:t>’</w:t>
      </w:r>
      <w:r w:rsidRPr="003E3129">
        <w:t>amnistie du 16 juillet 2004 sont ainsi libellés :</w:t>
      </w:r>
    </w:p>
    <w:p w:rsidRPr="003E3129" w:rsidR="00D33065" w:rsidP="003E3129" w14:paraId="0C068EE0" w14:textId="77777777">
      <w:pPr>
        <w:pStyle w:val="JuHArticle"/>
      </w:pPr>
      <w:r w:rsidRPr="003E3129">
        <w:t>« Article 1</w:t>
      </w:r>
    </w:p>
    <w:p w:rsidRPr="003E3129" w:rsidR="00D33065" w:rsidP="003E3129" w14:paraId="72A3DB86" w14:textId="77777777">
      <w:pPr>
        <w:pStyle w:val="JuQuot"/>
      </w:pPr>
      <w:r w:rsidRPr="003E3129">
        <w:t>1.  La procédure pénale est arrêtée dans la phase d</w:t>
      </w:r>
      <w:r w:rsidRPr="003E3129" w:rsidR="003E3129">
        <w:t>’</w:t>
      </w:r>
      <w:r w:rsidRPr="003E3129">
        <w:t>enquête pénale ou dans celle de jugement relativement à l</w:t>
      </w:r>
      <w:r w:rsidRPr="003E3129" w:rsidR="003E3129">
        <w:t>’</w:t>
      </w:r>
      <w:r w:rsidRPr="003E3129">
        <w:t>infraction, commise avant la date d</w:t>
      </w:r>
      <w:r w:rsidRPr="003E3129" w:rsidR="003E3129">
        <w:t>’</w:t>
      </w:r>
      <w:r w:rsidRPr="003E3129">
        <w:t>adoption de la présente loi, pour laquelle le code pénal (...) prévoit, en tant que peine principale maximale, une peine moins sévère que l</w:t>
      </w:r>
      <w:r w:rsidRPr="003E3129" w:rsidR="003E3129">
        <w:t>’</w:t>
      </w:r>
      <w:r w:rsidRPr="003E3129">
        <w:t>emprisonnement pour une période de sept ans.</w:t>
      </w:r>
    </w:p>
    <w:p w:rsidRPr="003E3129" w:rsidR="00D33065" w:rsidP="003E3129" w14:paraId="13298DB5" w14:textId="77777777">
      <w:pPr>
        <w:pStyle w:val="JuQuot"/>
      </w:pPr>
      <w:r w:rsidRPr="003E3129">
        <w:t>2.  L</w:t>
      </w:r>
      <w:r w:rsidRPr="003E3129" w:rsidR="003E3129">
        <w:t>’</w:t>
      </w:r>
      <w:r w:rsidRPr="003E3129">
        <w:t>enquête pénale ou la procédure pénale en phase de jugement est arrêtée si la personne suspectée, mise en examen ou prévenue/accusée n</w:t>
      </w:r>
      <w:r w:rsidRPr="003E3129" w:rsidR="003E3129">
        <w:t>’</w:t>
      </w:r>
      <w:r w:rsidRPr="003E3129">
        <w:t>insiste pas sur l</w:t>
      </w:r>
      <w:r w:rsidRPr="003E3129" w:rsidR="003E3129">
        <w:t>’</w:t>
      </w:r>
      <w:r w:rsidRPr="003E3129">
        <w:t>examen de l</w:t>
      </w:r>
      <w:r w:rsidRPr="003E3129" w:rsidR="003E3129">
        <w:t>’</w:t>
      </w:r>
      <w:r w:rsidRPr="003E3129">
        <w:t>affaire par un tribunal (...).</w:t>
      </w:r>
    </w:p>
    <w:p w:rsidRPr="003E3129" w:rsidR="00D33065" w:rsidP="003E3129" w14:paraId="3C2E0D21" w14:textId="77777777">
      <w:pPr>
        <w:pStyle w:val="JuQuot"/>
      </w:pPr>
      <w:r w:rsidRPr="003E3129">
        <w:t>3.  Si la personne prévenue/accusée insiste sur l</w:t>
      </w:r>
      <w:r w:rsidRPr="003E3129" w:rsidR="003E3129">
        <w:t>’</w:t>
      </w:r>
      <w:r w:rsidRPr="003E3129">
        <w:t>examen de l</w:t>
      </w:r>
      <w:r w:rsidRPr="003E3129" w:rsidR="003E3129">
        <w:t>’</w:t>
      </w:r>
      <w:r w:rsidRPr="003E3129">
        <w:t>affaire par un tribunal, [ce dernier] se prononce sur l</w:t>
      </w:r>
      <w:r w:rsidRPr="003E3129" w:rsidR="003E3129">
        <w:t>’</w:t>
      </w:r>
      <w:r w:rsidRPr="003E3129">
        <w:t>application du présent article si, après examen de l</w:t>
      </w:r>
      <w:r w:rsidRPr="003E3129" w:rsidR="003E3129">
        <w:t>’</w:t>
      </w:r>
      <w:r w:rsidRPr="003E3129">
        <w:t>affaire, la culpabilité du prévenu/de l</w:t>
      </w:r>
      <w:r w:rsidRPr="003E3129" w:rsidR="003E3129">
        <w:t>’</w:t>
      </w:r>
      <w:r w:rsidRPr="003E3129">
        <w:t>a</w:t>
      </w:r>
      <w:r w:rsidRPr="003E3129" w:rsidR="003E3129">
        <w:t>ccusé (...) est confirmée (...)</w:t>
      </w:r>
      <w:r w:rsidRPr="003E3129">
        <w:t> »</w:t>
      </w:r>
    </w:p>
    <w:bookmarkStart w:name="loi_amnistie_2016" w:id="11"/>
    <w:p w:rsidRPr="003E3129" w:rsidR="00D33065" w:rsidP="003E3129" w14:paraId="4DBA838E"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22</w:t>
      </w:r>
      <w:r w:rsidRPr="003E3129">
        <w:fldChar w:fldCharType="end"/>
      </w:r>
      <w:bookmarkEnd w:id="11"/>
      <w:r w:rsidRPr="003E3129">
        <w:t>.  Les passages pertinents en l</w:t>
      </w:r>
      <w:r w:rsidRPr="003E3129" w:rsidR="003E3129">
        <w:t>’</w:t>
      </w:r>
      <w:r w:rsidRPr="003E3129">
        <w:t>espèce de la loi d</w:t>
      </w:r>
      <w:r w:rsidRPr="003E3129" w:rsidR="003E3129">
        <w:t>’</w:t>
      </w:r>
      <w:r w:rsidRPr="003E3129">
        <w:t>amnistie du 29 juillet 2016 se lisent ainsi :</w:t>
      </w:r>
    </w:p>
    <w:p w:rsidRPr="003E3129" w:rsidR="00D33065" w:rsidP="003E3129" w14:paraId="0755ACE4" w14:textId="77777777">
      <w:pPr>
        <w:pStyle w:val="JuHArticle"/>
      </w:pPr>
      <w:r w:rsidRPr="003E3129">
        <w:t>« Article 1</w:t>
      </w:r>
    </w:p>
    <w:p w:rsidRPr="003E3129" w:rsidR="00D33065" w:rsidP="003E3129" w14:paraId="7CD6532F" w14:textId="77777777">
      <w:pPr>
        <w:pStyle w:val="JuQuot"/>
      </w:pPr>
      <w:r w:rsidRPr="003E3129">
        <w:t>1.  La présente loi s</w:t>
      </w:r>
      <w:r w:rsidRPr="003E3129" w:rsidR="003E3129">
        <w:t>’</w:t>
      </w:r>
      <w:r w:rsidRPr="003E3129">
        <w:t>applique de manière conditionnée et exclusivement aux personnes suspectées, mises en examen et prévenues/accusées qui expriment un repentir actif dans le cad</w:t>
      </w:r>
      <w:r w:rsidRPr="003E3129" w:rsidR="003E3129">
        <w:t>re de la procédure pénale (...)</w:t>
      </w:r>
      <w:r w:rsidRPr="003E3129">
        <w:t> »</w:t>
      </w:r>
    </w:p>
    <w:bookmarkStart w:name="code_pénal" w:id="12"/>
    <w:p w:rsidRPr="003E3129" w:rsidR="00D33065" w:rsidP="003E3129" w14:paraId="4542204B"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23</w:t>
      </w:r>
      <w:r w:rsidRPr="003E3129">
        <w:fldChar w:fldCharType="end"/>
      </w:r>
      <w:bookmarkEnd w:id="12"/>
      <w:r w:rsidRPr="003E3129">
        <w:t>.  Les passages pertinents en l</w:t>
      </w:r>
      <w:r w:rsidRPr="003E3129" w:rsidR="003E3129">
        <w:t>’</w:t>
      </w:r>
      <w:r w:rsidRPr="003E3129">
        <w:t>espèce du code pénal sont libellés comme suit :</w:t>
      </w:r>
    </w:p>
    <w:p w:rsidRPr="003E3129" w:rsidR="00D33065" w:rsidP="003E3129" w14:paraId="14DDBE95" w14:textId="77777777">
      <w:pPr>
        <w:pStyle w:val="JuHArticle"/>
      </w:pPr>
      <w:r w:rsidRPr="003E3129">
        <w:t>« Article 107.  L</w:t>
      </w:r>
      <w:r w:rsidRPr="003E3129" w:rsidR="003E3129">
        <w:t>’</w:t>
      </w:r>
      <w:r w:rsidRPr="003E3129">
        <w:t>amnistie</w:t>
      </w:r>
    </w:p>
    <w:p w:rsidRPr="003E3129" w:rsidR="00D33065" w:rsidP="003E3129" w14:paraId="19E50BBC" w14:textId="77777777">
      <w:pPr>
        <w:pStyle w:val="JuQuot"/>
      </w:pPr>
      <w:r w:rsidRPr="003E3129">
        <w:t>1.  L</w:t>
      </w:r>
      <w:r w:rsidRPr="003E3129" w:rsidR="003E3129">
        <w:t>’</w:t>
      </w:r>
      <w:r w:rsidRPr="003E3129">
        <w:t>amnistie est l</w:t>
      </w:r>
      <w:r w:rsidRPr="003E3129" w:rsidR="003E3129">
        <w:t>’</w:t>
      </w:r>
      <w:r w:rsidRPr="003E3129">
        <w:t>acte qui a comme effet l</w:t>
      </w:r>
      <w:r w:rsidRPr="003E3129" w:rsidR="003E3129">
        <w:t>’</w:t>
      </w:r>
      <w:r w:rsidRPr="003E3129">
        <w:t>exonération de responsabilité pénale ou de peine (...).</w:t>
      </w:r>
    </w:p>
    <w:p w:rsidRPr="003E3129" w:rsidR="00D33065" w:rsidP="003E3129" w14:paraId="02FFE838" w14:textId="77777777">
      <w:pPr>
        <w:pStyle w:val="JuQuot"/>
      </w:pPr>
      <w:r w:rsidRPr="003E3129">
        <w:t>2.  L</w:t>
      </w:r>
      <w:r w:rsidRPr="003E3129" w:rsidR="003E3129">
        <w:t>’</w:t>
      </w:r>
      <w:r w:rsidRPr="003E3129">
        <w:t>amnistie n</w:t>
      </w:r>
      <w:r w:rsidRPr="003E3129" w:rsidR="003E3129">
        <w:t>’</w:t>
      </w:r>
      <w:r w:rsidRPr="003E3129">
        <w:t>a pas d</w:t>
      </w:r>
      <w:r w:rsidRPr="003E3129" w:rsidR="003E3129">
        <w:t>’</w:t>
      </w:r>
      <w:r w:rsidRPr="003E3129">
        <w:t>incidence (...) sur les droits de la personne lésée. »</w:t>
      </w:r>
    </w:p>
    <w:bookmarkStart w:name="code_procédure_pénale" w:id="13"/>
    <w:p w:rsidRPr="003E3129" w:rsidR="00D33065" w:rsidP="003E3129" w14:paraId="2E7C534F"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24</w:t>
      </w:r>
      <w:r w:rsidRPr="003E3129">
        <w:fldChar w:fldCharType="end"/>
      </w:r>
      <w:bookmarkEnd w:id="13"/>
      <w:r w:rsidRPr="003E3129">
        <w:t>.  Les passages pertinents en l</w:t>
      </w:r>
      <w:r w:rsidRPr="003E3129" w:rsidR="003E3129">
        <w:t>’</w:t>
      </w:r>
      <w:r w:rsidRPr="003E3129">
        <w:t>espèce des dispositions en vigueur à l</w:t>
      </w:r>
      <w:r w:rsidRPr="003E3129" w:rsidR="003E3129">
        <w:t>’</w:t>
      </w:r>
      <w:r w:rsidRPr="003E3129">
        <w:t>époque des faits du code de procédure pénale étaient rédigés comme suit :</w:t>
      </w:r>
    </w:p>
    <w:p w:rsidRPr="003E3129" w:rsidR="00D33065" w:rsidP="003E3129" w14:paraId="7294C28F" w14:textId="77777777">
      <w:pPr>
        <w:pStyle w:val="JuHArticle"/>
      </w:pPr>
      <w:r w:rsidRPr="003E3129">
        <w:t>« Article 63.  Le suspect</w:t>
      </w:r>
    </w:p>
    <w:p w:rsidRPr="003E3129" w:rsidR="00D33065" w:rsidP="003E3129" w14:paraId="4FF8D605" w14:textId="77777777">
      <w:pPr>
        <w:pStyle w:val="JuQuot"/>
      </w:pPr>
      <w:r w:rsidRPr="003E3129">
        <w:t>1.  Le suspect est la personne physique à l</w:t>
      </w:r>
      <w:r w:rsidRPr="003E3129" w:rsidR="003E3129">
        <w:t>’</w:t>
      </w:r>
      <w:r w:rsidRPr="003E3129">
        <w:t>égard de laquelle, avant sa mise en examen, il existe certaines preuves qu</w:t>
      </w:r>
      <w:r w:rsidRPr="003E3129" w:rsidR="003E3129">
        <w:t>’</w:t>
      </w:r>
      <w:r w:rsidRPr="003E3129">
        <w:t>elle a commis une infraction. (...)</w:t>
      </w:r>
    </w:p>
    <w:p w:rsidRPr="003E3129" w:rsidR="00D33065" w:rsidP="003E3129" w14:paraId="18375137" w14:textId="77777777">
      <w:pPr>
        <w:pStyle w:val="JuQuot"/>
      </w:pPr>
      <w:r w:rsidRPr="003E3129">
        <w:t>(...)</w:t>
      </w:r>
    </w:p>
    <w:p w:rsidRPr="003E3129" w:rsidR="00D33065" w:rsidP="003E3129" w14:paraId="1D3364D4" w14:textId="77777777">
      <w:pPr>
        <w:pStyle w:val="JuHArticle"/>
      </w:pPr>
      <w:r w:rsidRPr="003E3129">
        <w:t>Article 64.  Les droits et les obligations du suspect</w:t>
      </w:r>
    </w:p>
    <w:p w:rsidRPr="003E3129" w:rsidR="00D33065" w:rsidP="003E3129" w14:paraId="57AFD52F" w14:textId="77777777">
      <w:pPr>
        <w:pStyle w:val="JuQuot"/>
      </w:pPr>
      <w:r w:rsidRPr="003E3129">
        <w:t>(...)</w:t>
      </w:r>
    </w:p>
    <w:p w:rsidRPr="003E3129" w:rsidR="00D33065" w:rsidP="003E3129" w14:paraId="0F924072" w14:textId="77777777">
      <w:pPr>
        <w:pStyle w:val="JuQuot"/>
      </w:pPr>
      <w:r w:rsidRPr="003E3129">
        <w:t>2.  Conformément aux dispositions du présent code, le suspect a droit :</w:t>
      </w:r>
    </w:p>
    <w:p w:rsidRPr="003E3129" w:rsidR="00D33065" w:rsidP="003E3129" w14:paraId="78BF1D1E" w14:textId="77777777">
      <w:pPr>
        <w:pStyle w:val="JuQuot"/>
        <w:ind w:firstLine="295"/>
      </w:pPr>
      <w:r w:rsidRPr="003E3129">
        <w:t>(...)</w:t>
      </w:r>
    </w:p>
    <w:p w:rsidRPr="003E3129" w:rsidR="00D33065" w:rsidP="003E3129" w14:paraId="56CD0195" w14:textId="77777777">
      <w:pPr>
        <w:pStyle w:val="JuQuot"/>
      </w:pPr>
      <w:r w:rsidRPr="003E3129">
        <w:tab/>
        <w:t>8)  de reconnaitre la commission du fait dont il est soupçonné et de conclure l</w:t>
      </w:r>
      <w:r w:rsidRPr="003E3129" w:rsidR="003E3129">
        <w:t>’</w:t>
      </w:r>
      <w:r w:rsidRPr="003E3129">
        <w:t>accord de reconnaissance de culpabilité ;</w:t>
      </w:r>
    </w:p>
    <w:p w:rsidRPr="003E3129" w:rsidR="00D33065" w:rsidP="003E3129" w14:paraId="11C28A5F" w14:textId="77777777">
      <w:pPr>
        <w:pStyle w:val="JuQuot"/>
      </w:pPr>
      <w:r w:rsidRPr="003E3129">
        <w:tab/>
        <w:t>9)  d</w:t>
      </w:r>
      <w:r w:rsidRPr="003E3129" w:rsidR="003E3129">
        <w:t>’</w:t>
      </w:r>
      <w:r w:rsidRPr="003E3129">
        <w:t>accepter une procédure spéciale des poursuites pénales et de jugement de l</w:t>
      </w:r>
      <w:r w:rsidRPr="003E3129" w:rsidR="003E3129">
        <w:t>’</w:t>
      </w:r>
      <w:r w:rsidRPr="003E3129">
        <w:t>affaire, (...), en cas de reconnaissance de culpabilité ;</w:t>
      </w:r>
    </w:p>
    <w:p w:rsidRPr="003E3129" w:rsidR="00D33065" w:rsidP="003E3129" w14:paraId="6F431ECC" w14:textId="77777777">
      <w:pPr>
        <w:pStyle w:val="JuQuot"/>
      </w:pPr>
      <w:r w:rsidRPr="003E3129">
        <w:t>(...)</w:t>
      </w:r>
    </w:p>
    <w:p w:rsidRPr="003E3129" w:rsidR="00D33065" w:rsidP="003E3129" w14:paraId="7D017277" w14:textId="77777777">
      <w:pPr>
        <w:pStyle w:val="JuQuot"/>
      </w:pPr>
      <w:r w:rsidRPr="003E3129">
        <w:t>3.  L</w:t>
      </w:r>
      <w:r w:rsidRPr="003E3129" w:rsidR="003E3129">
        <w:t>’</w:t>
      </w:r>
      <w:r w:rsidRPr="003E3129">
        <w:t>exercice par le suspect des droits dont il dispose ou la renonciation à ces droits ne peuvent pas être interprétés à son détriment et ne peuvent pas avoir des conséquences défavorables pour lui. (...)</w:t>
      </w:r>
    </w:p>
    <w:p w:rsidRPr="003E3129" w:rsidR="00D33065" w:rsidP="003E3129" w14:paraId="3B9130E6" w14:textId="77777777">
      <w:pPr>
        <w:pStyle w:val="JuQuot"/>
      </w:pPr>
      <w:r w:rsidRPr="003E3129">
        <w:t>(...)</w:t>
      </w:r>
    </w:p>
    <w:p w:rsidRPr="003E3129" w:rsidR="00D33065" w:rsidP="003E3129" w14:paraId="4C0DB029" w14:textId="77777777">
      <w:pPr>
        <w:pStyle w:val="JuHArticle"/>
      </w:pPr>
      <w:r w:rsidRPr="003E3129">
        <w:t>Article 264.  L</w:t>
      </w:r>
      <w:r w:rsidRPr="003E3129" w:rsidR="003E3129">
        <w:t>’</w:t>
      </w:r>
      <w:r w:rsidRPr="003E3129">
        <w:t>auto-dénonciation</w:t>
      </w:r>
    </w:p>
    <w:p w:rsidRPr="003E3129" w:rsidR="00D33065" w:rsidP="003E3129" w14:paraId="442BEF1C" w14:textId="77777777">
      <w:pPr>
        <w:pStyle w:val="JuQuot"/>
      </w:pPr>
      <w:r w:rsidRPr="003E3129">
        <w:t>1.  L</w:t>
      </w:r>
      <w:r w:rsidRPr="003E3129" w:rsidR="003E3129">
        <w:t>’</w:t>
      </w:r>
      <w:r w:rsidRPr="003E3129">
        <w:t>auto-dénonciation est le fait pour une personne physique ou morale d</w:t>
      </w:r>
      <w:r w:rsidRPr="003E3129" w:rsidR="003E3129">
        <w:t>’</w:t>
      </w:r>
      <w:r w:rsidRPr="003E3129">
        <w:t>informer bénévolement qu</w:t>
      </w:r>
      <w:r w:rsidRPr="003E3129" w:rsidR="003E3129">
        <w:t>’</w:t>
      </w:r>
      <w:r w:rsidRPr="003E3129">
        <w:t>elle a commis une infraction (...).</w:t>
      </w:r>
    </w:p>
    <w:p w:rsidRPr="003E3129" w:rsidR="00D33065" w:rsidP="003E3129" w14:paraId="6480D352" w14:textId="77777777">
      <w:pPr>
        <w:pStyle w:val="JuQuot"/>
      </w:pPr>
      <w:r w:rsidRPr="003E3129">
        <w:t>(...)</w:t>
      </w:r>
    </w:p>
    <w:p w:rsidRPr="003E3129" w:rsidR="00D33065" w:rsidP="003E3129" w14:paraId="3D37DBF0" w14:textId="77777777">
      <w:pPr>
        <w:pStyle w:val="JuQuot"/>
      </w:pPr>
      <w:r w:rsidRPr="003E3129">
        <w:t>3.  Avant de faire la déclaration d</w:t>
      </w:r>
      <w:r w:rsidRPr="003E3129" w:rsidR="003E3129">
        <w:t>’</w:t>
      </w:r>
      <w:r w:rsidRPr="003E3129">
        <w:t>auto-dénonciation, la personne est informée de son droit de garder le silence et de ne pas témoigner contre soi-même (...)</w:t>
      </w:r>
    </w:p>
    <w:p w:rsidRPr="003E3129" w:rsidR="00D33065" w:rsidP="003E3129" w14:paraId="22FD564A" w14:textId="77777777">
      <w:pPr>
        <w:pStyle w:val="JuQuot"/>
        <w:rPr>
          <w:lang w:val="ro-RO"/>
        </w:rPr>
      </w:pPr>
      <w:r w:rsidRPr="003E3129">
        <w:t>(...)</w:t>
      </w:r>
    </w:p>
    <w:p w:rsidRPr="003E3129" w:rsidR="00D33065" w:rsidP="003E3129" w14:paraId="6BE40F06" w14:textId="77777777">
      <w:pPr>
        <w:pStyle w:val="JuHArticle"/>
      </w:pPr>
      <w:r w:rsidRPr="003E3129">
        <w:t>Article 275.  Les circonstances qui empêchent les poursuites pénales</w:t>
      </w:r>
    </w:p>
    <w:p w:rsidRPr="003E3129" w:rsidR="00D33065" w:rsidP="003E3129" w14:paraId="27215796" w14:textId="77777777">
      <w:pPr>
        <w:pStyle w:val="JuQuot"/>
      </w:pPr>
      <w:r w:rsidRPr="003E3129">
        <w:t>Les poursuites pénales ne peuvent pas être engagées, et, si elles sont engagées, elles ne peuvent pas être diligentées, et doivent être arrêtées lorsque :</w:t>
      </w:r>
    </w:p>
    <w:p w:rsidRPr="003E3129" w:rsidR="00D33065" w:rsidP="003E3129" w14:paraId="4529D974" w14:textId="77777777">
      <w:pPr>
        <w:pStyle w:val="JuQuot"/>
      </w:pPr>
      <w:r w:rsidRPr="003E3129">
        <w:t>(...)</w:t>
      </w:r>
    </w:p>
    <w:p w:rsidRPr="003E3129" w:rsidR="00D33065" w:rsidP="003E3129" w14:paraId="71880750" w14:textId="77777777">
      <w:pPr>
        <w:pStyle w:val="JuQuot"/>
      </w:pPr>
      <w:r w:rsidRPr="003E3129">
        <w:t>3)  l</w:t>
      </w:r>
      <w:r w:rsidRPr="003E3129" w:rsidR="003E3129">
        <w:t>’</w:t>
      </w:r>
      <w:r w:rsidRPr="003E3129">
        <w:t>infraction n</w:t>
      </w:r>
      <w:r w:rsidRPr="003E3129" w:rsidR="003E3129">
        <w:t>’</w:t>
      </w:r>
      <w:r w:rsidRPr="003E3129">
        <w:t>est pas caractérisée dans ses éléments (...) ;</w:t>
      </w:r>
    </w:p>
    <w:p w:rsidRPr="003E3129" w:rsidR="00D33065" w:rsidP="003E3129" w14:paraId="0A8D6F8B" w14:textId="77777777">
      <w:pPr>
        <w:pStyle w:val="JuQuot"/>
      </w:pPr>
      <w:r w:rsidRPr="003E3129">
        <w:t>4)  la prescription ou l</w:t>
      </w:r>
      <w:r w:rsidRPr="003E3129" w:rsidR="003E3129">
        <w:t>’</w:t>
      </w:r>
      <w:r w:rsidRPr="003E3129">
        <w:t>amnistie sont intervenues ;</w:t>
      </w:r>
    </w:p>
    <w:p w:rsidRPr="003E3129" w:rsidR="00D33065" w:rsidP="003E3129" w14:paraId="6EFCD520" w14:textId="77777777">
      <w:pPr>
        <w:pStyle w:val="JuQuot"/>
      </w:pPr>
      <w:r w:rsidRPr="003E3129">
        <w:t>(...)</w:t>
      </w:r>
    </w:p>
    <w:p w:rsidRPr="003E3129" w:rsidR="00D33065" w:rsidP="003E3129" w14:paraId="74891E37" w14:textId="77777777">
      <w:pPr>
        <w:pStyle w:val="JuHArticle"/>
      </w:pPr>
      <w:r w:rsidRPr="003E3129">
        <w:t>Article 285.  L</w:t>
      </w:r>
      <w:r w:rsidRPr="003E3129" w:rsidR="003E3129">
        <w:t>’</w:t>
      </w:r>
      <w:r w:rsidRPr="003E3129">
        <w:t>arrêt des poursuites pénales</w:t>
      </w:r>
    </w:p>
    <w:p w:rsidRPr="003E3129" w:rsidR="00D33065" w:rsidP="003E3129" w14:paraId="4B590BE8" w14:textId="77777777">
      <w:pPr>
        <w:pStyle w:val="JuQuot"/>
      </w:pPr>
      <w:r w:rsidRPr="003E3129">
        <w:t>1.  L</w:t>
      </w:r>
      <w:r w:rsidRPr="003E3129" w:rsidR="003E3129">
        <w:t>’</w:t>
      </w:r>
      <w:r w:rsidRPr="003E3129">
        <w:t>arrêt des poursuites pénales intervient dans les situations prévues à l</w:t>
      </w:r>
      <w:r w:rsidRPr="003E3129" w:rsidR="003E3129">
        <w:t>’</w:t>
      </w:r>
      <w:r w:rsidRPr="003E3129">
        <w:t>article 275 (...).</w:t>
      </w:r>
    </w:p>
    <w:p w:rsidRPr="003E3129" w:rsidR="00D33065" w:rsidP="003E3129" w14:paraId="322A9AB9" w14:textId="77777777">
      <w:pPr>
        <w:pStyle w:val="JuQuot"/>
      </w:pPr>
      <w:r w:rsidRPr="003E3129">
        <w:t>(...)</w:t>
      </w:r>
    </w:p>
    <w:p w:rsidRPr="003E3129" w:rsidR="00D33065" w:rsidP="003E3129" w14:paraId="277E8413" w14:textId="77777777">
      <w:pPr>
        <w:pStyle w:val="JuQuot"/>
      </w:pPr>
      <w:r w:rsidRPr="003E3129">
        <w:t>5.  L</w:t>
      </w:r>
      <w:r w:rsidRPr="003E3129" w:rsidR="003E3129">
        <w:t>’</w:t>
      </w:r>
      <w:r w:rsidRPr="003E3129">
        <w:t>ordonnance d</w:t>
      </w:r>
      <w:r w:rsidRPr="003E3129" w:rsidR="003E3129">
        <w:t>’</w:t>
      </w:r>
      <w:r w:rsidRPr="003E3129">
        <w:t xml:space="preserve">arrêt des poursuites pénales doit contenir (...) les informations sur la personne et sur </w:t>
      </w:r>
      <w:r w:rsidRPr="003E3129">
        <w:t>le fait concernés</w:t>
      </w:r>
      <w:r w:rsidRPr="003E3129">
        <w:t xml:space="preserve"> par l</w:t>
      </w:r>
      <w:r w:rsidRPr="003E3129" w:rsidR="003E3129">
        <w:t>’</w:t>
      </w:r>
      <w:r w:rsidRPr="003E3129">
        <w:t>arrêt [des poursuites pénales], ainsi que les motifs de fait et de droit sur le fondement desquels l</w:t>
      </w:r>
      <w:r w:rsidRPr="003E3129" w:rsidR="003E3129">
        <w:t>’</w:t>
      </w:r>
      <w:r w:rsidRPr="003E3129">
        <w:t>arrêt est ordonné.</w:t>
      </w:r>
    </w:p>
    <w:p w:rsidRPr="003E3129" w:rsidR="00D33065" w:rsidP="003E3129" w14:paraId="3B9D90B7" w14:textId="77777777">
      <w:pPr>
        <w:pStyle w:val="JuQuot"/>
        <w:rPr>
          <w:bCs/>
        </w:rPr>
      </w:pPr>
      <w:r w:rsidRPr="003E3129">
        <w:rPr>
          <w:bCs/>
        </w:rPr>
        <w:t>(...)</w:t>
      </w:r>
    </w:p>
    <w:p w:rsidRPr="003E3129" w:rsidR="00D33065" w:rsidP="003E3129" w14:paraId="26C57EB8" w14:textId="77777777">
      <w:pPr>
        <w:pStyle w:val="JuQuot"/>
        <w:jc w:val="center"/>
        <w:rPr>
          <w:b/>
          <w:bCs/>
        </w:rPr>
      </w:pPr>
      <w:r w:rsidRPr="003E3129">
        <w:rPr>
          <w:b/>
          <w:bCs/>
        </w:rPr>
        <w:t>TITRE III</w:t>
      </w:r>
    </w:p>
    <w:p w:rsidRPr="003E3129" w:rsidR="00D33065" w:rsidP="003E3129" w14:paraId="019B2234" w14:textId="77777777">
      <w:pPr>
        <w:pStyle w:val="JuQuot"/>
        <w:jc w:val="center"/>
        <w:rPr>
          <w:b/>
          <w:bCs/>
        </w:rPr>
      </w:pPr>
      <w:r w:rsidRPr="003E3129">
        <w:rPr>
          <w:b/>
          <w:bCs/>
        </w:rPr>
        <w:t>PROCÉDURES SPÉCIALES</w:t>
      </w:r>
    </w:p>
    <w:p w:rsidRPr="003E3129" w:rsidR="00D33065" w:rsidP="003E3129" w14:paraId="377BD1B3" w14:textId="77777777">
      <w:pPr>
        <w:pStyle w:val="JuQuot"/>
        <w:jc w:val="center"/>
        <w:rPr>
          <w:bCs/>
        </w:rPr>
      </w:pPr>
      <w:r w:rsidRPr="003E3129">
        <w:rPr>
          <w:bCs/>
        </w:rPr>
        <w:t>(...)</w:t>
      </w:r>
    </w:p>
    <w:p w:rsidRPr="003E3129" w:rsidR="00D33065" w:rsidP="003E3129" w14:paraId="24288B55" w14:textId="77777777">
      <w:pPr>
        <w:pStyle w:val="JuQuot"/>
        <w:jc w:val="center"/>
        <w:rPr>
          <w:b/>
          <w:bCs/>
        </w:rPr>
      </w:pPr>
      <w:r w:rsidRPr="003E3129">
        <w:rPr>
          <w:b/>
          <w:bCs/>
        </w:rPr>
        <w:t>Chapitre III</w:t>
      </w:r>
    </w:p>
    <w:p w:rsidRPr="003E3129" w:rsidR="00D33065" w:rsidP="003E3129" w14:paraId="42760FE0" w14:textId="77777777">
      <w:pPr>
        <w:pStyle w:val="JuQuot"/>
        <w:jc w:val="center"/>
        <w:rPr>
          <w:b/>
          <w:bCs/>
        </w:rPr>
      </w:pPr>
      <w:r w:rsidRPr="003E3129">
        <w:rPr>
          <w:b/>
          <w:bCs/>
        </w:rPr>
        <w:t>LA PROCÉDURE RELATIVE À L</w:t>
      </w:r>
      <w:r w:rsidRPr="003E3129" w:rsidR="003E3129">
        <w:rPr>
          <w:b/>
          <w:bCs/>
        </w:rPr>
        <w:t>’</w:t>
      </w:r>
      <w:r w:rsidRPr="003E3129">
        <w:rPr>
          <w:b/>
          <w:bCs/>
        </w:rPr>
        <w:t>ACCORD DE RECONNAISSANCE DE CULPABILITÉ</w:t>
      </w:r>
    </w:p>
    <w:p w:rsidRPr="003E3129" w:rsidR="00D33065" w:rsidP="003E3129" w14:paraId="464BCF9A" w14:textId="77777777">
      <w:pPr>
        <w:pStyle w:val="JuHArticle"/>
      </w:pPr>
      <w:r w:rsidRPr="003E3129">
        <w:t>Article 504. Notions générales</w:t>
      </w:r>
    </w:p>
    <w:p w:rsidRPr="003E3129" w:rsidR="00D33065" w:rsidP="003E3129" w14:paraId="65682EDE" w14:textId="77777777">
      <w:pPr>
        <w:pStyle w:val="JuQuot"/>
        <w:rPr>
          <w:bCs/>
        </w:rPr>
      </w:pPr>
      <w:r w:rsidRPr="003E3129">
        <w:rPr>
          <w:bCs/>
        </w:rPr>
        <w:t>1.  L</w:t>
      </w:r>
      <w:r w:rsidRPr="003E3129" w:rsidR="003E3129">
        <w:rPr>
          <w:bCs/>
        </w:rPr>
        <w:t>’</w:t>
      </w:r>
      <w:r w:rsidRPr="003E3129">
        <w:rPr>
          <w:bCs/>
        </w:rPr>
        <w:t>accord de reconnaissance de culpabilité est une transaction conclue entre l</w:t>
      </w:r>
      <w:r w:rsidRPr="003E3129" w:rsidR="003E3129">
        <w:rPr>
          <w:bCs/>
        </w:rPr>
        <w:t>’</w:t>
      </w:r>
      <w:r w:rsidRPr="003E3129">
        <w:rPr>
          <w:bCs/>
        </w:rPr>
        <w:t>accusateur d</w:t>
      </w:r>
      <w:r w:rsidRPr="003E3129" w:rsidR="003E3129">
        <w:rPr>
          <w:bCs/>
        </w:rPr>
        <w:t>’</w:t>
      </w:r>
      <w:r w:rsidRPr="003E3129">
        <w:rPr>
          <w:bCs/>
        </w:rPr>
        <w:t>État et le mis en examen ou, le cas échéant, le prévenu/l</w:t>
      </w:r>
      <w:r w:rsidRPr="003E3129" w:rsidR="003E3129">
        <w:rPr>
          <w:bCs/>
        </w:rPr>
        <w:t>’</w:t>
      </w:r>
      <w:r w:rsidRPr="003E3129">
        <w:rPr>
          <w:bCs/>
        </w:rPr>
        <w:t>accusé qui a donné son consentement pour reconnaître la culpabilité en échange d</w:t>
      </w:r>
      <w:r w:rsidRPr="003E3129" w:rsidR="003E3129">
        <w:rPr>
          <w:bCs/>
        </w:rPr>
        <w:t>’</w:t>
      </w:r>
      <w:r w:rsidRPr="003E3129">
        <w:rPr>
          <w:bCs/>
        </w:rPr>
        <w:t>une peine réduite.</w:t>
      </w:r>
    </w:p>
    <w:p w:rsidRPr="003E3129" w:rsidR="00D33065" w:rsidP="003E3129" w14:paraId="68DAF860" w14:textId="77777777">
      <w:pPr>
        <w:pStyle w:val="JuQuot"/>
        <w:rPr>
          <w:bCs/>
        </w:rPr>
      </w:pPr>
      <w:r w:rsidRPr="003E3129">
        <w:rPr>
          <w:bCs/>
        </w:rPr>
        <w:t>2.  L</w:t>
      </w:r>
      <w:r w:rsidRPr="003E3129" w:rsidR="003E3129">
        <w:rPr>
          <w:bCs/>
        </w:rPr>
        <w:t>’</w:t>
      </w:r>
      <w:r w:rsidRPr="003E3129">
        <w:rPr>
          <w:bCs/>
        </w:rPr>
        <w:t>accord de reconnaissance de culpabilité est conclu par écrit, avec la participation obligatoire du défenseur, du mis en examen ou du prévenu/de l</w:t>
      </w:r>
      <w:r w:rsidRPr="003E3129" w:rsidR="003E3129">
        <w:rPr>
          <w:bCs/>
        </w:rPr>
        <w:t>’</w:t>
      </w:r>
      <w:r w:rsidRPr="003E3129">
        <w:rPr>
          <w:bCs/>
        </w:rPr>
        <w:t>accusé (...).</w:t>
      </w:r>
    </w:p>
    <w:p w:rsidRPr="003E3129" w:rsidR="00D33065" w:rsidP="003E3129" w14:paraId="33777323" w14:textId="77777777">
      <w:pPr>
        <w:pStyle w:val="JuQuot"/>
        <w:rPr>
          <w:bCs/>
        </w:rPr>
      </w:pPr>
      <w:r w:rsidRPr="003E3129">
        <w:rPr>
          <w:bCs/>
        </w:rPr>
        <w:t>(...)</w:t>
      </w:r>
    </w:p>
    <w:p w:rsidRPr="003E3129" w:rsidR="00D33065" w:rsidP="003E3129" w14:paraId="0888CDA6" w14:textId="77777777">
      <w:pPr>
        <w:pStyle w:val="JuQuot"/>
        <w:rPr>
          <w:bCs/>
        </w:rPr>
      </w:pPr>
      <w:r w:rsidRPr="003E3129">
        <w:rPr>
          <w:bCs/>
        </w:rPr>
        <w:t>4.  Le tribunal est obligé d</w:t>
      </w:r>
      <w:r w:rsidRPr="003E3129" w:rsidR="003E3129">
        <w:rPr>
          <w:bCs/>
        </w:rPr>
        <w:t>’</w:t>
      </w:r>
      <w:r w:rsidRPr="003E3129">
        <w:rPr>
          <w:bCs/>
        </w:rPr>
        <w:t>établir si l</w:t>
      </w:r>
      <w:r w:rsidRPr="003E3129" w:rsidR="003E3129">
        <w:rPr>
          <w:bCs/>
        </w:rPr>
        <w:t>’</w:t>
      </w:r>
      <w:r w:rsidRPr="003E3129">
        <w:rPr>
          <w:bCs/>
        </w:rPr>
        <w:t>accord de reconnaissance de culpabilité a été conclu dans les conditions prévues par la loi, bénévolement, avec la participation du défenseur et s</w:t>
      </w:r>
      <w:r w:rsidRPr="003E3129" w:rsidR="003E3129">
        <w:rPr>
          <w:bCs/>
        </w:rPr>
        <w:t>’</w:t>
      </w:r>
      <w:r w:rsidRPr="003E3129">
        <w:rPr>
          <w:bCs/>
        </w:rPr>
        <w:t>il existe des preuves suffisantes qui confirment la condamnation. En fonction de ces circonstances, le tribunal peut accepter ou pas l</w:t>
      </w:r>
      <w:r w:rsidRPr="003E3129" w:rsidR="003E3129">
        <w:rPr>
          <w:bCs/>
        </w:rPr>
        <w:t>’</w:t>
      </w:r>
      <w:r w:rsidRPr="003E3129">
        <w:rPr>
          <w:bCs/>
        </w:rPr>
        <w:t>accord de reconnaissance de culpabilité.</w:t>
      </w:r>
    </w:p>
    <w:p w:rsidRPr="003E3129" w:rsidR="00D33065" w:rsidP="003E3129" w14:paraId="03461B2C" w14:textId="77777777">
      <w:pPr>
        <w:pStyle w:val="JuQuot"/>
        <w:rPr>
          <w:bCs/>
          <w:lang w:val="ro-RO"/>
        </w:rPr>
      </w:pPr>
      <w:r w:rsidRPr="003E3129">
        <w:rPr>
          <w:bCs/>
          <w:lang w:val="ro-RO"/>
        </w:rPr>
        <w:t>(...)</w:t>
      </w:r>
    </w:p>
    <w:p w:rsidRPr="003E3129" w:rsidR="00D33065" w:rsidP="003E3129" w14:paraId="338D0D80" w14:textId="77777777">
      <w:pPr>
        <w:pStyle w:val="JuQuot"/>
        <w:jc w:val="center"/>
        <w:rPr>
          <w:b/>
          <w:bCs/>
        </w:rPr>
      </w:pPr>
      <w:r w:rsidRPr="003E3129">
        <w:rPr>
          <w:b/>
          <w:bCs/>
        </w:rPr>
        <w:t>Chapitre IV</w:t>
      </w:r>
    </w:p>
    <w:p w:rsidRPr="003E3129" w:rsidR="00D33065" w:rsidP="003E3129" w14:paraId="454BA8EA" w14:textId="77777777">
      <w:pPr>
        <w:pStyle w:val="JuQuot"/>
        <w:jc w:val="center"/>
        <w:rPr>
          <w:b/>
          <w:bCs/>
        </w:rPr>
      </w:pPr>
      <w:r w:rsidRPr="003E3129">
        <w:rPr>
          <w:b/>
          <w:bCs/>
        </w:rPr>
        <w:t>LA PROCÉDURE D</w:t>
      </w:r>
      <w:r w:rsidRPr="003E3129" w:rsidR="003E3129">
        <w:rPr>
          <w:b/>
          <w:bCs/>
        </w:rPr>
        <w:t>’</w:t>
      </w:r>
      <w:r w:rsidRPr="003E3129">
        <w:rPr>
          <w:b/>
          <w:bCs/>
        </w:rPr>
        <w:t>AJOURNEMENT CONDITIONNÉ DES POURSUITES PÉNALES ET D</w:t>
      </w:r>
      <w:r w:rsidRPr="003E3129" w:rsidR="003E3129">
        <w:rPr>
          <w:b/>
          <w:bCs/>
        </w:rPr>
        <w:t>’</w:t>
      </w:r>
      <w:r w:rsidRPr="003E3129">
        <w:rPr>
          <w:b/>
          <w:bCs/>
        </w:rPr>
        <w:t>EXONÉRATION DE RESPONSABILITÉ PÉNALE</w:t>
      </w:r>
    </w:p>
    <w:p w:rsidRPr="003E3129" w:rsidR="00D33065" w:rsidP="003E3129" w14:paraId="029BF972" w14:textId="77777777">
      <w:pPr>
        <w:pStyle w:val="JuQuot"/>
        <w:jc w:val="center"/>
        <w:rPr>
          <w:b/>
          <w:bCs/>
        </w:rPr>
      </w:pPr>
      <w:r w:rsidRPr="003E3129">
        <w:rPr>
          <w:b/>
          <w:bCs/>
        </w:rPr>
        <w:t>Article 510.  Dispositions générales</w:t>
      </w:r>
    </w:p>
    <w:p w:rsidRPr="003E3129" w:rsidR="00D33065" w:rsidP="003E3129" w14:paraId="34BD3520" w14:textId="77777777">
      <w:pPr>
        <w:pStyle w:val="JuQuot"/>
      </w:pPr>
      <w:r w:rsidRPr="003E3129">
        <w:rPr>
          <w:bCs/>
        </w:rPr>
        <w:t>1.  À l</w:t>
      </w:r>
      <w:r w:rsidRPr="003E3129" w:rsidR="003E3129">
        <w:rPr>
          <w:bCs/>
        </w:rPr>
        <w:t>’</w:t>
      </w:r>
      <w:r w:rsidRPr="003E3129">
        <w:rPr>
          <w:bCs/>
        </w:rPr>
        <w:t>égard de la personne mise en examen pour une infraction mineure ou moins grave, qui reconnaît sa culpabilité, ne présente pas de péril social et peut être rééduquée sans l</w:t>
      </w:r>
      <w:r w:rsidRPr="003E3129" w:rsidR="003E3129">
        <w:rPr>
          <w:bCs/>
        </w:rPr>
        <w:t>’</w:t>
      </w:r>
      <w:r w:rsidRPr="003E3129">
        <w:rPr>
          <w:bCs/>
        </w:rPr>
        <w:t>application d</w:t>
      </w:r>
      <w:r w:rsidRPr="003E3129" w:rsidR="003E3129">
        <w:rPr>
          <w:bCs/>
        </w:rPr>
        <w:t>’</w:t>
      </w:r>
      <w:r w:rsidRPr="003E3129">
        <w:rPr>
          <w:bCs/>
        </w:rPr>
        <w:t>une peine pénale, les poursuites pénales peuvent être ajournées de manière conditionnée, avec l</w:t>
      </w:r>
      <w:r w:rsidRPr="003E3129" w:rsidR="003E3129">
        <w:rPr>
          <w:bCs/>
        </w:rPr>
        <w:t>’</w:t>
      </w:r>
      <w:r w:rsidRPr="003E3129">
        <w:rPr>
          <w:bCs/>
        </w:rPr>
        <w:t>exonération ultérieure de responsabilité pénale [lorsque les c</w:t>
      </w:r>
      <w:r w:rsidRPr="003E3129" w:rsidR="003E3129">
        <w:rPr>
          <w:bCs/>
        </w:rPr>
        <w:t>onditions sont observées] (...)</w:t>
      </w:r>
      <w:r w:rsidRPr="003E3129">
        <w:rPr>
          <w:bCs/>
          <w:lang w:val="ro-RO"/>
        </w:rPr>
        <w:t> </w:t>
      </w:r>
      <w:r w:rsidRPr="003E3129">
        <w:rPr>
          <w:bCs/>
        </w:rPr>
        <w:t>»</w:t>
      </w:r>
    </w:p>
    <w:p w:rsidRPr="003E3129" w:rsidR="00D33065" w:rsidP="003E3129" w14:paraId="59ABD4A2" w14:textId="77777777">
      <w:pPr>
        <w:pStyle w:val="JuHHead"/>
        <w:keepNext w:val="0"/>
        <w:keepLines w:val="0"/>
        <w:numPr>
          <w:ilvl w:val="0"/>
          <w:numId w:val="2"/>
        </w:numPr>
      </w:pPr>
      <w:r w:rsidRPr="003E3129">
        <w:rPr>
          <w:caps w:val="0"/>
        </w:rPr>
        <w:t>EN DROIT</w:t>
      </w:r>
    </w:p>
    <w:p w:rsidRPr="003E3129" w:rsidR="00D33065" w:rsidP="003E3129" w14:paraId="30092AB0" w14:textId="77777777">
      <w:pPr>
        <w:pStyle w:val="JuHIRoman"/>
        <w:numPr>
          <w:ilvl w:val="1"/>
          <w:numId w:val="2"/>
        </w:numPr>
        <w:rPr>
          <w:lang w:val="fr-FR"/>
        </w:rPr>
      </w:pPr>
      <w:bookmarkStart w:name="_Hlk34839031" w:id="14"/>
      <w:r w:rsidRPr="003E3129">
        <w:rPr>
          <w:lang w:val="fr-FR"/>
        </w:rPr>
        <w:t>Sur la violation alléguée de l</w:t>
      </w:r>
      <w:r w:rsidRPr="003E3129" w:rsidR="003E3129">
        <w:rPr>
          <w:lang w:val="fr-FR"/>
        </w:rPr>
        <w:t>’</w:t>
      </w:r>
      <w:r w:rsidRPr="003E3129">
        <w:rPr>
          <w:lang w:val="fr-FR"/>
        </w:rPr>
        <w:t>article 6 § 2 de la Convention</w:t>
      </w:r>
    </w:p>
    <w:p w:rsidRPr="003E3129" w:rsidR="00D33065" w:rsidP="003E3129" w14:paraId="6AB761A0"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25</w:t>
      </w:r>
      <w:r w:rsidRPr="003E3129">
        <w:fldChar w:fldCharType="end"/>
      </w:r>
      <w:r w:rsidRPr="003E3129">
        <w:t>.  Invoquant l</w:t>
      </w:r>
      <w:r w:rsidRPr="003E3129" w:rsidR="003E3129">
        <w:t>’</w:t>
      </w:r>
      <w:r w:rsidRPr="003E3129">
        <w:t>article 6 § 2 de la Convention, le requérant allègue que le raisonnement suivi par les tribunaux civils dans leurs décisions pour confirmer son licenciement a porté atteinte au principe de la présomption d</w:t>
      </w:r>
      <w:r w:rsidRPr="003E3129" w:rsidR="003E3129">
        <w:t>’</w:t>
      </w:r>
      <w:r w:rsidRPr="003E3129">
        <w:t>innocence. Cette disposition est ainsi libellée :</w:t>
      </w:r>
    </w:p>
    <w:p w:rsidRPr="003E3129" w:rsidR="00D33065" w:rsidP="003E3129" w14:paraId="1829201A" w14:textId="77777777">
      <w:pPr>
        <w:pStyle w:val="JuQuot"/>
      </w:pPr>
      <w:r w:rsidRPr="003E3129">
        <w:t>« Toute personne accusée d</w:t>
      </w:r>
      <w:r w:rsidRPr="003E3129" w:rsidR="003E3129">
        <w:t>’</w:t>
      </w:r>
      <w:r w:rsidRPr="003E3129">
        <w:t>une infraction est présumée innocente jusqu</w:t>
      </w:r>
      <w:r w:rsidRPr="003E3129" w:rsidR="003E3129">
        <w:t>’</w:t>
      </w:r>
      <w:r w:rsidRPr="003E3129">
        <w:t>à ce que sa culpabilité ait été légalement établie. »</w:t>
      </w:r>
    </w:p>
    <w:p w:rsidRPr="003E3129" w:rsidR="00D33065" w:rsidP="003E3129" w14:paraId="7CC14B46" w14:textId="77777777">
      <w:pPr>
        <w:pStyle w:val="JuHA"/>
        <w:numPr>
          <w:ilvl w:val="2"/>
          <w:numId w:val="2"/>
        </w:numPr>
        <w:spacing w:line="259" w:lineRule="auto"/>
      </w:pPr>
      <w:r w:rsidRPr="003E3129">
        <w:t>Sur la recevabilité</w:t>
      </w:r>
    </w:p>
    <w:p w:rsidRPr="003E3129" w:rsidR="00D33065" w:rsidP="003E3129" w14:paraId="1E71C7B9" w14:textId="77777777">
      <w:pPr>
        <w:pStyle w:val="JuH1"/>
        <w:rPr>
          <w:rFonts w:eastAsia="Times New Roman"/>
        </w:rPr>
      </w:pPr>
      <w:r w:rsidRPr="003E3129">
        <w:rPr>
          <w:rFonts w:eastAsia="Times New Roman"/>
        </w:rPr>
        <w:t>Sur l</w:t>
      </w:r>
      <w:r w:rsidRPr="003E3129" w:rsidR="003E3129">
        <w:rPr>
          <w:rFonts w:eastAsia="Times New Roman"/>
        </w:rPr>
        <w:t>’</w:t>
      </w:r>
      <w:r w:rsidRPr="003E3129">
        <w:rPr>
          <w:rFonts w:eastAsia="Times New Roman"/>
        </w:rPr>
        <w:t>exception du Gouvernement</w:t>
      </w:r>
    </w:p>
    <w:p w:rsidRPr="003E3129" w:rsidR="00D33065" w:rsidP="003E3129" w14:paraId="0E07D176" w14:textId="77777777">
      <w:pPr>
        <w:pStyle w:val="JuHa0"/>
        <w:rPr>
          <w:rFonts w:eastAsia="Times New Roman"/>
        </w:rPr>
      </w:pPr>
      <w:r w:rsidRPr="003E3129">
        <w:rPr>
          <w:rFonts w:eastAsia="Times New Roman"/>
        </w:rPr>
        <w:t>Thèses des parties</w:t>
      </w:r>
    </w:p>
    <w:p w:rsidRPr="003E3129" w:rsidR="00D33065" w:rsidP="003E3129" w14:paraId="5CFB59C2"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26</w:t>
      </w:r>
      <w:r w:rsidRPr="003E3129">
        <w:rPr>
          <w:rFonts w:eastAsia="Times New Roman"/>
        </w:rPr>
        <w:fldChar w:fldCharType="end"/>
      </w:r>
      <w:r w:rsidRPr="003E3129">
        <w:rPr>
          <w:rFonts w:eastAsia="Times New Roman"/>
        </w:rPr>
        <w:t>.  Le Gouvernement excipe de l</w:t>
      </w:r>
      <w:r w:rsidRPr="003E3129" w:rsidR="003E3129">
        <w:rPr>
          <w:rFonts w:eastAsia="Times New Roman"/>
        </w:rPr>
        <w:t>’</w:t>
      </w:r>
      <w:r w:rsidRPr="003E3129">
        <w:rPr>
          <w:rFonts w:eastAsia="Times New Roman"/>
        </w:rPr>
        <w:t>irrecevabilité de la requête. Il avance que celle-ci est abusive en raison d</w:t>
      </w:r>
      <w:r w:rsidRPr="003E3129" w:rsidR="003E3129">
        <w:rPr>
          <w:rFonts w:eastAsia="Times New Roman"/>
        </w:rPr>
        <w:t>’</w:t>
      </w:r>
      <w:r w:rsidRPr="003E3129">
        <w:rPr>
          <w:rFonts w:eastAsia="Times New Roman"/>
        </w:rPr>
        <w:t>une omission du requérant de fournir des informations essentielles, à ses yeux, pour l</w:t>
      </w:r>
      <w:r w:rsidRPr="003E3129" w:rsidR="003E3129">
        <w:rPr>
          <w:rFonts w:eastAsia="Times New Roman"/>
        </w:rPr>
        <w:t>’</w:t>
      </w:r>
      <w:r w:rsidRPr="003E3129">
        <w:rPr>
          <w:rFonts w:eastAsia="Times New Roman"/>
        </w:rPr>
        <w:t>examen de l</w:t>
      </w:r>
      <w:r w:rsidRPr="003E3129" w:rsidR="003E3129">
        <w:rPr>
          <w:rFonts w:eastAsia="Times New Roman"/>
        </w:rPr>
        <w:t>’</w:t>
      </w:r>
      <w:r w:rsidRPr="003E3129">
        <w:rPr>
          <w:rFonts w:eastAsia="Times New Roman"/>
        </w:rPr>
        <w:t>affaire. Il soutient que l</w:t>
      </w:r>
      <w:r w:rsidRPr="003E3129" w:rsidR="003E3129">
        <w:rPr>
          <w:rFonts w:eastAsia="Times New Roman"/>
        </w:rPr>
        <w:t>’</w:t>
      </w:r>
      <w:r w:rsidRPr="003E3129">
        <w:rPr>
          <w:rFonts w:eastAsia="Times New Roman"/>
        </w:rPr>
        <w:t>omission alléguée constitue un manquement à l</w:t>
      </w:r>
      <w:r w:rsidRPr="003E3129" w:rsidR="003E3129">
        <w:rPr>
          <w:rFonts w:eastAsia="Times New Roman"/>
        </w:rPr>
        <w:t>’</w:t>
      </w:r>
      <w:r w:rsidRPr="003E3129">
        <w:rPr>
          <w:rFonts w:eastAsia="Times New Roman"/>
        </w:rPr>
        <w:t>obligation expresse qui incombait au requérant en vertu de l</w:t>
      </w:r>
      <w:r w:rsidRPr="003E3129" w:rsidR="003E3129">
        <w:rPr>
          <w:rFonts w:eastAsia="Times New Roman"/>
        </w:rPr>
        <w:t>’</w:t>
      </w:r>
      <w:r w:rsidRPr="003E3129">
        <w:rPr>
          <w:rFonts w:eastAsia="Times New Roman"/>
        </w:rPr>
        <w:t xml:space="preserve">article 47 § 7 du règlement de la Cour. Il considère dès lors que le requérant a abusé de son droit de recours </w:t>
      </w:r>
      <w:r w:rsidRPr="003E3129">
        <w:rPr>
          <w:rFonts w:eastAsia="Times New Roman"/>
        </w:rPr>
        <w:t>individuel et invite la Cour à rejeter la requête comme irrecevable, en application de l</w:t>
      </w:r>
      <w:r w:rsidRPr="003E3129" w:rsidR="003E3129">
        <w:rPr>
          <w:rFonts w:eastAsia="Times New Roman"/>
        </w:rPr>
        <w:t>’</w:t>
      </w:r>
      <w:r w:rsidRPr="003E3129">
        <w:rPr>
          <w:rFonts w:eastAsia="Times New Roman"/>
        </w:rPr>
        <w:t>article 35 § 3 de la Convention.</w:t>
      </w:r>
    </w:p>
    <w:p w:rsidRPr="003E3129" w:rsidR="00D33065" w:rsidP="003E3129" w14:paraId="31AF42AA"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27</w:t>
      </w:r>
      <w:r w:rsidRPr="003E3129">
        <w:rPr>
          <w:rFonts w:eastAsia="Times New Roman"/>
        </w:rPr>
        <w:fldChar w:fldCharType="end"/>
      </w:r>
      <w:r w:rsidRPr="003E3129">
        <w:rPr>
          <w:rFonts w:eastAsia="Times New Roman"/>
        </w:rPr>
        <w:t>.  Le requérant rétorque que les faits ultérieurs à l</w:t>
      </w:r>
      <w:r w:rsidRPr="003E3129" w:rsidR="003E3129">
        <w:rPr>
          <w:rFonts w:eastAsia="Times New Roman"/>
        </w:rPr>
        <w:t>’</w:t>
      </w:r>
      <w:r w:rsidRPr="003E3129">
        <w:rPr>
          <w:rFonts w:eastAsia="Times New Roman"/>
        </w:rPr>
        <w:t>introduction de sa requête ne sont pas pertinents pour l</w:t>
      </w:r>
      <w:r w:rsidRPr="003E3129" w:rsidR="003E3129">
        <w:rPr>
          <w:rFonts w:eastAsia="Times New Roman"/>
        </w:rPr>
        <w:t>’</w:t>
      </w:r>
      <w:r w:rsidRPr="003E3129">
        <w:rPr>
          <w:rFonts w:eastAsia="Times New Roman"/>
        </w:rPr>
        <w:t>examen de l</w:t>
      </w:r>
      <w:r w:rsidRPr="003E3129" w:rsidR="003E3129">
        <w:rPr>
          <w:rFonts w:eastAsia="Times New Roman"/>
        </w:rPr>
        <w:t>’</w:t>
      </w:r>
      <w:r w:rsidRPr="003E3129">
        <w:rPr>
          <w:rFonts w:eastAsia="Times New Roman"/>
        </w:rPr>
        <w:t>affaire. En outre, il combat la thèse du Gouvernement en soutenant ne pas avoir perdu sa qualité de victime.</w:t>
      </w:r>
    </w:p>
    <w:p w:rsidRPr="003E3129" w:rsidR="00D33065" w:rsidP="003E3129" w14:paraId="2B9D4FC5" w14:textId="77777777">
      <w:pPr>
        <w:pStyle w:val="JuHa0"/>
        <w:rPr>
          <w:rFonts w:eastAsia="Times New Roman"/>
        </w:rPr>
      </w:pPr>
      <w:r w:rsidRPr="003E3129">
        <w:rPr>
          <w:rFonts w:eastAsia="Times New Roman"/>
        </w:rPr>
        <w:t>Appréciation de la Cour</w:t>
      </w:r>
    </w:p>
    <w:bookmarkStart w:name="jurisprudence_Cour_1" w:id="15"/>
    <w:p w:rsidRPr="003E3129" w:rsidR="00D33065" w:rsidP="003E3129" w14:paraId="4D0A1481"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28</w:t>
      </w:r>
      <w:r w:rsidRPr="003E3129">
        <w:rPr>
          <w:rFonts w:eastAsia="Times New Roman"/>
        </w:rPr>
        <w:fldChar w:fldCharType="end"/>
      </w:r>
      <w:bookmarkEnd w:id="15"/>
      <w:r w:rsidRPr="003E3129">
        <w:rPr>
          <w:rFonts w:eastAsia="Times New Roman"/>
        </w:rPr>
        <w:t>.  La Cour rappelle que, en principe, tout comportement d</w:t>
      </w:r>
      <w:r w:rsidRPr="003E3129" w:rsidR="003E3129">
        <w:rPr>
          <w:rFonts w:eastAsia="Times New Roman"/>
        </w:rPr>
        <w:t>’</w:t>
      </w:r>
      <w:r w:rsidRPr="003E3129">
        <w:rPr>
          <w:rFonts w:eastAsia="Times New Roman"/>
        </w:rPr>
        <w:t>un requérant manifestement contraire à la vocation du droit de recours établi par la Convention et entravant le bon fonctionnement de la Cour ou le bon déroulement de la procédure devant elle peut être qualifié d</w:t>
      </w:r>
      <w:r w:rsidRPr="003E3129" w:rsidR="003E3129">
        <w:rPr>
          <w:rFonts w:eastAsia="Times New Roman"/>
        </w:rPr>
        <w:t>’</w:t>
      </w:r>
      <w:r w:rsidRPr="003E3129">
        <w:rPr>
          <w:rFonts w:eastAsia="Times New Roman"/>
        </w:rPr>
        <w:t>abusif au sens de l</w:t>
      </w:r>
      <w:r w:rsidRPr="003E3129" w:rsidR="003E3129">
        <w:rPr>
          <w:rFonts w:eastAsia="Times New Roman"/>
        </w:rPr>
        <w:t>’</w:t>
      </w:r>
      <w:r w:rsidRPr="003E3129">
        <w:rPr>
          <w:rFonts w:eastAsia="Times New Roman"/>
        </w:rPr>
        <w:t>article 35 § 3 a) de la Convention (</w:t>
      </w:r>
      <w:r w:rsidRPr="003E3129">
        <w:rPr>
          <w:rFonts w:eastAsia="Times New Roman"/>
          <w:i/>
        </w:rPr>
        <w:t>S.A.S. c. France</w:t>
      </w:r>
      <w:r w:rsidRPr="003E3129">
        <w:rPr>
          <w:rFonts w:eastAsia="Times New Roman"/>
        </w:rPr>
        <w:t xml:space="preserve"> [GC]</w:t>
      </w:r>
      <w:r w:rsidRPr="003E3129">
        <w:rPr>
          <w:rFonts w:eastAsia="Times New Roman"/>
          <w:snapToGrid w:val="0"/>
        </w:rPr>
        <w:t>, n</w:t>
      </w:r>
      <w:r w:rsidRPr="003E3129">
        <w:rPr>
          <w:rFonts w:eastAsia="Times New Roman"/>
          <w:snapToGrid w:val="0"/>
          <w:vertAlign w:val="superscript"/>
        </w:rPr>
        <w:t>o</w:t>
      </w:r>
      <w:r w:rsidRPr="003E3129">
        <w:rPr>
          <w:rFonts w:eastAsia="Times New Roman"/>
          <w:snapToGrid w:val="0"/>
        </w:rPr>
        <w:t> </w:t>
      </w:r>
      <w:r w:rsidRPr="003E3129">
        <w:rPr>
          <w:rFonts w:eastAsia="Times New Roman"/>
        </w:rPr>
        <w:t xml:space="preserve">43835/11, § 66, CEDH 2014 (extraits), et </w:t>
      </w:r>
      <w:r w:rsidRPr="003E3129">
        <w:rPr>
          <w:rFonts w:eastAsia="Times New Roman"/>
          <w:i/>
        </w:rPr>
        <w:t>Bivolaru c. Roumanie</w:t>
      </w:r>
      <w:r w:rsidRPr="003E3129">
        <w:rPr>
          <w:rFonts w:eastAsia="Times New Roman"/>
        </w:rPr>
        <w:t>, n</w:t>
      </w:r>
      <w:r w:rsidRPr="003E3129">
        <w:rPr>
          <w:rFonts w:eastAsia="Times New Roman"/>
          <w:vertAlign w:val="superscript"/>
        </w:rPr>
        <w:t>o</w:t>
      </w:r>
      <w:r w:rsidRPr="003E3129">
        <w:rPr>
          <w:rFonts w:eastAsia="Times New Roman"/>
        </w:rPr>
        <w:t xml:space="preserve"> 28796/04, § 82, 28 février 2017). Cette disposition, en ses passages pertinents en l</w:t>
      </w:r>
      <w:r w:rsidRPr="003E3129" w:rsidR="003E3129">
        <w:rPr>
          <w:rFonts w:eastAsia="Times New Roman"/>
        </w:rPr>
        <w:t>’</w:t>
      </w:r>
      <w:r w:rsidRPr="003E3129">
        <w:rPr>
          <w:rFonts w:eastAsia="Times New Roman"/>
        </w:rPr>
        <w:t>espèce, est ainsi libellée :</w:t>
      </w:r>
    </w:p>
    <w:p w:rsidRPr="003E3129" w:rsidR="00D33065" w:rsidP="003E3129" w14:paraId="16C16DD6" w14:textId="77777777">
      <w:pPr>
        <w:pStyle w:val="JuQuot"/>
        <w:rPr>
          <w:rFonts w:eastAsia="Times New Roman"/>
        </w:rPr>
      </w:pPr>
      <w:r w:rsidRPr="003E3129">
        <w:rPr>
          <w:rFonts w:eastAsia="Times New Roman"/>
        </w:rPr>
        <w:t>« 3.  La Cour déclare irrecevable toute requête individuelle introduite en application de l</w:t>
      </w:r>
      <w:r w:rsidRPr="003E3129" w:rsidR="003E3129">
        <w:rPr>
          <w:rFonts w:eastAsia="Times New Roman"/>
        </w:rPr>
        <w:t>’</w:t>
      </w:r>
      <w:r w:rsidRPr="003E3129">
        <w:rPr>
          <w:rFonts w:eastAsia="Times New Roman"/>
        </w:rPr>
        <w:t>article 34 lorsqu</w:t>
      </w:r>
      <w:r w:rsidRPr="003E3129" w:rsidR="003E3129">
        <w:rPr>
          <w:rFonts w:eastAsia="Times New Roman"/>
        </w:rPr>
        <w:t>’</w:t>
      </w:r>
      <w:r w:rsidRPr="003E3129">
        <w:rPr>
          <w:rFonts w:eastAsia="Times New Roman"/>
        </w:rPr>
        <w:t xml:space="preserve">elle </w:t>
      </w:r>
      <w:r w:rsidRPr="003E3129">
        <w:rPr>
          <w:rFonts w:eastAsia="Times New Roman"/>
        </w:rPr>
        <w:t>estime:</w:t>
      </w:r>
    </w:p>
    <w:p w:rsidRPr="003E3129" w:rsidR="00D33065" w:rsidP="003E3129" w14:paraId="159F5D79" w14:textId="77777777">
      <w:pPr>
        <w:pStyle w:val="JuQuot"/>
        <w:rPr>
          <w:rFonts w:eastAsia="Times New Roman" w:cs="Times New Roman"/>
        </w:rPr>
      </w:pPr>
      <w:r w:rsidRPr="003E3129">
        <w:rPr>
          <w:rFonts w:eastAsia="Times New Roman" w:cs="Times New Roman"/>
        </w:rPr>
        <w:t>a)  que la requête est (...) abusive ; (...) »</w:t>
      </w:r>
    </w:p>
    <w:bookmarkStart w:name="jurisprudence_Cour_1_bis" w:id="16"/>
    <w:p w:rsidRPr="003E3129" w:rsidR="00D33065" w:rsidP="003E3129" w14:paraId="1DD19D50"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29</w:t>
      </w:r>
      <w:r w:rsidRPr="003E3129">
        <w:rPr>
          <w:rFonts w:eastAsia="Times New Roman"/>
        </w:rPr>
        <w:fldChar w:fldCharType="end"/>
      </w:r>
      <w:bookmarkEnd w:id="16"/>
      <w:r w:rsidRPr="003E3129">
        <w:rPr>
          <w:rFonts w:eastAsia="Times New Roman"/>
        </w:rPr>
        <w:t>.  La Cour redit également qu</w:t>
      </w:r>
      <w:r w:rsidRPr="003E3129" w:rsidR="003E3129">
        <w:rPr>
          <w:rFonts w:eastAsia="Times New Roman"/>
        </w:rPr>
        <w:t>’</w:t>
      </w:r>
      <w:r w:rsidRPr="003E3129">
        <w:rPr>
          <w:rFonts w:eastAsia="Times New Roman"/>
        </w:rPr>
        <w:t>en vertu de cette disposition une requête peut être déclarée abusive notamment si elle se fonde délibérément sur des faits controuvés (voir, parmi beaucoup d</w:t>
      </w:r>
      <w:r w:rsidRPr="003E3129" w:rsidR="003E3129">
        <w:rPr>
          <w:rFonts w:eastAsia="Times New Roman"/>
        </w:rPr>
        <w:t>’</w:t>
      </w:r>
      <w:r w:rsidRPr="003E3129">
        <w:rPr>
          <w:rFonts w:eastAsia="Times New Roman"/>
        </w:rPr>
        <w:t xml:space="preserve">autres, </w:t>
      </w:r>
      <w:r w:rsidRPr="003E3129">
        <w:rPr>
          <w:rFonts w:eastAsia="Times New Roman"/>
          <w:i/>
        </w:rPr>
        <w:t>Akdivar et autres c. Turquie</w:t>
      </w:r>
      <w:r w:rsidRPr="003E3129">
        <w:rPr>
          <w:rFonts w:eastAsia="Times New Roman"/>
        </w:rPr>
        <w:t xml:space="preserve">, 16 septembre 1996, §§ 53-54, </w:t>
      </w:r>
      <w:r w:rsidRPr="003E3129">
        <w:rPr>
          <w:rFonts w:eastAsia="Times New Roman"/>
          <w:i/>
        </w:rPr>
        <w:t>Recueil des arrêts et décisions</w:t>
      </w:r>
      <w:r w:rsidRPr="003E3129">
        <w:rPr>
          <w:rFonts w:eastAsia="Times New Roman"/>
        </w:rPr>
        <w:t xml:space="preserve"> 1996</w:t>
      </w:r>
      <w:r w:rsidRPr="003E3129">
        <w:rPr>
          <w:rFonts w:eastAsia="Times New Roman"/>
        </w:rPr>
        <w:noBreakHyphen/>
        <w:t xml:space="preserve">IV, et </w:t>
      </w:r>
      <w:r w:rsidRPr="003E3129">
        <w:rPr>
          <w:rFonts w:eastAsia="Times New Roman"/>
          <w:i/>
        </w:rPr>
        <w:t>Gogitidze et autres c. Géorgie</w:t>
      </w:r>
      <w:r w:rsidRPr="003E3129">
        <w:rPr>
          <w:rFonts w:eastAsia="Times New Roman"/>
          <w:snapToGrid w:val="0"/>
        </w:rPr>
        <w:t>, n</w:t>
      </w:r>
      <w:r w:rsidRPr="003E3129">
        <w:rPr>
          <w:rFonts w:eastAsia="Times New Roman"/>
          <w:snapToGrid w:val="0"/>
          <w:vertAlign w:val="superscript"/>
        </w:rPr>
        <w:t>o</w:t>
      </w:r>
      <w:r w:rsidRPr="003E3129">
        <w:rPr>
          <w:rFonts w:eastAsia="Times New Roman"/>
          <w:snapToGrid w:val="0"/>
        </w:rPr>
        <w:t xml:space="preserve"> </w:t>
      </w:r>
      <w:r w:rsidRPr="003E3129">
        <w:rPr>
          <w:rFonts w:eastAsia="Times New Roman"/>
        </w:rPr>
        <w:t>36862/05</w:t>
      </w:r>
      <w:r w:rsidRPr="003E3129">
        <w:rPr>
          <w:rFonts w:eastAsia="Times New Roman"/>
          <w:snapToGrid w:val="0"/>
        </w:rPr>
        <w:t xml:space="preserve">, § 76, </w:t>
      </w:r>
      <w:r w:rsidRPr="003E3129">
        <w:rPr>
          <w:rFonts w:eastAsia="Times New Roman"/>
        </w:rPr>
        <w:t>12</w:t>
      </w:r>
      <w:r w:rsidRPr="003E3129">
        <w:rPr>
          <w:rFonts w:eastAsia="Times New Roman"/>
          <w:snapToGrid w:val="0"/>
        </w:rPr>
        <w:t> </w:t>
      </w:r>
      <w:r w:rsidRPr="003E3129">
        <w:rPr>
          <w:rFonts w:eastAsia="Times New Roman"/>
        </w:rPr>
        <w:t>mai</w:t>
      </w:r>
      <w:r w:rsidRPr="003E3129">
        <w:rPr>
          <w:rFonts w:eastAsia="Times New Roman"/>
          <w:snapToGrid w:val="0"/>
        </w:rPr>
        <w:t xml:space="preserve"> 2015).</w:t>
      </w:r>
      <w:r w:rsidRPr="003E3129">
        <w:rPr>
          <w:rFonts w:eastAsia="Times New Roman"/>
        </w:rPr>
        <w:t xml:space="preserve"> Une information incomplète et donc trompeuse peut également s</w:t>
      </w:r>
      <w:r w:rsidRPr="003E3129" w:rsidR="003E3129">
        <w:rPr>
          <w:rFonts w:eastAsia="Times New Roman"/>
        </w:rPr>
        <w:t>’</w:t>
      </w:r>
      <w:r w:rsidRPr="003E3129">
        <w:rPr>
          <w:rFonts w:eastAsia="Times New Roman"/>
        </w:rPr>
        <w:t>analyser en un abus du droit de recours individuel, particulièrement lorsqu</w:t>
      </w:r>
      <w:r w:rsidRPr="003E3129" w:rsidR="003E3129">
        <w:rPr>
          <w:rFonts w:eastAsia="Times New Roman"/>
        </w:rPr>
        <w:t>’</w:t>
      </w:r>
      <w:r w:rsidRPr="003E3129">
        <w:rPr>
          <w:rFonts w:eastAsia="Times New Roman"/>
        </w:rPr>
        <w:t>elle concerne le cœur de l</w:t>
      </w:r>
      <w:r w:rsidRPr="003E3129" w:rsidR="003E3129">
        <w:rPr>
          <w:rFonts w:eastAsia="Times New Roman"/>
        </w:rPr>
        <w:t>’</w:t>
      </w:r>
      <w:r w:rsidRPr="003E3129">
        <w:rPr>
          <w:rFonts w:eastAsia="Times New Roman"/>
        </w:rPr>
        <w:t>affaire et que le requérant n</w:t>
      </w:r>
      <w:r w:rsidRPr="003E3129" w:rsidR="003E3129">
        <w:rPr>
          <w:rFonts w:eastAsia="Times New Roman"/>
        </w:rPr>
        <w:t>’</w:t>
      </w:r>
      <w:r w:rsidRPr="003E3129">
        <w:rPr>
          <w:rFonts w:eastAsia="Times New Roman"/>
        </w:rPr>
        <w:t>explique pas de façon suffisante pourquoi il n</w:t>
      </w:r>
      <w:r w:rsidRPr="003E3129" w:rsidR="003E3129">
        <w:rPr>
          <w:rFonts w:eastAsia="Times New Roman"/>
        </w:rPr>
        <w:t>’</w:t>
      </w:r>
      <w:r w:rsidRPr="003E3129">
        <w:rPr>
          <w:rFonts w:eastAsia="Times New Roman"/>
        </w:rPr>
        <w:t xml:space="preserve">a pas divulgué les informations pertinentes (voir, par exemple, </w:t>
      </w:r>
      <w:r w:rsidRPr="003E3129">
        <w:rPr>
          <w:rFonts w:eastAsia="Times New Roman"/>
          <w:i/>
        </w:rPr>
        <w:t>Gross c. Suisse</w:t>
      </w:r>
      <w:r w:rsidRPr="003E3129">
        <w:rPr>
          <w:rFonts w:eastAsia="Times New Roman"/>
        </w:rPr>
        <w:t xml:space="preserve"> [GC]</w:t>
      </w:r>
      <w:r w:rsidRPr="003E3129">
        <w:rPr>
          <w:rFonts w:eastAsia="Times New Roman"/>
          <w:snapToGrid w:val="0"/>
        </w:rPr>
        <w:t>, n</w:t>
      </w:r>
      <w:r w:rsidRPr="003E3129">
        <w:rPr>
          <w:rFonts w:eastAsia="Times New Roman"/>
          <w:snapToGrid w:val="0"/>
          <w:vertAlign w:val="superscript"/>
        </w:rPr>
        <w:t>o</w:t>
      </w:r>
      <w:r w:rsidRPr="003E3129">
        <w:rPr>
          <w:rFonts w:eastAsia="Times New Roman"/>
          <w:snapToGrid w:val="0"/>
        </w:rPr>
        <w:t xml:space="preserve"> </w:t>
      </w:r>
      <w:r w:rsidRPr="003E3129">
        <w:rPr>
          <w:rFonts w:eastAsia="Times New Roman"/>
        </w:rPr>
        <w:t xml:space="preserve">67810/10, § 28, CEDH 2014 et les affaires qui y sont citées, et </w:t>
      </w:r>
      <w:r w:rsidRPr="003E3129">
        <w:rPr>
          <w:rFonts w:eastAsia="Times New Roman"/>
          <w:i/>
          <w:iCs/>
        </w:rPr>
        <w:t>Vilches Coronado et autres c. Espagne</w:t>
      </w:r>
      <w:r w:rsidRPr="003E3129">
        <w:rPr>
          <w:rFonts w:eastAsia="Times New Roman"/>
          <w:lang w:eastAsia="en-GB"/>
        </w:rPr>
        <w:t xml:space="preserve">, </w:t>
      </w:r>
      <w:r w:rsidRPr="003E3129">
        <w:rPr>
          <w:rFonts w:eastAsia="Times New Roman"/>
        </w:rPr>
        <w:t>n</w:t>
      </w:r>
      <w:r w:rsidRPr="003E3129">
        <w:rPr>
          <w:rFonts w:eastAsia="Times New Roman"/>
          <w:vertAlign w:val="superscript"/>
        </w:rPr>
        <w:t>o</w:t>
      </w:r>
      <w:r w:rsidRPr="003E3129">
        <w:rPr>
          <w:rFonts w:eastAsia="Times New Roman"/>
        </w:rPr>
        <w:t> 55517/14</w:t>
      </w:r>
      <w:r w:rsidRPr="003E3129">
        <w:rPr>
          <w:rFonts w:eastAsia="Times New Roman"/>
          <w:lang w:eastAsia="en-GB"/>
        </w:rPr>
        <w:t xml:space="preserve">, </w:t>
      </w:r>
      <w:r w:rsidRPr="003E3129">
        <w:rPr>
          <w:rFonts w:eastAsia="Times New Roman"/>
        </w:rPr>
        <w:t>§ 26, 13 mars 2018). Il en va de même lorsque des développements nouveaux importants surviennent au cours de la procédure suivie à Strasbourg et que, en dépit de l</w:t>
      </w:r>
      <w:r w:rsidRPr="003E3129" w:rsidR="003E3129">
        <w:rPr>
          <w:rFonts w:eastAsia="Times New Roman"/>
        </w:rPr>
        <w:t>’</w:t>
      </w:r>
      <w:r w:rsidRPr="003E3129">
        <w:rPr>
          <w:rFonts w:eastAsia="Times New Roman"/>
        </w:rPr>
        <w:t>obligation expresse lui incombant en vertu de l</w:t>
      </w:r>
      <w:r w:rsidRPr="003E3129" w:rsidR="003E3129">
        <w:rPr>
          <w:rFonts w:eastAsia="Times New Roman"/>
        </w:rPr>
        <w:t>’</w:t>
      </w:r>
      <w:r w:rsidRPr="003E3129">
        <w:rPr>
          <w:rFonts w:eastAsia="Times New Roman"/>
        </w:rPr>
        <w:t>article 47 § 7 du règlement, le requérant n</w:t>
      </w:r>
      <w:r w:rsidRPr="003E3129" w:rsidR="003E3129">
        <w:rPr>
          <w:rFonts w:eastAsia="Times New Roman"/>
        </w:rPr>
        <w:t>’</w:t>
      </w:r>
      <w:r w:rsidRPr="003E3129">
        <w:rPr>
          <w:rFonts w:eastAsia="Times New Roman"/>
        </w:rPr>
        <w:t>en informe pas la Cour, l</w:t>
      </w:r>
      <w:r w:rsidRPr="003E3129" w:rsidR="003E3129">
        <w:rPr>
          <w:rFonts w:eastAsia="Times New Roman"/>
        </w:rPr>
        <w:t>’</w:t>
      </w:r>
      <w:r w:rsidRPr="003E3129">
        <w:rPr>
          <w:rFonts w:eastAsia="Times New Roman"/>
        </w:rPr>
        <w:t>empêchant ainsi de se prononcer sur l</w:t>
      </w:r>
      <w:r w:rsidRPr="003E3129" w:rsidR="003E3129">
        <w:rPr>
          <w:rFonts w:eastAsia="Times New Roman"/>
        </w:rPr>
        <w:t>’</w:t>
      </w:r>
      <w:r w:rsidRPr="003E3129">
        <w:rPr>
          <w:rFonts w:eastAsia="Times New Roman"/>
        </w:rPr>
        <w:t>affaire en pleine connaissance de cause (</w:t>
      </w:r>
      <w:r w:rsidRPr="003E3129">
        <w:rPr>
          <w:rFonts w:eastAsia="Times New Roman"/>
          <w:i/>
        </w:rPr>
        <w:t>Gross</w:t>
      </w:r>
      <w:r w:rsidRPr="003E3129">
        <w:rPr>
          <w:rFonts w:eastAsia="Times New Roman"/>
        </w:rPr>
        <w:t xml:space="preserve">, précité, </w:t>
      </w:r>
      <w:r w:rsidRPr="003E3129">
        <w:rPr>
          <w:rFonts w:eastAsia="Times New Roman"/>
          <w:i/>
        </w:rPr>
        <w:t>Safaryan c. Arménie</w:t>
      </w:r>
      <w:r w:rsidRPr="003E3129">
        <w:rPr>
          <w:rFonts w:eastAsia="Times New Roman"/>
        </w:rPr>
        <w:t xml:space="preserve"> (déc.), n</w:t>
      </w:r>
      <w:r w:rsidRPr="003E3129">
        <w:rPr>
          <w:rFonts w:eastAsia="Times New Roman"/>
          <w:vertAlign w:val="superscript"/>
        </w:rPr>
        <w:t>o</w:t>
      </w:r>
      <w:r w:rsidRPr="003E3129">
        <w:rPr>
          <w:rFonts w:eastAsia="Times New Roman"/>
        </w:rPr>
        <w:t xml:space="preserve"> 16346/10, § 24, 14 janvier 2020, et </w:t>
      </w:r>
      <w:r w:rsidRPr="003E3129">
        <w:rPr>
          <w:rFonts w:eastAsia="Times New Roman"/>
          <w:i/>
        </w:rPr>
        <w:t>Gevorgyan et autres c. Arménie</w:t>
      </w:r>
      <w:r w:rsidRPr="003E3129">
        <w:rPr>
          <w:rFonts w:eastAsia="Times New Roman"/>
        </w:rPr>
        <w:t xml:space="preserve"> (déc.), n</w:t>
      </w:r>
      <w:r w:rsidRPr="003E3129">
        <w:rPr>
          <w:rFonts w:eastAsia="Times New Roman"/>
          <w:vertAlign w:val="superscript"/>
        </w:rPr>
        <w:t>o</w:t>
      </w:r>
      <w:r w:rsidRPr="003E3129">
        <w:rPr>
          <w:rFonts w:eastAsia="Times New Roman"/>
        </w:rPr>
        <w:t> 66535/10, § 33, 14 janvier 2020).</w:t>
      </w:r>
    </w:p>
    <w:p w:rsidRPr="003E3129" w:rsidR="00D33065" w:rsidP="003E3129" w14:paraId="0D8CBBF0"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30</w:t>
      </w:r>
      <w:r w:rsidRPr="003E3129">
        <w:rPr>
          <w:rFonts w:eastAsia="Times New Roman"/>
        </w:rPr>
        <w:fldChar w:fldCharType="end"/>
      </w:r>
      <w:r w:rsidRPr="003E3129">
        <w:rPr>
          <w:rFonts w:eastAsia="Times New Roman"/>
        </w:rPr>
        <w:t>.  Elle rappelle enfin que l</w:t>
      </w:r>
      <w:r w:rsidRPr="003E3129" w:rsidR="003E3129">
        <w:rPr>
          <w:rFonts w:eastAsia="Times New Roman"/>
        </w:rPr>
        <w:t>’</w:t>
      </w:r>
      <w:r w:rsidRPr="003E3129">
        <w:rPr>
          <w:rFonts w:eastAsia="Times New Roman"/>
        </w:rPr>
        <w:t>article 47 § 7 de son règlement ne saurait s</w:t>
      </w:r>
      <w:r w:rsidRPr="003E3129" w:rsidR="003E3129">
        <w:rPr>
          <w:rFonts w:eastAsia="Times New Roman"/>
        </w:rPr>
        <w:t>’</w:t>
      </w:r>
      <w:r w:rsidRPr="003E3129">
        <w:rPr>
          <w:rFonts w:eastAsia="Times New Roman"/>
        </w:rPr>
        <w:t xml:space="preserve">interpréter comme mettant à la charge des requérants une obligation de présenter toutes les informations possibles relativement à leur requête. Ils ont néanmoins le devoir de fournir les éléments essentiels dont ils disposent, qui revêtent une importance significative évidente pour la Cour afin de lui </w:t>
      </w:r>
      <w:r w:rsidRPr="003E3129">
        <w:rPr>
          <w:rFonts w:eastAsia="Times New Roman"/>
        </w:rPr>
        <w:t>permettre d</w:t>
      </w:r>
      <w:r w:rsidRPr="003E3129" w:rsidR="003E3129">
        <w:rPr>
          <w:rFonts w:eastAsia="Times New Roman"/>
        </w:rPr>
        <w:t>’</w:t>
      </w:r>
      <w:r w:rsidRPr="003E3129">
        <w:rPr>
          <w:rFonts w:eastAsia="Times New Roman"/>
        </w:rPr>
        <w:t>examiner l</w:t>
      </w:r>
      <w:r w:rsidRPr="003E3129" w:rsidR="003E3129">
        <w:rPr>
          <w:rFonts w:eastAsia="Times New Roman"/>
        </w:rPr>
        <w:t>’</w:t>
      </w:r>
      <w:r w:rsidRPr="003E3129">
        <w:rPr>
          <w:rFonts w:eastAsia="Times New Roman"/>
        </w:rPr>
        <w:t>affaire en pleine connaissance de cause (</w:t>
      </w:r>
      <w:r w:rsidRPr="003E3129">
        <w:rPr>
          <w:rFonts w:eastAsia="Times New Roman"/>
          <w:i/>
        </w:rPr>
        <w:t>Komatinović c. Serbie</w:t>
      </w:r>
      <w:r w:rsidRPr="003E3129">
        <w:rPr>
          <w:rFonts w:eastAsia="Times New Roman"/>
        </w:rPr>
        <w:t xml:space="preserve"> (déc.), n</w:t>
      </w:r>
      <w:r w:rsidRPr="003E3129">
        <w:rPr>
          <w:rFonts w:eastAsia="Times New Roman"/>
          <w:vertAlign w:val="superscript"/>
        </w:rPr>
        <w:t>o</w:t>
      </w:r>
      <w:r w:rsidRPr="003E3129">
        <w:rPr>
          <w:rFonts w:eastAsia="Times New Roman"/>
        </w:rPr>
        <w:t xml:space="preserve"> 75681/10, 29 janvier 2013, et </w:t>
      </w:r>
      <w:r w:rsidRPr="003E3129">
        <w:rPr>
          <w:rFonts w:eastAsia="Times New Roman"/>
          <w:i/>
        </w:rPr>
        <w:t>Safaryan</w:t>
      </w:r>
      <w:r w:rsidRPr="003E3129">
        <w:rPr>
          <w:rFonts w:eastAsia="Times New Roman"/>
        </w:rPr>
        <w:t>, précité, § 27).</w:t>
      </w:r>
    </w:p>
    <w:p w:rsidRPr="003E3129" w:rsidR="00D33065" w:rsidP="003E3129" w14:paraId="6B12B0AA"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31</w:t>
      </w:r>
      <w:r w:rsidRPr="003E3129">
        <w:rPr>
          <w:rFonts w:eastAsia="Times New Roman"/>
        </w:rPr>
        <w:fldChar w:fldCharType="end"/>
      </w:r>
      <w:r w:rsidRPr="003E3129">
        <w:rPr>
          <w:rFonts w:eastAsia="Times New Roman"/>
        </w:rPr>
        <w:t>.  Se tournant vers le cas d</w:t>
      </w:r>
      <w:r w:rsidRPr="003E3129" w:rsidR="003E3129">
        <w:rPr>
          <w:rFonts w:eastAsia="Times New Roman"/>
        </w:rPr>
        <w:t>’</w:t>
      </w:r>
      <w:r w:rsidRPr="003E3129">
        <w:rPr>
          <w:rFonts w:eastAsia="Times New Roman"/>
        </w:rPr>
        <w:t>espèce, la Cour note qu</w:t>
      </w:r>
      <w:r w:rsidRPr="003E3129" w:rsidR="003E3129">
        <w:rPr>
          <w:rFonts w:eastAsia="Times New Roman"/>
        </w:rPr>
        <w:t>’</w:t>
      </w:r>
      <w:r w:rsidRPr="003E3129">
        <w:rPr>
          <w:rFonts w:eastAsia="Times New Roman"/>
        </w:rPr>
        <w:t>elle a communiqué la requête au Gouvernement sans avoir connaissance des nouveaux développements survenus au niveau national.</w:t>
      </w:r>
    </w:p>
    <w:p w:rsidRPr="003E3129" w:rsidR="00D33065" w:rsidP="003E3129" w14:paraId="471058BA"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32</w:t>
      </w:r>
      <w:r w:rsidRPr="003E3129">
        <w:rPr>
          <w:rFonts w:eastAsia="Times New Roman"/>
        </w:rPr>
        <w:fldChar w:fldCharType="end"/>
      </w:r>
      <w:r w:rsidRPr="003E3129">
        <w:rPr>
          <w:rFonts w:eastAsia="Times New Roman"/>
        </w:rPr>
        <w:t>.  Il ressort de la jurisprudence citée aux paragraphes précédents qu</w:t>
      </w:r>
      <w:r w:rsidRPr="003E3129" w:rsidR="003E3129">
        <w:rPr>
          <w:rFonts w:eastAsia="Times New Roman"/>
        </w:rPr>
        <w:t>’</w:t>
      </w:r>
      <w:r w:rsidRPr="003E3129">
        <w:rPr>
          <w:rFonts w:eastAsia="Times New Roman"/>
        </w:rPr>
        <w:t>il incombe à présent à la Cour de rechercher, dans un premier temps, si les informations non communiquées par le requérant concernaient le cœur de l</w:t>
      </w:r>
      <w:r w:rsidRPr="003E3129" w:rsidR="003E3129">
        <w:rPr>
          <w:rFonts w:eastAsia="Times New Roman"/>
        </w:rPr>
        <w:t>’</w:t>
      </w:r>
      <w:r w:rsidRPr="003E3129">
        <w:rPr>
          <w:rFonts w:eastAsia="Times New Roman"/>
        </w:rPr>
        <w:t>affaire, en d</w:t>
      </w:r>
      <w:r w:rsidRPr="003E3129" w:rsidR="003E3129">
        <w:rPr>
          <w:rFonts w:eastAsia="Times New Roman"/>
        </w:rPr>
        <w:t>’</w:t>
      </w:r>
      <w:r w:rsidRPr="003E3129">
        <w:rPr>
          <w:rFonts w:eastAsia="Times New Roman"/>
        </w:rPr>
        <w:t>autres termes si elles revêtaient une importance significative évidente pour l</w:t>
      </w:r>
      <w:r w:rsidRPr="003E3129" w:rsidR="003E3129">
        <w:rPr>
          <w:rFonts w:eastAsia="Times New Roman"/>
        </w:rPr>
        <w:t>’</w:t>
      </w:r>
      <w:r w:rsidRPr="003E3129">
        <w:rPr>
          <w:rFonts w:eastAsia="Times New Roman"/>
        </w:rPr>
        <w:t>examen de la présente requête. Dans l</w:t>
      </w:r>
      <w:r w:rsidRPr="003E3129" w:rsidR="003E3129">
        <w:rPr>
          <w:rFonts w:eastAsia="Times New Roman"/>
        </w:rPr>
        <w:t>’</w:t>
      </w:r>
      <w:r w:rsidRPr="003E3129">
        <w:rPr>
          <w:rFonts w:eastAsia="Times New Roman"/>
        </w:rPr>
        <w:t>affirmative, il lui appartient, dans un second temps, d</w:t>
      </w:r>
      <w:r w:rsidRPr="003E3129" w:rsidR="003E3129">
        <w:rPr>
          <w:rFonts w:eastAsia="Times New Roman"/>
        </w:rPr>
        <w:t>’</w:t>
      </w:r>
      <w:r w:rsidRPr="003E3129">
        <w:rPr>
          <w:rFonts w:eastAsia="Times New Roman"/>
        </w:rPr>
        <w:t>établir si le requérant a fourni une explication suffisante quant à la raison pour laquelle il n</w:t>
      </w:r>
      <w:r w:rsidRPr="003E3129" w:rsidR="003E3129">
        <w:rPr>
          <w:rFonts w:eastAsia="Times New Roman"/>
        </w:rPr>
        <w:t>’</w:t>
      </w:r>
      <w:r w:rsidRPr="003E3129">
        <w:rPr>
          <w:rFonts w:eastAsia="Times New Roman"/>
        </w:rPr>
        <w:t>a pas communiqué ces informations.</w:t>
      </w:r>
    </w:p>
    <w:p w:rsidRPr="003E3129" w:rsidR="00D33065" w:rsidP="003E3129" w14:paraId="5928B1DC"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33</w:t>
      </w:r>
      <w:r w:rsidRPr="003E3129">
        <w:rPr>
          <w:rFonts w:eastAsia="Times New Roman"/>
        </w:rPr>
        <w:fldChar w:fldCharType="end"/>
      </w:r>
      <w:r w:rsidRPr="003E3129">
        <w:rPr>
          <w:rFonts w:eastAsia="Times New Roman"/>
        </w:rPr>
        <w:t>.  La Cour a déjà eu l</w:t>
      </w:r>
      <w:r w:rsidRPr="003E3129" w:rsidR="003E3129">
        <w:rPr>
          <w:rFonts w:eastAsia="Times New Roman"/>
        </w:rPr>
        <w:t>’</w:t>
      </w:r>
      <w:r w:rsidRPr="003E3129">
        <w:rPr>
          <w:rFonts w:eastAsia="Times New Roman"/>
        </w:rPr>
        <w:t>occasion de considérer comme faits nouveaux importants, par exemple, des développements au niveau interne ayant des répercussions sur la qualité de victime des requérants (</w:t>
      </w:r>
      <w:r w:rsidRPr="003E3129">
        <w:rPr>
          <w:rFonts w:eastAsia="Times New Roman"/>
          <w:i/>
        </w:rPr>
        <w:t>Buzinger c. Slovaquie</w:t>
      </w:r>
      <w:r w:rsidRPr="003E3129">
        <w:rPr>
          <w:rFonts w:eastAsia="Times New Roman"/>
        </w:rPr>
        <w:t xml:space="preserve"> (déc.), n</w:t>
      </w:r>
      <w:r w:rsidRPr="003E3129">
        <w:rPr>
          <w:rFonts w:eastAsia="Times New Roman"/>
          <w:vertAlign w:val="superscript"/>
        </w:rPr>
        <w:t>o</w:t>
      </w:r>
      <w:r w:rsidRPr="003E3129">
        <w:rPr>
          <w:rFonts w:eastAsia="Times New Roman"/>
        </w:rPr>
        <w:t xml:space="preserve"> 32133/10, §§ 21-22, 16 juin 2015, </w:t>
      </w:r>
      <w:r w:rsidRPr="003E3129">
        <w:rPr>
          <w:rFonts w:eastAsia="Times New Roman"/>
          <w:i/>
        </w:rPr>
        <w:t>Gevorgyan et autres</w:t>
      </w:r>
      <w:r w:rsidRPr="003E3129">
        <w:rPr>
          <w:rFonts w:eastAsia="Times New Roman"/>
        </w:rPr>
        <w:t xml:space="preserve">, précité, § 37, et </w:t>
      </w:r>
      <w:r w:rsidRPr="003E3129">
        <w:rPr>
          <w:rFonts w:eastAsia="Times New Roman"/>
          <w:i/>
        </w:rPr>
        <w:t>Safaryan</w:t>
      </w:r>
      <w:r w:rsidRPr="003E3129">
        <w:rPr>
          <w:rFonts w:eastAsia="Times New Roman"/>
        </w:rPr>
        <w:t>, précité, § 28), la résolution de l</w:t>
      </w:r>
      <w:r w:rsidRPr="003E3129" w:rsidR="003E3129">
        <w:rPr>
          <w:rFonts w:eastAsia="Times New Roman"/>
        </w:rPr>
        <w:t>’</w:t>
      </w:r>
      <w:r w:rsidRPr="003E3129">
        <w:rPr>
          <w:rFonts w:eastAsia="Times New Roman"/>
        </w:rPr>
        <w:t>affaire au niveau interne (</w:t>
      </w:r>
      <w:r w:rsidRPr="003E3129">
        <w:rPr>
          <w:rFonts w:eastAsia="Times New Roman"/>
          <w:i/>
        </w:rPr>
        <w:t>Komatinović</w:t>
      </w:r>
      <w:r w:rsidRPr="003E3129">
        <w:rPr>
          <w:rFonts w:eastAsia="Times New Roman"/>
        </w:rPr>
        <w:t xml:space="preserve">, précité, et </w:t>
      </w:r>
      <w:r w:rsidRPr="003E3129">
        <w:rPr>
          <w:rFonts w:eastAsia="Times New Roman"/>
          <w:i/>
        </w:rPr>
        <w:t xml:space="preserve">Frisoli et autres c. Italie </w:t>
      </w:r>
      <w:r w:rsidRPr="003E3129">
        <w:rPr>
          <w:rFonts w:eastAsia="Times New Roman"/>
        </w:rPr>
        <w:t>(déc.), n</w:t>
      </w:r>
      <w:r w:rsidRPr="003E3129">
        <w:rPr>
          <w:rFonts w:eastAsia="Times New Roman"/>
          <w:vertAlign w:val="superscript"/>
        </w:rPr>
        <w:t>o</w:t>
      </w:r>
      <w:r w:rsidRPr="003E3129">
        <w:rPr>
          <w:rFonts w:eastAsia="Times New Roman"/>
        </w:rPr>
        <w:t> 33172/05, § 51</w:t>
      </w:r>
      <w:r w:rsidRPr="003E3129">
        <w:rPr>
          <w:rFonts w:eastAsia="Times New Roman"/>
        </w:rPr>
        <w:noBreakHyphen/>
        <w:t>53, 16 décembre 2014), l</w:t>
      </w:r>
      <w:r w:rsidRPr="003E3129" w:rsidR="003E3129">
        <w:rPr>
          <w:rFonts w:eastAsia="Times New Roman"/>
        </w:rPr>
        <w:t>’</w:t>
      </w:r>
      <w:r w:rsidRPr="003E3129">
        <w:rPr>
          <w:rFonts w:eastAsia="Times New Roman"/>
        </w:rPr>
        <w:t>utilisation d</w:t>
      </w:r>
      <w:r w:rsidRPr="003E3129" w:rsidR="003E3129">
        <w:rPr>
          <w:rFonts w:eastAsia="Times New Roman"/>
        </w:rPr>
        <w:t>’</w:t>
      </w:r>
      <w:r w:rsidRPr="003E3129">
        <w:rPr>
          <w:rFonts w:eastAsia="Times New Roman"/>
        </w:rPr>
        <w:t>un nouveau recours interne (</w:t>
      </w:r>
      <w:r w:rsidRPr="003E3129">
        <w:rPr>
          <w:rFonts w:eastAsia="Times New Roman"/>
          <w:i/>
        </w:rPr>
        <w:t>Hadrabov</w:t>
      </w:r>
      <w:r w:rsidRPr="003E3129">
        <w:rPr>
          <w:rFonts w:eastAsia="Times New Roman"/>
          <w:i/>
          <w:lang w:val="sk-SK"/>
        </w:rPr>
        <w:t>á et autres</w:t>
      </w:r>
      <w:r w:rsidRPr="003E3129">
        <w:rPr>
          <w:rFonts w:eastAsia="Times New Roman"/>
          <w:i/>
        </w:rPr>
        <w:t xml:space="preserve"> c. République tchèque </w:t>
      </w:r>
      <w:r w:rsidRPr="003E3129">
        <w:rPr>
          <w:rFonts w:eastAsia="Times New Roman"/>
        </w:rPr>
        <w:t>(déc.), n</w:t>
      </w:r>
      <w:r w:rsidRPr="003E3129">
        <w:rPr>
          <w:rFonts w:eastAsia="Times New Roman"/>
          <w:vertAlign w:val="superscript"/>
        </w:rPr>
        <w:t>os</w:t>
      </w:r>
      <w:r w:rsidRPr="003E3129">
        <w:rPr>
          <w:rFonts w:eastAsia="Times New Roman"/>
        </w:rPr>
        <w:t> 42165/02 et 466/03, 25 septembre 2007), ou, encore, le décès de la partie requérante (</w:t>
      </w:r>
      <w:r w:rsidRPr="003E3129">
        <w:rPr>
          <w:rFonts w:eastAsia="Times New Roman"/>
          <w:i/>
        </w:rPr>
        <w:t>Gross</w:t>
      </w:r>
      <w:r w:rsidRPr="003E3129">
        <w:rPr>
          <w:rFonts w:eastAsia="Times New Roman"/>
        </w:rPr>
        <w:t>, précité, § 35). Elle précise que cette liste n</w:t>
      </w:r>
      <w:r w:rsidRPr="003E3129" w:rsidR="003E3129">
        <w:rPr>
          <w:rFonts w:eastAsia="Times New Roman"/>
        </w:rPr>
        <w:t>’</w:t>
      </w:r>
      <w:r w:rsidRPr="003E3129">
        <w:rPr>
          <w:rFonts w:eastAsia="Times New Roman"/>
        </w:rPr>
        <w:t>est bien évidemment pas exhaustive et qu</w:t>
      </w:r>
      <w:r w:rsidRPr="003E3129" w:rsidR="003E3129">
        <w:rPr>
          <w:rFonts w:eastAsia="Times New Roman"/>
        </w:rPr>
        <w:t>’</w:t>
      </w:r>
      <w:r w:rsidRPr="003E3129">
        <w:rPr>
          <w:rFonts w:eastAsia="Times New Roman"/>
        </w:rPr>
        <w:t>il convient d</w:t>
      </w:r>
      <w:r w:rsidRPr="003E3129" w:rsidR="003E3129">
        <w:rPr>
          <w:rFonts w:eastAsia="Times New Roman"/>
        </w:rPr>
        <w:t>’</w:t>
      </w:r>
      <w:r w:rsidRPr="003E3129">
        <w:rPr>
          <w:rFonts w:eastAsia="Times New Roman"/>
        </w:rPr>
        <w:t>examiner l</w:t>
      </w:r>
      <w:r w:rsidRPr="003E3129" w:rsidR="003E3129">
        <w:rPr>
          <w:rFonts w:eastAsia="Times New Roman"/>
        </w:rPr>
        <w:t>’</w:t>
      </w:r>
      <w:r w:rsidRPr="003E3129">
        <w:rPr>
          <w:rFonts w:eastAsia="Times New Roman"/>
        </w:rPr>
        <w:t>ensemble des éléments de chaque affaire, placés dans leur contexte, pour juger de l</w:t>
      </w:r>
      <w:r w:rsidRPr="003E3129" w:rsidR="003E3129">
        <w:rPr>
          <w:rFonts w:eastAsia="Times New Roman"/>
        </w:rPr>
        <w:t>’</w:t>
      </w:r>
      <w:r w:rsidRPr="003E3129">
        <w:rPr>
          <w:rFonts w:eastAsia="Times New Roman"/>
        </w:rPr>
        <w:t>importance des nouveaux développements.</w:t>
      </w:r>
    </w:p>
    <w:p w:rsidRPr="003E3129" w:rsidR="00D33065" w:rsidP="003E3129" w14:paraId="093C1A0B"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34</w:t>
      </w:r>
      <w:r w:rsidRPr="003E3129">
        <w:rPr>
          <w:rFonts w:eastAsia="Times New Roman"/>
        </w:rPr>
        <w:fldChar w:fldCharType="end"/>
      </w:r>
      <w:r w:rsidRPr="003E3129">
        <w:rPr>
          <w:rFonts w:eastAsia="Times New Roman"/>
        </w:rPr>
        <w:t>.  En l</w:t>
      </w:r>
      <w:r w:rsidRPr="003E3129" w:rsidR="003E3129">
        <w:rPr>
          <w:rFonts w:eastAsia="Times New Roman"/>
        </w:rPr>
        <w:t>’</w:t>
      </w:r>
      <w:r w:rsidRPr="003E3129">
        <w:rPr>
          <w:rFonts w:eastAsia="Times New Roman"/>
        </w:rPr>
        <w:t>espèce, la Cour trouve que les informations fournies par le Gouvernement et non communiquées par le requérant ne concernent pas un aspect crucial de l</w:t>
      </w:r>
      <w:r w:rsidRPr="003E3129" w:rsidR="003E3129">
        <w:rPr>
          <w:rFonts w:eastAsia="Times New Roman"/>
        </w:rPr>
        <w:t>’</w:t>
      </w:r>
      <w:r w:rsidRPr="003E3129">
        <w:rPr>
          <w:rFonts w:eastAsia="Times New Roman"/>
        </w:rPr>
        <w:t>affaire. En effet, les décisions des tribunaux civils dénoncées par le requérant devant la Cour n</w:t>
      </w:r>
      <w:r w:rsidRPr="003E3129" w:rsidR="003E3129">
        <w:rPr>
          <w:rFonts w:eastAsia="Times New Roman"/>
        </w:rPr>
        <w:t>’</w:t>
      </w:r>
      <w:r w:rsidRPr="003E3129">
        <w:rPr>
          <w:rFonts w:eastAsia="Times New Roman"/>
        </w:rPr>
        <w:t>ont pas été effacées et ont toujours une valeur juridique.</w:t>
      </w:r>
    </w:p>
    <w:p w:rsidRPr="003E3129" w:rsidR="00D33065" w:rsidP="003E3129" w14:paraId="61BFD8A8" w14:textId="5A3C8981">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35</w:t>
      </w:r>
      <w:r w:rsidRPr="003E3129">
        <w:rPr>
          <w:rFonts w:eastAsia="Times New Roman"/>
        </w:rPr>
        <w:fldChar w:fldCharType="end"/>
      </w:r>
      <w:r w:rsidRPr="003E3129">
        <w:rPr>
          <w:rFonts w:eastAsia="Times New Roman"/>
        </w:rPr>
        <w:t>.  Elle admet que les développements auxquels le Gouvernement fait référence, à savoir le fait que la procédure pénale à l</w:t>
      </w:r>
      <w:r w:rsidRPr="003E3129" w:rsidR="003E3129">
        <w:rPr>
          <w:rFonts w:eastAsia="Times New Roman"/>
        </w:rPr>
        <w:t>’</w:t>
      </w:r>
      <w:r w:rsidRPr="003E3129">
        <w:rPr>
          <w:rFonts w:eastAsia="Times New Roman"/>
        </w:rPr>
        <w:t xml:space="preserve">encontre du requérant ait repris son cours et que ce dernier ait introduit une demande en réouverture de la procédure civile – mais rejetée </w:t>
      </w:r>
      <w:r w:rsidRPr="003E3129">
        <w:rPr>
          <w:rFonts w:eastAsia="Times New Roman"/>
        </w:rPr>
        <w:t>au final</w:t>
      </w:r>
      <w:r w:rsidRPr="003E3129">
        <w:rPr>
          <w:rFonts w:eastAsia="Times New Roman"/>
        </w:rPr>
        <w:t xml:space="preserve"> par la Cour suprême de justice –, sont certes en lien avec la présente affaire. Cependant, ceux-ci sont seulement pertinents en l</w:t>
      </w:r>
      <w:r w:rsidRPr="003E3129" w:rsidR="003E3129">
        <w:rPr>
          <w:rFonts w:eastAsia="Times New Roman"/>
        </w:rPr>
        <w:t>’</w:t>
      </w:r>
      <w:r w:rsidRPr="003E3129">
        <w:rPr>
          <w:rFonts w:eastAsia="Times New Roman"/>
        </w:rPr>
        <w:t>espèce dans la mesure où ils permettent d</w:t>
      </w:r>
      <w:r w:rsidRPr="003E3129" w:rsidR="003E3129">
        <w:rPr>
          <w:rFonts w:eastAsia="Times New Roman"/>
        </w:rPr>
        <w:t>’</w:t>
      </w:r>
      <w:r w:rsidRPr="003E3129">
        <w:rPr>
          <w:rFonts w:eastAsia="Times New Roman"/>
        </w:rPr>
        <w:t>avoir une vision plus large de l</w:t>
      </w:r>
      <w:r w:rsidRPr="003E3129" w:rsidR="003E3129">
        <w:rPr>
          <w:rFonts w:eastAsia="Times New Roman"/>
        </w:rPr>
        <w:t>’</w:t>
      </w:r>
      <w:r w:rsidRPr="003E3129">
        <w:rPr>
          <w:rFonts w:eastAsia="Times New Roman"/>
        </w:rPr>
        <w:t>évolution de l</w:t>
      </w:r>
      <w:r w:rsidRPr="003E3129" w:rsidR="003E3129">
        <w:rPr>
          <w:rFonts w:eastAsia="Times New Roman"/>
        </w:rPr>
        <w:t>’</w:t>
      </w:r>
      <w:r w:rsidRPr="003E3129">
        <w:rPr>
          <w:rFonts w:eastAsia="Times New Roman"/>
        </w:rPr>
        <w:t>affaire du requérant, mais ne sont pas essentiels pour la Cour pour trancher l</w:t>
      </w:r>
      <w:r w:rsidRPr="003E3129" w:rsidR="003E3129">
        <w:rPr>
          <w:rFonts w:eastAsia="Times New Roman"/>
        </w:rPr>
        <w:t>’</w:t>
      </w:r>
      <w:r w:rsidRPr="003E3129">
        <w:rPr>
          <w:rFonts w:eastAsia="Times New Roman"/>
        </w:rPr>
        <w:t>affaire. Elle estime dès lors qu</w:t>
      </w:r>
      <w:r w:rsidRPr="003E3129" w:rsidR="003E3129">
        <w:rPr>
          <w:rFonts w:eastAsia="Times New Roman"/>
        </w:rPr>
        <w:t>’</w:t>
      </w:r>
      <w:r w:rsidRPr="003E3129">
        <w:rPr>
          <w:rFonts w:eastAsia="Times New Roman"/>
        </w:rPr>
        <w:t>ils ne touchent pas au cœur même du grief tiré d</w:t>
      </w:r>
      <w:r w:rsidRPr="003E3129" w:rsidR="003E3129">
        <w:rPr>
          <w:rFonts w:eastAsia="Times New Roman"/>
        </w:rPr>
        <w:t>’</w:t>
      </w:r>
      <w:r w:rsidRPr="003E3129">
        <w:rPr>
          <w:rFonts w:eastAsia="Times New Roman"/>
        </w:rPr>
        <w:t>une méconnaissance par les tribunaux civils de la présomption d</w:t>
      </w:r>
      <w:r w:rsidRPr="003E3129" w:rsidR="003E3129">
        <w:rPr>
          <w:rFonts w:eastAsia="Times New Roman"/>
        </w:rPr>
        <w:t>’</w:t>
      </w:r>
      <w:r w:rsidRPr="003E3129">
        <w:rPr>
          <w:rFonts w:eastAsia="Times New Roman"/>
        </w:rPr>
        <w:t>innocence de l</w:t>
      </w:r>
      <w:r w:rsidRPr="003E3129" w:rsidR="003E3129">
        <w:rPr>
          <w:rFonts w:eastAsia="Times New Roman"/>
        </w:rPr>
        <w:t>’</w:t>
      </w:r>
      <w:r w:rsidRPr="003E3129">
        <w:rPr>
          <w:rFonts w:eastAsia="Times New Roman"/>
        </w:rPr>
        <w:t xml:space="preserve">intéressé (comparer avec </w:t>
      </w:r>
      <w:r w:rsidR="00B703B3">
        <w:rPr>
          <w:rFonts w:eastAsia="Times New Roman"/>
          <w:i/>
        </w:rPr>
        <w:t>J.B.</w:t>
      </w:r>
      <w:r w:rsidRPr="003E3129">
        <w:rPr>
          <w:rFonts w:eastAsia="Times New Roman"/>
          <w:i/>
        </w:rPr>
        <w:t xml:space="preserve"> c. Pologne</w:t>
      </w:r>
      <w:r w:rsidRPr="003E3129">
        <w:rPr>
          <w:rFonts w:eastAsia="Times New Roman"/>
        </w:rPr>
        <w:t>, n</w:t>
      </w:r>
      <w:r w:rsidRPr="003E3129">
        <w:rPr>
          <w:rFonts w:eastAsia="Times New Roman"/>
          <w:vertAlign w:val="superscript"/>
        </w:rPr>
        <w:t>o</w:t>
      </w:r>
      <w:r w:rsidRPr="003E3129">
        <w:rPr>
          <w:rFonts w:eastAsia="Times New Roman"/>
        </w:rPr>
        <w:t> 57675/10</w:t>
      </w:r>
      <w:r w:rsidRPr="003E3129">
        <w:rPr>
          <w:rFonts w:eastAsia="Times New Roman"/>
          <w:snapToGrid w:val="0"/>
        </w:rPr>
        <w:t>, § 44, 3 </w:t>
      </w:r>
      <w:r w:rsidRPr="003E3129">
        <w:rPr>
          <w:rFonts w:eastAsia="Times New Roman"/>
        </w:rPr>
        <w:t>novembre</w:t>
      </w:r>
      <w:r w:rsidRPr="003E3129">
        <w:rPr>
          <w:rFonts w:eastAsia="Times New Roman"/>
          <w:snapToGrid w:val="0"/>
        </w:rPr>
        <w:t xml:space="preserve"> 2015,</w:t>
      </w:r>
      <w:r w:rsidRPr="003E3129">
        <w:rPr>
          <w:rFonts w:eastAsia="Times New Roman"/>
        </w:rPr>
        <w:t xml:space="preserve"> </w:t>
      </w:r>
      <w:r w:rsidRPr="003E3129">
        <w:rPr>
          <w:rFonts w:eastAsia="Times New Roman"/>
          <w:i/>
        </w:rPr>
        <w:t>Mitrović c. Serbie</w:t>
      </w:r>
      <w:r w:rsidRPr="003E3129">
        <w:rPr>
          <w:rFonts w:eastAsia="Times New Roman"/>
        </w:rPr>
        <w:t>, n</w:t>
      </w:r>
      <w:r w:rsidRPr="003E3129">
        <w:rPr>
          <w:rFonts w:eastAsia="Times New Roman"/>
          <w:vertAlign w:val="superscript"/>
        </w:rPr>
        <w:t>o</w:t>
      </w:r>
      <w:r w:rsidRPr="003E3129">
        <w:rPr>
          <w:rFonts w:eastAsia="Times New Roman"/>
        </w:rPr>
        <w:t xml:space="preserve"> 52142/12, § 34, 21 mars 2017, </w:t>
      </w:r>
      <w:r w:rsidRPr="003E3129">
        <w:rPr>
          <w:rFonts w:eastAsia="Times New Roman"/>
          <w:i/>
          <w:iCs/>
        </w:rPr>
        <w:t xml:space="preserve">Shalyavski et </w:t>
      </w:r>
      <w:r w:rsidRPr="003E3129">
        <w:rPr>
          <w:rFonts w:eastAsia="Times New Roman"/>
          <w:i/>
          <w:iCs/>
        </w:rPr>
        <w:t>autres c. Bulgarie</w:t>
      </w:r>
      <w:r w:rsidRPr="003E3129">
        <w:rPr>
          <w:rFonts w:eastAsia="Times New Roman"/>
        </w:rPr>
        <w:t>, n</w:t>
      </w:r>
      <w:r w:rsidRPr="003E3129">
        <w:rPr>
          <w:rFonts w:eastAsia="Times New Roman"/>
          <w:vertAlign w:val="superscript"/>
        </w:rPr>
        <w:t>o</w:t>
      </w:r>
      <w:r w:rsidRPr="003E3129">
        <w:rPr>
          <w:rFonts w:eastAsia="Times New Roman"/>
        </w:rPr>
        <w:t xml:space="preserve"> 67608/11, § 45, 15 juin 2017, </w:t>
      </w:r>
      <w:r w:rsidRPr="003E3129" w:rsidR="003E3129">
        <w:rPr>
          <w:rFonts w:eastAsia="Times New Roman"/>
          <w:i/>
          <w:iCs/>
        </w:rPr>
        <w:t>Petrov et </w:t>
      </w:r>
      <w:r w:rsidRPr="003E3129">
        <w:rPr>
          <w:rFonts w:eastAsia="Times New Roman"/>
          <w:i/>
          <w:iCs/>
        </w:rPr>
        <w:t>X c. Russie</w:t>
      </w:r>
      <w:r w:rsidRPr="003E3129">
        <w:rPr>
          <w:rFonts w:eastAsia="Times New Roman"/>
          <w:lang w:eastAsia="en-GB"/>
        </w:rPr>
        <w:t>, n</w:t>
      </w:r>
      <w:r w:rsidRPr="003E3129">
        <w:rPr>
          <w:rFonts w:eastAsia="Times New Roman"/>
          <w:vertAlign w:val="superscript"/>
          <w:lang w:eastAsia="en-GB"/>
        </w:rPr>
        <w:t>o</w:t>
      </w:r>
      <w:r w:rsidRPr="003E3129">
        <w:rPr>
          <w:rFonts w:eastAsia="Times New Roman"/>
          <w:lang w:eastAsia="en-GB"/>
        </w:rPr>
        <w:t xml:space="preserve"> </w:t>
      </w:r>
      <w:r w:rsidRPr="003E3129">
        <w:rPr>
          <w:rFonts w:eastAsia="Times New Roman"/>
        </w:rPr>
        <w:t>23608/16</w:t>
      </w:r>
      <w:r w:rsidRPr="003E3129">
        <w:rPr>
          <w:rFonts w:eastAsia="Times New Roman"/>
          <w:lang w:eastAsia="en-GB"/>
        </w:rPr>
        <w:t xml:space="preserve">, </w:t>
      </w:r>
      <w:r w:rsidRPr="003E3129">
        <w:rPr>
          <w:rFonts w:eastAsia="Times New Roman"/>
        </w:rPr>
        <w:t xml:space="preserve">§ 73, 23 octobre 2018, et </w:t>
      </w:r>
      <w:r w:rsidRPr="003E3129">
        <w:rPr>
          <w:rFonts w:eastAsia="Times New Roman"/>
          <w:i/>
        </w:rPr>
        <w:t>Pryanishnikov c. Russie</w:t>
      </w:r>
      <w:r w:rsidRPr="003E3129">
        <w:rPr>
          <w:rFonts w:eastAsia="Times New Roman"/>
        </w:rPr>
        <w:t>, n</w:t>
      </w:r>
      <w:r w:rsidRPr="003E3129">
        <w:rPr>
          <w:rFonts w:eastAsia="Times New Roman"/>
          <w:vertAlign w:val="superscript"/>
        </w:rPr>
        <w:t>o</w:t>
      </w:r>
      <w:r w:rsidRPr="003E3129">
        <w:rPr>
          <w:rFonts w:eastAsia="Times New Roman"/>
        </w:rPr>
        <w:t> 25047/05, § 43, 10 septembre 2019). Cette conclusion rend superflue l</w:t>
      </w:r>
      <w:r w:rsidRPr="003E3129" w:rsidR="003E3129">
        <w:rPr>
          <w:rFonts w:eastAsia="Times New Roman"/>
        </w:rPr>
        <w:t>’</w:t>
      </w:r>
      <w:r w:rsidRPr="003E3129">
        <w:rPr>
          <w:rFonts w:eastAsia="Times New Roman"/>
        </w:rPr>
        <w:t>examen de la question de savoir si le requérant a fourni une explication suffisante quant à son silence.</w:t>
      </w:r>
    </w:p>
    <w:p w:rsidRPr="003E3129" w:rsidR="00D33065" w:rsidP="003E3129" w14:paraId="17E79BDF"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36</w:t>
      </w:r>
      <w:r w:rsidRPr="003E3129">
        <w:rPr>
          <w:rFonts w:eastAsia="Times New Roman"/>
        </w:rPr>
        <w:fldChar w:fldCharType="end"/>
      </w:r>
      <w:r w:rsidRPr="003E3129">
        <w:rPr>
          <w:rFonts w:eastAsia="Times New Roman"/>
        </w:rPr>
        <w:t>.  À la lumière de tout ce qui précède, la Cour ne saurait reprocher au requérant le fait de ne pas l</w:t>
      </w:r>
      <w:r w:rsidRPr="003E3129" w:rsidR="003E3129">
        <w:rPr>
          <w:rFonts w:eastAsia="Times New Roman"/>
        </w:rPr>
        <w:t>’</w:t>
      </w:r>
      <w:r w:rsidRPr="003E3129">
        <w:rPr>
          <w:rFonts w:eastAsia="Times New Roman"/>
        </w:rPr>
        <w:t>avoir informée des développements évoqués ci</w:t>
      </w:r>
      <w:r w:rsidRPr="003E3129">
        <w:rPr>
          <w:rFonts w:eastAsia="Times New Roman"/>
        </w:rPr>
        <w:noBreakHyphen/>
        <w:t>dessus. Partant, elle rejette l</w:t>
      </w:r>
      <w:r w:rsidRPr="003E3129" w:rsidR="003E3129">
        <w:rPr>
          <w:rFonts w:eastAsia="Times New Roman"/>
        </w:rPr>
        <w:t>’</w:t>
      </w:r>
      <w:r w:rsidRPr="003E3129">
        <w:rPr>
          <w:rFonts w:eastAsia="Times New Roman"/>
        </w:rPr>
        <w:t>exception du Gouvernement.</w:t>
      </w:r>
    </w:p>
    <w:p w:rsidRPr="003E3129" w:rsidR="00D33065" w:rsidP="003E3129" w14:paraId="2B5370A3" w14:textId="77777777">
      <w:pPr>
        <w:pStyle w:val="JuH1"/>
        <w:rPr>
          <w:rFonts w:eastAsia="Times New Roman"/>
          <w:lang w:val="fr-FR"/>
        </w:rPr>
      </w:pPr>
      <w:r w:rsidRPr="003E3129">
        <w:rPr>
          <w:rFonts w:eastAsia="Times New Roman"/>
          <w:lang w:val="fr-FR"/>
        </w:rPr>
        <w:t>Sur l</w:t>
      </w:r>
      <w:r w:rsidRPr="003E3129" w:rsidR="003E3129">
        <w:rPr>
          <w:rFonts w:eastAsia="Times New Roman"/>
          <w:lang w:val="fr-FR"/>
        </w:rPr>
        <w:t>’</w:t>
      </w:r>
      <w:r w:rsidRPr="003E3129">
        <w:rPr>
          <w:rFonts w:eastAsia="Times New Roman"/>
          <w:lang w:val="fr-FR"/>
        </w:rPr>
        <w:t>applicabilité de l</w:t>
      </w:r>
      <w:r w:rsidRPr="003E3129" w:rsidR="003E3129">
        <w:rPr>
          <w:rFonts w:eastAsia="Times New Roman"/>
          <w:lang w:val="fr-FR"/>
        </w:rPr>
        <w:t>’</w:t>
      </w:r>
      <w:r w:rsidRPr="003E3129">
        <w:rPr>
          <w:rFonts w:eastAsia="Times New Roman"/>
          <w:lang w:val="fr-FR"/>
        </w:rPr>
        <w:t>article 6 § 2 de la Convention</w:t>
      </w:r>
    </w:p>
    <w:p w:rsidRPr="003E3129" w:rsidR="00D33065" w:rsidP="003E3129" w14:paraId="3B14E0A7"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37</w:t>
      </w:r>
      <w:r w:rsidRPr="003E3129">
        <w:rPr>
          <w:rFonts w:eastAsia="Times New Roman"/>
        </w:rPr>
        <w:fldChar w:fldCharType="end"/>
      </w:r>
      <w:r w:rsidRPr="003E3129">
        <w:rPr>
          <w:rFonts w:eastAsia="Times New Roman"/>
        </w:rPr>
        <w:t>.  La Cour rappelle que chaque fois que la question de l</w:t>
      </w:r>
      <w:r w:rsidRPr="003E3129" w:rsidR="003E3129">
        <w:rPr>
          <w:rFonts w:eastAsia="Times New Roman"/>
        </w:rPr>
        <w:t>’</w:t>
      </w:r>
      <w:r w:rsidRPr="003E3129">
        <w:rPr>
          <w:rFonts w:eastAsia="Times New Roman"/>
        </w:rPr>
        <w:t>applicabilité de l</w:t>
      </w:r>
      <w:r w:rsidRPr="003E3129" w:rsidR="003E3129">
        <w:rPr>
          <w:rFonts w:eastAsia="Times New Roman"/>
        </w:rPr>
        <w:t>’</w:t>
      </w:r>
      <w:r w:rsidRPr="003E3129">
        <w:rPr>
          <w:rFonts w:eastAsia="Times New Roman"/>
        </w:rPr>
        <w:t>article 6 § 2 de la Convention se pose dans le cadre d</w:t>
      </w:r>
      <w:r w:rsidRPr="003E3129" w:rsidR="003E3129">
        <w:rPr>
          <w:rFonts w:eastAsia="Times New Roman"/>
        </w:rPr>
        <w:t>’</w:t>
      </w:r>
      <w:r w:rsidRPr="003E3129">
        <w:rPr>
          <w:rFonts w:eastAsia="Times New Roman"/>
        </w:rPr>
        <w:t>une procédure ultérieure, le requérant doit démontrer l</w:t>
      </w:r>
      <w:r w:rsidRPr="003E3129" w:rsidR="003E3129">
        <w:rPr>
          <w:rFonts w:eastAsia="Times New Roman"/>
        </w:rPr>
        <w:t>’</w:t>
      </w:r>
      <w:r w:rsidRPr="003E3129">
        <w:rPr>
          <w:rFonts w:eastAsia="Times New Roman"/>
        </w:rPr>
        <w:t>existence d</w:t>
      </w:r>
      <w:r w:rsidRPr="003E3129" w:rsidR="003E3129">
        <w:rPr>
          <w:rFonts w:eastAsia="Times New Roman"/>
        </w:rPr>
        <w:t>’</w:t>
      </w:r>
      <w:r w:rsidRPr="003E3129">
        <w:rPr>
          <w:rFonts w:eastAsia="Times New Roman"/>
        </w:rPr>
        <w:t>un lien entre la procédure pénale achevée et l</w:t>
      </w:r>
      <w:r w:rsidRPr="003E3129" w:rsidR="003E3129">
        <w:rPr>
          <w:rFonts w:eastAsia="Times New Roman"/>
        </w:rPr>
        <w:t>’</w:t>
      </w:r>
      <w:r w:rsidRPr="003E3129">
        <w:rPr>
          <w:rFonts w:eastAsia="Times New Roman"/>
        </w:rPr>
        <w:t xml:space="preserve">action subséquente. </w:t>
      </w:r>
      <w:r w:rsidRPr="003E3129">
        <w:t>Pareil lien peut être présent, par exemple, lorsque l</w:t>
      </w:r>
      <w:r w:rsidRPr="003E3129" w:rsidR="003E3129">
        <w:t>’</w:t>
      </w:r>
      <w:r w:rsidRPr="003E3129">
        <w:t>action ultérieure nécessite l</w:t>
      </w:r>
      <w:r w:rsidRPr="003E3129" w:rsidR="003E3129">
        <w:t>’</w:t>
      </w:r>
      <w:r w:rsidRPr="003E3129">
        <w:t>examen de l</w:t>
      </w:r>
      <w:r w:rsidRPr="003E3129" w:rsidR="003E3129">
        <w:t>’</w:t>
      </w:r>
      <w:r w:rsidRPr="003E3129">
        <w:t>issue de la procédure pénale et, en particulier, lorsqu</w:t>
      </w:r>
      <w:r w:rsidRPr="003E3129" w:rsidR="003E3129">
        <w:t>’</w:t>
      </w:r>
      <w:r w:rsidRPr="003E3129">
        <w:t>elle oblige la juridiction concernée à analyser le jugement pénal, à se livrer à une étude ou à une évaluation des éléments de preuve versés au dossier pénal, à porter une appréciation sur la participation du requérant à l</w:t>
      </w:r>
      <w:r w:rsidRPr="003E3129" w:rsidR="003E3129">
        <w:t>’</w:t>
      </w:r>
      <w:r w:rsidRPr="003E3129">
        <w:t>un ou à l</w:t>
      </w:r>
      <w:r w:rsidRPr="003E3129" w:rsidR="003E3129">
        <w:t>’</w:t>
      </w:r>
      <w:r w:rsidRPr="003E3129">
        <w:t>ensemble des événements ayant conduit à l</w:t>
      </w:r>
      <w:r w:rsidRPr="003E3129" w:rsidR="003E3129">
        <w:t>’</w:t>
      </w:r>
      <w:r w:rsidRPr="003E3129">
        <w:t>inculpation, ou à formuler des commentaires sur les indications qui continuent de suggérer une éventuelle culpabilité de l</w:t>
      </w:r>
      <w:r w:rsidRPr="003E3129" w:rsidR="003E3129">
        <w:t>’</w:t>
      </w:r>
      <w:r w:rsidRPr="003E3129">
        <w:t>intéressé</w:t>
      </w:r>
      <w:r w:rsidRPr="003E3129">
        <w:rPr>
          <w:rFonts w:eastAsia="Times New Roman"/>
        </w:rPr>
        <w:t xml:space="preserve"> (</w:t>
      </w:r>
      <w:r w:rsidRPr="003E3129">
        <w:rPr>
          <w:rFonts w:eastAsia="Times New Roman"/>
          <w:i/>
          <w:iCs/>
        </w:rPr>
        <w:t>Allen c. Royaume-Uni</w:t>
      </w:r>
      <w:r w:rsidRPr="003E3129">
        <w:rPr>
          <w:rFonts w:eastAsia="Times New Roman"/>
        </w:rPr>
        <w:t> [GC], n</w:t>
      </w:r>
      <w:r w:rsidRPr="003E3129">
        <w:rPr>
          <w:rFonts w:eastAsia="Times New Roman"/>
          <w:vertAlign w:val="superscript"/>
        </w:rPr>
        <w:t>o</w:t>
      </w:r>
      <w:r w:rsidRPr="003E3129">
        <w:rPr>
          <w:rFonts w:eastAsia="Times New Roman"/>
        </w:rPr>
        <w:t> </w:t>
      </w:r>
      <w:hyperlink w:tgtFrame="_blank" w:history="1" w:anchor="{%22appno%22:[%2225424/09%22]}" r:id="rId10">
        <w:r w:rsidRPr="003E3129">
          <w:rPr>
            <w:rFonts w:eastAsia="Times New Roman"/>
          </w:rPr>
          <w:t>25424/09</w:t>
        </w:r>
      </w:hyperlink>
      <w:r w:rsidRPr="003E3129">
        <w:rPr>
          <w:rFonts w:eastAsia="Times New Roman"/>
        </w:rPr>
        <w:t>, § 104, CEDH 2013).</w:t>
      </w:r>
    </w:p>
    <w:p w:rsidRPr="003E3129" w:rsidR="00D33065" w:rsidP="003E3129" w14:paraId="2AFB2C6E"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38</w:t>
      </w:r>
      <w:r w:rsidRPr="003E3129">
        <w:rPr>
          <w:rFonts w:eastAsia="Times New Roman"/>
        </w:rPr>
        <w:fldChar w:fldCharType="end"/>
      </w:r>
      <w:r w:rsidRPr="003E3129">
        <w:rPr>
          <w:rFonts w:eastAsia="Times New Roman"/>
        </w:rPr>
        <w:t>.  Elle relève que, même si le Gouvernement n</w:t>
      </w:r>
      <w:r w:rsidRPr="003E3129" w:rsidR="003E3129">
        <w:rPr>
          <w:rFonts w:eastAsia="Times New Roman"/>
        </w:rPr>
        <w:t>’</w:t>
      </w:r>
      <w:r w:rsidRPr="003E3129">
        <w:rPr>
          <w:rFonts w:eastAsia="Times New Roman"/>
        </w:rPr>
        <w:t>a pas formulé une exception d</w:t>
      </w:r>
      <w:r w:rsidRPr="003E3129" w:rsidR="003E3129">
        <w:rPr>
          <w:rFonts w:eastAsia="Times New Roman"/>
        </w:rPr>
        <w:t>’</w:t>
      </w:r>
      <w:r w:rsidRPr="003E3129">
        <w:rPr>
          <w:rFonts w:eastAsia="Times New Roman"/>
        </w:rPr>
        <w:t>irrecevabilité tirée de l</w:t>
      </w:r>
      <w:r w:rsidRPr="003E3129" w:rsidR="003E3129">
        <w:rPr>
          <w:rFonts w:eastAsia="Times New Roman"/>
        </w:rPr>
        <w:t>’</w:t>
      </w:r>
      <w:r w:rsidRPr="003E3129">
        <w:rPr>
          <w:rFonts w:eastAsia="Times New Roman"/>
        </w:rPr>
        <w:t xml:space="preserve">incompétence </w:t>
      </w:r>
      <w:r w:rsidRPr="003E3129">
        <w:rPr>
          <w:rFonts w:eastAsia="Times New Roman"/>
          <w:i/>
          <w:iCs/>
        </w:rPr>
        <w:t>ratione materiae</w:t>
      </w:r>
      <w:r w:rsidRPr="003E3129">
        <w:rPr>
          <w:rFonts w:eastAsia="Times New Roman"/>
        </w:rPr>
        <w:t xml:space="preserve"> du présent grief, rien ne l</w:t>
      </w:r>
      <w:r w:rsidRPr="003E3129" w:rsidR="003E3129">
        <w:rPr>
          <w:rFonts w:eastAsia="Times New Roman"/>
        </w:rPr>
        <w:t>’</w:t>
      </w:r>
      <w:r w:rsidRPr="003E3129">
        <w:rPr>
          <w:rFonts w:eastAsia="Times New Roman"/>
        </w:rPr>
        <w:t xml:space="preserve">empêche </w:t>
      </w:r>
      <w:bookmarkStart w:name="lt_pId607" w:id="17"/>
      <w:r w:rsidRPr="003E3129">
        <w:rPr>
          <w:rFonts w:eastAsia="Times New Roman"/>
        </w:rPr>
        <w:t>d</w:t>
      </w:r>
      <w:r w:rsidRPr="003E3129" w:rsidR="003E3129">
        <w:rPr>
          <w:rFonts w:eastAsia="Times New Roman"/>
        </w:rPr>
        <w:t>’</w:t>
      </w:r>
      <w:r w:rsidRPr="003E3129">
        <w:rPr>
          <w:rFonts w:eastAsia="Times New Roman"/>
        </w:rPr>
        <w:t xml:space="preserve">examiner </w:t>
      </w:r>
      <w:r w:rsidRPr="003E3129">
        <w:rPr>
          <w:rFonts w:eastAsia="Times New Roman"/>
          <w:i/>
          <w:iCs/>
        </w:rPr>
        <w:t>proprio motu</w:t>
      </w:r>
      <w:r w:rsidRPr="003E3129">
        <w:rPr>
          <w:rFonts w:eastAsia="Times New Roman"/>
        </w:rPr>
        <w:t xml:space="preserve"> cette question, qui touche à sa compétence</w:t>
      </w:r>
      <w:bookmarkEnd w:id="17"/>
      <w:r w:rsidRPr="003E3129">
        <w:rPr>
          <w:rFonts w:eastAsia="Times New Roman"/>
        </w:rPr>
        <w:t xml:space="preserve"> (voir, par exemple, </w:t>
      </w:r>
      <w:bookmarkStart w:name="lt_pId690" w:id="18"/>
      <w:r w:rsidRPr="003E3129">
        <w:rPr>
          <w:rFonts w:eastAsia="Times New Roman"/>
          <w:i/>
          <w:iCs/>
        </w:rPr>
        <w:t>Béláné Nagy c. Hongrie</w:t>
      </w:r>
      <w:r w:rsidRPr="003E3129">
        <w:rPr>
          <w:rFonts w:eastAsia="Times New Roman"/>
        </w:rPr>
        <w:t> [GC], n</w:t>
      </w:r>
      <w:r w:rsidRPr="003E3129">
        <w:rPr>
          <w:rFonts w:eastAsia="Times New Roman"/>
          <w:vertAlign w:val="superscript"/>
        </w:rPr>
        <w:t>o</w:t>
      </w:r>
      <w:r w:rsidRPr="003E3129">
        <w:rPr>
          <w:rFonts w:eastAsia="Times New Roman"/>
        </w:rPr>
        <w:t xml:space="preserve"> 53080/13, §§ 113-114, </w:t>
      </w:r>
      <w:bookmarkEnd w:id="18"/>
      <w:r w:rsidRPr="003E3129">
        <w:rPr>
          <w:rFonts w:eastAsia="Times New Roman"/>
        </w:rPr>
        <w:t>CEDH 2016).</w:t>
      </w:r>
      <w:bookmarkStart w:name="lt_pId609" w:id="19"/>
    </w:p>
    <w:p w:rsidRPr="003E3129" w:rsidR="00D33065" w:rsidP="003E3129" w14:paraId="00E42F90"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39</w:t>
      </w:r>
      <w:r w:rsidRPr="003E3129">
        <w:rPr>
          <w:rFonts w:eastAsia="Times New Roman"/>
        </w:rPr>
        <w:fldChar w:fldCharType="end"/>
      </w:r>
      <w:r w:rsidRPr="003E3129">
        <w:rPr>
          <w:rFonts w:eastAsia="Times New Roman"/>
        </w:rPr>
        <w:t>.  En l</w:t>
      </w:r>
      <w:r w:rsidRPr="003E3129" w:rsidR="003E3129">
        <w:rPr>
          <w:rFonts w:eastAsia="Times New Roman"/>
        </w:rPr>
        <w:t>’</w:t>
      </w:r>
      <w:r w:rsidRPr="003E3129">
        <w:rPr>
          <w:rFonts w:eastAsia="Times New Roman"/>
        </w:rPr>
        <w:t>espèce, la Cour note que le requérant a été licencié sur la base des preuves recueillies dans le cadre de la procédure pénale. Les juridictions civiles ayant confirmé ce licenciement ont principalement examiné les éléments du dossier pénal et un des points clés de leur raisonnement a été de rechercher si la responsabilité pénale du requérant avait été établie. Cela est largement suffisant pour permettre à la Cour de conclure qu</w:t>
      </w:r>
      <w:r w:rsidRPr="003E3129" w:rsidR="003E3129">
        <w:rPr>
          <w:rFonts w:eastAsia="Times New Roman"/>
        </w:rPr>
        <w:t>’</w:t>
      </w:r>
      <w:r w:rsidRPr="003E3129">
        <w:rPr>
          <w:rFonts w:eastAsia="Times New Roman"/>
        </w:rPr>
        <w:t xml:space="preserve">un lien fort existait entre la procédure pénale et la procédure civile concernant le licenciement (comparer avec </w:t>
      </w:r>
      <w:r w:rsidRPr="003E3129">
        <w:rPr>
          <w:rFonts w:eastAsia="Times New Roman"/>
          <w:i/>
          <w:iCs/>
        </w:rPr>
        <w:t>Teodor c. Roumanie</w:t>
      </w:r>
      <w:r w:rsidRPr="003E3129">
        <w:rPr>
          <w:rFonts w:eastAsia="Times New Roman"/>
        </w:rPr>
        <w:t>, n</w:t>
      </w:r>
      <w:r w:rsidRPr="003E3129">
        <w:rPr>
          <w:rFonts w:eastAsia="Times New Roman"/>
          <w:vertAlign w:val="superscript"/>
        </w:rPr>
        <w:t>o</w:t>
      </w:r>
      <w:r w:rsidRPr="003E3129">
        <w:rPr>
          <w:rFonts w:eastAsia="Times New Roman"/>
        </w:rPr>
        <w:t xml:space="preserve"> 46878/06, § 45, 4 juin 2013, et </w:t>
      </w:r>
      <w:r w:rsidRPr="003E3129">
        <w:rPr>
          <w:rFonts w:eastAsia="Times New Roman"/>
          <w:i/>
          <w:iCs/>
        </w:rPr>
        <w:t>Urat c. Turquie</w:t>
      </w:r>
      <w:r w:rsidRPr="003E3129">
        <w:rPr>
          <w:rFonts w:eastAsia="Times New Roman"/>
        </w:rPr>
        <w:t>, n</w:t>
      </w:r>
      <w:r w:rsidRPr="003E3129">
        <w:rPr>
          <w:rFonts w:eastAsia="Times New Roman"/>
          <w:vertAlign w:val="superscript"/>
        </w:rPr>
        <w:t>os</w:t>
      </w:r>
      <w:r w:rsidRPr="003E3129">
        <w:rPr>
          <w:rFonts w:eastAsia="Times New Roman"/>
        </w:rPr>
        <w:t> 53561/09 et 13952/11, § 47, 27 novembre 2018).</w:t>
      </w:r>
    </w:p>
    <w:p w:rsidRPr="003E3129" w:rsidR="00D33065" w:rsidP="003E3129" w14:paraId="4D01523F"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40</w:t>
      </w:r>
      <w:r w:rsidRPr="003E3129">
        <w:rPr>
          <w:rFonts w:eastAsia="Times New Roman"/>
        </w:rPr>
        <w:fldChar w:fldCharType="end"/>
      </w:r>
      <w:r w:rsidRPr="003E3129">
        <w:rPr>
          <w:rFonts w:eastAsia="Times New Roman"/>
        </w:rPr>
        <w:t>.  Par conséquent, elle considère qu</w:t>
      </w:r>
      <w:r w:rsidRPr="003E3129" w:rsidR="003E3129">
        <w:rPr>
          <w:rFonts w:eastAsia="Times New Roman"/>
        </w:rPr>
        <w:t>’</w:t>
      </w:r>
      <w:r w:rsidRPr="003E3129">
        <w:rPr>
          <w:rFonts w:eastAsia="Times New Roman"/>
        </w:rPr>
        <w:t>il est justifié en l</w:t>
      </w:r>
      <w:r w:rsidRPr="003E3129" w:rsidR="003E3129">
        <w:rPr>
          <w:rFonts w:eastAsia="Times New Roman"/>
        </w:rPr>
        <w:t>’</w:t>
      </w:r>
      <w:r w:rsidRPr="003E3129">
        <w:rPr>
          <w:rFonts w:eastAsia="Times New Roman"/>
        </w:rPr>
        <w:t>espèce d</w:t>
      </w:r>
      <w:r w:rsidRPr="003E3129" w:rsidR="003E3129">
        <w:rPr>
          <w:rFonts w:eastAsia="Times New Roman"/>
        </w:rPr>
        <w:t>’</w:t>
      </w:r>
      <w:r w:rsidRPr="003E3129">
        <w:rPr>
          <w:rFonts w:eastAsia="Times New Roman"/>
        </w:rPr>
        <w:t>étendre le champ de l</w:t>
      </w:r>
      <w:r w:rsidRPr="003E3129" w:rsidR="003E3129">
        <w:rPr>
          <w:rFonts w:eastAsia="Times New Roman"/>
        </w:rPr>
        <w:t>’</w:t>
      </w:r>
      <w:r w:rsidRPr="003E3129">
        <w:rPr>
          <w:rFonts w:eastAsia="Times New Roman"/>
        </w:rPr>
        <w:t>article 6 § 2 de la Convention à la procédure civile litigieuse. Dès lors, le présent grief n</w:t>
      </w:r>
      <w:r w:rsidRPr="003E3129">
        <w:t>e peut être rejeté en application de l</w:t>
      </w:r>
      <w:r w:rsidRPr="003E3129" w:rsidR="003E3129">
        <w:t xml:space="preserve">’article 35 </w:t>
      </w:r>
      <w:r w:rsidRPr="003E3129">
        <w:t xml:space="preserve">§ 3 a) de la Convention </w:t>
      </w:r>
      <w:r w:rsidRPr="003E3129">
        <w:rPr>
          <w:rFonts w:eastAsia="Times New Roman"/>
        </w:rPr>
        <w:t xml:space="preserve">pour incompatibilité </w:t>
      </w:r>
      <w:r w:rsidRPr="003E3129">
        <w:rPr>
          <w:rFonts w:eastAsia="Times New Roman"/>
          <w:i/>
        </w:rPr>
        <w:t xml:space="preserve">ratione materiae </w:t>
      </w:r>
      <w:r w:rsidRPr="003E3129">
        <w:rPr>
          <w:rFonts w:eastAsia="Times New Roman"/>
        </w:rPr>
        <w:t>avec les dispositions de la Convention.</w:t>
      </w:r>
    </w:p>
    <w:bookmarkEnd w:id="19"/>
    <w:p w:rsidRPr="003E3129" w:rsidR="00D33065" w:rsidP="003E3129" w14:paraId="46BD17CD" w14:textId="77777777">
      <w:pPr>
        <w:pStyle w:val="JuH1"/>
        <w:rPr>
          <w:rFonts w:eastAsia="Times New Roman"/>
        </w:rPr>
      </w:pPr>
      <w:r w:rsidRPr="003E3129">
        <w:rPr>
          <w:rFonts w:eastAsia="Times New Roman"/>
        </w:rPr>
        <w:t>Conclusion quant à la recevabilité</w:t>
      </w:r>
    </w:p>
    <w:p w:rsidRPr="003E3129" w:rsidR="00D33065" w:rsidP="003E3129" w14:paraId="5F46DB67" w14:textId="77777777">
      <w:pPr>
        <w:pStyle w:val="JuPara"/>
        <w:rPr>
          <w:b/>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41</w:t>
      </w:r>
      <w:r w:rsidRPr="003E3129">
        <w:rPr>
          <w:rFonts w:eastAsia="Times New Roman"/>
        </w:rPr>
        <w:fldChar w:fldCharType="end"/>
      </w:r>
      <w:r w:rsidRPr="003E3129">
        <w:rPr>
          <w:rFonts w:eastAsia="Times New Roman"/>
        </w:rPr>
        <w:t>.  Constatant que ce grief n</w:t>
      </w:r>
      <w:r w:rsidRPr="003E3129" w:rsidR="003E3129">
        <w:rPr>
          <w:rFonts w:eastAsia="Times New Roman"/>
        </w:rPr>
        <w:t>’</w:t>
      </w:r>
      <w:r w:rsidRPr="003E3129">
        <w:rPr>
          <w:rFonts w:eastAsia="Times New Roman"/>
        </w:rPr>
        <w:t>est pas manifestement mal fondé ni irrecevable pour un autre motif visé à l</w:t>
      </w:r>
      <w:r w:rsidRPr="003E3129" w:rsidR="003E3129">
        <w:rPr>
          <w:rFonts w:eastAsia="Times New Roman"/>
        </w:rPr>
        <w:t>’</w:t>
      </w:r>
      <w:r w:rsidRPr="003E3129">
        <w:rPr>
          <w:rFonts w:eastAsia="Times New Roman"/>
        </w:rPr>
        <w:t>article 35 de la Convention, la Cour le déclare recevable.</w:t>
      </w:r>
    </w:p>
    <w:p w:rsidRPr="003E3129" w:rsidR="00D33065" w:rsidP="003E3129" w14:paraId="3C5BE6A5" w14:textId="77777777">
      <w:pPr>
        <w:pStyle w:val="JuHA"/>
        <w:numPr>
          <w:ilvl w:val="2"/>
          <w:numId w:val="2"/>
        </w:numPr>
      </w:pPr>
      <w:r w:rsidRPr="003E3129">
        <w:t>Sur le fond</w:t>
      </w:r>
    </w:p>
    <w:p w:rsidRPr="003E3129" w:rsidR="00D33065" w:rsidP="003E3129" w14:paraId="2CAC14D2"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42</w:t>
      </w:r>
      <w:r w:rsidRPr="003E3129">
        <w:fldChar w:fldCharType="end"/>
      </w:r>
      <w:r w:rsidRPr="003E3129">
        <w:t>.  Le requérant avance que, dans la présente affaire, il n</w:t>
      </w:r>
      <w:r w:rsidRPr="003E3129" w:rsidR="003E3129">
        <w:t>’</w:t>
      </w:r>
      <w:r w:rsidRPr="003E3129">
        <w:t>existait aucune décision interne qui ait établi, selon les voies légales prévues à cet effet, sa responsabilité pénale. Il soutient également qu</w:t>
      </w:r>
      <w:r w:rsidRPr="003E3129" w:rsidR="003E3129">
        <w:t>’</w:t>
      </w:r>
      <w:r w:rsidRPr="003E3129">
        <w:t>à aucun moment il n</w:t>
      </w:r>
      <w:r w:rsidRPr="003E3129" w:rsidR="003E3129">
        <w:t>’</w:t>
      </w:r>
      <w:r w:rsidRPr="003E3129">
        <w:t>avait eu l</w:t>
      </w:r>
      <w:r w:rsidRPr="003E3129" w:rsidR="003E3129">
        <w:t>’</w:t>
      </w:r>
      <w:r w:rsidRPr="003E3129">
        <w:t>intention de reconnaître sa faute pénale. Il affirme avoir accepté l</w:t>
      </w:r>
      <w:r w:rsidRPr="003E3129" w:rsidR="003E3129">
        <w:t>’</w:t>
      </w:r>
      <w:r w:rsidRPr="003E3129">
        <w:t>acte d</w:t>
      </w:r>
      <w:r w:rsidRPr="003E3129" w:rsidR="003E3129">
        <w:t>’</w:t>
      </w:r>
      <w:r w:rsidRPr="003E3129">
        <w:t>amnistie sans toutefois renoncer à son droit de ne pas contribuer à sa propre incrimination. Enfin, il argue que, en examinant son action en annulation du licenciement, les tribunaux civils ont tranché la question de sa culpabilité dans l</w:t>
      </w:r>
      <w:r w:rsidRPr="003E3129" w:rsidR="003E3129">
        <w:t>’</w:t>
      </w:r>
      <w:r w:rsidRPr="003E3129">
        <w:t>affaire pénale, ce qui aurait porté atteinte à son droit d</w:t>
      </w:r>
      <w:r w:rsidRPr="003E3129" w:rsidR="003E3129">
        <w:t>’</w:t>
      </w:r>
      <w:r w:rsidRPr="003E3129">
        <w:t>être présumé innocent.</w:t>
      </w:r>
    </w:p>
    <w:p w:rsidRPr="003E3129" w:rsidR="00D33065" w:rsidP="003E3129" w14:paraId="60A77DB3"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43</w:t>
      </w:r>
      <w:r w:rsidRPr="003E3129">
        <w:rPr>
          <w:rFonts w:eastAsia="Times New Roman"/>
        </w:rPr>
        <w:fldChar w:fldCharType="end"/>
      </w:r>
      <w:r w:rsidRPr="003E3129">
        <w:rPr>
          <w:rFonts w:eastAsia="Times New Roman"/>
        </w:rPr>
        <w:t>.  Le Gouvernement ne soumet aucune observation sur le fond.</w:t>
      </w:r>
    </w:p>
    <w:p w:rsidRPr="003E3129" w:rsidR="00D33065" w:rsidP="003E3129" w14:paraId="148E2BD3"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44</w:t>
      </w:r>
      <w:r w:rsidRPr="003E3129">
        <w:rPr>
          <w:rFonts w:eastAsia="Times New Roman"/>
        </w:rPr>
        <w:fldChar w:fldCharType="end"/>
      </w:r>
      <w:r w:rsidRPr="003E3129">
        <w:rPr>
          <w:rFonts w:eastAsia="Times New Roman"/>
        </w:rPr>
        <w:t>.  La Cour examinera la présente affaire à l</w:t>
      </w:r>
      <w:r w:rsidRPr="003E3129" w:rsidR="003E3129">
        <w:rPr>
          <w:rFonts w:eastAsia="Times New Roman"/>
        </w:rPr>
        <w:t>’</w:t>
      </w:r>
      <w:r w:rsidRPr="003E3129">
        <w:rPr>
          <w:rFonts w:eastAsia="Times New Roman"/>
        </w:rPr>
        <w:t>aune des principes généraux en matière de respect de la présomption d</w:t>
      </w:r>
      <w:r w:rsidRPr="003E3129" w:rsidR="003E3129">
        <w:rPr>
          <w:rFonts w:eastAsia="Times New Roman"/>
        </w:rPr>
        <w:t>’</w:t>
      </w:r>
      <w:r w:rsidRPr="003E3129">
        <w:rPr>
          <w:rFonts w:eastAsia="Times New Roman"/>
        </w:rPr>
        <w:t>innocence</w:t>
      </w:r>
      <w:r w:rsidRPr="003E3129">
        <w:rPr>
          <w:rFonts w:ascii="Arial" w:hAnsi="Arial" w:eastAsia="Times New Roman" w:cs="Arial"/>
          <w:color w:val="000000"/>
        </w:rPr>
        <w:t xml:space="preserve"> </w:t>
      </w:r>
      <w:r w:rsidRPr="003E3129">
        <w:rPr>
          <w:rFonts w:eastAsia="Times New Roman"/>
        </w:rPr>
        <w:t>tels qu</w:t>
      </w:r>
      <w:r w:rsidRPr="003E3129" w:rsidR="003E3129">
        <w:rPr>
          <w:rFonts w:eastAsia="Times New Roman"/>
        </w:rPr>
        <w:t>’</w:t>
      </w:r>
      <w:r w:rsidRPr="003E3129">
        <w:rPr>
          <w:rFonts w:eastAsia="Times New Roman"/>
        </w:rPr>
        <w:t>énoncés dans l</w:t>
      </w:r>
      <w:r w:rsidRPr="003E3129" w:rsidR="003E3129">
        <w:rPr>
          <w:rFonts w:eastAsia="Times New Roman"/>
        </w:rPr>
        <w:t>’</w:t>
      </w:r>
      <w:r w:rsidRPr="003E3129">
        <w:rPr>
          <w:rFonts w:eastAsia="Times New Roman"/>
        </w:rPr>
        <w:t xml:space="preserve">arrêt </w:t>
      </w:r>
      <w:r w:rsidRPr="003E3129">
        <w:rPr>
          <w:rFonts w:eastAsia="Times New Roman"/>
          <w:i/>
          <w:iCs/>
        </w:rPr>
        <w:t xml:space="preserve">Allen </w:t>
      </w:r>
      <w:r w:rsidRPr="003E3129">
        <w:rPr>
          <w:rFonts w:eastAsia="Times New Roman"/>
        </w:rPr>
        <w:t>(précité, §§ 92-94 et 120-126).</w:t>
      </w:r>
    </w:p>
    <w:p w:rsidRPr="003E3129" w:rsidR="00D33065" w:rsidP="003E3129" w14:paraId="2D33F16E" w14:textId="77777777">
      <w:pPr>
        <w:pStyle w:val="JuPara"/>
      </w:pPr>
      <w:r w:rsidRPr="003E3129">
        <w:rPr>
          <w:rFonts w:eastAsia="Times New Roman" w:cs="Times New Roman"/>
        </w:rPr>
        <w:fldChar w:fldCharType="begin"/>
      </w:r>
      <w:r w:rsidRPr="003E3129">
        <w:rPr>
          <w:rFonts w:eastAsia="Times New Roman" w:cs="Times New Roman"/>
        </w:rPr>
        <w:instrText xml:space="preserve"> SEQ level0 \*arabic </w:instrText>
      </w:r>
      <w:r w:rsidRPr="003E3129">
        <w:rPr>
          <w:rFonts w:eastAsia="Times New Roman" w:cs="Times New Roman"/>
        </w:rPr>
        <w:fldChar w:fldCharType="separate"/>
      </w:r>
      <w:r w:rsidRPr="003E3129" w:rsidR="003E3129">
        <w:rPr>
          <w:rFonts w:eastAsia="Times New Roman" w:cs="Times New Roman"/>
          <w:noProof/>
        </w:rPr>
        <w:t>45</w:t>
      </w:r>
      <w:r w:rsidRPr="003E3129">
        <w:rPr>
          <w:rFonts w:eastAsia="Times New Roman" w:cs="Times New Roman"/>
        </w:rPr>
        <w:fldChar w:fldCharType="end"/>
      </w:r>
      <w:r w:rsidRPr="003E3129">
        <w:rPr>
          <w:rFonts w:eastAsia="Times New Roman" w:cs="Times New Roman"/>
        </w:rPr>
        <w:t>.  Elle rappelle notamment que l</w:t>
      </w:r>
      <w:r w:rsidRPr="003E3129" w:rsidR="003E3129">
        <w:rPr>
          <w:rFonts w:eastAsia="Times New Roman" w:cs="Times New Roman"/>
        </w:rPr>
        <w:t>’</w:t>
      </w:r>
      <w:r w:rsidRPr="003E3129">
        <w:rPr>
          <w:rFonts w:eastAsia="Times New Roman" w:cs="Times New Roman"/>
        </w:rPr>
        <w:t>un des aspects de la présomption d</w:t>
      </w:r>
      <w:r w:rsidRPr="003E3129" w:rsidR="003E3129">
        <w:rPr>
          <w:rFonts w:eastAsia="Times New Roman" w:cs="Times New Roman"/>
        </w:rPr>
        <w:t>’</w:t>
      </w:r>
      <w:r w:rsidRPr="003E3129">
        <w:rPr>
          <w:rFonts w:eastAsia="Times New Roman" w:cs="Times New Roman"/>
        </w:rPr>
        <w:t>innocence est d</w:t>
      </w:r>
      <w:r w:rsidRPr="003E3129" w:rsidR="003E3129">
        <w:rPr>
          <w:rFonts w:eastAsia="Times New Roman" w:cs="Times New Roman"/>
        </w:rPr>
        <w:t>’</w:t>
      </w:r>
      <w:r w:rsidRPr="003E3129">
        <w:rPr>
          <w:rFonts w:eastAsia="Times New Roman" w:cs="Times New Roman"/>
        </w:rPr>
        <w:t>empêcher que des individus qui ont bénéficié d</w:t>
      </w:r>
      <w:r w:rsidRPr="003E3129" w:rsidR="003E3129">
        <w:rPr>
          <w:rFonts w:eastAsia="Times New Roman" w:cs="Times New Roman"/>
        </w:rPr>
        <w:t>’</w:t>
      </w:r>
      <w:r w:rsidRPr="003E3129">
        <w:rPr>
          <w:rFonts w:eastAsia="Times New Roman" w:cs="Times New Roman"/>
        </w:rPr>
        <w:t>un acquittement ou d</w:t>
      </w:r>
      <w:r w:rsidRPr="003E3129" w:rsidR="003E3129">
        <w:rPr>
          <w:rFonts w:eastAsia="Times New Roman" w:cs="Times New Roman"/>
        </w:rPr>
        <w:t>’</w:t>
      </w:r>
      <w:r w:rsidRPr="003E3129">
        <w:rPr>
          <w:rFonts w:eastAsia="Times New Roman" w:cs="Times New Roman"/>
        </w:rPr>
        <w:t>un abandon des poursuites soient traités par des agents ou autorités publics comme s</w:t>
      </w:r>
      <w:r w:rsidRPr="003E3129" w:rsidR="003E3129">
        <w:rPr>
          <w:rFonts w:eastAsia="Times New Roman" w:cs="Times New Roman"/>
        </w:rPr>
        <w:t>’</w:t>
      </w:r>
      <w:r w:rsidRPr="003E3129">
        <w:rPr>
          <w:rFonts w:eastAsia="Times New Roman" w:cs="Times New Roman"/>
        </w:rPr>
        <w:t>ils étaient en fait coupables de l</w:t>
      </w:r>
      <w:r w:rsidRPr="003E3129" w:rsidR="003E3129">
        <w:rPr>
          <w:rFonts w:eastAsia="Times New Roman" w:cs="Times New Roman"/>
        </w:rPr>
        <w:t>’</w:t>
      </w:r>
      <w:r w:rsidRPr="003E3129">
        <w:rPr>
          <w:rFonts w:eastAsia="Times New Roman" w:cs="Times New Roman"/>
        </w:rPr>
        <w:t>infraction qui leur avait été imputée (</w:t>
      </w:r>
      <w:r w:rsidRPr="003E3129">
        <w:rPr>
          <w:rFonts w:eastAsia="Times New Roman" w:cs="Times New Roman"/>
          <w:i/>
          <w:iCs/>
        </w:rPr>
        <w:t>ibidem</w:t>
      </w:r>
      <w:r w:rsidRPr="003E3129">
        <w:rPr>
          <w:rFonts w:eastAsia="Times New Roman" w:cs="Times New Roman"/>
        </w:rPr>
        <w:t xml:space="preserve">, § 94, et </w:t>
      </w:r>
      <w:r w:rsidRPr="003E3129">
        <w:rPr>
          <w:rFonts w:eastAsia="Times New Roman" w:cs="Times New Roman"/>
          <w:i/>
          <w:iCs/>
        </w:rPr>
        <w:t>G.I.E.M. S.R.L. et autres c. Italie</w:t>
      </w:r>
      <w:r w:rsidRPr="003E3129">
        <w:rPr>
          <w:rFonts w:eastAsia="Times New Roman" w:cs="Times New Roman"/>
        </w:rPr>
        <w:t> (fond) [GC], n</w:t>
      </w:r>
      <w:r w:rsidRPr="003E3129">
        <w:rPr>
          <w:rFonts w:eastAsia="Times New Roman" w:cs="Times New Roman"/>
          <w:vertAlign w:val="superscript"/>
        </w:rPr>
        <w:t>os</w:t>
      </w:r>
      <w:r w:rsidRPr="003E3129">
        <w:rPr>
          <w:rFonts w:eastAsia="Times New Roman" w:cs="Times New Roman"/>
        </w:rPr>
        <w:t> </w:t>
      </w:r>
      <w:hyperlink w:tgtFrame="_blank" w:history="1" w:anchor="{%22appno%22:[%221828/06%22]}" r:id="rId10">
        <w:r w:rsidRPr="003E3129">
          <w:rPr>
            <w:rFonts w:eastAsia="Times New Roman" w:cs="Times New Roman"/>
          </w:rPr>
          <w:t>1828/06</w:t>
        </w:r>
      </w:hyperlink>
      <w:r w:rsidRPr="003E3129">
        <w:rPr>
          <w:rFonts w:eastAsia="Times New Roman" w:cs="Times New Roman"/>
        </w:rPr>
        <w:t> et 2 autres, § 314, 28 juin 2018). Elle redit en outre que la présomption d</w:t>
      </w:r>
      <w:r w:rsidRPr="003E3129" w:rsidR="003E3129">
        <w:rPr>
          <w:rFonts w:eastAsia="Times New Roman" w:cs="Times New Roman"/>
        </w:rPr>
        <w:t>’</w:t>
      </w:r>
      <w:r w:rsidRPr="003E3129">
        <w:rPr>
          <w:rFonts w:eastAsia="Times New Roman" w:cs="Times New Roman"/>
        </w:rPr>
        <w:t>innocence se trouve méconnue si, sans établissement légal préalable de la culpabilité d</w:t>
      </w:r>
      <w:r w:rsidRPr="003E3129" w:rsidR="003E3129">
        <w:rPr>
          <w:rFonts w:eastAsia="Times New Roman" w:cs="Times New Roman"/>
        </w:rPr>
        <w:t>’</w:t>
      </w:r>
      <w:r w:rsidRPr="003E3129">
        <w:rPr>
          <w:rFonts w:eastAsia="Times New Roman" w:cs="Times New Roman"/>
        </w:rPr>
        <w:t>un prévenu et, notamment, sans que ce dernier ait eu l</w:t>
      </w:r>
      <w:r w:rsidRPr="003E3129" w:rsidR="003E3129">
        <w:rPr>
          <w:rFonts w:eastAsia="Times New Roman" w:cs="Times New Roman"/>
        </w:rPr>
        <w:t>’</w:t>
      </w:r>
      <w:r w:rsidRPr="003E3129">
        <w:rPr>
          <w:rFonts w:eastAsia="Times New Roman" w:cs="Times New Roman"/>
        </w:rPr>
        <w:t>occasion d</w:t>
      </w:r>
      <w:r w:rsidRPr="003E3129" w:rsidR="003E3129">
        <w:rPr>
          <w:rFonts w:eastAsia="Times New Roman" w:cs="Times New Roman"/>
        </w:rPr>
        <w:t>’</w:t>
      </w:r>
      <w:r w:rsidRPr="003E3129">
        <w:rPr>
          <w:rFonts w:eastAsia="Times New Roman" w:cs="Times New Roman"/>
        </w:rPr>
        <w:t>exercer les droits de la défense, une décision judiciaire le concernant reflète le sentiment qu</w:t>
      </w:r>
      <w:r w:rsidRPr="003E3129" w:rsidR="003E3129">
        <w:rPr>
          <w:rFonts w:eastAsia="Times New Roman" w:cs="Times New Roman"/>
        </w:rPr>
        <w:t>’</w:t>
      </w:r>
      <w:r w:rsidRPr="003E3129">
        <w:rPr>
          <w:rFonts w:eastAsia="Times New Roman" w:cs="Times New Roman"/>
        </w:rPr>
        <w:t>il est coupable. Il peut en aller ainsi même en l</w:t>
      </w:r>
      <w:r w:rsidRPr="003E3129" w:rsidR="003E3129">
        <w:rPr>
          <w:rFonts w:eastAsia="Times New Roman" w:cs="Times New Roman"/>
        </w:rPr>
        <w:t>’</w:t>
      </w:r>
      <w:r w:rsidRPr="003E3129">
        <w:rPr>
          <w:rFonts w:eastAsia="Times New Roman" w:cs="Times New Roman"/>
        </w:rPr>
        <w:t>absence de constat formel ; il suffit d</w:t>
      </w:r>
      <w:r w:rsidRPr="003E3129" w:rsidR="003E3129">
        <w:rPr>
          <w:rFonts w:eastAsia="Times New Roman" w:cs="Times New Roman"/>
        </w:rPr>
        <w:t>’</w:t>
      </w:r>
      <w:r w:rsidRPr="003E3129">
        <w:rPr>
          <w:rFonts w:eastAsia="Times New Roman" w:cs="Times New Roman"/>
        </w:rPr>
        <w:t>une motivation donnant à penser que le juge considère l</w:t>
      </w:r>
      <w:r w:rsidRPr="003E3129" w:rsidR="003E3129">
        <w:rPr>
          <w:rFonts w:eastAsia="Times New Roman" w:cs="Times New Roman"/>
        </w:rPr>
        <w:t>’</w:t>
      </w:r>
      <w:r w:rsidRPr="003E3129">
        <w:rPr>
          <w:rFonts w:eastAsia="Times New Roman" w:cs="Times New Roman"/>
        </w:rPr>
        <w:t>intéressé comme coupable (</w:t>
      </w:r>
      <w:r w:rsidRPr="003E3129">
        <w:rPr>
          <w:rFonts w:eastAsia="Times New Roman" w:cs="Times New Roman"/>
          <w:i/>
          <w:iCs/>
        </w:rPr>
        <w:t>Minelli c. Suisse</w:t>
      </w:r>
      <w:r w:rsidRPr="003E3129">
        <w:rPr>
          <w:rFonts w:eastAsia="Times New Roman" w:cs="Times New Roman"/>
        </w:rPr>
        <w:t>, 25 mars 1983, § 37, série A n</w:t>
      </w:r>
      <w:r w:rsidRPr="003E3129">
        <w:rPr>
          <w:rFonts w:eastAsia="Times New Roman" w:cs="Times New Roman"/>
          <w:vertAlign w:val="superscript"/>
        </w:rPr>
        <w:t>o</w:t>
      </w:r>
      <w:r w:rsidRPr="003E3129">
        <w:rPr>
          <w:rFonts w:eastAsia="Times New Roman" w:cs="Times New Roman"/>
        </w:rPr>
        <w:t xml:space="preserve"> 62, et, plus récemment, </w:t>
      </w:r>
      <w:r w:rsidRPr="003E3129">
        <w:rPr>
          <w:rFonts w:eastAsia="Times New Roman" w:cs="Times New Roman"/>
          <w:i/>
          <w:iCs/>
        </w:rPr>
        <w:t>Allen</w:t>
      </w:r>
      <w:r w:rsidRPr="003E3129">
        <w:rPr>
          <w:rFonts w:eastAsia="Times New Roman" w:cs="Times New Roman"/>
        </w:rPr>
        <w:t xml:space="preserve">, précité, § 120, et </w:t>
      </w:r>
      <w:r w:rsidRPr="003E3129">
        <w:rPr>
          <w:rFonts w:eastAsia="Times New Roman" w:cs="Times New Roman"/>
          <w:i/>
          <w:iCs/>
        </w:rPr>
        <w:t>Urat</w:t>
      </w:r>
      <w:r w:rsidRPr="003E3129">
        <w:rPr>
          <w:rFonts w:eastAsia="Times New Roman" w:cs="Times New Roman"/>
        </w:rPr>
        <w:t>, précité, § 52).</w:t>
      </w:r>
    </w:p>
    <w:p w:rsidRPr="003E3129" w:rsidR="00D33065" w:rsidP="003E3129" w14:paraId="3CC1D025"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46</w:t>
      </w:r>
      <w:r w:rsidRPr="003E3129">
        <w:rPr>
          <w:rFonts w:eastAsia="Times New Roman"/>
        </w:rPr>
        <w:fldChar w:fldCharType="end"/>
      </w:r>
      <w:r w:rsidRPr="003E3129">
        <w:rPr>
          <w:rFonts w:eastAsia="Times New Roman"/>
        </w:rPr>
        <w:t>.  En application de ces principes, il incombe d</w:t>
      </w:r>
      <w:r w:rsidRPr="003E3129" w:rsidR="003E3129">
        <w:rPr>
          <w:rFonts w:eastAsia="Times New Roman"/>
        </w:rPr>
        <w:t>’</w:t>
      </w:r>
      <w:r w:rsidRPr="003E3129">
        <w:rPr>
          <w:rFonts w:eastAsia="Times New Roman"/>
        </w:rPr>
        <w:t>abord à la Cour de rechercher si l</w:t>
      </w:r>
      <w:r w:rsidRPr="003E3129" w:rsidR="003E3129">
        <w:rPr>
          <w:rFonts w:eastAsia="Times New Roman"/>
        </w:rPr>
        <w:t>’</w:t>
      </w:r>
      <w:r w:rsidRPr="003E3129">
        <w:rPr>
          <w:rFonts w:eastAsia="Times New Roman"/>
        </w:rPr>
        <w:t xml:space="preserve">ordonnance du parquet du 20 mai 2005, à laquelle les juges civils ont fait référence, </w:t>
      </w:r>
      <w:r w:rsidRPr="003E3129">
        <w:t>représente un abandon des poursuites à l</w:t>
      </w:r>
      <w:r w:rsidRPr="003E3129" w:rsidR="003E3129">
        <w:t>’</w:t>
      </w:r>
      <w:r w:rsidRPr="003E3129">
        <w:t>encontre du requérant ou une décision qui a légalement établi la culpabilité de ce dernier</w:t>
      </w:r>
      <w:r w:rsidRPr="003E3129">
        <w:rPr>
          <w:rFonts w:eastAsia="Times New Roman"/>
        </w:rPr>
        <w:t>.</w:t>
      </w:r>
    </w:p>
    <w:p w:rsidRPr="003E3129" w:rsidR="00D33065" w:rsidP="003E3129" w14:paraId="725AE458" w14:textId="77777777">
      <w:pPr>
        <w:pStyle w:val="JuH1"/>
        <w:numPr>
          <w:ilvl w:val="3"/>
          <w:numId w:val="5"/>
        </w:numPr>
        <w:rPr>
          <w:rFonts w:eastAsia="Times New Roman"/>
          <w:lang w:val="fr-FR"/>
        </w:rPr>
      </w:pPr>
      <w:r w:rsidRPr="003E3129">
        <w:rPr>
          <w:rFonts w:eastAsia="Times New Roman"/>
          <w:lang w:val="fr-FR"/>
        </w:rPr>
        <w:t>Sur le point de savoir si l</w:t>
      </w:r>
      <w:r w:rsidRPr="003E3129" w:rsidR="003E3129">
        <w:rPr>
          <w:rFonts w:eastAsia="Times New Roman"/>
          <w:lang w:val="fr-FR"/>
        </w:rPr>
        <w:t>’</w:t>
      </w:r>
      <w:r w:rsidRPr="003E3129">
        <w:rPr>
          <w:rFonts w:eastAsia="Times New Roman"/>
          <w:lang w:val="fr-FR"/>
        </w:rPr>
        <w:t>ordonnance du 20 mai 2005 constituait un abandon des poursuites ou une condamnation</w:t>
      </w:r>
    </w:p>
    <w:p w:rsidRPr="003E3129" w:rsidR="00D33065" w:rsidP="003E3129" w14:paraId="23F6FA0F" w14:textId="77777777">
      <w:pPr>
        <w:pStyle w:val="JuPara"/>
      </w:pPr>
      <w:r w:rsidRPr="003E3129">
        <w:rPr>
          <w:rFonts w:eastAsia="Times New Roman" w:cs="Times New Roman"/>
        </w:rPr>
        <w:fldChar w:fldCharType="begin"/>
      </w:r>
      <w:r w:rsidRPr="003E3129">
        <w:rPr>
          <w:rFonts w:eastAsia="Times New Roman" w:cs="Times New Roman"/>
        </w:rPr>
        <w:instrText xml:space="preserve"> SEQ level0 \*arabic </w:instrText>
      </w:r>
      <w:r w:rsidRPr="003E3129">
        <w:rPr>
          <w:rFonts w:eastAsia="Times New Roman" w:cs="Times New Roman"/>
        </w:rPr>
        <w:fldChar w:fldCharType="separate"/>
      </w:r>
      <w:r w:rsidRPr="003E3129" w:rsidR="003E3129">
        <w:rPr>
          <w:rFonts w:eastAsia="Times New Roman" w:cs="Times New Roman"/>
          <w:noProof/>
        </w:rPr>
        <w:t>47</w:t>
      </w:r>
      <w:r w:rsidRPr="003E3129">
        <w:rPr>
          <w:rFonts w:eastAsia="Times New Roman" w:cs="Times New Roman"/>
        </w:rPr>
        <w:fldChar w:fldCharType="end"/>
      </w:r>
      <w:r w:rsidRPr="003E3129">
        <w:rPr>
          <w:rFonts w:eastAsia="Times New Roman" w:cs="Times New Roman"/>
        </w:rPr>
        <w:t>.  La Cour tient compte de ce que la Convention doit se lire comme un tout et s</w:t>
      </w:r>
      <w:r w:rsidRPr="003E3129" w:rsidR="003E3129">
        <w:rPr>
          <w:rFonts w:eastAsia="Times New Roman" w:cs="Times New Roman"/>
        </w:rPr>
        <w:t>’</w:t>
      </w:r>
      <w:r w:rsidRPr="003E3129">
        <w:rPr>
          <w:rFonts w:eastAsia="Times New Roman" w:cs="Times New Roman"/>
        </w:rPr>
        <w:t>interpréter en veillant à l</w:t>
      </w:r>
      <w:r w:rsidRPr="003E3129" w:rsidR="003E3129">
        <w:rPr>
          <w:rFonts w:eastAsia="Times New Roman" w:cs="Times New Roman"/>
        </w:rPr>
        <w:t>’</w:t>
      </w:r>
      <w:r w:rsidRPr="003E3129">
        <w:rPr>
          <w:rFonts w:eastAsia="Times New Roman" w:cs="Times New Roman"/>
        </w:rPr>
        <w:t>harmonie et à la cohérence interne de ses différentes dispositions (</w:t>
      </w:r>
      <w:r w:rsidRPr="003E3129">
        <w:rPr>
          <w:rFonts w:eastAsia="Times New Roman" w:cs="Times New Roman"/>
          <w:i/>
          <w:iCs/>
        </w:rPr>
        <w:t>Mihalache</w:t>
      </w:r>
      <w:r w:rsidRPr="003E3129">
        <w:rPr>
          <w:rFonts w:ascii="Arial" w:hAnsi="Arial" w:eastAsia="Times New Roman" w:cs="Arial"/>
          <w:i/>
          <w:iCs/>
          <w:color w:val="000000"/>
        </w:rPr>
        <w:t xml:space="preserve"> </w:t>
      </w:r>
      <w:r w:rsidRPr="003E3129">
        <w:rPr>
          <w:rFonts w:eastAsia="Times New Roman" w:cs="Times New Roman"/>
          <w:i/>
          <w:iCs/>
        </w:rPr>
        <w:t>c. Roumanie</w:t>
      </w:r>
      <w:r w:rsidRPr="003E3129">
        <w:rPr>
          <w:rFonts w:eastAsia="Times New Roman" w:cs="Times New Roman"/>
        </w:rPr>
        <w:t xml:space="preserve"> [GC], n</w:t>
      </w:r>
      <w:r w:rsidRPr="003E3129">
        <w:rPr>
          <w:rFonts w:eastAsia="Times New Roman" w:cs="Times New Roman"/>
          <w:vertAlign w:val="superscript"/>
        </w:rPr>
        <w:t>o</w:t>
      </w:r>
      <w:r w:rsidRPr="003E3129">
        <w:rPr>
          <w:rFonts w:eastAsia="Times New Roman" w:cs="Times New Roman"/>
        </w:rPr>
        <w:t> </w:t>
      </w:r>
      <w:hyperlink w:tgtFrame="_blank" w:history="1" w:anchor="{%22appno%22:[%2254012/10%22]}" r:id="rId10">
        <w:r w:rsidRPr="003E3129">
          <w:rPr>
            <w:rFonts w:eastAsia="Times New Roman" w:cs="Times New Roman"/>
          </w:rPr>
          <w:t>54012/10</w:t>
        </w:r>
      </w:hyperlink>
      <w:r w:rsidRPr="003E3129">
        <w:rPr>
          <w:rFonts w:eastAsia="Times New Roman" w:cs="Times New Roman"/>
        </w:rPr>
        <w:t>, § 92, 8 juillet 2019).</w:t>
      </w:r>
    </w:p>
    <w:p w:rsidRPr="003E3129" w:rsidR="00D33065" w:rsidP="003E3129" w14:paraId="54E3CF1D"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48</w:t>
      </w:r>
      <w:r w:rsidRPr="003E3129">
        <w:rPr>
          <w:rFonts w:eastAsia="Times New Roman"/>
        </w:rPr>
        <w:fldChar w:fldCharType="end"/>
      </w:r>
      <w:r w:rsidRPr="003E3129">
        <w:rPr>
          <w:rFonts w:eastAsia="Times New Roman"/>
        </w:rPr>
        <w:t>.  Dans l</w:t>
      </w:r>
      <w:r w:rsidRPr="003E3129" w:rsidR="003E3129">
        <w:rPr>
          <w:rFonts w:eastAsia="Times New Roman"/>
        </w:rPr>
        <w:t>’</w:t>
      </w:r>
      <w:r w:rsidRPr="003E3129">
        <w:rPr>
          <w:rFonts w:eastAsia="Times New Roman"/>
        </w:rPr>
        <w:t xml:space="preserve">arrêt </w:t>
      </w:r>
      <w:r w:rsidRPr="003E3129">
        <w:rPr>
          <w:rFonts w:eastAsia="Times New Roman"/>
          <w:i/>
          <w:iCs/>
        </w:rPr>
        <w:t xml:space="preserve">Mihalache </w:t>
      </w:r>
      <w:r w:rsidRPr="003E3129">
        <w:rPr>
          <w:rFonts w:eastAsia="Times New Roman"/>
        </w:rPr>
        <w:t>précité, elle a estimé que, sur le terrain de l</w:t>
      </w:r>
      <w:r w:rsidRPr="003E3129" w:rsidR="003E3129">
        <w:rPr>
          <w:rFonts w:eastAsia="Times New Roman"/>
        </w:rPr>
        <w:t>’</w:t>
      </w:r>
      <w:r w:rsidRPr="003E3129">
        <w:rPr>
          <w:rFonts w:eastAsia="Times New Roman"/>
        </w:rPr>
        <w:t>article 4 § 1 du Protocole n</w:t>
      </w:r>
      <w:r w:rsidRPr="003E3129">
        <w:rPr>
          <w:rFonts w:eastAsia="Times New Roman"/>
          <w:vertAlign w:val="superscript"/>
        </w:rPr>
        <w:t>o</w:t>
      </w:r>
      <w:r w:rsidRPr="003E3129">
        <w:rPr>
          <w:rFonts w:eastAsia="Times New Roman"/>
        </w:rPr>
        <w:t xml:space="preserve"> 7 à la Convention, l</w:t>
      </w:r>
      <w:r w:rsidRPr="003E3129" w:rsidR="003E3129">
        <w:rPr>
          <w:rFonts w:eastAsia="Times New Roman"/>
        </w:rPr>
        <w:t>’</w:t>
      </w:r>
      <w:r w:rsidRPr="003E3129">
        <w:rPr>
          <w:rFonts w:eastAsia="Times New Roman"/>
        </w:rPr>
        <w:t>intervention d</w:t>
      </w:r>
      <w:r w:rsidRPr="003E3129" w:rsidR="003E3129">
        <w:rPr>
          <w:rFonts w:eastAsia="Times New Roman"/>
        </w:rPr>
        <w:t>’</w:t>
      </w:r>
      <w:r w:rsidRPr="003E3129">
        <w:rPr>
          <w:rFonts w:eastAsia="Times New Roman"/>
        </w:rPr>
        <w:t>une juridiction n</w:t>
      </w:r>
      <w:r w:rsidRPr="003E3129" w:rsidR="003E3129">
        <w:rPr>
          <w:rFonts w:eastAsia="Times New Roman"/>
        </w:rPr>
        <w:t>’</w:t>
      </w:r>
      <w:r w:rsidRPr="003E3129">
        <w:rPr>
          <w:rFonts w:eastAsia="Times New Roman"/>
        </w:rPr>
        <w:t>était pas nécessaire pour qu</w:t>
      </w:r>
      <w:r w:rsidRPr="003E3129" w:rsidR="003E3129">
        <w:rPr>
          <w:rFonts w:eastAsia="Times New Roman"/>
        </w:rPr>
        <w:t>’</w:t>
      </w:r>
      <w:r w:rsidRPr="003E3129">
        <w:rPr>
          <w:rFonts w:eastAsia="Times New Roman"/>
        </w:rPr>
        <w:t>une décision pût être considérée comme un « acquittement » ou une « condamnation » (</w:t>
      </w:r>
      <w:r w:rsidRPr="003E3129">
        <w:rPr>
          <w:rFonts w:eastAsia="Times New Roman"/>
          <w:i/>
          <w:iCs/>
        </w:rPr>
        <w:t>ibidem</w:t>
      </w:r>
      <w:r w:rsidRPr="003E3129">
        <w:rPr>
          <w:rFonts w:eastAsia="Times New Roman"/>
        </w:rPr>
        <w:t>, § 95). Elle y a en outre fourni les précisions suivantes relativement à l</w:t>
      </w:r>
      <w:r w:rsidRPr="003E3129" w:rsidR="003E3129">
        <w:rPr>
          <w:rFonts w:eastAsia="Times New Roman"/>
        </w:rPr>
        <w:t>’</w:t>
      </w:r>
      <w:r w:rsidRPr="003E3129">
        <w:rPr>
          <w:rFonts w:eastAsia="Times New Roman"/>
        </w:rPr>
        <w:t>établissement de la responsabilité pénale :</w:t>
      </w:r>
    </w:p>
    <w:p w:rsidRPr="003E3129" w:rsidR="00D33065" w:rsidP="003E3129" w14:paraId="428D782E" w14:textId="77777777">
      <w:pPr>
        <w:pStyle w:val="JuQuot"/>
        <w:rPr>
          <w:rFonts w:eastAsia="Times New Roman"/>
          <w:sz w:val="17"/>
          <w:szCs w:val="17"/>
        </w:rPr>
      </w:pPr>
      <w:r w:rsidRPr="003E3129">
        <w:t>« 97.  (...) En partant du texte de l</w:t>
      </w:r>
      <w:r w:rsidRPr="003E3129" w:rsidR="003E3129">
        <w:t>’</w:t>
      </w:r>
      <w:r w:rsidRPr="003E3129">
        <w:t>article 4 du Protocole n</w:t>
      </w:r>
      <w:r w:rsidRPr="003E3129">
        <w:rPr>
          <w:vertAlign w:val="superscript"/>
        </w:rPr>
        <w:t>o</w:t>
      </w:r>
      <w:r w:rsidRPr="003E3129">
        <w:t> 7, [la Cour] considère que le choix délibéré des mots « acquitté ou condamné » implique qu</w:t>
      </w:r>
      <w:r w:rsidRPr="003E3129" w:rsidR="003E3129">
        <w:t>’</w:t>
      </w:r>
      <w:r w:rsidRPr="003E3129">
        <w:t>il y ait eu établissement de la responsabilité « pénale » de l</w:t>
      </w:r>
      <w:r w:rsidRPr="003E3129" w:rsidR="003E3129">
        <w:t>’</w:t>
      </w:r>
      <w:r w:rsidRPr="003E3129">
        <w:t>accusé à l</w:t>
      </w:r>
      <w:r w:rsidRPr="003E3129" w:rsidR="003E3129">
        <w:t>’</w:t>
      </w:r>
      <w:r w:rsidRPr="003E3129">
        <w:t>issue d</w:t>
      </w:r>
      <w:r w:rsidRPr="003E3129" w:rsidR="003E3129">
        <w:t>’</w:t>
      </w:r>
      <w:r w:rsidRPr="003E3129">
        <w:t>une appréciation des circonstances de l</w:t>
      </w:r>
      <w:r w:rsidRPr="003E3129" w:rsidR="003E3129">
        <w:t>’</w:t>
      </w:r>
      <w:r w:rsidRPr="003E3129">
        <w:t>affaire, en d</w:t>
      </w:r>
      <w:r w:rsidRPr="003E3129" w:rsidR="003E3129">
        <w:t>’</w:t>
      </w:r>
      <w:r w:rsidRPr="003E3129">
        <w:t>autres termes qu</w:t>
      </w:r>
      <w:r w:rsidRPr="003E3129" w:rsidR="003E3129">
        <w:t>’</w:t>
      </w:r>
      <w:r w:rsidRPr="003E3129">
        <w:t>il y ait eu une appréciation du fond de l</w:t>
      </w:r>
      <w:r w:rsidRPr="003E3129" w:rsidR="003E3129">
        <w:t>’</w:t>
      </w:r>
      <w:r w:rsidRPr="003E3129">
        <w:t>affaire. Pour qu</w:t>
      </w:r>
      <w:r w:rsidRPr="003E3129" w:rsidR="003E3129">
        <w:t>’</w:t>
      </w:r>
      <w:r w:rsidRPr="003E3129">
        <w:t>un tel examen puisse être effectué, il est indispensable que l</w:t>
      </w:r>
      <w:r w:rsidRPr="003E3129" w:rsidR="003E3129">
        <w:t>’</w:t>
      </w:r>
      <w:r w:rsidRPr="003E3129">
        <w:t>autorité appelée à rendre la décision soit investie par le droit interne d</w:t>
      </w:r>
      <w:r w:rsidRPr="003E3129" w:rsidR="003E3129">
        <w:t>’</w:t>
      </w:r>
      <w:r w:rsidRPr="003E3129">
        <w:t>un pouvoir décisionnel lui permettant d</w:t>
      </w:r>
      <w:r w:rsidRPr="003E3129" w:rsidR="003E3129">
        <w:t>’</w:t>
      </w:r>
      <w:r w:rsidRPr="003E3129">
        <w:t>examiner le fond d</w:t>
      </w:r>
      <w:r w:rsidRPr="003E3129" w:rsidR="003E3129">
        <w:t>’</w:t>
      </w:r>
      <w:r w:rsidRPr="003E3129">
        <w:t>une affaire. Cette autorité doit alors se livrer à l</w:t>
      </w:r>
      <w:r w:rsidRPr="003E3129" w:rsidR="003E3129">
        <w:t>’</w:t>
      </w:r>
      <w:r w:rsidRPr="003E3129">
        <w:t>étude ou à l</w:t>
      </w:r>
      <w:r w:rsidRPr="003E3129" w:rsidR="003E3129">
        <w:t>’</w:t>
      </w:r>
      <w:r w:rsidRPr="003E3129">
        <w:t>évaluation des preuves versées au dossier et porter une appréciation sur la participation du requérant à l</w:t>
      </w:r>
      <w:r w:rsidRPr="003E3129" w:rsidR="003E3129">
        <w:t>’</w:t>
      </w:r>
      <w:r w:rsidRPr="003E3129">
        <w:t>un ou à l</w:t>
      </w:r>
      <w:r w:rsidRPr="003E3129" w:rsidR="003E3129">
        <w:t>’</w:t>
      </w:r>
      <w:r w:rsidRPr="003E3129">
        <w:t>ensemble des événements ayant conduit à la saisine des organes d</w:t>
      </w:r>
      <w:r w:rsidRPr="003E3129" w:rsidR="003E3129">
        <w:t>’</w:t>
      </w:r>
      <w:r w:rsidRPr="003E3129">
        <w:t>enquête, aux fins de déterminer si la responsabilité « pénale » a été établie</w:t>
      </w:r>
      <w:r w:rsidRPr="003E3129">
        <w:rPr>
          <w:rFonts w:ascii="Arial" w:hAnsi="Arial" w:eastAsia="Times New Roman" w:cs="Arial"/>
          <w:color w:val="000000"/>
        </w:rPr>
        <w:t xml:space="preserve"> </w:t>
      </w:r>
      <w:r w:rsidRPr="003E3129">
        <w:rPr>
          <w:rFonts w:eastAsia="Times New Roman"/>
        </w:rPr>
        <w:t>(voir, </w:t>
      </w:r>
      <w:r w:rsidRPr="003E3129">
        <w:rPr>
          <w:rFonts w:eastAsia="Times New Roman"/>
          <w:i/>
          <w:iCs/>
        </w:rPr>
        <w:t>mutatis mutandis</w:t>
      </w:r>
      <w:r w:rsidRPr="003E3129">
        <w:rPr>
          <w:rFonts w:eastAsia="Times New Roman"/>
        </w:rPr>
        <w:t xml:space="preserve">, </w:t>
      </w:r>
      <w:r w:rsidRPr="003E3129">
        <w:rPr>
          <w:rFonts w:eastAsia="Times New Roman"/>
          <w:i/>
          <w:iCs/>
        </w:rPr>
        <w:t>Allen c. Royaume</w:t>
      </w:r>
      <w:r w:rsidRPr="003E3129">
        <w:rPr>
          <w:rFonts w:eastAsia="Times New Roman"/>
          <w:i/>
          <w:iCs/>
        </w:rPr>
        <w:noBreakHyphen/>
        <w:t>Uni</w:t>
      </w:r>
      <w:r w:rsidRPr="003E3129">
        <w:rPr>
          <w:rFonts w:eastAsia="Times New Roman"/>
        </w:rPr>
        <w:t> [GC], n</w:t>
      </w:r>
      <w:r w:rsidRPr="003E3129">
        <w:rPr>
          <w:rFonts w:eastAsia="Times New Roman"/>
          <w:vertAlign w:val="superscript"/>
        </w:rPr>
        <w:t>o</w:t>
      </w:r>
      <w:r w:rsidRPr="003E3129">
        <w:rPr>
          <w:rFonts w:eastAsia="Times New Roman"/>
        </w:rPr>
        <w:t> 25424/09, § 127, CEDH 2013, affaire concernant l</w:t>
      </w:r>
      <w:r w:rsidRPr="003E3129" w:rsidR="003E3129">
        <w:rPr>
          <w:rFonts w:eastAsia="Times New Roman"/>
        </w:rPr>
        <w:t>’</w:t>
      </w:r>
      <w:r w:rsidRPr="003E3129">
        <w:rPr>
          <w:rFonts w:eastAsia="Times New Roman"/>
        </w:rPr>
        <w:t>étendue de la présomption d</w:t>
      </w:r>
      <w:r w:rsidRPr="003E3129" w:rsidR="003E3129">
        <w:rPr>
          <w:rFonts w:eastAsia="Times New Roman"/>
        </w:rPr>
        <w:t>’</w:t>
      </w:r>
      <w:r w:rsidRPr="003E3129">
        <w:rPr>
          <w:rFonts w:eastAsia="Times New Roman"/>
        </w:rPr>
        <w:t>innocence au regard de l</w:t>
      </w:r>
      <w:r w:rsidRPr="003E3129" w:rsidR="003E3129">
        <w:rPr>
          <w:rFonts w:eastAsia="Times New Roman"/>
        </w:rPr>
        <w:t>’</w:t>
      </w:r>
      <w:r w:rsidRPr="003E3129">
        <w:rPr>
          <w:rFonts w:eastAsia="Times New Roman"/>
        </w:rPr>
        <w:t>article 6 § 2 de la Convention, dans laquelle le contenu de la décision, et non sa forme, a été pour la Cour le facteur déterminant).</w:t>
      </w:r>
    </w:p>
    <w:p w:rsidRPr="003E3129" w:rsidR="00D33065" w:rsidP="003E3129" w14:paraId="48486516" w14:textId="77777777">
      <w:pPr>
        <w:pStyle w:val="JuQuot"/>
        <w:rPr>
          <w:rFonts w:eastAsia="Times New Roman" w:cs="Times New Roman"/>
        </w:rPr>
      </w:pPr>
      <w:r w:rsidRPr="003E3129">
        <w:rPr>
          <w:rFonts w:eastAsia="Times New Roman" w:cs="Times New Roman"/>
        </w:rPr>
        <w:t>98.  Ainsi, le constat qu</w:t>
      </w:r>
      <w:r w:rsidRPr="003E3129" w:rsidR="003E3129">
        <w:rPr>
          <w:rFonts w:eastAsia="Times New Roman" w:cs="Times New Roman"/>
        </w:rPr>
        <w:t>’</w:t>
      </w:r>
      <w:r w:rsidRPr="003E3129">
        <w:rPr>
          <w:rFonts w:eastAsia="Times New Roman" w:cs="Times New Roman"/>
        </w:rPr>
        <w:t>il y a eu une appréciation des circonstances de l</w:t>
      </w:r>
      <w:r w:rsidRPr="003E3129" w:rsidR="003E3129">
        <w:rPr>
          <w:rFonts w:eastAsia="Times New Roman" w:cs="Times New Roman"/>
        </w:rPr>
        <w:t>’</w:t>
      </w:r>
      <w:r w:rsidRPr="003E3129">
        <w:rPr>
          <w:rFonts w:eastAsia="Times New Roman" w:cs="Times New Roman"/>
        </w:rPr>
        <w:t>affaire et de la culpabilité ou de l</w:t>
      </w:r>
      <w:r w:rsidRPr="003E3129" w:rsidR="003E3129">
        <w:rPr>
          <w:rFonts w:eastAsia="Times New Roman" w:cs="Times New Roman"/>
        </w:rPr>
        <w:t>’</w:t>
      </w:r>
      <w:r w:rsidRPr="003E3129">
        <w:rPr>
          <w:rFonts w:eastAsia="Times New Roman" w:cs="Times New Roman"/>
        </w:rPr>
        <w:t>innocence de l</w:t>
      </w:r>
      <w:r w:rsidRPr="003E3129" w:rsidR="003E3129">
        <w:rPr>
          <w:rFonts w:eastAsia="Times New Roman" w:cs="Times New Roman"/>
        </w:rPr>
        <w:t>’</w:t>
      </w:r>
      <w:r w:rsidRPr="003E3129">
        <w:rPr>
          <w:rFonts w:eastAsia="Times New Roman" w:cs="Times New Roman"/>
        </w:rPr>
        <w:t>accusé peut être conforté par l</w:t>
      </w:r>
      <w:r w:rsidRPr="003E3129" w:rsidR="003E3129">
        <w:rPr>
          <w:rFonts w:eastAsia="Times New Roman" w:cs="Times New Roman"/>
        </w:rPr>
        <w:t>’</w:t>
      </w:r>
      <w:r w:rsidRPr="003E3129">
        <w:rPr>
          <w:rFonts w:eastAsia="Times New Roman" w:cs="Times New Roman"/>
        </w:rPr>
        <w:t>état d</w:t>
      </w:r>
      <w:r w:rsidRPr="003E3129" w:rsidR="003E3129">
        <w:rPr>
          <w:rFonts w:eastAsia="Times New Roman" w:cs="Times New Roman"/>
        </w:rPr>
        <w:t>’</w:t>
      </w:r>
      <w:r w:rsidRPr="003E3129">
        <w:rPr>
          <w:rFonts w:eastAsia="Times New Roman" w:cs="Times New Roman"/>
        </w:rPr>
        <w:t>avancement d</w:t>
      </w:r>
      <w:r w:rsidRPr="003E3129" w:rsidR="003E3129">
        <w:rPr>
          <w:rFonts w:eastAsia="Times New Roman" w:cs="Times New Roman"/>
        </w:rPr>
        <w:t>’</w:t>
      </w:r>
      <w:r w:rsidRPr="003E3129">
        <w:rPr>
          <w:rFonts w:eastAsia="Times New Roman" w:cs="Times New Roman"/>
        </w:rPr>
        <w:t>une procédure dans une affaire donnée. Lorsqu</w:t>
      </w:r>
      <w:r w:rsidRPr="003E3129" w:rsidR="003E3129">
        <w:rPr>
          <w:rFonts w:eastAsia="Times New Roman" w:cs="Times New Roman"/>
        </w:rPr>
        <w:t>’</w:t>
      </w:r>
      <w:r w:rsidRPr="003E3129">
        <w:rPr>
          <w:rFonts w:eastAsia="Times New Roman" w:cs="Times New Roman"/>
        </w:rPr>
        <w:t>une instruction pénale a été ouverte avec l</w:t>
      </w:r>
      <w:r w:rsidRPr="003E3129" w:rsidR="003E3129">
        <w:rPr>
          <w:rFonts w:eastAsia="Times New Roman" w:cs="Times New Roman"/>
        </w:rPr>
        <w:t>’</w:t>
      </w:r>
      <w:r w:rsidRPr="003E3129">
        <w:rPr>
          <w:rFonts w:eastAsia="Times New Roman" w:cs="Times New Roman"/>
        </w:rPr>
        <w:t>incrimination de l</w:t>
      </w:r>
      <w:r w:rsidRPr="003E3129" w:rsidR="003E3129">
        <w:rPr>
          <w:rFonts w:eastAsia="Times New Roman" w:cs="Times New Roman"/>
        </w:rPr>
        <w:t>’</w:t>
      </w:r>
      <w:r w:rsidRPr="003E3129">
        <w:rPr>
          <w:rFonts w:eastAsia="Times New Roman" w:cs="Times New Roman"/>
        </w:rPr>
        <w:t>intéressé, que la victime a été interrogée et que des preuves ont été rassemblées et examinées par l</w:t>
      </w:r>
      <w:r w:rsidRPr="003E3129" w:rsidR="003E3129">
        <w:rPr>
          <w:rFonts w:eastAsia="Times New Roman" w:cs="Times New Roman"/>
        </w:rPr>
        <w:t>’</w:t>
      </w:r>
      <w:r w:rsidRPr="003E3129">
        <w:rPr>
          <w:rFonts w:eastAsia="Times New Roman" w:cs="Times New Roman"/>
        </w:rPr>
        <w:t>autorité compétente et qu</w:t>
      </w:r>
      <w:r w:rsidRPr="003E3129" w:rsidR="003E3129">
        <w:rPr>
          <w:rFonts w:eastAsia="Times New Roman" w:cs="Times New Roman"/>
        </w:rPr>
        <w:t>’</w:t>
      </w:r>
      <w:r w:rsidRPr="003E3129">
        <w:rPr>
          <w:rFonts w:eastAsia="Times New Roman" w:cs="Times New Roman"/>
        </w:rPr>
        <w:t>une décision motivée s</w:t>
      </w:r>
      <w:r w:rsidRPr="003E3129" w:rsidR="003E3129">
        <w:rPr>
          <w:rFonts w:eastAsia="Times New Roman" w:cs="Times New Roman"/>
        </w:rPr>
        <w:t>’</w:t>
      </w:r>
      <w:r w:rsidRPr="003E3129">
        <w:rPr>
          <w:rFonts w:eastAsia="Times New Roman" w:cs="Times New Roman"/>
        </w:rPr>
        <w:t>appuyant sur ces preuves a été rendue, on se trouve en présence d</w:t>
      </w:r>
      <w:r w:rsidRPr="003E3129" w:rsidR="003E3129">
        <w:rPr>
          <w:rFonts w:eastAsia="Times New Roman" w:cs="Times New Roman"/>
        </w:rPr>
        <w:t>’</w:t>
      </w:r>
      <w:r w:rsidRPr="003E3129">
        <w:rPr>
          <w:rFonts w:eastAsia="Times New Roman" w:cs="Times New Roman"/>
        </w:rPr>
        <w:t>éléments susceptibles de conduire au constat qu</w:t>
      </w:r>
      <w:r w:rsidRPr="003E3129" w:rsidR="003E3129">
        <w:rPr>
          <w:rFonts w:eastAsia="Times New Roman" w:cs="Times New Roman"/>
        </w:rPr>
        <w:t>’</w:t>
      </w:r>
      <w:r w:rsidRPr="003E3129">
        <w:rPr>
          <w:rFonts w:eastAsia="Times New Roman" w:cs="Times New Roman"/>
        </w:rPr>
        <w:t>il y a eu une appréciation du fond de l</w:t>
      </w:r>
      <w:r w:rsidRPr="003E3129" w:rsidR="003E3129">
        <w:rPr>
          <w:rFonts w:eastAsia="Times New Roman" w:cs="Times New Roman"/>
        </w:rPr>
        <w:t>’</w:t>
      </w:r>
      <w:r w:rsidRPr="003E3129">
        <w:rPr>
          <w:rFonts w:eastAsia="Times New Roman" w:cs="Times New Roman"/>
        </w:rPr>
        <w:t>affaire. (...) »</w:t>
      </w:r>
    </w:p>
    <w:p w:rsidRPr="003E3129" w:rsidR="00D33065" w:rsidP="003E3129" w14:paraId="1C5AD7CF"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49</w:t>
      </w:r>
      <w:r w:rsidRPr="003E3129">
        <w:rPr>
          <w:rFonts w:eastAsia="Times New Roman"/>
        </w:rPr>
        <w:fldChar w:fldCharType="end"/>
      </w:r>
      <w:r w:rsidRPr="003E3129">
        <w:rPr>
          <w:rFonts w:eastAsia="Times New Roman"/>
        </w:rPr>
        <w:t>.  La Cour juge que la même approche doit être adoptée en l</w:t>
      </w:r>
      <w:r w:rsidRPr="003E3129" w:rsidR="003E3129">
        <w:rPr>
          <w:rFonts w:eastAsia="Times New Roman"/>
        </w:rPr>
        <w:t>’</w:t>
      </w:r>
      <w:r w:rsidRPr="003E3129">
        <w:rPr>
          <w:rFonts w:eastAsia="Times New Roman"/>
        </w:rPr>
        <w:t>espèce, sur le terrain de l</w:t>
      </w:r>
      <w:r w:rsidRPr="003E3129" w:rsidR="003E3129">
        <w:rPr>
          <w:rFonts w:eastAsia="Times New Roman"/>
        </w:rPr>
        <w:t>’</w:t>
      </w:r>
      <w:r w:rsidRPr="003E3129">
        <w:rPr>
          <w:rFonts w:eastAsia="Times New Roman"/>
        </w:rPr>
        <w:t>article 6 § 2 de la Convention, pour déterminer si la responsabilité pénale du requérant avait été légalement établie.</w:t>
      </w:r>
    </w:p>
    <w:p w:rsidRPr="003E3129" w:rsidR="00D33065" w:rsidP="003E3129" w14:paraId="6415D95E" w14:textId="77777777">
      <w:pPr>
        <w:pStyle w:val="JuHa0"/>
        <w:rPr>
          <w:rFonts w:eastAsia="Times New Roman"/>
          <w:lang w:val="fr-FR"/>
        </w:rPr>
      </w:pPr>
      <w:r w:rsidRPr="003E3129">
        <w:rPr>
          <w:rFonts w:eastAsia="Times New Roman"/>
          <w:lang w:val="fr-FR"/>
        </w:rPr>
        <w:t>Sur la question de savoir s</w:t>
      </w:r>
      <w:r w:rsidRPr="003E3129" w:rsidR="003E3129">
        <w:rPr>
          <w:rFonts w:eastAsia="Times New Roman"/>
          <w:lang w:val="fr-FR"/>
        </w:rPr>
        <w:t>’</w:t>
      </w:r>
      <w:r w:rsidRPr="003E3129">
        <w:rPr>
          <w:rFonts w:eastAsia="Times New Roman"/>
          <w:lang w:val="fr-FR"/>
        </w:rPr>
        <w:t>il y a eu examen du fond de l</w:t>
      </w:r>
      <w:r w:rsidRPr="003E3129" w:rsidR="003E3129">
        <w:rPr>
          <w:rFonts w:eastAsia="Times New Roman"/>
          <w:lang w:val="fr-FR"/>
        </w:rPr>
        <w:t>’</w:t>
      </w:r>
      <w:r w:rsidRPr="003E3129">
        <w:rPr>
          <w:rFonts w:eastAsia="Times New Roman"/>
          <w:lang w:val="fr-FR"/>
        </w:rPr>
        <w:t>affaire pénale</w:t>
      </w:r>
    </w:p>
    <w:p w:rsidRPr="003E3129" w:rsidR="00D33065" w:rsidP="003E3129" w14:paraId="3540DBB1"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50</w:t>
      </w:r>
      <w:r w:rsidRPr="003E3129">
        <w:rPr>
          <w:rFonts w:eastAsia="Times New Roman"/>
        </w:rPr>
        <w:fldChar w:fldCharType="end"/>
      </w:r>
      <w:r w:rsidRPr="003E3129">
        <w:rPr>
          <w:rFonts w:eastAsia="Times New Roman"/>
        </w:rPr>
        <w:t>.  La Cour relève que, selon le droit interne, le parquet était compétent pour mener une enquête sur les faits reprochés au requérant. Avant l</w:t>
      </w:r>
      <w:r w:rsidRPr="003E3129" w:rsidR="003E3129">
        <w:rPr>
          <w:rFonts w:eastAsia="Times New Roman"/>
        </w:rPr>
        <w:t>’</w:t>
      </w:r>
      <w:r w:rsidRPr="003E3129">
        <w:rPr>
          <w:rFonts w:eastAsia="Times New Roman"/>
        </w:rPr>
        <w:t>adoption de l</w:t>
      </w:r>
      <w:r w:rsidRPr="003E3129" w:rsidR="003E3129">
        <w:rPr>
          <w:rFonts w:eastAsia="Times New Roman"/>
        </w:rPr>
        <w:t>’</w:t>
      </w:r>
      <w:r w:rsidRPr="003E3129">
        <w:rPr>
          <w:rFonts w:eastAsia="Times New Roman"/>
        </w:rPr>
        <w:t>ordonnance du 20 mai 2005, il avait notamment recueilli des preuves et interrogé le requérant ainsi qu</w:t>
      </w:r>
      <w:r w:rsidRPr="003E3129" w:rsidR="003E3129">
        <w:rPr>
          <w:rFonts w:eastAsia="Times New Roman"/>
        </w:rPr>
        <w:t>’</w:t>
      </w:r>
      <w:r w:rsidRPr="003E3129">
        <w:rPr>
          <w:rFonts w:eastAsia="Times New Roman"/>
        </w:rPr>
        <w:t>un représentant de la victime alléguée. Toutefois, le requérant n</w:t>
      </w:r>
      <w:r w:rsidRPr="003E3129" w:rsidR="003E3129">
        <w:rPr>
          <w:rFonts w:eastAsia="Times New Roman"/>
        </w:rPr>
        <w:t>’</w:t>
      </w:r>
      <w:r w:rsidRPr="003E3129">
        <w:rPr>
          <w:rFonts w:eastAsia="Times New Roman"/>
        </w:rPr>
        <w:t>avait pas été mis en examen, celui-ci ayant, au moment des faits, un statut de suspect.</w:t>
      </w:r>
    </w:p>
    <w:p w:rsidRPr="003E3129" w:rsidR="00D33065" w:rsidP="003E3129" w14:paraId="1438E866"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51</w:t>
      </w:r>
      <w:r w:rsidRPr="003E3129">
        <w:rPr>
          <w:rFonts w:eastAsia="Times New Roman"/>
        </w:rPr>
        <w:fldChar w:fldCharType="end"/>
      </w:r>
      <w:r w:rsidRPr="003E3129">
        <w:rPr>
          <w:rFonts w:eastAsia="Times New Roman"/>
        </w:rPr>
        <w:t>.  Dans l</w:t>
      </w:r>
      <w:r w:rsidRPr="003E3129" w:rsidR="003E3129">
        <w:rPr>
          <w:rFonts w:eastAsia="Times New Roman"/>
        </w:rPr>
        <w:t>’</w:t>
      </w:r>
      <w:r w:rsidRPr="003E3129">
        <w:rPr>
          <w:rFonts w:eastAsia="Times New Roman"/>
        </w:rPr>
        <w:t>ordonnance en question, le parquet a bel et bien fait état des éléments de preuve versés au dossier, mais il n</w:t>
      </w:r>
      <w:r w:rsidRPr="003E3129" w:rsidR="003E3129">
        <w:rPr>
          <w:rFonts w:eastAsia="Times New Roman"/>
        </w:rPr>
        <w:t>’</w:t>
      </w:r>
      <w:r w:rsidRPr="003E3129">
        <w:rPr>
          <w:rFonts w:eastAsia="Times New Roman"/>
        </w:rPr>
        <w:t>a pas procédé à son propre examen de l</w:t>
      </w:r>
      <w:r w:rsidRPr="003E3129" w:rsidR="003E3129">
        <w:rPr>
          <w:rFonts w:eastAsia="Times New Roman"/>
        </w:rPr>
        <w:t>’</w:t>
      </w:r>
      <w:r w:rsidRPr="003E3129">
        <w:rPr>
          <w:rFonts w:eastAsia="Times New Roman"/>
        </w:rPr>
        <w:t>ensemble des circonstances de l</w:t>
      </w:r>
      <w:r w:rsidRPr="003E3129" w:rsidR="003E3129">
        <w:rPr>
          <w:rFonts w:eastAsia="Times New Roman"/>
        </w:rPr>
        <w:t>’</w:t>
      </w:r>
      <w:r w:rsidRPr="003E3129">
        <w:rPr>
          <w:rFonts w:eastAsia="Times New Roman"/>
        </w:rPr>
        <w:t>affaire ni porté une appréciation sur le caractère, illicite ou non, du comportement du requérant. En effet, le parquet ne s</w:t>
      </w:r>
      <w:r w:rsidRPr="003E3129" w:rsidR="003E3129">
        <w:rPr>
          <w:rFonts w:eastAsia="Times New Roman"/>
        </w:rPr>
        <w:t>’</w:t>
      </w:r>
      <w:r w:rsidRPr="003E3129">
        <w:rPr>
          <w:rFonts w:eastAsia="Times New Roman"/>
        </w:rPr>
        <w:t>est nullement penché, dans cette ordonnance, sur la question de savoir si les conditions requises pour que l</w:t>
      </w:r>
      <w:r w:rsidRPr="003E3129" w:rsidR="003E3129">
        <w:rPr>
          <w:rFonts w:eastAsia="Times New Roman"/>
        </w:rPr>
        <w:t>’</w:t>
      </w:r>
      <w:r w:rsidRPr="003E3129">
        <w:rPr>
          <w:rFonts w:eastAsia="Times New Roman"/>
        </w:rPr>
        <w:t>on pût qualifier d</w:t>
      </w:r>
      <w:r w:rsidRPr="003E3129" w:rsidR="003E3129">
        <w:rPr>
          <w:rFonts w:eastAsia="Times New Roman"/>
        </w:rPr>
        <w:t>’</w:t>
      </w:r>
      <w:r w:rsidRPr="003E3129">
        <w:rPr>
          <w:rFonts w:eastAsia="Times New Roman"/>
        </w:rPr>
        <w:t>infraction les faits reprochés au requérant étaient réunies. À titre de comparaison, lorsque l</w:t>
      </w:r>
      <w:r w:rsidRPr="003E3129" w:rsidR="003E3129">
        <w:rPr>
          <w:rFonts w:eastAsia="Times New Roman"/>
        </w:rPr>
        <w:t>’</w:t>
      </w:r>
      <w:r w:rsidRPr="003E3129">
        <w:rPr>
          <w:rFonts w:eastAsia="Times New Roman"/>
        </w:rPr>
        <w:t>accusateur public s</w:t>
      </w:r>
      <w:r w:rsidRPr="003E3129" w:rsidR="003E3129">
        <w:rPr>
          <w:rFonts w:eastAsia="Times New Roman"/>
        </w:rPr>
        <w:t>’</w:t>
      </w:r>
      <w:r w:rsidRPr="003E3129">
        <w:rPr>
          <w:rFonts w:eastAsia="Times New Roman"/>
        </w:rPr>
        <w:t>est livré à une telle appréciation, dans les autres ordonnances adoptées avant ou après l</w:t>
      </w:r>
      <w:r w:rsidRPr="003E3129" w:rsidR="003E3129">
        <w:rPr>
          <w:rFonts w:eastAsia="Times New Roman"/>
        </w:rPr>
        <w:t>’</w:t>
      </w:r>
      <w:r w:rsidRPr="003E3129">
        <w:rPr>
          <w:rFonts w:eastAsia="Times New Roman"/>
        </w:rPr>
        <w:t>ordonnanc</w:t>
      </w:r>
      <w:r w:rsidRPr="003E3129" w:rsidR="003E3129">
        <w:rPr>
          <w:rFonts w:eastAsia="Times New Roman"/>
        </w:rPr>
        <w:t xml:space="preserve">e du </w:t>
      </w:r>
      <w:r w:rsidRPr="003E3129">
        <w:rPr>
          <w:rFonts w:eastAsia="Times New Roman"/>
        </w:rPr>
        <w:t>20 mai 2005, il a constamment conclu que l</w:t>
      </w:r>
      <w:r w:rsidRPr="003E3129" w:rsidR="003E3129">
        <w:rPr>
          <w:rFonts w:eastAsia="Times New Roman"/>
        </w:rPr>
        <w:t>’</w:t>
      </w:r>
      <w:r w:rsidRPr="003E3129">
        <w:rPr>
          <w:rFonts w:eastAsia="Times New Roman"/>
        </w:rPr>
        <w:t>infraction reprochée n</w:t>
      </w:r>
      <w:r w:rsidRPr="003E3129" w:rsidR="003E3129">
        <w:rPr>
          <w:rFonts w:eastAsia="Times New Roman"/>
        </w:rPr>
        <w:t>’</w:t>
      </w:r>
      <w:r w:rsidRPr="003E3129">
        <w:rPr>
          <w:rFonts w:eastAsia="Times New Roman"/>
        </w:rPr>
        <w:t xml:space="preserve">était pas caractérisée dans ses éléments constitutifs (paragraphes </w:t>
      </w:r>
      <w:r w:rsidRPr="003E3129">
        <w:rPr>
          <w:rFonts w:eastAsia="Times New Roman"/>
        </w:rPr>
        <w:fldChar w:fldCharType="begin"/>
      </w:r>
      <w:r w:rsidRPr="003E3129">
        <w:rPr>
          <w:rFonts w:eastAsia="Times New Roman"/>
        </w:rPr>
        <w:instrText xml:space="preserve"> REF ordonnance_fond_2dec2003 \h </w:instrText>
      </w:r>
      <w:r w:rsidRPr="003E3129" w:rsidR="00FA634F">
        <w:rPr>
          <w:rFonts w:eastAsia="Times New Roman"/>
        </w:rPr>
        <w:instrText xml:space="preserve"> \* MERGEFORMAT </w:instrText>
      </w:r>
      <w:r w:rsidRPr="003E3129">
        <w:rPr>
          <w:rFonts w:eastAsia="Times New Roman"/>
        </w:rPr>
        <w:fldChar w:fldCharType="separate"/>
      </w:r>
      <w:r w:rsidRPr="003E3129" w:rsidR="003E3129">
        <w:rPr>
          <w:noProof/>
        </w:rPr>
        <w:t>5</w:t>
      </w:r>
      <w:r w:rsidRPr="003E3129">
        <w:rPr>
          <w:rFonts w:eastAsia="Times New Roman"/>
        </w:rPr>
        <w:fldChar w:fldCharType="end"/>
      </w:r>
      <w:r w:rsidRPr="003E3129">
        <w:rPr>
          <w:rFonts w:eastAsia="Times New Roman"/>
        </w:rPr>
        <w:t xml:space="preserve">, </w:t>
      </w:r>
      <w:r w:rsidRPr="003E3129">
        <w:rPr>
          <w:rFonts w:eastAsia="Times New Roman"/>
        </w:rPr>
        <w:fldChar w:fldCharType="begin"/>
      </w:r>
      <w:r w:rsidRPr="003E3129">
        <w:rPr>
          <w:rFonts w:eastAsia="Times New Roman"/>
        </w:rPr>
        <w:instrText xml:space="preserve"> REF ordonnance_fond_25jan2011 \h </w:instrText>
      </w:r>
      <w:r w:rsidRPr="003E3129" w:rsidR="00FA634F">
        <w:rPr>
          <w:rFonts w:eastAsia="Times New Roman"/>
        </w:rPr>
        <w:instrText xml:space="preserve"> \* MERGEFORMAT </w:instrText>
      </w:r>
      <w:r w:rsidRPr="003E3129">
        <w:rPr>
          <w:rFonts w:eastAsia="Times New Roman"/>
        </w:rPr>
        <w:fldChar w:fldCharType="separate"/>
      </w:r>
      <w:r w:rsidRPr="003E3129" w:rsidR="003E3129">
        <w:rPr>
          <w:noProof/>
        </w:rPr>
        <w:t>16</w:t>
      </w:r>
      <w:r w:rsidRPr="003E3129">
        <w:rPr>
          <w:rFonts w:eastAsia="Times New Roman"/>
        </w:rPr>
        <w:fldChar w:fldCharType="end"/>
      </w:r>
      <w:r w:rsidRPr="003E3129">
        <w:rPr>
          <w:rFonts w:eastAsia="Times New Roman"/>
        </w:rPr>
        <w:t xml:space="preserve"> et </w:t>
      </w:r>
      <w:r w:rsidRPr="003E3129">
        <w:rPr>
          <w:rFonts w:eastAsia="Times New Roman"/>
        </w:rPr>
        <w:fldChar w:fldCharType="begin"/>
      </w:r>
      <w:r w:rsidRPr="003E3129">
        <w:rPr>
          <w:rFonts w:eastAsia="Times New Roman"/>
        </w:rPr>
        <w:instrText xml:space="preserve"> REF ordonnance_fond_19oct2012 \h </w:instrText>
      </w:r>
      <w:r w:rsidRPr="003E3129" w:rsidR="00FA634F">
        <w:rPr>
          <w:rFonts w:eastAsia="Times New Roman"/>
        </w:rPr>
        <w:instrText xml:space="preserve"> \* MERGEFORMAT </w:instrText>
      </w:r>
      <w:r w:rsidRPr="003E3129">
        <w:rPr>
          <w:rFonts w:eastAsia="Times New Roman"/>
        </w:rPr>
        <w:fldChar w:fldCharType="separate"/>
      </w:r>
      <w:r w:rsidRPr="003E3129" w:rsidR="003E3129">
        <w:rPr>
          <w:noProof/>
        </w:rPr>
        <w:t>18</w:t>
      </w:r>
      <w:r w:rsidRPr="003E3129">
        <w:rPr>
          <w:rFonts w:eastAsia="Times New Roman"/>
        </w:rPr>
        <w:fldChar w:fldCharType="end"/>
      </w:r>
      <w:r w:rsidRPr="003E3129">
        <w:rPr>
          <w:rFonts w:eastAsia="Times New Roman"/>
        </w:rPr>
        <w:t>).</w:t>
      </w:r>
    </w:p>
    <w:p w:rsidRPr="003E3129" w:rsidR="00D33065" w:rsidP="003E3129" w14:paraId="66385563"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52</w:t>
      </w:r>
      <w:r w:rsidRPr="003E3129">
        <w:rPr>
          <w:rFonts w:eastAsia="Times New Roman"/>
        </w:rPr>
        <w:fldChar w:fldCharType="end"/>
      </w:r>
      <w:r w:rsidRPr="003E3129">
        <w:rPr>
          <w:rFonts w:eastAsia="Times New Roman"/>
        </w:rPr>
        <w:t>.  La Cour conclut donc que l</w:t>
      </w:r>
      <w:r w:rsidRPr="003E3129" w:rsidR="003E3129">
        <w:rPr>
          <w:rFonts w:eastAsia="Times New Roman"/>
        </w:rPr>
        <w:t>’</w:t>
      </w:r>
      <w:r w:rsidRPr="003E3129">
        <w:rPr>
          <w:rFonts w:eastAsia="Times New Roman"/>
        </w:rPr>
        <w:t>ordonnance du 20 mai 2005 ne saurait s</w:t>
      </w:r>
      <w:r w:rsidRPr="003E3129" w:rsidR="003E3129">
        <w:rPr>
          <w:rFonts w:eastAsia="Times New Roman"/>
        </w:rPr>
        <w:t>’</w:t>
      </w:r>
      <w:r w:rsidRPr="003E3129">
        <w:rPr>
          <w:rFonts w:eastAsia="Times New Roman"/>
        </w:rPr>
        <w:t>analyser en une décision renfermant une appréciation du fond de l</w:t>
      </w:r>
      <w:r w:rsidRPr="003E3129" w:rsidR="003E3129">
        <w:rPr>
          <w:rFonts w:eastAsia="Times New Roman"/>
        </w:rPr>
        <w:t>’</w:t>
      </w:r>
      <w:r w:rsidRPr="003E3129">
        <w:rPr>
          <w:rFonts w:eastAsia="Times New Roman"/>
        </w:rPr>
        <w:t>affaire pénale du requérant.</w:t>
      </w:r>
    </w:p>
    <w:p w:rsidRPr="003E3129" w:rsidR="00D33065" w:rsidP="003E3129" w14:paraId="1A30A9FB"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53</w:t>
      </w:r>
      <w:r w:rsidRPr="003E3129">
        <w:rPr>
          <w:rFonts w:eastAsia="Times New Roman"/>
        </w:rPr>
        <w:fldChar w:fldCharType="end"/>
      </w:r>
      <w:r w:rsidRPr="003E3129">
        <w:rPr>
          <w:rFonts w:eastAsia="Times New Roman"/>
        </w:rPr>
        <w:t>.  Cela étant, le parquet a estimé, dans l</w:t>
      </w:r>
      <w:r w:rsidRPr="003E3129" w:rsidR="003E3129">
        <w:rPr>
          <w:rFonts w:eastAsia="Times New Roman"/>
        </w:rPr>
        <w:t>’</w:t>
      </w:r>
      <w:r w:rsidRPr="003E3129">
        <w:rPr>
          <w:rFonts w:eastAsia="Times New Roman"/>
        </w:rPr>
        <w:t>ordonnance en question, que toutes les conditions étaient réunies pour appliquer la loi d</w:t>
      </w:r>
      <w:r w:rsidRPr="003E3129" w:rsidR="003E3129">
        <w:rPr>
          <w:rFonts w:eastAsia="Times New Roman"/>
        </w:rPr>
        <w:t>’</w:t>
      </w:r>
      <w:r w:rsidRPr="003E3129">
        <w:rPr>
          <w:rFonts w:eastAsia="Times New Roman"/>
        </w:rPr>
        <w:t>amnistie de 2004 à l</w:t>
      </w:r>
      <w:r w:rsidRPr="003E3129" w:rsidR="003E3129">
        <w:rPr>
          <w:rFonts w:eastAsia="Times New Roman"/>
        </w:rPr>
        <w:t>’</w:t>
      </w:r>
      <w:r w:rsidRPr="003E3129">
        <w:rPr>
          <w:rFonts w:eastAsia="Times New Roman"/>
        </w:rPr>
        <w:t>égard du requérant. Une de ces conditions était notamment l</w:t>
      </w:r>
      <w:r w:rsidRPr="003E3129" w:rsidR="003E3129">
        <w:rPr>
          <w:rFonts w:eastAsia="Times New Roman"/>
        </w:rPr>
        <w:t>’</w:t>
      </w:r>
      <w:r w:rsidRPr="003E3129">
        <w:rPr>
          <w:rFonts w:eastAsia="Times New Roman"/>
        </w:rPr>
        <w:t>accord de ce dernier à ce que cette loi lui fût appliquée.</w:t>
      </w:r>
    </w:p>
    <w:p w:rsidRPr="003E3129" w:rsidR="00D33065" w:rsidP="003E3129" w14:paraId="57F5D50E"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54</w:t>
      </w:r>
      <w:r w:rsidRPr="003E3129">
        <w:rPr>
          <w:rFonts w:eastAsia="Times New Roman"/>
        </w:rPr>
        <w:fldChar w:fldCharType="end"/>
      </w:r>
      <w:r w:rsidRPr="003E3129">
        <w:rPr>
          <w:rFonts w:eastAsia="Times New Roman"/>
        </w:rPr>
        <w:t>.  Il appartient maintenant à la Cour de déterminer si cette acceptation constitue une reconnaissance de culpabilité. Cela revient à se demander si le requérant a renoncé à ses droits garantis par l</w:t>
      </w:r>
      <w:r w:rsidRPr="003E3129" w:rsidR="003E3129">
        <w:rPr>
          <w:rFonts w:eastAsia="Times New Roman"/>
        </w:rPr>
        <w:t>’</w:t>
      </w:r>
      <w:r w:rsidRPr="003E3129">
        <w:rPr>
          <w:rFonts w:eastAsia="Times New Roman"/>
        </w:rPr>
        <w:t>article 6 de la Convention, et plus précisément à ses droits d</w:t>
      </w:r>
      <w:r w:rsidRPr="003E3129" w:rsidR="003E3129">
        <w:rPr>
          <w:rFonts w:eastAsia="Times New Roman"/>
        </w:rPr>
        <w:t>’</w:t>
      </w:r>
      <w:r w:rsidRPr="003E3129">
        <w:rPr>
          <w:rFonts w:eastAsia="Times New Roman"/>
        </w:rPr>
        <w:t>être présumé innocent et de ne pas contribuer à sa propre incrimination.</w:t>
      </w:r>
    </w:p>
    <w:p w:rsidRPr="003E3129" w:rsidR="00D33065" w:rsidP="003E3129" w14:paraId="0CFB4FE2" w14:textId="77777777">
      <w:pPr>
        <w:pStyle w:val="JuHa0"/>
        <w:rPr>
          <w:rFonts w:eastAsia="Times New Roman"/>
          <w:lang w:val="fr-FR"/>
        </w:rPr>
      </w:pPr>
      <w:r w:rsidRPr="003E3129">
        <w:rPr>
          <w:rFonts w:eastAsia="Times New Roman"/>
          <w:lang w:val="fr-FR"/>
        </w:rPr>
        <w:t>Sur la question de savoir si le requérant a renoncé à ses droits</w:t>
      </w:r>
    </w:p>
    <w:p w:rsidRPr="003E3129" w:rsidR="00D33065" w:rsidP="003E3129" w14:paraId="203443C1" w14:textId="77777777">
      <w:pPr>
        <w:pStyle w:val="JuPara"/>
      </w:pPr>
      <w:r w:rsidRPr="003E3129">
        <w:rPr>
          <w:rFonts w:eastAsia="Times New Roman" w:cs="Times New Roman"/>
        </w:rPr>
        <w:fldChar w:fldCharType="begin"/>
      </w:r>
      <w:r w:rsidRPr="003E3129">
        <w:rPr>
          <w:rFonts w:eastAsia="Times New Roman" w:cs="Times New Roman"/>
        </w:rPr>
        <w:instrText xml:space="preserve"> SEQ level0 \*arabic </w:instrText>
      </w:r>
      <w:r w:rsidRPr="003E3129">
        <w:rPr>
          <w:rFonts w:eastAsia="Times New Roman" w:cs="Times New Roman"/>
        </w:rPr>
        <w:fldChar w:fldCharType="separate"/>
      </w:r>
      <w:r w:rsidRPr="003E3129" w:rsidR="003E3129">
        <w:rPr>
          <w:rFonts w:eastAsia="Times New Roman" w:cs="Times New Roman"/>
          <w:noProof/>
        </w:rPr>
        <w:t>55</w:t>
      </w:r>
      <w:r w:rsidRPr="003E3129">
        <w:rPr>
          <w:rFonts w:eastAsia="Times New Roman" w:cs="Times New Roman"/>
        </w:rPr>
        <w:fldChar w:fldCharType="end"/>
      </w:r>
      <w:r w:rsidRPr="003E3129">
        <w:rPr>
          <w:rFonts w:eastAsia="Times New Roman" w:cs="Times New Roman"/>
        </w:rPr>
        <w:t>.  La Cour rappelle que ni la lettre ni l</w:t>
      </w:r>
      <w:r w:rsidRPr="003E3129" w:rsidR="003E3129">
        <w:rPr>
          <w:rFonts w:eastAsia="Times New Roman" w:cs="Times New Roman"/>
        </w:rPr>
        <w:t>’</w:t>
      </w:r>
      <w:r w:rsidRPr="003E3129">
        <w:rPr>
          <w:rFonts w:eastAsia="Times New Roman" w:cs="Times New Roman"/>
        </w:rPr>
        <w:t>esprit de l</w:t>
      </w:r>
      <w:r w:rsidRPr="003E3129" w:rsidR="003E3129">
        <w:rPr>
          <w:rFonts w:eastAsia="Times New Roman" w:cs="Times New Roman"/>
        </w:rPr>
        <w:t>’</w:t>
      </w:r>
      <w:r w:rsidRPr="003E3129">
        <w:rPr>
          <w:rFonts w:eastAsia="Times New Roman" w:cs="Times New Roman"/>
        </w:rPr>
        <w:t>article 6 de la Convention n</w:t>
      </w:r>
      <w:r w:rsidRPr="003E3129" w:rsidR="003E3129">
        <w:rPr>
          <w:rFonts w:eastAsia="Times New Roman" w:cs="Times New Roman"/>
        </w:rPr>
        <w:t>’</w:t>
      </w:r>
      <w:r w:rsidRPr="003E3129">
        <w:rPr>
          <w:rFonts w:eastAsia="Times New Roman" w:cs="Times New Roman"/>
        </w:rPr>
        <w:t>empêchent une personne de renoncer de son plein gré, de manière expresse ou tacite, aux garanties d</w:t>
      </w:r>
      <w:r w:rsidRPr="003E3129" w:rsidR="003E3129">
        <w:rPr>
          <w:rFonts w:eastAsia="Times New Roman" w:cs="Times New Roman"/>
        </w:rPr>
        <w:t>’</w:t>
      </w:r>
      <w:r w:rsidRPr="003E3129">
        <w:rPr>
          <w:rFonts w:eastAsia="Times New Roman" w:cs="Times New Roman"/>
        </w:rPr>
        <w:t>un procès équitable. Cela s</w:t>
      </w:r>
      <w:r w:rsidRPr="003E3129" w:rsidR="003E3129">
        <w:rPr>
          <w:rFonts w:eastAsia="Times New Roman" w:cs="Times New Roman"/>
        </w:rPr>
        <w:t>’</w:t>
      </w:r>
      <w:r w:rsidRPr="003E3129">
        <w:rPr>
          <w:rFonts w:eastAsia="Times New Roman" w:cs="Times New Roman"/>
        </w:rPr>
        <w:t>applique également aux résolutions alternatives des différends en matière pénale, dont la transaction pénale est l</w:t>
      </w:r>
      <w:r w:rsidRPr="003E3129" w:rsidR="003E3129">
        <w:rPr>
          <w:rFonts w:eastAsia="Times New Roman" w:cs="Times New Roman"/>
        </w:rPr>
        <w:t>’</w:t>
      </w:r>
      <w:r w:rsidRPr="003E3129">
        <w:rPr>
          <w:rFonts w:eastAsia="Times New Roman" w:cs="Times New Roman"/>
        </w:rPr>
        <w:t xml:space="preserve">exemple le plus représentatif (voir, notamment, </w:t>
      </w:r>
      <w:r w:rsidRPr="003E3129">
        <w:rPr>
          <w:rFonts w:eastAsia="Times New Roman" w:cs="Times New Roman"/>
          <w:i/>
          <w:iCs/>
        </w:rPr>
        <w:t>Natsvlishvili et Togonidze c. Géorgie</w:t>
      </w:r>
      <w:r w:rsidRPr="003E3129">
        <w:rPr>
          <w:rFonts w:eastAsia="Times New Roman" w:cs="Times New Roman"/>
        </w:rPr>
        <w:t>, n</w:t>
      </w:r>
      <w:r w:rsidRPr="003E3129">
        <w:rPr>
          <w:rFonts w:eastAsia="Times New Roman" w:cs="Times New Roman"/>
          <w:vertAlign w:val="superscript"/>
        </w:rPr>
        <w:t>o</w:t>
      </w:r>
      <w:r w:rsidRPr="003E3129">
        <w:rPr>
          <w:rFonts w:eastAsia="Times New Roman" w:cs="Times New Roman"/>
        </w:rPr>
        <w:t> 9043/05, §§ 90</w:t>
      </w:r>
      <w:r w:rsidRPr="003E3129">
        <w:rPr>
          <w:rFonts w:eastAsia="Times New Roman" w:cs="Times New Roman"/>
        </w:rPr>
        <w:noBreakHyphen/>
        <w:t>91, CEDH 2014 (extraits)). Toutefois, pour entrer en ligne de compte sous l</w:t>
      </w:r>
      <w:r w:rsidRPr="003E3129" w:rsidR="003E3129">
        <w:rPr>
          <w:rFonts w:eastAsia="Times New Roman" w:cs="Times New Roman"/>
        </w:rPr>
        <w:t>’</w:t>
      </w:r>
      <w:r w:rsidRPr="003E3129">
        <w:rPr>
          <w:rFonts w:eastAsia="Times New Roman" w:cs="Times New Roman"/>
        </w:rPr>
        <w:t>angle de la Convention, pareille renonciation doit se trouver établie de manière non équivoque et doit être entourée d</w:t>
      </w:r>
      <w:r w:rsidRPr="003E3129" w:rsidR="003E3129">
        <w:rPr>
          <w:rFonts w:eastAsia="Times New Roman" w:cs="Times New Roman"/>
        </w:rPr>
        <w:t>’</w:t>
      </w:r>
      <w:r w:rsidRPr="003E3129">
        <w:rPr>
          <w:rFonts w:eastAsia="Times New Roman" w:cs="Times New Roman"/>
        </w:rPr>
        <w:t>un minimum de garanties correspondant à sa gravité. Elle n</w:t>
      </w:r>
      <w:r w:rsidRPr="003E3129" w:rsidR="003E3129">
        <w:rPr>
          <w:rFonts w:eastAsia="Times New Roman" w:cs="Times New Roman"/>
        </w:rPr>
        <w:t>’</w:t>
      </w:r>
      <w:r w:rsidRPr="003E3129">
        <w:rPr>
          <w:rFonts w:eastAsia="Times New Roman" w:cs="Times New Roman"/>
        </w:rPr>
        <w:t>a pas besoin d</w:t>
      </w:r>
      <w:r w:rsidRPr="003E3129" w:rsidR="003E3129">
        <w:rPr>
          <w:rFonts w:eastAsia="Times New Roman" w:cs="Times New Roman"/>
        </w:rPr>
        <w:t>’</w:t>
      </w:r>
      <w:r w:rsidRPr="003E3129">
        <w:rPr>
          <w:rFonts w:eastAsia="Times New Roman" w:cs="Times New Roman"/>
        </w:rPr>
        <w:t>être explicite mais elle doit être volontaire, consciente et éclairée. Avant qu</w:t>
      </w:r>
      <w:r w:rsidRPr="003E3129" w:rsidR="003E3129">
        <w:rPr>
          <w:rFonts w:eastAsia="Times New Roman" w:cs="Times New Roman"/>
        </w:rPr>
        <w:t>’</w:t>
      </w:r>
      <w:r w:rsidRPr="003E3129">
        <w:rPr>
          <w:rFonts w:eastAsia="Times New Roman" w:cs="Times New Roman"/>
        </w:rPr>
        <w:t>un accusé puisse être réputé avoir implicitement renoncé, par son comportement, à un droit important énoncé à l</w:t>
      </w:r>
      <w:r w:rsidRPr="003E3129" w:rsidR="003E3129">
        <w:rPr>
          <w:rFonts w:eastAsia="Times New Roman" w:cs="Times New Roman"/>
        </w:rPr>
        <w:t>’</w:t>
      </w:r>
      <w:r w:rsidRPr="003E3129">
        <w:rPr>
          <w:rFonts w:eastAsia="Times New Roman" w:cs="Times New Roman"/>
        </w:rPr>
        <w:t>article 6, il doit être établi qu</w:t>
      </w:r>
      <w:r w:rsidRPr="003E3129" w:rsidR="003E3129">
        <w:rPr>
          <w:rFonts w:eastAsia="Times New Roman" w:cs="Times New Roman"/>
        </w:rPr>
        <w:t>’</w:t>
      </w:r>
      <w:r w:rsidRPr="003E3129">
        <w:rPr>
          <w:rFonts w:eastAsia="Times New Roman" w:cs="Times New Roman"/>
        </w:rPr>
        <w:t>il aurait pu raisonnablement prévoir les conséquences de son comportement. De plus, cette renonciation ne doit se heurter à aucun intérêt public important (</w:t>
      </w:r>
      <w:r w:rsidRPr="003E3129">
        <w:rPr>
          <w:rFonts w:eastAsia="Times New Roman" w:cs="Times New Roman"/>
          <w:i/>
          <w:iCs/>
        </w:rPr>
        <w:t>Simeonovi c. Bulgarie</w:t>
      </w:r>
      <w:r w:rsidRPr="003E3129">
        <w:rPr>
          <w:rFonts w:eastAsia="Times New Roman" w:cs="Times New Roman"/>
        </w:rPr>
        <w:t> [GC], n</w:t>
      </w:r>
      <w:r w:rsidRPr="003E3129">
        <w:rPr>
          <w:rFonts w:eastAsia="Times New Roman" w:cs="Times New Roman"/>
          <w:vertAlign w:val="superscript"/>
        </w:rPr>
        <w:t>o</w:t>
      </w:r>
      <w:r w:rsidRPr="003E3129">
        <w:rPr>
          <w:rFonts w:eastAsia="Times New Roman" w:cs="Times New Roman"/>
        </w:rPr>
        <w:t> </w:t>
      </w:r>
      <w:hyperlink w:tgtFrame="_blank" w:history="1" w:anchor="{%22appno%22:[%2221980/04%22]}" r:id="rId10">
        <w:r w:rsidRPr="003E3129">
          <w:rPr>
            <w:rFonts w:eastAsia="Times New Roman" w:cs="Times New Roman"/>
          </w:rPr>
          <w:t>21980/04</w:t>
        </w:r>
      </w:hyperlink>
      <w:r w:rsidRPr="003E3129">
        <w:rPr>
          <w:rFonts w:eastAsia="Times New Roman" w:cs="Times New Roman"/>
        </w:rPr>
        <w:t xml:space="preserve">, § 115 et la jurisprudence y citée, 12 mai 2017, et </w:t>
      </w:r>
      <w:r w:rsidRPr="003E3129">
        <w:rPr>
          <w:rFonts w:eastAsia="Times New Roman" w:cs="Times New Roman"/>
          <w:i/>
          <w:iCs/>
        </w:rPr>
        <w:t>Murtazaliyeva c. Russie</w:t>
      </w:r>
      <w:r w:rsidRPr="003E3129">
        <w:rPr>
          <w:rFonts w:eastAsia="Times New Roman" w:cs="Times New Roman"/>
        </w:rPr>
        <w:t> [GC], n</w:t>
      </w:r>
      <w:r w:rsidRPr="003E3129">
        <w:rPr>
          <w:rFonts w:eastAsia="Times New Roman" w:cs="Times New Roman"/>
          <w:vertAlign w:val="superscript"/>
        </w:rPr>
        <w:t>o</w:t>
      </w:r>
      <w:r w:rsidRPr="003E3129">
        <w:rPr>
          <w:rFonts w:eastAsia="Times New Roman" w:cs="Times New Roman"/>
        </w:rPr>
        <w:t> </w:t>
      </w:r>
      <w:hyperlink w:tgtFrame="_blank" w:history="1" w:anchor="{%22appno%22:[%2221980/04%22]}" r:id="rId10">
        <w:r w:rsidRPr="003E3129">
          <w:rPr>
            <w:rFonts w:eastAsia="Times New Roman" w:cs="Times New Roman"/>
          </w:rPr>
          <w:t>36658/05</w:t>
        </w:r>
      </w:hyperlink>
      <w:r w:rsidRPr="003E3129">
        <w:rPr>
          <w:rFonts w:eastAsia="Times New Roman" w:cs="Times New Roman"/>
        </w:rPr>
        <w:t>, § 117, 18 décembre 2018).</w:t>
      </w:r>
    </w:p>
    <w:p w:rsidRPr="003E3129" w:rsidR="00D33065" w:rsidP="003E3129" w14:paraId="101814DD" w14:textId="77777777">
      <w:pPr>
        <w:pStyle w:val="JuPara"/>
        <w:rPr>
          <w:rFonts w:eastAsia="Times New Roman" w:cs="Times New Roman"/>
        </w:rPr>
      </w:pPr>
      <w:r w:rsidRPr="003E3129">
        <w:rPr>
          <w:rFonts w:eastAsia="Times New Roman" w:cs="Times New Roman"/>
        </w:rPr>
        <w:fldChar w:fldCharType="begin"/>
      </w:r>
      <w:r w:rsidRPr="003E3129">
        <w:rPr>
          <w:rFonts w:eastAsia="Times New Roman" w:cs="Times New Roman"/>
        </w:rPr>
        <w:instrText xml:space="preserve"> SEQ level0 \*arabic </w:instrText>
      </w:r>
      <w:r w:rsidRPr="003E3129">
        <w:rPr>
          <w:rFonts w:eastAsia="Times New Roman" w:cs="Times New Roman"/>
        </w:rPr>
        <w:fldChar w:fldCharType="separate"/>
      </w:r>
      <w:r w:rsidRPr="003E3129" w:rsidR="003E3129">
        <w:rPr>
          <w:rFonts w:eastAsia="Times New Roman" w:cs="Times New Roman"/>
          <w:noProof/>
        </w:rPr>
        <w:t>56</w:t>
      </w:r>
      <w:r w:rsidRPr="003E3129">
        <w:rPr>
          <w:rFonts w:eastAsia="Times New Roman" w:cs="Times New Roman"/>
        </w:rPr>
        <w:fldChar w:fldCharType="end"/>
      </w:r>
      <w:r w:rsidRPr="003E3129">
        <w:rPr>
          <w:rFonts w:eastAsia="Times New Roman" w:cs="Times New Roman"/>
        </w:rPr>
        <w:t>.  À l</w:t>
      </w:r>
      <w:r w:rsidRPr="003E3129" w:rsidR="003E3129">
        <w:rPr>
          <w:rFonts w:eastAsia="Times New Roman" w:cs="Times New Roman"/>
        </w:rPr>
        <w:t>’</w:t>
      </w:r>
      <w:r w:rsidRPr="003E3129">
        <w:rPr>
          <w:rFonts w:eastAsia="Times New Roman" w:cs="Times New Roman"/>
        </w:rPr>
        <w:t>instar du droit à un défenseur (</w:t>
      </w:r>
      <w:r w:rsidRPr="003E3129">
        <w:rPr>
          <w:rFonts w:eastAsia="Times New Roman" w:cs="Times New Roman"/>
          <w:i/>
          <w:iCs/>
        </w:rPr>
        <w:t>Dvorski c. Croatie</w:t>
      </w:r>
      <w:r w:rsidRPr="003E3129">
        <w:rPr>
          <w:rFonts w:eastAsia="Times New Roman" w:cs="Times New Roman"/>
        </w:rPr>
        <w:t> [GC], n</w:t>
      </w:r>
      <w:r w:rsidRPr="003E3129">
        <w:rPr>
          <w:rFonts w:eastAsia="Times New Roman" w:cs="Times New Roman"/>
          <w:vertAlign w:val="superscript"/>
        </w:rPr>
        <w:t>o</w:t>
      </w:r>
      <w:r w:rsidRPr="003E3129">
        <w:rPr>
          <w:rFonts w:eastAsia="Times New Roman" w:cs="Times New Roman"/>
        </w:rPr>
        <w:t> 25703/11, § 101, CEDH 2015) ou du droit d</w:t>
      </w:r>
      <w:r w:rsidRPr="003E3129" w:rsidR="003E3129">
        <w:rPr>
          <w:rFonts w:eastAsia="Times New Roman" w:cs="Times New Roman"/>
        </w:rPr>
        <w:t>’</w:t>
      </w:r>
      <w:r w:rsidRPr="003E3129">
        <w:rPr>
          <w:rFonts w:eastAsia="Times New Roman" w:cs="Times New Roman"/>
        </w:rPr>
        <w:t xml:space="preserve">interroger un témoin </w:t>
      </w:r>
      <w:r w:rsidRPr="003E3129">
        <w:rPr>
          <w:rFonts w:eastAsia="Times New Roman" w:cs="Times New Roman"/>
        </w:rPr>
        <w:t>(</w:t>
      </w:r>
      <w:r w:rsidRPr="003E3129">
        <w:rPr>
          <w:rFonts w:eastAsia="Times New Roman" w:cs="Times New Roman"/>
          <w:i/>
          <w:iCs/>
        </w:rPr>
        <w:t>Murtazaliyeva</w:t>
      </w:r>
      <w:r w:rsidRPr="003E3129">
        <w:rPr>
          <w:rFonts w:eastAsia="Times New Roman" w:cs="Times New Roman"/>
        </w:rPr>
        <w:t>, précité, § 118), la Cour relève que le droit d</w:t>
      </w:r>
      <w:r w:rsidRPr="003E3129" w:rsidR="003E3129">
        <w:rPr>
          <w:rFonts w:eastAsia="Times New Roman" w:cs="Times New Roman"/>
        </w:rPr>
        <w:t>’</w:t>
      </w:r>
      <w:r w:rsidRPr="003E3129">
        <w:rPr>
          <w:rFonts w:eastAsia="Times New Roman" w:cs="Times New Roman"/>
        </w:rPr>
        <w:t>être présumé innocent ainsi que celui de ne pas contribuer à sa propre incrimination sont des droits fondamentaux constitutifs de la notion de procès équitable (</w:t>
      </w:r>
      <w:r w:rsidRPr="003E3129">
        <w:rPr>
          <w:i/>
        </w:rPr>
        <w:t>Saunders c. Royaume-Uni</w:t>
      </w:r>
      <w:r w:rsidRPr="003E3129">
        <w:t xml:space="preserve">, 17 décembre 1996, § 68, </w:t>
      </w:r>
      <w:r w:rsidRPr="003E3129">
        <w:rPr>
          <w:i/>
        </w:rPr>
        <w:t>Recueil des arrêts et décisions</w:t>
      </w:r>
      <w:r w:rsidRPr="003E3129">
        <w:t xml:space="preserve"> 1996</w:t>
      </w:r>
      <w:r w:rsidRPr="003E3129">
        <w:noBreakHyphen/>
        <w:t xml:space="preserve">VI, </w:t>
      </w:r>
      <w:r w:rsidRPr="003E3129">
        <w:rPr>
          <w:rFonts w:eastAsia="Times New Roman" w:cs="Times New Roman"/>
          <w:i/>
          <w:iCs/>
        </w:rPr>
        <w:t>Allen</w:t>
      </w:r>
      <w:r w:rsidRPr="003E3129">
        <w:rPr>
          <w:rFonts w:eastAsia="Times New Roman" w:cs="Times New Roman"/>
        </w:rPr>
        <w:t xml:space="preserve">, précité, § 93, et </w:t>
      </w:r>
      <w:r w:rsidRPr="003E3129">
        <w:rPr>
          <w:rFonts w:eastAsia="Times New Roman" w:cs="Times New Roman"/>
          <w:i/>
          <w:iCs/>
        </w:rPr>
        <w:t>Ibrahim et autres c. Royaume</w:t>
      </w:r>
      <w:r w:rsidRPr="003E3129">
        <w:rPr>
          <w:rFonts w:eastAsia="Times New Roman" w:cs="Times New Roman"/>
          <w:i/>
          <w:iCs/>
        </w:rPr>
        <w:noBreakHyphen/>
        <w:t>Uni </w:t>
      </w:r>
      <w:r w:rsidRPr="003E3129">
        <w:rPr>
          <w:rFonts w:eastAsia="Times New Roman" w:cs="Times New Roman"/>
        </w:rPr>
        <w:t>[GC], n</w:t>
      </w:r>
      <w:r w:rsidRPr="003E3129">
        <w:rPr>
          <w:rFonts w:eastAsia="Times New Roman" w:cs="Times New Roman"/>
          <w:vertAlign w:val="superscript"/>
        </w:rPr>
        <w:t>os</w:t>
      </w:r>
      <w:r w:rsidRPr="003E3129">
        <w:rPr>
          <w:rFonts w:eastAsia="Times New Roman" w:cs="Times New Roman"/>
        </w:rPr>
        <w:t> </w:t>
      </w:r>
      <w:hyperlink w:tgtFrame="_blank" w:history="1" w:anchor="{%22appno%22:[%2250541/08%22]}" r:id="rId10">
        <w:r w:rsidRPr="003E3129">
          <w:rPr>
            <w:rFonts w:eastAsia="Times New Roman" w:cs="Times New Roman"/>
          </w:rPr>
          <w:t>50541/08</w:t>
        </w:r>
      </w:hyperlink>
      <w:r w:rsidRPr="003E3129">
        <w:rPr>
          <w:rFonts w:eastAsia="Times New Roman" w:cs="Times New Roman"/>
        </w:rPr>
        <w:t xml:space="preserve"> et 3 autres, § 266, 13 septembre 2016). Elle juge dès lors que toute reconnaissance de culpabilité dans le cadre d</w:t>
      </w:r>
      <w:r w:rsidRPr="003E3129" w:rsidR="003E3129">
        <w:rPr>
          <w:rFonts w:eastAsia="Times New Roman" w:cs="Times New Roman"/>
        </w:rPr>
        <w:t>’</w:t>
      </w:r>
      <w:r w:rsidRPr="003E3129">
        <w:rPr>
          <w:rFonts w:eastAsia="Times New Roman" w:cs="Times New Roman"/>
        </w:rPr>
        <w:t>un accord avec les autorités doit être strictement conforme aux exigences exposées au paragraphe ci-dessus.</w:t>
      </w:r>
    </w:p>
    <w:p w:rsidRPr="003E3129" w:rsidR="00D33065" w:rsidP="003E3129" w14:paraId="06E51C49" w14:textId="77777777">
      <w:pPr>
        <w:pStyle w:val="JuPara"/>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57</w:t>
      </w:r>
      <w:r w:rsidRPr="003E3129">
        <w:rPr>
          <w:rFonts w:eastAsia="Times New Roman"/>
        </w:rPr>
        <w:fldChar w:fldCharType="end"/>
      </w:r>
      <w:r w:rsidRPr="003E3129">
        <w:rPr>
          <w:rFonts w:eastAsia="Times New Roman"/>
        </w:rPr>
        <w:t>.  Se tournant vers les faits de l</w:t>
      </w:r>
      <w:r w:rsidRPr="003E3129" w:rsidR="003E3129">
        <w:rPr>
          <w:rFonts w:eastAsia="Times New Roman"/>
        </w:rPr>
        <w:t>’</w:t>
      </w:r>
      <w:r w:rsidRPr="003E3129">
        <w:rPr>
          <w:rFonts w:eastAsia="Times New Roman"/>
        </w:rPr>
        <w:t>espèce, la Cour note que la Cour suprême de justice a estimé, dans sa décision du 30 août 2006 (paragraphe </w:t>
      </w:r>
      <w:r w:rsidRPr="003E3129">
        <w:rPr>
          <w:rFonts w:eastAsia="Times New Roman"/>
        </w:rPr>
        <w:fldChar w:fldCharType="begin"/>
      </w:r>
      <w:r w:rsidRPr="003E3129">
        <w:rPr>
          <w:rFonts w:eastAsia="Times New Roman"/>
        </w:rPr>
        <w:instrText xml:space="preserve"> REF Déc_CSJ \h </w:instrText>
      </w:r>
      <w:r w:rsidRPr="003E3129" w:rsidR="00FA634F">
        <w:rPr>
          <w:rFonts w:eastAsia="Times New Roman"/>
        </w:rPr>
        <w:instrText xml:space="preserve"> \* MERGEFORMAT </w:instrText>
      </w:r>
      <w:r w:rsidRPr="003E3129">
        <w:rPr>
          <w:rFonts w:eastAsia="Times New Roman"/>
        </w:rPr>
        <w:fldChar w:fldCharType="separate"/>
      </w:r>
      <w:r w:rsidRPr="003E3129" w:rsidR="003E3129">
        <w:rPr>
          <w:noProof/>
        </w:rPr>
        <w:t>13</w:t>
      </w:r>
      <w:r w:rsidRPr="003E3129">
        <w:rPr>
          <w:rFonts w:eastAsia="Times New Roman"/>
        </w:rPr>
        <w:fldChar w:fldCharType="end"/>
      </w:r>
      <w:r w:rsidRPr="003E3129">
        <w:rPr>
          <w:rFonts w:eastAsia="Times New Roman"/>
        </w:rPr>
        <w:t xml:space="preserve"> ci-dessus), que la demande d</w:t>
      </w:r>
      <w:r w:rsidRPr="003E3129" w:rsidR="003E3129">
        <w:rPr>
          <w:rFonts w:eastAsia="Times New Roman"/>
        </w:rPr>
        <w:t>’</w:t>
      </w:r>
      <w:r w:rsidRPr="003E3129">
        <w:rPr>
          <w:rFonts w:eastAsia="Times New Roman"/>
        </w:rPr>
        <w:t>amnistie formulée par le requérant auprès du parquet constituait en substance une reconnaissance de culpabilité. À ce sujet, elle rappelle qu</w:t>
      </w:r>
      <w:r w:rsidRPr="003E3129" w:rsidR="003E3129">
        <w:rPr>
          <w:rFonts w:eastAsia="Times New Roman"/>
        </w:rPr>
        <w:t>’</w:t>
      </w:r>
      <w:r w:rsidRPr="003E3129">
        <w:rPr>
          <w:rFonts w:eastAsia="Times New Roman"/>
        </w:rPr>
        <w:t>elle dispose d</w:t>
      </w:r>
      <w:r w:rsidRPr="003E3129" w:rsidR="003E3129">
        <w:rPr>
          <w:rFonts w:eastAsia="Times New Roman"/>
        </w:rPr>
        <w:t>’</w:t>
      </w:r>
      <w:r w:rsidRPr="003E3129">
        <w:rPr>
          <w:rFonts w:eastAsia="Times New Roman"/>
        </w:rPr>
        <w:t>une compétence limitée s</w:t>
      </w:r>
      <w:r w:rsidRPr="003E3129" w:rsidR="003E3129">
        <w:rPr>
          <w:rFonts w:eastAsia="Times New Roman"/>
        </w:rPr>
        <w:t>’</w:t>
      </w:r>
      <w:r w:rsidRPr="003E3129">
        <w:rPr>
          <w:rFonts w:eastAsia="Times New Roman"/>
        </w:rPr>
        <w:t>agissant de vérifier si le droit national a été correctement interprété et appliqué ; il ne lui appartient pas de se substituer aux tribunaux nationaux, son rôle consistant surtout à s</w:t>
      </w:r>
      <w:r w:rsidRPr="003E3129" w:rsidR="003E3129">
        <w:rPr>
          <w:rFonts w:eastAsia="Times New Roman"/>
        </w:rPr>
        <w:t>’</w:t>
      </w:r>
      <w:r w:rsidRPr="003E3129">
        <w:rPr>
          <w:rFonts w:eastAsia="Times New Roman"/>
        </w:rPr>
        <w:t>assurer que les décisions de ces derniers ne sont pas entachées d</w:t>
      </w:r>
      <w:r w:rsidRPr="003E3129" w:rsidR="003E3129">
        <w:rPr>
          <w:rFonts w:eastAsia="Times New Roman"/>
        </w:rPr>
        <w:t>’</w:t>
      </w:r>
      <w:r w:rsidRPr="003E3129">
        <w:rPr>
          <w:rFonts w:eastAsia="Times New Roman"/>
        </w:rPr>
        <w:t>arbitraire ou d</w:t>
      </w:r>
      <w:r w:rsidRPr="003E3129" w:rsidR="003E3129">
        <w:rPr>
          <w:rFonts w:eastAsia="Times New Roman"/>
        </w:rPr>
        <w:t>’</w:t>
      </w:r>
      <w:r w:rsidRPr="003E3129">
        <w:rPr>
          <w:rFonts w:eastAsia="Times New Roman"/>
        </w:rPr>
        <w:t>irrationalité manifeste (voir, parmi beaucoup d</w:t>
      </w:r>
      <w:r w:rsidRPr="003E3129" w:rsidR="003E3129">
        <w:rPr>
          <w:rFonts w:eastAsia="Times New Roman"/>
        </w:rPr>
        <w:t>’</w:t>
      </w:r>
      <w:r w:rsidRPr="003E3129">
        <w:rPr>
          <w:rFonts w:eastAsia="Times New Roman"/>
        </w:rPr>
        <w:t xml:space="preserve">autres, </w:t>
      </w:r>
      <w:r w:rsidRPr="003E3129">
        <w:rPr>
          <w:rFonts w:eastAsia="Times New Roman"/>
          <w:i/>
          <w:iCs/>
        </w:rPr>
        <w:t>Anheuser-Busch Inc. c. Portugal</w:t>
      </w:r>
      <w:r w:rsidRPr="003E3129">
        <w:rPr>
          <w:rFonts w:eastAsia="Times New Roman"/>
        </w:rPr>
        <w:t xml:space="preserve"> [GC], n</w:t>
      </w:r>
      <w:r w:rsidRPr="003E3129">
        <w:rPr>
          <w:rFonts w:eastAsia="Times New Roman"/>
          <w:vertAlign w:val="superscript"/>
        </w:rPr>
        <w:t>o</w:t>
      </w:r>
      <w:r w:rsidRPr="003E3129">
        <w:rPr>
          <w:rFonts w:eastAsia="Times New Roman"/>
        </w:rPr>
        <w:t> </w:t>
      </w:r>
      <w:hyperlink w:tgtFrame="_blank" w:history="1" w:anchor="{" r:id="rId10">
        <w:r w:rsidRPr="003E3129">
          <w:rPr>
            <w:rFonts w:eastAsia="Times New Roman"/>
          </w:rPr>
          <w:t>73049/01</w:t>
        </w:r>
      </w:hyperlink>
      <w:r w:rsidRPr="003E3129">
        <w:rPr>
          <w:rFonts w:eastAsia="Times New Roman"/>
        </w:rPr>
        <w:t>, § 83, CEDH 2007</w:t>
      </w:r>
      <w:r w:rsidRPr="003E3129">
        <w:rPr>
          <w:rFonts w:eastAsia="Times New Roman"/>
        </w:rPr>
        <w:noBreakHyphen/>
        <w:t xml:space="preserve">I, et </w:t>
      </w:r>
      <w:r w:rsidRPr="003E3129">
        <w:rPr>
          <w:rFonts w:eastAsia="Times New Roman"/>
          <w:i/>
          <w:iCs/>
        </w:rPr>
        <w:t>Paci c. Belgique</w:t>
      </w:r>
      <w:r w:rsidRPr="003E3129">
        <w:rPr>
          <w:rFonts w:eastAsia="Times New Roman"/>
        </w:rPr>
        <w:t>, n</w:t>
      </w:r>
      <w:r w:rsidRPr="003E3129">
        <w:rPr>
          <w:rFonts w:eastAsia="Times New Roman"/>
          <w:vertAlign w:val="superscript"/>
        </w:rPr>
        <w:t>o</w:t>
      </w:r>
      <w:r w:rsidRPr="003E3129">
        <w:rPr>
          <w:rFonts w:eastAsia="Times New Roman"/>
        </w:rPr>
        <w:t xml:space="preserve"> 45597/09, § 73, 17 avril 2018).</w:t>
      </w:r>
    </w:p>
    <w:p w:rsidRPr="003E3129" w:rsidR="00D33065" w:rsidP="003E3129" w14:paraId="1E7AC043"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58</w:t>
      </w:r>
      <w:r w:rsidRPr="003E3129">
        <w:rPr>
          <w:rFonts w:eastAsia="Times New Roman"/>
        </w:rPr>
        <w:fldChar w:fldCharType="end"/>
      </w:r>
      <w:r w:rsidRPr="003E3129">
        <w:rPr>
          <w:rFonts w:eastAsia="Times New Roman"/>
        </w:rPr>
        <w:t>.  La Cour souligne en premier lieu que, lorsqu</w:t>
      </w:r>
      <w:r w:rsidRPr="003E3129" w:rsidR="003E3129">
        <w:rPr>
          <w:rFonts w:eastAsia="Times New Roman"/>
        </w:rPr>
        <w:t>’</w:t>
      </w:r>
      <w:r w:rsidRPr="003E3129">
        <w:rPr>
          <w:rFonts w:eastAsia="Times New Roman"/>
        </w:rPr>
        <w:t>il a eu l</w:t>
      </w:r>
      <w:r w:rsidRPr="003E3129" w:rsidR="003E3129">
        <w:rPr>
          <w:rFonts w:eastAsia="Times New Roman"/>
        </w:rPr>
        <w:t>’</w:t>
      </w:r>
      <w:r w:rsidRPr="003E3129">
        <w:rPr>
          <w:rFonts w:eastAsia="Times New Roman"/>
        </w:rPr>
        <w:t>occasion d</w:t>
      </w:r>
      <w:r w:rsidRPr="003E3129" w:rsidR="003E3129">
        <w:rPr>
          <w:rFonts w:eastAsia="Times New Roman"/>
        </w:rPr>
        <w:t>’</w:t>
      </w:r>
      <w:r w:rsidRPr="003E3129">
        <w:rPr>
          <w:rFonts w:eastAsia="Times New Roman"/>
        </w:rPr>
        <w:t>exposer sa position devant le parquet, le requérant s</w:t>
      </w:r>
      <w:r w:rsidRPr="003E3129" w:rsidR="003E3129">
        <w:rPr>
          <w:rFonts w:eastAsia="Times New Roman"/>
        </w:rPr>
        <w:t>’</w:t>
      </w:r>
      <w:r w:rsidRPr="003E3129">
        <w:rPr>
          <w:rFonts w:eastAsia="Times New Roman"/>
        </w:rPr>
        <w:t>est défendu d</w:t>
      </w:r>
      <w:r w:rsidRPr="003E3129" w:rsidR="003E3129">
        <w:rPr>
          <w:rFonts w:eastAsia="Times New Roman"/>
        </w:rPr>
        <w:t>’</w:t>
      </w:r>
      <w:r w:rsidRPr="003E3129">
        <w:rPr>
          <w:rFonts w:eastAsia="Times New Roman"/>
        </w:rPr>
        <w:t>avoir commis l</w:t>
      </w:r>
      <w:r w:rsidRPr="003E3129" w:rsidR="003E3129">
        <w:rPr>
          <w:rFonts w:eastAsia="Times New Roman"/>
        </w:rPr>
        <w:t>’</w:t>
      </w:r>
      <w:r w:rsidRPr="003E3129">
        <w:rPr>
          <w:rFonts w:eastAsia="Times New Roman"/>
        </w:rPr>
        <w:t xml:space="preserve">infraction reprochée (paragraphe </w:t>
      </w:r>
      <w:r w:rsidRPr="003E3129">
        <w:rPr>
          <w:rFonts w:eastAsia="Times New Roman"/>
        </w:rPr>
        <w:fldChar w:fldCharType="begin"/>
      </w:r>
      <w:r w:rsidRPr="003E3129">
        <w:rPr>
          <w:rFonts w:eastAsia="Times New Roman"/>
        </w:rPr>
        <w:instrText xml:space="preserve"> REF ordonnance_fond_2dec2003 \h </w:instrText>
      </w:r>
      <w:r w:rsidRPr="003E3129" w:rsidR="00FA634F">
        <w:rPr>
          <w:rFonts w:eastAsia="Times New Roman"/>
        </w:rPr>
        <w:instrText xml:space="preserve"> \* MERGEFORMAT </w:instrText>
      </w:r>
      <w:r w:rsidRPr="003E3129">
        <w:rPr>
          <w:rFonts w:eastAsia="Times New Roman"/>
        </w:rPr>
        <w:fldChar w:fldCharType="separate"/>
      </w:r>
      <w:r w:rsidRPr="003E3129" w:rsidR="003E3129">
        <w:rPr>
          <w:noProof/>
        </w:rPr>
        <w:t>5</w:t>
      </w:r>
      <w:r w:rsidRPr="003E3129">
        <w:rPr>
          <w:rFonts w:eastAsia="Times New Roman"/>
        </w:rPr>
        <w:fldChar w:fldCharType="end"/>
      </w:r>
      <w:r w:rsidRPr="003E3129">
        <w:rPr>
          <w:rFonts w:eastAsia="Times New Roman"/>
        </w:rPr>
        <w:t xml:space="preserve"> ci-dessus).</w:t>
      </w:r>
    </w:p>
    <w:p w:rsidRPr="003E3129" w:rsidR="00D33065" w:rsidP="003E3129" w14:paraId="662E9677" w14:textId="77777777">
      <w:pPr>
        <w:pStyle w:val="JuPara"/>
      </w:pPr>
      <w:r w:rsidRPr="003E3129">
        <w:rPr>
          <w:rFonts w:eastAsia="Times New Roman" w:cs="Times New Roman"/>
        </w:rPr>
        <w:fldChar w:fldCharType="begin"/>
      </w:r>
      <w:r w:rsidRPr="003E3129">
        <w:rPr>
          <w:rFonts w:eastAsia="Times New Roman" w:cs="Times New Roman"/>
        </w:rPr>
        <w:instrText xml:space="preserve"> SEQ level0 \*arabic </w:instrText>
      </w:r>
      <w:r w:rsidRPr="003E3129">
        <w:rPr>
          <w:rFonts w:eastAsia="Times New Roman" w:cs="Times New Roman"/>
        </w:rPr>
        <w:fldChar w:fldCharType="separate"/>
      </w:r>
      <w:r w:rsidRPr="003E3129" w:rsidR="003E3129">
        <w:rPr>
          <w:rFonts w:eastAsia="Times New Roman" w:cs="Times New Roman"/>
          <w:noProof/>
        </w:rPr>
        <w:t>59</w:t>
      </w:r>
      <w:r w:rsidRPr="003E3129">
        <w:rPr>
          <w:rFonts w:eastAsia="Times New Roman" w:cs="Times New Roman"/>
        </w:rPr>
        <w:fldChar w:fldCharType="end"/>
      </w:r>
      <w:r w:rsidRPr="003E3129">
        <w:rPr>
          <w:rFonts w:eastAsia="Times New Roman" w:cs="Times New Roman"/>
        </w:rPr>
        <w:t>.  Elle fait ensuite observer que, selon les dispositions internes pertinentes en l</w:t>
      </w:r>
      <w:r w:rsidRPr="003E3129" w:rsidR="003E3129">
        <w:rPr>
          <w:rFonts w:eastAsia="Times New Roman" w:cs="Times New Roman"/>
        </w:rPr>
        <w:t>’</w:t>
      </w:r>
      <w:r w:rsidRPr="003E3129">
        <w:rPr>
          <w:rFonts w:eastAsia="Times New Roman" w:cs="Times New Roman"/>
        </w:rPr>
        <w:t xml:space="preserve">espèce (paragraphes </w:t>
      </w:r>
      <w:r w:rsidRPr="003E3129">
        <w:rPr>
          <w:rFonts w:eastAsia="Times New Roman" w:cs="Times New Roman"/>
        </w:rPr>
        <w:fldChar w:fldCharType="begin"/>
      </w:r>
      <w:r w:rsidRPr="003E3129">
        <w:rPr>
          <w:rFonts w:eastAsia="Times New Roman" w:cs="Times New Roman"/>
        </w:rPr>
        <w:instrText xml:space="preserve"> REF loi_amnistie_2004 \h </w:instrText>
      </w:r>
      <w:r w:rsidRPr="003E3129">
        <w:rPr>
          <w:rFonts w:eastAsia="Times New Roman" w:cs="Times New Roman"/>
        </w:rPr>
        <w:fldChar w:fldCharType="separate"/>
      </w:r>
      <w:r w:rsidRPr="003E3129" w:rsidR="003E3129">
        <w:rPr>
          <w:noProof/>
        </w:rPr>
        <w:t>21</w:t>
      </w:r>
      <w:r w:rsidRPr="003E3129">
        <w:rPr>
          <w:rFonts w:eastAsia="Times New Roman" w:cs="Times New Roman"/>
        </w:rPr>
        <w:fldChar w:fldCharType="end"/>
      </w:r>
      <w:r w:rsidRPr="003E3129">
        <w:rPr>
          <w:rFonts w:eastAsia="Times New Roman" w:cs="Times New Roman"/>
        </w:rPr>
        <w:t xml:space="preserve">, </w:t>
      </w:r>
      <w:r w:rsidRPr="003E3129">
        <w:rPr>
          <w:rFonts w:eastAsia="Times New Roman" w:cs="Times New Roman"/>
        </w:rPr>
        <w:fldChar w:fldCharType="begin"/>
      </w:r>
      <w:r w:rsidRPr="003E3129">
        <w:rPr>
          <w:rFonts w:eastAsia="Times New Roman" w:cs="Times New Roman"/>
        </w:rPr>
        <w:instrText xml:space="preserve"> REF code_pénal \h </w:instrText>
      </w:r>
      <w:r w:rsidRPr="003E3129">
        <w:rPr>
          <w:rFonts w:eastAsia="Times New Roman" w:cs="Times New Roman"/>
        </w:rPr>
        <w:fldChar w:fldCharType="separate"/>
      </w:r>
      <w:r w:rsidRPr="003E3129" w:rsidR="003E3129">
        <w:rPr>
          <w:noProof/>
        </w:rPr>
        <w:t>23</w:t>
      </w:r>
      <w:r w:rsidRPr="003E3129">
        <w:rPr>
          <w:rFonts w:eastAsia="Times New Roman" w:cs="Times New Roman"/>
        </w:rPr>
        <w:fldChar w:fldCharType="end"/>
      </w:r>
      <w:r w:rsidRPr="003E3129">
        <w:rPr>
          <w:rFonts w:eastAsia="Times New Roman" w:cs="Times New Roman"/>
        </w:rPr>
        <w:t xml:space="preserve"> et </w:t>
      </w:r>
      <w:r w:rsidRPr="003E3129">
        <w:rPr>
          <w:rFonts w:eastAsia="Times New Roman" w:cs="Times New Roman"/>
        </w:rPr>
        <w:fldChar w:fldCharType="begin"/>
      </w:r>
      <w:r w:rsidRPr="003E3129">
        <w:rPr>
          <w:rFonts w:eastAsia="Times New Roman" w:cs="Times New Roman"/>
        </w:rPr>
        <w:instrText xml:space="preserve"> REF code_procédure_pénale \h </w:instrText>
      </w:r>
      <w:r w:rsidRPr="003E3129">
        <w:rPr>
          <w:rFonts w:eastAsia="Times New Roman" w:cs="Times New Roman"/>
        </w:rPr>
        <w:fldChar w:fldCharType="separate"/>
      </w:r>
      <w:r w:rsidRPr="003E3129" w:rsidR="003E3129">
        <w:rPr>
          <w:noProof/>
        </w:rPr>
        <w:t>24</w:t>
      </w:r>
      <w:r w:rsidRPr="003E3129">
        <w:rPr>
          <w:rFonts w:eastAsia="Times New Roman" w:cs="Times New Roman"/>
        </w:rPr>
        <w:fldChar w:fldCharType="end"/>
      </w:r>
      <w:r w:rsidRPr="003E3129">
        <w:rPr>
          <w:rFonts w:eastAsia="Times New Roman" w:cs="Times New Roman"/>
        </w:rPr>
        <w:t xml:space="preserve"> ci-dessus), l</w:t>
      </w:r>
      <w:r w:rsidRPr="003E3129" w:rsidR="003E3129">
        <w:rPr>
          <w:rFonts w:eastAsia="Times New Roman" w:cs="Times New Roman"/>
        </w:rPr>
        <w:t>’</w:t>
      </w:r>
      <w:r w:rsidRPr="003E3129">
        <w:rPr>
          <w:rFonts w:eastAsia="Times New Roman" w:cs="Times New Roman"/>
        </w:rPr>
        <w:t>amnistie pouvait être appliquée à n</w:t>
      </w:r>
      <w:r w:rsidRPr="003E3129" w:rsidR="003E3129">
        <w:rPr>
          <w:rFonts w:eastAsia="Times New Roman" w:cs="Times New Roman"/>
        </w:rPr>
        <w:t>’</w:t>
      </w:r>
      <w:r w:rsidRPr="003E3129">
        <w:rPr>
          <w:rFonts w:eastAsia="Times New Roman" w:cs="Times New Roman"/>
        </w:rPr>
        <w:t>importe quelle étape de la procédure pénale. En application notamment de l</w:t>
      </w:r>
      <w:r w:rsidRPr="003E3129" w:rsidR="003E3129">
        <w:rPr>
          <w:rFonts w:eastAsia="Times New Roman" w:cs="Times New Roman"/>
        </w:rPr>
        <w:t>’</w:t>
      </w:r>
      <w:r w:rsidRPr="003E3129">
        <w:rPr>
          <w:rFonts w:eastAsia="Times New Roman" w:cs="Times New Roman"/>
        </w:rPr>
        <w:t>article 275 du code de procédure pénale (paragraphe </w:t>
      </w:r>
      <w:r w:rsidRPr="003E3129">
        <w:rPr>
          <w:rFonts w:eastAsia="Times New Roman" w:cs="Times New Roman"/>
        </w:rPr>
        <w:fldChar w:fldCharType="begin"/>
      </w:r>
      <w:r w:rsidRPr="003E3129">
        <w:rPr>
          <w:rFonts w:eastAsia="Times New Roman" w:cs="Times New Roman"/>
        </w:rPr>
        <w:instrText xml:space="preserve"> REF code_procédure_pénale \h </w:instrText>
      </w:r>
      <w:r w:rsidRPr="003E3129">
        <w:rPr>
          <w:rFonts w:eastAsia="Times New Roman" w:cs="Times New Roman"/>
        </w:rPr>
        <w:fldChar w:fldCharType="separate"/>
      </w:r>
      <w:r w:rsidRPr="003E3129" w:rsidR="003E3129">
        <w:rPr>
          <w:noProof/>
        </w:rPr>
        <w:t>24</w:t>
      </w:r>
      <w:r w:rsidRPr="003E3129">
        <w:rPr>
          <w:rFonts w:eastAsia="Times New Roman" w:cs="Times New Roman"/>
        </w:rPr>
        <w:fldChar w:fldCharType="end"/>
      </w:r>
      <w:r w:rsidRPr="003E3129">
        <w:rPr>
          <w:rFonts w:eastAsia="Times New Roman" w:cs="Times New Roman"/>
        </w:rPr>
        <w:t xml:space="preserve"> ci-dessus), l</w:t>
      </w:r>
      <w:r w:rsidRPr="003E3129" w:rsidR="003E3129">
        <w:rPr>
          <w:rFonts w:eastAsia="Times New Roman" w:cs="Times New Roman"/>
        </w:rPr>
        <w:t>’</w:t>
      </w:r>
      <w:r w:rsidRPr="003E3129">
        <w:rPr>
          <w:rFonts w:eastAsia="Times New Roman" w:cs="Times New Roman"/>
        </w:rPr>
        <w:t>intervention de l</w:t>
      </w:r>
      <w:r w:rsidRPr="003E3129" w:rsidR="003E3129">
        <w:rPr>
          <w:rFonts w:eastAsia="Times New Roman" w:cs="Times New Roman"/>
        </w:rPr>
        <w:t>’</w:t>
      </w:r>
      <w:r w:rsidRPr="003E3129">
        <w:rPr>
          <w:rFonts w:eastAsia="Times New Roman" w:cs="Times New Roman"/>
        </w:rPr>
        <w:t>amnistie s</w:t>
      </w:r>
      <w:r w:rsidRPr="003E3129" w:rsidR="003E3129">
        <w:rPr>
          <w:rFonts w:eastAsia="Times New Roman" w:cs="Times New Roman"/>
        </w:rPr>
        <w:t>’</w:t>
      </w:r>
      <w:r w:rsidRPr="003E3129">
        <w:rPr>
          <w:rFonts w:eastAsia="Times New Roman" w:cs="Times New Roman"/>
        </w:rPr>
        <w:t>opposait, au même titre que la prescription par exemple, à la poursuite de l</w:t>
      </w:r>
      <w:r w:rsidRPr="003E3129" w:rsidR="003E3129">
        <w:rPr>
          <w:rFonts w:eastAsia="Times New Roman" w:cs="Times New Roman"/>
        </w:rPr>
        <w:t>’</w:t>
      </w:r>
      <w:r w:rsidRPr="003E3129">
        <w:rPr>
          <w:rFonts w:eastAsia="Times New Roman" w:cs="Times New Roman"/>
        </w:rPr>
        <w:t>instruction pénale (voir, pour des exemples d</w:t>
      </w:r>
      <w:r w:rsidRPr="003E3129" w:rsidR="003E3129">
        <w:rPr>
          <w:rFonts w:eastAsia="Times New Roman" w:cs="Times New Roman"/>
        </w:rPr>
        <w:t>’</w:t>
      </w:r>
      <w:r w:rsidRPr="003E3129">
        <w:rPr>
          <w:rFonts w:eastAsia="Times New Roman" w:cs="Times New Roman"/>
        </w:rPr>
        <w:t>extinction de l</w:t>
      </w:r>
      <w:r w:rsidRPr="003E3129" w:rsidR="003E3129">
        <w:rPr>
          <w:rFonts w:eastAsia="Times New Roman" w:cs="Times New Roman"/>
        </w:rPr>
        <w:t>’</w:t>
      </w:r>
      <w:r w:rsidRPr="003E3129">
        <w:rPr>
          <w:rFonts w:eastAsia="Times New Roman" w:cs="Times New Roman"/>
        </w:rPr>
        <w:t xml:space="preserve">action publique faisant obstacle à toute déclaration de culpabilité, </w:t>
      </w:r>
      <w:r w:rsidRPr="003E3129">
        <w:rPr>
          <w:i/>
        </w:rPr>
        <w:t>Stirmanov c. Russie</w:t>
      </w:r>
      <w:r w:rsidRPr="003E3129">
        <w:rPr>
          <w:lang w:eastAsia="en-GB"/>
        </w:rPr>
        <w:t xml:space="preserve">, </w:t>
      </w:r>
      <w:r w:rsidRPr="003E3129">
        <w:t>n</w:t>
      </w:r>
      <w:r w:rsidRPr="003E3129">
        <w:rPr>
          <w:vertAlign w:val="superscript"/>
        </w:rPr>
        <w:t>o</w:t>
      </w:r>
      <w:r w:rsidRPr="003E3129">
        <w:t xml:space="preserve"> 31816/08</w:t>
      </w:r>
      <w:r w:rsidRPr="003E3129">
        <w:rPr>
          <w:lang w:eastAsia="en-GB"/>
        </w:rPr>
        <w:t xml:space="preserve">, </w:t>
      </w:r>
      <w:r w:rsidRPr="003E3129">
        <w:t>§ 43 et la jurisprudence y citée, 29 janvier 2019).</w:t>
      </w:r>
    </w:p>
    <w:p w:rsidRPr="003E3129" w:rsidR="00D33065" w:rsidP="003E3129" w14:paraId="244F420D"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60</w:t>
      </w:r>
      <w:r w:rsidRPr="003E3129">
        <w:fldChar w:fldCharType="end"/>
      </w:r>
      <w:r w:rsidRPr="003E3129">
        <w:t>.  En outre, la Cour relève que ni les dispositions de la loi d</w:t>
      </w:r>
      <w:r w:rsidRPr="003E3129" w:rsidR="003E3129">
        <w:t>’</w:t>
      </w:r>
      <w:r w:rsidRPr="003E3129">
        <w:t>amnistie de 2004 ni celles des codes pénal et de procédure pénale (paragraphes </w:t>
      </w:r>
      <w:r w:rsidRPr="003E3129">
        <w:fldChar w:fldCharType="begin"/>
      </w:r>
      <w:r w:rsidRPr="003E3129">
        <w:instrText xml:space="preserve"> REF loi_amnistie_2004 \h </w:instrText>
      </w:r>
      <w:r w:rsidRPr="003E3129" w:rsidR="00FA634F">
        <w:instrText xml:space="preserve"> \* MERGEFORMAT </w:instrText>
      </w:r>
      <w:r w:rsidRPr="003E3129">
        <w:fldChar w:fldCharType="separate"/>
      </w:r>
      <w:r w:rsidRPr="003E3129" w:rsidR="003E3129">
        <w:t>21</w:t>
      </w:r>
      <w:r w:rsidRPr="003E3129">
        <w:fldChar w:fldCharType="end"/>
      </w:r>
      <w:r w:rsidRPr="003E3129">
        <w:t xml:space="preserve">, </w:t>
      </w:r>
      <w:r w:rsidRPr="003E3129">
        <w:fldChar w:fldCharType="begin"/>
      </w:r>
      <w:r w:rsidRPr="003E3129">
        <w:instrText xml:space="preserve"> REF code_pénal \h </w:instrText>
      </w:r>
      <w:r w:rsidRPr="003E3129" w:rsidR="00FA634F">
        <w:instrText xml:space="preserve"> \* MERGEFORMAT </w:instrText>
      </w:r>
      <w:r w:rsidRPr="003E3129">
        <w:fldChar w:fldCharType="separate"/>
      </w:r>
      <w:r w:rsidRPr="003E3129" w:rsidR="003E3129">
        <w:t>23</w:t>
      </w:r>
      <w:r w:rsidRPr="003E3129">
        <w:fldChar w:fldCharType="end"/>
      </w:r>
      <w:r w:rsidRPr="003E3129">
        <w:t xml:space="preserve"> et </w:t>
      </w:r>
      <w:r w:rsidRPr="003E3129">
        <w:fldChar w:fldCharType="begin"/>
      </w:r>
      <w:r w:rsidRPr="003E3129">
        <w:instrText xml:space="preserve"> REF code_procédure_pénale \h </w:instrText>
      </w:r>
      <w:r w:rsidRPr="003E3129" w:rsidR="00FA634F">
        <w:instrText xml:space="preserve"> \* MERGEFORMAT </w:instrText>
      </w:r>
      <w:r w:rsidRPr="003E3129">
        <w:fldChar w:fldCharType="separate"/>
      </w:r>
      <w:r w:rsidRPr="003E3129" w:rsidR="003E3129">
        <w:t>24</w:t>
      </w:r>
      <w:r w:rsidRPr="003E3129">
        <w:fldChar w:fldCharType="end"/>
      </w:r>
      <w:r w:rsidRPr="003E3129">
        <w:t xml:space="preserve"> ci-dessus) n</w:t>
      </w:r>
      <w:r w:rsidRPr="003E3129" w:rsidR="003E3129">
        <w:t>’</w:t>
      </w:r>
      <w:r w:rsidRPr="003E3129">
        <w:t>énonçaient de manière expresse que la reconnaissance préalable de culpabilité était une des conditions pour appliquer l</w:t>
      </w:r>
      <w:r w:rsidRPr="003E3129" w:rsidR="003E3129">
        <w:t>’</w:t>
      </w:r>
      <w:r w:rsidRPr="003E3129">
        <w:t>acte d</w:t>
      </w:r>
      <w:r w:rsidRPr="003E3129" w:rsidR="003E3129">
        <w:t>’</w:t>
      </w:r>
      <w:r w:rsidRPr="003E3129">
        <w:t>amnistie. Il ne ressort pas non plus avec certitude du libellé de ces dispositions que l</w:t>
      </w:r>
      <w:r w:rsidRPr="003E3129" w:rsidR="003E3129">
        <w:t>’</w:t>
      </w:r>
      <w:r w:rsidRPr="003E3129">
        <w:t>acceptation par un suspect de l</w:t>
      </w:r>
      <w:r w:rsidRPr="003E3129" w:rsidR="003E3129">
        <w:t>’</w:t>
      </w:r>
      <w:r w:rsidRPr="003E3129">
        <w:t>application à son égard de l</w:t>
      </w:r>
      <w:r w:rsidRPr="003E3129" w:rsidR="003E3129">
        <w:t>’</w:t>
      </w:r>
      <w:r w:rsidRPr="003E3129">
        <w:t>amnistie équivalait à une reconnaissance de culpabilité. La Cour prête surtout une attention particulière au fait que, à la différence des dispositions de la loi d</w:t>
      </w:r>
      <w:r w:rsidRPr="003E3129" w:rsidR="003E3129">
        <w:t>’</w:t>
      </w:r>
      <w:r w:rsidRPr="003E3129">
        <w:t>amnistie de 2016 (paragraphe </w:t>
      </w:r>
      <w:r w:rsidRPr="003E3129">
        <w:fldChar w:fldCharType="begin"/>
      </w:r>
      <w:r w:rsidRPr="003E3129">
        <w:instrText xml:space="preserve"> REF loi_amnistie_2016 \h </w:instrText>
      </w:r>
      <w:r w:rsidRPr="003E3129" w:rsidR="00FA634F">
        <w:instrText xml:space="preserve"> \* MERGEFORMAT </w:instrText>
      </w:r>
      <w:r w:rsidRPr="003E3129">
        <w:fldChar w:fldCharType="separate"/>
      </w:r>
      <w:r w:rsidRPr="003E3129" w:rsidR="003E3129">
        <w:t>22</w:t>
      </w:r>
      <w:r w:rsidRPr="003E3129">
        <w:fldChar w:fldCharType="end"/>
      </w:r>
      <w:r w:rsidRPr="003E3129">
        <w:t xml:space="preserve"> ci-dessus), celles de la loi d</w:t>
      </w:r>
      <w:r w:rsidRPr="003E3129" w:rsidR="003E3129">
        <w:t>’</w:t>
      </w:r>
      <w:r w:rsidRPr="003E3129">
        <w:t>amnistie de 2004 n</w:t>
      </w:r>
      <w:r w:rsidRPr="003E3129" w:rsidR="003E3129">
        <w:t>’</w:t>
      </w:r>
      <w:r w:rsidRPr="003E3129">
        <w:t>exigeaient pas que le suspect exprimât un repentir actif.</w:t>
      </w:r>
    </w:p>
    <w:p w:rsidRPr="003E3129" w:rsidR="00D33065" w:rsidP="003E3129" w14:paraId="0FA5B901"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61</w:t>
      </w:r>
      <w:r w:rsidRPr="003E3129">
        <w:fldChar w:fldCharType="end"/>
      </w:r>
      <w:r w:rsidRPr="003E3129">
        <w:t>.  Elle estime également que l</w:t>
      </w:r>
      <w:r w:rsidRPr="003E3129" w:rsidR="003E3129">
        <w:t>’</w:t>
      </w:r>
      <w:r w:rsidRPr="003E3129">
        <w:t>acceptation par le requérant de l</w:t>
      </w:r>
      <w:r w:rsidRPr="003E3129" w:rsidR="003E3129">
        <w:t>’</w:t>
      </w:r>
      <w:r w:rsidRPr="003E3129">
        <w:t>amnistie ne saurait non plus passer pour des aveux au sens classique ni pour une auto-dénonciation prévue à l</w:t>
      </w:r>
      <w:r w:rsidRPr="003E3129" w:rsidR="003E3129">
        <w:t>’</w:t>
      </w:r>
      <w:r w:rsidRPr="003E3129">
        <w:t xml:space="preserve">article 264 du code de procédure pénale (paragraphe </w:t>
      </w:r>
      <w:r w:rsidRPr="003E3129">
        <w:fldChar w:fldCharType="begin"/>
      </w:r>
      <w:r w:rsidRPr="003E3129">
        <w:instrText xml:space="preserve"> REF code_procédure_pénale \h </w:instrText>
      </w:r>
      <w:r w:rsidRPr="003E3129" w:rsidR="00FA634F">
        <w:instrText xml:space="preserve"> \* MERGEFORMAT </w:instrText>
      </w:r>
      <w:r w:rsidRPr="003E3129">
        <w:fldChar w:fldCharType="separate"/>
      </w:r>
      <w:r w:rsidRPr="003E3129" w:rsidR="003E3129">
        <w:t>24</w:t>
      </w:r>
      <w:r w:rsidRPr="003E3129">
        <w:fldChar w:fldCharType="end"/>
      </w:r>
      <w:r w:rsidRPr="003E3129">
        <w:t xml:space="preserve"> ci-dessus).</w:t>
      </w:r>
    </w:p>
    <w:p w:rsidRPr="003E3129" w:rsidR="00D33065" w:rsidP="003E3129" w14:paraId="63B70B64"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62</w:t>
      </w:r>
      <w:r w:rsidRPr="003E3129">
        <w:fldChar w:fldCharType="end"/>
      </w:r>
      <w:r w:rsidRPr="003E3129">
        <w:t>.  Elle note de plus que le code de procédure pénale prévoit expressément deux cas de figure où une personne peut être amenée à reconnaître sa culpabilité dans le cadre d</w:t>
      </w:r>
      <w:r w:rsidRPr="003E3129" w:rsidR="003E3129">
        <w:t>’</w:t>
      </w:r>
      <w:r w:rsidRPr="003E3129">
        <w:t>une forme d</w:t>
      </w:r>
      <w:r w:rsidRPr="003E3129" w:rsidR="003E3129">
        <w:t>’</w:t>
      </w:r>
      <w:r w:rsidRPr="003E3129">
        <w:t>entente avec le parquet, à savoir l</w:t>
      </w:r>
      <w:r w:rsidRPr="003E3129" w:rsidR="003E3129">
        <w:t>’</w:t>
      </w:r>
      <w:r w:rsidRPr="003E3129">
        <w:t>accord de reconnaissance de culpabilité (article 504) et l</w:t>
      </w:r>
      <w:r w:rsidRPr="003E3129" w:rsidR="003E3129">
        <w:t>’</w:t>
      </w:r>
      <w:r w:rsidRPr="003E3129">
        <w:t>ajournement conditionné des poursuites pénales (article 510). Or, elle fait observer que la situation du requérant en l</w:t>
      </w:r>
      <w:r w:rsidRPr="003E3129" w:rsidR="003E3129">
        <w:t>’</w:t>
      </w:r>
      <w:r w:rsidRPr="003E3129">
        <w:t>espèce ne correspondait à aucun de ces cas de figure.</w:t>
      </w:r>
    </w:p>
    <w:p w:rsidRPr="003E3129" w:rsidR="00D33065" w:rsidP="003E3129" w14:paraId="003CE5BB"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63</w:t>
      </w:r>
      <w:r w:rsidRPr="003E3129">
        <w:fldChar w:fldCharType="end"/>
      </w:r>
      <w:r w:rsidRPr="003E3129">
        <w:t>.  Enfin, la Cour relève que, selon l</w:t>
      </w:r>
      <w:r w:rsidRPr="003E3129" w:rsidR="003E3129">
        <w:t>’</w:t>
      </w:r>
      <w:r w:rsidRPr="003E3129">
        <w:t>article 64 § 3 du code de procédure pénale, l</w:t>
      </w:r>
      <w:r w:rsidRPr="003E3129" w:rsidR="003E3129">
        <w:t>’</w:t>
      </w:r>
      <w:r w:rsidRPr="003E3129">
        <w:t>exercice par un suspect de ses droits ne pouvait pas être interprété au détriment de celui-ci.</w:t>
      </w:r>
    </w:p>
    <w:p w:rsidRPr="003E3129" w:rsidR="00D33065" w:rsidP="003E3129" w14:paraId="3B45E7B6" w14:textId="77777777">
      <w:pPr>
        <w:pStyle w:val="JuPara"/>
        <w:rPr>
          <w:rFonts w:eastAsia="Times New Roman" w:cs="Times New Roman"/>
        </w:rPr>
      </w:pPr>
      <w:r w:rsidRPr="003E3129">
        <w:rPr>
          <w:rFonts w:eastAsia="Times New Roman" w:cs="Times New Roman"/>
        </w:rPr>
        <w:fldChar w:fldCharType="begin"/>
      </w:r>
      <w:r w:rsidRPr="003E3129">
        <w:rPr>
          <w:rFonts w:eastAsia="Times New Roman" w:cs="Times New Roman"/>
        </w:rPr>
        <w:instrText xml:space="preserve"> SEQ level0 \*arabic </w:instrText>
      </w:r>
      <w:r w:rsidRPr="003E3129">
        <w:rPr>
          <w:rFonts w:eastAsia="Times New Roman" w:cs="Times New Roman"/>
        </w:rPr>
        <w:fldChar w:fldCharType="separate"/>
      </w:r>
      <w:r w:rsidRPr="003E3129" w:rsidR="003E3129">
        <w:rPr>
          <w:rFonts w:eastAsia="Times New Roman" w:cs="Times New Roman"/>
          <w:noProof/>
        </w:rPr>
        <w:t>64</w:t>
      </w:r>
      <w:r w:rsidRPr="003E3129">
        <w:rPr>
          <w:rFonts w:eastAsia="Times New Roman" w:cs="Times New Roman"/>
        </w:rPr>
        <w:fldChar w:fldCharType="end"/>
      </w:r>
      <w:r w:rsidRPr="003E3129">
        <w:rPr>
          <w:rFonts w:eastAsia="Times New Roman" w:cs="Times New Roman"/>
        </w:rPr>
        <w:t>.  Compte tenu donc du droit interne pertinent en l</w:t>
      </w:r>
      <w:r w:rsidRPr="003E3129" w:rsidR="003E3129">
        <w:rPr>
          <w:rFonts w:eastAsia="Times New Roman" w:cs="Times New Roman"/>
        </w:rPr>
        <w:t>’</w:t>
      </w:r>
      <w:r w:rsidRPr="003E3129">
        <w:rPr>
          <w:rFonts w:eastAsia="Times New Roman" w:cs="Times New Roman"/>
        </w:rPr>
        <w:t>espèce, elle estime que le requérant ne pouvait raisonnablement s</w:t>
      </w:r>
      <w:r w:rsidRPr="003E3129" w:rsidR="003E3129">
        <w:rPr>
          <w:rFonts w:eastAsia="Times New Roman" w:cs="Times New Roman"/>
        </w:rPr>
        <w:t>’</w:t>
      </w:r>
      <w:r w:rsidRPr="003E3129">
        <w:rPr>
          <w:rFonts w:eastAsia="Times New Roman" w:cs="Times New Roman"/>
        </w:rPr>
        <w:t>attendre à ce que sa demande d</w:t>
      </w:r>
      <w:r w:rsidRPr="003E3129" w:rsidR="003E3129">
        <w:rPr>
          <w:rFonts w:eastAsia="Times New Roman" w:cs="Times New Roman"/>
        </w:rPr>
        <w:t>’</w:t>
      </w:r>
      <w:r w:rsidRPr="003E3129">
        <w:rPr>
          <w:rFonts w:eastAsia="Times New Roman" w:cs="Times New Roman"/>
        </w:rPr>
        <w:t>amnistie formulée pendant l</w:t>
      </w:r>
      <w:r w:rsidRPr="003E3129" w:rsidR="003E3129">
        <w:rPr>
          <w:rFonts w:eastAsia="Times New Roman" w:cs="Times New Roman"/>
        </w:rPr>
        <w:t>’</w:t>
      </w:r>
      <w:r w:rsidRPr="003E3129">
        <w:rPr>
          <w:rFonts w:eastAsia="Times New Roman" w:cs="Times New Roman"/>
        </w:rPr>
        <w:t xml:space="preserve">instruction de son affaire pénale fût interprétée comme une reconnaissance de culpabilité (comparer avec </w:t>
      </w:r>
      <w:r w:rsidRPr="003E3129">
        <w:rPr>
          <w:i/>
        </w:rPr>
        <w:t>Béres et autres c. Hongrie</w:t>
      </w:r>
      <w:r w:rsidRPr="003E3129">
        <w:t>, n</w:t>
      </w:r>
      <w:r w:rsidRPr="003E3129">
        <w:rPr>
          <w:vertAlign w:val="superscript"/>
        </w:rPr>
        <w:t>os</w:t>
      </w:r>
      <w:r w:rsidRPr="003E3129">
        <w:t xml:space="preserve"> 59588/12 et 2 autres, </w:t>
      </w:r>
      <w:r w:rsidRPr="003E3129">
        <w:rPr>
          <w:rFonts w:eastAsia="Times New Roman" w:cs="Times New Roman"/>
        </w:rPr>
        <w:t>§§ 27-34</w:t>
      </w:r>
      <w:r w:rsidRPr="003E3129">
        <w:rPr>
          <w:snapToGrid w:val="0"/>
        </w:rPr>
        <w:t>, 1</w:t>
      </w:r>
      <w:r w:rsidRPr="003E3129">
        <w:t>7</w:t>
      </w:r>
      <w:r w:rsidRPr="003E3129">
        <w:rPr>
          <w:snapToGrid w:val="0"/>
        </w:rPr>
        <w:t xml:space="preserve"> </w:t>
      </w:r>
      <w:r w:rsidRPr="003E3129">
        <w:t>janvier 2017,</w:t>
      </w:r>
      <w:r w:rsidRPr="003E3129">
        <w:rPr>
          <w:rFonts w:eastAsia="Times New Roman" w:cs="Times New Roman"/>
        </w:rPr>
        <w:t xml:space="preserve"> où la Cour a conclu que l</w:t>
      </w:r>
      <w:r w:rsidRPr="003E3129" w:rsidR="003E3129">
        <w:rPr>
          <w:rFonts w:eastAsia="Times New Roman" w:cs="Times New Roman"/>
        </w:rPr>
        <w:t>’</w:t>
      </w:r>
      <w:r w:rsidRPr="003E3129">
        <w:rPr>
          <w:rFonts w:eastAsia="Times New Roman" w:cs="Times New Roman"/>
        </w:rPr>
        <w:t>abandon par l</w:t>
      </w:r>
      <w:r w:rsidRPr="003E3129" w:rsidR="003E3129">
        <w:rPr>
          <w:rFonts w:eastAsia="Times New Roman" w:cs="Times New Roman"/>
        </w:rPr>
        <w:t>’</w:t>
      </w:r>
      <w:r w:rsidRPr="003E3129">
        <w:rPr>
          <w:rFonts w:eastAsia="Times New Roman" w:cs="Times New Roman"/>
        </w:rPr>
        <w:t>effet d</w:t>
      </w:r>
      <w:r w:rsidRPr="003E3129" w:rsidR="003E3129">
        <w:rPr>
          <w:rFonts w:eastAsia="Times New Roman" w:cs="Times New Roman"/>
        </w:rPr>
        <w:t>’</w:t>
      </w:r>
      <w:r w:rsidRPr="003E3129">
        <w:rPr>
          <w:rFonts w:eastAsia="Times New Roman" w:cs="Times New Roman"/>
        </w:rPr>
        <w:t>une loi d</w:t>
      </w:r>
      <w:r w:rsidRPr="003E3129" w:rsidR="003E3129">
        <w:rPr>
          <w:rFonts w:eastAsia="Times New Roman" w:cs="Times New Roman"/>
        </w:rPr>
        <w:t>’</w:t>
      </w:r>
      <w:r w:rsidRPr="003E3129">
        <w:rPr>
          <w:rFonts w:eastAsia="Times New Roman" w:cs="Times New Roman"/>
        </w:rPr>
        <w:t>amnistie des poursuites pénales n</w:t>
      </w:r>
      <w:r w:rsidRPr="003E3129" w:rsidR="003E3129">
        <w:rPr>
          <w:rFonts w:eastAsia="Times New Roman" w:cs="Times New Roman"/>
        </w:rPr>
        <w:t>’</w:t>
      </w:r>
      <w:r w:rsidRPr="003E3129">
        <w:rPr>
          <w:rFonts w:eastAsia="Times New Roman" w:cs="Times New Roman"/>
        </w:rPr>
        <w:t>avait pas violé l</w:t>
      </w:r>
      <w:r w:rsidRPr="003E3129" w:rsidR="003E3129">
        <w:rPr>
          <w:rFonts w:eastAsia="Times New Roman" w:cs="Times New Roman"/>
        </w:rPr>
        <w:t>’</w:t>
      </w:r>
      <w:r w:rsidRPr="003E3129">
        <w:rPr>
          <w:rFonts w:eastAsia="Times New Roman" w:cs="Times New Roman"/>
        </w:rPr>
        <w:t>article 6 § 2 de la Convention au motif que rien dans cette loi ne rattachait nommément les requérants eux-mêmes à l</w:t>
      </w:r>
      <w:r w:rsidRPr="003E3129" w:rsidR="003E3129">
        <w:rPr>
          <w:rFonts w:eastAsia="Times New Roman" w:cs="Times New Roman"/>
        </w:rPr>
        <w:t>’</w:t>
      </w:r>
      <w:r w:rsidRPr="003E3129">
        <w:rPr>
          <w:rFonts w:eastAsia="Times New Roman" w:cs="Times New Roman"/>
        </w:rPr>
        <w:t>infraction qui y était visée et qu</w:t>
      </w:r>
      <w:r w:rsidRPr="003E3129" w:rsidR="003E3129">
        <w:rPr>
          <w:rFonts w:eastAsia="Times New Roman" w:cs="Times New Roman"/>
        </w:rPr>
        <w:t>’</w:t>
      </w:r>
      <w:r w:rsidRPr="003E3129">
        <w:rPr>
          <w:rFonts w:eastAsia="Times New Roman" w:cs="Times New Roman"/>
        </w:rPr>
        <w:t>aucune autre circonstance ne faisait douter de leur innocence). Par conséquent, la Cour ne saurait affirmer qu</w:t>
      </w:r>
      <w:r w:rsidRPr="003E3129" w:rsidR="003E3129">
        <w:rPr>
          <w:rFonts w:eastAsia="Times New Roman" w:cs="Times New Roman"/>
        </w:rPr>
        <w:t>’</w:t>
      </w:r>
      <w:r w:rsidRPr="003E3129">
        <w:rPr>
          <w:rFonts w:eastAsia="Times New Roman" w:cs="Times New Roman"/>
        </w:rPr>
        <w:t>il y a eu en l</w:t>
      </w:r>
      <w:r w:rsidRPr="003E3129" w:rsidR="003E3129">
        <w:rPr>
          <w:rFonts w:eastAsia="Times New Roman" w:cs="Times New Roman"/>
        </w:rPr>
        <w:t>’</w:t>
      </w:r>
      <w:r w:rsidRPr="003E3129">
        <w:rPr>
          <w:rFonts w:eastAsia="Times New Roman" w:cs="Times New Roman"/>
        </w:rPr>
        <w:t>espèce une renonciation consciente et éclairée</w:t>
      </w:r>
      <w:r w:rsidRPr="003E3129">
        <w:rPr>
          <w:rFonts w:ascii="Arial" w:hAnsi="Arial" w:eastAsia="Times New Roman" w:cs="Arial"/>
          <w:color w:val="000000"/>
        </w:rPr>
        <w:t xml:space="preserve"> </w:t>
      </w:r>
      <w:r w:rsidRPr="003E3129">
        <w:rPr>
          <w:rFonts w:eastAsia="Times New Roman" w:cs="Times New Roman"/>
        </w:rPr>
        <w:t>du requérant à son droit d</w:t>
      </w:r>
      <w:r w:rsidRPr="003E3129" w:rsidR="003E3129">
        <w:rPr>
          <w:rFonts w:eastAsia="Times New Roman" w:cs="Times New Roman"/>
        </w:rPr>
        <w:t>’</w:t>
      </w:r>
      <w:r w:rsidRPr="003E3129">
        <w:rPr>
          <w:rFonts w:eastAsia="Times New Roman" w:cs="Times New Roman"/>
        </w:rPr>
        <w:t>être présumé innocent et à celui de ne pas contribuer à sa propre incrimination. Qui plus est, cette renonciation alléguée n</w:t>
      </w:r>
      <w:r w:rsidRPr="003E3129" w:rsidR="003E3129">
        <w:rPr>
          <w:rFonts w:eastAsia="Times New Roman" w:cs="Times New Roman"/>
        </w:rPr>
        <w:t>’</w:t>
      </w:r>
      <w:r w:rsidRPr="003E3129">
        <w:rPr>
          <w:rFonts w:eastAsia="Times New Roman" w:cs="Times New Roman"/>
        </w:rPr>
        <w:t>était entourée d</w:t>
      </w:r>
      <w:r w:rsidRPr="003E3129" w:rsidR="003E3129">
        <w:rPr>
          <w:rFonts w:eastAsia="Times New Roman" w:cs="Times New Roman"/>
        </w:rPr>
        <w:t>’</w:t>
      </w:r>
      <w:r w:rsidRPr="003E3129">
        <w:rPr>
          <w:rFonts w:eastAsia="Times New Roman" w:cs="Times New Roman"/>
        </w:rPr>
        <w:t>aucune garantie correspondant à sa gravité.</w:t>
      </w:r>
    </w:p>
    <w:bookmarkStart w:name="raisonnement_CSJ_déraisonnable" w:id="20"/>
    <w:p w:rsidRPr="003E3129" w:rsidR="00D33065" w:rsidP="003E3129" w14:paraId="03D7147A"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65</w:t>
      </w:r>
      <w:r w:rsidRPr="003E3129">
        <w:rPr>
          <w:rFonts w:eastAsia="Times New Roman"/>
        </w:rPr>
        <w:fldChar w:fldCharType="end"/>
      </w:r>
      <w:bookmarkEnd w:id="20"/>
      <w:r w:rsidRPr="003E3129">
        <w:rPr>
          <w:rFonts w:eastAsia="Times New Roman"/>
        </w:rPr>
        <w:t>.  Quant à la conclusion de la Cour suprême de justice selon laquelle l</w:t>
      </w:r>
      <w:r w:rsidRPr="003E3129" w:rsidR="003E3129">
        <w:rPr>
          <w:rFonts w:eastAsia="Times New Roman"/>
        </w:rPr>
        <w:t>’</w:t>
      </w:r>
      <w:r w:rsidRPr="003E3129">
        <w:rPr>
          <w:rFonts w:eastAsia="Times New Roman"/>
        </w:rPr>
        <w:t>acceptation par le requérant de l</w:t>
      </w:r>
      <w:r w:rsidRPr="003E3129" w:rsidR="003E3129">
        <w:rPr>
          <w:rFonts w:eastAsia="Times New Roman"/>
        </w:rPr>
        <w:t>’</w:t>
      </w:r>
      <w:r w:rsidRPr="003E3129">
        <w:rPr>
          <w:rFonts w:eastAsia="Times New Roman"/>
        </w:rPr>
        <w:t>acte d</w:t>
      </w:r>
      <w:r w:rsidRPr="003E3129" w:rsidR="003E3129">
        <w:rPr>
          <w:rFonts w:eastAsia="Times New Roman"/>
        </w:rPr>
        <w:t>’</w:t>
      </w:r>
      <w:r w:rsidRPr="003E3129">
        <w:rPr>
          <w:rFonts w:eastAsia="Times New Roman"/>
        </w:rPr>
        <w:t>amnistie constituait en substance une reconnaissance de culpabilité, la Cour souligne qu</w:t>
      </w:r>
      <w:r w:rsidRPr="003E3129" w:rsidR="003E3129">
        <w:rPr>
          <w:rFonts w:eastAsia="Times New Roman"/>
        </w:rPr>
        <w:t>’</w:t>
      </w:r>
      <w:r w:rsidRPr="003E3129">
        <w:rPr>
          <w:rFonts w:eastAsia="Times New Roman"/>
        </w:rPr>
        <w:t>elle ne reposait sur aucun fondement légal. Eu égard également aux autres considérations exposées ci-dessus, elle juge qu</w:t>
      </w:r>
      <w:r w:rsidRPr="003E3129" w:rsidR="003E3129">
        <w:rPr>
          <w:rFonts w:eastAsia="Times New Roman"/>
        </w:rPr>
        <w:t>’</w:t>
      </w:r>
      <w:r w:rsidRPr="003E3129">
        <w:rPr>
          <w:rFonts w:eastAsia="Times New Roman"/>
        </w:rPr>
        <w:t>il y a lieu en l</w:t>
      </w:r>
      <w:r w:rsidRPr="003E3129" w:rsidR="003E3129">
        <w:rPr>
          <w:rFonts w:eastAsia="Times New Roman"/>
        </w:rPr>
        <w:t>’</w:t>
      </w:r>
      <w:r w:rsidRPr="003E3129">
        <w:rPr>
          <w:rFonts w:eastAsia="Times New Roman"/>
        </w:rPr>
        <w:t>espèce de substituer sa propre appréciation à celle de la Haute juridiction.</w:t>
      </w:r>
    </w:p>
    <w:p w:rsidRPr="003E3129" w:rsidR="00D33065" w:rsidP="003E3129" w14:paraId="6D3948A3" w14:textId="77777777">
      <w:pPr>
        <w:pStyle w:val="JuHa0"/>
        <w:rPr>
          <w:rFonts w:eastAsia="Times New Roman"/>
          <w:lang w:val="fr-FR"/>
        </w:rPr>
      </w:pPr>
      <w:r w:rsidRPr="003E3129">
        <w:rPr>
          <w:rFonts w:eastAsia="Times New Roman"/>
          <w:lang w:val="fr-FR"/>
        </w:rPr>
        <w:t>Conclusion quant à la question de savoir si la culpabilité du requérant a été établie</w:t>
      </w:r>
    </w:p>
    <w:p w:rsidRPr="003E3129" w:rsidR="00D33065" w:rsidP="003E3129" w14:paraId="49A47785"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66</w:t>
      </w:r>
      <w:r w:rsidRPr="003E3129">
        <w:rPr>
          <w:rFonts w:eastAsia="Times New Roman"/>
        </w:rPr>
        <w:fldChar w:fldCharType="end"/>
      </w:r>
      <w:r w:rsidRPr="003E3129">
        <w:rPr>
          <w:rFonts w:eastAsia="Times New Roman"/>
        </w:rPr>
        <w:t>.  Pour résumer, la Cour trouve que, dans son ordonnance du 20 mai 2005, le parquet ne s</w:t>
      </w:r>
      <w:r w:rsidRPr="003E3129" w:rsidR="003E3129">
        <w:rPr>
          <w:rFonts w:eastAsia="Times New Roman"/>
        </w:rPr>
        <w:t>’</w:t>
      </w:r>
      <w:r w:rsidRPr="003E3129">
        <w:rPr>
          <w:rFonts w:eastAsia="Times New Roman"/>
        </w:rPr>
        <w:t>est pas livré à l</w:t>
      </w:r>
      <w:r w:rsidRPr="003E3129" w:rsidR="003E3129">
        <w:rPr>
          <w:rFonts w:eastAsia="Times New Roman"/>
        </w:rPr>
        <w:t>’</w:t>
      </w:r>
      <w:r w:rsidRPr="003E3129">
        <w:rPr>
          <w:rFonts w:eastAsia="Times New Roman"/>
        </w:rPr>
        <w:t>examen du fond de l</w:t>
      </w:r>
      <w:r w:rsidRPr="003E3129" w:rsidR="003E3129">
        <w:rPr>
          <w:rFonts w:eastAsia="Times New Roman"/>
        </w:rPr>
        <w:t>’</w:t>
      </w:r>
      <w:r w:rsidRPr="003E3129">
        <w:rPr>
          <w:rFonts w:eastAsia="Times New Roman"/>
        </w:rPr>
        <w:t>affaire pénale du requérant et que, de surcroît, ce dernier n</w:t>
      </w:r>
      <w:r w:rsidRPr="003E3129" w:rsidR="003E3129">
        <w:rPr>
          <w:rFonts w:eastAsia="Times New Roman"/>
        </w:rPr>
        <w:t>’</w:t>
      </w:r>
      <w:r w:rsidRPr="003E3129">
        <w:rPr>
          <w:rFonts w:eastAsia="Times New Roman"/>
        </w:rPr>
        <w:t>a pas valablement renoncé aux garanties d</w:t>
      </w:r>
      <w:r w:rsidRPr="003E3129" w:rsidR="003E3129">
        <w:rPr>
          <w:rFonts w:eastAsia="Times New Roman"/>
        </w:rPr>
        <w:t>’</w:t>
      </w:r>
      <w:r w:rsidRPr="003E3129">
        <w:rPr>
          <w:rFonts w:eastAsia="Times New Roman"/>
        </w:rPr>
        <w:t>un procès équitable, notamment à son droit d</w:t>
      </w:r>
      <w:r w:rsidRPr="003E3129" w:rsidR="003E3129">
        <w:rPr>
          <w:rFonts w:eastAsia="Times New Roman"/>
        </w:rPr>
        <w:t>’</w:t>
      </w:r>
      <w:r w:rsidRPr="003E3129">
        <w:rPr>
          <w:rFonts w:eastAsia="Times New Roman"/>
        </w:rPr>
        <w:t>être présumé innocent et à celui de ne pas contribuer à sa propre incrimination. Cette ordonnance constitue donc une décision qui a acté l</w:t>
      </w:r>
      <w:r w:rsidRPr="003E3129" w:rsidR="003E3129">
        <w:rPr>
          <w:rFonts w:eastAsia="Times New Roman"/>
        </w:rPr>
        <w:t>’</w:t>
      </w:r>
      <w:r w:rsidRPr="003E3129">
        <w:rPr>
          <w:rFonts w:eastAsia="Times New Roman"/>
        </w:rPr>
        <w:t xml:space="preserve">extinction des </w:t>
      </w:r>
      <w:r w:rsidRPr="003E3129">
        <w:rPr>
          <w:rFonts w:eastAsia="Times New Roman"/>
        </w:rPr>
        <w:t>poursuites pénales pour cause d</w:t>
      </w:r>
      <w:r w:rsidRPr="003E3129" w:rsidR="003E3129">
        <w:rPr>
          <w:rFonts w:eastAsia="Times New Roman"/>
        </w:rPr>
        <w:t>’</w:t>
      </w:r>
      <w:r w:rsidRPr="003E3129">
        <w:rPr>
          <w:rFonts w:eastAsia="Times New Roman"/>
        </w:rPr>
        <w:t>amnistie, sans établir la culpabilité du requérant.</w:t>
      </w:r>
    </w:p>
    <w:p w:rsidRPr="003E3129" w:rsidR="00D33065" w:rsidP="003E3129" w14:paraId="458A0F25" w14:textId="77777777">
      <w:pPr>
        <w:pStyle w:val="JuH1"/>
        <w:rPr>
          <w:rFonts w:eastAsia="Times New Roman"/>
          <w:lang w:val="fr-FR"/>
        </w:rPr>
      </w:pPr>
      <w:r w:rsidRPr="003E3129">
        <w:rPr>
          <w:rFonts w:eastAsia="Times New Roman"/>
          <w:lang w:val="fr-FR"/>
        </w:rPr>
        <w:t>Sur les décisions adoptées dans la procédure ultérieure</w:t>
      </w:r>
    </w:p>
    <w:p w:rsidRPr="003E3129" w:rsidR="00D33065" w:rsidP="003E3129" w14:paraId="5C73D282"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67</w:t>
      </w:r>
      <w:r w:rsidRPr="003E3129">
        <w:rPr>
          <w:rFonts w:eastAsia="Times New Roman"/>
        </w:rPr>
        <w:fldChar w:fldCharType="end"/>
      </w:r>
      <w:r w:rsidRPr="003E3129">
        <w:rPr>
          <w:rFonts w:eastAsia="Times New Roman"/>
        </w:rPr>
        <w:t>.  La Cour redit que l</w:t>
      </w:r>
      <w:r w:rsidRPr="003E3129" w:rsidR="003E3129">
        <w:rPr>
          <w:rFonts w:eastAsia="Times New Roman"/>
        </w:rPr>
        <w:t>’</w:t>
      </w:r>
      <w:r w:rsidRPr="003E3129">
        <w:rPr>
          <w:rFonts w:eastAsia="Times New Roman"/>
        </w:rPr>
        <w:t>exonération de responsabilité pénale ne fait pas en tant que tel obstacle à l</w:t>
      </w:r>
      <w:r w:rsidRPr="003E3129" w:rsidR="003E3129">
        <w:rPr>
          <w:rFonts w:eastAsia="Times New Roman"/>
        </w:rPr>
        <w:t>’</w:t>
      </w:r>
      <w:r w:rsidRPr="003E3129">
        <w:rPr>
          <w:rFonts w:eastAsia="Times New Roman"/>
        </w:rPr>
        <w:t>établissement, sur la base d</w:t>
      </w:r>
      <w:r w:rsidRPr="003E3129" w:rsidR="003E3129">
        <w:rPr>
          <w:rFonts w:eastAsia="Times New Roman"/>
        </w:rPr>
        <w:t>’</w:t>
      </w:r>
      <w:r w:rsidRPr="003E3129">
        <w:rPr>
          <w:rFonts w:eastAsia="Times New Roman"/>
        </w:rPr>
        <w:t>exigences de preuve moins strictes, de la responsabilité civile ou d</w:t>
      </w:r>
      <w:r w:rsidRPr="003E3129" w:rsidR="003E3129">
        <w:rPr>
          <w:rFonts w:eastAsia="Times New Roman"/>
        </w:rPr>
        <w:t>’</w:t>
      </w:r>
      <w:r w:rsidRPr="003E3129">
        <w:rPr>
          <w:rFonts w:eastAsia="Times New Roman"/>
        </w:rPr>
        <w:t>une autre forme de responsabilité à raison des mêmes faits. Toutefois, en l</w:t>
      </w:r>
      <w:r w:rsidRPr="003E3129" w:rsidR="003E3129">
        <w:rPr>
          <w:rFonts w:eastAsia="Times New Roman"/>
        </w:rPr>
        <w:t>’</w:t>
      </w:r>
      <w:r w:rsidRPr="003E3129">
        <w:rPr>
          <w:rFonts w:eastAsia="Times New Roman"/>
        </w:rPr>
        <w:t>absence d</w:t>
      </w:r>
      <w:r w:rsidRPr="003E3129" w:rsidR="003E3129">
        <w:rPr>
          <w:rFonts w:eastAsia="Times New Roman"/>
        </w:rPr>
        <w:t>’</w:t>
      </w:r>
      <w:r w:rsidRPr="003E3129">
        <w:rPr>
          <w:rFonts w:eastAsia="Times New Roman"/>
        </w:rPr>
        <w:t>une condamnation pénale définitive, si la décision adoptée dans l</w:t>
      </w:r>
      <w:r w:rsidRPr="003E3129" w:rsidR="003E3129">
        <w:rPr>
          <w:rFonts w:eastAsia="Times New Roman"/>
        </w:rPr>
        <w:t>’</w:t>
      </w:r>
      <w:r w:rsidRPr="003E3129">
        <w:rPr>
          <w:rFonts w:eastAsia="Times New Roman"/>
        </w:rPr>
        <w:t>autre procédure devait renfermer une déclaration imputant une responsabilité pénale au requérant, cela poserait une question sur le terrain de l</w:t>
      </w:r>
      <w:r w:rsidRPr="003E3129" w:rsidR="003E3129">
        <w:rPr>
          <w:rFonts w:eastAsia="Times New Roman"/>
        </w:rPr>
        <w:t xml:space="preserve">’article 6 </w:t>
      </w:r>
      <w:r w:rsidRPr="003E3129">
        <w:rPr>
          <w:rFonts w:eastAsia="Times New Roman"/>
        </w:rPr>
        <w:t>§ 2 de la Convention (</w:t>
      </w:r>
      <w:r w:rsidRPr="003E3129">
        <w:rPr>
          <w:rFonts w:eastAsia="Times New Roman"/>
          <w:i/>
          <w:iCs/>
        </w:rPr>
        <w:t>Teodor</w:t>
      </w:r>
      <w:r w:rsidRPr="003E3129">
        <w:rPr>
          <w:rFonts w:eastAsia="Times New Roman"/>
        </w:rPr>
        <w:t xml:space="preserve">, précité, § 39, et </w:t>
      </w:r>
      <w:r w:rsidRPr="003E3129">
        <w:rPr>
          <w:rFonts w:eastAsia="Times New Roman"/>
          <w:i/>
          <w:iCs/>
        </w:rPr>
        <w:t>Urat</w:t>
      </w:r>
      <w:r w:rsidRPr="003E3129">
        <w:rPr>
          <w:rFonts w:eastAsia="Times New Roman"/>
        </w:rPr>
        <w:t>, précité, § 53 et la jurisprudence y citée).</w:t>
      </w:r>
    </w:p>
    <w:p w:rsidRPr="003E3129" w:rsidR="00D33065" w:rsidP="003E3129" w14:paraId="625FBDC9" w14:textId="77777777">
      <w:pPr>
        <w:pStyle w:val="JuPara"/>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68</w:t>
      </w:r>
      <w:r w:rsidRPr="003E3129">
        <w:rPr>
          <w:rFonts w:eastAsia="Times New Roman"/>
        </w:rPr>
        <w:fldChar w:fldCharType="end"/>
      </w:r>
      <w:r w:rsidRPr="003E3129">
        <w:rPr>
          <w:rFonts w:eastAsia="Times New Roman"/>
        </w:rPr>
        <w:t>.  En l</w:t>
      </w:r>
      <w:r w:rsidRPr="003E3129" w:rsidR="003E3129">
        <w:rPr>
          <w:rFonts w:eastAsia="Times New Roman"/>
        </w:rPr>
        <w:t>’</w:t>
      </w:r>
      <w:r w:rsidRPr="003E3129">
        <w:rPr>
          <w:rFonts w:eastAsia="Times New Roman"/>
        </w:rPr>
        <w:t>espèce, la Cour note que le requérant ne disposait pas d</w:t>
      </w:r>
      <w:r w:rsidRPr="003E3129" w:rsidR="003E3129">
        <w:rPr>
          <w:rFonts w:eastAsia="Times New Roman"/>
        </w:rPr>
        <w:t>’</w:t>
      </w:r>
      <w:r w:rsidRPr="003E3129">
        <w:rPr>
          <w:rFonts w:eastAsia="Times New Roman"/>
        </w:rPr>
        <w:t xml:space="preserve">une </w:t>
      </w:r>
      <w:r w:rsidRPr="003E3129">
        <w:t>décision sur le bien-fondé de l</w:t>
      </w:r>
      <w:r w:rsidRPr="003E3129" w:rsidR="003E3129">
        <w:t>’</w:t>
      </w:r>
      <w:r w:rsidRPr="003E3129">
        <w:t>accusation portée contre lui et que, dès lors, l</w:t>
      </w:r>
      <w:r w:rsidRPr="003E3129" w:rsidR="003E3129">
        <w:t>’</w:t>
      </w:r>
      <w:r w:rsidRPr="003E3129">
        <w:t>expression des doutes sur son innocence était concevable (</w:t>
      </w:r>
      <w:r w:rsidRPr="003E3129">
        <w:rPr>
          <w:i/>
        </w:rPr>
        <w:t>Sekanina c. Autriche</w:t>
      </w:r>
      <w:r w:rsidRPr="003E3129">
        <w:t>, 25 août 1993, § 30, série A n</w:t>
      </w:r>
      <w:r w:rsidRPr="003E3129">
        <w:rPr>
          <w:rFonts w:cs="Times New Roman"/>
          <w:vertAlign w:val="superscript"/>
        </w:rPr>
        <w:t>o</w:t>
      </w:r>
      <w:r w:rsidRPr="003E3129">
        <w:t xml:space="preserve"> 266</w:t>
      </w:r>
      <w:r w:rsidRPr="003E3129">
        <w:noBreakHyphen/>
        <w:t xml:space="preserve">A, et </w:t>
      </w:r>
      <w:r w:rsidRPr="003E3129">
        <w:rPr>
          <w:i/>
        </w:rPr>
        <w:t>Allen</w:t>
      </w:r>
      <w:r w:rsidRPr="003E3129">
        <w:t>, précité, § 122). Elle rappelle toutefois qu</w:t>
      </w:r>
      <w:r w:rsidRPr="003E3129" w:rsidR="003E3129">
        <w:t>’</w:t>
      </w:r>
      <w:r w:rsidRPr="003E3129">
        <w:t>il y a une différence fondamentale entre le fait de dire que quelqu</w:t>
      </w:r>
      <w:r w:rsidRPr="003E3129" w:rsidR="003E3129">
        <w:t>’</w:t>
      </w:r>
      <w:r w:rsidRPr="003E3129">
        <w:t>un est simplement soupçonné d</w:t>
      </w:r>
      <w:r w:rsidRPr="003E3129" w:rsidR="003E3129">
        <w:t>’</w:t>
      </w:r>
      <w:r w:rsidRPr="003E3129">
        <w:t>avoir commis une infraction pénale et une déclaration judiciaire sans équivoque avançant, en l</w:t>
      </w:r>
      <w:r w:rsidRPr="003E3129" w:rsidR="003E3129">
        <w:t>’</w:t>
      </w:r>
      <w:r w:rsidRPr="003E3129">
        <w:t>absence de condamnation définitive, que l</w:t>
      </w:r>
      <w:r w:rsidRPr="003E3129" w:rsidR="003E3129">
        <w:t>’</w:t>
      </w:r>
      <w:r w:rsidRPr="003E3129">
        <w:t>intéressé a commis l</w:t>
      </w:r>
      <w:r w:rsidRPr="003E3129" w:rsidR="003E3129">
        <w:t>’</w:t>
      </w:r>
      <w:r w:rsidRPr="003E3129">
        <w:t>infraction en question (voir, parmi beaucoup d</w:t>
      </w:r>
      <w:r w:rsidRPr="003E3129" w:rsidR="003E3129">
        <w:t>’</w:t>
      </w:r>
      <w:r w:rsidRPr="003E3129">
        <w:t xml:space="preserve">autres, </w:t>
      </w:r>
      <w:r w:rsidRPr="003E3129">
        <w:rPr>
          <w:i/>
        </w:rPr>
        <w:t>Peltereau-Villeneuve</w:t>
      </w:r>
      <w:r w:rsidRPr="003E3129">
        <w:t xml:space="preserve"> </w:t>
      </w:r>
      <w:r w:rsidRPr="003E3129">
        <w:rPr>
          <w:i/>
        </w:rPr>
        <w:t>c. Suisse</w:t>
      </w:r>
      <w:r w:rsidRPr="003E3129">
        <w:t>, n</w:t>
      </w:r>
      <w:r w:rsidRPr="003E3129">
        <w:rPr>
          <w:vertAlign w:val="superscript"/>
        </w:rPr>
        <w:t>o</w:t>
      </w:r>
      <w:r w:rsidRPr="003E3129">
        <w:t> 60101/09</w:t>
      </w:r>
      <w:r w:rsidRPr="003E3129">
        <w:rPr>
          <w:snapToGrid w:val="0"/>
        </w:rPr>
        <w:t xml:space="preserve">, § 32, 28 </w:t>
      </w:r>
      <w:r w:rsidRPr="003E3129">
        <w:t>octobre</w:t>
      </w:r>
      <w:r w:rsidRPr="003E3129">
        <w:rPr>
          <w:snapToGrid w:val="0"/>
        </w:rPr>
        <w:t xml:space="preserve"> 2014, et </w:t>
      </w:r>
      <w:r w:rsidRPr="003E3129">
        <w:rPr>
          <w:i/>
          <w:snapToGrid w:val="0"/>
        </w:rPr>
        <w:t>Stirmanov</w:t>
      </w:r>
      <w:r w:rsidRPr="003E3129">
        <w:rPr>
          <w:snapToGrid w:val="0"/>
        </w:rPr>
        <w:t>, précité, § 43</w:t>
      </w:r>
      <w:r w:rsidRPr="003E3129">
        <w:t>).</w:t>
      </w:r>
    </w:p>
    <w:p w:rsidRPr="003E3129" w:rsidR="00D33065" w:rsidP="003E3129" w14:paraId="0E00ABD4" w14:textId="77777777">
      <w:pPr>
        <w:pStyle w:val="JuPara"/>
        <w:rPr>
          <w:rFonts w:eastAsia="Times New Roman"/>
        </w:rPr>
      </w:pPr>
      <w:r w:rsidRPr="003E3129">
        <w:rPr>
          <w:rFonts w:eastAsia="Times New Roman"/>
          <w:lang w:val="pt-PT"/>
        </w:rPr>
        <w:fldChar w:fldCharType="begin"/>
      </w:r>
      <w:r w:rsidRPr="003E3129">
        <w:rPr>
          <w:rFonts w:eastAsia="Times New Roman"/>
        </w:rPr>
        <w:instrText xml:space="preserve"> SEQ level0 \*arabic </w:instrText>
      </w:r>
      <w:r w:rsidRPr="003E3129">
        <w:rPr>
          <w:rFonts w:eastAsia="Times New Roman"/>
          <w:lang w:val="pt-PT"/>
        </w:rPr>
        <w:fldChar w:fldCharType="separate"/>
      </w:r>
      <w:r w:rsidRPr="003E3129" w:rsidR="003E3129">
        <w:rPr>
          <w:rFonts w:eastAsia="Times New Roman"/>
          <w:noProof/>
        </w:rPr>
        <w:t>69</w:t>
      </w:r>
      <w:r w:rsidRPr="003E3129">
        <w:rPr>
          <w:rFonts w:eastAsia="Times New Roman"/>
          <w:lang w:val="pt-PT"/>
        </w:rPr>
        <w:fldChar w:fldCharType="end"/>
      </w:r>
      <w:r w:rsidRPr="003E3129">
        <w:rPr>
          <w:rFonts w:eastAsia="Times New Roman"/>
        </w:rPr>
        <w:t>.  Elle observe que le requérant de la présente affaire a été licencié en application de l</w:t>
      </w:r>
      <w:r w:rsidRPr="003E3129" w:rsidR="003E3129">
        <w:rPr>
          <w:rFonts w:eastAsia="Times New Roman"/>
        </w:rPr>
        <w:t>’</w:t>
      </w:r>
      <w:r w:rsidRPr="003E3129">
        <w:rPr>
          <w:rFonts w:eastAsia="Times New Roman"/>
        </w:rPr>
        <w:t xml:space="preserve">article 86 § 1 j) du code de travail (paragraphe </w:t>
      </w:r>
      <w:r w:rsidRPr="003E3129">
        <w:rPr>
          <w:rFonts w:eastAsia="Times New Roman"/>
        </w:rPr>
        <w:fldChar w:fldCharType="begin"/>
      </w:r>
      <w:r w:rsidRPr="003E3129">
        <w:rPr>
          <w:rFonts w:eastAsia="Times New Roman"/>
        </w:rPr>
        <w:instrText xml:space="preserve"> REF code_du_travail \h </w:instrText>
      </w:r>
      <w:r w:rsidRPr="003E3129">
        <w:rPr>
          <w:rFonts w:eastAsia="Times New Roman"/>
        </w:rPr>
        <w:fldChar w:fldCharType="separate"/>
      </w:r>
      <w:r w:rsidRPr="003E3129" w:rsidR="003E3129">
        <w:rPr>
          <w:noProof/>
        </w:rPr>
        <w:t>20</w:t>
      </w:r>
      <w:r w:rsidRPr="003E3129">
        <w:rPr>
          <w:rFonts w:eastAsia="Times New Roman"/>
        </w:rPr>
        <w:fldChar w:fldCharType="end"/>
      </w:r>
      <w:r w:rsidRPr="003E3129">
        <w:rPr>
          <w:rFonts w:eastAsia="Times New Roman"/>
        </w:rPr>
        <w:t xml:space="preserve"> ci-dessus), c</w:t>
      </w:r>
      <w:r w:rsidRPr="003E3129" w:rsidR="003E3129">
        <w:rPr>
          <w:rFonts w:eastAsia="Times New Roman"/>
        </w:rPr>
        <w:t>’</w:t>
      </w:r>
      <w:r w:rsidRPr="003E3129">
        <w:rPr>
          <w:rFonts w:eastAsia="Times New Roman"/>
        </w:rPr>
        <w:t>est-à-dire pour avoir commis un vol « établi par une décision du tribunal ou de l</w:t>
      </w:r>
      <w:r w:rsidRPr="003E3129" w:rsidR="003E3129">
        <w:rPr>
          <w:rFonts w:eastAsia="Times New Roman"/>
        </w:rPr>
        <w:t>’</w:t>
      </w:r>
      <w:r w:rsidRPr="003E3129">
        <w:rPr>
          <w:rFonts w:eastAsia="Times New Roman"/>
        </w:rPr>
        <w:t>autorité ayant compétence à appliquer des sanctions administratives ». Le seul fait que les juridictions civiles aient confirmé ce motif légal de licenciement constitue une déclaration sans équivoque que le requérant était coupable de l</w:t>
      </w:r>
      <w:r w:rsidRPr="003E3129" w:rsidR="003E3129">
        <w:rPr>
          <w:rFonts w:eastAsia="Times New Roman"/>
        </w:rPr>
        <w:t>’</w:t>
      </w:r>
      <w:r w:rsidRPr="003E3129">
        <w:rPr>
          <w:rFonts w:eastAsia="Times New Roman"/>
        </w:rPr>
        <w:t>infraction reprochée, malgré l</w:t>
      </w:r>
      <w:r w:rsidRPr="003E3129" w:rsidR="003E3129">
        <w:rPr>
          <w:rFonts w:eastAsia="Times New Roman"/>
        </w:rPr>
        <w:t>’</w:t>
      </w:r>
      <w:r w:rsidRPr="003E3129">
        <w:rPr>
          <w:rFonts w:eastAsia="Times New Roman"/>
        </w:rPr>
        <w:t>abandon des poursuites pénales à son encontre.</w:t>
      </w:r>
    </w:p>
    <w:p w:rsidRPr="003E3129" w:rsidR="00D33065" w:rsidP="003E3129" w14:paraId="4ACC9565"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70</w:t>
      </w:r>
      <w:r w:rsidRPr="003E3129">
        <w:rPr>
          <w:rFonts w:eastAsia="Times New Roman"/>
        </w:rPr>
        <w:fldChar w:fldCharType="end"/>
      </w:r>
      <w:r w:rsidRPr="003E3129">
        <w:rPr>
          <w:rFonts w:eastAsia="Times New Roman"/>
        </w:rPr>
        <w:t>.  De surcroît, la Cour souligne que, dans sa décision du 30 août 2006, la Cour suprême de justice a insisté sur le fait que la demande d</w:t>
      </w:r>
      <w:r w:rsidRPr="003E3129" w:rsidR="003E3129">
        <w:rPr>
          <w:rFonts w:eastAsia="Times New Roman"/>
        </w:rPr>
        <w:t>’</w:t>
      </w:r>
      <w:r w:rsidRPr="003E3129">
        <w:rPr>
          <w:rFonts w:eastAsia="Times New Roman"/>
        </w:rPr>
        <w:t>amnistie du requérant constituait en substance une reconnaissance de culpabilité (paragraphe </w:t>
      </w:r>
      <w:r w:rsidRPr="003E3129">
        <w:rPr>
          <w:rFonts w:eastAsia="Times New Roman"/>
        </w:rPr>
        <w:fldChar w:fldCharType="begin"/>
      </w:r>
      <w:r w:rsidRPr="003E3129">
        <w:rPr>
          <w:rFonts w:eastAsia="Times New Roman"/>
        </w:rPr>
        <w:instrText xml:space="preserve"> REF Déc_CSJ \h </w:instrText>
      </w:r>
      <w:r w:rsidRPr="003E3129">
        <w:rPr>
          <w:rFonts w:eastAsia="Times New Roman"/>
        </w:rPr>
        <w:fldChar w:fldCharType="separate"/>
      </w:r>
      <w:r w:rsidRPr="003E3129" w:rsidR="003E3129">
        <w:rPr>
          <w:noProof/>
        </w:rPr>
        <w:t>13</w:t>
      </w:r>
      <w:r w:rsidRPr="003E3129">
        <w:rPr>
          <w:rFonts w:eastAsia="Times New Roman"/>
        </w:rPr>
        <w:fldChar w:fldCharType="end"/>
      </w:r>
      <w:r w:rsidRPr="003E3129">
        <w:rPr>
          <w:rFonts w:eastAsia="Times New Roman"/>
        </w:rPr>
        <w:t xml:space="preserve"> ci-dessus). Or, une telle conclusion, dont la Cour a par ailleurs estimé qu</w:t>
      </w:r>
      <w:r w:rsidRPr="003E3129" w:rsidR="003E3129">
        <w:rPr>
          <w:rFonts w:eastAsia="Times New Roman"/>
        </w:rPr>
        <w:t>’</w:t>
      </w:r>
      <w:r w:rsidRPr="003E3129">
        <w:rPr>
          <w:rFonts w:eastAsia="Times New Roman"/>
        </w:rPr>
        <w:t>il y avait lieu de s</w:t>
      </w:r>
      <w:r w:rsidRPr="003E3129" w:rsidR="003E3129">
        <w:rPr>
          <w:rFonts w:eastAsia="Times New Roman"/>
        </w:rPr>
        <w:t>’</w:t>
      </w:r>
      <w:r w:rsidRPr="003E3129">
        <w:rPr>
          <w:rFonts w:eastAsia="Times New Roman"/>
        </w:rPr>
        <w:t xml:space="preserve">en écarter (paragraphe </w:t>
      </w:r>
      <w:r w:rsidRPr="003E3129">
        <w:rPr>
          <w:rFonts w:eastAsia="Times New Roman"/>
        </w:rPr>
        <w:fldChar w:fldCharType="begin"/>
      </w:r>
      <w:r w:rsidRPr="003E3129">
        <w:rPr>
          <w:rFonts w:eastAsia="Times New Roman"/>
        </w:rPr>
        <w:instrText xml:space="preserve"> REF raisonnement_CSJ_déraisonnable \h </w:instrText>
      </w:r>
      <w:r w:rsidRPr="003E3129">
        <w:rPr>
          <w:rFonts w:eastAsia="Times New Roman"/>
        </w:rPr>
        <w:fldChar w:fldCharType="separate"/>
      </w:r>
      <w:r w:rsidRPr="003E3129" w:rsidR="003E3129">
        <w:rPr>
          <w:rFonts w:eastAsia="Times New Roman"/>
          <w:noProof/>
        </w:rPr>
        <w:t>65</w:t>
      </w:r>
      <w:r w:rsidRPr="003E3129">
        <w:rPr>
          <w:rFonts w:eastAsia="Times New Roman"/>
        </w:rPr>
        <w:fldChar w:fldCharType="end"/>
      </w:r>
      <w:r w:rsidRPr="003E3129">
        <w:rPr>
          <w:rFonts w:eastAsia="Times New Roman"/>
        </w:rPr>
        <w:t xml:space="preserve"> ci-dessus), ne laisse aucun doute non plus quant au sentiment des juges civils que le requérant a commis l</w:t>
      </w:r>
      <w:r w:rsidRPr="003E3129" w:rsidR="003E3129">
        <w:rPr>
          <w:rFonts w:eastAsia="Times New Roman"/>
        </w:rPr>
        <w:t>’</w:t>
      </w:r>
      <w:r w:rsidRPr="003E3129">
        <w:rPr>
          <w:rFonts w:eastAsia="Times New Roman"/>
        </w:rPr>
        <w:t>infraction.</w:t>
      </w:r>
    </w:p>
    <w:bookmarkStart w:name="conclusions_art6_2" w:id="21"/>
    <w:p w:rsidRPr="003E3129" w:rsidR="00D33065" w:rsidP="003E3129" w14:paraId="258C1211"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71</w:t>
      </w:r>
      <w:r w:rsidRPr="003E3129">
        <w:rPr>
          <w:rFonts w:eastAsia="Times New Roman"/>
        </w:rPr>
        <w:fldChar w:fldCharType="end"/>
      </w:r>
      <w:bookmarkEnd w:id="21"/>
      <w:r w:rsidRPr="003E3129">
        <w:rPr>
          <w:rFonts w:eastAsia="Times New Roman"/>
        </w:rPr>
        <w:t>.  Dans ces circonstances, la Cour estime que la confirmation par les juridictions civiles du licenciement du requérant pour vol ainsi que les termes utilisés par celles-ci sont incompatibles avec la présomption d</w:t>
      </w:r>
      <w:r w:rsidRPr="003E3129" w:rsidR="003E3129">
        <w:rPr>
          <w:rFonts w:eastAsia="Times New Roman"/>
        </w:rPr>
        <w:t>’</w:t>
      </w:r>
      <w:r w:rsidRPr="003E3129">
        <w:rPr>
          <w:rFonts w:eastAsia="Times New Roman"/>
        </w:rPr>
        <w:t>innocence dont devait bénéficier le requérant.</w:t>
      </w:r>
    </w:p>
    <w:p w:rsidRPr="003E3129" w:rsidR="00D33065" w:rsidP="003E3129" w14:paraId="099DEFDE" w14:textId="77777777">
      <w:pPr>
        <w:pStyle w:val="JuPara"/>
        <w:rPr>
          <w:rFonts w:eastAsia="Times New Roman"/>
        </w:rPr>
      </w:pPr>
      <w:r w:rsidRPr="003E3129">
        <w:rPr>
          <w:rFonts w:eastAsia="Times New Roman"/>
        </w:rPr>
        <w:fldChar w:fldCharType="begin"/>
      </w:r>
      <w:r w:rsidRPr="003E3129">
        <w:rPr>
          <w:rFonts w:eastAsia="Times New Roman"/>
        </w:rPr>
        <w:instrText xml:space="preserve"> SEQ level0 \*arabic </w:instrText>
      </w:r>
      <w:r w:rsidRPr="003E3129">
        <w:rPr>
          <w:rFonts w:eastAsia="Times New Roman"/>
        </w:rPr>
        <w:fldChar w:fldCharType="separate"/>
      </w:r>
      <w:r w:rsidRPr="003E3129" w:rsidR="003E3129">
        <w:rPr>
          <w:rFonts w:eastAsia="Times New Roman"/>
          <w:noProof/>
        </w:rPr>
        <w:t>72</w:t>
      </w:r>
      <w:r w:rsidRPr="003E3129">
        <w:rPr>
          <w:rFonts w:eastAsia="Times New Roman"/>
        </w:rPr>
        <w:fldChar w:fldCharType="end"/>
      </w:r>
      <w:r w:rsidRPr="003E3129">
        <w:rPr>
          <w:rFonts w:eastAsia="Times New Roman"/>
        </w:rPr>
        <w:t>.  Partant, il y a eu violation de l</w:t>
      </w:r>
      <w:r w:rsidRPr="003E3129" w:rsidR="003E3129">
        <w:rPr>
          <w:rFonts w:eastAsia="Times New Roman"/>
        </w:rPr>
        <w:t>’</w:t>
      </w:r>
      <w:r w:rsidRPr="003E3129">
        <w:rPr>
          <w:rFonts w:eastAsia="Times New Roman"/>
        </w:rPr>
        <w:t>article 6 § 2 de la Convention.</w:t>
      </w:r>
    </w:p>
    <w:bookmarkEnd w:id="14"/>
    <w:p w:rsidRPr="003E3129" w:rsidR="00D33065" w:rsidP="003E3129" w14:paraId="0B07DB63" w14:textId="77777777">
      <w:pPr>
        <w:pStyle w:val="JuHIRoman"/>
        <w:keepNext w:val="0"/>
        <w:keepLines w:val="0"/>
        <w:numPr>
          <w:ilvl w:val="1"/>
          <w:numId w:val="2"/>
        </w:numPr>
        <w:rPr>
          <w:lang w:val="fr-FR"/>
        </w:rPr>
      </w:pPr>
      <w:r w:rsidRPr="003E3129">
        <w:rPr>
          <w:lang w:val="fr-FR"/>
        </w:rPr>
        <w:t>SUR LA VIOLATION ALLÉGUÉE DE L</w:t>
      </w:r>
      <w:r w:rsidRPr="003E3129" w:rsidR="003E3129">
        <w:rPr>
          <w:lang w:val="fr-FR"/>
        </w:rPr>
        <w:t>’</w:t>
      </w:r>
      <w:r w:rsidRPr="003E3129">
        <w:rPr>
          <w:lang w:val="fr-FR"/>
        </w:rPr>
        <w:t>ARTICLE 6 § 1 DE LA CONVENTION</w:t>
      </w:r>
    </w:p>
    <w:p w:rsidRPr="003E3129" w:rsidR="00D33065" w:rsidP="003E3129" w14:paraId="4778203C"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73</w:t>
      </w:r>
      <w:r w:rsidRPr="003E3129">
        <w:fldChar w:fldCharType="end"/>
      </w:r>
      <w:r w:rsidRPr="003E3129">
        <w:t>.  Le requérant se plaint également que les décisions des tribunaux civils péchaient par leur motivation insuffisante.</w:t>
      </w:r>
    </w:p>
    <w:p w:rsidRPr="003E3129" w:rsidR="00D33065" w:rsidP="003E3129" w14:paraId="66796B45"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74</w:t>
      </w:r>
      <w:r w:rsidRPr="003E3129">
        <w:fldChar w:fldCharType="end"/>
      </w:r>
      <w:r w:rsidRPr="003E3129">
        <w:t>.  Eu égard au constat de violation auquel elle est parvenue sous l</w:t>
      </w:r>
      <w:r w:rsidRPr="003E3129" w:rsidR="003E3129">
        <w:rPr>
          <w:rFonts w:ascii="Times New Roman" w:hAnsi="Times New Roman" w:cs="Times New Roman"/>
        </w:rPr>
        <w:t>’</w:t>
      </w:r>
      <w:r w:rsidRPr="003E3129">
        <w:rPr>
          <w:rFonts w:ascii="Times New Roman" w:hAnsi="Times New Roman" w:cs="Times New Roman"/>
        </w:rPr>
        <w:t>angle de l</w:t>
      </w:r>
      <w:r w:rsidRPr="003E3129" w:rsidR="003E3129">
        <w:rPr>
          <w:rFonts w:ascii="Times New Roman" w:hAnsi="Times New Roman" w:cs="Times New Roman"/>
        </w:rPr>
        <w:t>’</w:t>
      </w:r>
      <w:r w:rsidRPr="003E3129">
        <w:rPr>
          <w:rFonts w:ascii="Times New Roman" w:hAnsi="Times New Roman" w:cs="Times New Roman"/>
        </w:rPr>
        <w:t xml:space="preserve">article </w:t>
      </w:r>
      <w:r w:rsidRPr="003E3129">
        <w:t>6 § 2 de</w:t>
      </w:r>
      <w:r w:rsidRPr="003E3129">
        <w:rPr>
          <w:rFonts w:ascii="Times New Roman" w:hAnsi="Times New Roman" w:cs="Times New Roman"/>
        </w:rPr>
        <w:t xml:space="preserve"> la Convention</w:t>
      </w:r>
      <w:r w:rsidRPr="003E3129">
        <w:t>, et compte tenu de l</w:t>
      </w:r>
      <w:r w:rsidRPr="003E3129" w:rsidR="003E3129">
        <w:rPr>
          <w:rFonts w:ascii="Times New Roman" w:hAnsi="Times New Roman" w:cs="Times New Roman"/>
        </w:rPr>
        <w:t>’</w:t>
      </w:r>
      <w:r w:rsidRPr="003E3129">
        <w:rPr>
          <w:rFonts w:ascii="Times New Roman" w:hAnsi="Times New Roman" w:cs="Times New Roman"/>
        </w:rPr>
        <w:t xml:space="preserve">ensemble </w:t>
      </w:r>
      <w:r w:rsidRPr="003E3129">
        <w:t>des</w:t>
      </w:r>
      <w:r w:rsidRPr="003E3129">
        <w:rPr>
          <w:rFonts w:ascii="Times New Roman" w:hAnsi="Times New Roman" w:cs="Times New Roman"/>
        </w:rPr>
        <w:t xml:space="preserve"> faits de la cause et des arguments des parties, la Cour estime qu</w:t>
      </w:r>
      <w:r w:rsidRPr="003E3129" w:rsidR="003E3129">
        <w:rPr>
          <w:rFonts w:ascii="Times New Roman" w:hAnsi="Times New Roman" w:cs="Times New Roman"/>
        </w:rPr>
        <w:t>’</w:t>
      </w:r>
      <w:r w:rsidRPr="003E3129">
        <w:rPr>
          <w:rFonts w:ascii="Times New Roman" w:hAnsi="Times New Roman" w:cs="Times New Roman"/>
        </w:rPr>
        <w:t>il ne s</w:t>
      </w:r>
      <w:r w:rsidRPr="003E3129" w:rsidR="003E3129">
        <w:rPr>
          <w:rFonts w:ascii="Times New Roman" w:hAnsi="Times New Roman" w:cs="Times New Roman"/>
        </w:rPr>
        <w:t>’</w:t>
      </w:r>
      <w:r w:rsidRPr="003E3129">
        <w:rPr>
          <w:rFonts w:ascii="Times New Roman" w:hAnsi="Times New Roman" w:cs="Times New Roman"/>
        </w:rPr>
        <w:t>impose p</w:t>
      </w:r>
      <w:r w:rsidRPr="003E3129">
        <w:t xml:space="preserve">as de statuer séparément sur le second grief soulevé par le requérant (voir, pour une approche similaire, </w:t>
      </w:r>
      <w:r w:rsidRPr="003E3129">
        <w:rPr>
          <w:i/>
        </w:rPr>
        <w:t>Kamil Uzun c. Turquie</w:t>
      </w:r>
      <w:r w:rsidRPr="003E3129">
        <w:t>, n</w:t>
      </w:r>
      <w:r w:rsidRPr="003E3129">
        <w:rPr>
          <w:vertAlign w:val="superscript"/>
        </w:rPr>
        <w:t>o</w:t>
      </w:r>
      <w:r w:rsidRPr="003E3129">
        <w:t xml:space="preserve"> 37410/97, § 64, 10 mai 2007, et </w:t>
      </w:r>
      <w:r w:rsidRPr="003E3129">
        <w:rPr>
          <w:i/>
        </w:rPr>
        <w:t>Centre de ressources juridiques au nom de Valentin Câmpeanu c. Roumanie</w:t>
      </w:r>
      <w:r w:rsidRPr="003E3129">
        <w:t xml:space="preserve"> [GC], n</w:t>
      </w:r>
      <w:r w:rsidRPr="003E3129">
        <w:rPr>
          <w:vertAlign w:val="superscript"/>
        </w:rPr>
        <w:t>o</w:t>
      </w:r>
      <w:r w:rsidRPr="003E3129">
        <w:t xml:space="preserve"> 47848/08, § 156, 17 juillet 2014).</w:t>
      </w:r>
    </w:p>
    <w:p w:rsidRPr="003E3129" w:rsidR="00D33065" w:rsidP="003E3129" w14:paraId="5B152F39" w14:textId="77777777">
      <w:pPr>
        <w:pStyle w:val="JuHIRoman"/>
        <w:numPr>
          <w:ilvl w:val="1"/>
          <w:numId w:val="2"/>
        </w:numPr>
        <w:rPr>
          <w:lang w:val="fr-FR"/>
        </w:rPr>
      </w:pPr>
      <w:r w:rsidRPr="003E3129">
        <w:rPr>
          <w:caps w:val="0"/>
          <w:lang w:val="fr-FR"/>
        </w:rPr>
        <w:t>SUR L</w:t>
      </w:r>
      <w:r w:rsidRPr="003E3129" w:rsidR="003E3129">
        <w:rPr>
          <w:caps w:val="0"/>
          <w:lang w:val="fr-FR"/>
        </w:rPr>
        <w:t>’</w:t>
      </w:r>
      <w:r w:rsidRPr="003E3129">
        <w:rPr>
          <w:caps w:val="0"/>
          <w:lang w:val="fr-FR"/>
        </w:rPr>
        <w:t>APPLICATION DE L</w:t>
      </w:r>
      <w:r w:rsidRPr="003E3129" w:rsidR="003E3129">
        <w:rPr>
          <w:caps w:val="0"/>
          <w:lang w:val="fr-FR"/>
        </w:rPr>
        <w:t>’</w:t>
      </w:r>
      <w:r w:rsidRPr="003E3129">
        <w:rPr>
          <w:caps w:val="0"/>
          <w:lang w:val="fr-FR"/>
        </w:rPr>
        <w:t>ARTICLE 41 DE LA CONVENTION</w:t>
      </w:r>
    </w:p>
    <w:p w:rsidRPr="003E3129" w:rsidR="00D33065" w:rsidP="003E3129" w14:paraId="56C192E5"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75</w:t>
      </w:r>
      <w:r w:rsidRPr="003E3129">
        <w:fldChar w:fldCharType="end"/>
      </w:r>
      <w:r w:rsidRPr="003E3129">
        <w:t>.  Aux termes de l</w:t>
      </w:r>
      <w:r w:rsidRPr="003E3129" w:rsidR="003E3129">
        <w:t>’</w:t>
      </w:r>
      <w:r w:rsidRPr="003E3129">
        <w:t>article 41 de la Convention :</w:t>
      </w:r>
    </w:p>
    <w:p w:rsidRPr="003E3129" w:rsidR="00D33065" w:rsidP="003E3129" w14:paraId="5B2D3853" w14:textId="77777777">
      <w:pPr>
        <w:pStyle w:val="JuQuot"/>
      </w:pPr>
      <w:r w:rsidRPr="003E3129">
        <w:t>« Si la Cour déclare qu</w:t>
      </w:r>
      <w:r w:rsidRPr="003E3129" w:rsidR="003E3129">
        <w:t>’</w:t>
      </w:r>
      <w:r w:rsidRPr="003E3129">
        <w:t>il y a eu violation de la Convention ou de ses Protocoles, et si le droit interne de la Haute Partie contractante ne permet d</w:t>
      </w:r>
      <w:r w:rsidRPr="003E3129" w:rsidR="003E3129">
        <w:t>’</w:t>
      </w:r>
      <w:r w:rsidRPr="003E3129">
        <w:t>effacer qu</w:t>
      </w:r>
      <w:r w:rsidRPr="003E3129" w:rsidR="003E3129">
        <w:t>’</w:t>
      </w:r>
      <w:r w:rsidRPr="003E3129">
        <w:t>imparfaitement les conséquences de cette violation, la Cour accorde à la partie lésée, s</w:t>
      </w:r>
      <w:r w:rsidRPr="003E3129" w:rsidR="003E3129">
        <w:t>’</w:t>
      </w:r>
      <w:r w:rsidRPr="003E3129">
        <w:t>il y a lieu, une satisfaction équitable. »</w:t>
      </w:r>
    </w:p>
    <w:p w:rsidRPr="003E3129" w:rsidR="00D33065" w:rsidP="003E3129" w14:paraId="70D6BFE3" w14:textId="77777777">
      <w:pPr>
        <w:pStyle w:val="JuHA"/>
        <w:numPr>
          <w:ilvl w:val="2"/>
          <w:numId w:val="4"/>
        </w:numPr>
        <w:rPr>
          <w:lang w:val="fr-FR"/>
        </w:rPr>
      </w:pPr>
      <w:r w:rsidRPr="003E3129">
        <w:rPr>
          <w:lang w:val="fr-FR"/>
        </w:rPr>
        <w:t>Dommage</w:t>
      </w:r>
    </w:p>
    <w:p w:rsidRPr="003E3129" w:rsidR="00D33065" w:rsidP="003E3129" w14:paraId="798C4B57"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76</w:t>
      </w:r>
      <w:r w:rsidRPr="003E3129">
        <w:fldChar w:fldCharType="end"/>
      </w:r>
      <w:r w:rsidRPr="003E3129">
        <w:t>.  Le requérant demande 475 312 lei moldaves (MDL) (soit 25 020 euros (EUR) selon le taux de change en vigueur au moment où cette prétention a été formulée devant la Cour) au titre du dommage matériel. Selon lui, cette somme représente le salaire qu</w:t>
      </w:r>
      <w:r w:rsidRPr="003E3129" w:rsidR="003E3129">
        <w:t>’</w:t>
      </w:r>
      <w:r w:rsidRPr="003E3129">
        <w:t>il aurait dû toucher s</w:t>
      </w:r>
      <w:r w:rsidRPr="003E3129" w:rsidR="003E3129">
        <w:t>’</w:t>
      </w:r>
      <w:r w:rsidRPr="003E3129">
        <w:t>il n</w:t>
      </w:r>
      <w:r w:rsidRPr="003E3129" w:rsidR="003E3129">
        <w:t>’</w:t>
      </w:r>
      <w:r w:rsidRPr="003E3129">
        <w:t>avait pas été licencié. Il indique que son traitement mensuel avant le licenciement était de 5 056,52 MDL et que ce montant est confirmé par l</w:t>
      </w:r>
      <w:r w:rsidRPr="003E3129" w:rsidR="003E3129">
        <w:t>’</w:t>
      </w:r>
      <w:r w:rsidRPr="003E3129">
        <w:t>arrêt de la cour d</w:t>
      </w:r>
      <w:r w:rsidRPr="003E3129" w:rsidR="003E3129">
        <w:t>’</w:t>
      </w:r>
      <w:r w:rsidRPr="003E3129">
        <w:t>appel de Chișinău du 25 mai 2006 (paragraphe </w:t>
      </w:r>
      <w:r w:rsidRPr="003E3129">
        <w:fldChar w:fldCharType="begin"/>
      </w:r>
      <w:r w:rsidRPr="003E3129">
        <w:instrText xml:space="preserve"> REF arrêt_CA_Chisinau \h </w:instrText>
      </w:r>
      <w:r w:rsidRPr="003E3129">
        <w:fldChar w:fldCharType="separate"/>
      </w:r>
      <w:r w:rsidRPr="003E3129" w:rsidR="003E3129">
        <w:rPr>
          <w:noProof/>
        </w:rPr>
        <w:t>12</w:t>
      </w:r>
      <w:r w:rsidRPr="003E3129">
        <w:fldChar w:fldCharType="end"/>
      </w:r>
      <w:r w:rsidRPr="003E3129">
        <w:t xml:space="preserve"> ci</w:t>
      </w:r>
      <w:r w:rsidRPr="003E3129">
        <w:noBreakHyphen/>
        <w:t>dessus). Il soutient ne pas avoir travaillé durant une période de quatre</w:t>
      </w:r>
      <w:r w:rsidRPr="003E3129">
        <w:noBreakHyphen/>
        <w:t>vingt</w:t>
      </w:r>
      <w:r w:rsidRPr="003E3129">
        <w:noBreakHyphen/>
        <w:t>quatorze mois, soit du 25 mai 2006 au 1</w:t>
      </w:r>
      <w:r w:rsidRPr="003E3129">
        <w:rPr>
          <w:vertAlign w:val="superscript"/>
        </w:rPr>
        <w:t>er</w:t>
      </w:r>
      <w:r w:rsidRPr="003E3129">
        <w:t xml:space="preserve"> avril 2014. Il fournit copie d</w:t>
      </w:r>
      <w:r w:rsidRPr="003E3129" w:rsidR="003E3129">
        <w:t>’</w:t>
      </w:r>
      <w:r w:rsidRPr="003E3129">
        <w:t>un contrat de travail montrant qu</w:t>
      </w:r>
      <w:r w:rsidRPr="003E3129" w:rsidR="003E3129">
        <w:t>’</w:t>
      </w:r>
      <w:r w:rsidRPr="003E3129">
        <w:t>il est embauché depuis cette dernière date.</w:t>
      </w:r>
    </w:p>
    <w:p w:rsidRPr="003E3129" w:rsidR="00D33065" w:rsidP="003E3129" w14:paraId="16334DC2" w14:textId="77777777">
      <w:pPr>
        <w:pStyle w:val="JuPara"/>
      </w:pPr>
      <w:r w:rsidRPr="003E3129">
        <w:t>L</w:t>
      </w:r>
      <w:r w:rsidRPr="003E3129" w:rsidR="003E3129">
        <w:t>’</w:t>
      </w:r>
      <w:r w:rsidRPr="003E3129">
        <w:t>intéressé réclame également 8 000 EUR pour dommage moral.</w:t>
      </w:r>
    </w:p>
    <w:p w:rsidRPr="003E3129" w:rsidR="00D33065" w:rsidP="003E3129" w14:paraId="493AB669"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77</w:t>
      </w:r>
      <w:r w:rsidRPr="003E3129">
        <w:fldChar w:fldCharType="end"/>
      </w:r>
      <w:r w:rsidRPr="003E3129">
        <w:t>.  Le Gouvernement affirme que le montant demandé pour préjudice matériel ne peut pas être versé au requérant au motif que les tribunaux civils ont rejeté l</w:t>
      </w:r>
      <w:r w:rsidRPr="003E3129" w:rsidR="003E3129">
        <w:t>’</w:t>
      </w:r>
      <w:r w:rsidRPr="003E3129">
        <w:t>action civile de celui-ci en annulation du licenciement. Il soutient en outre que la somme réclamée pour préjudice moral est excessive.</w:t>
      </w:r>
    </w:p>
    <w:p w:rsidRPr="003E3129" w:rsidR="00D33065" w:rsidP="003E3129" w14:paraId="6C74B70E" w14:textId="77777777">
      <w:pPr>
        <w:pStyle w:val="JuPara"/>
        <w:rPr>
          <w:snapToGrid w:val="0"/>
        </w:rPr>
      </w:pPr>
      <w:r w:rsidRPr="003E3129">
        <w:fldChar w:fldCharType="begin"/>
      </w:r>
      <w:r w:rsidRPr="003E3129">
        <w:instrText xml:space="preserve"> SEQ level0 \*arabic </w:instrText>
      </w:r>
      <w:r w:rsidRPr="003E3129">
        <w:fldChar w:fldCharType="separate"/>
      </w:r>
      <w:r w:rsidRPr="003E3129" w:rsidR="003E3129">
        <w:rPr>
          <w:noProof/>
        </w:rPr>
        <w:t>78</w:t>
      </w:r>
      <w:r w:rsidRPr="003E3129">
        <w:fldChar w:fldCharType="end"/>
      </w:r>
      <w:r w:rsidRPr="003E3129">
        <w:t>.  La Cour renvoie aux principes généraux en matière d</w:t>
      </w:r>
      <w:r w:rsidRPr="003E3129" w:rsidR="003E3129">
        <w:t>’</w:t>
      </w:r>
      <w:r w:rsidRPr="003E3129">
        <w:t>indemnité pour perte de revenus, tels que résumés dans l</w:t>
      </w:r>
      <w:r w:rsidRPr="003E3129" w:rsidR="003E3129">
        <w:t>’</w:t>
      </w:r>
      <w:r w:rsidRPr="003E3129">
        <w:t xml:space="preserve">affaire </w:t>
      </w:r>
      <w:r w:rsidRPr="003E3129">
        <w:rPr>
          <w:i/>
        </w:rPr>
        <w:t>Kurić et autres c. Slovénie</w:t>
      </w:r>
      <w:r w:rsidRPr="003E3129">
        <w:rPr>
          <w:snapToGrid w:val="0"/>
        </w:rPr>
        <w:t xml:space="preserve"> ((satisfaction équitable) [GC], n</w:t>
      </w:r>
      <w:r w:rsidRPr="003E3129">
        <w:rPr>
          <w:snapToGrid w:val="0"/>
          <w:vertAlign w:val="superscript"/>
        </w:rPr>
        <w:t>o</w:t>
      </w:r>
      <w:r w:rsidRPr="003E3129">
        <w:rPr>
          <w:snapToGrid w:val="0"/>
        </w:rPr>
        <w:t xml:space="preserve"> 26828/06, §§ 81-82, CEDH 2014).</w:t>
      </w:r>
    </w:p>
    <w:p w:rsidRPr="003E3129" w:rsidR="00D33065" w:rsidP="003E3129" w14:paraId="549F76EA"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79</w:t>
      </w:r>
      <w:r w:rsidRPr="003E3129">
        <w:fldChar w:fldCharType="end"/>
      </w:r>
      <w:r w:rsidRPr="003E3129">
        <w:t>.  En l</w:t>
      </w:r>
      <w:r w:rsidRPr="003E3129" w:rsidR="003E3129">
        <w:t>’</w:t>
      </w:r>
      <w:r w:rsidRPr="003E3129">
        <w:t xml:space="preserve">espèce, elle rappelle avoir estimé, entre autres, que le motif légal de licenciement du requérant, confirmé par les tribunaux civils, était </w:t>
      </w:r>
      <w:r w:rsidRPr="003E3129">
        <w:t>incompatible avec la présomption d</w:t>
      </w:r>
      <w:r w:rsidRPr="003E3129" w:rsidR="003E3129">
        <w:t>’</w:t>
      </w:r>
      <w:r w:rsidRPr="003E3129">
        <w:t xml:space="preserve">innocence (paragraphe </w:t>
      </w:r>
      <w:r w:rsidRPr="003E3129">
        <w:fldChar w:fldCharType="begin"/>
      </w:r>
      <w:r w:rsidRPr="003E3129">
        <w:instrText xml:space="preserve"> REF conclusions_art6_2 \h </w:instrText>
      </w:r>
      <w:r w:rsidRPr="003E3129">
        <w:fldChar w:fldCharType="separate"/>
      </w:r>
      <w:r w:rsidRPr="003E3129" w:rsidR="003E3129">
        <w:rPr>
          <w:rFonts w:eastAsia="Times New Roman"/>
          <w:noProof/>
        </w:rPr>
        <w:t>71</w:t>
      </w:r>
      <w:r w:rsidRPr="003E3129">
        <w:fldChar w:fldCharType="end"/>
      </w:r>
      <w:r w:rsidRPr="003E3129">
        <w:t xml:space="preserve"> ci-dessus). Eu égard aux circonstances particulières de la présente affaire, elle estime que l</w:t>
      </w:r>
      <w:r w:rsidRPr="003E3129" w:rsidR="003E3129">
        <w:t>’</w:t>
      </w:r>
      <w:r w:rsidRPr="003E3129">
        <w:t>intéressé est en droit d</w:t>
      </w:r>
      <w:r w:rsidRPr="003E3129" w:rsidR="003E3129">
        <w:t>’</w:t>
      </w:r>
      <w:r w:rsidRPr="003E3129">
        <w:t>obtenir une réparation pour la perte de son salaire, consécutive à son licenciement. Cependant, elle note que la confirmation par les tribunaux nationaux du licenciement du requérant n</w:t>
      </w:r>
      <w:r w:rsidRPr="003E3129" w:rsidR="003E3129">
        <w:t>’</w:t>
      </w:r>
      <w:r w:rsidRPr="003E3129">
        <w:t>a pas impliqué une perte pour celui-ci de la perspective d</w:t>
      </w:r>
      <w:r w:rsidRPr="003E3129" w:rsidR="003E3129">
        <w:t>’</w:t>
      </w:r>
      <w:r w:rsidRPr="003E3129">
        <w:t>emploi. Les chances de trouver un autre emploi dépendaient de la qualification du requérant, des offres d</w:t>
      </w:r>
      <w:r w:rsidRPr="003E3129" w:rsidR="003E3129">
        <w:t>’</w:t>
      </w:r>
      <w:r w:rsidRPr="003E3129">
        <w:t>emploi disponibles sur le marché du travail, ou encore des efforts déployés par l</w:t>
      </w:r>
      <w:r w:rsidRPr="003E3129" w:rsidR="003E3129">
        <w:t>’</w:t>
      </w:r>
      <w:r w:rsidRPr="003E3129">
        <w:t>intéressé, soit autant de facteurs variés dont l</w:t>
      </w:r>
      <w:r w:rsidRPr="003E3129" w:rsidR="003E3129">
        <w:t>’</w:t>
      </w:r>
      <w:r w:rsidRPr="003E3129">
        <w:t>appréciation échappe à la compétence de la Cour. Les éventuelles allocations ou aides de la part de l</w:t>
      </w:r>
      <w:r w:rsidRPr="003E3129" w:rsidR="003E3129">
        <w:t>’</w:t>
      </w:r>
      <w:r w:rsidRPr="003E3129">
        <w:t>État dont le requérant aurait pu bénéficier seraient également en mesure de compliquer l</w:t>
      </w:r>
      <w:r w:rsidRPr="003E3129" w:rsidR="003E3129">
        <w:t>’</w:t>
      </w:r>
      <w:r w:rsidRPr="003E3129">
        <w:t>évaluation des pertes matérielles en l</w:t>
      </w:r>
      <w:r w:rsidRPr="003E3129" w:rsidR="003E3129">
        <w:t>’</w:t>
      </w:r>
      <w:r w:rsidRPr="003E3129">
        <w:t>espèce.</w:t>
      </w:r>
    </w:p>
    <w:p w:rsidRPr="003E3129" w:rsidR="00D33065" w:rsidP="003E3129" w14:paraId="04A1DF54"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80</w:t>
      </w:r>
      <w:r w:rsidRPr="003E3129">
        <w:fldChar w:fldCharType="end"/>
      </w:r>
      <w:r w:rsidRPr="003E3129">
        <w:t>.  Compte tenu de l</w:t>
      </w:r>
      <w:r w:rsidRPr="003E3129" w:rsidR="003E3129">
        <w:t>’</w:t>
      </w:r>
      <w:r w:rsidRPr="003E3129">
        <w:t>ensemble de ces éléments, la Cour estime raisonnable d</w:t>
      </w:r>
      <w:r w:rsidRPr="003E3129" w:rsidR="003E3129">
        <w:t>’</w:t>
      </w:r>
      <w:r w:rsidRPr="003E3129">
        <w:t>accorder au requérant une somme pour la perte de salaire couvrant la période d</w:t>
      </w:r>
      <w:r w:rsidRPr="003E3129" w:rsidR="003E3129">
        <w:t>’</w:t>
      </w:r>
      <w:r w:rsidRPr="003E3129">
        <w:t>un an. Elle lui alloue donc 3 600 EUR au titre du préjudice matériel.</w:t>
      </w:r>
    </w:p>
    <w:p w:rsidRPr="003E3129" w:rsidR="00D33065" w:rsidP="003E3129" w14:paraId="510157B5"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81</w:t>
      </w:r>
      <w:r w:rsidRPr="003E3129">
        <w:fldChar w:fldCharType="end"/>
      </w:r>
      <w:r w:rsidRPr="003E3129">
        <w:t>.  Quant au dommage moral et après avoir statué en équité, la Cour octroie au requérant 3 600 EUR à ce titre, plus tout montant pouvant être dû sur cette somme à titre d</w:t>
      </w:r>
      <w:r w:rsidRPr="003E3129" w:rsidR="003E3129">
        <w:t>’</w:t>
      </w:r>
      <w:r w:rsidRPr="003E3129">
        <w:t>impôt.</w:t>
      </w:r>
    </w:p>
    <w:p w:rsidRPr="003E3129" w:rsidR="00D33065" w:rsidP="003E3129" w14:paraId="3B8E8B74" w14:textId="77777777">
      <w:pPr>
        <w:pStyle w:val="JuHA"/>
        <w:rPr>
          <w:lang w:val="fr-FR"/>
        </w:rPr>
      </w:pPr>
      <w:r w:rsidRPr="003E3129">
        <w:rPr>
          <w:lang w:val="fr-FR"/>
        </w:rPr>
        <w:t>Frais et dépens</w:t>
      </w:r>
    </w:p>
    <w:p w:rsidRPr="003E3129" w:rsidR="00D33065" w:rsidP="003E3129" w14:paraId="6688ACAB"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82</w:t>
      </w:r>
      <w:r w:rsidRPr="003E3129">
        <w:fldChar w:fldCharType="end"/>
      </w:r>
      <w:r w:rsidRPr="003E3129">
        <w:t>.  Le requérant réclame enfin 45 EUR au titre des frais et dépens qu</w:t>
      </w:r>
      <w:r w:rsidRPr="003E3129" w:rsidR="003E3129">
        <w:t>’</w:t>
      </w:r>
      <w:r w:rsidRPr="003E3129">
        <w:t>il a engagés dans le cadre de la procédure menée devant la Cour. Il fournit copie d</w:t>
      </w:r>
      <w:r w:rsidRPr="003E3129" w:rsidR="003E3129">
        <w:t>’</w:t>
      </w:r>
      <w:r w:rsidRPr="003E3129">
        <w:t>une facture postale indiquant la somme en question.</w:t>
      </w:r>
    </w:p>
    <w:p w:rsidRPr="003E3129" w:rsidR="00D33065" w:rsidP="003E3129" w14:paraId="2454F98F"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83</w:t>
      </w:r>
      <w:r w:rsidRPr="003E3129">
        <w:fldChar w:fldCharType="end"/>
      </w:r>
      <w:r w:rsidRPr="003E3129">
        <w:t>.  Le Gouvernement plaide pour le rejet de cette prétention.</w:t>
      </w:r>
    </w:p>
    <w:p w:rsidRPr="003E3129" w:rsidR="00D33065" w:rsidP="003E3129" w14:paraId="6AF6A9D4"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84</w:t>
      </w:r>
      <w:r w:rsidRPr="003E3129">
        <w:fldChar w:fldCharType="end"/>
      </w:r>
      <w:r w:rsidRPr="003E3129">
        <w:t>.  Selon la jurisprudence de la Cour, un requérant ne peut obtenir le remboursement de ses frais et dépens que dans la mesure où se trouvent établis leur réalité, leur nécessité et le caractère raisonnable de leur taux. En l</w:t>
      </w:r>
      <w:r w:rsidRPr="003E3129" w:rsidR="003E3129">
        <w:t>’</w:t>
      </w:r>
      <w:r w:rsidRPr="003E3129">
        <w:t>espèce, compte tenu des documents en sa possession et des critères susmentionnés, la Cour juge raisonnable d</w:t>
      </w:r>
      <w:r w:rsidRPr="003E3129" w:rsidR="003E3129">
        <w:t>’</w:t>
      </w:r>
      <w:r w:rsidRPr="003E3129">
        <w:t>allouer au requérant la somme réclamée de 45 EUR pour la procédure menée devant elle, plus tout montant pouvant être dû sur cette somme à titre d</w:t>
      </w:r>
      <w:r w:rsidRPr="003E3129" w:rsidR="003E3129">
        <w:t>’</w:t>
      </w:r>
      <w:r w:rsidRPr="003E3129">
        <w:t>impôt.</w:t>
      </w:r>
    </w:p>
    <w:p w:rsidRPr="003E3129" w:rsidR="00D33065" w:rsidP="003E3129" w14:paraId="13DE23C7" w14:textId="77777777">
      <w:pPr>
        <w:pStyle w:val="JuHA"/>
      </w:pPr>
      <w:r w:rsidRPr="003E3129">
        <w:t>Intérêts moratoires</w:t>
      </w:r>
    </w:p>
    <w:p w:rsidRPr="003E3129" w:rsidR="00D33065" w:rsidP="003E3129" w14:paraId="4C0F4336" w14:textId="77777777">
      <w:pPr>
        <w:pStyle w:val="JuPara"/>
      </w:pPr>
      <w:r w:rsidRPr="003E3129">
        <w:fldChar w:fldCharType="begin"/>
      </w:r>
      <w:r w:rsidRPr="003E3129">
        <w:instrText xml:space="preserve"> SEQ level0 \*arabic </w:instrText>
      </w:r>
      <w:r w:rsidRPr="003E3129">
        <w:fldChar w:fldCharType="separate"/>
      </w:r>
      <w:r w:rsidRPr="003E3129" w:rsidR="003E3129">
        <w:rPr>
          <w:noProof/>
        </w:rPr>
        <w:t>85</w:t>
      </w:r>
      <w:r w:rsidRPr="003E3129">
        <w:fldChar w:fldCharType="end"/>
      </w:r>
      <w:r w:rsidRPr="003E3129">
        <w:t>.  La Cour juge approprié de calquer le taux des intérêts moratoires sur le taux d</w:t>
      </w:r>
      <w:r w:rsidRPr="003E3129" w:rsidR="003E3129">
        <w:t>’</w:t>
      </w:r>
      <w:r w:rsidRPr="003E3129">
        <w:t>intérêt de la facilité de prêt marginal de la Banque centrale européenne majoré de trois points de pourcentage.</w:t>
      </w:r>
    </w:p>
    <w:p w:rsidRPr="003E3129" w:rsidR="00D33065" w:rsidP="003E3129" w14:paraId="0092581F" w14:textId="77777777">
      <w:pPr>
        <w:pStyle w:val="JuHHead"/>
        <w:numPr>
          <w:ilvl w:val="0"/>
          <w:numId w:val="2"/>
        </w:numPr>
        <w:rPr>
          <w:lang w:val="fr-FR"/>
        </w:rPr>
      </w:pPr>
      <w:r w:rsidRPr="003E3129">
        <w:rPr>
          <w:lang w:val="fr-FR"/>
        </w:rPr>
        <w:t xml:space="preserve">PAR CES MOTIFS, LA COUR, </w:t>
      </w:r>
      <w:r w:rsidRPr="003E3129">
        <w:rPr>
          <w:caps w:val="0"/>
          <w:lang w:val="fr-FR"/>
        </w:rPr>
        <w:t>À L</w:t>
      </w:r>
      <w:r w:rsidRPr="003E3129" w:rsidR="003E3129">
        <w:rPr>
          <w:caps w:val="0"/>
          <w:lang w:val="fr-FR"/>
        </w:rPr>
        <w:t>’</w:t>
      </w:r>
      <w:r w:rsidRPr="003E3129">
        <w:rPr>
          <w:caps w:val="0"/>
          <w:lang w:val="fr-FR"/>
        </w:rPr>
        <w:t>UNANIMITÉ</w:t>
      </w:r>
      <w:r w:rsidRPr="003E3129">
        <w:rPr>
          <w:lang w:val="fr-FR"/>
        </w:rPr>
        <w:t>,</w:t>
      </w:r>
    </w:p>
    <w:p w:rsidRPr="003E3129" w:rsidR="00D33065" w:rsidP="003E3129" w14:paraId="094B4726" w14:textId="77777777">
      <w:pPr>
        <w:pStyle w:val="JuList"/>
        <w:numPr>
          <w:ilvl w:val="0"/>
          <w:numId w:val="3"/>
        </w:numPr>
      </w:pPr>
      <w:r w:rsidRPr="003E3129">
        <w:rPr>
          <w:i/>
        </w:rPr>
        <w:t>Déclare</w:t>
      </w:r>
      <w:r w:rsidRPr="003E3129">
        <w:t xml:space="preserve"> le grief tiré de l</w:t>
      </w:r>
      <w:r w:rsidRPr="003E3129" w:rsidR="003E3129">
        <w:t>’</w:t>
      </w:r>
      <w:r w:rsidRPr="003E3129">
        <w:t>article 6 § 2 de la Convention recevable ;</w:t>
      </w:r>
    </w:p>
    <w:p w:rsidRPr="003E3129" w:rsidR="00D33065" w:rsidP="003E3129" w14:paraId="27F544E3" w14:textId="77777777">
      <w:pPr>
        <w:pStyle w:val="JuList"/>
        <w:numPr>
          <w:ilvl w:val="0"/>
          <w:numId w:val="3"/>
        </w:numPr>
      </w:pPr>
      <w:r w:rsidRPr="003E3129">
        <w:rPr>
          <w:i/>
        </w:rPr>
        <w:t>Dit</w:t>
      </w:r>
      <w:r w:rsidRPr="003E3129">
        <w:t xml:space="preserve"> qu</w:t>
      </w:r>
      <w:r w:rsidRPr="003E3129" w:rsidR="003E3129">
        <w:t>’</w:t>
      </w:r>
      <w:r w:rsidRPr="003E3129">
        <w:t>il y a eu violation de l</w:t>
      </w:r>
      <w:r w:rsidRPr="003E3129" w:rsidR="003E3129">
        <w:t>’</w:t>
      </w:r>
      <w:r w:rsidRPr="003E3129">
        <w:t>article 6 § 2 de la Convention ;</w:t>
      </w:r>
    </w:p>
    <w:p w:rsidRPr="003E3129" w:rsidR="00D33065" w:rsidP="003E3129" w14:paraId="076093C5" w14:textId="77777777">
      <w:pPr>
        <w:pStyle w:val="JuList"/>
        <w:numPr>
          <w:ilvl w:val="0"/>
          <w:numId w:val="3"/>
        </w:numPr>
      </w:pPr>
      <w:r w:rsidRPr="003E3129">
        <w:rPr>
          <w:i/>
        </w:rPr>
        <w:t>Dit</w:t>
      </w:r>
      <w:r w:rsidRPr="003E3129">
        <w:t xml:space="preserve"> qu</w:t>
      </w:r>
      <w:r w:rsidRPr="003E3129" w:rsidR="003E3129">
        <w:t>’</w:t>
      </w:r>
      <w:r w:rsidRPr="003E3129">
        <w:t>il n</w:t>
      </w:r>
      <w:r w:rsidRPr="003E3129" w:rsidR="003E3129">
        <w:t>’</w:t>
      </w:r>
      <w:r w:rsidRPr="003E3129">
        <w:t>y a pas lieu d</w:t>
      </w:r>
      <w:r w:rsidRPr="003E3129" w:rsidR="003E3129">
        <w:t>’</w:t>
      </w:r>
      <w:r w:rsidRPr="003E3129">
        <w:t xml:space="preserve">examiner </w:t>
      </w:r>
      <w:r w:rsidRPr="003E3129">
        <w:rPr>
          <w:rFonts w:ascii="Times New Roman" w:hAnsi="Times New Roman" w:cs="Times New Roman"/>
          <w:color w:val="000000"/>
        </w:rPr>
        <w:t xml:space="preserve">la recevabilité et le bien-fondé du </w:t>
      </w:r>
      <w:r w:rsidRPr="003E3129">
        <w:t>grief formulé sur le terrain de l</w:t>
      </w:r>
      <w:r w:rsidRPr="003E3129" w:rsidR="003E3129">
        <w:t>’</w:t>
      </w:r>
      <w:r w:rsidRPr="003E3129">
        <w:t>article 6 § 1 de la Convention ;</w:t>
      </w:r>
    </w:p>
    <w:p w:rsidRPr="003E3129" w:rsidR="00D33065" w:rsidP="003E3129" w14:paraId="1F11997D" w14:textId="77777777">
      <w:pPr>
        <w:pStyle w:val="JuList"/>
        <w:numPr>
          <w:ilvl w:val="0"/>
          <w:numId w:val="3"/>
        </w:numPr>
      </w:pPr>
      <w:r w:rsidRPr="003E3129">
        <w:rPr>
          <w:i/>
        </w:rPr>
        <w:t>Dit</w:t>
      </w:r>
    </w:p>
    <w:p w:rsidRPr="003E3129" w:rsidR="00346708" w:rsidP="003E3129" w14:paraId="013A12FD" w14:textId="77777777">
      <w:pPr>
        <w:pStyle w:val="JuLista"/>
        <w:numPr>
          <w:ilvl w:val="1"/>
          <w:numId w:val="3"/>
        </w:numPr>
      </w:pPr>
      <w:r w:rsidRPr="003E3129">
        <w:t>que</w:t>
      </w:r>
      <w:r w:rsidRPr="003E3129">
        <w:t xml:space="preserve"> l</w:t>
      </w:r>
      <w:r w:rsidRPr="003E3129" w:rsidR="003E3129">
        <w:t>’</w:t>
      </w:r>
      <w:r w:rsidRPr="003E3129">
        <w:t xml:space="preserve">État défendeur doit verser au requérant, dans un délai de trois mois </w:t>
      </w:r>
      <w:r w:rsidRPr="003E3129">
        <w:t>à compter de la date à laquelle l</w:t>
      </w:r>
      <w:r w:rsidRPr="003E3129" w:rsidR="003E3129">
        <w:t>’</w:t>
      </w:r>
      <w:r w:rsidRPr="003E3129">
        <w:t>arrêt sera devenu définitif conformément à l</w:t>
      </w:r>
      <w:r w:rsidRPr="003E3129" w:rsidR="003E3129">
        <w:t>’</w:t>
      </w:r>
      <w:r w:rsidRPr="003E3129">
        <w:t>article 44 § 2 de la Convention,</w:t>
      </w:r>
    </w:p>
    <w:p w:rsidRPr="003E3129" w:rsidR="00D33065" w:rsidP="003E3129" w14:paraId="2BF72314" w14:textId="77777777">
      <w:pPr>
        <w:pStyle w:val="JuLista"/>
        <w:numPr>
          <w:ilvl w:val="1"/>
          <w:numId w:val="3"/>
        </w:numPr>
      </w:pPr>
      <w:r w:rsidRPr="003E3129">
        <w:t>les</w:t>
      </w:r>
      <w:r w:rsidRPr="003E3129">
        <w:t xml:space="preserve"> sommes suivantes,</w:t>
      </w:r>
      <w:r w:rsidRPr="003E3129">
        <w:rPr>
          <w:b/>
        </w:rPr>
        <w:t xml:space="preserve"> </w:t>
      </w:r>
      <w:r w:rsidRPr="003E3129">
        <w:t>à convertir dans la monnaie de l</w:t>
      </w:r>
      <w:r w:rsidRPr="003E3129" w:rsidR="003E3129">
        <w:t>’</w:t>
      </w:r>
      <w:r w:rsidRPr="003E3129">
        <w:t>État défendeur au taux applicable à la date du règlement :</w:t>
      </w:r>
    </w:p>
    <w:p w:rsidRPr="003E3129" w:rsidR="00D33065" w:rsidP="003E3129" w14:paraId="43098A13" w14:textId="77777777">
      <w:pPr>
        <w:pStyle w:val="JuListi"/>
      </w:pPr>
      <w:r w:rsidRPr="003E3129">
        <w:t>3 </w:t>
      </w:r>
      <w:r w:rsidRPr="003E3129">
        <w:t>600 EUR (trois mille six cents euros) pour dommage matériel,</w:t>
      </w:r>
    </w:p>
    <w:p w:rsidRPr="003E3129" w:rsidR="00D33065" w:rsidP="003E3129" w14:paraId="6002D364" w14:textId="77777777">
      <w:pPr>
        <w:pStyle w:val="JuListi"/>
      </w:pPr>
      <w:r w:rsidRPr="003E3129">
        <w:t>3 </w:t>
      </w:r>
      <w:r w:rsidRPr="003E3129">
        <w:t>600 EUR (trois mille six cents euros), plus tout montant pouvant être dû sur cette somme à titre d</w:t>
      </w:r>
      <w:r w:rsidRPr="003E3129" w:rsidR="003E3129">
        <w:t>’</w:t>
      </w:r>
      <w:r w:rsidRPr="003E3129">
        <w:t>impôt, pour dommage moral,</w:t>
      </w:r>
    </w:p>
    <w:p w:rsidRPr="003E3129" w:rsidR="00D33065" w:rsidP="003E3129" w14:paraId="67749105" w14:textId="77777777">
      <w:pPr>
        <w:pStyle w:val="JuListi"/>
      </w:pPr>
      <w:r w:rsidRPr="003E3129">
        <w:t xml:space="preserve">45 </w:t>
      </w:r>
      <w:r w:rsidRPr="003E3129">
        <w:t>EUR (quarante-cinq euros), plus tout montant pouvant être dû sur cette somme par le requérant à titre d</w:t>
      </w:r>
      <w:r w:rsidRPr="003E3129" w:rsidR="003E3129">
        <w:t>’</w:t>
      </w:r>
      <w:r w:rsidRPr="003E3129">
        <w:t>impôt, pour frais et dépens,</w:t>
      </w:r>
    </w:p>
    <w:p w:rsidRPr="003E3129" w:rsidR="00D33065" w:rsidP="003E3129" w14:paraId="7DEC6A05" w14:textId="77777777">
      <w:pPr>
        <w:pStyle w:val="JuLista"/>
        <w:numPr>
          <w:ilvl w:val="1"/>
          <w:numId w:val="1"/>
        </w:numPr>
      </w:pPr>
      <w:r w:rsidRPr="003E3129">
        <w:t>qu</w:t>
      </w:r>
      <w:r w:rsidRPr="003E3129" w:rsidR="003E3129">
        <w:t>’</w:t>
      </w:r>
      <w:r w:rsidRPr="003E3129">
        <w:t>à</w:t>
      </w:r>
      <w:r w:rsidRPr="003E3129">
        <w:t xml:space="preserve"> compter de l</w:t>
      </w:r>
      <w:r w:rsidRPr="003E3129" w:rsidR="003E3129">
        <w:t>’</w:t>
      </w:r>
      <w:r w:rsidRPr="003E3129">
        <w:t>expiration dudit délai et jusqu</w:t>
      </w:r>
      <w:r w:rsidRPr="003E3129" w:rsidR="003E3129">
        <w:t>’</w:t>
      </w:r>
      <w:r w:rsidRPr="003E3129">
        <w:t>au versement, ces montants seront à majorer d</w:t>
      </w:r>
      <w:r w:rsidRPr="003E3129" w:rsidR="003E3129">
        <w:t>’</w:t>
      </w:r>
      <w:r w:rsidRPr="003E3129">
        <w:t>un intérêt simple à un taux égal à celui de la facilité de prêt marginal de la Banque centrale européenne applicable pendant cette période, augmenté de trois points de pourcentage ;</w:t>
      </w:r>
    </w:p>
    <w:p w:rsidRPr="003E3129" w:rsidR="00876F03" w:rsidP="003E3129" w14:paraId="71AC2FA9" w14:textId="77777777">
      <w:pPr>
        <w:pStyle w:val="JuList"/>
      </w:pPr>
      <w:r w:rsidRPr="003E3129">
        <w:rPr>
          <w:i/>
        </w:rPr>
        <w:t>Rejette</w:t>
      </w:r>
      <w:r w:rsidRPr="003E3129">
        <w:t xml:space="preserve"> le surplus de la demande de satisfaction équitable.</w:t>
      </w:r>
    </w:p>
    <w:p w:rsidRPr="003E3129" w:rsidR="00893F30" w:rsidP="003E3129" w14:paraId="75AD4B52" w14:textId="77777777">
      <w:pPr>
        <w:pStyle w:val="JuParaLast"/>
      </w:pPr>
      <w:r w:rsidRPr="003E3129">
        <w:t xml:space="preserve">Fait en français, puis communiqué par écrit le </w:t>
      </w:r>
      <w:r w:rsidRPr="003E3129" w:rsidR="00D33065">
        <w:t>20 octobre 2020</w:t>
      </w:r>
      <w:r w:rsidRPr="003E3129">
        <w:t>, en application de l</w:t>
      </w:r>
      <w:r w:rsidRPr="003E3129" w:rsidR="003E3129">
        <w:t>’</w:t>
      </w:r>
      <w:r w:rsidRPr="003E3129">
        <w:t>article 77 §§ 2 et 3 du règlement.</w:t>
      </w:r>
    </w:p>
    <w:p w:rsidRPr="003E3129" w:rsidR="00876F03" w:rsidP="003E3129" w14:paraId="142F7C68" w14:textId="77777777">
      <w:pPr>
        <w:pStyle w:val="JuSigned"/>
      </w:pPr>
      <w:r w:rsidRPr="003E3129">
        <w:tab/>
      </w:r>
      <w:r w:rsidRPr="003E3129" w:rsidR="00346708">
        <w:t>Hasan Bakırcı</w:t>
      </w:r>
      <w:r w:rsidRPr="003E3129" w:rsidR="004344E6">
        <w:tab/>
      </w:r>
      <w:r w:rsidRPr="003E3129">
        <w:t>Jon Fridrik Kjølbro</w:t>
      </w:r>
      <w:r w:rsidRPr="003E3129" w:rsidR="004344E6">
        <w:br/>
      </w:r>
      <w:r w:rsidRPr="003E3129" w:rsidR="004344E6">
        <w:tab/>
      </w:r>
      <w:r w:rsidRPr="003E3129">
        <w:t>Greffier</w:t>
      </w:r>
      <w:r w:rsidRPr="003E3129" w:rsidR="00346708">
        <w:t xml:space="preserve"> adjoint</w:t>
      </w:r>
      <w:r w:rsidRPr="003E3129" w:rsidR="004344E6">
        <w:tab/>
      </w:r>
      <w:r w:rsidRPr="003E3129">
        <w:t>Président</w:t>
      </w:r>
    </w:p>
    <w:sectPr>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F06" w:rsidP="00954AD6" w14:paraId="27267D53" w14:textId="77777777">
    <w:pPr>
      <w:pStyle w:val="JuHeader"/>
    </w:pPr>
    <w:r>
      <w:fldChar w:fldCharType="begin"/>
    </w:r>
    <w:r>
      <w:instrText xml:space="preserve"> PAGE </w:instrText>
    </w:r>
    <w:r>
      <w:fldChar w:fldCharType="separate"/>
    </w:r>
    <w:r w:rsidR="003E3129">
      <w:rPr>
        <w:noProof/>
      </w:rPr>
      <w:t>18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F06" w:rsidRPr="00150BFA" w:rsidP="003D1F06" w14:paraId="1C91A4C7" w14:textId="77777777">
    <w:pPr>
      <w:jc w:val="center"/>
    </w:pPr>
    <w:r>
      <w:rPr>
        <w:noProof/>
        <w:lang w:val="en-US"/>
      </w:rPr>
      <w:drawing>
        <wp:inline distT="0" distB="0" distL="0" distR="0">
          <wp:extent cx="771525" cy="619125"/>
          <wp:effectExtent l="0" t="0" r="9525" b="9525"/>
          <wp:docPr id="175" name="Picture 17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D1F06" w:rsidRPr="000A20EB" w:rsidP="00F27D13" w14:paraId="1A6B314C"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F06" w:rsidRPr="00150BFA" w:rsidP="003D1F06" w14:paraId="4FC94CBF"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D1F06" w:rsidRPr="000A20EB" w:rsidP="00902601" w14:paraId="789220E9"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F06" w:rsidRPr="00D01935" w:rsidP="00662882" w14:paraId="705F01BE" w14:textId="77777777">
    <w:pPr>
      <w:pStyle w:val="JuHeader"/>
    </w:pPr>
    <w:r>
      <w:fldChar w:fldCharType="begin"/>
    </w:r>
    <w:r>
      <w:instrText xml:space="preserve"> PAGE </w:instrText>
    </w:r>
    <w:r>
      <w:fldChar w:fldCharType="separate"/>
    </w:r>
    <w:r w:rsidR="003E3129">
      <w:rPr>
        <w:noProof/>
      </w:rPr>
      <w:t>19</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F06" w:rsidRPr="00A45145" w:rsidP="003D1F06" w14:paraId="622BC19B" w14:textId="77777777">
    <w:pPr>
      <w:jc w:val="center"/>
    </w:pPr>
    <w:r>
      <w:rPr>
        <w:noProof/>
        <w:lang w:val="en-US"/>
      </w:rPr>
      <w:drawing>
        <wp:inline distT="0" distB="0" distL="0" distR="0">
          <wp:extent cx="2962275" cy="1219200"/>
          <wp:effectExtent l="0" t="0" r="9525" b="0"/>
          <wp:docPr id="172" name="Picture 17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D1F06" w:rsidRPr="000A20EB" w:rsidP="003D1F06" w14:paraId="43AF384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F06" w:rsidRPr="00A45145" w:rsidP="003D1F06" w14:paraId="7B4B1B37" w14:textId="77777777">
    <w:pPr>
      <w:jc w:val="center"/>
    </w:pPr>
    <w:r>
      <w:rPr>
        <w:noProof/>
        <w:lang w:val="en-US"/>
      </w:rPr>
      <w:drawing>
        <wp:inline distT="0" distB="0" distL="0" distR="0">
          <wp:extent cx="2962275" cy="1219200"/>
          <wp:effectExtent l="0" t="0" r="9525" b="0"/>
          <wp:docPr id="157" name="Picture 1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D1F06" w:rsidRPr="000A20EB" w:rsidP="00902601" w14:paraId="0B60041F" w14:textId="77777777">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F06" w:rsidRPr="003D1F06" w:rsidP="00A21624" w14:paraId="05619083" w14:textId="77777777">
    <w:pPr>
      <w:pStyle w:val="JuHeader"/>
    </w:pPr>
    <w:r w:rsidRPr="003D1F06">
      <w:t>ARRÊT FELIX GUŢU c. RÉPUBLIQUE DE MOLDOVA</w:t>
    </w:r>
    <w:r w:rsidRPr="003D1F06">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F06" w:rsidRPr="00662882" w:rsidP="00662882" w14:paraId="70F20A64" w14:textId="77777777">
    <w:pPr>
      <w:pStyle w:val="JuHeader"/>
    </w:pPr>
    <w:r w:rsidRPr="003D1F06">
      <w:t xml:space="preserve">ARRÊT FELIX GUŢU c. RÉPUBLIQUE DE MOLDOVA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1E6C73A"/>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905A651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17"/>
  </w:num>
  <w:num w:numId="3">
    <w:abstractNumId w:val="13"/>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4"/>
  </w:num>
  <w:num w:numId="8">
    <w:abstractNumId w:val="11"/>
  </w:num>
  <w:num w:numId="9">
    <w:abstractNumId w:val="10"/>
  </w:num>
  <w:num w:numId="10">
    <w:abstractNumId w:val="15"/>
  </w:num>
  <w:num w:numId="11">
    <w:abstractNumId w:val="12"/>
  </w:num>
  <w:num w:numId="12">
    <w:abstractNumId w:val="16"/>
  </w:num>
  <w:num w:numId="13">
    <w:abstractNumId w:val="18"/>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33065"/>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6708"/>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1F06"/>
    <w:rsid w:val="003D32BE"/>
    <w:rsid w:val="003E3129"/>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87902"/>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60D"/>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1785F"/>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D760C"/>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1EEB"/>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9333D"/>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03B3"/>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3065"/>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40404"/>
    <w:rsid w:val="00E459C6"/>
    <w:rsid w:val="00E47589"/>
    <w:rsid w:val="00E64915"/>
    <w:rsid w:val="00E661D4"/>
    <w:rsid w:val="00E70091"/>
    <w:rsid w:val="00E720F5"/>
    <w:rsid w:val="00E76D47"/>
    <w:rsid w:val="00E849F7"/>
    <w:rsid w:val="00E90302"/>
    <w:rsid w:val="00E97396"/>
    <w:rsid w:val="00E974D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34F"/>
    <w:rsid w:val="00FA685B"/>
    <w:rsid w:val="00FB0C01"/>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96BE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3E3129"/>
    <w:rPr>
      <w:sz w:val="24"/>
      <w:szCs w:val="24"/>
      <w:lang w:val="fr-FR"/>
    </w:rPr>
  </w:style>
  <w:style w:type="paragraph" w:styleId="Heading1">
    <w:name w:val="heading 1"/>
    <w:basedOn w:val="Normal"/>
    <w:next w:val="Normal"/>
    <w:link w:val="Heading1Char"/>
    <w:uiPriority w:val="98"/>
    <w:semiHidden/>
    <w:rsid w:val="003E3129"/>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3E3129"/>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3E3129"/>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3E3129"/>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3E3129"/>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3E3129"/>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3E3129"/>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3E3129"/>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3E3129"/>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E3129"/>
    <w:rPr>
      <w:rFonts w:ascii="Tahoma" w:hAnsi="Tahoma" w:cs="Tahoma"/>
      <w:sz w:val="16"/>
      <w:szCs w:val="16"/>
    </w:rPr>
  </w:style>
  <w:style w:type="character" w:customStyle="1" w:styleId="BalloonTextChar">
    <w:name w:val="Balloon Text Char"/>
    <w:basedOn w:val="DefaultParagraphFont"/>
    <w:link w:val="BalloonText"/>
    <w:uiPriority w:val="98"/>
    <w:semiHidden/>
    <w:rsid w:val="003E3129"/>
    <w:rPr>
      <w:rFonts w:ascii="Tahoma" w:hAnsi="Tahoma" w:cs="Tahoma"/>
      <w:sz w:val="16"/>
      <w:szCs w:val="16"/>
      <w:lang w:val="fr-FR"/>
    </w:rPr>
  </w:style>
  <w:style w:type="character" w:styleId="BookTitle">
    <w:name w:val="Book Title"/>
    <w:uiPriority w:val="98"/>
    <w:semiHidden/>
    <w:qFormat/>
    <w:rsid w:val="003E3129"/>
    <w:rPr>
      <w:i/>
      <w:iCs/>
      <w:smallCaps/>
      <w:spacing w:val="5"/>
    </w:rPr>
  </w:style>
  <w:style w:type="paragraph" w:customStyle="1" w:styleId="JuHeader">
    <w:name w:val="Ju_Header"/>
    <w:aliases w:val="_Header"/>
    <w:basedOn w:val="Header0"/>
    <w:uiPriority w:val="29"/>
    <w:qFormat/>
    <w:rsid w:val="003E3129"/>
    <w:pPr>
      <w:tabs>
        <w:tab w:val="clear" w:pos="4536"/>
        <w:tab w:val="clear" w:pos="9072"/>
      </w:tabs>
      <w:jc w:val="center"/>
    </w:pPr>
    <w:rPr>
      <w:sz w:val="18"/>
    </w:rPr>
  </w:style>
  <w:style w:type="paragraph" w:customStyle="1" w:styleId="DecList">
    <w:name w:val="Dec_List"/>
    <w:aliases w:val="_List"/>
    <w:basedOn w:val="JuList"/>
    <w:uiPriority w:val="22"/>
    <w:rsid w:val="003E3129"/>
    <w:pPr>
      <w:numPr>
        <w:numId w:val="0"/>
      </w:numPr>
      <w:ind w:left="284"/>
    </w:pPr>
  </w:style>
  <w:style w:type="character" w:styleId="Strong">
    <w:name w:val="Strong"/>
    <w:uiPriority w:val="98"/>
    <w:semiHidden/>
    <w:qFormat/>
    <w:rsid w:val="003E3129"/>
    <w:rPr>
      <w:b/>
      <w:bCs/>
    </w:rPr>
  </w:style>
  <w:style w:type="paragraph" w:styleId="NoSpacing">
    <w:name w:val="No Spacing"/>
    <w:basedOn w:val="Normal"/>
    <w:link w:val="NoSpacingChar"/>
    <w:uiPriority w:val="98"/>
    <w:semiHidden/>
    <w:qFormat/>
    <w:rsid w:val="003E3129"/>
  </w:style>
  <w:style w:type="character" w:customStyle="1" w:styleId="NoSpacingChar">
    <w:name w:val="No Spacing Char"/>
    <w:basedOn w:val="DefaultParagraphFont"/>
    <w:link w:val="NoSpacing"/>
    <w:uiPriority w:val="98"/>
    <w:semiHidden/>
    <w:rsid w:val="003E3129"/>
    <w:rPr>
      <w:sz w:val="24"/>
      <w:szCs w:val="24"/>
      <w:lang w:val="fr-FR"/>
    </w:rPr>
  </w:style>
  <w:style w:type="paragraph" w:customStyle="1" w:styleId="JuQuot">
    <w:name w:val="Ju_Quot"/>
    <w:aliases w:val="_Quote"/>
    <w:basedOn w:val="NormalJustified"/>
    <w:uiPriority w:val="20"/>
    <w:qFormat/>
    <w:rsid w:val="003E3129"/>
    <w:pPr>
      <w:spacing w:before="120" w:after="120"/>
      <w:ind w:left="425" w:firstLine="142"/>
    </w:pPr>
    <w:rPr>
      <w:sz w:val="20"/>
    </w:rPr>
  </w:style>
  <w:style w:type="paragraph" w:customStyle="1" w:styleId="JuList">
    <w:name w:val="Ju_List"/>
    <w:aliases w:val="_List_1"/>
    <w:basedOn w:val="NormalJustified"/>
    <w:uiPriority w:val="23"/>
    <w:qFormat/>
    <w:rsid w:val="003E3129"/>
    <w:pPr>
      <w:numPr>
        <w:numId w:val="11"/>
      </w:numPr>
      <w:spacing w:before="280" w:after="60"/>
    </w:pPr>
  </w:style>
  <w:style w:type="paragraph" w:customStyle="1" w:styleId="JuLista">
    <w:name w:val="Ju_List_a"/>
    <w:aliases w:val="_List_2"/>
    <w:basedOn w:val="NormalJustified"/>
    <w:uiPriority w:val="23"/>
    <w:rsid w:val="003E3129"/>
    <w:pPr>
      <w:numPr>
        <w:ilvl w:val="1"/>
        <w:numId w:val="11"/>
      </w:numPr>
    </w:pPr>
  </w:style>
  <w:style w:type="paragraph" w:customStyle="1" w:styleId="JuListi">
    <w:name w:val="Ju_List_i"/>
    <w:aliases w:val="_List_3"/>
    <w:basedOn w:val="NormalJustified"/>
    <w:uiPriority w:val="23"/>
    <w:rsid w:val="003E3129"/>
    <w:pPr>
      <w:numPr>
        <w:ilvl w:val="2"/>
        <w:numId w:val="11"/>
      </w:numPr>
    </w:pPr>
  </w:style>
  <w:style w:type="paragraph" w:customStyle="1" w:styleId="DecHTitle">
    <w:name w:val="Dec_H_Title"/>
    <w:aliases w:val="_Title_1"/>
    <w:basedOn w:val="JuPara"/>
    <w:next w:val="JuPara"/>
    <w:uiPriority w:val="38"/>
    <w:qFormat/>
    <w:rsid w:val="003E312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3E312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3E3129"/>
    <w:pPr>
      <w:keepNext/>
      <w:keepLines/>
      <w:tabs>
        <w:tab w:val="right" w:pos="7938"/>
      </w:tabs>
      <w:ind w:firstLine="0"/>
      <w:jc w:val="center"/>
    </w:pPr>
    <w:rPr>
      <w:i/>
    </w:rPr>
  </w:style>
  <w:style w:type="numbering" w:customStyle="1" w:styleId="ECHRA1StyleBulletedSquare">
    <w:name w:val="ECHR_A1_Style_Bulleted_Square"/>
    <w:basedOn w:val="NoList"/>
    <w:rsid w:val="003E3129"/>
    <w:pPr>
      <w:numPr>
        <w:numId w:val="10"/>
      </w:numPr>
    </w:pPr>
  </w:style>
  <w:style w:type="paragraph" w:customStyle="1" w:styleId="JuHHead">
    <w:name w:val="Ju_H_Head"/>
    <w:aliases w:val="_Head_1"/>
    <w:basedOn w:val="Heading1"/>
    <w:next w:val="JuPara"/>
    <w:uiPriority w:val="17"/>
    <w:qFormat/>
    <w:rsid w:val="003E3129"/>
    <w:pPr>
      <w:keepNext/>
      <w:keepLines/>
      <w:numPr>
        <w:numId w:val="6"/>
      </w:numPr>
      <w:spacing w:before="100" w:beforeAutospacing="1" w:after="240"/>
      <w:contextualSpacing w:val="0"/>
    </w:pPr>
    <w:rPr>
      <w:b w:val="0"/>
      <w:caps/>
      <w:color w:val="auto"/>
    </w:rPr>
  </w:style>
  <w:style w:type="numbering" w:customStyle="1" w:styleId="ECHRA1StyleList">
    <w:name w:val="ECHR_A1_Style_List"/>
    <w:basedOn w:val="NoList"/>
    <w:uiPriority w:val="99"/>
    <w:rsid w:val="003E3129"/>
    <w:pPr>
      <w:numPr>
        <w:numId w:val="1"/>
      </w:numPr>
    </w:pPr>
  </w:style>
  <w:style w:type="paragraph" w:customStyle="1" w:styleId="JuSigned">
    <w:name w:val="Ju_Signed"/>
    <w:aliases w:val="_Signature"/>
    <w:basedOn w:val="Normal"/>
    <w:next w:val="JuPara"/>
    <w:uiPriority w:val="31"/>
    <w:qFormat/>
    <w:rsid w:val="003E3129"/>
    <w:pPr>
      <w:tabs>
        <w:tab w:val="center" w:pos="851"/>
        <w:tab w:val="center" w:pos="6407"/>
      </w:tabs>
      <w:spacing w:before="720"/>
    </w:pPr>
  </w:style>
  <w:style w:type="paragraph" w:styleId="Title">
    <w:name w:val="Title"/>
    <w:basedOn w:val="Normal"/>
    <w:next w:val="Normal"/>
    <w:link w:val="TitleChar"/>
    <w:uiPriority w:val="98"/>
    <w:semiHidden/>
    <w:qFormat/>
    <w:rsid w:val="003E312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E3129"/>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3E3129"/>
    <w:pPr>
      <w:numPr>
        <w:numId w:val="12"/>
      </w:numPr>
    </w:pPr>
  </w:style>
  <w:style w:type="table" w:customStyle="1" w:styleId="ECHRTable2019">
    <w:name w:val="ECHR_Table_2019"/>
    <w:basedOn w:val="TableNormal"/>
    <w:uiPriority w:val="99"/>
    <w:rsid w:val="003E312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3E3129"/>
    <w:rPr>
      <w:sz w:val="8"/>
    </w:rPr>
  </w:style>
  <w:style w:type="paragraph" w:customStyle="1" w:styleId="JuCourt">
    <w:name w:val="Ju_Court"/>
    <w:aliases w:val="_Court_Names"/>
    <w:basedOn w:val="Normal"/>
    <w:next w:val="Normal"/>
    <w:uiPriority w:val="32"/>
    <w:qFormat/>
    <w:rsid w:val="003E312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3E3129"/>
    <w:pPr>
      <w:tabs>
        <w:tab w:val="center" w:pos="6407"/>
      </w:tabs>
      <w:spacing w:before="720"/>
      <w:jc w:val="right"/>
    </w:pPr>
  </w:style>
  <w:style w:type="paragraph" w:customStyle="1" w:styleId="JuHIRoman">
    <w:name w:val="Ju_H_I_Roman"/>
    <w:aliases w:val="_Head_2"/>
    <w:basedOn w:val="Heading2"/>
    <w:next w:val="JuPara"/>
    <w:uiPriority w:val="17"/>
    <w:qFormat/>
    <w:rsid w:val="003E3129"/>
    <w:pPr>
      <w:keepNext/>
      <w:keepLines/>
      <w:numPr>
        <w:ilvl w:val="1"/>
        <w:numId w:val="6"/>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3E3129"/>
    <w:pPr>
      <w:keepNext/>
      <w:keepLines/>
      <w:numPr>
        <w:ilvl w:val="2"/>
        <w:numId w:val="6"/>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3E3129"/>
    <w:pPr>
      <w:keepNext/>
      <w:keepLines/>
      <w:numPr>
        <w:ilvl w:val="3"/>
        <w:numId w:val="6"/>
      </w:numPr>
      <w:spacing w:before="100" w:beforeAutospacing="1" w:after="120"/>
    </w:pPr>
    <w:rPr>
      <w:b w:val="0"/>
      <w:color w:val="auto"/>
      <w:sz w:val="24"/>
    </w:rPr>
  </w:style>
  <w:style w:type="paragraph" w:styleId="Header0">
    <w:name w:val="header"/>
    <w:basedOn w:val="Normal"/>
    <w:link w:val="HeaderChar"/>
    <w:uiPriority w:val="98"/>
    <w:semiHidden/>
    <w:rsid w:val="003E3129"/>
    <w:pPr>
      <w:tabs>
        <w:tab w:val="center" w:pos="4536"/>
        <w:tab w:val="right" w:pos="9072"/>
      </w:tabs>
    </w:pPr>
  </w:style>
  <w:style w:type="character" w:customStyle="1" w:styleId="HeaderChar">
    <w:name w:val="Header Char"/>
    <w:basedOn w:val="DefaultParagraphFont"/>
    <w:link w:val="Header0"/>
    <w:uiPriority w:val="98"/>
    <w:semiHidden/>
    <w:rsid w:val="003E3129"/>
    <w:rPr>
      <w:sz w:val="24"/>
      <w:szCs w:val="24"/>
      <w:lang w:val="fr-FR"/>
    </w:rPr>
  </w:style>
  <w:style w:type="character" w:customStyle="1" w:styleId="Heading1Char">
    <w:name w:val="Heading 1 Char"/>
    <w:basedOn w:val="DefaultParagraphFont"/>
    <w:link w:val="Heading1"/>
    <w:uiPriority w:val="98"/>
    <w:semiHidden/>
    <w:rsid w:val="003E312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E3129"/>
    <w:pPr>
      <w:keepNext/>
      <w:keepLines/>
      <w:numPr>
        <w:ilvl w:val="4"/>
        <w:numId w:val="6"/>
      </w:numPr>
      <w:spacing w:before="100" w:beforeAutospacing="1" w:after="120"/>
    </w:pPr>
    <w:rPr>
      <w:color w:val="auto"/>
      <w:sz w:val="20"/>
    </w:rPr>
  </w:style>
  <w:style w:type="paragraph" w:customStyle="1" w:styleId="JuHi">
    <w:name w:val="Ju_H_i"/>
    <w:aliases w:val="_Head_6"/>
    <w:basedOn w:val="Heading6"/>
    <w:next w:val="JuPara"/>
    <w:uiPriority w:val="17"/>
    <w:rsid w:val="003E3129"/>
    <w:pPr>
      <w:keepNext/>
      <w:keepLines/>
      <w:numPr>
        <w:ilvl w:val="5"/>
        <w:numId w:val="6"/>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3E312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E3129"/>
    <w:pPr>
      <w:keepNext/>
      <w:keepLines/>
      <w:numPr>
        <w:ilvl w:val="6"/>
        <w:numId w:val="6"/>
      </w:numPr>
      <w:spacing w:before="100" w:beforeAutospacing="1" w:after="120"/>
    </w:pPr>
    <w:rPr>
      <w:i w:val="0"/>
      <w:sz w:val="20"/>
    </w:rPr>
  </w:style>
  <w:style w:type="paragraph" w:customStyle="1" w:styleId="JuH">
    <w:name w:val="Ju_H_–"/>
    <w:aliases w:val="_Head_8"/>
    <w:basedOn w:val="Heading8"/>
    <w:next w:val="JuPara"/>
    <w:uiPriority w:val="17"/>
    <w:rsid w:val="003E3129"/>
    <w:pPr>
      <w:keepNext/>
      <w:keepLines/>
      <w:numPr>
        <w:ilvl w:val="7"/>
        <w:numId w:val="6"/>
      </w:numPr>
      <w:spacing w:before="100" w:beforeAutospacing="1" w:after="120"/>
    </w:pPr>
    <w:rPr>
      <w:i/>
    </w:rPr>
  </w:style>
  <w:style w:type="character" w:customStyle="1" w:styleId="Heading3Char">
    <w:name w:val="Heading 3 Char"/>
    <w:basedOn w:val="DefaultParagraphFont"/>
    <w:link w:val="Heading3"/>
    <w:uiPriority w:val="98"/>
    <w:semiHidden/>
    <w:rsid w:val="003E312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E3129"/>
    <w:pPr>
      <w:keepNext/>
      <w:keepLines/>
      <w:spacing w:before="240" w:after="240"/>
      <w:ind w:firstLine="284"/>
    </w:pPr>
  </w:style>
  <w:style w:type="paragraph" w:customStyle="1" w:styleId="JuJudges">
    <w:name w:val="Ju_Judges"/>
    <w:aliases w:val="_Judges"/>
    <w:basedOn w:val="Normal"/>
    <w:uiPriority w:val="32"/>
    <w:qFormat/>
    <w:rsid w:val="003E3129"/>
    <w:pPr>
      <w:tabs>
        <w:tab w:val="left" w:pos="567"/>
        <w:tab w:val="left" w:pos="1134"/>
      </w:tabs>
    </w:pPr>
  </w:style>
  <w:style w:type="character" w:customStyle="1" w:styleId="Heading4Char">
    <w:name w:val="Heading 4 Char"/>
    <w:basedOn w:val="DefaultParagraphFont"/>
    <w:link w:val="Heading4"/>
    <w:uiPriority w:val="98"/>
    <w:semiHidden/>
    <w:rsid w:val="003E3129"/>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3E3129"/>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3E3129"/>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3E3129"/>
    <w:rPr>
      <w:caps w:val="0"/>
      <w:smallCaps/>
    </w:rPr>
  </w:style>
  <w:style w:type="paragraph" w:customStyle="1" w:styleId="NormalJustified">
    <w:name w:val="Normal_Justified"/>
    <w:basedOn w:val="Normal"/>
    <w:semiHidden/>
    <w:rsid w:val="003E3129"/>
    <w:pPr>
      <w:jc w:val="both"/>
    </w:pPr>
  </w:style>
  <w:style w:type="character" w:styleId="SubtleEmphasis">
    <w:name w:val="Subtle Emphasis"/>
    <w:uiPriority w:val="98"/>
    <w:semiHidden/>
    <w:qFormat/>
    <w:rsid w:val="003E3129"/>
    <w:rPr>
      <w:i/>
      <w:iCs/>
    </w:rPr>
  </w:style>
  <w:style w:type="table" w:customStyle="1" w:styleId="ECHRTable">
    <w:name w:val="ECHR_Table"/>
    <w:basedOn w:val="TableNormal"/>
    <w:rsid w:val="003E312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E312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E3129"/>
    <w:rPr>
      <w:b/>
      <w:bCs/>
      <w:i/>
      <w:iCs/>
      <w:spacing w:val="10"/>
      <w:bdr w:val="none" w:sz="0" w:space="0" w:color="auto"/>
      <w:shd w:val="clear" w:color="auto" w:fill="auto"/>
    </w:rPr>
  </w:style>
  <w:style w:type="paragraph" w:styleId="Footer1">
    <w:name w:val="footer"/>
    <w:basedOn w:val="Normal"/>
    <w:link w:val="FooterChar"/>
    <w:uiPriority w:val="98"/>
    <w:semiHidden/>
    <w:rsid w:val="003E3129"/>
    <w:pPr>
      <w:tabs>
        <w:tab w:val="center" w:pos="3686"/>
        <w:tab w:val="right" w:pos="7371"/>
      </w:tabs>
    </w:pPr>
  </w:style>
  <w:style w:type="character" w:customStyle="1" w:styleId="FooterChar">
    <w:name w:val="Footer Char"/>
    <w:basedOn w:val="DefaultParagraphFont"/>
    <w:link w:val="Footer1"/>
    <w:uiPriority w:val="98"/>
    <w:semiHidden/>
    <w:rsid w:val="003E3129"/>
    <w:rPr>
      <w:sz w:val="24"/>
      <w:szCs w:val="24"/>
      <w:lang w:val="fr-FR"/>
    </w:rPr>
  </w:style>
  <w:style w:type="character" w:styleId="FootnoteReference">
    <w:name w:val="footnote reference"/>
    <w:basedOn w:val="DefaultParagraphFont"/>
    <w:uiPriority w:val="98"/>
    <w:semiHidden/>
    <w:rsid w:val="003E3129"/>
    <w:rPr>
      <w:vertAlign w:val="superscript"/>
    </w:rPr>
  </w:style>
  <w:style w:type="paragraph" w:styleId="FootnoteText">
    <w:name w:val="footnote text"/>
    <w:basedOn w:val="Normal"/>
    <w:link w:val="FootnoteTextChar"/>
    <w:uiPriority w:val="98"/>
    <w:semiHidden/>
    <w:rsid w:val="003E3129"/>
    <w:rPr>
      <w:sz w:val="20"/>
      <w:szCs w:val="20"/>
    </w:rPr>
  </w:style>
  <w:style w:type="character" w:customStyle="1" w:styleId="FootnoteTextChar">
    <w:name w:val="Footnote Text Char"/>
    <w:basedOn w:val="DefaultParagraphFont"/>
    <w:link w:val="FootnoteText"/>
    <w:uiPriority w:val="98"/>
    <w:semiHidden/>
    <w:rsid w:val="003E3129"/>
    <w:rPr>
      <w:sz w:val="20"/>
      <w:szCs w:val="20"/>
      <w:lang w:val="fr-FR"/>
    </w:rPr>
  </w:style>
  <w:style w:type="character" w:customStyle="1" w:styleId="Heading6Char">
    <w:name w:val="Heading 6 Char"/>
    <w:basedOn w:val="DefaultParagraphFont"/>
    <w:link w:val="Heading6"/>
    <w:uiPriority w:val="98"/>
    <w:semiHidden/>
    <w:rsid w:val="003E312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E312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E312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E312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E3129"/>
    <w:rPr>
      <w:color w:val="0072BC" w:themeColor="hyperlink"/>
      <w:u w:val="single"/>
    </w:rPr>
  </w:style>
  <w:style w:type="character" w:styleId="IntenseEmphasis">
    <w:name w:val="Intense Emphasis"/>
    <w:uiPriority w:val="98"/>
    <w:semiHidden/>
    <w:qFormat/>
    <w:rsid w:val="003E3129"/>
    <w:rPr>
      <w:b/>
      <w:bCs/>
    </w:rPr>
  </w:style>
  <w:style w:type="paragraph" w:styleId="IntenseQuote">
    <w:name w:val="Intense Quote"/>
    <w:basedOn w:val="Normal"/>
    <w:next w:val="Normal"/>
    <w:link w:val="IntenseQuoteChar"/>
    <w:uiPriority w:val="98"/>
    <w:semiHidden/>
    <w:qFormat/>
    <w:rsid w:val="003E312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E3129"/>
    <w:rPr>
      <w:b/>
      <w:bCs/>
      <w:i/>
      <w:iCs/>
      <w:sz w:val="24"/>
      <w:szCs w:val="24"/>
      <w:lang w:val="fr-FR" w:bidi="en-US"/>
    </w:rPr>
  </w:style>
  <w:style w:type="character" w:styleId="IntenseReference">
    <w:name w:val="Intense Reference"/>
    <w:uiPriority w:val="98"/>
    <w:semiHidden/>
    <w:qFormat/>
    <w:rsid w:val="003E3129"/>
    <w:rPr>
      <w:smallCaps/>
      <w:spacing w:val="5"/>
      <w:u w:val="single"/>
    </w:rPr>
  </w:style>
  <w:style w:type="paragraph" w:styleId="ListParagraph">
    <w:name w:val="List Paragraph"/>
    <w:basedOn w:val="Normal"/>
    <w:uiPriority w:val="98"/>
    <w:semiHidden/>
    <w:qFormat/>
    <w:rsid w:val="003E3129"/>
    <w:pPr>
      <w:ind w:left="720"/>
      <w:contextualSpacing/>
    </w:pPr>
  </w:style>
  <w:style w:type="table" w:customStyle="1" w:styleId="LtrTableAddress">
    <w:name w:val="Ltr_Table_Address"/>
    <w:aliases w:val="ECHR_Ltr_Table_Address"/>
    <w:basedOn w:val="TableNormal"/>
    <w:uiPriority w:val="99"/>
    <w:rsid w:val="003E3129"/>
    <w:rPr>
      <w:sz w:val="24"/>
      <w:szCs w:val="24"/>
    </w:rPr>
    <w:tblPr>
      <w:tblInd w:w="5103" w:type="dxa"/>
    </w:tblPr>
  </w:style>
  <w:style w:type="paragraph" w:styleId="Quote0">
    <w:name w:val="Quote"/>
    <w:basedOn w:val="Normal"/>
    <w:next w:val="Normal"/>
    <w:link w:val="QuoteChar"/>
    <w:uiPriority w:val="98"/>
    <w:semiHidden/>
    <w:qFormat/>
    <w:rsid w:val="003E3129"/>
    <w:pPr>
      <w:spacing w:before="200"/>
      <w:ind w:left="360" w:right="360"/>
    </w:pPr>
    <w:rPr>
      <w:i/>
      <w:iCs/>
      <w:lang w:bidi="en-US"/>
    </w:rPr>
  </w:style>
  <w:style w:type="character" w:customStyle="1" w:styleId="QuoteChar">
    <w:name w:val="Quote Char"/>
    <w:basedOn w:val="DefaultParagraphFont"/>
    <w:link w:val="Quote0"/>
    <w:uiPriority w:val="98"/>
    <w:semiHidden/>
    <w:rsid w:val="003E3129"/>
    <w:rPr>
      <w:i/>
      <w:iCs/>
      <w:sz w:val="24"/>
      <w:szCs w:val="24"/>
      <w:lang w:val="fr-FR" w:bidi="en-US"/>
    </w:rPr>
  </w:style>
  <w:style w:type="character" w:styleId="SubtleReference">
    <w:name w:val="Subtle Reference"/>
    <w:uiPriority w:val="98"/>
    <w:semiHidden/>
    <w:qFormat/>
    <w:rsid w:val="003E3129"/>
    <w:rPr>
      <w:smallCaps/>
    </w:rPr>
  </w:style>
  <w:style w:type="table" w:styleId="TableGrid">
    <w:name w:val="Table Grid"/>
    <w:basedOn w:val="TableNormal"/>
    <w:uiPriority w:val="59"/>
    <w:semiHidden/>
    <w:rsid w:val="003E312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E312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E312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E312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E312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E312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E312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E312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E312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E312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E312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E312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E312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E312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E312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E3129"/>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3E3129"/>
    <w:pPr>
      <w:numPr>
        <w:numId w:val="7"/>
      </w:numPr>
    </w:pPr>
  </w:style>
  <w:style w:type="paragraph" w:customStyle="1" w:styleId="JuPara">
    <w:name w:val="Ju_Para"/>
    <w:aliases w:val="_Para"/>
    <w:basedOn w:val="NormalJustified"/>
    <w:link w:val="JuParaChar"/>
    <w:uiPriority w:val="4"/>
    <w:qFormat/>
    <w:rsid w:val="003E3129"/>
    <w:pPr>
      <w:ind w:firstLine="284"/>
    </w:pPr>
  </w:style>
  <w:style w:type="numbering" w:styleId="1ai">
    <w:name w:val="Outline List 1"/>
    <w:basedOn w:val="NoList"/>
    <w:uiPriority w:val="99"/>
    <w:semiHidden/>
    <w:unhideWhenUsed/>
    <w:rsid w:val="003E3129"/>
    <w:pPr>
      <w:numPr>
        <w:numId w:val="8"/>
      </w:numPr>
    </w:pPr>
  </w:style>
  <w:style w:type="table" w:customStyle="1" w:styleId="ECHRTableSimpleBox">
    <w:name w:val="ECHR_Table_Simple_Box"/>
    <w:basedOn w:val="TableNormal"/>
    <w:uiPriority w:val="99"/>
    <w:rsid w:val="003E312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E312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E3129"/>
    <w:pPr>
      <w:numPr>
        <w:numId w:val="9"/>
      </w:numPr>
    </w:pPr>
  </w:style>
  <w:style w:type="table" w:customStyle="1" w:styleId="ECHRTableForInternalUse">
    <w:name w:val="ECHR_Table_For_Internal_Use"/>
    <w:basedOn w:val="TableNormal"/>
    <w:uiPriority w:val="99"/>
    <w:rsid w:val="003E312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E312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E3129"/>
  </w:style>
  <w:style w:type="paragraph" w:styleId="BlockText">
    <w:name w:val="Block Text"/>
    <w:basedOn w:val="Normal"/>
    <w:uiPriority w:val="98"/>
    <w:semiHidden/>
    <w:rsid w:val="003E312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E312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E3129"/>
    <w:pPr>
      <w:spacing w:after="120"/>
    </w:pPr>
  </w:style>
  <w:style w:type="character" w:customStyle="1" w:styleId="BodyTextChar">
    <w:name w:val="Body Text Char"/>
    <w:basedOn w:val="DefaultParagraphFont"/>
    <w:link w:val="BodyText"/>
    <w:uiPriority w:val="98"/>
    <w:semiHidden/>
    <w:rsid w:val="003E3129"/>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E3129"/>
    <w:pPr>
      <w:spacing w:after="120" w:line="480" w:lineRule="auto"/>
    </w:pPr>
  </w:style>
  <w:style w:type="table" w:customStyle="1" w:styleId="ECHRHeaderTableReduced">
    <w:name w:val="ECHR_Header_Table_Reduced"/>
    <w:basedOn w:val="TableNormal"/>
    <w:uiPriority w:val="99"/>
    <w:rsid w:val="003E312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3E3129"/>
    <w:pPr>
      <w:ind w:firstLine="284"/>
    </w:pPr>
    <w:rPr>
      <w:b/>
    </w:rPr>
  </w:style>
  <w:style w:type="character" w:styleId="PageNumber">
    <w:name w:val="page number"/>
    <w:uiPriority w:val="98"/>
    <w:semiHidden/>
    <w:rsid w:val="003E3129"/>
    <w:rPr>
      <w:sz w:val="18"/>
    </w:rPr>
  </w:style>
  <w:style w:type="paragraph" w:styleId="ListBullet2">
    <w:name w:val="List Bullet 2"/>
    <w:basedOn w:val="Normal"/>
    <w:uiPriority w:val="98"/>
    <w:semiHidden/>
    <w:rsid w:val="003E3129"/>
    <w:pPr>
      <w:numPr>
        <w:numId w:val="14"/>
      </w:numPr>
      <w:contextualSpacing/>
    </w:pPr>
  </w:style>
  <w:style w:type="character" w:customStyle="1" w:styleId="BodyText2Char">
    <w:name w:val="Body Text 2 Char"/>
    <w:basedOn w:val="DefaultParagraphFont"/>
    <w:link w:val="BodyText2"/>
    <w:uiPriority w:val="98"/>
    <w:semiHidden/>
    <w:rsid w:val="003E3129"/>
    <w:rPr>
      <w:sz w:val="24"/>
      <w:szCs w:val="24"/>
      <w:lang w:val="fr-FR"/>
    </w:rPr>
  </w:style>
  <w:style w:type="paragraph" w:styleId="BodyText3">
    <w:name w:val="Body Text 3"/>
    <w:basedOn w:val="Normal"/>
    <w:link w:val="BodyText3Char"/>
    <w:uiPriority w:val="98"/>
    <w:semiHidden/>
    <w:rsid w:val="003E3129"/>
    <w:pPr>
      <w:spacing w:after="120"/>
    </w:pPr>
    <w:rPr>
      <w:sz w:val="16"/>
      <w:szCs w:val="16"/>
    </w:rPr>
  </w:style>
  <w:style w:type="character" w:customStyle="1" w:styleId="BodyText3Char">
    <w:name w:val="Body Text 3 Char"/>
    <w:basedOn w:val="DefaultParagraphFont"/>
    <w:link w:val="BodyText3"/>
    <w:uiPriority w:val="98"/>
    <w:semiHidden/>
    <w:rsid w:val="003E3129"/>
    <w:rPr>
      <w:sz w:val="16"/>
      <w:szCs w:val="16"/>
      <w:lang w:val="fr-FR"/>
    </w:rPr>
  </w:style>
  <w:style w:type="paragraph" w:styleId="BodyTextFirstIndent">
    <w:name w:val="Body Text First Indent"/>
    <w:basedOn w:val="BodyText"/>
    <w:link w:val="BodyTextFirstIndentChar"/>
    <w:uiPriority w:val="98"/>
    <w:semiHidden/>
    <w:rsid w:val="003E3129"/>
    <w:pPr>
      <w:spacing w:after="0"/>
      <w:ind w:firstLine="360"/>
    </w:pPr>
  </w:style>
  <w:style w:type="character" w:customStyle="1" w:styleId="BodyTextFirstIndentChar">
    <w:name w:val="Body Text First Indent Char"/>
    <w:basedOn w:val="BodyTextChar"/>
    <w:link w:val="BodyTextFirstIndent"/>
    <w:uiPriority w:val="98"/>
    <w:semiHidden/>
    <w:rsid w:val="003E3129"/>
    <w:rPr>
      <w:sz w:val="24"/>
      <w:szCs w:val="24"/>
      <w:lang w:val="fr-FR"/>
    </w:rPr>
  </w:style>
  <w:style w:type="paragraph" w:styleId="BodyTextIndent">
    <w:name w:val="Body Text Indent"/>
    <w:basedOn w:val="Normal"/>
    <w:link w:val="BodyTextIndentChar"/>
    <w:uiPriority w:val="98"/>
    <w:semiHidden/>
    <w:rsid w:val="003E3129"/>
    <w:pPr>
      <w:spacing w:after="120"/>
      <w:ind w:left="283"/>
    </w:pPr>
  </w:style>
  <w:style w:type="character" w:customStyle="1" w:styleId="BodyTextIndentChar">
    <w:name w:val="Body Text Indent Char"/>
    <w:basedOn w:val="DefaultParagraphFont"/>
    <w:link w:val="BodyTextIndent"/>
    <w:uiPriority w:val="98"/>
    <w:semiHidden/>
    <w:rsid w:val="003E3129"/>
    <w:rPr>
      <w:sz w:val="24"/>
      <w:szCs w:val="24"/>
      <w:lang w:val="fr-FR"/>
    </w:rPr>
  </w:style>
  <w:style w:type="paragraph" w:styleId="BodyTextFirstIndent2">
    <w:name w:val="Body Text First Indent 2"/>
    <w:basedOn w:val="BodyTextIndent"/>
    <w:link w:val="BodyTextFirstIndent2Char"/>
    <w:uiPriority w:val="98"/>
    <w:semiHidden/>
    <w:rsid w:val="003E3129"/>
    <w:pPr>
      <w:spacing w:after="0"/>
      <w:ind w:left="360" w:firstLine="360"/>
    </w:pPr>
  </w:style>
  <w:style w:type="character" w:customStyle="1" w:styleId="BodyTextFirstIndent2Char">
    <w:name w:val="Body Text First Indent 2 Char"/>
    <w:basedOn w:val="BodyTextIndentChar"/>
    <w:link w:val="BodyTextFirstIndent2"/>
    <w:uiPriority w:val="98"/>
    <w:semiHidden/>
    <w:rsid w:val="003E3129"/>
    <w:rPr>
      <w:sz w:val="24"/>
      <w:szCs w:val="24"/>
      <w:lang w:val="fr-FR"/>
    </w:rPr>
  </w:style>
  <w:style w:type="paragraph" w:styleId="BodyTextIndent2">
    <w:name w:val="Body Text Indent 2"/>
    <w:basedOn w:val="Normal"/>
    <w:link w:val="BodyTextIndent2Char"/>
    <w:uiPriority w:val="98"/>
    <w:semiHidden/>
    <w:rsid w:val="003E3129"/>
    <w:pPr>
      <w:spacing w:after="120" w:line="480" w:lineRule="auto"/>
      <w:ind w:left="283"/>
    </w:pPr>
  </w:style>
  <w:style w:type="character" w:customStyle="1" w:styleId="BodyTextIndent2Char">
    <w:name w:val="Body Text Indent 2 Char"/>
    <w:basedOn w:val="DefaultParagraphFont"/>
    <w:link w:val="BodyTextIndent2"/>
    <w:uiPriority w:val="98"/>
    <w:semiHidden/>
    <w:rsid w:val="003E3129"/>
    <w:rPr>
      <w:sz w:val="24"/>
      <w:szCs w:val="24"/>
      <w:lang w:val="fr-FR"/>
    </w:rPr>
  </w:style>
  <w:style w:type="paragraph" w:styleId="BodyTextIndent3">
    <w:name w:val="Body Text Indent 3"/>
    <w:basedOn w:val="Normal"/>
    <w:link w:val="BodyTextIndent3Char"/>
    <w:uiPriority w:val="98"/>
    <w:semiHidden/>
    <w:rsid w:val="003E312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E3129"/>
    <w:rPr>
      <w:sz w:val="16"/>
      <w:szCs w:val="16"/>
      <w:lang w:val="fr-FR"/>
    </w:rPr>
  </w:style>
  <w:style w:type="paragraph" w:styleId="Caption">
    <w:name w:val="caption"/>
    <w:basedOn w:val="Normal"/>
    <w:next w:val="Normal"/>
    <w:uiPriority w:val="98"/>
    <w:semiHidden/>
    <w:qFormat/>
    <w:rsid w:val="003E3129"/>
    <w:pPr>
      <w:spacing w:after="200"/>
    </w:pPr>
    <w:rPr>
      <w:b/>
      <w:bCs/>
      <w:color w:val="0072BC" w:themeColor="accent1"/>
      <w:sz w:val="18"/>
      <w:szCs w:val="18"/>
    </w:rPr>
  </w:style>
  <w:style w:type="paragraph" w:styleId="Closing">
    <w:name w:val="Closing"/>
    <w:basedOn w:val="Normal"/>
    <w:link w:val="ClosingChar"/>
    <w:uiPriority w:val="98"/>
    <w:semiHidden/>
    <w:rsid w:val="003E3129"/>
    <w:pPr>
      <w:ind w:left="4252"/>
    </w:pPr>
  </w:style>
  <w:style w:type="character" w:customStyle="1" w:styleId="ClosingChar">
    <w:name w:val="Closing Char"/>
    <w:basedOn w:val="DefaultParagraphFont"/>
    <w:link w:val="Closing"/>
    <w:uiPriority w:val="98"/>
    <w:semiHidden/>
    <w:rsid w:val="003E3129"/>
    <w:rPr>
      <w:sz w:val="24"/>
      <w:szCs w:val="24"/>
      <w:lang w:val="fr-FR"/>
    </w:rPr>
  </w:style>
  <w:style w:type="table" w:styleId="ColorfulGrid">
    <w:name w:val="Colorful Grid"/>
    <w:basedOn w:val="TableNormal"/>
    <w:uiPriority w:val="73"/>
    <w:semiHidden/>
    <w:rsid w:val="003E312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E312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E312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E312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E312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E312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E312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E312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E312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E312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E312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E312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E312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E312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E312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E312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E312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E312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E312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E312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E312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E3129"/>
    <w:rPr>
      <w:sz w:val="16"/>
      <w:szCs w:val="16"/>
    </w:rPr>
  </w:style>
  <w:style w:type="paragraph" w:styleId="CommentText">
    <w:name w:val="annotation text"/>
    <w:basedOn w:val="Normal"/>
    <w:link w:val="CommentTextChar"/>
    <w:uiPriority w:val="98"/>
    <w:semiHidden/>
    <w:rsid w:val="003E3129"/>
    <w:rPr>
      <w:sz w:val="20"/>
      <w:szCs w:val="20"/>
    </w:rPr>
  </w:style>
  <w:style w:type="character" w:customStyle="1" w:styleId="CommentTextChar">
    <w:name w:val="Comment Text Char"/>
    <w:basedOn w:val="DefaultParagraphFont"/>
    <w:link w:val="CommentText"/>
    <w:uiPriority w:val="98"/>
    <w:semiHidden/>
    <w:rsid w:val="003E3129"/>
    <w:rPr>
      <w:sz w:val="20"/>
      <w:szCs w:val="20"/>
      <w:lang w:val="fr-FR"/>
    </w:rPr>
  </w:style>
  <w:style w:type="paragraph" w:styleId="CommentSubject">
    <w:name w:val="annotation subject"/>
    <w:basedOn w:val="CommentText"/>
    <w:next w:val="CommentText"/>
    <w:link w:val="CommentSubjectChar"/>
    <w:uiPriority w:val="98"/>
    <w:semiHidden/>
    <w:rsid w:val="003E3129"/>
    <w:rPr>
      <w:b/>
      <w:bCs/>
    </w:rPr>
  </w:style>
  <w:style w:type="character" w:customStyle="1" w:styleId="CommentSubjectChar">
    <w:name w:val="Comment Subject Char"/>
    <w:basedOn w:val="CommentTextChar"/>
    <w:link w:val="CommentSubject"/>
    <w:uiPriority w:val="98"/>
    <w:semiHidden/>
    <w:rsid w:val="003E3129"/>
    <w:rPr>
      <w:b/>
      <w:bCs/>
      <w:sz w:val="20"/>
      <w:szCs w:val="20"/>
      <w:lang w:val="fr-FR"/>
    </w:rPr>
  </w:style>
  <w:style w:type="table" w:styleId="DarkList">
    <w:name w:val="Dark List"/>
    <w:basedOn w:val="TableNormal"/>
    <w:uiPriority w:val="70"/>
    <w:semiHidden/>
    <w:rsid w:val="003E312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E312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E312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E312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E312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E312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E312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E3129"/>
  </w:style>
  <w:style w:type="character" w:customStyle="1" w:styleId="DateChar">
    <w:name w:val="Date Char"/>
    <w:basedOn w:val="DefaultParagraphFont"/>
    <w:link w:val="Date"/>
    <w:uiPriority w:val="98"/>
    <w:semiHidden/>
    <w:rsid w:val="003E3129"/>
    <w:rPr>
      <w:sz w:val="24"/>
      <w:szCs w:val="24"/>
      <w:lang w:val="fr-FR"/>
    </w:rPr>
  </w:style>
  <w:style w:type="paragraph" w:styleId="DocumentMap">
    <w:name w:val="Document Map"/>
    <w:basedOn w:val="Normal"/>
    <w:link w:val="DocumentMapChar"/>
    <w:uiPriority w:val="98"/>
    <w:semiHidden/>
    <w:rsid w:val="003E3129"/>
    <w:rPr>
      <w:rFonts w:ascii="Tahoma" w:hAnsi="Tahoma" w:cs="Tahoma"/>
      <w:sz w:val="16"/>
      <w:szCs w:val="16"/>
    </w:rPr>
  </w:style>
  <w:style w:type="character" w:customStyle="1" w:styleId="DocumentMapChar">
    <w:name w:val="Document Map Char"/>
    <w:basedOn w:val="DefaultParagraphFont"/>
    <w:link w:val="DocumentMap"/>
    <w:uiPriority w:val="98"/>
    <w:semiHidden/>
    <w:rsid w:val="003E3129"/>
    <w:rPr>
      <w:rFonts w:ascii="Tahoma" w:hAnsi="Tahoma" w:cs="Tahoma"/>
      <w:sz w:val="16"/>
      <w:szCs w:val="16"/>
      <w:lang w:val="fr-FR"/>
    </w:rPr>
  </w:style>
  <w:style w:type="paragraph" w:styleId="E-mailSignature">
    <w:name w:val="E-mail Signature"/>
    <w:basedOn w:val="Normal"/>
    <w:link w:val="E-mailSignatureChar"/>
    <w:uiPriority w:val="98"/>
    <w:semiHidden/>
    <w:rsid w:val="003E3129"/>
  </w:style>
  <w:style w:type="character" w:customStyle="1" w:styleId="E-mailSignatureChar">
    <w:name w:val="E-mail Signature Char"/>
    <w:basedOn w:val="DefaultParagraphFont"/>
    <w:link w:val="E-mailSignature"/>
    <w:uiPriority w:val="98"/>
    <w:semiHidden/>
    <w:rsid w:val="003E3129"/>
    <w:rPr>
      <w:sz w:val="24"/>
      <w:szCs w:val="24"/>
      <w:lang w:val="fr-FR"/>
    </w:rPr>
  </w:style>
  <w:style w:type="character" w:styleId="EndnoteReference">
    <w:name w:val="endnote reference"/>
    <w:basedOn w:val="DefaultParagraphFont"/>
    <w:uiPriority w:val="98"/>
    <w:semiHidden/>
    <w:rsid w:val="003E3129"/>
    <w:rPr>
      <w:vertAlign w:val="superscript"/>
    </w:rPr>
  </w:style>
  <w:style w:type="paragraph" w:styleId="EndnoteText">
    <w:name w:val="endnote text"/>
    <w:basedOn w:val="Normal"/>
    <w:link w:val="EndnoteTextChar"/>
    <w:uiPriority w:val="98"/>
    <w:semiHidden/>
    <w:rsid w:val="003E3129"/>
    <w:rPr>
      <w:sz w:val="20"/>
      <w:szCs w:val="20"/>
    </w:rPr>
  </w:style>
  <w:style w:type="character" w:customStyle="1" w:styleId="EndnoteTextChar">
    <w:name w:val="Endnote Text Char"/>
    <w:basedOn w:val="DefaultParagraphFont"/>
    <w:link w:val="EndnoteText"/>
    <w:uiPriority w:val="98"/>
    <w:semiHidden/>
    <w:rsid w:val="003E3129"/>
    <w:rPr>
      <w:sz w:val="20"/>
      <w:szCs w:val="20"/>
      <w:lang w:val="fr-FR"/>
    </w:rPr>
  </w:style>
  <w:style w:type="paragraph" w:styleId="EnvelopeAddress">
    <w:name w:val="envelope address"/>
    <w:basedOn w:val="Normal"/>
    <w:uiPriority w:val="98"/>
    <w:semiHidden/>
    <w:rsid w:val="003E312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E312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E3129"/>
    <w:rPr>
      <w:color w:val="7030A0" w:themeColor="followedHyperlink"/>
      <w:u w:val="single"/>
    </w:rPr>
  </w:style>
  <w:style w:type="character" w:styleId="HTMLAcronym">
    <w:name w:val="HTML Acronym"/>
    <w:basedOn w:val="DefaultParagraphFont"/>
    <w:uiPriority w:val="98"/>
    <w:semiHidden/>
    <w:rsid w:val="003E3129"/>
  </w:style>
  <w:style w:type="paragraph" w:styleId="HTMLAddress">
    <w:name w:val="HTML Address"/>
    <w:basedOn w:val="Normal"/>
    <w:link w:val="HTMLAddressChar"/>
    <w:uiPriority w:val="98"/>
    <w:semiHidden/>
    <w:rsid w:val="003E3129"/>
    <w:rPr>
      <w:i/>
      <w:iCs/>
    </w:rPr>
  </w:style>
  <w:style w:type="character" w:customStyle="1" w:styleId="HTMLAddressChar">
    <w:name w:val="HTML Address Char"/>
    <w:basedOn w:val="DefaultParagraphFont"/>
    <w:link w:val="HTMLAddress"/>
    <w:uiPriority w:val="98"/>
    <w:semiHidden/>
    <w:rsid w:val="003E3129"/>
    <w:rPr>
      <w:i/>
      <w:iCs/>
      <w:sz w:val="24"/>
      <w:szCs w:val="24"/>
      <w:lang w:val="fr-FR"/>
    </w:rPr>
  </w:style>
  <w:style w:type="character" w:styleId="HTMLCite">
    <w:name w:val="HTML Cite"/>
    <w:basedOn w:val="DefaultParagraphFont"/>
    <w:uiPriority w:val="98"/>
    <w:semiHidden/>
    <w:rsid w:val="003E3129"/>
    <w:rPr>
      <w:i/>
      <w:iCs/>
    </w:rPr>
  </w:style>
  <w:style w:type="character" w:styleId="HTMLCode">
    <w:name w:val="HTML Code"/>
    <w:basedOn w:val="DefaultParagraphFont"/>
    <w:uiPriority w:val="98"/>
    <w:semiHidden/>
    <w:rsid w:val="003E3129"/>
    <w:rPr>
      <w:rFonts w:ascii="Consolas" w:hAnsi="Consolas" w:cs="Consolas"/>
      <w:sz w:val="20"/>
      <w:szCs w:val="20"/>
    </w:rPr>
  </w:style>
  <w:style w:type="character" w:styleId="HTMLDefinition">
    <w:name w:val="HTML Definition"/>
    <w:basedOn w:val="DefaultParagraphFont"/>
    <w:uiPriority w:val="98"/>
    <w:semiHidden/>
    <w:rsid w:val="003E3129"/>
    <w:rPr>
      <w:i/>
      <w:iCs/>
    </w:rPr>
  </w:style>
  <w:style w:type="character" w:styleId="HTMLKeyboard">
    <w:name w:val="HTML Keyboard"/>
    <w:basedOn w:val="DefaultParagraphFont"/>
    <w:uiPriority w:val="98"/>
    <w:semiHidden/>
    <w:rsid w:val="003E3129"/>
    <w:rPr>
      <w:rFonts w:ascii="Consolas" w:hAnsi="Consolas" w:cs="Consolas"/>
      <w:sz w:val="20"/>
      <w:szCs w:val="20"/>
    </w:rPr>
  </w:style>
  <w:style w:type="paragraph" w:styleId="HTMLPreformatted">
    <w:name w:val="HTML Preformatted"/>
    <w:basedOn w:val="Normal"/>
    <w:link w:val="HTMLPreformattedChar"/>
    <w:uiPriority w:val="98"/>
    <w:semiHidden/>
    <w:rsid w:val="003E312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E3129"/>
    <w:rPr>
      <w:rFonts w:ascii="Consolas" w:hAnsi="Consolas" w:cs="Consolas"/>
      <w:sz w:val="20"/>
      <w:szCs w:val="20"/>
      <w:lang w:val="fr-FR"/>
    </w:rPr>
  </w:style>
  <w:style w:type="character" w:styleId="HTMLSample">
    <w:name w:val="HTML Sample"/>
    <w:basedOn w:val="DefaultParagraphFont"/>
    <w:uiPriority w:val="98"/>
    <w:semiHidden/>
    <w:rsid w:val="003E3129"/>
    <w:rPr>
      <w:rFonts w:ascii="Consolas" w:hAnsi="Consolas" w:cs="Consolas"/>
      <w:sz w:val="24"/>
      <w:szCs w:val="24"/>
    </w:rPr>
  </w:style>
  <w:style w:type="character" w:styleId="HTMLTypewriter">
    <w:name w:val="HTML Typewriter"/>
    <w:basedOn w:val="DefaultParagraphFont"/>
    <w:uiPriority w:val="98"/>
    <w:semiHidden/>
    <w:rsid w:val="003E3129"/>
    <w:rPr>
      <w:rFonts w:ascii="Consolas" w:hAnsi="Consolas" w:cs="Consolas"/>
      <w:sz w:val="20"/>
      <w:szCs w:val="20"/>
    </w:rPr>
  </w:style>
  <w:style w:type="character" w:styleId="HTMLVariable">
    <w:name w:val="HTML Variable"/>
    <w:basedOn w:val="DefaultParagraphFont"/>
    <w:uiPriority w:val="98"/>
    <w:semiHidden/>
    <w:rsid w:val="003E3129"/>
    <w:rPr>
      <w:i/>
      <w:iCs/>
    </w:rPr>
  </w:style>
  <w:style w:type="paragraph" w:styleId="Index1">
    <w:name w:val="index 1"/>
    <w:basedOn w:val="Normal"/>
    <w:next w:val="Normal"/>
    <w:autoRedefine/>
    <w:uiPriority w:val="98"/>
    <w:semiHidden/>
    <w:rsid w:val="003E3129"/>
    <w:pPr>
      <w:ind w:left="240" w:hanging="240"/>
    </w:pPr>
  </w:style>
  <w:style w:type="paragraph" w:styleId="Index2">
    <w:name w:val="index 2"/>
    <w:basedOn w:val="Normal"/>
    <w:next w:val="Normal"/>
    <w:autoRedefine/>
    <w:uiPriority w:val="98"/>
    <w:semiHidden/>
    <w:rsid w:val="003E3129"/>
    <w:pPr>
      <w:ind w:left="480" w:hanging="240"/>
    </w:pPr>
  </w:style>
  <w:style w:type="paragraph" w:styleId="Index3">
    <w:name w:val="index 3"/>
    <w:basedOn w:val="Normal"/>
    <w:next w:val="Normal"/>
    <w:autoRedefine/>
    <w:uiPriority w:val="98"/>
    <w:semiHidden/>
    <w:rsid w:val="003E3129"/>
    <w:pPr>
      <w:ind w:left="720" w:hanging="240"/>
    </w:pPr>
  </w:style>
  <w:style w:type="paragraph" w:styleId="Index4">
    <w:name w:val="index 4"/>
    <w:basedOn w:val="Normal"/>
    <w:next w:val="Normal"/>
    <w:autoRedefine/>
    <w:uiPriority w:val="98"/>
    <w:semiHidden/>
    <w:rsid w:val="003E3129"/>
    <w:pPr>
      <w:ind w:left="960" w:hanging="240"/>
    </w:pPr>
  </w:style>
  <w:style w:type="paragraph" w:styleId="Index5">
    <w:name w:val="index 5"/>
    <w:basedOn w:val="Normal"/>
    <w:next w:val="Normal"/>
    <w:autoRedefine/>
    <w:uiPriority w:val="98"/>
    <w:semiHidden/>
    <w:rsid w:val="003E3129"/>
    <w:pPr>
      <w:ind w:left="1200" w:hanging="240"/>
    </w:pPr>
  </w:style>
  <w:style w:type="paragraph" w:styleId="Index6">
    <w:name w:val="index 6"/>
    <w:basedOn w:val="Normal"/>
    <w:next w:val="Normal"/>
    <w:autoRedefine/>
    <w:uiPriority w:val="98"/>
    <w:semiHidden/>
    <w:rsid w:val="003E3129"/>
    <w:pPr>
      <w:ind w:left="1440" w:hanging="240"/>
    </w:pPr>
  </w:style>
  <w:style w:type="paragraph" w:styleId="Index7">
    <w:name w:val="index 7"/>
    <w:basedOn w:val="Normal"/>
    <w:next w:val="Normal"/>
    <w:autoRedefine/>
    <w:uiPriority w:val="98"/>
    <w:semiHidden/>
    <w:rsid w:val="003E3129"/>
    <w:pPr>
      <w:ind w:left="1680" w:hanging="240"/>
    </w:pPr>
  </w:style>
  <w:style w:type="paragraph" w:styleId="Index8">
    <w:name w:val="index 8"/>
    <w:basedOn w:val="Normal"/>
    <w:next w:val="Normal"/>
    <w:autoRedefine/>
    <w:uiPriority w:val="98"/>
    <w:semiHidden/>
    <w:rsid w:val="003E3129"/>
    <w:pPr>
      <w:ind w:left="1920" w:hanging="240"/>
    </w:pPr>
  </w:style>
  <w:style w:type="paragraph" w:styleId="Index9">
    <w:name w:val="index 9"/>
    <w:basedOn w:val="Normal"/>
    <w:next w:val="Normal"/>
    <w:autoRedefine/>
    <w:uiPriority w:val="98"/>
    <w:semiHidden/>
    <w:rsid w:val="003E3129"/>
    <w:pPr>
      <w:ind w:left="2160" w:hanging="240"/>
    </w:pPr>
  </w:style>
  <w:style w:type="paragraph" w:styleId="IndexHeading">
    <w:name w:val="index heading"/>
    <w:basedOn w:val="Normal"/>
    <w:next w:val="Index1"/>
    <w:uiPriority w:val="98"/>
    <w:semiHidden/>
    <w:rsid w:val="003E3129"/>
    <w:rPr>
      <w:rFonts w:asciiTheme="majorHAnsi" w:eastAsiaTheme="majorEastAsia" w:hAnsiTheme="majorHAnsi" w:cstheme="majorBidi"/>
      <w:b/>
      <w:bCs/>
    </w:rPr>
  </w:style>
  <w:style w:type="table" w:styleId="LightGrid">
    <w:name w:val="Light Grid"/>
    <w:basedOn w:val="TableNormal"/>
    <w:uiPriority w:val="62"/>
    <w:semiHidden/>
    <w:rsid w:val="003E312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E312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E312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E312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E312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E312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E312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E312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E312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E312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E312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E312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E312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E312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E312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E312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E312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E312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E312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E312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E312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E3129"/>
  </w:style>
  <w:style w:type="paragraph" w:styleId="List0">
    <w:name w:val="List"/>
    <w:basedOn w:val="Normal"/>
    <w:uiPriority w:val="98"/>
    <w:semiHidden/>
    <w:rsid w:val="003E3129"/>
    <w:pPr>
      <w:ind w:left="283" w:hanging="283"/>
      <w:contextualSpacing/>
    </w:pPr>
  </w:style>
  <w:style w:type="paragraph" w:styleId="List20">
    <w:name w:val="List 2"/>
    <w:basedOn w:val="Normal"/>
    <w:uiPriority w:val="98"/>
    <w:semiHidden/>
    <w:rsid w:val="003E3129"/>
    <w:pPr>
      <w:ind w:left="566" w:hanging="283"/>
      <w:contextualSpacing/>
    </w:pPr>
  </w:style>
  <w:style w:type="paragraph" w:styleId="List30">
    <w:name w:val="List 3"/>
    <w:basedOn w:val="Normal"/>
    <w:uiPriority w:val="98"/>
    <w:semiHidden/>
    <w:rsid w:val="003E3129"/>
    <w:pPr>
      <w:ind w:left="849" w:hanging="283"/>
      <w:contextualSpacing/>
    </w:pPr>
  </w:style>
  <w:style w:type="paragraph" w:styleId="List4">
    <w:name w:val="List 4"/>
    <w:basedOn w:val="Normal"/>
    <w:uiPriority w:val="98"/>
    <w:semiHidden/>
    <w:rsid w:val="003E3129"/>
    <w:pPr>
      <w:ind w:left="1132" w:hanging="283"/>
      <w:contextualSpacing/>
    </w:pPr>
  </w:style>
  <w:style w:type="paragraph" w:styleId="List5">
    <w:name w:val="List 5"/>
    <w:basedOn w:val="Normal"/>
    <w:uiPriority w:val="98"/>
    <w:semiHidden/>
    <w:rsid w:val="003E3129"/>
    <w:pPr>
      <w:ind w:left="1415" w:hanging="283"/>
      <w:contextualSpacing/>
    </w:pPr>
  </w:style>
  <w:style w:type="paragraph" w:styleId="ListBullet">
    <w:name w:val="List Bullet"/>
    <w:basedOn w:val="Normal"/>
    <w:uiPriority w:val="98"/>
    <w:semiHidden/>
    <w:rsid w:val="003E3129"/>
    <w:pPr>
      <w:numPr>
        <w:numId w:val="13"/>
      </w:numPr>
    </w:pPr>
  </w:style>
  <w:style w:type="paragraph" w:styleId="ListBullet3">
    <w:name w:val="List Bullet 3"/>
    <w:basedOn w:val="Normal"/>
    <w:uiPriority w:val="98"/>
    <w:semiHidden/>
    <w:rsid w:val="003E3129"/>
    <w:pPr>
      <w:numPr>
        <w:numId w:val="15"/>
      </w:numPr>
      <w:contextualSpacing/>
    </w:pPr>
  </w:style>
  <w:style w:type="paragraph" w:styleId="ListBullet4">
    <w:name w:val="List Bullet 4"/>
    <w:basedOn w:val="Normal"/>
    <w:uiPriority w:val="98"/>
    <w:semiHidden/>
    <w:rsid w:val="003E3129"/>
    <w:pPr>
      <w:numPr>
        <w:numId w:val="16"/>
      </w:numPr>
      <w:contextualSpacing/>
    </w:pPr>
  </w:style>
  <w:style w:type="paragraph" w:styleId="ListBullet5">
    <w:name w:val="List Bullet 5"/>
    <w:basedOn w:val="Normal"/>
    <w:uiPriority w:val="98"/>
    <w:semiHidden/>
    <w:rsid w:val="003E3129"/>
    <w:pPr>
      <w:numPr>
        <w:numId w:val="17"/>
      </w:numPr>
      <w:contextualSpacing/>
    </w:pPr>
  </w:style>
  <w:style w:type="paragraph" w:styleId="ListContinue">
    <w:name w:val="List Continue"/>
    <w:basedOn w:val="Normal"/>
    <w:uiPriority w:val="98"/>
    <w:semiHidden/>
    <w:rsid w:val="003E3129"/>
    <w:pPr>
      <w:spacing w:after="120"/>
      <w:ind w:left="283"/>
      <w:contextualSpacing/>
    </w:pPr>
  </w:style>
  <w:style w:type="paragraph" w:styleId="ListContinue2">
    <w:name w:val="List Continue 2"/>
    <w:basedOn w:val="Normal"/>
    <w:uiPriority w:val="98"/>
    <w:semiHidden/>
    <w:rsid w:val="003E3129"/>
    <w:pPr>
      <w:spacing w:after="120"/>
      <w:ind w:left="566"/>
      <w:contextualSpacing/>
    </w:pPr>
  </w:style>
  <w:style w:type="paragraph" w:styleId="ListContinue3">
    <w:name w:val="List Continue 3"/>
    <w:basedOn w:val="Normal"/>
    <w:uiPriority w:val="98"/>
    <w:semiHidden/>
    <w:rsid w:val="003E3129"/>
    <w:pPr>
      <w:spacing w:after="120"/>
      <w:ind w:left="849"/>
      <w:contextualSpacing/>
    </w:pPr>
  </w:style>
  <w:style w:type="paragraph" w:styleId="ListContinue4">
    <w:name w:val="List Continue 4"/>
    <w:basedOn w:val="Normal"/>
    <w:uiPriority w:val="98"/>
    <w:semiHidden/>
    <w:rsid w:val="003E3129"/>
    <w:pPr>
      <w:spacing w:after="120"/>
      <w:ind w:left="1132"/>
      <w:contextualSpacing/>
    </w:pPr>
  </w:style>
  <w:style w:type="paragraph" w:styleId="ListContinue5">
    <w:name w:val="List Continue 5"/>
    <w:basedOn w:val="Normal"/>
    <w:uiPriority w:val="98"/>
    <w:semiHidden/>
    <w:rsid w:val="003E3129"/>
    <w:pPr>
      <w:spacing w:after="120"/>
      <w:ind w:left="1415"/>
      <w:contextualSpacing/>
    </w:pPr>
  </w:style>
  <w:style w:type="paragraph" w:styleId="ListNumber">
    <w:name w:val="List Number"/>
    <w:basedOn w:val="Normal"/>
    <w:uiPriority w:val="98"/>
    <w:semiHidden/>
    <w:rsid w:val="003E3129"/>
    <w:pPr>
      <w:numPr>
        <w:numId w:val="18"/>
      </w:numPr>
      <w:contextualSpacing/>
    </w:pPr>
  </w:style>
  <w:style w:type="paragraph" w:styleId="ListNumber2">
    <w:name w:val="List Number 2"/>
    <w:basedOn w:val="Normal"/>
    <w:uiPriority w:val="98"/>
    <w:semiHidden/>
    <w:rsid w:val="003E3129"/>
    <w:pPr>
      <w:numPr>
        <w:numId w:val="19"/>
      </w:numPr>
      <w:contextualSpacing/>
    </w:pPr>
  </w:style>
  <w:style w:type="paragraph" w:styleId="ListNumber3">
    <w:name w:val="List Number 3"/>
    <w:basedOn w:val="Normal"/>
    <w:uiPriority w:val="98"/>
    <w:semiHidden/>
    <w:rsid w:val="003E3129"/>
    <w:pPr>
      <w:numPr>
        <w:numId w:val="20"/>
      </w:numPr>
      <w:contextualSpacing/>
    </w:pPr>
  </w:style>
  <w:style w:type="paragraph" w:styleId="ListNumber4">
    <w:name w:val="List Number 4"/>
    <w:basedOn w:val="Normal"/>
    <w:uiPriority w:val="98"/>
    <w:semiHidden/>
    <w:rsid w:val="003E3129"/>
    <w:pPr>
      <w:numPr>
        <w:numId w:val="21"/>
      </w:numPr>
      <w:contextualSpacing/>
    </w:pPr>
  </w:style>
  <w:style w:type="paragraph" w:styleId="ListNumber5">
    <w:name w:val="List Number 5"/>
    <w:basedOn w:val="Normal"/>
    <w:uiPriority w:val="98"/>
    <w:semiHidden/>
    <w:rsid w:val="003E3129"/>
    <w:pPr>
      <w:numPr>
        <w:numId w:val="22"/>
      </w:numPr>
      <w:contextualSpacing/>
    </w:pPr>
  </w:style>
  <w:style w:type="paragraph" w:styleId="Macro">
    <w:name w:val="macro"/>
    <w:link w:val="MacroTextChar"/>
    <w:uiPriority w:val="98"/>
    <w:semiHidden/>
    <w:rsid w:val="003E312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E3129"/>
    <w:rPr>
      <w:rFonts w:ascii="Consolas" w:hAnsi="Consolas" w:eastAsiaTheme="minorEastAsia" w:cs="Consolas"/>
      <w:sz w:val="20"/>
      <w:szCs w:val="20"/>
    </w:rPr>
  </w:style>
  <w:style w:type="table" w:styleId="MediumGrid1">
    <w:name w:val="Medium Grid 1"/>
    <w:basedOn w:val="TableNormal"/>
    <w:uiPriority w:val="67"/>
    <w:semiHidden/>
    <w:rsid w:val="003E312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E312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E312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E312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E312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E312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E312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E31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E31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E31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E31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E31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E31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E31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E312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E312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E312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E312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E312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E312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E312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E312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E312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E312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E312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E312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E312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E312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E312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E31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E31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E31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E31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E31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E31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E31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E312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E312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3E3129"/>
    <w:rPr>
      <w:rFonts w:ascii="Times New Roman" w:hAnsi="Times New Roman" w:cs="Times New Roman"/>
    </w:rPr>
  </w:style>
  <w:style w:type="paragraph" w:styleId="NormalIndent">
    <w:name w:val="Normal Indent"/>
    <w:basedOn w:val="Normal"/>
    <w:uiPriority w:val="98"/>
    <w:semiHidden/>
    <w:rsid w:val="003E3129"/>
    <w:pPr>
      <w:ind w:left="720"/>
    </w:pPr>
  </w:style>
  <w:style w:type="paragraph" w:styleId="NoteHeading">
    <w:name w:val="Note Heading"/>
    <w:basedOn w:val="Normal"/>
    <w:next w:val="Normal"/>
    <w:link w:val="NoteHeadingChar"/>
    <w:uiPriority w:val="98"/>
    <w:semiHidden/>
    <w:rsid w:val="003E3129"/>
  </w:style>
  <w:style w:type="character" w:customStyle="1" w:styleId="NoteHeadingChar">
    <w:name w:val="Note Heading Char"/>
    <w:basedOn w:val="DefaultParagraphFont"/>
    <w:link w:val="NoteHeading"/>
    <w:uiPriority w:val="98"/>
    <w:semiHidden/>
    <w:rsid w:val="003E3129"/>
    <w:rPr>
      <w:sz w:val="24"/>
      <w:szCs w:val="24"/>
      <w:lang w:val="fr-FR"/>
    </w:rPr>
  </w:style>
  <w:style w:type="character" w:styleId="PlaceholderText">
    <w:name w:val="Placeholder Text"/>
    <w:basedOn w:val="DefaultParagraphFont"/>
    <w:uiPriority w:val="98"/>
    <w:semiHidden/>
    <w:rsid w:val="003E312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E3129"/>
    <w:rPr>
      <w:rFonts w:ascii="Consolas" w:hAnsi="Consolas" w:cs="Consolas"/>
      <w:sz w:val="21"/>
      <w:szCs w:val="21"/>
    </w:rPr>
  </w:style>
  <w:style w:type="character" w:customStyle="1" w:styleId="PlainTextChar">
    <w:name w:val="Plain Text Char"/>
    <w:basedOn w:val="DefaultParagraphFont"/>
    <w:link w:val="PlainText"/>
    <w:uiPriority w:val="98"/>
    <w:semiHidden/>
    <w:rsid w:val="003E3129"/>
    <w:rPr>
      <w:rFonts w:ascii="Consolas" w:hAnsi="Consolas" w:cs="Consolas"/>
      <w:sz w:val="21"/>
      <w:szCs w:val="21"/>
      <w:lang w:val="fr-FR"/>
    </w:rPr>
  </w:style>
  <w:style w:type="paragraph" w:styleId="Salutation">
    <w:name w:val="Salutation"/>
    <w:basedOn w:val="Normal"/>
    <w:next w:val="Normal"/>
    <w:link w:val="SalutationChar"/>
    <w:uiPriority w:val="98"/>
    <w:semiHidden/>
    <w:rsid w:val="003E3129"/>
  </w:style>
  <w:style w:type="character" w:customStyle="1" w:styleId="SalutationChar">
    <w:name w:val="Salutation Char"/>
    <w:basedOn w:val="DefaultParagraphFont"/>
    <w:link w:val="Salutation"/>
    <w:uiPriority w:val="98"/>
    <w:semiHidden/>
    <w:rsid w:val="003E3129"/>
    <w:rPr>
      <w:sz w:val="24"/>
      <w:szCs w:val="24"/>
      <w:lang w:val="fr-FR"/>
    </w:rPr>
  </w:style>
  <w:style w:type="paragraph" w:styleId="Signature0">
    <w:name w:val="Signature"/>
    <w:basedOn w:val="Normal"/>
    <w:link w:val="SignatureChar"/>
    <w:uiPriority w:val="98"/>
    <w:semiHidden/>
    <w:rsid w:val="003E3129"/>
    <w:pPr>
      <w:ind w:left="4252"/>
    </w:pPr>
  </w:style>
  <w:style w:type="character" w:customStyle="1" w:styleId="SignatureChar">
    <w:name w:val="Signature Char"/>
    <w:basedOn w:val="DefaultParagraphFont"/>
    <w:link w:val="Signature0"/>
    <w:uiPriority w:val="98"/>
    <w:semiHidden/>
    <w:rsid w:val="003E3129"/>
    <w:rPr>
      <w:sz w:val="24"/>
      <w:szCs w:val="24"/>
      <w:lang w:val="fr-FR"/>
    </w:rPr>
  </w:style>
  <w:style w:type="table" w:styleId="Table3Deffects1">
    <w:name w:val="Table 3D effects 1"/>
    <w:basedOn w:val="TableNormal"/>
    <w:uiPriority w:val="99"/>
    <w:semiHidden/>
    <w:unhideWhenUsed/>
    <w:rsid w:val="003E312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12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12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12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12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12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12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12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12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12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12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12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12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12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12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12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12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12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12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12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12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12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12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12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12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E312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12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12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12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12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12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12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12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E3129"/>
    <w:pPr>
      <w:ind w:left="240" w:hanging="240"/>
    </w:pPr>
  </w:style>
  <w:style w:type="paragraph" w:styleId="TableofFigures">
    <w:name w:val="table of figures"/>
    <w:basedOn w:val="Normal"/>
    <w:next w:val="Normal"/>
    <w:uiPriority w:val="98"/>
    <w:semiHidden/>
    <w:rsid w:val="003E3129"/>
  </w:style>
  <w:style w:type="table" w:styleId="TableProfessional">
    <w:name w:val="Table Professional"/>
    <w:basedOn w:val="TableNormal"/>
    <w:uiPriority w:val="99"/>
    <w:semiHidden/>
    <w:unhideWhenUsed/>
    <w:rsid w:val="003E312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12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12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12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12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12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12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12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12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12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E312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E312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E3129"/>
    <w:pPr>
      <w:spacing w:after="100"/>
      <w:ind w:left="1680"/>
    </w:pPr>
  </w:style>
  <w:style w:type="paragraph" w:styleId="TOC9">
    <w:name w:val="toc 9"/>
    <w:basedOn w:val="Normal"/>
    <w:next w:val="Normal"/>
    <w:autoRedefine/>
    <w:uiPriority w:val="98"/>
    <w:semiHidden/>
    <w:rsid w:val="003E3129"/>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3E312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E312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E3129"/>
    <w:pPr>
      <w:keepNext/>
      <w:keepLines/>
      <w:spacing w:before="1320" w:after="280"/>
      <w:contextualSpacing/>
      <w:jc w:val="center"/>
    </w:pPr>
    <w:rPr>
      <w:b/>
    </w:rPr>
  </w:style>
  <w:style w:type="paragraph" w:customStyle="1" w:styleId="DummyStyle">
    <w:name w:val="Dummy_Style"/>
    <w:aliases w:val="_Dummy"/>
    <w:basedOn w:val="Normal"/>
    <w:semiHidden/>
    <w:qFormat/>
    <w:rsid w:val="003E3129"/>
    <w:rPr>
      <w:color w:val="00B050"/>
      <w:sz w:val="22"/>
    </w:rPr>
  </w:style>
  <w:style w:type="paragraph" w:customStyle="1" w:styleId="ECHRBullet1">
    <w:name w:val="ECHR_Bullet_1"/>
    <w:aliases w:val="_Bul_1"/>
    <w:basedOn w:val="NormalJustified"/>
    <w:uiPriority w:val="23"/>
    <w:semiHidden/>
    <w:qFormat/>
    <w:rsid w:val="003E3129"/>
    <w:pPr>
      <w:numPr>
        <w:numId w:val="10"/>
      </w:numPr>
      <w:spacing w:before="60" w:after="60"/>
    </w:pPr>
  </w:style>
  <w:style w:type="paragraph" w:customStyle="1" w:styleId="ECHRBullet2">
    <w:name w:val="ECHR_Bullet_2"/>
    <w:aliases w:val="_Bul_2"/>
    <w:basedOn w:val="ECHRBullet1"/>
    <w:uiPriority w:val="23"/>
    <w:semiHidden/>
    <w:rsid w:val="003E3129"/>
    <w:pPr>
      <w:numPr>
        <w:ilvl w:val="1"/>
      </w:numPr>
    </w:pPr>
  </w:style>
  <w:style w:type="paragraph" w:customStyle="1" w:styleId="ECHRBullet3">
    <w:name w:val="ECHR_Bullet_3"/>
    <w:aliases w:val="_Bul_3"/>
    <w:basedOn w:val="ECHRBullet2"/>
    <w:uiPriority w:val="23"/>
    <w:semiHidden/>
    <w:rsid w:val="003E3129"/>
    <w:pPr>
      <w:numPr>
        <w:ilvl w:val="2"/>
      </w:numPr>
    </w:pPr>
  </w:style>
  <w:style w:type="paragraph" w:customStyle="1" w:styleId="ECHRBullet4">
    <w:name w:val="ECHR_Bullet_4"/>
    <w:aliases w:val="_Bul_4"/>
    <w:basedOn w:val="ECHRBullet3"/>
    <w:uiPriority w:val="23"/>
    <w:semiHidden/>
    <w:rsid w:val="003E3129"/>
    <w:pPr>
      <w:numPr>
        <w:ilvl w:val="3"/>
      </w:numPr>
    </w:pPr>
  </w:style>
  <w:style w:type="paragraph" w:customStyle="1" w:styleId="ECHRConfidential">
    <w:name w:val="ECHR_Confidential"/>
    <w:aliases w:val="_Confidential"/>
    <w:basedOn w:val="Normal"/>
    <w:next w:val="Normal"/>
    <w:uiPriority w:val="42"/>
    <w:semiHidden/>
    <w:qFormat/>
    <w:rsid w:val="003E3129"/>
    <w:pPr>
      <w:jc w:val="right"/>
    </w:pPr>
    <w:rPr>
      <w:color w:val="C00000"/>
      <w:sz w:val="20"/>
    </w:rPr>
  </w:style>
  <w:style w:type="paragraph" w:customStyle="1" w:styleId="ECHRDecisionBody">
    <w:name w:val="ECHR_Decision_Body"/>
    <w:aliases w:val="_Decision_Body"/>
    <w:basedOn w:val="NormalJustified"/>
    <w:uiPriority w:val="54"/>
    <w:semiHidden/>
    <w:rsid w:val="003E312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E312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E3129"/>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3E312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E3129"/>
    <w:pPr>
      <w:jc w:val="right"/>
    </w:pPr>
    <w:rPr>
      <w:sz w:val="20"/>
    </w:rPr>
  </w:style>
  <w:style w:type="paragraph" w:customStyle="1" w:styleId="ECHRHeaderRefIt">
    <w:name w:val="ECHR_Header_Ref_It"/>
    <w:aliases w:val="_Ref_Ital"/>
    <w:basedOn w:val="Normal"/>
    <w:next w:val="ECHRHeaderDate"/>
    <w:uiPriority w:val="43"/>
    <w:qFormat/>
    <w:rsid w:val="003E3129"/>
    <w:pPr>
      <w:jc w:val="right"/>
    </w:pPr>
    <w:rPr>
      <w:i/>
      <w:sz w:val="20"/>
    </w:rPr>
  </w:style>
  <w:style w:type="paragraph" w:customStyle="1" w:styleId="ECHRHeading9">
    <w:name w:val="ECHR_Heading_9"/>
    <w:aliases w:val="_Head_9"/>
    <w:basedOn w:val="Heading9"/>
    <w:uiPriority w:val="17"/>
    <w:semiHidden/>
    <w:rsid w:val="003E3129"/>
    <w:pPr>
      <w:keepNext/>
      <w:keepLines/>
      <w:numPr>
        <w:ilvl w:val="8"/>
        <w:numId w:val="6"/>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3E312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3E3129"/>
    <w:pPr>
      <w:numPr>
        <w:numId w:val="12"/>
      </w:numPr>
      <w:spacing w:before="60" w:after="60"/>
    </w:pPr>
  </w:style>
  <w:style w:type="paragraph" w:customStyle="1" w:styleId="ECHRNumberedList2">
    <w:name w:val="ECHR_Numbered_List_2"/>
    <w:aliases w:val="_Num_2"/>
    <w:basedOn w:val="ECHRNumberedList1"/>
    <w:uiPriority w:val="23"/>
    <w:semiHidden/>
    <w:rsid w:val="003E3129"/>
    <w:pPr>
      <w:numPr>
        <w:ilvl w:val="1"/>
      </w:numPr>
    </w:pPr>
  </w:style>
  <w:style w:type="paragraph" w:customStyle="1" w:styleId="ECHRNumberedList3">
    <w:name w:val="ECHR_Numbered_List_3"/>
    <w:aliases w:val="_Num_3"/>
    <w:basedOn w:val="ECHRNumberedList2"/>
    <w:uiPriority w:val="23"/>
    <w:semiHidden/>
    <w:rsid w:val="003E3129"/>
    <w:pPr>
      <w:numPr>
        <w:ilvl w:val="2"/>
      </w:numPr>
    </w:pPr>
  </w:style>
  <w:style w:type="paragraph" w:customStyle="1" w:styleId="ECHRParaHanging">
    <w:name w:val="ECHR_Para_Hanging"/>
    <w:aliases w:val="_Hanging"/>
    <w:basedOn w:val="Normal"/>
    <w:uiPriority w:val="8"/>
    <w:semiHidden/>
    <w:qFormat/>
    <w:rsid w:val="003E3129"/>
    <w:pPr>
      <w:ind w:left="567" w:hanging="567"/>
      <w:jc w:val="both"/>
    </w:pPr>
  </w:style>
  <w:style w:type="paragraph" w:customStyle="1" w:styleId="ECHRParaIndent">
    <w:name w:val="ECHR_Para_Indent"/>
    <w:aliases w:val="_Indent"/>
    <w:basedOn w:val="Normal"/>
    <w:uiPriority w:val="7"/>
    <w:semiHidden/>
    <w:qFormat/>
    <w:rsid w:val="003E3129"/>
    <w:pPr>
      <w:spacing w:before="120" w:after="120"/>
      <w:ind w:left="567"/>
      <w:jc w:val="both"/>
    </w:pPr>
  </w:style>
  <w:style w:type="character" w:customStyle="1" w:styleId="ECHRRed">
    <w:name w:val="ECHR_Red"/>
    <w:aliases w:val="_Red"/>
    <w:basedOn w:val="DefaultParagraphFont"/>
    <w:uiPriority w:val="15"/>
    <w:semiHidden/>
    <w:qFormat/>
    <w:rsid w:val="003E3129"/>
    <w:rPr>
      <w:color w:val="C00000" w:themeColor="accent2"/>
    </w:rPr>
  </w:style>
  <w:style w:type="paragraph" w:customStyle="1" w:styleId="ECHRSpacer">
    <w:name w:val="ECHR_Spacer"/>
    <w:aliases w:val="_Spacer"/>
    <w:basedOn w:val="Normal"/>
    <w:uiPriority w:val="45"/>
    <w:semiHidden/>
    <w:rsid w:val="003E3129"/>
    <w:rPr>
      <w:sz w:val="4"/>
    </w:rPr>
  </w:style>
  <w:style w:type="table" w:customStyle="1" w:styleId="ECHRTable2">
    <w:name w:val="ECHR_Table_2"/>
    <w:basedOn w:val="TableNormal"/>
    <w:uiPriority w:val="99"/>
    <w:rsid w:val="003E312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E312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E312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E312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E312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E312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E312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E312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E3129"/>
    <w:pPr>
      <w:outlineLvl w:val="0"/>
    </w:pPr>
  </w:style>
  <w:style w:type="paragraph" w:customStyle="1" w:styleId="ECHRTitleTOC1">
    <w:name w:val="ECHR_Title_TOC_1"/>
    <w:aliases w:val="_Title_L_TOC"/>
    <w:basedOn w:val="ECHRTitle1"/>
    <w:next w:val="Normal"/>
    <w:uiPriority w:val="27"/>
    <w:semiHidden/>
    <w:qFormat/>
    <w:rsid w:val="003E3129"/>
    <w:pPr>
      <w:outlineLvl w:val="0"/>
    </w:pPr>
  </w:style>
  <w:style w:type="character" w:customStyle="1" w:styleId="JuParaChar">
    <w:name w:val="Ju_Para Char"/>
    <w:aliases w:val="_Para Char"/>
    <w:link w:val="JuPara"/>
    <w:uiPriority w:val="4"/>
    <w:qFormat/>
    <w:rsid w:val="00D33065"/>
    <w:rPr>
      <w:sz w:val="24"/>
      <w:szCs w:val="24"/>
      <w:lang w:val="fr-FR"/>
    </w:rPr>
  </w:style>
  <w:style w:type="character" w:customStyle="1" w:styleId="JuNames1">
    <w:name w:val="Ju_Names"/>
    <w:rsid w:val="00D33065"/>
    <w:rPr>
      <w:smallCaps/>
    </w:rPr>
  </w:style>
  <w:style w:type="paragraph" w:customStyle="1" w:styleId="JuList4">
    <w:name w:val="Ju_List_4"/>
    <w:aliases w:val="N_Bul_4"/>
    <w:basedOn w:val="JuListi"/>
    <w:uiPriority w:val="19"/>
    <w:rsid w:val="00D33065"/>
    <w:pPr>
      <w:numPr>
        <w:ilvl w:val="0"/>
        <w:numId w:val="0"/>
      </w:numPr>
      <w:tabs>
        <w:tab w:val="num" w:pos="1701"/>
      </w:tabs>
      <w:spacing w:before="60" w:after="60" w:line="240" w:lineRule="exact"/>
      <w:ind w:left="1703" w:hanging="284"/>
      <w:contextualSpacing/>
    </w:pPr>
    <w:rPr>
      <w:sz w:val="22"/>
      <w:lang w:eastAsia="fr-FR"/>
    </w:rPr>
  </w:style>
  <w:style w:type="table" w:customStyle="1" w:styleId="GridTable1Light1">
    <w:name w:val="Grid Table 1 Light1"/>
    <w:basedOn w:val="TableNormal"/>
    <w:uiPriority w:val="46"/>
    <w:semiHidden/>
    <w:rsid w:val="0052060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52060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52060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52060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52060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52060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52060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52060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52060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52060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52060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52060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52060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52060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52060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52060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52060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52060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52060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52060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52060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52060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52060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52060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52060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52060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52060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52060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5206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5206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5206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5206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5206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5206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5206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52060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52060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52060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52060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52060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52060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52060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52060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52060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52060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52060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52060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52060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52060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52060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52060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52060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52060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52060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52060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52060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52060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52060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52060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52060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52060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52060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52060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52060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52060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52060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52060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52060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52060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52060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52060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52060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52060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52060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52060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52060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52060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52060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52060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52060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52060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52060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52060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52060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52060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52060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52060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52060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52060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52060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52060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52060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52060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52060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52060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52060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52060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52060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52060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52060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52060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52060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52060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52060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48790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487902"/>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udoc.echr.coe.int/eng" TargetMode="Externa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464DD-4619-43A3-AE5E-325DF861C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8656</Words>
  <Characters>43977</Characters>
  <Application>Microsoft Office Word</Application>
  <DocSecurity>0</DocSecurity>
  <Lines>862</Lines>
  <Paragraphs>277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2020-10-19T08:33:00Z</dcterms:created>
  <dcterms:modified xsi:type="dcterms:W3CDTF">2024-11-27T16:06:00Z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440584</vt:lpwstr>
  </property>
  <property fmtid="{D5CDD505-2E9C-101B-9397-08002B2CF9AE}" pid="3" name="cstLanguage">
    <vt:i4>1036</vt:i4>
  </property>
  <property fmtid="{D5CDD505-2E9C-101B-9397-08002B2CF9AE}" pid="4" name="RegisteredNo">
    <vt:lpwstr>13112/07</vt:lpwstr>
  </property>
</Properties>
</file>