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821A9" w:rsidR="00EC4EEA" w:rsidP="00EC4EEA" w14:paraId="35FEE656" w14:textId="77777777">
      <w:pPr>
        <w:jc w:val="center"/>
        <w:rPr>
          <w:rFonts w:ascii="Times New Roman" w:hAnsi="Times New Roman" w:cs="Times New Roman"/>
        </w:rPr>
      </w:pPr>
    </w:p>
    <w:p w:rsidRPr="00C821A9" w:rsidR="00EC4EEA" w:rsidP="00EC4EEA" w14:paraId="0ED74C49" w14:textId="77777777">
      <w:pPr>
        <w:pStyle w:val="DecHCase"/>
      </w:pPr>
      <w:r w:rsidRPr="00C821A9">
        <w:t>FOURTH SECTION</w:t>
      </w:r>
    </w:p>
    <w:p w:rsidRPr="00C821A9" w:rsidR="00EC4EEA" w:rsidP="00EC4EEA" w14:paraId="7496343B" w14:textId="77777777">
      <w:pPr>
        <w:pStyle w:val="JuTitle"/>
        <w:spacing w:before="960"/>
      </w:pPr>
      <w:bookmarkStart w:name="To" w:id="0"/>
      <w:r w:rsidRPr="00C821A9">
        <w:rPr>
          <w:color w:val="000000" w:themeColor="text1"/>
        </w:rPr>
        <w:t xml:space="preserve">CASE OF </w:t>
      </w:r>
      <w:bookmarkEnd w:id="0"/>
      <w:r w:rsidRPr="00C821A9">
        <w:t>NAPOTNIK v. ROMANIA</w:t>
      </w:r>
    </w:p>
    <w:p w:rsidRPr="00C821A9" w:rsidR="00EC4EEA" w:rsidP="00EC4EEA" w14:paraId="415E9F9D" w14:textId="77777777">
      <w:pPr>
        <w:pStyle w:val="ECHRCoverTitle4"/>
      </w:pPr>
      <w:r w:rsidRPr="00C821A9">
        <w:t>(Application no. 33139/13)</w:t>
      </w:r>
    </w:p>
    <w:p w:rsidRPr="00C821A9" w:rsidR="00EC4EEA" w:rsidP="00EC4EEA" w14:paraId="661E1E54" w14:textId="77777777">
      <w:pPr>
        <w:pStyle w:val="DecHCase"/>
      </w:pPr>
    </w:p>
    <w:p w:rsidRPr="00C821A9" w:rsidR="00EC4EEA" w:rsidP="00EC4EEA" w14:paraId="2C7E639E" w14:textId="77777777">
      <w:pPr>
        <w:pStyle w:val="DecHCase"/>
        <w:spacing w:after="200"/>
      </w:pPr>
    </w:p>
    <w:p w:rsidRPr="00C821A9" w:rsidR="00EC4EEA" w:rsidP="00EC4EEA" w14:paraId="07C07BD8" w14:textId="77777777">
      <w:pPr>
        <w:pStyle w:val="DecHCase"/>
      </w:pPr>
      <w:r w:rsidRPr="00C821A9">
        <w:t>JUDGMENT</w:t>
      </w:r>
      <w:r w:rsidRPr="00C821A9">
        <w:br/>
      </w:r>
    </w:p>
    <w:p w:rsidRPr="00C821A9" w:rsidR="00EC4EEA" w:rsidP="00EC4EEA" w14:paraId="7E5BBFF8" w14:textId="77777777">
      <w:pPr>
        <w:pStyle w:val="JuPara"/>
        <w:pBdr>
          <w:top w:val="single" w:color="auto" w:sz="4" w:space="1"/>
          <w:left w:val="single" w:color="auto" w:sz="4" w:space="4"/>
          <w:bottom w:val="single" w:color="auto" w:sz="4" w:space="1"/>
          <w:right w:val="single" w:color="auto" w:sz="4" w:space="4"/>
        </w:pBdr>
        <w:ind w:firstLine="0"/>
      </w:pPr>
      <w:r w:rsidRPr="00C821A9">
        <w:t>Art 1 P12 • Prohibition of discrimination • Justified necessity of recalling applicant from diplomatic posting abroad after announcing pregnancy • Art 14 case-law standards applicable to Art 1 P12 • Unjustified differences in treatment on grounds of pregnancy constitute direct discrimination • Applicant’s recall necessary for ensuring and maintaining functional capacity of diplomatic mission and protecting the rights of Romanian nationals in need of consular assistance • Change in applicant’s work conditions not equivalent to loss of employment and not expressly prohibited by domestic and international standards • Measure not disciplinary and entailing no long-term setbacks to applicant’s career</w:t>
      </w:r>
    </w:p>
    <w:p w:rsidRPr="00C821A9" w:rsidR="00EC4EEA" w:rsidP="00EC4EEA" w14:paraId="20E07745" w14:textId="77777777">
      <w:pPr>
        <w:pStyle w:val="JuPara"/>
        <w:spacing w:after="120"/>
      </w:pPr>
    </w:p>
    <w:p w:rsidRPr="00C821A9" w:rsidR="00EC4EEA" w:rsidP="00EC4EEA" w14:paraId="5E4C5460" w14:textId="77777777">
      <w:pPr>
        <w:pStyle w:val="DecHCase"/>
      </w:pPr>
      <w:r w:rsidRPr="00C821A9">
        <w:t>STRASBOURG</w:t>
      </w:r>
    </w:p>
    <w:p w:rsidRPr="00C821A9" w:rsidR="00EC4EEA" w:rsidP="00EC4EEA" w14:paraId="314DDD90" w14:textId="77777777">
      <w:pPr>
        <w:pStyle w:val="DecHCase"/>
        <w:spacing w:after="120"/>
      </w:pPr>
      <w:r w:rsidRPr="00C821A9">
        <w:rPr>
          <w:rFonts w:ascii="Times New Roman" w:hAnsi="Times New Roman" w:cs="Times New Roman"/>
        </w:rPr>
        <w:t>20 October 2020</w:t>
      </w:r>
    </w:p>
    <w:p w:rsidRPr="00C821A9" w:rsidR="00EC4EEA" w:rsidP="00EC4EEA" w14:paraId="1339AC5D" w14:textId="77777777">
      <w:pPr>
        <w:pStyle w:val="JuPara"/>
      </w:pPr>
    </w:p>
    <w:p w:rsidRPr="00C821A9" w:rsidR="00EC4EEA" w:rsidP="00EC4EEA" w14:paraId="26963777" w14:textId="77777777">
      <w:pPr>
        <w:pStyle w:val="jucase0"/>
        <w:ind w:firstLine="0"/>
        <w:jc w:val="center"/>
        <w:rPr>
          <w:color w:val="FF0000"/>
          <w:sz w:val="28"/>
          <w:szCs w:val="28"/>
          <w:u w:val="single"/>
        </w:rPr>
      </w:pPr>
      <w:bookmarkStart w:name="_Hlk59706592" w:id="1"/>
      <w:bookmarkStart w:name="_Hlk59704667" w:id="2"/>
      <w:r w:rsidRPr="00C821A9">
        <w:rPr>
          <w:color w:val="FF0000"/>
          <w:sz w:val="28"/>
          <w:szCs w:val="28"/>
          <w:u w:val="single"/>
        </w:rPr>
        <w:t>FINAL</w:t>
      </w:r>
    </w:p>
    <w:p w:rsidRPr="00C821A9" w:rsidR="00EC4EEA" w:rsidP="00EC4EEA" w14:paraId="6BDA953D" w14:textId="77777777">
      <w:pPr>
        <w:pStyle w:val="jucase0"/>
        <w:ind w:firstLine="0"/>
        <w:jc w:val="center"/>
        <w:rPr>
          <w:b w:val="0"/>
          <w:bCs w:val="0"/>
          <w:color w:val="FF0000"/>
          <w:u w:val="single"/>
        </w:rPr>
      </w:pPr>
    </w:p>
    <w:p w:rsidRPr="00C821A9" w:rsidR="00EC4EEA" w:rsidP="00EC4EEA" w14:paraId="3B9C2A2A" w14:textId="77777777">
      <w:pPr>
        <w:pStyle w:val="jucase0"/>
        <w:ind w:firstLine="0"/>
        <w:jc w:val="center"/>
        <w:rPr>
          <w:b w:val="0"/>
          <w:color w:val="FF0000"/>
          <w:sz w:val="28"/>
          <w:szCs w:val="28"/>
        </w:rPr>
      </w:pPr>
      <w:r w:rsidRPr="00C821A9">
        <w:rPr>
          <w:b w:val="0"/>
          <w:color w:val="FF0000"/>
          <w:sz w:val="28"/>
          <w:szCs w:val="28"/>
        </w:rPr>
        <w:t>20/01/2021</w:t>
      </w:r>
    </w:p>
    <w:p w:rsidRPr="00C821A9" w:rsidR="00EC4EEA" w:rsidP="00EC4EEA" w14:paraId="710A6166" w14:textId="77777777">
      <w:pPr>
        <w:pStyle w:val="jupara0"/>
        <w:ind w:firstLine="0"/>
        <w:jc w:val="center"/>
      </w:pPr>
    </w:p>
    <w:p w:rsidRPr="00C821A9" w:rsidR="00EC4EEA" w:rsidP="00EC4EEA" w14:paraId="36478595" w14:textId="77777777">
      <w:pPr>
        <w:pStyle w:val="jupara0"/>
        <w:ind w:firstLine="0"/>
        <w:jc w:val="center"/>
      </w:pPr>
    </w:p>
    <w:p w:rsidRPr="00C821A9" w:rsidR="00EC4EEA" w:rsidP="00EC4EEA" w14:paraId="70DC84F6" w14:textId="77777777">
      <w:pPr>
        <w:jc w:val="center"/>
      </w:pPr>
      <w:r w:rsidRPr="00C821A9">
        <w:rPr>
          <w:i/>
          <w:iCs/>
          <w:sz w:val="22"/>
          <w:szCs w:val="22"/>
        </w:rPr>
        <w:t>This judgment has become final under Article 44 § 2 of the Convention. It may be subject to editorial revision.</w:t>
      </w:r>
      <w:bookmarkEnd w:id="1"/>
      <w:bookmarkEnd w:id="2"/>
    </w:p>
    <w:p w:rsidRPr="00C821A9" w:rsidR="00EC4EEA" w:rsidP="00EC4EEA" w14:paraId="56E5B76B"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821A9" w:rsidR="00EC4EEA" w:rsidP="00EC4EEA" w14:paraId="45BA6CFF" w14:textId="77777777">
      <w:pPr>
        <w:pStyle w:val="JuCase"/>
      </w:pPr>
      <w:r w:rsidRPr="00C821A9">
        <w:t xml:space="preserve">In the case of </w:t>
      </w:r>
      <w:r w:rsidRPr="00C821A9">
        <w:t>Napotnik</w:t>
      </w:r>
      <w:r w:rsidRPr="00C821A9">
        <w:t xml:space="preserve"> v. Romania,</w:t>
      </w:r>
    </w:p>
    <w:p w:rsidRPr="00C821A9" w:rsidR="00EC4EEA" w:rsidP="00EC4EEA" w14:paraId="1BF44669" w14:textId="77777777">
      <w:pPr>
        <w:pStyle w:val="JuPara"/>
      </w:pPr>
      <w:r w:rsidRPr="00C821A9">
        <w:t>The European Court of Human Rights (Fourth Section), sitting as a Chamber composed of:</w:t>
      </w:r>
    </w:p>
    <w:p w:rsidRPr="00C821A9" w:rsidR="00EC4EEA" w:rsidP="00EC4EEA" w14:paraId="053DE079" w14:textId="77777777">
      <w:pPr>
        <w:pStyle w:val="JuJudges"/>
      </w:pPr>
      <w:r w:rsidRPr="00C821A9">
        <w:tab/>
        <w:t xml:space="preserve">Yonko </w:t>
      </w:r>
      <w:r w:rsidRPr="00C821A9">
        <w:t>Grozev</w:t>
      </w:r>
      <w:r w:rsidRPr="00C821A9">
        <w:t>,</w:t>
      </w:r>
      <w:r w:rsidRPr="00C821A9">
        <w:rPr>
          <w:i/>
        </w:rPr>
        <w:t xml:space="preserve"> President</w:t>
      </w:r>
      <w:r w:rsidRPr="00C821A9">
        <w:rPr>
          <w:iCs/>
        </w:rPr>
        <w:t>,</w:t>
      </w:r>
      <w:r w:rsidRPr="00C821A9">
        <w:rPr>
          <w:i/>
        </w:rPr>
        <w:br/>
      </w:r>
      <w:r w:rsidRPr="00C821A9">
        <w:tab/>
        <w:t xml:space="preserve">Iulia </w:t>
      </w:r>
      <w:r w:rsidRPr="00C821A9">
        <w:t>Antoanella</w:t>
      </w:r>
      <w:r w:rsidRPr="00C821A9">
        <w:t xml:space="preserve"> Motoc,</w:t>
      </w:r>
      <w:r w:rsidRPr="00C821A9">
        <w:rPr>
          <w:i/>
        </w:rPr>
        <w:br/>
      </w:r>
      <w:r w:rsidRPr="00C821A9">
        <w:tab/>
        <w:t xml:space="preserve">Carlo </w:t>
      </w:r>
      <w:r w:rsidRPr="00C821A9">
        <w:t>Ranzoni</w:t>
      </w:r>
      <w:r w:rsidRPr="00C821A9">
        <w:t>,</w:t>
      </w:r>
      <w:r w:rsidRPr="00C821A9">
        <w:rPr>
          <w:i/>
        </w:rPr>
        <w:br/>
      </w:r>
      <w:r w:rsidRPr="00C821A9">
        <w:tab/>
        <w:t xml:space="preserve">Stéphanie </w:t>
      </w:r>
      <w:r w:rsidRPr="00C821A9">
        <w:t>Mourou-Vikström</w:t>
      </w:r>
      <w:r w:rsidRPr="00C821A9">
        <w:t>,</w:t>
      </w:r>
      <w:r w:rsidRPr="00C821A9">
        <w:rPr>
          <w:i/>
        </w:rPr>
        <w:br/>
      </w:r>
      <w:r w:rsidRPr="00C821A9">
        <w:tab/>
        <w:t xml:space="preserve">Georges </w:t>
      </w:r>
      <w:r w:rsidRPr="00C821A9">
        <w:t>Ravarani</w:t>
      </w:r>
      <w:r w:rsidRPr="00C821A9">
        <w:t>,</w:t>
      </w:r>
      <w:r w:rsidRPr="00C821A9">
        <w:rPr>
          <w:i/>
        </w:rPr>
        <w:br/>
      </w:r>
      <w:r w:rsidRPr="00C821A9">
        <w:tab/>
      </w:r>
      <w:r w:rsidRPr="00C821A9">
        <w:t>Jolien</w:t>
      </w:r>
      <w:r w:rsidRPr="00C821A9">
        <w:t xml:space="preserve"> </w:t>
      </w:r>
      <w:r w:rsidRPr="00C821A9">
        <w:t>Schukking</w:t>
      </w:r>
      <w:r w:rsidRPr="00C821A9">
        <w:t>,</w:t>
      </w:r>
      <w:r w:rsidRPr="00C821A9">
        <w:rPr>
          <w:i/>
        </w:rPr>
        <w:br/>
      </w:r>
      <w:r w:rsidRPr="00C821A9">
        <w:tab/>
      </w:r>
      <w:r w:rsidRPr="00C821A9">
        <w:t>Péter</w:t>
      </w:r>
      <w:r w:rsidRPr="00C821A9">
        <w:t xml:space="preserve"> </w:t>
      </w:r>
      <w:r w:rsidRPr="00C821A9">
        <w:t>Paczolay</w:t>
      </w:r>
      <w:r w:rsidRPr="00C821A9">
        <w:t>,</w:t>
      </w:r>
      <w:r w:rsidRPr="00C821A9">
        <w:rPr>
          <w:i/>
        </w:rPr>
        <w:t xml:space="preserve"> judges</w:t>
      </w:r>
      <w:r w:rsidRPr="00C821A9">
        <w:rPr>
          <w:iCs/>
        </w:rPr>
        <w:t>,</w:t>
      </w:r>
      <w:r w:rsidRPr="00C821A9">
        <w:br/>
        <w:t xml:space="preserve">and Andrea Tamietti, </w:t>
      </w:r>
      <w:r w:rsidRPr="00C821A9">
        <w:rPr>
          <w:i/>
        </w:rPr>
        <w:t xml:space="preserve">Section </w:t>
      </w:r>
      <w:r w:rsidRPr="00C821A9">
        <w:rPr>
          <w:i/>
          <w:iCs/>
        </w:rPr>
        <w:t>Registrar</w:t>
      </w:r>
      <w:r w:rsidRPr="00C821A9">
        <w:rPr>
          <w:iCs/>
        </w:rPr>
        <w:t>,</w:t>
      </w:r>
    </w:p>
    <w:p w:rsidRPr="00C821A9" w:rsidR="00EC4EEA" w:rsidP="00EC4EEA" w14:paraId="31D92985" w14:textId="77777777">
      <w:pPr>
        <w:pStyle w:val="JuPara"/>
      </w:pPr>
      <w:bookmarkStart w:name="ITMARKHavingStart" w:id="3"/>
      <w:bookmarkEnd w:id="3"/>
      <w:r w:rsidRPr="00C821A9">
        <w:t>Having regard to:</w:t>
      </w:r>
    </w:p>
    <w:p w:rsidRPr="00C821A9" w:rsidR="00EC4EEA" w:rsidP="00EC4EEA" w14:paraId="731AA98E" w14:textId="77777777">
      <w:pPr>
        <w:pStyle w:val="JuPara"/>
      </w:pPr>
      <w:r w:rsidRPr="00C821A9">
        <w:t xml:space="preserve">the application against Romania lodged with the Court under Article 34 of the Convention for the Protection of Human Rights and Fundamental Freedoms (“the Convention”) by a Romanian national, Ms Oana-Cornelia </w:t>
      </w:r>
      <w:r w:rsidRPr="00C821A9">
        <w:t>Napotnik</w:t>
      </w:r>
      <w:r w:rsidRPr="00C821A9">
        <w:t xml:space="preserve"> (“the applicant”), on 8 May </w:t>
      </w:r>
      <w:r w:rsidRPr="00C821A9">
        <w:t>2013;</w:t>
      </w:r>
    </w:p>
    <w:p w:rsidRPr="00C821A9" w:rsidR="00EC4EEA" w:rsidP="00EC4EEA" w14:paraId="60E7AF69" w14:textId="77777777">
      <w:pPr>
        <w:pStyle w:val="JuPara"/>
      </w:pPr>
      <w:r w:rsidRPr="00C821A9">
        <w:t xml:space="preserve">the decision to give notice to the Romanian Government (“the Government”) of the </w:t>
      </w:r>
      <w:r w:rsidRPr="00C821A9">
        <w:t>application;</w:t>
      </w:r>
    </w:p>
    <w:p w:rsidRPr="00C821A9" w:rsidR="00EC4EEA" w:rsidP="00EC4EEA" w14:paraId="33412EAE" w14:textId="77777777">
      <w:pPr>
        <w:pStyle w:val="JuPara"/>
      </w:pPr>
      <w:r w:rsidRPr="00C821A9">
        <w:t xml:space="preserve">the parties’ </w:t>
      </w:r>
      <w:r w:rsidRPr="00C821A9">
        <w:t>observations;</w:t>
      </w:r>
    </w:p>
    <w:p w:rsidRPr="00C821A9" w:rsidR="00EC4EEA" w:rsidP="00EC4EEA" w14:paraId="66A89363" w14:textId="77777777">
      <w:pPr>
        <w:pStyle w:val="JuPara"/>
      </w:pPr>
      <w:r w:rsidRPr="00C821A9">
        <w:t xml:space="preserve">Having deliberated in private on 24 March, 1 </w:t>
      </w:r>
      <w:r w:rsidRPr="00C821A9">
        <w:t>September</w:t>
      </w:r>
      <w:r w:rsidRPr="00C821A9">
        <w:t xml:space="preserve"> and 29 September 2020,</w:t>
      </w:r>
    </w:p>
    <w:p w:rsidRPr="00C821A9" w:rsidR="00EC4EEA" w:rsidP="00EC4EEA" w14:paraId="6C2B366C" w14:textId="77777777">
      <w:pPr>
        <w:pStyle w:val="JuPara"/>
      </w:pPr>
      <w:r w:rsidRPr="00C821A9">
        <w:t>Delivers the following judgment, which was adopted on the last</w:t>
      </w:r>
      <w:r w:rsidRPr="00C821A9">
        <w:noBreakHyphen/>
        <w:t>mentioned date:</w:t>
      </w:r>
    </w:p>
    <w:p w:rsidRPr="00C821A9" w:rsidR="00EC4EEA" w:rsidP="00EC4EEA" w14:paraId="50D3B7EE" w14:textId="77777777">
      <w:pPr>
        <w:pStyle w:val="JuHHead"/>
        <w:numPr>
          <w:ilvl w:val="0"/>
          <w:numId w:val="0"/>
        </w:numPr>
      </w:pPr>
      <w:r w:rsidRPr="00C821A9">
        <w:t>INTRODUCTION</w:t>
      </w:r>
    </w:p>
    <w:p w:rsidRPr="00C821A9" w:rsidR="00EC4EEA" w:rsidP="00EC4EEA" w14:paraId="65441879" w14:textId="77777777">
      <w:pPr>
        <w:pStyle w:val="JuPara"/>
      </w:pPr>
      <w:r w:rsidRPr="00C821A9">
        <w:fldChar w:fldCharType="begin"/>
      </w:r>
      <w:r w:rsidRPr="00C821A9">
        <w:instrText xml:space="preserve"> SEQ level0 \*arabic </w:instrText>
      </w:r>
      <w:r w:rsidRPr="00C821A9">
        <w:fldChar w:fldCharType="separate"/>
      </w:r>
      <w:r w:rsidRPr="00C821A9">
        <w:rPr>
          <w:noProof/>
        </w:rPr>
        <w:t>1</w:t>
      </w:r>
      <w:r w:rsidRPr="00C821A9">
        <w:fldChar w:fldCharType="end"/>
      </w:r>
      <w:r w:rsidRPr="00C821A9">
        <w:t>.  The application concerns the immediate termination of the applicant’s diplomatic posting in Ljubljana, Slovenia, allegedly because of her pregnancy.</w:t>
      </w:r>
    </w:p>
    <w:p w:rsidRPr="00C821A9" w:rsidR="00EC4EEA" w:rsidP="00EC4EEA" w14:paraId="006BD332" w14:textId="77777777">
      <w:pPr>
        <w:pStyle w:val="JuHHead"/>
      </w:pPr>
      <w:r w:rsidRPr="00C821A9">
        <w:t>THE FACTS</w:t>
      </w:r>
    </w:p>
    <w:p w:rsidRPr="00C821A9" w:rsidR="00EC4EEA" w:rsidP="00EC4EEA" w14:paraId="4391D498" w14:textId="77777777">
      <w:pPr>
        <w:pStyle w:val="JuPara"/>
      </w:pPr>
      <w:r w:rsidRPr="00C821A9">
        <w:fldChar w:fldCharType="begin"/>
      </w:r>
      <w:r w:rsidRPr="00C821A9">
        <w:instrText xml:space="preserve"> SEQ level0 \*arabic </w:instrText>
      </w:r>
      <w:r w:rsidRPr="00C821A9">
        <w:fldChar w:fldCharType="separate"/>
      </w:r>
      <w:r w:rsidRPr="00C821A9">
        <w:rPr>
          <w:noProof/>
        </w:rPr>
        <w:t>2</w:t>
      </w:r>
      <w:r w:rsidRPr="00C821A9">
        <w:fldChar w:fldCharType="end"/>
      </w:r>
      <w:r w:rsidRPr="00C821A9">
        <w:t>.  The applicant was born in 1972 and lives in Bucharest. She was represented by S.C.A. Ionescu and Sava, a law firm in Bucharest.</w:t>
      </w:r>
    </w:p>
    <w:p w:rsidRPr="00C821A9" w:rsidR="00EC4EEA" w:rsidP="00EC4EEA" w14:paraId="4C95A43C" w14:textId="77777777">
      <w:pPr>
        <w:pStyle w:val="JuPara"/>
      </w:pPr>
      <w:r w:rsidRPr="00C821A9">
        <w:fldChar w:fldCharType="begin"/>
      </w:r>
      <w:r w:rsidRPr="00C821A9">
        <w:instrText xml:space="preserve"> SEQ level0 \*arabic </w:instrText>
      </w:r>
      <w:r w:rsidRPr="00C821A9">
        <w:fldChar w:fldCharType="separate"/>
      </w:r>
      <w:r w:rsidRPr="00C821A9">
        <w:rPr>
          <w:noProof/>
        </w:rPr>
        <w:t>3</w:t>
      </w:r>
      <w:r w:rsidRPr="00C821A9">
        <w:fldChar w:fldCharType="end"/>
      </w:r>
      <w:r w:rsidRPr="00C821A9">
        <w:t xml:space="preserve">.  The Government were represented by their Agent, most recently Ms O.F. </w:t>
      </w:r>
      <w:r w:rsidRPr="00C821A9">
        <w:t>Ezer</w:t>
      </w:r>
      <w:r w:rsidRPr="00C821A9">
        <w:t>, of the Ministry of Foreign Affairs.</w:t>
      </w:r>
    </w:p>
    <w:p w:rsidRPr="00C821A9" w:rsidR="00EC4EEA" w:rsidP="00EC4EEA" w14:paraId="23CA6F02" w14:textId="77777777">
      <w:pPr>
        <w:pStyle w:val="JuPara"/>
      </w:pPr>
      <w:r w:rsidRPr="00C821A9">
        <w:fldChar w:fldCharType="begin"/>
      </w:r>
      <w:r w:rsidRPr="00C821A9">
        <w:instrText xml:space="preserve"> SEQ level0 \*arabic </w:instrText>
      </w:r>
      <w:r w:rsidRPr="00C821A9">
        <w:fldChar w:fldCharType="separate"/>
      </w:r>
      <w:r w:rsidRPr="00C821A9">
        <w:rPr>
          <w:noProof/>
        </w:rPr>
        <w:t>4</w:t>
      </w:r>
      <w:r w:rsidRPr="00C821A9">
        <w:fldChar w:fldCharType="end"/>
      </w:r>
      <w:r w:rsidRPr="00C821A9">
        <w:t>.  The facts of the case, as submitted by the parties, may be summarised as follows.</w:t>
      </w:r>
    </w:p>
    <w:p w:rsidRPr="00C821A9" w:rsidR="00EC4EEA" w:rsidP="00EC4EEA" w14:paraId="28117812" w14:textId="77777777">
      <w:pPr>
        <w:pStyle w:val="JuHIRoman"/>
      </w:pPr>
      <w:r w:rsidRPr="00C821A9">
        <w:t>The applicant’s work IN the consular section OF THE ROMANIAN embassy IN Ljubljana</w:t>
      </w:r>
    </w:p>
    <w:p w:rsidRPr="00C821A9" w:rsidR="00EC4EEA" w:rsidP="00EC4EEA" w14:paraId="413803EF" w14:textId="77777777">
      <w:pPr>
        <w:pStyle w:val="JuPara"/>
      </w:pPr>
      <w:r w:rsidRPr="00C821A9">
        <w:fldChar w:fldCharType="begin"/>
      </w:r>
      <w:r w:rsidRPr="00C821A9">
        <w:instrText xml:space="preserve"> SEQ level0 \*arabic </w:instrText>
      </w:r>
      <w:r w:rsidRPr="00C821A9">
        <w:fldChar w:fldCharType="separate"/>
      </w:r>
      <w:r w:rsidRPr="00C821A9">
        <w:rPr>
          <w:noProof/>
        </w:rPr>
        <w:t>5</w:t>
      </w:r>
      <w:r w:rsidRPr="00C821A9">
        <w:fldChar w:fldCharType="end"/>
      </w:r>
      <w:r w:rsidRPr="00C821A9">
        <w:t>.  The applicant is a Romanian diplomat. On 1 October 2002 she started working for the Ministry of Foreign Affairs (hereinafter “the MFA”).</w:t>
      </w:r>
    </w:p>
    <w:bookmarkStart w:name="compet" w:id="4"/>
    <w:p w:rsidRPr="00C821A9" w:rsidR="00EC4EEA" w:rsidP="00EC4EEA" w14:paraId="1CFBC6E9" w14:textId="77777777">
      <w:pPr>
        <w:pStyle w:val="JuPara"/>
      </w:pPr>
      <w:r w:rsidRPr="00C821A9">
        <w:fldChar w:fldCharType="begin"/>
      </w:r>
      <w:r w:rsidRPr="00C821A9">
        <w:instrText xml:space="preserve"> SEQ level0 \*arabic </w:instrText>
      </w:r>
      <w:r w:rsidRPr="00C821A9">
        <w:fldChar w:fldCharType="separate"/>
      </w:r>
      <w:r w:rsidRPr="00C821A9">
        <w:rPr>
          <w:noProof/>
        </w:rPr>
        <w:t>6</w:t>
      </w:r>
      <w:r w:rsidRPr="00C821A9">
        <w:fldChar w:fldCharType="end"/>
      </w:r>
      <w:bookmarkEnd w:id="4"/>
      <w:r w:rsidRPr="00C821A9">
        <w:t>.  The applicant sat a competitive examination for a four-year post as a consular officer at the Romanian embassy in Ljubljana. Following the examination, she was appointed to the post by an order of the Minister for Foreign Affairs issued on 9 February 2007. At the time, she held the diplomatic rank of third secretary. Her diplomatic posting started on 2 March 2007, and since 1 January 2006 the post had been held by diplomats sent on temporary assignments.</w:t>
      </w:r>
    </w:p>
    <w:p w:rsidRPr="00C821A9" w:rsidR="00EC4EEA" w:rsidP="00EC4EEA" w14:paraId="020A9F62" w14:textId="77777777">
      <w:pPr>
        <w:pStyle w:val="JuPara"/>
      </w:pPr>
      <w:r w:rsidRPr="00C821A9">
        <w:fldChar w:fldCharType="begin"/>
      </w:r>
      <w:r w:rsidRPr="00C821A9">
        <w:instrText xml:space="preserve"> SEQ level0 \*arabic </w:instrText>
      </w:r>
      <w:r w:rsidRPr="00C821A9">
        <w:fldChar w:fldCharType="separate"/>
      </w:r>
      <w:r w:rsidRPr="00C821A9">
        <w:rPr>
          <w:noProof/>
        </w:rPr>
        <w:t>7</w:t>
      </w:r>
      <w:r w:rsidRPr="00C821A9">
        <w:fldChar w:fldCharType="end"/>
      </w:r>
      <w:r w:rsidRPr="00C821A9">
        <w:t>.  When the applicant arrived to take up her post, the embassy’s diplomatic staff consisted of the ambassador and two junior diplomats: the applicant, who was in charge of consular duties (about 70% of her work), and another individual, whose main tasks were diplomatic and political cooperation and who had received no consular training. The diplomatic staff also included an economic officer, sent from the Ministry of the Economy.</w:t>
      </w:r>
    </w:p>
    <w:bookmarkStart w:name="para_8" w:id="5"/>
    <w:p w:rsidRPr="00C821A9" w:rsidR="00EC4EEA" w:rsidP="00EC4EEA" w14:paraId="6C9111B2" w14:textId="77777777">
      <w:pPr>
        <w:pStyle w:val="JuPara"/>
      </w:pPr>
      <w:r w:rsidRPr="00C821A9">
        <w:fldChar w:fldCharType="begin"/>
      </w:r>
      <w:r w:rsidRPr="00C821A9">
        <w:instrText xml:space="preserve"> SEQ level0 \*arabic </w:instrText>
      </w:r>
      <w:r w:rsidRPr="00C821A9">
        <w:fldChar w:fldCharType="separate"/>
      </w:r>
      <w:r w:rsidRPr="00C821A9">
        <w:rPr>
          <w:noProof/>
        </w:rPr>
        <w:t>8</w:t>
      </w:r>
      <w:r w:rsidRPr="00C821A9">
        <w:fldChar w:fldCharType="end"/>
      </w:r>
      <w:bookmarkEnd w:id="5"/>
      <w:r w:rsidRPr="00C821A9">
        <w:t>.  The applicant’s consular work consisted mainly in providing help to Romanian nationals who found themselves in emergency situations in Slovenia, notably in police detention, without identity papers or hospitalised.</w:t>
      </w:r>
    </w:p>
    <w:p w:rsidRPr="00C821A9" w:rsidR="00EC4EEA" w:rsidP="00EC4EEA" w14:paraId="1460C21F" w14:textId="77777777">
      <w:pPr>
        <w:pStyle w:val="JuHA"/>
      </w:pPr>
      <w:r w:rsidRPr="00C821A9">
        <w:t>The first pregnancy</w:t>
      </w:r>
    </w:p>
    <w:p w:rsidRPr="00C821A9" w:rsidR="00EC4EEA" w:rsidP="00EC4EEA" w14:paraId="5F03CB65" w14:textId="77777777">
      <w:pPr>
        <w:pStyle w:val="JuPara"/>
      </w:pPr>
      <w:r w:rsidRPr="00C821A9">
        <w:fldChar w:fldCharType="begin"/>
      </w:r>
      <w:r w:rsidRPr="00C821A9">
        <w:instrText xml:space="preserve"> SEQ level0 \*arabic </w:instrText>
      </w:r>
      <w:r w:rsidRPr="00C821A9">
        <w:fldChar w:fldCharType="separate"/>
      </w:r>
      <w:r w:rsidRPr="00C821A9">
        <w:rPr>
          <w:noProof/>
        </w:rPr>
        <w:t>9</w:t>
      </w:r>
      <w:r w:rsidRPr="00C821A9">
        <w:fldChar w:fldCharType="end"/>
      </w:r>
      <w:r w:rsidRPr="00C821A9">
        <w:t>.  In April 2007 the applicant married a Slovenian official. A few months later she became pregnant with their first child. In November 2007 she was absent from work for a few days because of health problems linked to her pregnancy. On 27 November her obstetrician ordered that she should have bed rest. On the next day she informed the ambassador of her medical condition. She also asked to take her annual leave in the period from December to January 2008.</w:t>
      </w:r>
    </w:p>
    <w:p w:rsidRPr="00C821A9" w:rsidR="00EC4EEA" w:rsidP="00EC4EEA" w14:paraId="2F9EBB02" w14:textId="77777777">
      <w:pPr>
        <w:pStyle w:val="JuPara"/>
      </w:pPr>
      <w:r w:rsidRPr="00C821A9">
        <w:fldChar w:fldCharType="begin"/>
      </w:r>
      <w:r w:rsidRPr="00C821A9">
        <w:instrText xml:space="preserve"> SEQ level0 \*arabic </w:instrText>
      </w:r>
      <w:r w:rsidRPr="00C821A9">
        <w:fldChar w:fldCharType="separate"/>
      </w:r>
      <w:r w:rsidRPr="00C821A9">
        <w:rPr>
          <w:noProof/>
        </w:rPr>
        <w:t>10</w:t>
      </w:r>
      <w:r w:rsidRPr="00C821A9">
        <w:fldChar w:fldCharType="end"/>
      </w:r>
      <w:r w:rsidRPr="00C821A9">
        <w:t>.  On 6 December 2007 the ambassador sent an internal report on the applicant’s absence from work to the MFA, accompanied by a note written in the following terms:</w:t>
      </w:r>
    </w:p>
    <w:p w:rsidRPr="00C821A9" w:rsidR="00EC4EEA" w:rsidP="00EC4EEA" w14:paraId="777902FB" w14:textId="77777777">
      <w:pPr>
        <w:pStyle w:val="JuQuot"/>
      </w:pPr>
      <w:r w:rsidRPr="00C821A9">
        <w:t>“Please find attached a communication from the embassy in Ljubljana which presents the act of insubordination [</w:t>
      </w:r>
      <w:r w:rsidRPr="00C821A9">
        <w:rPr>
          <w:i/>
        </w:rPr>
        <w:t>actul</w:t>
      </w:r>
      <w:r w:rsidRPr="00C821A9">
        <w:rPr>
          <w:i/>
        </w:rPr>
        <w:t xml:space="preserve"> de </w:t>
      </w:r>
      <w:r w:rsidRPr="00C821A9">
        <w:rPr>
          <w:i/>
        </w:rPr>
        <w:t>indisciplin</w:t>
      </w:r>
      <w:r w:rsidRPr="00C821A9">
        <w:rPr>
          <w:rFonts w:cstheme="minorHAnsi"/>
          <w:i/>
        </w:rPr>
        <w:t>ă</w:t>
      </w:r>
      <w:r w:rsidRPr="00C821A9">
        <w:t xml:space="preserve">] committed by Mrs Oana </w:t>
      </w:r>
      <w:r w:rsidRPr="00C821A9">
        <w:t>Napotnik</w:t>
      </w:r>
      <w:r w:rsidRPr="00C821A9">
        <w:t xml:space="preserve"> ...”</w:t>
      </w:r>
    </w:p>
    <w:bookmarkStart w:name="para_11" w:id="6"/>
    <w:p w:rsidRPr="00C821A9" w:rsidR="00EC4EEA" w:rsidP="00EC4EEA" w14:paraId="78744D6B" w14:textId="77777777">
      <w:pPr>
        <w:pStyle w:val="JuPara"/>
      </w:pPr>
      <w:r w:rsidRPr="00C821A9">
        <w:fldChar w:fldCharType="begin"/>
      </w:r>
      <w:r w:rsidRPr="00C821A9">
        <w:instrText xml:space="preserve"> SEQ level0 \*arabic </w:instrText>
      </w:r>
      <w:r w:rsidRPr="00C821A9">
        <w:fldChar w:fldCharType="separate"/>
      </w:r>
      <w:r w:rsidRPr="00C821A9">
        <w:rPr>
          <w:noProof/>
        </w:rPr>
        <w:t>11</w:t>
      </w:r>
      <w:r w:rsidRPr="00C821A9">
        <w:fldChar w:fldCharType="end"/>
      </w:r>
      <w:bookmarkEnd w:id="6"/>
      <w:r w:rsidRPr="00C821A9">
        <w:t xml:space="preserve">.  The ambassador described in detail the applicant’s absence from work and asked for a replacement to be sent for the month of December, when requests for consular assistance were high. As no replacement was sent from the MFA, the consular section was closed during the applicant’s absence and requests for assistance were redirected to the embassies in Zagreb, </w:t>
      </w:r>
      <w:r w:rsidRPr="00C821A9">
        <w:t>Vienna</w:t>
      </w:r>
      <w:r w:rsidRPr="00C821A9">
        <w:t xml:space="preserve"> or Budapest. The applicant resumed work in February 2008.</w:t>
      </w:r>
    </w:p>
    <w:bookmarkStart w:name="A_came_to_work" w:id="7"/>
    <w:p w:rsidRPr="00C821A9" w:rsidR="00EC4EEA" w:rsidP="00EC4EEA" w14:paraId="20CAF3FD" w14:textId="77777777">
      <w:pPr>
        <w:pStyle w:val="JuPara"/>
      </w:pPr>
      <w:r w:rsidRPr="00C821A9">
        <w:fldChar w:fldCharType="begin"/>
      </w:r>
      <w:r w:rsidRPr="00C821A9">
        <w:instrText xml:space="preserve"> SEQ level0 \*arabic </w:instrText>
      </w:r>
      <w:r w:rsidRPr="00C821A9">
        <w:fldChar w:fldCharType="separate"/>
      </w:r>
      <w:r w:rsidRPr="00C821A9">
        <w:rPr>
          <w:noProof/>
        </w:rPr>
        <w:t>12</w:t>
      </w:r>
      <w:r w:rsidRPr="00C821A9">
        <w:fldChar w:fldCharType="end"/>
      </w:r>
      <w:bookmarkEnd w:id="7"/>
      <w:r w:rsidRPr="00C821A9">
        <w:t xml:space="preserve">.  The applicant returned to work during her leave, on 14 and 17 December 2007, </w:t>
      </w:r>
      <w:r w:rsidRPr="00C821A9">
        <w:t>in order to</w:t>
      </w:r>
      <w:r w:rsidRPr="00C821A9">
        <w:t xml:space="preserve"> deal with urgent consular matters.</w:t>
      </w:r>
    </w:p>
    <w:bookmarkStart w:name="para_13" w:id="8"/>
    <w:p w:rsidRPr="00C821A9" w:rsidR="00EC4EEA" w:rsidP="00EC4EEA" w14:paraId="24FEFCF7" w14:textId="77777777">
      <w:pPr>
        <w:pStyle w:val="JuPara"/>
      </w:pPr>
      <w:r w:rsidRPr="00C821A9">
        <w:fldChar w:fldCharType="begin"/>
      </w:r>
      <w:r w:rsidRPr="00C821A9">
        <w:instrText xml:space="preserve"> SEQ level0 \*arabic </w:instrText>
      </w:r>
      <w:r w:rsidRPr="00C821A9">
        <w:fldChar w:fldCharType="separate"/>
      </w:r>
      <w:r w:rsidRPr="00C821A9">
        <w:rPr>
          <w:noProof/>
        </w:rPr>
        <w:t>13</w:t>
      </w:r>
      <w:r w:rsidRPr="00C821A9">
        <w:fldChar w:fldCharType="end"/>
      </w:r>
      <w:bookmarkEnd w:id="8"/>
      <w:r w:rsidRPr="00C821A9">
        <w:t>.  In December 2007 the applicant was promoted to second secretary, upon being recommended for this position by her superiors.</w:t>
      </w:r>
    </w:p>
    <w:bookmarkStart w:name="pregnancy1" w:id="9"/>
    <w:p w:rsidRPr="00C821A9" w:rsidR="00EC4EEA" w:rsidP="00EC4EEA" w14:paraId="653B5137" w14:textId="77777777">
      <w:pPr>
        <w:pStyle w:val="JuPara"/>
      </w:pPr>
      <w:r w:rsidRPr="00C821A9">
        <w:fldChar w:fldCharType="begin"/>
      </w:r>
      <w:r w:rsidRPr="00C821A9">
        <w:instrText xml:space="preserve"> SEQ level0 \*arabic </w:instrText>
      </w:r>
      <w:r w:rsidRPr="00C821A9">
        <w:fldChar w:fldCharType="separate"/>
      </w:r>
      <w:r w:rsidRPr="00C821A9">
        <w:rPr>
          <w:noProof/>
        </w:rPr>
        <w:t>14</w:t>
      </w:r>
      <w:r w:rsidRPr="00C821A9">
        <w:fldChar w:fldCharType="end"/>
      </w:r>
      <w:bookmarkEnd w:id="9"/>
      <w:r w:rsidRPr="00C821A9">
        <w:t>.  The applicant, who gave birth to her child on 16 June 2008, was on maternity leave from 2 June to 19 October 2008. She then took annual leave until 5 December 2008.</w:t>
      </w:r>
    </w:p>
    <w:bookmarkStart w:name="replacement_pregnancy1" w:id="10"/>
    <w:p w:rsidRPr="00C821A9" w:rsidR="00EC4EEA" w:rsidP="00EC4EEA" w14:paraId="2FA7A1BE" w14:textId="77777777">
      <w:pPr>
        <w:pStyle w:val="JuPara"/>
      </w:pPr>
      <w:r w:rsidRPr="00C821A9">
        <w:fldChar w:fldCharType="begin"/>
      </w:r>
      <w:r w:rsidRPr="00C821A9">
        <w:instrText xml:space="preserve"> SEQ level0 \*arabic </w:instrText>
      </w:r>
      <w:r w:rsidRPr="00C821A9">
        <w:fldChar w:fldCharType="separate"/>
      </w:r>
      <w:r w:rsidRPr="00C821A9">
        <w:rPr>
          <w:noProof/>
        </w:rPr>
        <w:t>15</w:t>
      </w:r>
      <w:r w:rsidRPr="00C821A9">
        <w:fldChar w:fldCharType="end"/>
      </w:r>
      <w:bookmarkEnd w:id="10"/>
      <w:r w:rsidRPr="00C821A9">
        <w:t>.  The consular section of the embassy was closed between 2 and 15 June 2008, when a replacement was found for the applicant; that person was on a temporary assignment.</w:t>
      </w:r>
    </w:p>
    <w:p w:rsidRPr="00C821A9" w:rsidR="00EC4EEA" w:rsidP="00EC4EEA" w14:paraId="4CF4CC0A" w14:textId="77777777">
      <w:pPr>
        <w:pStyle w:val="JuPara"/>
      </w:pPr>
      <w:r w:rsidRPr="00C821A9">
        <w:fldChar w:fldCharType="begin"/>
      </w:r>
      <w:r w:rsidRPr="00C821A9">
        <w:instrText xml:space="preserve"> SEQ level0 \*arabic </w:instrText>
      </w:r>
      <w:r w:rsidRPr="00C821A9">
        <w:fldChar w:fldCharType="separate"/>
      </w:r>
      <w:r w:rsidRPr="00C821A9">
        <w:rPr>
          <w:noProof/>
        </w:rPr>
        <w:t>16</w:t>
      </w:r>
      <w:r w:rsidRPr="00C821A9">
        <w:fldChar w:fldCharType="end"/>
      </w:r>
      <w:r w:rsidRPr="00C821A9">
        <w:t xml:space="preserve">.  Between 17 and 19 July 2008, after the start of the applicant’s maternity leave, the MFA organised an audit of the embassy in Ljubljana. According to the ensuing report, deficiencies were found in the consular activity at the embassy. </w:t>
      </w:r>
      <w:r w:rsidRPr="00C821A9">
        <w:t>In particular, it</w:t>
      </w:r>
      <w:r w:rsidRPr="00C821A9">
        <w:t xml:space="preserve"> was found that consular requests and official documents had been improperly recorded in the embassy records. Some original documents issued by the consular section had not been archived or had simply been lost. Some documents had been recorded on the wrong date or had not been signed by the relevant parties. The audit team made recommendations, without proposing sanctions. The relevant part of the report read as follows:</w:t>
      </w:r>
    </w:p>
    <w:p w:rsidRPr="00C821A9" w:rsidR="00EC4EEA" w:rsidP="00EC4EEA" w14:paraId="6644898D" w14:textId="77777777">
      <w:pPr>
        <w:pStyle w:val="JuQuot"/>
      </w:pPr>
      <w:r w:rsidRPr="00C821A9">
        <w:t xml:space="preserve">“Several deficiencies have been identified in the consular activity, despite the low volume of work. One of the reasons is linked to the parameters of Mrs Oana </w:t>
      </w:r>
      <w:r w:rsidRPr="00C821A9">
        <w:t>Napotnik’s</w:t>
      </w:r>
      <w:r w:rsidRPr="00C821A9">
        <w:t xml:space="preserve"> professional activity, including the fact that during the first half of 2008, owing to her pregnancy, she was absent from work for long periods of time.”</w:t>
      </w:r>
    </w:p>
    <w:p w:rsidRPr="00C821A9" w:rsidR="00EC4EEA" w:rsidP="00EC4EEA" w14:paraId="6E5DD1F8" w14:textId="77777777">
      <w:pPr>
        <w:pStyle w:val="JuPara"/>
      </w:pPr>
      <w:r w:rsidRPr="00C821A9">
        <w:fldChar w:fldCharType="begin"/>
      </w:r>
      <w:r w:rsidRPr="00C821A9">
        <w:instrText xml:space="preserve"> SEQ level0 \*arabic </w:instrText>
      </w:r>
      <w:r w:rsidRPr="00C821A9">
        <w:fldChar w:fldCharType="separate"/>
      </w:r>
      <w:r w:rsidRPr="00C821A9">
        <w:rPr>
          <w:noProof/>
        </w:rPr>
        <w:t>17</w:t>
      </w:r>
      <w:r w:rsidRPr="00C821A9">
        <w:fldChar w:fldCharType="end"/>
      </w:r>
      <w:r w:rsidRPr="00C821A9">
        <w:t>.  On 27 February 2009 the applicant sent an answer to the MFA, pointing out in particular that the audit team had generalised some particular situations where errors had been made, and that she had been made responsible for the conduct of the diplomats who had preceded her and those who had replaced her during her absence. She also found it regrettable that she had not been invited to talk to the inspectors while the audit team had been in Ljubljana.</w:t>
      </w:r>
    </w:p>
    <w:p w:rsidRPr="00C821A9" w:rsidR="00EC4EEA" w:rsidP="00EC4EEA" w14:paraId="204CF894" w14:textId="77777777">
      <w:pPr>
        <w:pStyle w:val="JuHA"/>
      </w:pPr>
      <w:r w:rsidRPr="00C821A9">
        <w:t>The second pregnancy</w:t>
      </w:r>
    </w:p>
    <w:p w:rsidRPr="00C821A9" w:rsidR="00EC4EEA" w:rsidP="00EC4EEA" w14:paraId="43E90561" w14:textId="77777777">
      <w:pPr>
        <w:pStyle w:val="JuPara"/>
      </w:pPr>
      <w:r w:rsidRPr="00C821A9">
        <w:fldChar w:fldCharType="begin"/>
      </w:r>
      <w:r w:rsidRPr="00C821A9">
        <w:instrText xml:space="preserve"> SEQ level0 \*arabic </w:instrText>
      </w:r>
      <w:r w:rsidRPr="00C821A9">
        <w:fldChar w:fldCharType="separate"/>
      </w:r>
      <w:r w:rsidRPr="00C821A9">
        <w:rPr>
          <w:noProof/>
        </w:rPr>
        <w:t>18</w:t>
      </w:r>
      <w:r w:rsidRPr="00C821A9">
        <w:fldChar w:fldCharType="end"/>
      </w:r>
      <w:r w:rsidRPr="00C821A9">
        <w:t>.  The applicant returned to work on 5 December 2008. The ambassador considered that, as the applicant had worked very little that year, it would be more appropriate to postpone her annual work performance evaluation by six months. On 14 January 2009 the ambassador informed the MFA of that decision.</w:t>
      </w:r>
    </w:p>
    <w:bookmarkStart w:name="announcement_P2" w:id="11"/>
    <w:p w:rsidRPr="00C821A9" w:rsidR="00EC4EEA" w:rsidP="00EC4EEA" w14:paraId="5D803C3E" w14:textId="77777777">
      <w:pPr>
        <w:pStyle w:val="JuPara"/>
      </w:pPr>
      <w:r w:rsidRPr="00C821A9">
        <w:fldChar w:fldCharType="begin"/>
      </w:r>
      <w:r w:rsidRPr="00C821A9">
        <w:instrText xml:space="preserve"> SEQ level0 \*arabic </w:instrText>
      </w:r>
      <w:r w:rsidRPr="00C821A9">
        <w:fldChar w:fldCharType="separate"/>
      </w:r>
      <w:r w:rsidRPr="00C821A9">
        <w:rPr>
          <w:noProof/>
        </w:rPr>
        <w:t>19</w:t>
      </w:r>
      <w:r w:rsidRPr="00C821A9">
        <w:fldChar w:fldCharType="end"/>
      </w:r>
      <w:bookmarkEnd w:id="11"/>
      <w:r w:rsidRPr="00C821A9">
        <w:t>.  On 19 January 2009 the applicant informed the ambassador that she was pregnant and was due to give birth in the second half of July 2009.</w:t>
      </w:r>
    </w:p>
    <w:bookmarkStart w:name="appraisal" w:id="12"/>
    <w:p w:rsidRPr="00C821A9" w:rsidR="00EC4EEA" w:rsidP="00EC4EEA" w14:paraId="1B9406D8" w14:textId="77777777">
      <w:pPr>
        <w:pStyle w:val="JuPara"/>
      </w:pPr>
      <w:r w:rsidRPr="00C821A9">
        <w:fldChar w:fldCharType="begin"/>
      </w:r>
      <w:r w:rsidRPr="00C821A9">
        <w:instrText xml:space="preserve"> SEQ level0 \*arabic </w:instrText>
      </w:r>
      <w:r w:rsidRPr="00C821A9">
        <w:fldChar w:fldCharType="separate"/>
      </w:r>
      <w:r w:rsidRPr="00C821A9">
        <w:rPr>
          <w:noProof/>
        </w:rPr>
        <w:t>20</w:t>
      </w:r>
      <w:r w:rsidRPr="00C821A9">
        <w:fldChar w:fldCharType="end"/>
      </w:r>
      <w:bookmarkEnd w:id="12"/>
      <w:r w:rsidRPr="00C821A9">
        <w:t>.  On the same day the ambassador concluded the applicant’s annual performance evaluation for 2008. The overall assessment read as follows:</w:t>
      </w:r>
    </w:p>
    <w:p w:rsidRPr="00C821A9" w:rsidR="00EC4EEA" w:rsidP="00EC4EEA" w14:paraId="18D74AA9" w14:textId="77777777">
      <w:pPr>
        <w:pStyle w:val="JuQuot"/>
      </w:pPr>
      <w:r w:rsidRPr="00C821A9">
        <w:t xml:space="preserve">“Although the overall assessment is that ‘the performance met the job requirements’, in Mrs Oana </w:t>
      </w:r>
      <w:r w:rsidRPr="00C821A9">
        <w:t>Napotnik’s</w:t>
      </w:r>
      <w:r w:rsidRPr="00C821A9">
        <w:t xml:space="preserve"> case, bearing in mind the short period of time which she spent working in 2008, because of her maternity leave and because of frequent absences due to medical appointments from February to June, these circumstances mean that she is not best suited for consular activity, which has a </w:t>
      </w:r>
      <w:r w:rsidRPr="00C821A9">
        <w:t xml:space="preserve">certain specificity, particularly since Mrs </w:t>
      </w:r>
      <w:r w:rsidRPr="00C821A9">
        <w:t>Napotnik</w:t>
      </w:r>
      <w:r w:rsidRPr="00C821A9">
        <w:t xml:space="preserve"> is the head of the consular section.”</w:t>
      </w:r>
    </w:p>
    <w:bookmarkStart w:name="report_ambas_second_pregnancy_A" w:id="13"/>
    <w:p w:rsidRPr="00C821A9" w:rsidR="00EC4EEA" w:rsidP="00EC4EEA" w14:paraId="16580618" w14:textId="77777777">
      <w:pPr>
        <w:pStyle w:val="JuPara"/>
      </w:pPr>
      <w:r w:rsidRPr="00C821A9">
        <w:fldChar w:fldCharType="begin"/>
      </w:r>
      <w:r w:rsidRPr="00C821A9">
        <w:instrText xml:space="preserve"> SEQ level0 \*arabic </w:instrText>
      </w:r>
      <w:r w:rsidRPr="00C821A9">
        <w:fldChar w:fldCharType="separate"/>
      </w:r>
      <w:r w:rsidRPr="00C821A9">
        <w:rPr>
          <w:noProof/>
        </w:rPr>
        <w:t>21</w:t>
      </w:r>
      <w:r w:rsidRPr="00C821A9">
        <w:fldChar w:fldCharType="end"/>
      </w:r>
      <w:bookmarkEnd w:id="13"/>
      <w:r w:rsidRPr="00C821A9">
        <w:t>.  The applicant was informed of this report on 23 January 2009. She disagreed with the assessment.</w:t>
      </w:r>
    </w:p>
    <w:p w:rsidRPr="00C821A9" w:rsidR="00EC4EEA" w:rsidP="00EC4EEA" w14:paraId="49EE923F" w14:textId="77777777">
      <w:pPr>
        <w:pStyle w:val="JuHA"/>
      </w:pPr>
      <w:r w:rsidRPr="00C821A9">
        <w:t>Termination of the applicant’s posting</w:t>
      </w:r>
    </w:p>
    <w:bookmarkStart w:name="report_ambas_second_pregnancy" w:id="14"/>
    <w:p w:rsidRPr="00C821A9" w:rsidR="00EC4EEA" w:rsidP="00EC4EEA" w14:paraId="606D5852" w14:textId="77777777">
      <w:pPr>
        <w:pStyle w:val="JuPara"/>
      </w:pPr>
      <w:r w:rsidRPr="00C821A9">
        <w:fldChar w:fldCharType="begin"/>
      </w:r>
      <w:r w:rsidRPr="00C821A9">
        <w:instrText xml:space="preserve"> SEQ level0 \*arabic </w:instrText>
      </w:r>
      <w:r w:rsidRPr="00C821A9">
        <w:fldChar w:fldCharType="separate"/>
      </w:r>
      <w:r w:rsidRPr="00C821A9">
        <w:rPr>
          <w:noProof/>
        </w:rPr>
        <w:t>22</w:t>
      </w:r>
      <w:r w:rsidRPr="00C821A9">
        <w:fldChar w:fldCharType="end"/>
      </w:r>
      <w:bookmarkEnd w:id="14"/>
      <w:r w:rsidRPr="00C821A9">
        <w:t xml:space="preserve">.  On 20 January 2009 the ambassador discussed the applicant’s situation with his superiors. In an internal note for the attention of the Minister for Foreign Affairs, the ambassador reiterated that the applicant had been repeatedly absent, owing to her first pregnancy, and it was to be expected that she would be absent again in connection with the new pregnancy. It was concluded that she was of little use to the diplomatic mission in Ljubljana. She created additional costs for the MFA because of the need to replace her on a temporary basis (notably costs </w:t>
      </w:r>
      <w:r w:rsidRPr="00C821A9">
        <w:t>with regard to</w:t>
      </w:r>
      <w:r w:rsidRPr="00C821A9">
        <w:t xml:space="preserve"> lodging the replacement diplomat in Ljubljana). The note also reiterated that the audit team had found “deficiencies in the applicant’s consular activity”. It was proposed that the applicant’s posting be terminated.</w:t>
      </w:r>
    </w:p>
    <w:bookmarkStart w:name="report_add_ambas_second_pregnancy" w:id="15"/>
    <w:p w:rsidRPr="00C821A9" w:rsidR="00EC4EEA" w:rsidP="00EC4EEA" w14:paraId="5DE22F08" w14:textId="77777777">
      <w:pPr>
        <w:pStyle w:val="JuPara"/>
      </w:pPr>
      <w:r w:rsidRPr="00C821A9">
        <w:fldChar w:fldCharType="begin"/>
      </w:r>
      <w:r w:rsidRPr="00C821A9">
        <w:instrText xml:space="preserve"> SEQ level0 \*arabic </w:instrText>
      </w:r>
      <w:r w:rsidRPr="00C821A9">
        <w:fldChar w:fldCharType="separate"/>
      </w:r>
      <w:r w:rsidRPr="00C821A9">
        <w:rPr>
          <w:noProof/>
        </w:rPr>
        <w:t>23</w:t>
      </w:r>
      <w:r w:rsidRPr="00C821A9">
        <w:fldChar w:fldCharType="end"/>
      </w:r>
      <w:bookmarkEnd w:id="15"/>
      <w:r w:rsidRPr="00C821A9">
        <w:t>.  In a separate communication sent to the MFA on 20 January 2009, the ambassador reiterated that the applicant’s prolonged and repeated absences due to her pregnancies had meant that she was of little use to the diplomatic mission in Ljubljana. The ambassador added that she represented an additional security risk because of her marriage to a Slovenian national: the applicant’s husband drove the applicant’s car, which was registered with diplomatic plates.</w:t>
      </w:r>
    </w:p>
    <w:bookmarkStart w:name="MinOrder_20_Jan_2009" w:id="16"/>
    <w:p w:rsidRPr="00C821A9" w:rsidR="00EC4EEA" w:rsidP="00EC4EEA" w14:paraId="49333FAA" w14:textId="77777777">
      <w:pPr>
        <w:pStyle w:val="JuPara"/>
      </w:pPr>
      <w:r w:rsidRPr="00C821A9">
        <w:fldChar w:fldCharType="begin"/>
      </w:r>
      <w:r w:rsidRPr="00C821A9">
        <w:instrText xml:space="preserve"> SEQ level0 \*arabic </w:instrText>
      </w:r>
      <w:r w:rsidRPr="00C821A9">
        <w:fldChar w:fldCharType="separate"/>
      </w:r>
      <w:r w:rsidRPr="00C821A9">
        <w:rPr>
          <w:noProof/>
        </w:rPr>
        <w:t>24</w:t>
      </w:r>
      <w:r w:rsidRPr="00C821A9">
        <w:fldChar w:fldCharType="end"/>
      </w:r>
      <w:bookmarkEnd w:id="16"/>
      <w:r w:rsidRPr="00C821A9">
        <w:t xml:space="preserve">.  By a ministerial order of 20 January 2009, the applicant’s posting to Ljubljana was terminated. The next day the embassy in Ljubljana was given notice of the order. The applicant was informed that her mission had been terminated and that she was expected to return to the Bucharest office on 14 February 2009. She immediately requested parental leave (see Article 27 of Law no. 269/2003, quoted in paragraph </w:t>
      </w:r>
      <w:r w:rsidRPr="00C821A9">
        <w:fldChar w:fldCharType="begin"/>
      </w:r>
      <w:r w:rsidRPr="00C821A9">
        <w:instrText xml:space="preserve"> REF L269 \h  \* MERGEFORMAT </w:instrText>
      </w:r>
      <w:r w:rsidRPr="00C821A9">
        <w:fldChar w:fldCharType="separate"/>
      </w:r>
      <w:r w:rsidRPr="00C821A9">
        <w:t>33</w:t>
      </w:r>
      <w:r w:rsidRPr="00C821A9">
        <w:fldChar w:fldCharType="end"/>
      </w:r>
      <w:r w:rsidRPr="00C821A9">
        <w:t xml:space="preserve"> below).</w:t>
      </w:r>
    </w:p>
    <w:p w:rsidRPr="00C821A9" w:rsidR="00EC4EEA" w:rsidP="00EC4EEA" w14:paraId="4E1E3CF7" w14:textId="77777777">
      <w:pPr>
        <w:pStyle w:val="JuPara"/>
      </w:pPr>
      <w:r w:rsidRPr="00C821A9">
        <w:fldChar w:fldCharType="begin"/>
      </w:r>
      <w:r w:rsidRPr="00C821A9">
        <w:instrText xml:space="preserve"> SEQ level0 \*arabic </w:instrText>
      </w:r>
      <w:r w:rsidRPr="00C821A9">
        <w:fldChar w:fldCharType="separate"/>
      </w:r>
      <w:r w:rsidRPr="00C821A9">
        <w:rPr>
          <w:noProof/>
        </w:rPr>
        <w:t>25</w:t>
      </w:r>
      <w:r w:rsidRPr="00C821A9">
        <w:fldChar w:fldCharType="end"/>
      </w:r>
      <w:r w:rsidRPr="00C821A9">
        <w:t>.  At the applicant’s request, her contract of employment was suspended by orders of the Minister for Foreign Affairs, firstly in respect of her parental leave (from 14 February 2009 to 15 May 2010 for the first child, and from 15 May 2010 to 22 July 2011 for the second child), and then in order to allow her to accompany her husband on his permanent diplomatic posting abroad (lasting four years, starting from 22 July 2011). She was not paid a salary by her employer while her contract was suspended.</w:t>
      </w:r>
    </w:p>
    <w:bookmarkStart w:name="para_25" w:id="17"/>
    <w:p w:rsidRPr="00C821A9" w:rsidR="00EC4EEA" w:rsidP="00EC4EEA" w14:paraId="7915B242" w14:textId="77777777">
      <w:pPr>
        <w:pStyle w:val="JuPara"/>
      </w:pPr>
      <w:r w:rsidRPr="00C821A9">
        <w:fldChar w:fldCharType="begin"/>
      </w:r>
      <w:r w:rsidRPr="00C821A9">
        <w:instrText xml:space="preserve"> SEQ level0 \*arabic </w:instrText>
      </w:r>
      <w:r w:rsidRPr="00C821A9">
        <w:fldChar w:fldCharType="separate"/>
      </w:r>
      <w:r w:rsidRPr="00C821A9">
        <w:rPr>
          <w:noProof/>
        </w:rPr>
        <w:t>26</w:t>
      </w:r>
      <w:r w:rsidRPr="00C821A9">
        <w:fldChar w:fldCharType="end"/>
      </w:r>
      <w:bookmarkEnd w:id="17"/>
      <w:r w:rsidRPr="00C821A9">
        <w:t>.  On 1 September 2015 the applicant resumed her work at the MFA. On 20 September 2016 she was promoted to first secretary. On the date of the last information received from the parties in this regard (the Government’s observations of 14 June 2019) she was still working for the MFA, in Bucharest.</w:t>
      </w:r>
    </w:p>
    <w:p w:rsidRPr="00C821A9" w:rsidR="00EC4EEA" w:rsidP="00EC4EEA" w14:paraId="506488B5" w14:textId="77777777">
      <w:pPr>
        <w:pStyle w:val="JuHIRoman"/>
      </w:pPr>
      <w:r w:rsidRPr="00C821A9">
        <w:t>Civil action against tHE termination of the APPLICANT’S diplomatic posting in Slovenia</w:t>
      </w:r>
    </w:p>
    <w:p w:rsidRPr="00C821A9" w:rsidR="00EC4EEA" w:rsidP="00EC4EEA" w14:paraId="3BDD75F9" w14:textId="77777777">
      <w:pPr>
        <w:pStyle w:val="JuPara"/>
      </w:pPr>
      <w:r w:rsidRPr="00C821A9">
        <w:fldChar w:fldCharType="begin"/>
      </w:r>
      <w:r w:rsidRPr="00C821A9">
        <w:instrText xml:space="preserve"> SEQ level0 \*arabic </w:instrText>
      </w:r>
      <w:r w:rsidRPr="00C821A9">
        <w:fldChar w:fldCharType="separate"/>
      </w:r>
      <w:r w:rsidRPr="00C821A9">
        <w:rPr>
          <w:noProof/>
        </w:rPr>
        <w:t>27</w:t>
      </w:r>
      <w:r w:rsidRPr="00C821A9">
        <w:fldChar w:fldCharType="end"/>
      </w:r>
      <w:r w:rsidRPr="00C821A9">
        <w:t>.  On 28 September 2009 the applicant lodged a civil action against the MFA concerning the termination of her posting abroad. She complained mainly that the reason for the act in question had been her pregnancy. In her view, that reason was discriminatory and thus unlawful.</w:t>
      </w:r>
    </w:p>
    <w:bookmarkStart w:name="dec1" w:id="18"/>
    <w:p w:rsidRPr="00C821A9" w:rsidR="00EC4EEA" w:rsidP="00EC4EEA" w14:paraId="3A03B2B7" w14:textId="77777777">
      <w:pPr>
        <w:pStyle w:val="JuPara"/>
      </w:pPr>
      <w:r w:rsidRPr="00C821A9">
        <w:fldChar w:fldCharType="begin"/>
      </w:r>
      <w:r w:rsidRPr="00C821A9">
        <w:instrText xml:space="preserve"> SEQ level0 \*arabic </w:instrText>
      </w:r>
      <w:r w:rsidRPr="00C821A9">
        <w:fldChar w:fldCharType="separate"/>
      </w:r>
      <w:r w:rsidRPr="00C821A9">
        <w:rPr>
          <w:noProof/>
        </w:rPr>
        <w:t>28</w:t>
      </w:r>
      <w:r w:rsidRPr="00C821A9">
        <w:fldChar w:fldCharType="end"/>
      </w:r>
      <w:bookmarkEnd w:id="18"/>
      <w:r w:rsidRPr="00C821A9">
        <w:t>.  On 21 March 2012 the Bucharest County Court dismissed the action. It reiterated that the Minister for Foreign Affairs had the discretion to organise foreign representation and terminate postings abroad whenever necessary, on serious grounds. The court concluded that the applicant’s posting had not been terminated on discriminatory grounds. The relevant parts of its findings read as follows:</w:t>
      </w:r>
    </w:p>
    <w:p w:rsidRPr="00C821A9" w:rsidR="00EC4EEA" w:rsidP="00EC4EEA" w14:paraId="3AEBE77B" w14:textId="77777777">
      <w:pPr>
        <w:pStyle w:val="JuQuot"/>
      </w:pPr>
      <w:r w:rsidRPr="00C821A9">
        <w:t>“The court considers that the termination [of the applicant’s posting was] allowed in the specific sphere of diplomatic activity and [did] not constitute a disciplinary measure ... it is within the discretion of [the MFA] to decide, in order to ensure the renewal [of the diplomatic corps], when to begin a diplomat’s new posting and when to terminate [the postings] of others, in order to ensure and maintain the functional capacity of diplomatic missions.</w:t>
      </w:r>
    </w:p>
    <w:p w:rsidRPr="00C821A9" w:rsidR="00EC4EEA" w:rsidP="00EC4EEA" w14:paraId="071C1ABA" w14:textId="77777777">
      <w:pPr>
        <w:pStyle w:val="JuQuot"/>
      </w:pPr>
      <w:r w:rsidRPr="00C821A9">
        <w:t>...</w:t>
      </w:r>
    </w:p>
    <w:p w:rsidRPr="00C821A9" w:rsidR="00EC4EEA" w:rsidP="00EC4EEA" w14:paraId="5C39F828" w14:textId="77777777">
      <w:pPr>
        <w:pStyle w:val="JuQuot"/>
      </w:pPr>
      <w:r w:rsidRPr="00C821A9">
        <w:t>In so far as discrimination is concerned, the court notes that decisions to terminate a posting are taken by [the MFA] with regard to all diplomats, irrespective of their sex; when [the applicant] argues that her posting should not have been terminated on these grounds, [she] is using her pregnancy in order to obtain preferential treatment.”</w:t>
      </w:r>
    </w:p>
    <w:p w:rsidRPr="00C821A9" w:rsidR="00EC4EEA" w:rsidP="00EC4EEA" w14:paraId="36F20547" w14:textId="77777777">
      <w:pPr>
        <w:pStyle w:val="JuPara"/>
      </w:pPr>
      <w:r w:rsidRPr="00C821A9">
        <w:fldChar w:fldCharType="begin"/>
      </w:r>
      <w:r w:rsidRPr="00C821A9">
        <w:instrText xml:space="preserve"> SEQ level0 \*arabic </w:instrText>
      </w:r>
      <w:r w:rsidRPr="00C821A9">
        <w:fldChar w:fldCharType="separate"/>
      </w:r>
      <w:r w:rsidRPr="00C821A9">
        <w:rPr>
          <w:noProof/>
        </w:rPr>
        <w:t>29</w:t>
      </w:r>
      <w:r w:rsidRPr="00C821A9">
        <w:fldChar w:fldCharType="end"/>
      </w:r>
      <w:r w:rsidRPr="00C821A9">
        <w:t>.  The applicant lodged an appeal with the Bucharest Court of Appeal. She maintained her arguments that her diplomatic posting had been terminated on discriminatory grounds related to her pregnancy.</w:t>
      </w:r>
    </w:p>
    <w:bookmarkStart w:name="dec2" w:id="19"/>
    <w:p w:rsidRPr="00C821A9" w:rsidR="00EC4EEA" w:rsidP="00EC4EEA" w14:paraId="7DC13A19" w14:textId="77777777">
      <w:pPr>
        <w:pStyle w:val="JuPara"/>
      </w:pPr>
      <w:r w:rsidRPr="00C821A9">
        <w:fldChar w:fldCharType="begin"/>
      </w:r>
      <w:r w:rsidRPr="00C821A9">
        <w:instrText xml:space="preserve"> SEQ level0 \*arabic </w:instrText>
      </w:r>
      <w:r w:rsidRPr="00C821A9">
        <w:fldChar w:fldCharType="separate"/>
      </w:r>
      <w:r w:rsidRPr="00C821A9">
        <w:rPr>
          <w:noProof/>
        </w:rPr>
        <w:t>30</w:t>
      </w:r>
      <w:r w:rsidRPr="00C821A9">
        <w:fldChar w:fldCharType="end"/>
      </w:r>
      <w:bookmarkEnd w:id="19"/>
      <w:r w:rsidRPr="00C821A9">
        <w:t xml:space="preserve">.  In a final decision of 8 November 2012, the Court of Appeal dismissed the appeal and upheld the decision rendered by the County Court on 21 March 2012 (see paragraph </w:t>
      </w:r>
      <w:r w:rsidRPr="00C821A9">
        <w:fldChar w:fldCharType="begin"/>
      </w:r>
      <w:r w:rsidRPr="00C821A9">
        <w:instrText xml:space="preserve"> REF dec1 \h  \* MERGEFORMAT </w:instrText>
      </w:r>
      <w:r w:rsidRPr="00C821A9">
        <w:fldChar w:fldCharType="separate"/>
      </w:r>
      <w:r w:rsidRPr="00C821A9">
        <w:rPr>
          <w:noProof/>
        </w:rPr>
        <w:t>28</w:t>
      </w:r>
      <w:r w:rsidRPr="00C821A9">
        <w:fldChar w:fldCharType="end"/>
      </w:r>
      <w:r w:rsidRPr="00C821A9">
        <w:t xml:space="preserve"> above). In addition, it found as follows:</w:t>
      </w:r>
    </w:p>
    <w:p w:rsidRPr="00C821A9" w:rsidR="00EC4EEA" w:rsidP="00EC4EEA" w14:paraId="78DED1F5" w14:textId="77777777">
      <w:pPr>
        <w:pStyle w:val="JuQuot"/>
      </w:pPr>
      <w:r w:rsidRPr="00C821A9">
        <w:t>“The Labour Code does not limit an employer’s right to organise the activity of its pregnant employees, the sole prohibition being that their contract of employment may not be terminated ...</w:t>
      </w:r>
    </w:p>
    <w:p w:rsidRPr="00C821A9" w:rsidR="00EC4EEA" w:rsidP="00EC4EEA" w14:paraId="17298E08" w14:textId="77777777">
      <w:pPr>
        <w:pStyle w:val="JuQuot"/>
      </w:pPr>
      <w:r w:rsidRPr="00C821A9">
        <w:t>... [the applicant] did not prove that she had been discriminated against by [the MFA], as the decisions to terminate her posting had been taken by the MFA lawfully and within the scope of its discretion, with a view to ensuring the functioning of the MFA; such a measure can be taken in respect of all employees of the MFA, irrespective of sex or pregnancy.”</w:t>
      </w:r>
    </w:p>
    <w:p w:rsidRPr="00C821A9" w:rsidR="00EC4EEA" w:rsidP="00EC4EEA" w14:paraId="303A7D48" w14:textId="77777777">
      <w:pPr>
        <w:pStyle w:val="JuHHead"/>
      </w:pPr>
      <w:r w:rsidRPr="00C821A9">
        <w:t>RELEVANT LEGAL FRAMEWORK AND PRACTICE</w:t>
      </w:r>
    </w:p>
    <w:p w:rsidRPr="00C821A9" w:rsidR="00EC4EEA" w:rsidP="00EC4EEA" w14:paraId="4EE50BB9" w14:textId="77777777">
      <w:pPr>
        <w:pStyle w:val="JuHIRoman"/>
      </w:pPr>
      <w:r w:rsidRPr="00C821A9">
        <w:t>DOMESTIC LAW</w:t>
      </w:r>
    </w:p>
    <w:bookmarkStart w:name="L202" w:id="20"/>
    <w:p w:rsidRPr="00C821A9" w:rsidR="00EC4EEA" w:rsidP="00EC4EEA" w14:paraId="43FF8682" w14:textId="77777777">
      <w:pPr>
        <w:pStyle w:val="JuPara"/>
      </w:pPr>
      <w:r w:rsidRPr="00C821A9">
        <w:fldChar w:fldCharType="begin"/>
      </w:r>
      <w:r w:rsidRPr="00C821A9">
        <w:instrText xml:space="preserve"> SEQ level0 \*arabic </w:instrText>
      </w:r>
      <w:r w:rsidRPr="00C821A9">
        <w:fldChar w:fldCharType="separate"/>
      </w:r>
      <w:r w:rsidRPr="00C821A9">
        <w:rPr>
          <w:noProof/>
        </w:rPr>
        <w:t>31</w:t>
      </w:r>
      <w:r w:rsidRPr="00C821A9">
        <w:fldChar w:fldCharType="end"/>
      </w:r>
      <w:bookmarkEnd w:id="20"/>
      <w:r w:rsidRPr="00C821A9">
        <w:t>.  The relevant provisions of the Equal Opportunity Act (Law no. 202/2002) read as follows:</w:t>
      </w:r>
    </w:p>
    <w:p w:rsidRPr="00C821A9" w:rsidR="00EC4EEA" w:rsidP="00EC4EEA" w14:paraId="3CD7FBF3" w14:textId="77777777">
      <w:pPr>
        <w:pStyle w:val="JuHArticle"/>
      </w:pPr>
      <w:r w:rsidRPr="00C821A9">
        <w:t>Article 6</w:t>
      </w:r>
    </w:p>
    <w:p w:rsidRPr="00C821A9" w:rsidR="00EC4EEA" w:rsidP="00EC4EEA" w14:paraId="44E96122" w14:textId="77777777">
      <w:pPr>
        <w:pStyle w:val="JuQuot"/>
      </w:pPr>
      <w:r w:rsidRPr="00C821A9">
        <w:rPr>
          <w:bCs/>
        </w:rPr>
        <w:t>“(5</w:t>
      </w:r>
      <w:r w:rsidRPr="00C821A9">
        <w:rPr>
          <w:bCs/>
        </w:rPr>
        <w:t>)</w:t>
      </w:r>
      <w:r w:rsidRPr="00C821A9">
        <w:t>  The</w:t>
      </w:r>
      <w:r w:rsidRPr="00C821A9">
        <w:t xml:space="preserve"> following actions do not constitute discrimination:</w:t>
      </w:r>
    </w:p>
    <w:p w:rsidRPr="00C821A9" w:rsidR="00EC4EEA" w:rsidP="00EC4EEA" w14:paraId="4840369C" w14:textId="77777777">
      <w:pPr>
        <w:pStyle w:val="JuQuot"/>
      </w:pPr>
      <w:r w:rsidRPr="00C821A9">
        <w:rPr>
          <w:bCs/>
        </w:rPr>
        <w:t xml:space="preserve">(a)  special measures provided for by law for the protection of maternity, birth, the postnatal period, breastfeeding and </w:t>
      </w:r>
      <w:r w:rsidRPr="00C821A9">
        <w:rPr>
          <w:bCs/>
        </w:rPr>
        <w:t>child-rearing;</w:t>
      </w:r>
    </w:p>
    <w:p w:rsidRPr="00C821A9" w:rsidR="00EC4EEA" w:rsidP="00EC4EEA" w14:paraId="627BCFAB" w14:textId="77777777">
      <w:pPr>
        <w:pStyle w:val="JuQuot"/>
        <w:rPr>
          <w:bCs/>
        </w:rPr>
      </w:pPr>
      <w:r w:rsidRPr="00C821A9">
        <w:rPr>
          <w:bCs/>
        </w:rPr>
        <w:t xml:space="preserve">(b)  positive actions for the protection of certain categories of women or </w:t>
      </w:r>
      <w:r w:rsidRPr="00C821A9">
        <w:rPr>
          <w:bCs/>
        </w:rPr>
        <w:t>men;</w:t>
      </w:r>
    </w:p>
    <w:p w:rsidRPr="00C821A9" w:rsidR="00EC4EEA" w:rsidP="00EC4EEA" w14:paraId="42DABA86" w14:textId="77777777">
      <w:pPr>
        <w:pStyle w:val="JuQuot"/>
      </w:pPr>
      <w:r w:rsidRPr="00C821A9">
        <w:rPr>
          <w:bCs/>
        </w:rPr>
        <w:t>...</w:t>
      </w:r>
      <w:r w:rsidRPr="00C821A9">
        <w:t>”</w:t>
      </w:r>
    </w:p>
    <w:p w:rsidRPr="00C821A9" w:rsidR="00EC4EEA" w:rsidP="00EC4EEA" w14:paraId="5C3273A1" w14:textId="77777777">
      <w:pPr>
        <w:pStyle w:val="JuHArticle"/>
      </w:pPr>
      <w:r w:rsidRPr="00C821A9">
        <w:t>Article 10</w:t>
      </w:r>
    </w:p>
    <w:p w:rsidRPr="00C821A9" w:rsidR="00EC4EEA" w:rsidP="00EC4EEA" w14:paraId="168AD63C" w14:textId="77777777">
      <w:pPr>
        <w:pStyle w:val="JuQuot"/>
      </w:pPr>
      <w:r w:rsidRPr="00C821A9">
        <w:t>“(1</w:t>
      </w:r>
      <w:r w:rsidRPr="00C821A9">
        <w:t>)  Maternity</w:t>
      </w:r>
      <w:r w:rsidRPr="00C821A9">
        <w:t xml:space="preserve"> cannot constitute grounds for discrimination.</w:t>
      </w:r>
    </w:p>
    <w:p w:rsidRPr="00C821A9" w:rsidR="00EC4EEA" w:rsidP="00EC4EEA" w14:paraId="6749811A" w14:textId="77777777">
      <w:pPr>
        <w:pStyle w:val="JuQuot"/>
      </w:pPr>
      <w:r w:rsidRPr="00C821A9">
        <w:t>(2)  Any less favourable treatment of a woman in connection with pregnancy or maternity leave constitutes discrimination under the present law.”</w:t>
      </w:r>
    </w:p>
    <w:bookmarkStart w:name="O96" w:id="21"/>
    <w:p w:rsidRPr="00C821A9" w:rsidR="00EC4EEA" w:rsidP="00EC4EEA" w14:paraId="09EAC353" w14:textId="77777777">
      <w:pPr>
        <w:pStyle w:val="JuPara"/>
      </w:pPr>
      <w:r w:rsidRPr="00C821A9">
        <w:rPr>
          <w:lang w:val="fr-FR"/>
        </w:rPr>
        <w:fldChar w:fldCharType="begin"/>
      </w:r>
      <w:r w:rsidRPr="00C821A9">
        <w:instrText xml:space="preserve"> SEQ level0 \*arabic </w:instrText>
      </w:r>
      <w:r w:rsidRPr="00C821A9">
        <w:rPr>
          <w:lang w:val="fr-FR"/>
        </w:rPr>
        <w:fldChar w:fldCharType="separate"/>
      </w:r>
      <w:r w:rsidRPr="00C821A9">
        <w:rPr>
          <w:noProof/>
        </w:rPr>
        <w:t>32</w:t>
      </w:r>
      <w:r w:rsidRPr="00C821A9">
        <w:rPr>
          <w:lang w:val="fr-FR"/>
        </w:rPr>
        <w:fldChar w:fldCharType="end"/>
      </w:r>
      <w:bookmarkEnd w:id="21"/>
      <w:r w:rsidRPr="00C821A9">
        <w:t>.  The relevant provisions of Government Emergency Ordinance no. 96/2003 on the protection of maternity in the workplace read as follows:</w:t>
      </w:r>
    </w:p>
    <w:p w:rsidRPr="00C821A9" w:rsidR="00EC4EEA" w:rsidP="00EC4EEA" w14:paraId="0E540AD1" w14:textId="77777777">
      <w:pPr>
        <w:pStyle w:val="JuHArticle"/>
      </w:pPr>
      <w:r w:rsidRPr="00C821A9">
        <w:t>Article 2</w:t>
      </w:r>
    </w:p>
    <w:p w:rsidRPr="00C821A9" w:rsidR="00EC4EEA" w:rsidP="00EC4EEA" w14:paraId="492FA83A" w14:textId="77777777">
      <w:pPr>
        <w:pStyle w:val="JuQuot"/>
      </w:pPr>
      <w:r w:rsidRPr="00C821A9">
        <w:t>“...</w:t>
      </w:r>
    </w:p>
    <w:p w:rsidRPr="00C821A9" w:rsidR="00EC4EEA" w:rsidP="00EC4EEA" w14:paraId="44558AAB" w14:textId="77777777">
      <w:pPr>
        <w:pStyle w:val="JuQuot"/>
      </w:pPr>
      <w:r w:rsidRPr="00C821A9">
        <w:t>(g)  the duration of mandatory postnatal leave is 42 days, which the worker must take after giving birth; it is included in maternity leave, which has an overall duration of 126 days for all pregnant workers, in accordance with the law; ...”</w:t>
      </w:r>
    </w:p>
    <w:p w:rsidRPr="00C821A9" w:rsidR="00EC4EEA" w:rsidP="00EC4EEA" w14:paraId="20B5948B" w14:textId="77777777">
      <w:pPr>
        <w:pStyle w:val="JuHArticle"/>
      </w:pPr>
      <w:r w:rsidRPr="00C821A9">
        <w:t>Article 21</w:t>
      </w:r>
    </w:p>
    <w:p w:rsidRPr="00C821A9" w:rsidR="00EC4EEA" w:rsidP="00EC4EEA" w14:paraId="71106AD7" w14:textId="77777777">
      <w:pPr>
        <w:pStyle w:val="JuQuot"/>
      </w:pPr>
      <w:r w:rsidRPr="00C821A9">
        <w:t>“(1</w:t>
      </w:r>
      <w:r w:rsidRPr="00C821A9">
        <w:t>)  An</w:t>
      </w:r>
      <w:r w:rsidRPr="00C821A9">
        <w:t xml:space="preserve"> employer shall not terminate a contract of employment in the following cases:</w:t>
      </w:r>
    </w:p>
    <w:p w:rsidRPr="00C821A9" w:rsidR="00EC4EEA" w:rsidP="00EC4EEA" w14:paraId="1DDFABD9" w14:textId="77777777">
      <w:pPr>
        <w:pStyle w:val="JuQuot"/>
      </w:pPr>
      <w:r w:rsidRPr="00C821A9">
        <w:t>(a)  [</w:t>
      </w:r>
      <w:r w:rsidRPr="00C821A9">
        <w:t xml:space="preserve">in the case] of </w:t>
      </w:r>
      <w:r w:rsidRPr="00C821A9">
        <w:rPr>
          <w:bCs/>
        </w:rPr>
        <w:t>a</w:t>
      </w:r>
      <w:r w:rsidRPr="00C821A9">
        <w:t xml:space="preserve"> [pregnant worker], for reasons directly connected to her condition;</w:t>
      </w:r>
    </w:p>
    <w:p w:rsidRPr="00C821A9" w:rsidR="00EC4EEA" w:rsidP="00EC4EEA" w14:paraId="28D0737C" w14:textId="77777777">
      <w:pPr>
        <w:pStyle w:val="JuQuot"/>
      </w:pPr>
      <w:r w:rsidRPr="00C821A9">
        <w:t>(b)  [</w:t>
      </w:r>
      <w:r w:rsidRPr="00C821A9">
        <w:t>in the case] of a worker who is on leave owing to risks connected to maternity;</w:t>
      </w:r>
    </w:p>
    <w:p w:rsidRPr="00C821A9" w:rsidR="00EC4EEA" w:rsidP="00EC4EEA" w14:paraId="5FEB12BE" w14:textId="77777777">
      <w:pPr>
        <w:pStyle w:val="JuQuot"/>
      </w:pPr>
      <w:r w:rsidRPr="00C821A9">
        <w:t>(c)  [</w:t>
      </w:r>
      <w:r w:rsidRPr="00C821A9">
        <w:t>in the case] of a worker who is on maternity leave;</w:t>
      </w:r>
    </w:p>
    <w:p w:rsidRPr="00C821A9" w:rsidR="00EC4EEA" w:rsidP="00EC4EEA" w14:paraId="583AF3CA" w14:textId="77777777">
      <w:pPr>
        <w:pStyle w:val="JuQuot"/>
      </w:pPr>
      <w:r w:rsidRPr="00C821A9">
        <w:t>...”</w:t>
      </w:r>
    </w:p>
    <w:bookmarkStart w:name="L269" w:id="22"/>
    <w:p w:rsidRPr="00C821A9" w:rsidR="00EC4EEA" w:rsidP="00EC4EEA" w14:paraId="68A77462" w14:textId="77777777">
      <w:pPr>
        <w:pStyle w:val="JuPara"/>
      </w:pPr>
      <w:r w:rsidRPr="00C821A9">
        <w:rPr>
          <w:lang w:val="fr-FR"/>
        </w:rPr>
        <w:fldChar w:fldCharType="begin"/>
      </w:r>
      <w:r w:rsidRPr="00C821A9">
        <w:instrText xml:space="preserve"> SEQ level0 \*arabic </w:instrText>
      </w:r>
      <w:r w:rsidRPr="00C821A9">
        <w:rPr>
          <w:lang w:val="fr-FR"/>
        </w:rPr>
        <w:fldChar w:fldCharType="separate"/>
      </w:r>
      <w:r w:rsidRPr="00C821A9">
        <w:rPr>
          <w:noProof/>
        </w:rPr>
        <w:t>33</w:t>
      </w:r>
      <w:r w:rsidRPr="00C821A9">
        <w:rPr>
          <w:lang w:val="fr-FR"/>
        </w:rPr>
        <w:fldChar w:fldCharType="end"/>
      </w:r>
      <w:bookmarkEnd w:id="22"/>
      <w:r w:rsidRPr="00C821A9">
        <w:t>.  At the time of the facts of the present case, the relevant provisions of Law no. 269/2003 on the Statute of the Diplomatic and Consular Corps (“Law no. 269/2003”) read as follows:</w:t>
      </w:r>
    </w:p>
    <w:p w:rsidRPr="00C821A9" w:rsidR="00EC4EEA" w:rsidP="00EC4EEA" w14:paraId="7B28B1EF" w14:textId="77777777">
      <w:pPr>
        <w:pStyle w:val="JuHArticle"/>
      </w:pPr>
      <w:r w:rsidRPr="00C821A9">
        <w:t>Article 3</w:t>
      </w:r>
    </w:p>
    <w:p w:rsidRPr="00C821A9" w:rsidR="00EC4EEA" w:rsidP="00EC4EEA" w14:paraId="633F11F6" w14:textId="77777777">
      <w:pPr>
        <w:pStyle w:val="JuQuot"/>
      </w:pPr>
      <w:r w:rsidRPr="00C821A9">
        <w:t>“(1</w:t>
      </w:r>
      <w:r w:rsidRPr="00C821A9">
        <w:t>)  The</w:t>
      </w:r>
      <w:r w:rsidRPr="00C821A9">
        <w:t xml:space="preserve"> general provisions of labour law and those of the Statute of Civil Servants shall complement the provisions of the Statute of the Romanian Diplomatic and Consular Corps, unless otherwise stated in the present law.</w:t>
      </w:r>
    </w:p>
    <w:p w:rsidRPr="00C821A9" w:rsidR="00EC4EEA" w:rsidP="00EC4EEA" w14:paraId="05A0F931" w14:textId="77777777">
      <w:pPr>
        <w:pStyle w:val="JuQuot"/>
      </w:pPr>
      <w:r w:rsidRPr="00C821A9">
        <w:t xml:space="preserve">(2)  While on posting[s] abroad, members of the diplomatic and consular corps shall also be subject to the provisions of the international treaties which Romania has </w:t>
      </w:r>
      <w:r w:rsidRPr="00C821A9">
        <w:t>entered into</w:t>
      </w:r>
      <w:r w:rsidRPr="00C821A9">
        <w:t>, and to other rules of international law.”</w:t>
      </w:r>
    </w:p>
    <w:p w:rsidRPr="00C821A9" w:rsidR="00EC4EEA" w:rsidP="00EC4EEA" w14:paraId="0B8472B8" w14:textId="77777777">
      <w:pPr>
        <w:pStyle w:val="JuHArticle"/>
      </w:pPr>
      <w:r w:rsidRPr="00C821A9">
        <w:t>Article 9</w:t>
      </w:r>
    </w:p>
    <w:p w:rsidRPr="00C821A9" w:rsidR="00EC4EEA" w:rsidP="00EC4EEA" w14:paraId="7331ACDF" w14:textId="77777777">
      <w:pPr>
        <w:pStyle w:val="JuQuot"/>
      </w:pPr>
      <w:r w:rsidRPr="00C821A9">
        <w:rPr>
          <w:bCs/>
        </w:rPr>
        <w:t>“(1</w:t>
      </w:r>
      <w:r w:rsidRPr="00C821A9">
        <w:rPr>
          <w:bCs/>
        </w:rPr>
        <w:t>)</w:t>
      </w:r>
      <w:r w:rsidRPr="00C821A9">
        <w:t>  Promotion</w:t>
      </w:r>
      <w:r w:rsidRPr="00C821A9">
        <w:t xml:space="preserve"> within the diplomatic and consular ranks shall be on the basis of time spent in service ..., the evaluation of professional activity, and qualifications obtained from the Diplomatic Academy or other institutes for continuous learning ...”</w:t>
      </w:r>
    </w:p>
    <w:p w:rsidRPr="00C821A9" w:rsidR="00EC4EEA" w:rsidP="00EC4EEA" w14:paraId="53C1D169" w14:textId="77777777">
      <w:pPr>
        <w:pStyle w:val="JuHArticle"/>
      </w:pPr>
      <w:r w:rsidRPr="00C821A9">
        <w:t>Article 25</w:t>
      </w:r>
    </w:p>
    <w:p w:rsidRPr="00C821A9" w:rsidR="00EC4EEA" w:rsidP="00EC4EEA" w14:paraId="4D8B8049" w14:textId="77777777">
      <w:pPr>
        <w:pStyle w:val="JuQuot"/>
      </w:pPr>
      <w:r w:rsidRPr="00C821A9">
        <w:rPr>
          <w:bCs/>
        </w:rPr>
        <w:t>“(1)</w:t>
      </w:r>
      <w:r w:rsidRPr="00C821A9">
        <w:t>  During diplomatic and consular postings abroad, members of the Romanian diplomatic and consular corps, as well as the members of their families who accompany them, shall have the benefit of medical assistance, covered by the mandatory health insurance organised by the MFA ...”</w:t>
      </w:r>
    </w:p>
    <w:p w:rsidRPr="00C821A9" w:rsidR="00EC4EEA" w:rsidP="00EC4EEA" w14:paraId="7BC553DF" w14:textId="77777777">
      <w:pPr>
        <w:pStyle w:val="JuHArticle"/>
      </w:pPr>
      <w:r w:rsidRPr="00C821A9">
        <w:t>Article 27</w:t>
      </w:r>
    </w:p>
    <w:p w:rsidRPr="00C821A9" w:rsidR="00EC4EEA" w:rsidP="00EC4EEA" w14:paraId="5C2F8CAB" w14:textId="77777777">
      <w:pPr>
        <w:pStyle w:val="JuQuot"/>
      </w:pPr>
      <w:r w:rsidRPr="00C821A9">
        <w:t>“(1</w:t>
      </w:r>
      <w:r w:rsidRPr="00C821A9">
        <w:t>)  Members</w:t>
      </w:r>
      <w:r w:rsidRPr="00C821A9">
        <w:t xml:space="preserve"> of the Romanian diplomatic and consular corps shall have the right to annual leave, study leave, unpaid leave, medical leave, maternity leave, [and] parental leave until a child is two years old ...”</w:t>
      </w:r>
    </w:p>
    <w:p w:rsidRPr="00C821A9" w:rsidR="00EC4EEA" w:rsidP="00EC4EEA" w14:paraId="2734634D" w14:textId="77777777">
      <w:pPr>
        <w:pStyle w:val="JuHArticle"/>
      </w:pPr>
      <w:r w:rsidRPr="00C821A9">
        <w:t>Article 35</w:t>
      </w:r>
    </w:p>
    <w:p w:rsidRPr="00C821A9" w:rsidR="00EC4EEA" w:rsidP="00EC4EEA" w14:paraId="1FD23905" w14:textId="77777777">
      <w:pPr>
        <w:pStyle w:val="JuQuot"/>
      </w:pPr>
      <w:r w:rsidRPr="00C821A9">
        <w:rPr>
          <w:bCs/>
        </w:rPr>
        <w:t>“(1</w:t>
      </w:r>
      <w:r w:rsidRPr="00C821A9">
        <w:rPr>
          <w:bCs/>
        </w:rPr>
        <w:t>)  </w:t>
      </w:r>
      <w:r w:rsidRPr="00C821A9">
        <w:t>Members</w:t>
      </w:r>
      <w:r w:rsidRPr="00C821A9">
        <w:t xml:space="preserve"> of the diplomatic and consular corps ... shall be sent on permanent posting[s] abroad following a competitive examination ...</w:t>
      </w:r>
    </w:p>
    <w:p w:rsidRPr="00C821A9" w:rsidR="00EC4EEA" w:rsidP="00EC4EEA" w14:paraId="5EE2498F" w14:textId="77777777">
      <w:pPr>
        <w:pStyle w:val="JuQuot"/>
      </w:pPr>
      <w:r w:rsidRPr="00C821A9">
        <w:rPr>
          <w:bCs/>
        </w:rPr>
        <w:t>(5)</w:t>
      </w:r>
      <w:r w:rsidRPr="00C821A9">
        <w:t>  The length of a diplomatic posting abroad shall, in principle, be four years, and three years in countries with a difficult climate.</w:t>
      </w:r>
    </w:p>
    <w:p w:rsidRPr="00C821A9" w:rsidR="00EC4EEA" w:rsidP="00EC4EEA" w14:paraId="2A2CDD80" w14:textId="77777777">
      <w:pPr>
        <w:pStyle w:val="JuQuot"/>
      </w:pPr>
      <w:r w:rsidRPr="00C821A9">
        <w:t>...</w:t>
      </w:r>
    </w:p>
    <w:p w:rsidRPr="00C821A9" w:rsidR="00EC4EEA" w:rsidP="00EC4EEA" w14:paraId="163A3638" w14:textId="77777777">
      <w:pPr>
        <w:pStyle w:val="JuQuot"/>
      </w:pPr>
      <w:r w:rsidRPr="00C821A9">
        <w:t>(15)  Vacant diplomatic and consular posts abroad which must be filled urgently ... shall be published within the central administration of [the MFA] ... after being approved by the Minister for Foreign Affairs. The Minister for Foreign Affairs shall fill these posts on a temporary basis for a period of up to 13 months, with the possibility of one extension for up to one year.”</w:t>
      </w:r>
    </w:p>
    <w:p w:rsidRPr="00C821A9" w:rsidR="00EC4EEA" w:rsidP="00EC4EEA" w14:paraId="523EB718" w14:textId="77777777">
      <w:pPr>
        <w:pStyle w:val="JuHArticle"/>
      </w:pPr>
      <w:r w:rsidRPr="00C821A9">
        <w:t>Article 48</w:t>
      </w:r>
    </w:p>
    <w:p w:rsidRPr="00C821A9" w:rsidR="00EC4EEA" w:rsidP="00EC4EEA" w14:paraId="4B02E8C3" w14:textId="77777777">
      <w:pPr>
        <w:pStyle w:val="JuQuot"/>
      </w:pPr>
      <w:r w:rsidRPr="00C821A9">
        <w:rPr>
          <w:bCs/>
        </w:rPr>
        <w:t>“(1</w:t>
      </w:r>
      <w:r w:rsidRPr="00C821A9">
        <w:rPr>
          <w:bCs/>
        </w:rPr>
        <w:t>)</w:t>
      </w:r>
      <w:r w:rsidRPr="00C821A9">
        <w:t>  In</w:t>
      </w:r>
      <w:r w:rsidRPr="00C821A9">
        <w:t xml:space="preserve"> order to ensure the necessary specialist staff from the [MFA], secondments and temporary employment shall be possible for the duration of a permanent diplomatic posting ...”</w:t>
      </w:r>
    </w:p>
    <w:p w:rsidRPr="00C821A9" w:rsidR="00EC4EEA" w:rsidP="00EC4EEA" w14:paraId="49A860E6" w14:textId="77777777">
      <w:pPr>
        <w:pStyle w:val="JuHIRoman"/>
      </w:pPr>
      <w:r w:rsidRPr="00C821A9">
        <w:t>DOMESTIC PRACTICE</w:t>
      </w:r>
    </w:p>
    <w:bookmarkStart w:name="NCCD_dec" w:id="23"/>
    <w:p w:rsidRPr="00C821A9" w:rsidR="00EC4EEA" w:rsidP="00EC4EEA" w14:paraId="5B9A2C26" w14:textId="77777777">
      <w:pPr>
        <w:pStyle w:val="JuPara"/>
      </w:pPr>
      <w:r w:rsidRPr="00C821A9">
        <w:fldChar w:fldCharType="begin"/>
      </w:r>
      <w:r w:rsidRPr="00C821A9">
        <w:instrText xml:space="preserve"> SEQ level0 \*arabic </w:instrText>
      </w:r>
      <w:r w:rsidRPr="00C821A9">
        <w:fldChar w:fldCharType="separate"/>
      </w:r>
      <w:r w:rsidRPr="00C821A9">
        <w:rPr>
          <w:noProof/>
        </w:rPr>
        <w:t>34</w:t>
      </w:r>
      <w:r w:rsidRPr="00C821A9">
        <w:fldChar w:fldCharType="end"/>
      </w:r>
      <w:bookmarkEnd w:id="23"/>
      <w:r w:rsidRPr="00C821A9">
        <w:t xml:space="preserve">.  On several occasions the National Council for Combating Discrimination (“the NCCD”) has been asked to verify allegations of </w:t>
      </w:r>
      <w:r w:rsidRPr="00C821A9">
        <w:t>discrimination against pregnant workers. The NCCD found the following situations discriminatory:</w:t>
      </w:r>
    </w:p>
    <w:p w:rsidRPr="00C821A9" w:rsidR="00EC4EEA" w:rsidP="00EC4EEA" w14:paraId="449C8A6B" w14:textId="77777777">
      <w:pPr>
        <w:pStyle w:val="JuPara"/>
      </w:pPr>
      <w:r w:rsidRPr="00C821A9">
        <w:t>–  the refusal to pay a pregnant worker’s salary for two months, with the intention of making her resign (decision of 18 January 2012</w:t>
      </w:r>
      <w:r w:rsidRPr="00C821A9">
        <w:t>);</w:t>
      </w:r>
    </w:p>
    <w:p w:rsidRPr="00C821A9" w:rsidR="00EC4EEA" w:rsidP="00EC4EEA" w14:paraId="4476F1D4" w14:textId="77777777">
      <w:pPr>
        <w:pStyle w:val="JuPara"/>
      </w:pPr>
      <w:r w:rsidRPr="00C821A9">
        <w:t>–  the decision to retain all workers except pregnant workers in their posts, following the reorganisation of an employer company (decision of 6 February 2013</w:t>
      </w:r>
      <w:r w:rsidRPr="00C821A9">
        <w:t>);</w:t>
      </w:r>
    </w:p>
    <w:p w:rsidRPr="00C821A9" w:rsidR="00EC4EEA" w:rsidP="00EC4EEA" w14:paraId="22282C62" w14:textId="77777777">
      <w:pPr>
        <w:pStyle w:val="JuPara"/>
      </w:pPr>
      <w:r w:rsidRPr="00C821A9">
        <w:t>–  a change in a claimant’s work situation during her short absence from work due to complications caused by her pregnancy (decision of 30 April 2014</w:t>
      </w:r>
      <w:r w:rsidRPr="00C821A9">
        <w:t>);</w:t>
      </w:r>
    </w:p>
    <w:p w:rsidRPr="00C821A9" w:rsidR="00EC4EEA" w:rsidP="00EC4EEA" w14:paraId="7A3B6152" w14:textId="77777777">
      <w:pPr>
        <w:pStyle w:val="JuPara"/>
      </w:pPr>
      <w:r w:rsidRPr="00C821A9">
        <w:t>–  the summary dismissal of a visibly pregnant worker, despite the employer’s arguments that the dismissal was related to the claimant’s performance (decision of 25 January 2017</w:t>
      </w:r>
      <w:r w:rsidRPr="00C821A9">
        <w:t>);</w:t>
      </w:r>
    </w:p>
    <w:p w:rsidRPr="00C821A9" w:rsidR="00EC4EEA" w:rsidP="00EC4EEA" w14:paraId="5311900F" w14:textId="77777777">
      <w:pPr>
        <w:pStyle w:val="JuPara"/>
      </w:pPr>
      <w:r w:rsidRPr="00C821A9">
        <w:t xml:space="preserve">–  a change of working conditions during or after a person’s return from parental leave (decisions of 7 February 2013, 16 October 2013, 4 September </w:t>
      </w:r>
      <w:r w:rsidRPr="00C821A9">
        <w:t>2013</w:t>
      </w:r>
      <w:r w:rsidRPr="00C821A9">
        <w:t xml:space="preserve"> and 18 November 2015).</w:t>
      </w:r>
    </w:p>
    <w:bookmarkStart w:name="para_35" w:id="24"/>
    <w:p w:rsidRPr="00C821A9" w:rsidR="00EC4EEA" w:rsidP="00EC4EEA" w14:paraId="63D0604C" w14:textId="77777777">
      <w:pPr>
        <w:pStyle w:val="JuPara"/>
      </w:pPr>
      <w:r w:rsidRPr="00C821A9">
        <w:fldChar w:fldCharType="begin"/>
      </w:r>
      <w:r w:rsidRPr="00C821A9">
        <w:instrText xml:space="preserve"> SEQ level0 \*arabic </w:instrText>
      </w:r>
      <w:r w:rsidRPr="00C821A9">
        <w:fldChar w:fldCharType="separate"/>
      </w:r>
      <w:r w:rsidRPr="00C821A9">
        <w:rPr>
          <w:noProof/>
        </w:rPr>
        <w:t>35</w:t>
      </w:r>
      <w:r w:rsidRPr="00C821A9">
        <w:fldChar w:fldCharType="end"/>
      </w:r>
      <w:bookmarkEnd w:id="24"/>
      <w:r w:rsidRPr="00C821A9">
        <w:t>.  On the other hand, the NCCD considered that the fact that an employer had offered less complex tasks to a claimant during her pregnancy did not constitute discrimination, as that had been justified by the fact that her presence at work would be limited during her pregnancy (decision of 14 September 2016).</w:t>
      </w:r>
    </w:p>
    <w:bookmarkStart w:name="dom_case_law" w:id="25"/>
    <w:p w:rsidRPr="00C821A9" w:rsidR="00EC4EEA" w:rsidP="00EC4EEA" w14:paraId="4C0B1D13" w14:textId="77777777">
      <w:pPr>
        <w:pStyle w:val="JuPara"/>
      </w:pPr>
      <w:r w:rsidRPr="00C821A9">
        <w:fldChar w:fldCharType="begin"/>
      </w:r>
      <w:r w:rsidRPr="00C821A9">
        <w:instrText xml:space="preserve"> SEQ level0 \*arabic </w:instrText>
      </w:r>
      <w:r w:rsidRPr="00C821A9">
        <w:fldChar w:fldCharType="separate"/>
      </w:r>
      <w:r w:rsidRPr="00C821A9">
        <w:rPr>
          <w:noProof/>
        </w:rPr>
        <w:t>36</w:t>
      </w:r>
      <w:r w:rsidRPr="00C821A9">
        <w:fldChar w:fldCharType="end"/>
      </w:r>
      <w:bookmarkEnd w:id="25"/>
      <w:r w:rsidRPr="00C821A9">
        <w:t>.  The Bucharest Court of Appeal has identified the following situations as being discriminatory on grounds of pregnancy:</w:t>
      </w:r>
    </w:p>
    <w:p w:rsidRPr="00C821A9" w:rsidR="00EC4EEA" w:rsidP="00EC4EEA" w14:paraId="61673718" w14:textId="77777777">
      <w:pPr>
        <w:pStyle w:val="JuPara"/>
      </w:pPr>
      <w:r w:rsidRPr="00C821A9">
        <w:t xml:space="preserve">–  offering a pregnant </w:t>
      </w:r>
      <w:r w:rsidRPr="00C821A9">
        <w:t>worker</w:t>
      </w:r>
      <w:r w:rsidRPr="00C821A9">
        <w:t xml:space="preserve"> a temporary contract of employment instead of a permanent one (final decision of 14 December 2016);</w:t>
      </w:r>
    </w:p>
    <w:p w:rsidRPr="00C821A9" w:rsidR="00EC4EEA" w:rsidP="00EC4EEA" w14:paraId="4FB981B6" w14:textId="77777777">
      <w:pPr>
        <w:pStyle w:val="JuPara"/>
      </w:pPr>
      <w:r w:rsidRPr="00C821A9">
        <w:t>–  giving a worker notice of her dismissal as soon as she had informed her employer of her pregnancy (final decisions of 25 June 2012 and 6 November 2012</w:t>
      </w:r>
      <w:r w:rsidRPr="00C821A9">
        <w:t>);</w:t>
      </w:r>
    </w:p>
    <w:p w:rsidRPr="00C821A9" w:rsidR="00EC4EEA" w:rsidP="00EC4EEA" w14:paraId="1AB215D6" w14:textId="77777777">
      <w:pPr>
        <w:pStyle w:val="JuPara"/>
      </w:pPr>
      <w:r w:rsidRPr="00C821A9">
        <w:t>–  dismissing a pregnant worker at the end of the probationary period of an open-ended contract (final decision of 13 June 2014).</w:t>
      </w:r>
    </w:p>
    <w:bookmarkStart w:name="precedent" w:id="26"/>
    <w:p w:rsidRPr="00C821A9" w:rsidR="00EC4EEA" w:rsidP="00EC4EEA" w14:paraId="3CFC69BD" w14:textId="77777777">
      <w:pPr>
        <w:pStyle w:val="JuPara"/>
      </w:pPr>
      <w:r w:rsidRPr="00C821A9">
        <w:fldChar w:fldCharType="begin"/>
      </w:r>
      <w:r w:rsidRPr="00C821A9">
        <w:instrText xml:space="preserve"> SEQ level0 \*arabic </w:instrText>
      </w:r>
      <w:r w:rsidRPr="00C821A9">
        <w:fldChar w:fldCharType="separate"/>
      </w:r>
      <w:r w:rsidRPr="00C821A9">
        <w:rPr>
          <w:noProof/>
        </w:rPr>
        <w:t>37</w:t>
      </w:r>
      <w:r w:rsidRPr="00C821A9">
        <w:fldChar w:fldCharType="end"/>
      </w:r>
      <w:bookmarkEnd w:id="26"/>
      <w:r w:rsidRPr="00C821A9">
        <w:t>.  The Bucharest County Court examined an action seeking the annulment of a ministerial order whereby the MFA had decided to recall Mr X from his four-year posting at the embassy in Geneva before the end of the relevant term and terminate his contract of employment. The claimant had been hired for a specific position at the embassy in Geneva, but following a restructuring of the diplomatic activities, those tasks had been transferred to another embassy, in Moscow. The County Court dismissed the action on the grounds that the reason for terminating the posting had been legitimate.</w:t>
      </w:r>
    </w:p>
    <w:p w:rsidRPr="00C821A9" w:rsidR="00EC4EEA" w:rsidP="00EC4EEA" w14:paraId="3A715DF0" w14:textId="77777777">
      <w:pPr>
        <w:pStyle w:val="JuHIRoman"/>
      </w:pPr>
      <w:r w:rsidRPr="00C821A9">
        <w:t>COUNCIL OF EUROPE MATERIAL</w:t>
      </w:r>
    </w:p>
    <w:p w:rsidRPr="00C821A9" w:rsidR="00EC4EEA" w:rsidP="00EC4EEA" w14:paraId="2A2D97B5" w14:textId="77777777">
      <w:pPr>
        <w:pStyle w:val="JuHA"/>
      </w:pPr>
      <w:r w:rsidRPr="00C821A9">
        <w:t xml:space="preserve">Recommendation No. </w:t>
      </w:r>
      <w:r w:rsidRPr="00C821A9">
        <w:t>R(</w:t>
      </w:r>
      <w:r w:rsidRPr="00C821A9">
        <w:t>85)2 of the Committee of Ministers</w:t>
      </w:r>
    </w:p>
    <w:bookmarkStart w:name="coe" w:id="27"/>
    <w:p w:rsidRPr="00C821A9" w:rsidR="00EC4EEA" w:rsidP="00EC4EEA" w14:paraId="3221B43A" w14:textId="77777777">
      <w:pPr>
        <w:pStyle w:val="JuPara"/>
      </w:pPr>
      <w:r w:rsidRPr="00C821A9">
        <w:fldChar w:fldCharType="begin"/>
      </w:r>
      <w:r w:rsidRPr="00C821A9">
        <w:instrText xml:space="preserve"> SEQ level0 \*arabic </w:instrText>
      </w:r>
      <w:r w:rsidRPr="00C821A9">
        <w:fldChar w:fldCharType="separate"/>
      </w:r>
      <w:r w:rsidRPr="00C821A9">
        <w:rPr>
          <w:noProof/>
        </w:rPr>
        <w:t>38</w:t>
      </w:r>
      <w:r w:rsidRPr="00C821A9">
        <w:fldChar w:fldCharType="end"/>
      </w:r>
      <w:bookmarkEnd w:id="27"/>
      <w:r w:rsidRPr="00C821A9">
        <w:t xml:space="preserve">.  The relevant provisions of Recommendation No. </w:t>
      </w:r>
      <w:r w:rsidRPr="00C821A9">
        <w:t>R(</w:t>
      </w:r>
      <w:r w:rsidRPr="00C821A9">
        <w:t>85)2 on legal protection against sex discrimination, a</w:t>
      </w:r>
      <w:r w:rsidRPr="00C821A9">
        <w:rPr>
          <w:rFonts w:ascii="Times New Roman" w:hAnsi="Times New Roman" w:cs="Times New Roman"/>
        </w:rPr>
        <w:t>dopted by the Committee of Ministers of the Council of Europe on 5 February 1985 at the 380th</w:t>
      </w:r>
      <w:r w:rsidRPr="00C821A9">
        <w:rPr>
          <w:rFonts w:ascii="Times New Roman" w:hAnsi="Times New Roman" w:cs="Times New Roman"/>
          <w:vertAlign w:val="superscript"/>
        </w:rPr>
        <w:t xml:space="preserve"> </w:t>
      </w:r>
      <w:r w:rsidRPr="00C821A9">
        <w:rPr>
          <w:rFonts w:ascii="Times New Roman" w:hAnsi="Times New Roman" w:cs="Times New Roman"/>
        </w:rPr>
        <w:t>meeting of the Ministers’ Deputies,</w:t>
      </w:r>
      <w:r w:rsidRPr="00C821A9">
        <w:t xml:space="preserve"> read as follows:</w:t>
      </w:r>
    </w:p>
    <w:p w:rsidRPr="00C821A9" w:rsidR="00EC4EEA" w:rsidP="00EC4EEA" w14:paraId="520BD4C2" w14:textId="77777777">
      <w:pPr>
        <w:pStyle w:val="JuQuot"/>
      </w:pPr>
      <w:r w:rsidRPr="00C821A9">
        <w:t xml:space="preserve">“... Recognising the necessity to ensure legal and </w:t>
      </w:r>
      <w:r w:rsidRPr="00C821A9">
        <w:rPr>
          <w:i/>
        </w:rPr>
        <w:t>de facto</w:t>
      </w:r>
      <w:r w:rsidRPr="00C821A9">
        <w:t xml:space="preserve"> equality between men and women, in particular by improving the situation of women and by taking into account the specific needs of certain categories of </w:t>
      </w:r>
      <w:r w:rsidRPr="00C821A9">
        <w:t>people;</w:t>
      </w:r>
    </w:p>
    <w:p w:rsidRPr="00C821A9" w:rsidR="00EC4EEA" w:rsidP="00EC4EEA" w14:paraId="2AEDFF74" w14:textId="77777777">
      <w:pPr>
        <w:pStyle w:val="JuQuot"/>
      </w:pPr>
      <w:r w:rsidRPr="00C821A9">
        <w:t>...</w:t>
      </w:r>
    </w:p>
    <w:p w:rsidRPr="00C821A9" w:rsidR="00EC4EEA" w:rsidP="00EC4EEA" w14:paraId="076DCAFA" w14:textId="77777777">
      <w:pPr>
        <w:pStyle w:val="JuHArticle"/>
      </w:pPr>
      <w:r w:rsidRPr="00C821A9">
        <w:t>Principles</w:t>
      </w:r>
    </w:p>
    <w:p w:rsidRPr="00C821A9" w:rsidR="00EC4EEA" w:rsidP="00EC4EEA" w14:paraId="1A109763" w14:textId="77777777">
      <w:pPr>
        <w:pStyle w:val="JuQuot"/>
      </w:pPr>
      <w:r w:rsidRPr="00C821A9">
        <w:t>I.  Promotion of equality between the sexes by legislation</w:t>
      </w:r>
    </w:p>
    <w:p w:rsidRPr="00C821A9" w:rsidR="00EC4EEA" w:rsidP="00EC4EEA" w14:paraId="098C7E25" w14:textId="77777777">
      <w:pPr>
        <w:pStyle w:val="JuQuot"/>
      </w:pPr>
      <w:r w:rsidRPr="00C821A9">
        <w:t>In order to</w:t>
      </w:r>
      <w:r w:rsidRPr="00C821A9">
        <w:t xml:space="preserve"> promote equality between the sexes, legislation should aim at the following objectives:</w:t>
      </w:r>
    </w:p>
    <w:p w:rsidRPr="00C821A9" w:rsidR="00EC4EEA" w:rsidP="00EC4EEA" w14:paraId="6DD0085D" w14:textId="77777777">
      <w:pPr>
        <w:pStyle w:val="JuQuot"/>
      </w:pPr>
      <w:r w:rsidRPr="00C821A9">
        <w:t xml:space="preserve">1.  In the field of employment, men and women should have equal rights </w:t>
      </w:r>
      <w:r w:rsidRPr="00C821A9">
        <w:t>with regard to</w:t>
      </w:r>
      <w:r w:rsidRPr="00C821A9">
        <w:t xml:space="preserve"> opportunities for employment and conditions of employment in all fields and, in particular, should be entitled to:</w:t>
      </w:r>
    </w:p>
    <w:p w:rsidRPr="00C821A9" w:rsidR="00EC4EEA" w:rsidP="00EC4EEA" w14:paraId="60DDB718" w14:textId="77777777">
      <w:pPr>
        <w:pStyle w:val="JuQuot"/>
      </w:pPr>
      <w:r w:rsidRPr="00C821A9">
        <w:t xml:space="preserve">a.  equal right of access to </w:t>
      </w:r>
      <w:r w:rsidRPr="00C821A9">
        <w:t>work;</w:t>
      </w:r>
    </w:p>
    <w:p w:rsidRPr="00C821A9" w:rsidR="00EC4EEA" w:rsidP="00EC4EEA" w14:paraId="34C5EF5B" w14:textId="77777777">
      <w:pPr>
        <w:pStyle w:val="JuQuot"/>
      </w:pPr>
      <w:r w:rsidRPr="00C821A9">
        <w:t xml:space="preserve">b.  equal conditions of </w:t>
      </w:r>
      <w:r w:rsidRPr="00C821A9">
        <w:t>work;</w:t>
      </w:r>
    </w:p>
    <w:p w:rsidRPr="00C821A9" w:rsidR="00EC4EEA" w:rsidP="00EC4EEA" w14:paraId="287C5585" w14:textId="77777777">
      <w:pPr>
        <w:pStyle w:val="JuQuot"/>
      </w:pPr>
      <w:r w:rsidRPr="00C821A9">
        <w:t xml:space="preserve">c.  equal opportunities for </w:t>
      </w:r>
      <w:r w:rsidRPr="00C821A9">
        <w:t>training;</w:t>
      </w:r>
    </w:p>
    <w:p w:rsidRPr="00C821A9" w:rsidR="00EC4EEA" w:rsidP="00EC4EEA" w14:paraId="44E99287" w14:textId="77777777">
      <w:pPr>
        <w:pStyle w:val="JuQuot"/>
      </w:pPr>
      <w:r w:rsidRPr="00C821A9">
        <w:t xml:space="preserve">d.  equal pay for work of equal </w:t>
      </w:r>
      <w:r w:rsidRPr="00C821A9">
        <w:t>value;</w:t>
      </w:r>
    </w:p>
    <w:p w:rsidRPr="00C821A9" w:rsidR="00EC4EEA" w:rsidP="00EC4EEA" w14:paraId="4FA71C42" w14:textId="77777777">
      <w:pPr>
        <w:pStyle w:val="JuQuot"/>
      </w:pPr>
      <w:r w:rsidRPr="00C821A9">
        <w:t>e.  equal opportunities for advancement.</w:t>
      </w:r>
    </w:p>
    <w:p w:rsidRPr="00C821A9" w:rsidR="00EC4EEA" w:rsidP="00EC4EEA" w14:paraId="58F3FA4C" w14:textId="77777777">
      <w:pPr>
        <w:pStyle w:val="JuQuot"/>
      </w:pPr>
      <w:r w:rsidRPr="00C821A9">
        <w:t>...</w:t>
      </w:r>
    </w:p>
    <w:p w:rsidRPr="00C821A9" w:rsidR="00EC4EEA" w:rsidP="00EC4EEA" w14:paraId="22D62C26" w14:textId="77777777">
      <w:pPr>
        <w:pStyle w:val="JuQuot"/>
      </w:pPr>
      <w:r w:rsidRPr="00C821A9">
        <w:t>III.  Special temporary measures (positive action)</w:t>
      </w:r>
    </w:p>
    <w:p w:rsidRPr="00C821A9" w:rsidR="00EC4EEA" w:rsidP="00EC4EEA" w14:paraId="0D686EEC" w14:textId="77777777">
      <w:pPr>
        <w:pStyle w:val="JuQuot"/>
      </w:pPr>
      <w:r w:rsidRPr="00C821A9">
        <w:t xml:space="preserve">States should, in those areas where inequalities exist, </w:t>
      </w:r>
      <w:r w:rsidRPr="00C821A9">
        <w:t>give consideration to</w:t>
      </w:r>
      <w:r w:rsidRPr="00C821A9">
        <w:t xml:space="preserve"> the adoption of special temporary measures designed to accelerate the realisation of </w:t>
      </w:r>
      <w:r w:rsidRPr="00C821A9">
        <w:rPr>
          <w:i/>
        </w:rPr>
        <w:t xml:space="preserve">de facto </w:t>
      </w:r>
      <w:r w:rsidRPr="00C821A9">
        <w:t>equality between men and women, where there are no obstacles of a constitutional nature, in particular by:</w:t>
      </w:r>
    </w:p>
    <w:p w:rsidRPr="00C821A9" w:rsidR="00EC4EEA" w:rsidP="00EC4EEA" w14:paraId="7A74014A" w14:textId="77777777">
      <w:pPr>
        <w:pStyle w:val="JuQuot"/>
      </w:pPr>
      <w:r w:rsidRPr="00C821A9">
        <w:t xml:space="preserve">a.  making employers aware of the desirability of having as an objective the achievement of equality between the </w:t>
      </w:r>
      <w:r w:rsidRPr="00C821A9">
        <w:t>sexes;</w:t>
      </w:r>
    </w:p>
    <w:p w:rsidRPr="00C821A9" w:rsidR="00EC4EEA" w:rsidP="00EC4EEA" w14:paraId="4F625E81" w14:textId="77777777">
      <w:pPr>
        <w:pStyle w:val="JuQuot"/>
      </w:pPr>
      <w:r w:rsidRPr="00C821A9">
        <w:t>...”</w:t>
      </w:r>
    </w:p>
    <w:p w:rsidRPr="00C821A9" w:rsidR="00EC4EEA" w:rsidP="00EC4EEA" w14:paraId="0BD066FD" w14:textId="77777777">
      <w:pPr>
        <w:pStyle w:val="JuHA"/>
      </w:pPr>
      <w:r w:rsidRPr="00C821A9">
        <w:t>European Social Charter</w:t>
      </w:r>
    </w:p>
    <w:bookmarkStart w:name="coe_end" w:id="28"/>
    <w:p w:rsidRPr="00C821A9" w:rsidR="00EC4EEA" w:rsidP="00EC4EEA" w14:paraId="550BAF82" w14:textId="77777777">
      <w:pPr>
        <w:pStyle w:val="JuPara"/>
      </w:pPr>
      <w:r w:rsidRPr="00C821A9">
        <w:fldChar w:fldCharType="begin"/>
      </w:r>
      <w:r w:rsidRPr="00C821A9">
        <w:instrText xml:space="preserve"> SEQ level0 \*arabic </w:instrText>
      </w:r>
      <w:r w:rsidRPr="00C821A9">
        <w:fldChar w:fldCharType="separate"/>
      </w:r>
      <w:r w:rsidRPr="00C821A9">
        <w:rPr>
          <w:noProof/>
        </w:rPr>
        <w:t>39</w:t>
      </w:r>
      <w:r w:rsidRPr="00C821A9">
        <w:fldChar w:fldCharType="end"/>
      </w:r>
      <w:bookmarkEnd w:id="28"/>
      <w:r w:rsidRPr="00C821A9">
        <w:t xml:space="preserve">.  The respondent State ratified the European Social Charter (revised) in </w:t>
      </w:r>
      <w:r w:rsidRPr="00C821A9">
        <w:t>1999, and</w:t>
      </w:r>
      <w:r w:rsidRPr="00C821A9">
        <w:t xml:space="preserve"> considered itself bound by that charter. The relevant provisions read as follows:</w:t>
      </w:r>
    </w:p>
    <w:p w:rsidRPr="00C821A9" w:rsidR="00EC4EEA" w:rsidP="00EC4EEA" w14:paraId="3C58DF86" w14:textId="77777777">
      <w:pPr>
        <w:pStyle w:val="JuQuot"/>
        <w:keepNext/>
        <w:keepLines/>
        <w:rPr>
          <w:lang w:val="en-US"/>
        </w:rPr>
      </w:pPr>
      <w:r w:rsidRPr="00C821A9">
        <w:rPr>
          <w:lang w:val="en-US"/>
        </w:rPr>
        <w:t>“...</w:t>
      </w:r>
    </w:p>
    <w:p w:rsidRPr="00C821A9" w:rsidR="00EC4EEA" w:rsidP="00EC4EEA" w14:paraId="3883F497" w14:textId="77777777">
      <w:pPr>
        <w:pStyle w:val="JuQuot"/>
        <w:keepNext/>
        <w:keepLines/>
      </w:pPr>
      <w:r w:rsidRPr="00C821A9">
        <w:rPr>
          <w:b/>
          <w:bCs/>
        </w:rPr>
        <w:t>Part I</w:t>
      </w:r>
    </w:p>
    <w:p w:rsidRPr="00C821A9" w:rsidR="00EC4EEA" w:rsidP="00EC4EEA" w14:paraId="394B27B0" w14:textId="77777777">
      <w:pPr>
        <w:pStyle w:val="JuQuot"/>
        <w:keepNext/>
        <w:keepLines/>
      </w:pPr>
      <w:r w:rsidRPr="00C821A9">
        <w:t>The Parties accept as the aim of their policy, to be pursued by all appropriate means both national and international in character, the attainment of conditions in which the following rights and principles may be effectively realised:</w:t>
      </w:r>
    </w:p>
    <w:p w:rsidRPr="00C821A9" w:rsidR="00EC4EEA" w:rsidP="00EC4EEA" w14:paraId="133E54D2" w14:textId="77777777">
      <w:pPr>
        <w:pStyle w:val="JuQuot"/>
      </w:pPr>
      <w:r w:rsidRPr="00C821A9">
        <w:t>...</w:t>
      </w:r>
    </w:p>
    <w:p w:rsidRPr="00C821A9" w:rsidR="00EC4EEA" w:rsidP="00EC4EEA" w14:paraId="5948B383" w14:textId="77777777">
      <w:pPr>
        <w:pStyle w:val="JuQuot"/>
      </w:pPr>
      <w:r w:rsidRPr="00C821A9">
        <w:t>8.  Employed women, in case of maternity, have the right to a special protection.</w:t>
      </w:r>
    </w:p>
    <w:p w:rsidRPr="00C821A9" w:rsidR="00EC4EEA" w:rsidP="00EC4EEA" w14:paraId="551B7D68" w14:textId="77777777">
      <w:pPr>
        <w:pStyle w:val="JuQuot"/>
      </w:pPr>
      <w:r w:rsidRPr="00C821A9">
        <w:t>...</w:t>
      </w:r>
    </w:p>
    <w:p w:rsidRPr="00C821A9" w:rsidR="00EC4EEA" w:rsidP="00EC4EEA" w14:paraId="1AA6F04D" w14:textId="77777777">
      <w:pPr>
        <w:pStyle w:val="JuQuot"/>
      </w:pPr>
      <w:r w:rsidRPr="00C821A9">
        <w:t>20.  All workers have the right to equal opportunities and equal treatment in matters of employment and occupation without discrimination on the grounds of sex.</w:t>
      </w:r>
    </w:p>
    <w:p w:rsidRPr="00C821A9" w:rsidR="00EC4EEA" w:rsidP="00EC4EEA" w14:paraId="115D7492" w14:textId="77777777">
      <w:pPr>
        <w:pStyle w:val="JuQuot"/>
      </w:pPr>
      <w:r w:rsidRPr="00C821A9">
        <w:t>...</w:t>
      </w:r>
    </w:p>
    <w:p w:rsidRPr="00C821A9" w:rsidR="00EC4EEA" w:rsidP="00EC4EEA" w14:paraId="494DBA2A" w14:textId="77777777">
      <w:pPr>
        <w:pStyle w:val="JuQuot"/>
      </w:pPr>
      <w:r w:rsidRPr="00C821A9">
        <w:t>27.  All persons with family responsibilities and who are engaged or wish to engage in employment have a right to do so without being subject to discrimination and as far as possible without conflict between their employment and family responsibilities.</w:t>
      </w:r>
    </w:p>
    <w:p w:rsidRPr="00C821A9" w:rsidR="00EC4EEA" w:rsidP="00EC4EEA" w14:paraId="45EBAEC8" w14:textId="77777777">
      <w:pPr>
        <w:pStyle w:val="JuQuot"/>
      </w:pPr>
      <w:r w:rsidRPr="00C821A9">
        <w:t>...</w:t>
      </w:r>
    </w:p>
    <w:p w:rsidRPr="00C821A9" w:rsidR="00EC4EEA" w:rsidP="00EC4EEA" w14:paraId="7D9CFA1B" w14:textId="77777777">
      <w:pPr>
        <w:pStyle w:val="JuQuot"/>
      </w:pPr>
      <w:r w:rsidRPr="00C821A9">
        <w:rPr>
          <w:b/>
          <w:bCs/>
        </w:rPr>
        <w:t>Part II</w:t>
      </w:r>
    </w:p>
    <w:p w:rsidRPr="00C821A9" w:rsidR="00EC4EEA" w:rsidP="00EC4EEA" w14:paraId="0A33DAA5" w14:textId="77777777">
      <w:pPr>
        <w:pStyle w:val="JuQuot"/>
      </w:pPr>
      <w:r w:rsidRPr="00C821A9">
        <w:t>The Parties undertake, as provided for in Part III, to consider themselves bound by the obligations laid down in the following articles and paragraphs.</w:t>
      </w:r>
    </w:p>
    <w:p w:rsidRPr="00C821A9" w:rsidR="00EC4EEA" w:rsidP="00EC4EEA" w14:paraId="025790BC" w14:textId="77777777">
      <w:pPr>
        <w:pStyle w:val="JuQuot"/>
      </w:pPr>
      <w:r w:rsidRPr="00C821A9">
        <w:t>...</w:t>
      </w:r>
    </w:p>
    <w:p w:rsidRPr="00C821A9" w:rsidR="00EC4EEA" w:rsidP="00EC4EEA" w14:paraId="745836E3" w14:textId="77777777">
      <w:pPr>
        <w:pStyle w:val="JuQuot"/>
      </w:pPr>
      <w:r w:rsidRPr="00C821A9">
        <w:rPr>
          <w:b/>
          <w:bCs/>
        </w:rPr>
        <w:t>Article 8 – The right of employed women to protection of maternity</w:t>
      </w:r>
    </w:p>
    <w:p w:rsidRPr="00C821A9" w:rsidR="00EC4EEA" w:rsidP="00EC4EEA" w14:paraId="773EA451" w14:textId="77777777">
      <w:pPr>
        <w:pStyle w:val="JuQuot"/>
      </w:pPr>
      <w:r w:rsidRPr="00C821A9">
        <w:t>With a view to ensuring the effective exercise of the right of employed women to the protection of maternity, the Parties undertake:</w:t>
      </w:r>
    </w:p>
    <w:p w:rsidRPr="00C821A9" w:rsidR="00EC4EEA" w:rsidP="00EC4EEA" w14:paraId="39329FF4" w14:textId="77777777">
      <w:pPr>
        <w:pStyle w:val="JuQuot"/>
      </w:pPr>
      <w:r w:rsidRPr="00C821A9">
        <w:t xml:space="preserve">1.  to provide either by paid leave, by adequate social security benefits or by benefits from public funds for employed women to take leave before and after childbirth up to a total of at least fourteen </w:t>
      </w:r>
      <w:r w:rsidRPr="00C821A9">
        <w:t>weeks;</w:t>
      </w:r>
    </w:p>
    <w:p w:rsidRPr="00C821A9" w:rsidR="00EC4EEA" w:rsidP="00EC4EEA" w14:paraId="662F161A" w14:textId="77777777">
      <w:pPr>
        <w:pStyle w:val="JuQuot"/>
      </w:pPr>
      <w:r w:rsidRPr="00C821A9">
        <w:t>2.  to consider it as unlawful for an employer to give a woman notice of dismissal during the period from the time she notifies her employer that she is pregnant until the end of her maternity leave, or to give her notice of dismissal at such a time that the notice would expire during such a period;</w:t>
      </w:r>
    </w:p>
    <w:p w:rsidRPr="00C821A9" w:rsidR="00EC4EEA" w:rsidP="00EC4EEA" w14:paraId="376FC1B5" w14:textId="77777777">
      <w:pPr>
        <w:pStyle w:val="JuQuot"/>
      </w:pPr>
      <w:r w:rsidRPr="00C821A9">
        <w:t xml:space="preserve">3.  to provide that mothers who are nursing their infants shall be entitled to sufficient time off for this </w:t>
      </w:r>
      <w:r w:rsidRPr="00C821A9">
        <w:t>purpose;</w:t>
      </w:r>
    </w:p>
    <w:p w:rsidRPr="00C821A9" w:rsidR="00EC4EEA" w:rsidP="00EC4EEA" w14:paraId="5567038F" w14:textId="77777777">
      <w:pPr>
        <w:pStyle w:val="JuQuot"/>
      </w:pPr>
      <w:r w:rsidRPr="00C821A9">
        <w:t xml:space="preserve">4.  to regulate the employment in night work of pregnant women, women who have recently given birth and women nursing their </w:t>
      </w:r>
      <w:r w:rsidRPr="00C821A9">
        <w:t>infants;</w:t>
      </w:r>
    </w:p>
    <w:p w:rsidRPr="00C821A9" w:rsidR="00EC4EEA" w:rsidP="00EC4EEA" w14:paraId="6C0077BD" w14:textId="77777777">
      <w:pPr>
        <w:pStyle w:val="JuQuot"/>
      </w:pPr>
      <w:r w:rsidRPr="00C821A9">
        <w:t>...</w:t>
      </w:r>
    </w:p>
    <w:p w:rsidRPr="00C821A9" w:rsidR="00EC4EEA" w:rsidP="00EC4EEA" w14:paraId="68FE71FD" w14:textId="77777777">
      <w:pPr>
        <w:pStyle w:val="JuQuot"/>
      </w:pPr>
      <w:r w:rsidRPr="00C821A9">
        <w:rPr>
          <w:b/>
          <w:bCs/>
        </w:rPr>
        <w:t>Article 20 – The right to equal opportunities and equal treatment in matters of employment and occupation without discrimination on the grounds of sex</w:t>
      </w:r>
    </w:p>
    <w:p w:rsidRPr="00C821A9" w:rsidR="00EC4EEA" w:rsidP="00EC4EEA" w14:paraId="0467D925" w14:textId="77777777">
      <w:pPr>
        <w:pStyle w:val="JuQuot"/>
      </w:pPr>
      <w:r w:rsidRPr="00C821A9">
        <w:t>With a view to ensuring the effective exercise of the right to equal opportunities and equal treatment in matters of employment and occupation without discrimination on the grounds of sex, the Parties undertake to recognise that right and to take appropriate measures to ensure or promote its application in the following fields:</w:t>
      </w:r>
    </w:p>
    <w:p w:rsidRPr="00C821A9" w:rsidR="00EC4EEA" w:rsidP="00EC4EEA" w14:paraId="1F0218F1" w14:textId="77777777">
      <w:pPr>
        <w:pStyle w:val="JuQuot"/>
      </w:pPr>
      <w:r w:rsidRPr="00C821A9">
        <w:t>a  access</w:t>
      </w:r>
      <w:r w:rsidRPr="00C821A9">
        <w:t xml:space="preserve"> to employment, protection against dismissal and occupational reintegration;</w:t>
      </w:r>
    </w:p>
    <w:p w:rsidRPr="00C821A9" w:rsidR="00EC4EEA" w:rsidP="00EC4EEA" w14:paraId="2E838761" w14:textId="77777777">
      <w:pPr>
        <w:pStyle w:val="JuQuot"/>
      </w:pPr>
      <w:r w:rsidRPr="00C821A9">
        <w:t>b  vocational</w:t>
      </w:r>
      <w:r w:rsidRPr="00C821A9">
        <w:t xml:space="preserve"> guidance, training, retraining and rehabilitation;</w:t>
      </w:r>
    </w:p>
    <w:p w:rsidRPr="00C821A9" w:rsidR="00EC4EEA" w:rsidP="00EC4EEA" w14:paraId="06ED6610" w14:textId="77777777">
      <w:pPr>
        <w:pStyle w:val="JuQuot"/>
      </w:pPr>
      <w:r w:rsidRPr="00C821A9">
        <w:t>c  terms</w:t>
      </w:r>
      <w:r w:rsidRPr="00C821A9">
        <w:t xml:space="preserve"> of employment and working conditions, including remuneration;</w:t>
      </w:r>
    </w:p>
    <w:p w:rsidRPr="00C821A9" w:rsidR="00EC4EEA" w:rsidP="00EC4EEA" w14:paraId="5C7134C6" w14:textId="77777777">
      <w:pPr>
        <w:pStyle w:val="JuQuot"/>
      </w:pPr>
      <w:r w:rsidRPr="00C821A9">
        <w:t>d  career</w:t>
      </w:r>
      <w:r w:rsidRPr="00C821A9">
        <w:t xml:space="preserve"> development, including promotion.</w:t>
      </w:r>
    </w:p>
    <w:p w:rsidRPr="00C821A9" w:rsidR="00EC4EEA" w:rsidP="00EC4EEA" w14:paraId="7E027C46" w14:textId="77777777">
      <w:pPr>
        <w:pStyle w:val="JuQuot"/>
      </w:pPr>
      <w:r w:rsidRPr="00C821A9">
        <w:t>...</w:t>
      </w:r>
    </w:p>
    <w:p w:rsidRPr="00C821A9" w:rsidR="00EC4EEA" w:rsidP="00EC4EEA" w14:paraId="40667C4C" w14:textId="77777777">
      <w:pPr>
        <w:pStyle w:val="JuQuot"/>
      </w:pPr>
      <w:r w:rsidRPr="00C821A9">
        <w:rPr>
          <w:b/>
          <w:bCs/>
        </w:rPr>
        <w:t>Article 27 – The right of workers with family responsibilities to equal opportunities and equal treatment</w:t>
      </w:r>
    </w:p>
    <w:p w:rsidRPr="00C821A9" w:rsidR="00EC4EEA" w:rsidP="00EC4EEA" w14:paraId="36BB349F" w14:textId="77777777">
      <w:pPr>
        <w:pStyle w:val="JuQuot"/>
      </w:pPr>
      <w:r w:rsidRPr="00C821A9">
        <w:t>With a view to ensuring the exercise of the right to equality of opportunity and treatment for men and women workers with family responsibilities and between such workers and other workers, the Parties undertake:</w:t>
      </w:r>
    </w:p>
    <w:p w:rsidRPr="00C821A9" w:rsidR="00EC4EEA" w:rsidP="00EC4EEA" w14:paraId="46DE7667" w14:textId="77777777">
      <w:pPr>
        <w:pStyle w:val="JuQuot"/>
      </w:pPr>
      <w:r w:rsidRPr="00C821A9">
        <w:t>...</w:t>
      </w:r>
    </w:p>
    <w:p w:rsidRPr="00C821A9" w:rsidR="00EC4EEA" w:rsidP="00EC4EEA" w14:paraId="5F712190" w14:textId="77777777">
      <w:pPr>
        <w:pStyle w:val="JuQuot"/>
      </w:pPr>
      <w:r w:rsidRPr="00C821A9">
        <w:t xml:space="preserve">2.  to provide a possibility for either parent to obtain, during a period after maternity leave, parental leave to take care of a child, the duration and conditions of which should be determined by national legislation, collective agreements or </w:t>
      </w:r>
      <w:r w:rsidRPr="00C821A9">
        <w:t>practice;</w:t>
      </w:r>
    </w:p>
    <w:p w:rsidRPr="00C821A9" w:rsidR="00EC4EEA" w:rsidP="00EC4EEA" w14:paraId="12216A7B" w14:textId="77777777">
      <w:pPr>
        <w:pStyle w:val="JuQuot"/>
      </w:pPr>
      <w:r w:rsidRPr="00C821A9">
        <w:t>...”</w:t>
      </w:r>
    </w:p>
    <w:p w:rsidRPr="00C821A9" w:rsidR="00EC4EEA" w:rsidP="00EC4EEA" w14:paraId="26FEAA01" w14:textId="77777777">
      <w:pPr>
        <w:pStyle w:val="JuHIRoman"/>
      </w:pPr>
      <w:r w:rsidRPr="00C821A9">
        <w:t>LAW AND PRACTICE OF THE EUROPEAN UNION</w:t>
      </w:r>
    </w:p>
    <w:p w:rsidRPr="00C821A9" w:rsidR="00EC4EEA" w:rsidP="00EC4EEA" w14:paraId="12CCC07B" w14:textId="77777777">
      <w:pPr>
        <w:pStyle w:val="JuHA"/>
      </w:pPr>
      <w:r w:rsidRPr="00C821A9">
        <w:t>Directives of the Council of the European Union</w:t>
      </w:r>
    </w:p>
    <w:bookmarkStart w:name="EU_overview" w:id="29"/>
    <w:p w:rsidRPr="00C821A9" w:rsidR="00EC4EEA" w:rsidP="00EC4EEA" w14:paraId="5400F989" w14:textId="77777777">
      <w:pPr>
        <w:pStyle w:val="JuPara"/>
        <w:rPr>
          <w:iCs/>
        </w:rPr>
      </w:pPr>
      <w:r w:rsidRPr="00C821A9">
        <w:rPr>
          <w:iCs/>
        </w:rPr>
        <w:fldChar w:fldCharType="begin"/>
      </w:r>
      <w:r w:rsidRPr="00C821A9">
        <w:rPr>
          <w:iCs/>
        </w:rPr>
        <w:instrText xml:space="preserve"> SEQ level0 \*arabic </w:instrText>
      </w:r>
      <w:r w:rsidRPr="00C821A9">
        <w:rPr>
          <w:iCs/>
        </w:rPr>
        <w:fldChar w:fldCharType="separate"/>
      </w:r>
      <w:r w:rsidRPr="00C821A9">
        <w:rPr>
          <w:iCs/>
          <w:noProof/>
        </w:rPr>
        <w:t>40</w:t>
      </w:r>
      <w:r w:rsidRPr="00C821A9">
        <w:rPr>
          <w:iCs/>
        </w:rPr>
        <w:fldChar w:fldCharType="end"/>
      </w:r>
      <w:bookmarkEnd w:id="29"/>
      <w:r w:rsidRPr="00C821A9">
        <w:rPr>
          <w:iCs/>
        </w:rPr>
        <w:t>.  The matter of equality between men and women, and special protection for pregnancy, has been tackled in several directives adopted by the Council of the European Union, in particular: Directive 76/207/EEC of 9 February 1976 on the implementation of the principle of equal treatment for men and women as regards access to employment, vocational training and promotion, and working conditions; Council Directive 92/85/EEC of 19 October 1992 on the introduction of measures to encourage improvements in the safety and health at work of pregnant workers and workers who have recently given birth or are breastfeeding; and Directive 2006/54/EC of the European Parliament and of the Council of 5 July 2006 on the implementation of the principle of equal opportunities and equal treatment of men and women in matters of employment and occupation (recast) (which repealed Directive 76/207/EEC).</w:t>
      </w:r>
    </w:p>
    <w:bookmarkStart w:name="EU_D54" w:id="30"/>
    <w:p w:rsidRPr="00C821A9" w:rsidR="00EC4EEA" w:rsidP="00EC4EEA" w14:paraId="4471E837" w14:textId="77777777">
      <w:pPr>
        <w:pStyle w:val="JuPara"/>
        <w:rPr>
          <w:iCs/>
        </w:rPr>
      </w:pPr>
      <w:r w:rsidRPr="00C821A9">
        <w:rPr>
          <w:iCs/>
        </w:rPr>
        <w:fldChar w:fldCharType="begin"/>
      </w:r>
      <w:r w:rsidRPr="00C821A9">
        <w:rPr>
          <w:iCs/>
        </w:rPr>
        <w:instrText xml:space="preserve"> SEQ level0 \*arabic </w:instrText>
      </w:r>
      <w:r w:rsidRPr="00C821A9">
        <w:rPr>
          <w:iCs/>
        </w:rPr>
        <w:fldChar w:fldCharType="separate"/>
      </w:r>
      <w:r w:rsidRPr="00C821A9">
        <w:rPr>
          <w:iCs/>
          <w:noProof/>
        </w:rPr>
        <w:t>41</w:t>
      </w:r>
      <w:r w:rsidRPr="00C821A9">
        <w:rPr>
          <w:iCs/>
        </w:rPr>
        <w:fldChar w:fldCharType="end"/>
      </w:r>
      <w:bookmarkEnd w:id="30"/>
      <w:r w:rsidRPr="00C821A9">
        <w:rPr>
          <w:iCs/>
        </w:rPr>
        <w:t>.  The relevant provisions of Directive 2006/54/EC read as follows:</w:t>
      </w:r>
    </w:p>
    <w:p w:rsidRPr="00C821A9" w:rsidR="00EC4EEA" w:rsidP="00EC4EEA" w14:paraId="60E671F3" w14:textId="77777777">
      <w:pPr>
        <w:pStyle w:val="JuQuot"/>
      </w:pPr>
      <w:r w:rsidRPr="00C821A9">
        <w:t>“Whereas:</w:t>
      </w:r>
    </w:p>
    <w:p w:rsidRPr="00C821A9" w:rsidR="00EC4EEA" w:rsidP="00EC4EEA" w14:paraId="03AE6DAB" w14:textId="77777777">
      <w:pPr>
        <w:pStyle w:val="JuQuot"/>
      </w:pPr>
      <w:r w:rsidRPr="00C821A9">
        <w:t>...</w:t>
      </w:r>
    </w:p>
    <w:p w:rsidRPr="00C821A9" w:rsidR="00EC4EEA" w:rsidP="00EC4EEA" w14:paraId="55B1EC4C" w14:textId="77777777">
      <w:pPr>
        <w:pStyle w:val="JuQuot"/>
      </w:pPr>
      <w:r w:rsidRPr="00C821A9">
        <w:t>23.  It is clear from the case-law of the Court of Justice that unfavourable treatment of a woman related to pregnancy or maternity constitutes direct discrimination on grounds of sex. Such treatment should therefore be expressly covered by this Directive.</w:t>
      </w:r>
    </w:p>
    <w:p w:rsidRPr="00C821A9" w:rsidR="00EC4EEA" w:rsidP="00EC4EEA" w14:paraId="25C2FBC6" w14:textId="77777777">
      <w:pPr>
        <w:pStyle w:val="JuQuot"/>
      </w:pPr>
      <w:r w:rsidRPr="00C821A9">
        <w:t xml:space="preserve">24.  The Court of Justice has consistently recognised the legitimacy, as regards the principle of equal treatment, of protecting a woman’s biological condition during </w:t>
      </w:r>
      <w:r w:rsidRPr="00C821A9">
        <w:t xml:space="preserve">pregnancy and maternity and of introducing maternity protection measures </w:t>
      </w:r>
      <w:r w:rsidRPr="00C821A9">
        <w:t>as a means to</w:t>
      </w:r>
      <w:r w:rsidRPr="00C821A9">
        <w:t xml:space="preserve"> achieve substantive equality. This Directive should therefore be without prejudice to Council Directive 92/85/EEC of 19 October 1992 on the introduction of measures to encourage improvements in the safety and health at work of pregnant workers and workers who have recently given birth or are breastfeeding. This Directive should further be without prejudice to Council Directive 96/34/EC of 3 June 1996 on the framework agreement on parental leave concluded by UNICE, CEEP and the ETUC.</w:t>
      </w:r>
    </w:p>
    <w:p w:rsidRPr="00C821A9" w:rsidR="00EC4EEA" w:rsidP="00EC4EEA" w14:paraId="44419E71" w14:textId="77777777">
      <w:pPr>
        <w:pStyle w:val="JuQuot"/>
        <w:rPr>
          <w:lang w:val="en-US"/>
        </w:rPr>
      </w:pPr>
      <w:r w:rsidRPr="00C821A9">
        <w:t>25.  For reasons of clarity, it is also appropriate to make express provision for the protection of the employment rights of women on maternity leave and in particular their right to return to the same or an equivalent post, to suffer no detriment in their terms and conditions as a result of taking such leave and to benefit from any improvement in working conditions to which they would have been entitled during their absence.</w:t>
      </w:r>
    </w:p>
    <w:p w:rsidRPr="00C821A9" w:rsidR="00EC4EEA" w:rsidP="00EC4EEA" w14:paraId="246821C8" w14:textId="77777777">
      <w:pPr>
        <w:pStyle w:val="JuQuot"/>
      </w:pPr>
      <w:r w:rsidRPr="00C821A9">
        <w:t>...”</w:t>
      </w:r>
    </w:p>
    <w:p w:rsidRPr="00C821A9" w:rsidR="00EC4EEA" w:rsidP="00EC4EEA" w14:paraId="49E4A922" w14:textId="77777777">
      <w:pPr>
        <w:pStyle w:val="JuHArticle"/>
      </w:pPr>
      <w:r w:rsidRPr="00C821A9">
        <w:rPr>
          <w:iCs/>
        </w:rPr>
        <w:t xml:space="preserve">Article 15 – </w:t>
      </w:r>
      <w:r w:rsidRPr="00C821A9">
        <w:t>Return from maternity leave</w:t>
      </w:r>
    </w:p>
    <w:p w:rsidRPr="00C821A9" w:rsidR="00EC4EEA" w:rsidP="00EC4EEA" w14:paraId="64394F06" w14:textId="77777777">
      <w:pPr>
        <w:pStyle w:val="JuQuot"/>
      </w:pPr>
      <w:r w:rsidRPr="00C821A9">
        <w:t>“A woman on maternity leave shall be entitled, after the end of her period of maternity leave, to return to her job or to an equivalent post on terms and conditions which are no less favourable to her and to benefit from any improvement in working conditions to which she would have been entitled during her absence.”</w:t>
      </w:r>
    </w:p>
    <w:bookmarkStart w:name="EU_D95" w:id="31"/>
    <w:p w:rsidRPr="00C821A9" w:rsidR="00EC4EEA" w:rsidP="00EC4EEA" w14:paraId="05997293" w14:textId="77777777">
      <w:pPr>
        <w:pStyle w:val="JuPara"/>
        <w:rPr>
          <w:iCs/>
          <w:lang w:val="en"/>
        </w:rPr>
      </w:pPr>
      <w:r w:rsidRPr="00C821A9">
        <w:rPr>
          <w:iCs/>
        </w:rPr>
        <w:fldChar w:fldCharType="begin"/>
      </w:r>
      <w:r w:rsidRPr="00C821A9">
        <w:rPr>
          <w:iCs/>
        </w:rPr>
        <w:instrText xml:space="preserve"> SEQ level0 \*arabic </w:instrText>
      </w:r>
      <w:r w:rsidRPr="00C821A9">
        <w:rPr>
          <w:iCs/>
        </w:rPr>
        <w:fldChar w:fldCharType="separate"/>
      </w:r>
      <w:r w:rsidRPr="00C821A9">
        <w:rPr>
          <w:iCs/>
          <w:noProof/>
        </w:rPr>
        <w:t>42</w:t>
      </w:r>
      <w:r w:rsidRPr="00C821A9">
        <w:rPr>
          <w:iCs/>
        </w:rPr>
        <w:fldChar w:fldCharType="end"/>
      </w:r>
      <w:bookmarkEnd w:id="31"/>
      <w:r w:rsidRPr="00C821A9">
        <w:rPr>
          <w:iCs/>
        </w:rPr>
        <w:t xml:space="preserve">.  The relevant provisions of </w:t>
      </w:r>
      <w:r w:rsidRPr="00C821A9">
        <w:rPr>
          <w:iCs/>
          <w:lang w:val="en"/>
        </w:rPr>
        <w:t>Directive 92/85 read as follows:</w:t>
      </w:r>
    </w:p>
    <w:p w:rsidRPr="00C821A9" w:rsidR="00EC4EEA" w:rsidP="00EC4EEA" w14:paraId="6ACD1943" w14:textId="77777777">
      <w:pPr>
        <w:pStyle w:val="JuQuot"/>
      </w:pPr>
      <w:r w:rsidRPr="00C821A9">
        <w:t xml:space="preserve">“Whereas Article 15 of Council Directive 89/391/EEC of 12 June 1989 on the introduction of measures to encourage improvements in the safety and health of workers at work provides that particularly sensitive risk groups must be protected against the dangers which specifically affect </w:t>
      </w:r>
      <w:r w:rsidRPr="00C821A9">
        <w:t>them;</w:t>
      </w:r>
    </w:p>
    <w:p w:rsidRPr="00C821A9" w:rsidR="00EC4EEA" w:rsidP="00EC4EEA" w14:paraId="594F1174" w14:textId="77777777">
      <w:pPr>
        <w:pStyle w:val="JuQuot"/>
      </w:pPr>
      <w:r w:rsidRPr="00C821A9">
        <w:t xml:space="preserve">Whereas pregnant workers, workers who have recently given birth or who are breastfeeding must be considered a specific risk group in many respects, and measures must be taken with regard to their safety and </w:t>
      </w:r>
      <w:r w:rsidRPr="00C821A9">
        <w:t>health;</w:t>
      </w:r>
    </w:p>
    <w:p w:rsidRPr="00C821A9" w:rsidR="00EC4EEA" w:rsidP="00EC4EEA" w14:paraId="495D818E" w14:textId="77777777">
      <w:pPr>
        <w:pStyle w:val="JuQuot"/>
      </w:pPr>
      <w:r w:rsidRPr="00C821A9">
        <w:t>Whereas the protection of the safety and health of pregnant workers, workers who have recently given birth or workers who are breastfeeding should not treat women on the labour market unfavourably nor work to the detriment of directives concerning equal treatment for men and women;</w:t>
      </w:r>
    </w:p>
    <w:p w:rsidRPr="00C821A9" w:rsidR="00EC4EEA" w:rsidP="00EC4EEA" w14:paraId="23400C70" w14:textId="77777777">
      <w:pPr>
        <w:pStyle w:val="JuQuot"/>
      </w:pPr>
      <w:r w:rsidRPr="00C821A9">
        <w:t>...</w:t>
      </w:r>
    </w:p>
    <w:p w:rsidRPr="00C821A9" w:rsidR="00EC4EEA" w:rsidP="00EC4EEA" w14:paraId="6B29F515" w14:textId="77777777">
      <w:pPr>
        <w:pStyle w:val="JuQuot"/>
      </w:pPr>
      <w:r w:rsidRPr="00C821A9">
        <w:t>Whereas the risk of dismissal for reasons associated with their condition may have harmful effects on the physical and mental state of pregnant workers, workers who have recently given birth or who are breastfeeding; whereas provision should be made for such dismissal to be prohibited;</w:t>
      </w:r>
    </w:p>
    <w:p w:rsidRPr="00C821A9" w:rsidR="00EC4EEA" w:rsidP="00EC4EEA" w14:paraId="43AC2303" w14:textId="77777777">
      <w:pPr>
        <w:pStyle w:val="JuQuot"/>
      </w:pPr>
      <w:r w:rsidRPr="00C821A9">
        <w:t>...</w:t>
      </w:r>
    </w:p>
    <w:p w:rsidRPr="00C821A9" w:rsidR="00EC4EEA" w:rsidP="00EC4EEA" w14:paraId="3DC7F1A6" w14:textId="77777777">
      <w:pPr>
        <w:pStyle w:val="JuQuot"/>
      </w:pPr>
      <w:r w:rsidRPr="00C821A9">
        <w:t xml:space="preserve">Whereas, moreover, provision concerning maternity leave would also serve no purpose unless accompanied by the maintenance of rights linked to the employment contract and or entitlement to an adequate </w:t>
      </w:r>
      <w:r w:rsidRPr="00C821A9">
        <w:t>allowance;</w:t>
      </w:r>
    </w:p>
    <w:p w:rsidRPr="00C821A9" w:rsidR="00EC4EEA" w:rsidP="00EC4EEA" w14:paraId="3A8E32B0" w14:textId="77777777">
      <w:pPr>
        <w:pStyle w:val="JuQuot"/>
      </w:pPr>
      <w:r w:rsidRPr="00C821A9">
        <w:t>...”</w:t>
      </w:r>
    </w:p>
    <w:p w:rsidRPr="00C821A9" w:rsidR="00EC4EEA" w:rsidP="00EC4EEA" w14:paraId="7C3B6B6A" w14:textId="77777777">
      <w:pPr>
        <w:pStyle w:val="JuHArticle"/>
      </w:pPr>
      <w:r w:rsidRPr="00C821A9">
        <w:t>Article 10</w:t>
      </w:r>
    </w:p>
    <w:p w:rsidRPr="00C821A9" w:rsidR="00EC4EEA" w:rsidP="00EC4EEA" w14:paraId="0E94CDC7" w14:textId="77777777">
      <w:pPr>
        <w:pStyle w:val="JuHArticle"/>
      </w:pPr>
      <w:r w:rsidRPr="00C821A9">
        <w:t>Prohibition of dismissal</w:t>
      </w:r>
    </w:p>
    <w:p w:rsidRPr="00C821A9" w:rsidR="00EC4EEA" w:rsidP="00EC4EEA" w14:paraId="7DA6FFF7" w14:textId="77777777">
      <w:pPr>
        <w:pStyle w:val="JuQuot"/>
      </w:pPr>
      <w:r w:rsidRPr="00C821A9">
        <w:t>“In order to guarantee workers, within the meaning of Article 2, the exercise of their health and safety protection rights as recognized under this Article, it shall be provided that:</w:t>
      </w:r>
    </w:p>
    <w:p w:rsidRPr="00C821A9" w:rsidR="00EC4EEA" w:rsidP="00EC4EEA" w14:paraId="0AB69B2C" w14:textId="77777777">
      <w:pPr>
        <w:pStyle w:val="JuQuot"/>
      </w:pPr>
      <w:r w:rsidRPr="00C821A9">
        <w:t>1.  Member States shall take the necessary measures to prohibit the dismissal of workers, within the meaning of Article 2, during the period from the beginning of their pregnancy to the end of the maternity leave referred to in Article 8 (1), save in exceptional cases not connected with their condition which are permitted under national legislation and/or practice and, where applicable, provided that the competent authority has given its consent;</w:t>
      </w:r>
    </w:p>
    <w:p w:rsidRPr="00C821A9" w:rsidR="00EC4EEA" w:rsidP="00EC4EEA" w14:paraId="1A6BA4F4" w14:textId="77777777">
      <w:pPr>
        <w:pStyle w:val="JuQuot"/>
      </w:pPr>
      <w:r w:rsidRPr="00C821A9">
        <w:t xml:space="preserve">2.  if a worker, within the meaning of Article 2, is dismissed during the period referred to in point 1, the employer must cite duly substantiated grounds for her dismissal in </w:t>
      </w:r>
      <w:r w:rsidRPr="00C821A9">
        <w:t>writing;</w:t>
      </w:r>
    </w:p>
    <w:p w:rsidRPr="00C821A9" w:rsidR="00EC4EEA" w:rsidP="00EC4EEA" w14:paraId="2EA3E06F" w14:textId="77777777">
      <w:pPr>
        <w:pStyle w:val="JuQuot"/>
      </w:pPr>
      <w:r w:rsidRPr="00C821A9">
        <w:t>3.  Member States shall take the necessary measures to protect workers, within the meaning of Article 2, from consequences of dismissal which is unlawful by virtue of point 1.”</w:t>
      </w:r>
    </w:p>
    <w:p w:rsidRPr="00C821A9" w:rsidR="00EC4EEA" w:rsidP="00EC4EEA" w14:paraId="5FE5DA37" w14:textId="77777777">
      <w:pPr>
        <w:pStyle w:val="JuHA"/>
      </w:pPr>
      <w:r w:rsidRPr="00C821A9">
        <w:t>Case-law of the Court of Justice of the European Union</w:t>
      </w:r>
    </w:p>
    <w:bookmarkStart w:name="CJEU_overview" w:id="32"/>
    <w:p w:rsidRPr="00C821A9" w:rsidR="00EC4EEA" w:rsidP="00EC4EEA" w14:paraId="0FF14C4C" w14:textId="77777777">
      <w:pPr>
        <w:pStyle w:val="JuPara"/>
      </w:pPr>
      <w:r w:rsidRPr="00C821A9">
        <w:fldChar w:fldCharType="begin"/>
      </w:r>
      <w:r w:rsidRPr="00C821A9">
        <w:instrText xml:space="preserve"> SEQ level0 \*arabic </w:instrText>
      </w:r>
      <w:r w:rsidRPr="00C821A9">
        <w:fldChar w:fldCharType="separate"/>
      </w:r>
      <w:r w:rsidRPr="00C821A9">
        <w:rPr>
          <w:noProof/>
        </w:rPr>
        <w:t>43</w:t>
      </w:r>
      <w:r w:rsidRPr="00C821A9">
        <w:fldChar w:fldCharType="end"/>
      </w:r>
      <w:bookmarkEnd w:id="32"/>
      <w:r w:rsidRPr="00C821A9">
        <w:t>.  In its case-law, the Court of Justice of the European Union (hereinafter “the CJEU”) established that as only women could become pregnant, a refusal to employ a pregnant woman based on her pregnancy or her maternity, or the dismissal of a pregnant woman on such grounds, amounted to direct discrimination on grounds of sex, which could not be justified by any other interest.</w:t>
      </w:r>
    </w:p>
    <w:bookmarkStart w:name="CJEU_1Dekker" w:id="33"/>
    <w:p w:rsidRPr="00C821A9" w:rsidR="00EC4EEA" w:rsidP="00EC4EEA" w14:paraId="3708AAB2" w14:textId="77777777">
      <w:pPr>
        <w:pStyle w:val="JuPara"/>
        <w:rPr>
          <w:iCs/>
        </w:rPr>
      </w:pPr>
      <w:r w:rsidRPr="00C821A9">
        <w:fldChar w:fldCharType="begin"/>
      </w:r>
      <w:r w:rsidRPr="00C821A9">
        <w:instrText xml:space="preserve"> SEQ level0 \*arabic </w:instrText>
      </w:r>
      <w:r w:rsidRPr="00C821A9">
        <w:fldChar w:fldCharType="separate"/>
      </w:r>
      <w:r w:rsidRPr="00C821A9">
        <w:rPr>
          <w:noProof/>
        </w:rPr>
        <w:t>44</w:t>
      </w:r>
      <w:r w:rsidRPr="00C821A9">
        <w:fldChar w:fldCharType="end"/>
      </w:r>
      <w:bookmarkEnd w:id="33"/>
      <w:r w:rsidRPr="00C821A9">
        <w:t xml:space="preserve">.  In the </w:t>
      </w:r>
      <w:r w:rsidRPr="00C821A9">
        <w:rPr>
          <w:i/>
        </w:rPr>
        <w:t>Dekker</w:t>
      </w:r>
      <w:r w:rsidRPr="00C821A9">
        <w:t xml:space="preserve"> judgment (8 November 1990, C</w:t>
      </w:r>
      <w:r w:rsidRPr="00C821A9">
        <w:noBreakHyphen/>
        <w:t xml:space="preserve">177/88, </w:t>
      </w:r>
      <w:r w:rsidRPr="00C821A9">
        <w:rPr>
          <w:lang w:val="en"/>
        </w:rPr>
        <w:t>EU:C:1990:383</w:t>
      </w:r>
      <w:r w:rsidRPr="00C821A9">
        <w:t xml:space="preserve">), the CJEU ruled that a refusal to employ a woman who met the conditions for a post because she was pregnant constituted direct discrimination on grounds of sex. The applicant in the </w:t>
      </w:r>
      <w:r w:rsidRPr="00C821A9">
        <w:rPr>
          <w:i/>
        </w:rPr>
        <w:t>Dekker</w:t>
      </w:r>
      <w:r w:rsidRPr="00C821A9">
        <w:t xml:space="preserve"> case applied for the post, was considered the most suitable candidate, but ultimately was not hired because she was pregnant. The employer argued that, in accordance with the law, she was not eligible to be paid pregnancy benefits by the relevant insurer, and thus the employer would have to pay those benefits during her maternity leave. As a result, the employer </w:t>
      </w:r>
      <w:r w:rsidRPr="00C821A9">
        <w:rPr>
          <w:iCs/>
        </w:rPr>
        <w:t xml:space="preserve">would be unable to afford to employ a replacement during her </w:t>
      </w:r>
      <w:r w:rsidRPr="00C821A9">
        <w:rPr>
          <w:iCs/>
        </w:rPr>
        <w:t>absence, and</w:t>
      </w:r>
      <w:r w:rsidRPr="00C821A9">
        <w:rPr>
          <w:iCs/>
        </w:rPr>
        <w:t xml:space="preserve"> would thus be short-staffed. </w:t>
      </w:r>
      <w:r w:rsidRPr="00C821A9">
        <w:t>The CJEU found as follows.</w:t>
      </w:r>
    </w:p>
    <w:p w:rsidRPr="00C821A9" w:rsidR="00EC4EEA" w:rsidP="00EC4EEA" w14:paraId="62893326" w14:textId="77777777">
      <w:pPr>
        <w:pStyle w:val="JuQuot"/>
      </w:pPr>
      <w:r w:rsidRPr="00C821A9">
        <w:t>“</w:t>
      </w:r>
      <w:r w:rsidRPr="00C821A9">
        <w:t>12  In</w:t>
      </w:r>
      <w:r w:rsidRPr="00C821A9">
        <w:t xml:space="preserve"> that regard it should be observed that only women can be refused employment on grounds of pregnancy and such a refusal therefore constitutes direct discrimination on grounds of sex. A refusal of employment on account of the financial consequences of absence due to pregnancy must be regarded as based, essentially, on the fact of pregnancy. Such discrimination cannot be justified on grounds relating to the financial loss which an employer who appointed a pregnant woman would suffer for the duration of her maternity leave.”</w:t>
      </w:r>
    </w:p>
    <w:bookmarkStart w:name="CJEU_2Hertz" w:id="34"/>
    <w:p w:rsidRPr="00C821A9" w:rsidR="00EC4EEA" w:rsidP="00EC4EEA" w14:paraId="447C1365" w14:textId="77777777">
      <w:pPr>
        <w:pStyle w:val="JuPara"/>
        <w:rPr>
          <w:iCs/>
        </w:rPr>
      </w:pPr>
      <w:r w:rsidRPr="00C821A9">
        <w:fldChar w:fldCharType="begin"/>
      </w:r>
      <w:r w:rsidRPr="00C821A9">
        <w:instrText xml:space="preserve"> SEQ level0 \*arabic </w:instrText>
      </w:r>
      <w:r w:rsidRPr="00C821A9">
        <w:fldChar w:fldCharType="separate"/>
      </w:r>
      <w:r w:rsidRPr="00C821A9">
        <w:rPr>
          <w:noProof/>
        </w:rPr>
        <w:t>45</w:t>
      </w:r>
      <w:r w:rsidRPr="00C821A9">
        <w:fldChar w:fldCharType="end"/>
      </w:r>
      <w:bookmarkEnd w:id="34"/>
      <w:r w:rsidRPr="00C821A9">
        <w:t xml:space="preserve">.  In the </w:t>
      </w:r>
      <w:r w:rsidRPr="00C821A9">
        <w:rPr>
          <w:i/>
        </w:rPr>
        <w:t>Hertz</w:t>
      </w:r>
      <w:r w:rsidRPr="00C821A9">
        <w:t xml:space="preserve"> judgment</w:t>
      </w:r>
      <w:r w:rsidRPr="00C821A9">
        <w:rPr>
          <w:iCs/>
        </w:rPr>
        <w:t xml:space="preserve"> </w:t>
      </w:r>
      <w:r w:rsidRPr="00C821A9">
        <w:t>(8 November 1990, C</w:t>
      </w:r>
      <w:r w:rsidRPr="00C821A9">
        <w:noBreakHyphen/>
        <w:t xml:space="preserve">179/88, </w:t>
      </w:r>
      <w:r w:rsidRPr="00C821A9">
        <w:rPr>
          <w:lang w:val="en"/>
        </w:rPr>
        <w:t>EU:C:1990:384</w:t>
      </w:r>
      <w:r w:rsidRPr="00C821A9">
        <w:t xml:space="preserve">), the CJEU ruled that </w:t>
      </w:r>
      <w:r w:rsidRPr="00C821A9">
        <w:rPr>
          <w:iCs/>
        </w:rPr>
        <w:t xml:space="preserve">dismissals which were the result of </w:t>
      </w:r>
      <w:r w:rsidRPr="00C821A9">
        <w:rPr>
          <w:iCs/>
        </w:rPr>
        <w:t>absences due to an illness not attributable to pregnancy or confinement did not breach the Directive on equal treatment. In that case, the applicant, who had been absent owing to illness during her pregnancy, became ill again after the end of her maternity leave. She was dismissed because of her absences. The relevant parts of that judgment read as follows:</w:t>
      </w:r>
    </w:p>
    <w:p w:rsidRPr="00C821A9" w:rsidR="00EC4EEA" w:rsidP="00EC4EEA" w14:paraId="6700D451" w14:textId="77777777">
      <w:pPr>
        <w:pStyle w:val="JuQuot"/>
      </w:pPr>
      <w:r w:rsidRPr="00C821A9">
        <w:t>“13  It follows from the provisions of the Directive quoted above that the dismissal of a female worker on account of pregnancy constitutes direct discrimination on grounds of sex, as is a refusal to appoint a pregnant woman (see judgment of today’s date in Case C</w:t>
      </w:r>
      <w:r w:rsidRPr="00C821A9">
        <w:noBreakHyphen/>
        <w:t xml:space="preserve">177/88 </w:t>
      </w:r>
      <w:r w:rsidRPr="00C821A9">
        <w:rPr>
          <w:i/>
          <w:iCs/>
        </w:rPr>
        <w:t>Dekker</w:t>
      </w:r>
      <w:r w:rsidRPr="00C821A9">
        <w:t xml:space="preserve"> v </w:t>
      </w:r>
      <w:r w:rsidRPr="00C821A9">
        <w:rPr>
          <w:i/>
          <w:iCs/>
        </w:rPr>
        <w:t>VJM-Centrum</w:t>
      </w:r>
      <w:r w:rsidRPr="00C821A9">
        <w:t xml:space="preserve"> [1990] ECR I</w:t>
      </w:r>
      <w:r w:rsidRPr="00C821A9">
        <w:noBreakHyphen/>
        <w:t>3941).</w:t>
      </w:r>
    </w:p>
    <w:p w:rsidRPr="00C821A9" w:rsidR="00EC4EEA" w:rsidP="00EC4EEA" w14:paraId="25DE2455" w14:textId="77777777">
      <w:pPr>
        <w:pStyle w:val="JuQuot"/>
      </w:pPr>
      <w:r w:rsidRPr="00C821A9">
        <w:t>14  On the other hand, the dismissal of a female worker on account of repeated periods of sick leave which are not attributable to pregnancy or confinement does not constitute direct discrimination on grounds of sex, inasmuch as such periods of sick leave would lead to the dismissal of a male worker in the same circumstances.</w:t>
      </w:r>
    </w:p>
    <w:p w:rsidRPr="00C821A9" w:rsidR="00EC4EEA" w:rsidP="00EC4EEA" w14:paraId="5624A2D9" w14:textId="77777777">
      <w:pPr>
        <w:pStyle w:val="JuQuot"/>
      </w:pPr>
      <w:r w:rsidRPr="00C821A9">
        <w:t>15  The</w:t>
      </w:r>
      <w:r w:rsidRPr="00C821A9">
        <w:t xml:space="preserve"> Directive does not envisage the case of an illness attributable to pregnancy or confinement. It does, however, admit of national provisions guaranteeing women specific rights on account of pregnancy and maternity, such as maternity leave. During the maternity leave accorded to her pursuant to national law, a woman is accordingly protected against dismissal due to absence. It is for every Member State to fix periods of maternity leave in such a way as to enable female workers to absent themselves during the period in which the disorders inherent in pregnancy and confinement occur.</w:t>
      </w:r>
    </w:p>
    <w:p w:rsidRPr="00C821A9" w:rsidR="00EC4EEA" w:rsidP="00EC4EEA" w14:paraId="56885418" w14:textId="77777777">
      <w:pPr>
        <w:pStyle w:val="JuQuot"/>
      </w:pPr>
      <w:r w:rsidRPr="00C821A9">
        <w:t>16  In</w:t>
      </w:r>
      <w:r w:rsidRPr="00C821A9">
        <w:t xml:space="preserve"> the case of an illness manifesting itself after the maternity leave, there is no reason to distinguish an illness attributable to pregnancy or confinement from any other illness. Such a pathological condition is therefore covered by the general rules applicable in the event of illness.”</w:t>
      </w:r>
    </w:p>
    <w:bookmarkStart w:name="CJEU_3Webb" w:id="35"/>
    <w:p w:rsidRPr="00C821A9" w:rsidR="00EC4EEA" w:rsidP="00EC4EEA" w14:paraId="470F00D3" w14:textId="77777777">
      <w:pPr>
        <w:pStyle w:val="JuPara"/>
      </w:pPr>
      <w:r w:rsidRPr="00C821A9">
        <w:fldChar w:fldCharType="begin"/>
      </w:r>
      <w:r w:rsidRPr="00C821A9">
        <w:instrText xml:space="preserve"> SEQ level0 \*arabic </w:instrText>
      </w:r>
      <w:r w:rsidRPr="00C821A9">
        <w:fldChar w:fldCharType="separate"/>
      </w:r>
      <w:r w:rsidRPr="00C821A9">
        <w:rPr>
          <w:noProof/>
        </w:rPr>
        <w:t>46</w:t>
      </w:r>
      <w:r w:rsidRPr="00C821A9">
        <w:fldChar w:fldCharType="end"/>
      </w:r>
      <w:bookmarkEnd w:id="35"/>
      <w:r w:rsidRPr="00C821A9">
        <w:t>.  The CJEU further held that any unfavourable treatment directly or indirectly connected to pregnancy or maternity constituted direct sex discrimination.</w:t>
      </w:r>
    </w:p>
    <w:p w:rsidRPr="00C821A9" w:rsidR="00EC4EEA" w:rsidP="00EC4EEA" w14:paraId="259F6BE8" w14:textId="77777777">
      <w:pPr>
        <w:pStyle w:val="JuPara"/>
      </w:pPr>
      <w:r w:rsidRPr="00C821A9">
        <w:t xml:space="preserve">In the </w:t>
      </w:r>
      <w:r w:rsidRPr="00C821A9">
        <w:rPr>
          <w:i/>
        </w:rPr>
        <w:t xml:space="preserve">Webb </w:t>
      </w:r>
      <w:r w:rsidRPr="00C821A9">
        <w:t xml:space="preserve">judgment (14 July 1994, C-32/93, </w:t>
      </w:r>
      <w:r w:rsidRPr="00C821A9">
        <w:rPr>
          <w:lang w:val="en"/>
        </w:rPr>
        <w:t>EU:C:1994:300</w:t>
      </w:r>
      <w:r w:rsidRPr="00C821A9">
        <w:t xml:space="preserve">), the CJEU found that the situation of a pregnant woman could not be compared with that of a man who was absent because of illness. The applicant in the </w:t>
      </w:r>
      <w:r w:rsidRPr="00C821A9">
        <w:rPr>
          <w:i/>
        </w:rPr>
        <w:t xml:space="preserve">Webb </w:t>
      </w:r>
      <w:r w:rsidRPr="00C821A9">
        <w:t>case found out that she was pregnant a few weeks after being hired to replace a worker who had herself become pregnant. She was dismissed as soon as the employer found out about her pregnancy. The CJEU ruled as follows:</w:t>
      </w:r>
    </w:p>
    <w:p w:rsidRPr="00C821A9" w:rsidR="00EC4EEA" w:rsidP="00EC4EEA" w14:paraId="6FFB612B" w14:textId="77777777">
      <w:pPr>
        <w:pStyle w:val="JuQuot"/>
      </w:pPr>
      <w:r w:rsidRPr="00C821A9">
        <w:t>“24  First, in response to the House of Lords’ inquiry, there can be no question of comparing the situation of a woman who finds herself incapable, by reason of pregnancy discovered very shortly after the conclusion of the employment contract, of performing the task for which she was recruited with that of a man similarly incapable for medical or other reasons.</w:t>
      </w:r>
    </w:p>
    <w:p w:rsidRPr="00C821A9" w:rsidR="00EC4EEA" w:rsidP="00EC4EEA" w14:paraId="19CBB02D" w14:textId="77777777">
      <w:pPr>
        <w:pStyle w:val="JuQuot"/>
      </w:pPr>
      <w:r w:rsidRPr="00C821A9">
        <w:t xml:space="preserve">25  As Mrs Webb rightly argues, pregnancy is not in any way comparable with a pathological condition, and even less so with unavailability for work on non-medical grounds, both of which are situations that may justify the dismissal of a woman without discriminating on grounds of sex. Moreover, in the Hertz judgment, cited above, the Court drew a clear distinction between pregnancy and illness, even where the illness is attributable to pregnancy but manifests itself after the maternity leave. As </w:t>
      </w:r>
      <w:r w:rsidRPr="00C821A9">
        <w:t>the Court pointed out (in paragraph 16), there is no reason to distinguish such an illness from any other illness.</w:t>
      </w:r>
    </w:p>
    <w:p w:rsidRPr="00C821A9" w:rsidR="00EC4EEA" w:rsidP="00EC4EEA" w14:paraId="36326412" w14:textId="77777777">
      <w:pPr>
        <w:pStyle w:val="JuQuot"/>
      </w:pPr>
      <w:r w:rsidRPr="00C821A9">
        <w:t>26  Furthermore</w:t>
      </w:r>
      <w:r w:rsidRPr="00C821A9">
        <w:t>, contrary to the submission of the United Kingdom, dismissal of a pregnant woman recruited for an indefinite period cannot be justified on grounds relating to her inability to fulfil a fundamental condition of her employment contract. The availability of an employee is necessarily, for the employer, a precondition for the proper performance of the employment contract. However, the protection afforded by Community law to a woman during pregnancy and after childbirth cannot be dependent on whether her presence at work during maternity is essential to the proper functioning of the undertaking in which she is employed. Any contrary interpretation would render ineffective the provisions of the directive.</w:t>
      </w:r>
    </w:p>
    <w:p w:rsidRPr="00C821A9" w:rsidR="00EC4EEA" w:rsidP="00EC4EEA" w14:paraId="4635E972" w14:textId="77777777">
      <w:pPr>
        <w:pStyle w:val="JuQuot"/>
      </w:pPr>
      <w:r w:rsidRPr="00C821A9">
        <w:t>27  In circumstances such as those of Mrs Webb, termination of a contract for an indefinite period on grounds of the woman’s pregnancy cannot be justified by the fact that she is prevented, on a purely temporary basis, from performing the work for which she has been engaged ...”</w:t>
      </w:r>
    </w:p>
    <w:bookmarkStart w:name="CJEU_4Hofmann" w:id="36"/>
    <w:p w:rsidRPr="00C821A9" w:rsidR="00EC4EEA" w:rsidP="00EC4EEA" w14:paraId="1D498B44" w14:textId="77777777">
      <w:pPr>
        <w:pStyle w:val="JuPara"/>
      </w:pPr>
      <w:r w:rsidRPr="00C821A9">
        <w:fldChar w:fldCharType="begin"/>
      </w:r>
      <w:r w:rsidRPr="00C821A9">
        <w:instrText xml:space="preserve"> SEQ level0 \*arabic </w:instrText>
      </w:r>
      <w:r w:rsidRPr="00C821A9">
        <w:fldChar w:fldCharType="separate"/>
      </w:r>
      <w:r w:rsidRPr="00C821A9">
        <w:rPr>
          <w:noProof/>
        </w:rPr>
        <w:t>47</w:t>
      </w:r>
      <w:r w:rsidRPr="00C821A9">
        <w:fldChar w:fldCharType="end"/>
      </w:r>
      <w:bookmarkEnd w:id="36"/>
      <w:r w:rsidRPr="00C821A9">
        <w:t xml:space="preserve">.  In the </w:t>
      </w:r>
      <w:r w:rsidRPr="00C821A9">
        <w:rPr>
          <w:i/>
        </w:rPr>
        <w:t xml:space="preserve">Hofmann </w:t>
      </w:r>
      <w:r w:rsidRPr="00C821A9">
        <w:t xml:space="preserve">judgment (12 July 1984, </w:t>
      </w:r>
      <w:r w:rsidRPr="00C821A9">
        <w:rPr>
          <w:bCs/>
        </w:rPr>
        <w:t>C</w:t>
      </w:r>
      <w:r w:rsidRPr="00C821A9">
        <w:rPr>
          <w:bCs/>
        </w:rPr>
        <w:noBreakHyphen/>
        <w:t>184/83</w:t>
      </w:r>
      <w:r w:rsidRPr="00C821A9">
        <w:t xml:space="preserve">, </w:t>
      </w:r>
      <w:r w:rsidRPr="00C821A9">
        <w:rPr>
          <w:bCs/>
        </w:rPr>
        <w:t>EU:C:1984:273</w:t>
      </w:r>
      <w:r w:rsidRPr="00C821A9">
        <w:t>), which concerned paternity allowance, the CJEU found as follows:</w:t>
      </w:r>
    </w:p>
    <w:p w:rsidRPr="00C821A9" w:rsidR="00EC4EEA" w:rsidP="00EC4EEA" w14:paraId="297062CE" w14:textId="77777777">
      <w:pPr>
        <w:pStyle w:val="JuQuot"/>
      </w:pPr>
      <w:r w:rsidRPr="00C821A9">
        <w:t>“25  It should further be added, with particular reference to paragraph (3), that, by reserving to member states the right to retain, or introduce provisions which are intended to protect women in connection with ‘pregnancy and maternity’, the directive recognizes the legitimacy, in terms of the principle of equal treatment, of protecting a woman’s needs in two respects. First, it is legitimate to ensure the protection of a woman’s biological condition during pregnancy and thereafter until such time as her physiological and mental functions have returned to normal after childbirth; secondly, it is legitimate to protect the special relationship between a woman and her child over the period which follows pregnancy and childbirth, by preventing that relationship from being disturbed by the multiple burdens which would result from the simultaneous pursuit of employment.”</w:t>
      </w:r>
    </w:p>
    <w:bookmarkStart w:name="CJEU_5TeleDanmark" w:id="37"/>
    <w:p w:rsidRPr="00C821A9" w:rsidR="00EC4EEA" w:rsidP="00EC4EEA" w14:paraId="578B4E07" w14:textId="77777777">
      <w:pPr>
        <w:pStyle w:val="JuPara"/>
      </w:pPr>
      <w:r w:rsidRPr="00C821A9">
        <w:fldChar w:fldCharType="begin"/>
      </w:r>
      <w:r w:rsidRPr="00C821A9">
        <w:instrText xml:space="preserve"> SEQ level0 \*arabic </w:instrText>
      </w:r>
      <w:r w:rsidRPr="00C821A9">
        <w:fldChar w:fldCharType="separate"/>
      </w:r>
      <w:r w:rsidRPr="00C821A9">
        <w:rPr>
          <w:noProof/>
        </w:rPr>
        <w:t>48</w:t>
      </w:r>
      <w:r w:rsidRPr="00C821A9">
        <w:fldChar w:fldCharType="end"/>
      </w:r>
      <w:bookmarkEnd w:id="37"/>
      <w:r w:rsidRPr="00C821A9">
        <w:t xml:space="preserve">.  In the </w:t>
      </w:r>
      <w:r w:rsidRPr="00C821A9">
        <w:rPr>
          <w:bCs/>
          <w:i/>
        </w:rPr>
        <w:t xml:space="preserve">Tele </w:t>
      </w:r>
      <w:r w:rsidRPr="00C821A9">
        <w:rPr>
          <w:bCs/>
          <w:i/>
        </w:rPr>
        <w:t>Danmark</w:t>
      </w:r>
      <w:r w:rsidRPr="00C821A9">
        <w:rPr>
          <w:bCs/>
          <w:i/>
        </w:rPr>
        <w:t xml:space="preserve"> </w:t>
      </w:r>
      <w:r w:rsidRPr="00C821A9">
        <w:rPr>
          <w:bCs/>
        </w:rPr>
        <w:t xml:space="preserve">judgment </w:t>
      </w:r>
      <w:r w:rsidRPr="00C821A9">
        <w:t xml:space="preserve">(4 October 2001, C-109/00, </w:t>
      </w:r>
      <w:r w:rsidRPr="00C821A9">
        <w:rPr>
          <w:lang w:val="en"/>
        </w:rPr>
        <w:t>EU:C:2001:513</w:t>
      </w:r>
      <w:r w:rsidRPr="00C821A9">
        <w:t>), the CJEU extended the protection for absence due to pregnancy to temporary contracts. The applicant was recruited for a six</w:t>
      </w:r>
      <w:r w:rsidRPr="00C821A9">
        <w:noBreakHyphen/>
        <w:t>month fixed period. She failed to inform the employer that she was pregnant, even though she was aware of this when the contract was concluded. Because of her pregnancy, she was unable to work during a substantial part of the term of that contract. The relevant parts of the judgment read as follows:</w:t>
      </w:r>
    </w:p>
    <w:p w:rsidRPr="00C821A9" w:rsidR="00EC4EEA" w:rsidP="00EC4EEA" w14:paraId="163D508A" w14:textId="77777777">
      <w:pPr>
        <w:pStyle w:val="JuQuot"/>
      </w:pPr>
      <w:r w:rsidRPr="00C821A9">
        <w:t xml:space="preserve">“29.  In paragraph 26 of </w:t>
      </w:r>
      <w:r w:rsidRPr="00C821A9">
        <w:rPr>
          <w:i/>
        </w:rPr>
        <w:t>Webb</w:t>
      </w:r>
      <w:r w:rsidRPr="00C821A9">
        <w:t>, the Court also held that, while the availability of an employee is necessarily, for the employer, a precondition for the proper performance of the employment contract, the protection afforded by Community law to a woman during pregnancy and after childbirth cannot be dependent on whether her presence at work during the period corresponding to maternity leave is essential to the proper functioning of the undertaking in which she is employed. A contrary interpretation would render ineffective the provisions of Directive 76/207.</w:t>
      </w:r>
    </w:p>
    <w:p w:rsidRPr="00C821A9" w:rsidR="00EC4EEA" w:rsidP="00EC4EEA" w14:paraId="49478A7C" w14:textId="77777777">
      <w:pPr>
        <w:pStyle w:val="JuQuot"/>
      </w:pPr>
      <w:r w:rsidRPr="00C821A9">
        <w:t>30.  Such an interpretation cannot be altered by the fact that the contract of employment was concluded for a fixed term.</w:t>
      </w:r>
    </w:p>
    <w:p w:rsidRPr="00C821A9" w:rsidR="00EC4EEA" w:rsidP="00EC4EEA" w14:paraId="58989468" w14:textId="77777777">
      <w:pPr>
        <w:pStyle w:val="JuQuot"/>
      </w:pPr>
      <w:r w:rsidRPr="00C821A9">
        <w:t>31.  Since the dismissal of a worker on account of pregnancy constitutes direct discrimination on grounds of sex, whatever the nature and extent of the economic loss incurred by the employer as a result of her absence because of pregnancy, whether the contract of employment was concluded for a fixed or an indefinite period has no bearing on the discriminatory character of the dismissal. In either case the employee’s inability to perform her contract of employment is due to pregnancy.</w:t>
      </w:r>
    </w:p>
    <w:p w:rsidRPr="00C821A9" w:rsidR="00EC4EEA" w:rsidP="00EC4EEA" w14:paraId="7082400E" w14:textId="77777777">
      <w:pPr>
        <w:pStyle w:val="JuQuot"/>
      </w:pPr>
      <w:r w:rsidRPr="00C821A9">
        <w:t>32.  Moreover, the duration of an employment relationship is a particularly uncertain element of the relationship in that, even if the worker is recruited under a fixed term contract, such a relationship may be for a longer or shorter period, and is moreover liable to be renewed or extended.”</w:t>
      </w:r>
    </w:p>
    <w:p w:rsidRPr="00C821A9" w:rsidR="00EC4EEA" w:rsidP="00EC4EEA" w14:paraId="4FE056F7" w14:textId="77777777">
      <w:pPr>
        <w:pStyle w:val="JuPara"/>
      </w:pPr>
      <w:r w:rsidRPr="00C821A9">
        <w:t>In that judgment, the CJEU further found that the size of an employer was irrelevant for that matter:</w:t>
      </w:r>
    </w:p>
    <w:p w:rsidRPr="00C821A9" w:rsidR="00EC4EEA" w:rsidP="00EC4EEA" w14:paraId="6C752190" w14:textId="77777777">
      <w:pPr>
        <w:pStyle w:val="JuQuot"/>
      </w:pPr>
      <w:r w:rsidRPr="00C821A9">
        <w:t>“37.  It suffices to observe that Directives 76/207 and 92/85 do not distinguish, as regards the scope of the prohibitions they lay down and the rights they guarantee, according to the size of the undertaking concerned.”</w:t>
      </w:r>
    </w:p>
    <w:p w:rsidRPr="00C821A9" w:rsidR="00EC4EEA" w:rsidP="00EC4EEA" w14:paraId="6495775D" w14:textId="77777777">
      <w:pPr>
        <w:pStyle w:val="JuHIRoman"/>
      </w:pPr>
      <w:r w:rsidRPr="00C821A9">
        <w:t>INTERNATIONAL MATERIAL</w:t>
      </w:r>
    </w:p>
    <w:bookmarkStart w:name="CEDAW" w:id="38"/>
    <w:p w:rsidRPr="00C821A9" w:rsidR="00EC4EEA" w:rsidP="00EC4EEA" w14:paraId="551113E9" w14:textId="77777777">
      <w:pPr>
        <w:pStyle w:val="JuPara"/>
      </w:pPr>
      <w:r w:rsidRPr="00C821A9">
        <w:fldChar w:fldCharType="begin"/>
      </w:r>
      <w:r w:rsidRPr="00C821A9">
        <w:instrText xml:space="preserve"> SEQ level0 \*arabic </w:instrText>
      </w:r>
      <w:r w:rsidRPr="00C821A9">
        <w:fldChar w:fldCharType="separate"/>
      </w:r>
      <w:r w:rsidRPr="00C821A9">
        <w:rPr>
          <w:noProof/>
        </w:rPr>
        <w:t>49</w:t>
      </w:r>
      <w:r w:rsidRPr="00C821A9">
        <w:fldChar w:fldCharType="end"/>
      </w:r>
      <w:bookmarkEnd w:id="38"/>
      <w:r w:rsidRPr="00C821A9">
        <w:t>.  The relevant parts of the United Nations Convention on the Elimination of All Forms of Discrimination against Women (“the CEDAW”), which was ratified by the respondent State on 7 January 1982, read as follows:</w:t>
      </w:r>
    </w:p>
    <w:p w:rsidRPr="00C821A9" w:rsidR="00EC4EEA" w:rsidP="00EC4EEA" w14:paraId="0B35A56B" w14:textId="77777777">
      <w:pPr>
        <w:pStyle w:val="JuHArticle"/>
      </w:pPr>
      <w:r w:rsidRPr="00C821A9">
        <w:t>Article 4</w:t>
      </w:r>
    </w:p>
    <w:p w:rsidRPr="00C821A9" w:rsidR="00EC4EEA" w:rsidP="00EC4EEA" w14:paraId="2417B032" w14:textId="77777777">
      <w:pPr>
        <w:pStyle w:val="JuQuot"/>
      </w:pPr>
      <w:r w:rsidRPr="00C821A9">
        <w:t xml:space="preserve">“1.  Adoption by States Parties of temporary special measures aimed at accelerating </w:t>
      </w:r>
      <w:r w:rsidRPr="00C821A9">
        <w:rPr>
          <w:i/>
        </w:rPr>
        <w:t>de facto</w:t>
      </w:r>
      <w:r w:rsidRPr="00C821A9">
        <w:t xml:space="preserve"> equality between men and women shall not be considered discrimination as defined in the present Convention, but shall in no way entail as a consequence the maintenance of unequal or separate standards; these measures shall be discontinued when the objectives of equality of opportunity and treatment have been achieved.</w:t>
      </w:r>
    </w:p>
    <w:p w:rsidRPr="00C821A9" w:rsidR="00EC4EEA" w:rsidP="00EC4EEA" w14:paraId="3BCF3C17" w14:textId="77777777">
      <w:pPr>
        <w:pStyle w:val="JuQuot"/>
      </w:pPr>
      <w:r w:rsidRPr="00C821A9">
        <w:t>2.  Adoption by States Parties of special measures, including those measures contained in the present Convention, aimed at protecting maternity shall not be considered discriminatory.”</w:t>
      </w:r>
    </w:p>
    <w:p w:rsidRPr="00C821A9" w:rsidR="00EC4EEA" w:rsidP="00EC4EEA" w14:paraId="1841149A" w14:textId="77777777">
      <w:pPr>
        <w:pStyle w:val="JuHArticle"/>
      </w:pPr>
      <w:r w:rsidRPr="00C821A9">
        <w:t>Article 5</w:t>
      </w:r>
    </w:p>
    <w:p w:rsidRPr="00C821A9" w:rsidR="00EC4EEA" w:rsidP="00EC4EEA" w14:paraId="13C00E0C" w14:textId="77777777">
      <w:pPr>
        <w:pStyle w:val="JuQuot"/>
      </w:pPr>
      <w:r w:rsidRPr="00C821A9">
        <w:t>“States Parties shall take all appropriate measures:</w:t>
      </w:r>
    </w:p>
    <w:p w:rsidRPr="00C821A9" w:rsidR="00EC4EEA" w:rsidP="00EC4EEA" w14:paraId="49E79B61" w14:textId="77777777">
      <w:pPr>
        <w:pStyle w:val="JuQuot"/>
      </w:pPr>
      <w:r w:rsidRPr="00C821A9">
        <w:t>(a)  To modify the social and cultural patterns of conduct of men and women, with a view to achieving the elimination of prejudices and customary and all other practices which are based on the idea of the inferiority or the superiority of either of the sexes or on stereotyped roles for men and women;</w:t>
      </w:r>
    </w:p>
    <w:p w:rsidRPr="00C821A9" w:rsidR="00EC4EEA" w:rsidP="00EC4EEA" w14:paraId="5540BAD8" w14:textId="77777777">
      <w:pPr>
        <w:pStyle w:val="JuQuot"/>
      </w:pPr>
      <w:r w:rsidRPr="00C821A9">
        <w:t>(b)  To ensure that family education includes a proper understanding of maternity as a social function and the recognition of the common responsibility of men and women in the upbringing and development of their children, it being understood that the interest of the children is the primordial consideration in all cases.”</w:t>
      </w:r>
    </w:p>
    <w:p w:rsidRPr="00C821A9" w:rsidR="00EC4EEA" w:rsidP="00EC4EEA" w14:paraId="2F4CCBCF" w14:textId="77777777">
      <w:pPr>
        <w:pStyle w:val="JuHArticle"/>
      </w:pPr>
      <w:r w:rsidRPr="00C821A9">
        <w:t>Article 11</w:t>
      </w:r>
    </w:p>
    <w:p w:rsidRPr="00C821A9" w:rsidR="00EC4EEA" w:rsidP="00EC4EEA" w14:paraId="303387C9" w14:textId="77777777">
      <w:pPr>
        <w:pStyle w:val="JuQuot"/>
      </w:pPr>
      <w:r w:rsidRPr="00C821A9">
        <w:t xml:space="preserve">“1.  States Parties shall take all appropriate measures to eliminate discrimination against women in the field of employment </w:t>
      </w:r>
      <w:r w:rsidRPr="00C821A9">
        <w:t>in order to</w:t>
      </w:r>
      <w:r w:rsidRPr="00C821A9">
        <w:t xml:space="preserve"> ensure, on a basis of equality of men and women, the same rights, in particular:</w:t>
      </w:r>
    </w:p>
    <w:p w:rsidRPr="00C821A9" w:rsidR="00EC4EEA" w:rsidP="00EC4EEA" w14:paraId="43ECFDB7" w14:textId="77777777">
      <w:pPr>
        <w:pStyle w:val="JuQuot"/>
      </w:pPr>
      <w:r w:rsidRPr="00C821A9">
        <w:t xml:space="preserve">(a) The right to work as an inalienable right of all human </w:t>
      </w:r>
      <w:r w:rsidRPr="00C821A9">
        <w:t>beings;</w:t>
      </w:r>
    </w:p>
    <w:p w:rsidRPr="00C821A9" w:rsidR="00EC4EEA" w:rsidP="00EC4EEA" w14:paraId="75CE2B32" w14:textId="77777777">
      <w:pPr>
        <w:pStyle w:val="JuQuot"/>
      </w:pPr>
      <w:r w:rsidRPr="00C821A9">
        <w:t xml:space="preserve">(b)  The right to the same employment opportunities, including the application of the same criteria for selection in matters of </w:t>
      </w:r>
      <w:r w:rsidRPr="00C821A9">
        <w:t>employment;</w:t>
      </w:r>
    </w:p>
    <w:p w:rsidRPr="00C821A9" w:rsidR="00EC4EEA" w:rsidP="00EC4EEA" w14:paraId="015C1594" w14:textId="77777777">
      <w:pPr>
        <w:pStyle w:val="JuQuot"/>
      </w:pPr>
      <w:r w:rsidRPr="00C821A9">
        <w:t xml:space="preserve">(c)  The right to free choice of profession and employment, the right to promotion, job security and all benefits and conditions of service and the right to receive vocational training and retraining, including apprenticeships, advanced vocational training and recurrent </w:t>
      </w:r>
      <w:r w:rsidRPr="00C821A9">
        <w:t>training;</w:t>
      </w:r>
    </w:p>
    <w:p w:rsidRPr="00C821A9" w:rsidR="00EC4EEA" w:rsidP="00EC4EEA" w14:paraId="44B47E58" w14:textId="77777777">
      <w:pPr>
        <w:pStyle w:val="JuQuot"/>
      </w:pPr>
      <w:r w:rsidRPr="00C821A9">
        <w:t xml:space="preserve">(d)  The right to equal remuneration, including benefits, and to equal treatment in respect of work of equal value, as well as equality of treatment in the evaluation of the quality of </w:t>
      </w:r>
      <w:r w:rsidRPr="00C821A9">
        <w:t>work;</w:t>
      </w:r>
    </w:p>
    <w:p w:rsidRPr="00C821A9" w:rsidR="00EC4EEA" w:rsidP="00EC4EEA" w14:paraId="5B5FDCEC" w14:textId="77777777">
      <w:pPr>
        <w:pStyle w:val="JuQuot"/>
      </w:pPr>
      <w:r w:rsidRPr="00C821A9">
        <w:t xml:space="preserve">(e)  The right to social security, particularly in cases of retirement, unemployment, sickness, invalidity and old age and other incapacity to work, as well as the right to paid </w:t>
      </w:r>
      <w:r w:rsidRPr="00C821A9">
        <w:t>leave;</w:t>
      </w:r>
    </w:p>
    <w:p w:rsidRPr="00C821A9" w:rsidR="00EC4EEA" w:rsidP="00EC4EEA" w14:paraId="07AB1EB5" w14:textId="77777777">
      <w:pPr>
        <w:pStyle w:val="JuQuot"/>
      </w:pPr>
      <w:r w:rsidRPr="00C821A9">
        <w:t>(f)  The right to protection of health and to safety in working conditions, including the safeguarding of the function of reproduction.</w:t>
      </w:r>
    </w:p>
    <w:p w:rsidRPr="00C821A9" w:rsidR="00EC4EEA" w:rsidP="00EC4EEA" w14:paraId="4AC5B87B" w14:textId="77777777">
      <w:pPr>
        <w:pStyle w:val="JuQuot"/>
      </w:pPr>
      <w:r w:rsidRPr="00C821A9">
        <w:t>2.  In order to prevent discrimination against women on the grounds of marriage or maternity and to ensure their effective right to work, States Parties shall take appropriate measures:</w:t>
      </w:r>
    </w:p>
    <w:p w:rsidRPr="00C821A9" w:rsidR="00EC4EEA" w:rsidP="00EC4EEA" w14:paraId="1E431F67" w14:textId="77777777">
      <w:pPr>
        <w:pStyle w:val="JuQuot"/>
      </w:pPr>
      <w:r w:rsidRPr="00C821A9">
        <w:t xml:space="preserve">(a) To prohibit, subject to the imposition of sanctions, dismissal on the grounds of pregnancy or of maternity leave and discrimination in dismissals on the basis of marital </w:t>
      </w:r>
      <w:r w:rsidRPr="00C821A9">
        <w:t>status;</w:t>
      </w:r>
    </w:p>
    <w:p w:rsidRPr="00C821A9" w:rsidR="00EC4EEA" w:rsidP="00EC4EEA" w14:paraId="1018684B" w14:textId="77777777">
      <w:pPr>
        <w:pStyle w:val="JuQuot"/>
      </w:pPr>
      <w:r w:rsidRPr="00C821A9">
        <w:t xml:space="preserve">(b)  To introduce maternity leave with pay or with comparable social benefits without loss of former employment, seniority or social </w:t>
      </w:r>
      <w:r w:rsidRPr="00C821A9">
        <w:t>allowances;</w:t>
      </w:r>
    </w:p>
    <w:p w:rsidRPr="00C821A9" w:rsidR="00EC4EEA" w:rsidP="00EC4EEA" w14:paraId="1365CFBA" w14:textId="77777777">
      <w:pPr>
        <w:pStyle w:val="JuQuot"/>
      </w:pPr>
      <w:r w:rsidRPr="00C821A9">
        <w:t xml:space="preserve">(c)  To encourage the provision of the necessary supporting social services to enable parents to combine family obligations with work responsibilities and participation in public life, in particular through promoting the establishment and development of a network of child-care </w:t>
      </w:r>
      <w:r w:rsidRPr="00C821A9">
        <w:t>facilities;</w:t>
      </w:r>
    </w:p>
    <w:p w:rsidRPr="00C821A9" w:rsidR="00EC4EEA" w:rsidP="00EC4EEA" w14:paraId="43DEDB2D" w14:textId="77777777">
      <w:pPr>
        <w:pStyle w:val="JuQuot"/>
      </w:pPr>
      <w:r w:rsidRPr="00C821A9">
        <w:t>(d)  To provide special protection to women during pregnancy in types of work proved to be harmful to them.</w:t>
      </w:r>
    </w:p>
    <w:p w:rsidRPr="00C821A9" w:rsidR="00EC4EEA" w:rsidP="00EC4EEA" w14:paraId="578B278F" w14:textId="77777777">
      <w:pPr>
        <w:pStyle w:val="JuQuot"/>
      </w:pPr>
      <w:r w:rsidRPr="00C821A9">
        <w:t>3.  Protective legislation relating to matters covered in this article shall be reviewed periodically in the light of scientific and technological knowledge and shall be revised, repealed or extended as necessary.”</w:t>
      </w:r>
    </w:p>
    <w:p w:rsidRPr="00C821A9" w:rsidR="00EC4EEA" w:rsidP="00EC4EEA" w14:paraId="10798D77" w14:textId="77777777">
      <w:pPr>
        <w:pStyle w:val="JuHArticle"/>
      </w:pPr>
      <w:r w:rsidRPr="00C821A9">
        <w:t>Article 12</w:t>
      </w:r>
    </w:p>
    <w:p w:rsidRPr="00C821A9" w:rsidR="00EC4EEA" w:rsidP="00EC4EEA" w14:paraId="2234D304" w14:textId="77777777">
      <w:pPr>
        <w:pStyle w:val="JuQuot"/>
      </w:pPr>
      <w:r w:rsidRPr="00C821A9">
        <w:t xml:space="preserve">“1.  States Parties shall take all appropriate measures to eliminate discrimination against women in the field of health care </w:t>
      </w:r>
      <w:r w:rsidRPr="00C821A9">
        <w:t>in order to</w:t>
      </w:r>
      <w:r w:rsidRPr="00C821A9">
        <w:t xml:space="preserve"> ensure, on a basis of equality of men and women, access to health care services, including those related to family planning.</w:t>
      </w:r>
    </w:p>
    <w:p w:rsidRPr="00C821A9" w:rsidR="00EC4EEA" w:rsidP="00EC4EEA" w14:paraId="5F90108D" w14:textId="77777777">
      <w:pPr>
        <w:pStyle w:val="JuQuot"/>
      </w:pPr>
      <w:r w:rsidRPr="00C821A9">
        <w:t xml:space="preserve">2.  Notwithstanding the provisions of paragraph 1 of this article, States Parties shall ensure to women appropriate services in connection with pregnancy, confinement and </w:t>
      </w:r>
      <w:r w:rsidRPr="00C821A9">
        <w:t>the post-natal period, granting free services where necessary, as well as adequate nutrition during pregnancy and lactation.”</w:t>
      </w:r>
    </w:p>
    <w:p w:rsidRPr="00C821A9" w:rsidR="00EC4EEA" w:rsidP="00EC4EEA" w14:paraId="34D7D1BB" w14:textId="77777777">
      <w:pPr>
        <w:pStyle w:val="JuHHead"/>
        <w:numPr>
          <w:ilvl w:val="0"/>
          <w:numId w:val="1"/>
        </w:numPr>
      </w:pPr>
      <w:r w:rsidRPr="00C821A9">
        <w:t>THE LAW</w:t>
      </w:r>
    </w:p>
    <w:p w:rsidRPr="00C821A9" w:rsidR="00EC4EEA" w:rsidP="00EC4EEA" w14:paraId="5695CAF9" w14:textId="77777777">
      <w:pPr>
        <w:pStyle w:val="JuHIRoman"/>
        <w:numPr>
          <w:ilvl w:val="0"/>
          <w:numId w:val="0"/>
        </w:numPr>
        <w:ind w:left="357"/>
      </w:pPr>
      <w:r w:rsidRPr="00C821A9">
        <w:t>ALLEGED VIOLATION OF ARTICLE 1 OF PROTOCOL N</w:t>
      </w:r>
      <w:r w:rsidRPr="00C821A9">
        <w:rPr>
          <w:caps w:val="0"/>
        </w:rPr>
        <w:t>o</w:t>
      </w:r>
      <w:r w:rsidRPr="00C821A9">
        <w:t>. 12 TO THE CONVENTION</w:t>
      </w:r>
    </w:p>
    <w:p w:rsidRPr="00C821A9" w:rsidR="00EC4EEA" w:rsidP="00EC4EEA" w14:paraId="4B989CB4" w14:textId="77777777">
      <w:pPr>
        <w:pStyle w:val="JuHA"/>
      </w:pPr>
      <w:r w:rsidRPr="00C821A9">
        <w:t>Scope of the case</w:t>
      </w:r>
    </w:p>
    <w:p w:rsidRPr="00C821A9" w:rsidR="00EC4EEA" w:rsidP="00EC4EEA" w14:paraId="38C094F6" w14:textId="77777777">
      <w:pPr>
        <w:pStyle w:val="JuPara"/>
      </w:pPr>
      <w:r w:rsidRPr="00C821A9">
        <w:fldChar w:fldCharType="begin"/>
      </w:r>
      <w:r w:rsidRPr="00C821A9">
        <w:instrText xml:space="preserve"> SEQ level0 \*arabic </w:instrText>
      </w:r>
      <w:r w:rsidRPr="00C821A9">
        <w:fldChar w:fldCharType="separate"/>
      </w:r>
      <w:r w:rsidRPr="00C821A9">
        <w:rPr>
          <w:noProof/>
        </w:rPr>
        <w:t>50</w:t>
      </w:r>
      <w:r w:rsidRPr="00C821A9">
        <w:fldChar w:fldCharType="end"/>
      </w:r>
      <w:r w:rsidRPr="00C821A9">
        <w:t>.  In her initial application to the Court, the applicant complained that she had been discriminated against at work, in so far as her posting at the Romanian embassy in Ljubljana had been terminated because of her pregnancy without any valid reason being presented to her. She relied on Article 1 of Protocol No. 12 to the Convention.</w:t>
      </w:r>
    </w:p>
    <w:p w:rsidRPr="00C821A9" w:rsidR="00EC4EEA" w:rsidP="00EC4EEA" w14:paraId="4F1F669A" w14:textId="77777777">
      <w:pPr>
        <w:pStyle w:val="JuPara"/>
      </w:pPr>
      <w:r w:rsidRPr="00C821A9">
        <w:fldChar w:fldCharType="begin"/>
      </w:r>
      <w:r w:rsidRPr="00C821A9">
        <w:instrText xml:space="preserve"> SEQ level0 \*arabic </w:instrText>
      </w:r>
      <w:r w:rsidRPr="00C821A9">
        <w:fldChar w:fldCharType="separate"/>
      </w:r>
      <w:r w:rsidRPr="00C821A9">
        <w:rPr>
          <w:noProof/>
        </w:rPr>
        <w:t>51</w:t>
      </w:r>
      <w:r w:rsidRPr="00C821A9">
        <w:fldChar w:fldCharType="end"/>
      </w:r>
      <w:r w:rsidRPr="00C821A9">
        <w:t xml:space="preserve">.  In her submissions in reply to the Government’s observations, the applicant further complained of violations of Articles 6 and 8 of the Convention </w:t>
      </w:r>
      <w:r w:rsidRPr="00C821A9">
        <w:t>as a result of</w:t>
      </w:r>
      <w:r w:rsidRPr="00C821A9">
        <w:t xml:space="preserve"> the same facts which she had brought to the Court’s attention in her initial application.</w:t>
      </w:r>
    </w:p>
    <w:p w:rsidRPr="00C821A9" w:rsidR="00EC4EEA" w:rsidP="00EC4EEA" w14:paraId="02AFF57F" w14:textId="77777777">
      <w:pPr>
        <w:pStyle w:val="JuPara"/>
      </w:pPr>
      <w:r w:rsidRPr="00C821A9">
        <w:fldChar w:fldCharType="begin"/>
      </w:r>
      <w:r w:rsidRPr="00C821A9">
        <w:instrText xml:space="preserve"> SEQ level0 \*arabic </w:instrText>
      </w:r>
      <w:r w:rsidRPr="00C821A9">
        <w:fldChar w:fldCharType="separate"/>
      </w:r>
      <w:r w:rsidRPr="00C821A9">
        <w:rPr>
          <w:noProof/>
        </w:rPr>
        <w:t>52</w:t>
      </w:r>
      <w:r w:rsidRPr="00C821A9">
        <w:fldChar w:fldCharType="end"/>
      </w:r>
      <w:r w:rsidRPr="00C821A9">
        <w:t xml:space="preserve">.  Having regard to the substance of the applicant’s complaints, and regardless of whether the above-mentioned complaints and/or arguments raised under Articles 6 and 8 of the Convention fall to be examined within the context of the present application, the Court, which is master of the characterisation to be given in law to the facts of the case (see </w:t>
      </w:r>
      <w:r w:rsidRPr="00C821A9">
        <w:rPr>
          <w:i/>
          <w:iCs/>
        </w:rPr>
        <w:t>Radomilja</w:t>
      </w:r>
      <w:r w:rsidRPr="00C821A9">
        <w:rPr>
          <w:i/>
          <w:iCs/>
        </w:rPr>
        <w:t xml:space="preserve"> and Others v. Croatia</w:t>
      </w:r>
      <w:r w:rsidRPr="00C821A9">
        <w:t xml:space="preserve"> [GC], nos. 37685/10 and 22768/12, §§ 114 and 126, 20 March 2018), will examine the application from the standpoint of Article 1 of Protocol No. 12 to the Convention alone.</w:t>
      </w:r>
    </w:p>
    <w:p w:rsidRPr="00C821A9" w:rsidR="00EC4EEA" w:rsidP="00EC4EEA" w14:paraId="3369AA8E" w14:textId="77777777">
      <w:pPr>
        <w:pStyle w:val="JuPara"/>
      </w:pPr>
      <w:r w:rsidRPr="00C821A9">
        <w:t>That provision reads as follows:</w:t>
      </w:r>
    </w:p>
    <w:p w:rsidRPr="00C821A9" w:rsidR="00EC4EEA" w:rsidP="00EC4EEA" w14:paraId="77C0E3E0" w14:textId="77777777">
      <w:pPr>
        <w:pStyle w:val="JuQuot"/>
      </w:pPr>
      <w:r w:rsidRPr="00C821A9">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Pr="00C821A9" w:rsidR="00EC4EEA" w:rsidP="00EC4EEA" w14:paraId="3DF2F47F" w14:textId="77777777">
      <w:pPr>
        <w:pStyle w:val="JuQuot"/>
      </w:pPr>
      <w:r w:rsidRPr="00C821A9">
        <w:t>2.  No one shall be discriminated against by any public authority on any ground such as those mentioned in paragraph 1.”</w:t>
      </w:r>
    </w:p>
    <w:p w:rsidRPr="00C821A9" w:rsidR="00EC4EEA" w:rsidP="00EC4EEA" w14:paraId="2C9A8A2C" w14:textId="77777777">
      <w:pPr>
        <w:pStyle w:val="JuHA"/>
      </w:pPr>
      <w:r w:rsidRPr="00C821A9">
        <w:t>Admissibility</w:t>
      </w:r>
    </w:p>
    <w:p w:rsidRPr="00C821A9" w:rsidR="00EC4EEA" w:rsidP="00EC4EEA" w14:paraId="3FB39240" w14:textId="77777777">
      <w:pPr>
        <w:pStyle w:val="JuH1"/>
        <w:rPr>
          <w:i w:val="0"/>
        </w:rPr>
      </w:pPr>
      <w:r w:rsidRPr="00C821A9">
        <w:t xml:space="preserve">The Court’s jurisdiction </w:t>
      </w:r>
      <w:r w:rsidRPr="00C821A9">
        <w:rPr>
          <w:i w:val="0"/>
          <w:iCs w:val="0"/>
        </w:rPr>
        <w:t>ratione</w:t>
      </w:r>
      <w:r w:rsidRPr="00C821A9">
        <w:rPr>
          <w:i w:val="0"/>
          <w:iCs w:val="0"/>
        </w:rPr>
        <w:t xml:space="preserve"> </w:t>
      </w:r>
      <w:r w:rsidRPr="00C821A9">
        <w:rPr>
          <w:i w:val="0"/>
          <w:iCs w:val="0"/>
        </w:rPr>
        <w:t>materiae</w:t>
      </w:r>
    </w:p>
    <w:p w:rsidRPr="00C821A9" w:rsidR="00EC4EEA" w:rsidP="00EC4EEA" w14:paraId="66FE7A0A" w14:textId="77777777">
      <w:pPr>
        <w:pStyle w:val="JuPara"/>
        <w:rPr>
          <w:iCs/>
        </w:rPr>
      </w:pPr>
      <w:r w:rsidRPr="00C821A9">
        <w:fldChar w:fldCharType="begin"/>
      </w:r>
      <w:r w:rsidRPr="00C821A9">
        <w:instrText xml:space="preserve"> SEQ level0 \*arabic </w:instrText>
      </w:r>
      <w:r w:rsidRPr="00C821A9">
        <w:fldChar w:fldCharType="separate"/>
      </w:r>
      <w:r w:rsidRPr="00C821A9">
        <w:rPr>
          <w:noProof/>
        </w:rPr>
        <w:t>53</w:t>
      </w:r>
      <w:r w:rsidRPr="00C821A9">
        <w:fldChar w:fldCharType="end"/>
      </w:r>
      <w:r w:rsidRPr="00C821A9">
        <w:t xml:space="preserve">.  At the outset, the Court reiterates that as the question of applicability is an issue of its jurisdiction </w:t>
      </w:r>
      <w:r w:rsidRPr="00C821A9">
        <w:rPr>
          <w:i/>
        </w:rPr>
        <w:t>ratione</w:t>
      </w:r>
      <w:r w:rsidRPr="00C821A9">
        <w:rPr>
          <w:i/>
        </w:rPr>
        <w:t xml:space="preserve"> </w:t>
      </w:r>
      <w:r w:rsidRPr="00C821A9">
        <w:rPr>
          <w:i/>
        </w:rPr>
        <w:t>materiae</w:t>
      </w:r>
      <w:r w:rsidRPr="00C821A9">
        <w:t xml:space="preserve">, the general rule of dealing with applications should be respected and the relevant analysis should be carried out at the admissibility stage unless there is a particular reason to join this question to the merits (see </w:t>
      </w:r>
      <w:r w:rsidRPr="00C821A9">
        <w:rPr>
          <w:i/>
        </w:rPr>
        <w:t xml:space="preserve">Denisov v. Ukraine </w:t>
      </w:r>
      <w:r w:rsidRPr="00C821A9">
        <w:t xml:space="preserve">[GC], no. 76639/11, § 93, 25 September 2018). No such </w:t>
      </w:r>
      <w:r w:rsidRPr="00C821A9">
        <w:t>particular reason</w:t>
      </w:r>
      <w:r w:rsidRPr="00C821A9">
        <w:t xml:space="preserve"> exists in the present </w:t>
      </w:r>
      <w:r w:rsidRPr="00C821A9">
        <w:t>case, and the issue of the applicability of Article 1 of Protocol No. 12 falls to be examined at the admissibility stage.</w:t>
      </w:r>
    </w:p>
    <w:p w:rsidRPr="00C821A9" w:rsidR="00EC4EEA" w:rsidP="00EC4EEA" w14:paraId="4B9CB4D6" w14:textId="77777777">
      <w:pPr>
        <w:pStyle w:val="JuPara"/>
      </w:pPr>
      <w:r w:rsidRPr="00C821A9">
        <w:fldChar w:fldCharType="begin"/>
      </w:r>
      <w:r w:rsidRPr="00C821A9">
        <w:instrText xml:space="preserve"> SEQ level0 \*arabic </w:instrText>
      </w:r>
      <w:r w:rsidRPr="00C821A9">
        <w:fldChar w:fldCharType="separate"/>
      </w:r>
      <w:r w:rsidRPr="00C821A9">
        <w:rPr>
          <w:noProof/>
        </w:rPr>
        <w:t>54</w:t>
      </w:r>
      <w:r w:rsidRPr="00C821A9">
        <w:fldChar w:fldCharType="end"/>
      </w:r>
      <w:r w:rsidRPr="00C821A9">
        <w:t xml:space="preserve">.  The Court reiterates that whereas Article 14 of the Convention prohibits discrimination in the enjoyment of “the rights and freedoms set forth in [the] Convention”, Article 1 of Protocol No. 12 introduces a general prohibition of discrimination (see </w:t>
      </w:r>
      <w:r w:rsidRPr="00C821A9">
        <w:rPr>
          <w:i/>
        </w:rPr>
        <w:t>Sejdić</w:t>
      </w:r>
      <w:r w:rsidRPr="00C821A9">
        <w:rPr>
          <w:i/>
        </w:rPr>
        <w:t xml:space="preserve"> and </w:t>
      </w:r>
      <w:r w:rsidRPr="00C821A9">
        <w:rPr>
          <w:i/>
        </w:rPr>
        <w:t>Finci</w:t>
      </w:r>
      <w:r w:rsidRPr="00C821A9">
        <w:rPr>
          <w:i/>
        </w:rPr>
        <w:t xml:space="preserve"> v. Bosnia and Herzegovina</w:t>
      </w:r>
      <w:r w:rsidRPr="00C821A9">
        <w:t xml:space="preserve"> [GC], nos. 27996/06 and 34836/06, § 53, ECHR 2009, and </w:t>
      </w:r>
      <w:r w:rsidRPr="00C821A9">
        <w:rPr>
          <w:i/>
          <w:lang w:val="en-US"/>
        </w:rPr>
        <w:t>Baralija</w:t>
      </w:r>
      <w:r w:rsidRPr="00C821A9">
        <w:rPr>
          <w:i/>
          <w:lang w:val="en-US"/>
        </w:rPr>
        <w:t xml:space="preserve"> v. Bosnia and Herzegovina</w:t>
      </w:r>
      <w:r w:rsidRPr="00C821A9">
        <w:rPr>
          <w:lang w:val="en-US"/>
        </w:rPr>
        <w:t>, no. 30100/18, § 45, 29 October 2019</w:t>
      </w:r>
      <w:r w:rsidRPr="00C821A9">
        <w:t>).</w:t>
      </w:r>
    </w:p>
    <w:bookmarkStart w:name="Explanatory_Report_positive_obligations" w:id="39"/>
    <w:p w:rsidRPr="00C821A9" w:rsidR="00EC4EEA" w:rsidP="00EC4EEA" w14:paraId="55D26276" w14:textId="77777777">
      <w:pPr>
        <w:pStyle w:val="JuPara"/>
      </w:pPr>
      <w:r w:rsidRPr="00C821A9">
        <w:fldChar w:fldCharType="begin"/>
      </w:r>
      <w:r w:rsidRPr="00C821A9">
        <w:instrText xml:space="preserve"> SEQ level0 \*arabic </w:instrText>
      </w:r>
      <w:r w:rsidRPr="00C821A9">
        <w:fldChar w:fldCharType="separate"/>
      </w:r>
      <w:r w:rsidRPr="00C821A9">
        <w:rPr>
          <w:noProof/>
        </w:rPr>
        <w:t>55</w:t>
      </w:r>
      <w:r w:rsidRPr="00C821A9">
        <w:fldChar w:fldCharType="end"/>
      </w:r>
      <w:bookmarkEnd w:id="39"/>
      <w:r w:rsidRPr="00C821A9">
        <w:t xml:space="preserve">.  It is important to note that Article 1 of Protocol No. 12 extends the scope of protection to not only “any right set forth by law”, as the text of paragraph 1 might suggest, but beyond that. This follows in particular from paragraph 2, which further provides that no one may be discriminated against by a public authority (see </w:t>
      </w:r>
      <w:r w:rsidRPr="00C821A9">
        <w:rPr>
          <w:i/>
        </w:rPr>
        <w:t>Savez</w:t>
      </w:r>
      <w:r w:rsidRPr="00C821A9">
        <w:rPr>
          <w:i/>
        </w:rPr>
        <w:t xml:space="preserve"> </w:t>
      </w:r>
      <w:r w:rsidRPr="00C821A9">
        <w:rPr>
          <w:i/>
        </w:rPr>
        <w:t>crkava</w:t>
      </w:r>
      <w:r w:rsidRPr="00C821A9">
        <w:rPr>
          <w:i/>
        </w:rPr>
        <w:t xml:space="preserve"> “</w:t>
      </w:r>
      <w:r w:rsidRPr="00C821A9">
        <w:rPr>
          <w:i/>
        </w:rPr>
        <w:t>Riječ</w:t>
      </w:r>
      <w:r w:rsidRPr="00C821A9">
        <w:rPr>
          <w:i/>
        </w:rPr>
        <w:t xml:space="preserve"> </w:t>
      </w:r>
      <w:r w:rsidRPr="00C821A9">
        <w:rPr>
          <w:i/>
        </w:rPr>
        <w:t>života</w:t>
      </w:r>
      <w:r w:rsidRPr="00C821A9">
        <w:rPr>
          <w:i/>
        </w:rPr>
        <w:t xml:space="preserve">” and </w:t>
      </w:r>
      <w:r w:rsidRPr="00C821A9">
        <w:rPr>
          <w:i/>
        </w:rPr>
        <w:t>Others</w:t>
      </w:r>
      <w:r w:rsidRPr="00C821A9">
        <w:rPr>
          <w:i/>
        </w:rPr>
        <w:t xml:space="preserve"> v. Croatia</w:t>
      </w:r>
      <w:r w:rsidRPr="00C821A9">
        <w:t xml:space="preserve">, no. 7798/08, § 104, 9 December 2010). According to the Explanatory Report to Protocol No. 12, the scope of protection of Article 1 of that Protocol concerns four categories of cases, </w:t>
      </w:r>
      <w:r w:rsidRPr="00C821A9">
        <w:t>in particular where</w:t>
      </w:r>
      <w:r w:rsidRPr="00C821A9">
        <w:t xml:space="preserve"> a person is discriminated against:</w:t>
      </w:r>
    </w:p>
    <w:p w:rsidRPr="00C821A9" w:rsidR="00EC4EEA" w:rsidP="00EC4EEA" w14:paraId="03183837" w14:textId="77777777">
      <w:pPr>
        <w:pStyle w:val="JuQuot"/>
      </w:pPr>
      <w:r w:rsidRPr="00C821A9">
        <w:t>“</w:t>
      </w:r>
      <w:r w:rsidRPr="00C821A9">
        <w:t>i</w:t>
      </w:r>
      <w:r w:rsidRPr="00C821A9">
        <w:t xml:space="preserve">.  in the enjoyment of any right specifically granted to an individual under national </w:t>
      </w:r>
      <w:r w:rsidRPr="00C821A9">
        <w:t>law;</w:t>
      </w:r>
    </w:p>
    <w:p w:rsidRPr="00C821A9" w:rsidR="00EC4EEA" w:rsidP="00EC4EEA" w14:paraId="5331464F" w14:textId="77777777">
      <w:pPr>
        <w:pStyle w:val="JuQuot"/>
      </w:pPr>
      <w:r w:rsidRPr="00C821A9">
        <w:t xml:space="preserve">ii.  in the enjoyment of a right which may be inferred from a clear obligation of a public authority under national law, that is, where a public authority is under an obligation under national law to behave in a particular </w:t>
      </w:r>
      <w:r w:rsidRPr="00C821A9">
        <w:t>manner;</w:t>
      </w:r>
    </w:p>
    <w:p w:rsidRPr="00C821A9" w:rsidR="00EC4EEA" w:rsidP="00EC4EEA" w14:paraId="2463249D" w14:textId="77777777">
      <w:pPr>
        <w:pStyle w:val="JuQuot"/>
      </w:pPr>
      <w:r w:rsidRPr="00C821A9">
        <w:t>iii.  by a public authority in the exercise of discretionary power (for example, granting certain subsidies</w:t>
      </w:r>
      <w:r w:rsidRPr="00C821A9">
        <w:t>);</w:t>
      </w:r>
    </w:p>
    <w:p w:rsidRPr="00C821A9" w:rsidR="00EC4EEA" w:rsidP="00EC4EEA" w14:paraId="0A805256" w14:textId="77777777">
      <w:pPr>
        <w:pStyle w:val="JuQuot"/>
      </w:pPr>
      <w:r w:rsidRPr="00C821A9">
        <w:t>iv.  by any other act or omission by a public authority (for example, the behaviour of law enforcement officers when controlling a riot).”</w:t>
      </w:r>
    </w:p>
    <w:p w:rsidRPr="00C821A9" w:rsidR="00EC4EEA" w:rsidP="00EC4EEA" w14:paraId="77E362AA" w14:textId="77777777">
      <w:pPr>
        <w:pStyle w:val="JuPara"/>
        <w:rPr>
          <w:rFonts w:eastAsia="Times New Roman"/>
          <w:lang w:eastAsia="fr-FR"/>
        </w:rPr>
      </w:pPr>
      <w:r w:rsidRPr="00C821A9">
        <w:rPr>
          <w:rFonts w:eastAsiaTheme="majorEastAsia"/>
          <w:lang w:eastAsia="fr-FR"/>
        </w:rPr>
        <w:t>The Explanatory Report further clarifies the following:</w:t>
      </w:r>
    </w:p>
    <w:p w:rsidRPr="00C821A9" w:rsidR="00EC4EEA" w:rsidP="00EC4EEA" w14:paraId="694D0127" w14:textId="77777777">
      <w:pPr>
        <w:pStyle w:val="JuQuot"/>
      </w:pPr>
      <w:r w:rsidRPr="00C821A9">
        <w:t xml:space="preserve">“... it was considered unnecessary to specify which of these four elements are covered by the first paragraph of Article 1 and which by the second. The two paragraphs are </w:t>
      </w:r>
      <w:r w:rsidRPr="00C821A9">
        <w:t>complementary</w:t>
      </w:r>
      <w:r w:rsidRPr="00C821A9">
        <w:t xml:space="preserve"> and their combined effect is that all four elements are covered by Article 1. It should also be borne in mind that the distinctions between the respective categories </w:t>
      </w:r>
      <w:r w:rsidRPr="00C821A9">
        <w:t>i</w:t>
      </w:r>
      <w:r w:rsidRPr="00C821A9">
        <w:t>-iv are not clear-cut and that domestic legal systems may have different approaches as to which case comes under which category.”</w:t>
      </w:r>
    </w:p>
    <w:p w:rsidRPr="00C821A9" w:rsidR="00EC4EEA" w:rsidP="00EC4EEA" w14:paraId="4A321680" w14:textId="77777777">
      <w:pPr>
        <w:pStyle w:val="JuPara"/>
      </w:pPr>
      <w:r w:rsidRPr="00C821A9">
        <w:fldChar w:fldCharType="begin"/>
      </w:r>
      <w:r w:rsidRPr="00C821A9">
        <w:instrText xml:space="preserve"> SEQ level0 \*arabic </w:instrText>
      </w:r>
      <w:r w:rsidRPr="00C821A9">
        <w:fldChar w:fldCharType="separate"/>
      </w:r>
      <w:r w:rsidRPr="00C821A9">
        <w:rPr>
          <w:noProof/>
        </w:rPr>
        <w:t>56</w:t>
      </w:r>
      <w:r w:rsidRPr="00C821A9">
        <w:fldChar w:fldCharType="end"/>
      </w:r>
      <w:r w:rsidRPr="00C821A9">
        <w:t xml:space="preserve">.  Therefore, in order to determine whether Article 1 of Protocol No. 12 is applicable, the Court must establish whether the applicant’s complaints fall within one of the four categories mentioned in the Explanatory Report (see </w:t>
      </w:r>
      <w:r w:rsidRPr="00C821A9">
        <w:rPr>
          <w:i/>
        </w:rPr>
        <w:t>Savez</w:t>
      </w:r>
      <w:r w:rsidRPr="00C821A9">
        <w:rPr>
          <w:i/>
        </w:rPr>
        <w:t xml:space="preserve"> </w:t>
      </w:r>
      <w:r w:rsidRPr="00C821A9">
        <w:rPr>
          <w:i/>
        </w:rPr>
        <w:t>crkava</w:t>
      </w:r>
      <w:r w:rsidRPr="00C821A9">
        <w:rPr>
          <w:i/>
        </w:rPr>
        <w:t xml:space="preserve"> “</w:t>
      </w:r>
      <w:r w:rsidRPr="00C821A9">
        <w:rPr>
          <w:i/>
        </w:rPr>
        <w:t>Riječ</w:t>
      </w:r>
      <w:r w:rsidRPr="00C821A9">
        <w:rPr>
          <w:i/>
        </w:rPr>
        <w:t xml:space="preserve"> </w:t>
      </w:r>
      <w:r w:rsidRPr="00C821A9">
        <w:rPr>
          <w:i/>
        </w:rPr>
        <w:t>života</w:t>
      </w:r>
      <w:r w:rsidRPr="00C821A9">
        <w:rPr>
          <w:i/>
        </w:rPr>
        <w:t>” and Others</w:t>
      </w:r>
      <w:r w:rsidRPr="00C821A9">
        <w:t>, cited above, § 105).</w:t>
      </w:r>
    </w:p>
    <w:p w:rsidRPr="00C821A9" w:rsidR="00EC4EEA" w:rsidP="00EC4EEA" w14:paraId="7E960476" w14:textId="77777777">
      <w:pPr>
        <w:pStyle w:val="JuPara"/>
        <w:rPr>
          <w:strike/>
        </w:rPr>
      </w:pPr>
      <w:r w:rsidRPr="00C821A9">
        <w:fldChar w:fldCharType="begin"/>
      </w:r>
      <w:r w:rsidRPr="00C821A9">
        <w:instrText xml:space="preserve"> SEQ level0 \*arabic </w:instrText>
      </w:r>
      <w:r w:rsidRPr="00C821A9">
        <w:fldChar w:fldCharType="separate"/>
      </w:r>
      <w:r w:rsidRPr="00C821A9">
        <w:rPr>
          <w:noProof/>
        </w:rPr>
        <w:t>57</w:t>
      </w:r>
      <w:r w:rsidRPr="00C821A9">
        <w:fldChar w:fldCharType="end"/>
      </w:r>
      <w:r w:rsidRPr="00C821A9">
        <w:t>.  In this connection, the Court notes that the domestic law regulates the organisation and duration of diplomatic postings abroad (see paragraph </w:t>
      </w:r>
      <w:r w:rsidRPr="00C821A9">
        <w:fldChar w:fldCharType="begin"/>
      </w:r>
      <w:r w:rsidRPr="00C821A9">
        <w:instrText xml:space="preserve"> REF L269 \h  \* MERGEFORMAT </w:instrText>
      </w:r>
      <w:r w:rsidRPr="00C821A9">
        <w:fldChar w:fldCharType="separate"/>
      </w:r>
      <w:r w:rsidRPr="00C821A9">
        <w:t>33</w:t>
      </w:r>
      <w:r w:rsidRPr="00C821A9">
        <w:fldChar w:fldCharType="end"/>
      </w:r>
      <w:r w:rsidRPr="00C821A9">
        <w:t xml:space="preserve"> above) but also grants, in accordance with the domestic courts’ interpretation, a discretionary power to the MFA to decide on the early termination of a diplomatic posting abroad (see paragraph </w:t>
      </w:r>
      <w:r w:rsidRPr="00C821A9">
        <w:fldChar w:fldCharType="begin"/>
      </w:r>
      <w:r w:rsidRPr="00C821A9">
        <w:instrText xml:space="preserve"> REF dec1 \h  \* MERGEFORMAT </w:instrText>
      </w:r>
      <w:r w:rsidRPr="00C821A9">
        <w:fldChar w:fldCharType="separate"/>
      </w:r>
      <w:r w:rsidRPr="00C821A9">
        <w:t>28</w:t>
      </w:r>
      <w:r w:rsidRPr="00C821A9">
        <w:fldChar w:fldCharType="end"/>
      </w:r>
      <w:r w:rsidRPr="00C821A9">
        <w:t xml:space="preserve"> above). </w:t>
      </w:r>
      <w:r w:rsidRPr="00C821A9">
        <w:t xml:space="preserve">While contesting the </w:t>
      </w:r>
      <w:r w:rsidRPr="00C821A9">
        <w:t>manner in which</w:t>
      </w:r>
      <w:r w:rsidRPr="00C821A9">
        <w:t xml:space="preserve"> this discretion had been exercised, the applicant did not contest its existence (see paragraph </w:t>
      </w:r>
      <w:r w:rsidRPr="00C821A9">
        <w:fldChar w:fldCharType="begin"/>
      </w:r>
      <w:r w:rsidRPr="00C821A9">
        <w:instrText xml:space="preserve"> REF para_62 \h  \* MERGEFORMAT </w:instrText>
      </w:r>
      <w:r w:rsidRPr="00C821A9">
        <w:fldChar w:fldCharType="separate"/>
      </w:r>
      <w:r w:rsidRPr="00C821A9">
        <w:t>62</w:t>
      </w:r>
      <w:r w:rsidRPr="00C821A9">
        <w:fldChar w:fldCharType="end"/>
      </w:r>
      <w:r w:rsidRPr="00C821A9">
        <w:t xml:space="preserve"> below). Consequently, the Court cannot but conclude that the present case falls at least under category iii. of potential discrimination envisaged by the Explanatory Report (see paragraph </w:t>
      </w:r>
      <w:r w:rsidRPr="00C821A9">
        <w:fldChar w:fldCharType="begin"/>
      </w:r>
      <w:r w:rsidRPr="00C821A9">
        <w:instrText xml:space="preserve"> REF Explanatory_Report_positive_obligations \h  \* MERGEFORMAT </w:instrText>
      </w:r>
      <w:r w:rsidRPr="00C821A9">
        <w:fldChar w:fldCharType="separate"/>
      </w:r>
      <w:r w:rsidRPr="00C821A9">
        <w:rPr>
          <w:noProof/>
        </w:rPr>
        <w:t>55</w:t>
      </w:r>
      <w:r w:rsidRPr="00C821A9">
        <w:fldChar w:fldCharType="end"/>
      </w:r>
      <w:r w:rsidRPr="00C821A9">
        <w:t xml:space="preserve"> above).</w:t>
      </w:r>
    </w:p>
    <w:p w:rsidRPr="00C821A9" w:rsidR="00EC4EEA" w:rsidP="00EC4EEA" w14:paraId="5C362C82" w14:textId="77777777">
      <w:pPr>
        <w:pStyle w:val="JuPara"/>
      </w:pPr>
      <w:r w:rsidRPr="00C821A9">
        <w:fldChar w:fldCharType="begin"/>
      </w:r>
      <w:r w:rsidRPr="00C821A9">
        <w:instrText xml:space="preserve"> SEQ level0 \*arabic </w:instrText>
      </w:r>
      <w:r w:rsidRPr="00C821A9">
        <w:fldChar w:fldCharType="separate"/>
      </w:r>
      <w:r w:rsidRPr="00C821A9">
        <w:rPr>
          <w:noProof/>
        </w:rPr>
        <w:t>58</w:t>
      </w:r>
      <w:r w:rsidRPr="00C821A9">
        <w:fldChar w:fldCharType="end"/>
      </w:r>
      <w:r w:rsidRPr="00C821A9">
        <w:t>.  It follows that Article 1 of Protocol No. 12 applies to the facts of the present case.</w:t>
      </w:r>
    </w:p>
    <w:p w:rsidRPr="00C821A9" w:rsidR="00EC4EEA" w:rsidP="00EC4EEA" w14:paraId="25566AFE" w14:textId="77777777">
      <w:pPr>
        <w:pStyle w:val="JuH1"/>
      </w:pPr>
      <w:r w:rsidRPr="00C821A9">
        <w:t>Other grounds for inadmissibility</w:t>
      </w:r>
    </w:p>
    <w:p w:rsidRPr="00C821A9" w:rsidR="00EC4EEA" w:rsidP="00EC4EEA" w14:paraId="7F535E19" w14:textId="77777777">
      <w:pPr>
        <w:pStyle w:val="JuPara"/>
      </w:pPr>
      <w:r w:rsidRPr="00C821A9">
        <w:fldChar w:fldCharType="begin"/>
      </w:r>
      <w:r w:rsidRPr="00C821A9">
        <w:instrText xml:space="preserve"> SEQ level0 \*arabic </w:instrText>
      </w:r>
      <w:r w:rsidRPr="00C821A9">
        <w:fldChar w:fldCharType="separate"/>
      </w:r>
      <w:r w:rsidRPr="00C821A9">
        <w:rPr>
          <w:noProof/>
        </w:rPr>
        <w:t>59</w:t>
      </w:r>
      <w:r w:rsidRPr="00C821A9">
        <w:fldChar w:fldCharType="end"/>
      </w:r>
      <w:r w:rsidRPr="00C821A9">
        <w:t>.  The Court further notes that the application is neither manifestly ill</w:t>
      </w:r>
      <w:r w:rsidRPr="00C821A9">
        <w:noBreakHyphen/>
        <w:t>founded nor inadmissible on any other grounds listed in Article 35 of the Convention. It must therefore be declared admissible.</w:t>
      </w:r>
    </w:p>
    <w:p w:rsidRPr="00C821A9" w:rsidR="00EC4EEA" w:rsidP="00EC4EEA" w14:paraId="3C4DDE64" w14:textId="77777777">
      <w:pPr>
        <w:pStyle w:val="JuHA"/>
      </w:pPr>
      <w:r w:rsidRPr="00C821A9">
        <w:t>Merits</w:t>
      </w:r>
    </w:p>
    <w:p w:rsidRPr="00C821A9" w:rsidR="00EC4EEA" w:rsidP="00EC4EEA" w14:paraId="12597F2B" w14:textId="77777777">
      <w:pPr>
        <w:pStyle w:val="JuH1"/>
      </w:pPr>
      <w:r w:rsidRPr="00C821A9">
        <w:t>The parties’ submissions</w:t>
      </w:r>
    </w:p>
    <w:p w:rsidRPr="00C821A9" w:rsidR="00EC4EEA" w:rsidP="00EC4EEA" w14:paraId="0E704A20" w14:textId="77777777">
      <w:pPr>
        <w:pStyle w:val="JuHa0"/>
      </w:pPr>
      <w:r w:rsidRPr="00C821A9">
        <w:t>The applicant</w:t>
      </w:r>
    </w:p>
    <w:p w:rsidRPr="00C821A9" w:rsidR="00EC4EEA" w:rsidP="00EC4EEA" w14:paraId="04D85544" w14:textId="77777777">
      <w:pPr>
        <w:pStyle w:val="JuPara"/>
      </w:pPr>
      <w:r w:rsidRPr="00C821A9">
        <w:fldChar w:fldCharType="begin"/>
      </w:r>
      <w:r w:rsidRPr="00C821A9">
        <w:instrText xml:space="preserve"> SEQ level0 \*arabic </w:instrText>
      </w:r>
      <w:r w:rsidRPr="00C821A9">
        <w:fldChar w:fldCharType="separate"/>
      </w:r>
      <w:r w:rsidRPr="00C821A9">
        <w:rPr>
          <w:noProof/>
        </w:rPr>
        <w:t>60</w:t>
      </w:r>
      <w:r w:rsidRPr="00C821A9">
        <w:fldChar w:fldCharType="end"/>
      </w:r>
      <w:r w:rsidRPr="00C821A9">
        <w:t>.  The applicant averred that the main reason for the early termination of her posting abroad had been her pregnancy. Although her work performance had been assessed as satisfactory by the ambassador (see paragraph </w:t>
      </w:r>
      <w:r w:rsidRPr="00C821A9">
        <w:fldChar w:fldCharType="begin"/>
      </w:r>
      <w:r w:rsidRPr="00C821A9">
        <w:instrText xml:space="preserve"> REF appraisal \h  \* MERGEFORMAT </w:instrText>
      </w:r>
      <w:r w:rsidRPr="00C821A9">
        <w:fldChar w:fldCharType="separate"/>
      </w:r>
      <w:r w:rsidRPr="00C821A9">
        <w:t>20</w:t>
      </w:r>
      <w:r w:rsidRPr="00C821A9">
        <w:fldChar w:fldCharType="end"/>
      </w:r>
      <w:r w:rsidRPr="00C821A9">
        <w:t xml:space="preserve"> above), her direct superior, the ambassador had requested that her posting be terminated as soon as she had announced her second pregnancy. In her view, this sequence of events indicated with certainty that her pregnancy had been the reason for the early termination of her diplomatic posting. She further objected to the remarks made by the ambassador concerning the alleged security risk posed by her husband driving her diplomatic car (see paragraph </w:t>
      </w:r>
      <w:r w:rsidRPr="00C821A9">
        <w:fldChar w:fldCharType="begin"/>
      </w:r>
      <w:r w:rsidRPr="00C821A9">
        <w:instrText xml:space="preserve"> REF report_add_ambas_second_pregnancy \h  \* MERGEFORMAT </w:instrText>
      </w:r>
      <w:r w:rsidRPr="00C821A9">
        <w:fldChar w:fldCharType="separate"/>
      </w:r>
      <w:r w:rsidRPr="00C821A9">
        <w:t>23</w:t>
      </w:r>
      <w:r w:rsidRPr="00C821A9">
        <w:fldChar w:fldCharType="end"/>
      </w:r>
      <w:r w:rsidRPr="00C821A9">
        <w:t xml:space="preserve"> above).</w:t>
      </w:r>
    </w:p>
    <w:p w:rsidRPr="00C821A9" w:rsidR="00EC4EEA" w:rsidP="00EC4EEA" w14:paraId="7A4BC88C" w14:textId="77777777">
      <w:pPr>
        <w:pStyle w:val="JuPara"/>
      </w:pPr>
      <w:r w:rsidRPr="00C821A9">
        <w:fldChar w:fldCharType="begin"/>
      </w:r>
      <w:r w:rsidRPr="00C821A9">
        <w:instrText xml:space="preserve"> SEQ level0 \*arabic </w:instrText>
      </w:r>
      <w:r w:rsidRPr="00C821A9">
        <w:fldChar w:fldCharType="separate"/>
      </w:r>
      <w:r w:rsidRPr="00C821A9">
        <w:rPr>
          <w:noProof/>
        </w:rPr>
        <w:t>61</w:t>
      </w:r>
      <w:r w:rsidRPr="00C821A9">
        <w:fldChar w:fldCharType="end"/>
      </w:r>
      <w:r w:rsidRPr="00C821A9">
        <w:t xml:space="preserve">.  The applicant further averred that the work at the embassy had represented no danger for her pregnancy. She pointed out that she had been able to carry out her tasks without any risk while she had been pregnant the first time. Consequently, it could not be argued that in recalling her to Bucharest, the MFA had acted with a view to protecting her pregnancy. Moreover, the MFA had not demonstrated how her pregnancy would have been better protected in the office in Bucharest than in the office in Ljubljana. Moreover, the applicant argued that she had been recalled to Bucharest </w:t>
      </w:r>
      <w:r w:rsidRPr="00C821A9">
        <w:t>as a consequence of</w:t>
      </w:r>
      <w:r w:rsidRPr="00C821A9">
        <w:t xml:space="preserve"> her exercising her lawful right to protection of pregnancy.</w:t>
      </w:r>
    </w:p>
    <w:bookmarkStart w:name="para_62" w:id="40"/>
    <w:p w:rsidRPr="00C821A9" w:rsidR="00EC4EEA" w:rsidP="00EC4EEA" w14:paraId="4859A190" w14:textId="77777777">
      <w:pPr>
        <w:pStyle w:val="JuPara"/>
      </w:pPr>
      <w:r w:rsidRPr="00C821A9">
        <w:fldChar w:fldCharType="begin"/>
      </w:r>
      <w:r w:rsidRPr="00C821A9">
        <w:instrText xml:space="preserve"> SEQ level0 \*arabic </w:instrText>
      </w:r>
      <w:r w:rsidRPr="00C821A9">
        <w:fldChar w:fldCharType="separate"/>
      </w:r>
      <w:r w:rsidRPr="00C821A9">
        <w:rPr>
          <w:noProof/>
        </w:rPr>
        <w:t>62</w:t>
      </w:r>
      <w:r w:rsidRPr="00C821A9">
        <w:fldChar w:fldCharType="end"/>
      </w:r>
      <w:bookmarkEnd w:id="40"/>
      <w:r w:rsidRPr="00C821A9">
        <w:t>.  She considered that in terminating her posting abroad, the MFA had used its discretion in an improper and unreasonable manner. The authorities could not provide any reasons for the measure. Moreover, the Government could not prove that other diplomats who had received good evaluations from their superiors had been recalled from their postings with the explanation that the MFA no longer needed them in those posts.</w:t>
      </w:r>
    </w:p>
    <w:p w:rsidRPr="00C821A9" w:rsidR="00EC4EEA" w:rsidP="00EC4EEA" w14:paraId="3197F126" w14:textId="77777777">
      <w:pPr>
        <w:pStyle w:val="JuPara"/>
      </w:pPr>
      <w:r w:rsidRPr="00C821A9">
        <w:fldChar w:fldCharType="begin"/>
      </w:r>
      <w:r w:rsidRPr="00C821A9">
        <w:instrText xml:space="preserve"> SEQ level0 \*arabic </w:instrText>
      </w:r>
      <w:r w:rsidRPr="00C821A9">
        <w:fldChar w:fldCharType="separate"/>
      </w:r>
      <w:r w:rsidRPr="00C821A9">
        <w:rPr>
          <w:noProof/>
        </w:rPr>
        <w:t>63</w:t>
      </w:r>
      <w:r w:rsidRPr="00C821A9">
        <w:fldChar w:fldCharType="end"/>
      </w:r>
      <w:r w:rsidRPr="00C821A9">
        <w:t>.  She argued that the dysfunctionalities of the consular section of the embassy had not been caused by her pregnancy, but by the MFA’s deficient organisation as regards the replacement of diplomats who, during their posting, found themselves objectively and temporarily unable to exercise their duties as a result of unpredictable events such as medical leave.</w:t>
      </w:r>
    </w:p>
    <w:p w:rsidRPr="00C821A9" w:rsidR="00EC4EEA" w:rsidP="00EC4EEA" w14:paraId="2D0AFE7F" w14:textId="77777777">
      <w:pPr>
        <w:pStyle w:val="JuHa0"/>
      </w:pPr>
      <w:r w:rsidRPr="00C821A9">
        <w:t>The Government</w:t>
      </w:r>
    </w:p>
    <w:bookmarkStart w:name="para_64" w:id="41"/>
    <w:p w:rsidRPr="00C821A9" w:rsidR="00EC4EEA" w:rsidP="00EC4EEA" w14:paraId="19D210C0" w14:textId="77777777">
      <w:pPr>
        <w:pStyle w:val="JuPara"/>
      </w:pPr>
      <w:r w:rsidRPr="00C821A9">
        <w:fldChar w:fldCharType="begin"/>
      </w:r>
      <w:r w:rsidRPr="00C821A9">
        <w:instrText xml:space="preserve"> SEQ level0 \*arabic </w:instrText>
      </w:r>
      <w:r w:rsidRPr="00C821A9">
        <w:fldChar w:fldCharType="separate"/>
      </w:r>
      <w:r w:rsidRPr="00C821A9">
        <w:rPr>
          <w:noProof/>
        </w:rPr>
        <w:t>64</w:t>
      </w:r>
      <w:r w:rsidRPr="00C821A9">
        <w:fldChar w:fldCharType="end"/>
      </w:r>
      <w:bookmarkEnd w:id="41"/>
      <w:r w:rsidRPr="00C821A9">
        <w:t xml:space="preserve">.  The Government pointed out that the Romanian embassy in Ljubljana was served by a very small team of diplomats. Consequently, when the applicant had accepted the relevant </w:t>
      </w:r>
      <w:r w:rsidRPr="00C821A9">
        <w:t>position</w:t>
      </w:r>
      <w:r w:rsidRPr="00C821A9">
        <w:t xml:space="preserve"> she should have been aware that she would be expected to work on a more or less permanent basis and provide emergency consular assistance to Romanian nationals who needed it. While those circumstances were not to be interpreted as placing a restraint on the applicant’s choices in her private life, they constituted a presumption that, on a professional level, she would understand that her long, repeated and unpredictable absences would affect the functioning of the embassy. Thus, she should have accepted the early termination of her posting.</w:t>
      </w:r>
    </w:p>
    <w:bookmarkStart w:name="whileadmitting" w:id="42"/>
    <w:p w:rsidRPr="00C821A9" w:rsidR="00EC4EEA" w:rsidP="00EC4EEA" w14:paraId="2AD95B96" w14:textId="77777777">
      <w:pPr>
        <w:pStyle w:val="JuPara"/>
      </w:pPr>
      <w:r w:rsidRPr="00C821A9">
        <w:fldChar w:fldCharType="begin"/>
      </w:r>
      <w:r w:rsidRPr="00C821A9">
        <w:instrText xml:space="preserve"> SEQ level0 \*arabic </w:instrText>
      </w:r>
      <w:r w:rsidRPr="00C821A9">
        <w:fldChar w:fldCharType="separate"/>
      </w:r>
      <w:r w:rsidRPr="00C821A9">
        <w:rPr>
          <w:noProof/>
        </w:rPr>
        <w:t>65</w:t>
      </w:r>
      <w:r w:rsidRPr="00C821A9">
        <w:fldChar w:fldCharType="end"/>
      </w:r>
      <w:bookmarkEnd w:id="42"/>
      <w:r w:rsidRPr="00C821A9">
        <w:t>.  While accepting that the applicant’s pregnancy had played a role in the decision to terminate her posting in Slovenia, the Government argued that the actual reason behind that decision had been the need to ensure the proper functioning of the consular activity. The decision had not been a disciplinary measure against the applicant, who had continued to be employed by the MFA and to advance unhindered in her career (see paragraph </w:t>
      </w:r>
      <w:r w:rsidRPr="00C821A9">
        <w:fldChar w:fldCharType="begin"/>
      </w:r>
      <w:r w:rsidRPr="00C821A9">
        <w:instrText xml:space="preserve"> REF para_25 \h  \* MERGEFORMAT </w:instrText>
      </w:r>
      <w:r w:rsidRPr="00C821A9">
        <w:fldChar w:fldCharType="separate"/>
      </w:r>
      <w:r w:rsidRPr="00C821A9">
        <w:t>26</w:t>
      </w:r>
      <w:r w:rsidRPr="00C821A9">
        <w:fldChar w:fldCharType="end"/>
      </w:r>
      <w:r w:rsidRPr="00C821A9">
        <w:t xml:space="preserve"> above).</w:t>
      </w:r>
    </w:p>
    <w:bookmarkStart w:name="para_65" w:id="43"/>
    <w:p w:rsidRPr="00C821A9" w:rsidR="00EC4EEA" w:rsidP="00EC4EEA" w14:paraId="6F9B480E" w14:textId="77777777">
      <w:pPr>
        <w:pStyle w:val="JuPara"/>
      </w:pPr>
      <w:r w:rsidRPr="00C821A9">
        <w:fldChar w:fldCharType="begin"/>
      </w:r>
      <w:r w:rsidRPr="00C821A9">
        <w:instrText xml:space="preserve"> SEQ level0 \*arabic </w:instrText>
      </w:r>
      <w:r w:rsidRPr="00C821A9">
        <w:fldChar w:fldCharType="separate"/>
      </w:r>
      <w:r w:rsidRPr="00C821A9">
        <w:rPr>
          <w:noProof/>
        </w:rPr>
        <w:t>66</w:t>
      </w:r>
      <w:r w:rsidRPr="00C821A9">
        <w:fldChar w:fldCharType="end"/>
      </w:r>
      <w:bookmarkEnd w:id="43"/>
      <w:r w:rsidRPr="00C821A9">
        <w:t xml:space="preserve">.  Consequently, the Government argued that the applicant had not been subjected to a difference in treatment in the exercise of her duties. Given the </w:t>
      </w:r>
      <w:r w:rsidRPr="00C821A9">
        <w:t>particular circumstances</w:t>
      </w:r>
      <w:r w:rsidRPr="00C821A9">
        <w:t xml:space="preserve"> of her work at the embassy, where she had been the sole consular officer, the same decision would have been taken regardless of the reasons behind her long and unpredictable absences from work.</w:t>
      </w:r>
    </w:p>
    <w:bookmarkStart w:name="para_67" w:id="44"/>
    <w:p w:rsidRPr="00C821A9" w:rsidR="00EC4EEA" w:rsidP="00EC4EEA" w14:paraId="332834A0" w14:textId="77777777">
      <w:pPr>
        <w:pStyle w:val="JuPara"/>
      </w:pPr>
      <w:r w:rsidRPr="00C821A9">
        <w:fldChar w:fldCharType="begin"/>
      </w:r>
      <w:r w:rsidRPr="00C821A9">
        <w:instrText xml:space="preserve"> SEQ level0 \*arabic </w:instrText>
      </w:r>
      <w:r w:rsidRPr="00C821A9">
        <w:fldChar w:fldCharType="separate"/>
      </w:r>
      <w:r w:rsidRPr="00C821A9">
        <w:rPr>
          <w:noProof/>
        </w:rPr>
        <w:t>67</w:t>
      </w:r>
      <w:r w:rsidRPr="00C821A9">
        <w:fldChar w:fldCharType="end"/>
      </w:r>
      <w:bookmarkEnd w:id="44"/>
      <w:r w:rsidRPr="00C821A9">
        <w:t>.  In addition, the decision to terminate the applicant’s posting had pursued a legitimate aim, notably ensuring the protection of the rights and freedoms of Romanian nationals abroad.</w:t>
      </w:r>
    </w:p>
    <w:bookmarkStart w:name="para_68" w:id="45"/>
    <w:p w:rsidRPr="00C821A9" w:rsidR="00EC4EEA" w:rsidP="00EC4EEA" w14:paraId="2877BB90" w14:textId="77777777">
      <w:pPr>
        <w:pStyle w:val="JuPara"/>
      </w:pPr>
      <w:r w:rsidRPr="00C821A9">
        <w:fldChar w:fldCharType="begin"/>
      </w:r>
      <w:r w:rsidRPr="00C821A9">
        <w:instrText xml:space="preserve"> SEQ level0 \*arabic </w:instrText>
      </w:r>
      <w:r w:rsidRPr="00C821A9">
        <w:fldChar w:fldCharType="separate"/>
      </w:r>
      <w:r w:rsidRPr="00C821A9">
        <w:rPr>
          <w:noProof/>
        </w:rPr>
        <w:t>68</w:t>
      </w:r>
      <w:r w:rsidRPr="00C821A9">
        <w:fldChar w:fldCharType="end"/>
      </w:r>
      <w:bookmarkEnd w:id="45"/>
      <w:r w:rsidRPr="00C821A9">
        <w:t>.  Lastly, the Government argued that the domestic courts had carefully examined the applicant’s claims and had balanced her rights and interests against those of the Romanian nationals in need of consular assistance in Slovenia, and the obligations of the MFA to ensure the functional stability of the embassy.</w:t>
      </w:r>
    </w:p>
    <w:p w:rsidRPr="00C821A9" w:rsidR="00EC4EEA" w:rsidP="00EC4EEA" w14:paraId="14634A33" w14:textId="77777777">
      <w:pPr>
        <w:pStyle w:val="JuH1"/>
      </w:pPr>
      <w:r w:rsidRPr="00C821A9">
        <w:t>The Court’s assessment</w:t>
      </w:r>
    </w:p>
    <w:p w:rsidRPr="00C821A9" w:rsidR="00EC4EEA" w:rsidP="00EC4EEA" w14:paraId="4022338F" w14:textId="77777777">
      <w:pPr>
        <w:pStyle w:val="JuHa0"/>
      </w:pPr>
      <w:r w:rsidRPr="00C821A9">
        <w:t>The general principles</w:t>
      </w:r>
    </w:p>
    <w:p w:rsidRPr="00C821A9" w:rsidR="00EC4EEA" w:rsidP="00EC4EEA" w14:paraId="7B20D527" w14:textId="77777777">
      <w:pPr>
        <w:pStyle w:val="JuPara"/>
      </w:pPr>
      <w:r w:rsidRPr="00C821A9">
        <w:fldChar w:fldCharType="begin"/>
      </w:r>
      <w:r w:rsidRPr="00C821A9">
        <w:instrText xml:space="preserve"> SEQ level0 \*arabic </w:instrText>
      </w:r>
      <w:r w:rsidRPr="00C821A9">
        <w:fldChar w:fldCharType="separate"/>
      </w:r>
      <w:r w:rsidRPr="00C821A9">
        <w:rPr>
          <w:noProof/>
        </w:rPr>
        <w:t>69</w:t>
      </w:r>
      <w:r w:rsidRPr="00C821A9">
        <w:fldChar w:fldCharType="end"/>
      </w:r>
      <w:r w:rsidRPr="00C821A9">
        <w:t xml:space="preserve">.  Notwithstanding the difference in scope between Article 14 of the Convention and Article 1 of Protocol No. 12 to the Convention, the meaning of the notion of “discrimination” in Article 1 of Protocol No. 12 was intended to be identical to that in Article 14 (see paragraphs 18 and 19 of the Explanatory Report to Protocol No. 12). In applying the same term under Article 1 of Protocol No. 12, the Court therefore sees no reason to depart from the established interpretation of “discrimination” (see </w:t>
      </w:r>
      <w:r w:rsidRPr="00C821A9">
        <w:rPr>
          <w:i/>
        </w:rPr>
        <w:t>Sejdić</w:t>
      </w:r>
      <w:r w:rsidRPr="00C821A9">
        <w:rPr>
          <w:i/>
        </w:rPr>
        <w:t xml:space="preserve"> and </w:t>
      </w:r>
      <w:r w:rsidRPr="00C821A9">
        <w:rPr>
          <w:i/>
        </w:rPr>
        <w:t>Finci</w:t>
      </w:r>
      <w:r w:rsidRPr="00C821A9">
        <w:t>, cited above, § 55).</w:t>
      </w:r>
    </w:p>
    <w:p w:rsidRPr="00C821A9" w:rsidR="00EC4EEA" w:rsidP="00EC4EEA" w14:paraId="359E4210" w14:textId="77777777">
      <w:pPr>
        <w:pStyle w:val="JuPara"/>
      </w:pPr>
      <w:r w:rsidRPr="00C821A9">
        <w:fldChar w:fldCharType="begin"/>
      </w:r>
      <w:r w:rsidRPr="00C821A9">
        <w:instrText xml:space="preserve"> SEQ level0 \*arabic </w:instrText>
      </w:r>
      <w:r w:rsidRPr="00C821A9">
        <w:fldChar w:fldCharType="separate"/>
      </w:r>
      <w:r w:rsidRPr="00C821A9">
        <w:rPr>
          <w:noProof/>
        </w:rPr>
        <w:t>70</w:t>
      </w:r>
      <w:r w:rsidRPr="00C821A9">
        <w:fldChar w:fldCharType="end"/>
      </w:r>
      <w:r w:rsidRPr="00C821A9">
        <w:t>.  It can be inferred that, in principle, the same standards developed by the Court in its case-law concerning the protection afforded by Article 14 are applicable to cases brought under Article 1 of Protocol No. 12.</w:t>
      </w:r>
    </w:p>
    <w:p w:rsidRPr="00C821A9" w:rsidR="00EC4EEA" w:rsidP="00EC4EEA" w14:paraId="13593442" w14:textId="77777777">
      <w:pPr>
        <w:pStyle w:val="JuPara"/>
      </w:pPr>
      <w:r w:rsidRPr="00C821A9">
        <w:fldChar w:fldCharType="begin"/>
      </w:r>
      <w:r w:rsidRPr="00C821A9">
        <w:instrText xml:space="preserve"> SEQ level0 \*arabic </w:instrText>
      </w:r>
      <w:r w:rsidRPr="00C821A9">
        <w:fldChar w:fldCharType="separate"/>
      </w:r>
      <w:r w:rsidRPr="00C821A9">
        <w:rPr>
          <w:noProof/>
        </w:rPr>
        <w:t>71</w:t>
      </w:r>
      <w:r w:rsidRPr="00C821A9">
        <w:fldChar w:fldCharType="end"/>
      </w:r>
      <w:r w:rsidRPr="00C821A9">
        <w:t xml:space="preserve">.  In this vein the Court reiterates that in the enjoyment of the rights and freedoms guaranteed by the Convention, Article 14 affords protection against different treatment, without objective and reasonable justification, of individuals in analogous, or relevantly similar, situations. In other words, the requirement to demonstrate an analogous position does not require that the comparator groups be identical. For the purposes of Article 14, a difference in treatment is discriminatory if it “has no objective and reasonable justification”, that is, if it does not pursue a “legitimate aim” or if there is not a “reasonable relationship of proportionality” between the means employed and the aim sought to be realised (see </w:t>
      </w:r>
      <w:r w:rsidRPr="00C821A9">
        <w:rPr>
          <w:i/>
          <w:iCs/>
        </w:rPr>
        <w:t>Molla Sali v. Greece</w:t>
      </w:r>
      <w:r w:rsidRPr="00C821A9">
        <w:t xml:space="preserve"> [GC], no.</w:t>
      </w:r>
      <w:r w:rsidRPr="00C821A9">
        <w:rPr>
          <w:lang w:eastAsia="en-GB"/>
        </w:rPr>
        <w:t xml:space="preserve"> </w:t>
      </w:r>
      <w:r w:rsidRPr="00C821A9">
        <w:t>20452/14, §§ 133 and 135, 19 December 2018).</w:t>
      </w:r>
    </w:p>
    <w:p w:rsidRPr="00C821A9" w:rsidR="00EC4EEA" w:rsidP="00EC4EEA" w14:paraId="603696A6" w14:textId="77777777">
      <w:pPr>
        <w:pStyle w:val="JuPara"/>
      </w:pPr>
      <w:r w:rsidRPr="00C821A9">
        <w:fldChar w:fldCharType="begin"/>
      </w:r>
      <w:r w:rsidRPr="00C821A9">
        <w:instrText xml:space="preserve"> SEQ level0 \*arabic </w:instrText>
      </w:r>
      <w:r w:rsidRPr="00C821A9">
        <w:fldChar w:fldCharType="separate"/>
      </w:r>
      <w:r w:rsidRPr="00C821A9">
        <w:rPr>
          <w:noProof/>
        </w:rPr>
        <w:t>72</w:t>
      </w:r>
      <w:r w:rsidRPr="00C821A9">
        <w:fldChar w:fldCharType="end"/>
      </w:r>
      <w:r w:rsidRPr="00C821A9">
        <w:t xml:space="preserve">.  The Court has also established in its case-law that only differences in treatment based on an identifiable characteristic, or “status”, are capable of amounting to discrimination within the meaning of Article 14 (see </w:t>
      </w:r>
      <w:r w:rsidRPr="00C821A9">
        <w:rPr>
          <w:i/>
        </w:rPr>
        <w:t>Fábián</w:t>
      </w:r>
      <w:r w:rsidRPr="00C821A9">
        <w:rPr>
          <w:i/>
        </w:rPr>
        <w:t xml:space="preserve"> v. Hungary</w:t>
      </w:r>
      <w:r w:rsidRPr="00C821A9">
        <w:t xml:space="preserve"> [GC], no. 78117/13, § 113, 5 September 2017).</w:t>
      </w:r>
    </w:p>
    <w:bookmarkStart w:name="ID_case_law" w:id="46"/>
    <w:p w:rsidRPr="00C821A9" w:rsidR="00EC4EEA" w:rsidP="00EC4EEA" w14:paraId="293E53DE" w14:textId="0A352234">
      <w:pPr>
        <w:pStyle w:val="JuPara"/>
      </w:pPr>
      <w:r w:rsidRPr="00C821A9">
        <w:fldChar w:fldCharType="begin"/>
      </w:r>
      <w:r w:rsidRPr="00C821A9">
        <w:instrText xml:space="preserve"> SEQ level0 \*arabic </w:instrText>
      </w:r>
      <w:r w:rsidRPr="00C821A9">
        <w:fldChar w:fldCharType="separate"/>
      </w:r>
      <w:r w:rsidRPr="00C821A9">
        <w:rPr>
          <w:noProof/>
        </w:rPr>
        <w:t>73</w:t>
      </w:r>
      <w:r w:rsidRPr="00C821A9">
        <w:fldChar w:fldCharType="end"/>
      </w:r>
      <w:bookmarkEnd w:id="46"/>
      <w:r w:rsidRPr="00C821A9">
        <w:t xml:space="preserve">.  Furthermore, Article 14 does not prohibit Contracting Parties from treating groups differently </w:t>
      </w:r>
      <w:r w:rsidRPr="00C821A9">
        <w:t>in order to</w:t>
      </w:r>
      <w:r w:rsidRPr="00C821A9">
        <w:t xml:space="preserve"> correct “factual inequalities” between them. Indeed, the right not to be discriminated against in the enjoyment of the rights guaranteed under the Convention is also violated when States, without an objective and reasonable justification, fail to treat differently persons whose situations are significantly different (see </w:t>
      </w:r>
      <w:r w:rsidRPr="00C821A9">
        <w:rPr>
          <w:i/>
          <w:iCs/>
        </w:rPr>
        <w:t>Thlimmenos</w:t>
      </w:r>
      <w:r w:rsidRPr="00C821A9">
        <w:rPr>
          <w:i/>
          <w:iCs/>
        </w:rPr>
        <w:t xml:space="preserve"> v. Greece</w:t>
      </w:r>
      <w:r w:rsidRPr="00C821A9">
        <w:t xml:space="preserve"> [GC], no. 34369/97, § 44, ECHR 2000-IV; </w:t>
      </w:r>
      <w:r w:rsidRPr="00C821A9">
        <w:rPr>
          <w:i/>
          <w:iCs/>
        </w:rPr>
        <w:t>Stec</w:t>
      </w:r>
      <w:r w:rsidRPr="00C821A9">
        <w:rPr>
          <w:i/>
          <w:iCs/>
        </w:rPr>
        <w:t xml:space="preserve"> and Others v. the United Kingdom</w:t>
      </w:r>
      <w:r w:rsidRPr="00C821A9">
        <w:t xml:space="preserve"> [GC], nos. 65731/01 and 65900/01, § 51, ECHR 2006</w:t>
      </w:r>
      <w:r w:rsidRPr="00C821A9">
        <w:noBreakHyphen/>
        <w:t xml:space="preserve">VI; and </w:t>
      </w:r>
      <w:r w:rsidRPr="00C821A9">
        <w:rPr>
          <w:i/>
        </w:rPr>
        <w:t>Guberina</w:t>
      </w:r>
      <w:r w:rsidRPr="00C821A9">
        <w:rPr>
          <w:i/>
        </w:rPr>
        <w:t xml:space="preserve"> v. Croatia</w:t>
      </w:r>
      <w:r w:rsidRPr="00C821A9">
        <w:t xml:space="preserve">, no. 23682/13, § 70, 22 March 2016). The prohibition deriving from Article 14 will therefore also give rise to positive obligations for the Contracting States to make necessary distinctions between persons or groups whose circumstances are relevantly and significantly different (see </w:t>
      </w:r>
      <w:r w:rsidRPr="00C821A9">
        <w:rPr>
          <w:i/>
        </w:rPr>
        <w:t>J.D. and A v. the United Kingdom</w:t>
      </w:r>
      <w:r w:rsidRPr="00C821A9">
        <w:t xml:space="preserve">, nos. 32949/17 and 34614/17, § 84, 24 October 2019, with further references, in particular </w:t>
      </w:r>
      <w:r w:rsidRPr="00C821A9">
        <w:rPr>
          <w:i/>
        </w:rPr>
        <w:t>Thlimmenos</w:t>
      </w:r>
      <w:r w:rsidRPr="00C821A9">
        <w:t xml:space="preserve">, cited above, § 44). In this context, relevance is measured in </w:t>
      </w:r>
      <w:r w:rsidRPr="00C821A9">
        <w:t xml:space="preserve">relation to what is at stake, whereas a certain threshold is required </w:t>
      </w:r>
      <w:r w:rsidRPr="00C821A9">
        <w:t>in order for</w:t>
      </w:r>
      <w:r w:rsidRPr="00C821A9">
        <w:t xml:space="preserve"> the Court to find that the difference in circumstances is significant. For this threshold to be reached, a measure must produce a particularly prejudicial impact on certain persons as a result of a protected ground attaching to their situation and in the light of the ground of discrimination invoked (see </w:t>
      </w:r>
      <w:r w:rsidRPr="00C821A9">
        <w:rPr>
          <w:i/>
        </w:rPr>
        <w:t>J.D. and A v. the United Kingdom</w:t>
      </w:r>
      <w:r w:rsidRPr="00C821A9">
        <w:t>, cited above, § 85).</w:t>
      </w:r>
    </w:p>
    <w:bookmarkStart w:name="CL_protection_pregnancy" w:id="47"/>
    <w:p w:rsidRPr="00C821A9" w:rsidR="00EC4EEA" w:rsidP="00EC4EEA" w14:paraId="57244543" w14:textId="77777777">
      <w:pPr>
        <w:pStyle w:val="JuPara"/>
      </w:pPr>
      <w:r w:rsidRPr="00C821A9">
        <w:fldChar w:fldCharType="begin"/>
      </w:r>
      <w:r w:rsidRPr="00C821A9">
        <w:instrText xml:space="preserve"> SEQ level0 \*arabic </w:instrText>
      </w:r>
      <w:r w:rsidRPr="00C821A9">
        <w:fldChar w:fldCharType="separate"/>
      </w:r>
      <w:r w:rsidRPr="00C821A9">
        <w:rPr>
          <w:noProof/>
        </w:rPr>
        <w:t>74</w:t>
      </w:r>
      <w:r w:rsidRPr="00C821A9">
        <w:fldChar w:fldCharType="end"/>
      </w:r>
      <w:bookmarkEnd w:id="47"/>
      <w:r w:rsidRPr="00C821A9">
        <w:t>.  The Court has acknowledged in its case-law, albeit indirectly, the need for the protection of pregnancy and motherhood (see,</w:t>
      </w:r>
      <w:r w:rsidRPr="00C821A9">
        <w:rPr>
          <w:i/>
        </w:rPr>
        <w:t xml:space="preserve"> mutatis mutandis</w:t>
      </w:r>
      <w:r w:rsidRPr="00C821A9">
        <w:t xml:space="preserve">, </w:t>
      </w:r>
      <w:r w:rsidRPr="00C821A9">
        <w:rPr>
          <w:i/>
        </w:rPr>
        <w:t>Khamtokhu</w:t>
      </w:r>
      <w:r w:rsidRPr="00C821A9">
        <w:rPr>
          <w:i/>
        </w:rPr>
        <w:t xml:space="preserve"> and </w:t>
      </w:r>
      <w:r w:rsidRPr="00C821A9">
        <w:rPr>
          <w:i/>
        </w:rPr>
        <w:t>Aksenchik</w:t>
      </w:r>
      <w:r w:rsidRPr="00C821A9">
        <w:rPr>
          <w:i/>
        </w:rPr>
        <w:t xml:space="preserve"> v. Russia</w:t>
      </w:r>
      <w:r w:rsidRPr="00C821A9">
        <w:t xml:space="preserve"> [GC], nos. 60367/08 and 961/11, § 82, 24 January 2017; </w:t>
      </w:r>
      <w:r w:rsidRPr="00C821A9">
        <w:rPr>
          <w:i/>
        </w:rPr>
        <w:t xml:space="preserve">Konstantin </w:t>
      </w:r>
      <w:r w:rsidRPr="00C821A9">
        <w:rPr>
          <w:i/>
        </w:rPr>
        <w:t>Markin</w:t>
      </w:r>
      <w:r w:rsidRPr="00C821A9">
        <w:rPr>
          <w:i/>
        </w:rPr>
        <w:t xml:space="preserve"> v. Russia</w:t>
      </w:r>
      <w:r w:rsidRPr="00C821A9">
        <w:t xml:space="preserve"> [GC]</w:t>
      </w:r>
      <w:r w:rsidRPr="00C821A9">
        <w:rPr>
          <w:snapToGrid w:val="0"/>
        </w:rPr>
        <w:t>, no.</w:t>
      </w:r>
      <w:r w:rsidRPr="00C821A9">
        <w:t xml:space="preserve"> 30078/06, § 132, </w:t>
      </w:r>
      <w:r w:rsidRPr="00C821A9">
        <w:rPr>
          <w:snapToGrid w:val="0"/>
        </w:rPr>
        <w:t xml:space="preserve">ECHR 2012; </w:t>
      </w:r>
      <w:r w:rsidRPr="00C821A9">
        <w:rPr>
          <w:i/>
          <w:iCs/>
        </w:rPr>
        <w:t>Alexandru Enache v. Romania</w:t>
      </w:r>
      <w:r w:rsidRPr="00C821A9">
        <w:rPr>
          <w:iCs/>
        </w:rPr>
        <w:t>, no.</w:t>
      </w:r>
      <w:r w:rsidRPr="00C821A9">
        <w:t xml:space="preserve"> 16986/12, §§ 68 and 76-77, 3 October 2017; and </w:t>
      </w:r>
      <w:r w:rsidRPr="00C821A9">
        <w:rPr>
          <w:i/>
        </w:rPr>
        <w:t>Petrovic v. Austria</w:t>
      </w:r>
      <w:r w:rsidRPr="00C821A9">
        <w:t xml:space="preserve">, 27 March 1998, § 36, </w:t>
      </w:r>
      <w:r w:rsidRPr="00C821A9">
        <w:rPr>
          <w:i/>
        </w:rPr>
        <w:t>Reports of Judgments and Decisions</w:t>
      </w:r>
      <w:r w:rsidRPr="00C821A9">
        <w:t xml:space="preserve"> 1998</w:t>
      </w:r>
      <w:r w:rsidRPr="00C821A9">
        <w:noBreakHyphen/>
        <w:t>II).</w:t>
      </w:r>
    </w:p>
    <w:bookmarkStart w:name="GP_no_scope_for_ethnic_discrimi" w:id="48"/>
    <w:p w:rsidRPr="00C821A9" w:rsidR="00EC4EEA" w:rsidP="00EC4EEA" w14:paraId="2581FE79" w14:textId="77777777">
      <w:pPr>
        <w:pStyle w:val="JuPara"/>
        <w:rPr>
          <w:snapToGrid w:val="0"/>
        </w:rPr>
      </w:pPr>
      <w:r w:rsidRPr="00C821A9">
        <w:fldChar w:fldCharType="begin"/>
      </w:r>
      <w:r w:rsidRPr="00C821A9">
        <w:instrText xml:space="preserve"> SEQ level0 \*arabic </w:instrText>
      </w:r>
      <w:r w:rsidRPr="00C821A9">
        <w:fldChar w:fldCharType="separate"/>
      </w:r>
      <w:r w:rsidRPr="00C821A9">
        <w:rPr>
          <w:noProof/>
        </w:rPr>
        <w:t>75</w:t>
      </w:r>
      <w:r w:rsidRPr="00C821A9">
        <w:fldChar w:fldCharType="end"/>
      </w:r>
      <w:bookmarkEnd w:id="48"/>
      <w:r w:rsidRPr="00C821A9">
        <w:t xml:space="preserve">.  The Court has also held that the advancement of the equality of the sexes is a major goal in the member States of the Council of Europe. This means that very weighty reasons would have to be advanced before a difference in treatment on the grounds of sex could be regarded as being compatible with the Convention (see </w:t>
      </w:r>
      <w:r w:rsidRPr="00C821A9">
        <w:rPr>
          <w:i/>
        </w:rPr>
        <w:t xml:space="preserve">Abdulaziz, </w:t>
      </w:r>
      <w:r w:rsidRPr="00C821A9">
        <w:rPr>
          <w:i/>
        </w:rPr>
        <w:t>Cabales</w:t>
      </w:r>
      <w:r w:rsidRPr="00C821A9">
        <w:rPr>
          <w:i/>
        </w:rPr>
        <w:t xml:space="preserve"> and </w:t>
      </w:r>
      <w:r w:rsidRPr="00C821A9">
        <w:rPr>
          <w:i/>
        </w:rPr>
        <w:t>Balkandali</w:t>
      </w:r>
      <w:r w:rsidRPr="00C821A9">
        <w:rPr>
          <w:i/>
        </w:rPr>
        <w:t xml:space="preserve"> v. the United Kingdom</w:t>
      </w:r>
      <w:r w:rsidRPr="00C821A9">
        <w:t xml:space="preserve">, 28 May 1985, § 78, Series A no. 94, and </w:t>
      </w:r>
      <w:r w:rsidRPr="00C821A9">
        <w:rPr>
          <w:i/>
          <w:iCs/>
        </w:rPr>
        <w:t xml:space="preserve">Carvalho Pinto de Sousa </w:t>
      </w:r>
      <w:r w:rsidRPr="00C821A9">
        <w:rPr>
          <w:i/>
          <w:iCs/>
        </w:rPr>
        <w:t>Morais</w:t>
      </w:r>
      <w:r w:rsidRPr="00C821A9">
        <w:rPr>
          <w:i/>
          <w:iCs/>
        </w:rPr>
        <w:t xml:space="preserve"> v. Portugal</w:t>
      </w:r>
      <w:r w:rsidRPr="00C821A9">
        <w:rPr>
          <w:lang w:eastAsia="en-GB"/>
        </w:rPr>
        <w:t xml:space="preserve">, no. </w:t>
      </w:r>
      <w:r w:rsidRPr="00C821A9">
        <w:t>17484/15</w:t>
      </w:r>
      <w:r w:rsidRPr="00C821A9">
        <w:rPr>
          <w:lang w:eastAsia="en-GB"/>
        </w:rPr>
        <w:t xml:space="preserve">, </w:t>
      </w:r>
      <w:r w:rsidRPr="00C821A9">
        <w:t xml:space="preserve">§ 46, 25 July 2017). Consequently, where a difference in treatment is based on sex, the margin of appreciation afforded to the State is narrow, and in such situations the principle of proportionality does not merely require that the measure chosen should in general be suited to the fulfilment of the aim pursued, but it must also be shown that it was necessary in the circumstances (see </w:t>
      </w:r>
      <w:r w:rsidRPr="00C821A9">
        <w:rPr>
          <w:i/>
        </w:rPr>
        <w:t>Emel</w:t>
      </w:r>
      <w:r w:rsidRPr="00C821A9">
        <w:rPr>
          <w:i/>
        </w:rPr>
        <w:t xml:space="preserve"> </w:t>
      </w:r>
      <w:r w:rsidRPr="00C821A9">
        <w:rPr>
          <w:i/>
        </w:rPr>
        <w:t>Boyraz</w:t>
      </w:r>
      <w:r w:rsidRPr="00C821A9">
        <w:rPr>
          <w:i/>
          <w:iCs/>
        </w:rPr>
        <w:t xml:space="preserve"> </w:t>
      </w:r>
      <w:r w:rsidRPr="00C821A9">
        <w:rPr>
          <w:i/>
        </w:rPr>
        <w:t>v. Turkey</w:t>
      </w:r>
      <w:r w:rsidRPr="00C821A9">
        <w:t>, no. 61960/08</w:t>
      </w:r>
      <w:r w:rsidRPr="00C821A9">
        <w:rPr>
          <w:snapToGrid w:val="0"/>
        </w:rPr>
        <w:t>, § 51, 2 December 2014).</w:t>
      </w:r>
    </w:p>
    <w:p w:rsidRPr="00C821A9" w:rsidR="00EC4EEA" w:rsidP="00EC4EEA" w14:paraId="070C275A" w14:textId="77777777">
      <w:pPr>
        <w:pStyle w:val="JuHa0"/>
      </w:pPr>
      <w:r w:rsidRPr="00C821A9">
        <w:t>Application of those principles to the facts of the present case</w:t>
      </w:r>
    </w:p>
    <w:p w:rsidRPr="00C821A9" w:rsidR="00EC4EEA" w:rsidP="00EC4EEA" w14:paraId="784E4E6E" w14:textId="77777777">
      <w:pPr>
        <w:pStyle w:val="JuPara"/>
      </w:pPr>
      <w:r w:rsidRPr="00C821A9">
        <w:fldChar w:fldCharType="begin"/>
      </w:r>
      <w:r w:rsidRPr="00C821A9">
        <w:instrText xml:space="preserve"> SEQ level0 \*arabic </w:instrText>
      </w:r>
      <w:r w:rsidRPr="00C821A9">
        <w:fldChar w:fldCharType="separate"/>
      </w:r>
      <w:r w:rsidRPr="00C821A9">
        <w:rPr>
          <w:noProof/>
        </w:rPr>
        <w:t>76</w:t>
      </w:r>
      <w:r w:rsidRPr="00C821A9">
        <w:fldChar w:fldCharType="end"/>
      </w:r>
      <w:r w:rsidRPr="00C821A9">
        <w:t>.  Turning to the facts of the present case, the Court notes that it was considered that the applicant would be unable to carry out her work because of absences for medical appointments and maternity leave (see paragraphs </w:t>
      </w:r>
      <w:r w:rsidRPr="00C821A9">
        <w:fldChar w:fldCharType="begin"/>
      </w:r>
      <w:r w:rsidRPr="00C821A9">
        <w:instrText xml:space="preserve"> REF appraisal \h  \* MERGEFORMAT </w:instrText>
      </w:r>
      <w:r w:rsidRPr="00C821A9">
        <w:fldChar w:fldCharType="separate"/>
      </w:r>
      <w:r w:rsidRPr="00C821A9">
        <w:t>20</w:t>
      </w:r>
      <w:r w:rsidRPr="00C821A9">
        <w:fldChar w:fldCharType="end"/>
      </w:r>
      <w:r w:rsidRPr="00C821A9">
        <w:t xml:space="preserve">, </w:t>
      </w:r>
      <w:r w:rsidRPr="00C821A9">
        <w:fldChar w:fldCharType="begin"/>
      </w:r>
      <w:r w:rsidRPr="00C821A9">
        <w:instrText xml:space="preserve"> REF report_ambas_second_pregnancy \h  \* MERGEFORMAT </w:instrText>
      </w:r>
      <w:r w:rsidRPr="00C821A9">
        <w:fldChar w:fldCharType="separate"/>
      </w:r>
      <w:r w:rsidRPr="00C821A9">
        <w:t>22</w:t>
      </w:r>
      <w:r w:rsidRPr="00C821A9">
        <w:fldChar w:fldCharType="end"/>
      </w:r>
      <w:r w:rsidRPr="00C821A9">
        <w:t xml:space="preserve"> and </w:t>
      </w:r>
      <w:r w:rsidRPr="00C821A9">
        <w:fldChar w:fldCharType="begin"/>
      </w:r>
      <w:r w:rsidRPr="00C821A9">
        <w:instrText xml:space="preserve"> REF report_add_ambas_second_pregnancy \h  \* MERGEFORMAT </w:instrText>
      </w:r>
      <w:r w:rsidRPr="00C821A9">
        <w:fldChar w:fldCharType="separate"/>
      </w:r>
      <w:r w:rsidRPr="00C821A9">
        <w:t>23</w:t>
      </w:r>
      <w:r w:rsidRPr="00C821A9">
        <w:fldChar w:fldCharType="end"/>
      </w:r>
      <w:r w:rsidRPr="00C821A9">
        <w:t xml:space="preserve"> above). The decision to recall her to Bucharest was taken as soon as she had announced her second pregnancy (see paragraphs </w:t>
      </w:r>
      <w:r w:rsidRPr="00C821A9">
        <w:fldChar w:fldCharType="begin"/>
      </w:r>
      <w:r w:rsidRPr="00C821A9">
        <w:instrText xml:space="preserve"> REF announcement_P2 \h  \* MERGEFORMAT </w:instrText>
      </w:r>
      <w:r w:rsidRPr="00C821A9">
        <w:fldChar w:fldCharType="separate"/>
      </w:r>
      <w:r w:rsidRPr="00C821A9">
        <w:t>19</w:t>
      </w:r>
      <w:r w:rsidRPr="00C821A9">
        <w:fldChar w:fldCharType="end"/>
      </w:r>
      <w:r w:rsidRPr="00C821A9">
        <w:t xml:space="preserve"> and </w:t>
      </w:r>
      <w:r w:rsidRPr="00C821A9">
        <w:fldChar w:fldCharType="begin"/>
      </w:r>
      <w:r w:rsidRPr="00C821A9">
        <w:instrText xml:space="preserve"> REF MinOrder_20_Jan_2009 \h  \* MERGEFORMAT </w:instrText>
      </w:r>
      <w:r w:rsidRPr="00C821A9">
        <w:fldChar w:fldCharType="separate"/>
      </w:r>
      <w:r w:rsidRPr="00C821A9">
        <w:t>24</w:t>
      </w:r>
      <w:r w:rsidRPr="00C821A9">
        <w:fldChar w:fldCharType="end"/>
      </w:r>
      <w:r w:rsidRPr="00C821A9">
        <w:t xml:space="preserve"> above). In their submissions, the Government also accepted that the applicant’s condition had played a role in the decision to terminate her diplomatic assignment (see paragraph </w:t>
      </w:r>
      <w:r w:rsidRPr="00C821A9">
        <w:fldChar w:fldCharType="begin"/>
      </w:r>
      <w:r w:rsidRPr="00C821A9">
        <w:instrText xml:space="preserve"> REF whileadmitting \h  \* MERGEFORMAT </w:instrText>
      </w:r>
      <w:r w:rsidRPr="00C821A9">
        <w:fldChar w:fldCharType="separate"/>
      </w:r>
      <w:r w:rsidRPr="00C821A9">
        <w:t>65</w:t>
      </w:r>
      <w:r w:rsidRPr="00C821A9">
        <w:fldChar w:fldCharType="end"/>
      </w:r>
      <w:r w:rsidRPr="00C821A9">
        <w:t xml:space="preserve"> above). Consequently, the Court considers it established that the applicant experienced such treatment mainly</w:t>
      </w:r>
      <w:r w:rsidRPr="00C821A9">
        <w:rPr>
          <w:b/>
        </w:rPr>
        <w:t xml:space="preserve"> </w:t>
      </w:r>
      <w:r w:rsidRPr="00C821A9">
        <w:t>because of her pregnancy.</w:t>
      </w:r>
    </w:p>
    <w:p w:rsidRPr="00C821A9" w:rsidR="00EC4EEA" w:rsidP="00EC4EEA" w14:paraId="6F23CEA4" w14:textId="77777777">
      <w:pPr>
        <w:pStyle w:val="JuPara"/>
      </w:pPr>
      <w:r w:rsidRPr="00C821A9">
        <w:fldChar w:fldCharType="begin"/>
      </w:r>
      <w:r w:rsidRPr="00C821A9">
        <w:instrText xml:space="preserve"> SEQ level0 \*arabic </w:instrText>
      </w:r>
      <w:r w:rsidRPr="00C821A9">
        <w:fldChar w:fldCharType="separate"/>
      </w:r>
      <w:r w:rsidRPr="00C821A9">
        <w:rPr>
          <w:noProof/>
        </w:rPr>
        <w:t>77</w:t>
      </w:r>
      <w:r w:rsidRPr="00C821A9">
        <w:fldChar w:fldCharType="end"/>
      </w:r>
      <w:r w:rsidRPr="00C821A9">
        <w:t xml:space="preserve">.  The Court observes that only women can be treated differently on grounds of pregnancy, and for this reason such a difference in treatment will amount to direct discrimination on grounds of sex if it is not justified. On this point, the Court cannot but note that a similar approach has also been taken by the CJEU in its case-law (see paragraphs </w:t>
      </w:r>
      <w:r w:rsidRPr="00C821A9">
        <w:fldChar w:fldCharType="begin"/>
      </w:r>
      <w:r w:rsidRPr="00C821A9">
        <w:instrText xml:space="preserve"> REF CJEU_1Dekker \h  \* MERGEFORMAT </w:instrText>
      </w:r>
      <w:r w:rsidRPr="00C821A9">
        <w:fldChar w:fldCharType="separate"/>
      </w:r>
      <w:r w:rsidRPr="00C821A9">
        <w:t>44</w:t>
      </w:r>
      <w:r w:rsidRPr="00C821A9">
        <w:fldChar w:fldCharType="end"/>
      </w:r>
      <w:r w:rsidRPr="00C821A9">
        <w:t xml:space="preserve"> and </w:t>
      </w:r>
      <w:r w:rsidRPr="00C821A9">
        <w:fldChar w:fldCharType="begin"/>
      </w:r>
      <w:r w:rsidRPr="00C821A9">
        <w:instrText xml:space="preserve"> REF CJEU_3Webb \h  \* MERGEFORMAT </w:instrText>
      </w:r>
      <w:r w:rsidRPr="00C821A9">
        <w:fldChar w:fldCharType="separate"/>
      </w:r>
      <w:r w:rsidRPr="00C821A9">
        <w:t>46</w:t>
      </w:r>
      <w:r w:rsidRPr="00C821A9">
        <w:fldChar w:fldCharType="end"/>
      </w:r>
      <w:r w:rsidRPr="00C821A9">
        <w:t xml:space="preserve"> above), and </w:t>
      </w:r>
      <w:r w:rsidRPr="00C821A9">
        <w:t xml:space="preserve">that the approach is consistent with domestic law (see paragraph </w:t>
      </w:r>
      <w:r w:rsidRPr="00C821A9">
        <w:fldChar w:fldCharType="begin"/>
      </w:r>
      <w:r w:rsidRPr="00C821A9">
        <w:instrText xml:space="preserve"> REF L202 \h  \* MERGEFORMAT </w:instrText>
      </w:r>
      <w:r w:rsidRPr="00C821A9">
        <w:fldChar w:fldCharType="separate"/>
      </w:r>
      <w:r w:rsidRPr="00C821A9">
        <w:t>31</w:t>
      </w:r>
      <w:r w:rsidRPr="00C821A9">
        <w:fldChar w:fldCharType="end"/>
      </w:r>
      <w:r w:rsidRPr="00C821A9">
        <w:t xml:space="preserve"> above) and practice (see paragraphs </w:t>
      </w:r>
      <w:r w:rsidRPr="00C821A9">
        <w:fldChar w:fldCharType="begin"/>
      </w:r>
      <w:r w:rsidRPr="00C821A9">
        <w:instrText xml:space="preserve"> REF NCCD_dec \h  \* MERGEFORMAT </w:instrText>
      </w:r>
      <w:r w:rsidRPr="00C821A9">
        <w:fldChar w:fldCharType="separate"/>
      </w:r>
      <w:r w:rsidRPr="00C821A9">
        <w:t>34</w:t>
      </w:r>
      <w:r w:rsidRPr="00C821A9">
        <w:fldChar w:fldCharType="end"/>
      </w:r>
      <w:r w:rsidRPr="00C821A9">
        <w:noBreakHyphen/>
      </w:r>
      <w:r w:rsidRPr="00C821A9">
        <w:fldChar w:fldCharType="begin"/>
      </w:r>
      <w:r w:rsidRPr="00C821A9">
        <w:instrText xml:space="preserve"> REF dom_case_law \h  \* MERGEFORMAT </w:instrText>
      </w:r>
      <w:r w:rsidRPr="00C821A9">
        <w:fldChar w:fldCharType="separate"/>
      </w:r>
      <w:r w:rsidRPr="00C821A9">
        <w:t>36</w:t>
      </w:r>
      <w:r w:rsidRPr="00C821A9">
        <w:fldChar w:fldCharType="end"/>
      </w:r>
      <w:r w:rsidRPr="00C821A9">
        <w:t xml:space="preserve"> above).</w:t>
      </w:r>
    </w:p>
    <w:p w:rsidRPr="00C821A9" w:rsidR="00EC4EEA" w:rsidP="00EC4EEA" w14:paraId="4BBB4D02" w14:textId="77777777">
      <w:pPr>
        <w:pStyle w:val="JuPara"/>
      </w:pPr>
      <w:r w:rsidRPr="00C821A9">
        <w:fldChar w:fldCharType="begin"/>
      </w:r>
      <w:r w:rsidRPr="00C821A9">
        <w:instrText xml:space="preserve"> SEQ level0 \*arabic </w:instrText>
      </w:r>
      <w:r w:rsidRPr="00C821A9">
        <w:fldChar w:fldCharType="separate"/>
      </w:r>
      <w:r w:rsidRPr="00C821A9">
        <w:rPr>
          <w:noProof/>
        </w:rPr>
        <w:t>78</w:t>
      </w:r>
      <w:r w:rsidRPr="00C821A9">
        <w:fldChar w:fldCharType="end"/>
      </w:r>
      <w:r w:rsidRPr="00C821A9">
        <w:t xml:space="preserve">.  Having established that the applicant was treated differently on grounds of sex, the Court must determine whether the reasons put forward by the authorities – namely the MFA, the domestic courts and the Government – to justify the treatment applied to the applicant were relevant and sufficient, notwithstanding the narrow margin of appreciation afforded to States in cases such as the present one (see paragraph </w:t>
      </w:r>
      <w:r w:rsidRPr="00C821A9">
        <w:fldChar w:fldCharType="begin"/>
      </w:r>
      <w:r w:rsidRPr="00C821A9">
        <w:instrText xml:space="preserve"> REF GP_no_scope_for_ethnic_discrimi \h  \* MERGEFORMAT </w:instrText>
      </w:r>
      <w:r w:rsidRPr="00C821A9">
        <w:fldChar w:fldCharType="separate"/>
      </w:r>
      <w:r w:rsidRPr="00C821A9">
        <w:t>75</w:t>
      </w:r>
      <w:r w:rsidRPr="00C821A9">
        <w:fldChar w:fldCharType="end"/>
      </w:r>
      <w:r w:rsidRPr="00C821A9">
        <w:t xml:space="preserve"> above).</w:t>
      </w:r>
    </w:p>
    <w:p w:rsidRPr="00C821A9" w:rsidR="00EC4EEA" w:rsidP="00EC4EEA" w14:paraId="6B862110" w14:textId="77777777">
      <w:pPr>
        <w:pStyle w:val="JuPara"/>
      </w:pPr>
      <w:r w:rsidRPr="00C821A9">
        <w:fldChar w:fldCharType="begin"/>
      </w:r>
      <w:r w:rsidRPr="00C821A9">
        <w:instrText xml:space="preserve"> SEQ level0 \*arabic </w:instrText>
      </w:r>
      <w:r w:rsidRPr="00C821A9">
        <w:fldChar w:fldCharType="separate"/>
      </w:r>
      <w:r w:rsidRPr="00C821A9">
        <w:rPr>
          <w:noProof/>
        </w:rPr>
        <w:t>79</w:t>
      </w:r>
      <w:r w:rsidRPr="00C821A9">
        <w:fldChar w:fldCharType="end"/>
      </w:r>
      <w:r w:rsidRPr="00C821A9">
        <w:t xml:space="preserve">.  The Government argued that the decision to recall the applicant from her posting abroad had pursued the legitimate aim of the protection of the rights of others, notably Romanian nationals in need of consular assistance in Slovenia (see paragraphs </w:t>
      </w:r>
      <w:r w:rsidRPr="00C821A9">
        <w:fldChar w:fldCharType="begin"/>
      </w:r>
      <w:r w:rsidRPr="00C821A9">
        <w:instrText xml:space="preserve"> REF para_67 \h  \* MERGEFORMAT </w:instrText>
      </w:r>
      <w:r w:rsidRPr="00C821A9">
        <w:fldChar w:fldCharType="separate"/>
      </w:r>
      <w:r w:rsidRPr="00C821A9">
        <w:t>67</w:t>
      </w:r>
      <w:r w:rsidRPr="00C821A9">
        <w:fldChar w:fldCharType="end"/>
      </w:r>
      <w:r w:rsidRPr="00C821A9">
        <w:t>-</w:t>
      </w:r>
      <w:r w:rsidRPr="00C821A9">
        <w:fldChar w:fldCharType="begin"/>
      </w:r>
      <w:r w:rsidRPr="00C821A9">
        <w:instrText xml:space="preserve"> REF para_68 \h  \* MERGEFORMAT </w:instrText>
      </w:r>
      <w:r w:rsidRPr="00C821A9">
        <w:fldChar w:fldCharType="separate"/>
      </w:r>
      <w:r w:rsidRPr="00C821A9">
        <w:t>68</w:t>
      </w:r>
      <w:r w:rsidRPr="00C821A9">
        <w:fldChar w:fldCharType="end"/>
      </w:r>
      <w:r w:rsidRPr="00C821A9">
        <w:t xml:space="preserve"> above). The Court accepts this assertion. It must then be established whether the measure was proportionate to this aim.</w:t>
      </w:r>
    </w:p>
    <w:p w:rsidRPr="00C821A9" w:rsidR="00EC4EEA" w:rsidP="00EC4EEA" w14:paraId="13AF4CC4" w14:textId="77777777">
      <w:pPr>
        <w:pStyle w:val="JuPara"/>
      </w:pPr>
      <w:r w:rsidRPr="00C821A9">
        <w:fldChar w:fldCharType="begin"/>
      </w:r>
      <w:r w:rsidRPr="00C821A9">
        <w:instrText xml:space="preserve"> SEQ level0 \*arabic </w:instrText>
      </w:r>
      <w:r w:rsidRPr="00C821A9">
        <w:fldChar w:fldCharType="separate"/>
      </w:r>
      <w:r w:rsidRPr="00C821A9">
        <w:rPr>
          <w:noProof/>
        </w:rPr>
        <w:t>80</w:t>
      </w:r>
      <w:r w:rsidRPr="00C821A9">
        <w:fldChar w:fldCharType="end"/>
      </w:r>
      <w:r w:rsidRPr="00C821A9">
        <w:t>.  In this connection, it is to be noted that the domestic authorities and the Government considered that the early termination of the applicant’s posting abroad had been justified by the fact that her absence would have jeopardised the functional capacity of the embassy’s consular section (see paragraphs </w:t>
      </w:r>
      <w:r w:rsidRPr="00C821A9">
        <w:fldChar w:fldCharType="begin"/>
      </w:r>
      <w:r w:rsidRPr="00C821A9">
        <w:instrText xml:space="preserve"> REF report_ambas_second_pregnancy \h  \* MERGEFORMAT </w:instrText>
      </w:r>
      <w:r w:rsidRPr="00C821A9">
        <w:fldChar w:fldCharType="separate"/>
      </w:r>
      <w:r w:rsidRPr="00C821A9">
        <w:t>22</w:t>
      </w:r>
      <w:r w:rsidRPr="00C821A9">
        <w:fldChar w:fldCharType="end"/>
      </w:r>
      <w:r w:rsidRPr="00C821A9">
        <w:t xml:space="preserve">, </w:t>
      </w:r>
      <w:r w:rsidRPr="00C821A9">
        <w:fldChar w:fldCharType="begin"/>
      </w:r>
      <w:r w:rsidRPr="00C821A9">
        <w:instrText xml:space="preserve"> REF report_add_ambas_second_pregnancy \h  \* MERGEFORMAT </w:instrText>
      </w:r>
      <w:r w:rsidRPr="00C821A9">
        <w:fldChar w:fldCharType="separate"/>
      </w:r>
      <w:r w:rsidRPr="00C821A9">
        <w:t>23</w:t>
      </w:r>
      <w:r w:rsidRPr="00C821A9">
        <w:fldChar w:fldCharType="end"/>
      </w:r>
      <w:r w:rsidRPr="00C821A9">
        <w:t xml:space="preserve">, </w:t>
      </w:r>
      <w:r w:rsidRPr="00C821A9">
        <w:fldChar w:fldCharType="begin"/>
      </w:r>
      <w:r w:rsidRPr="00C821A9">
        <w:instrText xml:space="preserve"> REF dec1 \h  \* MERGEFORMAT </w:instrText>
      </w:r>
      <w:r w:rsidRPr="00C821A9">
        <w:fldChar w:fldCharType="separate"/>
      </w:r>
      <w:r w:rsidRPr="00C821A9">
        <w:t>28</w:t>
      </w:r>
      <w:r w:rsidRPr="00C821A9">
        <w:fldChar w:fldCharType="end"/>
      </w:r>
      <w:r w:rsidRPr="00C821A9">
        <w:t xml:space="preserve">, </w:t>
      </w:r>
      <w:r w:rsidRPr="00C821A9">
        <w:fldChar w:fldCharType="begin"/>
      </w:r>
      <w:r w:rsidRPr="00C821A9">
        <w:instrText xml:space="preserve"> REF dec2 \h  \* MERGEFORMAT </w:instrText>
      </w:r>
      <w:r w:rsidRPr="00C821A9">
        <w:fldChar w:fldCharType="separate"/>
      </w:r>
      <w:r w:rsidRPr="00C821A9">
        <w:t>30</w:t>
      </w:r>
      <w:r w:rsidRPr="00C821A9">
        <w:fldChar w:fldCharType="end"/>
      </w:r>
      <w:r w:rsidRPr="00C821A9">
        <w:t xml:space="preserve"> and </w:t>
      </w:r>
      <w:r w:rsidRPr="00C821A9">
        <w:fldChar w:fldCharType="begin"/>
      </w:r>
      <w:r w:rsidRPr="00C821A9">
        <w:instrText xml:space="preserve"> REF para_68 \h  \* MERGEFORMAT </w:instrText>
      </w:r>
      <w:r w:rsidRPr="00C821A9">
        <w:fldChar w:fldCharType="separate"/>
      </w:r>
      <w:r w:rsidRPr="00C821A9">
        <w:t>68</w:t>
      </w:r>
      <w:r w:rsidRPr="00C821A9">
        <w:fldChar w:fldCharType="end"/>
      </w:r>
      <w:r w:rsidRPr="00C821A9">
        <w:t xml:space="preserve"> above). The Court observes that during the applicant’s absence from the office, consular services were suspended and requests for assistance were redirected to embassies in neighbouring countries (see paragraphs </w:t>
      </w:r>
      <w:r w:rsidRPr="00C821A9">
        <w:fldChar w:fldCharType="begin"/>
      </w:r>
      <w:r w:rsidRPr="00C821A9">
        <w:instrText xml:space="preserve"> REF para_11 \h  \* MERGEFORMAT </w:instrText>
      </w:r>
      <w:r w:rsidRPr="00C821A9">
        <w:fldChar w:fldCharType="separate"/>
      </w:r>
      <w:r w:rsidRPr="00C821A9">
        <w:t>11</w:t>
      </w:r>
      <w:r w:rsidRPr="00C821A9">
        <w:fldChar w:fldCharType="end"/>
      </w:r>
      <w:r w:rsidRPr="00C821A9">
        <w:t xml:space="preserve"> and </w:t>
      </w:r>
      <w:r w:rsidRPr="00C821A9">
        <w:fldChar w:fldCharType="begin"/>
      </w:r>
      <w:r w:rsidRPr="00C821A9">
        <w:instrText xml:space="preserve"> REF replacement_pregnancy1 \h  \* MERGEFORMAT </w:instrText>
      </w:r>
      <w:r w:rsidRPr="00C821A9">
        <w:fldChar w:fldCharType="separate"/>
      </w:r>
      <w:r w:rsidRPr="00C821A9">
        <w:t>15</w:t>
      </w:r>
      <w:r w:rsidRPr="00C821A9">
        <w:fldChar w:fldCharType="end"/>
      </w:r>
      <w:r w:rsidRPr="00C821A9">
        <w:t xml:space="preserve"> above). It is thus clear that, bearing in mind the nature of her work and the urgency of the requests she was called upon to deal with (see paragraph </w:t>
      </w:r>
      <w:r w:rsidRPr="00C821A9">
        <w:fldChar w:fldCharType="begin"/>
      </w:r>
      <w:r w:rsidRPr="00C821A9">
        <w:instrText xml:space="preserve"> REF para_8 \h  \* MERGEFORMAT </w:instrText>
      </w:r>
      <w:r w:rsidRPr="00C821A9">
        <w:fldChar w:fldCharType="separate"/>
      </w:r>
      <w:r w:rsidRPr="00C821A9">
        <w:t>8</w:t>
      </w:r>
      <w:r w:rsidRPr="00C821A9">
        <w:fldChar w:fldCharType="end"/>
      </w:r>
      <w:r w:rsidRPr="00C821A9">
        <w:t xml:space="preserve"> above), the applicant’s absence from the office seriously affected consular activity in the embassy.</w:t>
      </w:r>
    </w:p>
    <w:p w:rsidRPr="00C821A9" w:rsidR="00EC4EEA" w:rsidP="00EC4EEA" w14:paraId="4720A8AF" w14:textId="77777777">
      <w:pPr>
        <w:pStyle w:val="JuPara"/>
      </w:pPr>
      <w:r w:rsidRPr="00C821A9">
        <w:fldChar w:fldCharType="begin"/>
      </w:r>
      <w:r w:rsidRPr="00C821A9">
        <w:instrText xml:space="preserve"> SEQ level0 \*arabic </w:instrText>
      </w:r>
      <w:r w:rsidRPr="00C821A9">
        <w:fldChar w:fldCharType="separate"/>
      </w:r>
      <w:r w:rsidRPr="00C821A9">
        <w:rPr>
          <w:noProof/>
        </w:rPr>
        <w:t>81</w:t>
      </w:r>
      <w:r w:rsidRPr="00C821A9">
        <w:fldChar w:fldCharType="end"/>
      </w:r>
      <w:r w:rsidRPr="00C821A9">
        <w:t xml:space="preserve">.  The Court also notes that domestic law does not prevent as such the early termination of a diplomatic posting abroad (see paragraph </w:t>
      </w:r>
      <w:r w:rsidRPr="00C821A9">
        <w:fldChar w:fldCharType="begin"/>
      </w:r>
      <w:r w:rsidRPr="00C821A9">
        <w:instrText xml:space="preserve"> REF L269 \h  \* MERGEFORMAT </w:instrText>
      </w:r>
      <w:r w:rsidRPr="00C821A9">
        <w:fldChar w:fldCharType="separate"/>
      </w:r>
      <w:r w:rsidRPr="00C821A9">
        <w:t>33</w:t>
      </w:r>
      <w:r w:rsidRPr="00C821A9">
        <w:fldChar w:fldCharType="end"/>
      </w:r>
      <w:r w:rsidRPr="00C821A9">
        <w:t xml:space="preserve"> above), a fact also affirmed by the domestic courts (see paragraphs </w:t>
      </w:r>
      <w:r w:rsidRPr="00C821A9">
        <w:fldChar w:fldCharType="begin"/>
      </w:r>
      <w:r w:rsidRPr="00C821A9">
        <w:instrText xml:space="preserve"> REF dec1 \h  \* MERGEFORMAT </w:instrText>
      </w:r>
      <w:r w:rsidRPr="00C821A9">
        <w:fldChar w:fldCharType="separate"/>
      </w:r>
      <w:r w:rsidRPr="00C821A9">
        <w:t>28</w:t>
      </w:r>
      <w:r w:rsidRPr="00C821A9">
        <w:fldChar w:fldCharType="end"/>
      </w:r>
      <w:r w:rsidRPr="00C821A9">
        <w:t xml:space="preserve"> and </w:t>
      </w:r>
      <w:r w:rsidRPr="00C821A9">
        <w:fldChar w:fldCharType="begin"/>
      </w:r>
      <w:r w:rsidRPr="00C821A9">
        <w:instrText xml:space="preserve"> REF dec2 \h  \* MERGEFORMAT </w:instrText>
      </w:r>
      <w:r w:rsidRPr="00C821A9">
        <w:fldChar w:fldCharType="separate"/>
      </w:r>
      <w:r w:rsidRPr="00C821A9">
        <w:t>30</w:t>
      </w:r>
      <w:r w:rsidRPr="00C821A9">
        <w:fldChar w:fldCharType="end"/>
      </w:r>
      <w:r w:rsidRPr="00C821A9">
        <w:t xml:space="preserve"> above and, </w:t>
      </w:r>
      <w:r w:rsidRPr="00C821A9">
        <w:rPr>
          <w:i/>
        </w:rPr>
        <w:t>mutatis mutandis</w:t>
      </w:r>
      <w:r w:rsidRPr="00C821A9">
        <w:t xml:space="preserve">, paragraph </w:t>
      </w:r>
      <w:r w:rsidRPr="00C821A9">
        <w:fldChar w:fldCharType="begin"/>
      </w:r>
      <w:r w:rsidRPr="00C821A9">
        <w:instrText xml:space="preserve"> REF precedent \h  \* MERGEFORMAT </w:instrText>
      </w:r>
      <w:r w:rsidRPr="00C821A9">
        <w:fldChar w:fldCharType="separate"/>
      </w:r>
      <w:r w:rsidRPr="00C821A9">
        <w:t>37</w:t>
      </w:r>
      <w:r w:rsidRPr="00C821A9">
        <w:fldChar w:fldCharType="end"/>
      </w:r>
      <w:r w:rsidRPr="00C821A9">
        <w:t xml:space="preserve"> above). In addition, domestic law allows an employer to organise the activity of pregnant employees, the sole prohibition being that their contract of employment may not be terminated (see paragraph </w:t>
      </w:r>
      <w:r w:rsidRPr="00C821A9">
        <w:fldChar w:fldCharType="begin"/>
      </w:r>
      <w:r w:rsidRPr="00C821A9">
        <w:instrText xml:space="preserve"> REF dec2 \h  \* MERGEFORMAT </w:instrText>
      </w:r>
      <w:r w:rsidRPr="00C821A9">
        <w:fldChar w:fldCharType="separate"/>
      </w:r>
      <w:r w:rsidRPr="00C821A9">
        <w:t>30</w:t>
      </w:r>
      <w:r w:rsidRPr="00C821A9">
        <w:fldChar w:fldCharType="end"/>
      </w:r>
      <w:r w:rsidRPr="00C821A9">
        <w:t xml:space="preserve"> above).</w:t>
      </w:r>
    </w:p>
    <w:p w:rsidRPr="00C821A9" w:rsidR="00EC4EEA" w:rsidP="00EC4EEA" w14:paraId="4AF4253A" w14:textId="77777777">
      <w:pPr>
        <w:pStyle w:val="JuPara"/>
      </w:pPr>
      <w:r w:rsidRPr="00C821A9">
        <w:fldChar w:fldCharType="begin"/>
      </w:r>
      <w:r w:rsidRPr="00C821A9">
        <w:instrText xml:space="preserve"> SEQ level0 \*arabic </w:instrText>
      </w:r>
      <w:r w:rsidRPr="00C821A9">
        <w:fldChar w:fldCharType="separate"/>
      </w:r>
      <w:r w:rsidRPr="00C821A9">
        <w:rPr>
          <w:noProof/>
        </w:rPr>
        <w:t>82</w:t>
      </w:r>
      <w:r w:rsidRPr="00C821A9">
        <w:fldChar w:fldCharType="end"/>
      </w:r>
      <w:r w:rsidRPr="00C821A9">
        <w:t xml:space="preserve">.  In this vein the Court notes that although her working conditions changed because of the early termination of her posting abroad, the applicant was not dismissed from her post as a diplomat in the MFA (see, in contrast, the case-law of the CJEU, quoted in paragraphs </w:t>
      </w:r>
      <w:r w:rsidRPr="00C821A9">
        <w:fldChar w:fldCharType="begin"/>
      </w:r>
      <w:r w:rsidRPr="00C821A9">
        <w:instrText xml:space="preserve"> REF CJEU_overview \h  \* MERGEFORMAT </w:instrText>
      </w:r>
      <w:r w:rsidRPr="00C821A9">
        <w:fldChar w:fldCharType="separate"/>
      </w:r>
      <w:r w:rsidRPr="00C821A9">
        <w:t>43</w:t>
      </w:r>
      <w:r w:rsidRPr="00C821A9">
        <w:fldChar w:fldCharType="end"/>
      </w:r>
      <w:r w:rsidRPr="00C821A9">
        <w:t xml:space="preserve"> to </w:t>
      </w:r>
      <w:r w:rsidRPr="00C821A9">
        <w:fldChar w:fldCharType="begin"/>
      </w:r>
      <w:r w:rsidRPr="00C821A9">
        <w:instrText xml:space="preserve"> REF CJEU_5TeleDanmark \h  \* MERGEFORMAT </w:instrText>
      </w:r>
      <w:r w:rsidRPr="00C821A9">
        <w:fldChar w:fldCharType="separate"/>
      </w:r>
      <w:r w:rsidRPr="00C821A9">
        <w:t>48</w:t>
      </w:r>
      <w:r w:rsidRPr="00C821A9">
        <w:fldChar w:fldCharType="end"/>
      </w:r>
      <w:r w:rsidRPr="00C821A9">
        <w:t xml:space="preserve"> above). That change in circumstances cannot be equated with a loss of employment (see also, for reference, the domestic case-law referred to in paragraph </w:t>
      </w:r>
      <w:r w:rsidRPr="00C821A9">
        <w:fldChar w:fldCharType="begin"/>
      </w:r>
      <w:r w:rsidRPr="00C821A9">
        <w:instrText xml:space="preserve"> REF para_35 \h  \* MERGEFORMAT </w:instrText>
      </w:r>
      <w:r w:rsidRPr="00C821A9">
        <w:fldChar w:fldCharType="separate"/>
      </w:r>
      <w:r w:rsidRPr="00C821A9">
        <w:t>35</w:t>
      </w:r>
      <w:r w:rsidRPr="00C821A9">
        <w:fldChar w:fldCharType="end"/>
      </w:r>
      <w:r w:rsidRPr="00C821A9">
        <w:t xml:space="preserve"> above).</w:t>
      </w:r>
    </w:p>
    <w:p w:rsidRPr="00C821A9" w:rsidR="00EC4EEA" w:rsidP="00EC4EEA" w14:paraId="1345123E" w14:textId="77777777">
      <w:pPr>
        <w:pStyle w:val="JuPara"/>
      </w:pPr>
      <w:r w:rsidRPr="00C821A9">
        <w:fldChar w:fldCharType="begin"/>
      </w:r>
      <w:r w:rsidRPr="00C821A9">
        <w:instrText xml:space="preserve"> SEQ level0 \*arabic </w:instrText>
      </w:r>
      <w:r w:rsidRPr="00C821A9">
        <w:fldChar w:fldCharType="separate"/>
      </w:r>
      <w:r w:rsidRPr="00C821A9">
        <w:rPr>
          <w:noProof/>
        </w:rPr>
        <w:t>83</w:t>
      </w:r>
      <w:r w:rsidRPr="00C821A9">
        <w:fldChar w:fldCharType="end"/>
      </w:r>
      <w:r w:rsidRPr="00C821A9">
        <w:t xml:space="preserve">.  The Court therefore considers it established that the consequences for the applicant of the early termination of her posting abroad were not of the same nature as those expressly prohibited by the domestic equal opportunity laws (see paragraphs </w:t>
      </w:r>
      <w:r w:rsidRPr="00C821A9">
        <w:fldChar w:fldCharType="begin"/>
      </w:r>
      <w:r w:rsidRPr="00C821A9">
        <w:instrText xml:space="preserve"> REF L202 \h  \* MERGEFORMAT </w:instrText>
      </w:r>
      <w:r w:rsidRPr="00C821A9">
        <w:fldChar w:fldCharType="separate"/>
      </w:r>
      <w:r w:rsidRPr="00C821A9">
        <w:t>31</w:t>
      </w:r>
      <w:r w:rsidRPr="00C821A9">
        <w:fldChar w:fldCharType="end"/>
      </w:r>
      <w:r w:rsidRPr="00C821A9">
        <w:t>-</w:t>
      </w:r>
      <w:r w:rsidRPr="00C821A9">
        <w:fldChar w:fldCharType="begin"/>
      </w:r>
      <w:r w:rsidRPr="00C821A9">
        <w:instrText xml:space="preserve"> REF O96 \h  \* MERGEFORMAT </w:instrText>
      </w:r>
      <w:r w:rsidRPr="00C821A9">
        <w:fldChar w:fldCharType="separate"/>
      </w:r>
      <w:r w:rsidRPr="00C821A9">
        <w:t>32</w:t>
      </w:r>
      <w:r w:rsidRPr="00C821A9">
        <w:fldChar w:fldCharType="end"/>
      </w:r>
      <w:r w:rsidRPr="00C821A9">
        <w:t xml:space="preserve"> above) and the State’s international </w:t>
      </w:r>
      <w:r w:rsidRPr="00C821A9">
        <w:t>commitments in the field of protection of pregnancy and maternity (see paragraphs </w:t>
      </w:r>
      <w:r w:rsidRPr="00C821A9">
        <w:fldChar w:fldCharType="begin"/>
      </w:r>
      <w:r w:rsidRPr="00C821A9">
        <w:instrText xml:space="preserve"> REF coe_end \h  \* MERGEFORMAT </w:instrText>
      </w:r>
      <w:r w:rsidRPr="00C821A9">
        <w:fldChar w:fldCharType="separate"/>
      </w:r>
      <w:r w:rsidRPr="00C821A9">
        <w:t>39</w:t>
      </w:r>
      <w:r w:rsidRPr="00C821A9">
        <w:fldChar w:fldCharType="end"/>
      </w:r>
      <w:r w:rsidRPr="00C821A9">
        <w:t>-</w:t>
      </w:r>
      <w:r w:rsidRPr="00C821A9">
        <w:fldChar w:fldCharType="begin"/>
      </w:r>
      <w:r w:rsidRPr="00C821A9">
        <w:instrText xml:space="preserve"> REF EU_D95 \h  \* MERGEFORMAT </w:instrText>
      </w:r>
      <w:r w:rsidRPr="00C821A9">
        <w:fldChar w:fldCharType="separate"/>
      </w:r>
      <w:r w:rsidRPr="00C821A9">
        <w:rPr>
          <w:iCs/>
        </w:rPr>
        <w:t>42</w:t>
      </w:r>
      <w:r w:rsidRPr="00C821A9">
        <w:fldChar w:fldCharType="end"/>
      </w:r>
      <w:r w:rsidRPr="00C821A9">
        <w:t xml:space="preserve"> and </w:t>
      </w:r>
      <w:r w:rsidRPr="00C821A9">
        <w:fldChar w:fldCharType="begin"/>
      </w:r>
      <w:r w:rsidRPr="00C821A9">
        <w:instrText xml:space="preserve"> REF CEDAW \h  \* MERGEFORMAT </w:instrText>
      </w:r>
      <w:r w:rsidRPr="00C821A9">
        <w:fldChar w:fldCharType="separate"/>
      </w:r>
      <w:r w:rsidRPr="00C821A9">
        <w:t>49</w:t>
      </w:r>
      <w:r w:rsidRPr="00C821A9">
        <w:fldChar w:fldCharType="end"/>
      </w:r>
      <w:r w:rsidRPr="00C821A9">
        <w:t xml:space="preserve"> above).</w:t>
      </w:r>
    </w:p>
    <w:p w:rsidRPr="00C821A9" w:rsidR="00EC4EEA" w:rsidP="00EC4EEA" w14:paraId="5BD984C7" w14:textId="77777777">
      <w:pPr>
        <w:pStyle w:val="JuPara"/>
      </w:pPr>
      <w:r w:rsidRPr="00C821A9">
        <w:fldChar w:fldCharType="begin"/>
      </w:r>
      <w:r w:rsidRPr="00C821A9">
        <w:instrText xml:space="preserve"> SEQ level0 \*arabic </w:instrText>
      </w:r>
      <w:r w:rsidRPr="00C821A9">
        <w:fldChar w:fldCharType="separate"/>
      </w:r>
      <w:r w:rsidRPr="00C821A9">
        <w:rPr>
          <w:noProof/>
        </w:rPr>
        <w:t>84</w:t>
      </w:r>
      <w:r w:rsidRPr="00C821A9">
        <w:fldChar w:fldCharType="end"/>
      </w:r>
      <w:r w:rsidRPr="00C821A9">
        <w:t>.  Furthermore, despite her extended absence owing to maternity and parental leave, the applicant continued to be promoted by her employer, first in December 2007, while she was absent during her first pregnancy (see paragraph </w:t>
      </w:r>
      <w:r w:rsidRPr="00C821A9">
        <w:fldChar w:fldCharType="begin"/>
      </w:r>
      <w:r w:rsidRPr="00C821A9">
        <w:instrText xml:space="preserve"> REF para_13 \h  \* MERGEFORMAT </w:instrText>
      </w:r>
      <w:r w:rsidRPr="00C821A9">
        <w:fldChar w:fldCharType="separate"/>
      </w:r>
      <w:r w:rsidRPr="00C821A9">
        <w:t>13</w:t>
      </w:r>
      <w:r w:rsidRPr="00C821A9">
        <w:fldChar w:fldCharType="end"/>
      </w:r>
      <w:r w:rsidRPr="00C821A9">
        <w:t xml:space="preserve"> above), and again in September 2016, about a year after her return to work (see paragraph </w:t>
      </w:r>
      <w:r w:rsidRPr="00C821A9">
        <w:fldChar w:fldCharType="begin"/>
      </w:r>
      <w:r w:rsidRPr="00C821A9">
        <w:instrText xml:space="preserve"> REF para_25 \h  \* MERGEFORMAT </w:instrText>
      </w:r>
      <w:r w:rsidRPr="00C821A9">
        <w:fldChar w:fldCharType="separate"/>
      </w:r>
      <w:r w:rsidRPr="00C821A9">
        <w:t>26</w:t>
      </w:r>
      <w:r w:rsidRPr="00C821A9">
        <w:fldChar w:fldCharType="end"/>
      </w:r>
      <w:r w:rsidRPr="00C821A9">
        <w:t xml:space="preserve"> above). Consequently, it appears that she did not suffer any significant long-term setbacks in her diplomatic career.</w:t>
      </w:r>
    </w:p>
    <w:p w:rsidRPr="00C821A9" w:rsidR="00EC4EEA" w:rsidP="00EC4EEA" w14:paraId="42C79F3C" w14:textId="77777777">
      <w:pPr>
        <w:pStyle w:val="JuPara"/>
      </w:pPr>
      <w:r w:rsidRPr="00C821A9">
        <w:fldChar w:fldCharType="begin"/>
      </w:r>
      <w:r w:rsidRPr="00C821A9">
        <w:instrText xml:space="preserve"> SEQ level0 \*arabic </w:instrText>
      </w:r>
      <w:r w:rsidRPr="00C821A9">
        <w:fldChar w:fldCharType="separate"/>
      </w:r>
      <w:r w:rsidRPr="00C821A9">
        <w:rPr>
          <w:noProof/>
        </w:rPr>
        <w:t>85</w:t>
      </w:r>
      <w:r w:rsidRPr="00C821A9">
        <w:fldChar w:fldCharType="end"/>
      </w:r>
      <w:r w:rsidRPr="00C821A9">
        <w:t xml:space="preserve">.  Lastly, it is to be noted that the domestic courts expressly reiterated that the decision to terminate the applicant’s posting had not been a disciplinary measure (see paragraph </w:t>
      </w:r>
      <w:r w:rsidRPr="00C821A9">
        <w:fldChar w:fldCharType="begin"/>
      </w:r>
      <w:r w:rsidRPr="00C821A9">
        <w:instrText xml:space="preserve"> REF dec1 \h  \* MERGEFORMAT </w:instrText>
      </w:r>
      <w:r w:rsidRPr="00C821A9">
        <w:fldChar w:fldCharType="separate"/>
      </w:r>
      <w:r w:rsidRPr="00C821A9">
        <w:t>28</w:t>
      </w:r>
      <w:r w:rsidRPr="00C821A9">
        <w:fldChar w:fldCharType="end"/>
      </w:r>
      <w:r w:rsidRPr="00C821A9">
        <w:t xml:space="preserve"> above). The Court has no reason to question that finding. It thus concludes that while the decision was motivated by the applicant’s pregnancy, it was not intended to put her in an unfavourable position.</w:t>
      </w:r>
    </w:p>
    <w:p w:rsidRPr="00C821A9" w:rsidR="00EC4EEA" w:rsidP="00EC4EEA" w14:paraId="7F348B92" w14:textId="77777777">
      <w:pPr>
        <w:pStyle w:val="JuPara"/>
      </w:pPr>
      <w:r w:rsidRPr="00C821A9">
        <w:fldChar w:fldCharType="begin"/>
      </w:r>
      <w:r w:rsidRPr="00C821A9">
        <w:instrText xml:space="preserve"> SEQ level0 \*arabic </w:instrText>
      </w:r>
      <w:r w:rsidRPr="00C821A9">
        <w:fldChar w:fldCharType="separate"/>
      </w:r>
      <w:r w:rsidRPr="00C821A9">
        <w:rPr>
          <w:noProof/>
        </w:rPr>
        <w:t>86</w:t>
      </w:r>
      <w:r w:rsidRPr="00C821A9">
        <w:fldChar w:fldCharType="end"/>
      </w:r>
      <w:r w:rsidRPr="00C821A9">
        <w:t>.  In the light of the above findings, the Court considers it established that the early termination of the applicant’s diplomatic posting abroad was necessary for ensuring and maintaining the functional capacity of the diplomatic mission, and ultimately the protection of the rights of others. Notwithstanding the narrow margin of appreciation afforded to them, the domestic authorities provided relevant and sufficient reasons to justify the necessity of the measure.</w:t>
      </w:r>
    </w:p>
    <w:p w:rsidRPr="00C821A9" w:rsidR="00EC4EEA" w:rsidP="00EC4EEA" w14:paraId="1DDB6AE2" w14:textId="77777777">
      <w:pPr>
        <w:pStyle w:val="JuPara"/>
      </w:pPr>
      <w:r w:rsidRPr="00C821A9">
        <w:fldChar w:fldCharType="begin"/>
      </w:r>
      <w:r w:rsidRPr="00C821A9">
        <w:instrText xml:space="preserve"> SEQ level0 \*arabic </w:instrText>
      </w:r>
      <w:r w:rsidRPr="00C821A9">
        <w:fldChar w:fldCharType="separate"/>
      </w:r>
      <w:r w:rsidRPr="00C821A9">
        <w:rPr>
          <w:noProof/>
        </w:rPr>
        <w:t>87</w:t>
      </w:r>
      <w:r w:rsidRPr="00C821A9">
        <w:fldChar w:fldCharType="end"/>
      </w:r>
      <w:r w:rsidRPr="00C821A9">
        <w:t>.  There has accordingly been no breach of Article 1 of Protocol No. 12 to the Convention.</w:t>
      </w:r>
    </w:p>
    <w:p w:rsidRPr="00C821A9" w:rsidR="00EC4EEA" w:rsidP="00EC4EEA" w14:paraId="05A029E9" w14:textId="77777777">
      <w:pPr>
        <w:pStyle w:val="JuHHead"/>
        <w:numPr>
          <w:ilvl w:val="0"/>
          <w:numId w:val="1"/>
        </w:numPr>
        <w:spacing w:before="360" w:beforeAutospacing="0"/>
      </w:pPr>
      <w:r w:rsidRPr="00C821A9">
        <w:t>FOR THESE REASONS, THE COURT, UNANIMOUSLY,</w:t>
      </w:r>
    </w:p>
    <w:p w:rsidRPr="00C821A9" w:rsidR="00EC4EEA" w:rsidP="00EC4EEA" w14:paraId="6C747FE5" w14:textId="77777777">
      <w:pPr>
        <w:pStyle w:val="JuList"/>
      </w:pPr>
      <w:r w:rsidRPr="00C821A9">
        <w:rPr>
          <w:i/>
        </w:rPr>
        <w:t>Declares</w:t>
      </w:r>
      <w:r w:rsidRPr="00C821A9">
        <w:t xml:space="preserve"> the application </w:t>
      </w:r>
      <w:r w:rsidRPr="00C821A9">
        <w:t>admissible;</w:t>
      </w:r>
    </w:p>
    <w:p w:rsidRPr="00C821A9" w:rsidR="00EC4EEA" w:rsidP="00EC4EEA" w14:paraId="4C5B737F" w14:textId="77777777">
      <w:pPr>
        <w:pStyle w:val="JuList"/>
      </w:pPr>
      <w:r w:rsidRPr="00C821A9">
        <w:rPr>
          <w:i/>
        </w:rPr>
        <w:t>Holds</w:t>
      </w:r>
      <w:r w:rsidRPr="00C821A9">
        <w:t xml:space="preserve"> that there has been no violation of Article 1 of Protocol No. 12 to the Convention.</w:t>
      </w:r>
    </w:p>
    <w:p w:rsidRPr="00C821A9" w:rsidR="00EC4EEA" w:rsidP="00EC4EEA" w14:paraId="6B6A99FD" w14:textId="77777777">
      <w:pPr>
        <w:pStyle w:val="JuParaLast"/>
      </w:pPr>
      <w:r w:rsidRPr="00C821A9">
        <w:t xml:space="preserve">Done in English, and notified in writing on </w:t>
      </w:r>
      <w:r w:rsidRPr="00C821A9">
        <w:rPr>
          <w:rFonts w:ascii="Times New Roman" w:hAnsi="Times New Roman" w:cs="Times New Roman"/>
        </w:rPr>
        <w:t>20 October 2020</w:t>
      </w:r>
      <w:r w:rsidRPr="00C821A9">
        <w:t>, pursuant to Rule 77 §§ 2 and 3 of the Rules of Court.</w:t>
      </w:r>
    </w:p>
    <w:p w:rsidRPr="00C821A9" w:rsidR="00EC4EEA" w:rsidP="00EC4EEA" w14:paraId="73A26A5B" w14:textId="77777777">
      <w:pPr>
        <w:pStyle w:val="JuSigned"/>
        <w:rPr>
          <w:lang w:val="it-IT"/>
        </w:rPr>
      </w:pPr>
      <w:r w:rsidRPr="00C821A9">
        <w:rPr>
          <w:lang w:val="it-IT"/>
        </w:rPr>
        <w:t xml:space="preserve">Andrea Tamietti </w:t>
      </w:r>
      <w:r w:rsidRPr="00C821A9">
        <w:rPr>
          <w:lang w:val="it-IT"/>
        </w:rPr>
        <w:tab/>
      </w:r>
      <w:r w:rsidRPr="00C821A9">
        <w:rPr>
          <w:lang w:val="it-IT"/>
        </w:rPr>
        <w:t>Yonko</w:t>
      </w:r>
      <w:r w:rsidRPr="00C821A9">
        <w:rPr>
          <w:lang w:val="it-IT"/>
        </w:rPr>
        <w:t xml:space="preserve"> </w:t>
      </w:r>
      <w:r w:rsidRPr="00C821A9">
        <w:rPr>
          <w:lang w:val="it-IT"/>
        </w:rPr>
        <w:t>Grozev</w:t>
      </w:r>
      <w:r w:rsidRPr="00C821A9">
        <w:rPr>
          <w:lang w:val="it-IT"/>
        </w:rPr>
        <w:br/>
      </w:r>
      <w:r w:rsidRPr="00C821A9">
        <w:rPr>
          <w:lang w:val="it-IT"/>
        </w:rPr>
        <w:tab/>
      </w:r>
      <w:r w:rsidRPr="00C821A9">
        <w:rPr>
          <w:iCs/>
          <w:lang w:val="it-IT"/>
        </w:rPr>
        <w:t>Registrar</w:t>
      </w:r>
      <w:r w:rsidRPr="00C821A9">
        <w:rPr>
          <w:lang w:val="it-IT"/>
        </w:rPr>
        <w:tab/>
      </w:r>
      <w:r w:rsidRPr="00C821A9">
        <w:rPr>
          <w:lang w:val="it-IT"/>
        </w:rPr>
        <w:t>President</w:t>
      </w:r>
    </w:p>
    <w:p w:rsidRPr="00C821A9" w:rsidR="00EC4EEA" w:rsidP="00EC4EEA" w14:paraId="38D7112E" w14:textId="77777777">
      <w:pPr>
        <w:pStyle w:val="JuPara"/>
        <w:rPr>
          <w:lang w:val="it-IT"/>
        </w:rPr>
      </w:pPr>
    </w:p>
    <w:p w:rsidRPr="00EC4EEA" w:rsidR="000605AC" w:rsidP="00EC4EEA" w14:paraId="625820CF" w14:textId="77777777">
      <w:pPr>
        <w:rPr>
          <w:lang w:val="it-I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4EEA" w14:paraId="23DE9F31"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4EEA" w:rsidRPr="00150BFA" w:rsidP="0028115C" w14:paraId="1684AE0A" w14:textId="77777777">
    <w:pPr>
      <w:jc w:val="center"/>
    </w:pPr>
    <w:r>
      <w:rPr>
        <w:noProof/>
        <w:lang w:val="en-US"/>
      </w:rPr>
      <w:drawing>
        <wp:inline distT="0" distB="0" distL="0" distR="0">
          <wp:extent cx="771525" cy="619125"/>
          <wp:effectExtent l="0" t="0" r="9525" b="9525"/>
          <wp:docPr id="80" name="Picture 8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C4EEA" w:rsidRPr="009E7A6F" w:rsidP="0028115C" w14:paraId="7B1567AE"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4EEA" w:rsidRPr="00150BFA" w:rsidP="0028115C" w14:paraId="286296CD" w14:textId="77777777">
    <w:pPr>
      <w:jc w:val="center"/>
    </w:pPr>
    <w:r>
      <w:rPr>
        <w:noProof/>
        <w:lang w:val="en-US"/>
      </w:rPr>
      <w:drawing>
        <wp:inline distT="0" distB="0" distL="0" distR="0">
          <wp:extent cx="771525" cy="619125"/>
          <wp:effectExtent l="0" t="0" r="9525" b="9525"/>
          <wp:docPr id="78" name="Picture 7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C4EEA" w:rsidRPr="009E7A6F" w:rsidP="009E7A6F" w14:paraId="693FF0B1"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E4B" w:rsidP="009A115C" w14:paraId="728ED8ED" w14:textId="77777777">
    <w:pPr>
      <w:pStyle w:val="JuHeader"/>
    </w:pPr>
    <w:r>
      <w:rPr>
        <w:rStyle w:val="PageNumber"/>
      </w:rPr>
      <w:fldChar w:fldCharType="begin"/>
    </w:r>
    <w:r>
      <w:rPr>
        <w:rStyle w:val="PageNumber"/>
      </w:rPr>
      <w:instrText xml:space="preserve"> PAGE </w:instrText>
    </w:r>
    <w:r>
      <w:rPr>
        <w:rStyle w:val="PageNumber"/>
      </w:rPr>
      <w:fldChar w:fldCharType="separate"/>
    </w:r>
    <w:r w:rsidR="00863DAE">
      <w:rPr>
        <w:rStyle w:val="PageNumber"/>
        <w:noProof/>
      </w:rPr>
      <w:t>18</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E4B" w:rsidRPr="000B7195" w:rsidP="007D3701" w14:paraId="3FE15CDB" w14:textId="77777777">
    <w:pPr>
      <w:pStyle w:val="JuHeader"/>
    </w:pPr>
    <w:r>
      <w:fldChar w:fldCharType="begin"/>
    </w:r>
    <w:r>
      <w:instrText xml:space="preserve"> PAGE </w:instrText>
    </w:r>
    <w:r>
      <w:fldChar w:fldCharType="separate"/>
    </w:r>
    <w:r w:rsidR="00863DAE">
      <w:rPr>
        <w:noProof/>
      </w:rPr>
      <w:t>17</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4EEA" w14:paraId="2DBAEFB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4EEA" w:rsidRPr="00A45145" w:rsidP="0028115C" w14:paraId="5C18C175"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C4EEA" w:rsidRPr="009E7A6F" w:rsidP="0028115C" w14:paraId="3CC288C9"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4EEA" w:rsidRPr="00A45145" w:rsidP="0028115C" w14:paraId="10E7E404" w14:textId="77777777">
    <w:pPr>
      <w:jc w:val="center"/>
    </w:pPr>
    <w:r>
      <w:rPr>
        <w:noProof/>
        <w:lang w:val="en-US"/>
      </w:rPr>
      <w:drawing>
        <wp:inline distT="0" distB="0" distL="0" distR="0">
          <wp:extent cx="2962275" cy="1219200"/>
          <wp:effectExtent l="0" t="0" r="9525" b="0"/>
          <wp:docPr id="62" name="Picture 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C4EEA" w:rsidRPr="009E7A6F" w14:paraId="2B23153E"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E4B" w:rsidRPr="004D0EC7" w:rsidP="004D0EC7" w14:paraId="1FAA5E74" w14:textId="77777777">
    <w:pPr>
      <w:pStyle w:val="JuHeader"/>
    </w:pPr>
    <w:r>
      <w:t>NAPOTNIK v. ROMANIA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E4B" w:rsidRPr="00882CD5" w:rsidP="007D3701" w14:paraId="3287EC01" w14:textId="77777777">
    <w:pPr>
      <w:pStyle w:val="JuHeader"/>
    </w:pPr>
    <w:r>
      <w:t>NAPOTNIK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AB0208"/>
    <w:multiLevelType w:val="multilevel"/>
    <w:tmpl w:val="3F6C986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006615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2449C"/>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05AC"/>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0C4B"/>
    <w:rsid w:val="0024222D"/>
    <w:rsid w:val="002422B6"/>
    <w:rsid w:val="00244B0E"/>
    <w:rsid w:val="00244F6C"/>
    <w:rsid w:val="00246B89"/>
    <w:rsid w:val="00252C4E"/>
    <w:rsid w:val="002532C5"/>
    <w:rsid w:val="00254DF2"/>
    <w:rsid w:val="00260C03"/>
    <w:rsid w:val="0026540E"/>
    <w:rsid w:val="00275123"/>
    <w:rsid w:val="0028115C"/>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5070"/>
    <w:rsid w:val="003710C8"/>
    <w:rsid w:val="003750BE"/>
    <w:rsid w:val="00385A36"/>
    <w:rsid w:val="00385F3D"/>
    <w:rsid w:val="00387B9D"/>
    <w:rsid w:val="00387C70"/>
    <w:rsid w:val="00390294"/>
    <w:rsid w:val="0039364F"/>
    <w:rsid w:val="00396686"/>
    <w:rsid w:val="0039778E"/>
    <w:rsid w:val="003A0721"/>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765"/>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72C4"/>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3F7D"/>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449C"/>
    <w:rsid w:val="008255F5"/>
    <w:rsid w:val="0083014E"/>
    <w:rsid w:val="0083214A"/>
    <w:rsid w:val="00834220"/>
    <w:rsid w:val="00845723"/>
    <w:rsid w:val="008519E7"/>
    <w:rsid w:val="00851EF9"/>
    <w:rsid w:val="008577FD"/>
    <w:rsid w:val="00860B03"/>
    <w:rsid w:val="00863DAE"/>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6E4B"/>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3854"/>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21A9"/>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BAA"/>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6F22"/>
    <w:rsid w:val="00E97396"/>
    <w:rsid w:val="00EA185E"/>
    <w:rsid w:val="00EA592A"/>
    <w:rsid w:val="00EB14E4"/>
    <w:rsid w:val="00EB32A5"/>
    <w:rsid w:val="00EB34ED"/>
    <w:rsid w:val="00EB447C"/>
    <w:rsid w:val="00EB73D7"/>
    <w:rsid w:val="00EB7BE0"/>
    <w:rsid w:val="00EC315E"/>
    <w:rsid w:val="00EC4EEA"/>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32CF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07BAA"/>
    <w:rPr>
      <w:sz w:val="24"/>
      <w:szCs w:val="24"/>
      <w:lang w:val="en-GB"/>
    </w:rPr>
  </w:style>
  <w:style w:type="paragraph" w:styleId="Heading1">
    <w:name w:val="heading 1"/>
    <w:basedOn w:val="Normal"/>
    <w:next w:val="Normal"/>
    <w:link w:val="Heading1Char"/>
    <w:uiPriority w:val="98"/>
    <w:semiHidden/>
    <w:rsid w:val="00E07BA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07BA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07BA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07BA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07BA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07BA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07BA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07BA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07BA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07BAA"/>
    <w:rPr>
      <w:rFonts w:ascii="Tahoma" w:hAnsi="Tahoma" w:cs="Tahoma"/>
      <w:sz w:val="16"/>
      <w:szCs w:val="16"/>
    </w:rPr>
  </w:style>
  <w:style w:type="character" w:customStyle="1" w:styleId="BalloonTextChar">
    <w:name w:val="Balloon Text Char"/>
    <w:basedOn w:val="DefaultParagraphFont"/>
    <w:link w:val="BalloonText"/>
    <w:uiPriority w:val="98"/>
    <w:semiHidden/>
    <w:rsid w:val="00E07BAA"/>
    <w:rPr>
      <w:rFonts w:ascii="Tahoma" w:hAnsi="Tahoma" w:cs="Tahoma"/>
      <w:sz w:val="16"/>
      <w:szCs w:val="16"/>
      <w:lang w:val="en-GB"/>
    </w:rPr>
  </w:style>
  <w:style w:type="character" w:styleId="BookTitle">
    <w:name w:val="Book Title"/>
    <w:uiPriority w:val="98"/>
    <w:semiHidden/>
    <w:qFormat/>
    <w:rsid w:val="00E07BAA"/>
    <w:rPr>
      <w:i/>
      <w:iCs/>
      <w:smallCaps/>
      <w:spacing w:val="5"/>
    </w:rPr>
  </w:style>
  <w:style w:type="paragraph" w:customStyle="1" w:styleId="JuHeader">
    <w:name w:val="Ju_Header"/>
    <w:aliases w:val="_Header"/>
    <w:basedOn w:val="Header0"/>
    <w:uiPriority w:val="29"/>
    <w:qFormat/>
    <w:rsid w:val="00E07BAA"/>
    <w:pPr>
      <w:tabs>
        <w:tab w:val="clear" w:pos="4536"/>
        <w:tab w:val="clear" w:pos="9072"/>
      </w:tabs>
      <w:jc w:val="center"/>
    </w:pPr>
    <w:rPr>
      <w:sz w:val="18"/>
    </w:rPr>
  </w:style>
  <w:style w:type="paragraph" w:customStyle="1" w:styleId="NormalJustified">
    <w:name w:val="Normal_Justified"/>
    <w:basedOn w:val="Normal"/>
    <w:semiHidden/>
    <w:rsid w:val="00E07BAA"/>
    <w:pPr>
      <w:jc w:val="both"/>
    </w:pPr>
  </w:style>
  <w:style w:type="character" w:styleId="Strong">
    <w:name w:val="Strong"/>
    <w:uiPriority w:val="98"/>
    <w:semiHidden/>
    <w:qFormat/>
    <w:rsid w:val="00E07BAA"/>
    <w:rPr>
      <w:b/>
      <w:bCs/>
    </w:rPr>
  </w:style>
  <w:style w:type="paragraph" w:styleId="NoSpacing">
    <w:name w:val="No Spacing"/>
    <w:basedOn w:val="Normal"/>
    <w:link w:val="NoSpacingChar"/>
    <w:uiPriority w:val="98"/>
    <w:semiHidden/>
    <w:qFormat/>
    <w:rsid w:val="00E07BAA"/>
  </w:style>
  <w:style w:type="character" w:customStyle="1" w:styleId="NoSpacingChar">
    <w:name w:val="No Spacing Char"/>
    <w:basedOn w:val="DefaultParagraphFont"/>
    <w:link w:val="NoSpacing"/>
    <w:uiPriority w:val="98"/>
    <w:semiHidden/>
    <w:rsid w:val="00E07BAA"/>
    <w:rPr>
      <w:sz w:val="24"/>
      <w:szCs w:val="24"/>
      <w:lang w:val="en-GB"/>
    </w:rPr>
  </w:style>
  <w:style w:type="paragraph" w:customStyle="1" w:styleId="JuQuot">
    <w:name w:val="Ju_Quot"/>
    <w:aliases w:val="_Quote"/>
    <w:basedOn w:val="NormalJustified"/>
    <w:uiPriority w:val="20"/>
    <w:qFormat/>
    <w:rsid w:val="00E07BAA"/>
    <w:pPr>
      <w:spacing w:before="120" w:after="120"/>
      <w:ind w:left="425" w:firstLine="142"/>
    </w:pPr>
    <w:rPr>
      <w:sz w:val="20"/>
    </w:rPr>
  </w:style>
  <w:style w:type="paragraph" w:customStyle="1" w:styleId="DecList">
    <w:name w:val="Dec_List"/>
    <w:aliases w:val="_List"/>
    <w:basedOn w:val="JuList"/>
    <w:uiPriority w:val="22"/>
    <w:rsid w:val="00E07BAA"/>
    <w:pPr>
      <w:numPr>
        <w:numId w:val="0"/>
      </w:numPr>
      <w:ind w:left="284"/>
    </w:pPr>
  </w:style>
  <w:style w:type="paragraph" w:customStyle="1" w:styleId="JuList">
    <w:name w:val="Ju_List"/>
    <w:aliases w:val="_List_1"/>
    <w:basedOn w:val="NormalJustified"/>
    <w:uiPriority w:val="23"/>
    <w:qFormat/>
    <w:rsid w:val="00E07BAA"/>
    <w:pPr>
      <w:numPr>
        <w:numId w:val="7"/>
      </w:numPr>
      <w:spacing w:before="280" w:after="60"/>
    </w:pPr>
  </w:style>
  <w:style w:type="paragraph" w:customStyle="1" w:styleId="JuLista">
    <w:name w:val="Ju_List_a"/>
    <w:aliases w:val="_List_2"/>
    <w:basedOn w:val="NormalJustified"/>
    <w:uiPriority w:val="23"/>
    <w:rsid w:val="00E07BAA"/>
    <w:pPr>
      <w:numPr>
        <w:ilvl w:val="1"/>
        <w:numId w:val="7"/>
      </w:numPr>
    </w:pPr>
  </w:style>
  <w:style w:type="paragraph" w:customStyle="1" w:styleId="JuListi">
    <w:name w:val="Ju_List_i"/>
    <w:aliases w:val="_List_3"/>
    <w:basedOn w:val="NormalJustified"/>
    <w:uiPriority w:val="23"/>
    <w:rsid w:val="00E07BAA"/>
    <w:pPr>
      <w:numPr>
        <w:ilvl w:val="2"/>
        <w:numId w:val="7"/>
      </w:numPr>
    </w:pPr>
  </w:style>
  <w:style w:type="paragraph" w:customStyle="1" w:styleId="JuHArticle">
    <w:name w:val="Ju_H_Article"/>
    <w:aliases w:val="_Title_Quote"/>
    <w:basedOn w:val="Normal"/>
    <w:next w:val="JuQuot"/>
    <w:uiPriority w:val="19"/>
    <w:qFormat/>
    <w:rsid w:val="00E07BA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07BA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07BA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07BAA"/>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E07BAA"/>
    <w:pPr>
      <w:numPr>
        <w:numId w:val="6"/>
      </w:numPr>
    </w:pPr>
  </w:style>
  <w:style w:type="paragraph" w:customStyle="1" w:styleId="JuSigned">
    <w:name w:val="Ju_Signed"/>
    <w:aliases w:val="_Signature"/>
    <w:basedOn w:val="Normal"/>
    <w:next w:val="JuPara"/>
    <w:uiPriority w:val="31"/>
    <w:qFormat/>
    <w:rsid w:val="00E07BAA"/>
    <w:pPr>
      <w:tabs>
        <w:tab w:val="center" w:pos="851"/>
        <w:tab w:val="center" w:pos="6407"/>
      </w:tabs>
      <w:spacing w:before="720"/>
    </w:pPr>
  </w:style>
  <w:style w:type="paragraph" w:styleId="Title">
    <w:name w:val="Title"/>
    <w:basedOn w:val="Normal"/>
    <w:next w:val="Normal"/>
    <w:link w:val="TitleChar"/>
    <w:uiPriority w:val="98"/>
    <w:semiHidden/>
    <w:qFormat/>
    <w:rsid w:val="00E07BA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07BA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07BAA"/>
    <w:pPr>
      <w:numPr>
        <w:numId w:val="7"/>
      </w:numPr>
    </w:pPr>
  </w:style>
  <w:style w:type="numbering" w:customStyle="1" w:styleId="ECHRA1StyleNumberedList">
    <w:name w:val="ECHR_A1_Style_Numbered_List"/>
    <w:basedOn w:val="NoList"/>
    <w:rsid w:val="00E07BAA"/>
    <w:pPr>
      <w:numPr>
        <w:numId w:val="8"/>
      </w:numPr>
    </w:pPr>
  </w:style>
  <w:style w:type="table" w:customStyle="1" w:styleId="ECHRTable2019">
    <w:name w:val="ECHR_Table_2019"/>
    <w:basedOn w:val="TableNormal"/>
    <w:uiPriority w:val="99"/>
    <w:rsid w:val="00E07BA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E07BAA"/>
    <w:rPr>
      <w:sz w:val="8"/>
    </w:rPr>
  </w:style>
  <w:style w:type="paragraph" w:customStyle="1" w:styleId="JuCourt">
    <w:name w:val="Ju_Court"/>
    <w:aliases w:val="_Court_Names"/>
    <w:basedOn w:val="Normal"/>
    <w:next w:val="Normal"/>
    <w:uiPriority w:val="32"/>
    <w:qFormat/>
    <w:rsid w:val="00E07BA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07BAA"/>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E07BAA"/>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E07BAA"/>
    <w:pPr>
      <w:keepNext/>
      <w:keepLines/>
      <w:numPr>
        <w:ilvl w:val="3"/>
        <w:numId w:val="2"/>
      </w:numPr>
      <w:spacing w:before="100" w:beforeAutospacing="1" w:after="120"/>
    </w:pPr>
    <w:rPr>
      <w:b w:val="0"/>
      <w:color w:val="auto"/>
      <w:sz w:val="24"/>
    </w:rPr>
  </w:style>
  <w:style w:type="paragraph" w:styleId="Header0">
    <w:name w:val="header"/>
    <w:basedOn w:val="Normal"/>
    <w:link w:val="HeaderChar"/>
    <w:uiPriority w:val="98"/>
    <w:semiHidden/>
    <w:rsid w:val="00E07BAA"/>
    <w:pPr>
      <w:tabs>
        <w:tab w:val="center" w:pos="4536"/>
        <w:tab w:val="right" w:pos="9072"/>
      </w:tabs>
    </w:pPr>
  </w:style>
  <w:style w:type="character" w:customStyle="1" w:styleId="HeaderChar">
    <w:name w:val="Header Char"/>
    <w:basedOn w:val="DefaultParagraphFont"/>
    <w:link w:val="Header0"/>
    <w:uiPriority w:val="98"/>
    <w:semiHidden/>
    <w:rsid w:val="00E07BAA"/>
    <w:rPr>
      <w:sz w:val="24"/>
      <w:szCs w:val="24"/>
      <w:lang w:val="en-GB"/>
    </w:rPr>
  </w:style>
  <w:style w:type="character" w:customStyle="1" w:styleId="Heading1Char">
    <w:name w:val="Heading 1 Char"/>
    <w:basedOn w:val="DefaultParagraphFont"/>
    <w:link w:val="Heading1"/>
    <w:uiPriority w:val="98"/>
    <w:semiHidden/>
    <w:rsid w:val="00E07BA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07BAA"/>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E07BAA"/>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E07BA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07BAA"/>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E07BAA"/>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E07BA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07BAA"/>
    <w:pPr>
      <w:keepNext/>
      <w:keepLines/>
      <w:spacing w:before="240" w:after="240"/>
      <w:ind w:firstLine="284"/>
    </w:pPr>
  </w:style>
  <w:style w:type="paragraph" w:customStyle="1" w:styleId="JuJudges">
    <w:name w:val="Ju_Judges"/>
    <w:aliases w:val="_Judges"/>
    <w:basedOn w:val="Normal"/>
    <w:uiPriority w:val="32"/>
    <w:qFormat/>
    <w:rsid w:val="00E07BAA"/>
    <w:pPr>
      <w:tabs>
        <w:tab w:val="left" w:pos="567"/>
        <w:tab w:val="left" w:pos="1134"/>
      </w:tabs>
    </w:pPr>
  </w:style>
  <w:style w:type="character" w:customStyle="1" w:styleId="Heading4Char">
    <w:name w:val="Heading 4 Char"/>
    <w:basedOn w:val="DefaultParagraphFont"/>
    <w:link w:val="Heading4"/>
    <w:uiPriority w:val="98"/>
    <w:semiHidden/>
    <w:rsid w:val="00E07BA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E07BAA"/>
    <w:pPr>
      <w:tabs>
        <w:tab w:val="center" w:pos="6407"/>
      </w:tabs>
      <w:spacing w:before="720"/>
      <w:jc w:val="right"/>
    </w:pPr>
  </w:style>
  <w:style w:type="character" w:customStyle="1" w:styleId="Heading5Char">
    <w:name w:val="Heading 5 Char"/>
    <w:basedOn w:val="DefaultParagraphFont"/>
    <w:link w:val="Heading5"/>
    <w:uiPriority w:val="98"/>
    <w:semiHidden/>
    <w:rsid w:val="00E07BA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E07BA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07BAA"/>
    <w:rPr>
      <w:caps w:val="0"/>
      <w:smallCaps/>
    </w:rPr>
  </w:style>
  <w:style w:type="character" w:styleId="SubtleEmphasis">
    <w:name w:val="Subtle Emphasis"/>
    <w:uiPriority w:val="98"/>
    <w:semiHidden/>
    <w:qFormat/>
    <w:rsid w:val="00E07BAA"/>
    <w:rPr>
      <w:i/>
      <w:iCs/>
    </w:rPr>
  </w:style>
  <w:style w:type="table" w:customStyle="1" w:styleId="ECHRTable">
    <w:name w:val="ECHR_Table"/>
    <w:basedOn w:val="TableNormal"/>
    <w:rsid w:val="00E07BA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07BA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07BAA"/>
    <w:rPr>
      <w:b/>
      <w:bCs/>
      <w:i/>
      <w:iCs/>
      <w:spacing w:val="10"/>
      <w:bdr w:val="none" w:sz="0" w:space="0" w:color="auto"/>
      <w:shd w:val="clear" w:color="auto" w:fill="auto"/>
    </w:rPr>
  </w:style>
  <w:style w:type="paragraph" w:styleId="Footer1">
    <w:name w:val="footer"/>
    <w:basedOn w:val="Normal"/>
    <w:link w:val="FooterChar"/>
    <w:uiPriority w:val="98"/>
    <w:semiHidden/>
    <w:rsid w:val="00E07BAA"/>
    <w:pPr>
      <w:tabs>
        <w:tab w:val="center" w:pos="3686"/>
        <w:tab w:val="right" w:pos="7371"/>
      </w:tabs>
    </w:pPr>
  </w:style>
  <w:style w:type="character" w:customStyle="1" w:styleId="FooterChar">
    <w:name w:val="Footer Char"/>
    <w:basedOn w:val="DefaultParagraphFont"/>
    <w:link w:val="Footer1"/>
    <w:uiPriority w:val="98"/>
    <w:semiHidden/>
    <w:rsid w:val="00E07BAA"/>
    <w:rPr>
      <w:sz w:val="24"/>
      <w:szCs w:val="24"/>
      <w:lang w:val="en-GB"/>
    </w:rPr>
  </w:style>
  <w:style w:type="character" w:styleId="FootnoteReference">
    <w:name w:val="footnote reference"/>
    <w:basedOn w:val="DefaultParagraphFont"/>
    <w:uiPriority w:val="98"/>
    <w:semiHidden/>
    <w:rsid w:val="00E07BAA"/>
    <w:rPr>
      <w:vertAlign w:val="superscript"/>
    </w:rPr>
  </w:style>
  <w:style w:type="paragraph" w:styleId="FootnoteText">
    <w:name w:val="footnote text"/>
    <w:basedOn w:val="Normal"/>
    <w:link w:val="FootnoteTextChar"/>
    <w:uiPriority w:val="98"/>
    <w:semiHidden/>
    <w:rsid w:val="00E07BAA"/>
    <w:rPr>
      <w:sz w:val="20"/>
      <w:szCs w:val="20"/>
    </w:rPr>
  </w:style>
  <w:style w:type="character" w:customStyle="1" w:styleId="FootnoteTextChar">
    <w:name w:val="Footnote Text Char"/>
    <w:basedOn w:val="DefaultParagraphFont"/>
    <w:link w:val="FootnoteText"/>
    <w:uiPriority w:val="98"/>
    <w:semiHidden/>
    <w:rsid w:val="00E07BAA"/>
    <w:rPr>
      <w:sz w:val="20"/>
      <w:szCs w:val="20"/>
      <w:lang w:val="en-GB"/>
    </w:rPr>
  </w:style>
  <w:style w:type="character" w:customStyle="1" w:styleId="Heading6Char">
    <w:name w:val="Heading 6 Char"/>
    <w:basedOn w:val="DefaultParagraphFont"/>
    <w:link w:val="Heading6"/>
    <w:uiPriority w:val="98"/>
    <w:semiHidden/>
    <w:rsid w:val="00E07BA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07BA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07BA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07BA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07BAA"/>
    <w:rPr>
      <w:color w:val="0072BC" w:themeColor="hyperlink"/>
      <w:u w:val="single"/>
    </w:rPr>
  </w:style>
  <w:style w:type="character" w:styleId="IntenseEmphasis">
    <w:name w:val="Intense Emphasis"/>
    <w:uiPriority w:val="98"/>
    <w:semiHidden/>
    <w:qFormat/>
    <w:rsid w:val="00E07BAA"/>
    <w:rPr>
      <w:b/>
      <w:bCs/>
    </w:rPr>
  </w:style>
  <w:style w:type="paragraph" w:styleId="IntenseQuote">
    <w:name w:val="Intense Quote"/>
    <w:basedOn w:val="Normal"/>
    <w:next w:val="Normal"/>
    <w:link w:val="IntenseQuoteChar"/>
    <w:uiPriority w:val="98"/>
    <w:semiHidden/>
    <w:qFormat/>
    <w:rsid w:val="00E07BA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07BAA"/>
    <w:rPr>
      <w:b/>
      <w:bCs/>
      <w:i/>
      <w:iCs/>
      <w:sz w:val="24"/>
      <w:szCs w:val="24"/>
      <w:lang w:val="en-GB" w:bidi="en-US"/>
    </w:rPr>
  </w:style>
  <w:style w:type="character" w:styleId="IntenseReference">
    <w:name w:val="Intense Reference"/>
    <w:uiPriority w:val="98"/>
    <w:semiHidden/>
    <w:qFormat/>
    <w:rsid w:val="00E07BAA"/>
    <w:rPr>
      <w:smallCaps/>
      <w:spacing w:val="5"/>
      <w:u w:val="single"/>
    </w:rPr>
  </w:style>
  <w:style w:type="paragraph" w:styleId="ListParagraph">
    <w:name w:val="List Paragraph"/>
    <w:basedOn w:val="Normal"/>
    <w:uiPriority w:val="98"/>
    <w:semiHidden/>
    <w:qFormat/>
    <w:rsid w:val="00E07BAA"/>
    <w:pPr>
      <w:ind w:left="720"/>
      <w:contextualSpacing/>
    </w:pPr>
  </w:style>
  <w:style w:type="table" w:customStyle="1" w:styleId="LtrTableAddress">
    <w:name w:val="Ltr_Table_Address"/>
    <w:aliases w:val="ECHR_Ltr_Table_Address"/>
    <w:basedOn w:val="TableNormal"/>
    <w:uiPriority w:val="99"/>
    <w:rsid w:val="00E07BAA"/>
    <w:rPr>
      <w:sz w:val="24"/>
      <w:szCs w:val="24"/>
    </w:rPr>
    <w:tblPr>
      <w:tblInd w:w="5103" w:type="dxa"/>
    </w:tblPr>
  </w:style>
  <w:style w:type="paragraph" w:styleId="Quote0">
    <w:name w:val="Quote"/>
    <w:basedOn w:val="Normal"/>
    <w:next w:val="Normal"/>
    <w:link w:val="QuoteChar"/>
    <w:uiPriority w:val="98"/>
    <w:semiHidden/>
    <w:qFormat/>
    <w:rsid w:val="00E07BAA"/>
    <w:pPr>
      <w:spacing w:before="200"/>
      <w:ind w:left="360" w:right="360"/>
    </w:pPr>
    <w:rPr>
      <w:i/>
      <w:iCs/>
      <w:lang w:bidi="en-US"/>
    </w:rPr>
  </w:style>
  <w:style w:type="character" w:customStyle="1" w:styleId="QuoteChar">
    <w:name w:val="Quote Char"/>
    <w:basedOn w:val="DefaultParagraphFont"/>
    <w:link w:val="Quote0"/>
    <w:uiPriority w:val="98"/>
    <w:semiHidden/>
    <w:rsid w:val="00E07BAA"/>
    <w:rPr>
      <w:i/>
      <w:iCs/>
      <w:sz w:val="24"/>
      <w:szCs w:val="24"/>
      <w:lang w:val="en-GB" w:bidi="en-US"/>
    </w:rPr>
  </w:style>
  <w:style w:type="character" w:styleId="SubtleReference">
    <w:name w:val="Subtle Reference"/>
    <w:uiPriority w:val="98"/>
    <w:semiHidden/>
    <w:qFormat/>
    <w:rsid w:val="00E07BAA"/>
    <w:rPr>
      <w:smallCaps/>
    </w:rPr>
  </w:style>
  <w:style w:type="table" w:styleId="TableGrid">
    <w:name w:val="Table Grid"/>
    <w:basedOn w:val="TableNormal"/>
    <w:uiPriority w:val="59"/>
    <w:semiHidden/>
    <w:rsid w:val="00E07BA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07BA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07BA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07BA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07BA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07BA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07BA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07BA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07BA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07BA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07BA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07BA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07BA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07BA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07BA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07BA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07BAA"/>
    <w:pPr>
      <w:numPr>
        <w:numId w:val="3"/>
      </w:numPr>
    </w:pPr>
  </w:style>
  <w:style w:type="paragraph" w:customStyle="1" w:styleId="JuPara">
    <w:name w:val="Ju_Para"/>
    <w:aliases w:val="_Para"/>
    <w:basedOn w:val="NormalJustified"/>
    <w:link w:val="JuParaChar"/>
    <w:uiPriority w:val="4"/>
    <w:qFormat/>
    <w:rsid w:val="00E07BAA"/>
    <w:pPr>
      <w:ind w:firstLine="284"/>
    </w:pPr>
  </w:style>
  <w:style w:type="numbering" w:styleId="1ai">
    <w:name w:val="Outline List 1"/>
    <w:basedOn w:val="NoList"/>
    <w:uiPriority w:val="99"/>
    <w:semiHidden/>
    <w:unhideWhenUsed/>
    <w:rsid w:val="00E07BAA"/>
    <w:pPr>
      <w:numPr>
        <w:numId w:val="4"/>
      </w:numPr>
    </w:pPr>
  </w:style>
  <w:style w:type="table" w:customStyle="1" w:styleId="ECHRTableSimpleBox">
    <w:name w:val="ECHR_Table_Simple_Box"/>
    <w:basedOn w:val="TableNormal"/>
    <w:uiPriority w:val="99"/>
    <w:rsid w:val="00E07BA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07BA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07BAA"/>
    <w:pPr>
      <w:numPr>
        <w:numId w:val="5"/>
      </w:numPr>
    </w:pPr>
  </w:style>
  <w:style w:type="table" w:customStyle="1" w:styleId="ECHRTableForInternalUse">
    <w:name w:val="ECHR_Table_For_Internal_Use"/>
    <w:basedOn w:val="TableNormal"/>
    <w:uiPriority w:val="99"/>
    <w:rsid w:val="00E07BA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07BA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07BAA"/>
  </w:style>
  <w:style w:type="paragraph" w:styleId="BlockText">
    <w:name w:val="Block Text"/>
    <w:basedOn w:val="Normal"/>
    <w:uiPriority w:val="98"/>
    <w:semiHidden/>
    <w:rsid w:val="00E07BA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07BA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07BAA"/>
    <w:pPr>
      <w:spacing w:after="120"/>
    </w:pPr>
  </w:style>
  <w:style w:type="character" w:customStyle="1" w:styleId="BodyTextChar">
    <w:name w:val="Body Text Char"/>
    <w:basedOn w:val="DefaultParagraphFont"/>
    <w:link w:val="BodyText"/>
    <w:uiPriority w:val="98"/>
    <w:semiHidden/>
    <w:rsid w:val="00E07BAA"/>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07BAA"/>
    <w:pPr>
      <w:spacing w:after="120" w:line="480" w:lineRule="auto"/>
    </w:pPr>
  </w:style>
  <w:style w:type="table" w:customStyle="1" w:styleId="ECHRHeaderTableReduced">
    <w:name w:val="ECHR_Header_Table_Reduced"/>
    <w:basedOn w:val="TableNormal"/>
    <w:uiPriority w:val="99"/>
    <w:rsid w:val="00E07BA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07BAA"/>
    <w:pPr>
      <w:ind w:firstLine="284"/>
    </w:pPr>
    <w:rPr>
      <w:b/>
    </w:rPr>
  </w:style>
  <w:style w:type="character" w:styleId="PageNumber">
    <w:name w:val="page number"/>
    <w:uiPriority w:val="98"/>
    <w:semiHidden/>
    <w:rsid w:val="00E07BAA"/>
    <w:rPr>
      <w:sz w:val="18"/>
    </w:rPr>
  </w:style>
  <w:style w:type="paragraph" w:styleId="ListBullet">
    <w:name w:val="List Bullet"/>
    <w:basedOn w:val="Normal"/>
    <w:uiPriority w:val="98"/>
    <w:semiHidden/>
    <w:rsid w:val="00E07BAA"/>
    <w:pPr>
      <w:numPr>
        <w:numId w:val="9"/>
      </w:numPr>
    </w:pPr>
  </w:style>
  <w:style w:type="paragraph" w:styleId="ListBullet3">
    <w:name w:val="List Bullet 3"/>
    <w:basedOn w:val="Normal"/>
    <w:uiPriority w:val="98"/>
    <w:semiHidden/>
    <w:rsid w:val="00E07BAA"/>
    <w:pPr>
      <w:numPr>
        <w:numId w:val="11"/>
      </w:numPr>
      <w:contextualSpacing/>
    </w:pPr>
  </w:style>
  <w:style w:type="character" w:customStyle="1" w:styleId="BodyText2Char">
    <w:name w:val="Body Text 2 Char"/>
    <w:basedOn w:val="DefaultParagraphFont"/>
    <w:link w:val="BodyText2"/>
    <w:uiPriority w:val="98"/>
    <w:semiHidden/>
    <w:rsid w:val="00E07BAA"/>
    <w:rPr>
      <w:sz w:val="24"/>
      <w:szCs w:val="24"/>
      <w:lang w:val="en-GB"/>
    </w:rPr>
  </w:style>
  <w:style w:type="paragraph" w:styleId="BodyText3">
    <w:name w:val="Body Text 3"/>
    <w:basedOn w:val="Normal"/>
    <w:link w:val="BodyText3Char"/>
    <w:uiPriority w:val="98"/>
    <w:semiHidden/>
    <w:rsid w:val="00E07BAA"/>
    <w:pPr>
      <w:spacing w:after="120"/>
    </w:pPr>
    <w:rPr>
      <w:sz w:val="16"/>
      <w:szCs w:val="16"/>
    </w:rPr>
  </w:style>
  <w:style w:type="character" w:customStyle="1" w:styleId="BodyText3Char">
    <w:name w:val="Body Text 3 Char"/>
    <w:basedOn w:val="DefaultParagraphFont"/>
    <w:link w:val="BodyText3"/>
    <w:uiPriority w:val="98"/>
    <w:semiHidden/>
    <w:rsid w:val="00E07BAA"/>
    <w:rPr>
      <w:sz w:val="16"/>
      <w:szCs w:val="16"/>
      <w:lang w:val="en-GB"/>
    </w:rPr>
  </w:style>
  <w:style w:type="paragraph" w:styleId="BodyTextFirstIndent">
    <w:name w:val="Body Text First Indent"/>
    <w:basedOn w:val="BodyText"/>
    <w:link w:val="BodyTextFirstIndentChar"/>
    <w:uiPriority w:val="98"/>
    <w:semiHidden/>
    <w:rsid w:val="00E07BAA"/>
    <w:pPr>
      <w:spacing w:after="0"/>
      <w:ind w:firstLine="360"/>
    </w:pPr>
  </w:style>
  <w:style w:type="character" w:customStyle="1" w:styleId="BodyTextFirstIndentChar">
    <w:name w:val="Body Text First Indent Char"/>
    <w:basedOn w:val="BodyTextChar"/>
    <w:link w:val="BodyTextFirstIndent"/>
    <w:uiPriority w:val="98"/>
    <w:semiHidden/>
    <w:rsid w:val="00E07BAA"/>
    <w:rPr>
      <w:sz w:val="24"/>
      <w:szCs w:val="24"/>
      <w:lang w:val="en-GB"/>
    </w:rPr>
  </w:style>
  <w:style w:type="paragraph" w:styleId="BodyTextIndent">
    <w:name w:val="Body Text Indent"/>
    <w:basedOn w:val="Normal"/>
    <w:link w:val="BodyTextIndentChar"/>
    <w:uiPriority w:val="98"/>
    <w:semiHidden/>
    <w:rsid w:val="00E07BAA"/>
    <w:pPr>
      <w:spacing w:after="120"/>
      <w:ind w:left="283"/>
    </w:pPr>
  </w:style>
  <w:style w:type="character" w:customStyle="1" w:styleId="BodyTextIndentChar">
    <w:name w:val="Body Text Indent Char"/>
    <w:basedOn w:val="DefaultParagraphFont"/>
    <w:link w:val="BodyTextIndent"/>
    <w:uiPriority w:val="98"/>
    <w:semiHidden/>
    <w:rsid w:val="00E07BAA"/>
    <w:rPr>
      <w:sz w:val="24"/>
      <w:szCs w:val="24"/>
      <w:lang w:val="en-GB"/>
    </w:rPr>
  </w:style>
  <w:style w:type="paragraph" w:styleId="BodyTextFirstIndent2">
    <w:name w:val="Body Text First Indent 2"/>
    <w:basedOn w:val="BodyTextIndent"/>
    <w:link w:val="BodyTextFirstIndent2Char"/>
    <w:uiPriority w:val="98"/>
    <w:semiHidden/>
    <w:rsid w:val="00E07BAA"/>
    <w:pPr>
      <w:spacing w:after="0"/>
      <w:ind w:left="360" w:firstLine="360"/>
    </w:pPr>
  </w:style>
  <w:style w:type="character" w:customStyle="1" w:styleId="BodyTextFirstIndent2Char">
    <w:name w:val="Body Text First Indent 2 Char"/>
    <w:basedOn w:val="BodyTextIndentChar"/>
    <w:link w:val="BodyTextFirstIndent2"/>
    <w:uiPriority w:val="98"/>
    <w:semiHidden/>
    <w:rsid w:val="00E07BAA"/>
    <w:rPr>
      <w:sz w:val="24"/>
      <w:szCs w:val="24"/>
      <w:lang w:val="en-GB"/>
    </w:rPr>
  </w:style>
  <w:style w:type="paragraph" w:styleId="BodyTextIndent2">
    <w:name w:val="Body Text Indent 2"/>
    <w:basedOn w:val="Normal"/>
    <w:link w:val="BodyTextIndent2Char"/>
    <w:uiPriority w:val="98"/>
    <w:semiHidden/>
    <w:rsid w:val="00E07BAA"/>
    <w:pPr>
      <w:spacing w:after="120" w:line="480" w:lineRule="auto"/>
      <w:ind w:left="283"/>
    </w:pPr>
  </w:style>
  <w:style w:type="character" w:customStyle="1" w:styleId="BodyTextIndent2Char">
    <w:name w:val="Body Text Indent 2 Char"/>
    <w:basedOn w:val="DefaultParagraphFont"/>
    <w:link w:val="BodyTextIndent2"/>
    <w:uiPriority w:val="98"/>
    <w:semiHidden/>
    <w:rsid w:val="00E07BAA"/>
    <w:rPr>
      <w:sz w:val="24"/>
      <w:szCs w:val="24"/>
      <w:lang w:val="en-GB"/>
    </w:rPr>
  </w:style>
  <w:style w:type="paragraph" w:styleId="BodyTextIndent3">
    <w:name w:val="Body Text Indent 3"/>
    <w:basedOn w:val="Normal"/>
    <w:link w:val="BodyTextIndent3Char"/>
    <w:uiPriority w:val="98"/>
    <w:semiHidden/>
    <w:rsid w:val="00E07BA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07BAA"/>
    <w:rPr>
      <w:sz w:val="16"/>
      <w:szCs w:val="16"/>
      <w:lang w:val="en-GB"/>
    </w:rPr>
  </w:style>
  <w:style w:type="paragraph" w:styleId="Caption">
    <w:name w:val="caption"/>
    <w:basedOn w:val="Normal"/>
    <w:next w:val="Normal"/>
    <w:uiPriority w:val="98"/>
    <w:semiHidden/>
    <w:qFormat/>
    <w:rsid w:val="00E07BAA"/>
    <w:pPr>
      <w:spacing w:after="200"/>
    </w:pPr>
    <w:rPr>
      <w:b/>
      <w:bCs/>
      <w:color w:val="0072BC" w:themeColor="accent1"/>
      <w:sz w:val="18"/>
      <w:szCs w:val="18"/>
    </w:rPr>
  </w:style>
  <w:style w:type="paragraph" w:styleId="Closing">
    <w:name w:val="Closing"/>
    <w:basedOn w:val="Normal"/>
    <w:link w:val="ClosingChar"/>
    <w:uiPriority w:val="98"/>
    <w:semiHidden/>
    <w:rsid w:val="00E07BAA"/>
    <w:pPr>
      <w:ind w:left="4252"/>
    </w:pPr>
  </w:style>
  <w:style w:type="character" w:customStyle="1" w:styleId="ClosingChar">
    <w:name w:val="Closing Char"/>
    <w:basedOn w:val="DefaultParagraphFont"/>
    <w:link w:val="Closing"/>
    <w:uiPriority w:val="98"/>
    <w:semiHidden/>
    <w:rsid w:val="00E07BAA"/>
    <w:rPr>
      <w:sz w:val="24"/>
      <w:szCs w:val="24"/>
      <w:lang w:val="en-GB"/>
    </w:rPr>
  </w:style>
  <w:style w:type="table" w:styleId="ColorfulGrid">
    <w:name w:val="Colorful Grid"/>
    <w:basedOn w:val="TableNormal"/>
    <w:uiPriority w:val="73"/>
    <w:semiHidden/>
    <w:rsid w:val="00E07BA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07BA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07BA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07BA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07BA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07BA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07BA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07BA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07BA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07BA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07BA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07BA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07BA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07BA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07BA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07BA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07BA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07BA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07BA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07BA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07BA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07BAA"/>
    <w:rPr>
      <w:sz w:val="16"/>
      <w:szCs w:val="16"/>
    </w:rPr>
  </w:style>
  <w:style w:type="paragraph" w:styleId="CommentText">
    <w:name w:val="annotation text"/>
    <w:basedOn w:val="Normal"/>
    <w:link w:val="CommentTextChar"/>
    <w:uiPriority w:val="98"/>
    <w:semiHidden/>
    <w:rsid w:val="00E07BAA"/>
    <w:rPr>
      <w:sz w:val="20"/>
      <w:szCs w:val="20"/>
    </w:rPr>
  </w:style>
  <w:style w:type="character" w:customStyle="1" w:styleId="CommentTextChar">
    <w:name w:val="Comment Text Char"/>
    <w:basedOn w:val="DefaultParagraphFont"/>
    <w:link w:val="CommentText"/>
    <w:uiPriority w:val="98"/>
    <w:semiHidden/>
    <w:rsid w:val="00E07BAA"/>
    <w:rPr>
      <w:sz w:val="20"/>
      <w:szCs w:val="20"/>
      <w:lang w:val="en-GB"/>
    </w:rPr>
  </w:style>
  <w:style w:type="paragraph" w:styleId="CommentSubject">
    <w:name w:val="annotation subject"/>
    <w:basedOn w:val="CommentText"/>
    <w:next w:val="CommentText"/>
    <w:link w:val="CommentSubjectChar"/>
    <w:uiPriority w:val="98"/>
    <w:semiHidden/>
    <w:rsid w:val="00E07BAA"/>
    <w:rPr>
      <w:b/>
      <w:bCs/>
    </w:rPr>
  </w:style>
  <w:style w:type="character" w:customStyle="1" w:styleId="CommentSubjectChar">
    <w:name w:val="Comment Subject Char"/>
    <w:basedOn w:val="CommentTextChar"/>
    <w:link w:val="CommentSubject"/>
    <w:uiPriority w:val="98"/>
    <w:semiHidden/>
    <w:rsid w:val="00E07BAA"/>
    <w:rPr>
      <w:b/>
      <w:bCs/>
      <w:sz w:val="20"/>
      <w:szCs w:val="20"/>
      <w:lang w:val="en-GB"/>
    </w:rPr>
  </w:style>
  <w:style w:type="table" w:styleId="DarkList">
    <w:name w:val="Dark List"/>
    <w:basedOn w:val="TableNormal"/>
    <w:uiPriority w:val="70"/>
    <w:semiHidden/>
    <w:rsid w:val="00E07BA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07BA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07BA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07BA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07BA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07BA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07BA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07BAA"/>
  </w:style>
  <w:style w:type="character" w:customStyle="1" w:styleId="DateChar">
    <w:name w:val="Date Char"/>
    <w:basedOn w:val="DefaultParagraphFont"/>
    <w:link w:val="Date"/>
    <w:uiPriority w:val="98"/>
    <w:semiHidden/>
    <w:rsid w:val="00E07BAA"/>
    <w:rPr>
      <w:sz w:val="24"/>
      <w:szCs w:val="24"/>
      <w:lang w:val="en-GB"/>
    </w:rPr>
  </w:style>
  <w:style w:type="paragraph" w:styleId="DocumentMap">
    <w:name w:val="Document Map"/>
    <w:basedOn w:val="Normal"/>
    <w:link w:val="DocumentMapChar"/>
    <w:uiPriority w:val="98"/>
    <w:semiHidden/>
    <w:rsid w:val="00E07BAA"/>
    <w:rPr>
      <w:rFonts w:ascii="Tahoma" w:hAnsi="Tahoma" w:cs="Tahoma"/>
      <w:sz w:val="16"/>
      <w:szCs w:val="16"/>
    </w:rPr>
  </w:style>
  <w:style w:type="character" w:customStyle="1" w:styleId="DocumentMapChar">
    <w:name w:val="Document Map Char"/>
    <w:basedOn w:val="DefaultParagraphFont"/>
    <w:link w:val="DocumentMap"/>
    <w:uiPriority w:val="98"/>
    <w:semiHidden/>
    <w:rsid w:val="00E07BAA"/>
    <w:rPr>
      <w:rFonts w:ascii="Tahoma" w:hAnsi="Tahoma" w:cs="Tahoma"/>
      <w:sz w:val="16"/>
      <w:szCs w:val="16"/>
      <w:lang w:val="en-GB"/>
    </w:rPr>
  </w:style>
  <w:style w:type="paragraph" w:styleId="E-mailSignature">
    <w:name w:val="E-mail Signature"/>
    <w:basedOn w:val="Normal"/>
    <w:link w:val="E-mailSignatureChar"/>
    <w:uiPriority w:val="98"/>
    <w:semiHidden/>
    <w:rsid w:val="00E07BAA"/>
  </w:style>
  <w:style w:type="character" w:customStyle="1" w:styleId="E-mailSignatureChar">
    <w:name w:val="E-mail Signature Char"/>
    <w:basedOn w:val="DefaultParagraphFont"/>
    <w:link w:val="E-mailSignature"/>
    <w:uiPriority w:val="98"/>
    <w:semiHidden/>
    <w:rsid w:val="00E07BAA"/>
    <w:rPr>
      <w:sz w:val="24"/>
      <w:szCs w:val="24"/>
      <w:lang w:val="en-GB"/>
    </w:rPr>
  </w:style>
  <w:style w:type="character" w:styleId="EndnoteReference">
    <w:name w:val="endnote reference"/>
    <w:basedOn w:val="DefaultParagraphFont"/>
    <w:uiPriority w:val="98"/>
    <w:semiHidden/>
    <w:rsid w:val="00E07BAA"/>
    <w:rPr>
      <w:vertAlign w:val="superscript"/>
    </w:rPr>
  </w:style>
  <w:style w:type="paragraph" w:styleId="EndnoteText">
    <w:name w:val="endnote text"/>
    <w:basedOn w:val="Normal"/>
    <w:link w:val="EndnoteTextChar"/>
    <w:uiPriority w:val="98"/>
    <w:semiHidden/>
    <w:rsid w:val="00E07BAA"/>
    <w:rPr>
      <w:sz w:val="20"/>
      <w:szCs w:val="20"/>
    </w:rPr>
  </w:style>
  <w:style w:type="character" w:customStyle="1" w:styleId="EndnoteTextChar">
    <w:name w:val="Endnote Text Char"/>
    <w:basedOn w:val="DefaultParagraphFont"/>
    <w:link w:val="EndnoteText"/>
    <w:uiPriority w:val="98"/>
    <w:semiHidden/>
    <w:rsid w:val="00E07BAA"/>
    <w:rPr>
      <w:sz w:val="20"/>
      <w:szCs w:val="20"/>
      <w:lang w:val="en-GB"/>
    </w:rPr>
  </w:style>
  <w:style w:type="paragraph" w:styleId="EnvelopeAddress">
    <w:name w:val="envelope address"/>
    <w:basedOn w:val="Normal"/>
    <w:uiPriority w:val="98"/>
    <w:semiHidden/>
    <w:rsid w:val="00E07BA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07BA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07BAA"/>
    <w:rPr>
      <w:color w:val="7030A0" w:themeColor="followedHyperlink"/>
      <w:u w:val="single"/>
    </w:rPr>
  </w:style>
  <w:style w:type="character" w:styleId="HTMLAcronym">
    <w:name w:val="HTML Acronym"/>
    <w:basedOn w:val="DefaultParagraphFont"/>
    <w:uiPriority w:val="98"/>
    <w:semiHidden/>
    <w:rsid w:val="00E07BAA"/>
  </w:style>
  <w:style w:type="paragraph" w:styleId="HTMLAddress">
    <w:name w:val="HTML Address"/>
    <w:basedOn w:val="Normal"/>
    <w:link w:val="HTMLAddressChar"/>
    <w:uiPriority w:val="98"/>
    <w:semiHidden/>
    <w:rsid w:val="00E07BAA"/>
    <w:rPr>
      <w:i/>
      <w:iCs/>
    </w:rPr>
  </w:style>
  <w:style w:type="character" w:customStyle="1" w:styleId="HTMLAddressChar">
    <w:name w:val="HTML Address Char"/>
    <w:basedOn w:val="DefaultParagraphFont"/>
    <w:link w:val="HTMLAddress"/>
    <w:uiPriority w:val="98"/>
    <w:semiHidden/>
    <w:rsid w:val="00E07BAA"/>
    <w:rPr>
      <w:i/>
      <w:iCs/>
      <w:sz w:val="24"/>
      <w:szCs w:val="24"/>
      <w:lang w:val="en-GB"/>
    </w:rPr>
  </w:style>
  <w:style w:type="character" w:styleId="HTMLCite">
    <w:name w:val="HTML Cite"/>
    <w:basedOn w:val="DefaultParagraphFont"/>
    <w:uiPriority w:val="98"/>
    <w:semiHidden/>
    <w:rsid w:val="00E07BAA"/>
    <w:rPr>
      <w:i/>
      <w:iCs/>
    </w:rPr>
  </w:style>
  <w:style w:type="character" w:styleId="HTMLCode">
    <w:name w:val="HTML Code"/>
    <w:basedOn w:val="DefaultParagraphFont"/>
    <w:uiPriority w:val="98"/>
    <w:semiHidden/>
    <w:rsid w:val="00E07BAA"/>
    <w:rPr>
      <w:rFonts w:ascii="Consolas" w:hAnsi="Consolas" w:cs="Consolas"/>
      <w:sz w:val="20"/>
      <w:szCs w:val="20"/>
    </w:rPr>
  </w:style>
  <w:style w:type="character" w:styleId="HTMLDefinition">
    <w:name w:val="HTML Definition"/>
    <w:basedOn w:val="DefaultParagraphFont"/>
    <w:uiPriority w:val="98"/>
    <w:semiHidden/>
    <w:rsid w:val="00E07BAA"/>
    <w:rPr>
      <w:i/>
      <w:iCs/>
    </w:rPr>
  </w:style>
  <w:style w:type="character" w:styleId="HTMLKeyboard">
    <w:name w:val="HTML Keyboard"/>
    <w:basedOn w:val="DefaultParagraphFont"/>
    <w:uiPriority w:val="98"/>
    <w:semiHidden/>
    <w:rsid w:val="00E07BAA"/>
    <w:rPr>
      <w:rFonts w:ascii="Consolas" w:hAnsi="Consolas" w:cs="Consolas"/>
      <w:sz w:val="20"/>
      <w:szCs w:val="20"/>
    </w:rPr>
  </w:style>
  <w:style w:type="paragraph" w:styleId="HTMLPreformatted">
    <w:name w:val="HTML Preformatted"/>
    <w:basedOn w:val="Normal"/>
    <w:link w:val="HTMLPreformattedChar"/>
    <w:uiPriority w:val="98"/>
    <w:semiHidden/>
    <w:rsid w:val="00E07BA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07BAA"/>
    <w:rPr>
      <w:rFonts w:ascii="Consolas" w:hAnsi="Consolas" w:cs="Consolas"/>
      <w:sz w:val="20"/>
      <w:szCs w:val="20"/>
      <w:lang w:val="en-GB"/>
    </w:rPr>
  </w:style>
  <w:style w:type="character" w:styleId="HTMLSample">
    <w:name w:val="HTML Sample"/>
    <w:basedOn w:val="DefaultParagraphFont"/>
    <w:uiPriority w:val="98"/>
    <w:semiHidden/>
    <w:rsid w:val="00E07BAA"/>
    <w:rPr>
      <w:rFonts w:ascii="Consolas" w:hAnsi="Consolas" w:cs="Consolas"/>
      <w:sz w:val="24"/>
      <w:szCs w:val="24"/>
    </w:rPr>
  </w:style>
  <w:style w:type="character" w:styleId="HTMLTypewriter">
    <w:name w:val="HTML Typewriter"/>
    <w:basedOn w:val="DefaultParagraphFont"/>
    <w:uiPriority w:val="98"/>
    <w:semiHidden/>
    <w:rsid w:val="00E07BAA"/>
    <w:rPr>
      <w:rFonts w:ascii="Consolas" w:hAnsi="Consolas" w:cs="Consolas"/>
      <w:sz w:val="20"/>
      <w:szCs w:val="20"/>
    </w:rPr>
  </w:style>
  <w:style w:type="character" w:styleId="HTMLVariable">
    <w:name w:val="HTML Variable"/>
    <w:basedOn w:val="DefaultParagraphFont"/>
    <w:uiPriority w:val="98"/>
    <w:semiHidden/>
    <w:rsid w:val="00E07BAA"/>
    <w:rPr>
      <w:i/>
      <w:iCs/>
    </w:rPr>
  </w:style>
  <w:style w:type="paragraph" w:styleId="Index1">
    <w:name w:val="index 1"/>
    <w:basedOn w:val="Normal"/>
    <w:next w:val="Normal"/>
    <w:autoRedefine/>
    <w:uiPriority w:val="98"/>
    <w:semiHidden/>
    <w:rsid w:val="00E07BAA"/>
    <w:pPr>
      <w:ind w:left="240" w:hanging="240"/>
    </w:pPr>
  </w:style>
  <w:style w:type="paragraph" w:styleId="Index2">
    <w:name w:val="index 2"/>
    <w:basedOn w:val="Normal"/>
    <w:next w:val="Normal"/>
    <w:autoRedefine/>
    <w:uiPriority w:val="98"/>
    <w:semiHidden/>
    <w:rsid w:val="00E07BAA"/>
    <w:pPr>
      <w:ind w:left="480" w:hanging="240"/>
    </w:pPr>
  </w:style>
  <w:style w:type="paragraph" w:styleId="Index3">
    <w:name w:val="index 3"/>
    <w:basedOn w:val="Normal"/>
    <w:next w:val="Normal"/>
    <w:autoRedefine/>
    <w:uiPriority w:val="98"/>
    <w:semiHidden/>
    <w:rsid w:val="00E07BAA"/>
    <w:pPr>
      <w:ind w:left="720" w:hanging="240"/>
    </w:pPr>
  </w:style>
  <w:style w:type="paragraph" w:styleId="Index4">
    <w:name w:val="index 4"/>
    <w:basedOn w:val="Normal"/>
    <w:next w:val="Normal"/>
    <w:autoRedefine/>
    <w:uiPriority w:val="98"/>
    <w:semiHidden/>
    <w:rsid w:val="00E07BAA"/>
    <w:pPr>
      <w:ind w:left="960" w:hanging="240"/>
    </w:pPr>
  </w:style>
  <w:style w:type="paragraph" w:styleId="Index5">
    <w:name w:val="index 5"/>
    <w:basedOn w:val="Normal"/>
    <w:next w:val="Normal"/>
    <w:autoRedefine/>
    <w:uiPriority w:val="98"/>
    <w:semiHidden/>
    <w:rsid w:val="00E07BAA"/>
    <w:pPr>
      <w:ind w:left="1200" w:hanging="240"/>
    </w:pPr>
  </w:style>
  <w:style w:type="paragraph" w:styleId="Index6">
    <w:name w:val="index 6"/>
    <w:basedOn w:val="Normal"/>
    <w:next w:val="Normal"/>
    <w:autoRedefine/>
    <w:uiPriority w:val="98"/>
    <w:semiHidden/>
    <w:rsid w:val="00E07BAA"/>
    <w:pPr>
      <w:ind w:left="1440" w:hanging="240"/>
    </w:pPr>
  </w:style>
  <w:style w:type="paragraph" w:styleId="Index7">
    <w:name w:val="index 7"/>
    <w:basedOn w:val="Normal"/>
    <w:next w:val="Normal"/>
    <w:autoRedefine/>
    <w:uiPriority w:val="98"/>
    <w:semiHidden/>
    <w:rsid w:val="00E07BAA"/>
    <w:pPr>
      <w:ind w:left="1680" w:hanging="240"/>
    </w:pPr>
  </w:style>
  <w:style w:type="paragraph" w:styleId="Index8">
    <w:name w:val="index 8"/>
    <w:basedOn w:val="Normal"/>
    <w:next w:val="Normal"/>
    <w:autoRedefine/>
    <w:uiPriority w:val="98"/>
    <w:semiHidden/>
    <w:rsid w:val="00E07BAA"/>
    <w:pPr>
      <w:ind w:left="1920" w:hanging="240"/>
    </w:pPr>
  </w:style>
  <w:style w:type="paragraph" w:styleId="Index9">
    <w:name w:val="index 9"/>
    <w:basedOn w:val="Normal"/>
    <w:next w:val="Normal"/>
    <w:autoRedefine/>
    <w:uiPriority w:val="98"/>
    <w:semiHidden/>
    <w:rsid w:val="00E07BAA"/>
    <w:pPr>
      <w:ind w:left="2160" w:hanging="240"/>
    </w:pPr>
  </w:style>
  <w:style w:type="paragraph" w:styleId="IndexHeading">
    <w:name w:val="index heading"/>
    <w:basedOn w:val="Normal"/>
    <w:next w:val="Index1"/>
    <w:uiPriority w:val="98"/>
    <w:semiHidden/>
    <w:rsid w:val="00E07BAA"/>
    <w:rPr>
      <w:rFonts w:asciiTheme="majorHAnsi" w:eastAsiaTheme="majorEastAsia" w:hAnsiTheme="majorHAnsi" w:cstheme="majorBidi"/>
      <w:b/>
      <w:bCs/>
    </w:rPr>
  </w:style>
  <w:style w:type="table" w:styleId="LightGrid">
    <w:name w:val="Light Grid"/>
    <w:basedOn w:val="TableNormal"/>
    <w:uiPriority w:val="62"/>
    <w:semiHidden/>
    <w:rsid w:val="00E07BA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07BA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07BA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07BA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07BA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07BA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07BA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07BA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07BA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07BA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07BA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07BA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07BA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07BA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07BA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07BA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07BA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07BA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07BA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07BA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07BA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07BAA"/>
  </w:style>
  <w:style w:type="paragraph" w:styleId="List0">
    <w:name w:val="List"/>
    <w:basedOn w:val="Normal"/>
    <w:uiPriority w:val="98"/>
    <w:semiHidden/>
    <w:rsid w:val="00E07BAA"/>
    <w:pPr>
      <w:ind w:left="283" w:hanging="283"/>
      <w:contextualSpacing/>
    </w:pPr>
  </w:style>
  <w:style w:type="paragraph" w:styleId="List20">
    <w:name w:val="List 2"/>
    <w:basedOn w:val="Normal"/>
    <w:uiPriority w:val="98"/>
    <w:semiHidden/>
    <w:rsid w:val="00E07BAA"/>
    <w:pPr>
      <w:ind w:left="566" w:hanging="283"/>
      <w:contextualSpacing/>
    </w:pPr>
  </w:style>
  <w:style w:type="paragraph" w:styleId="List30">
    <w:name w:val="List 3"/>
    <w:basedOn w:val="Normal"/>
    <w:uiPriority w:val="98"/>
    <w:semiHidden/>
    <w:rsid w:val="00E07BAA"/>
    <w:pPr>
      <w:ind w:left="849" w:hanging="283"/>
      <w:contextualSpacing/>
    </w:pPr>
  </w:style>
  <w:style w:type="paragraph" w:styleId="List4">
    <w:name w:val="List 4"/>
    <w:basedOn w:val="Normal"/>
    <w:uiPriority w:val="98"/>
    <w:semiHidden/>
    <w:rsid w:val="00E07BAA"/>
    <w:pPr>
      <w:ind w:left="1132" w:hanging="283"/>
      <w:contextualSpacing/>
    </w:pPr>
  </w:style>
  <w:style w:type="paragraph" w:styleId="List5">
    <w:name w:val="List 5"/>
    <w:basedOn w:val="Normal"/>
    <w:uiPriority w:val="98"/>
    <w:semiHidden/>
    <w:rsid w:val="00E07BAA"/>
    <w:pPr>
      <w:ind w:left="1415" w:hanging="283"/>
      <w:contextualSpacing/>
    </w:pPr>
  </w:style>
  <w:style w:type="paragraph" w:styleId="ListBullet2">
    <w:name w:val="List Bullet 2"/>
    <w:basedOn w:val="Normal"/>
    <w:uiPriority w:val="98"/>
    <w:semiHidden/>
    <w:rsid w:val="00E07BAA"/>
    <w:pPr>
      <w:numPr>
        <w:numId w:val="10"/>
      </w:numPr>
      <w:contextualSpacing/>
    </w:pPr>
  </w:style>
  <w:style w:type="paragraph" w:styleId="ListBullet4">
    <w:name w:val="List Bullet 4"/>
    <w:basedOn w:val="Normal"/>
    <w:uiPriority w:val="98"/>
    <w:semiHidden/>
    <w:rsid w:val="00E07BAA"/>
    <w:pPr>
      <w:numPr>
        <w:numId w:val="12"/>
      </w:numPr>
      <w:contextualSpacing/>
    </w:pPr>
  </w:style>
  <w:style w:type="paragraph" w:styleId="ListBullet5">
    <w:name w:val="List Bullet 5"/>
    <w:basedOn w:val="Normal"/>
    <w:uiPriority w:val="98"/>
    <w:semiHidden/>
    <w:rsid w:val="00E07BAA"/>
    <w:pPr>
      <w:numPr>
        <w:numId w:val="13"/>
      </w:numPr>
      <w:contextualSpacing/>
    </w:pPr>
  </w:style>
  <w:style w:type="paragraph" w:styleId="ListContinue">
    <w:name w:val="List Continue"/>
    <w:basedOn w:val="Normal"/>
    <w:uiPriority w:val="98"/>
    <w:semiHidden/>
    <w:rsid w:val="00E07BAA"/>
    <w:pPr>
      <w:spacing w:after="120"/>
      <w:ind w:left="283"/>
      <w:contextualSpacing/>
    </w:pPr>
  </w:style>
  <w:style w:type="paragraph" w:styleId="ListContinue2">
    <w:name w:val="List Continue 2"/>
    <w:basedOn w:val="Normal"/>
    <w:uiPriority w:val="98"/>
    <w:semiHidden/>
    <w:rsid w:val="00E07BAA"/>
    <w:pPr>
      <w:spacing w:after="120"/>
      <w:ind w:left="566"/>
      <w:contextualSpacing/>
    </w:pPr>
  </w:style>
  <w:style w:type="paragraph" w:styleId="ListContinue3">
    <w:name w:val="List Continue 3"/>
    <w:basedOn w:val="Normal"/>
    <w:uiPriority w:val="98"/>
    <w:semiHidden/>
    <w:rsid w:val="00E07BAA"/>
    <w:pPr>
      <w:spacing w:after="120"/>
      <w:ind w:left="849"/>
      <w:contextualSpacing/>
    </w:pPr>
  </w:style>
  <w:style w:type="paragraph" w:styleId="ListContinue4">
    <w:name w:val="List Continue 4"/>
    <w:basedOn w:val="Normal"/>
    <w:uiPriority w:val="98"/>
    <w:semiHidden/>
    <w:rsid w:val="00E07BAA"/>
    <w:pPr>
      <w:spacing w:after="120"/>
      <w:ind w:left="1132"/>
      <w:contextualSpacing/>
    </w:pPr>
  </w:style>
  <w:style w:type="paragraph" w:styleId="ListContinue5">
    <w:name w:val="List Continue 5"/>
    <w:basedOn w:val="Normal"/>
    <w:uiPriority w:val="98"/>
    <w:semiHidden/>
    <w:rsid w:val="00E07BAA"/>
    <w:pPr>
      <w:spacing w:after="120"/>
      <w:ind w:left="1415"/>
      <w:contextualSpacing/>
    </w:pPr>
  </w:style>
  <w:style w:type="paragraph" w:styleId="ListNumber">
    <w:name w:val="List Number"/>
    <w:basedOn w:val="Normal"/>
    <w:uiPriority w:val="98"/>
    <w:semiHidden/>
    <w:rsid w:val="00E07BAA"/>
    <w:pPr>
      <w:numPr>
        <w:numId w:val="14"/>
      </w:numPr>
      <w:contextualSpacing/>
    </w:pPr>
  </w:style>
  <w:style w:type="paragraph" w:styleId="ListNumber2">
    <w:name w:val="List Number 2"/>
    <w:basedOn w:val="Normal"/>
    <w:uiPriority w:val="98"/>
    <w:semiHidden/>
    <w:rsid w:val="00E07BAA"/>
    <w:pPr>
      <w:numPr>
        <w:numId w:val="15"/>
      </w:numPr>
      <w:contextualSpacing/>
    </w:pPr>
  </w:style>
  <w:style w:type="paragraph" w:styleId="ListNumber3">
    <w:name w:val="List Number 3"/>
    <w:basedOn w:val="Normal"/>
    <w:uiPriority w:val="98"/>
    <w:semiHidden/>
    <w:rsid w:val="00E07BAA"/>
    <w:pPr>
      <w:numPr>
        <w:numId w:val="16"/>
      </w:numPr>
      <w:contextualSpacing/>
    </w:pPr>
  </w:style>
  <w:style w:type="paragraph" w:styleId="ListNumber4">
    <w:name w:val="List Number 4"/>
    <w:basedOn w:val="Normal"/>
    <w:uiPriority w:val="98"/>
    <w:semiHidden/>
    <w:rsid w:val="00E07BAA"/>
    <w:pPr>
      <w:numPr>
        <w:numId w:val="17"/>
      </w:numPr>
      <w:contextualSpacing/>
    </w:pPr>
  </w:style>
  <w:style w:type="paragraph" w:styleId="ListNumber5">
    <w:name w:val="List Number 5"/>
    <w:basedOn w:val="Normal"/>
    <w:uiPriority w:val="98"/>
    <w:semiHidden/>
    <w:rsid w:val="00E07BAA"/>
    <w:pPr>
      <w:numPr>
        <w:numId w:val="18"/>
      </w:numPr>
      <w:contextualSpacing/>
    </w:pPr>
  </w:style>
  <w:style w:type="paragraph" w:styleId="Macro">
    <w:name w:val="macro"/>
    <w:link w:val="MacroTextChar"/>
    <w:uiPriority w:val="98"/>
    <w:semiHidden/>
    <w:rsid w:val="00E07BA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07BAA"/>
    <w:rPr>
      <w:rFonts w:ascii="Consolas" w:hAnsi="Consolas" w:eastAsiaTheme="minorEastAsia" w:cs="Consolas"/>
      <w:sz w:val="20"/>
      <w:szCs w:val="20"/>
    </w:rPr>
  </w:style>
  <w:style w:type="table" w:styleId="MediumGrid1">
    <w:name w:val="Medium Grid 1"/>
    <w:basedOn w:val="TableNormal"/>
    <w:uiPriority w:val="67"/>
    <w:semiHidden/>
    <w:rsid w:val="00E07BA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07BA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07BA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07BA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07BA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07BA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07BA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07B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07B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07B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07B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07B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07B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07B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07BA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07BA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07BA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07BA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07BA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07BA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07BA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07BA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07BA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07BA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07BA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07BA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07BA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07BA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07BA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07B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07B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07B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07B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07B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07B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07B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07BA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07BA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07BAA"/>
    <w:rPr>
      <w:rFonts w:ascii="Times New Roman" w:hAnsi="Times New Roman" w:cs="Times New Roman"/>
    </w:rPr>
  </w:style>
  <w:style w:type="paragraph" w:styleId="NormalIndent">
    <w:name w:val="Normal Indent"/>
    <w:basedOn w:val="Normal"/>
    <w:uiPriority w:val="98"/>
    <w:semiHidden/>
    <w:rsid w:val="00E07BAA"/>
    <w:pPr>
      <w:ind w:left="720"/>
    </w:pPr>
  </w:style>
  <w:style w:type="paragraph" w:styleId="NoteHeading">
    <w:name w:val="Note Heading"/>
    <w:basedOn w:val="Normal"/>
    <w:next w:val="Normal"/>
    <w:link w:val="NoteHeadingChar"/>
    <w:uiPriority w:val="98"/>
    <w:semiHidden/>
    <w:rsid w:val="00E07BAA"/>
  </w:style>
  <w:style w:type="character" w:customStyle="1" w:styleId="NoteHeadingChar">
    <w:name w:val="Note Heading Char"/>
    <w:basedOn w:val="DefaultParagraphFont"/>
    <w:link w:val="NoteHeading"/>
    <w:uiPriority w:val="98"/>
    <w:semiHidden/>
    <w:rsid w:val="00E07BAA"/>
    <w:rPr>
      <w:sz w:val="24"/>
      <w:szCs w:val="24"/>
      <w:lang w:val="en-GB"/>
    </w:rPr>
  </w:style>
  <w:style w:type="character" w:styleId="PlaceholderText">
    <w:name w:val="Placeholder Text"/>
    <w:basedOn w:val="DefaultParagraphFont"/>
    <w:uiPriority w:val="98"/>
    <w:semiHidden/>
    <w:rsid w:val="00E07BA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07BAA"/>
    <w:rPr>
      <w:rFonts w:ascii="Consolas" w:hAnsi="Consolas" w:cs="Consolas"/>
      <w:sz w:val="21"/>
      <w:szCs w:val="21"/>
    </w:rPr>
  </w:style>
  <w:style w:type="character" w:customStyle="1" w:styleId="PlainTextChar">
    <w:name w:val="Plain Text Char"/>
    <w:basedOn w:val="DefaultParagraphFont"/>
    <w:link w:val="PlainText"/>
    <w:uiPriority w:val="98"/>
    <w:semiHidden/>
    <w:rsid w:val="00E07BAA"/>
    <w:rPr>
      <w:rFonts w:ascii="Consolas" w:hAnsi="Consolas" w:cs="Consolas"/>
      <w:sz w:val="21"/>
      <w:szCs w:val="21"/>
      <w:lang w:val="en-GB"/>
    </w:rPr>
  </w:style>
  <w:style w:type="paragraph" w:styleId="Salutation">
    <w:name w:val="Salutation"/>
    <w:basedOn w:val="Normal"/>
    <w:next w:val="Normal"/>
    <w:link w:val="SalutationChar"/>
    <w:uiPriority w:val="98"/>
    <w:semiHidden/>
    <w:rsid w:val="00E07BAA"/>
  </w:style>
  <w:style w:type="character" w:customStyle="1" w:styleId="SalutationChar">
    <w:name w:val="Salutation Char"/>
    <w:basedOn w:val="DefaultParagraphFont"/>
    <w:link w:val="Salutation"/>
    <w:uiPriority w:val="98"/>
    <w:semiHidden/>
    <w:rsid w:val="00E07BAA"/>
    <w:rPr>
      <w:sz w:val="24"/>
      <w:szCs w:val="24"/>
      <w:lang w:val="en-GB"/>
    </w:rPr>
  </w:style>
  <w:style w:type="paragraph" w:styleId="Signature0">
    <w:name w:val="Signature"/>
    <w:basedOn w:val="Normal"/>
    <w:link w:val="SignatureChar"/>
    <w:uiPriority w:val="98"/>
    <w:semiHidden/>
    <w:rsid w:val="00E07BAA"/>
    <w:pPr>
      <w:ind w:left="4252"/>
    </w:pPr>
  </w:style>
  <w:style w:type="character" w:customStyle="1" w:styleId="SignatureChar">
    <w:name w:val="Signature Char"/>
    <w:basedOn w:val="DefaultParagraphFont"/>
    <w:link w:val="Signature0"/>
    <w:uiPriority w:val="98"/>
    <w:semiHidden/>
    <w:rsid w:val="00E07BAA"/>
    <w:rPr>
      <w:sz w:val="24"/>
      <w:szCs w:val="24"/>
      <w:lang w:val="en-GB"/>
    </w:rPr>
  </w:style>
  <w:style w:type="table" w:styleId="Table3Deffects1">
    <w:name w:val="Table 3D effects 1"/>
    <w:basedOn w:val="TableNormal"/>
    <w:uiPriority w:val="99"/>
    <w:semiHidden/>
    <w:unhideWhenUsed/>
    <w:rsid w:val="00E07BA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07BA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07BA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07BA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07BA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07BA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07BA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07BA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07BA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07BA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07BA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07BA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07BA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07BA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07BA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07BA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07BA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07B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07BA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07BA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07BA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07BA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07BA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07BA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07BA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07BA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07BA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07BA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07BA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07B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07BA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07BA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07BA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07BAA"/>
    <w:pPr>
      <w:ind w:left="240" w:hanging="240"/>
    </w:pPr>
  </w:style>
  <w:style w:type="paragraph" w:styleId="TableofFigures">
    <w:name w:val="table of figures"/>
    <w:basedOn w:val="Normal"/>
    <w:next w:val="Normal"/>
    <w:uiPriority w:val="98"/>
    <w:semiHidden/>
    <w:rsid w:val="00E07BAA"/>
  </w:style>
  <w:style w:type="table" w:styleId="TableProfessional">
    <w:name w:val="Table Professional"/>
    <w:basedOn w:val="TableNormal"/>
    <w:uiPriority w:val="99"/>
    <w:semiHidden/>
    <w:unhideWhenUsed/>
    <w:rsid w:val="00E07B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07BA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07BA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07BA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07BA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07BA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07BA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07BA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07BA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07BA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07BA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07BA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07BAA"/>
    <w:pPr>
      <w:spacing w:after="100"/>
      <w:ind w:left="1680"/>
    </w:pPr>
  </w:style>
  <w:style w:type="paragraph" w:styleId="TOC9">
    <w:name w:val="toc 9"/>
    <w:basedOn w:val="Normal"/>
    <w:next w:val="Normal"/>
    <w:autoRedefine/>
    <w:uiPriority w:val="98"/>
    <w:semiHidden/>
    <w:rsid w:val="00E07BA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E07BA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07BA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07BAA"/>
    <w:pPr>
      <w:keepNext/>
      <w:keepLines/>
      <w:spacing w:before="1320" w:after="280"/>
      <w:contextualSpacing/>
      <w:jc w:val="center"/>
    </w:pPr>
    <w:rPr>
      <w:b/>
    </w:rPr>
  </w:style>
  <w:style w:type="paragraph" w:customStyle="1" w:styleId="DummyStyle">
    <w:name w:val="Dummy_Style"/>
    <w:aliases w:val="_Dummy"/>
    <w:basedOn w:val="Normal"/>
    <w:semiHidden/>
    <w:qFormat/>
    <w:rsid w:val="00E07BAA"/>
    <w:rPr>
      <w:color w:val="00B050"/>
      <w:sz w:val="22"/>
    </w:rPr>
  </w:style>
  <w:style w:type="paragraph" w:customStyle="1" w:styleId="ECHRBullet1">
    <w:name w:val="ECHR_Bullet_1"/>
    <w:aliases w:val="_Bul_1"/>
    <w:basedOn w:val="NormalJustified"/>
    <w:uiPriority w:val="23"/>
    <w:semiHidden/>
    <w:qFormat/>
    <w:rsid w:val="00E07BAA"/>
    <w:pPr>
      <w:numPr>
        <w:numId w:val="6"/>
      </w:numPr>
      <w:spacing w:before="60" w:after="60"/>
    </w:pPr>
  </w:style>
  <w:style w:type="paragraph" w:customStyle="1" w:styleId="ECHRBullet2">
    <w:name w:val="ECHR_Bullet_2"/>
    <w:aliases w:val="_Bul_2"/>
    <w:basedOn w:val="ECHRBullet1"/>
    <w:uiPriority w:val="23"/>
    <w:semiHidden/>
    <w:rsid w:val="00E07BAA"/>
    <w:pPr>
      <w:numPr>
        <w:ilvl w:val="1"/>
      </w:numPr>
    </w:pPr>
  </w:style>
  <w:style w:type="paragraph" w:customStyle="1" w:styleId="ECHRBullet3">
    <w:name w:val="ECHR_Bullet_3"/>
    <w:aliases w:val="_Bul_3"/>
    <w:basedOn w:val="ECHRBullet2"/>
    <w:uiPriority w:val="23"/>
    <w:semiHidden/>
    <w:rsid w:val="00E07BAA"/>
    <w:pPr>
      <w:numPr>
        <w:ilvl w:val="2"/>
      </w:numPr>
    </w:pPr>
  </w:style>
  <w:style w:type="paragraph" w:customStyle="1" w:styleId="ECHRBullet4">
    <w:name w:val="ECHR_Bullet_4"/>
    <w:aliases w:val="_Bul_4"/>
    <w:basedOn w:val="ECHRBullet3"/>
    <w:uiPriority w:val="23"/>
    <w:semiHidden/>
    <w:rsid w:val="00E07BAA"/>
    <w:pPr>
      <w:numPr>
        <w:ilvl w:val="3"/>
      </w:numPr>
    </w:pPr>
  </w:style>
  <w:style w:type="paragraph" w:customStyle="1" w:styleId="ECHRConfidential">
    <w:name w:val="ECHR_Confidential"/>
    <w:aliases w:val="_Confidential"/>
    <w:basedOn w:val="Normal"/>
    <w:next w:val="Normal"/>
    <w:uiPriority w:val="42"/>
    <w:semiHidden/>
    <w:qFormat/>
    <w:rsid w:val="00E07BAA"/>
    <w:pPr>
      <w:jc w:val="right"/>
    </w:pPr>
    <w:rPr>
      <w:color w:val="C00000"/>
      <w:sz w:val="20"/>
    </w:rPr>
  </w:style>
  <w:style w:type="paragraph" w:customStyle="1" w:styleId="ECHRDecisionBody">
    <w:name w:val="ECHR_Decision_Body"/>
    <w:aliases w:val="_Decision_Body"/>
    <w:basedOn w:val="NormalJustified"/>
    <w:uiPriority w:val="54"/>
    <w:semiHidden/>
    <w:rsid w:val="00E07BA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07BA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07BA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07BA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07BAA"/>
    <w:pPr>
      <w:jc w:val="right"/>
    </w:pPr>
    <w:rPr>
      <w:sz w:val="20"/>
    </w:rPr>
  </w:style>
  <w:style w:type="paragraph" w:customStyle="1" w:styleId="ECHRHeaderRefIt">
    <w:name w:val="ECHR_Header_Ref_It"/>
    <w:aliases w:val="_Ref_Ital"/>
    <w:basedOn w:val="Normal"/>
    <w:next w:val="ECHRHeaderDate"/>
    <w:uiPriority w:val="43"/>
    <w:qFormat/>
    <w:rsid w:val="00E07BAA"/>
    <w:pPr>
      <w:jc w:val="right"/>
    </w:pPr>
    <w:rPr>
      <w:i/>
      <w:sz w:val="20"/>
    </w:rPr>
  </w:style>
  <w:style w:type="paragraph" w:customStyle="1" w:styleId="ECHRHeading9">
    <w:name w:val="ECHR_Heading_9"/>
    <w:aliases w:val="_Head_9"/>
    <w:basedOn w:val="Heading9"/>
    <w:uiPriority w:val="17"/>
    <w:semiHidden/>
    <w:rsid w:val="00E07BAA"/>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E07BA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07BAA"/>
    <w:pPr>
      <w:numPr>
        <w:numId w:val="8"/>
      </w:numPr>
      <w:spacing w:before="60" w:after="60"/>
    </w:pPr>
  </w:style>
  <w:style w:type="paragraph" w:customStyle="1" w:styleId="ECHRNumberedList2">
    <w:name w:val="ECHR_Numbered_List_2"/>
    <w:aliases w:val="_Num_2"/>
    <w:basedOn w:val="ECHRNumberedList1"/>
    <w:uiPriority w:val="23"/>
    <w:semiHidden/>
    <w:rsid w:val="00E07BAA"/>
    <w:pPr>
      <w:numPr>
        <w:ilvl w:val="1"/>
      </w:numPr>
    </w:pPr>
  </w:style>
  <w:style w:type="paragraph" w:customStyle="1" w:styleId="ECHRNumberedList3">
    <w:name w:val="ECHR_Numbered_List_3"/>
    <w:aliases w:val="_Num_3"/>
    <w:basedOn w:val="ECHRNumberedList2"/>
    <w:uiPriority w:val="23"/>
    <w:semiHidden/>
    <w:rsid w:val="00E07BAA"/>
    <w:pPr>
      <w:numPr>
        <w:ilvl w:val="2"/>
      </w:numPr>
    </w:pPr>
  </w:style>
  <w:style w:type="paragraph" w:customStyle="1" w:styleId="ECHRParaHanging">
    <w:name w:val="ECHR_Para_Hanging"/>
    <w:aliases w:val="_Hanging"/>
    <w:basedOn w:val="Normal"/>
    <w:uiPriority w:val="8"/>
    <w:semiHidden/>
    <w:qFormat/>
    <w:rsid w:val="00E07BAA"/>
    <w:pPr>
      <w:ind w:left="567" w:hanging="567"/>
      <w:jc w:val="both"/>
    </w:pPr>
  </w:style>
  <w:style w:type="paragraph" w:customStyle="1" w:styleId="ECHRParaIndent">
    <w:name w:val="ECHR_Para_Indent"/>
    <w:aliases w:val="_Indent"/>
    <w:basedOn w:val="Normal"/>
    <w:uiPriority w:val="7"/>
    <w:semiHidden/>
    <w:qFormat/>
    <w:rsid w:val="00E07BAA"/>
    <w:pPr>
      <w:spacing w:before="120" w:after="120"/>
      <w:ind w:left="284"/>
      <w:jc w:val="both"/>
    </w:pPr>
  </w:style>
  <w:style w:type="character" w:customStyle="1" w:styleId="ECHRRed">
    <w:name w:val="ECHR_Red"/>
    <w:aliases w:val="_Red"/>
    <w:basedOn w:val="DefaultParagraphFont"/>
    <w:uiPriority w:val="15"/>
    <w:semiHidden/>
    <w:qFormat/>
    <w:rsid w:val="00E07BAA"/>
    <w:rPr>
      <w:color w:val="C00000" w:themeColor="accent2"/>
    </w:rPr>
  </w:style>
  <w:style w:type="paragraph" w:customStyle="1" w:styleId="ECHRSpacer">
    <w:name w:val="ECHR_Spacer"/>
    <w:aliases w:val="_Spacer"/>
    <w:basedOn w:val="Normal"/>
    <w:uiPriority w:val="45"/>
    <w:semiHidden/>
    <w:rsid w:val="00E07BAA"/>
    <w:rPr>
      <w:sz w:val="4"/>
    </w:rPr>
  </w:style>
  <w:style w:type="table" w:customStyle="1" w:styleId="ECHRTable2">
    <w:name w:val="ECHR_Table_2"/>
    <w:basedOn w:val="TableNormal"/>
    <w:uiPriority w:val="99"/>
    <w:rsid w:val="00E07BA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07BA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07BA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07BA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07BA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07BA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07BA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07BA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07BAA"/>
    <w:pPr>
      <w:outlineLvl w:val="0"/>
    </w:pPr>
  </w:style>
  <w:style w:type="paragraph" w:customStyle="1" w:styleId="ECHRTitleTOC1">
    <w:name w:val="ECHR_Title_TOC_1"/>
    <w:aliases w:val="_Title_L_TOC"/>
    <w:basedOn w:val="ECHRTitle1"/>
    <w:next w:val="Normal"/>
    <w:uiPriority w:val="27"/>
    <w:semiHidden/>
    <w:qFormat/>
    <w:rsid w:val="00E07BAA"/>
    <w:pPr>
      <w:outlineLvl w:val="0"/>
    </w:pPr>
  </w:style>
  <w:style w:type="character" w:customStyle="1" w:styleId="JuParaChar">
    <w:name w:val="Ju_Para Char"/>
    <w:aliases w:val="_Para Char"/>
    <w:link w:val="JuPara"/>
    <w:uiPriority w:val="4"/>
    <w:rsid w:val="0082449C"/>
    <w:rPr>
      <w:sz w:val="24"/>
      <w:szCs w:val="24"/>
      <w:lang w:val="en-GB"/>
    </w:rPr>
  </w:style>
  <w:style w:type="paragraph" w:customStyle="1" w:styleId="JuHeaderLandscape">
    <w:name w:val="Ju_Header_Landscape"/>
    <w:aliases w:val="_Header_Landscape"/>
    <w:basedOn w:val="JuHeader"/>
    <w:uiPriority w:val="30"/>
    <w:qFormat/>
    <w:rsid w:val="0082449C"/>
    <w:pPr>
      <w:tabs>
        <w:tab w:val="center" w:pos="6146"/>
        <w:tab w:val="right" w:pos="12293"/>
      </w:tabs>
      <w:jc w:val="left"/>
    </w:pPr>
    <w:rPr>
      <w:szCs w:val="22"/>
    </w:rPr>
  </w:style>
  <w:style w:type="character" w:customStyle="1" w:styleId="JuNames1">
    <w:name w:val="Ju_Names"/>
    <w:rsid w:val="0082449C"/>
    <w:rPr>
      <w:smallCaps/>
    </w:rPr>
  </w:style>
  <w:style w:type="paragraph" w:customStyle="1" w:styleId="JuList4">
    <w:name w:val="Ju_List_4"/>
    <w:aliases w:val="N_Bul_4"/>
    <w:basedOn w:val="JuListi"/>
    <w:uiPriority w:val="19"/>
    <w:rsid w:val="0082449C"/>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numbering" w:customStyle="1" w:styleId="ECHRA1StyleBulletedSquare1">
    <w:name w:val="ECHR_A1_Style_Bulleted_Square1"/>
    <w:basedOn w:val="NoList"/>
    <w:rsid w:val="0082449C"/>
  </w:style>
  <w:style w:type="numbering" w:customStyle="1" w:styleId="ECHRA1StyleList1">
    <w:name w:val="ECHR_A1_Style_List1"/>
    <w:basedOn w:val="NoList"/>
    <w:uiPriority w:val="99"/>
    <w:rsid w:val="0082449C"/>
  </w:style>
  <w:style w:type="paragraph" w:styleId="Revision">
    <w:name w:val="Revision"/>
    <w:hidden/>
    <w:uiPriority w:val="99"/>
    <w:semiHidden/>
    <w:rsid w:val="0082449C"/>
    <w:rPr>
      <w:rFonts w:eastAsiaTheme="minorEastAsia"/>
      <w:sz w:val="24"/>
      <w:lang w:val="en-GB"/>
    </w:rPr>
  </w:style>
  <w:style w:type="paragraph" w:customStyle="1" w:styleId="jupara0">
    <w:name w:val="jupara"/>
    <w:basedOn w:val="Normal"/>
    <w:rsid w:val="005672C4"/>
    <w:pPr>
      <w:ind w:firstLine="284"/>
      <w:jc w:val="both"/>
    </w:pPr>
    <w:rPr>
      <w:rFonts w:ascii="Times New Roman" w:eastAsia="Times New Roman" w:hAnsi="Times New Roman" w:cs="Times New Roman"/>
      <w:lang w:eastAsia="en-GB"/>
    </w:rPr>
  </w:style>
  <w:style w:type="paragraph" w:customStyle="1" w:styleId="jucase0">
    <w:name w:val="jucase"/>
    <w:basedOn w:val="Normal"/>
    <w:rsid w:val="005672C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ACCEF-3DA1-456B-AE17-27DF87B22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10540</Words>
  <Characters>57972</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2025-05-06T15:48:00Z</dcterms:created>
  <dcterms:modified xsi:type="dcterms:W3CDTF">2025-05-06T15:48:00Z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883732</vt:lpwstr>
  </property>
  <property fmtid="{D5CDD505-2E9C-101B-9397-08002B2CF9AE}" pid="3" name="cstLanguage">
    <vt:i4>2057</vt:i4>
  </property>
  <property fmtid="{D5CDD505-2E9C-101B-9397-08002B2CF9AE}" pid="4" name="RegisteredNo">
    <vt:lpwstr>33139/13</vt:lpwstr>
  </property>
</Properties>
</file>