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2.xml" ContentType="application/vnd.openxmlformats-officedocument.wordprocessingml.footer+xml"/>
  <Override PartName="/word/footer1.xml" ContentType="application/vnd.openxmlformats-officedocument.wordprocessingml.footer+xml"/>
  <Override PartName="/word/header3.xml" ContentType="application/vnd.openxmlformats-officedocument.wordprocessingml.header+xml"/>
  <Override PartName="/word/header1.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footer3.xml" ContentType="application/vnd.openxmlformats-officedocument.wordprocessingml.footer+xml"/>
  <Override PartName="/word/header2.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word/numbering.xml" ContentType="application/vnd.openxmlformats-officedocument.wordprocessingml.numbering+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docProps/custom.xml" ContentType="application/vnd.openxmlformats-officedocument.custom-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B10D4C" w:rsidR="00540DD5" w:rsidP="00B10D4C" w:rsidRDefault="00540DD5">
      <w:pPr>
        <w:rPr>
          <w:rFonts w:ascii="Times New Roman" w:hAnsi="Times New Roman" w:cs="Times New Roman"/>
        </w:rPr>
      </w:pPr>
    </w:p>
    <w:p w:rsidRPr="00B10D4C" w:rsidR="007A4070" w:rsidP="00B10D4C" w:rsidRDefault="007A4070"/>
    <w:p w:rsidRPr="00B10D4C" w:rsidR="007A4070" w:rsidP="00B10D4C" w:rsidRDefault="00540DD5">
      <w:pPr>
        <w:pStyle w:val="DecHCase"/>
      </w:pPr>
      <w:r w:rsidRPr="00B10D4C">
        <w:t>TROISIÈME SECTION</w:t>
      </w:r>
    </w:p>
    <w:p w:rsidRPr="00B10D4C" w:rsidR="007A4070" w:rsidP="00C95AD9" w:rsidRDefault="007A4070">
      <w:pPr>
        <w:pStyle w:val="JuTitle"/>
        <w:spacing w:before="1200"/>
      </w:pPr>
      <w:r w:rsidRPr="00B10D4C">
        <w:t xml:space="preserve">AFFAIRE </w:t>
      </w:r>
      <w:r w:rsidRPr="00B10D4C" w:rsidR="00540DD5">
        <w:t>JECKER c. SUISSE</w:t>
      </w:r>
    </w:p>
    <w:p w:rsidRPr="00B10D4C" w:rsidR="007A4070" w:rsidP="00B10D4C" w:rsidRDefault="007A4070">
      <w:pPr>
        <w:pStyle w:val="ECHRCoverTitle4"/>
      </w:pPr>
      <w:r w:rsidRPr="00B10D4C">
        <w:t>(</w:t>
      </w:r>
      <w:r w:rsidRPr="00B10D4C" w:rsidR="00540DD5">
        <w:t>Requête n</w:t>
      </w:r>
      <w:r w:rsidRPr="00B10D4C" w:rsidR="00540DD5">
        <w:rPr>
          <w:vertAlign w:val="superscript"/>
        </w:rPr>
        <w:t>o</w:t>
      </w:r>
      <w:r w:rsidRPr="00B10D4C">
        <w:t xml:space="preserve"> </w:t>
      </w:r>
      <w:r w:rsidRPr="00B10D4C" w:rsidR="00540DD5">
        <w:t>35449/14</w:t>
      </w:r>
      <w:r w:rsidRPr="00B10D4C">
        <w:t>)</w:t>
      </w:r>
    </w:p>
    <w:p w:rsidRPr="00B10D4C" w:rsidR="007A4070" w:rsidP="00B10D4C" w:rsidRDefault="007A4070">
      <w:pPr>
        <w:pStyle w:val="DecHCase"/>
      </w:pPr>
    </w:p>
    <w:p w:rsidRPr="00B10D4C" w:rsidR="007A4070" w:rsidP="00B10D4C" w:rsidRDefault="007A4070">
      <w:pPr>
        <w:pStyle w:val="DecHCase"/>
      </w:pPr>
    </w:p>
    <w:p w:rsidRPr="00B10D4C" w:rsidR="007A4070" w:rsidP="00B10D4C" w:rsidRDefault="007A4070">
      <w:pPr>
        <w:pStyle w:val="DecHCase"/>
      </w:pPr>
      <w:r w:rsidRPr="00B10D4C">
        <w:t>ARRÊT</w:t>
      </w:r>
      <w:r w:rsidRPr="00B10D4C">
        <w:br/>
      </w:r>
    </w:p>
    <w:p w:rsidRPr="00B10D4C" w:rsidR="00B10D4C" w:rsidP="00B10D4C" w:rsidRDefault="00B10D4C">
      <w:pPr>
        <w:pStyle w:val="JuPara"/>
        <w:pBdr>
          <w:top w:val="single" w:color="auto" w:sz="4" w:space="1"/>
          <w:left w:val="single" w:color="auto" w:sz="4" w:space="4"/>
          <w:bottom w:val="single" w:color="auto" w:sz="4" w:space="1"/>
          <w:right w:val="single" w:color="auto" w:sz="4" w:space="4"/>
        </w:pBdr>
        <w:ind w:firstLine="0"/>
      </w:pPr>
      <w:r w:rsidRPr="00B10D4C">
        <w:t xml:space="preserve">Art 10 • Liberté d’expression • Injonction de divulguer l’identité d’un revendeur de drogue, faite à une journaliste à la suite d’un reportage sur celui-ci et sans pesée des intérêts </w:t>
      </w:r>
      <w:r w:rsidRPr="00B10D4C">
        <w:rPr>
          <w:i/>
        </w:rPr>
        <w:t xml:space="preserve">in </w:t>
      </w:r>
      <w:proofErr w:type="spellStart"/>
      <w:r w:rsidRPr="00B10D4C">
        <w:rPr>
          <w:i/>
        </w:rPr>
        <w:t>concreto</w:t>
      </w:r>
      <w:proofErr w:type="spellEnd"/>
      <w:r w:rsidRPr="00B10D4C">
        <w:t xml:space="preserve"> • Éléments à prendre en considération pour établir la nécessité de divulguer l’identité d’une source journalistique • Existence d’un impératif prépondérant d’intérêt public non démontrée </w:t>
      </w:r>
      <w:r w:rsidRPr="00B10D4C">
        <w:rPr>
          <w:i/>
        </w:rPr>
        <w:t xml:space="preserve">in </w:t>
      </w:r>
      <w:proofErr w:type="spellStart"/>
      <w:r w:rsidRPr="00B10D4C">
        <w:rPr>
          <w:i/>
        </w:rPr>
        <w:t>casu</w:t>
      </w:r>
      <w:proofErr w:type="spellEnd"/>
    </w:p>
    <w:p w:rsidRPr="00B10D4C" w:rsidR="00B10D4C" w:rsidP="00B10D4C" w:rsidRDefault="00B10D4C">
      <w:pPr>
        <w:pStyle w:val="JuPara"/>
      </w:pPr>
    </w:p>
    <w:p w:rsidRPr="00B10D4C" w:rsidR="007A4070" w:rsidP="00B10D4C" w:rsidRDefault="007A4070">
      <w:pPr>
        <w:pStyle w:val="DecHCase"/>
      </w:pPr>
      <w:r w:rsidRPr="00B10D4C">
        <w:t>STRASBOURG</w:t>
      </w:r>
    </w:p>
    <w:p w:rsidRPr="00B10D4C" w:rsidR="007A4070" w:rsidP="00B10D4C" w:rsidRDefault="00540DD5">
      <w:pPr>
        <w:pStyle w:val="DecHCase"/>
      </w:pPr>
      <w:r w:rsidRPr="00B10D4C">
        <w:t>6 octobre 2020</w:t>
      </w:r>
    </w:p>
    <w:p w:rsidRPr="00B10D4C" w:rsidR="007A4070" w:rsidP="00C95AD9" w:rsidRDefault="007A4070">
      <w:pPr>
        <w:pStyle w:val="DecHCase"/>
        <w:spacing w:after="120"/>
      </w:pPr>
      <w:bookmarkStart w:name="_GoBack" w:id="0"/>
      <w:bookmarkEnd w:id="0"/>
    </w:p>
    <w:p w:rsidR="00C95AD9" w:rsidP="00C95AD9" w:rsidRDefault="00C95AD9">
      <w:pPr>
        <w:pStyle w:val="jucase0"/>
        <w:ind w:firstLine="0"/>
        <w:jc w:val="center"/>
        <w:rPr>
          <w:color w:val="FF0000"/>
          <w:sz w:val="28"/>
          <w:szCs w:val="28"/>
          <w:u w:val="single"/>
          <w:lang w:val="fr-FR"/>
        </w:rPr>
      </w:pPr>
      <w:bookmarkStart w:name="_Hlk59705989" w:id="1"/>
      <w:r w:rsidRPr="00261F46">
        <w:rPr>
          <w:color w:val="FF0000"/>
          <w:sz w:val="28"/>
          <w:szCs w:val="28"/>
          <w:u w:val="single"/>
          <w:lang w:val="fr-FR"/>
        </w:rPr>
        <w:t>DÉFINITIF</w:t>
      </w:r>
    </w:p>
    <w:p w:rsidRPr="006D760C" w:rsidR="00C95AD9" w:rsidP="00C95AD9" w:rsidRDefault="00C95AD9">
      <w:pPr>
        <w:pStyle w:val="jucase0"/>
        <w:ind w:firstLine="0"/>
        <w:jc w:val="center"/>
        <w:rPr>
          <w:b w:val="0"/>
          <w:bCs w:val="0"/>
          <w:color w:val="FF0000"/>
          <w:u w:val="single"/>
          <w:lang w:val="fr-FR"/>
        </w:rPr>
      </w:pPr>
    </w:p>
    <w:p w:rsidRPr="00E974D6" w:rsidR="00C95AD9" w:rsidP="00C95AD9" w:rsidRDefault="00C95AD9">
      <w:pPr>
        <w:pStyle w:val="jucase0"/>
        <w:ind w:firstLine="0"/>
        <w:jc w:val="center"/>
        <w:rPr>
          <w:b w:val="0"/>
          <w:color w:val="FF0000"/>
          <w:sz w:val="28"/>
          <w:szCs w:val="28"/>
          <w:lang w:val="fr-FR"/>
        </w:rPr>
      </w:pPr>
      <w:r>
        <w:rPr>
          <w:b w:val="0"/>
          <w:color w:val="FF0000"/>
          <w:sz w:val="28"/>
          <w:szCs w:val="28"/>
          <w:lang w:val="fr-FR"/>
        </w:rPr>
        <w:t>06/01/2021</w:t>
      </w:r>
    </w:p>
    <w:p w:rsidR="00C95AD9" w:rsidP="00C95AD9" w:rsidRDefault="00C95AD9">
      <w:pPr>
        <w:pStyle w:val="jupara0"/>
        <w:ind w:firstLine="0"/>
        <w:jc w:val="center"/>
        <w:rPr>
          <w:u w:val="single"/>
          <w:lang w:val="fr-FR"/>
        </w:rPr>
      </w:pPr>
    </w:p>
    <w:p w:rsidRPr="00261F46" w:rsidR="00C95AD9" w:rsidP="00C95AD9" w:rsidRDefault="00C95AD9">
      <w:pPr>
        <w:pStyle w:val="jupara0"/>
        <w:ind w:firstLine="0"/>
        <w:jc w:val="center"/>
        <w:rPr>
          <w:u w:val="single"/>
          <w:lang w:val="fr-FR"/>
        </w:rPr>
      </w:pPr>
    </w:p>
    <w:p w:rsidRPr="00B10D4C" w:rsidR="00660B5D" w:rsidP="00C95AD9" w:rsidRDefault="00C95AD9">
      <w:pPr>
        <w:rPr>
          <w:rFonts w:ascii="Times New Roman" w:hAnsi="Times New Roman" w:cs="Times New Roman"/>
          <w:sz w:val="22"/>
        </w:rPr>
      </w:pPr>
      <w:r w:rsidRPr="00261F46">
        <w:rPr>
          <w:i/>
          <w:iCs/>
          <w:sz w:val="22"/>
          <w:szCs w:val="22"/>
        </w:rPr>
        <w:t xml:space="preserve">Cet arrêt est devenu définitif en vertu de l’article 44 § 2 de la Convention. </w:t>
      </w:r>
      <w:r w:rsidRPr="00E361A6">
        <w:rPr>
          <w:i/>
          <w:iCs/>
          <w:sz w:val="22"/>
          <w:szCs w:val="22"/>
        </w:rPr>
        <w:t>Il peut subir des retouches de forme.</w:t>
      </w:r>
      <w:bookmarkEnd w:id="1"/>
    </w:p>
    <w:p w:rsidRPr="00B10D4C" w:rsidR="00B10D4C" w:rsidP="00B10D4C" w:rsidRDefault="00B10D4C">
      <w:pPr>
        <w:ind w:left="720"/>
        <w:rPr>
          <w:rFonts w:ascii="Times New Roman" w:hAnsi="Times New Roman" w:cs="Times New Roman"/>
          <w:sz w:val="22"/>
        </w:rPr>
        <w:sectPr w:rsidRPr="00B10D4C" w:rsidR="00B10D4C" w:rsidSect="00F912E4">
          <w:headerReference w:type="default" r:id="rId8"/>
          <w:footerReference w:type="even" r:id="rId9"/>
          <w:footerReference w:type="default" r:id="rId10"/>
          <w:footnotePr>
            <w:numRestart w:val="eachSect"/>
          </w:footnotePr>
          <w:endnotePr>
            <w:numFmt w:val="decimal"/>
          </w:endnotePr>
          <w:pgSz w:w="11906" w:h="16838" w:code="9"/>
          <w:pgMar w:top="2274" w:right="2274" w:bottom="2274" w:left="2274" w:header="1701" w:footer="720" w:gutter="0"/>
          <w:pgNumType w:start="1"/>
          <w:cols w:space="720"/>
          <w:noEndnote/>
        </w:sectPr>
      </w:pPr>
    </w:p>
    <w:p w:rsidRPr="00B10D4C" w:rsidR="004344E6" w:rsidP="00B10D4C" w:rsidRDefault="004344E6">
      <w:pPr>
        <w:pStyle w:val="JuCase"/>
      </w:pPr>
      <w:r w:rsidRPr="00B10D4C">
        <w:t>En l</w:t>
      </w:r>
      <w:r w:rsidRPr="00B10D4C" w:rsidR="00B10D4C">
        <w:t>’</w:t>
      </w:r>
      <w:r w:rsidRPr="00B10D4C">
        <w:t xml:space="preserve">affaire </w:t>
      </w:r>
      <w:r w:rsidRPr="00B10D4C" w:rsidR="00540DD5">
        <w:t>Jecker c. Suisse</w:t>
      </w:r>
      <w:r w:rsidRPr="00B10D4C">
        <w:t>,</w:t>
      </w:r>
    </w:p>
    <w:p w:rsidRPr="00B10D4C" w:rsidR="004344E6" w:rsidP="00B10D4C" w:rsidRDefault="004344E6">
      <w:pPr>
        <w:pStyle w:val="JuPara"/>
      </w:pPr>
      <w:r w:rsidRPr="00B10D4C">
        <w:t>La Cour européenne des droits de l</w:t>
      </w:r>
      <w:r w:rsidRPr="00B10D4C" w:rsidR="00B10D4C">
        <w:t>’</w:t>
      </w:r>
      <w:r w:rsidRPr="00B10D4C">
        <w:t>homme (</w:t>
      </w:r>
      <w:r w:rsidRPr="00B10D4C" w:rsidR="00540DD5">
        <w:t>troisième section</w:t>
      </w:r>
      <w:r w:rsidRPr="00B10D4C">
        <w:t xml:space="preserve">), siégeant en </w:t>
      </w:r>
      <w:r w:rsidRPr="00B10D4C" w:rsidR="00540DD5">
        <w:rPr>
          <w:color w:val="000000"/>
        </w:rPr>
        <w:t>une</w:t>
      </w:r>
      <w:r w:rsidRPr="00B10D4C" w:rsidR="00540DD5">
        <w:t xml:space="preserve"> Chambre composée</w:t>
      </w:r>
      <w:r w:rsidRPr="00B10D4C">
        <w:t xml:space="preserve"> de :</w:t>
      </w:r>
    </w:p>
    <w:p w:rsidRPr="00B10D4C" w:rsidR="004344E6" w:rsidP="00B10D4C" w:rsidRDefault="00A2288A">
      <w:pPr>
        <w:pStyle w:val="JuJudges"/>
      </w:pPr>
      <w:r w:rsidRPr="00B10D4C">
        <w:tab/>
        <w:t>Paul Lemmens,</w:t>
      </w:r>
      <w:r w:rsidRPr="00B10D4C">
        <w:rPr>
          <w:i/>
        </w:rPr>
        <w:t xml:space="preserve"> président,</w:t>
      </w:r>
      <w:r w:rsidRPr="00B10D4C">
        <w:rPr>
          <w:i/>
        </w:rPr>
        <w:br/>
      </w:r>
      <w:r w:rsidRPr="00B10D4C">
        <w:tab/>
      </w:r>
      <w:proofErr w:type="spellStart"/>
      <w:r w:rsidRPr="00B10D4C">
        <w:t>Georgios</w:t>
      </w:r>
      <w:proofErr w:type="spellEnd"/>
      <w:r w:rsidRPr="00B10D4C">
        <w:t xml:space="preserve"> A. </w:t>
      </w:r>
      <w:proofErr w:type="spellStart"/>
      <w:r w:rsidRPr="00B10D4C">
        <w:t>Serghides</w:t>
      </w:r>
      <w:proofErr w:type="spellEnd"/>
      <w:r w:rsidRPr="00B10D4C">
        <w:t>,</w:t>
      </w:r>
      <w:r w:rsidRPr="00B10D4C" w:rsidR="0066177B">
        <w:rPr>
          <w:i/>
        </w:rPr>
        <w:t xml:space="preserve"> </w:t>
      </w:r>
      <w:r w:rsidRPr="00B10D4C">
        <w:rPr>
          <w:i/>
        </w:rPr>
        <w:br/>
      </w:r>
      <w:r w:rsidRPr="00B10D4C">
        <w:tab/>
        <w:t>Helen Keller,</w:t>
      </w:r>
      <w:r w:rsidRPr="00B10D4C">
        <w:rPr>
          <w:i/>
        </w:rPr>
        <w:br/>
      </w:r>
      <w:r w:rsidRPr="00B10D4C">
        <w:tab/>
        <w:t xml:space="preserve">Alena </w:t>
      </w:r>
      <w:proofErr w:type="spellStart"/>
      <w:r w:rsidRPr="00B10D4C">
        <w:t>Poláčková</w:t>
      </w:r>
      <w:proofErr w:type="spellEnd"/>
      <w:r w:rsidRPr="00B10D4C">
        <w:t>,</w:t>
      </w:r>
      <w:r w:rsidRPr="00B10D4C">
        <w:rPr>
          <w:i/>
        </w:rPr>
        <w:br/>
      </w:r>
      <w:r w:rsidRPr="00B10D4C">
        <w:tab/>
        <w:t xml:space="preserve">Gilberto </w:t>
      </w:r>
      <w:proofErr w:type="spellStart"/>
      <w:r w:rsidRPr="00B10D4C">
        <w:t>Felici</w:t>
      </w:r>
      <w:proofErr w:type="spellEnd"/>
      <w:r w:rsidRPr="00B10D4C">
        <w:t>,</w:t>
      </w:r>
      <w:r w:rsidRPr="00B10D4C">
        <w:rPr>
          <w:i/>
        </w:rPr>
        <w:br/>
      </w:r>
      <w:r w:rsidRPr="00B10D4C">
        <w:tab/>
        <w:t xml:space="preserve">Erik </w:t>
      </w:r>
      <w:proofErr w:type="spellStart"/>
      <w:r w:rsidRPr="00B10D4C">
        <w:t>Wennerström</w:t>
      </w:r>
      <w:proofErr w:type="spellEnd"/>
      <w:r w:rsidRPr="00B10D4C">
        <w:t>,</w:t>
      </w:r>
      <w:r w:rsidRPr="00B10D4C">
        <w:rPr>
          <w:i/>
        </w:rPr>
        <w:br/>
      </w:r>
      <w:r w:rsidRPr="00B10D4C">
        <w:tab/>
        <w:t>Lorraine Schembri Orland,</w:t>
      </w:r>
      <w:r w:rsidRPr="00B10D4C">
        <w:rPr>
          <w:i/>
        </w:rPr>
        <w:t xml:space="preserve"> juges,</w:t>
      </w:r>
      <w:r w:rsidRPr="00B10D4C" w:rsidR="004344E6">
        <w:br/>
        <w:t xml:space="preserve">et de </w:t>
      </w:r>
      <w:r w:rsidRPr="00B10D4C" w:rsidR="00540DD5">
        <w:t xml:space="preserve">Milan </w:t>
      </w:r>
      <w:proofErr w:type="spellStart"/>
      <w:r w:rsidRPr="00B10D4C" w:rsidR="00540DD5">
        <w:t>Blaško</w:t>
      </w:r>
      <w:proofErr w:type="spellEnd"/>
      <w:r w:rsidRPr="00B10D4C" w:rsidR="004344E6">
        <w:t xml:space="preserve">, </w:t>
      </w:r>
      <w:r w:rsidRPr="00B10D4C" w:rsidR="00540DD5">
        <w:rPr>
          <w:i/>
        </w:rPr>
        <w:t>greffier</w:t>
      </w:r>
      <w:r w:rsidRPr="00B10D4C" w:rsidR="00540DD5">
        <w:rPr>
          <w:iCs/>
        </w:rPr>
        <w:t xml:space="preserve"> </w:t>
      </w:r>
      <w:r w:rsidRPr="00B10D4C" w:rsidR="00540DD5">
        <w:rPr>
          <w:i/>
          <w:iCs/>
        </w:rPr>
        <w:t>d</w:t>
      </w:r>
      <w:r w:rsidRPr="00B10D4C" w:rsidR="00540DD5">
        <w:rPr>
          <w:i/>
        </w:rPr>
        <w:t>e section</w:t>
      </w:r>
      <w:r w:rsidRPr="00B10D4C" w:rsidR="004344E6">
        <w:t>,</w:t>
      </w:r>
    </w:p>
    <w:p w:rsidRPr="00B10D4C" w:rsidR="00540DD5" w:rsidP="00B10D4C" w:rsidRDefault="00540DD5">
      <w:pPr>
        <w:pStyle w:val="JuPara"/>
      </w:pPr>
      <w:bookmarkStart w:name="ITMARKHavingStart" w:id="2"/>
      <w:bookmarkEnd w:id="2"/>
      <w:r w:rsidRPr="00B10D4C">
        <w:t>Vu :</w:t>
      </w:r>
    </w:p>
    <w:p w:rsidRPr="00B10D4C" w:rsidR="00540DD5" w:rsidP="00B10D4C" w:rsidRDefault="00540DD5">
      <w:pPr>
        <w:pStyle w:val="JuPara"/>
      </w:pPr>
      <w:proofErr w:type="gramStart"/>
      <w:r w:rsidRPr="00B10D4C">
        <w:t>la</w:t>
      </w:r>
      <w:proofErr w:type="gramEnd"/>
      <w:r w:rsidRPr="00B10D4C">
        <w:t xml:space="preserve"> requête (n</w:t>
      </w:r>
      <w:r w:rsidRPr="00B10D4C">
        <w:rPr>
          <w:vertAlign w:val="superscript"/>
        </w:rPr>
        <w:t>o</w:t>
      </w:r>
      <w:r w:rsidRPr="00B10D4C">
        <w:t> 35449/14) dirigée contre la Confédération suisse et dont une ressortissante de cet État, M</w:t>
      </w:r>
      <w:r w:rsidRPr="00B10D4C">
        <w:rPr>
          <w:vertAlign w:val="superscript"/>
        </w:rPr>
        <w:t>me</w:t>
      </w:r>
      <w:r w:rsidRPr="00B10D4C">
        <w:t xml:space="preserve"> Nina Jecker (« la requérante »), a </w:t>
      </w:r>
      <w:bookmarkStart w:name="_Hlk36124016" w:id="3"/>
      <w:r w:rsidRPr="00B10D4C">
        <w:t>saisi la Cour en vertu de l</w:t>
      </w:r>
      <w:r w:rsidRPr="00B10D4C" w:rsidR="00B10D4C">
        <w:t>’</w:t>
      </w:r>
      <w:r w:rsidRPr="00B10D4C">
        <w:t>article 34 de la Convention de sauvegarde des droits de l</w:t>
      </w:r>
      <w:r w:rsidRPr="00B10D4C" w:rsidR="00B10D4C">
        <w:t>’</w:t>
      </w:r>
      <w:r w:rsidRPr="00B10D4C">
        <w:t>homme et des libertés fondamentales (« la Convention »)</w:t>
      </w:r>
      <w:bookmarkEnd w:id="3"/>
      <w:r w:rsidRPr="00B10D4C">
        <w:t xml:space="preserve"> le 9 mai 2014,</w:t>
      </w:r>
    </w:p>
    <w:p w:rsidRPr="00B10D4C" w:rsidR="00540DD5" w:rsidP="00B10D4C" w:rsidRDefault="00540DD5">
      <w:pPr>
        <w:pStyle w:val="JuPara"/>
      </w:pPr>
      <w:proofErr w:type="gramStart"/>
      <w:r w:rsidRPr="00B10D4C">
        <w:t>la</w:t>
      </w:r>
      <w:proofErr w:type="gramEnd"/>
      <w:r w:rsidRPr="00B10D4C">
        <w:t xml:space="preserve"> décision de porter la requête à la connaissance du gouvernement suisse,</w:t>
      </w:r>
    </w:p>
    <w:p w:rsidRPr="00B10D4C" w:rsidR="00540DD5" w:rsidP="00B10D4C" w:rsidRDefault="00540DD5">
      <w:pPr>
        <w:pStyle w:val="JuPara"/>
      </w:pPr>
      <w:proofErr w:type="gramStart"/>
      <w:r w:rsidRPr="00B10D4C">
        <w:t>les</w:t>
      </w:r>
      <w:proofErr w:type="gramEnd"/>
      <w:r w:rsidRPr="00B10D4C">
        <w:t xml:space="preserve"> observations des parties,</w:t>
      </w:r>
    </w:p>
    <w:p w:rsidRPr="00B10D4C" w:rsidR="004344E6" w:rsidP="00B10D4C" w:rsidRDefault="004344E6">
      <w:pPr>
        <w:pStyle w:val="JuPara"/>
      </w:pPr>
      <w:r w:rsidRPr="00B10D4C">
        <w:t xml:space="preserve">Après en avoir délibéré en chambre du conseil le </w:t>
      </w:r>
      <w:r w:rsidRPr="00B10D4C" w:rsidR="00540DD5">
        <w:t>8 septembre 2020</w:t>
      </w:r>
      <w:r w:rsidRPr="00B10D4C">
        <w:t>,</w:t>
      </w:r>
    </w:p>
    <w:p w:rsidRPr="00B10D4C" w:rsidR="00876F03" w:rsidP="00B10D4C" w:rsidRDefault="004344E6">
      <w:pPr>
        <w:pStyle w:val="JuPara"/>
      </w:pPr>
      <w:r w:rsidRPr="00B10D4C">
        <w:t>Rend l</w:t>
      </w:r>
      <w:r w:rsidRPr="00B10D4C" w:rsidR="00B10D4C">
        <w:t>’</w:t>
      </w:r>
      <w:r w:rsidRPr="00B10D4C">
        <w:t>arrêt que voici</w:t>
      </w:r>
      <w:r w:rsidRPr="00B10D4C" w:rsidR="00876F03">
        <w:t>, adopté à cette date :</w:t>
      </w:r>
    </w:p>
    <w:p w:rsidRPr="00B10D4C" w:rsidR="00540DD5" w:rsidP="00B10D4C" w:rsidRDefault="00540DD5">
      <w:pPr>
        <w:pStyle w:val="JuHHead"/>
        <w:numPr>
          <w:ilvl w:val="0"/>
          <w:numId w:val="1"/>
        </w:numPr>
        <w:jc w:val="both"/>
      </w:pPr>
      <w:r w:rsidRPr="00B10D4C">
        <w:t>INTRODUCTION</w:t>
      </w:r>
    </w:p>
    <w:p w:rsidRPr="00B10D4C" w:rsidR="00540DD5" w:rsidP="00B10D4C" w:rsidRDefault="00540DD5">
      <w:pPr>
        <w:pStyle w:val="JuPara"/>
      </w:pPr>
      <w:r w:rsidRPr="00B10D4C">
        <w:fldChar w:fldCharType="begin"/>
      </w:r>
      <w:r w:rsidRPr="00B10D4C">
        <w:instrText xml:space="preserve"> SEQ level0 \*arabic </w:instrText>
      </w:r>
      <w:r w:rsidRPr="00B10D4C">
        <w:fldChar w:fldCharType="separate"/>
      </w:r>
      <w:r w:rsidRPr="00B10D4C" w:rsidR="00B10D4C">
        <w:rPr>
          <w:noProof/>
        </w:rPr>
        <w:t>1</w:t>
      </w:r>
      <w:r w:rsidRPr="00B10D4C">
        <w:fldChar w:fldCharType="end"/>
      </w:r>
      <w:r w:rsidRPr="00B10D4C">
        <w:t>.  La présente affaire porte sur la question de savoir si l</w:t>
      </w:r>
      <w:r w:rsidRPr="00B10D4C" w:rsidR="00B10D4C">
        <w:t>’</w:t>
      </w:r>
      <w:r w:rsidRPr="00B10D4C">
        <w:t>obligation faite à la requérante, journaliste de profession, de témoigner dans le cadre d</w:t>
      </w:r>
      <w:r w:rsidRPr="00B10D4C" w:rsidR="00B10D4C">
        <w:t>’</w:t>
      </w:r>
      <w:r w:rsidRPr="00B10D4C">
        <w:t>une enquête pénale s</w:t>
      </w:r>
      <w:r w:rsidRPr="00B10D4C" w:rsidR="00B10D4C">
        <w:t>’</w:t>
      </w:r>
      <w:r w:rsidRPr="00B10D4C">
        <w:t>analyse en une ingérence injustifiée dans l</w:t>
      </w:r>
      <w:r w:rsidRPr="00B10D4C" w:rsidR="00B10D4C">
        <w:t>’</w:t>
      </w:r>
      <w:r w:rsidRPr="00B10D4C">
        <w:t>exercice par elle du droit de ne pas être obligée de révéler ses sources journalistiques, protégé par l</w:t>
      </w:r>
      <w:r w:rsidRPr="00B10D4C" w:rsidR="00B10D4C">
        <w:t>’</w:t>
      </w:r>
      <w:r w:rsidRPr="00B10D4C">
        <w:t>article 10 de la Convention.</w:t>
      </w:r>
    </w:p>
    <w:p w:rsidRPr="00B10D4C" w:rsidR="00540DD5" w:rsidP="00B10D4C" w:rsidRDefault="00540DD5">
      <w:pPr>
        <w:pStyle w:val="JuHHead"/>
        <w:numPr>
          <w:ilvl w:val="0"/>
          <w:numId w:val="1"/>
        </w:numPr>
        <w:jc w:val="both"/>
      </w:pPr>
      <w:bookmarkStart w:name="_Hlk36126677" w:id="4"/>
      <w:r w:rsidRPr="00B10D4C">
        <w:t>EN FAIT</w:t>
      </w:r>
    </w:p>
    <w:bookmarkEnd w:id="4"/>
    <w:p w:rsidRPr="00B10D4C" w:rsidR="00540DD5" w:rsidP="00B10D4C" w:rsidRDefault="00540DD5">
      <w:pPr>
        <w:pStyle w:val="JuPara"/>
      </w:pPr>
      <w:r w:rsidRPr="00B10D4C">
        <w:fldChar w:fldCharType="begin"/>
      </w:r>
      <w:r w:rsidRPr="00B10D4C">
        <w:instrText xml:space="preserve"> SEQ level0 \*arabic </w:instrText>
      </w:r>
      <w:r w:rsidRPr="00B10D4C">
        <w:fldChar w:fldCharType="separate"/>
      </w:r>
      <w:r w:rsidRPr="00B10D4C" w:rsidR="00B10D4C">
        <w:rPr>
          <w:noProof/>
        </w:rPr>
        <w:t>2</w:t>
      </w:r>
      <w:r w:rsidRPr="00B10D4C">
        <w:fldChar w:fldCharType="end"/>
      </w:r>
      <w:r w:rsidRPr="00B10D4C">
        <w:t>.  La requérante est née en 1981 et réside à Bâle. Elle a été représentée par M</w:t>
      </w:r>
      <w:r w:rsidRPr="00B10D4C">
        <w:rPr>
          <w:vertAlign w:val="superscript"/>
        </w:rPr>
        <w:t>e</w:t>
      </w:r>
      <w:r w:rsidRPr="00B10D4C">
        <w:t xml:space="preserve"> N. </w:t>
      </w:r>
      <w:proofErr w:type="spellStart"/>
      <w:r w:rsidRPr="00B10D4C">
        <w:t>Dressler</w:t>
      </w:r>
      <w:proofErr w:type="spellEnd"/>
      <w:r w:rsidRPr="00B10D4C">
        <w:t>, avocat à Binningen.</w:t>
      </w:r>
    </w:p>
    <w:p w:rsidRPr="00B10D4C" w:rsidR="00540DD5" w:rsidP="00B10D4C" w:rsidRDefault="00540DD5">
      <w:pPr>
        <w:pStyle w:val="JuPara"/>
      </w:pPr>
      <w:r w:rsidRPr="00B10D4C">
        <w:fldChar w:fldCharType="begin"/>
      </w:r>
      <w:r w:rsidRPr="00B10D4C">
        <w:instrText xml:space="preserve"> SEQ level0 \*arabic </w:instrText>
      </w:r>
      <w:r w:rsidRPr="00B10D4C">
        <w:fldChar w:fldCharType="separate"/>
      </w:r>
      <w:r w:rsidRPr="00B10D4C" w:rsidR="00B10D4C">
        <w:rPr>
          <w:noProof/>
        </w:rPr>
        <w:t>3</w:t>
      </w:r>
      <w:r w:rsidRPr="00B10D4C">
        <w:fldChar w:fldCharType="end"/>
      </w:r>
      <w:r w:rsidRPr="00B10D4C">
        <w:t>.  </w:t>
      </w:r>
      <w:bookmarkStart w:name="_Hlk36127123" w:id="5"/>
      <w:r w:rsidRPr="00B10D4C">
        <w:t>Le Gouvernement a été représenté par son agent, M. A. Chablais, de l</w:t>
      </w:r>
      <w:r w:rsidRPr="00B10D4C" w:rsidR="00B10D4C">
        <w:t>’</w:t>
      </w:r>
      <w:r w:rsidRPr="00B10D4C">
        <w:t>Office fédéral de la justice.</w:t>
      </w:r>
    </w:p>
    <w:bookmarkEnd w:id="5"/>
    <w:p w:rsidRPr="00B10D4C" w:rsidR="00540DD5" w:rsidP="00B10D4C" w:rsidRDefault="00540DD5">
      <w:pPr>
        <w:pStyle w:val="JuPara"/>
      </w:pPr>
      <w:r w:rsidRPr="00B10D4C">
        <w:fldChar w:fldCharType="begin"/>
      </w:r>
      <w:r w:rsidRPr="00B10D4C">
        <w:instrText xml:space="preserve"> SEQ level0 \*arabic </w:instrText>
      </w:r>
      <w:r w:rsidRPr="00B10D4C">
        <w:fldChar w:fldCharType="separate"/>
      </w:r>
      <w:r w:rsidRPr="00B10D4C" w:rsidR="00B10D4C">
        <w:rPr>
          <w:noProof/>
        </w:rPr>
        <w:t>4</w:t>
      </w:r>
      <w:r w:rsidRPr="00B10D4C">
        <w:fldChar w:fldCharType="end"/>
      </w:r>
      <w:r w:rsidRPr="00B10D4C">
        <w:t>.  Le 9 octobre 2012, la requérante, journaliste de profession, publia dans le quotidien régional « </w:t>
      </w:r>
      <w:proofErr w:type="spellStart"/>
      <w:r w:rsidRPr="00B10D4C">
        <w:t>Basler</w:t>
      </w:r>
      <w:proofErr w:type="spellEnd"/>
      <w:r w:rsidRPr="00B10D4C">
        <w:t xml:space="preserve"> Zeitung » un article portant sur un revendeur de drogue qu</w:t>
      </w:r>
      <w:r w:rsidRPr="00B10D4C" w:rsidR="00B10D4C">
        <w:t>’</w:t>
      </w:r>
      <w:r w:rsidRPr="00B10D4C">
        <w:t>elle avait visité dans son appartement, intitulé « </w:t>
      </w:r>
      <w:proofErr w:type="spellStart"/>
      <w:r w:rsidRPr="00B10D4C">
        <w:t>Zu</w:t>
      </w:r>
      <w:proofErr w:type="spellEnd"/>
      <w:r w:rsidRPr="00B10D4C">
        <w:t xml:space="preserve"> </w:t>
      </w:r>
      <w:r w:rsidRPr="00B10D4C" w:rsidR="00A2288A">
        <w:t> </w:t>
      </w:r>
      <w:proofErr w:type="spellStart"/>
      <w:r w:rsidRPr="00B10D4C">
        <w:t>Besuch</w:t>
      </w:r>
      <w:proofErr w:type="spellEnd"/>
      <w:r w:rsidRPr="00B10D4C">
        <w:t xml:space="preserve"> </w:t>
      </w:r>
      <w:proofErr w:type="spellStart"/>
      <w:r w:rsidRPr="00B10D4C">
        <w:t>bei</w:t>
      </w:r>
      <w:proofErr w:type="spellEnd"/>
      <w:r w:rsidRPr="00B10D4C">
        <w:t xml:space="preserve"> </w:t>
      </w:r>
      <w:proofErr w:type="spellStart"/>
      <w:r w:rsidRPr="00B10D4C">
        <w:t>einem</w:t>
      </w:r>
      <w:proofErr w:type="spellEnd"/>
      <w:r w:rsidRPr="00B10D4C">
        <w:t xml:space="preserve"> Dealer ». Elle y a décrit la personne du revendeur, indiqua qu</w:t>
      </w:r>
      <w:r w:rsidRPr="00B10D4C" w:rsidR="00B10D4C">
        <w:t>’</w:t>
      </w:r>
      <w:r w:rsidRPr="00B10D4C">
        <w:t>il faisait depuis dix ans du commerce de cannabis et de haschich provenant essentiellement des Pays-Bas, qu</w:t>
      </w:r>
      <w:r w:rsidRPr="00B10D4C" w:rsidR="00B10D4C">
        <w:t>’</w:t>
      </w:r>
      <w:r w:rsidRPr="00B10D4C">
        <w:t>il en vendait plusieurs sortes à des consommateurs qu</w:t>
      </w:r>
      <w:r w:rsidRPr="00B10D4C" w:rsidR="00B10D4C">
        <w:t>’</w:t>
      </w:r>
      <w:r w:rsidRPr="00B10D4C">
        <w:t>il connaissait et qui parfois en achetaient afin d</w:t>
      </w:r>
      <w:r w:rsidRPr="00B10D4C" w:rsidR="00B10D4C">
        <w:t>’</w:t>
      </w:r>
      <w:r w:rsidRPr="00B10D4C">
        <w:t>en remettre à leurs connaissances, et qu</w:t>
      </w:r>
      <w:r w:rsidRPr="00B10D4C" w:rsidR="00B10D4C">
        <w:t>’</w:t>
      </w:r>
      <w:r w:rsidRPr="00B10D4C">
        <w:t>il atteignait ainsi un bénéfice annuel de 12 000 CHF. Elle mentionna également que pendant sa visite qui a duré environ une heure, trois personnes s</w:t>
      </w:r>
      <w:r w:rsidRPr="00B10D4C" w:rsidR="00B10D4C">
        <w:t>’</w:t>
      </w:r>
      <w:r w:rsidRPr="00B10D4C">
        <w:t>étaient rendues dans l</w:t>
      </w:r>
      <w:r w:rsidRPr="00B10D4C" w:rsidR="00B10D4C">
        <w:t>’</w:t>
      </w:r>
      <w:r w:rsidRPr="00B10D4C">
        <w:t>appartement du revendeur afin de lui acheter de la drogue.</w:t>
      </w:r>
    </w:p>
    <w:p w:rsidRPr="00B10D4C" w:rsidR="00540DD5" w:rsidP="00B10D4C" w:rsidRDefault="00540DD5">
      <w:pPr>
        <w:pStyle w:val="JuPara"/>
      </w:pPr>
      <w:r w:rsidRPr="00B10D4C">
        <w:fldChar w:fldCharType="begin"/>
      </w:r>
      <w:r w:rsidRPr="00B10D4C">
        <w:instrText xml:space="preserve"> SEQ level0 \*arabic </w:instrText>
      </w:r>
      <w:r w:rsidRPr="00B10D4C">
        <w:fldChar w:fldCharType="separate"/>
      </w:r>
      <w:r w:rsidRPr="00B10D4C" w:rsidR="00B10D4C">
        <w:rPr>
          <w:noProof/>
        </w:rPr>
        <w:t>5</w:t>
      </w:r>
      <w:r w:rsidRPr="00B10D4C">
        <w:fldChar w:fldCharType="end"/>
      </w:r>
      <w:r w:rsidRPr="00B10D4C">
        <w:t xml:space="preserve">.  Le ministère public du canton de </w:t>
      </w:r>
      <w:proofErr w:type="spellStart"/>
      <w:r w:rsidRPr="00B10D4C">
        <w:t>Bâle-ville</w:t>
      </w:r>
      <w:proofErr w:type="spellEnd"/>
      <w:r w:rsidRPr="00B10D4C">
        <w:t xml:space="preserve"> ouvrit une enquête contre inconnu pour une infraction qualifiée à la loi sur les stupéfiants (ci-après « </w:t>
      </w:r>
      <w:proofErr w:type="spellStart"/>
      <w:r w:rsidRPr="00B10D4C">
        <w:t>LStup</w:t>
      </w:r>
      <w:proofErr w:type="spellEnd"/>
      <w:r w:rsidRPr="00B10D4C">
        <w:t> »). La requérante invoqua son droit de refus de témoigner et ne fit aucune déclaration.</w:t>
      </w:r>
    </w:p>
    <w:p w:rsidRPr="00B10D4C" w:rsidR="00540DD5" w:rsidP="00B10D4C" w:rsidRDefault="00540DD5">
      <w:pPr>
        <w:pStyle w:val="JuPara"/>
      </w:pPr>
      <w:r w:rsidRPr="00B10D4C">
        <w:fldChar w:fldCharType="begin"/>
      </w:r>
      <w:r w:rsidRPr="00B10D4C">
        <w:instrText xml:space="preserve"> SEQ level0 \*arabic </w:instrText>
      </w:r>
      <w:r w:rsidRPr="00B10D4C">
        <w:fldChar w:fldCharType="separate"/>
      </w:r>
      <w:r w:rsidRPr="00B10D4C" w:rsidR="00B10D4C">
        <w:rPr>
          <w:noProof/>
        </w:rPr>
        <w:t>6</w:t>
      </w:r>
      <w:r w:rsidRPr="00B10D4C">
        <w:fldChar w:fldCharType="end"/>
      </w:r>
      <w:r w:rsidRPr="00B10D4C">
        <w:t>.  Le 12 octobre 2012, le ministère public décida que la requérante ne pouvait pas se réclamer d</w:t>
      </w:r>
      <w:r w:rsidRPr="00B10D4C" w:rsidR="00B10D4C">
        <w:t>’</w:t>
      </w:r>
      <w:r w:rsidRPr="00B10D4C">
        <w:t>un tel droit dans le cadre de la procédure litigieuse.</w:t>
      </w:r>
    </w:p>
    <w:p w:rsidRPr="00B10D4C" w:rsidR="00540DD5" w:rsidP="00B10D4C" w:rsidRDefault="00540DD5">
      <w:pPr>
        <w:pStyle w:val="JuPara"/>
      </w:pPr>
      <w:r w:rsidRPr="00B10D4C">
        <w:fldChar w:fldCharType="begin"/>
      </w:r>
      <w:r w:rsidRPr="00B10D4C">
        <w:instrText xml:space="preserve"> SEQ level0 \*arabic </w:instrText>
      </w:r>
      <w:r w:rsidRPr="00B10D4C">
        <w:fldChar w:fldCharType="separate"/>
      </w:r>
      <w:r w:rsidRPr="00B10D4C" w:rsidR="00B10D4C">
        <w:rPr>
          <w:noProof/>
        </w:rPr>
        <w:t>7</w:t>
      </w:r>
      <w:r w:rsidRPr="00B10D4C">
        <w:fldChar w:fldCharType="end"/>
      </w:r>
      <w:r w:rsidRPr="00B10D4C">
        <w:t xml:space="preserve">.  Le 24 juin 2013, le tribunal cantonal du canton de </w:t>
      </w:r>
      <w:proofErr w:type="spellStart"/>
      <w:r w:rsidRPr="00B10D4C">
        <w:t>Bâle-ville</w:t>
      </w:r>
      <w:proofErr w:type="spellEnd"/>
      <w:r w:rsidRPr="00B10D4C">
        <w:t xml:space="preserve"> accepta le recours de la requérante, considérant que l</w:t>
      </w:r>
      <w:r w:rsidRPr="00B10D4C" w:rsidR="00B10D4C">
        <w:t>’</w:t>
      </w:r>
      <w:r w:rsidRPr="00B10D4C">
        <w:t>intérêt à l</w:t>
      </w:r>
      <w:r w:rsidRPr="00B10D4C" w:rsidR="00B10D4C">
        <w:t>’</w:t>
      </w:r>
      <w:r w:rsidRPr="00B10D4C">
        <w:t>élucidation de l</w:t>
      </w:r>
      <w:r w:rsidRPr="00B10D4C" w:rsidR="00B10D4C">
        <w:t>’</w:t>
      </w:r>
      <w:r w:rsidRPr="00B10D4C">
        <w:t>infraction ne l</w:t>
      </w:r>
      <w:r w:rsidRPr="00B10D4C" w:rsidR="00B10D4C">
        <w:t>’</w:t>
      </w:r>
      <w:r w:rsidRPr="00B10D4C">
        <w:t>emportait pas sur le droit de la requérante de protéger ses sources.</w:t>
      </w:r>
    </w:p>
    <w:bookmarkStart w:name="para7" w:id="6"/>
    <w:p w:rsidRPr="00B10D4C" w:rsidR="00540DD5" w:rsidP="00B10D4C" w:rsidRDefault="00540DD5">
      <w:pPr>
        <w:pStyle w:val="JuPara"/>
      </w:pPr>
      <w:r w:rsidRPr="00B10D4C">
        <w:fldChar w:fldCharType="begin"/>
      </w:r>
      <w:r w:rsidRPr="00B10D4C">
        <w:instrText xml:space="preserve"> SEQ level0 \*arabic </w:instrText>
      </w:r>
      <w:r w:rsidRPr="00B10D4C">
        <w:fldChar w:fldCharType="separate"/>
      </w:r>
      <w:r w:rsidRPr="00B10D4C" w:rsidR="00B10D4C">
        <w:rPr>
          <w:noProof/>
        </w:rPr>
        <w:t>8</w:t>
      </w:r>
      <w:r w:rsidRPr="00B10D4C">
        <w:fldChar w:fldCharType="end"/>
      </w:r>
      <w:bookmarkEnd w:id="6"/>
      <w:r w:rsidRPr="00B10D4C">
        <w:t>.  Par un arrêt du 31 janvier 2014 (no. 1B_293/2013), le Tribunal fédéral accepta le recours du ministère public et indiqua que la requérante ne pouvait pas se prévaloir du droit de refus de témoigner. Le tribunal considéra notamment que la limitation de la protection des sources que constituait cette mesure reposait sur une base légale ; que le commerce de drogues douces, comme le haschich, s</w:t>
      </w:r>
      <w:r w:rsidRPr="00B10D4C" w:rsidR="00B10D4C">
        <w:t>’</w:t>
      </w:r>
      <w:r w:rsidRPr="00B10D4C">
        <w:t>assimilait à une infraction qualifiée au sens de l</w:t>
      </w:r>
      <w:r w:rsidRPr="00B10D4C" w:rsidR="00B10D4C">
        <w:t>’</w:t>
      </w:r>
      <w:r w:rsidRPr="00B10D4C">
        <w:t xml:space="preserve">article 19 al. 2 c) de la </w:t>
      </w:r>
      <w:proofErr w:type="spellStart"/>
      <w:r w:rsidRPr="00B10D4C">
        <w:t>LStup</w:t>
      </w:r>
      <w:proofErr w:type="spellEnd"/>
      <w:r w:rsidRPr="00B10D4C">
        <w:t xml:space="preserve"> (paragraphe </w:t>
      </w:r>
      <w:r w:rsidRPr="00B10D4C">
        <w:fldChar w:fldCharType="begin"/>
      </w:r>
      <w:r w:rsidRPr="00B10D4C">
        <w:instrText xml:space="preserve"> REF para10 \h </w:instrText>
      </w:r>
      <w:r w:rsidRPr="00B10D4C">
        <w:fldChar w:fldCharType="separate"/>
      </w:r>
      <w:r w:rsidRPr="00B10D4C" w:rsidR="00B10D4C">
        <w:rPr>
          <w:rFonts w:eastAsia="Times New Roman"/>
          <w:noProof/>
          <w:lang w:eastAsia="fr-FR"/>
        </w:rPr>
        <w:t>11</w:t>
      </w:r>
      <w:r w:rsidRPr="00B10D4C">
        <w:fldChar w:fldCharType="end"/>
      </w:r>
      <w:r w:rsidRPr="00B10D4C">
        <w:t xml:space="preserve"> ci-dessous) lorsque l</w:t>
      </w:r>
      <w:r w:rsidRPr="00B10D4C" w:rsidR="00B10D4C">
        <w:t>’</w:t>
      </w:r>
      <w:r w:rsidRPr="00B10D4C">
        <w:t>auteur de l</w:t>
      </w:r>
      <w:r w:rsidRPr="00B10D4C" w:rsidR="00B10D4C">
        <w:t>’</w:t>
      </w:r>
      <w:r w:rsidRPr="00B10D4C">
        <w:t>infraction se livrait au trafic par métier et réalisait ainsi un chiffre d</w:t>
      </w:r>
      <w:r w:rsidRPr="00B10D4C" w:rsidR="00B10D4C">
        <w:t>’</w:t>
      </w:r>
      <w:r w:rsidRPr="00B10D4C">
        <w:t>affaires ou un gain important, condition remplie en l</w:t>
      </w:r>
      <w:r w:rsidRPr="00B10D4C" w:rsidR="00B10D4C">
        <w:t>’</w:t>
      </w:r>
      <w:r w:rsidRPr="00B10D4C">
        <w:t>espèce avec un gain annuel de 12 000 CHF ; que le législateur avait décidé, s</w:t>
      </w:r>
      <w:r w:rsidRPr="00B10D4C" w:rsidR="00B10D4C">
        <w:t>’</w:t>
      </w:r>
      <w:r w:rsidRPr="00B10D4C">
        <w:t>agissant d</w:t>
      </w:r>
      <w:r w:rsidRPr="00B10D4C" w:rsidR="00B10D4C">
        <w:t>’</w:t>
      </w:r>
      <w:r w:rsidRPr="00B10D4C">
        <w:t>une telle infraction, que l</w:t>
      </w:r>
      <w:r w:rsidRPr="00B10D4C" w:rsidR="00B10D4C">
        <w:t>’</w:t>
      </w:r>
      <w:r w:rsidRPr="00B10D4C">
        <w:t>intérêt public aux poursuites pénales l</w:t>
      </w:r>
      <w:r w:rsidRPr="00B10D4C" w:rsidR="00B10D4C">
        <w:t>’</w:t>
      </w:r>
      <w:r w:rsidRPr="00B10D4C">
        <w:t>emportait en règle générale sur l</w:t>
      </w:r>
      <w:r w:rsidRPr="00B10D4C" w:rsidR="00B10D4C">
        <w:t>’</w:t>
      </w:r>
      <w:r w:rsidRPr="00B10D4C">
        <w:t>intérêt à la protection du secret des sources (voir l</w:t>
      </w:r>
      <w:r w:rsidRPr="00B10D4C" w:rsidR="00B10D4C">
        <w:t>’</w:t>
      </w:r>
      <w:r w:rsidRPr="00B10D4C">
        <w:t xml:space="preserve">article 28a al. 2 du Code pénal, cité au paragraphe </w:t>
      </w:r>
      <w:r w:rsidRPr="00B10D4C">
        <w:fldChar w:fldCharType="begin"/>
      </w:r>
      <w:r w:rsidRPr="00B10D4C">
        <w:instrText xml:space="preserve"> REF para8 \h </w:instrText>
      </w:r>
      <w:r w:rsidRPr="00B10D4C">
        <w:fldChar w:fldCharType="separate"/>
      </w:r>
      <w:r w:rsidRPr="00B10D4C" w:rsidR="00B10D4C">
        <w:rPr>
          <w:noProof/>
        </w:rPr>
        <w:t>9</w:t>
      </w:r>
      <w:r w:rsidRPr="00B10D4C">
        <w:fldChar w:fldCharType="end"/>
      </w:r>
      <w:r w:rsidRPr="00B10D4C">
        <w:t xml:space="preserve"> </w:t>
      </w:r>
      <w:r w:rsidRPr="00B10D4C" w:rsidR="00A2288A">
        <w:t>ci</w:t>
      </w:r>
      <w:r w:rsidRPr="00B10D4C" w:rsidR="00A2288A">
        <w:noBreakHyphen/>
        <w:t> </w:t>
      </w:r>
      <w:r w:rsidRPr="00B10D4C">
        <w:t>dessous) ; que la déposition de la requérante était le seul moyen prometteur dans l</w:t>
      </w:r>
      <w:r w:rsidRPr="00B10D4C" w:rsidR="00B10D4C">
        <w:t>’</w:t>
      </w:r>
      <w:r w:rsidRPr="00B10D4C">
        <w:t>optique de l</w:t>
      </w:r>
      <w:r w:rsidRPr="00B10D4C" w:rsidR="00B10D4C">
        <w:t>’</w:t>
      </w:r>
      <w:r w:rsidRPr="00B10D4C">
        <w:t>identification de l</w:t>
      </w:r>
      <w:r w:rsidRPr="00B10D4C" w:rsidR="00B10D4C">
        <w:t>’</w:t>
      </w:r>
      <w:r w:rsidRPr="00B10D4C">
        <w:t>auteur de l</w:t>
      </w:r>
      <w:r w:rsidRPr="00B10D4C" w:rsidR="00B10D4C">
        <w:t>’</w:t>
      </w:r>
      <w:r w:rsidRPr="00B10D4C">
        <w:t>infraction ; que l</w:t>
      </w:r>
      <w:r w:rsidRPr="00B10D4C" w:rsidR="00B10D4C">
        <w:t>’</w:t>
      </w:r>
      <w:r w:rsidRPr="00B10D4C">
        <w:t>infraction était comparativement moins importante parmi celles contenues dans le catalogue prévoyant une dérogation à la protection des sources ; qu</w:t>
      </w:r>
      <w:r w:rsidRPr="00B10D4C" w:rsidR="00B10D4C">
        <w:t>’</w:t>
      </w:r>
      <w:r w:rsidRPr="00B10D4C">
        <w:t>un soupçon justifiant l</w:t>
      </w:r>
      <w:r w:rsidRPr="00B10D4C" w:rsidR="00B10D4C">
        <w:t>’</w:t>
      </w:r>
      <w:r w:rsidRPr="00B10D4C">
        <w:t>ouverture d</w:t>
      </w:r>
      <w:r w:rsidRPr="00B10D4C" w:rsidR="00B10D4C">
        <w:t>’</w:t>
      </w:r>
      <w:r w:rsidRPr="00B10D4C">
        <w:t>une procédure pénale existait ; qu</w:t>
      </w:r>
      <w:r w:rsidRPr="00B10D4C" w:rsidR="00B10D4C">
        <w:t>’</w:t>
      </w:r>
      <w:r w:rsidRPr="00B10D4C">
        <w:t>il ne pouvait pas être prévu à l</w:t>
      </w:r>
      <w:r w:rsidRPr="00B10D4C" w:rsidR="00B10D4C">
        <w:t>’</w:t>
      </w:r>
      <w:r w:rsidRPr="00B10D4C">
        <w:t>avance s</w:t>
      </w:r>
      <w:r w:rsidRPr="00B10D4C" w:rsidR="00B10D4C">
        <w:t>’</w:t>
      </w:r>
      <w:r w:rsidRPr="00B10D4C">
        <w:t>il se confirmerait complètement ou seulement en partie ; que le cas s</w:t>
      </w:r>
      <w:r w:rsidRPr="00B10D4C" w:rsidR="00B10D4C">
        <w:t>’</w:t>
      </w:r>
      <w:r w:rsidRPr="00B10D4C">
        <w:t>avérait important en raison du gain annuel de 12 000 CHF durant dix ans, des déclarations du revendeur sur son appartenance à une grosse organisation de vente, ainsi que du fait que plusieurs clients s</w:t>
      </w:r>
      <w:r w:rsidRPr="00B10D4C" w:rsidR="00B10D4C">
        <w:t>’</w:t>
      </w:r>
      <w:r w:rsidRPr="00B10D4C">
        <w:t xml:space="preserve">étaient rendus auprès de lui durant la visite de la requérante ; que la requérante avait traité le sujet de manière relativement neutre, sans </w:t>
      </w:r>
      <w:r w:rsidRPr="00B10D4C">
        <w:rPr>
          <w:rFonts w:cstheme="minorHAnsi"/>
        </w:rPr>
        <w:t>avoir formulé de commentaires critiques,</w:t>
      </w:r>
      <w:r w:rsidRPr="00B10D4C">
        <w:rPr>
          <w:rFonts w:cstheme="minorHAnsi"/>
          <w:color w:val="0000FF"/>
        </w:rPr>
        <w:t xml:space="preserve"> </w:t>
      </w:r>
      <w:r w:rsidRPr="00B10D4C">
        <w:t xml:space="preserve">son article ayant ainsi offert une plateforme publicitaire au revendeur et ne visant pas à mettre ses abus en lumière ; et que, en somme, </w:t>
      </w:r>
      <w:r w:rsidRPr="00B10D4C">
        <w:rPr>
          <w:rFonts w:cstheme="minorHAnsi"/>
        </w:rPr>
        <w:t>les</w:t>
      </w:r>
      <w:r w:rsidRPr="00B10D4C">
        <w:t xml:space="preserve"> circonstances justifiant la protection de la source de la requérante n</w:t>
      </w:r>
      <w:r w:rsidRPr="00B10D4C" w:rsidR="00B10D4C">
        <w:t>’</w:t>
      </w:r>
      <w:r w:rsidRPr="00B10D4C">
        <w:t>étaient pas particulièrement importantes. Le Tribunal fédéral en conclut que, en l</w:t>
      </w:r>
      <w:r w:rsidRPr="00B10D4C" w:rsidR="00B10D4C">
        <w:t>’</w:t>
      </w:r>
      <w:r w:rsidRPr="00B10D4C">
        <w:t>espèce, une importance particulière ne devait être accordée ni à l</w:t>
      </w:r>
      <w:r w:rsidRPr="00B10D4C" w:rsidR="00B10D4C">
        <w:t>’</w:t>
      </w:r>
      <w:r w:rsidRPr="00B10D4C">
        <w:t>intérêt public à la poursuite de l</w:t>
      </w:r>
      <w:r w:rsidRPr="00B10D4C" w:rsidR="00B10D4C">
        <w:t>’</w:t>
      </w:r>
      <w:r w:rsidRPr="00B10D4C">
        <w:t>infraction ni à l</w:t>
      </w:r>
      <w:r w:rsidRPr="00B10D4C" w:rsidR="00B10D4C">
        <w:t>’</w:t>
      </w:r>
      <w:r w:rsidRPr="00B10D4C">
        <w:t>intérêt de la requérante à protéger sa source, et qu</w:t>
      </w:r>
      <w:r w:rsidRPr="00B10D4C" w:rsidR="00B10D4C">
        <w:t>’</w:t>
      </w:r>
      <w:r w:rsidRPr="00B10D4C">
        <w:t>il fallait dès lors s</w:t>
      </w:r>
      <w:r w:rsidRPr="00B10D4C" w:rsidR="00B10D4C">
        <w:t>’</w:t>
      </w:r>
      <w:r w:rsidRPr="00B10D4C">
        <w:t>en tenir à la pesée des intérêts effectuée par le législateur, à savoir que l</w:t>
      </w:r>
      <w:r w:rsidRPr="00B10D4C" w:rsidR="00B10D4C">
        <w:t>’</w:t>
      </w:r>
      <w:r w:rsidRPr="00B10D4C">
        <w:t>intérêt public à poursuivre une infraction qualifiée en matière de stupéfiants l</w:t>
      </w:r>
      <w:r w:rsidRPr="00B10D4C" w:rsidR="00B10D4C">
        <w:t>’</w:t>
      </w:r>
      <w:r w:rsidRPr="00B10D4C">
        <w:t>emportait sur l</w:t>
      </w:r>
      <w:r w:rsidRPr="00B10D4C" w:rsidR="00B10D4C">
        <w:t>’</w:t>
      </w:r>
      <w:r w:rsidRPr="00B10D4C">
        <w:t>intérêt privé du journaliste à protéger sa source.</w:t>
      </w:r>
    </w:p>
    <w:p w:rsidRPr="00B10D4C" w:rsidR="00540DD5" w:rsidP="00B10D4C" w:rsidRDefault="00540DD5">
      <w:pPr>
        <w:pStyle w:val="JuHHead"/>
        <w:numPr>
          <w:ilvl w:val="0"/>
          <w:numId w:val="1"/>
        </w:numPr>
        <w:jc w:val="both"/>
        <w:rPr>
          <w:caps w:val="0"/>
          <w:lang w:val="fr-FR"/>
        </w:rPr>
      </w:pPr>
      <w:bookmarkStart w:name="_Hlk36127227" w:id="7"/>
      <w:r w:rsidRPr="00B10D4C">
        <w:rPr>
          <w:caps w:val="0"/>
          <w:lang w:val="fr-FR"/>
        </w:rPr>
        <w:t>LE CADRE JURIDIQUE ET LA PRATIQUE INTERNES PERTINENTS</w:t>
      </w:r>
    </w:p>
    <w:bookmarkEnd w:id="7"/>
    <w:p w:rsidRPr="00B10D4C" w:rsidR="00540DD5" w:rsidP="00B10D4C" w:rsidRDefault="00540DD5">
      <w:pPr>
        <w:pStyle w:val="JuHIRoman"/>
        <w:numPr>
          <w:ilvl w:val="1"/>
          <w:numId w:val="1"/>
        </w:numPr>
        <w:jc w:val="both"/>
      </w:pPr>
      <w:r w:rsidRPr="00B10D4C">
        <w:t>Droit interne pertinent</w:t>
      </w:r>
    </w:p>
    <w:bookmarkStart w:name="para8" w:id="8"/>
    <w:p w:rsidRPr="00B10D4C" w:rsidR="00540DD5" w:rsidP="00B10D4C" w:rsidRDefault="00540DD5">
      <w:pPr>
        <w:pStyle w:val="JuPara"/>
      </w:pPr>
      <w:r w:rsidRPr="00B10D4C">
        <w:fldChar w:fldCharType="begin"/>
      </w:r>
      <w:r w:rsidRPr="00B10D4C">
        <w:instrText xml:space="preserve"> SEQ level0 \*arabic </w:instrText>
      </w:r>
      <w:r w:rsidRPr="00B10D4C">
        <w:fldChar w:fldCharType="separate"/>
      </w:r>
      <w:r w:rsidRPr="00B10D4C" w:rsidR="00B10D4C">
        <w:rPr>
          <w:noProof/>
        </w:rPr>
        <w:t>9</w:t>
      </w:r>
      <w:r w:rsidRPr="00B10D4C">
        <w:fldChar w:fldCharType="end"/>
      </w:r>
      <w:bookmarkEnd w:id="8"/>
      <w:r w:rsidRPr="00B10D4C">
        <w:t>.  </w:t>
      </w:r>
      <w:bookmarkStart w:name="_Hlk36127236" w:id="9"/>
      <w:r w:rsidRPr="00B10D4C">
        <w:t>Les dispositions pertinentes du Code pénal suisse (RS 311.0) se lisent ainsi :</w:t>
      </w:r>
    </w:p>
    <w:p w:rsidRPr="00B10D4C" w:rsidR="00540DD5" w:rsidP="00B10D4C" w:rsidRDefault="00540DD5">
      <w:pPr>
        <w:pStyle w:val="JuHArticle"/>
        <w:rPr>
          <w:rFonts w:eastAsia="Times New Roman"/>
          <w:lang w:eastAsia="fr-FR"/>
        </w:rPr>
      </w:pPr>
      <w:r w:rsidRPr="00B10D4C">
        <w:t>Article 28</w:t>
      </w:r>
      <w:r w:rsidRPr="00B10D4C">
        <w:rPr>
          <w:i/>
        </w:rPr>
        <w:t>a</w:t>
      </w:r>
      <w:r w:rsidRPr="00B10D4C">
        <w:t xml:space="preserve"> : </w:t>
      </w:r>
      <w:r w:rsidRPr="00B10D4C">
        <w:rPr>
          <w:rFonts w:eastAsia="Times New Roman"/>
          <w:lang w:eastAsia="fr-FR"/>
        </w:rPr>
        <w:t>Punissabilité des médias / Protection des sources</w:t>
      </w:r>
    </w:p>
    <w:p w:rsidRPr="00B10D4C" w:rsidR="00540DD5" w:rsidP="00B10D4C" w:rsidRDefault="00540DD5">
      <w:pPr>
        <w:pStyle w:val="JuQuot"/>
        <w:rPr>
          <w:rFonts w:eastAsia="Times New Roman"/>
          <w:lang w:eastAsia="fr-FR"/>
        </w:rPr>
      </w:pPr>
      <w:r w:rsidRPr="00B10D4C">
        <w:rPr>
          <w:rFonts w:eastAsia="Times New Roman"/>
          <w:lang w:eastAsia="fr-FR"/>
        </w:rPr>
        <w:t>« 1. Les personnes qui, à titre professionnel, participent à la publication d</w:t>
      </w:r>
      <w:r w:rsidRPr="00B10D4C" w:rsidR="00B10D4C">
        <w:rPr>
          <w:rFonts w:eastAsia="Times New Roman"/>
          <w:lang w:eastAsia="fr-FR"/>
        </w:rPr>
        <w:t>’</w:t>
      </w:r>
      <w:r w:rsidRPr="00B10D4C">
        <w:rPr>
          <w:rFonts w:eastAsia="Times New Roman"/>
          <w:lang w:eastAsia="fr-FR"/>
        </w:rPr>
        <w:t>informations dans la partie rédactionnelle d</w:t>
      </w:r>
      <w:r w:rsidRPr="00B10D4C" w:rsidR="00B10D4C">
        <w:rPr>
          <w:rFonts w:eastAsia="Times New Roman"/>
          <w:lang w:eastAsia="fr-FR"/>
        </w:rPr>
        <w:t>’</w:t>
      </w:r>
      <w:r w:rsidRPr="00B10D4C">
        <w:rPr>
          <w:rFonts w:eastAsia="Times New Roman"/>
          <w:lang w:eastAsia="fr-FR"/>
        </w:rPr>
        <w:t>un média à caractère périodique et leurs auxiliaires n</w:t>
      </w:r>
      <w:r w:rsidRPr="00B10D4C" w:rsidR="00B10D4C">
        <w:rPr>
          <w:rFonts w:eastAsia="Times New Roman"/>
          <w:lang w:eastAsia="fr-FR"/>
        </w:rPr>
        <w:t>’</w:t>
      </w:r>
      <w:r w:rsidRPr="00B10D4C">
        <w:rPr>
          <w:rFonts w:eastAsia="Times New Roman"/>
          <w:lang w:eastAsia="fr-FR"/>
        </w:rPr>
        <w:t>encourent aucune peine et ne font l</w:t>
      </w:r>
      <w:r w:rsidRPr="00B10D4C" w:rsidR="00B10D4C">
        <w:rPr>
          <w:rFonts w:eastAsia="Times New Roman"/>
          <w:lang w:eastAsia="fr-FR"/>
        </w:rPr>
        <w:t>’</w:t>
      </w:r>
      <w:r w:rsidRPr="00B10D4C">
        <w:rPr>
          <w:rFonts w:eastAsia="Times New Roman"/>
          <w:lang w:eastAsia="fr-FR"/>
        </w:rPr>
        <w:t>objet d</w:t>
      </w:r>
      <w:r w:rsidRPr="00B10D4C" w:rsidR="00B10D4C">
        <w:rPr>
          <w:rFonts w:eastAsia="Times New Roman"/>
          <w:lang w:eastAsia="fr-FR"/>
        </w:rPr>
        <w:t>’</w:t>
      </w:r>
      <w:r w:rsidRPr="00B10D4C">
        <w:rPr>
          <w:rFonts w:eastAsia="Times New Roman"/>
          <w:lang w:eastAsia="fr-FR"/>
        </w:rPr>
        <w:t>aucune mesure de coercition fondée sur le droit de procédure s</w:t>
      </w:r>
      <w:r w:rsidRPr="00B10D4C" w:rsidR="00B10D4C">
        <w:rPr>
          <w:rFonts w:eastAsia="Times New Roman"/>
          <w:lang w:eastAsia="fr-FR"/>
        </w:rPr>
        <w:t>’</w:t>
      </w:r>
      <w:r w:rsidRPr="00B10D4C">
        <w:rPr>
          <w:rFonts w:eastAsia="Times New Roman"/>
          <w:lang w:eastAsia="fr-FR"/>
        </w:rPr>
        <w:t>ils refusent de témoigner sur l</w:t>
      </w:r>
      <w:r w:rsidRPr="00B10D4C" w:rsidR="00B10D4C">
        <w:rPr>
          <w:rFonts w:eastAsia="Times New Roman"/>
          <w:lang w:eastAsia="fr-FR"/>
        </w:rPr>
        <w:t>’</w:t>
      </w:r>
      <w:r w:rsidRPr="00B10D4C">
        <w:rPr>
          <w:rFonts w:eastAsia="Times New Roman"/>
          <w:lang w:eastAsia="fr-FR"/>
        </w:rPr>
        <w:t>identité de l</w:t>
      </w:r>
      <w:r w:rsidRPr="00B10D4C" w:rsidR="00B10D4C">
        <w:rPr>
          <w:rFonts w:eastAsia="Times New Roman"/>
          <w:lang w:eastAsia="fr-FR"/>
        </w:rPr>
        <w:t>’</w:t>
      </w:r>
      <w:r w:rsidRPr="00B10D4C">
        <w:rPr>
          <w:rFonts w:eastAsia="Times New Roman"/>
          <w:lang w:eastAsia="fr-FR"/>
        </w:rPr>
        <w:t>auteur ou sur le contenu et les sources de leurs informations.</w:t>
      </w:r>
    </w:p>
    <w:p w:rsidRPr="00B10D4C" w:rsidR="00540DD5" w:rsidP="00B10D4C" w:rsidRDefault="00540DD5">
      <w:pPr>
        <w:pStyle w:val="JuQuot"/>
        <w:rPr>
          <w:rFonts w:eastAsia="Times New Roman"/>
          <w:lang w:eastAsia="fr-FR"/>
        </w:rPr>
      </w:pPr>
      <w:r w:rsidRPr="00B10D4C">
        <w:rPr>
          <w:rFonts w:eastAsia="Times New Roman"/>
          <w:lang w:eastAsia="fr-FR"/>
        </w:rPr>
        <w:t>2. L</w:t>
      </w:r>
      <w:r w:rsidRPr="00B10D4C" w:rsidR="00B10D4C">
        <w:rPr>
          <w:rFonts w:eastAsia="Times New Roman"/>
          <w:lang w:eastAsia="fr-FR"/>
        </w:rPr>
        <w:t>’</w:t>
      </w:r>
      <w:r w:rsidRPr="00B10D4C">
        <w:rPr>
          <w:rFonts w:eastAsia="Times New Roman"/>
          <w:lang w:eastAsia="fr-FR"/>
        </w:rPr>
        <w:t>alinéa 1 n</w:t>
      </w:r>
      <w:r w:rsidRPr="00B10D4C" w:rsidR="00B10D4C">
        <w:rPr>
          <w:rFonts w:eastAsia="Times New Roman"/>
          <w:lang w:eastAsia="fr-FR"/>
        </w:rPr>
        <w:t>’</w:t>
      </w:r>
      <w:r w:rsidRPr="00B10D4C">
        <w:rPr>
          <w:rFonts w:eastAsia="Times New Roman"/>
          <w:lang w:eastAsia="fr-FR"/>
        </w:rPr>
        <w:t>est pas applicable si le juge constate que:</w:t>
      </w:r>
    </w:p>
    <w:p w:rsidRPr="00B10D4C" w:rsidR="00540DD5" w:rsidP="00B10D4C" w:rsidRDefault="00540DD5">
      <w:pPr>
        <w:pStyle w:val="JuQuot"/>
        <w:rPr>
          <w:rFonts w:eastAsia="Times New Roman"/>
          <w:lang w:eastAsia="fr-FR"/>
        </w:rPr>
      </w:pPr>
      <w:r w:rsidRPr="00B10D4C">
        <w:rPr>
          <w:rFonts w:eastAsia="Times New Roman"/>
          <w:lang w:eastAsia="fr-FR"/>
        </w:rPr>
        <w:t>a. le témoignage est nécessaire pour prévenir une atteinte imminente à la vie ou à l</w:t>
      </w:r>
      <w:r w:rsidRPr="00B10D4C" w:rsidR="00B10D4C">
        <w:rPr>
          <w:rFonts w:eastAsia="Times New Roman"/>
          <w:lang w:eastAsia="fr-FR"/>
        </w:rPr>
        <w:t>’</w:t>
      </w:r>
      <w:r w:rsidRPr="00B10D4C">
        <w:rPr>
          <w:rFonts w:eastAsia="Times New Roman"/>
          <w:lang w:eastAsia="fr-FR"/>
        </w:rPr>
        <w:t>intégrité corporelle d</w:t>
      </w:r>
      <w:r w:rsidRPr="00B10D4C" w:rsidR="00B10D4C">
        <w:rPr>
          <w:rFonts w:eastAsia="Times New Roman"/>
          <w:lang w:eastAsia="fr-FR"/>
        </w:rPr>
        <w:t>’</w:t>
      </w:r>
      <w:r w:rsidRPr="00B10D4C">
        <w:rPr>
          <w:rFonts w:eastAsia="Times New Roman"/>
          <w:lang w:eastAsia="fr-FR"/>
        </w:rPr>
        <w:t>une personne;</w:t>
      </w:r>
    </w:p>
    <w:p w:rsidRPr="00B10D4C" w:rsidR="00540DD5" w:rsidP="00B10D4C" w:rsidRDefault="00540DD5">
      <w:pPr>
        <w:pStyle w:val="JuQuot"/>
        <w:rPr>
          <w:rFonts w:eastAsia="Times New Roman"/>
          <w:lang w:eastAsia="fr-FR"/>
        </w:rPr>
      </w:pPr>
      <w:r w:rsidRPr="00B10D4C">
        <w:rPr>
          <w:rFonts w:eastAsia="Times New Roman"/>
          <w:lang w:eastAsia="fr-FR"/>
        </w:rPr>
        <w:t>b. à défaut du témoignage, un homicide au sens des art. 111 à 113 ou un autre crime réprimé par une peine privative de liberté de trois ans au moins ou encore un délit au sens des art. 187, 189 à 191, 197, al. 4, 260</w:t>
      </w:r>
      <w:r w:rsidRPr="00B10D4C">
        <w:rPr>
          <w:rFonts w:eastAsia="Times New Roman"/>
          <w:vertAlign w:val="superscript"/>
          <w:lang w:eastAsia="fr-FR"/>
        </w:rPr>
        <w:t>ter</w:t>
      </w:r>
      <w:r w:rsidRPr="00B10D4C">
        <w:rPr>
          <w:rFonts w:eastAsia="Times New Roman"/>
          <w:lang w:eastAsia="fr-FR"/>
        </w:rPr>
        <w:t>, 260</w:t>
      </w:r>
      <w:r w:rsidRPr="00B10D4C">
        <w:rPr>
          <w:rFonts w:eastAsia="Times New Roman"/>
          <w:vertAlign w:val="superscript"/>
          <w:lang w:eastAsia="fr-FR"/>
        </w:rPr>
        <w:t>quinquies</w:t>
      </w:r>
      <w:r w:rsidRPr="00B10D4C">
        <w:rPr>
          <w:rFonts w:eastAsia="Times New Roman"/>
          <w:lang w:eastAsia="fr-FR"/>
        </w:rPr>
        <w:t>, 305</w:t>
      </w:r>
      <w:r w:rsidRPr="00B10D4C">
        <w:rPr>
          <w:rFonts w:eastAsia="Times New Roman"/>
          <w:vertAlign w:val="superscript"/>
          <w:lang w:eastAsia="fr-FR"/>
        </w:rPr>
        <w:t>bis</w:t>
      </w:r>
      <w:r w:rsidRPr="00B10D4C">
        <w:rPr>
          <w:rFonts w:eastAsia="Times New Roman"/>
          <w:lang w:eastAsia="fr-FR"/>
        </w:rPr>
        <w:t>, 305</w:t>
      </w:r>
      <w:r w:rsidRPr="00B10D4C">
        <w:rPr>
          <w:rFonts w:eastAsia="Times New Roman"/>
          <w:vertAlign w:val="superscript"/>
          <w:lang w:eastAsia="fr-FR"/>
        </w:rPr>
        <w:t>ter</w:t>
      </w:r>
      <w:r w:rsidRPr="00B10D4C">
        <w:rPr>
          <w:rFonts w:eastAsia="Times New Roman"/>
          <w:lang w:eastAsia="fr-FR"/>
        </w:rPr>
        <w:t xml:space="preserve"> et 322</w:t>
      </w:r>
      <w:r w:rsidRPr="00B10D4C">
        <w:rPr>
          <w:rFonts w:eastAsia="Times New Roman"/>
          <w:vertAlign w:val="superscript"/>
          <w:lang w:eastAsia="fr-FR"/>
        </w:rPr>
        <w:t>ter</w:t>
      </w:r>
      <w:r w:rsidRPr="00B10D4C">
        <w:rPr>
          <w:rFonts w:eastAsia="Times New Roman"/>
          <w:lang w:eastAsia="fr-FR"/>
        </w:rPr>
        <w:t xml:space="preserve"> à 322</w:t>
      </w:r>
      <w:r w:rsidRPr="00B10D4C">
        <w:rPr>
          <w:rFonts w:eastAsia="Times New Roman"/>
          <w:vertAlign w:val="superscript"/>
          <w:lang w:eastAsia="fr-FR"/>
        </w:rPr>
        <w:t>septies</w:t>
      </w:r>
      <w:r w:rsidRPr="00B10D4C">
        <w:rPr>
          <w:rFonts w:eastAsia="Times New Roman"/>
          <w:lang w:eastAsia="fr-FR"/>
        </w:rPr>
        <w:t xml:space="preserve"> du présent code, et de l</w:t>
      </w:r>
      <w:r w:rsidRPr="00B10D4C" w:rsidR="00B10D4C">
        <w:rPr>
          <w:rFonts w:eastAsia="Times New Roman"/>
          <w:lang w:eastAsia="fr-FR"/>
        </w:rPr>
        <w:t>’</w:t>
      </w:r>
      <w:r w:rsidRPr="00B10D4C">
        <w:rPr>
          <w:rFonts w:eastAsia="Times New Roman"/>
          <w:lang w:eastAsia="fr-FR"/>
        </w:rPr>
        <w:t>art. 19, al. 2, de la loi fédérale du 3 octobre 1951 sur les stupéfiants ne peuvent être élucidés ou que la personne inculpée d</w:t>
      </w:r>
      <w:r w:rsidRPr="00B10D4C" w:rsidR="00B10D4C">
        <w:rPr>
          <w:rFonts w:eastAsia="Times New Roman"/>
          <w:lang w:eastAsia="fr-FR"/>
        </w:rPr>
        <w:t>’</w:t>
      </w:r>
      <w:r w:rsidRPr="00B10D4C">
        <w:rPr>
          <w:rFonts w:eastAsia="Times New Roman"/>
          <w:lang w:eastAsia="fr-FR"/>
        </w:rPr>
        <w:t>un tel acte ne peut être arrêtée. »</w:t>
      </w:r>
    </w:p>
    <w:bookmarkStart w:name="para9" w:id="10"/>
    <w:p w:rsidRPr="00B10D4C" w:rsidR="00540DD5" w:rsidP="00B10D4C" w:rsidRDefault="00540DD5">
      <w:pPr>
        <w:pStyle w:val="JuPara"/>
        <w:rPr>
          <w:rFonts w:eastAsia="Times New Roman"/>
          <w:lang w:eastAsia="fr-FR"/>
        </w:rPr>
      </w:pPr>
      <w:r w:rsidRPr="00B10D4C">
        <w:rPr>
          <w:rFonts w:eastAsia="Times New Roman"/>
          <w:lang w:eastAsia="fr-FR"/>
        </w:rPr>
        <w:fldChar w:fldCharType="begin"/>
      </w:r>
      <w:r w:rsidRPr="00B10D4C">
        <w:rPr>
          <w:rFonts w:eastAsia="Times New Roman"/>
          <w:lang w:eastAsia="fr-FR"/>
        </w:rPr>
        <w:instrText xml:space="preserve"> SEQ level0 \*arabic </w:instrText>
      </w:r>
      <w:r w:rsidRPr="00B10D4C">
        <w:rPr>
          <w:rFonts w:eastAsia="Times New Roman"/>
          <w:lang w:eastAsia="fr-FR"/>
        </w:rPr>
        <w:fldChar w:fldCharType="separate"/>
      </w:r>
      <w:r w:rsidRPr="00B10D4C" w:rsidR="00B10D4C">
        <w:rPr>
          <w:rFonts w:eastAsia="Times New Roman"/>
          <w:noProof/>
          <w:lang w:eastAsia="fr-FR"/>
        </w:rPr>
        <w:t>10</w:t>
      </w:r>
      <w:r w:rsidRPr="00B10D4C">
        <w:rPr>
          <w:rFonts w:eastAsia="Times New Roman"/>
          <w:lang w:eastAsia="fr-FR"/>
        </w:rPr>
        <w:fldChar w:fldCharType="end"/>
      </w:r>
      <w:bookmarkEnd w:id="10"/>
      <w:r w:rsidRPr="00B10D4C">
        <w:rPr>
          <w:rFonts w:eastAsia="Times New Roman"/>
          <w:lang w:eastAsia="fr-FR"/>
        </w:rPr>
        <w:t>.  L</w:t>
      </w:r>
      <w:r w:rsidRPr="00B10D4C" w:rsidR="00B10D4C">
        <w:rPr>
          <w:rFonts w:eastAsia="Times New Roman"/>
          <w:lang w:eastAsia="fr-FR"/>
        </w:rPr>
        <w:t>’</w:t>
      </w:r>
      <w:r w:rsidRPr="00B10D4C">
        <w:rPr>
          <w:rFonts w:eastAsia="Times New Roman"/>
          <w:lang w:eastAsia="fr-FR"/>
        </w:rPr>
        <w:t>article 172 du Code de procédure pénale suisse (RS 312.0) dispose comme suit :</w:t>
      </w:r>
    </w:p>
    <w:p w:rsidRPr="00B10D4C" w:rsidR="00540DD5" w:rsidP="00B10D4C" w:rsidRDefault="00540DD5">
      <w:pPr>
        <w:pStyle w:val="JuHArticle"/>
        <w:rPr>
          <w:rFonts w:eastAsia="Times New Roman"/>
          <w:lang w:eastAsia="fr-FR"/>
        </w:rPr>
      </w:pPr>
      <w:r w:rsidRPr="00B10D4C">
        <w:rPr>
          <w:rFonts w:eastAsia="Times New Roman"/>
          <w:lang w:eastAsia="fr-FR"/>
        </w:rPr>
        <w:t>Article 172 : Protection des sources des professionnels des médias</w:t>
      </w:r>
    </w:p>
    <w:p w:rsidRPr="00B10D4C" w:rsidR="00540DD5" w:rsidP="00B10D4C" w:rsidRDefault="00540DD5">
      <w:pPr>
        <w:pStyle w:val="JuQuot"/>
        <w:rPr>
          <w:lang w:eastAsia="fr-FR"/>
        </w:rPr>
      </w:pPr>
      <w:r w:rsidRPr="00B10D4C">
        <w:rPr>
          <w:lang w:eastAsia="fr-FR"/>
        </w:rPr>
        <w:t>« 1. Les personnes qui, à titre professionnel, participent à la publication d</w:t>
      </w:r>
      <w:r w:rsidRPr="00B10D4C" w:rsidR="00B10D4C">
        <w:rPr>
          <w:lang w:eastAsia="fr-FR"/>
        </w:rPr>
        <w:t>’</w:t>
      </w:r>
      <w:r w:rsidRPr="00B10D4C">
        <w:rPr>
          <w:lang w:eastAsia="fr-FR"/>
        </w:rPr>
        <w:t>informations dans la partie rédactionnelle d</w:t>
      </w:r>
      <w:r w:rsidRPr="00B10D4C" w:rsidR="00B10D4C">
        <w:rPr>
          <w:lang w:eastAsia="fr-FR"/>
        </w:rPr>
        <w:t>’</w:t>
      </w:r>
      <w:r w:rsidRPr="00B10D4C">
        <w:rPr>
          <w:lang w:eastAsia="fr-FR"/>
        </w:rPr>
        <w:t>un média à caractère périodique et leurs auxiliaires peuvent refuser de témoigner sur l</w:t>
      </w:r>
      <w:r w:rsidRPr="00B10D4C" w:rsidR="00B10D4C">
        <w:rPr>
          <w:lang w:eastAsia="fr-FR"/>
        </w:rPr>
        <w:t>’</w:t>
      </w:r>
      <w:r w:rsidRPr="00B10D4C">
        <w:rPr>
          <w:lang w:eastAsia="fr-FR"/>
        </w:rPr>
        <w:t>identité de l</w:t>
      </w:r>
      <w:r w:rsidRPr="00B10D4C" w:rsidR="00B10D4C">
        <w:rPr>
          <w:lang w:eastAsia="fr-FR"/>
        </w:rPr>
        <w:t>’</w:t>
      </w:r>
      <w:r w:rsidRPr="00B10D4C">
        <w:rPr>
          <w:lang w:eastAsia="fr-FR"/>
        </w:rPr>
        <w:t>auteur ainsi que sur le contenu et la source de leurs informations.</w:t>
      </w:r>
    </w:p>
    <w:p w:rsidRPr="00B10D4C" w:rsidR="00540DD5" w:rsidP="00B10D4C" w:rsidRDefault="00540DD5">
      <w:pPr>
        <w:pStyle w:val="JuQuot"/>
        <w:rPr>
          <w:lang w:eastAsia="fr-FR"/>
        </w:rPr>
      </w:pPr>
      <w:r w:rsidRPr="00B10D4C">
        <w:rPr>
          <w:lang w:eastAsia="fr-FR"/>
        </w:rPr>
        <w:t>2. Ils doivent témoigner:</w:t>
      </w:r>
    </w:p>
    <w:p w:rsidRPr="00B10D4C" w:rsidR="00540DD5" w:rsidP="00B10D4C" w:rsidRDefault="00540DD5">
      <w:pPr>
        <w:pStyle w:val="JuQuot"/>
        <w:rPr>
          <w:lang w:eastAsia="fr-FR"/>
        </w:rPr>
      </w:pPr>
      <w:r w:rsidRPr="00B10D4C">
        <w:rPr>
          <w:lang w:eastAsia="fr-FR"/>
        </w:rPr>
        <w:t>(...)</w:t>
      </w:r>
    </w:p>
    <w:p w:rsidRPr="00B10D4C" w:rsidR="00540DD5" w:rsidP="00B10D4C" w:rsidRDefault="00540DD5">
      <w:pPr>
        <w:pStyle w:val="JuQuot"/>
        <w:rPr>
          <w:lang w:eastAsia="fr-FR"/>
        </w:rPr>
      </w:pPr>
      <w:r w:rsidRPr="00B10D4C">
        <w:rPr>
          <w:lang w:eastAsia="fr-FR"/>
        </w:rPr>
        <w:t>b. lorsque, à défaut de leur témoignage, une des infractions suivantes ne pourrait être élucidée ou que le prévenu d</w:t>
      </w:r>
      <w:r w:rsidRPr="00B10D4C" w:rsidR="00B10D4C">
        <w:rPr>
          <w:lang w:eastAsia="fr-FR"/>
        </w:rPr>
        <w:t>’</w:t>
      </w:r>
      <w:r w:rsidRPr="00B10D4C">
        <w:rPr>
          <w:lang w:eastAsia="fr-FR"/>
        </w:rPr>
        <w:t>une telle infraction ne pourrait être appréhendé :</w:t>
      </w:r>
    </w:p>
    <w:p w:rsidRPr="00B10D4C" w:rsidR="00540DD5" w:rsidP="00B10D4C" w:rsidRDefault="00540DD5">
      <w:pPr>
        <w:pStyle w:val="JuQuot"/>
        <w:rPr>
          <w:lang w:eastAsia="fr-FR"/>
        </w:rPr>
      </w:pPr>
      <w:r w:rsidRPr="00B10D4C">
        <w:rPr>
          <w:lang w:eastAsia="fr-FR"/>
        </w:rPr>
        <w:t>(...)</w:t>
      </w:r>
    </w:p>
    <w:p w:rsidRPr="00B10D4C" w:rsidR="00540DD5" w:rsidP="00B10D4C" w:rsidRDefault="00540DD5">
      <w:pPr>
        <w:pStyle w:val="JuQuot"/>
        <w:ind w:left="720" w:firstLine="295"/>
        <w:rPr>
          <w:lang w:eastAsia="fr-FR"/>
        </w:rPr>
      </w:pPr>
      <w:r w:rsidRPr="00B10D4C">
        <w:rPr>
          <w:lang w:eastAsia="fr-FR"/>
        </w:rPr>
        <w:t>4. une infraction au sens de l</w:t>
      </w:r>
      <w:r w:rsidRPr="00B10D4C" w:rsidR="00B10D4C">
        <w:rPr>
          <w:lang w:eastAsia="fr-FR"/>
        </w:rPr>
        <w:t>’</w:t>
      </w:r>
      <w:r w:rsidRPr="00B10D4C">
        <w:rPr>
          <w:lang w:eastAsia="fr-FR"/>
        </w:rPr>
        <w:t>art. 19, al. 2, de la loi du 3 octobre 1951 sur les stupéfiants. »</w:t>
      </w:r>
    </w:p>
    <w:bookmarkStart w:name="para10" w:id="11"/>
    <w:p w:rsidRPr="00B10D4C" w:rsidR="00540DD5" w:rsidP="00B10D4C" w:rsidRDefault="00540DD5">
      <w:pPr>
        <w:pStyle w:val="JuPara"/>
        <w:rPr>
          <w:rFonts w:eastAsia="Times New Roman"/>
          <w:lang w:eastAsia="fr-FR"/>
        </w:rPr>
      </w:pPr>
      <w:r w:rsidRPr="00B10D4C">
        <w:rPr>
          <w:rFonts w:eastAsia="Times New Roman"/>
          <w:lang w:eastAsia="fr-FR"/>
        </w:rPr>
        <w:fldChar w:fldCharType="begin"/>
      </w:r>
      <w:r w:rsidRPr="00B10D4C">
        <w:rPr>
          <w:rFonts w:eastAsia="Times New Roman"/>
          <w:lang w:eastAsia="fr-FR"/>
        </w:rPr>
        <w:instrText xml:space="preserve"> SEQ level0 \*arabic </w:instrText>
      </w:r>
      <w:r w:rsidRPr="00B10D4C">
        <w:rPr>
          <w:rFonts w:eastAsia="Times New Roman"/>
          <w:lang w:eastAsia="fr-FR"/>
        </w:rPr>
        <w:fldChar w:fldCharType="separate"/>
      </w:r>
      <w:r w:rsidRPr="00B10D4C" w:rsidR="00B10D4C">
        <w:rPr>
          <w:rFonts w:eastAsia="Times New Roman"/>
          <w:noProof/>
          <w:lang w:eastAsia="fr-FR"/>
        </w:rPr>
        <w:t>11</w:t>
      </w:r>
      <w:r w:rsidRPr="00B10D4C">
        <w:rPr>
          <w:rFonts w:eastAsia="Times New Roman"/>
          <w:lang w:eastAsia="fr-FR"/>
        </w:rPr>
        <w:fldChar w:fldCharType="end"/>
      </w:r>
      <w:bookmarkEnd w:id="11"/>
      <w:r w:rsidRPr="00B10D4C">
        <w:rPr>
          <w:rFonts w:eastAsia="Times New Roman"/>
          <w:lang w:eastAsia="fr-FR"/>
        </w:rPr>
        <w:t>.  </w:t>
      </w:r>
      <w:r w:rsidRPr="00B10D4C">
        <w:t>L</w:t>
      </w:r>
      <w:r w:rsidRPr="00B10D4C" w:rsidR="00B10D4C">
        <w:t>’</w:t>
      </w:r>
      <w:r w:rsidRPr="00B10D4C">
        <w:t>article 19 de la loi fédérale sur les stupéfiants et les substances psychotropes (RS 812.121) dans sa version en vigueur au moment des faits disposait comme suit :</w:t>
      </w:r>
    </w:p>
    <w:p w:rsidRPr="00B10D4C" w:rsidR="00540DD5" w:rsidP="00B10D4C" w:rsidRDefault="00540DD5">
      <w:pPr>
        <w:pStyle w:val="JuHArticle"/>
      </w:pPr>
      <w:r w:rsidRPr="00B10D4C">
        <w:t>Article 19 : Actes punissables</w:t>
      </w:r>
    </w:p>
    <w:p w:rsidRPr="00B10D4C" w:rsidR="00540DD5" w:rsidP="00B10D4C" w:rsidRDefault="00540DD5">
      <w:pPr>
        <w:pStyle w:val="JuQuot"/>
        <w:rPr>
          <w:rFonts w:eastAsia="Times New Roman"/>
          <w:lang w:eastAsia="fr-FR"/>
        </w:rPr>
      </w:pPr>
      <w:r w:rsidRPr="00B10D4C">
        <w:rPr>
          <w:rFonts w:eastAsia="Times New Roman"/>
          <w:lang w:eastAsia="fr-FR"/>
        </w:rPr>
        <w:t>« Est puni d</w:t>
      </w:r>
      <w:r w:rsidRPr="00B10D4C" w:rsidR="00B10D4C">
        <w:rPr>
          <w:rFonts w:eastAsia="Times New Roman"/>
          <w:lang w:eastAsia="fr-FR"/>
        </w:rPr>
        <w:t>’</w:t>
      </w:r>
      <w:r w:rsidRPr="00B10D4C">
        <w:rPr>
          <w:rFonts w:eastAsia="Times New Roman"/>
          <w:lang w:eastAsia="fr-FR"/>
        </w:rPr>
        <w:t>une peine privative de liberté de trois ans au plus ou d</w:t>
      </w:r>
      <w:r w:rsidRPr="00B10D4C" w:rsidR="00B10D4C">
        <w:rPr>
          <w:rFonts w:eastAsia="Times New Roman"/>
          <w:lang w:eastAsia="fr-FR"/>
        </w:rPr>
        <w:t>’</w:t>
      </w:r>
      <w:r w:rsidRPr="00B10D4C">
        <w:rPr>
          <w:rFonts w:eastAsia="Times New Roman"/>
          <w:lang w:eastAsia="fr-FR"/>
        </w:rPr>
        <w:t>une peine pécuniaire :</w:t>
      </w:r>
    </w:p>
    <w:p w:rsidRPr="00B10D4C" w:rsidR="00540DD5" w:rsidP="00B10D4C" w:rsidRDefault="00540DD5">
      <w:pPr>
        <w:pStyle w:val="JuQuot"/>
        <w:rPr>
          <w:rFonts w:eastAsia="Times New Roman"/>
          <w:lang w:eastAsia="fr-FR"/>
        </w:rPr>
      </w:pPr>
      <w:r w:rsidRPr="00B10D4C">
        <w:rPr>
          <w:rFonts w:eastAsia="Times New Roman"/>
          <w:lang w:eastAsia="fr-FR"/>
        </w:rPr>
        <w:t>(...)</w:t>
      </w:r>
    </w:p>
    <w:p w:rsidRPr="00B10D4C" w:rsidR="00540DD5" w:rsidP="00B10D4C" w:rsidRDefault="00540DD5">
      <w:pPr>
        <w:pStyle w:val="JuQuot"/>
        <w:rPr>
          <w:rFonts w:eastAsia="Times New Roman"/>
          <w:lang w:eastAsia="fr-FR"/>
        </w:rPr>
      </w:pPr>
      <w:r w:rsidRPr="00B10D4C">
        <w:rPr>
          <w:rFonts w:eastAsia="Times New Roman"/>
          <w:lang w:eastAsia="fr-FR"/>
        </w:rPr>
        <w:t>b. celui qui, sans droit, entrepose, expédie, transporte, importe, exporte des stupéfiants ou les passe en transit ;</w:t>
      </w:r>
    </w:p>
    <w:p w:rsidRPr="00B10D4C" w:rsidR="00540DD5" w:rsidP="00B10D4C" w:rsidRDefault="00540DD5">
      <w:pPr>
        <w:pStyle w:val="JuQuot"/>
        <w:rPr>
          <w:rFonts w:eastAsia="Times New Roman"/>
          <w:lang w:eastAsia="fr-FR"/>
        </w:rPr>
      </w:pPr>
      <w:r w:rsidRPr="00B10D4C">
        <w:rPr>
          <w:rFonts w:eastAsia="Times New Roman"/>
          <w:lang w:eastAsia="fr-FR"/>
        </w:rPr>
        <w:t>c. celui qui, sans droit, aliène ou prescrit des stupéfiants, en procure de toute autre manière à un tiers ou en met dans le commerce ;</w:t>
      </w:r>
    </w:p>
    <w:p w:rsidRPr="00B10D4C" w:rsidR="00540DD5" w:rsidP="00B10D4C" w:rsidRDefault="00540DD5">
      <w:pPr>
        <w:pStyle w:val="JuQuot"/>
        <w:rPr>
          <w:rFonts w:eastAsia="Times New Roman"/>
          <w:lang w:eastAsia="fr-FR"/>
        </w:rPr>
      </w:pPr>
      <w:r w:rsidRPr="00B10D4C">
        <w:rPr>
          <w:rFonts w:eastAsia="Times New Roman"/>
          <w:lang w:eastAsia="fr-FR"/>
        </w:rPr>
        <w:t>d. celui qui, sans droit, possède, détient ou acquiert des stupéfiants ou s</w:t>
      </w:r>
      <w:r w:rsidRPr="00B10D4C" w:rsidR="00B10D4C">
        <w:rPr>
          <w:rFonts w:eastAsia="Times New Roman"/>
          <w:lang w:eastAsia="fr-FR"/>
        </w:rPr>
        <w:t>’</w:t>
      </w:r>
      <w:r w:rsidRPr="00B10D4C">
        <w:rPr>
          <w:rFonts w:eastAsia="Times New Roman"/>
          <w:lang w:eastAsia="fr-FR"/>
        </w:rPr>
        <w:t>en procure de toute autre manière ;</w:t>
      </w:r>
    </w:p>
    <w:p w:rsidRPr="00B10D4C" w:rsidR="00540DD5" w:rsidP="00B10D4C" w:rsidRDefault="00540DD5">
      <w:pPr>
        <w:pStyle w:val="JuQuot"/>
        <w:rPr>
          <w:rFonts w:eastAsia="Times New Roman"/>
          <w:lang w:eastAsia="fr-FR"/>
        </w:rPr>
      </w:pPr>
      <w:r w:rsidRPr="00B10D4C">
        <w:rPr>
          <w:rFonts w:eastAsia="Times New Roman"/>
          <w:lang w:eastAsia="fr-FR"/>
        </w:rPr>
        <w:t>(...)</w:t>
      </w:r>
    </w:p>
    <w:p w:rsidRPr="00B10D4C" w:rsidR="00540DD5" w:rsidP="00B10D4C" w:rsidRDefault="00540DD5">
      <w:pPr>
        <w:pStyle w:val="JuQuot"/>
        <w:rPr>
          <w:rFonts w:eastAsia="Times New Roman"/>
          <w:lang w:eastAsia="fr-FR"/>
        </w:rPr>
      </w:pPr>
      <w:r w:rsidRPr="00B10D4C">
        <w:rPr>
          <w:rFonts w:eastAsia="Times New Roman"/>
          <w:lang w:eastAsia="fr-FR"/>
        </w:rPr>
        <w:t>2. L</w:t>
      </w:r>
      <w:r w:rsidRPr="00B10D4C" w:rsidR="00B10D4C">
        <w:rPr>
          <w:rFonts w:eastAsia="Times New Roman"/>
          <w:lang w:eastAsia="fr-FR"/>
        </w:rPr>
        <w:t>’</w:t>
      </w:r>
      <w:r w:rsidRPr="00B10D4C">
        <w:rPr>
          <w:rFonts w:eastAsia="Times New Roman"/>
          <w:lang w:eastAsia="fr-FR"/>
        </w:rPr>
        <w:t>auteur de l</w:t>
      </w:r>
      <w:r w:rsidRPr="00B10D4C" w:rsidR="00B10D4C">
        <w:rPr>
          <w:rFonts w:eastAsia="Times New Roman"/>
          <w:lang w:eastAsia="fr-FR"/>
        </w:rPr>
        <w:t>’</w:t>
      </w:r>
      <w:r w:rsidRPr="00B10D4C">
        <w:rPr>
          <w:rFonts w:eastAsia="Times New Roman"/>
          <w:lang w:eastAsia="fr-FR"/>
        </w:rPr>
        <w:t>infraction est puni d</w:t>
      </w:r>
      <w:r w:rsidRPr="00B10D4C" w:rsidR="00B10D4C">
        <w:rPr>
          <w:rFonts w:eastAsia="Times New Roman"/>
          <w:lang w:eastAsia="fr-FR"/>
        </w:rPr>
        <w:t>’</w:t>
      </w:r>
      <w:r w:rsidRPr="00B10D4C">
        <w:rPr>
          <w:rFonts w:eastAsia="Times New Roman"/>
          <w:lang w:eastAsia="fr-FR"/>
        </w:rPr>
        <w:t>une peine privative de liberté d</w:t>
      </w:r>
      <w:r w:rsidRPr="00B10D4C" w:rsidR="00B10D4C">
        <w:rPr>
          <w:rFonts w:eastAsia="Times New Roman"/>
          <w:lang w:eastAsia="fr-FR"/>
        </w:rPr>
        <w:t>’</w:t>
      </w:r>
      <w:r w:rsidRPr="00B10D4C">
        <w:rPr>
          <w:rFonts w:eastAsia="Times New Roman"/>
          <w:lang w:eastAsia="fr-FR"/>
        </w:rPr>
        <w:t>un an au moins, cette sanction pouvant être cumulée avec une peine pécuniaire :</w:t>
      </w:r>
    </w:p>
    <w:p w:rsidRPr="00B10D4C" w:rsidR="00540DD5" w:rsidP="00B10D4C" w:rsidRDefault="00540DD5">
      <w:pPr>
        <w:pStyle w:val="JuQuot"/>
        <w:rPr>
          <w:rFonts w:eastAsia="Times New Roman"/>
          <w:lang w:eastAsia="fr-FR"/>
        </w:rPr>
      </w:pPr>
      <w:r w:rsidRPr="00B10D4C">
        <w:rPr>
          <w:rFonts w:eastAsia="Times New Roman"/>
          <w:lang w:eastAsia="fr-FR"/>
        </w:rPr>
        <w:t>a. s</w:t>
      </w:r>
      <w:r w:rsidRPr="00B10D4C" w:rsidR="00B10D4C">
        <w:rPr>
          <w:rFonts w:eastAsia="Times New Roman"/>
          <w:lang w:eastAsia="fr-FR"/>
        </w:rPr>
        <w:t>’</w:t>
      </w:r>
      <w:r w:rsidRPr="00B10D4C">
        <w:rPr>
          <w:rFonts w:eastAsia="Times New Roman"/>
          <w:lang w:eastAsia="fr-FR"/>
        </w:rPr>
        <w:t>il sait ou ne peut ignorer que l</w:t>
      </w:r>
      <w:r w:rsidRPr="00B10D4C" w:rsidR="00B10D4C">
        <w:rPr>
          <w:rFonts w:eastAsia="Times New Roman"/>
          <w:lang w:eastAsia="fr-FR"/>
        </w:rPr>
        <w:t>’</w:t>
      </w:r>
      <w:r w:rsidRPr="00B10D4C">
        <w:rPr>
          <w:rFonts w:eastAsia="Times New Roman"/>
          <w:lang w:eastAsia="fr-FR"/>
        </w:rPr>
        <w:t>infraction peut directement ou indirectement mettre en danger la santé de nombreuses personnes;</w:t>
      </w:r>
    </w:p>
    <w:p w:rsidRPr="00B10D4C" w:rsidR="00540DD5" w:rsidP="00B10D4C" w:rsidRDefault="00540DD5">
      <w:pPr>
        <w:pStyle w:val="JuQuot"/>
        <w:rPr>
          <w:rFonts w:eastAsia="Times New Roman"/>
          <w:lang w:eastAsia="fr-FR"/>
        </w:rPr>
      </w:pPr>
      <w:r w:rsidRPr="00B10D4C">
        <w:rPr>
          <w:rFonts w:eastAsia="Times New Roman"/>
          <w:lang w:eastAsia="fr-FR"/>
        </w:rPr>
        <w:t>b. s</w:t>
      </w:r>
      <w:r w:rsidRPr="00B10D4C" w:rsidR="00B10D4C">
        <w:rPr>
          <w:rFonts w:eastAsia="Times New Roman"/>
          <w:lang w:eastAsia="fr-FR"/>
        </w:rPr>
        <w:t>’</w:t>
      </w:r>
      <w:r w:rsidRPr="00B10D4C">
        <w:rPr>
          <w:rFonts w:eastAsia="Times New Roman"/>
          <w:lang w:eastAsia="fr-FR"/>
        </w:rPr>
        <w:t>il agit comme membre d</w:t>
      </w:r>
      <w:r w:rsidRPr="00B10D4C" w:rsidR="00B10D4C">
        <w:rPr>
          <w:rFonts w:eastAsia="Times New Roman"/>
          <w:lang w:eastAsia="fr-FR"/>
        </w:rPr>
        <w:t>’</w:t>
      </w:r>
      <w:r w:rsidRPr="00B10D4C">
        <w:rPr>
          <w:rFonts w:eastAsia="Times New Roman"/>
          <w:lang w:eastAsia="fr-FR"/>
        </w:rPr>
        <w:t>une bande formée pour se livrer de manière systématique au trafic illicite de stupéfiants ;</w:t>
      </w:r>
    </w:p>
    <w:p w:rsidRPr="00B10D4C" w:rsidR="00540DD5" w:rsidP="00B10D4C" w:rsidRDefault="00540DD5">
      <w:pPr>
        <w:pStyle w:val="JuQuot"/>
        <w:rPr>
          <w:rFonts w:eastAsia="Times New Roman"/>
          <w:lang w:eastAsia="fr-FR"/>
        </w:rPr>
      </w:pPr>
      <w:r w:rsidRPr="00B10D4C">
        <w:rPr>
          <w:rFonts w:eastAsia="Times New Roman"/>
          <w:lang w:eastAsia="fr-FR"/>
        </w:rPr>
        <w:t>c. s</w:t>
      </w:r>
      <w:r w:rsidRPr="00B10D4C" w:rsidR="00B10D4C">
        <w:rPr>
          <w:rFonts w:eastAsia="Times New Roman"/>
          <w:lang w:eastAsia="fr-FR"/>
        </w:rPr>
        <w:t>’</w:t>
      </w:r>
      <w:r w:rsidRPr="00B10D4C">
        <w:rPr>
          <w:rFonts w:eastAsia="Times New Roman"/>
          <w:lang w:eastAsia="fr-FR"/>
        </w:rPr>
        <w:t>il se livre au trafic par métier et réalise ainsi un chiffre d</w:t>
      </w:r>
      <w:r w:rsidRPr="00B10D4C" w:rsidR="00B10D4C">
        <w:rPr>
          <w:rFonts w:eastAsia="Times New Roman"/>
          <w:lang w:eastAsia="fr-FR"/>
        </w:rPr>
        <w:t>’</w:t>
      </w:r>
      <w:r w:rsidRPr="00B10D4C">
        <w:rPr>
          <w:rFonts w:eastAsia="Times New Roman"/>
          <w:lang w:eastAsia="fr-FR"/>
        </w:rPr>
        <w:t>affaires ou un gain important ;</w:t>
      </w:r>
    </w:p>
    <w:p w:rsidRPr="00B10D4C" w:rsidR="00540DD5" w:rsidP="00B10D4C" w:rsidRDefault="00540DD5">
      <w:pPr>
        <w:pStyle w:val="JuQuot"/>
        <w:rPr>
          <w:rFonts w:eastAsia="Times New Roman"/>
          <w:lang w:eastAsia="fr-FR"/>
        </w:rPr>
      </w:pPr>
      <w:r w:rsidRPr="00B10D4C">
        <w:rPr>
          <w:rFonts w:eastAsia="Times New Roman"/>
          <w:lang w:eastAsia="fr-FR"/>
        </w:rPr>
        <w:t>d. si, par métier, il propose, cède ou permet de toute autre manière à des tiers d</w:t>
      </w:r>
      <w:r w:rsidRPr="00B10D4C" w:rsidR="00B10D4C">
        <w:rPr>
          <w:rFonts w:eastAsia="Times New Roman"/>
          <w:lang w:eastAsia="fr-FR"/>
        </w:rPr>
        <w:t>’</w:t>
      </w:r>
      <w:r w:rsidRPr="00B10D4C">
        <w:rPr>
          <w:rFonts w:eastAsia="Times New Roman"/>
          <w:lang w:eastAsia="fr-FR"/>
        </w:rPr>
        <w:t>avoir accès à des stupéfiants dans les lieux de formation principalement réservés aux mineurs ou dans leur périmètre immédiat.</w:t>
      </w:r>
    </w:p>
    <w:p w:rsidRPr="00B10D4C" w:rsidR="00540DD5" w:rsidP="00B10D4C" w:rsidRDefault="00540DD5">
      <w:pPr>
        <w:pStyle w:val="JuQuot"/>
        <w:rPr>
          <w:rFonts w:eastAsia="Times New Roman"/>
          <w:lang w:eastAsia="fr-FR"/>
        </w:rPr>
      </w:pPr>
      <w:r w:rsidRPr="00B10D4C">
        <w:rPr>
          <w:rFonts w:eastAsia="Times New Roman"/>
          <w:lang w:eastAsia="fr-FR"/>
        </w:rPr>
        <w:t>(...) »</w:t>
      </w:r>
      <w:bookmarkEnd w:id="9"/>
    </w:p>
    <w:p w:rsidRPr="00B10D4C" w:rsidR="00540DD5" w:rsidP="00B10D4C" w:rsidRDefault="00540DD5">
      <w:pPr>
        <w:pStyle w:val="JuHIRoman"/>
        <w:numPr>
          <w:ilvl w:val="1"/>
          <w:numId w:val="1"/>
        </w:numPr>
        <w:jc w:val="both"/>
      </w:pPr>
      <w:bookmarkStart w:name="para11" w:id="12"/>
      <w:r w:rsidRPr="00B10D4C">
        <w:t>Pratique interne pertinente</w:t>
      </w:r>
    </w:p>
    <w:bookmarkStart w:name="paragraphe11" w:id="13"/>
    <w:bookmarkEnd w:id="12"/>
    <w:p w:rsidRPr="00B10D4C" w:rsidR="00540DD5" w:rsidP="00B10D4C" w:rsidRDefault="00540DD5">
      <w:pPr>
        <w:pStyle w:val="JuPara"/>
      </w:pPr>
      <w:r w:rsidRPr="00B10D4C">
        <w:fldChar w:fldCharType="begin"/>
      </w:r>
      <w:r w:rsidRPr="00B10D4C">
        <w:instrText xml:space="preserve"> SEQ level0 \*arabic </w:instrText>
      </w:r>
      <w:r w:rsidRPr="00B10D4C">
        <w:fldChar w:fldCharType="separate"/>
      </w:r>
      <w:r w:rsidRPr="00B10D4C" w:rsidR="00B10D4C">
        <w:rPr>
          <w:noProof/>
        </w:rPr>
        <w:t>12</w:t>
      </w:r>
      <w:r w:rsidRPr="00B10D4C">
        <w:fldChar w:fldCharType="end"/>
      </w:r>
      <w:bookmarkEnd w:id="13"/>
      <w:r w:rsidRPr="00B10D4C">
        <w:t>.  Dans son arrêt du 11 mai 2006 (ATF 132 I 181), le Tribunal fédéral se prononça sur la protection des sources journalistiques dans le cadre d</w:t>
      </w:r>
      <w:r w:rsidRPr="00B10D4C" w:rsidR="00B10D4C">
        <w:t>’</w:t>
      </w:r>
      <w:r w:rsidRPr="00B10D4C">
        <w:t>une procédure pénale. Rappelant la genèse de l</w:t>
      </w:r>
      <w:r w:rsidRPr="00B10D4C" w:rsidR="00B10D4C">
        <w:t>’</w:t>
      </w:r>
      <w:r w:rsidRPr="00B10D4C">
        <w:t>ancien article 27</w:t>
      </w:r>
      <w:r w:rsidRPr="00B10D4C">
        <w:rPr>
          <w:vertAlign w:val="superscript"/>
        </w:rPr>
        <w:t xml:space="preserve">bis </w:t>
      </w:r>
      <w:r w:rsidRPr="00B10D4C">
        <w:t>du Code pénal (dont la teneur fut reprise à l</w:t>
      </w:r>
      <w:r w:rsidRPr="00B10D4C" w:rsidR="00B10D4C">
        <w:t>’</w:t>
      </w:r>
      <w:r w:rsidRPr="00B10D4C">
        <w:t>article 28a), le tribunal estima que le législateur n</w:t>
      </w:r>
      <w:r w:rsidRPr="00B10D4C" w:rsidR="00B10D4C">
        <w:t>’</w:t>
      </w:r>
      <w:r w:rsidRPr="00B10D4C">
        <w:t>était pas parvenu à formuler un catalogue d</w:t>
      </w:r>
      <w:r w:rsidRPr="00B10D4C" w:rsidR="00B10D4C">
        <w:t>’</w:t>
      </w:r>
      <w:r w:rsidRPr="00B10D4C">
        <w:t>exceptions cohérent sur le plan systématique. Néanmoins, il est important que les journalistes puissent assurer une discrétion absolue à leurs informateurs, ce qui ne serait pas possible si la protection assurée dépendait du résultat incertain d</w:t>
      </w:r>
      <w:r w:rsidRPr="00B10D4C" w:rsidR="00B10D4C">
        <w:t>’</w:t>
      </w:r>
      <w:r w:rsidRPr="00B10D4C">
        <w:t>une pesée des intérêts effectuée par un juge. L</w:t>
      </w:r>
      <w:r w:rsidRPr="00B10D4C" w:rsidR="00B10D4C">
        <w:t>’</w:t>
      </w:r>
      <w:r w:rsidRPr="00B10D4C">
        <w:t>objectif de la norme consiste donc à assurer la sécurité juridique aux journalistes ; par conséquent, la disposition n</w:t>
      </w:r>
      <w:r w:rsidRPr="00B10D4C" w:rsidR="00B10D4C">
        <w:t>’</w:t>
      </w:r>
      <w:r w:rsidRPr="00B10D4C">
        <w:t>exige pas que le professionnel des médias doive dévoiler ses sources dans chaque cas relevant du catalogue d</w:t>
      </w:r>
      <w:r w:rsidRPr="00B10D4C" w:rsidR="00B10D4C">
        <w:t>’</w:t>
      </w:r>
      <w:r w:rsidRPr="00B10D4C">
        <w:t>exceptions. De plus, selon les exigences de la Constitution fédérale et de la Convention européenne des droits de l</w:t>
      </w:r>
      <w:r w:rsidRPr="00B10D4C" w:rsidR="00B10D4C">
        <w:t>’</w:t>
      </w:r>
      <w:r w:rsidRPr="00B10D4C">
        <w:t>homme en matière d</w:t>
      </w:r>
      <w:r w:rsidRPr="00B10D4C" w:rsidR="00B10D4C">
        <w:t>’</w:t>
      </w:r>
      <w:r w:rsidRPr="00B10D4C">
        <w:t>ingérence dans la protection du secret de rédaction, un examen de la proportionnalité doit être effectué dans chaque cas d</w:t>
      </w:r>
      <w:r w:rsidRPr="00B10D4C" w:rsidR="00B10D4C">
        <w:t>’</w:t>
      </w:r>
      <w:r w:rsidRPr="00B10D4C">
        <w:t>application (considérant 2.3 de l</w:t>
      </w:r>
      <w:r w:rsidRPr="00B10D4C" w:rsidR="00B10D4C">
        <w:t>’</w:t>
      </w:r>
      <w:r w:rsidRPr="00B10D4C">
        <w:t>arrêt).</w:t>
      </w:r>
    </w:p>
    <w:p w:rsidRPr="00B10D4C" w:rsidR="00540DD5" w:rsidP="00B10D4C" w:rsidRDefault="00540DD5">
      <w:pPr>
        <w:pStyle w:val="JuPara"/>
      </w:pPr>
      <w:r w:rsidRPr="00B10D4C">
        <w:t>Le Tribunal fédéral releva que la loi elle-même délimite l</w:t>
      </w:r>
      <w:r w:rsidRPr="00B10D4C" w:rsidR="00B10D4C">
        <w:t>’</w:t>
      </w:r>
      <w:r w:rsidRPr="00B10D4C">
        <w:t>obligation de témoigner, exigeant que l</w:t>
      </w:r>
      <w:r w:rsidRPr="00B10D4C" w:rsidR="00B10D4C">
        <w:t>’</w:t>
      </w:r>
      <w:r w:rsidRPr="00B10D4C">
        <w:t>infraction en question ne puisse être élucidée ou que le coupable ne puisse être appréhendé sans témoignage du journaliste. Le principe de proportionnalité exige tout d</w:t>
      </w:r>
      <w:r w:rsidRPr="00B10D4C" w:rsidR="00B10D4C">
        <w:t>’</w:t>
      </w:r>
      <w:r w:rsidRPr="00B10D4C">
        <w:t>abord que l</w:t>
      </w:r>
      <w:r w:rsidRPr="00B10D4C" w:rsidR="00B10D4C">
        <w:t>’</w:t>
      </w:r>
      <w:r w:rsidRPr="00B10D4C">
        <w:t>obligation de témoigner soit apte à contribuer de manière directe à l</w:t>
      </w:r>
      <w:r w:rsidRPr="00B10D4C" w:rsidR="00B10D4C">
        <w:t>’</w:t>
      </w:r>
      <w:r w:rsidRPr="00B10D4C">
        <w:t>élucidation de l</w:t>
      </w:r>
      <w:r w:rsidRPr="00B10D4C" w:rsidR="00B10D4C">
        <w:t>’</w:t>
      </w:r>
      <w:r w:rsidRPr="00B10D4C">
        <w:t>infraction en question. Ensuite, le témoignage doit être nécessaire ; tel n</w:t>
      </w:r>
      <w:r w:rsidRPr="00B10D4C" w:rsidR="00B10D4C">
        <w:t>’</w:t>
      </w:r>
      <w:r w:rsidRPr="00B10D4C">
        <w:t>est pas le cas lorsque d</w:t>
      </w:r>
      <w:r w:rsidRPr="00B10D4C" w:rsidR="00B10D4C">
        <w:t>’</w:t>
      </w:r>
      <w:r w:rsidRPr="00B10D4C">
        <w:t>autres moyens de preuve sont disponibles, qui peuvent conduire au même résultat. Enfin, le principe de proportionnalité exige une pesée des intérêts. L</w:t>
      </w:r>
      <w:r w:rsidRPr="00B10D4C" w:rsidR="00B10D4C">
        <w:t>’</w:t>
      </w:r>
      <w:r w:rsidRPr="00B10D4C">
        <w:t>obligation de témoigner n</w:t>
      </w:r>
      <w:r w:rsidRPr="00B10D4C" w:rsidR="00B10D4C">
        <w:t>’</w:t>
      </w:r>
      <w:r w:rsidRPr="00B10D4C">
        <w:t>est justifiable que lorsque l</w:t>
      </w:r>
      <w:r w:rsidRPr="00B10D4C" w:rsidR="00B10D4C">
        <w:t>’</w:t>
      </w:r>
      <w:r w:rsidRPr="00B10D4C">
        <w:t>intérêt à la poursuite pénale prévaut sur l</w:t>
      </w:r>
      <w:r w:rsidRPr="00B10D4C" w:rsidR="00B10D4C">
        <w:t>’</w:t>
      </w:r>
      <w:r w:rsidRPr="00B10D4C">
        <w:t>intérêt du journaliste à ne pas divulguer ses sources (considérant 4.2 de l</w:t>
      </w:r>
      <w:r w:rsidRPr="00B10D4C" w:rsidR="00B10D4C">
        <w:t>’</w:t>
      </w:r>
      <w:r w:rsidRPr="00B10D4C">
        <w:t>arrêt). Lors de la pesée des intérêts, il y a lieu de prendre en compte notamment les circonstances de l</w:t>
      </w:r>
      <w:r w:rsidRPr="00B10D4C" w:rsidR="00B10D4C">
        <w:t>’</w:t>
      </w:r>
      <w:r w:rsidRPr="00B10D4C">
        <w:t>infraction présumée, l</w:t>
      </w:r>
      <w:r w:rsidRPr="00B10D4C" w:rsidR="00B10D4C">
        <w:t>’</w:t>
      </w:r>
      <w:r w:rsidRPr="00B10D4C">
        <w:t>état de l</w:t>
      </w:r>
      <w:r w:rsidRPr="00B10D4C" w:rsidR="00B10D4C">
        <w:t>’</w:t>
      </w:r>
      <w:r w:rsidRPr="00B10D4C">
        <w:t>enquête et la valeur possible du témoignage du journaliste (considérant 4.5 de l</w:t>
      </w:r>
      <w:r w:rsidRPr="00B10D4C" w:rsidR="00B10D4C">
        <w:t>’</w:t>
      </w:r>
      <w:r w:rsidRPr="00B10D4C">
        <w:t>arrêt).</w:t>
      </w:r>
    </w:p>
    <w:p w:rsidRPr="00B10D4C" w:rsidR="00540DD5" w:rsidP="00B10D4C" w:rsidRDefault="00540DD5">
      <w:pPr>
        <w:pStyle w:val="JuPara"/>
      </w:pPr>
      <w:r w:rsidRPr="00B10D4C">
        <w:fldChar w:fldCharType="begin"/>
      </w:r>
      <w:r w:rsidRPr="00B10D4C">
        <w:instrText xml:space="preserve"> SEQ level0 \*arabic </w:instrText>
      </w:r>
      <w:r w:rsidRPr="00B10D4C">
        <w:fldChar w:fldCharType="separate"/>
      </w:r>
      <w:r w:rsidRPr="00B10D4C" w:rsidR="00B10D4C">
        <w:rPr>
          <w:noProof/>
        </w:rPr>
        <w:t>13</w:t>
      </w:r>
      <w:r w:rsidRPr="00B10D4C">
        <w:fldChar w:fldCharType="end"/>
      </w:r>
      <w:r w:rsidRPr="00B10D4C">
        <w:t>.  Dans son arrêt du 10 novembre 2010 (ATF 136 IV 145) concernant la portée du secret de rédaction et de la protection des sources, le Tribunal fédéral examina le caractère proportionné de la disposition de l</w:t>
      </w:r>
      <w:r w:rsidRPr="00B10D4C" w:rsidR="00B10D4C">
        <w:t>’</w:t>
      </w:r>
      <w:r w:rsidRPr="00B10D4C">
        <w:t>article 28a du Code pénal sous l</w:t>
      </w:r>
      <w:r w:rsidRPr="00B10D4C" w:rsidR="00B10D4C">
        <w:t>’</w:t>
      </w:r>
      <w:r w:rsidRPr="00B10D4C">
        <w:t>angle des garanties constitutionnelles. Il nota que les limites posées à la protection des sources au sens de l</w:t>
      </w:r>
      <w:r w:rsidRPr="00B10D4C" w:rsidR="00B10D4C">
        <w:t>’</w:t>
      </w:r>
      <w:r w:rsidRPr="00B10D4C">
        <w:t>al. 2 se rapportent à des infractions graves. Cela signifie que la protection des sources s</w:t>
      </w:r>
      <w:r w:rsidRPr="00B10D4C" w:rsidR="00B10D4C">
        <w:t>’</w:t>
      </w:r>
      <w:r w:rsidRPr="00B10D4C">
        <w:t>applique de manière large et à des informations définies de manière large, le critère de la sécurité du droit étant déterminant.</w:t>
      </w:r>
    </w:p>
    <w:p w:rsidRPr="00B10D4C" w:rsidR="00540DD5" w:rsidP="00B10D4C" w:rsidRDefault="00540DD5">
      <w:pPr>
        <w:pStyle w:val="JuPara"/>
      </w:pPr>
      <w:r w:rsidRPr="00B10D4C">
        <w:fldChar w:fldCharType="begin"/>
      </w:r>
      <w:r w:rsidRPr="00B10D4C">
        <w:instrText xml:space="preserve"> SEQ level0 \*arabic </w:instrText>
      </w:r>
      <w:r w:rsidRPr="00B10D4C">
        <w:fldChar w:fldCharType="separate"/>
      </w:r>
      <w:r w:rsidRPr="00B10D4C" w:rsidR="00B10D4C">
        <w:rPr>
          <w:noProof/>
        </w:rPr>
        <w:t>14</w:t>
      </w:r>
      <w:r w:rsidRPr="00B10D4C">
        <w:fldChar w:fldCharType="end"/>
      </w:r>
      <w:r w:rsidRPr="00B10D4C">
        <w:t xml:space="preserve">.  Dans son arrêt du 22 juillet 2014 (ATF 140 IV 108), le Tribunal fédéral </w:t>
      </w:r>
      <w:r w:rsidRPr="00B10D4C">
        <w:rPr>
          <w:bCs/>
        </w:rPr>
        <w:t xml:space="preserve">observa que tant lui que </w:t>
      </w:r>
      <w:r w:rsidRPr="00B10D4C">
        <w:t>la Cour européenne des droits de l</w:t>
      </w:r>
      <w:r w:rsidRPr="00B10D4C" w:rsidR="00B10D4C">
        <w:t>’</w:t>
      </w:r>
      <w:r w:rsidRPr="00B10D4C">
        <w:t>homme accordent une importance considérable à la protection des sources en tant que pierre angulaire de la liberté de la presse, ce qui plaide pour une protection des sources tendanciellement étendue. C</w:t>
      </w:r>
      <w:r w:rsidRPr="00B10D4C" w:rsidR="00B10D4C">
        <w:t>’</w:t>
      </w:r>
      <w:r w:rsidRPr="00B10D4C">
        <w:t>est pourquoi il considéra que, s</w:t>
      </w:r>
      <w:r w:rsidRPr="00B10D4C">
        <w:rPr>
          <w:rFonts w:cstheme="minorHAnsi"/>
          <w:color w:val="000000"/>
        </w:rPr>
        <w:t>elon l</w:t>
      </w:r>
      <w:r w:rsidRPr="00B10D4C" w:rsidR="00B10D4C">
        <w:rPr>
          <w:rFonts w:cstheme="minorHAnsi"/>
          <w:color w:val="000000"/>
        </w:rPr>
        <w:t>’</w:t>
      </w:r>
      <w:r w:rsidRPr="00B10D4C">
        <w:rPr>
          <w:rFonts w:cstheme="minorHAnsi"/>
          <w:color w:val="000000"/>
        </w:rPr>
        <w:t xml:space="preserve">art. 264 al. 1er let. </w:t>
      </w:r>
      <w:proofErr w:type="gramStart"/>
      <w:r w:rsidRPr="00B10D4C">
        <w:rPr>
          <w:rFonts w:cstheme="minorHAnsi"/>
          <w:color w:val="000000"/>
        </w:rPr>
        <w:t>c</w:t>
      </w:r>
      <w:proofErr w:type="gramEnd"/>
      <w:r w:rsidRPr="00B10D4C">
        <w:rPr>
          <w:rFonts w:cstheme="minorHAnsi"/>
          <w:color w:val="000000"/>
        </w:rPr>
        <w:t xml:space="preserve"> du Code de procédure pénale, </w:t>
      </w:r>
      <w:r w:rsidRPr="00B10D4C">
        <w:rPr>
          <w:rFonts w:cstheme="minorHAnsi"/>
        </w:rPr>
        <w:t>l</w:t>
      </w:r>
      <w:r w:rsidRPr="00B10D4C" w:rsidR="00B10D4C">
        <w:rPr>
          <w:rFonts w:cstheme="minorHAnsi"/>
        </w:rPr>
        <w:t>’</w:t>
      </w:r>
      <w:r w:rsidRPr="00B10D4C">
        <w:t>interdiction de séquestre s</w:t>
      </w:r>
      <w:r w:rsidRPr="00B10D4C" w:rsidR="00B10D4C">
        <w:t>’</w:t>
      </w:r>
      <w:r w:rsidRPr="00B10D4C">
        <w:t>étend non seulement aux documents qui se trouvent auprès des professionnels des médias mais aussi à ceux qui sont en mains du prévenu ou de tiers. En effet, les médias exercent une « fonction de surveillance ». Ils doivent en particulier pouvoir mettre à jour librement les dysfonctionnements de l</w:t>
      </w:r>
      <w:r w:rsidRPr="00B10D4C" w:rsidR="00B10D4C">
        <w:t>’</w:t>
      </w:r>
      <w:r w:rsidRPr="00B10D4C">
        <w:t>État et de la société. Pour ce faire, ils doivent parvenir à obtenir les informations nécessaires. Le droit de refuser de témoigner des professionnels des médias selon l</w:t>
      </w:r>
      <w:r w:rsidRPr="00B10D4C" w:rsidR="00B10D4C">
        <w:t>’</w:t>
      </w:r>
      <w:r w:rsidRPr="00B10D4C">
        <w:t>art. 172 du Code de procédure pénale et l</w:t>
      </w:r>
      <w:r w:rsidRPr="00B10D4C" w:rsidR="00B10D4C">
        <w:t>’</w:t>
      </w:r>
      <w:r w:rsidRPr="00B10D4C">
        <w:t>interdiction de séquestre de l</w:t>
      </w:r>
      <w:r w:rsidRPr="00B10D4C" w:rsidR="00B10D4C">
        <w:t>’</w:t>
      </w:r>
      <w:r w:rsidRPr="00B10D4C">
        <w:t xml:space="preserve">art. 264 al. 1er let. </w:t>
      </w:r>
      <w:proofErr w:type="gramStart"/>
      <w:r w:rsidRPr="00B10D4C">
        <w:t>c</w:t>
      </w:r>
      <w:proofErr w:type="gramEnd"/>
      <w:r w:rsidRPr="00B10D4C">
        <w:t xml:space="preserve"> dudit code facilitent cela. Si l</w:t>
      </w:r>
      <w:r w:rsidRPr="00B10D4C" w:rsidR="00B10D4C">
        <w:t>’</w:t>
      </w:r>
      <w:r w:rsidRPr="00B10D4C">
        <w:t>informateur peut partir du principe que son nom restera secret, il rendra les informations d</w:t>
      </w:r>
      <w:r w:rsidRPr="00B10D4C" w:rsidR="00B10D4C">
        <w:t>’</w:t>
      </w:r>
      <w:r w:rsidRPr="00B10D4C">
        <w:t>autant plus accessibles aux médias que s</w:t>
      </w:r>
      <w:r w:rsidRPr="00B10D4C" w:rsidR="00B10D4C">
        <w:t>’</w:t>
      </w:r>
      <w:r w:rsidRPr="00B10D4C">
        <w:t>il devait compter avec la divulgation de son nom, qui pourrait avoir pour lui des conséquences juridiques, professionnelles et sociales. L</w:t>
      </w:r>
      <w:r w:rsidRPr="00B10D4C" w:rsidR="00B10D4C">
        <w:t>’</w:t>
      </w:r>
      <w:r w:rsidRPr="00B10D4C">
        <w:t>étendue de l</w:t>
      </w:r>
      <w:r w:rsidRPr="00B10D4C" w:rsidR="00B10D4C">
        <w:t>’</w:t>
      </w:r>
      <w:r w:rsidRPr="00B10D4C">
        <w:t>interdiction de séquestre joue un rôle sur ce point. Si la communication entre l</w:t>
      </w:r>
      <w:r w:rsidRPr="00B10D4C" w:rsidR="00B10D4C">
        <w:t>’</w:t>
      </w:r>
      <w:r w:rsidRPr="00B10D4C">
        <w:t>informateur et le journaliste a lieu par écrit, cela laisse des traces. La perspective que le contenu de la communication avec le journaliste puisse être séquestré auprès de l</w:t>
      </w:r>
      <w:r w:rsidRPr="00B10D4C" w:rsidR="00B10D4C">
        <w:t>’</w:t>
      </w:r>
      <w:r w:rsidRPr="00B10D4C">
        <w:t>informateur pourrait dissuader celui-ci de faire parvenir l</w:t>
      </w:r>
      <w:r w:rsidRPr="00B10D4C" w:rsidR="00B10D4C">
        <w:t>’</w:t>
      </w:r>
      <w:r w:rsidRPr="00B10D4C">
        <w:t>information au journaliste. L</w:t>
      </w:r>
      <w:r w:rsidRPr="00B10D4C" w:rsidR="00B10D4C">
        <w:t>’</w:t>
      </w:r>
      <w:r w:rsidRPr="00B10D4C">
        <w:t>informateur ne peut, de surcroît, jamais être complètement sûr que le journaliste ne remette pas à un tiers les documents desquels ressort la source des informations. Si l</w:t>
      </w:r>
      <w:r w:rsidRPr="00B10D4C" w:rsidR="00B10D4C">
        <w:t>’</w:t>
      </w:r>
      <w:r w:rsidRPr="00B10D4C">
        <w:t>informateur devait compter avec le fait que les documents puissent être séquestrés auprès d</w:t>
      </w:r>
      <w:r w:rsidRPr="00B10D4C" w:rsidR="00B10D4C">
        <w:t>’</w:t>
      </w:r>
      <w:r w:rsidRPr="00B10D4C">
        <w:t>un tiers, cela pourrait également le dissuader de faire parvenir l</w:t>
      </w:r>
      <w:r w:rsidRPr="00B10D4C" w:rsidR="00B10D4C">
        <w:t>’</w:t>
      </w:r>
      <w:r w:rsidRPr="00B10D4C">
        <w:t>information au journaliste. Tout cela serait préjudiciable à la fonction de surveillance des médias.</w:t>
      </w:r>
    </w:p>
    <w:p w:rsidRPr="00B10D4C" w:rsidR="00540DD5" w:rsidP="00B10D4C" w:rsidRDefault="00540DD5">
      <w:pPr>
        <w:pStyle w:val="JuHHead"/>
        <w:numPr>
          <w:ilvl w:val="0"/>
          <w:numId w:val="1"/>
        </w:numPr>
        <w:jc w:val="both"/>
      </w:pPr>
      <w:r w:rsidRPr="00B10D4C">
        <w:t>LES INSTRUMENTS INTERNATIONAUX PERTINENTS</w:t>
      </w:r>
    </w:p>
    <w:p w:rsidRPr="00B10D4C" w:rsidR="00540DD5" w:rsidP="00B10D4C" w:rsidRDefault="00540DD5">
      <w:pPr>
        <w:pStyle w:val="JuPara"/>
      </w:pPr>
      <w:r w:rsidRPr="00B10D4C">
        <w:fldChar w:fldCharType="begin"/>
      </w:r>
      <w:r w:rsidRPr="00B10D4C">
        <w:instrText xml:space="preserve"> SEQ level0 \*arabic </w:instrText>
      </w:r>
      <w:r w:rsidRPr="00B10D4C">
        <w:fldChar w:fldCharType="separate"/>
      </w:r>
      <w:r w:rsidRPr="00B10D4C" w:rsidR="00B10D4C">
        <w:rPr>
          <w:noProof/>
        </w:rPr>
        <w:t>15</w:t>
      </w:r>
      <w:r w:rsidRPr="00B10D4C">
        <w:fldChar w:fldCharType="end"/>
      </w:r>
      <w:r w:rsidRPr="00B10D4C">
        <w:t>.  Les éléments pertinents du droit international sont résumés notamment dans l</w:t>
      </w:r>
      <w:r w:rsidRPr="00B10D4C" w:rsidR="00B10D4C">
        <w:t>’</w:t>
      </w:r>
      <w:r w:rsidRPr="00B10D4C">
        <w:t xml:space="preserve">arrêt </w:t>
      </w:r>
      <w:r w:rsidRPr="00B10D4C">
        <w:rPr>
          <w:i/>
          <w:iCs/>
        </w:rPr>
        <w:t>Becker c. Norvège</w:t>
      </w:r>
      <w:r w:rsidRPr="00B10D4C">
        <w:t xml:space="preserve"> (n</w:t>
      </w:r>
      <w:r w:rsidRPr="00B10D4C">
        <w:rPr>
          <w:vertAlign w:val="superscript"/>
        </w:rPr>
        <w:t>o</w:t>
      </w:r>
      <w:r w:rsidRPr="00B10D4C">
        <w:t xml:space="preserve"> 21272/12, §§ 39-41, 5 </w:t>
      </w:r>
      <w:r w:rsidRPr="00B10D4C" w:rsidR="00C05AB5">
        <w:t> </w:t>
      </w:r>
      <w:r w:rsidRPr="00B10D4C">
        <w:t xml:space="preserve">octobre </w:t>
      </w:r>
      <w:r w:rsidRPr="00B10D4C" w:rsidR="00C05AB5">
        <w:t> </w:t>
      </w:r>
      <w:r w:rsidRPr="00B10D4C">
        <w:t>2017).</w:t>
      </w:r>
    </w:p>
    <w:p w:rsidRPr="00B10D4C" w:rsidR="00540DD5" w:rsidP="00B10D4C" w:rsidRDefault="00540DD5">
      <w:pPr>
        <w:pStyle w:val="JuHHead"/>
        <w:numPr>
          <w:ilvl w:val="0"/>
          <w:numId w:val="1"/>
        </w:numPr>
        <w:jc w:val="both"/>
      </w:pPr>
      <w:bookmarkStart w:name="_Hlk36127250" w:id="14"/>
      <w:r w:rsidRPr="00B10D4C">
        <w:rPr>
          <w:caps w:val="0"/>
        </w:rPr>
        <w:t>EN DROIT</w:t>
      </w:r>
    </w:p>
    <w:p w:rsidRPr="00B10D4C" w:rsidR="00540DD5" w:rsidP="00B10D4C" w:rsidRDefault="00540DD5">
      <w:pPr>
        <w:pStyle w:val="JuHIRoman"/>
        <w:numPr>
          <w:ilvl w:val="1"/>
          <w:numId w:val="1"/>
        </w:numPr>
        <w:jc w:val="both"/>
        <w:rPr>
          <w:lang w:val="fr-FR"/>
        </w:rPr>
      </w:pPr>
      <w:bookmarkStart w:name="_Hlk36127423" w:id="15"/>
      <w:bookmarkStart w:name="_Hlk34839031" w:id="16"/>
      <w:bookmarkEnd w:id="14"/>
      <w:r w:rsidRPr="00B10D4C">
        <w:rPr>
          <w:lang w:val="fr-FR"/>
        </w:rPr>
        <w:t>SUR LA VIOLATION ALLÉGUÉE DE L</w:t>
      </w:r>
      <w:r w:rsidRPr="00B10D4C" w:rsidR="00B10D4C">
        <w:rPr>
          <w:lang w:val="fr-FR"/>
        </w:rPr>
        <w:t>’</w:t>
      </w:r>
      <w:r w:rsidRPr="00B10D4C">
        <w:rPr>
          <w:lang w:val="fr-FR"/>
        </w:rPr>
        <w:t>ARTICLE 10 DE LA CONVENTION</w:t>
      </w:r>
      <w:bookmarkEnd w:id="15"/>
    </w:p>
    <w:p w:rsidRPr="00B10D4C" w:rsidR="00540DD5" w:rsidP="00B10D4C" w:rsidRDefault="00540DD5">
      <w:pPr>
        <w:pStyle w:val="JuPara"/>
      </w:pPr>
      <w:r w:rsidRPr="00B10D4C">
        <w:fldChar w:fldCharType="begin"/>
      </w:r>
      <w:r w:rsidRPr="00B10D4C">
        <w:instrText xml:space="preserve"> SEQ level0 \*arabic </w:instrText>
      </w:r>
      <w:r w:rsidRPr="00B10D4C">
        <w:fldChar w:fldCharType="separate"/>
      </w:r>
      <w:r w:rsidRPr="00B10D4C" w:rsidR="00B10D4C">
        <w:rPr>
          <w:noProof/>
        </w:rPr>
        <w:t>16</w:t>
      </w:r>
      <w:r w:rsidRPr="00B10D4C">
        <w:fldChar w:fldCharType="end"/>
      </w:r>
      <w:r w:rsidRPr="00B10D4C">
        <w:t xml:space="preserve">.  La requérante se plaint </w:t>
      </w:r>
      <w:bookmarkStart w:name="_Hlk36127488" w:id="17"/>
      <w:r w:rsidRPr="00B10D4C">
        <w:t>que l</w:t>
      </w:r>
      <w:r w:rsidRPr="00B10D4C" w:rsidR="00B10D4C">
        <w:t>’</w:t>
      </w:r>
      <w:r w:rsidRPr="00B10D4C">
        <w:t>obligation qui lui a été faite de dévoiler sa source journalistique constitue une ingérence disproportionnée dans sa liberté d</w:t>
      </w:r>
      <w:r w:rsidRPr="00B10D4C" w:rsidR="00B10D4C">
        <w:t>’</w:t>
      </w:r>
      <w:r w:rsidRPr="00B10D4C">
        <w:t>expression.</w:t>
      </w:r>
      <w:bookmarkEnd w:id="17"/>
      <w:r w:rsidRPr="00B10D4C">
        <w:t xml:space="preserve"> Elle invoque </w:t>
      </w:r>
      <w:bookmarkStart w:name="_Hlk36127508" w:id="18"/>
      <w:r w:rsidRPr="00B10D4C">
        <w:t>l</w:t>
      </w:r>
      <w:r w:rsidRPr="00B10D4C" w:rsidR="00B10D4C">
        <w:t>’</w:t>
      </w:r>
      <w:r w:rsidRPr="00B10D4C">
        <w:t>article 10 de la Convention, qui est ainsi libellé dans sa partie pertinente :</w:t>
      </w:r>
    </w:p>
    <w:p w:rsidRPr="00B10D4C" w:rsidR="00540DD5" w:rsidP="00B10D4C" w:rsidRDefault="00540DD5">
      <w:pPr>
        <w:pStyle w:val="JuQuot"/>
      </w:pPr>
      <w:bookmarkStart w:name="_Hlk36127545" w:id="19"/>
      <w:bookmarkEnd w:id="18"/>
      <w:r w:rsidRPr="00B10D4C">
        <w:t>« 1.  Toute personne a droit à la liberté d</w:t>
      </w:r>
      <w:r w:rsidRPr="00B10D4C" w:rsidR="00B10D4C">
        <w:t>’</w:t>
      </w:r>
      <w:r w:rsidRPr="00B10D4C">
        <w:t>expression. Ce droit comprend la liberté d</w:t>
      </w:r>
      <w:r w:rsidRPr="00B10D4C" w:rsidR="00B10D4C">
        <w:t>’</w:t>
      </w:r>
      <w:r w:rsidRPr="00B10D4C">
        <w:t>opinion et la liberté de recevoir ou de communiquer des informations ou des idées sans qu</w:t>
      </w:r>
      <w:r w:rsidRPr="00B10D4C" w:rsidR="00B10D4C">
        <w:t>’</w:t>
      </w:r>
      <w:r w:rsidRPr="00B10D4C">
        <w:t>il puisse y avoir ingérence d</w:t>
      </w:r>
      <w:r w:rsidRPr="00B10D4C" w:rsidR="00B10D4C">
        <w:t>’</w:t>
      </w:r>
      <w:r w:rsidRPr="00B10D4C">
        <w:t>autorités publiques et sans considération de frontière. (...)</w:t>
      </w:r>
    </w:p>
    <w:p w:rsidRPr="00B10D4C" w:rsidR="00540DD5" w:rsidP="00B10D4C" w:rsidRDefault="00540DD5">
      <w:pPr>
        <w:pStyle w:val="JuQuot"/>
      </w:pPr>
      <w:r w:rsidRPr="00B10D4C">
        <w:t>2.  L</w:t>
      </w:r>
      <w:r w:rsidRPr="00B10D4C" w:rsidR="00B10D4C">
        <w:t>’</w:t>
      </w:r>
      <w:r w:rsidRPr="00B10D4C">
        <w:t>exercice de ces libertés comportant des devoirs et des responsabilités peut être soumis à certaines formalités, conditions, restrictions ou sanctions prévues par la loi, qui constituent des mesures nécessaires, dans une société démocratique, à la sécurité nationale, à l</w:t>
      </w:r>
      <w:r w:rsidRPr="00B10D4C" w:rsidR="00B10D4C">
        <w:t>’</w:t>
      </w:r>
      <w:r w:rsidRPr="00B10D4C">
        <w:t>intégrité territoriale ou à la sûreté publique, à la défense de l</w:t>
      </w:r>
      <w:r w:rsidRPr="00B10D4C" w:rsidR="00B10D4C">
        <w:t>’</w:t>
      </w:r>
      <w:r w:rsidRPr="00B10D4C">
        <w:t>ordre et à la prévention du crime, à la protection de la santé ou de la morale, à la protection de la réputation ou des droits d</w:t>
      </w:r>
      <w:r w:rsidRPr="00B10D4C" w:rsidR="00B10D4C">
        <w:t>’</w:t>
      </w:r>
      <w:r w:rsidRPr="00B10D4C">
        <w:t>autrui, pour empêcher la divulgation d</w:t>
      </w:r>
      <w:r w:rsidRPr="00B10D4C" w:rsidR="00B10D4C">
        <w:t>’</w:t>
      </w:r>
      <w:r w:rsidRPr="00B10D4C">
        <w:t>informations confidentielles ou pour garantir l</w:t>
      </w:r>
      <w:r w:rsidRPr="00B10D4C" w:rsidR="00B10D4C">
        <w:t>’</w:t>
      </w:r>
      <w:r w:rsidRPr="00B10D4C">
        <w:t>autorité et l</w:t>
      </w:r>
      <w:r w:rsidRPr="00B10D4C" w:rsidR="00B10D4C">
        <w:t>’</w:t>
      </w:r>
      <w:r w:rsidRPr="00B10D4C">
        <w:t>impartialité du pouvoir judiciaire. »</w:t>
      </w:r>
    </w:p>
    <w:p w:rsidRPr="00B10D4C" w:rsidR="00540DD5" w:rsidP="00B10D4C" w:rsidRDefault="00540DD5">
      <w:pPr>
        <w:pStyle w:val="JuHA"/>
        <w:numPr>
          <w:ilvl w:val="2"/>
          <w:numId w:val="1"/>
        </w:numPr>
        <w:jc w:val="both"/>
      </w:pPr>
      <w:r w:rsidRPr="00B10D4C">
        <w:t xml:space="preserve">Sur la </w:t>
      </w:r>
      <w:proofErr w:type="spellStart"/>
      <w:r w:rsidRPr="00B10D4C">
        <w:t>recevabilité</w:t>
      </w:r>
      <w:bookmarkEnd w:id="19"/>
      <w:proofErr w:type="spellEnd"/>
    </w:p>
    <w:bookmarkStart w:name="_Hlk36127606" w:id="20"/>
    <w:p w:rsidRPr="00B10D4C" w:rsidR="00540DD5" w:rsidP="00B10D4C" w:rsidRDefault="00540DD5">
      <w:pPr>
        <w:pStyle w:val="JuPara"/>
      </w:pPr>
      <w:r w:rsidRPr="00B10D4C">
        <w:fldChar w:fldCharType="begin"/>
      </w:r>
      <w:r w:rsidRPr="00B10D4C">
        <w:instrText xml:space="preserve"> SEQ level0 \*arabic </w:instrText>
      </w:r>
      <w:r w:rsidRPr="00B10D4C">
        <w:fldChar w:fldCharType="separate"/>
      </w:r>
      <w:r w:rsidRPr="00B10D4C" w:rsidR="00B10D4C">
        <w:rPr>
          <w:noProof/>
        </w:rPr>
        <w:t>17</w:t>
      </w:r>
      <w:r w:rsidRPr="00B10D4C">
        <w:fldChar w:fldCharType="end"/>
      </w:r>
      <w:r w:rsidRPr="00B10D4C">
        <w:t>.  Constatant que la requête n</w:t>
      </w:r>
      <w:r w:rsidRPr="00B10D4C" w:rsidR="00B10D4C">
        <w:t>’</w:t>
      </w:r>
      <w:r w:rsidRPr="00B10D4C">
        <w:t>est pas manifestement mal fondée ni irrecevable pour un autre motif visé à l</w:t>
      </w:r>
      <w:r w:rsidRPr="00B10D4C" w:rsidR="00B10D4C">
        <w:t>’</w:t>
      </w:r>
      <w:r w:rsidRPr="00B10D4C">
        <w:t>article 35 de la Convention, la Cour la déclare recevable.</w:t>
      </w:r>
      <w:bookmarkEnd w:id="20"/>
    </w:p>
    <w:p w:rsidRPr="00B10D4C" w:rsidR="00540DD5" w:rsidP="00B10D4C" w:rsidRDefault="00540DD5">
      <w:pPr>
        <w:pStyle w:val="JuHA"/>
        <w:numPr>
          <w:ilvl w:val="2"/>
          <w:numId w:val="1"/>
        </w:numPr>
        <w:jc w:val="both"/>
      </w:pPr>
      <w:bookmarkStart w:name="_Hlk36127650" w:id="21"/>
      <w:r w:rsidRPr="00B10D4C">
        <w:t>Sur le fond</w:t>
      </w:r>
      <w:bookmarkEnd w:id="21"/>
    </w:p>
    <w:p w:rsidRPr="00B10D4C" w:rsidR="00540DD5" w:rsidP="00B10D4C" w:rsidRDefault="00540DD5">
      <w:pPr>
        <w:pStyle w:val="JuH1"/>
        <w:numPr>
          <w:ilvl w:val="3"/>
          <w:numId w:val="1"/>
        </w:numPr>
        <w:jc w:val="both"/>
      </w:pPr>
      <w:proofErr w:type="spellStart"/>
      <w:r w:rsidRPr="00B10D4C">
        <w:t>Thèses</w:t>
      </w:r>
      <w:proofErr w:type="spellEnd"/>
      <w:r w:rsidRPr="00B10D4C">
        <w:t xml:space="preserve"> des parties</w:t>
      </w:r>
    </w:p>
    <w:p w:rsidRPr="00B10D4C" w:rsidR="00540DD5" w:rsidP="00B10D4C" w:rsidRDefault="00540DD5">
      <w:pPr>
        <w:pStyle w:val="JuHa0"/>
        <w:numPr>
          <w:ilvl w:val="4"/>
          <w:numId w:val="1"/>
        </w:numPr>
        <w:jc w:val="both"/>
      </w:pPr>
      <w:r w:rsidRPr="00B10D4C">
        <w:t xml:space="preserve">La </w:t>
      </w:r>
      <w:proofErr w:type="spellStart"/>
      <w:r w:rsidRPr="00B10D4C">
        <w:t>requérante</w:t>
      </w:r>
      <w:proofErr w:type="spellEnd"/>
    </w:p>
    <w:p w:rsidRPr="00B10D4C" w:rsidR="00540DD5" w:rsidP="00B10D4C" w:rsidRDefault="00540DD5">
      <w:pPr>
        <w:pStyle w:val="JuPara"/>
      </w:pPr>
      <w:r w:rsidRPr="00B10D4C">
        <w:fldChar w:fldCharType="begin"/>
      </w:r>
      <w:r w:rsidRPr="00B10D4C">
        <w:instrText xml:space="preserve"> SEQ level0 \*arabic </w:instrText>
      </w:r>
      <w:r w:rsidRPr="00B10D4C">
        <w:fldChar w:fldCharType="separate"/>
      </w:r>
      <w:r w:rsidRPr="00B10D4C" w:rsidR="00B10D4C">
        <w:rPr>
          <w:noProof/>
        </w:rPr>
        <w:t>18</w:t>
      </w:r>
      <w:r w:rsidRPr="00B10D4C">
        <w:fldChar w:fldCharType="end"/>
      </w:r>
      <w:r w:rsidRPr="00B10D4C">
        <w:t>.  La requérante souligne que l</w:t>
      </w:r>
      <w:r w:rsidRPr="00B10D4C" w:rsidR="00B10D4C">
        <w:t>’</w:t>
      </w:r>
      <w:r w:rsidRPr="00B10D4C">
        <w:t>infraction au sujet de laquelle elle était tenue de témoigner afin de révéler l</w:t>
      </w:r>
      <w:r w:rsidRPr="00B10D4C" w:rsidR="00B10D4C">
        <w:t>’</w:t>
      </w:r>
      <w:r w:rsidRPr="00B10D4C">
        <w:t>identité de son auteur concernait le haschich et le cannabis, donc des drogues douces. Par conséquent, cette infraction ne saurait être qualifiée de grave au sens de la loi fédérale sur les stupéfiants et les substances psychotropes car elle ne met pas en danger la santé d</w:t>
      </w:r>
      <w:r w:rsidRPr="00B10D4C" w:rsidR="00B10D4C">
        <w:t>’</w:t>
      </w:r>
      <w:r w:rsidRPr="00B10D4C">
        <w:t>un grand nombre de personnes. Tel serait le cas même s</w:t>
      </w:r>
      <w:r w:rsidRPr="00B10D4C" w:rsidR="00B10D4C">
        <w:t>’</w:t>
      </w:r>
      <w:r w:rsidRPr="00B10D4C">
        <w:t>il s</w:t>
      </w:r>
      <w:r w:rsidRPr="00B10D4C" w:rsidR="00B10D4C">
        <w:t>’</w:t>
      </w:r>
      <w:r w:rsidRPr="00B10D4C">
        <w:t>agissait d</w:t>
      </w:r>
      <w:r w:rsidRPr="00B10D4C" w:rsidR="00B10D4C">
        <w:t>’</w:t>
      </w:r>
      <w:r w:rsidRPr="00B10D4C">
        <w:t>un trafic de drogues douces par métier, qui serait passible d</w:t>
      </w:r>
      <w:r w:rsidRPr="00B10D4C" w:rsidR="00B10D4C">
        <w:t>’</w:t>
      </w:r>
      <w:r w:rsidRPr="00B10D4C">
        <w:t>une peine privative de liberté d</w:t>
      </w:r>
      <w:r w:rsidRPr="00B10D4C" w:rsidR="00B10D4C">
        <w:t>’</w:t>
      </w:r>
      <w:r w:rsidRPr="00B10D4C">
        <w:t>un peu plus de douze mois.</w:t>
      </w:r>
    </w:p>
    <w:p w:rsidRPr="00B10D4C" w:rsidR="00540DD5" w:rsidP="00B10D4C" w:rsidRDefault="00540DD5">
      <w:pPr>
        <w:pStyle w:val="JuPara"/>
      </w:pPr>
      <w:r w:rsidRPr="00B10D4C">
        <w:fldChar w:fldCharType="begin"/>
      </w:r>
      <w:r w:rsidRPr="00B10D4C">
        <w:instrText xml:space="preserve"> SEQ level0 \*arabic </w:instrText>
      </w:r>
      <w:r w:rsidRPr="00B10D4C">
        <w:fldChar w:fldCharType="separate"/>
      </w:r>
      <w:r w:rsidRPr="00B10D4C" w:rsidR="00B10D4C">
        <w:rPr>
          <w:noProof/>
        </w:rPr>
        <w:t>19</w:t>
      </w:r>
      <w:r w:rsidRPr="00B10D4C">
        <w:fldChar w:fldCharType="end"/>
      </w:r>
      <w:r w:rsidRPr="00B10D4C">
        <w:t>.  La requérante fait en outre valoir que le montant du chiffre d</w:t>
      </w:r>
      <w:r w:rsidRPr="00B10D4C" w:rsidR="00B10D4C">
        <w:t>’</w:t>
      </w:r>
      <w:r w:rsidRPr="00B10D4C">
        <w:t>affaires et des revenus provenant de l</w:t>
      </w:r>
      <w:r w:rsidRPr="00B10D4C" w:rsidR="00B10D4C">
        <w:t>’</w:t>
      </w:r>
      <w:r w:rsidRPr="00B10D4C">
        <w:t>activité du revendeur se base uniquement sur les déclarations de celui-ci, qui sont vraisemblablement exagérées.</w:t>
      </w:r>
    </w:p>
    <w:p w:rsidRPr="00B10D4C" w:rsidR="00540DD5" w:rsidP="00B10D4C" w:rsidRDefault="00540DD5">
      <w:pPr>
        <w:pStyle w:val="JuPara"/>
      </w:pPr>
      <w:r w:rsidRPr="00B10D4C">
        <w:fldChar w:fldCharType="begin"/>
      </w:r>
      <w:r w:rsidRPr="00B10D4C">
        <w:instrText xml:space="preserve"> SEQ level0 \*arabic </w:instrText>
      </w:r>
      <w:r w:rsidRPr="00B10D4C">
        <w:fldChar w:fldCharType="separate"/>
      </w:r>
      <w:r w:rsidRPr="00B10D4C" w:rsidR="00B10D4C">
        <w:rPr>
          <w:noProof/>
        </w:rPr>
        <w:t>20</w:t>
      </w:r>
      <w:r w:rsidRPr="00B10D4C">
        <w:fldChar w:fldCharType="end"/>
      </w:r>
      <w:r w:rsidRPr="00B10D4C">
        <w:t>.  Enfin, de l</w:t>
      </w:r>
      <w:r w:rsidRPr="00B10D4C" w:rsidR="00B10D4C">
        <w:t>’</w:t>
      </w:r>
      <w:r w:rsidRPr="00B10D4C">
        <w:t>avis de la requérante, une prise en considération correcte des différents intérêts en jeu aurait clairement dû pencher en faveur de la liberté d</w:t>
      </w:r>
      <w:r w:rsidRPr="00B10D4C" w:rsidR="00B10D4C">
        <w:t>’</w:t>
      </w:r>
      <w:r w:rsidRPr="00B10D4C">
        <w:t>opinion et de la liberté de la presse garanties par l</w:t>
      </w:r>
      <w:r w:rsidRPr="00B10D4C" w:rsidR="00B10D4C">
        <w:t>’</w:t>
      </w:r>
      <w:r w:rsidRPr="00B10D4C">
        <w:t>article 10. Selon elle, l</w:t>
      </w:r>
      <w:r w:rsidRPr="00B10D4C" w:rsidR="00B10D4C">
        <w:t>’</w:t>
      </w:r>
      <w:r w:rsidRPr="00B10D4C">
        <w:t>ingérence en question a donc été disproportionnée.</w:t>
      </w:r>
    </w:p>
    <w:p w:rsidRPr="00B10D4C" w:rsidR="00540DD5" w:rsidP="00B10D4C" w:rsidRDefault="00540DD5">
      <w:pPr>
        <w:pStyle w:val="JuHa0"/>
        <w:numPr>
          <w:ilvl w:val="4"/>
          <w:numId w:val="1"/>
        </w:numPr>
        <w:jc w:val="both"/>
      </w:pPr>
      <w:r w:rsidRPr="00B10D4C">
        <w:t xml:space="preserve">Le </w:t>
      </w:r>
      <w:proofErr w:type="spellStart"/>
      <w:r w:rsidRPr="00B10D4C">
        <w:t>Gouvernement</w:t>
      </w:r>
      <w:proofErr w:type="spellEnd"/>
    </w:p>
    <w:p w:rsidRPr="00B10D4C" w:rsidR="00540DD5" w:rsidP="00B10D4C" w:rsidRDefault="00540DD5">
      <w:pPr>
        <w:pStyle w:val="JuPara"/>
      </w:pPr>
      <w:r w:rsidRPr="00B10D4C">
        <w:fldChar w:fldCharType="begin"/>
      </w:r>
      <w:r w:rsidRPr="00B10D4C">
        <w:instrText xml:space="preserve"> SEQ level0 \*arabic </w:instrText>
      </w:r>
      <w:r w:rsidRPr="00B10D4C">
        <w:fldChar w:fldCharType="separate"/>
      </w:r>
      <w:r w:rsidRPr="00B10D4C" w:rsidR="00B10D4C">
        <w:rPr>
          <w:noProof/>
        </w:rPr>
        <w:t>21</w:t>
      </w:r>
      <w:r w:rsidRPr="00B10D4C">
        <w:fldChar w:fldCharType="end"/>
      </w:r>
      <w:r w:rsidRPr="00B10D4C">
        <w:t>.  Admettant que l</w:t>
      </w:r>
      <w:r w:rsidRPr="00B10D4C" w:rsidR="00B10D4C">
        <w:t>’</w:t>
      </w:r>
      <w:r w:rsidRPr="00B10D4C">
        <w:t>obligation de témoigner constitue une ingérence dans les droits de la requérante garantis par l</w:t>
      </w:r>
      <w:r w:rsidRPr="00B10D4C" w:rsidR="00B10D4C">
        <w:t>’</w:t>
      </w:r>
      <w:r w:rsidRPr="00B10D4C">
        <w:t>article 10 de la Convention, le Gouvernement fait valoir que cette ingérence repose sur l</w:t>
      </w:r>
      <w:r w:rsidRPr="00B10D4C" w:rsidR="00B10D4C">
        <w:t>’</w:t>
      </w:r>
      <w:r w:rsidRPr="00B10D4C">
        <w:t>article 28a al. 2 b) du Code pénal et l</w:t>
      </w:r>
      <w:r w:rsidRPr="00B10D4C" w:rsidR="00B10D4C">
        <w:t>’</w:t>
      </w:r>
      <w:r w:rsidRPr="00B10D4C">
        <w:t xml:space="preserve">article 172 al. 2 b) ch. 4 du Code de procédure pénale (paragraphes </w:t>
      </w:r>
      <w:r w:rsidRPr="00B10D4C">
        <w:fldChar w:fldCharType="begin"/>
      </w:r>
      <w:r w:rsidRPr="00B10D4C">
        <w:instrText xml:space="preserve"> REF para8 \h </w:instrText>
      </w:r>
      <w:r w:rsidRPr="00B10D4C">
        <w:fldChar w:fldCharType="separate"/>
      </w:r>
      <w:r w:rsidRPr="00B10D4C" w:rsidR="00B10D4C">
        <w:rPr>
          <w:noProof/>
        </w:rPr>
        <w:t>9</w:t>
      </w:r>
      <w:r w:rsidRPr="00B10D4C">
        <w:fldChar w:fldCharType="end"/>
      </w:r>
      <w:r w:rsidRPr="00B10D4C">
        <w:t xml:space="preserve"> et </w:t>
      </w:r>
      <w:r w:rsidRPr="00B10D4C">
        <w:fldChar w:fldCharType="begin"/>
      </w:r>
      <w:r w:rsidRPr="00B10D4C">
        <w:instrText xml:space="preserve"> REF para9 \h </w:instrText>
      </w:r>
      <w:r w:rsidRPr="00B10D4C">
        <w:fldChar w:fldCharType="separate"/>
      </w:r>
      <w:r w:rsidRPr="00B10D4C" w:rsidR="00B10D4C">
        <w:rPr>
          <w:rFonts w:eastAsia="Times New Roman"/>
          <w:noProof/>
          <w:lang w:eastAsia="fr-FR"/>
        </w:rPr>
        <w:t>10</w:t>
      </w:r>
      <w:r w:rsidRPr="00B10D4C">
        <w:fldChar w:fldCharType="end"/>
      </w:r>
      <w:r w:rsidRPr="00B10D4C">
        <w:t xml:space="preserve"> ci-dessus). Ces dispositions renvoient à l</w:t>
      </w:r>
      <w:r w:rsidRPr="00B10D4C" w:rsidR="00B10D4C">
        <w:t>’</w:t>
      </w:r>
      <w:r w:rsidRPr="00B10D4C">
        <w:t xml:space="preserve">article </w:t>
      </w:r>
      <w:r w:rsidRPr="00B10D4C" w:rsidR="00925BFB">
        <w:t> </w:t>
      </w:r>
      <w:r w:rsidRPr="00B10D4C">
        <w:t xml:space="preserve">19 </w:t>
      </w:r>
      <w:r w:rsidRPr="00B10D4C" w:rsidR="00925BFB">
        <w:t> </w:t>
      </w:r>
      <w:r w:rsidRPr="00B10D4C">
        <w:t xml:space="preserve">al. </w:t>
      </w:r>
      <w:r w:rsidRPr="00B10D4C" w:rsidR="00925BFB">
        <w:t> </w:t>
      </w:r>
      <w:r w:rsidRPr="00B10D4C">
        <w:t>2 de la loi fédérale sur les stupéfiants et les substances psychotropes, lequel détermine les cas graves d</w:t>
      </w:r>
      <w:r w:rsidRPr="00B10D4C" w:rsidR="00B10D4C">
        <w:t>’</w:t>
      </w:r>
      <w:r w:rsidRPr="00B10D4C">
        <w:t xml:space="preserve">infractions à cette loi (paragraphe </w:t>
      </w:r>
      <w:r w:rsidRPr="00B10D4C">
        <w:fldChar w:fldCharType="begin"/>
      </w:r>
      <w:r w:rsidRPr="00B10D4C">
        <w:instrText xml:space="preserve"> REF para10 \h </w:instrText>
      </w:r>
      <w:r w:rsidRPr="00B10D4C">
        <w:fldChar w:fldCharType="separate"/>
      </w:r>
      <w:r w:rsidRPr="00B10D4C" w:rsidR="00B10D4C">
        <w:rPr>
          <w:rFonts w:eastAsia="Times New Roman"/>
          <w:noProof/>
          <w:lang w:eastAsia="fr-FR"/>
        </w:rPr>
        <w:t>11</w:t>
      </w:r>
      <w:r w:rsidRPr="00B10D4C">
        <w:fldChar w:fldCharType="end"/>
      </w:r>
      <w:r w:rsidRPr="00B10D4C">
        <w:t xml:space="preserve"> ci-dessus). Il ressort de l</w:t>
      </w:r>
      <w:r w:rsidRPr="00B10D4C" w:rsidR="00B10D4C">
        <w:t>’</w:t>
      </w:r>
      <w:r w:rsidRPr="00B10D4C">
        <w:t>article publié par la requérante que les conditions de cette disposition étaient remplies en l</w:t>
      </w:r>
      <w:r w:rsidRPr="00B10D4C" w:rsidR="00B10D4C">
        <w:t>’</w:t>
      </w:r>
      <w:r w:rsidRPr="00B10D4C">
        <w:t>espèce, le revendeur agissant par métier et réalisant des gains importants. Au vu de la clarté du cadre juridique applicable, la requérante pouvait donc prévoir qu</w:t>
      </w:r>
      <w:r w:rsidRPr="00B10D4C" w:rsidR="00B10D4C">
        <w:t>’</w:t>
      </w:r>
      <w:r w:rsidRPr="00B10D4C">
        <w:t>elle ne pourrait pas se prévaloir du droit de refuser de témoigner.</w:t>
      </w:r>
    </w:p>
    <w:bookmarkStart w:name="para17" w:id="22"/>
    <w:p w:rsidRPr="00B10D4C" w:rsidR="00540DD5" w:rsidP="00B10D4C" w:rsidRDefault="00540DD5">
      <w:pPr>
        <w:pStyle w:val="JuPara"/>
      </w:pPr>
      <w:r w:rsidRPr="00B10D4C">
        <w:fldChar w:fldCharType="begin"/>
      </w:r>
      <w:r w:rsidRPr="00B10D4C">
        <w:instrText xml:space="preserve"> SEQ level0 \*arabic </w:instrText>
      </w:r>
      <w:r w:rsidRPr="00B10D4C">
        <w:fldChar w:fldCharType="separate"/>
      </w:r>
      <w:r w:rsidRPr="00B10D4C" w:rsidR="00B10D4C">
        <w:rPr>
          <w:noProof/>
        </w:rPr>
        <w:t>22</w:t>
      </w:r>
      <w:r w:rsidRPr="00B10D4C">
        <w:fldChar w:fldCharType="end"/>
      </w:r>
      <w:bookmarkEnd w:id="22"/>
      <w:r w:rsidRPr="00B10D4C">
        <w:t>.  Le Gouvernement observe ensuite que la mesure litigieuse poursuivait plusieurs buts légitimes, en particulier la défense de l</w:t>
      </w:r>
      <w:r w:rsidRPr="00B10D4C" w:rsidR="00B10D4C">
        <w:t>’</w:t>
      </w:r>
      <w:r w:rsidRPr="00B10D4C">
        <w:t>ordre et la prévention du crime ainsi que la protection de la santé.</w:t>
      </w:r>
    </w:p>
    <w:p w:rsidRPr="00B10D4C" w:rsidR="00540DD5" w:rsidP="00B10D4C" w:rsidRDefault="00540DD5">
      <w:pPr>
        <w:pStyle w:val="JuPara"/>
      </w:pPr>
      <w:r w:rsidRPr="00B10D4C">
        <w:fldChar w:fldCharType="begin"/>
      </w:r>
      <w:r w:rsidRPr="00B10D4C">
        <w:instrText xml:space="preserve"> SEQ level0 \*arabic </w:instrText>
      </w:r>
      <w:r w:rsidRPr="00B10D4C">
        <w:fldChar w:fldCharType="separate"/>
      </w:r>
      <w:r w:rsidRPr="00B10D4C" w:rsidR="00B10D4C">
        <w:rPr>
          <w:noProof/>
        </w:rPr>
        <w:t>23</w:t>
      </w:r>
      <w:r w:rsidRPr="00B10D4C">
        <w:fldChar w:fldCharType="end"/>
      </w:r>
      <w:r w:rsidRPr="00B10D4C">
        <w:t>.  Concernant la nécessité de l</w:t>
      </w:r>
      <w:r w:rsidRPr="00B10D4C" w:rsidR="00B10D4C">
        <w:t>’</w:t>
      </w:r>
      <w:r w:rsidRPr="00B10D4C">
        <w:t>ingérence dans une société démocratique, le Gouvernement soutient que la mesure litigieuse reposait sur un double examen de la proportionnalité, le premier effectué par le législateur lors de l</w:t>
      </w:r>
      <w:r w:rsidRPr="00B10D4C" w:rsidR="00B10D4C">
        <w:t>’</w:t>
      </w:r>
      <w:r w:rsidRPr="00B10D4C">
        <w:t>adoption de l</w:t>
      </w:r>
      <w:r w:rsidRPr="00B10D4C" w:rsidR="00B10D4C">
        <w:t>’</w:t>
      </w:r>
      <w:r w:rsidRPr="00B10D4C">
        <w:t>article 28a du Code pénal et le second lors de l</w:t>
      </w:r>
      <w:r w:rsidRPr="00B10D4C" w:rsidR="00B10D4C">
        <w:t>’</w:t>
      </w:r>
      <w:r w:rsidRPr="00B10D4C">
        <w:t>application de cette disposition au cas d</w:t>
      </w:r>
      <w:r w:rsidRPr="00B10D4C" w:rsidR="00B10D4C">
        <w:t>’</w:t>
      </w:r>
      <w:r w:rsidRPr="00B10D4C">
        <w:t>espèce.</w:t>
      </w:r>
    </w:p>
    <w:bookmarkStart w:name="para21" w:id="23"/>
    <w:p w:rsidRPr="00B10D4C" w:rsidR="00540DD5" w:rsidP="00B10D4C" w:rsidRDefault="00540DD5">
      <w:pPr>
        <w:pStyle w:val="JuPara"/>
      </w:pPr>
      <w:r w:rsidRPr="00B10D4C">
        <w:fldChar w:fldCharType="begin"/>
      </w:r>
      <w:r w:rsidRPr="00B10D4C">
        <w:instrText xml:space="preserve"> SEQ level0 \*arabic </w:instrText>
      </w:r>
      <w:r w:rsidRPr="00B10D4C">
        <w:fldChar w:fldCharType="separate"/>
      </w:r>
      <w:r w:rsidRPr="00B10D4C" w:rsidR="00B10D4C">
        <w:rPr>
          <w:noProof/>
        </w:rPr>
        <w:t>24</w:t>
      </w:r>
      <w:r w:rsidRPr="00B10D4C">
        <w:fldChar w:fldCharType="end"/>
      </w:r>
      <w:bookmarkEnd w:id="23"/>
      <w:r w:rsidRPr="00B10D4C">
        <w:t>.  Quant au choix du législateur, le Gouvernement note que la liste des infractions pour lesquelles un journaliste peut être amené à devoir témoigner a été introduite dans le Code pénal afin de fixer les limites claires et de garantir ainsi la sécurité juridique. Cette liste constitue une concrétisation du principe de proportionnalité au niveau de la loi et permet aux journalistes de prévoir les conséquences de leurs actes.</w:t>
      </w:r>
    </w:p>
    <w:p w:rsidRPr="00B10D4C" w:rsidR="00540DD5" w:rsidP="00B10D4C" w:rsidRDefault="00540DD5">
      <w:pPr>
        <w:pStyle w:val="JuPara"/>
      </w:pPr>
      <w:r w:rsidRPr="00B10D4C">
        <w:fldChar w:fldCharType="begin"/>
      </w:r>
      <w:r w:rsidRPr="00B10D4C">
        <w:instrText xml:space="preserve"> SEQ level0 \*arabic </w:instrText>
      </w:r>
      <w:r w:rsidRPr="00B10D4C">
        <w:fldChar w:fldCharType="separate"/>
      </w:r>
      <w:r w:rsidRPr="00B10D4C" w:rsidR="00B10D4C">
        <w:rPr>
          <w:noProof/>
        </w:rPr>
        <w:t>25</w:t>
      </w:r>
      <w:r w:rsidRPr="00B10D4C">
        <w:fldChar w:fldCharType="end"/>
      </w:r>
      <w:r w:rsidRPr="00B10D4C">
        <w:t>.  En l</w:t>
      </w:r>
      <w:r w:rsidRPr="00B10D4C" w:rsidR="00B10D4C">
        <w:t>’</w:t>
      </w:r>
      <w:r w:rsidRPr="00B10D4C">
        <w:t>espèce, les autorités internes ont examiné la proportionnalité de l</w:t>
      </w:r>
      <w:r w:rsidRPr="00B10D4C" w:rsidR="00B10D4C">
        <w:t>’</w:t>
      </w:r>
      <w:r w:rsidRPr="00B10D4C">
        <w:t>obligation de témoigner au regard des circonstances concrètes de l</w:t>
      </w:r>
      <w:r w:rsidRPr="00B10D4C" w:rsidR="00B10D4C">
        <w:t>’</w:t>
      </w:r>
      <w:r w:rsidRPr="00B10D4C">
        <w:t>affaire. Le Gouvernement observe à cet égard que, en ce que l</w:t>
      </w:r>
      <w:r w:rsidRPr="00B10D4C" w:rsidR="00B10D4C">
        <w:t>’</w:t>
      </w:r>
      <w:r w:rsidRPr="00B10D4C">
        <w:t>article publié par la requérante était purement descriptif et ne contenait aucune appréciation critique des faits et de l</w:t>
      </w:r>
      <w:r w:rsidRPr="00B10D4C" w:rsidR="00B10D4C">
        <w:t>’</w:t>
      </w:r>
      <w:r w:rsidRPr="00B10D4C">
        <w:t>activité du revendeur, il n</w:t>
      </w:r>
      <w:r w:rsidRPr="00B10D4C" w:rsidR="00B10D4C">
        <w:t>’</w:t>
      </w:r>
      <w:r w:rsidRPr="00B10D4C">
        <w:t>exerçait pas une fonction de « chien de garde ». Par conséquent, la protection des sources ne revêt pas en l</w:t>
      </w:r>
      <w:r w:rsidRPr="00B10D4C" w:rsidR="00B10D4C">
        <w:t>’</w:t>
      </w:r>
      <w:r w:rsidRPr="00B10D4C">
        <w:t>occurrence une importance particulièrement élevée.</w:t>
      </w:r>
    </w:p>
    <w:bookmarkStart w:name="para23" w:id="24"/>
    <w:p w:rsidRPr="00B10D4C" w:rsidR="00540DD5" w:rsidP="00B10D4C" w:rsidRDefault="00540DD5">
      <w:pPr>
        <w:pStyle w:val="JuPara"/>
      </w:pPr>
      <w:r w:rsidRPr="00B10D4C">
        <w:fldChar w:fldCharType="begin"/>
      </w:r>
      <w:r w:rsidRPr="00B10D4C">
        <w:instrText xml:space="preserve"> SEQ level0 \*arabic </w:instrText>
      </w:r>
      <w:r w:rsidRPr="00B10D4C">
        <w:fldChar w:fldCharType="separate"/>
      </w:r>
      <w:r w:rsidRPr="00B10D4C" w:rsidR="00B10D4C">
        <w:rPr>
          <w:noProof/>
        </w:rPr>
        <w:t>26</w:t>
      </w:r>
      <w:r w:rsidRPr="00B10D4C">
        <w:fldChar w:fldCharType="end"/>
      </w:r>
      <w:bookmarkEnd w:id="24"/>
      <w:r w:rsidRPr="00B10D4C">
        <w:t>.  Même si la gravité de l</w:t>
      </w:r>
      <w:r w:rsidRPr="00B10D4C" w:rsidR="00B10D4C">
        <w:t>’</w:t>
      </w:r>
      <w:r w:rsidRPr="00B10D4C">
        <w:t>infraction en cause peut paraître moindre par rapport aux autres infractions justifiant une exception à la protection des sources, le Gouvernement note que, selon la jurisprudence du Tribunal fédéral, les produits de cannabis présentent des risques non négligeables. En effet, si la requérante a cité dans sa requête un arrêt du Tribunal fédéral du 18 juillet 1994 (ATF 120 IV 256), selon lequel les produits à base de cannabis ne seraient pas de nature à sérieusement mettre en danger la santé de nombreuses personnes, il convient de relativiser cette appréciation puisque le Tribunal fédéral y a ajouté que le cannabis n</w:t>
      </w:r>
      <w:r w:rsidRPr="00B10D4C" w:rsidR="00B10D4C">
        <w:t>’</w:t>
      </w:r>
      <w:r w:rsidRPr="00B10D4C">
        <w:t>était pas inoffensif pour la santé. En outre, la gravité tenait en l</w:t>
      </w:r>
      <w:r w:rsidRPr="00B10D4C" w:rsidR="00B10D4C">
        <w:t>’</w:t>
      </w:r>
      <w:r w:rsidRPr="00B10D4C">
        <w:t>espèce au fait que l</w:t>
      </w:r>
      <w:r w:rsidRPr="00B10D4C" w:rsidR="00B10D4C">
        <w:t>’</w:t>
      </w:r>
      <w:r w:rsidRPr="00B10D4C">
        <w:t>infraction était pratiquée par métier, qu</w:t>
      </w:r>
      <w:r w:rsidRPr="00B10D4C" w:rsidR="00B10D4C">
        <w:t>’</w:t>
      </w:r>
      <w:r w:rsidRPr="00B10D4C">
        <w:t>elle portait sur une quantité importante de drogue et rapportait au revendeur un gain considérable ; elle était passible d</w:t>
      </w:r>
      <w:r w:rsidRPr="00B10D4C" w:rsidR="00B10D4C">
        <w:t>’</w:t>
      </w:r>
      <w:r w:rsidRPr="00B10D4C">
        <w:t>une peine privative de liberté d</w:t>
      </w:r>
      <w:r w:rsidRPr="00B10D4C" w:rsidR="00B10D4C">
        <w:t>’</w:t>
      </w:r>
      <w:r w:rsidRPr="00B10D4C">
        <w:t>un an au moins, pouvant être cumulée avec une peine pécuniaire. Par ailleurs, rien n</w:t>
      </w:r>
      <w:r w:rsidRPr="00B10D4C" w:rsidR="00B10D4C">
        <w:t>’</w:t>
      </w:r>
      <w:r w:rsidRPr="00B10D4C">
        <w:t>indique que le revendeur ait indiqué à la requérante un chiffre d</w:t>
      </w:r>
      <w:r w:rsidRPr="00B10D4C" w:rsidR="00B10D4C">
        <w:t>’</w:t>
      </w:r>
      <w:r w:rsidRPr="00B10D4C">
        <w:t>affaires ou des recettes exagérées.</w:t>
      </w:r>
    </w:p>
    <w:bookmarkStart w:name="para24" w:id="25"/>
    <w:p w:rsidRPr="00B10D4C" w:rsidR="00540DD5" w:rsidP="00B10D4C" w:rsidRDefault="00540DD5">
      <w:pPr>
        <w:pStyle w:val="JuPara"/>
      </w:pPr>
      <w:r w:rsidRPr="00B10D4C">
        <w:fldChar w:fldCharType="begin"/>
      </w:r>
      <w:r w:rsidRPr="00B10D4C">
        <w:instrText xml:space="preserve"> SEQ level0 \*arabic </w:instrText>
      </w:r>
      <w:r w:rsidRPr="00B10D4C">
        <w:fldChar w:fldCharType="separate"/>
      </w:r>
      <w:r w:rsidRPr="00B10D4C" w:rsidR="00B10D4C">
        <w:rPr>
          <w:noProof/>
        </w:rPr>
        <w:t>27</w:t>
      </w:r>
      <w:r w:rsidRPr="00B10D4C">
        <w:fldChar w:fldCharType="end"/>
      </w:r>
      <w:bookmarkEnd w:id="25"/>
      <w:r w:rsidRPr="00B10D4C">
        <w:t>.  L</w:t>
      </w:r>
      <w:r w:rsidRPr="00B10D4C" w:rsidR="00B10D4C">
        <w:t>’</w:t>
      </w:r>
      <w:r w:rsidRPr="00B10D4C">
        <w:t>intérêt aux poursuites pénales était d</w:t>
      </w:r>
      <w:r w:rsidRPr="00B10D4C" w:rsidR="00B10D4C">
        <w:t>’</w:t>
      </w:r>
      <w:r w:rsidRPr="00B10D4C">
        <w:t>autant plus grand qu</w:t>
      </w:r>
      <w:r w:rsidRPr="00B10D4C" w:rsidR="00B10D4C">
        <w:t>’</w:t>
      </w:r>
      <w:r w:rsidRPr="00B10D4C">
        <w:t>il ressortait de l</w:t>
      </w:r>
      <w:r w:rsidRPr="00B10D4C" w:rsidR="00B10D4C">
        <w:t>’</w:t>
      </w:r>
      <w:r w:rsidRPr="00B10D4C">
        <w:t>article que le revendeur agissait comme membre d</w:t>
      </w:r>
      <w:r w:rsidRPr="00B10D4C" w:rsidR="00B10D4C">
        <w:t>’</w:t>
      </w:r>
      <w:r w:rsidRPr="00B10D4C">
        <w:t>un réseau important de trafic de stupéfiants, sur lequel il pouvait fournir des informations. Une réaction appropriée des autorités s</w:t>
      </w:r>
      <w:r w:rsidRPr="00B10D4C" w:rsidR="00B10D4C">
        <w:t>’</w:t>
      </w:r>
      <w:r w:rsidRPr="00B10D4C">
        <w:t>imposait afin de démontrer qu</w:t>
      </w:r>
      <w:r w:rsidRPr="00B10D4C" w:rsidR="00B10D4C">
        <w:t>’</w:t>
      </w:r>
      <w:r w:rsidRPr="00B10D4C">
        <w:t>elles ne restent pas inactives face à un tel trafic.</w:t>
      </w:r>
    </w:p>
    <w:bookmarkStart w:name="para25" w:id="26"/>
    <w:p w:rsidRPr="00B10D4C" w:rsidR="00540DD5" w:rsidP="00B10D4C" w:rsidRDefault="00540DD5">
      <w:pPr>
        <w:pStyle w:val="JuPara"/>
      </w:pPr>
      <w:r w:rsidRPr="00B10D4C">
        <w:fldChar w:fldCharType="begin"/>
      </w:r>
      <w:r w:rsidRPr="00B10D4C">
        <w:instrText xml:space="preserve"> SEQ level0 \*arabic </w:instrText>
      </w:r>
      <w:r w:rsidRPr="00B10D4C">
        <w:fldChar w:fldCharType="separate"/>
      </w:r>
      <w:r w:rsidRPr="00B10D4C" w:rsidR="00B10D4C">
        <w:rPr>
          <w:noProof/>
        </w:rPr>
        <w:t>28</w:t>
      </w:r>
      <w:r w:rsidRPr="00B10D4C">
        <w:fldChar w:fldCharType="end"/>
      </w:r>
      <w:bookmarkEnd w:id="26"/>
      <w:r w:rsidRPr="00B10D4C">
        <w:t>.  Le Gouvernement se dit par ailleurs convaincu que le témoignage de la requérante était nécessaire pour les besoins de l</w:t>
      </w:r>
      <w:r w:rsidRPr="00B10D4C" w:rsidR="00B10D4C">
        <w:t>’</w:t>
      </w:r>
      <w:r w:rsidRPr="00B10D4C">
        <w:t>enquête car susceptible de conduire les autorités pénales directement vers le revendeur, alors qu</w:t>
      </w:r>
      <w:r w:rsidRPr="00B10D4C" w:rsidR="00B10D4C">
        <w:t>’</w:t>
      </w:r>
      <w:r w:rsidRPr="00B10D4C">
        <w:t>elles n</w:t>
      </w:r>
      <w:r w:rsidRPr="00B10D4C" w:rsidR="00B10D4C">
        <w:t>’</w:t>
      </w:r>
      <w:r w:rsidRPr="00B10D4C">
        <w:t>avaient aucun autre moyen à disposition pour faire avancer l</w:t>
      </w:r>
      <w:r w:rsidRPr="00B10D4C" w:rsidR="00B10D4C">
        <w:t>’</w:t>
      </w:r>
      <w:r w:rsidRPr="00B10D4C">
        <w:t>enquête.</w:t>
      </w:r>
    </w:p>
    <w:p w:rsidRPr="00B10D4C" w:rsidR="00540DD5" w:rsidP="00B10D4C" w:rsidRDefault="00540DD5">
      <w:pPr>
        <w:pStyle w:val="JuPara"/>
      </w:pPr>
      <w:r w:rsidRPr="00B10D4C">
        <w:fldChar w:fldCharType="begin"/>
      </w:r>
      <w:r w:rsidRPr="00B10D4C">
        <w:instrText xml:space="preserve"> SEQ level0 \*arabic </w:instrText>
      </w:r>
      <w:r w:rsidRPr="00B10D4C">
        <w:fldChar w:fldCharType="separate"/>
      </w:r>
      <w:r w:rsidRPr="00B10D4C" w:rsidR="00B10D4C">
        <w:rPr>
          <w:noProof/>
        </w:rPr>
        <w:t>29</w:t>
      </w:r>
      <w:r w:rsidRPr="00B10D4C">
        <w:fldChar w:fldCharType="end"/>
      </w:r>
      <w:r w:rsidRPr="00B10D4C">
        <w:t>.  Au vu de tous ces éléments et compte tenu de la pesée des intérêts effectuée par le législateur lors de l</w:t>
      </w:r>
      <w:r w:rsidRPr="00B10D4C" w:rsidR="00B10D4C">
        <w:t>’</w:t>
      </w:r>
      <w:r w:rsidRPr="00B10D4C">
        <w:t>adoption des normes applicables ainsi que de la marge d</w:t>
      </w:r>
      <w:r w:rsidRPr="00B10D4C" w:rsidR="00B10D4C">
        <w:t>’</w:t>
      </w:r>
      <w:r w:rsidRPr="00B10D4C">
        <w:t>appréciation accordée aux autorités nationales, le Gouvernement soutient que, en l</w:t>
      </w:r>
      <w:r w:rsidRPr="00B10D4C" w:rsidR="00B10D4C">
        <w:t>’</w:t>
      </w:r>
      <w:r w:rsidRPr="00B10D4C">
        <w:t>espèce, l</w:t>
      </w:r>
      <w:r w:rsidRPr="00B10D4C" w:rsidR="00B10D4C">
        <w:t>’</w:t>
      </w:r>
      <w:r w:rsidRPr="00B10D4C">
        <w:t>intérêt aux poursuites pénales prévaut très clairement sur l</w:t>
      </w:r>
      <w:r w:rsidRPr="00B10D4C" w:rsidR="00B10D4C">
        <w:t>’</w:t>
      </w:r>
      <w:r w:rsidRPr="00B10D4C">
        <w:t>intérêt de la requérante à ne pas dévoiler sa source.</w:t>
      </w:r>
    </w:p>
    <w:p w:rsidRPr="00B10D4C" w:rsidR="00540DD5" w:rsidP="00B10D4C" w:rsidRDefault="00540DD5">
      <w:pPr>
        <w:pStyle w:val="JuH1"/>
        <w:numPr>
          <w:ilvl w:val="3"/>
          <w:numId w:val="1"/>
        </w:numPr>
        <w:jc w:val="both"/>
      </w:pPr>
      <w:proofErr w:type="spellStart"/>
      <w:r w:rsidRPr="00B10D4C">
        <w:t>Appréciation</w:t>
      </w:r>
      <w:proofErr w:type="spellEnd"/>
      <w:r w:rsidRPr="00B10D4C">
        <w:t xml:space="preserve"> de la </w:t>
      </w:r>
      <w:proofErr w:type="spellStart"/>
      <w:r w:rsidRPr="00B10D4C">
        <w:t>Cour</w:t>
      </w:r>
      <w:proofErr w:type="spellEnd"/>
    </w:p>
    <w:p w:rsidRPr="00B10D4C" w:rsidR="00540DD5" w:rsidP="00B10D4C" w:rsidRDefault="00540DD5">
      <w:pPr>
        <w:pStyle w:val="JuHa0"/>
        <w:numPr>
          <w:ilvl w:val="4"/>
          <w:numId w:val="1"/>
        </w:numPr>
        <w:jc w:val="both"/>
      </w:pPr>
      <w:proofErr w:type="spellStart"/>
      <w:r w:rsidRPr="00B10D4C">
        <w:t>Principes</w:t>
      </w:r>
      <w:proofErr w:type="spellEnd"/>
      <w:r w:rsidRPr="00B10D4C">
        <w:t xml:space="preserve"> </w:t>
      </w:r>
      <w:proofErr w:type="spellStart"/>
      <w:r w:rsidRPr="00B10D4C">
        <w:t>généraux</w:t>
      </w:r>
      <w:proofErr w:type="spellEnd"/>
      <w:r w:rsidRPr="00B10D4C">
        <w:t xml:space="preserve"> et jurisprudence</w:t>
      </w:r>
    </w:p>
    <w:bookmarkStart w:name="_Hlk36127691" w:id="27"/>
    <w:p w:rsidRPr="00B10D4C" w:rsidR="00540DD5" w:rsidP="00B10D4C" w:rsidRDefault="00540DD5">
      <w:pPr>
        <w:pStyle w:val="JuPara"/>
      </w:pPr>
      <w:r w:rsidRPr="00B10D4C">
        <w:fldChar w:fldCharType="begin"/>
      </w:r>
      <w:r w:rsidRPr="00B10D4C">
        <w:instrText xml:space="preserve"> SEQ level0 \*arabic </w:instrText>
      </w:r>
      <w:r w:rsidRPr="00B10D4C">
        <w:fldChar w:fldCharType="separate"/>
      </w:r>
      <w:r w:rsidRPr="00B10D4C" w:rsidR="00B10D4C">
        <w:rPr>
          <w:noProof/>
        </w:rPr>
        <w:t>30</w:t>
      </w:r>
      <w:r w:rsidRPr="00B10D4C">
        <w:fldChar w:fldCharType="end"/>
      </w:r>
      <w:r w:rsidRPr="00B10D4C">
        <w:t>.   La Cour a développé les principes régissant la protection des sources journalistiques dans une série d</w:t>
      </w:r>
      <w:r w:rsidRPr="00B10D4C" w:rsidR="00B10D4C">
        <w:t>’</w:t>
      </w:r>
      <w:r w:rsidRPr="00B10D4C">
        <w:t>arrêts. Dès 1996, la Grande Chambre énonçait ce qui suit dans l</w:t>
      </w:r>
      <w:r w:rsidRPr="00B10D4C" w:rsidR="00B10D4C">
        <w:t>’</w:t>
      </w:r>
      <w:r w:rsidRPr="00B10D4C">
        <w:t xml:space="preserve">arrêt </w:t>
      </w:r>
      <w:r w:rsidRPr="00B10D4C">
        <w:rPr>
          <w:i/>
        </w:rPr>
        <w:t>Goodwin c. Royaume-Uni</w:t>
      </w:r>
      <w:r w:rsidRPr="00B10D4C">
        <w:t xml:space="preserve"> (</w:t>
      </w:r>
      <w:r w:rsidRPr="00B10D4C">
        <w:rPr>
          <w:rFonts w:cstheme="minorHAnsi"/>
        </w:rPr>
        <w:t>[</w:t>
      </w:r>
      <w:r w:rsidRPr="00B10D4C">
        <w:t>GC</w:t>
      </w:r>
      <w:r w:rsidRPr="00B10D4C">
        <w:rPr>
          <w:rFonts w:cstheme="minorHAnsi"/>
        </w:rPr>
        <w:t>]</w:t>
      </w:r>
      <w:r w:rsidRPr="00B10D4C">
        <w:t xml:space="preserve"> 27 mars 1996, </w:t>
      </w:r>
      <w:r w:rsidRPr="00B10D4C">
        <w:rPr>
          <w:i/>
        </w:rPr>
        <w:t>Recueil des arrêts et décisions</w:t>
      </w:r>
      <w:r w:rsidRPr="00B10D4C">
        <w:t xml:space="preserve"> 1996</w:t>
      </w:r>
      <w:r w:rsidRPr="00B10D4C">
        <w:noBreakHyphen/>
        <w:t>II) :</w:t>
      </w:r>
    </w:p>
    <w:p w:rsidRPr="00B10D4C" w:rsidR="00540DD5" w:rsidP="00B10D4C" w:rsidRDefault="00540DD5">
      <w:pPr>
        <w:pStyle w:val="JuQuot"/>
      </w:pPr>
      <w:r w:rsidRPr="00B10D4C">
        <w:t>« 39. La protection des sources journalistiques est l</w:t>
      </w:r>
      <w:r w:rsidRPr="00B10D4C" w:rsidR="00B10D4C">
        <w:t>’</w:t>
      </w:r>
      <w:r w:rsidRPr="00B10D4C">
        <w:t>une des pierres angulaires de la liberté de la presse, comme cela ressort des lois et codes déontologiques en vigueur dans nombre d</w:t>
      </w:r>
      <w:r w:rsidRPr="00B10D4C" w:rsidR="00B10D4C">
        <w:t>’</w:t>
      </w:r>
      <w:r w:rsidRPr="00B10D4C">
        <w:t>États contractants et comme l</w:t>
      </w:r>
      <w:r w:rsidRPr="00B10D4C" w:rsidR="00B10D4C">
        <w:t>’</w:t>
      </w:r>
      <w:r w:rsidRPr="00B10D4C">
        <w:t>affirment en outre plusieurs instruments internationaux sur les libertés journalistiques (...). L</w:t>
      </w:r>
      <w:r w:rsidRPr="00B10D4C" w:rsidR="00B10D4C">
        <w:t>’</w:t>
      </w:r>
      <w:r w:rsidRPr="00B10D4C">
        <w:t>absence d</w:t>
      </w:r>
      <w:r w:rsidRPr="00B10D4C" w:rsidR="00B10D4C">
        <w:t>’</w:t>
      </w:r>
      <w:r w:rsidRPr="00B10D4C">
        <w:t>une telle protection pourrait dissuader les sources journalistiques d</w:t>
      </w:r>
      <w:r w:rsidRPr="00B10D4C" w:rsidR="00B10D4C">
        <w:t>’</w:t>
      </w:r>
      <w:r w:rsidRPr="00B10D4C">
        <w:t>aider la presse à informer le public sur des questions d</w:t>
      </w:r>
      <w:r w:rsidRPr="00B10D4C" w:rsidR="00B10D4C">
        <w:t>’</w:t>
      </w:r>
      <w:r w:rsidRPr="00B10D4C">
        <w:t>intérêt général.  En conséquence, la presse pourrait être moins à même de jouer son rôle indispensable de « chien de garde » et son aptitude à fournir des informations précises et fiables pourrait s</w:t>
      </w:r>
      <w:r w:rsidRPr="00B10D4C" w:rsidR="00B10D4C">
        <w:t>’</w:t>
      </w:r>
      <w:r w:rsidRPr="00B10D4C">
        <w:t>en trouver amoindrie.  Eu égard à l</w:t>
      </w:r>
      <w:r w:rsidRPr="00B10D4C" w:rsidR="00B10D4C">
        <w:t>’</w:t>
      </w:r>
      <w:r w:rsidRPr="00B10D4C">
        <w:t>importance que revêt la protection des sources journalistiques pour la liberté de la presse dans une société démocratique et à l</w:t>
      </w:r>
      <w:r w:rsidRPr="00B10D4C" w:rsidR="00B10D4C">
        <w:t>’</w:t>
      </w:r>
      <w:r w:rsidRPr="00B10D4C">
        <w:t>effet négatif sur l</w:t>
      </w:r>
      <w:r w:rsidRPr="00B10D4C" w:rsidR="00B10D4C">
        <w:t>’</w:t>
      </w:r>
      <w:r w:rsidRPr="00B10D4C">
        <w:t>exercice de cette liberté que risque de produire une ordonnance de divulgation, pareille mesure ne saurait se concilier avec l</w:t>
      </w:r>
      <w:r w:rsidRPr="00B10D4C" w:rsidR="00B10D4C">
        <w:t>’</w:t>
      </w:r>
      <w:r w:rsidRPr="00B10D4C">
        <w:t>article 10 de la Convention que si elle se justifie par un impératif prépondérant d</w:t>
      </w:r>
      <w:r w:rsidRPr="00B10D4C" w:rsidR="00B10D4C">
        <w:t>’</w:t>
      </w:r>
      <w:r w:rsidRPr="00B10D4C">
        <w:t>intérêt public.</w:t>
      </w:r>
    </w:p>
    <w:p w:rsidRPr="00B10D4C" w:rsidR="00540DD5" w:rsidP="00B10D4C" w:rsidRDefault="00540DD5">
      <w:pPr>
        <w:pStyle w:val="JuQuot"/>
      </w:pPr>
      <w:r w:rsidRPr="00B10D4C">
        <w:t>40. D</w:t>
      </w:r>
      <w:r w:rsidRPr="00B10D4C" w:rsidR="00B10D4C">
        <w:t>’</w:t>
      </w:r>
      <w:r w:rsidRPr="00B10D4C">
        <w:t>une manière générale, la « nécessité » d</w:t>
      </w:r>
      <w:r w:rsidRPr="00B10D4C" w:rsidR="00B10D4C">
        <w:t>’</w:t>
      </w:r>
      <w:r w:rsidRPr="00B10D4C">
        <w:t>une quelconque restriction à l</w:t>
      </w:r>
      <w:r w:rsidRPr="00B10D4C" w:rsidR="00B10D4C">
        <w:t>’</w:t>
      </w:r>
      <w:r w:rsidRPr="00B10D4C">
        <w:t>exercice de la liberté d</w:t>
      </w:r>
      <w:r w:rsidRPr="00B10D4C" w:rsidR="00B10D4C">
        <w:t>’</w:t>
      </w:r>
      <w:r w:rsidRPr="00B10D4C">
        <w:t>expression doit être établie de manière convaincante (...). Certes, il revient en premier lieu aux autorités nationales d</w:t>
      </w:r>
      <w:r w:rsidRPr="00B10D4C" w:rsidR="00B10D4C">
        <w:t>’</w:t>
      </w:r>
      <w:r w:rsidRPr="00B10D4C">
        <w:t>évaluer s</w:t>
      </w:r>
      <w:r w:rsidRPr="00B10D4C" w:rsidR="00B10D4C">
        <w:t>’</w:t>
      </w:r>
      <w:r w:rsidRPr="00B10D4C">
        <w:t>il existe un « besoin social impérieux » susceptible de justifier cette restriction, exercice pour lequel elles jouissent d</w:t>
      </w:r>
      <w:r w:rsidRPr="00B10D4C" w:rsidR="00B10D4C">
        <w:t>’</w:t>
      </w:r>
      <w:r w:rsidRPr="00B10D4C">
        <w:t>une certaine marge d</w:t>
      </w:r>
      <w:r w:rsidRPr="00B10D4C" w:rsidR="00B10D4C">
        <w:t>’</w:t>
      </w:r>
      <w:r w:rsidRPr="00B10D4C">
        <w:t>appréciation. Le pouvoir d</w:t>
      </w:r>
      <w:r w:rsidRPr="00B10D4C" w:rsidR="00B10D4C">
        <w:t>’</w:t>
      </w:r>
      <w:r w:rsidRPr="00B10D4C">
        <w:t>appréciation national se heurte cependant à l</w:t>
      </w:r>
      <w:r w:rsidRPr="00B10D4C" w:rsidR="00B10D4C">
        <w:t>’</w:t>
      </w:r>
      <w:r w:rsidRPr="00B10D4C">
        <w:t>intérêt de la société démocratique à assurer et à maintenir la liberté de la presse. De même, il convient d</w:t>
      </w:r>
      <w:r w:rsidRPr="00B10D4C" w:rsidR="00B10D4C">
        <w:t>’</w:t>
      </w:r>
      <w:r w:rsidRPr="00B10D4C">
        <w:t>accorder un grand poids à cet intérêt lorsqu</w:t>
      </w:r>
      <w:r w:rsidRPr="00B10D4C" w:rsidR="00B10D4C">
        <w:t>’</w:t>
      </w:r>
      <w:r w:rsidRPr="00B10D4C">
        <w:t>il s</w:t>
      </w:r>
      <w:r w:rsidRPr="00B10D4C" w:rsidR="00B10D4C">
        <w:t>’</w:t>
      </w:r>
      <w:r w:rsidRPr="00B10D4C">
        <w:t>agit de déterminer, comme l</w:t>
      </w:r>
      <w:r w:rsidRPr="00B10D4C" w:rsidR="00B10D4C">
        <w:t>’</w:t>
      </w:r>
      <w:r w:rsidRPr="00B10D4C">
        <w:t>exige le paragraphe 2 de l</w:t>
      </w:r>
      <w:r w:rsidRPr="00B10D4C" w:rsidR="00B10D4C">
        <w:t>’</w:t>
      </w:r>
      <w:r w:rsidRPr="00B10D4C">
        <w:t>article 10, si la restriction était proportionnée au but légitime poursuivi. En bref, les limitations apportées à la confidentialité des sources journalistiques appellent de la part de la Cour l</w:t>
      </w:r>
      <w:r w:rsidRPr="00B10D4C" w:rsidR="00B10D4C">
        <w:t>’</w:t>
      </w:r>
      <w:r w:rsidRPr="00B10D4C">
        <w:t>examen le plus scrupuleux. La Cour n</w:t>
      </w:r>
      <w:r w:rsidRPr="00B10D4C" w:rsidR="00B10D4C">
        <w:t>’</w:t>
      </w:r>
      <w:r w:rsidRPr="00B10D4C">
        <w:t>a pas pour tâche, lorsqu</w:t>
      </w:r>
      <w:r w:rsidRPr="00B10D4C" w:rsidR="00B10D4C">
        <w:t>’</w:t>
      </w:r>
      <w:r w:rsidRPr="00B10D4C">
        <w:t>elle exerce son contrôle, de se substituer aux juridictions internes, mais de vérifier sous l</w:t>
      </w:r>
      <w:r w:rsidRPr="00B10D4C" w:rsidR="00B10D4C">
        <w:t>’</w:t>
      </w:r>
      <w:r w:rsidRPr="00B10D4C">
        <w:t>angle de l</w:t>
      </w:r>
      <w:r w:rsidRPr="00B10D4C" w:rsidR="00B10D4C">
        <w:t>’</w:t>
      </w:r>
      <w:r w:rsidRPr="00B10D4C">
        <w:t>article 10 les décisions qu</w:t>
      </w:r>
      <w:r w:rsidRPr="00B10D4C" w:rsidR="00B10D4C">
        <w:t>’</w:t>
      </w:r>
      <w:r w:rsidRPr="00B10D4C">
        <w:t>elles ont rendues en vertu de leur pouvoir d</w:t>
      </w:r>
      <w:r w:rsidRPr="00B10D4C" w:rsidR="00B10D4C">
        <w:t>’</w:t>
      </w:r>
      <w:r w:rsidRPr="00B10D4C">
        <w:t>appréciation.  Pour cela, la Cour doit considérer « l</w:t>
      </w:r>
      <w:r w:rsidRPr="00B10D4C" w:rsidR="00B10D4C">
        <w:t>’</w:t>
      </w:r>
      <w:r w:rsidRPr="00B10D4C">
        <w:t>ingérence » litigieuse à la lumière de l</w:t>
      </w:r>
      <w:r w:rsidRPr="00B10D4C" w:rsidR="00B10D4C">
        <w:t>’</w:t>
      </w:r>
      <w:r w:rsidRPr="00B10D4C">
        <w:t>ensemble de l</w:t>
      </w:r>
      <w:r w:rsidRPr="00B10D4C" w:rsidR="00B10D4C">
        <w:t>’</w:t>
      </w:r>
      <w:r w:rsidRPr="00B10D4C">
        <w:t>affaire pour déterminer si les motifs invoqués par les autorités nationales pour la justifier apparaissent « pertinents et suffisants ». »</w:t>
      </w:r>
    </w:p>
    <w:p w:rsidRPr="00B10D4C" w:rsidR="00540DD5" w:rsidP="00B10D4C" w:rsidRDefault="00540DD5">
      <w:pPr>
        <w:pStyle w:val="JuPara"/>
      </w:pPr>
      <w:r w:rsidRPr="00B10D4C">
        <w:fldChar w:fldCharType="begin"/>
      </w:r>
      <w:r w:rsidRPr="00B10D4C">
        <w:instrText xml:space="preserve"> SEQ level0 \*arabic </w:instrText>
      </w:r>
      <w:r w:rsidRPr="00B10D4C">
        <w:fldChar w:fldCharType="separate"/>
      </w:r>
      <w:r w:rsidRPr="00B10D4C" w:rsidR="00B10D4C">
        <w:rPr>
          <w:noProof/>
        </w:rPr>
        <w:t>31</w:t>
      </w:r>
      <w:r w:rsidRPr="00B10D4C">
        <w:fldChar w:fldCharType="end"/>
      </w:r>
      <w:r w:rsidRPr="00B10D4C">
        <w:t>.  Dans l</w:t>
      </w:r>
      <w:r w:rsidRPr="00B10D4C" w:rsidR="00B10D4C">
        <w:t>’</w:t>
      </w:r>
      <w:r w:rsidRPr="00B10D4C">
        <w:t xml:space="preserve">arrêt </w:t>
      </w:r>
      <w:proofErr w:type="spellStart"/>
      <w:r w:rsidRPr="00B10D4C">
        <w:rPr>
          <w:i/>
        </w:rPr>
        <w:t>Sanoma</w:t>
      </w:r>
      <w:proofErr w:type="spellEnd"/>
      <w:r w:rsidRPr="00B10D4C">
        <w:rPr>
          <w:i/>
        </w:rPr>
        <w:t xml:space="preserve"> </w:t>
      </w:r>
      <w:proofErr w:type="spellStart"/>
      <w:r w:rsidRPr="00B10D4C">
        <w:rPr>
          <w:i/>
        </w:rPr>
        <w:t>Uitgevers</w:t>
      </w:r>
      <w:proofErr w:type="spellEnd"/>
      <w:r w:rsidRPr="00B10D4C">
        <w:rPr>
          <w:i/>
        </w:rPr>
        <w:t xml:space="preserve"> B.V.</w:t>
      </w:r>
      <w:r w:rsidRPr="00B10D4C">
        <w:t xml:space="preserve"> </w:t>
      </w:r>
      <w:r w:rsidRPr="00B10D4C">
        <w:rPr>
          <w:i/>
        </w:rPr>
        <w:t>c. Pays-Bas</w:t>
      </w:r>
      <w:r w:rsidRPr="00B10D4C">
        <w:rPr>
          <w:snapToGrid w:val="0"/>
        </w:rPr>
        <w:t xml:space="preserve"> ([GC], n</w:t>
      </w:r>
      <w:r w:rsidRPr="00B10D4C">
        <w:rPr>
          <w:snapToGrid w:val="0"/>
          <w:vertAlign w:val="superscript"/>
        </w:rPr>
        <w:t>o</w:t>
      </w:r>
      <w:r w:rsidRPr="00B10D4C">
        <w:rPr>
          <w:snapToGrid w:val="0"/>
        </w:rPr>
        <w:t xml:space="preserve"> 38224/03</w:t>
      </w:r>
      <w:r w:rsidRPr="00B10D4C">
        <w:t>, § 51, 14 septembre 2010), la Grande Chambre a rappelé ce qui suit :</w:t>
      </w:r>
    </w:p>
    <w:p w:rsidRPr="00B10D4C" w:rsidR="00540DD5" w:rsidP="00B10D4C" w:rsidRDefault="00540DD5">
      <w:pPr>
        <w:pStyle w:val="JuQuot"/>
      </w:pPr>
      <w:r w:rsidRPr="00B10D4C">
        <w:t>« La Cour a toujours soumis à un examen particulièrement vigilant les garanties du respect de la liberté d</w:t>
      </w:r>
      <w:r w:rsidRPr="00B10D4C" w:rsidR="00B10D4C">
        <w:t>’</w:t>
      </w:r>
      <w:r w:rsidRPr="00B10D4C">
        <w:t>expression dans les affaires relevant de l</w:t>
      </w:r>
      <w:r w:rsidRPr="00B10D4C" w:rsidR="00B10D4C">
        <w:t>’</w:t>
      </w:r>
      <w:r w:rsidRPr="00B10D4C">
        <w:t>article 10 de la Convention. Eu égard à l</w:t>
      </w:r>
      <w:r w:rsidRPr="00B10D4C" w:rsidR="00B10D4C">
        <w:t>’</w:t>
      </w:r>
      <w:r w:rsidRPr="00B10D4C">
        <w:t>importance de la protection des sources journalistiques pour la liberté de la presse dans une société démocratique, une ingérence ne peut être jugée compatible avec l</w:t>
      </w:r>
      <w:r w:rsidRPr="00B10D4C" w:rsidR="00B10D4C">
        <w:t>’</w:t>
      </w:r>
      <w:r w:rsidRPr="00B10D4C">
        <w:t>article 10 de la Convention que si elle est justifiée par un impératif prépondérant d</w:t>
      </w:r>
      <w:r w:rsidRPr="00B10D4C" w:rsidR="00B10D4C">
        <w:t>’</w:t>
      </w:r>
      <w:r w:rsidRPr="00B10D4C">
        <w:t>intérêt public (...). »</w:t>
      </w:r>
    </w:p>
    <w:p w:rsidRPr="00B10D4C" w:rsidR="00540DD5" w:rsidP="00B10D4C" w:rsidRDefault="00540DD5">
      <w:pPr>
        <w:pStyle w:val="JuPara"/>
      </w:pPr>
      <w:r w:rsidRPr="00B10D4C">
        <w:rPr>
          <w:iCs/>
        </w:rPr>
        <w:fldChar w:fldCharType="begin"/>
      </w:r>
      <w:r w:rsidRPr="00B10D4C">
        <w:rPr>
          <w:iCs/>
        </w:rPr>
        <w:instrText xml:space="preserve"> SEQ level0 \*arabic </w:instrText>
      </w:r>
      <w:r w:rsidRPr="00B10D4C">
        <w:rPr>
          <w:iCs/>
        </w:rPr>
        <w:fldChar w:fldCharType="separate"/>
      </w:r>
      <w:r w:rsidRPr="00B10D4C" w:rsidR="00B10D4C">
        <w:rPr>
          <w:iCs/>
          <w:noProof/>
        </w:rPr>
        <w:t>32</w:t>
      </w:r>
      <w:r w:rsidRPr="00B10D4C">
        <w:rPr>
          <w:iCs/>
        </w:rPr>
        <w:fldChar w:fldCharType="end"/>
      </w:r>
      <w:r w:rsidRPr="00B10D4C">
        <w:rPr>
          <w:iCs/>
        </w:rPr>
        <w:t>.  </w:t>
      </w:r>
      <w:r w:rsidRPr="00B10D4C">
        <w:t>Dans l</w:t>
      </w:r>
      <w:r w:rsidRPr="00B10D4C" w:rsidR="00B10D4C">
        <w:t>’</w:t>
      </w:r>
      <w:r w:rsidRPr="00B10D4C">
        <w:t xml:space="preserve">arrêt </w:t>
      </w:r>
      <w:proofErr w:type="spellStart"/>
      <w:r w:rsidRPr="00B10D4C">
        <w:rPr>
          <w:i/>
        </w:rPr>
        <w:t>Voskuil</w:t>
      </w:r>
      <w:proofErr w:type="spellEnd"/>
      <w:r w:rsidRPr="00B10D4C">
        <w:rPr>
          <w:i/>
        </w:rPr>
        <w:t xml:space="preserve"> c. Pays-Bas</w:t>
      </w:r>
      <w:r w:rsidRPr="00B10D4C">
        <w:t xml:space="preserve"> (n</w:t>
      </w:r>
      <w:r w:rsidRPr="00B10D4C">
        <w:rPr>
          <w:vertAlign w:val="superscript"/>
        </w:rPr>
        <w:t>o</w:t>
      </w:r>
      <w:r w:rsidRPr="00B10D4C">
        <w:t xml:space="preserve"> 64752/01, § 67, 22 </w:t>
      </w:r>
      <w:r w:rsidRPr="00B10D4C" w:rsidR="00A2288A">
        <w:t> </w:t>
      </w:r>
      <w:r w:rsidRPr="00B10D4C">
        <w:t xml:space="preserve">novembre </w:t>
      </w:r>
      <w:r w:rsidRPr="00B10D4C" w:rsidR="00A2288A">
        <w:t> </w:t>
      </w:r>
      <w:r w:rsidRPr="00B10D4C">
        <w:t>2007), en réponse au Gouvernement qui plaidait que la divulgation de la source avait été nécessaire aux fins d</w:t>
      </w:r>
      <w:r w:rsidRPr="00B10D4C" w:rsidR="00B10D4C">
        <w:t>’</w:t>
      </w:r>
      <w:r w:rsidRPr="00B10D4C">
        <w:t>assurer un procès équitable au prévenu, la Cour a dit :</w:t>
      </w:r>
    </w:p>
    <w:p w:rsidRPr="00B10D4C" w:rsidR="00540DD5" w:rsidP="00B10D4C" w:rsidRDefault="00540DD5">
      <w:pPr>
        <w:pStyle w:val="JuQuot"/>
      </w:pPr>
      <w:r w:rsidRPr="00B10D4C">
        <w:t>« La Cour ne voit pas en l</w:t>
      </w:r>
      <w:r w:rsidRPr="00B10D4C" w:rsidR="00B10D4C">
        <w:t>’</w:t>
      </w:r>
      <w:r w:rsidRPr="00B10D4C">
        <w:t>occurrence la nécessité d</w:t>
      </w:r>
      <w:r w:rsidRPr="00B10D4C" w:rsidR="00B10D4C">
        <w:t>’</w:t>
      </w:r>
      <w:r w:rsidRPr="00B10D4C">
        <w:t>examiner si, en une quelconque circonstance, l</w:t>
      </w:r>
      <w:r w:rsidRPr="00B10D4C" w:rsidR="00B10D4C">
        <w:t>’</w:t>
      </w:r>
      <w:r w:rsidRPr="00B10D4C">
        <w:t>obligation incombant à une partie contractante d</w:t>
      </w:r>
      <w:r w:rsidRPr="00B10D4C" w:rsidR="00B10D4C">
        <w:t>’</w:t>
      </w:r>
      <w:r w:rsidRPr="00B10D4C">
        <w:t>assurer un procès équitable peut justifier de contraindre un journaliste à révéler sa source. Quelle que fût l</w:t>
      </w:r>
      <w:r w:rsidRPr="00B10D4C" w:rsidR="00B10D4C">
        <w:t>’</w:t>
      </w:r>
      <w:r w:rsidRPr="00B10D4C">
        <w:t>importance potentielle pour la procédure pénale des informations que la cour d</w:t>
      </w:r>
      <w:r w:rsidRPr="00B10D4C" w:rsidR="00B10D4C">
        <w:t>’</w:t>
      </w:r>
      <w:r w:rsidRPr="00B10D4C">
        <w:t>appel s</w:t>
      </w:r>
      <w:r w:rsidRPr="00B10D4C" w:rsidR="00B10D4C">
        <w:t>’</w:t>
      </w:r>
      <w:r w:rsidRPr="00B10D4C">
        <w:t>est efforcée d</w:t>
      </w:r>
      <w:r w:rsidRPr="00B10D4C" w:rsidR="00B10D4C">
        <w:t>’</w:t>
      </w:r>
      <w:r w:rsidRPr="00B10D4C">
        <w:t>obtenir auprès du requérant, la cour d</w:t>
      </w:r>
      <w:r w:rsidRPr="00B10D4C" w:rsidR="00B10D4C">
        <w:t>’</w:t>
      </w:r>
      <w:r w:rsidRPr="00B10D4C">
        <w:t>appel n</w:t>
      </w:r>
      <w:r w:rsidRPr="00B10D4C" w:rsidR="00B10D4C">
        <w:t>’</w:t>
      </w:r>
      <w:r w:rsidRPr="00B10D4C">
        <w:t>a pas été empêchée d</w:t>
      </w:r>
      <w:r w:rsidRPr="00B10D4C" w:rsidR="00B10D4C">
        <w:t>’</w:t>
      </w:r>
      <w:r w:rsidRPr="00B10D4C">
        <w:t>apprécier le bien-fondé des charges qui pesaient contre les trois prévenus ; il apparaît qu</w:t>
      </w:r>
      <w:r w:rsidRPr="00B10D4C" w:rsidR="00B10D4C">
        <w:t>’</w:t>
      </w:r>
      <w:r w:rsidRPr="00B10D4C">
        <w:t>elle a pu substituer les éléments de preuve recueillis auprès d</w:t>
      </w:r>
      <w:r w:rsidRPr="00B10D4C" w:rsidR="00B10D4C">
        <w:t>’</w:t>
      </w:r>
      <w:r w:rsidRPr="00B10D4C">
        <w:t>autres témoins à ceux qu</w:t>
      </w:r>
      <w:r w:rsidRPr="00B10D4C" w:rsidR="00B10D4C">
        <w:t>’</w:t>
      </w:r>
      <w:r w:rsidRPr="00B10D4C">
        <w:t>elle avait cherché à soutirer au requérant (...). Partant, ce motif censé justifier l</w:t>
      </w:r>
      <w:r w:rsidRPr="00B10D4C" w:rsidR="00B10D4C">
        <w:t>’</w:t>
      </w:r>
      <w:r w:rsidRPr="00B10D4C">
        <w:t>ingérence litigieuse est dépourvu de pertinence. »</w:t>
      </w:r>
    </w:p>
    <w:p w:rsidRPr="00B10D4C" w:rsidR="00540DD5" w:rsidP="00B10D4C" w:rsidRDefault="00540DD5">
      <w:pPr>
        <w:pStyle w:val="JuPara"/>
      </w:pPr>
      <w:r w:rsidRPr="00B10D4C">
        <w:rPr>
          <w:iCs/>
        </w:rPr>
        <w:fldChar w:fldCharType="begin"/>
      </w:r>
      <w:r w:rsidRPr="00B10D4C">
        <w:rPr>
          <w:iCs/>
        </w:rPr>
        <w:instrText xml:space="preserve"> SEQ level0 \*arabic </w:instrText>
      </w:r>
      <w:r w:rsidRPr="00B10D4C">
        <w:rPr>
          <w:iCs/>
        </w:rPr>
        <w:fldChar w:fldCharType="separate"/>
      </w:r>
      <w:r w:rsidRPr="00B10D4C" w:rsidR="00B10D4C">
        <w:rPr>
          <w:iCs/>
          <w:noProof/>
        </w:rPr>
        <w:t>33</w:t>
      </w:r>
      <w:r w:rsidRPr="00B10D4C">
        <w:rPr>
          <w:iCs/>
        </w:rPr>
        <w:fldChar w:fldCharType="end"/>
      </w:r>
      <w:r w:rsidRPr="00B10D4C">
        <w:rPr>
          <w:iCs/>
        </w:rPr>
        <w:t>.  Il ressort également de la jurisprudence de l</w:t>
      </w:r>
      <w:r w:rsidRPr="00B10D4C">
        <w:t>a Cour que le droit des journalistes de taire leurs sources ne saurait être considéré comme un simple privilège qui leur serait accordé ou retiré en fonction de la licéité ou de l</w:t>
      </w:r>
      <w:r w:rsidRPr="00B10D4C" w:rsidR="00B10D4C">
        <w:t>’</w:t>
      </w:r>
      <w:r w:rsidRPr="00B10D4C">
        <w:t>illicéité de leurs sources, mais constitue un véritable attribut du droit à l</w:t>
      </w:r>
      <w:r w:rsidRPr="00B10D4C" w:rsidR="00B10D4C">
        <w:t>’</w:t>
      </w:r>
      <w:r w:rsidRPr="00B10D4C">
        <w:t xml:space="preserve">information, à traiter avec la plus grande circonspection (voir </w:t>
      </w:r>
      <w:proofErr w:type="spellStart"/>
      <w:r w:rsidRPr="00B10D4C">
        <w:rPr>
          <w:i/>
        </w:rPr>
        <w:t>Tillack</w:t>
      </w:r>
      <w:proofErr w:type="spellEnd"/>
      <w:r w:rsidRPr="00B10D4C">
        <w:rPr>
          <w:i/>
        </w:rPr>
        <w:t xml:space="preserve"> c. Belgique</w:t>
      </w:r>
      <w:r w:rsidRPr="00B10D4C">
        <w:t>, n</w:t>
      </w:r>
      <w:r w:rsidRPr="00B10D4C">
        <w:rPr>
          <w:vertAlign w:val="superscript"/>
        </w:rPr>
        <w:t>o</w:t>
      </w:r>
      <w:r w:rsidRPr="00B10D4C">
        <w:t xml:space="preserve"> 20477/05, § 65, 27 novembre 2007). De plus, la participation apparente de journalistes à l</w:t>
      </w:r>
      <w:r w:rsidRPr="00B10D4C" w:rsidR="00B10D4C">
        <w:t>’</w:t>
      </w:r>
      <w:r w:rsidRPr="00B10D4C">
        <w:t xml:space="preserve">identification des sources anonymes a toujours un effet inhibiteur (voir </w:t>
      </w:r>
      <w:r w:rsidRPr="00B10D4C">
        <w:rPr>
          <w:i/>
          <w:iCs/>
        </w:rPr>
        <w:t>Financial Times Ltd et autres c. Royaume-Uni</w:t>
      </w:r>
      <w:r w:rsidRPr="00B10D4C">
        <w:rPr>
          <w:iCs/>
        </w:rPr>
        <w:t>, n</w:t>
      </w:r>
      <w:r w:rsidRPr="00B10D4C">
        <w:rPr>
          <w:iCs/>
          <w:vertAlign w:val="superscript"/>
        </w:rPr>
        <w:t>o</w:t>
      </w:r>
      <w:r w:rsidRPr="00B10D4C">
        <w:rPr>
          <w:iCs/>
        </w:rPr>
        <w:t> 821/03, § 70, 15 décembre 2009).</w:t>
      </w:r>
    </w:p>
    <w:p w:rsidRPr="00B10D4C" w:rsidR="00540DD5" w:rsidP="00B10D4C" w:rsidRDefault="00540DD5">
      <w:pPr>
        <w:pStyle w:val="JuHa0"/>
        <w:numPr>
          <w:ilvl w:val="4"/>
          <w:numId w:val="1"/>
        </w:numPr>
        <w:jc w:val="both"/>
        <w:rPr>
          <w:lang w:val="fr-FR"/>
        </w:rPr>
      </w:pPr>
      <w:r w:rsidRPr="00B10D4C">
        <w:rPr>
          <w:lang w:val="fr-FR"/>
        </w:rPr>
        <w:t>Application de ces principes au cas d</w:t>
      </w:r>
      <w:r w:rsidRPr="00B10D4C" w:rsidR="00B10D4C">
        <w:rPr>
          <w:lang w:val="fr-FR"/>
        </w:rPr>
        <w:t>’</w:t>
      </w:r>
      <w:r w:rsidRPr="00B10D4C">
        <w:rPr>
          <w:lang w:val="fr-FR"/>
        </w:rPr>
        <w:t>espèce</w:t>
      </w:r>
    </w:p>
    <w:p w:rsidRPr="00B10D4C" w:rsidR="00540DD5" w:rsidP="00B10D4C" w:rsidRDefault="00540DD5">
      <w:pPr>
        <w:pStyle w:val="JuPara"/>
      </w:pPr>
      <w:r w:rsidRPr="00B10D4C">
        <w:fldChar w:fldCharType="begin"/>
      </w:r>
      <w:r w:rsidRPr="00B10D4C">
        <w:instrText xml:space="preserve"> SEQ level0 \*arabic </w:instrText>
      </w:r>
      <w:r w:rsidRPr="00B10D4C">
        <w:fldChar w:fldCharType="separate"/>
      </w:r>
      <w:r w:rsidRPr="00B10D4C" w:rsidR="00B10D4C">
        <w:rPr>
          <w:noProof/>
        </w:rPr>
        <w:t>34</w:t>
      </w:r>
      <w:r w:rsidRPr="00B10D4C">
        <w:fldChar w:fldCharType="end"/>
      </w:r>
      <w:r w:rsidRPr="00B10D4C">
        <w:t>.  Les parties conviennent qu</w:t>
      </w:r>
      <w:r w:rsidRPr="00B10D4C" w:rsidR="00B10D4C">
        <w:t>’</w:t>
      </w:r>
      <w:r w:rsidRPr="00B10D4C">
        <w:t>il y a eu au regard de l</w:t>
      </w:r>
      <w:r w:rsidRPr="00B10D4C" w:rsidR="00B10D4C">
        <w:t>’</w:t>
      </w:r>
      <w:r w:rsidRPr="00B10D4C">
        <w:t>article 10 § 1 de la Convention une « ingérence » dans l</w:t>
      </w:r>
      <w:r w:rsidRPr="00B10D4C" w:rsidR="00B10D4C">
        <w:t>’</w:t>
      </w:r>
      <w:r w:rsidRPr="00B10D4C">
        <w:t>exercice par la requérante de ses droits, et la Cour ne voit pas de raison d</w:t>
      </w:r>
      <w:r w:rsidRPr="00B10D4C" w:rsidR="00B10D4C">
        <w:t>’</w:t>
      </w:r>
      <w:r w:rsidRPr="00B10D4C">
        <w:t>en juger autrement. Elle doit donc rechercher si cette ingérence était justifiée au titre du second paragraphe de cette disposition.</w:t>
      </w:r>
    </w:p>
    <w:p w:rsidRPr="00B10D4C" w:rsidR="00540DD5" w:rsidP="00B10D4C" w:rsidRDefault="00540DD5">
      <w:pPr>
        <w:pStyle w:val="JuPara"/>
      </w:pPr>
      <w:r w:rsidRPr="00B10D4C">
        <w:fldChar w:fldCharType="begin"/>
      </w:r>
      <w:r w:rsidRPr="00B10D4C">
        <w:instrText xml:space="preserve"> SEQ level0 \*arabic </w:instrText>
      </w:r>
      <w:r w:rsidRPr="00B10D4C">
        <w:fldChar w:fldCharType="separate"/>
      </w:r>
      <w:r w:rsidRPr="00B10D4C" w:rsidR="00B10D4C">
        <w:rPr>
          <w:noProof/>
        </w:rPr>
        <w:t>35</w:t>
      </w:r>
      <w:r w:rsidRPr="00B10D4C">
        <w:fldChar w:fldCharType="end"/>
      </w:r>
      <w:r w:rsidRPr="00B10D4C">
        <w:t>.  Il n</w:t>
      </w:r>
      <w:r w:rsidRPr="00B10D4C" w:rsidR="00B10D4C">
        <w:t>’</w:t>
      </w:r>
      <w:r w:rsidRPr="00B10D4C">
        <w:t>est pas contesté en l</w:t>
      </w:r>
      <w:r w:rsidRPr="00B10D4C" w:rsidR="00B10D4C">
        <w:t>’</w:t>
      </w:r>
      <w:r w:rsidRPr="00B10D4C">
        <w:t>espèce que l</w:t>
      </w:r>
      <w:r w:rsidRPr="00B10D4C" w:rsidR="00B10D4C">
        <w:t>’</w:t>
      </w:r>
      <w:r w:rsidRPr="00B10D4C">
        <w:t xml:space="preserve">injonction de témoigner a été </w:t>
      </w:r>
      <w:r w:rsidRPr="00B10D4C">
        <w:rPr>
          <w:rFonts w:eastAsiaTheme="majorEastAsia"/>
        </w:rPr>
        <w:t>prévue par l</w:t>
      </w:r>
      <w:r w:rsidRPr="00B10D4C" w:rsidR="00B10D4C">
        <w:rPr>
          <w:rFonts w:eastAsiaTheme="majorEastAsia"/>
        </w:rPr>
        <w:t>’</w:t>
      </w:r>
      <w:r w:rsidRPr="00B10D4C">
        <w:rPr>
          <w:rFonts w:eastAsiaTheme="majorEastAsia"/>
        </w:rPr>
        <w:t>article 28a al. 2 du Code pénal en relation avec l</w:t>
      </w:r>
      <w:r w:rsidRPr="00B10D4C" w:rsidR="00B10D4C">
        <w:rPr>
          <w:rFonts w:eastAsiaTheme="majorEastAsia"/>
        </w:rPr>
        <w:t>’</w:t>
      </w:r>
      <w:r w:rsidRPr="00B10D4C">
        <w:rPr>
          <w:rFonts w:eastAsiaTheme="majorEastAsia"/>
        </w:rPr>
        <w:t xml:space="preserve">article </w:t>
      </w:r>
      <w:r w:rsidRPr="00B10D4C" w:rsidR="00A2288A">
        <w:rPr>
          <w:rFonts w:eastAsiaTheme="majorEastAsia"/>
        </w:rPr>
        <w:t> </w:t>
      </w:r>
      <w:r w:rsidRPr="00B10D4C">
        <w:rPr>
          <w:rFonts w:eastAsiaTheme="majorEastAsia"/>
        </w:rPr>
        <w:t xml:space="preserve">19 </w:t>
      </w:r>
      <w:r w:rsidRPr="00B10D4C" w:rsidR="00A2288A">
        <w:rPr>
          <w:rFonts w:eastAsiaTheme="majorEastAsia"/>
        </w:rPr>
        <w:t> </w:t>
      </w:r>
      <w:r w:rsidRPr="00B10D4C">
        <w:rPr>
          <w:rFonts w:eastAsiaTheme="majorEastAsia"/>
        </w:rPr>
        <w:t xml:space="preserve">al. </w:t>
      </w:r>
      <w:r w:rsidRPr="00B10D4C" w:rsidR="00A2288A">
        <w:rPr>
          <w:rFonts w:eastAsiaTheme="majorEastAsia"/>
        </w:rPr>
        <w:t> </w:t>
      </w:r>
      <w:r w:rsidRPr="00B10D4C">
        <w:rPr>
          <w:rFonts w:eastAsiaTheme="majorEastAsia"/>
        </w:rPr>
        <w:t>2 c) de la loi sur les stupéfiants, et qu</w:t>
      </w:r>
      <w:r w:rsidRPr="00B10D4C" w:rsidR="00B10D4C">
        <w:rPr>
          <w:rFonts w:eastAsiaTheme="majorEastAsia"/>
        </w:rPr>
        <w:t>’</w:t>
      </w:r>
      <w:r w:rsidRPr="00B10D4C">
        <w:rPr>
          <w:rFonts w:eastAsiaTheme="majorEastAsia"/>
        </w:rPr>
        <w:t xml:space="preserve">elle a </w:t>
      </w:r>
      <w:r w:rsidRPr="00B10D4C">
        <w:t>été émise aux fins de la « prévention du crime ». La Cour partage ce point de vue et juge qu</w:t>
      </w:r>
      <w:r w:rsidRPr="00B10D4C" w:rsidR="00B10D4C">
        <w:t>’</w:t>
      </w:r>
      <w:r w:rsidRPr="00B10D4C">
        <w:t>il n</w:t>
      </w:r>
      <w:r w:rsidRPr="00B10D4C" w:rsidR="00B10D4C">
        <w:t>’</w:t>
      </w:r>
      <w:r w:rsidRPr="00B10D4C">
        <w:t xml:space="preserve">y a pas lieu de trancher le point de savoir si cette ingérence poursuivait un des autres buts légitimes invoqués par le Gouvernement (paragraphe </w:t>
      </w:r>
      <w:r w:rsidRPr="00B10D4C">
        <w:fldChar w:fldCharType="begin"/>
      </w:r>
      <w:r w:rsidRPr="00B10D4C">
        <w:instrText xml:space="preserve"> REF para17 \h </w:instrText>
      </w:r>
      <w:r w:rsidRPr="00B10D4C">
        <w:fldChar w:fldCharType="separate"/>
      </w:r>
      <w:r w:rsidRPr="00B10D4C" w:rsidR="00B10D4C">
        <w:rPr>
          <w:noProof/>
        </w:rPr>
        <w:t>22</w:t>
      </w:r>
      <w:r w:rsidRPr="00B10D4C">
        <w:fldChar w:fldCharType="end"/>
      </w:r>
      <w:r w:rsidRPr="00B10D4C">
        <w:t xml:space="preserve"> ci-dessus).</w:t>
      </w:r>
    </w:p>
    <w:p w:rsidRPr="00B10D4C" w:rsidR="00540DD5" w:rsidP="00B10D4C" w:rsidRDefault="00540DD5">
      <w:pPr>
        <w:pStyle w:val="JuPara"/>
        <w:rPr>
          <w:rFonts w:cstheme="minorHAnsi"/>
        </w:rPr>
      </w:pPr>
      <w:r w:rsidRPr="00B10D4C">
        <w:fldChar w:fldCharType="begin"/>
      </w:r>
      <w:r w:rsidRPr="00B10D4C">
        <w:instrText xml:space="preserve"> SEQ level0 \*arabic </w:instrText>
      </w:r>
      <w:r w:rsidRPr="00B10D4C">
        <w:fldChar w:fldCharType="separate"/>
      </w:r>
      <w:r w:rsidRPr="00B10D4C" w:rsidR="00B10D4C">
        <w:rPr>
          <w:noProof/>
        </w:rPr>
        <w:t>36</w:t>
      </w:r>
      <w:r w:rsidRPr="00B10D4C">
        <w:fldChar w:fldCharType="end"/>
      </w:r>
      <w:r w:rsidRPr="00B10D4C">
        <w:t>.  Il appartient donc à la Cour d</w:t>
      </w:r>
      <w:r w:rsidRPr="00B10D4C" w:rsidR="00B10D4C">
        <w:t>’</w:t>
      </w:r>
      <w:r w:rsidRPr="00B10D4C">
        <w:t xml:space="preserve">examiner si cette ingérence était « nécessaire dans une société démocratique ». </w:t>
      </w:r>
      <w:r w:rsidRPr="00B10D4C">
        <w:rPr>
          <w:rFonts w:cstheme="minorHAnsi"/>
        </w:rPr>
        <w:t>En particulier, il lui incombe de déterminer si les motifs invoqués par les autorités nationales pour justifier l</w:t>
      </w:r>
      <w:r w:rsidRPr="00B10D4C" w:rsidR="00B10D4C">
        <w:rPr>
          <w:rFonts w:cstheme="minorHAnsi"/>
        </w:rPr>
        <w:t>’</w:t>
      </w:r>
      <w:r w:rsidRPr="00B10D4C">
        <w:rPr>
          <w:rFonts w:cstheme="minorHAnsi"/>
        </w:rPr>
        <w:t>ingérence apparaissent « pertinents et suffisants » et si la mesure incriminée était « proportionnée aux buts légitimes poursuivis ». Ce faisant, la Cour doit se convaincre que les autorités nationales ont, en se fondant sur une appréciation acceptable des faits pertinents, appliqué des règles conformes aux principes consacrés à l</w:t>
      </w:r>
      <w:r w:rsidRPr="00B10D4C" w:rsidR="00B10D4C">
        <w:rPr>
          <w:rFonts w:cstheme="minorHAnsi"/>
        </w:rPr>
        <w:t>’</w:t>
      </w:r>
      <w:r w:rsidRPr="00B10D4C">
        <w:rPr>
          <w:rFonts w:cstheme="minorHAnsi"/>
        </w:rPr>
        <w:t>article 10 (voir, parmi beaucoup d</w:t>
      </w:r>
      <w:r w:rsidRPr="00B10D4C" w:rsidR="00B10D4C">
        <w:rPr>
          <w:rFonts w:cstheme="minorHAnsi"/>
        </w:rPr>
        <w:t>’</w:t>
      </w:r>
      <w:r w:rsidRPr="00B10D4C">
        <w:rPr>
          <w:rFonts w:cstheme="minorHAnsi"/>
        </w:rPr>
        <w:t xml:space="preserve">autres, </w:t>
      </w:r>
      <w:proofErr w:type="spellStart"/>
      <w:r w:rsidRPr="00B10D4C">
        <w:rPr>
          <w:i/>
        </w:rPr>
        <w:t>Cumpănă</w:t>
      </w:r>
      <w:proofErr w:type="spellEnd"/>
      <w:r w:rsidRPr="00B10D4C">
        <w:rPr>
          <w:i/>
        </w:rPr>
        <w:t xml:space="preserve"> et </w:t>
      </w:r>
      <w:proofErr w:type="spellStart"/>
      <w:r w:rsidRPr="00B10D4C">
        <w:rPr>
          <w:i/>
        </w:rPr>
        <w:t>Mazăre</w:t>
      </w:r>
      <w:proofErr w:type="spellEnd"/>
      <w:r w:rsidRPr="00B10D4C">
        <w:rPr>
          <w:i/>
        </w:rPr>
        <w:t xml:space="preserve"> c. Roumanie</w:t>
      </w:r>
      <w:r w:rsidRPr="00B10D4C">
        <w:t xml:space="preserve"> [GC], n</w:t>
      </w:r>
      <w:r w:rsidRPr="00B10D4C">
        <w:rPr>
          <w:vertAlign w:val="superscript"/>
        </w:rPr>
        <w:t>o</w:t>
      </w:r>
      <w:r w:rsidRPr="00B10D4C">
        <w:t xml:space="preserve"> 33348/96, § 90, CEDH </w:t>
      </w:r>
      <w:r w:rsidRPr="00B10D4C" w:rsidR="007F430A">
        <w:t> </w:t>
      </w:r>
      <w:r w:rsidRPr="00B10D4C">
        <w:t>2004</w:t>
      </w:r>
      <w:r w:rsidRPr="00B10D4C">
        <w:noBreakHyphen/>
        <w:t xml:space="preserve">XI ; </w:t>
      </w:r>
      <w:proofErr w:type="spellStart"/>
      <w:r w:rsidRPr="00B10D4C">
        <w:rPr>
          <w:i/>
        </w:rPr>
        <w:t>Schweizerische</w:t>
      </w:r>
      <w:proofErr w:type="spellEnd"/>
      <w:r w:rsidRPr="00B10D4C">
        <w:rPr>
          <w:i/>
        </w:rPr>
        <w:t xml:space="preserve"> Radio- </w:t>
      </w:r>
      <w:proofErr w:type="spellStart"/>
      <w:r w:rsidRPr="00B10D4C">
        <w:rPr>
          <w:i/>
        </w:rPr>
        <w:t>und</w:t>
      </w:r>
      <w:proofErr w:type="spellEnd"/>
      <w:r w:rsidRPr="00B10D4C">
        <w:rPr>
          <w:i/>
        </w:rPr>
        <w:t xml:space="preserve"> </w:t>
      </w:r>
      <w:proofErr w:type="spellStart"/>
      <w:r w:rsidRPr="00B10D4C">
        <w:rPr>
          <w:i/>
        </w:rPr>
        <w:t>Fernsehgesellschaft</w:t>
      </w:r>
      <w:proofErr w:type="spellEnd"/>
      <w:r w:rsidRPr="00B10D4C">
        <w:rPr>
          <w:i/>
        </w:rPr>
        <w:t xml:space="preserve"> SRG c. </w:t>
      </w:r>
      <w:r w:rsidRPr="00B10D4C" w:rsidR="007F430A">
        <w:rPr>
          <w:i/>
        </w:rPr>
        <w:t> </w:t>
      </w:r>
      <w:r w:rsidRPr="00B10D4C">
        <w:rPr>
          <w:i/>
        </w:rPr>
        <w:t>Suisse</w:t>
      </w:r>
      <w:r w:rsidRPr="00B10D4C">
        <w:t>, n</w:t>
      </w:r>
      <w:r w:rsidRPr="00B10D4C">
        <w:rPr>
          <w:vertAlign w:val="superscript"/>
        </w:rPr>
        <w:t>o</w:t>
      </w:r>
      <w:r w:rsidRPr="00B10D4C">
        <w:t> 34124/06, § 55, 21 juin 2012)</w:t>
      </w:r>
      <w:r w:rsidRPr="00B10D4C">
        <w:rPr>
          <w:rFonts w:cstheme="minorHAnsi"/>
        </w:rPr>
        <w:t>. Elle</w:t>
      </w:r>
      <w:r w:rsidRPr="00B10D4C">
        <w:t xml:space="preserve"> rappelle sur ce point que la possibilité de faire contrôler la mesure par un juge ou tout autre organe décisionnel indépendant et impartial figure au premier rang des garanties qui doivent entourer toute atteinte au droit à la protection des sources journalistiques. L</w:t>
      </w:r>
      <w:r w:rsidRPr="00B10D4C" w:rsidR="00B10D4C">
        <w:t>’</w:t>
      </w:r>
      <w:r w:rsidRPr="00B10D4C">
        <w:t>organe de contrôle doit être investi du pouvoir de dire s</w:t>
      </w:r>
      <w:r w:rsidRPr="00B10D4C" w:rsidR="00B10D4C">
        <w:t>’</w:t>
      </w:r>
      <w:r w:rsidRPr="00B10D4C">
        <w:t>il existe un impératif d</w:t>
      </w:r>
      <w:r w:rsidRPr="00B10D4C" w:rsidR="00B10D4C">
        <w:t>’</w:t>
      </w:r>
      <w:r w:rsidRPr="00B10D4C">
        <w:t>intérêt public l</w:t>
      </w:r>
      <w:r w:rsidRPr="00B10D4C" w:rsidR="00B10D4C">
        <w:t>’</w:t>
      </w:r>
      <w:r w:rsidRPr="00B10D4C">
        <w:t>emportant sur le principe de protection des sources des journalistes et, dans le cas contraire, d</w:t>
      </w:r>
      <w:r w:rsidRPr="00B10D4C" w:rsidR="00B10D4C">
        <w:t>’</w:t>
      </w:r>
      <w:r w:rsidRPr="00B10D4C">
        <w:t>empêcher tout accès non indispensable aux informations susceptibles de conduire à la divulgation de l</w:t>
      </w:r>
      <w:r w:rsidRPr="00B10D4C" w:rsidR="00B10D4C">
        <w:t>’</w:t>
      </w:r>
      <w:r w:rsidRPr="00B10D4C">
        <w:t xml:space="preserve">identité des sources (voir </w:t>
      </w:r>
      <w:proofErr w:type="spellStart"/>
      <w:r w:rsidRPr="00B10D4C">
        <w:rPr>
          <w:i/>
        </w:rPr>
        <w:t>Sanoma</w:t>
      </w:r>
      <w:proofErr w:type="spellEnd"/>
      <w:r w:rsidRPr="00B10D4C">
        <w:rPr>
          <w:i/>
        </w:rPr>
        <w:t xml:space="preserve"> </w:t>
      </w:r>
      <w:proofErr w:type="spellStart"/>
      <w:r w:rsidRPr="00B10D4C">
        <w:rPr>
          <w:i/>
        </w:rPr>
        <w:t>Uitgevers</w:t>
      </w:r>
      <w:proofErr w:type="spellEnd"/>
      <w:r w:rsidRPr="00B10D4C">
        <w:rPr>
          <w:i/>
        </w:rPr>
        <w:t xml:space="preserve"> B.V.</w:t>
      </w:r>
      <w:r w:rsidRPr="00B10D4C">
        <w:t xml:space="preserve">, précité, § </w:t>
      </w:r>
      <w:r w:rsidRPr="00B10D4C" w:rsidR="007F430A">
        <w:t> </w:t>
      </w:r>
      <w:r w:rsidRPr="00B10D4C">
        <w:t>90).</w:t>
      </w:r>
    </w:p>
    <w:p w:rsidRPr="00B10D4C" w:rsidR="00540DD5" w:rsidP="00B10D4C" w:rsidRDefault="00540DD5">
      <w:pPr>
        <w:pStyle w:val="JuPara"/>
      </w:pPr>
      <w:r w:rsidRPr="00B10D4C">
        <w:rPr>
          <w:rFonts w:cstheme="minorHAnsi"/>
        </w:rPr>
        <w:fldChar w:fldCharType="begin"/>
      </w:r>
      <w:r w:rsidRPr="00B10D4C">
        <w:rPr>
          <w:rFonts w:cstheme="minorHAnsi"/>
        </w:rPr>
        <w:instrText xml:space="preserve"> SEQ level0 \*arabic </w:instrText>
      </w:r>
      <w:r w:rsidRPr="00B10D4C">
        <w:rPr>
          <w:rFonts w:cstheme="minorHAnsi"/>
        </w:rPr>
        <w:fldChar w:fldCharType="separate"/>
      </w:r>
      <w:r w:rsidRPr="00B10D4C" w:rsidR="00B10D4C">
        <w:rPr>
          <w:rFonts w:cstheme="minorHAnsi"/>
          <w:noProof/>
        </w:rPr>
        <w:t>37</w:t>
      </w:r>
      <w:r w:rsidRPr="00B10D4C">
        <w:rPr>
          <w:rFonts w:cstheme="minorHAnsi"/>
        </w:rPr>
        <w:fldChar w:fldCharType="end"/>
      </w:r>
      <w:r w:rsidRPr="00B10D4C">
        <w:rPr>
          <w:rFonts w:cstheme="minorHAnsi"/>
        </w:rPr>
        <w:t>.  L</w:t>
      </w:r>
      <w:r w:rsidRPr="00B10D4C">
        <w:t>a Cour note d</w:t>
      </w:r>
      <w:r w:rsidRPr="00B10D4C" w:rsidR="00B10D4C">
        <w:t>’</w:t>
      </w:r>
      <w:r w:rsidRPr="00B10D4C">
        <w:t>emblée que l</w:t>
      </w:r>
      <w:r w:rsidRPr="00B10D4C" w:rsidR="00B10D4C">
        <w:t>’</w:t>
      </w:r>
      <w:r w:rsidRPr="00B10D4C">
        <w:t>obligation faite à la requérante de témoigner dans le cadre d</w:t>
      </w:r>
      <w:r w:rsidRPr="00B10D4C" w:rsidR="00B10D4C">
        <w:t>’</w:t>
      </w:r>
      <w:r w:rsidRPr="00B10D4C">
        <w:t>une enquête ouverte par le ministère public avait pour but la recherche de l</w:t>
      </w:r>
      <w:r w:rsidRPr="00B10D4C" w:rsidR="00B10D4C">
        <w:t>’</w:t>
      </w:r>
      <w:r w:rsidRPr="00B10D4C">
        <w:t>auteur potentiel d</w:t>
      </w:r>
      <w:r w:rsidRPr="00B10D4C" w:rsidR="00B10D4C">
        <w:t>’</w:t>
      </w:r>
      <w:r w:rsidRPr="00B10D4C">
        <w:t>une infraction à la loi sur les stupéfiants. Elle admet que la requérante était la seule à pouvoir aider les autorités pénales à identifier le revendeur de drogues en question, qui lui a fourni des informations pour son article, et qu</w:t>
      </w:r>
      <w:r w:rsidRPr="00B10D4C" w:rsidR="00B10D4C">
        <w:t>’</w:t>
      </w:r>
      <w:r w:rsidRPr="00B10D4C">
        <w:t>il existait incontestablement un motif légitime à poursuivre celui-ci au pénal.</w:t>
      </w:r>
    </w:p>
    <w:p w:rsidRPr="00B10D4C" w:rsidR="00540DD5" w:rsidP="00B10D4C" w:rsidRDefault="00540DD5">
      <w:pPr>
        <w:pStyle w:val="JuPara"/>
      </w:pPr>
      <w:r w:rsidRPr="00B10D4C">
        <w:fldChar w:fldCharType="begin"/>
      </w:r>
      <w:r w:rsidRPr="00B10D4C">
        <w:instrText xml:space="preserve"> SEQ level0 \*arabic </w:instrText>
      </w:r>
      <w:r w:rsidRPr="00B10D4C">
        <w:fldChar w:fldCharType="separate"/>
      </w:r>
      <w:r w:rsidRPr="00B10D4C" w:rsidR="00B10D4C">
        <w:rPr>
          <w:noProof/>
        </w:rPr>
        <w:t>38</w:t>
      </w:r>
      <w:r w:rsidRPr="00B10D4C">
        <w:fldChar w:fldCharType="end"/>
      </w:r>
      <w:r w:rsidRPr="00B10D4C">
        <w:t>.  Il s</w:t>
      </w:r>
      <w:r w:rsidRPr="00B10D4C" w:rsidR="00B10D4C">
        <w:t>’</w:t>
      </w:r>
      <w:r w:rsidRPr="00B10D4C">
        <w:t>agit là sans aucun doute de motifs pertinents. Cependant, la Cour estime que pour établir la nécessité de divulguer l</w:t>
      </w:r>
      <w:r w:rsidRPr="00B10D4C" w:rsidR="00B10D4C">
        <w:t>’</w:t>
      </w:r>
      <w:r w:rsidRPr="00B10D4C">
        <w:t>identité d</w:t>
      </w:r>
      <w:r w:rsidRPr="00B10D4C" w:rsidR="00B10D4C">
        <w:t>’</w:t>
      </w:r>
      <w:r w:rsidRPr="00B10D4C">
        <w:t>une source, il ne suffit pas de soutenir que, faute d</w:t>
      </w:r>
      <w:r w:rsidRPr="00B10D4C" w:rsidR="00B10D4C">
        <w:t>’</w:t>
      </w:r>
      <w:r w:rsidRPr="00B10D4C">
        <w:t>une telle mesure, il ne serait pas possible de faire avancer une enquête pénale. Pour apprécier la nécessité aux fins de la « prévention du crime », il y a lieu de tenir compte de la gravité des infractions qui sont à l</w:t>
      </w:r>
      <w:r w:rsidRPr="00B10D4C" w:rsidR="00B10D4C">
        <w:t>’</w:t>
      </w:r>
      <w:r w:rsidRPr="00B10D4C">
        <w:t>origine d</w:t>
      </w:r>
      <w:r w:rsidRPr="00B10D4C" w:rsidR="00B10D4C">
        <w:t>’</w:t>
      </w:r>
      <w:r w:rsidRPr="00B10D4C">
        <w:t xml:space="preserve">une telle enquête (voir, </w:t>
      </w:r>
      <w:r w:rsidRPr="00B10D4C" w:rsidR="007F430A">
        <w:t> </w:t>
      </w:r>
      <w:r w:rsidRPr="00B10D4C">
        <w:rPr>
          <w:i/>
        </w:rPr>
        <w:t xml:space="preserve">mutatis </w:t>
      </w:r>
      <w:r w:rsidRPr="00B10D4C" w:rsidR="007F430A">
        <w:rPr>
          <w:i/>
        </w:rPr>
        <w:t> </w:t>
      </w:r>
      <w:r w:rsidRPr="00B10D4C">
        <w:rPr>
          <w:i/>
        </w:rPr>
        <w:t>mutandis</w:t>
      </w:r>
      <w:r w:rsidRPr="00B10D4C">
        <w:t xml:space="preserve">, </w:t>
      </w:r>
      <w:r w:rsidRPr="00B10D4C">
        <w:rPr>
          <w:i/>
          <w:iCs/>
        </w:rPr>
        <w:t>Becker</w:t>
      </w:r>
      <w:r w:rsidRPr="00B10D4C">
        <w:t>, précité, § 79).</w:t>
      </w:r>
    </w:p>
    <w:bookmarkStart w:name="para38" w:id="28"/>
    <w:p w:rsidRPr="00B10D4C" w:rsidR="00540DD5" w:rsidP="00B10D4C" w:rsidRDefault="00540DD5">
      <w:pPr>
        <w:pStyle w:val="JuPara"/>
      </w:pPr>
      <w:r w:rsidRPr="00B10D4C">
        <w:fldChar w:fldCharType="begin"/>
      </w:r>
      <w:r w:rsidRPr="00B10D4C">
        <w:instrText xml:space="preserve"> SEQ level0 \*arabic </w:instrText>
      </w:r>
      <w:r w:rsidRPr="00B10D4C">
        <w:fldChar w:fldCharType="separate"/>
      </w:r>
      <w:r w:rsidRPr="00B10D4C" w:rsidR="00B10D4C">
        <w:rPr>
          <w:noProof/>
        </w:rPr>
        <w:t>39</w:t>
      </w:r>
      <w:r w:rsidRPr="00B10D4C">
        <w:fldChar w:fldCharType="end"/>
      </w:r>
      <w:r w:rsidRPr="00B10D4C">
        <w:t>.  </w:t>
      </w:r>
      <w:bookmarkEnd w:id="28"/>
      <w:r w:rsidRPr="00B10D4C">
        <w:rPr>
          <w:rFonts w:cstheme="minorHAnsi"/>
        </w:rPr>
        <w:t>À</w:t>
      </w:r>
      <w:r w:rsidRPr="00B10D4C">
        <w:t xml:space="preserve"> cet égard, il convient de noter que tant le Tribunal fédéral (paragraphe </w:t>
      </w:r>
      <w:r w:rsidRPr="00B10D4C">
        <w:fldChar w:fldCharType="begin"/>
      </w:r>
      <w:r w:rsidRPr="00B10D4C">
        <w:instrText xml:space="preserve"> REF para7 \h  \* MERGEFORMAT </w:instrText>
      </w:r>
      <w:r w:rsidRPr="00B10D4C">
        <w:fldChar w:fldCharType="separate"/>
      </w:r>
      <w:r w:rsidRPr="00B10D4C" w:rsidR="00B10D4C">
        <w:t>8</w:t>
      </w:r>
      <w:r w:rsidRPr="00B10D4C">
        <w:fldChar w:fldCharType="end"/>
      </w:r>
      <w:r w:rsidRPr="00B10D4C">
        <w:t xml:space="preserve"> ci-dessus) que le Gouvernement défendeur (paragraphe </w:t>
      </w:r>
      <w:r w:rsidRPr="00B10D4C">
        <w:fldChar w:fldCharType="begin"/>
      </w:r>
      <w:r w:rsidRPr="00B10D4C">
        <w:instrText xml:space="preserve"> REF para23 \h  \* MERGEFORMAT </w:instrText>
      </w:r>
      <w:r w:rsidRPr="00B10D4C">
        <w:fldChar w:fldCharType="separate"/>
      </w:r>
      <w:r w:rsidRPr="00B10D4C" w:rsidR="00B10D4C">
        <w:t>26</w:t>
      </w:r>
      <w:r w:rsidRPr="00B10D4C">
        <w:fldChar w:fldCharType="end"/>
      </w:r>
      <w:r w:rsidRPr="00B10D4C" w:rsidR="00A2288A">
        <w:t xml:space="preserve"> ci</w:t>
      </w:r>
      <w:r w:rsidRPr="00B10D4C" w:rsidR="00A2288A">
        <w:noBreakHyphen/>
        <w:t> </w:t>
      </w:r>
      <w:r w:rsidRPr="00B10D4C">
        <w:t>dessus) semblent accorder une importance relativement moindre à l</w:t>
      </w:r>
      <w:r w:rsidRPr="00B10D4C" w:rsidR="00B10D4C">
        <w:t>’</w:t>
      </w:r>
      <w:r w:rsidRPr="00B10D4C">
        <w:t>infraction en jeu en l</w:t>
      </w:r>
      <w:r w:rsidRPr="00B10D4C" w:rsidR="00B10D4C">
        <w:t>’</w:t>
      </w:r>
      <w:r w:rsidRPr="00B10D4C">
        <w:t>espèce, s</w:t>
      </w:r>
      <w:r w:rsidRPr="00B10D4C" w:rsidR="00B10D4C">
        <w:t>’</w:t>
      </w:r>
      <w:r w:rsidRPr="00B10D4C">
        <w:t>en remettant au choix du législateur de l</w:t>
      </w:r>
      <w:r w:rsidRPr="00B10D4C" w:rsidR="00B10D4C">
        <w:t>’</w:t>
      </w:r>
      <w:r w:rsidRPr="00B10D4C">
        <w:t xml:space="preserve">inclure dans le catalogue – qualifié par le Tribunal fédéral de non cohérent sur le plan systématique (paragraphe </w:t>
      </w:r>
      <w:r w:rsidRPr="00B10D4C">
        <w:fldChar w:fldCharType="begin"/>
      </w:r>
      <w:r w:rsidRPr="00B10D4C">
        <w:instrText xml:space="preserve"> REF paragraphe11 \h </w:instrText>
      </w:r>
      <w:r w:rsidRPr="00B10D4C">
        <w:fldChar w:fldCharType="separate"/>
      </w:r>
      <w:r w:rsidRPr="00B10D4C" w:rsidR="00B10D4C">
        <w:rPr>
          <w:noProof/>
        </w:rPr>
        <w:t>12</w:t>
      </w:r>
      <w:r w:rsidRPr="00B10D4C">
        <w:fldChar w:fldCharType="end"/>
      </w:r>
      <w:r w:rsidRPr="00B10D4C">
        <w:t xml:space="preserve"> </w:t>
      </w:r>
      <w:bookmarkStart w:name="par11" w:id="29"/>
      <w:bookmarkEnd w:id="29"/>
      <w:r w:rsidRPr="00B10D4C">
        <w:t>ci-dessus) – des infractions justifiant une exception à la protection des sources.  Il est vrai que, dans son arrêt rendu en l</w:t>
      </w:r>
      <w:r w:rsidRPr="00B10D4C" w:rsidR="00B10D4C">
        <w:t>’</w:t>
      </w:r>
      <w:r w:rsidRPr="00B10D4C">
        <w:t>espèce, le Tribunal fédéral a identifié d</w:t>
      </w:r>
      <w:r w:rsidRPr="00B10D4C" w:rsidR="00B10D4C">
        <w:t>’</w:t>
      </w:r>
      <w:r w:rsidRPr="00B10D4C">
        <w:t>autres considérations qu</w:t>
      </w:r>
      <w:r w:rsidRPr="00B10D4C" w:rsidR="00B10D4C">
        <w:t>’</w:t>
      </w:r>
      <w:r w:rsidRPr="00B10D4C">
        <w:t>il estimait pertinentes pour apprécier la gravité de l</w:t>
      </w:r>
      <w:r w:rsidRPr="00B10D4C" w:rsidR="00B10D4C">
        <w:t>’</w:t>
      </w:r>
      <w:r w:rsidRPr="00B10D4C">
        <w:t>infraction. Ce faisant, il a souligné surtout la nature commerciale de l</w:t>
      </w:r>
      <w:r w:rsidRPr="00B10D4C" w:rsidR="00B10D4C">
        <w:t>’</w:t>
      </w:r>
      <w:r w:rsidRPr="00B10D4C">
        <w:t xml:space="preserve">activité du revendeur et les gains obtenus par celui-ci, plutôt que le fait que cette activité, à savoir le trafic de drogues douces, représenterait un risque considérable pour la santé des usagers (voir également la pratique interne citée au paragraphe </w:t>
      </w:r>
      <w:r w:rsidRPr="00B10D4C">
        <w:fldChar w:fldCharType="begin"/>
      </w:r>
      <w:r w:rsidRPr="00B10D4C">
        <w:instrText xml:space="preserve"> REF para23 \h </w:instrText>
      </w:r>
      <w:r w:rsidRPr="00B10D4C">
        <w:fldChar w:fldCharType="separate"/>
      </w:r>
      <w:r w:rsidRPr="00B10D4C" w:rsidR="00B10D4C">
        <w:rPr>
          <w:noProof/>
        </w:rPr>
        <w:t>26</w:t>
      </w:r>
      <w:r w:rsidRPr="00B10D4C">
        <w:fldChar w:fldCharType="end"/>
      </w:r>
      <w:r w:rsidRPr="00B10D4C">
        <w:t xml:space="preserve"> ci-dessus).</w:t>
      </w:r>
    </w:p>
    <w:p w:rsidRPr="00B10D4C" w:rsidR="00540DD5" w:rsidP="00B10D4C" w:rsidRDefault="00540DD5">
      <w:pPr>
        <w:pStyle w:val="JuPara"/>
      </w:pPr>
      <w:r w:rsidRPr="00B10D4C">
        <w:fldChar w:fldCharType="begin"/>
      </w:r>
      <w:r w:rsidRPr="00B10D4C">
        <w:instrText xml:space="preserve"> SEQ level0 \*arabic </w:instrText>
      </w:r>
      <w:r w:rsidRPr="00B10D4C">
        <w:fldChar w:fldCharType="separate"/>
      </w:r>
      <w:r w:rsidRPr="00B10D4C" w:rsidR="00B10D4C">
        <w:rPr>
          <w:noProof/>
        </w:rPr>
        <w:t>40</w:t>
      </w:r>
      <w:r w:rsidRPr="00B10D4C">
        <w:fldChar w:fldCharType="end"/>
      </w:r>
      <w:r w:rsidRPr="00B10D4C">
        <w:t>.  La Cour estime que, en sus de la dangerosité moindre de l</w:t>
      </w:r>
      <w:r w:rsidRPr="00B10D4C" w:rsidR="00B10D4C">
        <w:t>’</w:t>
      </w:r>
      <w:r w:rsidRPr="00B10D4C">
        <w:t>infraction au sujet de laquelle la requérante était appelée à témoigner afin de divulguer sa source, il y avait lieu d</w:t>
      </w:r>
      <w:r w:rsidRPr="00B10D4C" w:rsidR="00B10D4C">
        <w:t>’</w:t>
      </w:r>
      <w:r w:rsidRPr="00B10D4C">
        <w:t>accorder du poids également au fait que l</w:t>
      </w:r>
      <w:r w:rsidRPr="00B10D4C" w:rsidR="00B10D4C">
        <w:t>’</w:t>
      </w:r>
      <w:r w:rsidRPr="00B10D4C">
        <w:t>article de la requérante se rapportait à un sujet susceptible de susciter considérablement l</w:t>
      </w:r>
      <w:r w:rsidRPr="00B10D4C" w:rsidR="00B10D4C">
        <w:t>’</w:t>
      </w:r>
      <w:r w:rsidRPr="00B10D4C">
        <w:t>intérêt du public, étant donné qu</w:t>
      </w:r>
      <w:r w:rsidRPr="00B10D4C" w:rsidR="00B10D4C">
        <w:t>’</w:t>
      </w:r>
      <w:r w:rsidRPr="00B10D4C">
        <w:t>il mettait en lumière le fait qu</w:t>
      </w:r>
      <w:r w:rsidRPr="00B10D4C" w:rsidR="00B10D4C">
        <w:t>’</w:t>
      </w:r>
      <w:r w:rsidRPr="00B10D4C">
        <w:t>un trafiquant de drogues ait pu être actif pendant des années sans être dévoilé. De plus, cette injonction pouvait avoir un impact préjudiciable sur le journal l</w:t>
      </w:r>
      <w:r w:rsidRPr="00B10D4C" w:rsidR="00B10D4C">
        <w:t>’</w:t>
      </w:r>
      <w:r w:rsidRPr="00B10D4C">
        <w:t xml:space="preserve">ayant publié, dont la réputation auprès des sources potentielles futures pouvait être affectée négativement par la divulgation, ainsi que sur les membres du public qui ont un intérêt à recevoir les informations communiquées par des sources anonymes (voir, </w:t>
      </w:r>
      <w:r w:rsidRPr="00B10D4C">
        <w:rPr>
          <w:i/>
        </w:rPr>
        <w:t>mutatis mutandis</w:t>
      </w:r>
      <w:r w:rsidRPr="00B10D4C">
        <w:t xml:space="preserve">, </w:t>
      </w:r>
      <w:proofErr w:type="spellStart"/>
      <w:r w:rsidRPr="00B10D4C">
        <w:rPr>
          <w:i/>
        </w:rPr>
        <w:t>Voskuil</w:t>
      </w:r>
      <w:proofErr w:type="spellEnd"/>
      <w:r w:rsidRPr="00B10D4C">
        <w:t>, précité, § 71). En revanche, on ne saurait reprocher à la requérante de ne pas s</w:t>
      </w:r>
      <w:r w:rsidRPr="00B10D4C" w:rsidR="00B10D4C">
        <w:t>’</w:t>
      </w:r>
      <w:r w:rsidRPr="00B10D4C">
        <w:t xml:space="preserve">être exprimée de manière suffisamment critique sur le sujet traité dans son article, ou soumettre la protection des sources à une telle condition, comme le Tribunal fédéral semble le suggérer (paragraphe </w:t>
      </w:r>
      <w:r w:rsidRPr="00B10D4C">
        <w:fldChar w:fldCharType="begin"/>
      </w:r>
      <w:r w:rsidRPr="00B10D4C">
        <w:instrText xml:space="preserve"> REF para7 \h </w:instrText>
      </w:r>
      <w:r w:rsidRPr="00B10D4C">
        <w:fldChar w:fldCharType="separate"/>
      </w:r>
      <w:r w:rsidRPr="00B10D4C" w:rsidR="00B10D4C">
        <w:rPr>
          <w:noProof/>
        </w:rPr>
        <w:t>8</w:t>
      </w:r>
      <w:r w:rsidRPr="00B10D4C">
        <w:fldChar w:fldCharType="end"/>
      </w:r>
      <w:r w:rsidRPr="00B10D4C">
        <w:t xml:space="preserve"> ci-dessus).</w:t>
      </w:r>
    </w:p>
    <w:bookmarkStart w:name="_Hlk50365177" w:id="30"/>
    <w:p w:rsidRPr="00B10D4C" w:rsidR="00540DD5" w:rsidP="00B10D4C" w:rsidRDefault="00540DD5">
      <w:pPr>
        <w:pStyle w:val="JuPara"/>
      </w:pPr>
      <w:r w:rsidRPr="00B10D4C">
        <w:fldChar w:fldCharType="begin"/>
      </w:r>
      <w:r w:rsidRPr="00B10D4C">
        <w:instrText xml:space="preserve"> SEQ level0 \*arabic </w:instrText>
      </w:r>
      <w:r w:rsidRPr="00B10D4C">
        <w:fldChar w:fldCharType="separate"/>
      </w:r>
      <w:r w:rsidRPr="00B10D4C" w:rsidR="00B10D4C">
        <w:rPr>
          <w:noProof/>
        </w:rPr>
        <w:t>41</w:t>
      </w:r>
      <w:r w:rsidRPr="00B10D4C">
        <w:fldChar w:fldCharType="end"/>
      </w:r>
      <w:r w:rsidRPr="00B10D4C">
        <w:t>.  La Cour réitère que, eu égard à l</w:t>
      </w:r>
      <w:r w:rsidRPr="00B10D4C" w:rsidR="00B10D4C">
        <w:t>’</w:t>
      </w:r>
      <w:r w:rsidRPr="00B10D4C">
        <w:t>importance que revêt la protection des sources journalistiques pour la liberté de la presse dans une société démocratique, l</w:t>
      </w:r>
      <w:r w:rsidRPr="00B10D4C" w:rsidR="00B10D4C">
        <w:t>’</w:t>
      </w:r>
      <w:r w:rsidRPr="00B10D4C">
        <w:t>obligation faite à un journaliste de révéler l</w:t>
      </w:r>
      <w:r w:rsidRPr="00B10D4C" w:rsidR="00B10D4C">
        <w:t>’</w:t>
      </w:r>
      <w:r w:rsidRPr="00B10D4C">
        <w:t>identité de sa source ne saurait se concilier avec l</w:t>
      </w:r>
      <w:r w:rsidRPr="00B10D4C" w:rsidR="00B10D4C">
        <w:t>’</w:t>
      </w:r>
      <w:r w:rsidRPr="00B10D4C">
        <w:t>article 10 de la Convention que si elle se justifie par un impératif prépondérant d</w:t>
      </w:r>
      <w:r w:rsidRPr="00B10D4C" w:rsidR="00B10D4C">
        <w:t>’</w:t>
      </w:r>
      <w:r w:rsidRPr="00B10D4C">
        <w:t xml:space="preserve">intérêt public (voir, </w:t>
      </w:r>
      <w:r w:rsidRPr="00B10D4C">
        <w:rPr>
          <w:i/>
        </w:rPr>
        <w:t>mutatis mutandis</w:t>
      </w:r>
      <w:r w:rsidRPr="00B10D4C">
        <w:t xml:space="preserve">, </w:t>
      </w:r>
      <w:proofErr w:type="spellStart"/>
      <w:r w:rsidRPr="00B10D4C">
        <w:rPr>
          <w:i/>
        </w:rPr>
        <w:t>Roemen</w:t>
      </w:r>
      <w:proofErr w:type="spellEnd"/>
      <w:r w:rsidRPr="00B10D4C">
        <w:rPr>
          <w:i/>
        </w:rPr>
        <w:t xml:space="preserve"> et Schmit c. Luxembourg</w:t>
      </w:r>
      <w:r w:rsidRPr="00B10D4C">
        <w:t>, n</w:t>
      </w:r>
      <w:r w:rsidRPr="00B10D4C">
        <w:rPr>
          <w:vertAlign w:val="superscript"/>
        </w:rPr>
        <w:t>o</w:t>
      </w:r>
      <w:r w:rsidRPr="00B10D4C">
        <w:t xml:space="preserve"> 51772/99, § 46, CEDH 2003</w:t>
      </w:r>
      <w:r w:rsidRPr="00B10D4C">
        <w:noBreakHyphen/>
        <w:t>IV). En l</w:t>
      </w:r>
      <w:r w:rsidRPr="00B10D4C" w:rsidR="00B10D4C">
        <w:t>’</w:t>
      </w:r>
      <w:r w:rsidRPr="00B10D4C">
        <w:t>occurrence, il ne suffisait donc pas que l</w:t>
      </w:r>
      <w:r w:rsidRPr="00B10D4C" w:rsidR="00B10D4C">
        <w:t>’</w:t>
      </w:r>
      <w:r w:rsidRPr="00B10D4C">
        <w:t>ingérence ait été imposée parce que l</w:t>
      </w:r>
      <w:r w:rsidRPr="00B10D4C" w:rsidR="00B10D4C">
        <w:t>’</w:t>
      </w:r>
      <w:r w:rsidRPr="00B10D4C">
        <w:t>infraction en cause se rangeait dans telle ou telle catégorie ou tombait sous le coup d</w:t>
      </w:r>
      <w:r w:rsidRPr="00B10D4C" w:rsidR="00B10D4C">
        <w:t>’</w:t>
      </w:r>
      <w:r w:rsidRPr="00B10D4C">
        <w:t>une règle juridique formulée en termes généraux : il fallait plutôt s</w:t>
      </w:r>
      <w:r w:rsidRPr="00B10D4C" w:rsidR="00B10D4C">
        <w:t>’</w:t>
      </w:r>
      <w:r w:rsidRPr="00B10D4C">
        <w:t>assurer qu</w:t>
      </w:r>
      <w:r w:rsidRPr="00B10D4C" w:rsidR="00B10D4C">
        <w:t>’</w:t>
      </w:r>
      <w:r w:rsidRPr="00B10D4C">
        <w:t xml:space="preserve">elle était nécessaire eu égard aux circonstances de la cause (voir, </w:t>
      </w:r>
      <w:r w:rsidRPr="00B10D4C">
        <w:rPr>
          <w:i/>
        </w:rPr>
        <w:t>mutatis mutandis</w:t>
      </w:r>
      <w:r w:rsidRPr="00B10D4C">
        <w:t xml:space="preserve">, </w:t>
      </w:r>
      <w:proofErr w:type="spellStart"/>
      <w:r w:rsidRPr="00B10D4C">
        <w:rPr>
          <w:i/>
        </w:rPr>
        <w:t>Perinçek</w:t>
      </w:r>
      <w:proofErr w:type="spellEnd"/>
      <w:r w:rsidRPr="00B10D4C">
        <w:rPr>
          <w:i/>
        </w:rPr>
        <w:t xml:space="preserve"> c. Suisse</w:t>
      </w:r>
      <w:r w:rsidRPr="00B10D4C">
        <w:t xml:space="preserve"> [GC], n</w:t>
      </w:r>
      <w:r w:rsidRPr="00B10D4C">
        <w:rPr>
          <w:vertAlign w:val="superscript"/>
        </w:rPr>
        <w:t>o</w:t>
      </w:r>
      <w:r w:rsidRPr="00B10D4C">
        <w:t xml:space="preserve"> 27510/08, § 275, CEDH 2015 (extraits)). Telle semble être également l</w:t>
      </w:r>
      <w:r w:rsidRPr="00B10D4C" w:rsidR="00B10D4C">
        <w:t>’</w:t>
      </w:r>
      <w:r w:rsidRPr="00B10D4C">
        <w:t xml:space="preserve">approche du Tribunal fédéral adoptée dans son arrêt ATF 132 I 181 (paragraphe </w:t>
      </w:r>
      <w:r w:rsidRPr="00B10D4C">
        <w:fldChar w:fldCharType="begin"/>
      </w:r>
      <w:r w:rsidRPr="00B10D4C">
        <w:instrText xml:space="preserve"> REF paragraphe11 \h </w:instrText>
      </w:r>
      <w:r w:rsidRPr="00B10D4C">
        <w:fldChar w:fldCharType="separate"/>
      </w:r>
      <w:r w:rsidRPr="00B10D4C" w:rsidR="00B10D4C">
        <w:rPr>
          <w:noProof/>
        </w:rPr>
        <w:t>12</w:t>
      </w:r>
      <w:r w:rsidRPr="00B10D4C">
        <w:fldChar w:fldCharType="end"/>
      </w:r>
      <w:r w:rsidRPr="00B10D4C">
        <w:t xml:space="preserve"> ci-dessus). En effet, tout en constatant que l</w:t>
      </w:r>
      <w:r w:rsidRPr="00B10D4C" w:rsidR="00B10D4C">
        <w:t>’</w:t>
      </w:r>
      <w:r w:rsidRPr="00B10D4C">
        <w:t>ordre juridique doit prévoir la possibilité de limiter la protection des sources journalistiques, le Tribunal fédéral y a énuméré les éléments à prendre en compte dans la pesée des intérêts qui doit déterminer s</w:t>
      </w:r>
      <w:r w:rsidRPr="00B10D4C" w:rsidR="00B10D4C">
        <w:t>’</w:t>
      </w:r>
      <w:r w:rsidRPr="00B10D4C">
        <w:t>il est ou non justifié dans un cas concret de faire usage de cette possibilité. Ainsi, admettant que les professionnels des médias ne doivent pas dévoiler ses sources dans chaque cas relevant du catalogue d</w:t>
      </w:r>
      <w:r w:rsidRPr="00B10D4C" w:rsidR="00B10D4C">
        <w:t>’</w:t>
      </w:r>
      <w:r w:rsidRPr="00B10D4C">
        <w:t>exceptions prévu à l</w:t>
      </w:r>
      <w:r w:rsidRPr="00B10D4C" w:rsidR="00B10D4C">
        <w:t>’</w:t>
      </w:r>
      <w:r w:rsidRPr="00B10D4C">
        <w:t>article 28a al. 2 b) du Code pénal, il a notamment considéré que l</w:t>
      </w:r>
      <w:r w:rsidRPr="00B10D4C" w:rsidR="00B10D4C">
        <w:t>’</w:t>
      </w:r>
      <w:r w:rsidRPr="00B10D4C">
        <w:t>obligation de témoigner n</w:t>
      </w:r>
      <w:r w:rsidRPr="00B10D4C" w:rsidR="00B10D4C">
        <w:t>’</w:t>
      </w:r>
      <w:r w:rsidRPr="00B10D4C">
        <w:t>est justifiable que lorsque l</w:t>
      </w:r>
      <w:r w:rsidRPr="00B10D4C" w:rsidR="00B10D4C">
        <w:t>’</w:t>
      </w:r>
      <w:r w:rsidRPr="00B10D4C">
        <w:t>intérêt à la poursuite pénale prévaut sur l</w:t>
      </w:r>
      <w:r w:rsidRPr="00B10D4C" w:rsidR="00B10D4C">
        <w:t>’</w:t>
      </w:r>
      <w:r w:rsidRPr="00B10D4C">
        <w:t>intérêt du journaliste à ne pas divulguer ses sources.</w:t>
      </w:r>
    </w:p>
    <w:p w:rsidRPr="00B10D4C" w:rsidR="00540DD5" w:rsidP="00B10D4C" w:rsidRDefault="00540DD5">
      <w:pPr>
        <w:pStyle w:val="JuPara"/>
      </w:pPr>
      <w:r w:rsidRPr="00B10D4C">
        <w:fldChar w:fldCharType="begin"/>
      </w:r>
      <w:r w:rsidRPr="00B10D4C">
        <w:instrText xml:space="preserve"> SEQ level0 \*arabic </w:instrText>
      </w:r>
      <w:r w:rsidRPr="00B10D4C">
        <w:fldChar w:fldCharType="separate"/>
      </w:r>
      <w:r w:rsidRPr="00B10D4C" w:rsidR="00B10D4C">
        <w:rPr>
          <w:noProof/>
        </w:rPr>
        <w:t>42</w:t>
      </w:r>
      <w:r w:rsidRPr="00B10D4C">
        <w:fldChar w:fldCharType="end"/>
      </w:r>
      <w:r w:rsidRPr="00B10D4C">
        <w:t>.  La Cour se doit cependant de constater que, en l</w:t>
      </w:r>
      <w:r w:rsidRPr="00B10D4C" w:rsidR="00B10D4C">
        <w:t>’</w:t>
      </w:r>
      <w:r w:rsidRPr="00B10D4C">
        <w:t>espèce, après avoir conclu qu</w:t>
      </w:r>
      <w:r w:rsidRPr="00B10D4C" w:rsidR="00B10D4C">
        <w:t>’</w:t>
      </w:r>
      <w:r w:rsidRPr="00B10D4C">
        <w:t xml:space="preserve">une importance particulière ne devait être accordée </w:t>
      </w:r>
      <w:r w:rsidRPr="00B10D4C">
        <w:rPr>
          <w:iCs/>
        </w:rPr>
        <w:t>ni</w:t>
      </w:r>
      <w:r w:rsidRPr="00B10D4C">
        <w:t xml:space="preserve"> à l</w:t>
      </w:r>
      <w:r w:rsidRPr="00B10D4C" w:rsidR="00B10D4C">
        <w:t>’</w:t>
      </w:r>
      <w:r w:rsidRPr="00B10D4C">
        <w:t xml:space="preserve">intérêt public </w:t>
      </w:r>
      <w:r w:rsidRPr="00B10D4C">
        <w:rPr>
          <w:iCs/>
        </w:rPr>
        <w:t>ni</w:t>
      </w:r>
      <w:r w:rsidRPr="00B10D4C">
        <w:t xml:space="preserve"> à l</w:t>
      </w:r>
      <w:r w:rsidRPr="00B10D4C" w:rsidR="00B10D4C">
        <w:t>’</w:t>
      </w:r>
      <w:r w:rsidRPr="00B10D4C">
        <w:t>intérêt de la requérante, le Tribunal fédéral a résolu l</w:t>
      </w:r>
      <w:r w:rsidRPr="00B10D4C" w:rsidR="00B10D4C">
        <w:t>’</w:t>
      </w:r>
      <w:r w:rsidRPr="00B10D4C">
        <w:t>affaire en se référant à la pesée des intérêts faite en général et dans l</w:t>
      </w:r>
      <w:r w:rsidRPr="00B10D4C" w:rsidR="00B10D4C">
        <w:t>’</w:t>
      </w:r>
      <w:r w:rsidRPr="00B10D4C">
        <w:t>abstrait par le législateur. Ainsi, son arrêt ne permet pas de constater que l</w:t>
      </w:r>
      <w:r w:rsidRPr="00B10D4C" w:rsidR="00B10D4C">
        <w:t>’</w:t>
      </w:r>
      <w:r w:rsidRPr="00B10D4C">
        <w:t>obligation de témoigner faite à la requérante répondait à un impératif prépondérant d</w:t>
      </w:r>
      <w:r w:rsidRPr="00B10D4C" w:rsidR="00B10D4C">
        <w:t>’</w:t>
      </w:r>
      <w:r w:rsidRPr="00B10D4C">
        <w:t>intérêt public. De l</w:t>
      </w:r>
      <w:r w:rsidRPr="00B10D4C" w:rsidR="00B10D4C">
        <w:t>’</w:t>
      </w:r>
      <w:r w:rsidRPr="00B10D4C">
        <w:t>avis de la Cour, le Tribunal fédéral n</w:t>
      </w:r>
      <w:r w:rsidRPr="00B10D4C" w:rsidR="00B10D4C">
        <w:t>’</w:t>
      </w:r>
      <w:r w:rsidRPr="00B10D4C">
        <w:t xml:space="preserve">est donc pas parvenu à fournir des raisons suffisantes pour justifier que la mesure litigieuse correspondait à un « besoin social impérieux » (voir, </w:t>
      </w:r>
      <w:r w:rsidRPr="00B10D4C">
        <w:rPr>
          <w:i/>
        </w:rPr>
        <w:t xml:space="preserve">mutatis </w:t>
      </w:r>
      <w:r w:rsidRPr="00B10D4C" w:rsidR="00633D41">
        <w:rPr>
          <w:i/>
        </w:rPr>
        <w:t> </w:t>
      </w:r>
      <w:r w:rsidRPr="00B10D4C">
        <w:rPr>
          <w:i/>
        </w:rPr>
        <w:t>mutandis</w:t>
      </w:r>
      <w:r w:rsidRPr="00B10D4C">
        <w:t xml:space="preserve">, </w:t>
      </w:r>
      <w:proofErr w:type="spellStart"/>
      <w:r w:rsidRPr="00B10D4C">
        <w:rPr>
          <w:i/>
        </w:rPr>
        <w:t>Schweizerische</w:t>
      </w:r>
      <w:proofErr w:type="spellEnd"/>
      <w:r w:rsidRPr="00B10D4C">
        <w:rPr>
          <w:i/>
        </w:rPr>
        <w:t xml:space="preserve"> Radio- </w:t>
      </w:r>
      <w:proofErr w:type="spellStart"/>
      <w:r w:rsidRPr="00B10D4C">
        <w:rPr>
          <w:i/>
        </w:rPr>
        <w:t>und</w:t>
      </w:r>
      <w:proofErr w:type="spellEnd"/>
      <w:r w:rsidRPr="00B10D4C">
        <w:rPr>
          <w:i/>
        </w:rPr>
        <w:t xml:space="preserve"> </w:t>
      </w:r>
      <w:proofErr w:type="spellStart"/>
      <w:r w:rsidRPr="00B10D4C">
        <w:rPr>
          <w:i/>
        </w:rPr>
        <w:t>Fernsehgesellschaft</w:t>
      </w:r>
      <w:proofErr w:type="spellEnd"/>
      <w:r w:rsidRPr="00B10D4C">
        <w:rPr>
          <w:i/>
        </w:rPr>
        <w:t xml:space="preserve"> SRG</w:t>
      </w:r>
      <w:r w:rsidRPr="00B10D4C">
        <w:t xml:space="preserve">, précité, § </w:t>
      </w:r>
      <w:r w:rsidRPr="00B10D4C" w:rsidR="00A2288A">
        <w:t> </w:t>
      </w:r>
      <w:r w:rsidRPr="00B10D4C">
        <w:t>65)</w:t>
      </w:r>
      <w:r w:rsidRPr="00B10D4C">
        <w:rPr>
          <w:iCs/>
        </w:rPr>
        <w:t>.</w:t>
      </w:r>
    </w:p>
    <w:p w:rsidRPr="00B10D4C" w:rsidR="00540DD5" w:rsidP="00B10D4C" w:rsidRDefault="00540DD5">
      <w:pPr>
        <w:pStyle w:val="JuPara"/>
      </w:pPr>
      <w:r w:rsidRPr="00B10D4C">
        <w:rPr>
          <w:rFonts w:eastAsiaTheme="majorEastAsia"/>
        </w:rPr>
        <w:fldChar w:fldCharType="begin"/>
      </w:r>
      <w:r w:rsidRPr="00B10D4C">
        <w:rPr>
          <w:rFonts w:eastAsiaTheme="majorEastAsia"/>
        </w:rPr>
        <w:instrText xml:space="preserve"> SEQ level0 \*arabic </w:instrText>
      </w:r>
      <w:r w:rsidRPr="00B10D4C">
        <w:rPr>
          <w:rFonts w:eastAsiaTheme="majorEastAsia"/>
        </w:rPr>
        <w:fldChar w:fldCharType="separate"/>
      </w:r>
      <w:r w:rsidRPr="00B10D4C" w:rsidR="00B10D4C">
        <w:rPr>
          <w:rFonts w:eastAsiaTheme="majorEastAsia"/>
          <w:noProof/>
        </w:rPr>
        <w:t>43</w:t>
      </w:r>
      <w:r w:rsidRPr="00B10D4C">
        <w:rPr>
          <w:rFonts w:eastAsiaTheme="majorEastAsia"/>
        </w:rPr>
        <w:fldChar w:fldCharType="end"/>
      </w:r>
      <w:r w:rsidRPr="00B10D4C">
        <w:rPr>
          <w:rFonts w:eastAsiaTheme="majorEastAsia"/>
        </w:rPr>
        <w:t>.  </w:t>
      </w:r>
      <w:r w:rsidRPr="00B10D4C" w:rsidDel="00AE7A7A">
        <w:rPr>
          <w:rFonts w:eastAsiaTheme="majorEastAsia"/>
        </w:rPr>
        <w:t xml:space="preserve"> </w:t>
      </w:r>
      <w:r w:rsidRPr="00B10D4C">
        <w:rPr>
          <w:rFonts w:eastAsiaTheme="majorEastAsia"/>
        </w:rPr>
        <w:t>La Cour conclut dès lors que, en l</w:t>
      </w:r>
      <w:r w:rsidRPr="00B10D4C" w:rsidR="00B10D4C">
        <w:rPr>
          <w:rFonts w:eastAsiaTheme="majorEastAsia"/>
        </w:rPr>
        <w:t>’</w:t>
      </w:r>
      <w:r w:rsidRPr="00B10D4C">
        <w:rPr>
          <w:rFonts w:eastAsiaTheme="majorEastAsia"/>
        </w:rPr>
        <w:t>absence de raisons suffisantes avancées par les autorités internes, l</w:t>
      </w:r>
      <w:r w:rsidRPr="00B10D4C" w:rsidR="00B10D4C">
        <w:rPr>
          <w:rFonts w:eastAsiaTheme="majorEastAsia"/>
        </w:rPr>
        <w:t>’</w:t>
      </w:r>
      <w:r w:rsidRPr="00B10D4C">
        <w:rPr>
          <w:rFonts w:eastAsiaTheme="majorEastAsia"/>
        </w:rPr>
        <w:t>ingérence dans l</w:t>
      </w:r>
      <w:r w:rsidRPr="00B10D4C" w:rsidR="00B10D4C">
        <w:rPr>
          <w:rFonts w:eastAsiaTheme="majorEastAsia"/>
        </w:rPr>
        <w:t>’</w:t>
      </w:r>
      <w:r w:rsidRPr="00B10D4C">
        <w:rPr>
          <w:rFonts w:eastAsiaTheme="majorEastAsia"/>
        </w:rPr>
        <w:t>exercice par la requérante de sa liberté d</w:t>
      </w:r>
      <w:r w:rsidRPr="00B10D4C" w:rsidR="00B10D4C">
        <w:rPr>
          <w:rFonts w:eastAsiaTheme="majorEastAsia"/>
        </w:rPr>
        <w:t>’</w:t>
      </w:r>
      <w:r w:rsidRPr="00B10D4C">
        <w:rPr>
          <w:rFonts w:eastAsiaTheme="majorEastAsia"/>
        </w:rPr>
        <w:t>expression ne peut pas être considérée comme « nécessaire dans une société démocratique » au sens de l</w:t>
      </w:r>
      <w:r w:rsidRPr="00B10D4C" w:rsidR="00B10D4C">
        <w:rPr>
          <w:rFonts w:eastAsiaTheme="majorEastAsia"/>
        </w:rPr>
        <w:t>’</w:t>
      </w:r>
      <w:r w:rsidRPr="00B10D4C">
        <w:rPr>
          <w:rFonts w:eastAsiaTheme="majorEastAsia"/>
        </w:rPr>
        <w:t>article 10 § 2. Partant, il y a eu violation de l</w:t>
      </w:r>
      <w:r w:rsidRPr="00B10D4C" w:rsidR="00B10D4C">
        <w:rPr>
          <w:rFonts w:eastAsiaTheme="majorEastAsia"/>
        </w:rPr>
        <w:t>’</w:t>
      </w:r>
      <w:r w:rsidRPr="00B10D4C">
        <w:rPr>
          <w:rFonts w:eastAsiaTheme="majorEastAsia"/>
        </w:rPr>
        <w:t>article 10 de la Convention.</w:t>
      </w:r>
    </w:p>
    <w:bookmarkEnd w:id="16"/>
    <w:bookmarkEnd w:id="27"/>
    <w:bookmarkEnd w:id="30"/>
    <w:p w:rsidRPr="00B10D4C" w:rsidR="00540DD5" w:rsidP="00B10D4C" w:rsidRDefault="00540DD5">
      <w:pPr>
        <w:pStyle w:val="JuHIRoman"/>
        <w:numPr>
          <w:ilvl w:val="1"/>
          <w:numId w:val="1"/>
        </w:numPr>
        <w:jc w:val="both"/>
        <w:rPr>
          <w:lang w:val="fr-FR"/>
        </w:rPr>
      </w:pPr>
      <w:r w:rsidRPr="00B10D4C">
        <w:rPr>
          <w:caps w:val="0"/>
          <w:lang w:val="fr-FR"/>
        </w:rPr>
        <w:t>SUR L</w:t>
      </w:r>
      <w:r w:rsidRPr="00B10D4C" w:rsidR="00B10D4C">
        <w:rPr>
          <w:caps w:val="0"/>
          <w:lang w:val="fr-FR"/>
        </w:rPr>
        <w:t>’</w:t>
      </w:r>
      <w:r w:rsidRPr="00B10D4C">
        <w:rPr>
          <w:caps w:val="0"/>
          <w:lang w:val="fr-FR"/>
        </w:rPr>
        <w:t>APPLICATION DE L</w:t>
      </w:r>
      <w:r w:rsidRPr="00B10D4C" w:rsidR="00B10D4C">
        <w:rPr>
          <w:caps w:val="0"/>
          <w:lang w:val="fr-FR"/>
        </w:rPr>
        <w:t>’</w:t>
      </w:r>
      <w:r w:rsidRPr="00B10D4C">
        <w:rPr>
          <w:caps w:val="0"/>
          <w:lang w:val="fr-FR"/>
        </w:rPr>
        <w:t>ARTICLE 41 DE LA CONVENTION</w:t>
      </w:r>
    </w:p>
    <w:bookmarkStart w:name="_Hlk36128236" w:id="31"/>
    <w:p w:rsidRPr="00B10D4C" w:rsidR="00540DD5" w:rsidP="00B10D4C" w:rsidRDefault="00540DD5">
      <w:pPr>
        <w:pStyle w:val="JuPara"/>
      </w:pPr>
      <w:r w:rsidRPr="00B10D4C">
        <w:fldChar w:fldCharType="begin"/>
      </w:r>
      <w:r w:rsidRPr="00B10D4C">
        <w:instrText xml:space="preserve"> SEQ level0 \*arabic </w:instrText>
      </w:r>
      <w:r w:rsidRPr="00B10D4C">
        <w:fldChar w:fldCharType="separate"/>
      </w:r>
      <w:r w:rsidRPr="00B10D4C" w:rsidR="00B10D4C">
        <w:rPr>
          <w:noProof/>
        </w:rPr>
        <w:t>44</w:t>
      </w:r>
      <w:r w:rsidRPr="00B10D4C">
        <w:fldChar w:fldCharType="end"/>
      </w:r>
      <w:r w:rsidRPr="00B10D4C">
        <w:t>.  Aux termes de l</w:t>
      </w:r>
      <w:r w:rsidRPr="00B10D4C" w:rsidR="00B10D4C">
        <w:t>’</w:t>
      </w:r>
      <w:r w:rsidRPr="00B10D4C">
        <w:t>article 41 de la Convention :</w:t>
      </w:r>
      <w:bookmarkEnd w:id="31"/>
    </w:p>
    <w:p w:rsidRPr="00B10D4C" w:rsidR="00540DD5" w:rsidP="00B10D4C" w:rsidRDefault="00540DD5">
      <w:pPr>
        <w:pStyle w:val="JuQuot"/>
      </w:pPr>
      <w:bookmarkStart w:name="_Hlk36128242" w:id="32"/>
      <w:r w:rsidRPr="00B10D4C">
        <w:t>« Si la Cour déclare qu</w:t>
      </w:r>
      <w:r w:rsidRPr="00B10D4C" w:rsidR="00B10D4C">
        <w:t>’</w:t>
      </w:r>
      <w:r w:rsidRPr="00B10D4C">
        <w:t>il y a eu violation de la Convention ou de ses Protocoles, et si le droit interne de la Haute Partie contractante ne permet d</w:t>
      </w:r>
      <w:r w:rsidRPr="00B10D4C" w:rsidR="00B10D4C">
        <w:t>’</w:t>
      </w:r>
      <w:r w:rsidRPr="00B10D4C">
        <w:t>effacer qu</w:t>
      </w:r>
      <w:r w:rsidRPr="00B10D4C" w:rsidR="00B10D4C">
        <w:t>’</w:t>
      </w:r>
      <w:r w:rsidRPr="00B10D4C">
        <w:t>imparfaitement les conséquences de cette violation, la Cour accorde à la partie lésée, s</w:t>
      </w:r>
      <w:r w:rsidRPr="00B10D4C" w:rsidR="00B10D4C">
        <w:t>’</w:t>
      </w:r>
      <w:r w:rsidRPr="00B10D4C">
        <w:t>il y a lieu, une satisfaction équitable. »</w:t>
      </w:r>
      <w:bookmarkEnd w:id="32"/>
    </w:p>
    <w:p w:rsidRPr="00B10D4C" w:rsidR="00540DD5" w:rsidP="00B10D4C" w:rsidRDefault="00540DD5">
      <w:pPr>
        <w:pStyle w:val="JuHA"/>
        <w:numPr>
          <w:ilvl w:val="2"/>
          <w:numId w:val="1"/>
        </w:numPr>
        <w:jc w:val="both"/>
      </w:pPr>
      <w:proofErr w:type="spellStart"/>
      <w:r w:rsidRPr="00B10D4C">
        <w:t>Dommage</w:t>
      </w:r>
      <w:proofErr w:type="spellEnd"/>
    </w:p>
    <w:p w:rsidRPr="00B10D4C" w:rsidR="00540DD5" w:rsidP="00B10D4C" w:rsidRDefault="00540DD5">
      <w:pPr>
        <w:pStyle w:val="JuPara"/>
      </w:pPr>
      <w:r w:rsidRPr="00B10D4C">
        <w:fldChar w:fldCharType="begin"/>
      </w:r>
      <w:r w:rsidRPr="00B10D4C">
        <w:instrText xml:space="preserve"> SEQ level0 \*arabic </w:instrText>
      </w:r>
      <w:r w:rsidRPr="00B10D4C">
        <w:fldChar w:fldCharType="separate"/>
      </w:r>
      <w:r w:rsidRPr="00B10D4C" w:rsidR="00B10D4C">
        <w:rPr>
          <w:noProof/>
        </w:rPr>
        <w:t>45</w:t>
      </w:r>
      <w:r w:rsidRPr="00B10D4C">
        <w:fldChar w:fldCharType="end"/>
      </w:r>
      <w:r w:rsidRPr="00B10D4C">
        <w:t>.  La requérante ne formule pas de demande pour le dommage matériel ou moral. Partant, la Cour estime qu</w:t>
      </w:r>
      <w:r w:rsidRPr="00B10D4C" w:rsidR="00B10D4C">
        <w:t>’</w:t>
      </w:r>
      <w:r w:rsidRPr="00B10D4C">
        <w:t>il n</w:t>
      </w:r>
      <w:r w:rsidRPr="00B10D4C" w:rsidR="00B10D4C">
        <w:t>’</w:t>
      </w:r>
      <w:r w:rsidRPr="00B10D4C">
        <w:t>y a pas lieu d</w:t>
      </w:r>
      <w:r w:rsidRPr="00B10D4C" w:rsidR="00B10D4C">
        <w:t>’</w:t>
      </w:r>
      <w:r w:rsidRPr="00B10D4C">
        <w:t>octroyer à la requérante une somme à ce titre.</w:t>
      </w:r>
    </w:p>
    <w:p w:rsidRPr="00B10D4C" w:rsidR="00540DD5" w:rsidP="00B10D4C" w:rsidRDefault="00540DD5">
      <w:pPr>
        <w:pStyle w:val="JuHA"/>
        <w:numPr>
          <w:ilvl w:val="2"/>
          <w:numId w:val="1"/>
        </w:numPr>
        <w:jc w:val="both"/>
      </w:pPr>
      <w:r w:rsidRPr="00B10D4C">
        <w:t xml:space="preserve">Frais et </w:t>
      </w:r>
      <w:proofErr w:type="spellStart"/>
      <w:r w:rsidRPr="00B10D4C">
        <w:t>dépens</w:t>
      </w:r>
      <w:proofErr w:type="spellEnd"/>
    </w:p>
    <w:p w:rsidRPr="00B10D4C" w:rsidR="00540DD5" w:rsidP="00B10D4C" w:rsidRDefault="00540DD5">
      <w:pPr>
        <w:pStyle w:val="JuPara"/>
      </w:pPr>
      <w:r w:rsidRPr="00B10D4C">
        <w:fldChar w:fldCharType="begin"/>
      </w:r>
      <w:r w:rsidRPr="00B10D4C">
        <w:instrText xml:space="preserve"> SEQ level0 \*arabic </w:instrText>
      </w:r>
      <w:r w:rsidRPr="00B10D4C">
        <w:fldChar w:fldCharType="separate"/>
      </w:r>
      <w:r w:rsidRPr="00B10D4C" w:rsidR="00B10D4C">
        <w:rPr>
          <w:noProof/>
        </w:rPr>
        <w:t>46</w:t>
      </w:r>
      <w:r w:rsidRPr="00B10D4C">
        <w:fldChar w:fldCharType="end"/>
      </w:r>
      <w:r w:rsidRPr="00B10D4C">
        <w:t>.  La requérante réclame 25 000 francs suisses (CHF), à savoir environ 23 500 euros (EUR), au titre des frais et dépens qu</w:t>
      </w:r>
      <w:r w:rsidRPr="00B10D4C" w:rsidR="00B10D4C">
        <w:t>’</w:t>
      </w:r>
      <w:r w:rsidRPr="00B10D4C">
        <w:t>elle a engagés dans le cadre de la procédure menée devant la Cour.</w:t>
      </w:r>
    </w:p>
    <w:p w:rsidRPr="00B10D4C" w:rsidR="00540DD5" w:rsidP="00B10D4C" w:rsidRDefault="00540DD5">
      <w:pPr>
        <w:pStyle w:val="JuPara"/>
      </w:pPr>
      <w:r w:rsidRPr="00B10D4C">
        <w:fldChar w:fldCharType="begin"/>
      </w:r>
      <w:r w:rsidRPr="00B10D4C">
        <w:instrText xml:space="preserve"> SEQ level0 \*arabic </w:instrText>
      </w:r>
      <w:r w:rsidRPr="00B10D4C">
        <w:fldChar w:fldCharType="separate"/>
      </w:r>
      <w:r w:rsidRPr="00B10D4C" w:rsidR="00B10D4C">
        <w:rPr>
          <w:noProof/>
        </w:rPr>
        <w:t>47</w:t>
      </w:r>
      <w:r w:rsidRPr="00B10D4C">
        <w:fldChar w:fldCharType="end"/>
      </w:r>
      <w:r w:rsidRPr="00B10D4C">
        <w:t>.  Le Gouvernement note que la requérante n</w:t>
      </w:r>
      <w:r w:rsidRPr="00B10D4C" w:rsidR="00B10D4C">
        <w:t>’</w:t>
      </w:r>
      <w:r w:rsidRPr="00B10D4C">
        <w:t>a indiqué qu</w:t>
      </w:r>
      <w:r w:rsidRPr="00B10D4C" w:rsidR="00B10D4C">
        <w:t>’</w:t>
      </w:r>
      <w:r w:rsidRPr="00B10D4C">
        <w:t>un nombre d</w:t>
      </w:r>
      <w:r w:rsidRPr="00B10D4C" w:rsidR="00B10D4C">
        <w:t>’</w:t>
      </w:r>
      <w:r w:rsidRPr="00B10D4C">
        <w:t>heures total pour les honoraires de son représentant, le tarif et un montant global, sans démontrer à quels travaux correspondent les dépens demandés.</w:t>
      </w:r>
    </w:p>
    <w:p w:rsidRPr="00B10D4C" w:rsidR="00540DD5" w:rsidP="00B10D4C" w:rsidRDefault="00540DD5">
      <w:pPr>
        <w:pStyle w:val="JuPara"/>
      </w:pPr>
      <w:r w:rsidRPr="00B10D4C">
        <w:fldChar w:fldCharType="begin"/>
      </w:r>
      <w:r w:rsidRPr="00B10D4C">
        <w:instrText xml:space="preserve"> SEQ level0 \*arabic </w:instrText>
      </w:r>
      <w:r w:rsidRPr="00B10D4C">
        <w:fldChar w:fldCharType="separate"/>
      </w:r>
      <w:r w:rsidRPr="00B10D4C" w:rsidR="00B10D4C">
        <w:rPr>
          <w:noProof/>
        </w:rPr>
        <w:t>48</w:t>
      </w:r>
      <w:r w:rsidRPr="00B10D4C">
        <w:fldChar w:fldCharType="end"/>
      </w:r>
      <w:r w:rsidRPr="00B10D4C">
        <w:t>.  Selon la jurisprudence de la Cour, un requérant ne peut obtenir le remboursement de ses frais et dépens que dans la mesure où se trouvent établis leur réalité, leur nécessité et le caractère raisonnable de leur taux. En l</w:t>
      </w:r>
      <w:r w:rsidRPr="00B10D4C" w:rsidR="00B10D4C">
        <w:t>’</w:t>
      </w:r>
      <w:r w:rsidRPr="00B10D4C">
        <w:t>espèce, vu l</w:t>
      </w:r>
      <w:r w:rsidRPr="00B10D4C" w:rsidR="00B10D4C">
        <w:t>’</w:t>
      </w:r>
      <w:r w:rsidRPr="00B10D4C">
        <w:t>absence de notes d</w:t>
      </w:r>
      <w:r w:rsidRPr="00B10D4C" w:rsidR="00B10D4C">
        <w:t>’</w:t>
      </w:r>
      <w:r w:rsidRPr="00B10D4C">
        <w:t xml:space="preserve">honoraires </w:t>
      </w:r>
      <w:r w:rsidRPr="00B10D4C">
        <w:rPr>
          <w:rFonts w:eastAsiaTheme="majorEastAsia"/>
        </w:rPr>
        <w:t>ou d</w:t>
      </w:r>
      <w:r w:rsidRPr="00B10D4C" w:rsidR="00B10D4C">
        <w:rPr>
          <w:rFonts w:eastAsiaTheme="majorEastAsia"/>
        </w:rPr>
        <w:t>’</w:t>
      </w:r>
      <w:r w:rsidRPr="00B10D4C">
        <w:rPr>
          <w:rFonts w:eastAsiaTheme="majorEastAsia"/>
        </w:rPr>
        <w:t xml:space="preserve">autres justificatifs </w:t>
      </w:r>
      <w:r w:rsidRPr="00B10D4C">
        <w:t>au dossier, la Cour décide de ne rien allouer à ce titre.</w:t>
      </w:r>
    </w:p>
    <w:p w:rsidRPr="00B10D4C" w:rsidR="00540DD5" w:rsidP="00B10D4C" w:rsidRDefault="00540DD5">
      <w:pPr>
        <w:pStyle w:val="JuHHead"/>
        <w:numPr>
          <w:ilvl w:val="0"/>
          <w:numId w:val="1"/>
        </w:numPr>
        <w:jc w:val="both"/>
        <w:rPr>
          <w:lang w:val="fr-FR"/>
        </w:rPr>
      </w:pPr>
      <w:r w:rsidRPr="00B10D4C">
        <w:rPr>
          <w:lang w:val="fr-FR"/>
        </w:rPr>
        <w:t xml:space="preserve">PAR CES MOTIFS, LA COUR, </w:t>
      </w:r>
      <w:r w:rsidRPr="00B10D4C">
        <w:rPr>
          <w:caps w:val="0"/>
          <w:lang w:val="fr-FR"/>
        </w:rPr>
        <w:t>À L</w:t>
      </w:r>
      <w:r w:rsidRPr="00B10D4C" w:rsidR="00B10D4C">
        <w:rPr>
          <w:caps w:val="0"/>
          <w:lang w:val="fr-FR"/>
        </w:rPr>
        <w:t>’</w:t>
      </w:r>
      <w:r w:rsidRPr="00B10D4C">
        <w:rPr>
          <w:caps w:val="0"/>
          <w:lang w:val="fr-FR"/>
        </w:rPr>
        <w:t>UNANIMITÉ</w:t>
      </w:r>
      <w:r w:rsidRPr="00B10D4C">
        <w:rPr>
          <w:lang w:val="fr-FR"/>
        </w:rPr>
        <w:t>,</w:t>
      </w:r>
    </w:p>
    <w:p w:rsidRPr="00B10D4C" w:rsidR="00540DD5" w:rsidP="00B10D4C" w:rsidRDefault="00540DD5">
      <w:pPr>
        <w:pStyle w:val="JuList"/>
        <w:numPr>
          <w:ilvl w:val="0"/>
          <w:numId w:val="2"/>
        </w:numPr>
        <w:ind w:left="0" w:firstLine="0"/>
      </w:pPr>
      <w:r w:rsidRPr="00B10D4C">
        <w:rPr>
          <w:i/>
        </w:rPr>
        <w:t>Déclare</w:t>
      </w:r>
      <w:r w:rsidRPr="00B10D4C" w:rsidR="00681A32">
        <w:t xml:space="preserve"> </w:t>
      </w:r>
      <w:r w:rsidRPr="00B10D4C">
        <w:t>la requête recevable ;</w:t>
      </w:r>
    </w:p>
    <w:p w:rsidRPr="00B10D4C" w:rsidR="00C0096E" w:rsidP="00B10D4C" w:rsidRDefault="00540DD5">
      <w:pPr>
        <w:pStyle w:val="JuList"/>
        <w:numPr>
          <w:ilvl w:val="0"/>
          <w:numId w:val="2"/>
        </w:numPr>
      </w:pPr>
      <w:r w:rsidRPr="00B10D4C">
        <w:rPr>
          <w:i/>
        </w:rPr>
        <w:t>Dit</w:t>
      </w:r>
      <w:r w:rsidRPr="00B10D4C" w:rsidR="00681A32">
        <w:t xml:space="preserve"> </w:t>
      </w:r>
      <w:r w:rsidRPr="00B10D4C">
        <w:t>qu</w:t>
      </w:r>
      <w:r w:rsidRPr="00B10D4C" w:rsidR="00B10D4C">
        <w:t>’</w:t>
      </w:r>
      <w:r w:rsidRPr="00B10D4C">
        <w:t>il y a eu violation de l</w:t>
      </w:r>
      <w:r w:rsidRPr="00B10D4C" w:rsidR="00B10D4C">
        <w:t>’</w:t>
      </w:r>
      <w:r w:rsidRPr="00B10D4C">
        <w:t>article 10 de la Convention ;</w:t>
      </w:r>
    </w:p>
    <w:p w:rsidRPr="00B10D4C" w:rsidR="00876F03" w:rsidP="00B10D4C" w:rsidRDefault="00540DD5">
      <w:pPr>
        <w:pStyle w:val="JuList"/>
        <w:numPr>
          <w:ilvl w:val="0"/>
          <w:numId w:val="2"/>
        </w:numPr>
      </w:pPr>
      <w:r w:rsidRPr="00B10D4C">
        <w:rPr>
          <w:i/>
        </w:rPr>
        <w:t>Rejette</w:t>
      </w:r>
      <w:r w:rsidRPr="00B10D4C">
        <w:t xml:space="preserve"> la demande de satisfaction équitable.</w:t>
      </w:r>
    </w:p>
    <w:p w:rsidRPr="00B10D4C" w:rsidR="00893F30" w:rsidP="00B10D4C" w:rsidRDefault="00893F30">
      <w:pPr>
        <w:pStyle w:val="JuParaLast"/>
      </w:pPr>
      <w:r w:rsidRPr="00B10D4C">
        <w:t xml:space="preserve">Fait en français, puis communiqué par écrit le </w:t>
      </w:r>
      <w:r w:rsidRPr="00B10D4C" w:rsidR="00540DD5">
        <w:t>6 octobre 2020</w:t>
      </w:r>
      <w:r w:rsidRPr="00B10D4C">
        <w:t>, en application de l</w:t>
      </w:r>
      <w:r w:rsidRPr="00B10D4C" w:rsidR="00B10D4C">
        <w:t>’</w:t>
      </w:r>
      <w:r w:rsidRPr="00B10D4C">
        <w:t>article 77 §§ 2 et 3 du règlement.</w:t>
      </w:r>
    </w:p>
    <w:p w:rsidR="001C2B5C" w:rsidP="00B10D4C" w:rsidRDefault="00540DD5">
      <w:pPr>
        <w:pStyle w:val="JuSigned"/>
      </w:pPr>
      <w:r w:rsidRPr="00B10D4C">
        <w:tab/>
        <w:t xml:space="preserve">Milan </w:t>
      </w:r>
      <w:proofErr w:type="spellStart"/>
      <w:r w:rsidRPr="00B10D4C">
        <w:t>Blaško</w:t>
      </w:r>
      <w:proofErr w:type="spellEnd"/>
      <w:r w:rsidRPr="00B10D4C" w:rsidR="004344E6">
        <w:tab/>
      </w:r>
      <w:r w:rsidRPr="00B10D4C" w:rsidR="001719D6">
        <w:t>Paul</w:t>
      </w:r>
      <w:r w:rsidRPr="00B10D4C" w:rsidR="00203FAC">
        <w:t xml:space="preserve"> Lemmens</w:t>
      </w:r>
      <w:r w:rsidRPr="00B10D4C" w:rsidR="004344E6">
        <w:br/>
      </w:r>
      <w:r w:rsidRPr="00B10D4C" w:rsidR="004344E6">
        <w:tab/>
      </w:r>
      <w:r w:rsidRPr="00B10D4C">
        <w:t>Greffier</w:t>
      </w:r>
      <w:r w:rsidRPr="00B10D4C" w:rsidR="004344E6">
        <w:tab/>
      </w:r>
      <w:r w:rsidRPr="00B10D4C">
        <w:t>Président</w:t>
      </w:r>
    </w:p>
    <w:p w:rsidRPr="00B10D4C" w:rsidR="00B10D4C" w:rsidP="00B10D4C" w:rsidRDefault="00B10D4C">
      <w:pPr>
        <w:pStyle w:val="JuPara"/>
      </w:pPr>
    </w:p>
    <w:sectPr w:rsidRPr="00B10D4C" w:rsidR="00B10D4C">
      <w:headerReference w:type="even" r:id="rId11"/>
      <w:headerReference w:type="default" r:id="rId12"/>
      <w:footerReference w:type="default" r:id="rId13"/>
      <w:footnotePr>
        <w:numRestart w:val="eachSect"/>
      </w:footnotePr>
      <w:pgSz w:w="11906" w:h="16838" w:code="9"/>
      <w:pgMar w:top="2274" w:right="2274" w:bottom="2274" w:left="2274" w:header="1701" w:footer="720" w:gutter="0"/>
      <w:pgNumType w:start="1"/>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40DD5" w:rsidRPr="000A20EB" w:rsidRDefault="00540DD5" w:rsidP="00516B59">
      <w:r w:rsidRPr="000A20EB">
        <w:separator/>
      </w:r>
    </w:p>
  </w:endnote>
  <w:endnote w:type="continuationSeparator" w:id="0">
    <w:p w:rsidR="00540DD5" w:rsidRPr="000A20EB" w:rsidRDefault="00540DD5" w:rsidP="00516B59">
      <w:r w:rsidRPr="000A20E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onsolas">
    <w:panose1 w:val="020B0609020204030204"/>
    <w:charset w:val="00"/>
    <w:family w:val="modern"/>
    <w:pitch w:val="fixed"/>
    <w:sig w:usb0="E10002FF" w:usb1="4000FCFF" w:usb2="00000009"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60B5D" w:rsidRPr="00D01935" w:rsidRDefault="00660B5D" w:rsidP="001A30C8">
    <w:pPr>
      <w:pStyle w:val="JuHeader"/>
    </w:pPr>
    <w:r>
      <w:fldChar w:fldCharType="begin"/>
    </w:r>
    <w:r>
      <w:instrText xml:space="preserve"> PAGE </w:instrText>
    </w:r>
    <w:r>
      <w:fldChar w:fldCharType="separate"/>
    </w:r>
    <w:r w:rsidR="00B10D4C">
      <w:rPr>
        <w:noProof/>
      </w:rPr>
      <w:t>14</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60B5D" w:rsidRPr="00150BFA" w:rsidRDefault="00660B5D" w:rsidP="00DA76E8">
    <w:pPr>
      <w:jc w:val="center"/>
    </w:pPr>
    <w:r>
      <w:rPr>
        <w:noProof/>
        <w:lang w:val="en-US" w:eastAsia="ja-JP"/>
      </w:rPr>
      <w:drawing>
        <wp:inline distT="0" distB="0" distL="0" distR="0" wp14:anchorId="102CDC5B" wp14:editId="240E369F">
          <wp:extent cx="771525" cy="619125"/>
          <wp:effectExtent l="0" t="0" r="9525" b="9525"/>
          <wp:docPr id="9" name="Picture 9"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660B5D" w:rsidRPr="000F1305" w:rsidRDefault="00660B5D" w:rsidP="00F27D13">
    <w:pPr>
      <w:pStyle w:val="Footer0"/>
      <w:jc w:val="center"/>
      <w:rPr>
        <w:sz w:val="4"/>
        <w:szCs w:val="4"/>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22D5C" w:rsidRPr="00D01935" w:rsidRDefault="00540DD5" w:rsidP="00662882">
    <w:pPr>
      <w:pStyle w:val="JuHeader"/>
    </w:pPr>
    <w:r>
      <w:fldChar w:fldCharType="begin"/>
    </w:r>
    <w:r>
      <w:instrText xml:space="preserve"> PAGE </w:instrText>
    </w:r>
    <w:r>
      <w:fldChar w:fldCharType="separate"/>
    </w:r>
    <w:r w:rsidR="00B10D4C">
      <w:rPr>
        <w:noProof/>
      </w:rPr>
      <w:t>13</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40DD5" w:rsidRPr="000A20EB" w:rsidRDefault="00540DD5" w:rsidP="00516B59">
      <w:r w:rsidRPr="000A20EB">
        <w:separator/>
      </w:r>
    </w:p>
  </w:footnote>
  <w:footnote w:type="continuationSeparator" w:id="0">
    <w:p w:rsidR="00540DD5" w:rsidRPr="000A20EB" w:rsidRDefault="00540DD5" w:rsidP="00516B59">
      <w:r w:rsidRPr="000A20EB">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60B5D" w:rsidRPr="00A45145" w:rsidRDefault="00660B5D" w:rsidP="00DA76E8">
    <w:pPr>
      <w:jc w:val="center"/>
    </w:pPr>
    <w:r>
      <w:rPr>
        <w:noProof/>
        <w:lang w:val="en-US" w:eastAsia="ja-JP"/>
      </w:rPr>
      <w:drawing>
        <wp:inline distT="0" distB="0" distL="0" distR="0" wp14:anchorId="03D7D2D2" wp14:editId="09BF6FB3">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660B5D" w:rsidRPr="000F1305" w:rsidRDefault="00660B5D" w:rsidP="00DA76E8"/>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22D5C" w:rsidRPr="00592C8D" w:rsidRDefault="00A21624" w:rsidP="00A21624">
    <w:pPr>
      <w:pStyle w:val="JuHeader"/>
      <w:rPr>
        <w:lang w:val="en-US"/>
      </w:rPr>
    </w:pPr>
    <w:r w:rsidRPr="00592C8D">
      <w:rPr>
        <w:lang w:val="en-US"/>
      </w:rPr>
      <w:t>ARRÊT</w:t>
    </w:r>
    <w:r w:rsidR="00256F45" w:rsidRPr="00592C8D">
      <w:rPr>
        <w:lang w:val="en-US"/>
      </w:rPr>
      <w:t xml:space="preserve"> </w:t>
    </w:r>
    <w:r w:rsidR="00540DD5">
      <w:rPr>
        <w:lang w:val="en-US"/>
      </w:rPr>
      <w:t>JECKER c. SUISSE</w:t>
    </w:r>
    <w:r w:rsidR="00540DD5" w:rsidRPr="00592C8D">
      <w:rPr>
        <w:noProof/>
        <w:lang w:val="en-US"/>
      </w:rPr>
      <w:t xml:space="preserve"> </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22D5C" w:rsidRPr="00662882" w:rsidRDefault="00256F45" w:rsidP="00662882">
    <w:pPr>
      <w:pStyle w:val="JuHeader"/>
    </w:pPr>
    <w:r w:rsidRPr="00592C8D">
      <w:rPr>
        <w:lang w:val="en-US"/>
      </w:rPr>
      <w:t>ARRÊT</w:t>
    </w:r>
    <w:r w:rsidR="00162967" w:rsidRPr="00592C8D">
      <w:rPr>
        <w:lang w:val="en-US"/>
      </w:rPr>
      <w:t xml:space="preserve"> </w:t>
    </w:r>
    <w:r w:rsidR="00540DD5">
      <w:rPr>
        <w:lang w:val="en-US"/>
      </w:rPr>
      <w:t>JECKER c. SUISSE</w:t>
    </w:r>
    <w:r w:rsidR="007971FF" w:rsidRPr="00592C8D">
      <w:rPr>
        <w:lang w:val="en-US"/>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15:restartNumberingAfterBreak="0">
    <w:nsid w:val="0C0F5BFC"/>
    <w:multiLevelType w:val="multilevel"/>
    <w:tmpl w:val="8B2457E6"/>
    <w:lvl w:ilvl="0">
      <w:start w:val="1"/>
      <w:numFmt w:val="none"/>
      <w:pStyle w:val="JuHHead"/>
      <w:suff w:val="nothing"/>
      <w:lvlText w:val="%1"/>
      <w:lvlJc w:val="left"/>
      <w:pPr>
        <w:ind w:left="0" w:firstLine="0"/>
      </w:pPr>
      <w:rPr>
        <w:rFonts w:hint="default"/>
      </w:rPr>
    </w:lvl>
    <w:lvl w:ilvl="1">
      <w:start w:val="1"/>
      <w:numFmt w:val="upperRoman"/>
      <w:pStyle w:val="JuHIRoman"/>
      <w:suff w:val="space"/>
      <w:lvlText w:val="%2."/>
      <w:lvlJc w:val="left"/>
      <w:pPr>
        <w:ind w:left="357" w:hanging="357"/>
      </w:pPr>
      <w:rPr>
        <w:rFonts w:hint="default"/>
      </w:rPr>
    </w:lvl>
    <w:lvl w:ilvl="2">
      <w:start w:val="1"/>
      <w:numFmt w:val="upperLetter"/>
      <w:pStyle w:val="JuHA"/>
      <w:lvlText w:val="%3."/>
      <w:lvlJc w:val="left"/>
      <w:pPr>
        <w:ind w:left="584" w:hanging="352"/>
      </w:pPr>
      <w:rPr>
        <w:rFonts w:hint="default"/>
      </w:rPr>
    </w:lvl>
    <w:lvl w:ilvl="3">
      <w:start w:val="1"/>
      <w:numFmt w:val="decimal"/>
      <w:pStyle w:val="JuH1"/>
      <w:lvlText w:val="%4."/>
      <w:lvlJc w:val="left"/>
      <w:pPr>
        <w:ind w:left="731" w:hanging="300"/>
      </w:pPr>
      <w:rPr>
        <w:rFonts w:hint="default"/>
      </w:rPr>
    </w:lvl>
    <w:lvl w:ilvl="4">
      <w:start w:val="1"/>
      <w:numFmt w:val="lowerLetter"/>
      <w:pStyle w:val="JuHa0"/>
      <w:lvlText w:val="%5)"/>
      <w:lvlJc w:val="left"/>
      <w:pPr>
        <w:ind w:left="975" w:hanging="340"/>
      </w:pPr>
      <w:rPr>
        <w:rFonts w:hint="default"/>
      </w:rPr>
    </w:lvl>
    <w:lvl w:ilvl="5">
      <w:start w:val="1"/>
      <w:numFmt w:val="lowerRoman"/>
      <w:pStyle w:val="JuHi"/>
      <w:suff w:val="space"/>
      <w:lvlText w:val="%6."/>
      <w:lvlJc w:val="left"/>
      <w:pPr>
        <w:ind w:left="1191" w:hanging="358"/>
      </w:pPr>
      <w:rPr>
        <w:rFonts w:hint="default"/>
      </w:rPr>
    </w:lvl>
    <w:lvl w:ilvl="6">
      <w:start w:val="1"/>
      <mc:AlternateContent>
        <mc:Choice Requires="w14">
          <w:numFmt w:val="custom" w:format="α, β, γ, ..."/>
        </mc:Choice>
        <mc:Fallback>
          <w:numFmt w:val="decimal"/>
        </mc:Fallback>
      </mc:AlternateContent>
      <w:pStyle w:val="JuHalpha"/>
      <w:lvlText w:val="%7)"/>
      <w:lvlJc w:val="left"/>
      <w:pPr>
        <w:ind w:left="1372" w:hanging="334"/>
      </w:pPr>
      <w:rPr>
        <w:rFonts w:asciiTheme="minorHAnsi" w:hAnsiTheme="minorHAnsi" w:hint="default"/>
        <w:b w:val="0"/>
        <w:i w:val="0"/>
      </w:rPr>
    </w:lvl>
    <w:lvl w:ilvl="7">
      <w:start w:val="1"/>
      <w:numFmt w:val="bullet"/>
      <w:pStyle w:val="JuH"/>
      <w:lvlText w:val="‒"/>
      <w:lvlJc w:val="left"/>
      <w:pPr>
        <w:ind w:left="1418" w:hanging="182"/>
      </w:pPr>
      <w:rPr>
        <w:rFonts w:ascii="Times New Roman" w:hAnsi="Times New Roman" w:cs="Times New Roman" w:hint="default"/>
        <w:color w:val="auto"/>
      </w:rPr>
    </w:lvl>
    <w:lvl w:ilvl="8">
      <w:start w:val="1"/>
      <w:numFmt w:val="bullet"/>
      <w:pStyle w:val="ECHRHeading9"/>
      <w:lvlText w:val="▪"/>
      <w:lvlJc w:val="left"/>
      <w:pPr>
        <w:ind w:left="1644" w:hanging="221"/>
      </w:pPr>
      <w:rPr>
        <w:rFonts w:ascii="Times New Roman" w:hAnsi="Times New Roman" w:cs="Times New Roman" w:hint="default"/>
        <w:color w:val="auto"/>
      </w:rPr>
    </w:lvl>
  </w:abstractNum>
  <w:abstractNum w:abstractNumId="10" w15:restartNumberingAfterBreak="0">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1" w15:restartNumberingAfterBreak="0">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27D5546B"/>
    <w:multiLevelType w:val="multilevel"/>
    <w:tmpl w:val="7222064C"/>
    <w:styleLink w:val="ECHRA1StyleList"/>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907" w:hanging="227"/>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15:restartNumberingAfterBreak="0">
    <w:nsid w:val="285E6A40"/>
    <w:multiLevelType w:val="multilevel"/>
    <w:tmpl w:val="3704F6F0"/>
    <w:lvl w:ilvl="0">
      <w:start w:val="1"/>
      <w:numFmt w:val="decimal"/>
      <w:lvlText w:val="%1."/>
      <w:lvlJc w:val="left"/>
      <w:pPr>
        <w:tabs>
          <w:tab w:val="num" w:pos="340"/>
        </w:tabs>
        <w:ind w:left="340" w:hanging="340"/>
      </w:pPr>
      <w:rPr>
        <w:rFonts w:hint="default"/>
      </w:rPr>
    </w:lvl>
    <w:lvl w:ilvl="1">
      <w:start w:val="1"/>
      <w:numFmt w:val="lowerLetter"/>
      <w:lvlText w:val="%2)"/>
      <w:lvlJc w:val="left"/>
      <w:pPr>
        <w:tabs>
          <w:tab w:val="num" w:pos="680"/>
        </w:tabs>
        <w:ind w:left="680" w:hanging="340"/>
      </w:pPr>
      <w:rPr>
        <w:rFonts w:hint="default"/>
      </w:rPr>
    </w:lvl>
    <w:lvl w:ilvl="2">
      <w:start w:val="1"/>
      <w:numFmt w:val="lowerRoman"/>
      <w:lvlText w:val="%3."/>
      <w:lvlJc w:val="left"/>
      <w:pPr>
        <w:tabs>
          <w:tab w:val="num" w:pos="1134"/>
        </w:tabs>
        <w:ind w:left="1134" w:hanging="454"/>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none"/>
      <w:lvlText w:val=""/>
      <w:lvlJc w:val="left"/>
      <w:pPr>
        <w:ind w:left="2517" w:hanging="345"/>
      </w:pPr>
      <w:rPr>
        <w:rFonts w:ascii="Symbol" w:hAnsi="Symbol" w:hint="default"/>
        <w:sz w:val="20"/>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15:restartNumberingAfterBreak="0">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0072BC" w:themeColor="background1"/>
      </w:rPr>
    </w:lvl>
    <w:lvl w:ilvl="1">
      <w:start w:val="1"/>
      <w:numFmt w:val="bullet"/>
      <w:pStyle w:val="ECHRBullet2"/>
      <w:lvlText w:val=""/>
      <w:lvlJc w:val="left"/>
      <w:pPr>
        <w:tabs>
          <w:tab w:val="num" w:pos="1134"/>
        </w:tabs>
        <w:ind w:left="1135" w:hanging="284"/>
      </w:pPr>
      <w:rPr>
        <w:rFonts w:ascii="Wingdings" w:hAnsi="Wingdings" w:hint="default"/>
        <w:color w:val="0072BC"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6" w15:restartNumberingAfterBreak="0">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7" w15:restartNumberingAfterBreak="0">
    <w:nsid w:val="56B9429C"/>
    <w:multiLevelType w:val="multilevel"/>
    <w:tmpl w:val="CCDA80A2"/>
    <w:lvl w:ilvl="0">
      <w:start w:val="1"/>
      <w:numFmt w:val="none"/>
      <w:suff w:val="nothing"/>
      <w:lvlText w:val=""/>
      <w:lvlJc w:val="left"/>
      <w:pPr>
        <w:ind w:left="0" w:firstLine="0"/>
      </w:pPr>
      <w:rPr>
        <w:rFonts w:hint="default"/>
      </w:rPr>
    </w:lvl>
    <w:lvl w:ilvl="1">
      <w:start w:val="1"/>
      <w:numFmt w:val="upperRoman"/>
      <w:suff w:val="space"/>
      <w:lvlText w:val="%2."/>
      <w:lvlJc w:val="left"/>
      <w:pPr>
        <w:ind w:left="357" w:hanging="357"/>
      </w:pPr>
      <w:rPr>
        <w:rFonts w:hint="default"/>
        <w:sz w:val="24"/>
      </w:rPr>
    </w:lvl>
    <w:lvl w:ilvl="2">
      <w:start w:val="1"/>
      <w:numFmt w:val="upperLetter"/>
      <w:lvlText w:val="%3."/>
      <w:lvlJc w:val="left"/>
      <w:pPr>
        <w:ind w:left="584" w:hanging="352"/>
      </w:pPr>
      <w:rPr>
        <w:rFonts w:hint="default"/>
      </w:rPr>
    </w:lvl>
    <w:lvl w:ilvl="3">
      <w:start w:val="1"/>
      <w:numFmt w:val="decimal"/>
      <w:lvlText w:val="%4."/>
      <w:lvlJc w:val="left"/>
      <w:pPr>
        <w:ind w:left="731" w:hanging="300"/>
      </w:pPr>
      <w:rPr>
        <w:rFonts w:hint="default"/>
      </w:rPr>
    </w:lvl>
    <w:lvl w:ilvl="4">
      <w:start w:val="1"/>
      <w:numFmt w:val="lowerLetter"/>
      <w:lvlText w:val="%5)"/>
      <w:lvlJc w:val="left"/>
      <w:pPr>
        <w:ind w:left="975" w:hanging="340"/>
      </w:pPr>
      <w:rPr>
        <w:rFonts w:hint="default"/>
      </w:rPr>
    </w:lvl>
    <w:lvl w:ilvl="5">
      <w:start w:val="1"/>
      <w:numFmt w:val="lowerRoman"/>
      <w:suff w:val="space"/>
      <w:lvlText w:val="%6."/>
      <w:lvlJc w:val="left"/>
      <w:pPr>
        <w:ind w:left="1191" w:hanging="358"/>
      </w:pPr>
      <w:rPr>
        <w:rFonts w:hint="default"/>
      </w:rPr>
    </w:lvl>
    <w:lvl w:ilvl="6">
      <w:start w:val="1"/>
      <w:numFmt w:val="lowerLetter"/>
      <w:lvlText w:val="%7)"/>
      <w:lvlJc w:val="left"/>
      <w:pPr>
        <w:ind w:left="1372" w:hanging="334"/>
      </w:pPr>
      <w:rPr>
        <w:rFonts w:ascii="Symbol" w:hAnsi="Symbol" w:hint="default"/>
        <w:sz w:val="20"/>
      </w:rPr>
    </w:lvl>
    <w:lvl w:ilvl="7">
      <w:start w:val="1"/>
      <w:numFmt w:val="bullet"/>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abstractNum w:abstractNumId="18" w15:restartNumberingAfterBreak="0">
    <w:nsid w:val="67FD1241"/>
    <w:multiLevelType w:val="hybridMultilevel"/>
    <w:tmpl w:val="F6D86CC2"/>
    <w:lvl w:ilvl="0" w:tplc="E4205412">
      <w:start w:val="1"/>
      <w:numFmt w:val="bullet"/>
      <w:pStyle w:val="ListBullet"/>
      <w:lvlText w:val=""/>
      <w:lvlJc w:val="left"/>
      <w:pPr>
        <w:tabs>
          <w:tab w:val="num" w:pos="851"/>
        </w:tabs>
        <w:ind w:left="568" w:firstLine="0"/>
      </w:pPr>
      <w:rPr>
        <w:rFonts w:ascii="Wingdings" w:hAnsi="Wingdings" w:hint="default"/>
        <w:color w:val="808080"/>
        <w:sz w:val="16"/>
      </w:rPr>
    </w:lvl>
    <w:lvl w:ilvl="1" w:tplc="08090003" w:tentative="1">
      <w:start w:val="1"/>
      <w:numFmt w:val="bullet"/>
      <w:lvlText w:val="o"/>
      <w:lvlJc w:val="left"/>
      <w:pPr>
        <w:tabs>
          <w:tab w:val="num" w:pos="1724"/>
        </w:tabs>
        <w:ind w:left="1724" w:hanging="360"/>
      </w:pPr>
      <w:rPr>
        <w:rFonts w:ascii="Courier New" w:hAnsi="Courier New" w:cs="Courier New" w:hint="default"/>
      </w:rPr>
    </w:lvl>
    <w:lvl w:ilvl="2" w:tplc="08090005" w:tentative="1">
      <w:start w:val="1"/>
      <w:numFmt w:val="bullet"/>
      <w:lvlText w:val=""/>
      <w:lvlJc w:val="left"/>
      <w:pPr>
        <w:tabs>
          <w:tab w:val="num" w:pos="2444"/>
        </w:tabs>
        <w:ind w:left="2444" w:hanging="360"/>
      </w:pPr>
      <w:rPr>
        <w:rFonts w:ascii="Wingdings" w:hAnsi="Wingdings" w:hint="default"/>
      </w:rPr>
    </w:lvl>
    <w:lvl w:ilvl="3" w:tplc="08090001" w:tentative="1">
      <w:start w:val="1"/>
      <w:numFmt w:val="bullet"/>
      <w:lvlText w:val=""/>
      <w:lvlJc w:val="left"/>
      <w:pPr>
        <w:tabs>
          <w:tab w:val="num" w:pos="3164"/>
        </w:tabs>
        <w:ind w:left="3164" w:hanging="360"/>
      </w:pPr>
      <w:rPr>
        <w:rFonts w:ascii="Symbol" w:hAnsi="Symbol" w:hint="default"/>
      </w:rPr>
    </w:lvl>
    <w:lvl w:ilvl="4" w:tplc="08090003" w:tentative="1">
      <w:start w:val="1"/>
      <w:numFmt w:val="bullet"/>
      <w:lvlText w:val="o"/>
      <w:lvlJc w:val="left"/>
      <w:pPr>
        <w:tabs>
          <w:tab w:val="num" w:pos="3884"/>
        </w:tabs>
        <w:ind w:left="3884" w:hanging="360"/>
      </w:pPr>
      <w:rPr>
        <w:rFonts w:ascii="Courier New" w:hAnsi="Courier New" w:cs="Courier New" w:hint="default"/>
      </w:rPr>
    </w:lvl>
    <w:lvl w:ilvl="5" w:tplc="08090005" w:tentative="1">
      <w:start w:val="1"/>
      <w:numFmt w:val="bullet"/>
      <w:lvlText w:val=""/>
      <w:lvlJc w:val="left"/>
      <w:pPr>
        <w:tabs>
          <w:tab w:val="num" w:pos="4604"/>
        </w:tabs>
        <w:ind w:left="4604" w:hanging="360"/>
      </w:pPr>
      <w:rPr>
        <w:rFonts w:ascii="Wingdings" w:hAnsi="Wingdings" w:hint="default"/>
      </w:rPr>
    </w:lvl>
    <w:lvl w:ilvl="6" w:tplc="08090001" w:tentative="1">
      <w:start w:val="1"/>
      <w:numFmt w:val="bullet"/>
      <w:lvlText w:val=""/>
      <w:lvlJc w:val="left"/>
      <w:pPr>
        <w:tabs>
          <w:tab w:val="num" w:pos="5324"/>
        </w:tabs>
        <w:ind w:left="5324" w:hanging="360"/>
      </w:pPr>
      <w:rPr>
        <w:rFonts w:ascii="Symbol" w:hAnsi="Symbol" w:hint="default"/>
      </w:rPr>
    </w:lvl>
    <w:lvl w:ilvl="7" w:tplc="08090003" w:tentative="1">
      <w:start w:val="1"/>
      <w:numFmt w:val="bullet"/>
      <w:lvlText w:val="o"/>
      <w:lvlJc w:val="left"/>
      <w:pPr>
        <w:tabs>
          <w:tab w:val="num" w:pos="6044"/>
        </w:tabs>
        <w:ind w:left="6044" w:hanging="360"/>
      </w:pPr>
      <w:rPr>
        <w:rFonts w:ascii="Courier New" w:hAnsi="Courier New" w:cs="Courier New" w:hint="default"/>
      </w:rPr>
    </w:lvl>
    <w:lvl w:ilvl="8" w:tplc="08090005" w:tentative="1">
      <w:start w:val="1"/>
      <w:numFmt w:val="bullet"/>
      <w:lvlText w:val=""/>
      <w:lvlJc w:val="left"/>
      <w:pPr>
        <w:tabs>
          <w:tab w:val="num" w:pos="6764"/>
        </w:tabs>
        <w:ind w:left="6764" w:hanging="360"/>
      </w:pPr>
      <w:rPr>
        <w:rFonts w:ascii="Wingdings" w:hAnsi="Wingdings" w:hint="default"/>
      </w:rPr>
    </w:lvl>
  </w:abstractNum>
  <w:num w:numId="1">
    <w:abstractNumId w:val="17"/>
  </w:num>
  <w:num w:numId="2">
    <w:abstractNumId w:val="13"/>
  </w:num>
  <w:num w:numId="3">
    <w:abstractNumId w:val="9"/>
  </w:num>
  <w:num w:numId="4">
    <w:abstractNumId w:val="14"/>
  </w:num>
  <w:num w:numId="5">
    <w:abstractNumId w:val="11"/>
  </w:num>
  <w:num w:numId="6">
    <w:abstractNumId w:val="10"/>
  </w:num>
  <w:num w:numId="7">
    <w:abstractNumId w:val="15"/>
  </w:num>
  <w:num w:numId="8">
    <w:abstractNumId w:val="12"/>
  </w:num>
  <w:num w:numId="9">
    <w:abstractNumId w:val="16"/>
  </w:num>
  <w:num w:numId="10">
    <w:abstractNumId w:val="18"/>
  </w:num>
  <w:num w:numId="11">
    <w:abstractNumId w:val="7"/>
  </w:num>
  <w:num w:numId="12">
    <w:abstractNumId w:val="6"/>
  </w:num>
  <w:num w:numId="13">
    <w:abstractNumId w:val="5"/>
  </w:num>
  <w:num w:numId="14">
    <w:abstractNumId w:val="4"/>
  </w:num>
  <w:num w:numId="15">
    <w:abstractNumId w:val="8"/>
  </w:num>
  <w:num w:numId="16">
    <w:abstractNumId w:val="3"/>
  </w:num>
  <w:num w:numId="17">
    <w:abstractNumId w:val="2"/>
  </w:num>
  <w:num w:numId="18">
    <w:abstractNumId w:val="1"/>
  </w:num>
  <w:num w:numId="19">
    <w:abstractNumId w:val="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proofState w:spelling="clean" w:grammar="clea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evenAndOddHeaders/>
  <w:drawingGridHorizontalSpacing w:val="110"/>
  <w:displayHorizontalDrawingGridEvery w:val="2"/>
  <w:displayVerticalDrawingGridEvery w:val="2"/>
  <w:characterSpacingControl w:val="doNotCompress"/>
  <w:hdrShapeDefaults>
    <o:shapedefaults v:ext="edit" spidmax="18433"/>
  </w:hdrShapeDefaults>
  <w:footnotePr>
    <w:numRestart w:val="eachSect"/>
    <w:footnote w:id="-1"/>
    <w:footnote w:id="0"/>
  </w:footnotePr>
  <w:endnotePr>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pplicationsApp" w:val="1"/>
    <w:docVar w:name="EMM" w:val="0"/>
    <w:docVar w:name="NBEMMDOC" w:val="0"/>
  </w:docVars>
  <w:rsids>
    <w:rsidRoot w:val="00540DD5"/>
    <w:rsid w:val="000041F8"/>
    <w:rsid w:val="000042A8"/>
    <w:rsid w:val="00004308"/>
    <w:rsid w:val="00005BF0"/>
    <w:rsid w:val="00007154"/>
    <w:rsid w:val="000103AE"/>
    <w:rsid w:val="00011D69"/>
    <w:rsid w:val="00012AD3"/>
    <w:rsid w:val="00015C2D"/>
    <w:rsid w:val="00015F00"/>
    <w:rsid w:val="00022C1D"/>
    <w:rsid w:val="00034987"/>
    <w:rsid w:val="00051015"/>
    <w:rsid w:val="000602DF"/>
    <w:rsid w:val="00061B05"/>
    <w:rsid w:val="000632D5"/>
    <w:rsid w:val="000644EE"/>
    <w:rsid w:val="00080ECE"/>
    <w:rsid w:val="0009057B"/>
    <w:rsid w:val="000925AD"/>
    <w:rsid w:val="000A20EB"/>
    <w:rsid w:val="000A24EB"/>
    <w:rsid w:val="000B5D17"/>
    <w:rsid w:val="000B6923"/>
    <w:rsid w:val="000C5F3C"/>
    <w:rsid w:val="000C6DCC"/>
    <w:rsid w:val="000D04C2"/>
    <w:rsid w:val="000D47AA"/>
    <w:rsid w:val="000D721F"/>
    <w:rsid w:val="000E069B"/>
    <w:rsid w:val="000E0E82"/>
    <w:rsid w:val="000E1DC5"/>
    <w:rsid w:val="000E223F"/>
    <w:rsid w:val="000E4AC8"/>
    <w:rsid w:val="000E7D45"/>
    <w:rsid w:val="000F1305"/>
    <w:rsid w:val="000F19D8"/>
    <w:rsid w:val="000F7851"/>
    <w:rsid w:val="00104E23"/>
    <w:rsid w:val="00111B0C"/>
    <w:rsid w:val="00117CD2"/>
    <w:rsid w:val="00120D6C"/>
    <w:rsid w:val="001257EC"/>
    <w:rsid w:val="00133D33"/>
    <w:rsid w:val="00134D64"/>
    <w:rsid w:val="00135A30"/>
    <w:rsid w:val="0013612C"/>
    <w:rsid w:val="00137FF6"/>
    <w:rsid w:val="00141650"/>
    <w:rsid w:val="001625AD"/>
    <w:rsid w:val="00162967"/>
    <w:rsid w:val="00162A12"/>
    <w:rsid w:val="00166530"/>
    <w:rsid w:val="001719D6"/>
    <w:rsid w:val="00181508"/>
    <w:rsid w:val="001832BD"/>
    <w:rsid w:val="001943B5"/>
    <w:rsid w:val="00194C5B"/>
    <w:rsid w:val="00195134"/>
    <w:rsid w:val="001A145B"/>
    <w:rsid w:val="001A674C"/>
    <w:rsid w:val="001A7E7E"/>
    <w:rsid w:val="001B3B24"/>
    <w:rsid w:val="001C0F98"/>
    <w:rsid w:val="001C2A42"/>
    <w:rsid w:val="001C2B5C"/>
    <w:rsid w:val="001D63ED"/>
    <w:rsid w:val="001D7348"/>
    <w:rsid w:val="001E035B"/>
    <w:rsid w:val="001E0961"/>
    <w:rsid w:val="001E3EAE"/>
    <w:rsid w:val="001E6F32"/>
    <w:rsid w:val="001F2145"/>
    <w:rsid w:val="001F39F4"/>
    <w:rsid w:val="001F6262"/>
    <w:rsid w:val="001F67B0"/>
    <w:rsid w:val="001F7B3D"/>
    <w:rsid w:val="00203FAC"/>
    <w:rsid w:val="00204F24"/>
    <w:rsid w:val="00205F9F"/>
    <w:rsid w:val="00210338"/>
    <w:rsid w:val="002115FC"/>
    <w:rsid w:val="00212184"/>
    <w:rsid w:val="0021423C"/>
    <w:rsid w:val="00230D00"/>
    <w:rsid w:val="00231364"/>
    <w:rsid w:val="00231DF7"/>
    <w:rsid w:val="00231FD1"/>
    <w:rsid w:val="002339E0"/>
    <w:rsid w:val="00233CF8"/>
    <w:rsid w:val="0023575D"/>
    <w:rsid w:val="00237148"/>
    <w:rsid w:val="0024222D"/>
    <w:rsid w:val="00244B0E"/>
    <w:rsid w:val="00244F6C"/>
    <w:rsid w:val="002532C5"/>
    <w:rsid w:val="002546AE"/>
    <w:rsid w:val="00256F45"/>
    <w:rsid w:val="00260C03"/>
    <w:rsid w:val="0026540E"/>
    <w:rsid w:val="00275123"/>
    <w:rsid w:val="00282240"/>
    <w:rsid w:val="002948AD"/>
    <w:rsid w:val="0029739C"/>
    <w:rsid w:val="002A01CC"/>
    <w:rsid w:val="002A61B1"/>
    <w:rsid w:val="002A663C"/>
    <w:rsid w:val="002B444B"/>
    <w:rsid w:val="002B5887"/>
    <w:rsid w:val="002B7E83"/>
    <w:rsid w:val="002C0E27"/>
    <w:rsid w:val="002C3040"/>
    <w:rsid w:val="002D022D"/>
    <w:rsid w:val="002D24BB"/>
    <w:rsid w:val="002F29AA"/>
    <w:rsid w:val="002F2AF7"/>
    <w:rsid w:val="002F7E1C"/>
    <w:rsid w:val="00301A75"/>
    <w:rsid w:val="00302F70"/>
    <w:rsid w:val="0030336F"/>
    <w:rsid w:val="0030375E"/>
    <w:rsid w:val="0030660C"/>
    <w:rsid w:val="00312A30"/>
    <w:rsid w:val="00316323"/>
    <w:rsid w:val="00320F72"/>
    <w:rsid w:val="0032463E"/>
    <w:rsid w:val="00326224"/>
    <w:rsid w:val="00337EE4"/>
    <w:rsid w:val="00340FFD"/>
    <w:rsid w:val="003506B1"/>
    <w:rsid w:val="00356AC7"/>
    <w:rsid w:val="0036039F"/>
    <w:rsid w:val="003609FA"/>
    <w:rsid w:val="00361D45"/>
    <w:rsid w:val="00367B4F"/>
    <w:rsid w:val="003710C8"/>
    <w:rsid w:val="003722CE"/>
    <w:rsid w:val="003750BE"/>
    <w:rsid w:val="00387B9D"/>
    <w:rsid w:val="0039364F"/>
    <w:rsid w:val="00396686"/>
    <w:rsid w:val="0039778E"/>
    <w:rsid w:val="003A37B8"/>
    <w:rsid w:val="003B4941"/>
    <w:rsid w:val="003B6A2E"/>
    <w:rsid w:val="003C5714"/>
    <w:rsid w:val="003C6B9F"/>
    <w:rsid w:val="003C6E2A"/>
    <w:rsid w:val="003D0299"/>
    <w:rsid w:val="003D32BE"/>
    <w:rsid w:val="003E3FE3"/>
    <w:rsid w:val="003E6D80"/>
    <w:rsid w:val="003E7A9C"/>
    <w:rsid w:val="003F05FA"/>
    <w:rsid w:val="003F244A"/>
    <w:rsid w:val="003F30B8"/>
    <w:rsid w:val="003F4C45"/>
    <w:rsid w:val="003F5F7B"/>
    <w:rsid w:val="003F7D64"/>
    <w:rsid w:val="00401F7D"/>
    <w:rsid w:val="0041177B"/>
    <w:rsid w:val="0041248D"/>
    <w:rsid w:val="00414300"/>
    <w:rsid w:val="00425C67"/>
    <w:rsid w:val="00427E7A"/>
    <w:rsid w:val="00431C07"/>
    <w:rsid w:val="004344E6"/>
    <w:rsid w:val="00436C49"/>
    <w:rsid w:val="00445366"/>
    <w:rsid w:val="00447F5B"/>
    <w:rsid w:val="00456549"/>
    <w:rsid w:val="004604A0"/>
    <w:rsid w:val="00461DB0"/>
    <w:rsid w:val="00463926"/>
    <w:rsid w:val="00464C9A"/>
    <w:rsid w:val="00474F3D"/>
    <w:rsid w:val="00477E3A"/>
    <w:rsid w:val="00483E5F"/>
    <w:rsid w:val="00485FF9"/>
    <w:rsid w:val="004907F0"/>
    <w:rsid w:val="0049140B"/>
    <w:rsid w:val="004923A5"/>
    <w:rsid w:val="00496197"/>
    <w:rsid w:val="00496BFB"/>
    <w:rsid w:val="004A15C7"/>
    <w:rsid w:val="004B013B"/>
    <w:rsid w:val="004B112B"/>
    <w:rsid w:val="004C01E4"/>
    <w:rsid w:val="004C086C"/>
    <w:rsid w:val="004C1A3F"/>
    <w:rsid w:val="004C1F56"/>
    <w:rsid w:val="004C27BC"/>
    <w:rsid w:val="004C309A"/>
    <w:rsid w:val="004D15F3"/>
    <w:rsid w:val="004D5311"/>
    <w:rsid w:val="004D5DCC"/>
    <w:rsid w:val="004E22F1"/>
    <w:rsid w:val="004F10AF"/>
    <w:rsid w:val="004F11A4"/>
    <w:rsid w:val="004F2389"/>
    <w:rsid w:val="004F304D"/>
    <w:rsid w:val="004F61BE"/>
    <w:rsid w:val="004F66B1"/>
    <w:rsid w:val="00511C07"/>
    <w:rsid w:val="00516B59"/>
    <w:rsid w:val="005173A6"/>
    <w:rsid w:val="00520BAA"/>
    <w:rsid w:val="00522ABA"/>
    <w:rsid w:val="00525208"/>
    <w:rsid w:val="005257A5"/>
    <w:rsid w:val="005264C0"/>
    <w:rsid w:val="00526A8A"/>
    <w:rsid w:val="00531DF2"/>
    <w:rsid w:val="00540DD5"/>
    <w:rsid w:val="005442EE"/>
    <w:rsid w:val="00546D19"/>
    <w:rsid w:val="00547353"/>
    <w:rsid w:val="005474E7"/>
    <w:rsid w:val="005512A3"/>
    <w:rsid w:val="005578CE"/>
    <w:rsid w:val="00562781"/>
    <w:rsid w:val="00566E2B"/>
    <w:rsid w:val="0057271C"/>
    <w:rsid w:val="00572845"/>
    <w:rsid w:val="00576986"/>
    <w:rsid w:val="00592772"/>
    <w:rsid w:val="00592C8D"/>
    <w:rsid w:val="0059574A"/>
    <w:rsid w:val="005A1B9B"/>
    <w:rsid w:val="005A6751"/>
    <w:rsid w:val="005B092E"/>
    <w:rsid w:val="005B152C"/>
    <w:rsid w:val="005B1EE0"/>
    <w:rsid w:val="005B2B24"/>
    <w:rsid w:val="005B4425"/>
    <w:rsid w:val="005B4B94"/>
    <w:rsid w:val="005C353F"/>
    <w:rsid w:val="005C3EE8"/>
    <w:rsid w:val="005D34F9"/>
    <w:rsid w:val="005D4190"/>
    <w:rsid w:val="005D67A3"/>
    <w:rsid w:val="005E2988"/>
    <w:rsid w:val="005E3085"/>
    <w:rsid w:val="005F51E1"/>
    <w:rsid w:val="00610C9F"/>
    <w:rsid w:val="00611C80"/>
    <w:rsid w:val="00613B21"/>
    <w:rsid w:val="00620692"/>
    <w:rsid w:val="006242CA"/>
    <w:rsid w:val="00624E23"/>
    <w:rsid w:val="00627507"/>
    <w:rsid w:val="00633717"/>
    <w:rsid w:val="00633D41"/>
    <w:rsid w:val="006344E1"/>
    <w:rsid w:val="006361FD"/>
    <w:rsid w:val="006545C4"/>
    <w:rsid w:val="00660B5D"/>
    <w:rsid w:val="0066177B"/>
    <w:rsid w:val="00661971"/>
    <w:rsid w:val="00661CE8"/>
    <w:rsid w:val="006623D9"/>
    <w:rsid w:val="00662882"/>
    <w:rsid w:val="0066550C"/>
    <w:rsid w:val="006716F2"/>
    <w:rsid w:val="00681A32"/>
    <w:rsid w:val="00682BF2"/>
    <w:rsid w:val="006859CE"/>
    <w:rsid w:val="00691270"/>
    <w:rsid w:val="00694BA8"/>
    <w:rsid w:val="006A037C"/>
    <w:rsid w:val="006A36F4"/>
    <w:rsid w:val="006A3B97"/>
    <w:rsid w:val="006A406F"/>
    <w:rsid w:val="006A5D3A"/>
    <w:rsid w:val="006C23D4"/>
    <w:rsid w:val="006C475E"/>
    <w:rsid w:val="006C7BB0"/>
    <w:rsid w:val="006D3237"/>
    <w:rsid w:val="006E1824"/>
    <w:rsid w:val="006E2E37"/>
    <w:rsid w:val="006E3CF1"/>
    <w:rsid w:val="006E7E80"/>
    <w:rsid w:val="006F48CA"/>
    <w:rsid w:val="006F64DD"/>
    <w:rsid w:val="00715127"/>
    <w:rsid w:val="00715E8E"/>
    <w:rsid w:val="007172B0"/>
    <w:rsid w:val="00723580"/>
    <w:rsid w:val="00723755"/>
    <w:rsid w:val="00724AE2"/>
    <w:rsid w:val="0073136C"/>
    <w:rsid w:val="00731F0F"/>
    <w:rsid w:val="00733250"/>
    <w:rsid w:val="00735951"/>
    <w:rsid w:val="0073660B"/>
    <w:rsid w:val="00741404"/>
    <w:rsid w:val="007449E5"/>
    <w:rsid w:val="00747FF0"/>
    <w:rsid w:val="007612E2"/>
    <w:rsid w:val="00764D4E"/>
    <w:rsid w:val="00765A1F"/>
    <w:rsid w:val="00775B6D"/>
    <w:rsid w:val="00776D68"/>
    <w:rsid w:val="0077790E"/>
    <w:rsid w:val="007850EE"/>
    <w:rsid w:val="00785B95"/>
    <w:rsid w:val="00790AAD"/>
    <w:rsid w:val="00790E96"/>
    <w:rsid w:val="00793366"/>
    <w:rsid w:val="007971FF"/>
    <w:rsid w:val="007A4070"/>
    <w:rsid w:val="007A716F"/>
    <w:rsid w:val="007B270A"/>
    <w:rsid w:val="007C0695"/>
    <w:rsid w:val="007C419A"/>
    <w:rsid w:val="007C4CC8"/>
    <w:rsid w:val="007C5426"/>
    <w:rsid w:val="007C5798"/>
    <w:rsid w:val="007D4832"/>
    <w:rsid w:val="007E21B2"/>
    <w:rsid w:val="007E2C4E"/>
    <w:rsid w:val="007F1905"/>
    <w:rsid w:val="007F430A"/>
    <w:rsid w:val="00801300"/>
    <w:rsid w:val="00802C64"/>
    <w:rsid w:val="0080523A"/>
    <w:rsid w:val="00805E52"/>
    <w:rsid w:val="008061D0"/>
    <w:rsid w:val="00810B38"/>
    <w:rsid w:val="008124A8"/>
    <w:rsid w:val="008204C7"/>
    <w:rsid w:val="00820992"/>
    <w:rsid w:val="00823602"/>
    <w:rsid w:val="008255F5"/>
    <w:rsid w:val="0083014E"/>
    <w:rsid w:val="0083214A"/>
    <w:rsid w:val="00834220"/>
    <w:rsid w:val="00845723"/>
    <w:rsid w:val="00851EF9"/>
    <w:rsid w:val="008577FD"/>
    <w:rsid w:val="00860B03"/>
    <w:rsid w:val="0086497A"/>
    <w:rsid w:val="008713A1"/>
    <w:rsid w:val="00873D9C"/>
    <w:rsid w:val="008748BE"/>
    <w:rsid w:val="008754AB"/>
    <w:rsid w:val="00876A02"/>
    <w:rsid w:val="00876F03"/>
    <w:rsid w:val="0088060C"/>
    <w:rsid w:val="00891107"/>
    <w:rsid w:val="00893576"/>
    <w:rsid w:val="00893E73"/>
    <w:rsid w:val="00893F30"/>
    <w:rsid w:val="00895F5B"/>
    <w:rsid w:val="008B02DC"/>
    <w:rsid w:val="008B2698"/>
    <w:rsid w:val="008B57CE"/>
    <w:rsid w:val="008C26DE"/>
    <w:rsid w:val="008C42C9"/>
    <w:rsid w:val="008D2225"/>
    <w:rsid w:val="008D4752"/>
    <w:rsid w:val="008E271C"/>
    <w:rsid w:val="008E418E"/>
    <w:rsid w:val="008E5BC6"/>
    <w:rsid w:val="008E6A25"/>
    <w:rsid w:val="008E7A1B"/>
    <w:rsid w:val="008F5193"/>
    <w:rsid w:val="009013A7"/>
    <w:rsid w:val="009017FB"/>
    <w:rsid w:val="009017FC"/>
    <w:rsid w:val="009020E3"/>
    <w:rsid w:val="00902601"/>
    <w:rsid w:val="0090506B"/>
    <w:rsid w:val="009050C9"/>
    <w:rsid w:val="009066FC"/>
    <w:rsid w:val="009140A3"/>
    <w:rsid w:val="009144A2"/>
    <w:rsid w:val="0091510C"/>
    <w:rsid w:val="009259AC"/>
    <w:rsid w:val="00925BFB"/>
    <w:rsid w:val="00926F38"/>
    <w:rsid w:val="00934301"/>
    <w:rsid w:val="00936CD1"/>
    <w:rsid w:val="009375A5"/>
    <w:rsid w:val="00941747"/>
    <w:rsid w:val="00941EFB"/>
    <w:rsid w:val="00947AFB"/>
    <w:rsid w:val="00951D7D"/>
    <w:rsid w:val="00954AD6"/>
    <w:rsid w:val="009630C7"/>
    <w:rsid w:val="00972B55"/>
    <w:rsid w:val="009743B7"/>
    <w:rsid w:val="00975039"/>
    <w:rsid w:val="00977227"/>
    <w:rsid w:val="0098228B"/>
    <w:rsid w:val="009828DA"/>
    <w:rsid w:val="00985BAB"/>
    <w:rsid w:val="009B1B5F"/>
    <w:rsid w:val="009B6673"/>
    <w:rsid w:val="009C191B"/>
    <w:rsid w:val="009C2BD6"/>
    <w:rsid w:val="009D2F52"/>
    <w:rsid w:val="009E16D2"/>
    <w:rsid w:val="009E1F32"/>
    <w:rsid w:val="009E776C"/>
    <w:rsid w:val="00A00672"/>
    <w:rsid w:val="00A132AD"/>
    <w:rsid w:val="00A1726E"/>
    <w:rsid w:val="00A204CF"/>
    <w:rsid w:val="00A21624"/>
    <w:rsid w:val="00A2288A"/>
    <w:rsid w:val="00A23D49"/>
    <w:rsid w:val="00A27004"/>
    <w:rsid w:val="00A30C29"/>
    <w:rsid w:val="00A34DD6"/>
    <w:rsid w:val="00A36819"/>
    <w:rsid w:val="00A36989"/>
    <w:rsid w:val="00A43628"/>
    <w:rsid w:val="00A43AA3"/>
    <w:rsid w:val="00A4783F"/>
    <w:rsid w:val="00A54192"/>
    <w:rsid w:val="00A6035E"/>
    <w:rsid w:val="00A6144C"/>
    <w:rsid w:val="00A66617"/>
    <w:rsid w:val="00A671F8"/>
    <w:rsid w:val="00A673A4"/>
    <w:rsid w:val="00A724AE"/>
    <w:rsid w:val="00A73329"/>
    <w:rsid w:val="00A73497"/>
    <w:rsid w:val="00A75785"/>
    <w:rsid w:val="00A82359"/>
    <w:rsid w:val="00A865D2"/>
    <w:rsid w:val="00A94C20"/>
    <w:rsid w:val="00AA227F"/>
    <w:rsid w:val="00AA3BC7"/>
    <w:rsid w:val="00AA754A"/>
    <w:rsid w:val="00AB099E"/>
    <w:rsid w:val="00AB4328"/>
    <w:rsid w:val="00AB5628"/>
    <w:rsid w:val="00AC00C2"/>
    <w:rsid w:val="00AC5872"/>
    <w:rsid w:val="00AE0A2E"/>
    <w:rsid w:val="00AE354C"/>
    <w:rsid w:val="00AF4B07"/>
    <w:rsid w:val="00AF6186"/>
    <w:rsid w:val="00AF7A3A"/>
    <w:rsid w:val="00B009F4"/>
    <w:rsid w:val="00B10D4C"/>
    <w:rsid w:val="00B160DB"/>
    <w:rsid w:val="00B20836"/>
    <w:rsid w:val="00B235BB"/>
    <w:rsid w:val="00B25320"/>
    <w:rsid w:val="00B25943"/>
    <w:rsid w:val="00B25D3B"/>
    <w:rsid w:val="00B27A44"/>
    <w:rsid w:val="00B30BBF"/>
    <w:rsid w:val="00B33C03"/>
    <w:rsid w:val="00B44E56"/>
    <w:rsid w:val="00B46543"/>
    <w:rsid w:val="00B47D33"/>
    <w:rsid w:val="00B52BE0"/>
    <w:rsid w:val="00B54133"/>
    <w:rsid w:val="00B701ED"/>
    <w:rsid w:val="00B751F4"/>
    <w:rsid w:val="00B761D7"/>
    <w:rsid w:val="00B8086C"/>
    <w:rsid w:val="00B840F7"/>
    <w:rsid w:val="00B861B4"/>
    <w:rsid w:val="00B86DFE"/>
    <w:rsid w:val="00B90990"/>
    <w:rsid w:val="00B922FF"/>
    <w:rsid w:val="00B9281E"/>
    <w:rsid w:val="00B93925"/>
    <w:rsid w:val="00B95187"/>
    <w:rsid w:val="00BA2D55"/>
    <w:rsid w:val="00BA71B1"/>
    <w:rsid w:val="00BB0637"/>
    <w:rsid w:val="00BB345F"/>
    <w:rsid w:val="00BB68EA"/>
    <w:rsid w:val="00BC1C27"/>
    <w:rsid w:val="00BC1F03"/>
    <w:rsid w:val="00BC6BBF"/>
    <w:rsid w:val="00BD1572"/>
    <w:rsid w:val="00BE14E3"/>
    <w:rsid w:val="00BE3774"/>
    <w:rsid w:val="00BE41E5"/>
    <w:rsid w:val="00BF4109"/>
    <w:rsid w:val="00BF4CC3"/>
    <w:rsid w:val="00C0096E"/>
    <w:rsid w:val="00C00E59"/>
    <w:rsid w:val="00C054C7"/>
    <w:rsid w:val="00C057B5"/>
    <w:rsid w:val="00C05AB5"/>
    <w:rsid w:val="00C149F0"/>
    <w:rsid w:val="00C22687"/>
    <w:rsid w:val="00C25983"/>
    <w:rsid w:val="00C32E4D"/>
    <w:rsid w:val="00C333A0"/>
    <w:rsid w:val="00C36408"/>
    <w:rsid w:val="00C36A81"/>
    <w:rsid w:val="00C41974"/>
    <w:rsid w:val="00C45616"/>
    <w:rsid w:val="00C53F4A"/>
    <w:rsid w:val="00C54125"/>
    <w:rsid w:val="00C55B54"/>
    <w:rsid w:val="00C6098E"/>
    <w:rsid w:val="00C6152C"/>
    <w:rsid w:val="00C74810"/>
    <w:rsid w:val="00C81ACF"/>
    <w:rsid w:val="00C90D68"/>
    <w:rsid w:val="00C939FE"/>
    <w:rsid w:val="00C95AD9"/>
    <w:rsid w:val="00CA4BDA"/>
    <w:rsid w:val="00CA7C61"/>
    <w:rsid w:val="00CB1F66"/>
    <w:rsid w:val="00CB2951"/>
    <w:rsid w:val="00CC0BC9"/>
    <w:rsid w:val="00CD282B"/>
    <w:rsid w:val="00CD4C35"/>
    <w:rsid w:val="00CD7369"/>
    <w:rsid w:val="00CE0B0E"/>
    <w:rsid w:val="00CE3831"/>
    <w:rsid w:val="00D00ABB"/>
    <w:rsid w:val="00D02781"/>
    <w:rsid w:val="00D02EEC"/>
    <w:rsid w:val="00D03551"/>
    <w:rsid w:val="00D06A63"/>
    <w:rsid w:val="00D07E0E"/>
    <w:rsid w:val="00D11478"/>
    <w:rsid w:val="00D15ED0"/>
    <w:rsid w:val="00D21B3E"/>
    <w:rsid w:val="00D21C26"/>
    <w:rsid w:val="00D21FED"/>
    <w:rsid w:val="00D24251"/>
    <w:rsid w:val="00D343E2"/>
    <w:rsid w:val="00D361A2"/>
    <w:rsid w:val="00D44C2E"/>
    <w:rsid w:val="00D45414"/>
    <w:rsid w:val="00D54FF1"/>
    <w:rsid w:val="00D55E2C"/>
    <w:rsid w:val="00D566BD"/>
    <w:rsid w:val="00D57A4D"/>
    <w:rsid w:val="00D60AA7"/>
    <w:rsid w:val="00D62A67"/>
    <w:rsid w:val="00D6435F"/>
    <w:rsid w:val="00D75E28"/>
    <w:rsid w:val="00D772C2"/>
    <w:rsid w:val="00D8008E"/>
    <w:rsid w:val="00D82C45"/>
    <w:rsid w:val="00D908A8"/>
    <w:rsid w:val="00D977B6"/>
    <w:rsid w:val="00DA3634"/>
    <w:rsid w:val="00DA4A31"/>
    <w:rsid w:val="00DA7B04"/>
    <w:rsid w:val="00DB36C2"/>
    <w:rsid w:val="00DB5CBD"/>
    <w:rsid w:val="00DC169B"/>
    <w:rsid w:val="00DC2AB9"/>
    <w:rsid w:val="00DC63F0"/>
    <w:rsid w:val="00DD5382"/>
    <w:rsid w:val="00DD6EE5"/>
    <w:rsid w:val="00DE2362"/>
    <w:rsid w:val="00DE386C"/>
    <w:rsid w:val="00DE4D35"/>
    <w:rsid w:val="00DF098B"/>
    <w:rsid w:val="00DF11C4"/>
    <w:rsid w:val="00DF210C"/>
    <w:rsid w:val="00DF4B6A"/>
    <w:rsid w:val="00E02C09"/>
    <w:rsid w:val="00E04D59"/>
    <w:rsid w:val="00E07DA1"/>
    <w:rsid w:val="00E123CB"/>
    <w:rsid w:val="00E20E13"/>
    <w:rsid w:val="00E21DBC"/>
    <w:rsid w:val="00E275D7"/>
    <w:rsid w:val="00E27DBE"/>
    <w:rsid w:val="00E32AB1"/>
    <w:rsid w:val="00E36C71"/>
    <w:rsid w:val="00E40404"/>
    <w:rsid w:val="00E459C6"/>
    <w:rsid w:val="00E47589"/>
    <w:rsid w:val="00E64915"/>
    <w:rsid w:val="00E661D4"/>
    <w:rsid w:val="00E70091"/>
    <w:rsid w:val="00E720F5"/>
    <w:rsid w:val="00E76D47"/>
    <w:rsid w:val="00E849F7"/>
    <w:rsid w:val="00E90302"/>
    <w:rsid w:val="00E97396"/>
    <w:rsid w:val="00EA185E"/>
    <w:rsid w:val="00EA592A"/>
    <w:rsid w:val="00EB14E4"/>
    <w:rsid w:val="00EB182B"/>
    <w:rsid w:val="00EB32A5"/>
    <w:rsid w:val="00EB34ED"/>
    <w:rsid w:val="00EB4A37"/>
    <w:rsid w:val="00EB7BE0"/>
    <w:rsid w:val="00EC315E"/>
    <w:rsid w:val="00EC58D1"/>
    <w:rsid w:val="00ED077C"/>
    <w:rsid w:val="00ED1190"/>
    <w:rsid w:val="00ED6544"/>
    <w:rsid w:val="00EE0277"/>
    <w:rsid w:val="00EE3E00"/>
    <w:rsid w:val="00EE5DD2"/>
    <w:rsid w:val="00F00A79"/>
    <w:rsid w:val="00F00E86"/>
    <w:rsid w:val="00F07C1E"/>
    <w:rsid w:val="00F105DB"/>
    <w:rsid w:val="00F132BC"/>
    <w:rsid w:val="00F13D80"/>
    <w:rsid w:val="00F16AAA"/>
    <w:rsid w:val="00F21161"/>
    <w:rsid w:val="00F218EF"/>
    <w:rsid w:val="00F21BC7"/>
    <w:rsid w:val="00F266A2"/>
    <w:rsid w:val="00F27D13"/>
    <w:rsid w:val="00F32269"/>
    <w:rsid w:val="00F56A6F"/>
    <w:rsid w:val="00F5709C"/>
    <w:rsid w:val="00F626DA"/>
    <w:rsid w:val="00F64EF1"/>
    <w:rsid w:val="00F659F3"/>
    <w:rsid w:val="00F83589"/>
    <w:rsid w:val="00F8765F"/>
    <w:rsid w:val="00F90767"/>
    <w:rsid w:val="00F912E4"/>
    <w:rsid w:val="00F94531"/>
    <w:rsid w:val="00F9588E"/>
    <w:rsid w:val="00FA685B"/>
    <w:rsid w:val="00FB0C01"/>
    <w:rsid w:val="00FC18F2"/>
    <w:rsid w:val="00FC39E5"/>
    <w:rsid w:val="00FC3A78"/>
    <w:rsid w:val="00FD1005"/>
    <w:rsid w:val="00FD5370"/>
    <w:rsid w:val="00FD61AA"/>
    <w:rsid w:val="00FD6C75"/>
    <w:rsid w:val="00FD7649"/>
    <w:rsid w:val="00FE71B3"/>
    <w:rsid w:val="00FF42C5"/>
    <w:rsid w:val="00FF5AD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843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8"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59"/>
    <w:lsdException w:name="Table Theme" w:semiHidden="1" w:uiPriority="99"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1A7E7E"/>
    <w:rPr>
      <w:sz w:val="24"/>
      <w:szCs w:val="24"/>
      <w:lang w:val="fr-FR"/>
    </w:rPr>
  </w:style>
  <w:style w:type="paragraph" w:styleId="Heading1">
    <w:name w:val="heading 1"/>
    <w:basedOn w:val="Normal"/>
    <w:next w:val="Normal"/>
    <w:link w:val="Heading1Char"/>
    <w:uiPriority w:val="98"/>
    <w:semiHidden/>
    <w:rsid w:val="001A7E7E"/>
    <w:pPr>
      <w:spacing w:before="480"/>
      <w:contextualSpacing/>
      <w:outlineLvl w:val="0"/>
    </w:pPr>
    <w:rPr>
      <w:rFonts w:asciiTheme="majorHAnsi" w:eastAsiaTheme="majorEastAsia" w:hAnsiTheme="majorHAnsi" w:cstheme="majorBidi"/>
      <w:b/>
      <w:bCs/>
      <w:color w:val="333333"/>
      <w:sz w:val="28"/>
      <w:szCs w:val="28"/>
      <w:lang w:val="en-GB"/>
    </w:rPr>
  </w:style>
  <w:style w:type="paragraph" w:styleId="Heading2">
    <w:name w:val="heading 2"/>
    <w:basedOn w:val="Normal"/>
    <w:next w:val="Normal"/>
    <w:link w:val="Heading2Char"/>
    <w:uiPriority w:val="98"/>
    <w:semiHidden/>
    <w:rsid w:val="001A7E7E"/>
    <w:pPr>
      <w:spacing w:before="200"/>
      <w:outlineLvl w:val="1"/>
    </w:pPr>
    <w:rPr>
      <w:rFonts w:asciiTheme="majorHAnsi" w:eastAsiaTheme="majorEastAsia" w:hAnsiTheme="majorHAnsi" w:cstheme="majorBidi"/>
      <w:b/>
      <w:bCs/>
      <w:color w:val="4D4D4D"/>
      <w:sz w:val="26"/>
      <w:szCs w:val="26"/>
      <w:lang w:val="en-GB"/>
    </w:rPr>
  </w:style>
  <w:style w:type="paragraph" w:styleId="Heading3">
    <w:name w:val="heading 3"/>
    <w:basedOn w:val="Normal"/>
    <w:next w:val="Normal"/>
    <w:link w:val="Heading3Char"/>
    <w:uiPriority w:val="98"/>
    <w:semiHidden/>
    <w:rsid w:val="001A7E7E"/>
    <w:pPr>
      <w:spacing w:before="200" w:line="271" w:lineRule="auto"/>
      <w:outlineLvl w:val="2"/>
    </w:pPr>
    <w:rPr>
      <w:rFonts w:asciiTheme="majorHAnsi" w:eastAsiaTheme="majorEastAsia" w:hAnsiTheme="majorHAnsi" w:cstheme="majorBidi"/>
      <w:b/>
      <w:bCs/>
      <w:color w:val="5F5F5F"/>
      <w:sz w:val="22"/>
      <w:szCs w:val="22"/>
      <w:lang w:val="en-GB"/>
    </w:rPr>
  </w:style>
  <w:style w:type="paragraph" w:styleId="Heading4">
    <w:name w:val="heading 4"/>
    <w:basedOn w:val="Normal"/>
    <w:next w:val="Normal"/>
    <w:link w:val="Heading4Char"/>
    <w:uiPriority w:val="98"/>
    <w:semiHidden/>
    <w:rsid w:val="001A7E7E"/>
    <w:pPr>
      <w:spacing w:before="200"/>
      <w:outlineLvl w:val="3"/>
    </w:pPr>
    <w:rPr>
      <w:rFonts w:asciiTheme="majorHAnsi" w:eastAsiaTheme="majorEastAsia" w:hAnsiTheme="majorHAnsi" w:cstheme="majorBidi"/>
      <w:b/>
      <w:bCs/>
      <w:i/>
      <w:iCs/>
      <w:color w:val="777777"/>
      <w:sz w:val="22"/>
      <w:szCs w:val="22"/>
      <w:lang w:val="en-GB"/>
    </w:rPr>
  </w:style>
  <w:style w:type="paragraph" w:styleId="Heading5">
    <w:name w:val="heading 5"/>
    <w:basedOn w:val="Normal"/>
    <w:next w:val="Normal"/>
    <w:link w:val="Heading5Char"/>
    <w:uiPriority w:val="98"/>
    <w:semiHidden/>
    <w:qFormat/>
    <w:rsid w:val="001A7E7E"/>
    <w:pPr>
      <w:spacing w:before="200"/>
      <w:outlineLvl w:val="4"/>
    </w:pPr>
    <w:rPr>
      <w:rFonts w:asciiTheme="majorHAnsi" w:eastAsiaTheme="majorEastAsia" w:hAnsiTheme="majorHAnsi" w:cstheme="majorBidi"/>
      <w:b/>
      <w:bCs/>
      <w:color w:val="808080"/>
      <w:sz w:val="22"/>
      <w:szCs w:val="22"/>
      <w:lang w:val="en-GB"/>
    </w:rPr>
  </w:style>
  <w:style w:type="paragraph" w:styleId="Heading6">
    <w:name w:val="heading 6"/>
    <w:basedOn w:val="Normal"/>
    <w:next w:val="Normal"/>
    <w:link w:val="Heading6Char"/>
    <w:uiPriority w:val="98"/>
    <w:semiHidden/>
    <w:rsid w:val="001A7E7E"/>
    <w:pPr>
      <w:spacing w:line="271" w:lineRule="auto"/>
      <w:outlineLvl w:val="5"/>
    </w:pPr>
    <w:rPr>
      <w:rFonts w:asciiTheme="majorHAnsi" w:eastAsiaTheme="majorEastAsia" w:hAnsiTheme="majorHAnsi" w:cstheme="majorBidi"/>
      <w:b/>
      <w:bCs/>
      <w:i/>
      <w:iCs/>
      <w:color w:val="7F7F7F" w:themeColor="text1" w:themeTint="80"/>
      <w:sz w:val="22"/>
      <w:szCs w:val="22"/>
      <w:lang w:val="en-GB" w:bidi="en-US"/>
    </w:rPr>
  </w:style>
  <w:style w:type="paragraph" w:styleId="Heading7">
    <w:name w:val="heading 7"/>
    <w:basedOn w:val="Normal"/>
    <w:next w:val="Normal"/>
    <w:link w:val="Heading7Char"/>
    <w:uiPriority w:val="98"/>
    <w:semiHidden/>
    <w:qFormat/>
    <w:rsid w:val="001A7E7E"/>
    <w:pPr>
      <w:outlineLvl w:val="6"/>
    </w:pPr>
    <w:rPr>
      <w:rFonts w:asciiTheme="majorHAnsi" w:eastAsiaTheme="majorEastAsia" w:hAnsiTheme="majorHAnsi" w:cstheme="majorBidi"/>
      <w:i/>
      <w:iCs/>
      <w:sz w:val="22"/>
      <w:szCs w:val="22"/>
      <w:lang w:val="en-GB" w:bidi="en-US"/>
    </w:rPr>
  </w:style>
  <w:style w:type="paragraph" w:styleId="Heading8">
    <w:name w:val="heading 8"/>
    <w:basedOn w:val="Normal"/>
    <w:next w:val="Normal"/>
    <w:link w:val="Heading8Char"/>
    <w:uiPriority w:val="98"/>
    <w:semiHidden/>
    <w:qFormat/>
    <w:rsid w:val="001A7E7E"/>
    <w:pPr>
      <w:outlineLvl w:val="7"/>
    </w:pPr>
    <w:rPr>
      <w:rFonts w:asciiTheme="majorHAnsi" w:eastAsiaTheme="majorEastAsia" w:hAnsiTheme="majorHAnsi" w:cstheme="majorBidi"/>
      <w:sz w:val="20"/>
      <w:szCs w:val="20"/>
      <w:lang w:val="en-GB" w:bidi="en-US"/>
    </w:rPr>
  </w:style>
  <w:style w:type="paragraph" w:styleId="Heading9">
    <w:name w:val="heading 9"/>
    <w:basedOn w:val="Normal"/>
    <w:next w:val="Normal"/>
    <w:link w:val="Heading9Char"/>
    <w:uiPriority w:val="98"/>
    <w:semiHidden/>
    <w:qFormat/>
    <w:rsid w:val="001A7E7E"/>
    <w:pPr>
      <w:outlineLvl w:val="8"/>
    </w:pPr>
    <w:rPr>
      <w:rFonts w:asciiTheme="majorHAnsi" w:eastAsiaTheme="majorEastAsia" w:hAnsiTheme="majorHAnsi" w:cstheme="majorBidi"/>
      <w:i/>
      <w:iCs/>
      <w:spacing w:val="5"/>
      <w:sz w:val="20"/>
      <w:szCs w:val="20"/>
      <w:lang w:val="en-GB"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8"/>
    <w:semiHidden/>
    <w:rsid w:val="001A7E7E"/>
    <w:rPr>
      <w:rFonts w:ascii="Tahoma" w:hAnsi="Tahoma" w:cs="Tahoma"/>
      <w:sz w:val="16"/>
      <w:szCs w:val="16"/>
    </w:rPr>
  </w:style>
  <w:style w:type="character" w:customStyle="1" w:styleId="BalloonTextChar">
    <w:name w:val="Balloon Text Char"/>
    <w:basedOn w:val="DefaultParagraphFont"/>
    <w:link w:val="BalloonText"/>
    <w:uiPriority w:val="98"/>
    <w:semiHidden/>
    <w:rsid w:val="001A7E7E"/>
    <w:rPr>
      <w:rFonts w:ascii="Tahoma" w:hAnsi="Tahoma" w:cs="Tahoma"/>
      <w:sz w:val="16"/>
      <w:szCs w:val="16"/>
      <w:lang w:val="fr-FR"/>
    </w:rPr>
  </w:style>
  <w:style w:type="character" w:styleId="BookTitle">
    <w:name w:val="Book Title"/>
    <w:uiPriority w:val="98"/>
    <w:semiHidden/>
    <w:qFormat/>
    <w:rsid w:val="001A7E7E"/>
    <w:rPr>
      <w:i/>
      <w:iCs/>
      <w:smallCaps/>
      <w:spacing w:val="5"/>
    </w:rPr>
  </w:style>
  <w:style w:type="paragraph" w:customStyle="1" w:styleId="JuHeader">
    <w:name w:val="Ju_Header"/>
    <w:aliases w:val="_Header"/>
    <w:basedOn w:val="Header"/>
    <w:uiPriority w:val="29"/>
    <w:qFormat/>
    <w:rsid w:val="001A7E7E"/>
    <w:pPr>
      <w:tabs>
        <w:tab w:val="clear" w:pos="4536"/>
        <w:tab w:val="clear" w:pos="9072"/>
      </w:tabs>
      <w:jc w:val="center"/>
    </w:pPr>
    <w:rPr>
      <w:sz w:val="18"/>
    </w:rPr>
  </w:style>
  <w:style w:type="paragraph" w:customStyle="1" w:styleId="DecList">
    <w:name w:val="Dec_List"/>
    <w:aliases w:val="_List"/>
    <w:basedOn w:val="JuList"/>
    <w:uiPriority w:val="22"/>
    <w:rsid w:val="001A7E7E"/>
    <w:pPr>
      <w:numPr>
        <w:numId w:val="0"/>
      </w:numPr>
      <w:ind w:left="284"/>
    </w:pPr>
  </w:style>
  <w:style w:type="character" w:styleId="Strong">
    <w:name w:val="Strong"/>
    <w:uiPriority w:val="98"/>
    <w:semiHidden/>
    <w:qFormat/>
    <w:rsid w:val="001A7E7E"/>
    <w:rPr>
      <w:b/>
      <w:bCs/>
    </w:rPr>
  </w:style>
  <w:style w:type="paragraph" w:styleId="NoSpacing">
    <w:name w:val="No Spacing"/>
    <w:basedOn w:val="Normal"/>
    <w:link w:val="NoSpacingChar"/>
    <w:uiPriority w:val="98"/>
    <w:semiHidden/>
    <w:qFormat/>
    <w:rsid w:val="001A7E7E"/>
  </w:style>
  <w:style w:type="character" w:customStyle="1" w:styleId="NoSpacingChar">
    <w:name w:val="No Spacing Char"/>
    <w:basedOn w:val="DefaultParagraphFont"/>
    <w:link w:val="NoSpacing"/>
    <w:uiPriority w:val="98"/>
    <w:semiHidden/>
    <w:rsid w:val="001A7E7E"/>
    <w:rPr>
      <w:sz w:val="24"/>
      <w:szCs w:val="24"/>
      <w:lang w:val="fr-FR"/>
    </w:rPr>
  </w:style>
  <w:style w:type="paragraph" w:customStyle="1" w:styleId="JuQuot">
    <w:name w:val="Ju_Quot"/>
    <w:aliases w:val="_Quote"/>
    <w:basedOn w:val="NormalJustified"/>
    <w:uiPriority w:val="20"/>
    <w:qFormat/>
    <w:rsid w:val="001A7E7E"/>
    <w:pPr>
      <w:spacing w:before="120" w:after="120"/>
      <w:ind w:left="425" w:firstLine="142"/>
    </w:pPr>
    <w:rPr>
      <w:sz w:val="20"/>
    </w:rPr>
  </w:style>
  <w:style w:type="paragraph" w:customStyle="1" w:styleId="JuList">
    <w:name w:val="Ju_List"/>
    <w:aliases w:val="_List_1"/>
    <w:basedOn w:val="NormalJustified"/>
    <w:uiPriority w:val="23"/>
    <w:qFormat/>
    <w:rsid w:val="001A7E7E"/>
    <w:pPr>
      <w:numPr>
        <w:numId w:val="8"/>
      </w:numPr>
      <w:spacing w:before="280" w:after="60"/>
    </w:pPr>
  </w:style>
  <w:style w:type="paragraph" w:customStyle="1" w:styleId="JuLista">
    <w:name w:val="Ju_List_a"/>
    <w:aliases w:val="_List_2"/>
    <w:basedOn w:val="NormalJustified"/>
    <w:uiPriority w:val="23"/>
    <w:rsid w:val="001A7E7E"/>
    <w:pPr>
      <w:numPr>
        <w:ilvl w:val="1"/>
        <w:numId w:val="8"/>
      </w:numPr>
    </w:pPr>
  </w:style>
  <w:style w:type="paragraph" w:customStyle="1" w:styleId="JuListi">
    <w:name w:val="Ju_List_i"/>
    <w:aliases w:val="_List_3"/>
    <w:basedOn w:val="NormalJustified"/>
    <w:uiPriority w:val="23"/>
    <w:rsid w:val="001A7E7E"/>
    <w:pPr>
      <w:numPr>
        <w:ilvl w:val="2"/>
        <w:numId w:val="8"/>
      </w:numPr>
    </w:pPr>
  </w:style>
  <w:style w:type="paragraph" w:customStyle="1" w:styleId="DecHTitle">
    <w:name w:val="Dec_H_Title"/>
    <w:aliases w:val="_Title_1"/>
    <w:basedOn w:val="JuPara"/>
    <w:next w:val="JuPara"/>
    <w:uiPriority w:val="38"/>
    <w:qFormat/>
    <w:rsid w:val="001A7E7E"/>
    <w:pPr>
      <w:keepNext/>
      <w:keepLines/>
      <w:spacing w:after="240"/>
      <w:ind w:firstLine="0"/>
      <w:jc w:val="center"/>
      <w:outlineLvl w:val="0"/>
    </w:pPr>
    <w:rPr>
      <w:rFonts w:asciiTheme="majorHAnsi" w:hAnsiTheme="majorHAnsi"/>
      <w:sz w:val="28"/>
    </w:rPr>
  </w:style>
  <w:style w:type="paragraph" w:customStyle="1" w:styleId="JuHArticle">
    <w:name w:val="Ju_H_Article"/>
    <w:aliases w:val="_Title_Quote"/>
    <w:basedOn w:val="Normal"/>
    <w:next w:val="JuQuot"/>
    <w:uiPriority w:val="19"/>
    <w:qFormat/>
    <w:rsid w:val="001A7E7E"/>
    <w:pPr>
      <w:keepNext/>
      <w:spacing w:before="100" w:beforeAutospacing="1" w:after="120"/>
      <w:contextualSpacing/>
      <w:jc w:val="center"/>
    </w:pPr>
    <w:rPr>
      <w:b/>
      <w:sz w:val="20"/>
    </w:rPr>
  </w:style>
  <w:style w:type="paragraph" w:customStyle="1" w:styleId="ECHRCoverTitle4">
    <w:name w:val="ECHR_Cover_Title_4"/>
    <w:aliases w:val="_Title_4"/>
    <w:basedOn w:val="JuPara"/>
    <w:next w:val="JuPara"/>
    <w:uiPriority w:val="38"/>
    <w:qFormat/>
    <w:rsid w:val="001A7E7E"/>
    <w:pPr>
      <w:keepNext/>
      <w:keepLines/>
      <w:tabs>
        <w:tab w:val="right" w:pos="7938"/>
      </w:tabs>
      <w:ind w:firstLine="0"/>
      <w:jc w:val="center"/>
    </w:pPr>
    <w:rPr>
      <w:i/>
    </w:rPr>
  </w:style>
  <w:style w:type="numbering" w:customStyle="1" w:styleId="ECHRA1StyleBulletedSquare">
    <w:name w:val="ECHR_A1_Style_Bulleted_Square"/>
    <w:basedOn w:val="NoList"/>
    <w:rsid w:val="001A7E7E"/>
    <w:pPr>
      <w:numPr>
        <w:numId w:val="7"/>
      </w:numPr>
    </w:pPr>
  </w:style>
  <w:style w:type="paragraph" w:customStyle="1" w:styleId="JuHHead">
    <w:name w:val="Ju_H_Head"/>
    <w:aliases w:val="_Head_1"/>
    <w:basedOn w:val="Heading1"/>
    <w:next w:val="JuPara"/>
    <w:uiPriority w:val="17"/>
    <w:qFormat/>
    <w:rsid w:val="001A7E7E"/>
    <w:pPr>
      <w:keepNext/>
      <w:keepLines/>
      <w:numPr>
        <w:numId w:val="3"/>
      </w:numPr>
      <w:spacing w:before="100" w:beforeAutospacing="1" w:after="240"/>
      <w:contextualSpacing w:val="0"/>
    </w:pPr>
    <w:rPr>
      <w:b w:val="0"/>
      <w:caps/>
      <w:color w:val="auto"/>
    </w:rPr>
  </w:style>
  <w:style w:type="numbering" w:customStyle="1" w:styleId="ECHRA1StyleList">
    <w:name w:val="ECHR_A1_Style_List"/>
    <w:basedOn w:val="NoList"/>
    <w:uiPriority w:val="99"/>
    <w:rsid w:val="001A7E7E"/>
    <w:pPr>
      <w:numPr>
        <w:numId w:val="8"/>
      </w:numPr>
    </w:pPr>
  </w:style>
  <w:style w:type="paragraph" w:customStyle="1" w:styleId="JuSigned">
    <w:name w:val="Ju_Signed"/>
    <w:aliases w:val="_Signature"/>
    <w:basedOn w:val="Normal"/>
    <w:next w:val="JuPara"/>
    <w:uiPriority w:val="31"/>
    <w:qFormat/>
    <w:rsid w:val="001A7E7E"/>
    <w:pPr>
      <w:tabs>
        <w:tab w:val="center" w:pos="851"/>
        <w:tab w:val="center" w:pos="6407"/>
      </w:tabs>
      <w:spacing w:before="720"/>
    </w:pPr>
  </w:style>
  <w:style w:type="paragraph" w:styleId="Title">
    <w:name w:val="Title"/>
    <w:basedOn w:val="Normal"/>
    <w:next w:val="Normal"/>
    <w:link w:val="TitleChar"/>
    <w:uiPriority w:val="98"/>
    <w:semiHidden/>
    <w:qFormat/>
    <w:rsid w:val="001A7E7E"/>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8"/>
    <w:semiHidden/>
    <w:rsid w:val="001A7E7E"/>
    <w:rPr>
      <w:rFonts w:asciiTheme="majorHAnsi" w:eastAsiaTheme="majorEastAsia" w:hAnsiTheme="majorHAnsi" w:cstheme="majorBidi"/>
      <w:spacing w:val="5"/>
      <w:sz w:val="52"/>
      <w:szCs w:val="52"/>
      <w:lang w:val="fr-FR" w:bidi="en-US"/>
    </w:rPr>
  </w:style>
  <w:style w:type="numbering" w:customStyle="1" w:styleId="ECHRA1StyleNumberedList">
    <w:name w:val="ECHR_A1_Style_Numbered_List"/>
    <w:basedOn w:val="NoList"/>
    <w:rsid w:val="001A7E7E"/>
    <w:pPr>
      <w:numPr>
        <w:numId w:val="9"/>
      </w:numPr>
    </w:pPr>
  </w:style>
  <w:style w:type="table" w:customStyle="1" w:styleId="ECHRTable2019">
    <w:name w:val="ECHR_Table_2019"/>
    <w:basedOn w:val="TableNormal"/>
    <w:uiPriority w:val="99"/>
    <w:rsid w:val="001A7E7E"/>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auto"/>
        <w:sz w:val="22"/>
      </w:rPr>
      <w:tblPr/>
      <w:tcPr>
        <w:shd w:val="clear" w:color="auto" w:fill="DFDFDF" w:themeFill="accent3" w:themeFillTint="3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band2Horz">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l2br w:val="nil"/>
          <w:tr2bl w:val="nil"/>
        </w:tcBorders>
        <w:shd w:val="clear" w:color="auto" w:fill="F3F3F3" w:themeFill="text2" w:themeFillTint="33"/>
      </w:tcPr>
    </w:tblStylePr>
  </w:style>
  <w:style w:type="paragraph" w:customStyle="1" w:styleId="Footer">
    <w:name w:val="_Footer"/>
    <w:aliases w:val="Footer_"/>
    <w:basedOn w:val="Footer0"/>
    <w:uiPriority w:val="57"/>
    <w:semiHidden/>
    <w:rsid w:val="001A7E7E"/>
    <w:rPr>
      <w:sz w:val="8"/>
    </w:rPr>
  </w:style>
  <w:style w:type="paragraph" w:customStyle="1" w:styleId="JuCourt">
    <w:name w:val="Ju_Court"/>
    <w:aliases w:val="_Court_Names"/>
    <w:basedOn w:val="Normal"/>
    <w:next w:val="Normal"/>
    <w:uiPriority w:val="32"/>
    <w:qFormat/>
    <w:rsid w:val="001A7E7E"/>
    <w:pPr>
      <w:tabs>
        <w:tab w:val="left" w:pos="907"/>
        <w:tab w:val="left" w:pos="1701"/>
        <w:tab w:val="right" w:pos="7371"/>
      </w:tabs>
      <w:spacing w:before="240"/>
      <w:ind w:left="397" w:hanging="397"/>
    </w:pPr>
    <w:rPr>
      <w:lang w:bidi="en-US"/>
    </w:rPr>
  </w:style>
  <w:style w:type="paragraph" w:customStyle="1" w:styleId="JuInitialled">
    <w:name w:val="Ju_Initialled"/>
    <w:aliases w:val="_Right"/>
    <w:basedOn w:val="Normal"/>
    <w:uiPriority w:val="31"/>
    <w:qFormat/>
    <w:rsid w:val="001A7E7E"/>
    <w:pPr>
      <w:tabs>
        <w:tab w:val="center" w:pos="6407"/>
      </w:tabs>
      <w:spacing w:before="720"/>
      <w:jc w:val="right"/>
    </w:pPr>
  </w:style>
  <w:style w:type="paragraph" w:customStyle="1" w:styleId="JuHIRoman">
    <w:name w:val="Ju_H_I_Roman"/>
    <w:aliases w:val="_Head_2"/>
    <w:basedOn w:val="Heading2"/>
    <w:next w:val="JuPara"/>
    <w:uiPriority w:val="17"/>
    <w:qFormat/>
    <w:rsid w:val="001A7E7E"/>
    <w:pPr>
      <w:keepNext/>
      <w:keepLines/>
      <w:numPr>
        <w:ilvl w:val="1"/>
        <w:numId w:val="3"/>
      </w:numPr>
      <w:spacing w:before="100" w:beforeAutospacing="1" w:after="240"/>
    </w:pPr>
    <w:rPr>
      <w:b w:val="0"/>
      <w:caps/>
      <w:color w:val="auto"/>
      <w:sz w:val="24"/>
    </w:rPr>
  </w:style>
  <w:style w:type="paragraph" w:customStyle="1" w:styleId="JuHA">
    <w:name w:val="Ju_H_A"/>
    <w:aliases w:val="_Head_3"/>
    <w:basedOn w:val="Heading3"/>
    <w:next w:val="JuPara"/>
    <w:uiPriority w:val="17"/>
    <w:qFormat/>
    <w:rsid w:val="001A7E7E"/>
    <w:pPr>
      <w:keepNext/>
      <w:keepLines/>
      <w:numPr>
        <w:ilvl w:val="2"/>
        <w:numId w:val="3"/>
      </w:numPr>
      <w:spacing w:before="100" w:beforeAutospacing="1" w:after="240" w:line="240" w:lineRule="auto"/>
    </w:pPr>
    <w:rPr>
      <w:color w:val="auto"/>
      <w:sz w:val="24"/>
    </w:rPr>
  </w:style>
  <w:style w:type="paragraph" w:customStyle="1" w:styleId="JuH1">
    <w:name w:val="Ju_H_1."/>
    <w:aliases w:val="_Head_4"/>
    <w:basedOn w:val="Heading4"/>
    <w:next w:val="JuPara"/>
    <w:uiPriority w:val="17"/>
    <w:rsid w:val="001A7E7E"/>
    <w:pPr>
      <w:keepNext/>
      <w:keepLines/>
      <w:numPr>
        <w:ilvl w:val="3"/>
        <w:numId w:val="3"/>
      </w:numPr>
      <w:spacing w:before="100" w:beforeAutospacing="1" w:after="120"/>
    </w:pPr>
    <w:rPr>
      <w:b w:val="0"/>
      <w:color w:val="auto"/>
      <w:sz w:val="24"/>
    </w:rPr>
  </w:style>
  <w:style w:type="paragraph" w:styleId="Header">
    <w:name w:val="header"/>
    <w:basedOn w:val="Normal"/>
    <w:link w:val="HeaderChar"/>
    <w:uiPriority w:val="98"/>
    <w:semiHidden/>
    <w:rsid w:val="001A7E7E"/>
    <w:pPr>
      <w:tabs>
        <w:tab w:val="center" w:pos="4536"/>
        <w:tab w:val="right" w:pos="9072"/>
      </w:tabs>
    </w:pPr>
  </w:style>
  <w:style w:type="character" w:customStyle="1" w:styleId="HeaderChar">
    <w:name w:val="Header Char"/>
    <w:basedOn w:val="DefaultParagraphFont"/>
    <w:link w:val="Header"/>
    <w:uiPriority w:val="98"/>
    <w:semiHidden/>
    <w:rsid w:val="001A7E7E"/>
    <w:rPr>
      <w:sz w:val="24"/>
      <w:szCs w:val="24"/>
      <w:lang w:val="fr-FR"/>
    </w:rPr>
  </w:style>
  <w:style w:type="character" w:customStyle="1" w:styleId="Heading1Char">
    <w:name w:val="Heading 1 Char"/>
    <w:basedOn w:val="DefaultParagraphFont"/>
    <w:link w:val="Heading1"/>
    <w:uiPriority w:val="98"/>
    <w:semiHidden/>
    <w:rsid w:val="001A7E7E"/>
    <w:rPr>
      <w:rFonts w:asciiTheme="majorHAnsi" w:eastAsiaTheme="majorEastAsia" w:hAnsiTheme="majorHAnsi" w:cstheme="majorBidi"/>
      <w:b/>
      <w:bCs/>
      <w:color w:val="333333"/>
      <w:sz w:val="28"/>
      <w:szCs w:val="28"/>
      <w:lang w:val="en-GB"/>
    </w:rPr>
  </w:style>
  <w:style w:type="paragraph" w:customStyle="1" w:styleId="JuHa0">
    <w:name w:val="Ju_H_a"/>
    <w:aliases w:val="_Head_5"/>
    <w:basedOn w:val="Heading5"/>
    <w:next w:val="JuPara"/>
    <w:uiPriority w:val="17"/>
    <w:rsid w:val="001A7E7E"/>
    <w:pPr>
      <w:keepNext/>
      <w:keepLines/>
      <w:numPr>
        <w:ilvl w:val="4"/>
        <w:numId w:val="3"/>
      </w:numPr>
      <w:spacing w:before="100" w:beforeAutospacing="1" w:after="120"/>
    </w:pPr>
    <w:rPr>
      <w:color w:val="auto"/>
      <w:sz w:val="20"/>
    </w:rPr>
  </w:style>
  <w:style w:type="paragraph" w:customStyle="1" w:styleId="JuHi">
    <w:name w:val="Ju_H_i"/>
    <w:aliases w:val="_Head_6"/>
    <w:basedOn w:val="Heading6"/>
    <w:next w:val="JuPara"/>
    <w:uiPriority w:val="17"/>
    <w:rsid w:val="001A7E7E"/>
    <w:pPr>
      <w:keepNext/>
      <w:keepLines/>
      <w:numPr>
        <w:ilvl w:val="5"/>
        <w:numId w:val="3"/>
      </w:numPr>
      <w:spacing w:before="100" w:beforeAutospacing="1" w:after="120"/>
    </w:pPr>
    <w:rPr>
      <w:b w:val="0"/>
      <w:color w:val="auto"/>
      <w:sz w:val="20"/>
    </w:rPr>
  </w:style>
  <w:style w:type="character" w:customStyle="1" w:styleId="Heading2Char">
    <w:name w:val="Heading 2 Char"/>
    <w:basedOn w:val="DefaultParagraphFont"/>
    <w:link w:val="Heading2"/>
    <w:uiPriority w:val="98"/>
    <w:semiHidden/>
    <w:rsid w:val="001A7E7E"/>
    <w:rPr>
      <w:rFonts w:asciiTheme="majorHAnsi" w:eastAsiaTheme="majorEastAsia" w:hAnsiTheme="majorHAnsi" w:cstheme="majorBidi"/>
      <w:b/>
      <w:bCs/>
      <w:color w:val="4D4D4D"/>
      <w:sz w:val="26"/>
      <w:szCs w:val="26"/>
      <w:lang w:val="en-GB"/>
    </w:rPr>
  </w:style>
  <w:style w:type="paragraph" w:customStyle="1" w:styleId="JuHalpha">
    <w:name w:val="Ju_H_alpha"/>
    <w:aliases w:val="_Head_7"/>
    <w:basedOn w:val="Heading7"/>
    <w:next w:val="JuPara"/>
    <w:uiPriority w:val="17"/>
    <w:rsid w:val="001A7E7E"/>
    <w:pPr>
      <w:keepNext/>
      <w:keepLines/>
      <w:numPr>
        <w:ilvl w:val="6"/>
        <w:numId w:val="3"/>
      </w:numPr>
      <w:spacing w:before="100" w:beforeAutospacing="1" w:after="120"/>
    </w:pPr>
    <w:rPr>
      <w:i w:val="0"/>
      <w:sz w:val="20"/>
    </w:rPr>
  </w:style>
  <w:style w:type="paragraph" w:customStyle="1" w:styleId="JuH">
    <w:name w:val="Ju_H_–"/>
    <w:aliases w:val="_Head_8"/>
    <w:basedOn w:val="Heading8"/>
    <w:next w:val="JuPara"/>
    <w:uiPriority w:val="17"/>
    <w:rsid w:val="001A7E7E"/>
    <w:pPr>
      <w:keepNext/>
      <w:keepLines/>
      <w:numPr>
        <w:ilvl w:val="7"/>
        <w:numId w:val="3"/>
      </w:numPr>
      <w:spacing w:before="100" w:beforeAutospacing="1" w:after="120"/>
    </w:pPr>
    <w:rPr>
      <w:i/>
    </w:rPr>
  </w:style>
  <w:style w:type="character" w:customStyle="1" w:styleId="Heading3Char">
    <w:name w:val="Heading 3 Char"/>
    <w:basedOn w:val="DefaultParagraphFont"/>
    <w:link w:val="Heading3"/>
    <w:uiPriority w:val="98"/>
    <w:semiHidden/>
    <w:rsid w:val="001A7E7E"/>
    <w:rPr>
      <w:rFonts w:asciiTheme="majorHAnsi" w:eastAsiaTheme="majorEastAsia" w:hAnsiTheme="majorHAnsi" w:cstheme="majorBidi"/>
      <w:b/>
      <w:bCs/>
      <w:color w:val="5F5F5F"/>
      <w:lang w:val="en-GB"/>
    </w:rPr>
  </w:style>
  <w:style w:type="paragraph" w:customStyle="1" w:styleId="JuParaLast">
    <w:name w:val="Ju_Para_Last"/>
    <w:aliases w:val="_Para_Spaced"/>
    <w:basedOn w:val="NormalJustified"/>
    <w:uiPriority w:val="5"/>
    <w:qFormat/>
    <w:rsid w:val="001A7E7E"/>
    <w:pPr>
      <w:keepNext/>
      <w:keepLines/>
      <w:spacing w:before="240" w:after="240"/>
      <w:ind w:firstLine="284"/>
    </w:pPr>
  </w:style>
  <w:style w:type="paragraph" w:customStyle="1" w:styleId="JuJudges">
    <w:name w:val="Ju_Judges"/>
    <w:aliases w:val="_Judges"/>
    <w:basedOn w:val="Normal"/>
    <w:uiPriority w:val="32"/>
    <w:qFormat/>
    <w:rsid w:val="001A7E7E"/>
    <w:pPr>
      <w:tabs>
        <w:tab w:val="left" w:pos="567"/>
        <w:tab w:val="left" w:pos="1134"/>
      </w:tabs>
    </w:pPr>
  </w:style>
  <w:style w:type="character" w:customStyle="1" w:styleId="Heading4Char">
    <w:name w:val="Heading 4 Char"/>
    <w:basedOn w:val="DefaultParagraphFont"/>
    <w:link w:val="Heading4"/>
    <w:uiPriority w:val="98"/>
    <w:semiHidden/>
    <w:rsid w:val="001A7E7E"/>
    <w:rPr>
      <w:rFonts w:asciiTheme="majorHAnsi" w:eastAsiaTheme="majorEastAsia" w:hAnsiTheme="majorHAnsi" w:cstheme="majorBidi"/>
      <w:b/>
      <w:bCs/>
      <w:i/>
      <w:iCs/>
      <w:color w:val="777777"/>
      <w:lang w:val="en-GB"/>
    </w:rPr>
  </w:style>
  <w:style w:type="character" w:customStyle="1" w:styleId="JuITMark">
    <w:name w:val="Ju_ITMark"/>
    <w:aliases w:val="_ITMark"/>
    <w:basedOn w:val="DefaultParagraphFont"/>
    <w:uiPriority w:val="43"/>
    <w:qFormat/>
    <w:rsid w:val="001A7E7E"/>
    <w:rPr>
      <w:vanish w:val="0"/>
      <w:color w:val="auto"/>
      <w:sz w:val="14"/>
      <w:bdr w:val="none" w:sz="0" w:space="0" w:color="auto"/>
      <w:shd w:val="clear" w:color="auto" w:fill="BEE5FF" w:themeFill="background1" w:themeFillTint="33"/>
    </w:rPr>
  </w:style>
  <w:style w:type="character" w:customStyle="1" w:styleId="Heading5Char">
    <w:name w:val="Heading 5 Char"/>
    <w:basedOn w:val="DefaultParagraphFont"/>
    <w:link w:val="Heading5"/>
    <w:uiPriority w:val="98"/>
    <w:semiHidden/>
    <w:rsid w:val="001A7E7E"/>
    <w:rPr>
      <w:rFonts w:asciiTheme="majorHAnsi" w:eastAsiaTheme="majorEastAsia" w:hAnsiTheme="majorHAnsi" w:cstheme="majorBidi"/>
      <w:b/>
      <w:bCs/>
      <w:color w:val="808080"/>
      <w:lang w:val="en-GB"/>
    </w:rPr>
  </w:style>
  <w:style w:type="character" w:customStyle="1" w:styleId="JUNAMES">
    <w:name w:val="JU_NAMES"/>
    <w:aliases w:val="_Ju_Names"/>
    <w:uiPriority w:val="33"/>
    <w:qFormat/>
    <w:rsid w:val="001A7E7E"/>
    <w:rPr>
      <w:caps w:val="0"/>
      <w:smallCaps/>
    </w:rPr>
  </w:style>
  <w:style w:type="paragraph" w:customStyle="1" w:styleId="NormalJustified">
    <w:name w:val="Normal_Justified"/>
    <w:basedOn w:val="Normal"/>
    <w:semiHidden/>
    <w:rsid w:val="001A7E7E"/>
    <w:pPr>
      <w:jc w:val="both"/>
    </w:pPr>
  </w:style>
  <w:style w:type="character" w:styleId="SubtleEmphasis">
    <w:name w:val="Subtle Emphasis"/>
    <w:uiPriority w:val="98"/>
    <w:semiHidden/>
    <w:qFormat/>
    <w:rsid w:val="001A7E7E"/>
    <w:rPr>
      <w:i/>
      <w:iCs/>
    </w:rPr>
  </w:style>
  <w:style w:type="table" w:customStyle="1" w:styleId="ECHRTable">
    <w:name w:val="ECHR_Table"/>
    <w:basedOn w:val="TableNormal"/>
    <w:rsid w:val="001A7E7E"/>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1A7E7E"/>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character" w:styleId="Emphasis">
    <w:name w:val="Emphasis"/>
    <w:uiPriority w:val="98"/>
    <w:semiHidden/>
    <w:qFormat/>
    <w:rsid w:val="001A7E7E"/>
    <w:rPr>
      <w:b/>
      <w:bCs/>
      <w:i/>
      <w:iCs/>
      <w:spacing w:val="10"/>
      <w:bdr w:val="none" w:sz="0" w:space="0" w:color="auto"/>
      <w:shd w:val="clear" w:color="auto" w:fill="auto"/>
    </w:rPr>
  </w:style>
  <w:style w:type="paragraph" w:styleId="Footer0">
    <w:name w:val="footer"/>
    <w:basedOn w:val="Normal"/>
    <w:link w:val="FooterChar"/>
    <w:uiPriority w:val="98"/>
    <w:semiHidden/>
    <w:rsid w:val="001A7E7E"/>
    <w:pPr>
      <w:tabs>
        <w:tab w:val="center" w:pos="3686"/>
        <w:tab w:val="right" w:pos="7371"/>
      </w:tabs>
    </w:pPr>
  </w:style>
  <w:style w:type="character" w:customStyle="1" w:styleId="FooterChar">
    <w:name w:val="Footer Char"/>
    <w:basedOn w:val="DefaultParagraphFont"/>
    <w:link w:val="Footer0"/>
    <w:uiPriority w:val="98"/>
    <w:semiHidden/>
    <w:rsid w:val="001A7E7E"/>
    <w:rPr>
      <w:sz w:val="24"/>
      <w:szCs w:val="24"/>
      <w:lang w:val="fr-FR"/>
    </w:rPr>
  </w:style>
  <w:style w:type="character" w:styleId="FootnoteReference">
    <w:name w:val="footnote reference"/>
    <w:basedOn w:val="DefaultParagraphFont"/>
    <w:uiPriority w:val="98"/>
    <w:semiHidden/>
    <w:rsid w:val="001A7E7E"/>
    <w:rPr>
      <w:vertAlign w:val="superscript"/>
    </w:rPr>
  </w:style>
  <w:style w:type="paragraph" w:styleId="FootnoteText">
    <w:name w:val="footnote text"/>
    <w:basedOn w:val="Normal"/>
    <w:link w:val="FootnoteTextChar"/>
    <w:uiPriority w:val="98"/>
    <w:semiHidden/>
    <w:rsid w:val="001A7E7E"/>
    <w:rPr>
      <w:sz w:val="20"/>
      <w:szCs w:val="20"/>
    </w:rPr>
  </w:style>
  <w:style w:type="character" w:customStyle="1" w:styleId="FootnoteTextChar">
    <w:name w:val="Footnote Text Char"/>
    <w:basedOn w:val="DefaultParagraphFont"/>
    <w:link w:val="FootnoteText"/>
    <w:uiPriority w:val="98"/>
    <w:semiHidden/>
    <w:rsid w:val="001A7E7E"/>
    <w:rPr>
      <w:sz w:val="20"/>
      <w:szCs w:val="20"/>
      <w:lang w:val="fr-FR"/>
    </w:rPr>
  </w:style>
  <w:style w:type="character" w:customStyle="1" w:styleId="Heading6Char">
    <w:name w:val="Heading 6 Char"/>
    <w:basedOn w:val="DefaultParagraphFont"/>
    <w:link w:val="Heading6"/>
    <w:uiPriority w:val="98"/>
    <w:semiHidden/>
    <w:rsid w:val="001A7E7E"/>
    <w:rPr>
      <w:rFonts w:asciiTheme="majorHAnsi" w:eastAsiaTheme="majorEastAsia" w:hAnsiTheme="majorHAnsi" w:cstheme="majorBidi"/>
      <w:b/>
      <w:bCs/>
      <w:i/>
      <w:iCs/>
      <w:color w:val="7F7F7F" w:themeColor="text1" w:themeTint="80"/>
      <w:lang w:val="en-GB" w:bidi="en-US"/>
    </w:rPr>
  </w:style>
  <w:style w:type="character" w:customStyle="1" w:styleId="Heading7Char">
    <w:name w:val="Heading 7 Char"/>
    <w:basedOn w:val="DefaultParagraphFont"/>
    <w:link w:val="Heading7"/>
    <w:uiPriority w:val="98"/>
    <w:semiHidden/>
    <w:rsid w:val="001A7E7E"/>
    <w:rPr>
      <w:rFonts w:asciiTheme="majorHAnsi" w:eastAsiaTheme="majorEastAsia" w:hAnsiTheme="majorHAnsi" w:cstheme="majorBidi"/>
      <w:i/>
      <w:iCs/>
      <w:lang w:val="en-GB" w:bidi="en-US"/>
    </w:rPr>
  </w:style>
  <w:style w:type="character" w:customStyle="1" w:styleId="Heading8Char">
    <w:name w:val="Heading 8 Char"/>
    <w:basedOn w:val="DefaultParagraphFont"/>
    <w:link w:val="Heading8"/>
    <w:uiPriority w:val="98"/>
    <w:semiHidden/>
    <w:rsid w:val="001A7E7E"/>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8"/>
    <w:semiHidden/>
    <w:rsid w:val="001A7E7E"/>
    <w:rPr>
      <w:rFonts w:asciiTheme="majorHAnsi" w:eastAsiaTheme="majorEastAsia" w:hAnsiTheme="majorHAnsi" w:cstheme="majorBidi"/>
      <w:i/>
      <w:iCs/>
      <w:spacing w:val="5"/>
      <w:sz w:val="20"/>
      <w:szCs w:val="20"/>
      <w:lang w:val="en-GB" w:bidi="en-US"/>
    </w:rPr>
  </w:style>
  <w:style w:type="character" w:styleId="Hyperlink">
    <w:name w:val="Hyperlink"/>
    <w:basedOn w:val="DefaultParagraphFont"/>
    <w:uiPriority w:val="98"/>
    <w:semiHidden/>
    <w:rsid w:val="001A7E7E"/>
    <w:rPr>
      <w:color w:val="0072BC" w:themeColor="hyperlink"/>
      <w:u w:val="single"/>
    </w:rPr>
  </w:style>
  <w:style w:type="character" w:styleId="IntenseEmphasis">
    <w:name w:val="Intense Emphasis"/>
    <w:uiPriority w:val="98"/>
    <w:semiHidden/>
    <w:qFormat/>
    <w:rsid w:val="001A7E7E"/>
    <w:rPr>
      <w:b/>
      <w:bCs/>
    </w:rPr>
  </w:style>
  <w:style w:type="paragraph" w:styleId="IntenseQuote">
    <w:name w:val="Intense Quote"/>
    <w:basedOn w:val="Normal"/>
    <w:next w:val="Normal"/>
    <w:link w:val="IntenseQuoteChar"/>
    <w:uiPriority w:val="98"/>
    <w:semiHidden/>
    <w:qFormat/>
    <w:rsid w:val="001A7E7E"/>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8"/>
    <w:semiHidden/>
    <w:rsid w:val="001A7E7E"/>
    <w:rPr>
      <w:b/>
      <w:bCs/>
      <w:i/>
      <w:iCs/>
      <w:sz w:val="24"/>
      <w:szCs w:val="24"/>
      <w:lang w:val="fr-FR" w:bidi="en-US"/>
    </w:rPr>
  </w:style>
  <w:style w:type="character" w:styleId="IntenseReference">
    <w:name w:val="Intense Reference"/>
    <w:uiPriority w:val="98"/>
    <w:semiHidden/>
    <w:qFormat/>
    <w:rsid w:val="001A7E7E"/>
    <w:rPr>
      <w:smallCaps/>
      <w:spacing w:val="5"/>
      <w:u w:val="single"/>
    </w:rPr>
  </w:style>
  <w:style w:type="paragraph" w:styleId="ListParagraph">
    <w:name w:val="List Paragraph"/>
    <w:basedOn w:val="Normal"/>
    <w:uiPriority w:val="98"/>
    <w:semiHidden/>
    <w:qFormat/>
    <w:rsid w:val="001A7E7E"/>
    <w:pPr>
      <w:ind w:left="720"/>
      <w:contextualSpacing/>
    </w:pPr>
  </w:style>
  <w:style w:type="table" w:customStyle="1" w:styleId="LtrTableAddress">
    <w:name w:val="Ltr_Table_Address"/>
    <w:aliases w:val="ECHR_Ltr_Table_Address"/>
    <w:basedOn w:val="TableNormal"/>
    <w:uiPriority w:val="99"/>
    <w:rsid w:val="001A7E7E"/>
    <w:rPr>
      <w:sz w:val="24"/>
      <w:szCs w:val="24"/>
    </w:rPr>
    <w:tblPr>
      <w:tblInd w:w="5103" w:type="dxa"/>
    </w:tblPr>
  </w:style>
  <w:style w:type="paragraph" w:styleId="Quote">
    <w:name w:val="Quote"/>
    <w:basedOn w:val="Normal"/>
    <w:next w:val="Normal"/>
    <w:link w:val="QuoteChar"/>
    <w:uiPriority w:val="98"/>
    <w:semiHidden/>
    <w:qFormat/>
    <w:rsid w:val="001A7E7E"/>
    <w:pPr>
      <w:spacing w:before="200"/>
      <w:ind w:left="360" w:right="360"/>
    </w:pPr>
    <w:rPr>
      <w:i/>
      <w:iCs/>
      <w:lang w:bidi="en-US"/>
    </w:rPr>
  </w:style>
  <w:style w:type="character" w:customStyle="1" w:styleId="QuoteChar">
    <w:name w:val="Quote Char"/>
    <w:basedOn w:val="DefaultParagraphFont"/>
    <w:link w:val="Quote"/>
    <w:uiPriority w:val="98"/>
    <w:semiHidden/>
    <w:rsid w:val="001A7E7E"/>
    <w:rPr>
      <w:i/>
      <w:iCs/>
      <w:sz w:val="24"/>
      <w:szCs w:val="24"/>
      <w:lang w:val="fr-FR" w:bidi="en-US"/>
    </w:rPr>
  </w:style>
  <w:style w:type="character" w:styleId="SubtleReference">
    <w:name w:val="Subtle Reference"/>
    <w:uiPriority w:val="98"/>
    <w:semiHidden/>
    <w:qFormat/>
    <w:rsid w:val="001A7E7E"/>
    <w:rPr>
      <w:smallCaps/>
    </w:rPr>
  </w:style>
  <w:style w:type="table" w:styleId="TableGrid">
    <w:name w:val="Table Grid"/>
    <w:basedOn w:val="TableNormal"/>
    <w:uiPriority w:val="59"/>
    <w:semiHidden/>
    <w:rsid w:val="001A7E7E"/>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8"/>
    <w:semiHidden/>
    <w:rsid w:val="001A7E7E"/>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8"/>
    <w:semiHidden/>
    <w:rsid w:val="001A7E7E"/>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8"/>
    <w:semiHidden/>
    <w:rsid w:val="001A7E7E"/>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8"/>
    <w:semiHidden/>
    <w:rsid w:val="001A7E7E"/>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8"/>
    <w:semiHidden/>
    <w:rsid w:val="001A7E7E"/>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8"/>
    <w:semiHidden/>
    <w:qFormat/>
    <w:rsid w:val="001A7E7E"/>
    <w:pPr>
      <w:keepNext/>
      <w:keepLines/>
      <w:spacing w:before="240"/>
      <w:contextualSpacing/>
      <w:jc w:val="center"/>
    </w:pPr>
    <w:rPr>
      <w:rFonts w:asciiTheme="majorHAnsi" w:hAnsiTheme="majorHAnsi"/>
      <w:b/>
      <w:color w:val="474747" w:themeColor="accent3" w:themeShade="BF"/>
      <w:sz w:val="28"/>
    </w:rPr>
  </w:style>
  <w:style w:type="table" w:customStyle="1" w:styleId="UGTable">
    <w:name w:val="UG_Table"/>
    <w:aliases w:val="ECHR_UG_Table"/>
    <w:basedOn w:val="TableNormal"/>
    <w:uiPriority w:val="99"/>
    <w:rsid w:val="001A7E7E"/>
    <w:rPr>
      <w:rFonts w:eastAsiaTheme="minorEastAsia"/>
      <w:sz w:val="20"/>
      <w:szCs w:val="24"/>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1A7E7E"/>
    <w:rPr>
      <w:rFonts w:eastAsiaTheme="minorEastAsia"/>
      <w:sz w:val="24"/>
      <w:szCs w:val="24"/>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aliases w:val="ECHR_PCF_Table_Style"/>
    <w:basedOn w:val="TableNormal"/>
    <w:uiPriority w:val="99"/>
    <w:rsid w:val="001A7E7E"/>
    <w:rPr>
      <w:color w:val="000000" w:themeColor="text1"/>
      <w:sz w:val="18"/>
      <w:szCs w:val="24"/>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1A7E7E"/>
    <w:rPr>
      <w:color w:val="000000" w:themeColor="text1"/>
      <w:sz w:val="24"/>
      <w:szCs w:val="24"/>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1A7E7E"/>
    <w:rPr>
      <w:sz w:val="24"/>
      <w:szCs w:val="24"/>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basedOn w:val="TableNormal"/>
    <w:uiPriority w:val="99"/>
    <w:rsid w:val="001A7E7E"/>
    <w:rPr>
      <w:sz w:val="24"/>
      <w:szCs w:val="24"/>
    </w:rPr>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8"/>
    <w:semiHidden/>
    <w:rsid w:val="001A7E7E"/>
    <w:pPr>
      <w:keepNext/>
      <w:keepLines/>
      <w:spacing w:before="240"/>
      <w:contextualSpacing/>
      <w:jc w:val="center"/>
    </w:pPr>
    <w:rPr>
      <w:rFonts w:asciiTheme="majorHAnsi" w:eastAsiaTheme="majorEastAsia" w:hAnsiTheme="majorHAnsi" w:cstheme="majorBidi"/>
      <w:b/>
      <w:bCs/>
      <w:color w:val="474747" w:themeColor="accent3" w:themeShade="BF"/>
      <w:sz w:val="28"/>
    </w:rPr>
  </w:style>
  <w:style w:type="paragraph" w:styleId="Subtitle">
    <w:name w:val="Subtitle"/>
    <w:basedOn w:val="Normal"/>
    <w:next w:val="Normal"/>
    <w:link w:val="SubtitleChar"/>
    <w:uiPriority w:val="98"/>
    <w:semiHidden/>
    <w:qFormat/>
    <w:rsid w:val="001A7E7E"/>
    <w:pPr>
      <w:spacing w:after="600"/>
    </w:pPr>
    <w:rPr>
      <w:rFonts w:asciiTheme="majorHAnsi" w:eastAsiaTheme="majorEastAsia" w:hAnsiTheme="majorHAnsi" w:cstheme="majorBidi"/>
      <w:i/>
      <w:iCs/>
      <w:spacing w:val="13"/>
      <w:lang w:bidi="en-US"/>
    </w:rPr>
  </w:style>
  <w:style w:type="character" w:customStyle="1" w:styleId="SubtitleChar">
    <w:name w:val="Subtitle Char"/>
    <w:basedOn w:val="DefaultParagraphFont"/>
    <w:link w:val="Subtitle"/>
    <w:uiPriority w:val="98"/>
    <w:semiHidden/>
    <w:rsid w:val="001A7E7E"/>
    <w:rPr>
      <w:rFonts w:asciiTheme="majorHAnsi" w:eastAsiaTheme="majorEastAsia" w:hAnsiTheme="majorHAnsi" w:cstheme="majorBidi"/>
      <w:i/>
      <w:iCs/>
      <w:spacing w:val="13"/>
      <w:sz w:val="24"/>
      <w:szCs w:val="24"/>
      <w:lang w:val="fr-FR" w:bidi="en-US"/>
    </w:rPr>
  </w:style>
  <w:style w:type="numbering" w:styleId="111111">
    <w:name w:val="Outline List 2"/>
    <w:basedOn w:val="NoList"/>
    <w:uiPriority w:val="99"/>
    <w:semiHidden/>
    <w:unhideWhenUsed/>
    <w:rsid w:val="001A7E7E"/>
    <w:pPr>
      <w:numPr>
        <w:numId w:val="4"/>
      </w:numPr>
    </w:pPr>
  </w:style>
  <w:style w:type="paragraph" w:customStyle="1" w:styleId="JuPara">
    <w:name w:val="Ju_Para"/>
    <w:aliases w:val="_Para"/>
    <w:basedOn w:val="NormalJustified"/>
    <w:link w:val="JuParaChar"/>
    <w:uiPriority w:val="4"/>
    <w:qFormat/>
    <w:rsid w:val="001A7E7E"/>
    <w:pPr>
      <w:ind w:firstLine="284"/>
    </w:pPr>
  </w:style>
  <w:style w:type="numbering" w:styleId="1ai">
    <w:name w:val="Outline List 1"/>
    <w:basedOn w:val="NoList"/>
    <w:uiPriority w:val="99"/>
    <w:semiHidden/>
    <w:unhideWhenUsed/>
    <w:rsid w:val="001A7E7E"/>
    <w:pPr>
      <w:numPr>
        <w:numId w:val="5"/>
      </w:numPr>
    </w:pPr>
  </w:style>
  <w:style w:type="table" w:customStyle="1" w:styleId="ECHRTableSimpleBox">
    <w:name w:val="ECHR_Table_Simple_Box"/>
    <w:basedOn w:val="TableNormal"/>
    <w:uiPriority w:val="99"/>
    <w:rsid w:val="001A7E7E"/>
    <w:rPr>
      <w:sz w:val="24"/>
      <w:szCs w:val="24"/>
    </w:rPr>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1A7E7E"/>
    <w:rPr>
      <w:sz w:val="24"/>
      <w:szCs w:val="24"/>
    </w:rPr>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numbering" w:styleId="ArticleSection">
    <w:name w:val="Outline List 3"/>
    <w:basedOn w:val="NoList"/>
    <w:uiPriority w:val="99"/>
    <w:semiHidden/>
    <w:unhideWhenUsed/>
    <w:rsid w:val="001A7E7E"/>
    <w:pPr>
      <w:numPr>
        <w:numId w:val="6"/>
      </w:numPr>
    </w:pPr>
  </w:style>
  <w:style w:type="table" w:customStyle="1" w:styleId="ECHRTableForInternalUse">
    <w:name w:val="ECHR_Table_For_Internal_Use"/>
    <w:basedOn w:val="TableNormal"/>
    <w:uiPriority w:val="99"/>
    <w:rsid w:val="001A7E7E"/>
    <w:rPr>
      <w:color w:val="636363" w:themeColor="text2" w:themeShade="80"/>
      <w:sz w:val="18"/>
      <w:szCs w:val="24"/>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1A7E7E"/>
    <w:rPr>
      <w:sz w:val="24"/>
      <w:szCs w:val="24"/>
    </w:rPr>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ibliography">
    <w:name w:val="Bibliography"/>
    <w:basedOn w:val="Normal"/>
    <w:next w:val="Normal"/>
    <w:uiPriority w:val="98"/>
    <w:semiHidden/>
    <w:rsid w:val="001A7E7E"/>
  </w:style>
  <w:style w:type="paragraph" w:styleId="BlockText">
    <w:name w:val="Block Text"/>
    <w:basedOn w:val="Normal"/>
    <w:uiPriority w:val="98"/>
    <w:semiHidden/>
    <w:rsid w:val="001A7E7E"/>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1A7E7E"/>
    <w:rPr>
      <w:sz w:val="24"/>
      <w:szCs w:val="24"/>
    </w:rPr>
    <w:tblPr>
      <w:tblInd w:w="-1474"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8"/>
    <w:semiHidden/>
    <w:rsid w:val="001A7E7E"/>
    <w:pPr>
      <w:spacing w:after="120"/>
    </w:pPr>
  </w:style>
  <w:style w:type="character" w:customStyle="1" w:styleId="BodyTextChar">
    <w:name w:val="Body Text Char"/>
    <w:basedOn w:val="DefaultParagraphFont"/>
    <w:link w:val="BodyText"/>
    <w:uiPriority w:val="98"/>
    <w:semiHidden/>
    <w:rsid w:val="001A7E7E"/>
    <w:rPr>
      <w:sz w:val="24"/>
      <w:szCs w:val="24"/>
      <w:lang w:val="fr-FR"/>
    </w:r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8"/>
    <w:semiHidden/>
    <w:rsid w:val="001A7E7E"/>
    <w:pPr>
      <w:spacing w:after="120" w:line="480" w:lineRule="auto"/>
    </w:pPr>
  </w:style>
  <w:style w:type="table" w:customStyle="1" w:styleId="ECHRHeaderTableReduced">
    <w:name w:val="ECHR_Header_Table_Reduced"/>
    <w:basedOn w:val="TableNormal"/>
    <w:uiPriority w:val="99"/>
    <w:rsid w:val="001A7E7E"/>
    <w:rPr>
      <w:sz w:val="24"/>
      <w:szCs w:val="24"/>
    </w:rPr>
    <w:tblPr>
      <w:tblInd w:w="-1474" w:type="dxa"/>
      <w:tblCellMar>
        <w:left w:w="0" w:type="dxa"/>
        <w:right w:w="0" w:type="dxa"/>
      </w:tblCellMar>
    </w:tblPr>
    <w:tcPr>
      <w:vAlign w:val="bottom"/>
    </w:tcPr>
    <w:tblStylePr w:type="firstRow">
      <w:rPr>
        <w:sz w:val="18"/>
      </w:rPr>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aliases w:val="_Case_Name"/>
    <w:basedOn w:val="Normal"/>
    <w:next w:val="JuPara"/>
    <w:uiPriority w:val="32"/>
    <w:rsid w:val="001A7E7E"/>
    <w:pPr>
      <w:ind w:firstLine="284"/>
    </w:pPr>
    <w:rPr>
      <w:b/>
    </w:rPr>
  </w:style>
  <w:style w:type="character" w:styleId="PageNumber">
    <w:name w:val="page number"/>
    <w:uiPriority w:val="98"/>
    <w:semiHidden/>
    <w:rsid w:val="001A7E7E"/>
    <w:rPr>
      <w:sz w:val="18"/>
    </w:rPr>
  </w:style>
  <w:style w:type="paragraph" w:styleId="ListBullet2">
    <w:name w:val="List Bullet 2"/>
    <w:basedOn w:val="Normal"/>
    <w:uiPriority w:val="98"/>
    <w:semiHidden/>
    <w:rsid w:val="001A7E7E"/>
    <w:pPr>
      <w:numPr>
        <w:numId w:val="11"/>
      </w:numPr>
      <w:contextualSpacing/>
    </w:pPr>
  </w:style>
  <w:style w:type="character" w:customStyle="1" w:styleId="BodyText2Char">
    <w:name w:val="Body Text 2 Char"/>
    <w:basedOn w:val="DefaultParagraphFont"/>
    <w:link w:val="BodyText2"/>
    <w:uiPriority w:val="98"/>
    <w:semiHidden/>
    <w:rsid w:val="001A7E7E"/>
    <w:rPr>
      <w:sz w:val="24"/>
      <w:szCs w:val="24"/>
      <w:lang w:val="fr-FR"/>
    </w:rPr>
  </w:style>
  <w:style w:type="paragraph" w:styleId="BodyText3">
    <w:name w:val="Body Text 3"/>
    <w:basedOn w:val="Normal"/>
    <w:link w:val="BodyText3Char"/>
    <w:uiPriority w:val="98"/>
    <w:semiHidden/>
    <w:rsid w:val="001A7E7E"/>
    <w:pPr>
      <w:spacing w:after="120"/>
    </w:pPr>
    <w:rPr>
      <w:sz w:val="16"/>
      <w:szCs w:val="16"/>
    </w:rPr>
  </w:style>
  <w:style w:type="character" w:customStyle="1" w:styleId="BodyText3Char">
    <w:name w:val="Body Text 3 Char"/>
    <w:basedOn w:val="DefaultParagraphFont"/>
    <w:link w:val="BodyText3"/>
    <w:uiPriority w:val="98"/>
    <w:semiHidden/>
    <w:rsid w:val="001A7E7E"/>
    <w:rPr>
      <w:sz w:val="16"/>
      <w:szCs w:val="16"/>
      <w:lang w:val="fr-FR"/>
    </w:rPr>
  </w:style>
  <w:style w:type="paragraph" w:styleId="BodyTextFirstIndent">
    <w:name w:val="Body Text First Indent"/>
    <w:basedOn w:val="BodyText"/>
    <w:link w:val="BodyTextFirstIndentChar"/>
    <w:uiPriority w:val="98"/>
    <w:semiHidden/>
    <w:rsid w:val="001A7E7E"/>
    <w:pPr>
      <w:spacing w:after="0"/>
      <w:ind w:firstLine="360"/>
    </w:pPr>
  </w:style>
  <w:style w:type="character" w:customStyle="1" w:styleId="BodyTextFirstIndentChar">
    <w:name w:val="Body Text First Indent Char"/>
    <w:basedOn w:val="BodyTextChar"/>
    <w:link w:val="BodyTextFirstIndent"/>
    <w:uiPriority w:val="98"/>
    <w:semiHidden/>
    <w:rsid w:val="001A7E7E"/>
    <w:rPr>
      <w:sz w:val="24"/>
      <w:szCs w:val="24"/>
      <w:lang w:val="fr-FR"/>
    </w:rPr>
  </w:style>
  <w:style w:type="paragraph" w:styleId="BodyTextIndent">
    <w:name w:val="Body Text Indent"/>
    <w:basedOn w:val="Normal"/>
    <w:link w:val="BodyTextIndentChar"/>
    <w:uiPriority w:val="98"/>
    <w:semiHidden/>
    <w:rsid w:val="001A7E7E"/>
    <w:pPr>
      <w:spacing w:after="120"/>
      <w:ind w:left="283"/>
    </w:pPr>
  </w:style>
  <w:style w:type="character" w:customStyle="1" w:styleId="BodyTextIndentChar">
    <w:name w:val="Body Text Indent Char"/>
    <w:basedOn w:val="DefaultParagraphFont"/>
    <w:link w:val="BodyTextIndent"/>
    <w:uiPriority w:val="98"/>
    <w:semiHidden/>
    <w:rsid w:val="001A7E7E"/>
    <w:rPr>
      <w:sz w:val="24"/>
      <w:szCs w:val="24"/>
      <w:lang w:val="fr-FR"/>
    </w:rPr>
  </w:style>
  <w:style w:type="paragraph" w:styleId="BodyTextFirstIndent2">
    <w:name w:val="Body Text First Indent 2"/>
    <w:basedOn w:val="BodyTextIndent"/>
    <w:link w:val="BodyTextFirstIndent2Char"/>
    <w:uiPriority w:val="98"/>
    <w:semiHidden/>
    <w:rsid w:val="001A7E7E"/>
    <w:pPr>
      <w:spacing w:after="0"/>
      <w:ind w:left="360" w:firstLine="360"/>
    </w:pPr>
  </w:style>
  <w:style w:type="character" w:customStyle="1" w:styleId="BodyTextFirstIndent2Char">
    <w:name w:val="Body Text First Indent 2 Char"/>
    <w:basedOn w:val="BodyTextIndentChar"/>
    <w:link w:val="BodyTextFirstIndent2"/>
    <w:uiPriority w:val="98"/>
    <w:semiHidden/>
    <w:rsid w:val="001A7E7E"/>
    <w:rPr>
      <w:sz w:val="24"/>
      <w:szCs w:val="24"/>
      <w:lang w:val="fr-FR"/>
    </w:rPr>
  </w:style>
  <w:style w:type="paragraph" w:styleId="BodyTextIndent2">
    <w:name w:val="Body Text Indent 2"/>
    <w:basedOn w:val="Normal"/>
    <w:link w:val="BodyTextIndent2Char"/>
    <w:uiPriority w:val="98"/>
    <w:semiHidden/>
    <w:rsid w:val="001A7E7E"/>
    <w:pPr>
      <w:spacing w:after="120" w:line="480" w:lineRule="auto"/>
      <w:ind w:left="283"/>
    </w:pPr>
  </w:style>
  <w:style w:type="character" w:customStyle="1" w:styleId="BodyTextIndent2Char">
    <w:name w:val="Body Text Indent 2 Char"/>
    <w:basedOn w:val="DefaultParagraphFont"/>
    <w:link w:val="BodyTextIndent2"/>
    <w:uiPriority w:val="98"/>
    <w:semiHidden/>
    <w:rsid w:val="001A7E7E"/>
    <w:rPr>
      <w:sz w:val="24"/>
      <w:szCs w:val="24"/>
      <w:lang w:val="fr-FR"/>
    </w:rPr>
  </w:style>
  <w:style w:type="paragraph" w:styleId="BodyTextIndent3">
    <w:name w:val="Body Text Indent 3"/>
    <w:basedOn w:val="Normal"/>
    <w:link w:val="BodyTextIndent3Char"/>
    <w:uiPriority w:val="98"/>
    <w:semiHidden/>
    <w:rsid w:val="001A7E7E"/>
    <w:pPr>
      <w:spacing w:after="120"/>
      <w:ind w:left="283"/>
    </w:pPr>
    <w:rPr>
      <w:sz w:val="16"/>
      <w:szCs w:val="16"/>
    </w:rPr>
  </w:style>
  <w:style w:type="character" w:customStyle="1" w:styleId="BodyTextIndent3Char">
    <w:name w:val="Body Text Indent 3 Char"/>
    <w:basedOn w:val="DefaultParagraphFont"/>
    <w:link w:val="BodyTextIndent3"/>
    <w:uiPriority w:val="98"/>
    <w:semiHidden/>
    <w:rsid w:val="001A7E7E"/>
    <w:rPr>
      <w:sz w:val="16"/>
      <w:szCs w:val="16"/>
      <w:lang w:val="fr-FR"/>
    </w:rPr>
  </w:style>
  <w:style w:type="paragraph" w:styleId="Caption">
    <w:name w:val="caption"/>
    <w:basedOn w:val="Normal"/>
    <w:next w:val="Normal"/>
    <w:uiPriority w:val="98"/>
    <w:semiHidden/>
    <w:qFormat/>
    <w:rsid w:val="001A7E7E"/>
    <w:pPr>
      <w:spacing w:after="200"/>
    </w:pPr>
    <w:rPr>
      <w:b/>
      <w:bCs/>
      <w:color w:val="0072BC" w:themeColor="accent1"/>
      <w:sz w:val="18"/>
      <w:szCs w:val="18"/>
    </w:rPr>
  </w:style>
  <w:style w:type="paragraph" w:styleId="Closing">
    <w:name w:val="Closing"/>
    <w:basedOn w:val="Normal"/>
    <w:link w:val="ClosingChar"/>
    <w:uiPriority w:val="98"/>
    <w:semiHidden/>
    <w:rsid w:val="001A7E7E"/>
    <w:pPr>
      <w:ind w:left="4252"/>
    </w:pPr>
  </w:style>
  <w:style w:type="character" w:customStyle="1" w:styleId="ClosingChar">
    <w:name w:val="Closing Char"/>
    <w:basedOn w:val="DefaultParagraphFont"/>
    <w:link w:val="Closing"/>
    <w:uiPriority w:val="98"/>
    <w:semiHidden/>
    <w:rsid w:val="001A7E7E"/>
    <w:rPr>
      <w:sz w:val="24"/>
      <w:szCs w:val="24"/>
      <w:lang w:val="fr-FR"/>
    </w:rPr>
  </w:style>
  <w:style w:type="table" w:styleId="ColorfulGrid">
    <w:name w:val="Colorful Grid"/>
    <w:basedOn w:val="TableNormal"/>
    <w:uiPriority w:val="73"/>
    <w:semiHidden/>
    <w:rsid w:val="001A7E7E"/>
    <w:rPr>
      <w:color w:val="000000" w:themeColor="text1"/>
      <w:sz w:val="24"/>
      <w:szCs w:val="24"/>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1A7E7E"/>
    <w:rPr>
      <w:color w:val="000000" w:themeColor="text1"/>
      <w:sz w:val="24"/>
      <w:szCs w:val="24"/>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1A7E7E"/>
    <w:rPr>
      <w:color w:val="000000" w:themeColor="text1"/>
      <w:sz w:val="24"/>
      <w:szCs w:val="24"/>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1A7E7E"/>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1A7E7E"/>
    <w:rPr>
      <w:color w:val="000000" w:themeColor="text1"/>
      <w:sz w:val="24"/>
      <w:szCs w:val="24"/>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1A7E7E"/>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1A7E7E"/>
    <w:rPr>
      <w:color w:val="000000" w:themeColor="text1"/>
      <w:sz w:val="24"/>
      <w:szCs w:val="24"/>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1A7E7E"/>
    <w:rPr>
      <w:color w:val="000000" w:themeColor="text1"/>
      <w:sz w:val="24"/>
      <w:szCs w:val="24"/>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1A7E7E"/>
    <w:rPr>
      <w:color w:val="000000" w:themeColor="text1"/>
      <w:sz w:val="24"/>
      <w:szCs w:val="24"/>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1A7E7E"/>
    <w:rPr>
      <w:color w:val="000000" w:themeColor="text1"/>
      <w:sz w:val="24"/>
      <w:szCs w:val="24"/>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1A7E7E"/>
    <w:rPr>
      <w:color w:val="000000" w:themeColor="text1"/>
      <w:sz w:val="24"/>
      <w:szCs w:val="24"/>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1A7E7E"/>
    <w:rPr>
      <w:color w:val="000000" w:themeColor="text1"/>
      <w:sz w:val="24"/>
      <w:szCs w:val="24"/>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1A7E7E"/>
    <w:rPr>
      <w:color w:val="000000" w:themeColor="text1"/>
      <w:sz w:val="24"/>
      <w:szCs w:val="24"/>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1A7E7E"/>
    <w:rPr>
      <w:color w:val="000000" w:themeColor="text1"/>
      <w:sz w:val="24"/>
      <w:szCs w:val="24"/>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1A7E7E"/>
    <w:rPr>
      <w:color w:val="000000" w:themeColor="text1"/>
      <w:sz w:val="24"/>
      <w:szCs w:val="24"/>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1A7E7E"/>
    <w:rPr>
      <w:color w:val="000000" w:themeColor="text1"/>
      <w:sz w:val="24"/>
      <w:szCs w:val="24"/>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1A7E7E"/>
    <w:rPr>
      <w:color w:val="000000" w:themeColor="text1"/>
      <w:sz w:val="24"/>
      <w:szCs w:val="24"/>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1A7E7E"/>
    <w:rPr>
      <w:color w:val="000000" w:themeColor="text1"/>
      <w:sz w:val="24"/>
      <w:szCs w:val="24"/>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1A7E7E"/>
    <w:rPr>
      <w:color w:val="000000" w:themeColor="text1"/>
      <w:sz w:val="24"/>
      <w:szCs w:val="24"/>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1A7E7E"/>
    <w:rPr>
      <w:color w:val="000000" w:themeColor="text1"/>
      <w:sz w:val="24"/>
      <w:szCs w:val="24"/>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1A7E7E"/>
    <w:rPr>
      <w:color w:val="000000" w:themeColor="text1"/>
      <w:sz w:val="24"/>
      <w:szCs w:val="24"/>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8"/>
    <w:semiHidden/>
    <w:rsid w:val="001A7E7E"/>
    <w:rPr>
      <w:sz w:val="16"/>
      <w:szCs w:val="16"/>
    </w:rPr>
  </w:style>
  <w:style w:type="paragraph" w:styleId="CommentText">
    <w:name w:val="annotation text"/>
    <w:basedOn w:val="Normal"/>
    <w:link w:val="CommentTextChar"/>
    <w:uiPriority w:val="98"/>
    <w:semiHidden/>
    <w:rsid w:val="001A7E7E"/>
    <w:rPr>
      <w:sz w:val="20"/>
      <w:szCs w:val="20"/>
    </w:rPr>
  </w:style>
  <w:style w:type="character" w:customStyle="1" w:styleId="CommentTextChar">
    <w:name w:val="Comment Text Char"/>
    <w:basedOn w:val="DefaultParagraphFont"/>
    <w:link w:val="CommentText"/>
    <w:uiPriority w:val="98"/>
    <w:semiHidden/>
    <w:rsid w:val="001A7E7E"/>
    <w:rPr>
      <w:sz w:val="20"/>
      <w:szCs w:val="20"/>
      <w:lang w:val="fr-FR"/>
    </w:rPr>
  </w:style>
  <w:style w:type="paragraph" w:styleId="CommentSubject">
    <w:name w:val="annotation subject"/>
    <w:basedOn w:val="CommentText"/>
    <w:next w:val="CommentText"/>
    <w:link w:val="CommentSubjectChar"/>
    <w:uiPriority w:val="98"/>
    <w:semiHidden/>
    <w:rsid w:val="001A7E7E"/>
    <w:rPr>
      <w:b/>
      <w:bCs/>
    </w:rPr>
  </w:style>
  <w:style w:type="character" w:customStyle="1" w:styleId="CommentSubjectChar">
    <w:name w:val="Comment Subject Char"/>
    <w:basedOn w:val="CommentTextChar"/>
    <w:link w:val="CommentSubject"/>
    <w:uiPriority w:val="98"/>
    <w:semiHidden/>
    <w:rsid w:val="001A7E7E"/>
    <w:rPr>
      <w:b/>
      <w:bCs/>
      <w:sz w:val="20"/>
      <w:szCs w:val="20"/>
      <w:lang w:val="fr-FR"/>
    </w:rPr>
  </w:style>
  <w:style w:type="table" w:styleId="DarkList">
    <w:name w:val="Dark List"/>
    <w:basedOn w:val="TableNormal"/>
    <w:uiPriority w:val="70"/>
    <w:semiHidden/>
    <w:rsid w:val="001A7E7E"/>
    <w:rPr>
      <w:color w:val="0072BC" w:themeColor="background1"/>
      <w:sz w:val="24"/>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1A7E7E"/>
    <w:rPr>
      <w:color w:val="0072BC" w:themeColor="background1"/>
      <w:sz w:val="24"/>
      <w:szCs w:val="24"/>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1A7E7E"/>
    <w:rPr>
      <w:color w:val="0072BC" w:themeColor="background1"/>
      <w:sz w:val="24"/>
      <w:szCs w:val="24"/>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1A7E7E"/>
    <w:rPr>
      <w:color w:val="0072BC" w:themeColor="background1"/>
      <w:sz w:val="24"/>
      <w:szCs w:val="24"/>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1A7E7E"/>
    <w:rPr>
      <w:color w:val="0072BC" w:themeColor="background1"/>
      <w:sz w:val="24"/>
      <w:szCs w:val="24"/>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1A7E7E"/>
    <w:rPr>
      <w:color w:val="0072BC" w:themeColor="background1"/>
      <w:sz w:val="24"/>
      <w:szCs w:val="24"/>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1A7E7E"/>
    <w:rPr>
      <w:color w:val="0072BC" w:themeColor="background1"/>
      <w:sz w:val="24"/>
      <w:szCs w:val="24"/>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8"/>
    <w:semiHidden/>
    <w:rsid w:val="001A7E7E"/>
  </w:style>
  <w:style w:type="character" w:customStyle="1" w:styleId="DateChar">
    <w:name w:val="Date Char"/>
    <w:basedOn w:val="DefaultParagraphFont"/>
    <w:link w:val="Date"/>
    <w:uiPriority w:val="98"/>
    <w:semiHidden/>
    <w:rsid w:val="001A7E7E"/>
    <w:rPr>
      <w:sz w:val="24"/>
      <w:szCs w:val="24"/>
      <w:lang w:val="fr-FR"/>
    </w:rPr>
  </w:style>
  <w:style w:type="paragraph" w:styleId="DocumentMap">
    <w:name w:val="Document Map"/>
    <w:basedOn w:val="Normal"/>
    <w:link w:val="DocumentMapChar"/>
    <w:uiPriority w:val="98"/>
    <w:semiHidden/>
    <w:rsid w:val="001A7E7E"/>
    <w:rPr>
      <w:rFonts w:ascii="Tahoma" w:hAnsi="Tahoma" w:cs="Tahoma"/>
      <w:sz w:val="16"/>
      <w:szCs w:val="16"/>
    </w:rPr>
  </w:style>
  <w:style w:type="character" w:customStyle="1" w:styleId="DocumentMapChar">
    <w:name w:val="Document Map Char"/>
    <w:basedOn w:val="DefaultParagraphFont"/>
    <w:link w:val="DocumentMap"/>
    <w:uiPriority w:val="98"/>
    <w:semiHidden/>
    <w:rsid w:val="001A7E7E"/>
    <w:rPr>
      <w:rFonts w:ascii="Tahoma" w:hAnsi="Tahoma" w:cs="Tahoma"/>
      <w:sz w:val="16"/>
      <w:szCs w:val="16"/>
      <w:lang w:val="fr-FR"/>
    </w:rPr>
  </w:style>
  <w:style w:type="paragraph" w:styleId="E-mailSignature">
    <w:name w:val="E-mail Signature"/>
    <w:basedOn w:val="Normal"/>
    <w:link w:val="E-mailSignatureChar"/>
    <w:uiPriority w:val="98"/>
    <w:semiHidden/>
    <w:rsid w:val="001A7E7E"/>
  </w:style>
  <w:style w:type="character" w:customStyle="1" w:styleId="E-mailSignatureChar">
    <w:name w:val="E-mail Signature Char"/>
    <w:basedOn w:val="DefaultParagraphFont"/>
    <w:link w:val="E-mailSignature"/>
    <w:uiPriority w:val="98"/>
    <w:semiHidden/>
    <w:rsid w:val="001A7E7E"/>
    <w:rPr>
      <w:sz w:val="24"/>
      <w:szCs w:val="24"/>
      <w:lang w:val="fr-FR"/>
    </w:rPr>
  </w:style>
  <w:style w:type="character" w:styleId="EndnoteReference">
    <w:name w:val="endnote reference"/>
    <w:basedOn w:val="DefaultParagraphFont"/>
    <w:uiPriority w:val="98"/>
    <w:semiHidden/>
    <w:rsid w:val="001A7E7E"/>
    <w:rPr>
      <w:vertAlign w:val="superscript"/>
    </w:rPr>
  </w:style>
  <w:style w:type="paragraph" w:styleId="EndnoteText">
    <w:name w:val="endnote text"/>
    <w:basedOn w:val="Normal"/>
    <w:link w:val="EndnoteTextChar"/>
    <w:uiPriority w:val="98"/>
    <w:semiHidden/>
    <w:rsid w:val="001A7E7E"/>
    <w:rPr>
      <w:sz w:val="20"/>
      <w:szCs w:val="20"/>
    </w:rPr>
  </w:style>
  <w:style w:type="character" w:customStyle="1" w:styleId="EndnoteTextChar">
    <w:name w:val="Endnote Text Char"/>
    <w:basedOn w:val="DefaultParagraphFont"/>
    <w:link w:val="EndnoteText"/>
    <w:uiPriority w:val="98"/>
    <w:semiHidden/>
    <w:rsid w:val="001A7E7E"/>
    <w:rPr>
      <w:sz w:val="20"/>
      <w:szCs w:val="20"/>
      <w:lang w:val="fr-FR"/>
    </w:rPr>
  </w:style>
  <w:style w:type="paragraph" w:styleId="EnvelopeAddress">
    <w:name w:val="envelope address"/>
    <w:basedOn w:val="Normal"/>
    <w:uiPriority w:val="98"/>
    <w:semiHidden/>
    <w:rsid w:val="001A7E7E"/>
    <w:pPr>
      <w:framePr w:w="7938" w:h="1985" w:hRule="exact" w:hSpace="141" w:wrap="auto" w:hAnchor="page" w:xAlign="center" w:yAlign="bottom"/>
      <w:ind w:left="2835"/>
    </w:pPr>
    <w:rPr>
      <w:rFonts w:asciiTheme="majorHAnsi" w:eastAsiaTheme="majorEastAsia" w:hAnsiTheme="majorHAnsi" w:cstheme="majorBidi"/>
    </w:rPr>
  </w:style>
  <w:style w:type="paragraph" w:styleId="EnvelopeReturn">
    <w:name w:val="envelope return"/>
    <w:basedOn w:val="Normal"/>
    <w:uiPriority w:val="98"/>
    <w:semiHidden/>
    <w:rsid w:val="001A7E7E"/>
    <w:rPr>
      <w:rFonts w:asciiTheme="majorHAnsi" w:eastAsiaTheme="majorEastAsia" w:hAnsiTheme="majorHAnsi" w:cstheme="majorBidi"/>
      <w:sz w:val="20"/>
      <w:szCs w:val="20"/>
    </w:rPr>
  </w:style>
  <w:style w:type="character" w:styleId="FollowedHyperlink">
    <w:name w:val="FollowedHyperlink"/>
    <w:basedOn w:val="DefaultParagraphFont"/>
    <w:uiPriority w:val="98"/>
    <w:semiHidden/>
    <w:rsid w:val="001A7E7E"/>
    <w:rPr>
      <w:color w:val="7030A0" w:themeColor="followedHyperlink"/>
      <w:u w:val="single"/>
    </w:rPr>
  </w:style>
  <w:style w:type="character" w:styleId="HTMLAcronym">
    <w:name w:val="HTML Acronym"/>
    <w:basedOn w:val="DefaultParagraphFont"/>
    <w:uiPriority w:val="98"/>
    <w:semiHidden/>
    <w:rsid w:val="001A7E7E"/>
  </w:style>
  <w:style w:type="paragraph" w:styleId="HTMLAddress">
    <w:name w:val="HTML Address"/>
    <w:basedOn w:val="Normal"/>
    <w:link w:val="HTMLAddressChar"/>
    <w:uiPriority w:val="98"/>
    <w:semiHidden/>
    <w:rsid w:val="001A7E7E"/>
    <w:rPr>
      <w:i/>
      <w:iCs/>
    </w:rPr>
  </w:style>
  <w:style w:type="character" w:customStyle="1" w:styleId="HTMLAddressChar">
    <w:name w:val="HTML Address Char"/>
    <w:basedOn w:val="DefaultParagraphFont"/>
    <w:link w:val="HTMLAddress"/>
    <w:uiPriority w:val="98"/>
    <w:semiHidden/>
    <w:rsid w:val="001A7E7E"/>
    <w:rPr>
      <w:i/>
      <w:iCs/>
      <w:sz w:val="24"/>
      <w:szCs w:val="24"/>
      <w:lang w:val="fr-FR"/>
    </w:rPr>
  </w:style>
  <w:style w:type="character" w:styleId="HTMLCite">
    <w:name w:val="HTML Cite"/>
    <w:basedOn w:val="DefaultParagraphFont"/>
    <w:uiPriority w:val="98"/>
    <w:semiHidden/>
    <w:rsid w:val="001A7E7E"/>
    <w:rPr>
      <w:i/>
      <w:iCs/>
    </w:rPr>
  </w:style>
  <w:style w:type="character" w:styleId="HTMLCode">
    <w:name w:val="HTML Code"/>
    <w:basedOn w:val="DefaultParagraphFont"/>
    <w:uiPriority w:val="98"/>
    <w:semiHidden/>
    <w:rsid w:val="001A7E7E"/>
    <w:rPr>
      <w:rFonts w:ascii="Consolas" w:hAnsi="Consolas" w:cs="Consolas"/>
      <w:sz w:val="20"/>
      <w:szCs w:val="20"/>
    </w:rPr>
  </w:style>
  <w:style w:type="character" w:styleId="HTMLDefinition">
    <w:name w:val="HTML Definition"/>
    <w:basedOn w:val="DefaultParagraphFont"/>
    <w:uiPriority w:val="98"/>
    <w:semiHidden/>
    <w:rsid w:val="001A7E7E"/>
    <w:rPr>
      <w:i/>
      <w:iCs/>
    </w:rPr>
  </w:style>
  <w:style w:type="character" w:styleId="HTMLKeyboard">
    <w:name w:val="HTML Keyboard"/>
    <w:basedOn w:val="DefaultParagraphFont"/>
    <w:uiPriority w:val="98"/>
    <w:semiHidden/>
    <w:rsid w:val="001A7E7E"/>
    <w:rPr>
      <w:rFonts w:ascii="Consolas" w:hAnsi="Consolas" w:cs="Consolas"/>
      <w:sz w:val="20"/>
      <w:szCs w:val="20"/>
    </w:rPr>
  </w:style>
  <w:style w:type="paragraph" w:styleId="HTMLPreformatted">
    <w:name w:val="HTML Preformatted"/>
    <w:basedOn w:val="Normal"/>
    <w:link w:val="HTMLPreformattedChar"/>
    <w:uiPriority w:val="98"/>
    <w:semiHidden/>
    <w:rsid w:val="001A7E7E"/>
    <w:rPr>
      <w:rFonts w:ascii="Consolas" w:hAnsi="Consolas" w:cs="Consolas"/>
      <w:sz w:val="20"/>
      <w:szCs w:val="20"/>
    </w:rPr>
  </w:style>
  <w:style w:type="character" w:customStyle="1" w:styleId="HTMLPreformattedChar">
    <w:name w:val="HTML Preformatted Char"/>
    <w:basedOn w:val="DefaultParagraphFont"/>
    <w:link w:val="HTMLPreformatted"/>
    <w:uiPriority w:val="98"/>
    <w:semiHidden/>
    <w:rsid w:val="001A7E7E"/>
    <w:rPr>
      <w:rFonts w:ascii="Consolas" w:hAnsi="Consolas" w:cs="Consolas"/>
      <w:sz w:val="20"/>
      <w:szCs w:val="20"/>
      <w:lang w:val="fr-FR"/>
    </w:rPr>
  </w:style>
  <w:style w:type="character" w:styleId="HTMLSample">
    <w:name w:val="HTML Sample"/>
    <w:basedOn w:val="DefaultParagraphFont"/>
    <w:uiPriority w:val="98"/>
    <w:semiHidden/>
    <w:rsid w:val="001A7E7E"/>
    <w:rPr>
      <w:rFonts w:ascii="Consolas" w:hAnsi="Consolas" w:cs="Consolas"/>
      <w:sz w:val="24"/>
      <w:szCs w:val="24"/>
    </w:rPr>
  </w:style>
  <w:style w:type="character" w:styleId="HTMLTypewriter">
    <w:name w:val="HTML Typewriter"/>
    <w:basedOn w:val="DefaultParagraphFont"/>
    <w:uiPriority w:val="98"/>
    <w:semiHidden/>
    <w:rsid w:val="001A7E7E"/>
    <w:rPr>
      <w:rFonts w:ascii="Consolas" w:hAnsi="Consolas" w:cs="Consolas"/>
      <w:sz w:val="20"/>
      <w:szCs w:val="20"/>
    </w:rPr>
  </w:style>
  <w:style w:type="character" w:styleId="HTMLVariable">
    <w:name w:val="HTML Variable"/>
    <w:basedOn w:val="DefaultParagraphFont"/>
    <w:uiPriority w:val="98"/>
    <w:semiHidden/>
    <w:rsid w:val="001A7E7E"/>
    <w:rPr>
      <w:i/>
      <w:iCs/>
    </w:rPr>
  </w:style>
  <w:style w:type="paragraph" w:styleId="Index1">
    <w:name w:val="index 1"/>
    <w:basedOn w:val="Normal"/>
    <w:next w:val="Normal"/>
    <w:autoRedefine/>
    <w:uiPriority w:val="98"/>
    <w:semiHidden/>
    <w:rsid w:val="001A7E7E"/>
    <w:pPr>
      <w:ind w:left="240" w:hanging="240"/>
    </w:pPr>
  </w:style>
  <w:style w:type="paragraph" w:styleId="Index2">
    <w:name w:val="index 2"/>
    <w:basedOn w:val="Normal"/>
    <w:next w:val="Normal"/>
    <w:autoRedefine/>
    <w:uiPriority w:val="98"/>
    <w:semiHidden/>
    <w:rsid w:val="001A7E7E"/>
    <w:pPr>
      <w:ind w:left="480" w:hanging="240"/>
    </w:pPr>
  </w:style>
  <w:style w:type="paragraph" w:styleId="Index3">
    <w:name w:val="index 3"/>
    <w:basedOn w:val="Normal"/>
    <w:next w:val="Normal"/>
    <w:autoRedefine/>
    <w:uiPriority w:val="98"/>
    <w:semiHidden/>
    <w:rsid w:val="001A7E7E"/>
    <w:pPr>
      <w:ind w:left="720" w:hanging="240"/>
    </w:pPr>
  </w:style>
  <w:style w:type="paragraph" w:styleId="Index4">
    <w:name w:val="index 4"/>
    <w:basedOn w:val="Normal"/>
    <w:next w:val="Normal"/>
    <w:autoRedefine/>
    <w:uiPriority w:val="98"/>
    <w:semiHidden/>
    <w:rsid w:val="001A7E7E"/>
    <w:pPr>
      <w:ind w:left="960" w:hanging="240"/>
    </w:pPr>
  </w:style>
  <w:style w:type="paragraph" w:styleId="Index5">
    <w:name w:val="index 5"/>
    <w:basedOn w:val="Normal"/>
    <w:next w:val="Normal"/>
    <w:autoRedefine/>
    <w:uiPriority w:val="98"/>
    <w:semiHidden/>
    <w:rsid w:val="001A7E7E"/>
    <w:pPr>
      <w:ind w:left="1200" w:hanging="240"/>
    </w:pPr>
  </w:style>
  <w:style w:type="paragraph" w:styleId="Index6">
    <w:name w:val="index 6"/>
    <w:basedOn w:val="Normal"/>
    <w:next w:val="Normal"/>
    <w:autoRedefine/>
    <w:uiPriority w:val="98"/>
    <w:semiHidden/>
    <w:rsid w:val="001A7E7E"/>
    <w:pPr>
      <w:ind w:left="1440" w:hanging="240"/>
    </w:pPr>
  </w:style>
  <w:style w:type="paragraph" w:styleId="Index7">
    <w:name w:val="index 7"/>
    <w:basedOn w:val="Normal"/>
    <w:next w:val="Normal"/>
    <w:autoRedefine/>
    <w:uiPriority w:val="98"/>
    <w:semiHidden/>
    <w:rsid w:val="001A7E7E"/>
    <w:pPr>
      <w:ind w:left="1680" w:hanging="240"/>
    </w:pPr>
  </w:style>
  <w:style w:type="paragraph" w:styleId="Index8">
    <w:name w:val="index 8"/>
    <w:basedOn w:val="Normal"/>
    <w:next w:val="Normal"/>
    <w:autoRedefine/>
    <w:uiPriority w:val="98"/>
    <w:semiHidden/>
    <w:rsid w:val="001A7E7E"/>
    <w:pPr>
      <w:ind w:left="1920" w:hanging="240"/>
    </w:pPr>
  </w:style>
  <w:style w:type="paragraph" w:styleId="Index9">
    <w:name w:val="index 9"/>
    <w:basedOn w:val="Normal"/>
    <w:next w:val="Normal"/>
    <w:autoRedefine/>
    <w:uiPriority w:val="98"/>
    <w:semiHidden/>
    <w:rsid w:val="001A7E7E"/>
    <w:pPr>
      <w:ind w:left="2160" w:hanging="240"/>
    </w:pPr>
  </w:style>
  <w:style w:type="paragraph" w:styleId="IndexHeading">
    <w:name w:val="index heading"/>
    <w:basedOn w:val="Normal"/>
    <w:next w:val="Index1"/>
    <w:uiPriority w:val="98"/>
    <w:semiHidden/>
    <w:rsid w:val="001A7E7E"/>
    <w:rPr>
      <w:rFonts w:asciiTheme="majorHAnsi" w:eastAsiaTheme="majorEastAsia" w:hAnsiTheme="majorHAnsi" w:cstheme="majorBidi"/>
      <w:b/>
      <w:bCs/>
    </w:rPr>
  </w:style>
  <w:style w:type="table" w:styleId="LightGrid">
    <w:name w:val="Light Grid"/>
    <w:basedOn w:val="TableNormal"/>
    <w:uiPriority w:val="62"/>
    <w:semiHidden/>
    <w:rsid w:val="001A7E7E"/>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1A7E7E"/>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1A7E7E"/>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1A7E7E"/>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1A7E7E"/>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1A7E7E"/>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1A7E7E"/>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1A7E7E"/>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1A7E7E"/>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1A7E7E"/>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1A7E7E"/>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1A7E7E"/>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1A7E7E"/>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1A7E7E"/>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1A7E7E"/>
    <w:rPr>
      <w:color w:val="000000" w:themeColor="text1" w:themeShade="BF"/>
      <w:sz w:val="24"/>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1A7E7E"/>
    <w:rPr>
      <w:color w:val="00548C" w:themeColor="accent1" w:themeShade="BF"/>
      <w:sz w:val="24"/>
      <w:szCs w:val="24"/>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1A7E7E"/>
    <w:rPr>
      <w:color w:val="8F0000" w:themeColor="accent2" w:themeShade="BF"/>
      <w:sz w:val="24"/>
      <w:szCs w:val="24"/>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1A7E7E"/>
    <w:rPr>
      <w:color w:val="474747" w:themeColor="accent3" w:themeShade="BF"/>
      <w:sz w:val="24"/>
      <w:szCs w:val="24"/>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1A7E7E"/>
    <w:rPr>
      <w:color w:val="707070" w:themeColor="accent4" w:themeShade="BF"/>
      <w:sz w:val="24"/>
      <w:szCs w:val="24"/>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1A7E7E"/>
    <w:rPr>
      <w:color w:val="474747" w:themeColor="accent5" w:themeShade="BF"/>
      <w:sz w:val="24"/>
      <w:szCs w:val="24"/>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1A7E7E"/>
    <w:rPr>
      <w:color w:val="393939" w:themeColor="accent6" w:themeShade="BF"/>
      <w:sz w:val="24"/>
      <w:szCs w:val="24"/>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8"/>
    <w:semiHidden/>
    <w:rsid w:val="001A7E7E"/>
  </w:style>
  <w:style w:type="paragraph" w:styleId="List">
    <w:name w:val="List"/>
    <w:basedOn w:val="Normal"/>
    <w:uiPriority w:val="98"/>
    <w:semiHidden/>
    <w:rsid w:val="001A7E7E"/>
    <w:pPr>
      <w:ind w:left="283" w:hanging="283"/>
      <w:contextualSpacing/>
    </w:pPr>
  </w:style>
  <w:style w:type="paragraph" w:styleId="List2">
    <w:name w:val="List 2"/>
    <w:basedOn w:val="Normal"/>
    <w:uiPriority w:val="98"/>
    <w:semiHidden/>
    <w:rsid w:val="001A7E7E"/>
    <w:pPr>
      <w:ind w:left="566" w:hanging="283"/>
      <w:contextualSpacing/>
    </w:pPr>
  </w:style>
  <w:style w:type="paragraph" w:styleId="List3">
    <w:name w:val="List 3"/>
    <w:basedOn w:val="Normal"/>
    <w:uiPriority w:val="98"/>
    <w:semiHidden/>
    <w:rsid w:val="001A7E7E"/>
    <w:pPr>
      <w:ind w:left="849" w:hanging="283"/>
      <w:contextualSpacing/>
    </w:pPr>
  </w:style>
  <w:style w:type="paragraph" w:styleId="List4">
    <w:name w:val="List 4"/>
    <w:basedOn w:val="Normal"/>
    <w:uiPriority w:val="98"/>
    <w:semiHidden/>
    <w:rsid w:val="001A7E7E"/>
    <w:pPr>
      <w:ind w:left="1132" w:hanging="283"/>
      <w:contextualSpacing/>
    </w:pPr>
  </w:style>
  <w:style w:type="paragraph" w:styleId="List5">
    <w:name w:val="List 5"/>
    <w:basedOn w:val="Normal"/>
    <w:uiPriority w:val="98"/>
    <w:semiHidden/>
    <w:rsid w:val="001A7E7E"/>
    <w:pPr>
      <w:ind w:left="1415" w:hanging="283"/>
      <w:contextualSpacing/>
    </w:pPr>
  </w:style>
  <w:style w:type="paragraph" w:styleId="ListBullet">
    <w:name w:val="List Bullet"/>
    <w:basedOn w:val="Normal"/>
    <w:uiPriority w:val="98"/>
    <w:semiHidden/>
    <w:rsid w:val="001A7E7E"/>
    <w:pPr>
      <w:numPr>
        <w:numId w:val="10"/>
      </w:numPr>
    </w:pPr>
  </w:style>
  <w:style w:type="paragraph" w:styleId="ListBullet3">
    <w:name w:val="List Bullet 3"/>
    <w:basedOn w:val="Normal"/>
    <w:uiPriority w:val="98"/>
    <w:semiHidden/>
    <w:rsid w:val="001A7E7E"/>
    <w:pPr>
      <w:numPr>
        <w:numId w:val="12"/>
      </w:numPr>
      <w:contextualSpacing/>
    </w:pPr>
  </w:style>
  <w:style w:type="paragraph" w:styleId="ListBullet4">
    <w:name w:val="List Bullet 4"/>
    <w:basedOn w:val="Normal"/>
    <w:uiPriority w:val="98"/>
    <w:semiHidden/>
    <w:rsid w:val="001A7E7E"/>
    <w:pPr>
      <w:numPr>
        <w:numId w:val="13"/>
      </w:numPr>
      <w:contextualSpacing/>
    </w:pPr>
  </w:style>
  <w:style w:type="paragraph" w:styleId="ListBullet5">
    <w:name w:val="List Bullet 5"/>
    <w:basedOn w:val="Normal"/>
    <w:uiPriority w:val="98"/>
    <w:semiHidden/>
    <w:rsid w:val="001A7E7E"/>
    <w:pPr>
      <w:numPr>
        <w:numId w:val="14"/>
      </w:numPr>
      <w:contextualSpacing/>
    </w:pPr>
  </w:style>
  <w:style w:type="paragraph" w:styleId="ListContinue">
    <w:name w:val="List Continue"/>
    <w:basedOn w:val="Normal"/>
    <w:uiPriority w:val="98"/>
    <w:semiHidden/>
    <w:rsid w:val="001A7E7E"/>
    <w:pPr>
      <w:spacing w:after="120"/>
      <w:ind w:left="283"/>
      <w:contextualSpacing/>
    </w:pPr>
  </w:style>
  <w:style w:type="paragraph" w:styleId="ListContinue2">
    <w:name w:val="List Continue 2"/>
    <w:basedOn w:val="Normal"/>
    <w:uiPriority w:val="98"/>
    <w:semiHidden/>
    <w:rsid w:val="001A7E7E"/>
    <w:pPr>
      <w:spacing w:after="120"/>
      <w:ind w:left="566"/>
      <w:contextualSpacing/>
    </w:pPr>
  </w:style>
  <w:style w:type="paragraph" w:styleId="ListContinue3">
    <w:name w:val="List Continue 3"/>
    <w:basedOn w:val="Normal"/>
    <w:uiPriority w:val="98"/>
    <w:semiHidden/>
    <w:rsid w:val="001A7E7E"/>
    <w:pPr>
      <w:spacing w:after="120"/>
      <w:ind w:left="849"/>
      <w:contextualSpacing/>
    </w:pPr>
  </w:style>
  <w:style w:type="paragraph" w:styleId="ListContinue4">
    <w:name w:val="List Continue 4"/>
    <w:basedOn w:val="Normal"/>
    <w:uiPriority w:val="98"/>
    <w:semiHidden/>
    <w:rsid w:val="001A7E7E"/>
    <w:pPr>
      <w:spacing w:after="120"/>
      <w:ind w:left="1132"/>
      <w:contextualSpacing/>
    </w:pPr>
  </w:style>
  <w:style w:type="paragraph" w:styleId="ListContinue5">
    <w:name w:val="List Continue 5"/>
    <w:basedOn w:val="Normal"/>
    <w:uiPriority w:val="98"/>
    <w:semiHidden/>
    <w:rsid w:val="001A7E7E"/>
    <w:pPr>
      <w:spacing w:after="120"/>
      <w:ind w:left="1415"/>
      <w:contextualSpacing/>
    </w:pPr>
  </w:style>
  <w:style w:type="paragraph" w:styleId="ListNumber">
    <w:name w:val="List Number"/>
    <w:basedOn w:val="Normal"/>
    <w:uiPriority w:val="98"/>
    <w:semiHidden/>
    <w:rsid w:val="001A7E7E"/>
    <w:pPr>
      <w:numPr>
        <w:numId w:val="15"/>
      </w:numPr>
      <w:contextualSpacing/>
    </w:pPr>
  </w:style>
  <w:style w:type="paragraph" w:styleId="ListNumber2">
    <w:name w:val="List Number 2"/>
    <w:basedOn w:val="Normal"/>
    <w:uiPriority w:val="98"/>
    <w:semiHidden/>
    <w:rsid w:val="001A7E7E"/>
    <w:pPr>
      <w:numPr>
        <w:numId w:val="16"/>
      </w:numPr>
      <w:contextualSpacing/>
    </w:pPr>
  </w:style>
  <w:style w:type="paragraph" w:styleId="ListNumber3">
    <w:name w:val="List Number 3"/>
    <w:basedOn w:val="Normal"/>
    <w:uiPriority w:val="98"/>
    <w:semiHidden/>
    <w:rsid w:val="001A7E7E"/>
    <w:pPr>
      <w:numPr>
        <w:numId w:val="17"/>
      </w:numPr>
      <w:contextualSpacing/>
    </w:pPr>
  </w:style>
  <w:style w:type="paragraph" w:styleId="ListNumber4">
    <w:name w:val="List Number 4"/>
    <w:basedOn w:val="Normal"/>
    <w:uiPriority w:val="98"/>
    <w:semiHidden/>
    <w:rsid w:val="001A7E7E"/>
    <w:pPr>
      <w:numPr>
        <w:numId w:val="18"/>
      </w:numPr>
      <w:contextualSpacing/>
    </w:pPr>
  </w:style>
  <w:style w:type="paragraph" w:styleId="ListNumber5">
    <w:name w:val="List Number 5"/>
    <w:basedOn w:val="Normal"/>
    <w:uiPriority w:val="98"/>
    <w:semiHidden/>
    <w:rsid w:val="001A7E7E"/>
    <w:pPr>
      <w:numPr>
        <w:numId w:val="19"/>
      </w:numPr>
      <w:contextualSpacing/>
    </w:pPr>
  </w:style>
  <w:style w:type="paragraph" w:styleId="MacroText">
    <w:name w:val="macro"/>
    <w:link w:val="MacroTextChar"/>
    <w:uiPriority w:val="98"/>
    <w:semiHidden/>
    <w:rsid w:val="001A7E7E"/>
    <w:pPr>
      <w:tabs>
        <w:tab w:val="left" w:pos="480"/>
        <w:tab w:val="left" w:pos="960"/>
        <w:tab w:val="left" w:pos="1440"/>
        <w:tab w:val="left" w:pos="1920"/>
        <w:tab w:val="left" w:pos="2400"/>
        <w:tab w:val="left" w:pos="2880"/>
        <w:tab w:val="left" w:pos="3360"/>
        <w:tab w:val="left" w:pos="3840"/>
        <w:tab w:val="left" w:pos="4320"/>
      </w:tabs>
      <w:jc w:val="both"/>
    </w:pPr>
    <w:rPr>
      <w:rFonts w:ascii="Consolas" w:eastAsiaTheme="minorEastAsia" w:hAnsi="Consolas" w:cs="Consolas"/>
      <w:sz w:val="20"/>
      <w:szCs w:val="20"/>
    </w:rPr>
  </w:style>
  <w:style w:type="character" w:customStyle="1" w:styleId="MacroTextChar">
    <w:name w:val="Macro Text Char"/>
    <w:basedOn w:val="DefaultParagraphFont"/>
    <w:link w:val="MacroText"/>
    <w:uiPriority w:val="98"/>
    <w:semiHidden/>
    <w:rsid w:val="001A7E7E"/>
    <w:rPr>
      <w:rFonts w:ascii="Consolas" w:eastAsiaTheme="minorEastAsia" w:hAnsi="Consolas" w:cs="Consolas"/>
      <w:sz w:val="20"/>
      <w:szCs w:val="20"/>
    </w:rPr>
  </w:style>
  <w:style w:type="table" w:styleId="MediumGrid1">
    <w:name w:val="Medium Grid 1"/>
    <w:basedOn w:val="TableNormal"/>
    <w:uiPriority w:val="67"/>
    <w:semiHidden/>
    <w:rsid w:val="001A7E7E"/>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1A7E7E"/>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1A7E7E"/>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1A7E7E"/>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1A7E7E"/>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1A7E7E"/>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1A7E7E"/>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1A7E7E"/>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1A7E7E"/>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1A7E7E"/>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1A7E7E"/>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1A7E7E"/>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1A7E7E"/>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1A7E7E"/>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1A7E7E"/>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1A7E7E"/>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1A7E7E"/>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1A7E7E"/>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1A7E7E"/>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1A7E7E"/>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1A7E7E"/>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1A7E7E"/>
    <w:rPr>
      <w:color w:val="000000" w:themeColor="text1"/>
      <w:sz w:val="24"/>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1A7E7E"/>
    <w:rPr>
      <w:color w:val="000000" w:themeColor="text1"/>
      <w:sz w:val="24"/>
      <w:szCs w:val="24"/>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1A7E7E"/>
    <w:rPr>
      <w:color w:val="000000" w:themeColor="text1"/>
      <w:sz w:val="24"/>
      <w:szCs w:val="24"/>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1A7E7E"/>
    <w:rPr>
      <w:color w:val="000000" w:themeColor="text1"/>
      <w:sz w:val="24"/>
      <w:szCs w:val="24"/>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1A7E7E"/>
    <w:rPr>
      <w:color w:val="000000" w:themeColor="text1"/>
      <w:sz w:val="24"/>
      <w:szCs w:val="24"/>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1A7E7E"/>
    <w:rPr>
      <w:color w:val="000000" w:themeColor="text1"/>
      <w:sz w:val="24"/>
      <w:szCs w:val="24"/>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1A7E7E"/>
    <w:rPr>
      <w:color w:val="000000" w:themeColor="text1"/>
      <w:sz w:val="24"/>
      <w:szCs w:val="24"/>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1A7E7E"/>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1A7E7E"/>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1A7E7E"/>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1A7E7E"/>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1A7E7E"/>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1A7E7E"/>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1A7E7E"/>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1A7E7E"/>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1A7E7E"/>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1A7E7E"/>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1A7E7E"/>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1A7E7E"/>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1A7E7E"/>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1A7E7E"/>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1A7E7E"/>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1A7E7E"/>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1A7E7E"/>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1A7E7E"/>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1A7E7E"/>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1A7E7E"/>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1A7E7E"/>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8"/>
    <w:semiHidden/>
    <w:rsid w:val="001A7E7E"/>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8"/>
    <w:semiHidden/>
    <w:rsid w:val="001A7E7E"/>
    <w:rPr>
      <w:rFonts w:asciiTheme="majorHAnsi" w:eastAsiaTheme="majorEastAsia" w:hAnsiTheme="majorHAnsi" w:cstheme="majorBidi"/>
      <w:sz w:val="24"/>
      <w:szCs w:val="24"/>
      <w:shd w:val="pct20" w:color="auto" w:fill="auto"/>
      <w:lang w:val="fr-FR"/>
    </w:rPr>
  </w:style>
  <w:style w:type="paragraph" w:styleId="NormalWeb">
    <w:name w:val="Normal (Web)"/>
    <w:basedOn w:val="Normal"/>
    <w:uiPriority w:val="98"/>
    <w:semiHidden/>
    <w:rsid w:val="001A7E7E"/>
    <w:rPr>
      <w:rFonts w:ascii="Times New Roman" w:hAnsi="Times New Roman" w:cs="Times New Roman"/>
    </w:rPr>
  </w:style>
  <w:style w:type="paragraph" w:styleId="NormalIndent">
    <w:name w:val="Normal Indent"/>
    <w:basedOn w:val="Normal"/>
    <w:uiPriority w:val="98"/>
    <w:semiHidden/>
    <w:rsid w:val="001A7E7E"/>
    <w:pPr>
      <w:ind w:left="720"/>
    </w:pPr>
  </w:style>
  <w:style w:type="paragraph" w:styleId="NoteHeading">
    <w:name w:val="Note Heading"/>
    <w:basedOn w:val="Normal"/>
    <w:next w:val="Normal"/>
    <w:link w:val="NoteHeadingChar"/>
    <w:uiPriority w:val="98"/>
    <w:semiHidden/>
    <w:rsid w:val="001A7E7E"/>
  </w:style>
  <w:style w:type="character" w:customStyle="1" w:styleId="NoteHeadingChar">
    <w:name w:val="Note Heading Char"/>
    <w:basedOn w:val="DefaultParagraphFont"/>
    <w:link w:val="NoteHeading"/>
    <w:uiPriority w:val="98"/>
    <w:semiHidden/>
    <w:rsid w:val="001A7E7E"/>
    <w:rPr>
      <w:sz w:val="24"/>
      <w:szCs w:val="24"/>
      <w:lang w:val="fr-FR"/>
    </w:rPr>
  </w:style>
  <w:style w:type="character" w:styleId="PlaceholderText">
    <w:name w:val="Placeholder Text"/>
    <w:basedOn w:val="DefaultParagraphFont"/>
    <w:uiPriority w:val="98"/>
    <w:semiHidden/>
    <w:rsid w:val="001A7E7E"/>
    <w:rPr>
      <w:color w:val="auto"/>
      <w:bdr w:val="none" w:sz="0" w:space="0" w:color="auto"/>
      <w:shd w:val="clear" w:color="auto" w:fill="DFDFDF" w:themeFill="background2" w:themeFillShade="E6"/>
    </w:rPr>
  </w:style>
  <w:style w:type="paragraph" w:styleId="PlainText">
    <w:name w:val="Plain Text"/>
    <w:basedOn w:val="Normal"/>
    <w:link w:val="PlainTextChar"/>
    <w:uiPriority w:val="98"/>
    <w:semiHidden/>
    <w:rsid w:val="001A7E7E"/>
    <w:rPr>
      <w:rFonts w:ascii="Consolas" w:hAnsi="Consolas" w:cs="Consolas"/>
      <w:sz w:val="21"/>
      <w:szCs w:val="21"/>
    </w:rPr>
  </w:style>
  <w:style w:type="character" w:customStyle="1" w:styleId="PlainTextChar">
    <w:name w:val="Plain Text Char"/>
    <w:basedOn w:val="DefaultParagraphFont"/>
    <w:link w:val="PlainText"/>
    <w:uiPriority w:val="98"/>
    <w:semiHidden/>
    <w:rsid w:val="001A7E7E"/>
    <w:rPr>
      <w:rFonts w:ascii="Consolas" w:hAnsi="Consolas" w:cs="Consolas"/>
      <w:sz w:val="21"/>
      <w:szCs w:val="21"/>
      <w:lang w:val="fr-FR"/>
    </w:rPr>
  </w:style>
  <w:style w:type="paragraph" w:styleId="Salutation">
    <w:name w:val="Salutation"/>
    <w:basedOn w:val="Normal"/>
    <w:next w:val="Normal"/>
    <w:link w:val="SalutationChar"/>
    <w:uiPriority w:val="98"/>
    <w:semiHidden/>
    <w:rsid w:val="001A7E7E"/>
  </w:style>
  <w:style w:type="character" w:customStyle="1" w:styleId="SalutationChar">
    <w:name w:val="Salutation Char"/>
    <w:basedOn w:val="DefaultParagraphFont"/>
    <w:link w:val="Salutation"/>
    <w:uiPriority w:val="98"/>
    <w:semiHidden/>
    <w:rsid w:val="001A7E7E"/>
    <w:rPr>
      <w:sz w:val="24"/>
      <w:szCs w:val="24"/>
      <w:lang w:val="fr-FR"/>
    </w:rPr>
  </w:style>
  <w:style w:type="paragraph" w:styleId="Signature">
    <w:name w:val="Signature"/>
    <w:basedOn w:val="Normal"/>
    <w:link w:val="SignatureChar"/>
    <w:uiPriority w:val="98"/>
    <w:semiHidden/>
    <w:rsid w:val="001A7E7E"/>
    <w:pPr>
      <w:ind w:left="4252"/>
    </w:pPr>
  </w:style>
  <w:style w:type="character" w:customStyle="1" w:styleId="SignatureChar">
    <w:name w:val="Signature Char"/>
    <w:basedOn w:val="DefaultParagraphFont"/>
    <w:link w:val="Signature"/>
    <w:uiPriority w:val="98"/>
    <w:semiHidden/>
    <w:rsid w:val="001A7E7E"/>
    <w:rPr>
      <w:sz w:val="24"/>
      <w:szCs w:val="24"/>
      <w:lang w:val="fr-FR"/>
    </w:rPr>
  </w:style>
  <w:style w:type="table" w:styleId="Table3Deffects1">
    <w:name w:val="Table 3D effects 1"/>
    <w:basedOn w:val="TableNormal"/>
    <w:uiPriority w:val="99"/>
    <w:semiHidden/>
    <w:unhideWhenUsed/>
    <w:rsid w:val="001A7E7E"/>
    <w:pPr>
      <w:jc w:val="both"/>
    </w:pPr>
    <w:rPr>
      <w:sz w:val="24"/>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1A7E7E"/>
    <w:pPr>
      <w:jc w:val="both"/>
    </w:pPr>
    <w:rPr>
      <w:sz w:val="24"/>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1A7E7E"/>
    <w:pPr>
      <w:jc w:val="both"/>
    </w:pPr>
    <w:rPr>
      <w:sz w:val="24"/>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1A7E7E"/>
    <w:pPr>
      <w:jc w:val="both"/>
    </w:pPr>
    <w:rPr>
      <w:sz w:val="24"/>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1A7E7E"/>
    <w:pPr>
      <w:jc w:val="both"/>
    </w:pPr>
    <w:rPr>
      <w:sz w:val="24"/>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1A7E7E"/>
    <w:pPr>
      <w:jc w:val="both"/>
    </w:pPr>
    <w:rPr>
      <w:color w:val="000080"/>
      <w:sz w:val="24"/>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1A7E7E"/>
    <w:pPr>
      <w:jc w:val="both"/>
    </w:pPr>
    <w:rPr>
      <w:sz w:val="24"/>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1A7E7E"/>
    <w:pPr>
      <w:jc w:val="both"/>
    </w:pPr>
    <w:rPr>
      <w:color w:val="FFFFFF"/>
      <w:sz w:val="24"/>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1A7E7E"/>
    <w:pPr>
      <w:jc w:val="both"/>
    </w:pPr>
    <w:rPr>
      <w:sz w:val="24"/>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1A7E7E"/>
    <w:pPr>
      <w:jc w:val="both"/>
    </w:pPr>
    <w:rPr>
      <w:sz w:val="24"/>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1A7E7E"/>
    <w:pPr>
      <w:jc w:val="both"/>
    </w:pPr>
    <w:rPr>
      <w:b/>
      <w:bCs/>
      <w:sz w:val="24"/>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1A7E7E"/>
    <w:pPr>
      <w:jc w:val="both"/>
    </w:pPr>
    <w:rPr>
      <w:b/>
      <w:bCs/>
      <w:sz w:val="24"/>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1A7E7E"/>
    <w:pPr>
      <w:jc w:val="both"/>
    </w:pPr>
    <w:rPr>
      <w:b/>
      <w:bCs/>
      <w:sz w:val="24"/>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1A7E7E"/>
    <w:pPr>
      <w:jc w:val="both"/>
    </w:pPr>
    <w:rPr>
      <w:sz w:val="24"/>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1A7E7E"/>
    <w:pPr>
      <w:jc w:val="both"/>
    </w:pPr>
    <w:rPr>
      <w:sz w:val="24"/>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1A7E7E"/>
    <w:pPr>
      <w:jc w:val="both"/>
    </w:pPr>
    <w:rPr>
      <w:sz w:val="24"/>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1A7E7E"/>
    <w:pPr>
      <w:jc w:val="both"/>
    </w:pPr>
    <w:rPr>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1A7E7E"/>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1A7E7E"/>
    <w:pPr>
      <w:jc w:val="both"/>
    </w:pPr>
    <w:rPr>
      <w:sz w:val="24"/>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1A7E7E"/>
    <w:pPr>
      <w:jc w:val="both"/>
    </w:pPr>
    <w:rPr>
      <w:sz w:val="24"/>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1A7E7E"/>
    <w:pPr>
      <w:jc w:val="both"/>
    </w:pPr>
    <w:rPr>
      <w:sz w:val="24"/>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1A7E7E"/>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1A7E7E"/>
    <w:pPr>
      <w:jc w:val="both"/>
    </w:pPr>
    <w:rPr>
      <w:sz w:val="24"/>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1A7E7E"/>
    <w:pPr>
      <w:jc w:val="both"/>
    </w:pPr>
    <w:rPr>
      <w:b/>
      <w:bCs/>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1A7E7E"/>
    <w:pPr>
      <w:jc w:val="both"/>
    </w:pPr>
    <w:rPr>
      <w:sz w:val="24"/>
      <w:szCs w:val="24"/>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1A7E7E"/>
    <w:pPr>
      <w:jc w:val="both"/>
    </w:pPr>
    <w:rPr>
      <w:sz w:val="24"/>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1A7E7E"/>
    <w:pPr>
      <w:jc w:val="both"/>
    </w:pPr>
    <w:rPr>
      <w:sz w:val="24"/>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1A7E7E"/>
    <w:pPr>
      <w:jc w:val="both"/>
    </w:pPr>
    <w:rPr>
      <w:sz w:val="24"/>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1A7E7E"/>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1A7E7E"/>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1A7E7E"/>
    <w:pPr>
      <w:jc w:val="both"/>
    </w:pPr>
    <w:rPr>
      <w:sz w:val="24"/>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1A7E7E"/>
    <w:pPr>
      <w:jc w:val="both"/>
    </w:pPr>
    <w:rPr>
      <w:sz w:val="24"/>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1A7E7E"/>
    <w:pPr>
      <w:jc w:val="both"/>
    </w:pPr>
    <w:rPr>
      <w:sz w:val="24"/>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8"/>
    <w:semiHidden/>
    <w:rsid w:val="001A7E7E"/>
    <w:pPr>
      <w:ind w:left="240" w:hanging="240"/>
    </w:pPr>
  </w:style>
  <w:style w:type="paragraph" w:styleId="TableofFigures">
    <w:name w:val="table of figures"/>
    <w:basedOn w:val="Normal"/>
    <w:next w:val="Normal"/>
    <w:uiPriority w:val="98"/>
    <w:semiHidden/>
    <w:rsid w:val="001A7E7E"/>
  </w:style>
  <w:style w:type="table" w:styleId="TableProfessional">
    <w:name w:val="Table Professional"/>
    <w:basedOn w:val="TableNormal"/>
    <w:uiPriority w:val="99"/>
    <w:semiHidden/>
    <w:unhideWhenUsed/>
    <w:rsid w:val="001A7E7E"/>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1A7E7E"/>
    <w:pPr>
      <w:jc w:val="both"/>
    </w:pPr>
    <w:rPr>
      <w:sz w:val="24"/>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1A7E7E"/>
    <w:pPr>
      <w:jc w:val="both"/>
    </w:pPr>
    <w:rPr>
      <w:sz w:val="24"/>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1A7E7E"/>
    <w:pPr>
      <w:jc w:val="both"/>
    </w:pPr>
    <w:rPr>
      <w:sz w:val="24"/>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1A7E7E"/>
    <w:pPr>
      <w:jc w:val="both"/>
    </w:pPr>
    <w:rPr>
      <w:sz w:val="24"/>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1A7E7E"/>
    <w:pPr>
      <w:jc w:val="both"/>
    </w:pPr>
    <w:rPr>
      <w:sz w:val="24"/>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1A7E7E"/>
    <w:pPr>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1A7E7E"/>
    <w:pPr>
      <w:jc w:val="both"/>
    </w:pPr>
    <w:rPr>
      <w:sz w:val="24"/>
      <w:szCs w:val="24"/>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1A7E7E"/>
    <w:pPr>
      <w:jc w:val="both"/>
    </w:pPr>
    <w:rPr>
      <w:sz w:val="24"/>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1A7E7E"/>
    <w:pPr>
      <w:jc w:val="both"/>
    </w:pPr>
    <w:rPr>
      <w:sz w:val="24"/>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8"/>
    <w:semiHidden/>
    <w:rsid w:val="001A7E7E"/>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8"/>
    <w:semiHidden/>
    <w:rsid w:val="001A7E7E"/>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8"/>
    <w:semiHidden/>
    <w:rsid w:val="001A7E7E"/>
    <w:pPr>
      <w:spacing w:after="100"/>
      <w:ind w:left="1680"/>
    </w:pPr>
  </w:style>
  <w:style w:type="paragraph" w:styleId="TOC9">
    <w:name w:val="toc 9"/>
    <w:basedOn w:val="Normal"/>
    <w:next w:val="Normal"/>
    <w:autoRedefine/>
    <w:uiPriority w:val="98"/>
    <w:semiHidden/>
    <w:rsid w:val="001A7E7E"/>
    <w:pPr>
      <w:spacing w:after="100"/>
      <w:ind w:left="1920"/>
    </w:pPr>
  </w:style>
  <w:style w:type="paragraph" w:customStyle="1" w:styleId="ECHRFooter">
    <w:name w:val="ECHR_Footer"/>
    <w:aliases w:val="Footer_ECHR"/>
    <w:basedOn w:val="Footer0"/>
    <w:uiPriority w:val="57"/>
    <w:semiHidden/>
    <w:rsid w:val="00893F30"/>
    <w:rPr>
      <w:sz w:val="8"/>
    </w:rPr>
  </w:style>
  <w:style w:type="paragraph" w:customStyle="1" w:styleId="FooterLine">
    <w:name w:val="_Footer_Line"/>
    <w:aliases w:val="Footer_Line"/>
    <w:basedOn w:val="Normal"/>
    <w:next w:val="Footer"/>
    <w:uiPriority w:val="57"/>
    <w:semiHidden/>
    <w:rsid w:val="001A7E7E"/>
    <w:pPr>
      <w:pBdr>
        <w:top w:val="single" w:sz="6" w:space="1" w:color="5F5F5F"/>
      </w:pBdr>
      <w:tabs>
        <w:tab w:val="center" w:pos="3686"/>
        <w:tab w:val="right" w:pos="7371"/>
      </w:tabs>
      <w:ind w:left="-1474" w:right="-1474"/>
    </w:pPr>
    <w:rPr>
      <w:color w:val="5F5F5F"/>
    </w:rPr>
  </w:style>
  <w:style w:type="paragraph" w:customStyle="1" w:styleId="DecHCase">
    <w:name w:val="Dec_H_Case"/>
    <w:aliases w:val="_Title_3"/>
    <w:basedOn w:val="JuPara"/>
    <w:next w:val="JuPara"/>
    <w:uiPriority w:val="38"/>
    <w:qFormat/>
    <w:rsid w:val="001A7E7E"/>
    <w:pPr>
      <w:keepNext/>
      <w:keepLines/>
      <w:spacing w:after="280"/>
      <w:ind w:firstLine="0"/>
      <w:jc w:val="center"/>
    </w:pPr>
    <w:rPr>
      <w:rFonts w:asciiTheme="majorHAnsi" w:hAnsiTheme="majorHAnsi"/>
    </w:rPr>
  </w:style>
  <w:style w:type="paragraph" w:customStyle="1" w:styleId="JuTitle">
    <w:name w:val="Ju_Title"/>
    <w:aliases w:val="_Title_2"/>
    <w:basedOn w:val="Normal"/>
    <w:next w:val="JuPara"/>
    <w:uiPriority w:val="38"/>
    <w:qFormat/>
    <w:rsid w:val="001A7E7E"/>
    <w:pPr>
      <w:keepNext/>
      <w:keepLines/>
      <w:spacing w:before="1320" w:after="280"/>
      <w:contextualSpacing/>
      <w:jc w:val="center"/>
    </w:pPr>
    <w:rPr>
      <w:b/>
    </w:rPr>
  </w:style>
  <w:style w:type="paragraph" w:customStyle="1" w:styleId="DummyStyle">
    <w:name w:val="Dummy_Style"/>
    <w:aliases w:val="_Dummy"/>
    <w:basedOn w:val="Normal"/>
    <w:semiHidden/>
    <w:qFormat/>
    <w:rsid w:val="001A7E7E"/>
    <w:rPr>
      <w:color w:val="00B050"/>
      <w:sz w:val="22"/>
    </w:rPr>
  </w:style>
  <w:style w:type="paragraph" w:customStyle="1" w:styleId="ECHRBullet1">
    <w:name w:val="ECHR_Bullet_1"/>
    <w:aliases w:val="_Bul_1"/>
    <w:basedOn w:val="NormalJustified"/>
    <w:uiPriority w:val="23"/>
    <w:semiHidden/>
    <w:qFormat/>
    <w:rsid w:val="001A7E7E"/>
    <w:pPr>
      <w:numPr>
        <w:numId w:val="7"/>
      </w:numPr>
      <w:spacing w:before="60" w:after="60"/>
    </w:pPr>
  </w:style>
  <w:style w:type="paragraph" w:customStyle="1" w:styleId="ECHRBullet2">
    <w:name w:val="ECHR_Bullet_2"/>
    <w:aliases w:val="_Bul_2"/>
    <w:basedOn w:val="ECHRBullet1"/>
    <w:uiPriority w:val="23"/>
    <w:semiHidden/>
    <w:rsid w:val="001A7E7E"/>
    <w:pPr>
      <w:numPr>
        <w:ilvl w:val="1"/>
      </w:numPr>
    </w:pPr>
  </w:style>
  <w:style w:type="paragraph" w:customStyle="1" w:styleId="ECHRBullet3">
    <w:name w:val="ECHR_Bullet_3"/>
    <w:aliases w:val="_Bul_3"/>
    <w:basedOn w:val="ECHRBullet2"/>
    <w:uiPriority w:val="23"/>
    <w:semiHidden/>
    <w:rsid w:val="001A7E7E"/>
    <w:pPr>
      <w:numPr>
        <w:ilvl w:val="2"/>
      </w:numPr>
    </w:pPr>
  </w:style>
  <w:style w:type="paragraph" w:customStyle="1" w:styleId="ECHRBullet4">
    <w:name w:val="ECHR_Bullet_4"/>
    <w:aliases w:val="_Bul_4"/>
    <w:basedOn w:val="ECHRBullet3"/>
    <w:uiPriority w:val="23"/>
    <w:semiHidden/>
    <w:rsid w:val="001A7E7E"/>
    <w:pPr>
      <w:numPr>
        <w:ilvl w:val="3"/>
      </w:numPr>
    </w:pPr>
  </w:style>
  <w:style w:type="paragraph" w:customStyle="1" w:styleId="ECHRConfidential">
    <w:name w:val="ECHR_Confidential"/>
    <w:aliases w:val="_Confidential"/>
    <w:basedOn w:val="Normal"/>
    <w:next w:val="Normal"/>
    <w:uiPriority w:val="42"/>
    <w:semiHidden/>
    <w:qFormat/>
    <w:rsid w:val="001A7E7E"/>
    <w:pPr>
      <w:jc w:val="right"/>
    </w:pPr>
    <w:rPr>
      <w:color w:val="C00000"/>
      <w:sz w:val="20"/>
    </w:rPr>
  </w:style>
  <w:style w:type="paragraph" w:customStyle="1" w:styleId="ECHRDecisionBody">
    <w:name w:val="ECHR_Decision_Body"/>
    <w:aliases w:val="_Decision_Body"/>
    <w:basedOn w:val="NormalJustified"/>
    <w:uiPriority w:val="54"/>
    <w:semiHidden/>
    <w:rsid w:val="001A7E7E"/>
    <w:pPr>
      <w:tabs>
        <w:tab w:val="left" w:pos="567"/>
        <w:tab w:val="left" w:pos="1134"/>
      </w:tabs>
      <w:spacing w:line="240" w:lineRule="exact"/>
      <w:jc w:val="left"/>
    </w:pPr>
  </w:style>
  <w:style w:type="paragraph" w:customStyle="1" w:styleId="ECHRDivisionName">
    <w:name w:val="ECHR_DivisionName"/>
    <w:aliases w:val="_Div_Name"/>
    <w:basedOn w:val="Normal"/>
    <w:link w:val="ECHRDivisionNameChar"/>
    <w:uiPriority w:val="41"/>
    <w:semiHidden/>
    <w:qFormat/>
    <w:rsid w:val="001A7E7E"/>
    <w:pPr>
      <w:contextualSpacing/>
      <w:jc w:val="center"/>
    </w:pPr>
    <w:rPr>
      <w:rFonts w:ascii="Arial" w:hAnsi="Arial"/>
      <w:i/>
      <w:color w:val="002856"/>
      <w:sz w:val="32"/>
    </w:rPr>
  </w:style>
  <w:style w:type="character" w:customStyle="1" w:styleId="ECHRDivisionNameChar">
    <w:name w:val="ECHR_DivisionName Char"/>
    <w:aliases w:val="_Div_Name Char"/>
    <w:basedOn w:val="DefaultParagraphFont"/>
    <w:link w:val="ECHRDivisionName"/>
    <w:uiPriority w:val="41"/>
    <w:semiHidden/>
    <w:rsid w:val="001A7E7E"/>
    <w:rPr>
      <w:rFonts w:ascii="Arial" w:hAnsi="Arial"/>
      <w:i/>
      <w:color w:val="002856"/>
      <w:sz w:val="32"/>
      <w:szCs w:val="24"/>
      <w:lang w:val="fr-FR"/>
    </w:rPr>
  </w:style>
  <w:style w:type="paragraph" w:customStyle="1" w:styleId="ECHRFooterLineLandscape">
    <w:name w:val="ECHR_Footer_Line_Landscape"/>
    <w:aliases w:val="_Footer_Line_Landscape"/>
    <w:basedOn w:val="Normal"/>
    <w:uiPriority w:val="30"/>
    <w:semiHidden/>
    <w:rsid w:val="001A7E7E"/>
    <w:pPr>
      <w:pBdr>
        <w:top w:val="single" w:sz="8" w:space="1" w:color="7F7F7F" w:themeColor="text1" w:themeTint="80"/>
      </w:pBdr>
      <w:tabs>
        <w:tab w:val="center" w:pos="6146"/>
        <w:tab w:val="right" w:pos="12293"/>
      </w:tabs>
      <w:ind w:left="-1474" w:right="-1474"/>
    </w:pPr>
    <w:rPr>
      <w:color w:val="474747" w:themeColor="accent3" w:themeShade="BF"/>
      <w:sz w:val="22"/>
    </w:rPr>
  </w:style>
  <w:style w:type="paragraph" w:customStyle="1" w:styleId="ECHRHeaderDate">
    <w:name w:val="ECHR_Header_Date"/>
    <w:aliases w:val="_Ref_Date"/>
    <w:basedOn w:val="Normal"/>
    <w:uiPriority w:val="44"/>
    <w:semiHidden/>
    <w:qFormat/>
    <w:rsid w:val="001A7E7E"/>
    <w:pPr>
      <w:jc w:val="right"/>
    </w:pPr>
    <w:rPr>
      <w:sz w:val="20"/>
    </w:rPr>
  </w:style>
  <w:style w:type="paragraph" w:customStyle="1" w:styleId="ECHRHeaderRefIt">
    <w:name w:val="ECHR_Header_Ref_It"/>
    <w:aliases w:val="_Ref_Ital"/>
    <w:basedOn w:val="Normal"/>
    <w:next w:val="ECHRHeaderDate"/>
    <w:uiPriority w:val="43"/>
    <w:qFormat/>
    <w:rsid w:val="001A7E7E"/>
    <w:pPr>
      <w:jc w:val="right"/>
    </w:pPr>
    <w:rPr>
      <w:i/>
      <w:sz w:val="20"/>
    </w:rPr>
  </w:style>
  <w:style w:type="paragraph" w:customStyle="1" w:styleId="ECHRHeading9">
    <w:name w:val="ECHR_Heading_9"/>
    <w:aliases w:val="_Head_9"/>
    <w:basedOn w:val="Heading9"/>
    <w:uiPriority w:val="17"/>
    <w:semiHidden/>
    <w:rsid w:val="001A7E7E"/>
    <w:pPr>
      <w:keepNext/>
      <w:keepLines/>
      <w:numPr>
        <w:ilvl w:val="8"/>
        <w:numId w:val="3"/>
      </w:numPr>
      <w:spacing w:before="100" w:beforeAutospacing="1"/>
      <w:contextualSpacing/>
    </w:pPr>
    <w:rPr>
      <w:i w:val="0"/>
      <w:sz w:val="18"/>
    </w:rPr>
  </w:style>
  <w:style w:type="paragraph" w:customStyle="1" w:styleId="ECHRLine">
    <w:name w:val="ECHR_Line"/>
    <w:aliases w:val="_Line"/>
    <w:basedOn w:val="NormalJustified"/>
    <w:next w:val="Normal"/>
    <w:uiPriority w:val="46"/>
    <w:semiHidden/>
    <w:rsid w:val="001A7E7E"/>
    <w:pPr>
      <w:pBdr>
        <w:bottom w:val="single" w:sz="12" w:space="1" w:color="949494" w:themeColor="text2" w:themeShade="BF"/>
      </w:pBdr>
      <w:spacing w:after="120"/>
    </w:pPr>
    <w:rPr>
      <w:sz w:val="12"/>
    </w:rPr>
  </w:style>
  <w:style w:type="paragraph" w:customStyle="1" w:styleId="ECHRNumberedList1">
    <w:name w:val="ECHR_Numbered_List_1"/>
    <w:aliases w:val="_Num_1"/>
    <w:basedOn w:val="Normal"/>
    <w:uiPriority w:val="23"/>
    <w:semiHidden/>
    <w:qFormat/>
    <w:rsid w:val="001A7E7E"/>
    <w:pPr>
      <w:numPr>
        <w:numId w:val="9"/>
      </w:numPr>
      <w:spacing w:before="60" w:after="60"/>
    </w:pPr>
  </w:style>
  <w:style w:type="paragraph" w:customStyle="1" w:styleId="ECHRNumberedList2">
    <w:name w:val="ECHR_Numbered_List_2"/>
    <w:aliases w:val="_Num_2"/>
    <w:basedOn w:val="ECHRNumberedList1"/>
    <w:uiPriority w:val="23"/>
    <w:semiHidden/>
    <w:rsid w:val="001A7E7E"/>
    <w:pPr>
      <w:numPr>
        <w:ilvl w:val="1"/>
      </w:numPr>
    </w:pPr>
  </w:style>
  <w:style w:type="paragraph" w:customStyle="1" w:styleId="ECHRNumberedList3">
    <w:name w:val="ECHR_Numbered_List_3"/>
    <w:aliases w:val="_Num_3"/>
    <w:basedOn w:val="ECHRNumberedList2"/>
    <w:uiPriority w:val="23"/>
    <w:semiHidden/>
    <w:rsid w:val="001A7E7E"/>
    <w:pPr>
      <w:numPr>
        <w:ilvl w:val="2"/>
      </w:numPr>
    </w:pPr>
  </w:style>
  <w:style w:type="paragraph" w:customStyle="1" w:styleId="ECHRParaHanging">
    <w:name w:val="ECHR_Para_Hanging"/>
    <w:aliases w:val="_Hanging"/>
    <w:basedOn w:val="Normal"/>
    <w:uiPriority w:val="8"/>
    <w:semiHidden/>
    <w:qFormat/>
    <w:rsid w:val="001A7E7E"/>
    <w:pPr>
      <w:ind w:left="567" w:hanging="567"/>
      <w:jc w:val="both"/>
    </w:pPr>
  </w:style>
  <w:style w:type="paragraph" w:customStyle="1" w:styleId="ECHRParaIndent">
    <w:name w:val="ECHR_Para_Indent"/>
    <w:aliases w:val="_Indent"/>
    <w:basedOn w:val="Normal"/>
    <w:uiPriority w:val="7"/>
    <w:semiHidden/>
    <w:qFormat/>
    <w:rsid w:val="001A7E7E"/>
    <w:pPr>
      <w:spacing w:before="120" w:after="120"/>
      <w:ind w:left="567"/>
      <w:jc w:val="both"/>
    </w:pPr>
  </w:style>
  <w:style w:type="character" w:customStyle="1" w:styleId="ECHRRed">
    <w:name w:val="ECHR_Red"/>
    <w:aliases w:val="_Red"/>
    <w:basedOn w:val="DefaultParagraphFont"/>
    <w:uiPriority w:val="15"/>
    <w:semiHidden/>
    <w:qFormat/>
    <w:rsid w:val="001A7E7E"/>
    <w:rPr>
      <w:color w:val="C00000" w:themeColor="accent2"/>
    </w:rPr>
  </w:style>
  <w:style w:type="paragraph" w:customStyle="1" w:styleId="ECHRSpacer">
    <w:name w:val="ECHR_Spacer"/>
    <w:aliases w:val="_Spacer"/>
    <w:basedOn w:val="Normal"/>
    <w:uiPriority w:val="45"/>
    <w:semiHidden/>
    <w:rsid w:val="001A7E7E"/>
    <w:rPr>
      <w:sz w:val="4"/>
    </w:rPr>
  </w:style>
  <w:style w:type="table" w:customStyle="1" w:styleId="ECHRTable2">
    <w:name w:val="ECHR_Table_2"/>
    <w:basedOn w:val="TableNormal"/>
    <w:uiPriority w:val="99"/>
    <w:rsid w:val="001A7E7E"/>
    <w:pPr>
      <w:tabs>
        <w:tab w:val="left" w:pos="567"/>
        <w:tab w:val="left" w:pos="851"/>
        <w:tab w:val="right" w:pos="5273"/>
      </w:tabs>
    </w:pPr>
    <w:rPr>
      <w:color w:val="262626" w:themeColor="text1" w:themeTint="D9"/>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1A7E7E"/>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 w:type="paragraph" w:customStyle="1" w:styleId="ECHRTitle1">
    <w:name w:val="ECHR_Title_1"/>
    <w:aliases w:val="_Title_L_1"/>
    <w:basedOn w:val="Normal"/>
    <w:next w:val="Normal"/>
    <w:uiPriority w:val="28"/>
    <w:semiHidden/>
    <w:qFormat/>
    <w:rsid w:val="001A7E7E"/>
    <w:pPr>
      <w:keepNext/>
      <w:keepLines/>
      <w:spacing w:before="240"/>
      <w:contextualSpacing/>
    </w:pPr>
    <w:rPr>
      <w:rFonts w:asciiTheme="majorHAnsi" w:hAnsiTheme="majorHAnsi"/>
      <w:b/>
      <w:color w:val="2F2F2F" w:themeColor="accent3" w:themeShade="80"/>
      <w:sz w:val="32"/>
    </w:rPr>
  </w:style>
  <w:style w:type="paragraph" w:customStyle="1" w:styleId="ECHRTitle2">
    <w:name w:val="ECHR_Title_2"/>
    <w:aliases w:val="_Title_L_2"/>
    <w:basedOn w:val="Normal"/>
    <w:next w:val="Normal"/>
    <w:uiPriority w:val="28"/>
    <w:semiHidden/>
    <w:qFormat/>
    <w:rsid w:val="001A7E7E"/>
    <w:pPr>
      <w:keepNext/>
      <w:keepLines/>
      <w:spacing w:before="240"/>
      <w:contextualSpacing/>
    </w:pPr>
    <w:rPr>
      <w:rFonts w:asciiTheme="majorHAnsi" w:hAnsiTheme="majorHAnsi"/>
      <w:b/>
      <w:color w:val="474747" w:themeColor="accent3" w:themeShade="BF"/>
      <w:sz w:val="28"/>
    </w:rPr>
  </w:style>
  <w:style w:type="paragraph" w:customStyle="1" w:styleId="ECHRTitle3">
    <w:name w:val="ECHR_Title_3"/>
    <w:aliases w:val="_Title_L_3"/>
    <w:basedOn w:val="Normal"/>
    <w:next w:val="Normal"/>
    <w:uiPriority w:val="28"/>
    <w:semiHidden/>
    <w:qFormat/>
    <w:rsid w:val="001A7E7E"/>
    <w:pPr>
      <w:keepNext/>
      <w:keepLines/>
      <w:spacing w:before="240"/>
      <w:contextualSpacing/>
    </w:pPr>
    <w:rPr>
      <w:rFonts w:asciiTheme="majorHAnsi" w:hAnsiTheme="majorHAnsi"/>
      <w:b/>
      <w:color w:val="474747" w:themeColor="accent3" w:themeShade="BF"/>
    </w:rPr>
  </w:style>
  <w:style w:type="paragraph" w:customStyle="1" w:styleId="ECHRTitleCentre1">
    <w:name w:val="ECHR_Title_Centre_1"/>
    <w:aliases w:val="_Title_C_1"/>
    <w:basedOn w:val="Normal"/>
    <w:next w:val="Normal"/>
    <w:uiPriority w:val="26"/>
    <w:semiHidden/>
    <w:qFormat/>
    <w:rsid w:val="001A7E7E"/>
    <w:pPr>
      <w:keepNext/>
      <w:keepLines/>
      <w:spacing w:before="240"/>
      <w:contextualSpacing/>
      <w:jc w:val="center"/>
    </w:pPr>
    <w:rPr>
      <w:rFonts w:asciiTheme="majorHAnsi" w:hAnsiTheme="majorHAnsi"/>
      <w:b/>
      <w:color w:val="2F2F2F" w:themeColor="accent3" w:themeShade="80"/>
      <w:sz w:val="32"/>
    </w:rPr>
  </w:style>
  <w:style w:type="paragraph" w:customStyle="1" w:styleId="ECHRTitleCentre2">
    <w:name w:val="ECHR_Title_Centre_2"/>
    <w:aliases w:val="_Title_C_2"/>
    <w:basedOn w:val="Normal"/>
    <w:next w:val="Normal"/>
    <w:uiPriority w:val="26"/>
    <w:semiHidden/>
    <w:qFormat/>
    <w:rsid w:val="001A7E7E"/>
    <w:pPr>
      <w:keepNext/>
      <w:keepLines/>
      <w:spacing w:before="240"/>
      <w:contextualSpacing/>
      <w:jc w:val="center"/>
    </w:pPr>
    <w:rPr>
      <w:rFonts w:asciiTheme="majorHAnsi" w:hAnsiTheme="majorHAnsi"/>
      <w:b/>
      <w:color w:val="474747" w:themeColor="accent3" w:themeShade="BF"/>
      <w:sz w:val="28"/>
    </w:rPr>
  </w:style>
  <w:style w:type="paragraph" w:customStyle="1" w:styleId="ECHRTitleCentre3">
    <w:name w:val="ECHR_Title_Centre_3"/>
    <w:aliases w:val="_Title_C_3"/>
    <w:basedOn w:val="Normal"/>
    <w:next w:val="Normal"/>
    <w:uiPriority w:val="26"/>
    <w:semiHidden/>
    <w:qFormat/>
    <w:rsid w:val="001A7E7E"/>
    <w:pPr>
      <w:keepNext/>
      <w:keepLines/>
      <w:spacing w:before="240"/>
      <w:contextualSpacing/>
      <w:jc w:val="center"/>
    </w:pPr>
    <w:rPr>
      <w:rFonts w:asciiTheme="majorHAnsi" w:hAnsiTheme="majorHAnsi"/>
      <w:b/>
      <w:color w:val="474747" w:themeColor="accent3" w:themeShade="BF"/>
    </w:rPr>
  </w:style>
  <w:style w:type="paragraph" w:customStyle="1" w:styleId="ECHRTitleCentreTOC1">
    <w:name w:val="ECHR_Title_Centre_TOC_1"/>
    <w:aliases w:val="_Title_C_TOC"/>
    <w:basedOn w:val="ECHRTitleCentre1"/>
    <w:next w:val="Normal"/>
    <w:uiPriority w:val="25"/>
    <w:semiHidden/>
    <w:qFormat/>
    <w:rsid w:val="001A7E7E"/>
    <w:pPr>
      <w:outlineLvl w:val="0"/>
    </w:pPr>
  </w:style>
  <w:style w:type="paragraph" w:customStyle="1" w:styleId="ECHRTitleTOC1">
    <w:name w:val="ECHR_Title_TOC_1"/>
    <w:aliases w:val="_Title_L_TOC"/>
    <w:basedOn w:val="ECHRTitle1"/>
    <w:next w:val="Normal"/>
    <w:uiPriority w:val="27"/>
    <w:semiHidden/>
    <w:qFormat/>
    <w:rsid w:val="001A7E7E"/>
    <w:pPr>
      <w:outlineLvl w:val="0"/>
    </w:pPr>
  </w:style>
  <w:style w:type="character" w:customStyle="1" w:styleId="JuParaChar">
    <w:name w:val="Ju_Para Char"/>
    <w:aliases w:val="_Para Char"/>
    <w:link w:val="JuPara"/>
    <w:uiPriority w:val="4"/>
    <w:rsid w:val="00540DD5"/>
    <w:rPr>
      <w:sz w:val="24"/>
      <w:szCs w:val="24"/>
      <w:lang w:val="fr-FR"/>
    </w:rPr>
  </w:style>
  <w:style w:type="character" w:customStyle="1" w:styleId="JuNames0">
    <w:name w:val="Ju_Names"/>
    <w:rsid w:val="00540DD5"/>
    <w:rPr>
      <w:smallCaps/>
    </w:rPr>
  </w:style>
  <w:style w:type="paragraph" w:customStyle="1" w:styleId="JuList4">
    <w:name w:val="Ju_List_4"/>
    <w:aliases w:val="N_Bul_4"/>
    <w:basedOn w:val="JuListi"/>
    <w:uiPriority w:val="19"/>
    <w:rsid w:val="00540DD5"/>
    <w:pPr>
      <w:numPr>
        <w:ilvl w:val="0"/>
        <w:numId w:val="0"/>
      </w:numPr>
      <w:tabs>
        <w:tab w:val="num" w:pos="1701"/>
      </w:tabs>
      <w:spacing w:before="60" w:after="60" w:line="240" w:lineRule="exact"/>
      <w:ind w:left="1703" w:hanging="284"/>
      <w:contextualSpacing/>
    </w:pPr>
    <w:rPr>
      <w:sz w:val="22"/>
      <w:lang w:eastAsia="fr-FR"/>
    </w:rPr>
  </w:style>
  <w:style w:type="paragraph" w:customStyle="1" w:styleId="jupara0">
    <w:name w:val="jupara"/>
    <w:basedOn w:val="Normal"/>
    <w:rsid w:val="00C95AD9"/>
    <w:pPr>
      <w:ind w:firstLine="284"/>
      <w:jc w:val="both"/>
    </w:pPr>
    <w:rPr>
      <w:rFonts w:ascii="Times New Roman" w:eastAsia="Times New Roman" w:hAnsi="Times New Roman" w:cs="Times New Roman"/>
      <w:lang w:val="en-GB" w:eastAsia="en-GB"/>
    </w:rPr>
  </w:style>
  <w:style w:type="paragraph" w:customStyle="1" w:styleId="jucase0">
    <w:name w:val="jucase"/>
    <w:basedOn w:val="Normal"/>
    <w:rsid w:val="00C95AD9"/>
    <w:pPr>
      <w:ind w:firstLine="284"/>
      <w:jc w:val="both"/>
    </w:pPr>
    <w:rPr>
      <w:rFonts w:ascii="Times New Roman" w:eastAsia="Times New Roman" w:hAnsi="Times New Roman" w:cs="Times New Roman"/>
      <w:b/>
      <w:bCs/>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454315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8B85FE9D-8720-40B3-BD11-A6A440211249}">
  <ds:schemaRefs>
    <ds:schemaRef ds:uri="http://schemas.openxmlformats.org/officeDocument/2006/bibliography"/>
  </ds:schemaRefs>
</ds:datastoreItem>
</file>

<file path=customXml/itemProps2.xml><?xml version="1.0" encoding="utf-8"?>
<ds:datastoreItem xmlns:ds="http://schemas.openxmlformats.org/officeDocument/2006/customXml" ds:itemID="{36773AF2-3EAE-4F80-810C-70A713BE401C}"/>
</file>

<file path=customXml/itemProps3.xml><?xml version="1.0" encoding="utf-8"?>
<ds:datastoreItem xmlns:ds="http://schemas.openxmlformats.org/officeDocument/2006/customXml" ds:itemID="{0DEF45E3-E27D-414E-9697-853F51C4C05F}"/>
</file>

<file path=customXml/itemProps4.xml><?xml version="1.0" encoding="utf-8"?>
<ds:datastoreItem xmlns:ds="http://schemas.openxmlformats.org/officeDocument/2006/customXml" ds:itemID="{68202DFB-C43A-4DEF-80D5-D1B7443531FD}"/>
</file>

<file path=docProps/app.xml><?xml version="1.0" encoding="utf-8"?>
<Properties xmlns="http://schemas.openxmlformats.org/officeDocument/2006/extended-properties" xmlns:vt="http://schemas.openxmlformats.org/officeDocument/2006/docPropsVTypes">
  <Template>Normal.dotm</Template>
  <TotalTime>0</TotalTime>
  <Pages>1</Pages>
  <Words>5659</Words>
  <Characters>32257</Characters>
  <Application>Microsoft Office Word</Application>
  <DocSecurity>0</DocSecurity>
  <Lines>268</Lines>
  <Paragraphs>75</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37841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JUDF</dc:subject>
  <dc:creator/>
  <cp:keywords/>
  <cp:lastModifiedBy/>
  <cp:revision>1</cp:revision>
  <dcterms:created xsi:type="dcterms:W3CDTF">2021-08-30T13:45:00Z</dcterms:created>
  <dcterms:modified xsi:type="dcterms:W3CDTF">2021-08-30T13:45:00Z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1036</vt:i4>
  </property>
  <property fmtid="{D5CDD505-2E9C-101B-9397-08002B2CF9AE}" pid="3" name="RegisteredNo">
    <vt:lpwstr>35449/14</vt:lpwstr>
  </property>
  <property fmtid="{D5CDD505-2E9C-101B-9397-08002B2CF9AE}" pid="4" name="CASEID">
    <vt:lpwstr>1017173</vt:lpwstr>
  </property>
  <property fmtid="{D5CDD505-2E9C-101B-9397-08002B2CF9AE}" pid="5" name="ContentTypeId">
    <vt:lpwstr>0x010100558EB02BDB9E204AB350EDD385B68E10</vt:lpwstr>
  </property>
</Properties>
</file>