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A85C28" w:rsidR="004D2843" w:rsidP="00A85C28">
      <w:pPr>
        <w:pStyle w:val="ECHRDecisionBody"/>
        <w:jc w:val="center"/>
        <w:rPr>
          <w:rFonts w:ascii="Times New Roman" w:hAnsi="Times New Roman" w:cs="Times New Roman"/>
          <w:lang w:val="en-GB"/>
        </w:rPr>
      </w:pPr>
    </w:p>
    <w:p w:rsidRPr="00A85C28" w:rsidR="0055090B" w:rsidP="00A85C28">
      <w:pPr>
        <w:jc w:val="center"/>
        <w:rPr>
          <w:lang w:val="en-GB"/>
        </w:rPr>
      </w:pPr>
    </w:p>
    <w:p w:rsidRPr="00A85C28" w:rsidR="0055090B" w:rsidP="00A85C28">
      <w:pPr>
        <w:tabs>
          <w:tab w:val="left" w:pos="5529"/>
        </w:tabs>
        <w:jc w:val="center"/>
      </w:pPr>
      <w:r w:rsidRPr="00A85C28">
        <w:t>CINQUIÈME SECTION</w:t>
      </w:r>
    </w:p>
    <w:p w:rsidRPr="00A85C28" w:rsidR="0055090B" w:rsidP="00A85C28">
      <w:pPr>
        <w:pStyle w:val="JuTitle"/>
      </w:pPr>
      <w:r w:rsidRPr="00A85C28">
        <w:t xml:space="preserve">AFFAIRE </w:t>
      </w:r>
      <w:r w:rsidRPr="00A85C28" w:rsidR="00DF7123">
        <w:t xml:space="preserve">D </w:t>
      </w:r>
      <w:r w:rsidRPr="00A85C28" w:rsidR="00201B32">
        <w:rPr>
          <w:caps w:val="0"/>
        </w:rPr>
        <w:t>c</w:t>
      </w:r>
      <w:r w:rsidRPr="00A85C28" w:rsidR="004D2843">
        <w:t>. FRANCE</w:t>
      </w:r>
    </w:p>
    <w:p w:rsidRPr="00A85C28" w:rsidR="0055090B" w:rsidP="00A85C28">
      <w:pPr>
        <w:pStyle w:val="ECHRCoverTitle4"/>
      </w:pPr>
      <w:r w:rsidRPr="00A85C28">
        <w:t>(</w:t>
      </w:r>
      <w:r w:rsidRPr="00A85C28" w:rsidR="004D2843">
        <w:t>Requête n</w:t>
      </w:r>
      <w:r w:rsidRPr="00A85C28" w:rsidR="004D2843">
        <w:rPr>
          <w:vertAlign w:val="superscript"/>
        </w:rPr>
        <w:t>o</w:t>
      </w:r>
      <w:r w:rsidRPr="00A85C28">
        <w:t xml:space="preserve"> </w:t>
      </w:r>
      <w:r w:rsidRPr="00A85C28" w:rsidR="004D2843">
        <w:t>11288/18</w:t>
      </w:r>
      <w:r w:rsidRPr="00A85C28">
        <w:t>)</w:t>
      </w:r>
    </w:p>
    <w:p w:rsidRPr="00A85C28" w:rsidR="0055090B" w:rsidP="00A85C28">
      <w:pPr>
        <w:jc w:val="center"/>
      </w:pPr>
    </w:p>
    <w:p w:rsidRPr="00A85C28" w:rsidR="0055090B" w:rsidP="00A85C28">
      <w:pPr>
        <w:jc w:val="center"/>
      </w:pPr>
    </w:p>
    <w:p w:rsidRPr="00A85C28" w:rsidR="0055090B" w:rsidP="00A85C28">
      <w:pPr>
        <w:jc w:val="center"/>
      </w:pPr>
    </w:p>
    <w:p w:rsidRPr="00A85C28" w:rsidR="0055090B" w:rsidP="00A85C28">
      <w:pPr>
        <w:jc w:val="center"/>
      </w:pPr>
    </w:p>
    <w:p w:rsidRPr="00A85C28" w:rsidR="0055090B" w:rsidP="00A85C28">
      <w:pPr>
        <w:jc w:val="center"/>
        <w:outlineLvl w:val="0"/>
      </w:pPr>
      <w:r w:rsidRPr="00A85C28">
        <w:t>ARRÊT</w:t>
      </w:r>
    </w:p>
    <w:p w:rsidRPr="00A85C28" w:rsidR="0055090B" w:rsidP="00A85C28">
      <w:pPr>
        <w:jc w:val="center"/>
        <w:rPr>
          <w:i/>
        </w:rPr>
      </w:pPr>
    </w:p>
    <w:p w:rsidRPr="00A85C28" w:rsidR="00A85C28" w:rsidP="00A85C28">
      <w:pPr>
        <w:pStyle w:val="ECHRPara"/>
        <w:pBdr>
          <w:top w:val="single" w:color="auto" w:sz="4" w:space="1"/>
          <w:left w:val="single" w:color="auto" w:sz="4" w:space="4"/>
          <w:bottom w:val="single" w:color="auto" w:sz="4" w:space="1"/>
          <w:right w:val="single" w:color="auto" w:sz="4" w:space="4"/>
        </w:pBdr>
        <w:ind w:firstLine="0"/>
      </w:pPr>
      <w:r w:rsidRPr="00A85C28">
        <w:t>Art 8 • Respect de la vie privée • Obligation d’emprunter la voie de l’adoption pour la reconnaissance du lien de filiation maternel des enfants nés par gestation pour autrui (GPA) • Absence d’atteinte disproportionnée aux droits de l’enfant requérante, eu égard à la célérité raisonnable des procédures d’adoption plénière de l’enfant du conjoint (4 mois en moyenne) • Considération valable nonobstant le fait que la mère d’intention soit aussi la mère génétique</w:t>
      </w:r>
    </w:p>
    <w:p w:rsidRPr="00A85C28" w:rsidR="0055090B" w:rsidP="00A85C28">
      <w:pPr>
        <w:pStyle w:val="ECHRPara"/>
        <w:pBdr>
          <w:top w:val="single" w:color="auto" w:sz="4" w:space="1"/>
          <w:left w:val="single" w:color="auto" w:sz="4" w:space="4"/>
          <w:bottom w:val="single" w:color="auto" w:sz="4" w:space="1"/>
          <w:right w:val="single" w:color="auto" w:sz="4" w:space="4"/>
        </w:pBdr>
        <w:ind w:firstLine="0"/>
      </w:pPr>
      <w:r w:rsidRPr="00A85C28">
        <w:t xml:space="preserve">Art 14 (+ Art 8) • Discrimination • Différence de traitement justifiée de manière objective et raisonnable • Examen de la Cour limité à l’angle de comparaison soulevé par les requérants (enfants français nés à l’étranger d’une GPA/autres </w:t>
      </w:r>
      <w:r w:rsidRPr="00A85C28">
        <w:t>enfants</w:t>
      </w:r>
      <w:r w:rsidRPr="00A85C28">
        <w:t xml:space="preserve"> français nés à l’étranger)</w:t>
      </w:r>
    </w:p>
    <w:p w:rsidRPr="00A85C28" w:rsidR="00A85C28" w:rsidP="00A85C28">
      <w:pPr>
        <w:pStyle w:val="ECHRPara"/>
      </w:pPr>
    </w:p>
    <w:p w:rsidRPr="00A85C28" w:rsidR="0055090B" w:rsidP="00A85C28">
      <w:pPr>
        <w:jc w:val="center"/>
        <w:outlineLvl w:val="0"/>
      </w:pPr>
      <w:r w:rsidRPr="00A85C28">
        <w:t>STRASBOURG</w:t>
      </w:r>
    </w:p>
    <w:p w:rsidRPr="00A85C28" w:rsidR="0055090B" w:rsidP="00A85C28">
      <w:pPr>
        <w:jc w:val="center"/>
      </w:pPr>
    </w:p>
    <w:p w:rsidRPr="00A85C28" w:rsidR="0055090B" w:rsidP="00A85C28">
      <w:pPr>
        <w:jc w:val="center"/>
      </w:pPr>
      <w:r w:rsidRPr="00A85C28">
        <w:rPr>
          <w:szCs w:val="24"/>
        </w:rPr>
        <w:t xml:space="preserve">16 </w:t>
      </w:r>
      <w:r w:rsidRPr="00A85C28" w:rsidR="001B046C">
        <w:rPr>
          <w:szCs w:val="24"/>
        </w:rPr>
        <w:t>juillet</w:t>
      </w:r>
      <w:r w:rsidRPr="00A85C28">
        <w:rPr>
          <w:szCs w:val="24"/>
        </w:rPr>
        <w:t xml:space="preserve"> 2020</w:t>
      </w:r>
    </w:p>
    <w:p w:rsidRPr="00A85C28" w:rsidR="0055090B" w:rsidP="00A85C28">
      <w:pPr>
        <w:jc w:val="center"/>
      </w:pPr>
    </w:p>
    <w:p w:rsidRPr="00A85C28" w:rsidR="003E7503" w:rsidP="00A85C28">
      <w:pPr>
        <w:rPr>
          <w:i/>
          <w:sz w:val="22"/>
        </w:rPr>
      </w:pPr>
    </w:p>
    <w:p w:rsidR="004705AE" w:rsidP="004705AE">
      <w:pPr>
        <w:pStyle w:val="jucase0"/>
        <w:ind w:firstLine="0"/>
        <w:jc w:val="center"/>
        <w:rPr>
          <w:color w:val="FF0000"/>
          <w:sz w:val="28"/>
          <w:szCs w:val="28"/>
          <w:u w:val="single"/>
          <w:lang w:val="fr-FR"/>
        </w:rPr>
      </w:pPr>
      <w:r w:rsidRPr="00261F46">
        <w:rPr>
          <w:color w:val="FF0000"/>
          <w:sz w:val="28"/>
          <w:szCs w:val="28"/>
          <w:u w:val="single"/>
          <w:lang w:val="fr-FR"/>
        </w:rPr>
        <w:t>DÉFINITIF</w:t>
      </w:r>
      <w:bookmarkStart w:name="_GoBack" w:id="0"/>
      <w:bookmarkEnd w:id="0"/>
    </w:p>
    <w:p w:rsidRPr="004705AE" w:rsidR="004705AE" w:rsidP="004705AE">
      <w:pPr>
        <w:pStyle w:val="jucase0"/>
        <w:ind w:firstLine="0"/>
        <w:jc w:val="center"/>
        <w:rPr>
          <w:color w:val="FF0000"/>
          <w:sz w:val="22"/>
          <w:szCs w:val="22"/>
          <w:u w:val="single"/>
          <w:lang w:val="fr-FR"/>
        </w:rPr>
      </w:pPr>
    </w:p>
    <w:p w:rsidRPr="00E974D6" w:rsidR="004705AE" w:rsidP="004705AE">
      <w:pPr>
        <w:pStyle w:val="jucase0"/>
        <w:ind w:firstLine="0"/>
        <w:jc w:val="center"/>
        <w:rPr>
          <w:b w:val="0"/>
          <w:color w:val="FF0000"/>
          <w:sz w:val="28"/>
          <w:szCs w:val="28"/>
          <w:lang w:val="fr-FR"/>
        </w:rPr>
      </w:pPr>
      <w:r>
        <w:rPr>
          <w:b w:val="0"/>
          <w:color w:val="FF0000"/>
          <w:sz w:val="28"/>
          <w:szCs w:val="28"/>
          <w:lang w:val="fr-FR"/>
        </w:rPr>
        <w:t>16/10/2020</w:t>
      </w:r>
    </w:p>
    <w:p w:rsidRPr="00261F46" w:rsidR="004705AE" w:rsidP="004705AE">
      <w:pPr>
        <w:pStyle w:val="jupara0"/>
        <w:ind w:firstLine="0"/>
        <w:jc w:val="center"/>
        <w:rPr>
          <w:u w:val="single"/>
          <w:lang w:val="fr-FR"/>
        </w:rPr>
      </w:pPr>
    </w:p>
    <w:p w:rsidRPr="00A85C28" w:rsidR="00B331E6" w:rsidP="004705AE">
      <w:pPr>
        <w:rPr>
          <w:i/>
          <w:sz w:val="22"/>
        </w:rPr>
      </w:pPr>
      <w:r w:rsidRPr="00261F46">
        <w:rPr>
          <w:i/>
          <w:iCs/>
          <w:sz w:val="22"/>
        </w:rPr>
        <w:t>Cet arrêt est devenu définitif en vertu de l’article 44 § 2 de la Convention. Il peut subir des retouches de forme.</w:t>
      </w:r>
    </w:p>
    <w:p w:rsidRPr="00A85C28" w:rsidR="00B331E6" w:rsidP="00A85C28">
      <w:pPr>
        <w:sectPr w:rsidSect="00686CE9">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85C28" w:rsidR="0055090B" w:rsidP="00A85C28">
      <w:pPr>
        <w:pStyle w:val="JuCase"/>
      </w:pPr>
      <w:r w:rsidRPr="00A85C28">
        <w:t>En l</w:t>
      </w:r>
      <w:r w:rsidRPr="00A85C28" w:rsidR="00A85C28">
        <w:t>’</w:t>
      </w:r>
      <w:r w:rsidRPr="00A85C28">
        <w:t xml:space="preserve">affaire </w:t>
      </w:r>
      <w:r w:rsidRPr="00A85C28" w:rsidR="004D2843">
        <w:t>D c. France</w:t>
      </w:r>
      <w:r w:rsidRPr="00A85C28">
        <w:t>,</w:t>
      </w:r>
    </w:p>
    <w:p w:rsidRPr="00A85C28" w:rsidR="0055090B" w:rsidP="00A85C28">
      <w:pPr>
        <w:pStyle w:val="ECHRPara"/>
      </w:pPr>
      <w:r w:rsidRPr="00A85C28">
        <w:t>La Cour européenne des droits de l</w:t>
      </w:r>
      <w:r w:rsidRPr="00A85C28" w:rsidR="00A85C28">
        <w:t>’</w:t>
      </w:r>
      <w:r w:rsidRPr="00A85C28">
        <w:t>homme (</w:t>
      </w:r>
      <w:r w:rsidRPr="00A85C28" w:rsidR="004D2843">
        <w:t>cinquième section</w:t>
      </w:r>
      <w:r w:rsidRPr="00A85C28">
        <w:t xml:space="preserve">), siégeant en </w:t>
      </w:r>
      <w:r w:rsidRPr="00A85C28" w:rsidR="004D2843">
        <w:rPr>
          <w:color w:val="000000"/>
        </w:rPr>
        <w:t>une</w:t>
      </w:r>
      <w:r w:rsidRPr="00A85C28" w:rsidR="004D2843">
        <w:t xml:space="preserve"> Chambre composée</w:t>
      </w:r>
      <w:r w:rsidRPr="00A85C28">
        <w:t xml:space="preserve"> de :</w:t>
      </w:r>
    </w:p>
    <w:p w:rsidRPr="00A85C28" w:rsidR="00577439" w:rsidP="00A85C28">
      <w:pPr>
        <w:pStyle w:val="ECHRDecisionBody"/>
        <w:rPr>
          <w:rFonts w:eastAsiaTheme="minorHAnsi"/>
          <w:szCs w:val="24"/>
        </w:rPr>
      </w:pPr>
      <w:r w:rsidRPr="00A85C28">
        <w:tab/>
      </w:r>
      <w:r w:rsidRPr="00A85C28">
        <w:t>Síofra</w:t>
      </w:r>
      <w:r w:rsidRPr="00A85C28">
        <w:t xml:space="preserve"> O</w:t>
      </w:r>
      <w:r w:rsidRPr="00A85C28" w:rsidR="00A85C28">
        <w:t>’</w:t>
      </w:r>
      <w:r w:rsidRPr="00A85C28">
        <w:t>Leary,</w:t>
      </w:r>
      <w:r w:rsidRPr="00A85C28">
        <w:rPr>
          <w:i/>
        </w:rPr>
        <w:t xml:space="preserve"> </w:t>
      </w:r>
      <w:r w:rsidRPr="00A85C28">
        <w:rPr>
          <w:i/>
        </w:rPr>
        <w:t>President</w:t>
      </w:r>
      <w:r w:rsidRPr="00A85C28">
        <w:rPr>
          <w:i/>
        </w:rPr>
        <w:t>,</w:t>
      </w:r>
      <w:r w:rsidRPr="00A85C28">
        <w:rPr>
          <w:i/>
        </w:rPr>
        <w:br/>
      </w:r>
      <w:r w:rsidRPr="00A85C28">
        <w:tab/>
        <w:t xml:space="preserve">Gabriele </w:t>
      </w:r>
      <w:r w:rsidRPr="00A85C28">
        <w:t>Kucsko-Stadlmayer</w:t>
      </w:r>
      <w:r w:rsidRPr="00A85C28">
        <w:t>,</w:t>
      </w:r>
      <w:r w:rsidRPr="00A85C28">
        <w:rPr>
          <w:i/>
        </w:rPr>
        <w:br/>
      </w:r>
      <w:r w:rsidRPr="00A85C28">
        <w:tab/>
        <w:t xml:space="preserve">Ganna </w:t>
      </w:r>
      <w:r w:rsidRPr="00A85C28">
        <w:t>Yudkivska</w:t>
      </w:r>
      <w:r w:rsidRPr="00A85C28">
        <w:t>,</w:t>
      </w:r>
      <w:r w:rsidRPr="00A85C28">
        <w:rPr>
          <w:i/>
        </w:rPr>
        <w:br/>
      </w:r>
      <w:r w:rsidRPr="00A85C28">
        <w:tab/>
        <w:t>André Potocki,</w:t>
      </w:r>
      <w:r w:rsidRPr="00A85C28">
        <w:rPr>
          <w:i/>
        </w:rPr>
        <w:br/>
      </w:r>
      <w:r w:rsidRPr="00A85C28">
        <w:tab/>
      </w:r>
      <w:r w:rsidRPr="00A85C28">
        <w:t>Mārtiņš</w:t>
      </w:r>
      <w:r w:rsidRPr="00A85C28">
        <w:t xml:space="preserve"> Mits,</w:t>
      </w:r>
      <w:r w:rsidRPr="00A85C28">
        <w:rPr>
          <w:i/>
        </w:rPr>
        <w:br/>
      </w:r>
      <w:r w:rsidRPr="00A85C28">
        <w:tab/>
      </w:r>
      <w:r w:rsidRPr="00A85C28">
        <w:t>Lado</w:t>
      </w:r>
      <w:r w:rsidRPr="00A85C28">
        <w:t xml:space="preserve"> </w:t>
      </w:r>
      <w:r w:rsidRPr="00A85C28">
        <w:t>Chanturia</w:t>
      </w:r>
      <w:r w:rsidRPr="00A85C28">
        <w:t>,</w:t>
      </w:r>
      <w:r w:rsidRPr="00A85C28">
        <w:rPr>
          <w:i/>
        </w:rPr>
        <w:br/>
      </w:r>
      <w:r w:rsidRPr="00A85C28">
        <w:tab/>
        <w:t xml:space="preserve">Anja </w:t>
      </w:r>
      <w:r w:rsidRPr="00A85C28">
        <w:t>Seibert-Fohr</w:t>
      </w:r>
      <w:r w:rsidRPr="00A85C28">
        <w:t>,</w:t>
      </w:r>
      <w:r w:rsidRPr="00A85C28">
        <w:rPr>
          <w:i/>
        </w:rPr>
        <w:t xml:space="preserve"> </w:t>
      </w:r>
      <w:r w:rsidRPr="00A85C28">
        <w:rPr>
          <w:i/>
        </w:rPr>
        <w:t>judges</w:t>
      </w:r>
      <w:r w:rsidRPr="00A85C28">
        <w:rPr>
          <w:i/>
        </w:rPr>
        <w:t>,</w:t>
      </w:r>
      <w:r w:rsidRPr="00A85C28" w:rsidR="0055090B">
        <w:br/>
      </w:r>
      <w:bookmarkStart w:name="ITMARKHavingStart" w:id="1"/>
      <w:bookmarkEnd w:id="1"/>
      <w:r w:rsidRPr="00A85C28">
        <w:rPr>
          <w:rFonts w:eastAsiaTheme="minorHAnsi"/>
          <w:szCs w:val="24"/>
        </w:rPr>
        <w:t xml:space="preserve">et de Victor </w:t>
      </w:r>
      <w:r w:rsidRPr="00A85C28">
        <w:rPr>
          <w:szCs w:val="24"/>
        </w:rPr>
        <w:t>Soloveytchik</w:t>
      </w:r>
      <w:r w:rsidRPr="00A85C28">
        <w:rPr>
          <w:rFonts w:eastAsiaTheme="minorHAnsi"/>
          <w:szCs w:val="24"/>
        </w:rPr>
        <w:t xml:space="preserve">, </w:t>
      </w:r>
      <w:r w:rsidRPr="00A85C28">
        <w:rPr>
          <w:rFonts w:eastAsiaTheme="minorHAnsi"/>
          <w:i/>
          <w:szCs w:val="24"/>
        </w:rPr>
        <w:t>greffier</w:t>
      </w:r>
      <w:r w:rsidRPr="00A85C28">
        <w:rPr>
          <w:rFonts w:eastAsiaTheme="minorHAnsi"/>
          <w:i/>
          <w:iCs/>
          <w:szCs w:val="24"/>
        </w:rPr>
        <w:t xml:space="preserve"> adjoint d</w:t>
      </w:r>
      <w:r w:rsidRPr="00A85C28">
        <w:rPr>
          <w:rFonts w:eastAsiaTheme="minorHAnsi"/>
          <w:i/>
          <w:szCs w:val="24"/>
        </w:rPr>
        <w:t>e section</w:t>
      </w:r>
      <w:r w:rsidRPr="00A85C28">
        <w:rPr>
          <w:rFonts w:eastAsiaTheme="minorHAnsi"/>
          <w:szCs w:val="24"/>
        </w:rPr>
        <w:t>,</w:t>
      </w:r>
    </w:p>
    <w:p w:rsidRPr="00A85C28" w:rsidR="004D2843" w:rsidP="00A85C28">
      <w:pPr>
        <w:pStyle w:val="ECHRPara"/>
      </w:pPr>
      <w:r w:rsidRPr="00A85C28">
        <w:t>Vu :</w:t>
      </w:r>
    </w:p>
    <w:p w:rsidRPr="00A85C28" w:rsidR="004D2843" w:rsidP="00A85C28">
      <w:pPr>
        <w:pStyle w:val="ECHRPara"/>
      </w:pPr>
      <w:r w:rsidRPr="00A85C28">
        <w:t>la</w:t>
      </w:r>
      <w:r w:rsidRPr="00A85C28">
        <w:t xml:space="preserve"> requête (n</w:t>
      </w:r>
      <w:r w:rsidRPr="00A85C28">
        <w:rPr>
          <w:vertAlign w:val="superscript"/>
        </w:rPr>
        <w:t>o</w:t>
      </w:r>
      <w:r w:rsidRPr="00A85C28">
        <w:t> 11288/18) dirigée contre la République française et dont trois ressortissants de cet État, M</w:t>
      </w:r>
      <w:r w:rsidRPr="00A85C28">
        <w:rPr>
          <w:vertAlign w:val="superscript"/>
        </w:rPr>
        <w:t>me</w:t>
      </w:r>
      <w:r w:rsidRPr="00A85C28">
        <w:t xml:space="preserve"> D (la « première requérante »), M. D (le « deuxième requérant » et ensemble, les « premiers requérants ») et M</w:t>
      </w:r>
      <w:r w:rsidRPr="00A85C28">
        <w:rPr>
          <w:vertAlign w:val="superscript"/>
        </w:rPr>
        <w:t>lle</w:t>
      </w:r>
      <w:r w:rsidRPr="00A85C28">
        <w:t xml:space="preserve"> D (la « troisième requérante ») ont </w:t>
      </w:r>
      <w:bookmarkStart w:name="_Hlk36124016" w:id="2"/>
      <w:r w:rsidRPr="00A85C28">
        <w:t>saisi la Cour en vertu de l</w:t>
      </w:r>
      <w:r w:rsidRPr="00A85C28" w:rsidR="00A85C28">
        <w:t>’</w:t>
      </w:r>
      <w:r w:rsidRPr="00A85C28">
        <w:t>article 34 de la Convention de sauvegarde des droits de l</w:t>
      </w:r>
      <w:r w:rsidRPr="00A85C28" w:rsidR="00A85C28">
        <w:t>’</w:t>
      </w:r>
      <w:r w:rsidRPr="00A85C28">
        <w:t>homme et des libertés fondamentales (« la Convention »)</w:t>
      </w:r>
      <w:bookmarkEnd w:id="2"/>
      <w:r w:rsidRPr="00A85C28">
        <w:t xml:space="preserve"> le 2 mars 2018,</w:t>
      </w:r>
    </w:p>
    <w:p w:rsidRPr="00A85C28" w:rsidR="004D2843" w:rsidP="00A85C28">
      <w:pPr>
        <w:pStyle w:val="ECHRPara"/>
      </w:pPr>
      <w:r w:rsidRPr="00A85C28">
        <w:t>la</w:t>
      </w:r>
      <w:r w:rsidRPr="00A85C28">
        <w:t xml:space="preserve"> décision de porter la requête à la connaissance du gouvernement français (« le Gouvernement »),</w:t>
      </w:r>
    </w:p>
    <w:p w:rsidRPr="00A85C28" w:rsidR="004D2843" w:rsidP="00A85C28">
      <w:pPr>
        <w:pStyle w:val="ECHRPara"/>
      </w:pPr>
      <w:r w:rsidRPr="00A85C28">
        <w:t>la</w:t>
      </w:r>
      <w:r w:rsidRPr="00A85C28">
        <w:t xml:space="preserve"> décision de ne pas dévoiler l</w:t>
      </w:r>
      <w:r w:rsidRPr="00A85C28" w:rsidR="00A85C28">
        <w:t>’</w:t>
      </w:r>
      <w:r w:rsidRPr="00A85C28">
        <w:t>identité des requérants,</w:t>
      </w:r>
    </w:p>
    <w:p w:rsidRPr="00A85C28" w:rsidR="004D2843" w:rsidP="00A85C28">
      <w:pPr>
        <w:pStyle w:val="ECHRPara"/>
      </w:pPr>
      <w:r w:rsidRPr="00A85C28">
        <w:t>les</w:t>
      </w:r>
      <w:r w:rsidRPr="00A85C28">
        <w:t xml:space="preserve"> observations des parties,</w:t>
      </w:r>
    </w:p>
    <w:p w:rsidRPr="00A85C28" w:rsidR="0055090B" w:rsidP="00A85C28">
      <w:pPr>
        <w:pStyle w:val="ECHRPara"/>
      </w:pPr>
      <w:r w:rsidRPr="00A85C28">
        <w:t xml:space="preserve">Après en avoir délibéré en chambre du conseil le </w:t>
      </w:r>
      <w:r w:rsidRPr="00A85C28" w:rsidR="004D2843">
        <w:rPr>
          <w:szCs w:val="24"/>
        </w:rPr>
        <w:t xml:space="preserve">9 </w:t>
      </w:r>
      <w:r w:rsidRPr="00A85C28" w:rsidR="008350B0">
        <w:rPr>
          <w:szCs w:val="24"/>
        </w:rPr>
        <w:t>juin</w:t>
      </w:r>
      <w:r w:rsidRPr="00A85C28" w:rsidR="004D2843">
        <w:rPr>
          <w:szCs w:val="24"/>
        </w:rPr>
        <w:t xml:space="preserve"> 2020</w:t>
      </w:r>
      <w:r w:rsidRPr="00A85C28">
        <w:t>,</w:t>
      </w:r>
    </w:p>
    <w:p w:rsidRPr="00A85C28" w:rsidR="0055090B" w:rsidP="00A85C28">
      <w:pPr>
        <w:pStyle w:val="ECHRPara"/>
      </w:pPr>
      <w:r w:rsidRPr="00A85C28">
        <w:t>Rend l</w:t>
      </w:r>
      <w:r w:rsidRPr="00A85C28" w:rsidR="00A85C28">
        <w:t>’</w:t>
      </w:r>
      <w:r w:rsidRPr="00A85C28">
        <w:t>arrêt que voici, adopté à cette date :</w:t>
      </w:r>
    </w:p>
    <w:p w:rsidRPr="00A85C28" w:rsidR="004D2843" w:rsidP="00A85C28">
      <w:pPr>
        <w:pStyle w:val="ECHRTitle1"/>
      </w:pPr>
      <w:r w:rsidRPr="00A85C28">
        <w:rPr>
          <w:rStyle w:val="JuITMark"/>
          <w:sz w:val="28"/>
        </w:rPr>
        <w:t>I</w:t>
      </w:r>
      <w:r w:rsidRPr="00A85C28">
        <w:t>NTRODUCTION</w:t>
      </w:r>
    </w:p>
    <w:p w:rsidRPr="00A85C28" w:rsidR="004D2843" w:rsidP="00A85C28">
      <w:pPr>
        <w:pStyle w:val="ECHRPara"/>
      </w:pPr>
      <w:r w:rsidRPr="00A85C28">
        <w:t>L</w:t>
      </w:r>
      <w:r w:rsidRPr="00A85C28" w:rsidR="00A85C28">
        <w:t>’</w:t>
      </w:r>
      <w:r w:rsidRPr="00A85C28">
        <w:t>affaire concerne le rejet de la demande tendant à la transcription sur les registres de l</w:t>
      </w:r>
      <w:r w:rsidRPr="00A85C28" w:rsidR="00A85C28">
        <w:t>’</w:t>
      </w:r>
      <w:r w:rsidRPr="00A85C28">
        <w:t>état civil français de l</w:t>
      </w:r>
      <w:r w:rsidRPr="00A85C28" w:rsidR="00A85C28">
        <w:t>’</w:t>
      </w:r>
      <w:r w:rsidRPr="00A85C28">
        <w:t>acte de naissance d</w:t>
      </w:r>
      <w:r w:rsidRPr="00A85C28" w:rsidR="00A85C28">
        <w:t>’</w:t>
      </w:r>
      <w:r w:rsidRPr="00A85C28" w:rsidR="00997615">
        <w:t>un enfant né à </w:t>
      </w:r>
      <w:r w:rsidRPr="00A85C28">
        <w:t>l</w:t>
      </w:r>
      <w:r w:rsidRPr="00A85C28" w:rsidR="00A85C28">
        <w:t>’</w:t>
      </w:r>
      <w:r w:rsidRPr="00A85C28">
        <w:t>étranger d</w:t>
      </w:r>
      <w:r w:rsidRPr="00A85C28" w:rsidR="00A85C28">
        <w:t>’</w:t>
      </w:r>
      <w:r w:rsidRPr="00A85C28">
        <w:t>une gestation pour autrui pour autant qu</w:t>
      </w:r>
      <w:r w:rsidRPr="00A85C28" w:rsidR="00A85C28">
        <w:t>’</w:t>
      </w:r>
      <w:r w:rsidRPr="00A85C28">
        <w:t>il désigne la mère d</w:t>
      </w:r>
      <w:r w:rsidRPr="00A85C28" w:rsidR="00A85C28">
        <w:t>’</w:t>
      </w:r>
      <w:r w:rsidRPr="00A85C28">
        <w:t>intention comme étant sa mère, celle-ci étant sa mère génétique. Les requérants (l</w:t>
      </w:r>
      <w:r w:rsidRPr="00A85C28" w:rsidR="00A85C28">
        <w:t>’</w:t>
      </w:r>
      <w:r w:rsidRPr="00A85C28">
        <w:t>enfant et les parents d</w:t>
      </w:r>
      <w:r w:rsidRPr="00A85C28" w:rsidR="00A85C28">
        <w:t>’</w:t>
      </w:r>
      <w:r w:rsidRPr="00A85C28">
        <w:t>intention) dénoncent une violation du droit au respect de la vie privée de l</w:t>
      </w:r>
      <w:r w:rsidRPr="00A85C28" w:rsidR="00A85C28">
        <w:t>’</w:t>
      </w:r>
      <w:r w:rsidRPr="00A85C28">
        <w:t>enfant ainsi qu</w:t>
      </w:r>
      <w:r w:rsidRPr="00A85C28" w:rsidR="00A85C28">
        <w:t>’</w:t>
      </w:r>
      <w:r w:rsidRPr="00A85C28">
        <w:t>une discrimination fondée sur « la naissance » dans sa jouissance de ce droit. Ils invoquent l</w:t>
      </w:r>
      <w:r w:rsidRPr="00A85C28" w:rsidR="00A85C28">
        <w:t>’</w:t>
      </w:r>
      <w:r w:rsidRPr="00A85C28">
        <w:t>article 8 de la Convention, pris isolément et combiné avec l</w:t>
      </w:r>
      <w:r w:rsidRPr="00A85C28" w:rsidR="00A85C28">
        <w:t>’</w:t>
      </w:r>
      <w:r w:rsidRPr="00A85C28">
        <w:t>article 14 de la Convention.</w:t>
      </w:r>
    </w:p>
    <w:p w:rsidRPr="00A85C28" w:rsidR="004D2843" w:rsidP="00A85C28">
      <w:pPr>
        <w:pStyle w:val="ECHRTitle1"/>
        <w:numPr>
          <w:ilvl w:val="0"/>
          <w:numId w:val="24"/>
        </w:numPr>
        <w:spacing w:before="100" w:beforeAutospacing="1"/>
        <w:jc w:val="left"/>
      </w:pPr>
      <w:bookmarkStart w:name="_Hlk36126677" w:id="3"/>
      <w:r w:rsidRPr="00A85C28">
        <w:t>EN FAIT</w:t>
      </w:r>
    </w:p>
    <w:bookmarkEnd w:id="3"/>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1</w:t>
      </w:r>
      <w:r w:rsidRPr="00A85C28">
        <w:fldChar w:fldCharType="end"/>
      </w:r>
      <w:r w:rsidRPr="00A85C28">
        <w:t>.  Les requérants sont nés en 1972, 1957 et 2012 respectivement et résident à Canet en Roussillon. Ils sont représentés par M</w:t>
      </w:r>
      <w:r w:rsidRPr="00A85C28">
        <w:rPr>
          <w:vertAlign w:val="superscript"/>
        </w:rPr>
        <w:t>e</w:t>
      </w:r>
      <w:r w:rsidRPr="00A85C28">
        <w:t xml:space="preserve"> Caroline </w:t>
      </w:r>
      <w:r w:rsidRPr="00A85C28">
        <w:t>Mécary</w:t>
      </w:r>
      <w:r w:rsidRPr="00A85C28">
        <w:t>, avocate à Paris.</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2</w:t>
      </w:r>
      <w:r w:rsidRPr="00A85C28">
        <w:fldChar w:fldCharType="end"/>
      </w:r>
      <w:r w:rsidRPr="00A85C28">
        <w:t>.  Le gouvernement français est représenté par son agent, M. F. </w:t>
      </w:r>
      <w:r w:rsidRPr="00A85C28">
        <w:t>Alabrune</w:t>
      </w:r>
      <w:r w:rsidRPr="00A85C28">
        <w:t>, directeur des affaires juridiques du ministère de l</w:t>
      </w:r>
      <w:r w:rsidRPr="00A85C28" w:rsidR="00A85C28">
        <w:t>’</w:t>
      </w:r>
      <w:r w:rsidRPr="00A85C28">
        <w:t>Europe et des Affaires étrangères.</w:t>
      </w:r>
    </w:p>
    <w:p w:rsidRPr="00A85C28" w:rsidR="004D2843" w:rsidP="00A85C28">
      <w:pPr>
        <w:pStyle w:val="ECHRPara"/>
        <w:rPr>
          <w:rFonts w:ascii="Times New Roman" w:hAnsi="Times New Roman" w:cs="Times New Roman"/>
        </w:rPr>
      </w:pPr>
      <w:r w:rsidRPr="00A85C28">
        <w:rPr>
          <w:rFonts w:ascii="Times New Roman" w:hAnsi="Times New Roman" w:cs="Times New Roman"/>
        </w:rPr>
        <w:fldChar w:fldCharType="begin"/>
      </w:r>
      <w:r w:rsidRPr="00A85C28">
        <w:rPr>
          <w:rFonts w:ascii="Times New Roman" w:hAnsi="Times New Roman" w:cs="Times New Roman"/>
        </w:rPr>
        <w:instrText xml:space="preserve"> SEQ level0 \*arabic </w:instrText>
      </w:r>
      <w:r w:rsidRPr="00A85C28">
        <w:rPr>
          <w:rFonts w:ascii="Times New Roman" w:hAnsi="Times New Roman" w:cs="Times New Roman"/>
        </w:rPr>
        <w:fldChar w:fldCharType="separate"/>
      </w:r>
      <w:r w:rsidRPr="00A85C28" w:rsidR="00A85C28">
        <w:rPr>
          <w:rFonts w:ascii="Times New Roman" w:hAnsi="Times New Roman" w:cs="Times New Roman"/>
          <w:noProof/>
        </w:rPr>
        <w:t>3</w:t>
      </w:r>
      <w:r w:rsidRPr="00A85C28">
        <w:rPr>
          <w:rFonts w:ascii="Times New Roman" w:hAnsi="Times New Roman" w:cs="Times New Roman"/>
        </w:rPr>
        <w:fldChar w:fldCharType="end"/>
      </w:r>
      <w:r w:rsidRPr="00A85C28">
        <w:rPr>
          <w:rFonts w:ascii="Times New Roman" w:hAnsi="Times New Roman" w:cs="Times New Roman"/>
        </w:rPr>
        <w:t>.  Les deux premiers requérants se sont mariés en France en 2008.</w:t>
      </w:r>
    </w:p>
    <w:p w:rsidRPr="00A85C28" w:rsidR="004D2843" w:rsidP="00A85C28">
      <w:pPr>
        <w:pStyle w:val="ECHRPara"/>
        <w:rPr>
          <w:rFonts w:ascii="Times New Roman" w:hAnsi="Times New Roman" w:cs="Times New Roman"/>
        </w:rPr>
      </w:pPr>
      <w:r w:rsidRPr="00A85C28">
        <w:rPr>
          <w:rFonts w:ascii="Times New Roman" w:hAnsi="Times New Roman" w:cs="Times New Roman"/>
        </w:rPr>
        <w:fldChar w:fldCharType="begin"/>
      </w:r>
      <w:r w:rsidRPr="00A85C28">
        <w:rPr>
          <w:rFonts w:ascii="Times New Roman" w:hAnsi="Times New Roman" w:cs="Times New Roman"/>
        </w:rPr>
        <w:instrText xml:space="preserve"> SEQ level0 \*arabic </w:instrText>
      </w:r>
      <w:r w:rsidRPr="00A85C28">
        <w:rPr>
          <w:rFonts w:ascii="Times New Roman" w:hAnsi="Times New Roman" w:cs="Times New Roman"/>
        </w:rPr>
        <w:fldChar w:fldCharType="separate"/>
      </w:r>
      <w:r w:rsidRPr="00A85C28" w:rsidR="00A85C28">
        <w:rPr>
          <w:rFonts w:ascii="Times New Roman" w:hAnsi="Times New Roman" w:cs="Times New Roman"/>
          <w:noProof/>
        </w:rPr>
        <w:t>4</w:t>
      </w:r>
      <w:r w:rsidRPr="00A85C28">
        <w:rPr>
          <w:rFonts w:ascii="Times New Roman" w:hAnsi="Times New Roman" w:cs="Times New Roman"/>
        </w:rPr>
        <w:fldChar w:fldCharType="end"/>
      </w:r>
      <w:r w:rsidRPr="00A85C28">
        <w:rPr>
          <w:rFonts w:ascii="Times New Roman" w:hAnsi="Times New Roman" w:cs="Times New Roman"/>
        </w:rPr>
        <w:t>.  La troisième requérante est née en Ukraine en septembre 2012 par un processus de gestation pour autrui. Établi le</w:t>
      </w:r>
      <w:r w:rsidRPr="00A85C28">
        <w:rPr>
          <w:rFonts w:ascii="Times New Roman" w:hAnsi="Times New Roman" w:cs="Times New Roman"/>
          <w:b/>
          <w:bCs/>
          <w:color w:val="CF3F3F"/>
        </w:rPr>
        <w:t xml:space="preserve"> </w:t>
      </w:r>
      <w:r w:rsidRPr="00A85C28">
        <w:rPr>
          <w:rFonts w:ascii="Times New Roman" w:hAnsi="Times New Roman" w:cs="Times New Roman"/>
          <w:bCs/>
          <w:color w:val="000000" w:themeColor="text1"/>
        </w:rPr>
        <w:t>3 octobre 2012</w:t>
      </w:r>
      <w:r w:rsidRPr="00A85C28">
        <w:rPr>
          <w:rFonts w:ascii="Times New Roman" w:hAnsi="Times New Roman" w:cs="Times New Roman"/>
          <w:color w:val="000000" w:themeColor="text1"/>
        </w:rPr>
        <w:t xml:space="preserve"> </w:t>
      </w:r>
      <w:r w:rsidRPr="00A85C28">
        <w:rPr>
          <w:rFonts w:ascii="Times New Roman" w:hAnsi="Times New Roman" w:cs="Times New Roman"/>
        </w:rPr>
        <w:t>à Kiev, son acte de naissance indique que la première requérante est sa mère et que le deuxième requérant est son père. I</w:t>
      </w:r>
      <w:r w:rsidRPr="00A85C28" w:rsidR="006B0CE5">
        <w:rPr>
          <w:rFonts w:ascii="Times New Roman" w:hAnsi="Times New Roman" w:cs="Times New Roman"/>
        </w:rPr>
        <w:t xml:space="preserve">l ne mentionne pas la femme qui </w:t>
      </w:r>
      <w:r w:rsidRPr="00A85C28">
        <w:rPr>
          <w:rFonts w:ascii="Times New Roman" w:hAnsi="Times New Roman" w:cs="Times New Roman"/>
        </w:rPr>
        <w:t>a accouché d</w:t>
      </w:r>
      <w:r w:rsidRPr="00A85C28" w:rsidR="00A85C28">
        <w:rPr>
          <w:rFonts w:ascii="Times New Roman" w:hAnsi="Times New Roman" w:cs="Times New Roman"/>
        </w:rPr>
        <w:t>’</w:t>
      </w:r>
      <w:r w:rsidRPr="00A85C28">
        <w:rPr>
          <w:rFonts w:ascii="Times New Roman" w:hAnsi="Times New Roman" w:cs="Times New Roman"/>
        </w:rPr>
        <w:t>elle.</w:t>
      </w:r>
    </w:p>
    <w:p w:rsidRPr="00A85C28" w:rsidR="004D2843" w:rsidP="00A85C28">
      <w:pPr>
        <w:pStyle w:val="ECHRPara"/>
        <w:rPr>
          <w:rFonts w:ascii="Times New Roman" w:hAnsi="Times New Roman" w:cs="Times New Roman"/>
        </w:rPr>
      </w:pPr>
      <w:r w:rsidRPr="00A85C28">
        <w:rPr>
          <w:rFonts w:ascii="Times New Roman" w:hAnsi="Times New Roman" w:cs="Times New Roman"/>
        </w:rPr>
        <w:fldChar w:fldCharType="begin"/>
      </w:r>
      <w:r w:rsidRPr="00A85C28">
        <w:rPr>
          <w:rFonts w:ascii="Times New Roman" w:hAnsi="Times New Roman" w:cs="Times New Roman"/>
        </w:rPr>
        <w:instrText xml:space="preserve"> SEQ level0 \*arabic </w:instrText>
      </w:r>
      <w:r w:rsidRPr="00A85C28">
        <w:rPr>
          <w:rFonts w:ascii="Times New Roman" w:hAnsi="Times New Roman" w:cs="Times New Roman"/>
        </w:rPr>
        <w:fldChar w:fldCharType="separate"/>
      </w:r>
      <w:r w:rsidRPr="00A85C28" w:rsidR="00A85C28">
        <w:rPr>
          <w:rFonts w:ascii="Times New Roman" w:hAnsi="Times New Roman" w:cs="Times New Roman"/>
          <w:noProof/>
        </w:rPr>
        <w:t>5</w:t>
      </w:r>
      <w:r w:rsidRPr="00A85C28">
        <w:rPr>
          <w:rFonts w:ascii="Times New Roman" w:hAnsi="Times New Roman" w:cs="Times New Roman"/>
        </w:rPr>
        <w:fldChar w:fldCharType="end"/>
      </w:r>
      <w:r w:rsidRPr="00A85C28">
        <w:rPr>
          <w:rFonts w:ascii="Times New Roman" w:hAnsi="Times New Roman" w:cs="Times New Roman"/>
        </w:rPr>
        <w:t xml:space="preserve">.  Le </w:t>
      </w:r>
      <w:r w:rsidRPr="00A85C28">
        <w:rPr>
          <w:rFonts w:ascii="Times New Roman" w:hAnsi="Times New Roman" w:cs="Times New Roman"/>
          <w:color w:val="000000" w:themeColor="text1"/>
        </w:rPr>
        <w:t>2</w:t>
      </w:r>
      <w:r w:rsidRPr="00A85C28">
        <w:rPr>
          <w:rFonts w:ascii="Times New Roman" w:hAnsi="Times New Roman" w:cs="Times New Roman"/>
          <w:bCs/>
          <w:color w:val="000000" w:themeColor="text1"/>
        </w:rPr>
        <w:t>0 septembre 2014</w:t>
      </w:r>
      <w:r w:rsidRPr="00A85C28">
        <w:rPr>
          <w:rFonts w:ascii="Times New Roman" w:hAnsi="Times New Roman" w:cs="Times New Roman"/>
        </w:rPr>
        <w:t>, les deux premiers requérants adressèrent à l</w:t>
      </w:r>
      <w:r w:rsidRPr="00A85C28" w:rsidR="00A85C28">
        <w:rPr>
          <w:rFonts w:ascii="Times New Roman" w:hAnsi="Times New Roman" w:cs="Times New Roman"/>
        </w:rPr>
        <w:t>’</w:t>
      </w:r>
      <w:r w:rsidRPr="00A85C28">
        <w:rPr>
          <w:rFonts w:ascii="Times New Roman" w:hAnsi="Times New Roman" w:cs="Times New Roman"/>
        </w:rPr>
        <w:t>ambassade de France à Kiev une demande tendant à la transcription de l</w:t>
      </w:r>
      <w:r w:rsidRPr="00A85C28" w:rsidR="00A85C28">
        <w:rPr>
          <w:rFonts w:ascii="Times New Roman" w:hAnsi="Times New Roman" w:cs="Times New Roman"/>
        </w:rPr>
        <w:t>’</w:t>
      </w:r>
      <w:r w:rsidRPr="00A85C28">
        <w:rPr>
          <w:rFonts w:ascii="Times New Roman" w:hAnsi="Times New Roman" w:cs="Times New Roman"/>
        </w:rPr>
        <w:t>acte de naissance sur les registres français de l</w:t>
      </w:r>
      <w:r w:rsidRPr="00A85C28" w:rsidR="00A85C28">
        <w:rPr>
          <w:rFonts w:ascii="Times New Roman" w:hAnsi="Times New Roman" w:cs="Times New Roman"/>
        </w:rPr>
        <w:t>’</w:t>
      </w:r>
      <w:r w:rsidRPr="00A85C28">
        <w:rPr>
          <w:rFonts w:ascii="Times New Roman" w:hAnsi="Times New Roman" w:cs="Times New Roman"/>
        </w:rPr>
        <w:t>état civil.</w:t>
      </w:r>
    </w:p>
    <w:p w:rsidRPr="00A85C28" w:rsidR="004D2843" w:rsidP="00A85C28">
      <w:pPr>
        <w:pStyle w:val="ECHRPara"/>
        <w:rPr>
          <w:rFonts w:ascii="Times New Roman" w:hAnsi="Times New Roman" w:cs="Times New Roman"/>
          <w:i/>
          <w:iCs/>
        </w:rPr>
      </w:pPr>
      <w:r w:rsidRPr="00A85C28">
        <w:rPr>
          <w:rFonts w:ascii="Times New Roman" w:hAnsi="Times New Roman" w:cs="Times New Roman"/>
        </w:rPr>
        <w:fldChar w:fldCharType="begin"/>
      </w:r>
      <w:r w:rsidRPr="00A85C28">
        <w:rPr>
          <w:rFonts w:ascii="Times New Roman" w:hAnsi="Times New Roman" w:cs="Times New Roman"/>
        </w:rPr>
        <w:instrText xml:space="preserve"> SEQ level0 \*arabic </w:instrText>
      </w:r>
      <w:r w:rsidRPr="00A85C28">
        <w:rPr>
          <w:rFonts w:ascii="Times New Roman" w:hAnsi="Times New Roman" w:cs="Times New Roman"/>
        </w:rPr>
        <w:fldChar w:fldCharType="separate"/>
      </w:r>
      <w:r w:rsidRPr="00A85C28" w:rsidR="00A85C28">
        <w:rPr>
          <w:rFonts w:ascii="Times New Roman" w:hAnsi="Times New Roman" w:cs="Times New Roman"/>
          <w:noProof/>
        </w:rPr>
        <w:t>6</w:t>
      </w:r>
      <w:r w:rsidRPr="00A85C28">
        <w:rPr>
          <w:rFonts w:ascii="Times New Roman" w:hAnsi="Times New Roman" w:cs="Times New Roman"/>
        </w:rPr>
        <w:fldChar w:fldCharType="end"/>
      </w:r>
      <w:r w:rsidRPr="00A85C28">
        <w:rPr>
          <w:rFonts w:ascii="Times New Roman" w:hAnsi="Times New Roman" w:cs="Times New Roman"/>
        </w:rPr>
        <w:t>.  Le 1</w:t>
      </w:r>
      <w:r w:rsidRPr="00A85C28">
        <w:rPr>
          <w:rFonts w:ascii="Times New Roman" w:hAnsi="Times New Roman" w:cs="Times New Roman"/>
          <w:vertAlign w:val="superscript"/>
        </w:rPr>
        <w:t>er</w:t>
      </w:r>
      <w:r w:rsidRPr="00A85C28">
        <w:rPr>
          <w:rFonts w:ascii="Times New Roman" w:hAnsi="Times New Roman" w:cs="Times New Roman"/>
        </w:rPr>
        <w:t xml:space="preserve"> octobre 2014, la consule adjointe leur répondit qu</w:t>
      </w:r>
      <w:r w:rsidRPr="00A85C28" w:rsidR="00A85C28">
        <w:rPr>
          <w:rFonts w:ascii="Times New Roman" w:hAnsi="Times New Roman" w:cs="Times New Roman"/>
        </w:rPr>
        <w:t>’</w:t>
      </w:r>
      <w:r w:rsidRPr="00A85C28">
        <w:rPr>
          <w:rFonts w:ascii="Times New Roman" w:hAnsi="Times New Roman" w:cs="Times New Roman"/>
        </w:rPr>
        <w:t xml:space="preserve">« en </w:t>
      </w:r>
      <w:r w:rsidRPr="00A85C28" w:rsidR="00997615">
        <w:rPr>
          <w:rFonts w:ascii="Times New Roman" w:hAnsi="Times New Roman" w:cs="Times New Roman"/>
        </w:rPr>
        <w:t xml:space="preserve">raison du caractère particulier </w:t>
      </w:r>
      <w:r w:rsidRPr="00A85C28">
        <w:rPr>
          <w:rFonts w:ascii="Times New Roman" w:hAnsi="Times New Roman" w:cs="Times New Roman"/>
        </w:rPr>
        <w:t>de ce dossier », elle avait décidé de surseoir à la transcription et à l</w:t>
      </w:r>
      <w:r w:rsidRPr="00A85C28" w:rsidR="00A85C28">
        <w:rPr>
          <w:rFonts w:ascii="Times New Roman" w:hAnsi="Times New Roman" w:cs="Times New Roman"/>
        </w:rPr>
        <w:t>’</w:t>
      </w:r>
      <w:r w:rsidRPr="00A85C28">
        <w:rPr>
          <w:rFonts w:ascii="Times New Roman" w:hAnsi="Times New Roman" w:cs="Times New Roman"/>
        </w:rPr>
        <w:t>établissement du livret de famille, et avisé le procureur de la République de Nantes. Ce dernier informa les deux premiers requérants le 13 novembre 2014 que, dans l</w:t>
      </w:r>
      <w:r w:rsidRPr="00A85C28" w:rsidR="00A85C28">
        <w:rPr>
          <w:rFonts w:ascii="Times New Roman" w:hAnsi="Times New Roman" w:cs="Times New Roman"/>
        </w:rPr>
        <w:t>’</w:t>
      </w:r>
      <w:r w:rsidRPr="00A85C28">
        <w:rPr>
          <w:rFonts w:ascii="Times New Roman" w:hAnsi="Times New Roman" w:cs="Times New Roman"/>
        </w:rPr>
        <w:t>attente d</w:t>
      </w:r>
      <w:r w:rsidRPr="00A85C28" w:rsidR="00A85C28">
        <w:rPr>
          <w:rFonts w:ascii="Times New Roman" w:hAnsi="Times New Roman" w:cs="Times New Roman"/>
        </w:rPr>
        <w:t>’</w:t>
      </w:r>
      <w:r w:rsidRPr="00A85C28">
        <w:rPr>
          <w:rFonts w:ascii="Times New Roman" w:hAnsi="Times New Roman" w:cs="Times New Roman"/>
        </w:rPr>
        <w:t xml:space="preserve">instructions écrites du ministère de la justice concernant les suites des arrêts de la Cour dans les affaires </w:t>
      </w:r>
      <w:r w:rsidRPr="00A85C28">
        <w:rPr>
          <w:rFonts w:ascii="Times New Roman" w:hAnsi="Times New Roman" w:cs="Times New Roman"/>
          <w:i/>
          <w:iCs/>
        </w:rPr>
        <w:t>Mennesson</w:t>
      </w:r>
      <w:r w:rsidRPr="00A85C28">
        <w:rPr>
          <w:rFonts w:ascii="Times New Roman" w:hAnsi="Times New Roman" w:cs="Times New Roman"/>
          <w:i/>
          <w:iCs/>
        </w:rPr>
        <w:t xml:space="preserve"> c. France</w:t>
      </w:r>
      <w:r w:rsidRPr="00A85C28">
        <w:rPr>
          <w:rFonts w:ascii="Times New Roman" w:hAnsi="Times New Roman" w:cs="Times New Roman"/>
        </w:rPr>
        <w:t xml:space="preserve"> (n</w:t>
      </w:r>
      <w:r w:rsidRPr="00A85C28">
        <w:rPr>
          <w:rFonts w:ascii="Times New Roman" w:hAnsi="Times New Roman" w:cs="Times New Roman"/>
          <w:vertAlign w:val="superscript"/>
        </w:rPr>
        <w:t>o</w:t>
      </w:r>
      <w:r w:rsidRPr="00A85C28">
        <w:rPr>
          <w:rFonts w:ascii="Times New Roman" w:hAnsi="Times New Roman" w:cs="Times New Roman"/>
        </w:rPr>
        <w:t xml:space="preserve"> 65192/11, CEDH 2014 (extraits)) et </w:t>
      </w:r>
      <w:r w:rsidRPr="00A85C28">
        <w:rPr>
          <w:rFonts w:ascii="Times New Roman" w:hAnsi="Times New Roman" w:cs="Times New Roman"/>
          <w:i/>
          <w:iCs/>
        </w:rPr>
        <w:t>Labassee</w:t>
      </w:r>
      <w:r w:rsidRPr="00A85C28">
        <w:rPr>
          <w:rFonts w:ascii="Times New Roman" w:hAnsi="Times New Roman" w:cs="Times New Roman"/>
          <w:i/>
          <w:iCs/>
        </w:rPr>
        <w:t xml:space="preserve"> c. France</w:t>
      </w:r>
      <w:r w:rsidRPr="00A85C28">
        <w:rPr>
          <w:rFonts w:ascii="Times New Roman" w:hAnsi="Times New Roman" w:cs="Times New Roman"/>
        </w:rPr>
        <w:t xml:space="preserve"> (n</w:t>
      </w:r>
      <w:r w:rsidRPr="00A85C28">
        <w:rPr>
          <w:rFonts w:ascii="Times New Roman" w:hAnsi="Times New Roman" w:cs="Times New Roman"/>
          <w:vertAlign w:val="superscript"/>
        </w:rPr>
        <w:t>o</w:t>
      </w:r>
      <w:r w:rsidRPr="00A85C28">
        <w:rPr>
          <w:rFonts w:ascii="Times New Roman" w:hAnsi="Times New Roman" w:cs="Times New Roman"/>
        </w:rPr>
        <w:t xml:space="preserve"> 65941/11, 26 juin 2014), tous les dossiers concernant des gestations pour autrui étaient suspendus.</w:t>
      </w:r>
    </w:p>
    <w:p w:rsidRPr="00A85C28" w:rsidR="004D2843" w:rsidP="00A85C28">
      <w:pPr>
        <w:pStyle w:val="ECHRPara"/>
        <w:rPr>
          <w:rFonts w:ascii="Times New Roman" w:hAnsi="Times New Roman" w:cs="Times New Roman"/>
        </w:rPr>
      </w:pPr>
      <w:r w:rsidRPr="00A85C28">
        <w:rPr>
          <w:rFonts w:ascii="Times New Roman" w:hAnsi="Times New Roman" w:cs="Times New Roman"/>
        </w:rPr>
        <w:fldChar w:fldCharType="begin"/>
      </w:r>
      <w:r w:rsidRPr="00A85C28">
        <w:rPr>
          <w:rFonts w:ascii="Times New Roman" w:hAnsi="Times New Roman" w:cs="Times New Roman"/>
        </w:rPr>
        <w:instrText xml:space="preserve"> SEQ level0 \*arabic </w:instrText>
      </w:r>
      <w:r w:rsidRPr="00A85C28">
        <w:rPr>
          <w:rFonts w:ascii="Times New Roman" w:hAnsi="Times New Roman" w:cs="Times New Roman"/>
        </w:rPr>
        <w:fldChar w:fldCharType="separate"/>
      </w:r>
      <w:r w:rsidRPr="00A85C28" w:rsidR="00A85C28">
        <w:rPr>
          <w:rFonts w:ascii="Times New Roman" w:hAnsi="Times New Roman" w:cs="Times New Roman"/>
          <w:noProof/>
        </w:rPr>
        <w:t>7</w:t>
      </w:r>
      <w:r w:rsidRPr="00A85C28">
        <w:rPr>
          <w:rFonts w:ascii="Times New Roman" w:hAnsi="Times New Roman" w:cs="Times New Roman"/>
        </w:rPr>
        <w:fldChar w:fldCharType="end"/>
      </w:r>
      <w:r w:rsidRPr="00A85C28">
        <w:rPr>
          <w:rFonts w:ascii="Times New Roman" w:hAnsi="Times New Roman" w:cs="Times New Roman"/>
        </w:rPr>
        <w:t>.  Le 10 novembre 2015, le procureur de la République leur adressa la lettre suivante :</w:t>
      </w:r>
    </w:p>
    <w:p w:rsidRPr="00A85C28" w:rsidR="004D2843" w:rsidP="00A85C28">
      <w:pPr>
        <w:pStyle w:val="ECHRParaQuote"/>
      </w:pPr>
      <w:r w:rsidRPr="00A85C28">
        <w:t>« (...) Dès lors que [l</w:t>
      </w:r>
      <w:r w:rsidRPr="00A85C28" w:rsidR="00A85C28">
        <w:t>’</w:t>
      </w:r>
      <w:r w:rsidRPr="00A85C28">
        <w:t>arrêt de] la Cour de cassation du 3 juillet 2015 subordonne la transcription d</w:t>
      </w:r>
      <w:r w:rsidRPr="00A85C28" w:rsidR="00A85C28">
        <w:t>’</w:t>
      </w:r>
      <w:r w:rsidRPr="00A85C28">
        <w:t>un acte d</w:t>
      </w:r>
      <w:r w:rsidRPr="00A85C28" w:rsidR="00A85C28">
        <w:t>’</w:t>
      </w:r>
      <w:r w:rsidRPr="00A85C28">
        <w:t>état civil à sa conformité à l</w:t>
      </w:r>
      <w:r w:rsidRPr="00A85C28" w:rsidR="00A85C28">
        <w:t>’</w:t>
      </w:r>
      <w:r w:rsidRPr="00A85C28">
        <w:t>article 47 du code civil, je suis au regret de ne pas pouvoir faire droit à cette demande dès lors que l</w:t>
      </w:r>
      <w:r w:rsidRPr="00A85C28" w:rsidR="00A85C28">
        <w:t>’</w:t>
      </w:r>
      <w:r w:rsidRPr="00A85C28">
        <w:t>acte ukrainien désigne Madame D comme mère ce qui est contraire à la réalité, puisqu</w:t>
      </w:r>
      <w:r w:rsidRPr="00A85C28" w:rsidR="00A85C28">
        <w:t>’</w:t>
      </w:r>
      <w:r w:rsidRPr="00A85C28">
        <w:t>elle n</w:t>
      </w:r>
      <w:r w:rsidRPr="00A85C28" w:rsidR="00A85C28">
        <w:t>’</w:t>
      </w:r>
      <w:r w:rsidRPr="00A85C28">
        <w:t>a pas accouché.</w:t>
      </w:r>
    </w:p>
    <w:p w:rsidRPr="00A85C28" w:rsidR="004D2843" w:rsidP="00A85C28">
      <w:pPr>
        <w:pStyle w:val="ECHRParaQuote"/>
      </w:pPr>
      <w:r w:rsidRPr="00A85C28">
        <w:t>Dans ces conditions, si vous persistez dans votre demande, seule une assignation de mon parquet devant le tribunal de grande instance de Nantes est susceptible d</w:t>
      </w:r>
      <w:r w:rsidRPr="00A85C28" w:rsidR="00A85C28">
        <w:t>’</w:t>
      </w:r>
      <w:r w:rsidRPr="00A85C28">
        <w:t>autoriser cette transcription, cette procédure nécessite le recours obligatoire à un avocat (...) »</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8</w:t>
      </w:r>
      <w:r w:rsidRPr="00A85C28">
        <w:fldChar w:fldCharType="end"/>
      </w:r>
      <w:r w:rsidRPr="00A85C28">
        <w:t>.  Le 27 janvier 2016, les premiers requérants, invoquant notamment les articles 8 et 14 de la Convention, firent assigner le procureur de la République devant le tribunal de grande instance de Nantes aux fins de voir ordonner la transcription de l</w:t>
      </w:r>
      <w:r w:rsidRPr="00A85C28" w:rsidR="00A85C28">
        <w:t>’</w:t>
      </w:r>
      <w:r w:rsidRPr="00A85C28">
        <w:t>acte de naissance de la troisième requérante sur les registres de l</w:t>
      </w:r>
      <w:r w:rsidRPr="00A85C28" w:rsidR="00A85C28">
        <w:t>’</w:t>
      </w:r>
      <w:r w:rsidRPr="00A85C28">
        <w:t>état civil.</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9</w:t>
      </w:r>
      <w:r w:rsidRPr="00A85C28">
        <w:fldChar w:fldCharType="end"/>
      </w:r>
      <w:r w:rsidRPr="00A85C28">
        <w:t>.  Le tribunal de grande instance de Nantes fit droit à cette demande par un jugement du 12 janvier 2017. Il rappela qu</w:t>
      </w:r>
      <w:r w:rsidRPr="00A85C28" w:rsidR="00A85C28">
        <w:t>’</w:t>
      </w:r>
      <w:r w:rsidRPr="00A85C28">
        <w:t>il résultait de l</w:t>
      </w:r>
      <w:r w:rsidRPr="00A85C28" w:rsidR="00A85C28">
        <w:t>’</w:t>
      </w:r>
      <w:r w:rsidRPr="00A85C28">
        <w:t>article 47 du code civil que l</w:t>
      </w:r>
      <w:r w:rsidRPr="00A85C28" w:rsidR="00A85C28">
        <w:t>’</w:t>
      </w:r>
      <w:r w:rsidRPr="00A85C28">
        <w:t>acte de naissance concernant un français, dressé en pays étranger et rédigé dans les formes usitées dans ce pays, devait être transcrit sur les registres de l</w:t>
      </w:r>
      <w:r w:rsidRPr="00A85C28" w:rsidR="00A85C28">
        <w:t>’</w:t>
      </w:r>
      <w:r w:rsidRPr="00A85C28">
        <w:t>état civil sauf si d</w:t>
      </w:r>
      <w:r w:rsidRPr="00A85C28" w:rsidR="00A85C28">
        <w:t>’</w:t>
      </w:r>
      <w:r w:rsidRPr="00A85C28">
        <w:t>autres éléments établissent qu</w:t>
      </w:r>
      <w:r w:rsidRPr="00A85C28" w:rsidR="00A85C28">
        <w:t>’</w:t>
      </w:r>
      <w:r w:rsidRPr="00A85C28">
        <w:t>il est irrégulier ou falsifié, ou que les faits qui y sont déclarés ne correspondent pas à la réalité. Il constata que la régularité formelle de l</w:t>
      </w:r>
      <w:r w:rsidRPr="00A85C28" w:rsidR="00A85C28">
        <w:t>’</w:t>
      </w:r>
      <w:r w:rsidRPr="00A85C28">
        <w:t xml:space="preserve">acte de naissance </w:t>
      </w:r>
      <w:r w:rsidRPr="00A85C28">
        <w:t>de la troisième requérante n</w:t>
      </w:r>
      <w:r w:rsidRPr="00A85C28" w:rsidR="00A85C28">
        <w:t>’</w:t>
      </w:r>
      <w:r w:rsidRPr="00A85C28">
        <w:t>était pas contestée, l</w:t>
      </w:r>
      <w:r w:rsidRPr="00A85C28" w:rsidR="00A85C28">
        <w:t>’</w:t>
      </w:r>
      <w:r w:rsidRPr="00A85C28">
        <w:t>acte étant régulièrement apostillé conformément à la Convention de La Haye du 5 octobre 1961. Il releva de plus qu</w:t>
      </w:r>
      <w:r w:rsidRPr="00A85C28" w:rsidR="00A85C28">
        <w:t>’</w:t>
      </w:r>
      <w:r w:rsidRPr="00A85C28">
        <w:t>il résultait notamment de l</w:t>
      </w:r>
      <w:r w:rsidRPr="00A85C28" w:rsidR="00A85C28">
        <w:t>’</w:t>
      </w:r>
      <w:r w:rsidRPr="00A85C28">
        <w:t>article 123 du code ukrainien de la famille que, « si un ovule conçu par les conjoints est implanté à une autre femme, les époux sont parents de l</w:t>
      </w:r>
      <w:r w:rsidRPr="00A85C28" w:rsidR="00A85C28">
        <w:t>’</w:t>
      </w:r>
      <w:r w:rsidRPr="00A85C28">
        <w:t>enfant » (</w:t>
      </w:r>
      <w:r w:rsidRPr="00A85C28">
        <w:rPr>
          <w:i/>
          <w:iCs/>
        </w:rPr>
        <w:t>Sic</w:t>
      </w:r>
      <w:r w:rsidRPr="00A85C28">
        <w:t>). Il souligna en outre que le fait que la naissance de l</w:t>
      </w:r>
      <w:r w:rsidRPr="00A85C28" w:rsidR="00A85C28">
        <w:t>’</w:t>
      </w:r>
      <w:r w:rsidRPr="00A85C28">
        <w:t>enfant est la suite de la conclusion par les parents d</w:t>
      </w:r>
      <w:r w:rsidRPr="00A85C28" w:rsidR="00A85C28">
        <w:t>’</w:t>
      </w:r>
      <w:r w:rsidRPr="00A85C28">
        <w:t>une convention de gestation pour autrui prohibée par l</w:t>
      </w:r>
      <w:r w:rsidRPr="00A85C28" w:rsidR="00A85C28">
        <w:t>’</w:t>
      </w:r>
      <w:r w:rsidRPr="00A85C28">
        <w:t>article 16-7 du code civil ne faisait pas obstacle à la reconnaissance en France du lien de filiation qui en résultait, et ce dans l</w:t>
      </w:r>
      <w:r w:rsidRPr="00A85C28" w:rsidR="00A85C28">
        <w:t>’</w:t>
      </w:r>
      <w:r w:rsidRPr="00A85C28">
        <w:t>intérêt de l</w:t>
      </w:r>
      <w:r w:rsidRPr="00A85C28" w:rsidR="00A85C28">
        <w:t>’</w:t>
      </w:r>
      <w:r w:rsidRPr="00A85C28">
        <w:t>enfant, qui ne peut se voir opposer les conditions de sa condition et de sa naissance. Le tribunal nota ensuite qu</w:t>
      </w:r>
      <w:r w:rsidRPr="00A85C28" w:rsidR="00A85C28">
        <w:t>’</w:t>
      </w:r>
      <w:r w:rsidRPr="00A85C28">
        <w:t>il n</w:t>
      </w:r>
      <w:r w:rsidRPr="00A85C28" w:rsidR="00A85C28">
        <w:t>’</w:t>
      </w:r>
      <w:r w:rsidRPr="00A85C28">
        <w:t>était pas contesté que le deuxième requérant était le père biologique de l</w:t>
      </w:r>
      <w:r w:rsidRPr="00A85C28" w:rsidR="00A85C28">
        <w:t>’</w:t>
      </w:r>
      <w:r w:rsidRPr="00A85C28">
        <w:t>enfant. Il souligna que le fait que l</w:t>
      </w:r>
      <w:r w:rsidRPr="00A85C28" w:rsidR="00A85C28">
        <w:t>’</w:t>
      </w:r>
      <w:r w:rsidRPr="00A85C28">
        <w:t>acte de naissance indiquait que la première requérante était la mère alors qu</w:t>
      </w:r>
      <w:r w:rsidRPr="00A85C28" w:rsidR="00A85C28">
        <w:t>’</w:t>
      </w:r>
      <w:r w:rsidRPr="00A85C28">
        <w:t>elle n</w:t>
      </w:r>
      <w:r w:rsidRPr="00A85C28" w:rsidR="00A85C28">
        <w:t>’</w:t>
      </w:r>
      <w:r w:rsidRPr="00A85C28">
        <w:t>avait pas accouché ne saurait, au regard de l</w:t>
      </w:r>
      <w:r w:rsidRPr="00A85C28" w:rsidR="00A85C28">
        <w:t>’</w:t>
      </w:r>
      <w:r w:rsidRPr="00A85C28">
        <w:t>intérêt supérieur de l</w:t>
      </w:r>
      <w:r w:rsidRPr="00A85C28" w:rsidR="00A85C28">
        <w:t>’</w:t>
      </w:r>
      <w:r w:rsidRPr="00A85C28">
        <w:t>enfant tel que déterminé par la Cour européenne des droits de l</w:t>
      </w:r>
      <w:r w:rsidRPr="00A85C28" w:rsidR="00A85C28">
        <w:t>’</w:t>
      </w:r>
      <w:r w:rsidRPr="00A85C28">
        <w:t>homme, justifier le refus de reconnaissance de cette filiation maternelle, qui était « la seule juridiquement reconnue comme régulièrement établie dans le pays de naissance » et qui correspondait donc à la réalité juridique. Il constata ensuite qu</w:t>
      </w:r>
      <w:r w:rsidRPr="00A85C28" w:rsidR="00A85C28">
        <w:t>’</w:t>
      </w:r>
      <w:r w:rsidRPr="00A85C28">
        <w:t>il n</w:t>
      </w:r>
      <w:r w:rsidRPr="00A85C28" w:rsidR="00A85C28">
        <w:t>’</w:t>
      </w:r>
      <w:r w:rsidRPr="00A85C28">
        <w:t>était ni établi ni soutenu que l</w:t>
      </w:r>
      <w:r w:rsidRPr="00A85C28" w:rsidR="00A85C28">
        <w:t>’</w:t>
      </w:r>
      <w:r w:rsidRPr="00A85C28">
        <w:t>acte de naissance avait été dressé en fraude de la loi ukrainienne, qu</w:t>
      </w:r>
      <w:r w:rsidRPr="00A85C28" w:rsidR="00A85C28">
        <w:t>’</w:t>
      </w:r>
      <w:r w:rsidRPr="00A85C28">
        <w:t>il n</w:t>
      </w:r>
      <w:r w:rsidRPr="00A85C28" w:rsidR="00A85C28">
        <w:t>’</w:t>
      </w:r>
      <w:r w:rsidRPr="00A85C28">
        <w:t>était pas justifié que l</w:t>
      </w:r>
      <w:r w:rsidRPr="00A85C28" w:rsidR="00A85C28">
        <w:t>’</w:t>
      </w:r>
      <w:r w:rsidRPr="00A85C28">
        <w:t>enfant disposerait d</w:t>
      </w:r>
      <w:r w:rsidRPr="00A85C28" w:rsidR="00A85C28">
        <w:t>’</w:t>
      </w:r>
      <w:r w:rsidRPr="00A85C28">
        <w:t>une filiation régulièrement établie dont les énonciations contrediraient celles figurant dans l</w:t>
      </w:r>
      <w:r w:rsidRPr="00A85C28" w:rsidR="00A85C28">
        <w:t>’</w:t>
      </w:r>
      <w:r w:rsidRPr="00A85C28">
        <w:t>acte de naissance apostillé, et que le ministère public ne rapportait donc pas la preuve que cet acte n</w:t>
      </w:r>
      <w:r w:rsidRPr="00A85C28" w:rsidR="00A85C28">
        <w:t>’</w:t>
      </w:r>
      <w:r w:rsidRPr="00A85C28">
        <w:t>était pas conforme à la réalité au sens de l</w:t>
      </w:r>
      <w:r w:rsidRPr="00A85C28" w:rsidR="00A85C28">
        <w:t>’</w:t>
      </w:r>
      <w:r w:rsidRPr="00A85C28">
        <w:t>article 47 du code civil.</w:t>
      </w:r>
    </w:p>
    <w:p w:rsidRPr="00A85C28" w:rsidR="004D2843" w:rsidP="00A85C28">
      <w:pPr>
        <w:pStyle w:val="ECHRPara"/>
      </w:pPr>
      <w:r w:rsidRPr="00A85C28">
        <w:rPr>
          <w:lang w:val="es-ES_tradnl"/>
        </w:rPr>
        <w:fldChar w:fldCharType="begin"/>
      </w:r>
      <w:r w:rsidRPr="00A85C28">
        <w:instrText xml:space="preserve"> SEQ level0 \*arabic </w:instrText>
      </w:r>
      <w:r w:rsidRPr="00A85C28">
        <w:rPr>
          <w:lang w:val="es-ES_tradnl"/>
        </w:rPr>
        <w:fldChar w:fldCharType="separate"/>
      </w:r>
      <w:r w:rsidRPr="00A85C28" w:rsidR="00A85C28">
        <w:rPr>
          <w:noProof/>
        </w:rPr>
        <w:t>10</w:t>
      </w:r>
      <w:r w:rsidRPr="00A85C28">
        <w:rPr>
          <w:lang w:val="es-ES_tradnl"/>
        </w:rPr>
        <w:fldChar w:fldCharType="end"/>
      </w:r>
      <w:r w:rsidRPr="00A85C28">
        <w:t>.  Par un arrêt du 18 décembre 2017, la cour d</w:t>
      </w:r>
      <w:r w:rsidRPr="00A85C28" w:rsidR="00A85C28">
        <w:t>’</w:t>
      </w:r>
      <w:r w:rsidRPr="00A85C28">
        <w:t>appel de Rennes confirma le jugement du 12 janvier 2017 en ce qu</w:t>
      </w:r>
      <w:r w:rsidRPr="00A85C28" w:rsidR="00A85C28">
        <w:t>’</w:t>
      </w:r>
      <w:r w:rsidRPr="00A85C28">
        <w:t>il faisait droit à la demande de transcription de l</w:t>
      </w:r>
      <w:r w:rsidRPr="00A85C28" w:rsidR="00A85C28">
        <w:t>’</w:t>
      </w:r>
      <w:r w:rsidRPr="00A85C28">
        <w:t>acte de naissance au titre de la filiation paternelle. Elle l</w:t>
      </w:r>
      <w:r w:rsidRPr="00A85C28" w:rsidR="00A85C28">
        <w:t>’</w:t>
      </w:r>
      <w:r w:rsidRPr="00A85C28">
        <w:t>infirma en revanche en ce qu</w:t>
      </w:r>
      <w:r w:rsidRPr="00A85C28" w:rsidR="00A85C28">
        <w:t>’</w:t>
      </w:r>
      <w:r w:rsidRPr="00A85C28">
        <w:t>il y faisait droit au titre de la filiation maternelle. L</w:t>
      </w:r>
      <w:r w:rsidRPr="00A85C28" w:rsidR="00A85C28">
        <w:t>’</w:t>
      </w:r>
      <w:r w:rsidRPr="00A85C28">
        <w:t>arrêt est rédigé comme il suit :</w:t>
      </w:r>
    </w:p>
    <w:p w:rsidRPr="00A85C28" w:rsidR="004D2843" w:rsidP="00A85C28">
      <w:pPr>
        <w:pStyle w:val="ECHRParaQuote"/>
        <w:rPr>
          <w:rFonts w:ascii="Times New Roman" w:hAnsi="Times New Roman" w:cs="Times New Roman"/>
        </w:rPr>
      </w:pPr>
      <w:r w:rsidRPr="00A85C28">
        <w:rPr>
          <w:rFonts w:ascii="Times New Roman" w:hAnsi="Times New Roman" w:cs="Times New Roman"/>
        </w:rPr>
        <w:t>« (...) Concernant la désignation de la mère dans l</w:t>
      </w:r>
      <w:r w:rsidRPr="00A85C28" w:rsidR="00A85C28">
        <w:rPr>
          <w:rFonts w:ascii="Times New Roman" w:hAnsi="Times New Roman" w:cs="Times New Roman"/>
        </w:rPr>
        <w:t>’</w:t>
      </w:r>
      <w:r w:rsidRPr="00A85C28">
        <w:rPr>
          <w:rFonts w:ascii="Times New Roman" w:hAnsi="Times New Roman" w:cs="Times New Roman"/>
        </w:rPr>
        <w:t>acte de naissance, la réalité au sens [de l</w:t>
      </w:r>
      <w:r w:rsidRPr="00A85C28" w:rsidR="00A85C28">
        <w:rPr>
          <w:rFonts w:ascii="Times New Roman" w:hAnsi="Times New Roman" w:cs="Times New Roman"/>
        </w:rPr>
        <w:t>’</w:t>
      </w:r>
      <w:r w:rsidRPr="00A85C28">
        <w:rPr>
          <w:rFonts w:ascii="Times New Roman" w:hAnsi="Times New Roman" w:cs="Times New Roman"/>
        </w:rPr>
        <w:t>article 47 du code civil], est la réalité de l</w:t>
      </w:r>
      <w:r w:rsidRPr="00A85C28" w:rsidR="00A85C28">
        <w:rPr>
          <w:rFonts w:ascii="Times New Roman" w:hAnsi="Times New Roman" w:cs="Times New Roman"/>
        </w:rPr>
        <w:t>’</w:t>
      </w:r>
      <w:r w:rsidRPr="00A85C28">
        <w:rPr>
          <w:rFonts w:ascii="Times New Roman" w:hAnsi="Times New Roman" w:cs="Times New Roman"/>
        </w:rPr>
        <w:t>accouchement ;</w:t>
      </w:r>
    </w:p>
    <w:p w:rsidRPr="00A85C28" w:rsidR="004D2843" w:rsidP="00A85C28">
      <w:pPr>
        <w:pStyle w:val="ECHRParaQuote"/>
        <w:rPr>
          <w:rFonts w:ascii="Times New Roman" w:hAnsi="Times New Roman" w:cs="Times New Roman"/>
        </w:rPr>
      </w:pPr>
      <w:r w:rsidRPr="00A85C28">
        <w:rPr>
          <w:rFonts w:ascii="Times New Roman" w:hAnsi="Times New Roman" w:cs="Times New Roman"/>
        </w:rPr>
        <w:t>En effet, si le droit opère transformation du réel au sens [de cette disposition], le droit positif n</w:t>
      </w:r>
      <w:r w:rsidRPr="00A85C28" w:rsidR="00A85C28">
        <w:rPr>
          <w:rFonts w:ascii="Times New Roman" w:hAnsi="Times New Roman" w:cs="Times New Roman"/>
        </w:rPr>
        <w:t>’</w:t>
      </w:r>
      <w:r w:rsidRPr="00A85C28">
        <w:rPr>
          <w:rFonts w:ascii="Times New Roman" w:hAnsi="Times New Roman" w:cs="Times New Roman"/>
        </w:rPr>
        <w:t xml:space="preserve">autorise une dérogation au principe </w:t>
      </w:r>
      <w:r w:rsidRPr="00A85C28">
        <w:rPr>
          <w:rFonts w:ascii="Times New Roman" w:hAnsi="Times New Roman" w:cs="Times New Roman"/>
          <w:i/>
          <w:iCs/>
        </w:rPr>
        <w:t xml:space="preserve">mater semper </w:t>
      </w:r>
      <w:r w:rsidRPr="00A85C28">
        <w:rPr>
          <w:rFonts w:ascii="Times New Roman" w:hAnsi="Times New Roman" w:cs="Times New Roman"/>
          <w:i/>
          <w:iCs/>
        </w:rPr>
        <w:t>certa</w:t>
      </w:r>
      <w:r w:rsidRPr="00A85C28">
        <w:rPr>
          <w:rFonts w:ascii="Times New Roman" w:hAnsi="Times New Roman" w:cs="Times New Roman"/>
        </w:rPr>
        <w:t xml:space="preserve"> </w:t>
      </w:r>
      <w:r w:rsidRPr="00A85C28">
        <w:rPr>
          <w:rFonts w:ascii="Times New Roman" w:hAnsi="Times New Roman" w:cs="Times New Roman"/>
          <w:i/>
          <w:iCs/>
        </w:rPr>
        <w:t>est</w:t>
      </w:r>
      <w:r w:rsidRPr="00A85C28">
        <w:rPr>
          <w:rFonts w:ascii="Times New Roman" w:hAnsi="Times New Roman" w:cs="Times New Roman"/>
        </w:rPr>
        <w:t xml:space="preserve"> que dans le cas expressément limité prévu par le législateur, en matière d</w:t>
      </w:r>
      <w:r w:rsidRPr="00A85C28" w:rsidR="00A85C28">
        <w:rPr>
          <w:rFonts w:ascii="Times New Roman" w:hAnsi="Times New Roman" w:cs="Times New Roman"/>
        </w:rPr>
        <w:t>’</w:t>
      </w:r>
      <w:r w:rsidRPr="00A85C28">
        <w:rPr>
          <w:rFonts w:ascii="Times New Roman" w:hAnsi="Times New Roman" w:cs="Times New Roman"/>
        </w:rPr>
        <w:t>adoption plénière (article 356 alinéa 1</w:t>
      </w:r>
      <w:r w:rsidRPr="00A85C28">
        <w:rPr>
          <w:rFonts w:ascii="Times New Roman" w:hAnsi="Times New Roman" w:cs="Times New Roman"/>
          <w:vertAlign w:val="superscript"/>
        </w:rPr>
        <w:t>er</w:t>
      </w:r>
      <w:r w:rsidRPr="00A85C28">
        <w:rPr>
          <w:rFonts w:ascii="Times New Roman" w:hAnsi="Times New Roman" w:cs="Times New Roman"/>
        </w:rPr>
        <w:t xml:space="preserve"> du code civil), permettant ainsi de désigner valablement comme mère la femme adoptive qui n</w:t>
      </w:r>
      <w:r w:rsidRPr="00A85C28" w:rsidR="00A85C28">
        <w:rPr>
          <w:rFonts w:ascii="Times New Roman" w:hAnsi="Times New Roman" w:cs="Times New Roman"/>
        </w:rPr>
        <w:t>’</w:t>
      </w:r>
      <w:r w:rsidRPr="00A85C28">
        <w:rPr>
          <w:rFonts w:ascii="Times New Roman" w:hAnsi="Times New Roman" w:cs="Times New Roman"/>
        </w:rPr>
        <w:t>a pas accouché ;</w:t>
      </w:r>
    </w:p>
    <w:p w:rsidRPr="00A85C28" w:rsidR="004D2843" w:rsidP="00A85C28">
      <w:pPr>
        <w:pStyle w:val="ECHRParaQuote"/>
        <w:rPr>
          <w:rFonts w:ascii="Times New Roman" w:hAnsi="Times New Roman" w:cs="Times New Roman"/>
        </w:rPr>
      </w:pPr>
      <w:r w:rsidRPr="00A85C28">
        <w:rPr>
          <w:rFonts w:ascii="Times New Roman" w:hAnsi="Times New Roman" w:cs="Times New Roman"/>
        </w:rPr>
        <w:t>Le recours à une convention de mère porteuse consentie à l</w:t>
      </w:r>
      <w:r w:rsidRPr="00A85C28" w:rsidR="00A85C28">
        <w:rPr>
          <w:rFonts w:ascii="Times New Roman" w:hAnsi="Times New Roman" w:cs="Times New Roman"/>
        </w:rPr>
        <w:t>’</w:t>
      </w:r>
      <w:r w:rsidRPr="00A85C28">
        <w:rPr>
          <w:rFonts w:ascii="Times New Roman" w:hAnsi="Times New Roman" w:cs="Times New Roman"/>
        </w:rPr>
        <w:t>étranger s</w:t>
      </w:r>
      <w:r w:rsidRPr="00A85C28" w:rsidR="00A85C28">
        <w:rPr>
          <w:rFonts w:ascii="Times New Roman" w:hAnsi="Times New Roman" w:cs="Times New Roman"/>
        </w:rPr>
        <w:t>’</w:t>
      </w:r>
      <w:r w:rsidRPr="00A85C28">
        <w:rPr>
          <w:rFonts w:ascii="Times New Roman" w:hAnsi="Times New Roman" w:cs="Times New Roman"/>
        </w:rPr>
        <w:t>oppose à ce qu</w:t>
      </w:r>
      <w:r w:rsidRPr="00A85C28" w:rsidR="00A85C28">
        <w:rPr>
          <w:rFonts w:ascii="Times New Roman" w:hAnsi="Times New Roman" w:cs="Times New Roman"/>
        </w:rPr>
        <w:t>’</w:t>
      </w:r>
      <w:r w:rsidRPr="00A85C28">
        <w:rPr>
          <w:rFonts w:ascii="Times New Roman" w:hAnsi="Times New Roman" w:cs="Times New Roman"/>
        </w:rPr>
        <w:t>un mécanisme de substitution soit opéré, de façon à ce que le nom de la mère d</w:t>
      </w:r>
      <w:r w:rsidRPr="00A85C28" w:rsidR="00A85C28">
        <w:rPr>
          <w:rFonts w:ascii="Times New Roman" w:hAnsi="Times New Roman" w:cs="Times New Roman"/>
        </w:rPr>
        <w:t>’</w:t>
      </w:r>
      <w:r w:rsidRPr="00A85C28">
        <w:rPr>
          <w:rFonts w:ascii="Times New Roman" w:hAnsi="Times New Roman" w:cs="Times New Roman"/>
        </w:rPr>
        <w:t>intention qui n</w:t>
      </w:r>
      <w:r w:rsidRPr="00A85C28" w:rsidR="00A85C28">
        <w:rPr>
          <w:rFonts w:ascii="Times New Roman" w:hAnsi="Times New Roman" w:cs="Times New Roman"/>
        </w:rPr>
        <w:t>’</w:t>
      </w:r>
      <w:r w:rsidRPr="00A85C28">
        <w:rPr>
          <w:rFonts w:ascii="Times New Roman" w:hAnsi="Times New Roman" w:cs="Times New Roman"/>
        </w:rPr>
        <w:t>a pas accouché, soit porté dans l</w:t>
      </w:r>
      <w:r w:rsidRPr="00A85C28" w:rsidR="00A85C28">
        <w:rPr>
          <w:rFonts w:ascii="Times New Roman" w:hAnsi="Times New Roman" w:cs="Times New Roman"/>
        </w:rPr>
        <w:t>’</w:t>
      </w:r>
      <w:r w:rsidRPr="00A85C28">
        <w:rPr>
          <w:rFonts w:ascii="Times New Roman" w:hAnsi="Times New Roman" w:cs="Times New Roman"/>
        </w:rPr>
        <w:t>acte de naissance comme mère légale, du fait du rattachement de la maternité avec l</w:t>
      </w:r>
      <w:r w:rsidRPr="00A85C28" w:rsidR="00A85C28">
        <w:rPr>
          <w:rFonts w:ascii="Times New Roman" w:hAnsi="Times New Roman" w:cs="Times New Roman"/>
        </w:rPr>
        <w:t>’</w:t>
      </w:r>
      <w:r w:rsidRPr="00A85C28">
        <w:rPr>
          <w:rFonts w:ascii="Times New Roman" w:hAnsi="Times New Roman" w:cs="Times New Roman"/>
        </w:rPr>
        <w:t>acte charnel d</w:t>
      </w:r>
      <w:r w:rsidRPr="00A85C28" w:rsidR="00A85C28">
        <w:rPr>
          <w:rFonts w:ascii="Times New Roman" w:hAnsi="Times New Roman" w:cs="Times New Roman"/>
        </w:rPr>
        <w:t>’</w:t>
      </w:r>
      <w:r w:rsidRPr="00A85C28">
        <w:rPr>
          <w:rFonts w:ascii="Times New Roman" w:hAnsi="Times New Roman" w:cs="Times New Roman"/>
        </w:rPr>
        <w:t>accouchement, la réalité au sens de l</w:t>
      </w:r>
      <w:r w:rsidRPr="00A85C28" w:rsidR="00A85C28">
        <w:rPr>
          <w:rFonts w:ascii="Times New Roman" w:hAnsi="Times New Roman" w:cs="Times New Roman"/>
        </w:rPr>
        <w:t>’</w:t>
      </w:r>
      <w:r w:rsidRPr="00A85C28">
        <w:rPr>
          <w:rFonts w:ascii="Times New Roman" w:hAnsi="Times New Roman" w:cs="Times New Roman"/>
        </w:rPr>
        <w:t>article précité correspondant à la réalité matérielle et factuelle et non à la réalité juridique, en l</w:t>
      </w:r>
      <w:r w:rsidRPr="00A85C28" w:rsidR="00A85C28">
        <w:rPr>
          <w:rFonts w:ascii="Times New Roman" w:hAnsi="Times New Roman" w:cs="Times New Roman"/>
        </w:rPr>
        <w:t>’</w:t>
      </w:r>
      <w:r w:rsidRPr="00A85C28">
        <w:rPr>
          <w:rFonts w:ascii="Times New Roman" w:hAnsi="Times New Roman" w:cs="Times New Roman"/>
        </w:rPr>
        <w:t>absence de statut juridique conféré à la maternité d</w:t>
      </w:r>
      <w:r w:rsidRPr="00A85C28" w:rsidR="00A85C28">
        <w:rPr>
          <w:rFonts w:ascii="Times New Roman" w:hAnsi="Times New Roman" w:cs="Times New Roman"/>
        </w:rPr>
        <w:t>’</w:t>
      </w:r>
      <w:r w:rsidRPr="00A85C28">
        <w:rPr>
          <w:rFonts w:ascii="Times New Roman" w:hAnsi="Times New Roman" w:cs="Times New Roman"/>
        </w:rPr>
        <w:t>intention ;</w:t>
      </w:r>
    </w:p>
    <w:p w:rsidRPr="00A85C28" w:rsidR="004D2843" w:rsidP="00A85C28">
      <w:pPr>
        <w:pStyle w:val="ECHRParaQuote"/>
        <w:rPr>
          <w:rFonts w:ascii="Times New Roman" w:hAnsi="Times New Roman" w:cs="Times New Roman"/>
        </w:rPr>
      </w:pPr>
      <w:r w:rsidRPr="00A85C28">
        <w:rPr>
          <w:rFonts w:ascii="Times New Roman" w:hAnsi="Times New Roman" w:cs="Times New Roman"/>
        </w:rPr>
        <w:t>En l</w:t>
      </w:r>
      <w:r w:rsidRPr="00A85C28" w:rsidR="00A85C28">
        <w:rPr>
          <w:rFonts w:ascii="Times New Roman" w:hAnsi="Times New Roman" w:cs="Times New Roman"/>
        </w:rPr>
        <w:t>’</w:t>
      </w:r>
      <w:r w:rsidRPr="00A85C28">
        <w:rPr>
          <w:rFonts w:ascii="Times New Roman" w:hAnsi="Times New Roman" w:cs="Times New Roman"/>
        </w:rPr>
        <w:t>espèce les époux D ne contestent pas avoir eu recours à une convention de gestation pour autrui à l</w:t>
      </w:r>
      <w:r w:rsidRPr="00A85C28" w:rsidR="00A85C28">
        <w:rPr>
          <w:rFonts w:ascii="Times New Roman" w:hAnsi="Times New Roman" w:cs="Times New Roman"/>
        </w:rPr>
        <w:t>’</w:t>
      </w:r>
      <w:r w:rsidRPr="00A85C28">
        <w:rPr>
          <w:rFonts w:ascii="Times New Roman" w:hAnsi="Times New Roman" w:cs="Times New Roman"/>
        </w:rPr>
        <w:t>étranger, que M</w:t>
      </w:r>
      <w:r w:rsidRPr="00A85C28">
        <w:rPr>
          <w:rFonts w:ascii="Times New Roman" w:hAnsi="Times New Roman" w:cs="Times New Roman"/>
          <w:vertAlign w:val="superscript"/>
        </w:rPr>
        <w:t>me</w:t>
      </w:r>
      <w:r w:rsidRPr="00A85C28">
        <w:rPr>
          <w:rFonts w:ascii="Times New Roman" w:hAnsi="Times New Roman" w:cs="Times New Roman"/>
        </w:rPr>
        <w:t xml:space="preserve"> D n</w:t>
      </w:r>
      <w:r w:rsidRPr="00A85C28" w:rsidR="00A85C28">
        <w:rPr>
          <w:rFonts w:ascii="Times New Roman" w:hAnsi="Times New Roman" w:cs="Times New Roman"/>
        </w:rPr>
        <w:t>’</w:t>
      </w:r>
      <w:r w:rsidRPr="00A85C28">
        <w:rPr>
          <w:rFonts w:ascii="Times New Roman" w:hAnsi="Times New Roman" w:cs="Times New Roman"/>
        </w:rPr>
        <w:t>a pas accouché de l</w:t>
      </w:r>
      <w:r w:rsidRPr="00A85C28" w:rsidR="00A85C28">
        <w:rPr>
          <w:rFonts w:ascii="Times New Roman" w:hAnsi="Times New Roman" w:cs="Times New Roman"/>
        </w:rPr>
        <w:t>’</w:t>
      </w:r>
      <w:r w:rsidRPr="00A85C28">
        <w:rPr>
          <w:rFonts w:ascii="Times New Roman" w:hAnsi="Times New Roman" w:cs="Times New Roman"/>
        </w:rPr>
        <w:t xml:space="preserve">enfant, si bien que </w:t>
      </w:r>
      <w:r w:rsidRPr="00A85C28">
        <w:rPr>
          <w:rFonts w:ascii="Times New Roman" w:hAnsi="Times New Roman" w:cs="Times New Roman"/>
        </w:rPr>
        <w:t>l</w:t>
      </w:r>
      <w:r w:rsidRPr="00A85C28" w:rsidR="00A85C28">
        <w:rPr>
          <w:rFonts w:ascii="Times New Roman" w:hAnsi="Times New Roman" w:cs="Times New Roman"/>
        </w:rPr>
        <w:t>’</w:t>
      </w:r>
      <w:r w:rsidRPr="00A85C28">
        <w:rPr>
          <w:rFonts w:ascii="Times New Roman" w:hAnsi="Times New Roman" w:cs="Times New Roman"/>
        </w:rPr>
        <w:t>acte de naissance dressé à l</w:t>
      </w:r>
      <w:r w:rsidRPr="00A85C28" w:rsidR="00A85C28">
        <w:rPr>
          <w:rFonts w:ascii="Times New Roman" w:hAnsi="Times New Roman" w:cs="Times New Roman"/>
        </w:rPr>
        <w:t>’</w:t>
      </w:r>
      <w:r w:rsidRPr="00A85C28">
        <w:rPr>
          <w:rFonts w:ascii="Times New Roman" w:hAnsi="Times New Roman" w:cs="Times New Roman"/>
        </w:rPr>
        <w:t>étranger, n</w:t>
      </w:r>
      <w:r w:rsidRPr="00A85C28" w:rsidR="00A85C28">
        <w:rPr>
          <w:rFonts w:ascii="Times New Roman" w:hAnsi="Times New Roman" w:cs="Times New Roman"/>
        </w:rPr>
        <w:t>’</w:t>
      </w:r>
      <w:r w:rsidRPr="00A85C28">
        <w:rPr>
          <w:rFonts w:ascii="Times New Roman" w:hAnsi="Times New Roman" w:cs="Times New Roman"/>
        </w:rPr>
        <w:t>est pas conforme à la réalité en ce qu</w:t>
      </w:r>
      <w:r w:rsidRPr="00A85C28" w:rsidR="00A85C28">
        <w:rPr>
          <w:rFonts w:ascii="Times New Roman" w:hAnsi="Times New Roman" w:cs="Times New Roman"/>
        </w:rPr>
        <w:t>’</w:t>
      </w:r>
      <w:r w:rsidRPr="00A85C28">
        <w:rPr>
          <w:rFonts w:ascii="Times New Roman" w:hAnsi="Times New Roman" w:cs="Times New Roman"/>
        </w:rPr>
        <w:t>il la désigne comme mère, de sorte qu</w:t>
      </w:r>
      <w:r w:rsidRPr="00A85C28" w:rsidR="00A85C28">
        <w:rPr>
          <w:rFonts w:ascii="Times New Roman" w:hAnsi="Times New Roman" w:cs="Times New Roman"/>
        </w:rPr>
        <w:t>’</w:t>
      </w:r>
      <w:r w:rsidRPr="00A85C28">
        <w:rPr>
          <w:rFonts w:ascii="Times New Roman" w:hAnsi="Times New Roman" w:cs="Times New Roman"/>
        </w:rPr>
        <w:t>il n</w:t>
      </w:r>
      <w:r w:rsidRPr="00A85C28" w:rsidR="00A85C28">
        <w:rPr>
          <w:rFonts w:ascii="Times New Roman" w:hAnsi="Times New Roman" w:cs="Times New Roman"/>
        </w:rPr>
        <w:t>’</w:t>
      </w:r>
      <w:r w:rsidRPr="00A85C28">
        <w:rPr>
          <w:rFonts w:ascii="Times New Roman" w:hAnsi="Times New Roman" w:cs="Times New Roman"/>
        </w:rPr>
        <w:t>est pas probant et ne peut, s</w:t>
      </w:r>
      <w:r w:rsidRPr="00A85C28" w:rsidR="00A85C28">
        <w:rPr>
          <w:rFonts w:ascii="Times New Roman" w:hAnsi="Times New Roman" w:cs="Times New Roman"/>
        </w:rPr>
        <w:t>’</w:t>
      </w:r>
      <w:r w:rsidRPr="00A85C28">
        <w:rPr>
          <w:rFonts w:ascii="Times New Roman" w:hAnsi="Times New Roman" w:cs="Times New Roman"/>
        </w:rPr>
        <w:t>agissant de cette désignation, être transcrit sur les registres de l</w:t>
      </w:r>
      <w:r w:rsidRPr="00A85C28" w:rsidR="00A85C28">
        <w:rPr>
          <w:rFonts w:ascii="Times New Roman" w:hAnsi="Times New Roman" w:cs="Times New Roman"/>
        </w:rPr>
        <w:t>’</w:t>
      </w:r>
      <w:r w:rsidRPr="00A85C28">
        <w:rPr>
          <w:rFonts w:ascii="Times New Roman" w:hAnsi="Times New Roman" w:cs="Times New Roman"/>
        </w:rPr>
        <w:t>état civil français ;</w:t>
      </w:r>
    </w:p>
    <w:p w:rsidRPr="00A85C28" w:rsidR="004D2843" w:rsidP="00A85C28">
      <w:pPr>
        <w:pStyle w:val="ECHRParaQuote"/>
        <w:rPr>
          <w:rFonts w:ascii="Times New Roman" w:hAnsi="Times New Roman" w:cs="Times New Roman"/>
        </w:rPr>
      </w:pPr>
      <w:r w:rsidRPr="00A85C28">
        <w:rPr>
          <w:rFonts w:ascii="Times New Roman" w:hAnsi="Times New Roman" w:cs="Times New Roman"/>
        </w:rPr>
        <w:t>Le jugement déféré sera infirmé en ce qu</w:t>
      </w:r>
      <w:r w:rsidRPr="00A85C28" w:rsidR="00A85C28">
        <w:rPr>
          <w:rFonts w:ascii="Times New Roman" w:hAnsi="Times New Roman" w:cs="Times New Roman"/>
        </w:rPr>
        <w:t>’</w:t>
      </w:r>
      <w:r w:rsidRPr="00A85C28">
        <w:rPr>
          <w:rFonts w:ascii="Times New Roman" w:hAnsi="Times New Roman" w:cs="Times New Roman"/>
        </w:rPr>
        <w:t>il a dit que le ministère public ne rapporte pas la preuve que l</w:t>
      </w:r>
      <w:r w:rsidRPr="00A85C28" w:rsidR="00A85C28">
        <w:rPr>
          <w:rFonts w:ascii="Times New Roman" w:hAnsi="Times New Roman" w:cs="Times New Roman"/>
        </w:rPr>
        <w:t>’</w:t>
      </w:r>
      <w:r w:rsidRPr="00A85C28">
        <w:rPr>
          <w:rFonts w:ascii="Times New Roman" w:hAnsi="Times New Roman" w:cs="Times New Roman"/>
        </w:rPr>
        <w:t>acte litigieux n</w:t>
      </w:r>
      <w:r w:rsidRPr="00A85C28" w:rsidR="00A85C28">
        <w:rPr>
          <w:rFonts w:ascii="Times New Roman" w:hAnsi="Times New Roman" w:cs="Times New Roman"/>
        </w:rPr>
        <w:t>’</w:t>
      </w:r>
      <w:r w:rsidRPr="00A85C28">
        <w:rPr>
          <w:rFonts w:ascii="Times New Roman" w:hAnsi="Times New Roman" w:cs="Times New Roman"/>
        </w:rPr>
        <w:t>est pas conforme à la réalité au sens de l</w:t>
      </w:r>
      <w:r w:rsidRPr="00A85C28" w:rsidR="00A85C28">
        <w:rPr>
          <w:rFonts w:ascii="Times New Roman" w:hAnsi="Times New Roman" w:cs="Times New Roman"/>
        </w:rPr>
        <w:t>’</w:t>
      </w:r>
      <w:r w:rsidRPr="00A85C28">
        <w:rPr>
          <w:rFonts w:ascii="Times New Roman" w:hAnsi="Times New Roman" w:cs="Times New Roman"/>
        </w:rPr>
        <w:t>article 47 du code civil, s</w:t>
      </w:r>
      <w:r w:rsidRPr="00A85C28" w:rsidR="00A85C28">
        <w:rPr>
          <w:rFonts w:ascii="Times New Roman" w:hAnsi="Times New Roman" w:cs="Times New Roman"/>
        </w:rPr>
        <w:t>’</w:t>
      </w:r>
      <w:r w:rsidRPr="00A85C28">
        <w:rPr>
          <w:rFonts w:ascii="Times New Roman" w:hAnsi="Times New Roman" w:cs="Times New Roman"/>
        </w:rPr>
        <w:t>agissant de la désignation de M</w:t>
      </w:r>
      <w:r w:rsidRPr="00A85C28">
        <w:rPr>
          <w:rFonts w:ascii="Times New Roman" w:hAnsi="Times New Roman" w:cs="Times New Roman"/>
          <w:vertAlign w:val="superscript"/>
        </w:rPr>
        <w:t>me </w:t>
      </w:r>
      <w:r w:rsidRPr="00A85C28">
        <w:rPr>
          <w:rFonts w:ascii="Times New Roman" w:hAnsi="Times New Roman" w:cs="Times New Roman"/>
        </w:rPr>
        <w:t>D comme mère de l</w:t>
      </w:r>
      <w:r w:rsidRPr="00A85C28" w:rsidR="00A85C28">
        <w:rPr>
          <w:rFonts w:ascii="Times New Roman" w:hAnsi="Times New Roman" w:cs="Times New Roman"/>
        </w:rPr>
        <w:t>’</w:t>
      </w:r>
      <w:r w:rsidRPr="00A85C28">
        <w:rPr>
          <w:rFonts w:ascii="Times New Roman" w:hAnsi="Times New Roman" w:cs="Times New Roman"/>
        </w:rPr>
        <w:t>enfant ;</w:t>
      </w:r>
    </w:p>
    <w:p w:rsidRPr="00A85C28" w:rsidR="004D2843" w:rsidP="00A85C28">
      <w:pPr>
        <w:pStyle w:val="ECHRParaQuote"/>
        <w:rPr>
          <w:rFonts w:ascii="Times New Roman" w:hAnsi="Times New Roman" w:cs="Times New Roman"/>
        </w:rPr>
      </w:pPr>
      <w:r w:rsidRPr="00A85C28">
        <w:rPr>
          <w:rFonts w:ascii="Times New Roman" w:hAnsi="Times New Roman" w:cs="Times New Roman"/>
        </w:rPr>
        <w:t>S</w:t>
      </w:r>
      <w:r w:rsidRPr="00A85C28" w:rsidR="00A85C28">
        <w:rPr>
          <w:rFonts w:ascii="Times New Roman" w:hAnsi="Times New Roman" w:cs="Times New Roman"/>
        </w:rPr>
        <w:t>’</w:t>
      </w:r>
      <w:r w:rsidRPr="00A85C28">
        <w:rPr>
          <w:rFonts w:ascii="Times New Roman" w:hAnsi="Times New Roman" w:cs="Times New Roman"/>
        </w:rPr>
        <w:t>agissant du droit au respect de la vie privée et familiale de l</w:t>
      </w:r>
      <w:r w:rsidRPr="00A85C28" w:rsidR="00A85C28">
        <w:rPr>
          <w:rFonts w:ascii="Times New Roman" w:hAnsi="Times New Roman" w:cs="Times New Roman"/>
        </w:rPr>
        <w:t>’</w:t>
      </w:r>
      <w:r w:rsidRPr="00A85C28">
        <w:rPr>
          <w:rFonts w:ascii="Times New Roman" w:hAnsi="Times New Roman" w:cs="Times New Roman"/>
        </w:rPr>
        <w:t>enfant, garanti par l</w:t>
      </w:r>
      <w:r w:rsidRPr="00A85C28" w:rsidR="00A85C28">
        <w:rPr>
          <w:rFonts w:ascii="Times New Roman" w:hAnsi="Times New Roman" w:cs="Times New Roman"/>
        </w:rPr>
        <w:t>’</w:t>
      </w:r>
      <w:r w:rsidRPr="00A85C28">
        <w:rPr>
          <w:rFonts w:ascii="Times New Roman" w:hAnsi="Times New Roman" w:cs="Times New Roman"/>
        </w:rPr>
        <w:t>article 8 de la Convention (...), le refus de transcription de la filiation maternelle d</w:t>
      </w:r>
      <w:r w:rsidRPr="00A85C28" w:rsidR="00A85C28">
        <w:rPr>
          <w:rFonts w:ascii="Times New Roman" w:hAnsi="Times New Roman" w:cs="Times New Roman"/>
        </w:rPr>
        <w:t>’</w:t>
      </w:r>
      <w:r w:rsidRPr="00A85C28">
        <w:rPr>
          <w:rFonts w:ascii="Times New Roman" w:hAnsi="Times New Roman" w:cs="Times New Roman"/>
        </w:rPr>
        <w:t>intention, lorsque l</w:t>
      </w:r>
      <w:r w:rsidRPr="00A85C28" w:rsidR="00A85C28">
        <w:rPr>
          <w:rFonts w:ascii="Times New Roman" w:hAnsi="Times New Roman" w:cs="Times New Roman"/>
        </w:rPr>
        <w:t>’</w:t>
      </w:r>
      <w:r w:rsidRPr="00A85C28">
        <w:rPr>
          <w:rFonts w:ascii="Times New Roman" w:hAnsi="Times New Roman" w:cs="Times New Roman"/>
        </w:rPr>
        <w:t>enfant est né à l</w:t>
      </w:r>
      <w:r w:rsidRPr="00A85C28" w:rsidR="00A85C28">
        <w:rPr>
          <w:rFonts w:ascii="Times New Roman" w:hAnsi="Times New Roman" w:cs="Times New Roman"/>
        </w:rPr>
        <w:t>’</w:t>
      </w:r>
      <w:r w:rsidRPr="00A85C28">
        <w:rPr>
          <w:rFonts w:ascii="Times New Roman" w:hAnsi="Times New Roman" w:cs="Times New Roman"/>
        </w:rPr>
        <w:t>étranger à l</w:t>
      </w:r>
      <w:r w:rsidRPr="00A85C28" w:rsidR="00A85C28">
        <w:rPr>
          <w:rFonts w:ascii="Times New Roman" w:hAnsi="Times New Roman" w:cs="Times New Roman"/>
        </w:rPr>
        <w:t>’</w:t>
      </w:r>
      <w:r w:rsidRPr="00A85C28">
        <w:rPr>
          <w:rFonts w:ascii="Times New Roman" w:hAnsi="Times New Roman" w:cs="Times New Roman"/>
        </w:rPr>
        <w:t>issue d</w:t>
      </w:r>
      <w:r w:rsidRPr="00A85C28" w:rsidR="00A85C28">
        <w:rPr>
          <w:rFonts w:ascii="Times New Roman" w:hAnsi="Times New Roman" w:cs="Times New Roman"/>
        </w:rPr>
        <w:t>’</w:t>
      </w:r>
      <w:r w:rsidRPr="00A85C28">
        <w:rPr>
          <w:rFonts w:ascii="Times New Roman" w:hAnsi="Times New Roman" w:cs="Times New Roman"/>
        </w:rPr>
        <w:t>une convention de gestation pour autrui, résulte de la loi et poursuit un but légitime en ce qu</w:t>
      </w:r>
      <w:r w:rsidRPr="00A85C28" w:rsidR="00A85C28">
        <w:rPr>
          <w:rFonts w:ascii="Times New Roman" w:hAnsi="Times New Roman" w:cs="Times New Roman"/>
        </w:rPr>
        <w:t>’</w:t>
      </w:r>
      <w:r w:rsidRPr="00A85C28">
        <w:rPr>
          <w:rFonts w:ascii="Times New Roman" w:hAnsi="Times New Roman" w:cs="Times New Roman"/>
        </w:rPr>
        <w:t>il tend à la protection de l</w:t>
      </w:r>
      <w:r w:rsidRPr="00A85C28" w:rsidR="00A85C28">
        <w:rPr>
          <w:rFonts w:ascii="Times New Roman" w:hAnsi="Times New Roman" w:cs="Times New Roman"/>
        </w:rPr>
        <w:t>’</w:t>
      </w:r>
      <w:r w:rsidRPr="00A85C28">
        <w:rPr>
          <w:rFonts w:ascii="Times New Roman" w:hAnsi="Times New Roman" w:cs="Times New Roman"/>
        </w:rPr>
        <w:t>enfant et de la mère porteuse et vise à décourager cette pratique, prohibée par les articles 16-7 et 16-9 du code civil ;</w:t>
      </w:r>
    </w:p>
    <w:p w:rsidRPr="00A85C28" w:rsidR="004D2843" w:rsidP="00A85C28">
      <w:pPr>
        <w:pStyle w:val="ECHRParaQuote"/>
        <w:rPr>
          <w:rFonts w:ascii="Times New Roman" w:hAnsi="Times New Roman" w:cs="Times New Roman"/>
        </w:rPr>
      </w:pPr>
      <w:r w:rsidRPr="00A85C28">
        <w:rPr>
          <w:rFonts w:ascii="Times New Roman" w:hAnsi="Times New Roman" w:cs="Times New Roman"/>
        </w:rPr>
        <w:t>Le refus de transcription ne crée pas de discrimination injustifiée en raison de la naissance et ne porte pas une atteinte disproportionnée au droit au respect de la vie privée et familiale de l</w:t>
      </w:r>
      <w:r w:rsidRPr="00A85C28" w:rsidR="00A85C28">
        <w:rPr>
          <w:rFonts w:ascii="Times New Roman" w:hAnsi="Times New Roman" w:cs="Times New Roman"/>
        </w:rPr>
        <w:t>’</w:t>
      </w:r>
      <w:r w:rsidRPr="00A85C28">
        <w:rPr>
          <w:rFonts w:ascii="Times New Roman" w:hAnsi="Times New Roman" w:cs="Times New Roman"/>
        </w:rPr>
        <w:t>enfant, au regard du but légitime poursuivi ; en effet, l</w:t>
      </w:r>
      <w:r w:rsidRPr="00A85C28" w:rsidR="00A85C28">
        <w:rPr>
          <w:rFonts w:ascii="Times New Roman" w:hAnsi="Times New Roman" w:cs="Times New Roman"/>
        </w:rPr>
        <w:t>’</w:t>
      </w:r>
      <w:r w:rsidRPr="00A85C28">
        <w:rPr>
          <w:rFonts w:ascii="Times New Roman" w:hAnsi="Times New Roman" w:cs="Times New Roman"/>
        </w:rPr>
        <w:t>accueil de l</w:t>
      </w:r>
      <w:r w:rsidRPr="00A85C28" w:rsidR="00A85C28">
        <w:rPr>
          <w:rFonts w:ascii="Times New Roman" w:hAnsi="Times New Roman" w:cs="Times New Roman"/>
        </w:rPr>
        <w:t>’</w:t>
      </w:r>
      <w:r w:rsidRPr="00A85C28">
        <w:rPr>
          <w:rFonts w:ascii="Times New Roman" w:hAnsi="Times New Roman" w:cs="Times New Roman"/>
        </w:rPr>
        <w:t>enfant au sein du foyer constitué par son père et son épouse n</w:t>
      </w:r>
      <w:r w:rsidRPr="00A85C28" w:rsidR="00A85C28">
        <w:rPr>
          <w:rFonts w:ascii="Times New Roman" w:hAnsi="Times New Roman" w:cs="Times New Roman"/>
        </w:rPr>
        <w:t>’</w:t>
      </w:r>
      <w:r w:rsidRPr="00A85C28">
        <w:rPr>
          <w:rFonts w:ascii="Times New Roman" w:hAnsi="Times New Roman" w:cs="Times New Roman"/>
        </w:rPr>
        <w:t>est pas remis en cause par les autorités françaises, et l</w:t>
      </w:r>
      <w:r w:rsidRPr="00A85C28" w:rsidR="00A85C28">
        <w:rPr>
          <w:rFonts w:ascii="Times New Roman" w:hAnsi="Times New Roman" w:cs="Times New Roman"/>
        </w:rPr>
        <w:t>’</w:t>
      </w:r>
      <w:r w:rsidRPr="00A85C28">
        <w:rPr>
          <w:rFonts w:ascii="Times New Roman" w:hAnsi="Times New Roman" w:cs="Times New Roman"/>
        </w:rPr>
        <w:t>adoption permet, si les conditions légales sont réunies et si elle est conforme à l</w:t>
      </w:r>
      <w:r w:rsidRPr="00A85C28" w:rsidR="00A85C28">
        <w:rPr>
          <w:rFonts w:ascii="Times New Roman" w:hAnsi="Times New Roman" w:cs="Times New Roman"/>
        </w:rPr>
        <w:t>’</w:t>
      </w:r>
      <w:r w:rsidRPr="00A85C28">
        <w:rPr>
          <w:rFonts w:ascii="Times New Roman" w:hAnsi="Times New Roman" w:cs="Times New Roman"/>
        </w:rPr>
        <w:t>intérêt de l</w:t>
      </w:r>
      <w:r w:rsidRPr="00A85C28" w:rsidR="00A85C28">
        <w:rPr>
          <w:rFonts w:ascii="Times New Roman" w:hAnsi="Times New Roman" w:cs="Times New Roman"/>
        </w:rPr>
        <w:t>’</w:t>
      </w:r>
      <w:r w:rsidRPr="00A85C28">
        <w:rPr>
          <w:rFonts w:ascii="Times New Roman" w:hAnsi="Times New Roman" w:cs="Times New Roman"/>
        </w:rPr>
        <w:t>enfant, de créer un lien de filiation entre l</w:t>
      </w:r>
      <w:r w:rsidRPr="00A85C28" w:rsidR="00A85C28">
        <w:rPr>
          <w:rFonts w:ascii="Times New Roman" w:hAnsi="Times New Roman" w:cs="Times New Roman"/>
        </w:rPr>
        <w:t>’</w:t>
      </w:r>
      <w:r w:rsidRPr="00A85C28">
        <w:rPr>
          <w:rFonts w:ascii="Times New Roman" w:hAnsi="Times New Roman" w:cs="Times New Roman"/>
        </w:rPr>
        <w:t>enfant et l</w:t>
      </w:r>
      <w:r w:rsidRPr="00A85C28" w:rsidR="00A85C28">
        <w:rPr>
          <w:rFonts w:ascii="Times New Roman" w:hAnsi="Times New Roman" w:cs="Times New Roman"/>
        </w:rPr>
        <w:t>’</w:t>
      </w:r>
      <w:r w:rsidRPr="00A85C28">
        <w:rPr>
          <w:rFonts w:ascii="Times New Roman" w:hAnsi="Times New Roman" w:cs="Times New Roman"/>
        </w:rPr>
        <w:t>épouse de son père ;</w:t>
      </w:r>
    </w:p>
    <w:p w:rsidRPr="00A85C28" w:rsidR="004D2843" w:rsidP="00A85C28">
      <w:pPr>
        <w:pStyle w:val="ECHRParaQuote"/>
        <w:rPr>
          <w:rFonts w:ascii="Times New Roman" w:hAnsi="Times New Roman" w:cs="Times New Roman"/>
        </w:rPr>
      </w:pPr>
      <w:r w:rsidRPr="00A85C28">
        <w:rPr>
          <w:rFonts w:ascii="Times New Roman" w:hAnsi="Times New Roman" w:cs="Times New Roman"/>
        </w:rPr>
        <w:t>Concernant la désignation du père dans l</w:t>
      </w:r>
      <w:r w:rsidRPr="00A85C28" w:rsidR="00A85C28">
        <w:rPr>
          <w:rFonts w:ascii="Times New Roman" w:hAnsi="Times New Roman" w:cs="Times New Roman"/>
        </w:rPr>
        <w:t>’</w:t>
      </w:r>
      <w:r w:rsidRPr="00A85C28">
        <w:rPr>
          <w:rFonts w:ascii="Times New Roman" w:hAnsi="Times New Roman" w:cs="Times New Roman"/>
        </w:rPr>
        <w:t>acte de naissance, la cour étant saisie d</w:t>
      </w:r>
      <w:r w:rsidRPr="00A85C28" w:rsidR="00A85C28">
        <w:rPr>
          <w:rFonts w:ascii="Times New Roman" w:hAnsi="Times New Roman" w:cs="Times New Roman"/>
        </w:rPr>
        <w:t>’</w:t>
      </w:r>
      <w:r w:rsidRPr="00A85C28">
        <w:rPr>
          <w:rFonts w:ascii="Times New Roman" w:hAnsi="Times New Roman" w:cs="Times New Roman"/>
        </w:rPr>
        <w:t>une action aux fins de transcription d</w:t>
      </w:r>
      <w:r w:rsidRPr="00A85C28" w:rsidR="00A85C28">
        <w:rPr>
          <w:rFonts w:ascii="Times New Roman" w:hAnsi="Times New Roman" w:cs="Times New Roman"/>
        </w:rPr>
        <w:t>’</w:t>
      </w:r>
      <w:r w:rsidRPr="00A85C28">
        <w:rPr>
          <w:rFonts w:ascii="Times New Roman" w:hAnsi="Times New Roman" w:cs="Times New Roman"/>
        </w:rPr>
        <w:t>un acte de l</w:t>
      </w:r>
      <w:r w:rsidRPr="00A85C28" w:rsidR="00A85C28">
        <w:rPr>
          <w:rFonts w:ascii="Times New Roman" w:hAnsi="Times New Roman" w:cs="Times New Roman"/>
        </w:rPr>
        <w:t>’</w:t>
      </w:r>
      <w:r w:rsidRPr="00A85C28">
        <w:rPr>
          <w:rFonts w:ascii="Times New Roman" w:hAnsi="Times New Roman" w:cs="Times New Roman"/>
        </w:rPr>
        <w:t>état civil étranger et non d</w:t>
      </w:r>
      <w:r w:rsidRPr="00A85C28" w:rsidR="00A85C28">
        <w:rPr>
          <w:rFonts w:ascii="Times New Roman" w:hAnsi="Times New Roman" w:cs="Times New Roman"/>
        </w:rPr>
        <w:t>’</w:t>
      </w:r>
      <w:r w:rsidRPr="00A85C28">
        <w:rPr>
          <w:rFonts w:ascii="Times New Roman" w:hAnsi="Times New Roman" w:cs="Times New Roman"/>
        </w:rPr>
        <w:t>une action en reconnaissance ou en établissement de la filiation, il y a lieu de constater que l</w:t>
      </w:r>
      <w:r w:rsidRPr="00A85C28" w:rsidR="00A85C28">
        <w:rPr>
          <w:rFonts w:ascii="Times New Roman" w:hAnsi="Times New Roman" w:cs="Times New Roman"/>
        </w:rPr>
        <w:t>’</w:t>
      </w:r>
      <w:r w:rsidRPr="00A85C28">
        <w:rPr>
          <w:rFonts w:ascii="Times New Roman" w:hAnsi="Times New Roman" w:cs="Times New Roman"/>
        </w:rPr>
        <w:t>acte de naissance n</w:t>
      </w:r>
      <w:r w:rsidRPr="00A85C28" w:rsidR="00A85C28">
        <w:rPr>
          <w:rFonts w:ascii="Times New Roman" w:hAnsi="Times New Roman" w:cs="Times New Roman"/>
        </w:rPr>
        <w:t>’</w:t>
      </w:r>
      <w:r w:rsidRPr="00A85C28">
        <w:rPr>
          <w:rFonts w:ascii="Times New Roman" w:hAnsi="Times New Roman" w:cs="Times New Roman"/>
        </w:rPr>
        <w:t>est ni irrégulier, ni falsifié, que l</w:t>
      </w:r>
      <w:r w:rsidRPr="00A85C28" w:rsidR="00A85C28">
        <w:rPr>
          <w:rFonts w:ascii="Times New Roman" w:hAnsi="Times New Roman" w:cs="Times New Roman"/>
        </w:rPr>
        <w:t>’</w:t>
      </w:r>
      <w:r w:rsidRPr="00A85C28">
        <w:rPr>
          <w:rFonts w:ascii="Times New Roman" w:hAnsi="Times New Roman" w:cs="Times New Roman"/>
        </w:rPr>
        <w:t>acte de naissance est régulier en la forme, traduit et apostillé par les autorités compétentes, que le ministère public ne rapporte la preuve d</w:t>
      </w:r>
      <w:r w:rsidRPr="00A85C28" w:rsidR="00A85C28">
        <w:rPr>
          <w:rFonts w:ascii="Times New Roman" w:hAnsi="Times New Roman" w:cs="Times New Roman"/>
        </w:rPr>
        <w:t>’</w:t>
      </w:r>
      <w:r w:rsidRPr="00A85C28">
        <w:rPr>
          <w:rFonts w:ascii="Times New Roman" w:hAnsi="Times New Roman" w:cs="Times New Roman"/>
        </w:rPr>
        <w:t>aucun élément de nature à remettre en cause la force probante de l</w:t>
      </w:r>
      <w:r w:rsidRPr="00A85C28" w:rsidR="00A85C28">
        <w:rPr>
          <w:rFonts w:ascii="Times New Roman" w:hAnsi="Times New Roman" w:cs="Times New Roman"/>
        </w:rPr>
        <w:t>’</w:t>
      </w:r>
      <w:r w:rsidRPr="00A85C28">
        <w:rPr>
          <w:rFonts w:ascii="Times New Roman" w:hAnsi="Times New Roman" w:cs="Times New Roman"/>
        </w:rPr>
        <w:t>acte d</w:t>
      </w:r>
      <w:r w:rsidRPr="00A85C28" w:rsidR="00A85C28">
        <w:rPr>
          <w:rFonts w:ascii="Times New Roman" w:hAnsi="Times New Roman" w:cs="Times New Roman"/>
        </w:rPr>
        <w:t>’</w:t>
      </w:r>
      <w:r w:rsidRPr="00A85C28">
        <w:rPr>
          <w:rFonts w:ascii="Times New Roman" w:hAnsi="Times New Roman" w:cs="Times New Roman"/>
        </w:rPr>
        <w:t>état civil par application de l</w:t>
      </w:r>
      <w:r w:rsidRPr="00A85C28" w:rsidR="00A85C28">
        <w:rPr>
          <w:rFonts w:ascii="Times New Roman" w:hAnsi="Times New Roman" w:cs="Times New Roman"/>
        </w:rPr>
        <w:t>’</w:t>
      </w:r>
      <w:r w:rsidRPr="00A85C28">
        <w:rPr>
          <w:rFonts w:ascii="Times New Roman" w:hAnsi="Times New Roman" w:cs="Times New Roman"/>
        </w:rPr>
        <w:t>article 47 du code civil, ce texte instituant une présomption d</w:t>
      </w:r>
      <w:r w:rsidRPr="00A85C28" w:rsidR="00A85C28">
        <w:rPr>
          <w:rFonts w:ascii="Times New Roman" w:hAnsi="Times New Roman" w:cs="Times New Roman"/>
        </w:rPr>
        <w:t>’</w:t>
      </w:r>
      <w:r w:rsidRPr="00A85C28">
        <w:rPr>
          <w:rFonts w:ascii="Times New Roman" w:hAnsi="Times New Roman" w:cs="Times New Roman"/>
        </w:rPr>
        <w:t>exactitude des mentions de l</w:t>
      </w:r>
      <w:r w:rsidRPr="00A85C28" w:rsidR="00A85C28">
        <w:rPr>
          <w:rFonts w:ascii="Times New Roman" w:hAnsi="Times New Roman" w:cs="Times New Roman"/>
        </w:rPr>
        <w:t>’</w:t>
      </w:r>
      <w:r w:rsidRPr="00A85C28">
        <w:rPr>
          <w:rFonts w:ascii="Times New Roman" w:hAnsi="Times New Roman" w:cs="Times New Roman"/>
        </w:rPr>
        <w:t>état civil établi à l</w:t>
      </w:r>
      <w:r w:rsidRPr="00A85C28" w:rsidR="00A85C28">
        <w:rPr>
          <w:rFonts w:ascii="Times New Roman" w:hAnsi="Times New Roman" w:cs="Times New Roman"/>
        </w:rPr>
        <w:t>’</w:t>
      </w:r>
      <w:r w:rsidRPr="00A85C28">
        <w:rPr>
          <w:rFonts w:ascii="Times New Roman" w:hAnsi="Times New Roman" w:cs="Times New Roman"/>
        </w:rPr>
        <w:t>étranger et d</w:t>
      </w:r>
      <w:r w:rsidRPr="00A85C28" w:rsidR="00A85C28">
        <w:rPr>
          <w:rFonts w:ascii="Times New Roman" w:hAnsi="Times New Roman" w:cs="Times New Roman"/>
        </w:rPr>
        <w:t>’</w:t>
      </w:r>
      <w:r w:rsidRPr="00A85C28">
        <w:rPr>
          <w:rFonts w:ascii="Times New Roman" w:hAnsi="Times New Roman" w:cs="Times New Roman"/>
        </w:rPr>
        <w:t>opposabilité directe de l</w:t>
      </w:r>
      <w:r w:rsidRPr="00A85C28" w:rsidR="00A85C28">
        <w:rPr>
          <w:rFonts w:ascii="Times New Roman" w:hAnsi="Times New Roman" w:cs="Times New Roman"/>
        </w:rPr>
        <w:t>’</w:t>
      </w:r>
      <w:r w:rsidRPr="00A85C28">
        <w:rPr>
          <w:rFonts w:ascii="Times New Roman" w:hAnsi="Times New Roman" w:cs="Times New Roman"/>
        </w:rPr>
        <w:t>acte étranger, sauf en cas de fraude, ce qui n</w:t>
      </w:r>
      <w:r w:rsidRPr="00A85C28" w:rsidR="00A85C28">
        <w:rPr>
          <w:rFonts w:ascii="Times New Roman" w:hAnsi="Times New Roman" w:cs="Times New Roman"/>
        </w:rPr>
        <w:t>’</w:t>
      </w:r>
      <w:r w:rsidRPr="00A85C28">
        <w:rPr>
          <w:rFonts w:ascii="Times New Roman" w:hAnsi="Times New Roman" w:cs="Times New Roman"/>
        </w:rPr>
        <w:t>est pas établi et en l</w:t>
      </w:r>
      <w:r w:rsidRPr="00A85C28" w:rsidR="00A85C28">
        <w:rPr>
          <w:rFonts w:ascii="Times New Roman" w:hAnsi="Times New Roman" w:cs="Times New Roman"/>
        </w:rPr>
        <w:t>’</w:t>
      </w:r>
      <w:r w:rsidRPr="00A85C28">
        <w:rPr>
          <w:rFonts w:ascii="Times New Roman" w:hAnsi="Times New Roman" w:cs="Times New Roman"/>
        </w:rPr>
        <w:t>absence de données extérieures ou des éléments tirés de l</w:t>
      </w:r>
      <w:r w:rsidRPr="00A85C28" w:rsidR="00A85C28">
        <w:rPr>
          <w:rFonts w:ascii="Times New Roman" w:hAnsi="Times New Roman" w:cs="Times New Roman"/>
        </w:rPr>
        <w:t>’</w:t>
      </w:r>
      <w:r w:rsidRPr="00A85C28">
        <w:rPr>
          <w:rFonts w:ascii="Times New Roman" w:hAnsi="Times New Roman" w:cs="Times New Roman"/>
        </w:rPr>
        <w:t>acte lui-même qui établissent que M. D n</w:t>
      </w:r>
      <w:r w:rsidRPr="00A85C28" w:rsidR="00A85C28">
        <w:rPr>
          <w:rFonts w:ascii="Times New Roman" w:hAnsi="Times New Roman" w:cs="Times New Roman"/>
        </w:rPr>
        <w:t>’</w:t>
      </w:r>
      <w:r w:rsidRPr="00A85C28">
        <w:rPr>
          <w:rFonts w:ascii="Times New Roman" w:hAnsi="Times New Roman" w:cs="Times New Roman"/>
        </w:rPr>
        <w:t>est pas le père ;</w:t>
      </w:r>
    </w:p>
    <w:p w:rsidRPr="00A85C28" w:rsidR="004D2843" w:rsidP="00A85C28">
      <w:pPr>
        <w:pStyle w:val="ECHRParaQuote"/>
        <w:rPr>
          <w:rFonts w:ascii="Times New Roman" w:hAnsi="Times New Roman" w:cs="Times New Roman"/>
        </w:rPr>
      </w:pPr>
      <w:r w:rsidRPr="00A85C28">
        <w:rPr>
          <w:rFonts w:ascii="Times New Roman" w:hAnsi="Times New Roman" w:cs="Times New Roman"/>
        </w:rPr>
        <w:t>Il en résulte que les faits qui y sont déclarés correspondent à la réalité, s</w:t>
      </w:r>
      <w:r w:rsidRPr="00A85C28" w:rsidR="00A85C28">
        <w:rPr>
          <w:rFonts w:ascii="Times New Roman" w:hAnsi="Times New Roman" w:cs="Times New Roman"/>
        </w:rPr>
        <w:t>’</w:t>
      </w:r>
      <w:r w:rsidRPr="00A85C28">
        <w:rPr>
          <w:rFonts w:ascii="Times New Roman" w:hAnsi="Times New Roman" w:cs="Times New Roman"/>
        </w:rPr>
        <w:t>agissant de la désignation de M. D en qualité de père, si bien que la convention de gestation pour autrui ne fait pas obstacle à la transcription partielle dudit acte de naissance s</w:t>
      </w:r>
      <w:r w:rsidRPr="00A85C28" w:rsidR="00A85C28">
        <w:rPr>
          <w:rFonts w:ascii="Times New Roman" w:hAnsi="Times New Roman" w:cs="Times New Roman"/>
        </w:rPr>
        <w:t>’</w:t>
      </w:r>
      <w:r w:rsidRPr="00A85C28">
        <w:rPr>
          <w:rFonts w:ascii="Times New Roman" w:hAnsi="Times New Roman" w:cs="Times New Roman"/>
        </w:rPr>
        <w:t>agissant de la filiation paternelle de l</w:t>
      </w:r>
      <w:r w:rsidRPr="00A85C28" w:rsidR="00A85C28">
        <w:rPr>
          <w:rFonts w:ascii="Times New Roman" w:hAnsi="Times New Roman" w:cs="Times New Roman"/>
        </w:rPr>
        <w:t>’</w:t>
      </w:r>
      <w:r w:rsidRPr="00A85C28">
        <w:rPr>
          <w:rFonts w:ascii="Times New Roman" w:hAnsi="Times New Roman" w:cs="Times New Roman"/>
        </w:rPr>
        <w:t>enfant (...) »</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11</w:t>
      </w:r>
      <w:r w:rsidRPr="00A85C28">
        <w:fldChar w:fldCharType="end"/>
      </w:r>
      <w:r w:rsidRPr="00A85C28">
        <w:t>.  Les requérants ne se pourvurent pas en cassation.</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12</w:t>
      </w:r>
      <w:r w:rsidRPr="00A85C28">
        <w:fldChar w:fldCharType="end"/>
      </w:r>
      <w:r w:rsidRPr="00A85C28">
        <w:t>.  Le 12 septembre 2019, répondant à une demande de renseignements de la présidente de la chambre (article 54 § 2 a) du règlement de la Cour), les requérants ont informé la Cour que la première requérante était la mère génétique de la troisième requérante.</w:t>
      </w:r>
    </w:p>
    <w:p w:rsidRPr="00A85C28" w:rsidR="006B0CE5" w:rsidP="00A85C28">
      <w:pPr>
        <w:pStyle w:val="ECHRTitle1"/>
        <w:numPr>
          <w:ilvl w:val="0"/>
          <w:numId w:val="24"/>
        </w:numPr>
        <w:spacing w:before="100" w:beforeAutospacing="1"/>
      </w:pPr>
      <w:bookmarkStart w:name="_Hlk36127227" w:id="4"/>
      <w:r w:rsidRPr="00A85C28">
        <w:t>LE CADRE JURIDIQUE ET LA PRATIQUE INTERNES PERTINENTS</w:t>
      </w:r>
    </w:p>
    <w:p w:rsidRPr="00A85C28" w:rsidR="004D2843" w:rsidP="00A85C28">
      <w:pPr>
        <w:pStyle w:val="ECHRHeading1"/>
      </w:pPr>
      <w:r w:rsidRPr="00A85C28">
        <w:t>I. L</w:t>
      </w:r>
      <w:r w:rsidRPr="00A85C28" w:rsidR="00A85C28">
        <w:t>’</w:t>
      </w:r>
      <w:r w:rsidRPr="00A85C28">
        <w:t>ARTICLE 47 DU CODE CIVIL</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13</w:t>
      </w:r>
      <w:r w:rsidRPr="00A85C28">
        <w:fldChar w:fldCharType="end"/>
      </w:r>
      <w:r w:rsidRPr="00A85C28">
        <w:t>.  L</w:t>
      </w:r>
      <w:r w:rsidRPr="00A85C28" w:rsidR="00A85C28">
        <w:t>’</w:t>
      </w:r>
      <w:r w:rsidRPr="00A85C28">
        <w:t>article 47 du code civil est ainsi rédigé :</w:t>
      </w:r>
    </w:p>
    <w:p w:rsidRPr="00A85C28" w:rsidR="004D2843" w:rsidP="00A85C28">
      <w:pPr>
        <w:pStyle w:val="ECHRParaQuote"/>
      </w:pPr>
      <w:r w:rsidRPr="00A85C28">
        <w:t xml:space="preserve"> « Tout acte de l</w:t>
      </w:r>
      <w:r w:rsidRPr="00A85C28" w:rsidR="00A85C28">
        <w:t>’</w:t>
      </w:r>
      <w:r w:rsidRPr="00A85C28">
        <w:t>état civil des Français et des étrangers fait en pays étranger et rédigé dans les formes usitées dans ce pays fait foi, sauf si d</w:t>
      </w:r>
      <w:r w:rsidRPr="00A85C28" w:rsidR="00A85C28">
        <w:t>’</w:t>
      </w:r>
      <w:r w:rsidRPr="00A85C28">
        <w:t>autres actes ou pièces détenus, des données extérieures ou des éléments tirés de l</w:t>
      </w:r>
      <w:r w:rsidRPr="00A85C28" w:rsidR="00A85C28">
        <w:t>’</w:t>
      </w:r>
      <w:r w:rsidRPr="00A85C28">
        <w:t>acte lui-même établissent, le cas échéant après toutes vérifications utiles, que cet acte est irrégulier, falsifié ou que les faits qui y sont déclarés ne correspondent pas à la réalité. »</w:t>
      </w:r>
    </w:p>
    <w:p w:rsidRPr="00A85C28" w:rsidR="00071E92" w:rsidP="00A85C28">
      <w:pPr>
        <w:pStyle w:val="ECHRHeading1"/>
      </w:pPr>
      <w:r w:rsidRPr="00A85C28">
        <w:t>II. L</w:t>
      </w:r>
      <w:r w:rsidRPr="00A85C28" w:rsidR="00A85C28">
        <w:t>’</w:t>
      </w:r>
      <w:r w:rsidRPr="00A85C28">
        <w:t>INTERDICTION DE LA GESTATION POUR AUTRUI EN DROIT FRANÇAIS</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14</w:t>
      </w:r>
      <w:r w:rsidRPr="00A85C28">
        <w:fldChar w:fldCharType="end"/>
      </w:r>
      <w:r w:rsidRPr="00A85C28">
        <w:t>.  Les articles 16-7 et 16-9</w:t>
      </w:r>
      <w:r w:rsidRPr="00A85C28" w:rsidR="006B0CE5">
        <w:t xml:space="preserve"> du code civil (créés par loi n</w:t>
      </w:r>
      <w:r w:rsidRPr="00A85C28" w:rsidR="00071E92">
        <w:rPr>
          <w:vertAlign w:val="superscript"/>
        </w:rPr>
        <w:t>o</w:t>
      </w:r>
      <w:r w:rsidRPr="00A85C28">
        <w:t xml:space="preserve"> 94-653 du 29 juillet 1994) sont ainsi libellés :</w:t>
      </w:r>
    </w:p>
    <w:p w:rsidRPr="00A85C28" w:rsidR="004D2843" w:rsidP="00A85C28">
      <w:pPr>
        <w:pStyle w:val="ECHRTitleCentre3"/>
      </w:pPr>
      <w:r w:rsidRPr="00A85C28">
        <w:t>Article 16-7</w:t>
      </w:r>
    </w:p>
    <w:p w:rsidRPr="00A85C28" w:rsidR="004D2843" w:rsidP="00A85C28">
      <w:pPr>
        <w:pStyle w:val="ECHRParaQuote"/>
      </w:pPr>
      <w:r w:rsidRPr="00A85C28">
        <w:t>« Toute convention portant sur la procréation ou la gestation pour le compte d</w:t>
      </w:r>
      <w:r w:rsidRPr="00A85C28" w:rsidR="00A85C28">
        <w:t>’</w:t>
      </w:r>
      <w:r w:rsidRPr="00A85C28">
        <w:t>autrui est nulle. »</w:t>
      </w:r>
    </w:p>
    <w:p w:rsidRPr="00A85C28" w:rsidR="004D2843" w:rsidP="00A85C28">
      <w:pPr>
        <w:pStyle w:val="ECHRTitleCentre3"/>
      </w:pPr>
      <w:r w:rsidRPr="00A85C28">
        <w:t>Article 16-9</w:t>
      </w:r>
    </w:p>
    <w:p w:rsidRPr="00A85C28" w:rsidR="004D2843" w:rsidP="00A85C28">
      <w:pPr>
        <w:pStyle w:val="ECHRParaQuote"/>
      </w:pPr>
      <w:r w:rsidRPr="00A85C28">
        <w:t>« Les dispositions du présent chapitre sont d</w:t>
      </w:r>
      <w:r w:rsidRPr="00A85C28" w:rsidR="00A85C28">
        <w:t>’</w:t>
      </w:r>
      <w:r w:rsidRPr="00A85C28">
        <w:t>ordre public. »</w:t>
      </w:r>
    </w:p>
    <w:p w:rsidRPr="00A85C28" w:rsidR="004D2843" w:rsidP="00A85C28">
      <w:pPr>
        <w:pStyle w:val="ECHRHeading1"/>
        <w:tabs>
          <w:tab w:val="clear" w:pos="357"/>
        </w:tabs>
        <w:spacing w:before="100" w:beforeAutospacing="1"/>
        <w:outlineLvl w:val="1"/>
      </w:pPr>
      <w:bookmarkStart w:name="_Hlk36127236" w:id="5"/>
      <w:bookmarkEnd w:id="4"/>
      <w:r w:rsidRPr="00A85C28">
        <w:rPr>
          <w:rFonts w:eastAsiaTheme="minorEastAsia"/>
        </w:rPr>
        <w:t>III</w:t>
      </w:r>
      <w:r w:rsidRPr="00A85C28">
        <w:t xml:space="preserve">. </w:t>
      </w:r>
      <w:r w:rsidRPr="00A85C28">
        <w:t>L</w:t>
      </w:r>
      <w:r w:rsidRPr="00A85C28">
        <w:t xml:space="preserve">E DROIT POSITIF RELATIF À LA RECONNAISSANCE DU LIEN DE FILIATION ENTRE UN ENFANT NÉ </w:t>
      </w:r>
      <w:r w:rsidRPr="00A85C28" w:rsidR="002C3BCE">
        <w:rPr>
          <w:rFonts w:cstheme="majorHAnsi"/>
        </w:rPr>
        <w:t>À</w:t>
      </w:r>
      <w:r w:rsidRPr="00A85C28">
        <w:t xml:space="preserve"> L</w:t>
      </w:r>
      <w:r w:rsidRPr="00A85C28" w:rsidR="00A85C28">
        <w:t>’</w:t>
      </w:r>
      <w:r w:rsidRPr="00A85C28">
        <w:t>ETRANGER D</w:t>
      </w:r>
      <w:r w:rsidRPr="00A85C28" w:rsidR="00A85C28">
        <w:t>’</w:t>
      </w:r>
      <w:r w:rsidRPr="00A85C28">
        <w:t>UNE GESTATION POUR AUTRUI ET LA MÈRE D</w:t>
      </w:r>
      <w:r w:rsidRPr="00A85C28" w:rsidR="00A85C28">
        <w:t>’</w:t>
      </w:r>
      <w:r w:rsidRPr="00A85C28">
        <w:t>INTENTION</w:t>
      </w:r>
    </w:p>
    <w:p w:rsidRPr="00A85C28" w:rsidR="004D2843" w:rsidP="00A85C28">
      <w:pPr>
        <w:pStyle w:val="ECHRPara"/>
        <w:rPr>
          <w:rFonts w:ascii="Times New Roman" w:hAnsi="Times New Roman" w:cs="Times New Roman"/>
        </w:rPr>
      </w:pPr>
      <w:r w:rsidRPr="00A85C28">
        <w:rPr>
          <w:rFonts w:ascii="Times New Roman" w:hAnsi="Times New Roman" w:cs="Times New Roman"/>
        </w:rPr>
        <w:fldChar w:fldCharType="begin"/>
      </w:r>
      <w:r w:rsidRPr="00A85C28">
        <w:rPr>
          <w:rFonts w:ascii="Times New Roman" w:hAnsi="Times New Roman" w:cs="Times New Roman"/>
        </w:rPr>
        <w:instrText xml:space="preserve"> SEQ level0 \*arabic </w:instrText>
      </w:r>
      <w:r w:rsidRPr="00A85C28">
        <w:rPr>
          <w:rFonts w:ascii="Times New Roman" w:hAnsi="Times New Roman" w:cs="Times New Roman"/>
        </w:rPr>
        <w:fldChar w:fldCharType="separate"/>
      </w:r>
      <w:r w:rsidRPr="00A85C28" w:rsidR="00A85C28">
        <w:rPr>
          <w:rFonts w:ascii="Times New Roman" w:hAnsi="Times New Roman" w:cs="Times New Roman"/>
          <w:noProof/>
        </w:rPr>
        <w:t>15</w:t>
      </w:r>
      <w:r w:rsidRPr="00A85C28">
        <w:rPr>
          <w:rFonts w:ascii="Times New Roman" w:hAnsi="Times New Roman" w:cs="Times New Roman"/>
        </w:rPr>
        <w:fldChar w:fldCharType="end"/>
      </w:r>
      <w:r w:rsidRPr="00A85C28">
        <w:rPr>
          <w:rFonts w:ascii="Times New Roman" w:hAnsi="Times New Roman" w:cs="Times New Roman"/>
        </w:rPr>
        <w:t>.  En 2014, lorsque les requérants ont fait une demande dans ce sens, le droit positif français ne permettait pas la reconnaissance ou l</w:t>
      </w:r>
      <w:r w:rsidRPr="00A85C28" w:rsidR="00A85C28">
        <w:rPr>
          <w:rFonts w:ascii="Times New Roman" w:hAnsi="Times New Roman" w:cs="Times New Roman"/>
        </w:rPr>
        <w:t>’</w:t>
      </w:r>
      <w:r w:rsidRPr="00A85C28">
        <w:rPr>
          <w:rFonts w:ascii="Times New Roman" w:hAnsi="Times New Roman" w:cs="Times New Roman"/>
        </w:rPr>
        <w:t>établissement d</w:t>
      </w:r>
      <w:r w:rsidRPr="00A85C28" w:rsidR="00A85C28">
        <w:rPr>
          <w:rFonts w:ascii="Times New Roman" w:hAnsi="Times New Roman" w:cs="Times New Roman"/>
        </w:rPr>
        <w:t>’</w:t>
      </w:r>
      <w:r w:rsidRPr="00A85C28">
        <w:rPr>
          <w:rFonts w:ascii="Times New Roman" w:hAnsi="Times New Roman" w:cs="Times New Roman"/>
        </w:rPr>
        <w:t>un lien de filiation entre les enfants nés à l</w:t>
      </w:r>
      <w:r w:rsidRPr="00A85C28" w:rsidR="00A85C28">
        <w:rPr>
          <w:rFonts w:ascii="Times New Roman" w:hAnsi="Times New Roman" w:cs="Times New Roman"/>
        </w:rPr>
        <w:t>’</w:t>
      </w:r>
      <w:r w:rsidRPr="00A85C28">
        <w:rPr>
          <w:rFonts w:ascii="Times New Roman" w:hAnsi="Times New Roman" w:cs="Times New Roman"/>
        </w:rPr>
        <w:t>étranger d</w:t>
      </w:r>
      <w:r w:rsidRPr="00A85C28" w:rsidR="00A85C28">
        <w:rPr>
          <w:rFonts w:ascii="Times New Roman" w:hAnsi="Times New Roman" w:cs="Times New Roman"/>
        </w:rPr>
        <w:t>’</w:t>
      </w:r>
      <w:r w:rsidRPr="00A85C28">
        <w:rPr>
          <w:rFonts w:ascii="Times New Roman" w:hAnsi="Times New Roman" w:cs="Times New Roman"/>
        </w:rPr>
        <w:t>une gestation pour autrui et les parents d</w:t>
      </w:r>
      <w:r w:rsidRPr="00A85C28" w:rsidR="00A85C28">
        <w:rPr>
          <w:rFonts w:ascii="Times New Roman" w:hAnsi="Times New Roman" w:cs="Times New Roman"/>
        </w:rPr>
        <w:t>’</w:t>
      </w:r>
      <w:r w:rsidRPr="00A85C28">
        <w:rPr>
          <w:rFonts w:ascii="Times New Roman" w:hAnsi="Times New Roman" w:cs="Times New Roman"/>
        </w:rPr>
        <w:t>intention, que ce soit par la transcription sur les registres français de l</w:t>
      </w:r>
      <w:r w:rsidRPr="00A85C28" w:rsidR="00A85C28">
        <w:rPr>
          <w:rFonts w:ascii="Times New Roman" w:hAnsi="Times New Roman" w:cs="Times New Roman"/>
        </w:rPr>
        <w:t>’</w:t>
      </w:r>
      <w:r w:rsidRPr="00A85C28">
        <w:rPr>
          <w:rFonts w:ascii="Times New Roman" w:hAnsi="Times New Roman" w:cs="Times New Roman"/>
        </w:rPr>
        <w:t>état civil de leur acte de naissance étranger, la reconnaissance de paternité, l</w:t>
      </w:r>
      <w:r w:rsidRPr="00A85C28" w:rsidR="00A85C28">
        <w:rPr>
          <w:rFonts w:ascii="Times New Roman" w:hAnsi="Times New Roman" w:cs="Times New Roman"/>
        </w:rPr>
        <w:t>’</w:t>
      </w:r>
      <w:r w:rsidRPr="00A85C28">
        <w:rPr>
          <w:rFonts w:ascii="Times New Roman" w:hAnsi="Times New Roman" w:cs="Times New Roman"/>
        </w:rPr>
        <w:t>adoption ou la possession d</w:t>
      </w:r>
      <w:r w:rsidRPr="00A85C28" w:rsidR="00A85C28">
        <w:rPr>
          <w:rFonts w:ascii="Times New Roman" w:hAnsi="Times New Roman" w:cs="Times New Roman"/>
        </w:rPr>
        <w:t>’</w:t>
      </w:r>
      <w:r w:rsidRPr="00A85C28">
        <w:rPr>
          <w:rFonts w:ascii="Times New Roman" w:hAnsi="Times New Roman" w:cs="Times New Roman"/>
        </w:rPr>
        <w:t>état. La Cour de cassation retenait en effet qu</w:t>
      </w:r>
      <w:r w:rsidRPr="00A85C28" w:rsidR="00A85C28">
        <w:rPr>
          <w:rFonts w:ascii="Times New Roman" w:hAnsi="Times New Roman" w:cs="Times New Roman"/>
        </w:rPr>
        <w:t>’</w:t>
      </w:r>
      <w:r w:rsidRPr="00A85C28">
        <w:rPr>
          <w:rFonts w:ascii="Times New Roman" w:hAnsi="Times New Roman" w:cs="Times New Roman"/>
        </w:rPr>
        <w:t>il était contraire au principe de l</w:t>
      </w:r>
      <w:r w:rsidRPr="00A85C28" w:rsidR="00A85C28">
        <w:rPr>
          <w:rFonts w:ascii="Times New Roman" w:hAnsi="Times New Roman" w:cs="Times New Roman"/>
        </w:rPr>
        <w:t>’</w:t>
      </w:r>
      <w:r w:rsidRPr="00A85C28">
        <w:rPr>
          <w:rFonts w:ascii="Times New Roman" w:hAnsi="Times New Roman" w:cs="Times New Roman"/>
        </w:rPr>
        <w:t>indisponibilité de l</w:t>
      </w:r>
      <w:r w:rsidRPr="00A85C28" w:rsidR="00A85C28">
        <w:rPr>
          <w:rFonts w:ascii="Times New Roman" w:hAnsi="Times New Roman" w:cs="Times New Roman"/>
        </w:rPr>
        <w:t>’</w:t>
      </w:r>
      <w:r w:rsidRPr="00A85C28">
        <w:rPr>
          <w:rFonts w:ascii="Times New Roman" w:hAnsi="Times New Roman" w:cs="Times New Roman"/>
        </w:rPr>
        <w:t>état des personnes, principe essentiel du droit français, de faire produire effet à une convention portant sur la gestation pour le compte d</w:t>
      </w:r>
      <w:r w:rsidRPr="00A85C28" w:rsidR="00A85C28">
        <w:rPr>
          <w:rFonts w:ascii="Times New Roman" w:hAnsi="Times New Roman" w:cs="Times New Roman"/>
        </w:rPr>
        <w:t>’</w:t>
      </w:r>
      <w:r w:rsidRPr="00A85C28">
        <w:rPr>
          <w:rFonts w:ascii="Times New Roman" w:hAnsi="Times New Roman" w:cs="Times New Roman"/>
        </w:rPr>
        <w:t>autrui, une telle convention étant nulle d</w:t>
      </w:r>
      <w:r w:rsidRPr="00A85C28" w:rsidR="00A85C28">
        <w:rPr>
          <w:rFonts w:ascii="Times New Roman" w:hAnsi="Times New Roman" w:cs="Times New Roman"/>
        </w:rPr>
        <w:t>’</w:t>
      </w:r>
      <w:r w:rsidRPr="00A85C28">
        <w:rPr>
          <w:rFonts w:ascii="Times New Roman" w:hAnsi="Times New Roman" w:cs="Times New Roman"/>
        </w:rPr>
        <w:t>une nullité d</w:t>
      </w:r>
      <w:r w:rsidRPr="00A85C28" w:rsidR="00A85C28">
        <w:rPr>
          <w:rFonts w:ascii="Times New Roman" w:hAnsi="Times New Roman" w:cs="Times New Roman"/>
        </w:rPr>
        <w:t>’</w:t>
      </w:r>
      <w:r w:rsidRPr="00A85C28">
        <w:rPr>
          <w:rFonts w:ascii="Times New Roman" w:hAnsi="Times New Roman" w:cs="Times New Roman"/>
        </w:rPr>
        <w:t xml:space="preserve">ordre public aux termes des articles 16-7 et 16-9 du code civil (voir </w:t>
      </w:r>
      <w:r w:rsidRPr="00A85C28">
        <w:rPr>
          <w:rFonts w:ascii="Times New Roman" w:hAnsi="Times New Roman" w:cs="Times New Roman"/>
          <w:i/>
        </w:rPr>
        <w:t>Mennesson</w:t>
      </w:r>
      <w:r w:rsidRPr="00A85C28">
        <w:rPr>
          <w:rFonts w:ascii="Times New Roman" w:hAnsi="Times New Roman" w:cs="Times New Roman"/>
          <w:i/>
        </w:rPr>
        <w:t xml:space="preserve"> </w:t>
      </w:r>
      <w:r w:rsidRPr="00A85C28" w:rsidR="00CE3386">
        <w:rPr>
          <w:rFonts w:ascii="Times New Roman" w:hAnsi="Times New Roman" w:cs="Times New Roman"/>
        </w:rPr>
        <w:t xml:space="preserve">précité ; </w:t>
      </w:r>
      <w:r w:rsidRPr="00A85C28">
        <w:rPr>
          <w:rFonts w:ascii="Times New Roman" w:hAnsi="Times New Roman" w:cs="Times New Roman"/>
          <w:i/>
          <w:iCs/>
        </w:rPr>
        <w:t>Labassee</w:t>
      </w:r>
      <w:r w:rsidRPr="00A85C28" w:rsidR="00CE3386">
        <w:rPr>
          <w:rFonts w:ascii="Times New Roman" w:hAnsi="Times New Roman" w:cs="Times New Roman"/>
          <w:i/>
          <w:iCs/>
        </w:rPr>
        <w:t xml:space="preserve"> </w:t>
      </w:r>
      <w:r w:rsidRPr="00A85C28" w:rsidR="00CE3386">
        <w:rPr>
          <w:rFonts w:ascii="Times New Roman" w:hAnsi="Times New Roman" w:cs="Times New Roman"/>
          <w:iCs/>
        </w:rPr>
        <w:t>précité,</w:t>
      </w:r>
      <w:r w:rsidRPr="00A85C28" w:rsidR="00CE3386">
        <w:rPr>
          <w:rFonts w:ascii="Times New Roman" w:hAnsi="Times New Roman" w:cs="Times New Roman"/>
          <w:i/>
          <w:iCs/>
        </w:rPr>
        <w:t xml:space="preserve"> </w:t>
      </w:r>
      <w:r w:rsidRPr="00A85C28" w:rsidR="00CE3386">
        <w:rPr>
          <w:rFonts w:ascii="Times New Roman" w:hAnsi="Times New Roman" w:cs="Times New Roman"/>
          <w:iCs/>
        </w:rPr>
        <w:t>§</w:t>
      </w:r>
      <w:r w:rsidRPr="00A85C28">
        <w:rPr>
          <w:rFonts w:ascii="Times New Roman" w:hAnsi="Times New Roman" w:cs="Times New Roman"/>
        </w:rPr>
        <w:t xml:space="preserve">§ 17, </w:t>
      </w:r>
      <w:r w:rsidRPr="00A85C28" w:rsidR="00CE3386">
        <w:rPr>
          <w:rFonts w:ascii="Times New Roman" w:hAnsi="Times New Roman" w:cs="Times New Roman"/>
        </w:rPr>
        <w:t>24-25 et 79</w:t>
      </w:r>
      <w:r w:rsidRPr="00A85C28">
        <w:rPr>
          <w:rFonts w:ascii="Times New Roman" w:hAnsi="Times New Roman" w:cs="Times New Roman"/>
        </w:rPr>
        <w:t xml:space="preserve">, et </w:t>
      </w:r>
      <w:r w:rsidRPr="00A85C28">
        <w:rPr>
          <w:rFonts w:ascii="Times New Roman" w:hAnsi="Times New Roman" w:cs="Times New Roman"/>
          <w:i/>
          <w:iCs/>
        </w:rPr>
        <w:t>Foulon et Bouvet c. France</w:t>
      </w:r>
      <w:r w:rsidRPr="00A85C28">
        <w:rPr>
          <w:rFonts w:ascii="Times New Roman" w:hAnsi="Times New Roman" w:cs="Times New Roman"/>
        </w:rPr>
        <w:t>, n</w:t>
      </w:r>
      <w:r w:rsidRPr="00A85C28">
        <w:rPr>
          <w:rFonts w:ascii="Times New Roman" w:hAnsi="Times New Roman" w:cs="Times New Roman"/>
          <w:vertAlign w:val="superscript"/>
        </w:rPr>
        <w:t>os</w:t>
      </w:r>
      <w:r w:rsidRPr="00A85C28">
        <w:rPr>
          <w:rFonts w:ascii="Times New Roman" w:hAnsi="Times New Roman" w:cs="Times New Roman"/>
        </w:rPr>
        <w:t> 9063/14 et 10410/14, §§ 17 et 32, 21 juillet 2016).</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16</w:t>
      </w:r>
      <w:r w:rsidRPr="00A85C28">
        <w:fldChar w:fldCharType="end"/>
      </w:r>
      <w:r w:rsidRPr="00A85C28">
        <w:t>.  Comme elle l</w:t>
      </w:r>
      <w:r w:rsidRPr="00A85C28" w:rsidR="00A85C28">
        <w:t>’</w:t>
      </w:r>
      <w:r w:rsidRPr="00A85C28">
        <w:t>a relevé dans l</w:t>
      </w:r>
      <w:r w:rsidRPr="00A85C28" w:rsidR="00A85C28">
        <w:t>’</w:t>
      </w:r>
      <w:r w:rsidRPr="00A85C28">
        <w:t>avis consultatif relatif à la reconnaissance en droit interne d</w:t>
      </w:r>
      <w:r w:rsidRPr="00A85C28" w:rsidR="00A85C28">
        <w:t>’</w:t>
      </w:r>
      <w:r w:rsidRPr="00A85C28">
        <w:t>un lien de filiation entre un enfant né d</w:t>
      </w:r>
      <w:r w:rsidRPr="00A85C28" w:rsidR="00A85C28">
        <w:t>’</w:t>
      </w:r>
      <w:r w:rsidRPr="00A85C28">
        <w:t>une gestation pour autrui pratiquée à l</w:t>
      </w:r>
      <w:r w:rsidRPr="00A85C28" w:rsidR="00A85C28">
        <w:t>’</w:t>
      </w:r>
      <w:r w:rsidRPr="00A85C28">
        <w:t>étranger et la mère d</w:t>
      </w:r>
      <w:r w:rsidRPr="00A85C28" w:rsidR="00A85C28">
        <w:t>’</w:t>
      </w:r>
      <w:r w:rsidRPr="00A85C28">
        <w:t>intention [GC] (demande n</w:t>
      </w:r>
      <w:r w:rsidRPr="00A85C28">
        <w:rPr>
          <w:vertAlign w:val="superscript"/>
        </w:rPr>
        <w:t>o</w:t>
      </w:r>
      <w:r w:rsidRPr="00A85C28">
        <w:t xml:space="preserve"> P16-2018-001, Cour de cass</w:t>
      </w:r>
      <w:r w:rsidRPr="00A85C28" w:rsidR="005B20B8">
        <w:t>ation française, § 14, 10 avril </w:t>
      </w:r>
      <w:r w:rsidRPr="00A85C28">
        <w:t>2019), la jurisprudence de la Cour de cassation a évolué à la suite des arrêts précités rendus par la Cour entre 2014 et 2016.</w:t>
      </w:r>
    </w:p>
    <w:p w:rsidRPr="00A85C28" w:rsidR="004D2843" w:rsidP="00A85C28">
      <w:pPr>
        <w:pStyle w:val="ECHRPara"/>
        <w:rPr>
          <w:rFonts w:ascii="Times New Roman" w:hAnsi="Times New Roman" w:cs="Times New Roman"/>
        </w:rPr>
      </w:pPr>
      <w:r w:rsidRPr="00A85C28">
        <w:rPr>
          <w:rFonts w:ascii="Times New Roman" w:hAnsi="Times New Roman" w:cs="Times New Roman"/>
        </w:rPr>
        <w:fldChar w:fldCharType="begin"/>
      </w:r>
      <w:r w:rsidRPr="00A85C28">
        <w:rPr>
          <w:rFonts w:ascii="Times New Roman" w:hAnsi="Times New Roman" w:cs="Times New Roman"/>
        </w:rPr>
        <w:instrText xml:space="preserve"> SEQ level0 \*arabic </w:instrText>
      </w:r>
      <w:r w:rsidRPr="00A85C28">
        <w:rPr>
          <w:rFonts w:ascii="Times New Roman" w:hAnsi="Times New Roman" w:cs="Times New Roman"/>
        </w:rPr>
        <w:fldChar w:fldCharType="separate"/>
      </w:r>
      <w:r w:rsidRPr="00A85C28" w:rsidR="00A85C28">
        <w:rPr>
          <w:rFonts w:ascii="Times New Roman" w:hAnsi="Times New Roman" w:cs="Times New Roman"/>
          <w:noProof/>
        </w:rPr>
        <w:t>17</w:t>
      </w:r>
      <w:r w:rsidRPr="00A85C28">
        <w:rPr>
          <w:rFonts w:ascii="Times New Roman" w:hAnsi="Times New Roman" w:cs="Times New Roman"/>
        </w:rPr>
        <w:fldChar w:fldCharType="end"/>
      </w:r>
      <w:r w:rsidRPr="00A85C28">
        <w:rPr>
          <w:rFonts w:ascii="Times New Roman" w:hAnsi="Times New Roman" w:cs="Times New Roman"/>
        </w:rPr>
        <w:t>.  La Cour de cassation a en effet retenu le 5 juillet 2017 que la transcription sur les registres de l</w:t>
      </w:r>
      <w:r w:rsidRPr="00A85C28" w:rsidR="00A85C28">
        <w:rPr>
          <w:rFonts w:ascii="Times New Roman" w:hAnsi="Times New Roman" w:cs="Times New Roman"/>
        </w:rPr>
        <w:t>’</w:t>
      </w:r>
      <w:r w:rsidRPr="00A85C28">
        <w:rPr>
          <w:rFonts w:ascii="Times New Roman" w:hAnsi="Times New Roman" w:cs="Times New Roman"/>
        </w:rPr>
        <w:t>état civil français de l</w:t>
      </w:r>
      <w:r w:rsidRPr="00A85C28" w:rsidR="00A85C28">
        <w:rPr>
          <w:rFonts w:ascii="Times New Roman" w:hAnsi="Times New Roman" w:cs="Times New Roman"/>
        </w:rPr>
        <w:t>’</w:t>
      </w:r>
      <w:r w:rsidRPr="00A85C28">
        <w:rPr>
          <w:rFonts w:ascii="Times New Roman" w:hAnsi="Times New Roman" w:cs="Times New Roman"/>
        </w:rPr>
        <w:t>acte de naissance étranger d</w:t>
      </w:r>
      <w:r w:rsidRPr="00A85C28" w:rsidR="00A85C28">
        <w:rPr>
          <w:rFonts w:ascii="Times New Roman" w:hAnsi="Times New Roman" w:cs="Times New Roman"/>
        </w:rPr>
        <w:t>’</w:t>
      </w:r>
      <w:r w:rsidRPr="00A85C28">
        <w:rPr>
          <w:rFonts w:ascii="Times New Roman" w:hAnsi="Times New Roman" w:cs="Times New Roman"/>
        </w:rPr>
        <w:t>un enfant né à l</w:t>
      </w:r>
      <w:r w:rsidRPr="00A85C28" w:rsidR="00A85C28">
        <w:rPr>
          <w:rFonts w:ascii="Times New Roman" w:hAnsi="Times New Roman" w:cs="Times New Roman"/>
        </w:rPr>
        <w:t>’</w:t>
      </w:r>
      <w:r w:rsidRPr="00A85C28">
        <w:rPr>
          <w:rFonts w:ascii="Times New Roman" w:hAnsi="Times New Roman" w:cs="Times New Roman"/>
        </w:rPr>
        <w:t>étranger à l</w:t>
      </w:r>
      <w:r w:rsidRPr="00A85C28" w:rsidR="00A85C28">
        <w:rPr>
          <w:rFonts w:ascii="Times New Roman" w:hAnsi="Times New Roman" w:cs="Times New Roman"/>
        </w:rPr>
        <w:t>’</w:t>
      </w:r>
      <w:r w:rsidRPr="00A85C28">
        <w:rPr>
          <w:rFonts w:ascii="Times New Roman" w:hAnsi="Times New Roman" w:cs="Times New Roman"/>
        </w:rPr>
        <w:t>issue d</w:t>
      </w:r>
      <w:r w:rsidRPr="00A85C28" w:rsidR="00A85C28">
        <w:rPr>
          <w:rFonts w:ascii="Times New Roman" w:hAnsi="Times New Roman" w:cs="Times New Roman"/>
        </w:rPr>
        <w:t>’</w:t>
      </w:r>
      <w:r w:rsidRPr="00A85C28">
        <w:rPr>
          <w:rFonts w:ascii="Times New Roman" w:hAnsi="Times New Roman" w:cs="Times New Roman"/>
        </w:rPr>
        <w:t xml:space="preserve">une gestation pour autrui </w:t>
      </w:r>
      <w:r w:rsidRPr="00A85C28">
        <w:rPr>
          <w:rFonts w:ascii="Times New Roman" w:hAnsi="Times New Roman" w:cs="Times New Roman"/>
        </w:rPr>
        <w:t>pratiquée à l</w:t>
      </w:r>
      <w:r w:rsidRPr="00A85C28" w:rsidR="00A85C28">
        <w:rPr>
          <w:rFonts w:ascii="Times New Roman" w:hAnsi="Times New Roman" w:cs="Times New Roman"/>
        </w:rPr>
        <w:t>’</w:t>
      </w:r>
      <w:r w:rsidRPr="00A85C28">
        <w:rPr>
          <w:rFonts w:ascii="Times New Roman" w:hAnsi="Times New Roman" w:cs="Times New Roman"/>
        </w:rPr>
        <w:t>étranger était possible pour autant qu</w:t>
      </w:r>
      <w:r w:rsidRPr="00A85C28" w:rsidR="00A85C28">
        <w:rPr>
          <w:rFonts w:ascii="Times New Roman" w:hAnsi="Times New Roman" w:cs="Times New Roman"/>
        </w:rPr>
        <w:t>’</w:t>
      </w:r>
      <w:r w:rsidRPr="00A85C28">
        <w:rPr>
          <w:rFonts w:ascii="Times New Roman" w:hAnsi="Times New Roman" w:cs="Times New Roman"/>
        </w:rPr>
        <w:t>il désigne comme père le père biologique, mais pas pour autant que l</w:t>
      </w:r>
      <w:r w:rsidRPr="00A85C28" w:rsidR="00A85C28">
        <w:rPr>
          <w:rFonts w:ascii="Times New Roman" w:hAnsi="Times New Roman" w:cs="Times New Roman"/>
        </w:rPr>
        <w:t>’</w:t>
      </w:r>
      <w:r w:rsidRPr="00A85C28">
        <w:rPr>
          <w:rFonts w:ascii="Times New Roman" w:hAnsi="Times New Roman" w:cs="Times New Roman"/>
        </w:rPr>
        <w:t xml:space="preserve">acte de naissance étranger </w:t>
      </w:r>
      <w:r w:rsidRPr="00A85C28" w:rsidR="008350B0">
        <w:rPr>
          <w:rFonts w:ascii="Times New Roman" w:hAnsi="Times New Roman" w:cs="Times New Roman"/>
        </w:rPr>
        <w:t>désigne</w:t>
      </w:r>
      <w:r w:rsidRPr="00A85C28">
        <w:rPr>
          <w:rFonts w:ascii="Times New Roman" w:hAnsi="Times New Roman" w:cs="Times New Roman"/>
        </w:rPr>
        <w:t xml:space="preserve"> comme mère la mère d</w:t>
      </w:r>
      <w:r w:rsidRPr="00A85C28" w:rsidR="00A85C28">
        <w:rPr>
          <w:rFonts w:ascii="Times New Roman" w:hAnsi="Times New Roman" w:cs="Times New Roman"/>
        </w:rPr>
        <w:t>’</w:t>
      </w:r>
      <w:r w:rsidRPr="00A85C28">
        <w:rPr>
          <w:rFonts w:ascii="Times New Roman" w:hAnsi="Times New Roman" w:cs="Times New Roman"/>
        </w:rPr>
        <w:t>intention, dès lors qu</w:t>
      </w:r>
      <w:r w:rsidRPr="00A85C28" w:rsidR="00A85C28">
        <w:rPr>
          <w:rFonts w:ascii="Times New Roman" w:hAnsi="Times New Roman" w:cs="Times New Roman"/>
        </w:rPr>
        <w:t>’</w:t>
      </w:r>
      <w:r w:rsidRPr="00A85C28">
        <w:rPr>
          <w:rFonts w:ascii="Times New Roman" w:hAnsi="Times New Roman" w:cs="Times New Roman"/>
        </w:rPr>
        <w:t>il ne s</w:t>
      </w:r>
      <w:r w:rsidRPr="00A85C28" w:rsidR="00A85C28">
        <w:rPr>
          <w:rFonts w:ascii="Times New Roman" w:hAnsi="Times New Roman" w:cs="Times New Roman"/>
        </w:rPr>
        <w:t>’</w:t>
      </w:r>
      <w:r w:rsidRPr="00A85C28">
        <w:rPr>
          <w:rFonts w:ascii="Times New Roman" w:hAnsi="Times New Roman" w:cs="Times New Roman"/>
        </w:rPr>
        <w:t>agit pas de la femme qui a accouché de l</w:t>
      </w:r>
      <w:r w:rsidRPr="00A85C28" w:rsidR="00A85C28">
        <w:rPr>
          <w:rFonts w:ascii="Times New Roman" w:hAnsi="Times New Roman" w:cs="Times New Roman"/>
        </w:rPr>
        <w:t>’</w:t>
      </w:r>
      <w:r w:rsidRPr="00A85C28">
        <w:rPr>
          <w:rFonts w:ascii="Times New Roman" w:hAnsi="Times New Roman" w:cs="Times New Roman"/>
        </w:rPr>
        <w:t>enfant concerné (</w:t>
      </w:r>
      <w:r w:rsidRPr="00A85C28">
        <w:rPr>
          <w:rFonts w:ascii="Times New Roman" w:hAnsi="Times New Roman" w:cs="Times New Roman"/>
        </w:rPr>
        <w:t>Civ</w:t>
      </w:r>
      <w:r w:rsidRPr="00A85C28">
        <w:rPr>
          <w:rFonts w:ascii="Times New Roman" w:hAnsi="Times New Roman" w:cs="Times New Roman"/>
        </w:rPr>
        <w:t>. 1re, 5 juillet 2017, n</w:t>
      </w:r>
      <w:r w:rsidRPr="00A85C28">
        <w:rPr>
          <w:rFonts w:ascii="Times New Roman" w:hAnsi="Times New Roman" w:cs="Times New Roman"/>
          <w:vertAlign w:val="superscript"/>
        </w:rPr>
        <w:t>os</w:t>
      </w:r>
      <w:r w:rsidRPr="00A85C28" w:rsidR="005B20B8">
        <w:rPr>
          <w:rFonts w:ascii="Times New Roman" w:hAnsi="Times New Roman" w:cs="Times New Roman"/>
        </w:rPr>
        <w:t> 824 </w:t>
      </w:r>
      <w:r w:rsidRPr="00A85C28">
        <w:rPr>
          <w:rFonts w:ascii="Times New Roman" w:hAnsi="Times New Roman" w:cs="Times New Roman"/>
        </w:rPr>
        <w:t>(15-28.597) et 825 (16</w:t>
      </w:r>
      <w:r w:rsidRPr="00A85C28">
        <w:rPr>
          <w:rFonts w:hint="eastAsia" w:ascii="MS Mincho" w:hAnsi="MS Mincho" w:eastAsia="MS Mincho" w:cs="MS Mincho"/>
        </w:rPr>
        <w:t>‑</w:t>
      </w:r>
      <w:r w:rsidRPr="00A85C28">
        <w:rPr>
          <w:rFonts w:ascii="Times New Roman" w:hAnsi="Times New Roman" w:cs="Times New Roman"/>
        </w:rPr>
        <w:t>16.901 et 16-50.005)). Elle a toutefois jugé que l</w:t>
      </w:r>
      <w:r w:rsidRPr="00A85C28" w:rsidR="00A85C28">
        <w:rPr>
          <w:rFonts w:ascii="Times New Roman" w:hAnsi="Times New Roman" w:cs="Times New Roman"/>
        </w:rPr>
        <w:t>’</w:t>
      </w:r>
      <w:r w:rsidRPr="00A85C28">
        <w:rPr>
          <w:rFonts w:ascii="Times New Roman" w:hAnsi="Times New Roman" w:cs="Times New Roman"/>
        </w:rPr>
        <w:t>enfant né à l</w:t>
      </w:r>
      <w:r w:rsidRPr="00A85C28" w:rsidR="00A85C28">
        <w:rPr>
          <w:rFonts w:ascii="Times New Roman" w:hAnsi="Times New Roman" w:cs="Times New Roman"/>
        </w:rPr>
        <w:t>’</w:t>
      </w:r>
      <w:r w:rsidRPr="00A85C28">
        <w:rPr>
          <w:rFonts w:ascii="Times New Roman" w:hAnsi="Times New Roman" w:cs="Times New Roman"/>
        </w:rPr>
        <w:t>étranger à la suite d</w:t>
      </w:r>
      <w:r w:rsidRPr="00A85C28" w:rsidR="00A85C28">
        <w:rPr>
          <w:rFonts w:ascii="Times New Roman" w:hAnsi="Times New Roman" w:cs="Times New Roman"/>
        </w:rPr>
        <w:t>’</w:t>
      </w:r>
      <w:r w:rsidRPr="00A85C28">
        <w:rPr>
          <w:rFonts w:ascii="Times New Roman" w:hAnsi="Times New Roman" w:cs="Times New Roman"/>
        </w:rPr>
        <w:t>une gestation pour autrui peut être adopté par la conjointe ou le conjoint du père</w:t>
      </w:r>
      <w:r w:rsidRPr="00A85C28" w:rsidR="005B20B8">
        <w:rPr>
          <w:rFonts w:ascii="Times New Roman" w:hAnsi="Times New Roman" w:cs="Times New Roman"/>
        </w:rPr>
        <w:t xml:space="preserve"> biologique (</w:t>
      </w:r>
      <w:r w:rsidRPr="00A85C28" w:rsidR="005B20B8">
        <w:rPr>
          <w:rFonts w:ascii="Times New Roman" w:hAnsi="Times New Roman" w:cs="Times New Roman"/>
        </w:rPr>
        <w:t>Civ</w:t>
      </w:r>
      <w:r w:rsidRPr="00A85C28" w:rsidR="005B20B8">
        <w:rPr>
          <w:rFonts w:ascii="Times New Roman" w:hAnsi="Times New Roman" w:cs="Times New Roman"/>
        </w:rPr>
        <w:t>. 1re, 5 juill. </w:t>
      </w:r>
      <w:r w:rsidRPr="00A85C28">
        <w:rPr>
          <w:rFonts w:ascii="Times New Roman" w:hAnsi="Times New Roman" w:cs="Times New Roman"/>
        </w:rPr>
        <w:t>2017, n</w:t>
      </w:r>
      <w:r w:rsidRPr="00A85C28">
        <w:rPr>
          <w:rFonts w:ascii="Times New Roman" w:hAnsi="Times New Roman" w:cs="Times New Roman"/>
          <w:vertAlign w:val="superscript"/>
        </w:rPr>
        <w:t>os</w:t>
      </w:r>
      <w:r w:rsidRPr="00A85C28">
        <w:rPr>
          <w:rFonts w:ascii="Times New Roman" w:hAnsi="Times New Roman" w:cs="Times New Roman"/>
        </w:rPr>
        <w:t> 824 (15-28.597), 825 (16-</w:t>
      </w:r>
      <w:r w:rsidRPr="00A85C28" w:rsidR="00052B5B">
        <w:rPr>
          <w:rFonts w:ascii="Times New Roman" w:hAnsi="Times New Roman" w:cs="Times New Roman"/>
        </w:rPr>
        <w:t>16.901 et 16-50.005) et 826 (16</w:t>
      </w:r>
      <w:r w:rsidRPr="00A85C28" w:rsidR="00052B5B">
        <w:rPr>
          <w:rFonts w:ascii="Times New Roman" w:hAnsi="Times New Roman" w:cs="Times New Roman"/>
        </w:rPr>
        <w:noBreakHyphen/>
      </w:r>
      <w:r w:rsidRPr="00A85C28">
        <w:rPr>
          <w:rFonts w:ascii="Times New Roman" w:hAnsi="Times New Roman" w:cs="Times New Roman"/>
        </w:rPr>
        <w:t>16.455)).</w:t>
      </w:r>
    </w:p>
    <w:p w:rsidRPr="00A85C28" w:rsidR="004D2843" w:rsidP="00A85C28">
      <w:pPr>
        <w:pStyle w:val="ECHRPara"/>
        <w:rPr>
          <w:rFonts w:ascii="Times New Roman" w:hAnsi="Times New Roman" w:cs="Times New Roman"/>
        </w:rPr>
      </w:pPr>
      <w:r w:rsidRPr="00A85C28">
        <w:rPr>
          <w:rFonts w:ascii="Times New Roman" w:hAnsi="Times New Roman" w:cs="Times New Roman"/>
        </w:rPr>
        <w:fldChar w:fldCharType="begin"/>
      </w:r>
      <w:r w:rsidRPr="00A85C28">
        <w:rPr>
          <w:rFonts w:ascii="Times New Roman" w:hAnsi="Times New Roman" w:cs="Times New Roman"/>
        </w:rPr>
        <w:instrText xml:space="preserve"> SEQ level0 \*arabic </w:instrText>
      </w:r>
      <w:r w:rsidRPr="00A85C28">
        <w:rPr>
          <w:rFonts w:ascii="Times New Roman" w:hAnsi="Times New Roman" w:cs="Times New Roman"/>
        </w:rPr>
        <w:fldChar w:fldCharType="separate"/>
      </w:r>
      <w:r w:rsidRPr="00A85C28" w:rsidR="00A85C28">
        <w:rPr>
          <w:rFonts w:ascii="Times New Roman" w:hAnsi="Times New Roman" w:cs="Times New Roman"/>
          <w:noProof/>
        </w:rPr>
        <w:t>18</w:t>
      </w:r>
      <w:r w:rsidRPr="00A85C28">
        <w:rPr>
          <w:rFonts w:ascii="Times New Roman" w:hAnsi="Times New Roman" w:cs="Times New Roman"/>
        </w:rPr>
        <w:fldChar w:fldCharType="end"/>
      </w:r>
      <w:r w:rsidRPr="00A85C28">
        <w:rPr>
          <w:rFonts w:ascii="Times New Roman" w:hAnsi="Times New Roman" w:cs="Times New Roman"/>
        </w:rPr>
        <w:t>.  Sur ce point les arrêts n</w:t>
      </w:r>
      <w:r w:rsidRPr="00A85C28">
        <w:rPr>
          <w:rFonts w:ascii="Times New Roman" w:hAnsi="Times New Roman" w:cs="Times New Roman"/>
          <w:vertAlign w:val="superscript"/>
        </w:rPr>
        <w:t>os</w:t>
      </w:r>
      <w:r w:rsidRPr="00A85C28">
        <w:rPr>
          <w:rFonts w:ascii="Times New Roman" w:hAnsi="Times New Roman" w:cs="Times New Roman"/>
        </w:rPr>
        <w:t> 824 et 825 sont ainsi rédigés :</w:t>
      </w:r>
    </w:p>
    <w:p w:rsidRPr="00A85C28" w:rsidR="004D2843" w:rsidP="00A85C28">
      <w:pPr>
        <w:pStyle w:val="ECHRParaQuote"/>
      </w:pPr>
      <w:r w:rsidRPr="00A85C28">
        <w:t>« (...) Attendu qu</w:t>
      </w:r>
      <w:r w:rsidRPr="00A85C28" w:rsidR="00A85C28">
        <w:t>’</w:t>
      </w:r>
      <w:r w:rsidRPr="00A85C28">
        <w:t>aux termes de l</w:t>
      </w:r>
      <w:r w:rsidRPr="00A85C28" w:rsidR="00A85C28">
        <w:t>’</w:t>
      </w:r>
      <w:r w:rsidRPr="00A85C28">
        <w:t>article 8 de la Convention (...) ;</w:t>
      </w:r>
    </w:p>
    <w:p w:rsidRPr="00A85C28" w:rsidR="004D2843" w:rsidP="00A85C28">
      <w:pPr>
        <w:pStyle w:val="ECHRParaQuote"/>
      </w:pPr>
      <w:r w:rsidRPr="00A85C28">
        <w:t>Attendu que le refus de transcription de la filiation maternelle d</w:t>
      </w:r>
      <w:r w:rsidRPr="00A85C28" w:rsidR="00A85C28">
        <w:t>’</w:t>
      </w:r>
      <w:r w:rsidRPr="00A85C28">
        <w:t>intention, lorsque l</w:t>
      </w:r>
      <w:r w:rsidRPr="00A85C28" w:rsidR="00A85C28">
        <w:t>’</w:t>
      </w:r>
      <w:r w:rsidRPr="00A85C28">
        <w:t>enfant est né à l</w:t>
      </w:r>
      <w:r w:rsidRPr="00A85C28" w:rsidR="00A85C28">
        <w:t>’</w:t>
      </w:r>
      <w:r w:rsidRPr="00A85C28">
        <w:t>étranger à l</w:t>
      </w:r>
      <w:r w:rsidRPr="00A85C28" w:rsidR="00A85C28">
        <w:t>’</w:t>
      </w:r>
      <w:r w:rsidRPr="00A85C28">
        <w:t>issue d</w:t>
      </w:r>
      <w:r w:rsidRPr="00A85C28" w:rsidR="00A85C28">
        <w:t>’</w:t>
      </w:r>
      <w:r w:rsidRPr="00A85C28">
        <w:t>une convention de gestation pour autrui, résulte de la loi et poursuit un but légitime en ce qu</w:t>
      </w:r>
      <w:r w:rsidRPr="00A85C28" w:rsidR="00A85C28">
        <w:t>’</w:t>
      </w:r>
      <w:r w:rsidRPr="00A85C28">
        <w:t>il tend à la protection de l</w:t>
      </w:r>
      <w:r w:rsidRPr="00A85C28" w:rsidR="00A85C28">
        <w:t>’</w:t>
      </w:r>
      <w:r w:rsidRPr="00A85C28">
        <w:t>enfant et de la mère porteuse et vise à décourager cette pratique, prohibée par les articles 16-7 et 16</w:t>
      </w:r>
      <w:r w:rsidRPr="00A85C28" w:rsidR="00987D12">
        <w:rPr>
          <w:rFonts w:ascii="MS Mincho" w:hAnsi="MS Mincho" w:eastAsia="MS Mincho" w:cs="MS Mincho"/>
        </w:rPr>
        <w:noBreakHyphen/>
      </w:r>
      <w:r w:rsidRPr="00A85C28">
        <w:t>9 du code civil ;</w:t>
      </w:r>
    </w:p>
    <w:p w:rsidRPr="00A85C28" w:rsidR="004D2843" w:rsidP="00A85C28">
      <w:pPr>
        <w:pStyle w:val="ECHRParaQuote"/>
      </w:pPr>
      <w:r w:rsidRPr="00A85C28">
        <w:t>Attendu que ce refus de transcription ne porte pas une atteinte disproportionnée au droit au respect de la vie privée et familiale des enfants, au regard du but légitime poursuivi ; qu</w:t>
      </w:r>
      <w:r w:rsidRPr="00A85C28" w:rsidR="00A85C28">
        <w:t>’</w:t>
      </w:r>
      <w:r w:rsidRPr="00A85C28">
        <w:t>en effet, d</w:t>
      </w:r>
      <w:r w:rsidRPr="00A85C28" w:rsidR="00A85C28">
        <w:t>’</w:t>
      </w:r>
      <w:r w:rsidRPr="00A85C28">
        <w:t>abord, l</w:t>
      </w:r>
      <w:r w:rsidRPr="00A85C28" w:rsidR="00A85C28">
        <w:t>’</w:t>
      </w:r>
      <w:r w:rsidRPr="00A85C28">
        <w:t>accueil des enfants au sein du foyer constitué par leur père et son épouse n</w:t>
      </w:r>
      <w:r w:rsidRPr="00A85C28" w:rsidR="00A85C28">
        <w:t>’</w:t>
      </w:r>
      <w:r w:rsidRPr="00A85C28">
        <w:t>est pas remis en cause par les autorités françaises, qui délivrent des certificats de nationalité française aux enfants nés d</w:t>
      </w:r>
      <w:r w:rsidRPr="00A85C28" w:rsidR="00A85C28">
        <w:t>’</w:t>
      </w:r>
      <w:r w:rsidRPr="00A85C28">
        <w:t>une gestation pour autrui à l</w:t>
      </w:r>
      <w:r w:rsidRPr="00A85C28" w:rsidR="00A85C28">
        <w:t>’</w:t>
      </w:r>
      <w:r w:rsidRPr="00A85C28">
        <w:t>étranger ; qu</w:t>
      </w:r>
      <w:r w:rsidRPr="00A85C28" w:rsidR="00A85C28">
        <w:t>’</w:t>
      </w:r>
      <w:r w:rsidRPr="00A85C28">
        <w:t>ensuite, en considération de l</w:t>
      </w:r>
      <w:r w:rsidRPr="00A85C28" w:rsidR="00A85C28">
        <w:t>’</w:t>
      </w:r>
      <w:r w:rsidRPr="00A85C28">
        <w:t>intérêt supérieur des enfants déjà nés, le recours à la gestation pour autrui ne fait plus obstacle à la transcription d</w:t>
      </w:r>
      <w:r w:rsidRPr="00A85C28" w:rsidR="00A85C28">
        <w:t>’</w:t>
      </w:r>
      <w:r w:rsidRPr="00A85C28">
        <w:t>un acte de naissance étranger, lorsque les conditions de l</w:t>
      </w:r>
      <w:r w:rsidRPr="00A85C28" w:rsidR="00A85C28">
        <w:t>’</w:t>
      </w:r>
      <w:r w:rsidRPr="00A85C28">
        <w:t>article 47 du code civil sont remplies, ni à l</w:t>
      </w:r>
      <w:r w:rsidRPr="00A85C28" w:rsidR="00A85C28">
        <w:t>’</w:t>
      </w:r>
      <w:r w:rsidRPr="00A85C28">
        <w:t>établissement de la filiation paternelle ; qu</w:t>
      </w:r>
      <w:r w:rsidRPr="00A85C28" w:rsidR="00A85C28">
        <w:t>’</w:t>
      </w:r>
      <w:r w:rsidRPr="00A85C28">
        <w:t>enfin, l</w:t>
      </w:r>
      <w:r w:rsidRPr="00A85C28" w:rsidR="00A85C28">
        <w:t>’</w:t>
      </w:r>
      <w:r w:rsidRPr="00A85C28">
        <w:t>adoption permet, si les conditions légales en sont réunies et si elle est conforme à l</w:t>
      </w:r>
      <w:r w:rsidRPr="00A85C28" w:rsidR="00A85C28">
        <w:t>’</w:t>
      </w:r>
      <w:r w:rsidRPr="00A85C28">
        <w:t>intérêt de l</w:t>
      </w:r>
      <w:r w:rsidRPr="00A85C28" w:rsidR="00A85C28">
        <w:t>’</w:t>
      </w:r>
      <w:r w:rsidRPr="00A85C28">
        <w:t>enfant, de créer un lien de filiation entre les enfants et l</w:t>
      </w:r>
      <w:r w:rsidRPr="00A85C28" w:rsidR="00A85C28">
        <w:t>’</w:t>
      </w:r>
      <w:r w:rsidRPr="00A85C28">
        <w:t>épouse de leur père (...) ».</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19</w:t>
      </w:r>
      <w:r w:rsidRPr="00A85C28">
        <w:fldChar w:fldCharType="end"/>
      </w:r>
      <w:r w:rsidRPr="00A85C28">
        <w:t>.  Sur ce même point l</w:t>
      </w:r>
      <w:r w:rsidRPr="00A85C28" w:rsidR="00A85C28">
        <w:t>’</w:t>
      </w:r>
      <w:r w:rsidRPr="00A85C28">
        <w:t>arrêt n</w:t>
      </w:r>
      <w:r w:rsidRPr="00A85C28">
        <w:rPr>
          <w:vertAlign w:val="superscript"/>
        </w:rPr>
        <w:t>o</w:t>
      </w:r>
      <w:r w:rsidRPr="00A85C28">
        <w:t xml:space="preserve"> 826 est libellé comme il suit :</w:t>
      </w:r>
    </w:p>
    <w:p w:rsidRPr="00A85C28" w:rsidR="004D2843" w:rsidP="00A85C28">
      <w:pPr>
        <w:pStyle w:val="ECHRParaQuote"/>
      </w:pPr>
      <w:r w:rsidRPr="00A85C28">
        <w:t>« (...) Attendu que, pour rejeter la demande d</w:t>
      </w:r>
      <w:r w:rsidRPr="00A85C28" w:rsidR="00A85C28">
        <w:t>’</w:t>
      </w:r>
      <w:r w:rsidRPr="00A85C28">
        <w:t>adoption simple, l</w:t>
      </w:r>
      <w:r w:rsidRPr="00A85C28" w:rsidR="00A85C28">
        <w:t>’</w:t>
      </w:r>
      <w:r w:rsidRPr="00A85C28">
        <w:t>arrêt retient que la naissance de l</w:t>
      </w:r>
      <w:r w:rsidRPr="00A85C28" w:rsidR="00A85C28">
        <w:t>’</w:t>
      </w:r>
      <w:r w:rsidRPr="00A85C28">
        <w:t>enfant résulte d</w:t>
      </w:r>
      <w:r w:rsidRPr="00A85C28" w:rsidR="00A85C28">
        <w:t>’</w:t>
      </w:r>
      <w:r w:rsidRPr="00A85C28">
        <w:t>une violation, par M. Y..., des dispositions de l</w:t>
      </w:r>
      <w:r w:rsidRPr="00A85C28" w:rsidR="00A85C28">
        <w:t>’</w:t>
      </w:r>
      <w:r w:rsidRPr="00A85C28">
        <w:t>article 16-7 du code civil, aux termes duquel toute convention portant sur la procréation ou la gestation pour le compte d</w:t>
      </w:r>
      <w:r w:rsidRPr="00A85C28" w:rsidR="00A85C28">
        <w:t>’</w:t>
      </w:r>
      <w:r w:rsidRPr="00A85C28">
        <w:t>autrui est nulle d</w:t>
      </w:r>
      <w:r w:rsidRPr="00A85C28" w:rsidR="00A85C28">
        <w:t>’</w:t>
      </w:r>
      <w:r w:rsidRPr="00A85C28">
        <w:t>une nullité d</w:t>
      </w:r>
      <w:r w:rsidRPr="00A85C28" w:rsidR="00A85C28">
        <w:t>’</w:t>
      </w:r>
      <w:r w:rsidRPr="00A85C28">
        <w:t>ordre public ; Qu</w:t>
      </w:r>
      <w:r w:rsidRPr="00A85C28" w:rsidR="00A85C28">
        <w:t>’</w:t>
      </w:r>
      <w:r w:rsidRPr="00A85C28">
        <w:t>en statuant ainsi, alors que le recours à la gestation pour autrui à l</w:t>
      </w:r>
      <w:r w:rsidRPr="00A85C28" w:rsidR="00A85C28">
        <w:t>’</w:t>
      </w:r>
      <w:r w:rsidRPr="00A85C28">
        <w:t>étranger ne fait pas, en lui-même, obstacle au prononcé de l</w:t>
      </w:r>
      <w:r w:rsidRPr="00A85C28" w:rsidR="00A85C28">
        <w:t>’</w:t>
      </w:r>
      <w:r w:rsidRPr="00A85C28">
        <w:t>adoption, par l</w:t>
      </w:r>
      <w:r w:rsidRPr="00A85C28" w:rsidR="00A85C28">
        <w:t>’</w:t>
      </w:r>
      <w:r w:rsidRPr="00A85C28">
        <w:t>époux du père, de l</w:t>
      </w:r>
      <w:r w:rsidRPr="00A85C28" w:rsidR="00A85C28">
        <w:t>’</w:t>
      </w:r>
      <w:r w:rsidRPr="00A85C28">
        <w:t>enfant né de cette procréation, si les conditions légales de l</w:t>
      </w:r>
      <w:r w:rsidRPr="00A85C28" w:rsidR="00A85C28">
        <w:t>’</w:t>
      </w:r>
      <w:r w:rsidRPr="00A85C28">
        <w:t>adoption sont réunies et si elle est conforme à l</w:t>
      </w:r>
      <w:r w:rsidRPr="00A85C28" w:rsidR="00A85C28">
        <w:t>’</w:t>
      </w:r>
      <w:r w:rsidRPr="00A85C28">
        <w:t>intérêt de l</w:t>
      </w:r>
      <w:r w:rsidRPr="00A85C28" w:rsidR="00A85C28">
        <w:t>’</w:t>
      </w:r>
      <w:r w:rsidRPr="00A85C28">
        <w:t>enfant, la cour d</w:t>
      </w:r>
      <w:r w:rsidRPr="00A85C28" w:rsidR="00A85C28">
        <w:t>’</w:t>
      </w:r>
      <w:r w:rsidRPr="00A85C28">
        <w:t>appel a violé les textes susvisés ;</w:t>
      </w:r>
    </w:p>
    <w:p w:rsidRPr="00A85C28" w:rsidR="004D2843" w:rsidP="00A85C28">
      <w:pPr>
        <w:pStyle w:val="ECHRParaQuote"/>
      </w:pPr>
      <w:r w:rsidRPr="00A85C28">
        <w:t>(...) Attendu, selon [l</w:t>
      </w:r>
      <w:r w:rsidRPr="00A85C28" w:rsidR="00A85C28">
        <w:t>’</w:t>
      </w:r>
      <w:r w:rsidRPr="00A85C28">
        <w:t>article 348 du code civil], que lorsque la filiation de l</w:t>
      </w:r>
      <w:r w:rsidRPr="00A85C28" w:rsidR="00A85C28">
        <w:t>’</w:t>
      </w:r>
      <w:r w:rsidRPr="00A85C28">
        <w:t>enfant est établie à l</w:t>
      </w:r>
      <w:r w:rsidRPr="00A85C28" w:rsidR="00A85C28">
        <w:t>’</w:t>
      </w:r>
      <w:r w:rsidRPr="00A85C28">
        <w:t>égard de son père et de sa mère, ceux-ci doivent consentir l</w:t>
      </w:r>
      <w:r w:rsidRPr="00A85C28" w:rsidR="00A85C28">
        <w:t>’</w:t>
      </w:r>
      <w:r w:rsidRPr="00A85C28">
        <w:t>un et l</w:t>
      </w:r>
      <w:r w:rsidRPr="00A85C28" w:rsidR="00A85C28">
        <w:t>’</w:t>
      </w:r>
      <w:r w:rsidRPr="00A85C28">
        <w:t>autre à l</w:t>
      </w:r>
      <w:r w:rsidRPr="00A85C28" w:rsidR="00A85C28">
        <w:t>’</w:t>
      </w:r>
      <w:r w:rsidRPr="00A85C28">
        <w:t>adoption ;</w:t>
      </w:r>
    </w:p>
    <w:p w:rsidRPr="00A85C28" w:rsidR="004D2843" w:rsidP="00A85C28">
      <w:pPr>
        <w:pStyle w:val="ECHRParaQuote"/>
      </w:pPr>
      <w:r w:rsidRPr="00A85C28">
        <w:t>Attendu que, pour rejeter la demande d</w:t>
      </w:r>
      <w:r w:rsidRPr="00A85C28" w:rsidR="00A85C28">
        <w:t>’</w:t>
      </w:r>
      <w:r w:rsidRPr="00A85C28">
        <w:t>adoption, l</w:t>
      </w:r>
      <w:r w:rsidRPr="00A85C28" w:rsidR="00A85C28">
        <w:t>’</w:t>
      </w:r>
      <w:r w:rsidRPr="00A85C28">
        <w:t>arrêt retient encore que le consentement initial de [la mère génétique], dépourvu de toute dimension maternelle subjective ou psychique, prive de portée juridique son consentement ultérieur à l</w:t>
      </w:r>
      <w:r w:rsidRPr="00A85C28" w:rsidR="00A85C28">
        <w:t>’</w:t>
      </w:r>
      <w:r w:rsidRPr="00A85C28">
        <w:t>adoption de l</w:t>
      </w:r>
      <w:r w:rsidRPr="00A85C28" w:rsidR="00A85C28">
        <w:t>’</w:t>
      </w:r>
      <w:r w:rsidRPr="00A85C28">
        <w:t>enfant dont elle a accouché, un tel consentement ne pouvant s</w:t>
      </w:r>
      <w:r w:rsidRPr="00A85C28" w:rsidR="00A85C28">
        <w:t>’</w:t>
      </w:r>
      <w:r w:rsidRPr="00A85C28">
        <w:t>entendre que comme celui d</w:t>
      </w:r>
      <w:r w:rsidRPr="00A85C28" w:rsidR="00A85C28">
        <w:t>’</w:t>
      </w:r>
      <w:r w:rsidRPr="00A85C28">
        <w:t>une mère à renoncer symboliquement et juridiquement à sa maternité dans toutes ses composantes et, en particulier, dans sa dimension subjective ou psychique ;</w:t>
      </w:r>
    </w:p>
    <w:p w:rsidRPr="00A85C28" w:rsidR="004D2843" w:rsidP="00A85C28">
      <w:pPr>
        <w:pStyle w:val="ECHRParaQuote"/>
      </w:pPr>
      <w:r w:rsidRPr="00A85C28">
        <w:t>Qu</w:t>
      </w:r>
      <w:r w:rsidRPr="00A85C28" w:rsidR="00A85C28">
        <w:t>’</w:t>
      </w:r>
      <w:r w:rsidRPr="00A85C28">
        <w:t>en statuant ainsi, par des motifs inopérants, alors qu</w:t>
      </w:r>
      <w:r w:rsidRPr="00A85C28" w:rsidR="00A85C28">
        <w:t>’</w:t>
      </w:r>
      <w:r w:rsidRPr="00A85C28">
        <w:t>elle constatait l</w:t>
      </w:r>
      <w:r w:rsidRPr="00A85C28" w:rsidR="00A85C28">
        <w:t>’</w:t>
      </w:r>
      <w:r w:rsidRPr="00A85C28">
        <w:t>existence, la sincérité et l</w:t>
      </w:r>
      <w:r w:rsidRPr="00A85C28" w:rsidR="00A85C28">
        <w:t>’</w:t>
      </w:r>
      <w:r w:rsidRPr="00A85C28">
        <w:t>absence de rétractation du consentement à l</w:t>
      </w:r>
      <w:r w:rsidRPr="00A85C28" w:rsidR="00A85C28">
        <w:t>’</w:t>
      </w:r>
      <w:r w:rsidRPr="00A85C28">
        <w:t>adoption donné par la mère de l</w:t>
      </w:r>
      <w:r w:rsidRPr="00A85C28" w:rsidR="00A85C28">
        <w:t>’</w:t>
      </w:r>
      <w:r w:rsidRPr="00A85C28">
        <w:t>enfant, la cour d</w:t>
      </w:r>
      <w:r w:rsidRPr="00A85C28" w:rsidR="00A85C28">
        <w:t>’</w:t>
      </w:r>
      <w:r w:rsidRPr="00A85C28">
        <w:t>appel a violé les [articles 348 et 361] (...) ».</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20</w:t>
      </w:r>
      <w:r w:rsidRPr="00A85C28">
        <w:fldChar w:fldCharType="end"/>
      </w:r>
      <w:r w:rsidRPr="00A85C28">
        <w:t>.  La Cour de cassation a par la suite confirmé l</w:t>
      </w:r>
      <w:r w:rsidRPr="00A85C28" w:rsidR="00A85C28">
        <w:t>’</w:t>
      </w:r>
      <w:r w:rsidRPr="00A85C28">
        <w:t>impossibilité d</w:t>
      </w:r>
      <w:r w:rsidRPr="00A85C28" w:rsidR="00A85C28">
        <w:t>’</w:t>
      </w:r>
      <w:r w:rsidRPr="00A85C28">
        <w:t>obtenir la transcription de l</w:t>
      </w:r>
      <w:r w:rsidRPr="00A85C28" w:rsidR="00A85C28">
        <w:t>’</w:t>
      </w:r>
      <w:r w:rsidRPr="00A85C28">
        <w:t>acte de naissance étranger pour autant qu</w:t>
      </w:r>
      <w:r w:rsidRPr="00A85C28" w:rsidR="00A85C28">
        <w:t>’</w:t>
      </w:r>
      <w:r w:rsidRPr="00A85C28">
        <w:t>il désigne la mère d</w:t>
      </w:r>
      <w:r w:rsidRPr="00A85C28" w:rsidR="00A85C28">
        <w:t>’</w:t>
      </w:r>
      <w:r w:rsidRPr="00A85C28">
        <w:t>intention comme étant la mère de l</w:t>
      </w:r>
      <w:r w:rsidRPr="00A85C28" w:rsidR="00A85C28">
        <w:t>’</w:t>
      </w:r>
      <w:r w:rsidRPr="00A85C28">
        <w:t>enfant (voir, par exemple, l</w:t>
      </w:r>
      <w:r w:rsidRPr="00A85C28" w:rsidR="00A85C28">
        <w:t>’</w:t>
      </w:r>
      <w:r w:rsidRPr="00A85C28">
        <w:t xml:space="preserve">arrêt rendu le 14 mars 2018 par la première chambre civile dans le cas des requérants E (voir </w:t>
      </w:r>
      <w:r w:rsidRPr="00A85C28">
        <w:rPr>
          <w:i/>
        </w:rPr>
        <w:t>C et E c. France</w:t>
      </w:r>
      <w:r w:rsidRPr="00A85C28">
        <w:t xml:space="preserve"> (déc.), n</w:t>
      </w:r>
      <w:r w:rsidRPr="00A85C28">
        <w:rPr>
          <w:vertAlign w:val="superscript"/>
        </w:rPr>
        <w:t xml:space="preserve">os </w:t>
      </w:r>
      <w:r w:rsidRPr="00A85C28">
        <w:t>1462/18 et 1734/18, § 20, 19 novembre 2018).</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21</w:t>
      </w:r>
      <w:r w:rsidRPr="00A85C28">
        <w:fldChar w:fldCharType="end"/>
      </w:r>
      <w:r w:rsidRPr="00A85C28">
        <w:t>.  À la suite de l</w:t>
      </w:r>
      <w:r w:rsidRPr="00A85C28" w:rsidR="00A85C28">
        <w:t>’</w:t>
      </w:r>
      <w:r w:rsidRPr="00A85C28">
        <w:t>avis n</w:t>
      </w:r>
      <w:r w:rsidRPr="00A85C28">
        <w:rPr>
          <w:vertAlign w:val="superscript"/>
        </w:rPr>
        <w:t>o</w:t>
      </w:r>
      <w:r w:rsidRPr="00A85C28">
        <w:t xml:space="preserve"> P16-2018-001 précité, l</w:t>
      </w:r>
      <w:r w:rsidRPr="00A85C28" w:rsidR="00A85C28">
        <w:t>’</w:t>
      </w:r>
      <w:r w:rsidRPr="00A85C28">
        <w:t>Assemblée plénière de la Cour de cassation a statué dans l</w:t>
      </w:r>
      <w:r w:rsidRPr="00A85C28" w:rsidR="00A85C28">
        <w:t>’</w:t>
      </w:r>
      <w:r w:rsidRPr="00A85C28">
        <w:t xml:space="preserve">affaire </w:t>
      </w:r>
      <w:r w:rsidRPr="00A85C28">
        <w:rPr>
          <w:i/>
          <w:iCs/>
        </w:rPr>
        <w:t>Mennesson</w:t>
      </w:r>
      <w:r w:rsidRPr="00A85C28">
        <w:t xml:space="preserve"> par un arrêt du 4 octobre 2019 (n</w:t>
      </w:r>
      <w:r w:rsidRPr="00A85C28">
        <w:rPr>
          <w:vertAlign w:val="superscript"/>
        </w:rPr>
        <w:t>o</w:t>
      </w:r>
      <w:r w:rsidRPr="00A85C28">
        <w:t xml:space="preserve"> 10-19053). Considérant cet avis, elle a souligné qu</w:t>
      </w:r>
      <w:r w:rsidRPr="00A85C28" w:rsidR="00A85C28">
        <w:t>’</w:t>
      </w:r>
      <w:r w:rsidRPr="00A85C28">
        <w:t>il se déduisait de l</w:t>
      </w:r>
      <w:r w:rsidRPr="00A85C28" w:rsidR="00A85C28">
        <w:t>’</w:t>
      </w:r>
      <w:r w:rsidRPr="00A85C28">
        <w:t>article 8 de la Convention qu</w:t>
      </w:r>
      <w:r w:rsidRPr="00A85C28" w:rsidR="00A85C28">
        <w:t>’</w:t>
      </w:r>
      <w:r w:rsidRPr="00A85C28">
        <w:t>au regard de l</w:t>
      </w:r>
      <w:r w:rsidRPr="00A85C28" w:rsidR="00A85C28">
        <w:t>’</w:t>
      </w:r>
      <w:r w:rsidRPr="00A85C28">
        <w:t>intérêt supérieur de l</w:t>
      </w:r>
      <w:r w:rsidRPr="00A85C28" w:rsidR="00A85C28">
        <w:t>’</w:t>
      </w:r>
      <w:r w:rsidRPr="00A85C28">
        <w:t>enfant, la circonstance que la naissance d</w:t>
      </w:r>
      <w:r w:rsidRPr="00A85C28" w:rsidR="00A85C28">
        <w:t>’</w:t>
      </w:r>
      <w:r w:rsidRPr="00A85C28">
        <w:t>un enfant à l</w:t>
      </w:r>
      <w:r w:rsidRPr="00A85C28" w:rsidR="00A85C28">
        <w:t>’</w:t>
      </w:r>
      <w:r w:rsidRPr="00A85C28">
        <w:t>étranger ait pour origine une convention de gestation pour autrui, prohibée en droit français, ne pouvait, à elle seule, sans porter une atteinte disproportionnée au droit au respect de la vie privée de l</w:t>
      </w:r>
      <w:r w:rsidRPr="00A85C28" w:rsidR="00A85C28">
        <w:t>’</w:t>
      </w:r>
      <w:r w:rsidRPr="00A85C28">
        <w:t>enfant, faire obstacle à la transcription de l</w:t>
      </w:r>
      <w:r w:rsidRPr="00A85C28" w:rsidR="00A85C28">
        <w:t>’</w:t>
      </w:r>
      <w:r w:rsidRPr="00A85C28">
        <w:t>acte de naissance établi par les autorités de l</w:t>
      </w:r>
      <w:r w:rsidRPr="00A85C28" w:rsidR="00A85C28">
        <w:t>’</w:t>
      </w:r>
      <w:r w:rsidRPr="00A85C28">
        <w:t>État étranger, en ce qui concerne le père biologique de l</w:t>
      </w:r>
      <w:r w:rsidRPr="00A85C28" w:rsidR="00A85C28">
        <w:t>’</w:t>
      </w:r>
      <w:r w:rsidRPr="00A85C28">
        <w:t>enfant, ni à la reconnaissance du lien de filiation à l</w:t>
      </w:r>
      <w:r w:rsidRPr="00A85C28" w:rsidR="00A85C28">
        <w:t>’</w:t>
      </w:r>
      <w:r w:rsidRPr="00A85C28">
        <w:t>égard de la mère d</w:t>
      </w:r>
      <w:r w:rsidRPr="00A85C28" w:rsidR="00A85C28">
        <w:t>’</w:t>
      </w:r>
      <w:r w:rsidRPr="00A85C28">
        <w:t>intention mentionnée dans l</w:t>
      </w:r>
      <w:r w:rsidRPr="00A85C28" w:rsidR="00A85C28">
        <w:t>’</w:t>
      </w:r>
      <w:r w:rsidRPr="00A85C28">
        <w:t>acte étranger, laquelle doit intervenir au plus tard lorsque ce lien entre l</w:t>
      </w:r>
      <w:r w:rsidRPr="00A85C28" w:rsidR="00A85C28">
        <w:t>’</w:t>
      </w:r>
      <w:r w:rsidRPr="00A85C28">
        <w:t>enfant et la mère d</w:t>
      </w:r>
      <w:r w:rsidRPr="00A85C28" w:rsidR="00A85C28">
        <w:t>’</w:t>
      </w:r>
      <w:r w:rsidRPr="00A85C28">
        <w:t>intention s</w:t>
      </w:r>
      <w:r w:rsidRPr="00A85C28" w:rsidR="00A85C28">
        <w:t>’</w:t>
      </w:r>
      <w:r w:rsidRPr="00A85C28">
        <w:t>est concrétisé. Elle a ensuite jugé qu</w:t>
      </w:r>
      <w:r w:rsidRPr="00A85C28" w:rsidR="00A85C28">
        <w:t>’</w:t>
      </w:r>
      <w:r w:rsidRPr="00A85C28">
        <w:t>en annulant la transcription de l</w:t>
      </w:r>
      <w:r w:rsidRPr="00A85C28" w:rsidR="00A85C28">
        <w:t>’</w:t>
      </w:r>
      <w:r w:rsidRPr="00A85C28">
        <w:t xml:space="preserve">acte de naissance étranger des enfants </w:t>
      </w:r>
      <w:r w:rsidRPr="00A85C28">
        <w:t>Mennesson</w:t>
      </w:r>
      <w:r w:rsidRPr="00A85C28">
        <w:t xml:space="preserve"> au motif qu</w:t>
      </w:r>
      <w:r w:rsidRPr="00A85C28" w:rsidR="00A85C28">
        <w:t>’</w:t>
      </w:r>
      <w:r w:rsidRPr="00A85C28">
        <w:t>elles étaient nées à la suite d</w:t>
      </w:r>
      <w:r w:rsidRPr="00A85C28" w:rsidR="00A85C28">
        <w:t>’</w:t>
      </w:r>
      <w:r w:rsidRPr="00A85C28">
        <w:t>une convention de gestation pour autrui, la cour d</w:t>
      </w:r>
      <w:r w:rsidRPr="00A85C28" w:rsidR="00A85C28">
        <w:t>’</w:t>
      </w:r>
      <w:r w:rsidRPr="00A85C28">
        <w:t>appel avait notamment violé l</w:t>
      </w:r>
      <w:r w:rsidRPr="00A85C28" w:rsidR="00A85C28">
        <w:t>’</w:t>
      </w:r>
      <w:r w:rsidRPr="00A85C28">
        <w:t>article 8 de la Convention. Ensuite, statuant au fond, la Cour de cassation a relevé qu</w:t>
      </w:r>
      <w:r w:rsidRPr="00A85C28" w:rsidR="00A85C28">
        <w:t>’</w:t>
      </w:r>
      <w:r w:rsidRPr="00A85C28">
        <w:t>il résultait de l</w:t>
      </w:r>
      <w:r w:rsidRPr="00A85C28" w:rsidR="00A85C28">
        <w:t>’</w:t>
      </w:r>
      <w:r w:rsidRPr="00A85C28">
        <w:t>avis consultatif que, s</w:t>
      </w:r>
      <w:r w:rsidRPr="00A85C28" w:rsidR="00A85C28">
        <w:t>’</w:t>
      </w:r>
      <w:r w:rsidRPr="00A85C28">
        <w:t>agissant de la mère d</w:t>
      </w:r>
      <w:r w:rsidRPr="00A85C28" w:rsidR="00A85C28">
        <w:t>’</w:t>
      </w:r>
      <w:r w:rsidRPr="00A85C28">
        <w:t>intention, les États parties n</w:t>
      </w:r>
      <w:r w:rsidRPr="00A85C28" w:rsidR="00A85C28">
        <w:t>’</w:t>
      </w:r>
      <w:r w:rsidRPr="00A85C28">
        <w:t>étaient pas tenus d</w:t>
      </w:r>
      <w:r w:rsidRPr="00A85C28" w:rsidR="00A85C28">
        <w:t>’</w:t>
      </w:r>
      <w:r w:rsidRPr="00A85C28">
        <w:t>opter pour la transcription des actes de naissance, le choix des moyens à mettre en œuvre pour permettre la reconnaissance du lien enfant-parent d</w:t>
      </w:r>
      <w:r w:rsidRPr="00A85C28" w:rsidR="00A85C28">
        <w:t>’</w:t>
      </w:r>
      <w:r w:rsidRPr="00A85C28">
        <w:t>intention tombant dans leur marge d</w:t>
      </w:r>
      <w:r w:rsidRPr="00A85C28" w:rsidR="00A85C28">
        <w:t>’</w:t>
      </w:r>
      <w:r w:rsidRPr="00A85C28">
        <w:t>appréciation. Elle a rappelé qu</w:t>
      </w:r>
      <w:r w:rsidRPr="00A85C28" w:rsidR="00A85C28">
        <w:t>’</w:t>
      </w:r>
      <w:r w:rsidRPr="00A85C28">
        <w:t>en droit français, la filiation était légalement établie par l</w:t>
      </w:r>
      <w:r w:rsidRPr="00A85C28" w:rsidR="00A85C28">
        <w:t>’</w:t>
      </w:r>
      <w:r w:rsidRPr="00A85C28">
        <w:t>effet de la loi, par la reconnaissance volontaire, par la possession d</w:t>
      </w:r>
      <w:r w:rsidRPr="00A85C28" w:rsidR="00A85C28">
        <w:t>’</w:t>
      </w:r>
      <w:r w:rsidRPr="00A85C28">
        <w:t>état, par jugement et par l</w:t>
      </w:r>
      <w:r w:rsidRPr="00A85C28" w:rsidR="00A85C28">
        <w:t>’</w:t>
      </w:r>
      <w:r w:rsidRPr="00A85C28">
        <w:t>adoption, simple ou plénière. Elle a ensuite relevé que, selon l</w:t>
      </w:r>
      <w:r w:rsidRPr="00A85C28" w:rsidR="00A85C28">
        <w:t>’</w:t>
      </w:r>
      <w:r w:rsidRPr="00A85C28">
        <w:t>avis consultatif, l</w:t>
      </w:r>
      <w:r w:rsidRPr="00A85C28" w:rsidR="00A85C28">
        <w:t>’</w:t>
      </w:r>
      <w:r w:rsidRPr="00A85C28">
        <w:t>adoption répondait aux exigences de l</w:t>
      </w:r>
      <w:r w:rsidRPr="00A85C28" w:rsidR="00A85C28">
        <w:t>’</w:t>
      </w:r>
      <w:r w:rsidRPr="00A85C28">
        <w:t>article 8 à condition que ses modalités permettaient une décision rapide, de manière à éviter que l</w:t>
      </w:r>
      <w:r w:rsidRPr="00A85C28" w:rsidR="00A85C28">
        <w:t>’</w:t>
      </w:r>
      <w:r w:rsidRPr="00A85C28">
        <w:t>enfant soit maintenu longtemps dans l</w:t>
      </w:r>
      <w:r w:rsidRPr="00A85C28" w:rsidR="00A85C28">
        <w:t>’</w:t>
      </w:r>
      <w:r w:rsidRPr="00A85C28">
        <w:t>incertitude juridique quant à son lien de filiation à l</w:t>
      </w:r>
      <w:r w:rsidRPr="00A85C28" w:rsidR="00A85C28">
        <w:t>’</w:t>
      </w:r>
      <w:r w:rsidRPr="00A85C28">
        <w:t>égard de sa mère d</w:t>
      </w:r>
      <w:r w:rsidRPr="00A85C28" w:rsidR="00A85C28">
        <w:t>’</w:t>
      </w:r>
      <w:r w:rsidRPr="00A85C28">
        <w:t>intention, le juge devant tenir compte de la situation fragilisée des enfants tant que la procédure est pendante. Elle a ensuite retenu qu</w:t>
      </w:r>
      <w:r w:rsidRPr="00A85C28" w:rsidR="00A85C28">
        <w:t>’</w:t>
      </w:r>
      <w:r w:rsidRPr="00A85C28">
        <w:t>« étant rappelé qu</w:t>
      </w:r>
      <w:r w:rsidRPr="00A85C28" w:rsidR="00A85C28">
        <w:t>’</w:t>
      </w:r>
      <w:r w:rsidRPr="00A85C28">
        <w:t>en droit français, les conventions portant sur la procréation ou la gestation pour le compte d</w:t>
      </w:r>
      <w:r w:rsidRPr="00A85C28" w:rsidR="00A85C28">
        <w:t>’</w:t>
      </w:r>
      <w:r w:rsidRPr="00A85C28">
        <w:t>autrui sont nulles, eu égard à l</w:t>
      </w:r>
      <w:r w:rsidRPr="00A85C28" w:rsidR="00A85C28">
        <w:t>’</w:t>
      </w:r>
      <w:r w:rsidRPr="00A85C28">
        <w:t>intérêt supérieur de l</w:t>
      </w:r>
      <w:r w:rsidRPr="00A85C28" w:rsidR="00A85C28">
        <w:t>’</w:t>
      </w:r>
      <w:r w:rsidRPr="00A85C28">
        <w:t>enfant, (...) il convient de privilégier tout mode d</w:t>
      </w:r>
      <w:r w:rsidRPr="00A85C28" w:rsidR="00A85C28">
        <w:t>’</w:t>
      </w:r>
      <w:r w:rsidRPr="00A85C28">
        <w:t>établissement de la filiation permettant au juge de contrôler notamment la validité de l</w:t>
      </w:r>
      <w:r w:rsidRPr="00A85C28" w:rsidR="00A85C28">
        <w:t>’</w:t>
      </w:r>
      <w:r w:rsidRPr="00A85C28">
        <w:t>acte ou du jugement d</w:t>
      </w:r>
      <w:r w:rsidRPr="00A85C28" w:rsidR="00A85C28">
        <w:t>’</w:t>
      </w:r>
      <w:r w:rsidRPr="00A85C28">
        <w:t>état civil étranger au regard de la loi du lieu de son établissement, et d</w:t>
      </w:r>
      <w:r w:rsidRPr="00A85C28" w:rsidR="00A85C28">
        <w:t>’</w:t>
      </w:r>
      <w:r w:rsidRPr="00A85C28">
        <w:t xml:space="preserve">examiner les circonstances particulières dans </w:t>
      </w:r>
      <w:r w:rsidRPr="00A85C28">
        <w:t>lesquelles se trouve l</w:t>
      </w:r>
      <w:r w:rsidRPr="00A85C28" w:rsidR="00A85C28">
        <w:t>’</w:t>
      </w:r>
      <w:r w:rsidRPr="00A85C28">
        <w:t>enfant ». Elle a toutefois jugé qu</w:t>
      </w:r>
      <w:r w:rsidRPr="00A85C28" w:rsidR="00A85C28">
        <w:t>’</w:t>
      </w:r>
      <w:r w:rsidRPr="00A85C28">
        <w:t>en l</w:t>
      </w:r>
      <w:r w:rsidRPr="00A85C28" w:rsidR="00A85C28">
        <w:t>’</w:t>
      </w:r>
      <w:r w:rsidRPr="00A85C28">
        <w:t>espèce, s</w:t>
      </w:r>
      <w:r w:rsidRPr="00A85C28" w:rsidR="00A85C28">
        <w:t>’</w:t>
      </w:r>
      <w:r w:rsidRPr="00A85C28">
        <w:t>agissant d</w:t>
      </w:r>
      <w:r w:rsidRPr="00A85C28" w:rsidR="00A85C28">
        <w:t>’</w:t>
      </w:r>
      <w:r w:rsidRPr="00A85C28">
        <w:t>un contentieux perdurant depuis plus de quinze ans, en l</w:t>
      </w:r>
      <w:r w:rsidRPr="00A85C28" w:rsidR="00A85C28">
        <w:t>’</w:t>
      </w:r>
      <w:r w:rsidRPr="00A85C28">
        <w:t>absence d</w:t>
      </w:r>
      <w:r w:rsidRPr="00A85C28" w:rsidR="00A85C28">
        <w:t>’</w:t>
      </w:r>
      <w:r w:rsidRPr="00A85C28">
        <w:t>autre voie permettant de reconnaître la filiation dans des conditions qui ne porteraient pas une atteinte disproportionnée au droit au respect de la vie privée des enfants requérantes, et alors qu</w:t>
      </w:r>
      <w:r w:rsidRPr="00A85C28" w:rsidR="00A85C28">
        <w:t>’</w:t>
      </w:r>
      <w:r w:rsidRPr="00A85C28">
        <w:t>il y avait lieu de mettre fin à cette atteinte, la transcription sur les registres de l</w:t>
      </w:r>
      <w:r w:rsidRPr="00A85C28" w:rsidR="00A85C28">
        <w:t>’</w:t>
      </w:r>
      <w:r w:rsidRPr="00A85C28">
        <w:t>état civil de leurs actes de naissance établis à l</w:t>
      </w:r>
      <w:r w:rsidRPr="00A85C28" w:rsidR="00A85C28">
        <w:t>’</w:t>
      </w:r>
      <w:r w:rsidRPr="00A85C28">
        <w:t>étranger ne saurait être annulée. Elle a en conséquence annulé l</w:t>
      </w:r>
      <w:r w:rsidRPr="00A85C28" w:rsidR="00A85C28">
        <w:t>’</w:t>
      </w:r>
      <w:r w:rsidRPr="00A85C28">
        <w:t>arrêt d</w:t>
      </w:r>
      <w:r w:rsidRPr="00A85C28" w:rsidR="00A85C28">
        <w:t>’</w:t>
      </w:r>
      <w:r w:rsidRPr="00A85C28">
        <w:t>appel, sans renvoi, et rejeté la demande d</w:t>
      </w:r>
      <w:r w:rsidRPr="00A85C28" w:rsidR="00A85C28">
        <w:t>’</w:t>
      </w:r>
      <w:r w:rsidRPr="00A85C28">
        <w:t>annulation de la transcription des actes de naissance étrangers qu</w:t>
      </w:r>
      <w:r w:rsidRPr="00A85C28" w:rsidR="00A85C28">
        <w:t>’</w:t>
      </w:r>
      <w:r w:rsidRPr="00A85C28">
        <w:t>avait formulée le parquet.</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22</w:t>
      </w:r>
      <w:r w:rsidRPr="00A85C28">
        <w:fldChar w:fldCharType="end"/>
      </w:r>
      <w:r w:rsidRPr="00A85C28">
        <w:t>.  Par deux arrêts de cassation du 18 décembre 2019 (pourvois n</w:t>
      </w:r>
      <w:r w:rsidRPr="00A85C28">
        <w:rPr>
          <w:vertAlign w:val="superscript"/>
        </w:rPr>
        <w:t>os</w:t>
      </w:r>
      <w:r w:rsidRPr="00A85C28" w:rsidR="00987D12">
        <w:t> 18</w:t>
      </w:r>
      <w:r w:rsidRPr="00A85C28" w:rsidR="00987D12">
        <w:noBreakHyphen/>
      </w:r>
      <w:r w:rsidRPr="00A85C28">
        <w:t>11815 et 18-12327), relatifs à des refus de transcription des actes de naissance étrangers d</w:t>
      </w:r>
      <w:r w:rsidRPr="00A85C28" w:rsidR="00A85C28">
        <w:t>’</w:t>
      </w:r>
      <w:r w:rsidRPr="00A85C28">
        <w:t>enfants nés d</w:t>
      </w:r>
      <w:r w:rsidRPr="00A85C28" w:rsidR="00A85C28">
        <w:t>’</w:t>
      </w:r>
      <w:r w:rsidRPr="00A85C28">
        <w:t>une gestation pour autrui pour autant qu</w:t>
      </w:r>
      <w:r w:rsidRPr="00A85C28" w:rsidR="00A85C28">
        <w:t>’</w:t>
      </w:r>
      <w:r w:rsidRPr="00A85C28">
        <w:t>ils désignaient comme « parent » le conjoint du père, la première chambre civile a jugé ce qui suit :</w:t>
      </w:r>
    </w:p>
    <w:p w:rsidRPr="00A85C28" w:rsidR="004D2843" w:rsidP="00A85C28">
      <w:pPr>
        <w:pStyle w:val="ECHRParaQuote"/>
      </w:pPr>
      <w:r w:rsidRPr="00A85C28">
        <w:t>« (...) 8. Il se déduit [de l</w:t>
      </w:r>
      <w:r w:rsidRPr="00A85C28" w:rsidR="00A85C28">
        <w:t>’</w:t>
      </w:r>
      <w:r w:rsidRPr="00A85C28">
        <w:t>article 8 de la Convention] tel qu</w:t>
      </w:r>
      <w:r w:rsidRPr="00A85C28" w:rsidR="00A85C28">
        <w:t>’</w:t>
      </w:r>
      <w:r w:rsidRPr="00A85C28">
        <w:t>interprété par la Cour (...) (avis consultatif du 10 avril 2019), qu</w:t>
      </w:r>
      <w:r w:rsidRPr="00A85C28" w:rsidR="00A85C28">
        <w:t>’</w:t>
      </w:r>
      <w:r w:rsidRPr="00A85C28">
        <w:t>au regard de l</w:t>
      </w:r>
      <w:r w:rsidRPr="00A85C28" w:rsidR="00A85C28">
        <w:t>’</w:t>
      </w:r>
      <w:r w:rsidRPr="00A85C28">
        <w:t>intérêt supérieur de l</w:t>
      </w:r>
      <w:r w:rsidRPr="00A85C28" w:rsidR="00A85C28">
        <w:t>’</w:t>
      </w:r>
      <w:r w:rsidRPr="00A85C28">
        <w:t>enfant, la circonstance que la naissance d</w:t>
      </w:r>
      <w:r w:rsidRPr="00A85C28" w:rsidR="00A85C28">
        <w:t>’</w:t>
      </w:r>
      <w:r w:rsidRPr="00A85C28">
        <w:t>un enfant à l</w:t>
      </w:r>
      <w:r w:rsidRPr="00A85C28" w:rsidR="00A85C28">
        <w:t>’</w:t>
      </w:r>
      <w:r w:rsidRPr="00A85C28">
        <w:t>étranger ait pour origine une convention de gestation pour autrui, prohibée par les articles 16-7 et 16-9 du code civil, ne peut, à elle seule, sans porter une atteinte disproportionnée au droit au respect de la vie privée de l</w:t>
      </w:r>
      <w:r w:rsidRPr="00A85C28" w:rsidR="00A85C28">
        <w:t>’</w:t>
      </w:r>
      <w:r w:rsidRPr="00A85C28">
        <w:t>enfant, faire obstacle à la transcription de l</w:t>
      </w:r>
      <w:r w:rsidRPr="00A85C28" w:rsidR="00A85C28">
        <w:t>’</w:t>
      </w:r>
      <w:r w:rsidRPr="00A85C28">
        <w:t>acte de naissance établi par les autorités de l</w:t>
      </w:r>
      <w:r w:rsidRPr="00A85C28" w:rsidR="00A85C28">
        <w:t>’</w:t>
      </w:r>
      <w:r w:rsidRPr="00A85C28">
        <w:t>État étranger, en ce qui concerne le père biologique de l</w:t>
      </w:r>
      <w:r w:rsidRPr="00A85C28" w:rsidR="00A85C28">
        <w:t>’</w:t>
      </w:r>
      <w:r w:rsidRPr="00A85C28">
        <w:t>enfant, ni à la reconnaissance du lien de filiation à l</w:t>
      </w:r>
      <w:r w:rsidRPr="00A85C28" w:rsidR="00A85C28">
        <w:t>’</w:t>
      </w:r>
      <w:r w:rsidRPr="00A85C28">
        <w:t>égard de la mère d</w:t>
      </w:r>
      <w:r w:rsidRPr="00A85C28" w:rsidR="00A85C28">
        <w:t>’</w:t>
      </w:r>
      <w:r w:rsidRPr="00A85C28">
        <w:t>intention mentionnée dans l</w:t>
      </w:r>
      <w:r w:rsidRPr="00A85C28" w:rsidR="00A85C28">
        <w:t>’</w:t>
      </w:r>
      <w:r w:rsidRPr="00A85C28">
        <w:t>acte étranger, laquelle doit intervenir au plus tard lorsque ce lien entre l</w:t>
      </w:r>
      <w:r w:rsidRPr="00A85C28" w:rsidR="00A85C28">
        <w:t>’</w:t>
      </w:r>
      <w:r w:rsidRPr="00A85C28">
        <w:t>enfant et la mère d</w:t>
      </w:r>
      <w:r w:rsidRPr="00A85C28" w:rsidR="00A85C28">
        <w:t>’</w:t>
      </w:r>
      <w:r w:rsidRPr="00A85C28">
        <w:t>intention s</w:t>
      </w:r>
      <w:r w:rsidRPr="00A85C28" w:rsidR="00A85C28">
        <w:t>’</w:t>
      </w:r>
      <w:r w:rsidRPr="00A85C28">
        <w:t>est concrétisé (</w:t>
      </w:r>
      <w:r w:rsidRPr="00A85C28">
        <w:t>Ass</w:t>
      </w:r>
      <w:r w:rsidRPr="00A85C28">
        <w:t xml:space="preserve">. </w:t>
      </w:r>
      <w:r w:rsidRPr="00A85C28">
        <w:t>plén</w:t>
      </w:r>
      <w:r w:rsidRPr="00A85C28">
        <w:t>., 4 octobre 2019, pourvoi n</w:t>
      </w:r>
      <w:r w:rsidRPr="00A85C28">
        <w:rPr>
          <w:vertAlign w:val="superscript"/>
        </w:rPr>
        <w:t>o</w:t>
      </w:r>
      <w:r w:rsidRPr="00A85C28">
        <w:t xml:space="preserve"> 10-19.053, publié, paragraphe 6).</w:t>
      </w:r>
    </w:p>
    <w:p w:rsidRPr="00A85C28" w:rsidR="004D2843" w:rsidP="00A85C28">
      <w:pPr>
        <w:pStyle w:val="ECHRParaQuote"/>
      </w:pPr>
      <w:r w:rsidRPr="00A85C28">
        <w:t>9. Le raisonnement n</w:t>
      </w:r>
      <w:r w:rsidRPr="00A85C28" w:rsidR="00A85C28">
        <w:t>’</w:t>
      </w:r>
      <w:r w:rsidRPr="00A85C28">
        <w:t>a pas lieu d</w:t>
      </w:r>
      <w:r w:rsidRPr="00A85C28" w:rsidR="00A85C28">
        <w:t>’</w:t>
      </w:r>
      <w:r w:rsidRPr="00A85C28">
        <w:t>être différent lorsque c</w:t>
      </w:r>
      <w:r w:rsidRPr="00A85C28" w:rsidR="00A85C28">
        <w:t>’</w:t>
      </w:r>
      <w:r w:rsidRPr="00A85C28">
        <w:t>est un homme qui est désigné dans l</w:t>
      </w:r>
      <w:r w:rsidRPr="00A85C28" w:rsidR="00A85C28">
        <w:t>’</w:t>
      </w:r>
      <w:r w:rsidRPr="00A85C28">
        <w:t>acte de naissance étranger comme « parent d</w:t>
      </w:r>
      <w:r w:rsidRPr="00A85C28" w:rsidR="00A85C28">
        <w:t>’</w:t>
      </w:r>
      <w:r w:rsidRPr="00A85C28">
        <w:t>intention ».</w:t>
      </w:r>
    </w:p>
    <w:p w:rsidRPr="00A85C28" w:rsidR="004D2843" w:rsidP="00A85C28">
      <w:pPr>
        <w:pStyle w:val="ECHRParaQuote"/>
      </w:pPr>
      <w:r w:rsidRPr="00A85C28">
        <w:t xml:space="preserve">10. La jurisprudence de la Cour de cassation (1re </w:t>
      </w:r>
      <w:r w:rsidRPr="00A85C28">
        <w:t>Civ</w:t>
      </w:r>
      <w:r w:rsidRPr="00A85C28">
        <w:t>., 5 juillet 2017, pourvois n</w:t>
      </w:r>
      <w:r w:rsidRPr="00A85C28">
        <w:rPr>
          <w:vertAlign w:val="superscript"/>
        </w:rPr>
        <w:t>o</w:t>
      </w:r>
      <w:r w:rsidRPr="00A85C28">
        <w:t> 15-28.597, Bull. 2017, I, n</w:t>
      </w:r>
      <w:r w:rsidRPr="00A85C28">
        <w:rPr>
          <w:vertAlign w:val="superscript"/>
        </w:rPr>
        <w:t>o</w:t>
      </w:r>
      <w:r w:rsidRPr="00A85C28">
        <w:t xml:space="preserve"> 163, n</w:t>
      </w:r>
      <w:r w:rsidRPr="00A85C28">
        <w:rPr>
          <w:vertAlign w:val="superscript"/>
        </w:rPr>
        <w:t>o</w:t>
      </w:r>
      <w:r w:rsidRPr="00A85C28">
        <w:t xml:space="preserve"> 16-16.901 et 16-50.025, Bull. 2017, I, n</w:t>
      </w:r>
      <w:r w:rsidRPr="00A85C28">
        <w:rPr>
          <w:vertAlign w:val="superscript"/>
        </w:rPr>
        <w:t>o</w:t>
      </w:r>
      <w:r w:rsidRPr="00A85C28">
        <w:t xml:space="preserve"> 164 et n</w:t>
      </w:r>
      <w:r w:rsidRPr="00A85C28">
        <w:rPr>
          <w:vertAlign w:val="superscript"/>
        </w:rPr>
        <w:t>o</w:t>
      </w:r>
      <w:r w:rsidRPr="00A85C28">
        <w:t xml:space="preserve"> 16-16.455, Bull. 2017, I, n</w:t>
      </w:r>
      <w:r w:rsidRPr="00A85C28">
        <w:rPr>
          <w:vertAlign w:val="superscript"/>
        </w:rPr>
        <w:t>o</w:t>
      </w:r>
      <w:r w:rsidRPr="00A85C28">
        <w:t> 165) qui, en présence d</w:t>
      </w:r>
      <w:r w:rsidRPr="00A85C28" w:rsidR="00A85C28">
        <w:t>’</w:t>
      </w:r>
      <w:r w:rsidRPr="00A85C28">
        <w:t>un vide juridique et dans une recherche d</w:t>
      </w:r>
      <w:r w:rsidRPr="00A85C28" w:rsidR="00A85C28">
        <w:t>’</w:t>
      </w:r>
      <w:r w:rsidRPr="00A85C28">
        <w:t>équilibre entre l</w:t>
      </w:r>
      <w:r w:rsidRPr="00A85C28" w:rsidR="00A85C28">
        <w:t>’</w:t>
      </w:r>
      <w:r w:rsidRPr="00A85C28">
        <w:t>interdit d</w:t>
      </w:r>
      <w:r w:rsidRPr="00A85C28" w:rsidR="00A85C28">
        <w:t>’</w:t>
      </w:r>
      <w:r w:rsidRPr="00A85C28">
        <w:t>ordre public de la gestation pour autrui et l</w:t>
      </w:r>
      <w:r w:rsidRPr="00A85C28" w:rsidR="00A85C28">
        <w:t>’</w:t>
      </w:r>
      <w:r w:rsidRPr="00A85C28">
        <w:t>intérêt supérieur de l</w:t>
      </w:r>
      <w:r w:rsidRPr="00A85C28" w:rsidR="00A85C28">
        <w:t>’</w:t>
      </w:r>
      <w:r w:rsidRPr="00A85C28">
        <w:t>enfant, a refusé, au visa de l</w:t>
      </w:r>
      <w:r w:rsidRPr="00A85C28" w:rsidR="00A85C28">
        <w:t>’</w:t>
      </w:r>
      <w:r w:rsidRPr="00A85C28">
        <w:t>article 47 du code civil, la transcription totale des actes de naissance étrangers des enfants en considération, notamment, de l</w:t>
      </w:r>
      <w:r w:rsidRPr="00A85C28" w:rsidR="00A85C28">
        <w:t>’</w:t>
      </w:r>
      <w:r w:rsidRPr="00A85C28">
        <w:t>absence de disproportion de l</w:t>
      </w:r>
      <w:r w:rsidRPr="00A85C28" w:rsidR="00A85C28">
        <w:t>’</w:t>
      </w:r>
      <w:r w:rsidRPr="00A85C28">
        <w:t>atteinte portée au droit au respect de leur vie privée dès lors que la voie de l</w:t>
      </w:r>
      <w:r w:rsidRPr="00A85C28" w:rsidR="00A85C28">
        <w:t>’</w:t>
      </w:r>
      <w:r w:rsidRPr="00A85C28">
        <w:t>adoption était ouverte à l</w:t>
      </w:r>
      <w:r w:rsidRPr="00A85C28" w:rsidR="00A85C28">
        <w:t>’</w:t>
      </w:r>
      <w:r w:rsidRPr="00A85C28">
        <w:t>époux ou l</w:t>
      </w:r>
      <w:r w:rsidRPr="00A85C28" w:rsidR="00A85C28">
        <w:t>’</w:t>
      </w:r>
      <w:r w:rsidRPr="00A85C28">
        <w:t>épouse du père biologique, ne peut trouver application lorsque l</w:t>
      </w:r>
      <w:r w:rsidRPr="00A85C28" w:rsidR="00A85C28">
        <w:t>’</w:t>
      </w:r>
      <w:r w:rsidRPr="00A85C28">
        <w:t>introduction d</w:t>
      </w:r>
      <w:r w:rsidRPr="00A85C28" w:rsidR="00A85C28">
        <w:t>’</w:t>
      </w:r>
      <w:r w:rsidRPr="00A85C28">
        <w:t>une procédure d</w:t>
      </w:r>
      <w:r w:rsidRPr="00A85C28" w:rsidR="00A85C28">
        <w:t>’</w:t>
      </w:r>
      <w:r w:rsidRPr="00A85C28">
        <w:t>adoption s</w:t>
      </w:r>
      <w:r w:rsidRPr="00A85C28" w:rsidR="00A85C28">
        <w:t>’</w:t>
      </w:r>
      <w:r w:rsidRPr="00A85C28">
        <w:t>avère impossible ou inadaptée à la situation des intéressés.</w:t>
      </w:r>
    </w:p>
    <w:p w:rsidRPr="00A85C28" w:rsidR="004D2843" w:rsidP="00A85C28">
      <w:pPr>
        <w:pStyle w:val="ECHRParaQuote"/>
      </w:pPr>
      <w:r w:rsidRPr="00A85C28">
        <w:t>11. Ainsi, dans l</w:t>
      </w:r>
      <w:r w:rsidRPr="00A85C28" w:rsidR="00A85C28">
        <w:t>’</w:t>
      </w:r>
      <w:r w:rsidRPr="00A85C28">
        <w:t>arrêt précité [du 4 octobre 2019], l</w:t>
      </w:r>
      <w:r w:rsidRPr="00A85C28" w:rsidR="00A85C28">
        <w:t>’</w:t>
      </w:r>
      <w:r w:rsidRPr="00A85C28">
        <w:t>assemblée plénière de la Cour de cassation a admis, au regard des impératifs susvisés et des circonstances de l</w:t>
      </w:r>
      <w:r w:rsidRPr="00A85C28" w:rsidR="00A85C28">
        <w:t>’</w:t>
      </w:r>
      <w:r w:rsidRPr="00A85C28">
        <w:t>espèce, la transcription d</w:t>
      </w:r>
      <w:r w:rsidRPr="00A85C28" w:rsidR="00A85C28">
        <w:t>’</w:t>
      </w:r>
      <w:r w:rsidRPr="00A85C28">
        <w:t>actes de naissance étrangers d</w:t>
      </w:r>
      <w:r w:rsidRPr="00A85C28" w:rsidR="00A85C28">
        <w:t>’</w:t>
      </w:r>
      <w:r w:rsidRPr="00A85C28">
        <w:t>enfants nées à l</w:t>
      </w:r>
      <w:r w:rsidRPr="00A85C28" w:rsidR="00A85C28">
        <w:t>’</w:t>
      </w:r>
      <w:r w:rsidRPr="00A85C28">
        <w:t>issue d</w:t>
      </w:r>
      <w:r w:rsidRPr="00A85C28" w:rsidR="00A85C28">
        <w:t>’</w:t>
      </w:r>
      <w:r w:rsidRPr="00A85C28">
        <w:t>une convention de gestation pour autrui, qui désignaient le père biologique et la mère d</w:t>
      </w:r>
      <w:r w:rsidRPr="00A85C28" w:rsidR="00A85C28">
        <w:t>’</w:t>
      </w:r>
      <w:r w:rsidRPr="00A85C28">
        <w:t>intention.</w:t>
      </w:r>
    </w:p>
    <w:p w:rsidRPr="00A85C28" w:rsidR="004D2843" w:rsidP="00A85C28">
      <w:pPr>
        <w:pStyle w:val="ECHRParaQuote"/>
      </w:pPr>
      <w:r w:rsidRPr="00A85C28">
        <w:t>12. Au regard des mêmes impératifs et afin d</w:t>
      </w:r>
      <w:r w:rsidRPr="00A85C28" w:rsidR="00A85C28">
        <w:t>’</w:t>
      </w:r>
      <w:r w:rsidRPr="00A85C28">
        <w:t>unifier le traitement des situations, il convient de faire évoluer la jurisprudence en retenant qu</w:t>
      </w:r>
      <w:r w:rsidRPr="00A85C28" w:rsidR="00A85C28">
        <w:t>’</w:t>
      </w:r>
      <w:r w:rsidRPr="00A85C28">
        <w:t>en présence d</w:t>
      </w:r>
      <w:r w:rsidRPr="00A85C28" w:rsidR="00A85C28">
        <w:t>’</w:t>
      </w:r>
      <w:r w:rsidRPr="00A85C28">
        <w:t>une action aux fins de transcription de l</w:t>
      </w:r>
      <w:r w:rsidRPr="00A85C28" w:rsidR="00A85C28">
        <w:t>’</w:t>
      </w:r>
      <w:r w:rsidRPr="00A85C28">
        <w:t>acte de naissance étranger de l</w:t>
      </w:r>
      <w:r w:rsidRPr="00A85C28" w:rsidR="00A85C28">
        <w:t>’</w:t>
      </w:r>
      <w:r w:rsidRPr="00A85C28">
        <w:t>enfant, qui n</w:t>
      </w:r>
      <w:r w:rsidRPr="00A85C28" w:rsidR="00A85C28">
        <w:t>’</w:t>
      </w:r>
      <w:r w:rsidRPr="00A85C28">
        <w:t xml:space="preserve">est pas une action en reconnaissance ou en établissement de la filiation, ni la circonstance que </w:t>
      </w:r>
      <w:r w:rsidRPr="00A85C28">
        <w:t>l</w:t>
      </w:r>
      <w:r w:rsidRPr="00A85C28" w:rsidR="00A85C28">
        <w:t>’</w:t>
      </w:r>
      <w:r w:rsidRPr="00A85C28">
        <w:t>enfant soit né à l</w:t>
      </w:r>
      <w:r w:rsidRPr="00A85C28" w:rsidR="00A85C28">
        <w:t>’</w:t>
      </w:r>
      <w:r w:rsidRPr="00A85C28">
        <w:t>issue d</w:t>
      </w:r>
      <w:r w:rsidRPr="00A85C28" w:rsidR="00A85C28">
        <w:t>’</w:t>
      </w:r>
      <w:r w:rsidRPr="00A85C28">
        <w:t>une convention de gestation pour autrui ni celle que cet acte désigne le père biologique de l</w:t>
      </w:r>
      <w:r w:rsidRPr="00A85C28" w:rsidR="00A85C28">
        <w:t>’</w:t>
      </w:r>
      <w:r w:rsidRPr="00A85C28">
        <w:t>enfant et un deuxième homme comme père ne constituent des obstacles à la transcription de l</w:t>
      </w:r>
      <w:r w:rsidRPr="00A85C28" w:rsidR="00A85C28">
        <w:t>’</w:t>
      </w:r>
      <w:r w:rsidRPr="00A85C28">
        <w:t>acte sur les registres de l</w:t>
      </w:r>
      <w:r w:rsidRPr="00A85C28" w:rsidR="00A85C28">
        <w:t>’</w:t>
      </w:r>
      <w:r w:rsidRPr="00A85C28">
        <w:t>état civil, lorsque celui-ci est probant au sens de l</w:t>
      </w:r>
      <w:r w:rsidRPr="00A85C28" w:rsidR="00A85C28">
        <w:t>’</w:t>
      </w:r>
      <w:r w:rsidRPr="00A85C28">
        <w:t>article 47 du code civil.</w:t>
      </w:r>
    </w:p>
    <w:p w:rsidRPr="00A85C28" w:rsidR="004D2843" w:rsidP="00A85C28">
      <w:pPr>
        <w:pStyle w:val="ECHRParaQuote"/>
      </w:pPr>
      <w:r w:rsidRPr="00A85C28">
        <w:t>13. Pour ordonner la transcription partielle de l</w:t>
      </w:r>
      <w:r w:rsidRPr="00A85C28" w:rsidR="00A85C28">
        <w:t>’</w:t>
      </w:r>
      <w:r w:rsidRPr="00A85C28">
        <w:t>acte de naissance [du/des enfant/s] et rejeter la demande en ce que cet acte désigne [le conjoint du père] en qualité de parent, l</w:t>
      </w:r>
      <w:r w:rsidRPr="00A85C28" w:rsidR="00A85C28">
        <w:t>’</w:t>
      </w:r>
      <w:r w:rsidRPr="00A85C28">
        <w:t>arrêt [d</w:t>
      </w:r>
      <w:r w:rsidRPr="00A85C28" w:rsidR="00A85C28">
        <w:t>’</w:t>
      </w:r>
      <w:r w:rsidRPr="00A85C28">
        <w:t>appel] retient que cet acte n</w:t>
      </w:r>
      <w:r w:rsidRPr="00A85C28" w:rsidR="00A85C28">
        <w:t>’</w:t>
      </w:r>
      <w:r w:rsidRPr="00A85C28">
        <w:t>est pas conforme à la réalité et que la transcription partielle ne porte pas une atteinte disproportionnée au droit au respect de la vie privée de l</w:t>
      </w:r>
      <w:r w:rsidRPr="00A85C28" w:rsidR="00A85C28">
        <w:t>’</w:t>
      </w:r>
      <w:r w:rsidRPr="00A85C28">
        <w:t>enfant dès lors que l</w:t>
      </w:r>
      <w:r w:rsidRPr="00A85C28" w:rsidR="00A85C28">
        <w:t>’</w:t>
      </w:r>
      <w:r w:rsidRPr="00A85C28">
        <w:t>adoption permet, si les conditions légales en sont réunies et si elle est conforme à l</w:t>
      </w:r>
      <w:r w:rsidRPr="00A85C28" w:rsidR="00A85C28">
        <w:t>’</w:t>
      </w:r>
      <w:r w:rsidRPr="00A85C28">
        <w:t>intérêt de l</w:t>
      </w:r>
      <w:r w:rsidRPr="00A85C28" w:rsidR="00A85C28">
        <w:t>’</w:t>
      </w:r>
      <w:r w:rsidRPr="00A85C28">
        <w:t>enfant, de créer un lien de filiation entre celui-ci et l</w:t>
      </w:r>
      <w:r w:rsidRPr="00A85C28" w:rsidR="00A85C28">
        <w:t>’</w:t>
      </w:r>
      <w:r w:rsidRPr="00A85C28">
        <w:t>époux [ou le compagnon] de son père.</w:t>
      </w:r>
    </w:p>
    <w:p w:rsidRPr="00A85C28" w:rsidR="004D2843" w:rsidP="00A85C28">
      <w:pPr>
        <w:pStyle w:val="ECHRParaQuote"/>
      </w:pPr>
      <w:r w:rsidRPr="00A85C28">
        <w:t>14. En statuant ainsi, alors que, saisie d</w:t>
      </w:r>
      <w:r w:rsidRPr="00A85C28" w:rsidR="00A85C28">
        <w:t>’</w:t>
      </w:r>
      <w:r w:rsidRPr="00A85C28">
        <w:t>une demande de transcription d</w:t>
      </w:r>
      <w:r w:rsidRPr="00A85C28" w:rsidR="00A85C28">
        <w:t>’</w:t>
      </w:r>
      <w:r w:rsidRPr="00A85C28">
        <w:t>un acte de l</w:t>
      </w:r>
      <w:r w:rsidRPr="00A85C28" w:rsidR="00A85C28">
        <w:t>’</w:t>
      </w:r>
      <w:r w:rsidRPr="00A85C28">
        <w:t>état civil étranger, elle constatait que celui-ci était régulier, exempt de fraude et avait été établi conformément au droit [étranger applicable], la cour d</w:t>
      </w:r>
      <w:r w:rsidRPr="00A85C28" w:rsidR="00A85C28">
        <w:t>’</w:t>
      </w:r>
      <w:r w:rsidRPr="00A85C28">
        <w:t>appel a violé [l</w:t>
      </w:r>
      <w:r w:rsidRPr="00A85C28" w:rsidR="00A85C28">
        <w:t>’</w:t>
      </w:r>
      <w:r w:rsidRPr="00A85C28">
        <w:t>article 8 de la Convention notamment] (...) ».</w:t>
      </w:r>
      <w:bookmarkEnd w:id="5"/>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23</w:t>
      </w:r>
      <w:r w:rsidRPr="00A85C28">
        <w:fldChar w:fldCharType="end"/>
      </w:r>
      <w:r w:rsidRPr="00A85C28">
        <w:t>.  Il en résulte que, sauf s</w:t>
      </w:r>
      <w:r w:rsidRPr="00A85C28" w:rsidR="00A85C28">
        <w:t>’</w:t>
      </w:r>
      <w:r w:rsidRPr="00A85C28">
        <w:t>ils sont irréguliers, falsifiés ou que les faits qui y sont déclarés ne correspondent pas à la réalité, les actes de naissance d</w:t>
      </w:r>
      <w:r w:rsidRPr="00A85C28" w:rsidR="00A85C28">
        <w:t>’</w:t>
      </w:r>
      <w:r w:rsidRPr="00A85C28">
        <w:t>enfants nés à l</w:t>
      </w:r>
      <w:r w:rsidRPr="00A85C28" w:rsidR="00A85C28">
        <w:t>’</w:t>
      </w:r>
      <w:r w:rsidRPr="00A85C28">
        <w:t>étranger d</w:t>
      </w:r>
      <w:r w:rsidRPr="00A85C28" w:rsidR="00A85C28">
        <w:t>’</w:t>
      </w:r>
      <w:r w:rsidRPr="00A85C28">
        <w:t>une gestation pour autrui, faits en pays étranger et rédigés dans les formes usitées dans ce pays, peuvent désormais être transcrits sur les registres de l</w:t>
      </w:r>
      <w:r w:rsidRPr="00A85C28" w:rsidR="00A85C28">
        <w:t>’</w:t>
      </w:r>
      <w:r w:rsidRPr="00A85C28">
        <w:t>état civil français tant en ce qu</w:t>
      </w:r>
      <w:r w:rsidRPr="00A85C28" w:rsidR="00A85C28">
        <w:t>’</w:t>
      </w:r>
      <w:r w:rsidRPr="00A85C28">
        <w:t>ils concernent le père d</w:t>
      </w:r>
      <w:r w:rsidRPr="00A85C28" w:rsidR="00A85C28">
        <w:t>’</w:t>
      </w:r>
      <w:r w:rsidRPr="00A85C28">
        <w:t>intention, père biologique, qu</w:t>
      </w:r>
      <w:r w:rsidRPr="00A85C28" w:rsidR="00A85C28">
        <w:t>’</w:t>
      </w:r>
      <w:r w:rsidRPr="00A85C28">
        <w:t>en ce qu</w:t>
      </w:r>
      <w:r w:rsidRPr="00A85C28" w:rsidR="00A85C28">
        <w:t>’</w:t>
      </w:r>
      <w:r w:rsidRPr="00A85C28">
        <w:t>ils concernent le conjoint ou la conjointe de celui-ci.</w:t>
      </w:r>
    </w:p>
    <w:p w:rsidRPr="00A85C28" w:rsidR="004D2843" w:rsidP="00A85C28">
      <w:pPr>
        <w:pStyle w:val="ECHRHeading1"/>
        <w:tabs>
          <w:tab w:val="clear" w:pos="357"/>
        </w:tabs>
        <w:spacing w:before="100" w:beforeAutospacing="1"/>
        <w:ind w:left="0" w:firstLine="0"/>
        <w:jc w:val="left"/>
        <w:outlineLvl w:val="1"/>
        <w:rPr>
          <w:rFonts w:eastAsiaTheme="minorEastAsia"/>
        </w:rPr>
      </w:pPr>
      <w:r w:rsidRPr="00A85C28">
        <w:rPr>
          <w:rFonts w:eastAsiaTheme="minorEastAsia"/>
        </w:rPr>
        <w:t xml:space="preserve">IV. </w:t>
      </w:r>
      <w:r w:rsidRPr="00A85C28">
        <w:t>L</w:t>
      </w:r>
      <w:r w:rsidRPr="00A85C28" w:rsidR="00A85C28">
        <w:t>’</w:t>
      </w:r>
      <w:r w:rsidRPr="00A85C28">
        <w:t>ADOPTION PL</w:t>
      </w:r>
      <w:r w:rsidRPr="00A85C28">
        <w:rPr>
          <w:rFonts w:cstheme="majorHAnsi"/>
        </w:rPr>
        <w:t>É</w:t>
      </w:r>
      <w:r w:rsidRPr="00A85C28">
        <w:t>NI</w:t>
      </w:r>
      <w:r w:rsidRPr="00A85C28">
        <w:rPr>
          <w:rFonts w:cstheme="majorHAnsi"/>
        </w:rPr>
        <w:t>È</w:t>
      </w:r>
      <w:r w:rsidRPr="00A85C28">
        <w:t>RE DE L</w:t>
      </w:r>
      <w:r w:rsidRPr="00A85C28" w:rsidR="00A85C28">
        <w:t>’</w:t>
      </w:r>
      <w:r w:rsidRPr="00A85C28">
        <w:t>ENFANT DU CONJOINT</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24</w:t>
      </w:r>
      <w:r w:rsidRPr="00A85C28">
        <w:fldChar w:fldCharType="end"/>
      </w:r>
      <w:r w:rsidRPr="00A85C28">
        <w:t>.  L</w:t>
      </w:r>
      <w:r w:rsidRPr="00A85C28" w:rsidR="00A85C28">
        <w:t>’</w:t>
      </w:r>
      <w:r w:rsidRPr="00A85C28">
        <w:t>adoption plénière de l</w:t>
      </w:r>
      <w:r w:rsidRPr="00A85C28" w:rsidR="00A85C28">
        <w:t>’</w:t>
      </w:r>
      <w:r w:rsidRPr="00A85C28">
        <w:t>enfant du conjoint est permise lorsque l</w:t>
      </w:r>
      <w:r w:rsidRPr="00A85C28" w:rsidR="00A85C28">
        <w:t>’</w:t>
      </w:r>
      <w:r w:rsidRPr="00A85C28">
        <w:t>enfant n</w:t>
      </w:r>
      <w:r w:rsidRPr="00A85C28" w:rsidR="00A85C28">
        <w:t>’</w:t>
      </w:r>
      <w:r w:rsidRPr="00A85C28">
        <w:t>a de filiation légalement établie qu</w:t>
      </w:r>
      <w:r w:rsidRPr="00A85C28" w:rsidR="00A85C28">
        <w:t>’</w:t>
      </w:r>
      <w:r w:rsidRPr="00A85C28">
        <w:t>à l</w:t>
      </w:r>
      <w:r w:rsidRPr="00A85C28" w:rsidR="00A85C28">
        <w:t>’</w:t>
      </w:r>
      <w:r w:rsidRPr="00A85C28">
        <w:t>égard de ce conjoint (article 345-1 1</w:t>
      </w:r>
      <w:r w:rsidRPr="00A85C28">
        <w:rPr>
          <w:vertAlign w:val="superscript"/>
        </w:rPr>
        <w:t>o</w:t>
      </w:r>
      <w:r w:rsidRPr="00A85C28">
        <w:t xml:space="preserve"> du code civil).</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25</w:t>
      </w:r>
      <w:r w:rsidRPr="00A85C28">
        <w:fldChar w:fldCharType="end"/>
      </w:r>
      <w:r w:rsidRPr="00A85C28">
        <w:t>.  Les articles 353, 356, 358 et 359 du code civil précisent ce qui suit :</w:t>
      </w:r>
    </w:p>
    <w:p w:rsidRPr="00A85C28" w:rsidR="004D2843" w:rsidP="00A85C28">
      <w:pPr>
        <w:pStyle w:val="ECHRTitleCentre3"/>
      </w:pPr>
      <w:r w:rsidRPr="00A85C28">
        <w:t>Article 353</w:t>
      </w:r>
    </w:p>
    <w:p w:rsidRPr="00A85C28" w:rsidR="004D2843" w:rsidP="00A85C28">
      <w:pPr>
        <w:pStyle w:val="ECHRParaQuote"/>
      </w:pPr>
      <w:r w:rsidRPr="00A85C28">
        <w:t>« L</w:t>
      </w:r>
      <w:r w:rsidRPr="00A85C28" w:rsidR="00A85C28">
        <w:t>’</w:t>
      </w:r>
      <w:r w:rsidRPr="00A85C28">
        <w:t>adoption [plénière] est prononcée à la requête de l</w:t>
      </w:r>
      <w:r w:rsidRPr="00A85C28" w:rsidR="00A85C28">
        <w:t>’</w:t>
      </w:r>
      <w:r w:rsidRPr="00A85C28">
        <w:t>adoptant par le tribunal judiciaire qui vérifie dans un délai de six mois à compter de la saisine du tribunal si les conditions de la loi sont remplies et si l</w:t>
      </w:r>
      <w:r w:rsidRPr="00A85C28" w:rsidR="00A85C28">
        <w:t>’</w:t>
      </w:r>
      <w:r w:rsidRPr="00A85C28">
        <w:t>adoption est conforme à l</w:t>
      </w:r>
      <w:r w:rsidRPr="00A85C28" w:rsidR="00A85C28">
        <w:t>’</w:t>
      </w:r>
      <w:r w:rsidRPr="00A85C28">
        <w:t>intérêt de l</w:t>
      </w:r>
      <w:r w:rsidRPr="00A85C28" w:rsidR="00A85C28">
        <w:t>’</w:t>
      </w:r>
      <w:r w:rsidRPr="00A85C28">
        <w:t>enfant.</w:t>
      </w:r>
    </w:p>
    <w:p w:rsidRPr="00A85C28" w:rsidR="004D2843" w:rsidP="00A85C28">
      <w:pPr>
        <w:pStyle w:val="ECHRParaQuote"/>
      </w:pPr>
      <w:r w:rsidRPr="00A85C28">
        <w:t>Le mineur capable de discernement est entendu par le tribunal ou, lorsque son intérêt le commande, par la personne désignée par le tribunal à cet effet. Il doit être entendu selon des modalités adaptées à son âge et à son degré de maturité. Lorsque le mineur refuse d</w:t>
      </w:r>
      <w:r w:rsidRPr="00A85C28" w:rsidR="00A85C28">
        <w:t>’</w:t>
      </w:r>
      <w:r w:rsidRPr="00A85C28">
        <w:t>être entendu, le juge apprécie le bien-fondé de ce refus. Le mineur peut être entendu seul ou avec un avocat ou une personne de son choix. Si ce choix n</w:t>
      </w:r>
      <w:r w:rsidRPr="00A85C28" w:rsidR="00A85C28">
        <w:t>’</w:t>
      </w:r>
      <w:r w:rsidRPr="00A85C28">
        <w:t>apparaît pas conforme à l</w:t>
      </w:r>
      <w:r w:rsidRPr="00A85C28" w:rsidR="00A85C28">
        <w:t>’</w:t>
      </w:r>
      <w:r w:rsidRPr="00A85C28">
        <w:t>intérêt du mineur, le juge peut procéder à la désignation d</w:t>
      </w:r>
      <w:r w:rsidRPr="00A85C28" w:rsidR="00A85C28">
        <w:t>’</w:t>
      </w:r>
      <w:r w:rsidRPr="00A85C28">
        <w:t>une autre personne (...) ».</w:t>
      </w:r>
    </w:p>
    <w:p w:rsidRPr="00A85C28" w:rsidR="004D2843" w:rsidP="00A85C28">
      <w:pPr>
        <w:pStyle w:val="ECHRTitleCentre3"/>
      </w:pPr>
      <w:r w:rsidRPr="00A85C28">
        <w:t>Article 356</w:t>
      </w:r>
    </w:p>
    <w:p w:rsidRPr="00A85C28" w:rsidR="004D2843" w:rsidP="00A85C28">
      <w:pPr>
        <w:pStyle w:val="ECHRParaQuote"/>
      </w:pPr>
      <w:r w:rsidRPr="00A85C28">
        <w:t>« L</w:t>
      </w:r>
      <w:r w:rsidRPr="00A85C28" w:rsidR="00A85C28">
        <w:t>’</w:t>
      </w:r>
      <w:r w:rsidRPr="00A85C28">
        <w:t>adoption [plénière] confère à l</w:t>
      </w:r>
      <w:r w:rsidRPr="00A85C28" w:rsidR="00A85C28">
        <w:t>’</w:t>
      </w:r>
      <w:r w:rsidRPr="00A85C28">
        <w:t>enfant une filiation qui se substitue à sa filiation d</w:t>
      </w:r>
      <w:r w:rsidRPr="00A85C28" w:rsidR="00A85C28">
        <w:t>’</w:t>
      </w:r>
      <w:r w:rsidRPr="00A85C28">
        <w:t>origine : l</w:t>
      </w:r>
      <w:r w:rsidRPr="00A85C28" w:rsidR="00A85C28">
        <w:t>’</w:t>
      </w:r>
      <w:r w:rsidRPr="00A85C28">
        <w:t>adopté cesse d</w:t>
      </w:r>
      <w:r w:rsidRPr="00A85C28" w:rsidR="00A85C28">
        <w:t>’</w:t>
      </w:r>
      <w:r w:rsidRPr="00A85C28">
        <w:t>appartenir à sa famille par le sang, sous réserve des prohibitions au mariage visées aux articles 161 à 164.</w:t>
      </w:r>
    </w:p>
    <w:p w:rsidRPr="00A85C28" w:rsidR="004D2843" w:rsidP="00A85C28">
      <w:pPr>
        <w:pStyle w:val="ECHRParaQuote"/>
      </w:pPr>
      <w:r w:rsidRPr="00A85C28">
        <w:t>Toutefois l</w:t>
      </w:r>
      <w:r w:rsidRPr="00A85C28" w:rsidR="00A85C28">
        <w:t>’</w:t>
      </w:r>
      <w:r w:rsidRPr="00A85C28">
        <w:t>adoption de l</w:t>
      </w:r>
      <w:r w:rsidRPr="00A85C28" w:rsidR="00A85C28">
        <w:t>’</w:t>
      </w:r>
      <w:r w:rsidRPr="00A85C28">
        <w:t>enfant du conjoint laisse subsister sa filiation d</w:t>
      </w:r>
      <w:r w:rsidRPr="00A85C28" w:rsidR="00A85C28">
        <w:t>’</w:t>
      </w:r>
      <w:r w:rsidRPr="00A85C28">
        <w:t>origine à l</w:t>
      </w:r>
      <w:r w:rsidRPr="00A85C28" w:rsidR="00A85C28">
        <w:t>’</w:t>
      </w:r>
      <w:r w:rsidRPr="00A85C28">
        <w:t>égard de ce conjoint et de sa famille. Elle produit, pour le surplus, les effets d</w:t>
      </w:r>
      <w:r w:rsidRPr="00A85C28" w:rsidR="00A85C28">
        <w:t>’</w:t>
      </w:r>
      <w:r w:rsidRPr="00A85C28">
        <w:t>une adoption par deux époux. »</w:t>
      </w:r>
    </w:p>
    <w:p w:rsidRPr="00A85C28" w:rsidR="004D2843" w:rsidP="00A85C28">
      <w:pPr>
        <w:pStyle w:val="ECHRTitleCentre3"/>
      </w:pPr>
      <w:r w:rsidRPr="00A85C28">
        <w:t>Article 358</w:t>
      </w:r>
    </w:p>
    <w:p w:rsidRPr="00A85C28" w:rsidR="004D2843" w:rsidP="00A85C28">
      <w:pPr>
        <w:pStyle w:val="ECHRParaQuote"/>
      </w:pPr>
      <w:r w:rsidRPr="00A85C28">
        <w:t>« L</w:t>
      </w:r>
      <w:r w:rsidRPr="00A85C28" w:rsidR="00A85C28">
        <w:t>’</w:t>
      </w:r>
      <w:r w:rsidRPr="00A85C28">
        <w:t>adopté a, dans la famille de l</w:t>
      </w:r>
      <w:r w:rsidRPr="00A85C28" w:rsidR="00A85C28">
        <w:t>’</w:t>
      </w:r>
      <w:r w:rsidRPr="00A85C28">
        <w:t>adoptant, les mêmes droits et les mêmes obligations qu</w:t>
      </w:r>
      <w:r w:rsidRPr="00A85C28" w:rsidR="00A85C28">
        <w:t>’</w:t>
      </w:r>
      <w:r w:rsidRPr="00A85C28">
        <w:t>un enfant dont la filiation est établie en application du titre VII du présent livre [relatif à la filiation]. »</w:t>
      </w:r>
    </w:p>
    <w:p w:rsidRPr="00A85C28" w:rsidR="004D2843" w:rsidP="00A85C28">
      <w:pPr>
        <w:pStyle w:val="ECHRTitleCentre3"/>
      </w:pPr>
      <w:r w:rsidRPr="00A85C28">
        <w:t>Article 359</w:t>
      </w:r>
    </w:p>
    <w:p w:rsidRPr="00A85C28" w:rsidR="004D2843" w:rsidP="00A85C28">
      <w:pPr>
        <w:pStyle w:val="ECHRParaQuote"/>
      </w:pPr>
      <w:r w:rsidRPr="00A85C28">
        <w:t>« L</w:t>
      </w:r>
      <w:r w:rsidRPr="00A85C28" w:rsidR="00A85C28">
        <w:t>’</w:t>
      </w:r>
      <w:r w:rsidRPr="00A85C28">
        <w:t>adoption [plénière] est irrévocable. »</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26</w:t>
      </w:r>
      <w:r w:rsidRPr="00A85C28">
        <w:fldChar w:fldCharType="end"/>
      </w:r>
      <w:r w:rsidRPr="00A85C28">
        <w:t>.  L</w:t>
      </w:r>
      <w:r w:rsidRPr="00A85C28" w:rsidR="00A85C28">
        <w:t>’</w:t>
      </w:r>
      <w:r w:rsidRPr="00A85C28">
        <w:t>article 1166 du code de procédure civil est ainsi rédigé :</w:t>
      </w:r>
    </w:p>
    <w:p w:rsidRPr="00A85C28" w:rsidR="004D2843" w:rsidP="00A85C28">
      <w:pPr>
        <w:pStyle w:val="ECHRParaQuote"/>
        <w:rPr>
          <w:rFonts w:eastAsia="Times New Roman"/>
          <w:lang w:eastAsia="fr-FR"/>
        </w:rPr>
      </w:pPr>
      <w:r w:rsidRPr="00A85C28">
        <w:rPr>
          <w:rFonts w:eastAsia="Times New Roman"/>
          <w:lang w:eastAsia="fr-FR"/>
        </w:rPr>
        <w:t>« La demande aux fins d</w:t>
      </w:r>
      <w:r w:rsidRPr="00A85C28" w:rsidR="00A85C28">
        <w:rPr>
          <w:rFonts w:eastAsia="Times New Roman"/>
          <w:lang w:eastAsia="fr-FR"/>
        </w:rPr>
        <w:t>’</w:t>
      </w:r>
      <w:r w:rsidRPr="00A85C28">
        <w:rPr>
          <w:rFonts w:eastAsia="Times New Roman"/>
          <w:lang w:eastAsia="fr-FR"/>
        </w:rPr>
        <w:t>adoption est portée devant le tribunal judiciaire.</w:t>
      </w:r>
    </w:p>
    <w:p w:rsidRPr="00A85C28" w:rsidR="004D2843" w:rsidP="00A85C28">
      <w:pPr>
        <w:pStyle w:val="ECHRParaQuote"/>
        <w:rPr>
          <w:rFonts w:eastAsia="Times New Roman"/>
          <w:lang w:eastAsia="fr-FR"/>
        </w:rPr>
      </w:pPr>
      <w:r w:rsidRPr="00A85C28">
        <w:rPr>
          <w:rFonts w:eastAsia="Times New Roman"/>
          <w:lang w:eastAsia="fr-FR"/>
        </w:rPr>
        <w:t>Le tribunal compétent est :</w:t>
      </w:r>
    </w:p>
    <w:p w:rsidRPr="00A85C28" w:rsidR="004D2843" w:rsidP="00A85C28">
      <w:pPr>
        <w:pStyle w:val="ECHRParaQuote"/>
        <w:rPr>
          <w:rFonts w:eastAsia="Times New Roman"/>
          <w:lang w:eastAsia="fr-FR"/>
        </w:rPr>
      </w:pPr>
      <w:r w:rsidRPr="00A85C28">
        <w:rPr>
          <w:rFonts w:eastAsia="Times New Roman"/>
          <w:lang w:eastAsia="fr-FR"/>
        </w:rPr>
        <w:t>- le tribunal du lieu où demeure le requérant lorsque celui-ci demeure en France ;</w:t>
      </w:r>
    </w:p>
    <w:p w:rsidRPr="00A85C28" w:rsidR="004D2843" w:rsidP="00A85C28">
      <w:pPr>
        <w:pStyle w:val="ECHRParaQuote"/>
        <w:rPr>
          <w:rFonts w:eastAsia="Times New Roman"/>
          <w:lang w:eastAsia="fr-FR"/>
        </w:rPr>
      </w:pPr>
      <w:r w:rsidRPr="00A85C28">
        <w:rPr>
          <w:rFonts w:eastAsia="Times New Roman"/>
          <w:lang w:eastAsia="fr-FR"/>
        </w:rPr>
        <w:t>- le tribunal du lieu où demeure la personne dont l</w:t>
      </w:r>
      <w:r w:rsidRPr="00A85C28" w:rsidR="00A85C28">
        <w:rPr>
          <w:rFonts w:eastAsia="Times New Roman"/>
          <w:lang w:eastAsia="fr-FR"/>
        </w:rPr>
        <w:t>’</w:t>
      </w:r>
      <w:r w:rsidRPr="00A85C28">
        <w:rPr>
          <w:rFonts w:eastAsia="Times New Roman"/>
          <w:lang w:eastAsia="fr-FR"/>
        </w:rPr>
        <w:t>adoption est demandée lorsque le requérant demeure à l</w:t>
      </w:r>
      <w:r w:rsidRPr="00A85C28" w:rsidR="00A85C28">
        <w:rPr>
          <w:rFonts w:eastAsia="Times New Roman"/>
          <w:lang w:eastAsia="fr-FR"/>
        </w:rPr>
        <w:t>’</w:t>
      </w:r>
      <w:r w:rsidRPr="00A85C28">
        <w:rPr>
          <w:rFonts w:eastAsia="Times New Roman"/>
          <w:lang w:eastAsia="fr-FR"/>
        </w:rPr>
        <w:t>étranger ;</w:t>
      </w:r>
    </w:p>
    <w:p w:rsidRPr="00A85C28" w:rsidR="004D2843" w:rsidP="00A85C28">
      <w:pPr>
        <w:pStyle w:val="ECHRParaQuote"/>
        <w:rPr>
          <w:rFonts w:eastAsia="Times New Roman"/>
          <w:lang w:eastAsia="fr-FR"/>
        </w:rPr>
      </w:pPr>
      <w:r w:rsidRPr="00A85C28">
        <w:rPr>
          <w:rFonts w:eastAsia="Times New Roman"/>
          <w:lang w:eastAsia="fr-FR"/>
        </w:rPr>
        <w:t>- le tribunal choisi en France par le requérant lorsque celui-ci et la personne dont l</w:t>
      </w:r>
      <w:r w:rsidRPr="00A85C28" w:rsidR="00A85C28">
        <w:rPr>
          <w:rFonts w:eastAsia="Times New Roman"/>
          <w:lang w:eastAsia="fr-FR"/>
        </w:rPr>
        <w:t>’</w:t>
      </w:r>
      <w:r w:rsidRPr="00A85C28">
        <w:rPr>
          <w:rFonts w:eastAsia="Times New Roman"/>
          <w:lang w:eastAsia="fr-FR"/>
        </w:rPr>
        <w:t>adoption est demandée demeurent à l</w:t>
      </w:r>
      <w:r w:rsidRPr="00A85C28" w:rsidR="00A85C28">
        <w:rPr>
          <w:rFonts w:eastAsia="Times New Roman"/>
          <w:lang w:eastAsia="fr-FR"/>
        </w:rPr>
        <w:t>’</w:t>
      </w:r>
      <w:r w:rsidRPr="00A85C28">
        <w:rPr>
          <w:rFonts w:eastAsia="Times New Roman"/>
          <w:lang w:eastAsia="fr-FR"/>
        </w:rPr>
        <w:t>étranger. »</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27</w:t>
      </w:r>
      <w:r w:rsidRPr="00A85C28">
        <w:fldChar w:fldCharType="end"/>
      </w:r>
      <w:r w:rsidRPr="00A85C28">
        <w:t>.  Par une dépêche du 24 juillet 2017, la garde des sceaux, ministre de la justice, a invité le parquet général concerné (le parquet général de la Cour d</w:t>
      </w:r>
      <w:r w:rsidRPr="00A85C28" w:rsidR="00A85C28">
        <w:t>’</w:t>
      </w:r>
      <w:r w:rsidRPr="00A85C28">
        <w:t>appel de Rennes) à veiller, à l</w:t>
      </w:r>
      <w:r w:rsidRPr="00A85C28" w:rsidR="00A85C28">
        <w:t>’</w:t>
      </w:r>
      <w:r w:rsidRPr="00A85C28">
        <w:t>occasion de l</w:t>
      </w:r>
      <w:r w:rsidRPr="00A85C28" w:rsidR="00A85C28">
        <w:t>’</w:t>
      </w:r>
      <w:r w:rsidRPr="00A85C28">
        <w:t>examen de demandes d</w:t>
      </w:r>
      <w:r w:rsidRPr="00A85C28" w:rsidR="00A85C28">
        <w:t>’</w:t>
      </w:r>
      <w:r w:rsidRPr="00A85C28">
        <w:t>adoptions de l</w:t>
      </w:r>
      <w:r w:rsidRPr="00A85C28" w:rsidR="00A85C28">
        <w:t>’</w:t>
      </w:r>
      <w:r w:rsidRPr="00A85C28">
        <w:t>enfant du conjoint formées par des mères d</w:t>
      </w:r>
      <w:r w:rsidRPr="00A85C28" w:rsidR="00A85C28">
        <w:t>’</w:t>
      </w:r>
      <w:r w:rsidRPr="00A85C28">
        <w:t>intention, à ce que le ministère public émette un avis favorable au prononcé de l</w:t>
      </w:r>
      <w:r w:rsidRPr="00A85C28" w:rsidR="00A85C28">
        <w:t>’</w:t>
      </w:r>
      <w:r w:rsidRPr="00A85C28">
        <w:t>adoption, simple ou plénière, dès lors que celle-ci apparaît conforme à l</w:t>
      </w:r>
      <w:r w:rsidRPr="00A85C28" w:rsidR="00A85C28">
        <w:t>’</w:t>
      </w:r>
      <w:r w:rsidRPr="00A85C28">
        <w:t>intérêt de l</w:t>
      </w:r>
      <w:r w:rsidRPr="00A85C28" w:rsidR="00A85C28">
        <w:t>’</w:t>
      </w:r>
      <w:r w:rsidRPr="00A85C28">
        <w:t>enfant et que les conditions en sont remplies.</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28</w:t>
      </w:r>
      <w:r w:rsidRPr="00A85C28">
        <w:fldChar w:fldCharType="end"/>
      </w:r>
      <w:r w:rsidRPr="00A85C28">
        <w:t>.  Dans son arrêt du 5 octobre 2018 portant demande d</w:t>
      </w:r>
      <w:r w:rsidRPr="00A85C28" w:rsidR="00A85C28">
        <w:t>’</w:t>
      </w:r>
      <w:r w:rsidRPr="00A85C28">
        <w:t>avis consultatif à la Cour (n</w:t>
      </w:r>
      <w:r w:rsidRPr="00A85C28">
        <w:rPr>
          <w:vertAlign w:val="superscript"/>
        </w:rPr>
        <w:t>o</w:t>
      </w:r>
      <w:r w:rsidRPr="00A85C28">
        <w:t xml:space="preserve"> P16-2018-001), l</w:t>
      </w:r>
      <w:r w:rsidRPr="00A85C28" w:rsidR="00A85C28">
        <w:t>’</w:t>
      </w:r>
      <w:r w:rsidRPr="00A85C28">
        <w:t>Assemblée plénière de la Cour de cassation a indiqué ce qui suit :</w:t>
      </w:r>
    </w:p>
    <w:p w:rsidRPr="00A85C28" w:rsidR="004D2843" w:rsidP="00A85C28">
      <w:pPr>
        <w:pStyle w:val="ECHRParaQuote"/>
      </w:pPr>
      <w:r w:rsidRPr="00A85C28">
        <w:t>« (...) 6. La loi française facilite l</w:t>
      </w:r>
      <w:r w:rsidRPr="00A85C28" w:rsidR="00A85C28">
        <w:t>’</w:t>
      </w:r>
      <w:r w:rsidRPr="00A85C28">
        <w:t>adoption de l</w:t>
      </w:r>
      <w:r w:rsidRPr="00A85C28" w:rsidR="00A85C28">
        <w:t>’</w:t>
      </w:r>
      <w:r w:rsidRPr="00A85C28">
        <w:t>enfant du conjoint. Ainsi, la condition posée à l</w:t>
      </w:r>
      <w:r w:rsidRPr="00A85C28" w:rsidR="00A85C28">
        <w:t>’</w:t>
      </w:r>
      <w:r w:rsidRPr="00A85C28">
        <w:t>article 343-2 du code civil, qui prévoit que l</w:t>
      </w:r>
      <w:r w:rsidRPr="00A85C28" w:rsidR="00A85C28">
        <w:t>’</w:t>
      </w:r>
      <w:r w:rsidRPr="00A85C28">
        <w:t>adoptant doit être âgé de plus de vingt-huit ans, ne s</w:t>
      </w:r>
      <w:r w:rsidRPr="00A85C28" w:rsidR="00A85C28">
        <w:t>’</w:t>
      </w:r>
      <w:r w:rsidRPr="00A85C28">
        <w:t>applique pas dans ce cas. Il en est de même de la condition exigée par l</w:t>
      </w:r>
      <w:r w:rsidRPr="00A85C28" w:rsidR="00A85C28">
        <w:t>’</w:t>
      </w:r>
      <w:r w:rsidRPr="00A85C28">
        <w:t>article 348-5 concernant l</w:t>
      </w:r>
      <w:r w:rsidRPr="00A85C28" w:rsidR="00A85C28">
        <w:t>’</w:t>
      </w:r>
      <w:r w:rsidRPr="00A85C28">
        <w:t>adoption d</w:t>
      </w:r>
      <w:r w:rsidRPr="00A85C28" w:rsidR="00A85C28">
        <w:t>’</w:t>
      </w:r>
      <w:r w:rsidRPr="00A85C28">
        <w:t>un enfant de moins de deux ans, selon laquelle ce dernier doit avoir été effectivement remis à l</w:t>
      </w:r>
      <w:r w:rsidRPr="00A85C28" w:rsidR="00A85C28">
        <w:t>’</w:t>
      </w:r>
      <w:r w:rsidRPr="00A85C28">
        <w:t>aide sociale à l</w:t>
      </w:r>
      <w:r w:rsidRPr="00A85C28" w:rsidR="00A85C28">
        <w:t>’</w:t>
      </w:r>
      <w:r w:rsidRPr="00A85C28">
        <w:t>enfance. Par ailleurs, la différence d</w:t>
      </w:r>
      <w:r w:rsidRPr="00A85C28" w:rsidR="00A85C28">
        <w:t>’</w:t>
      </w:r>
      <w:r w:rsidRPr="00A85C28">
        <w:t>âge exigée entre l</w:t>
      </w:r>
      <w:r w:rsidRPr="00A85C28" w:rsidR="00A85C28">
        <w:t>’</w:t>
      </w:r>
      <w:r w:rsidRPr="00A85C28">
        <w:t>adoptant et l</w:t>
      </w:r>
      <w:r w:rsidRPr="00A85C28" w:rsidR="00A85C28">
        <w:t>’</w:t>
      </w:r>
      <w:r w:rsidRPr="00A85C28">
        <w:t>adopté est de dix ans, au lieu de quinze dans le régime de droit commun. Le consentement du conjoint est nécessaire à moins qu</w:t>
      </w:r>
      <w:r w:rsidRPr="00A85C28" w:rsidR="00A85C28">
        <w:t>’</w:t>
      </w:r>
      <w:r w:rsidRPr="00A85C28">
        <w:t>il ne soit dans l</w:t>
      </w:r>
      <w:r w:rsidRPr="00A85C28" w:rsidR="00A85C28">
        <w:t>’</w:t>
      </w:r>
      <w:r w:rsidRPr="00A85C28">
        <w:t>impossibilité d</w:t>
      </w:r>
      <w:r w:rsidRPr="00A85C28" w:rsidR="00A85C28">
        <w:t>’</w:t>
      </w:r>
      <w:r w:rsidRPr="00A85C28">
        <w:t>exprimer sa volonté (article 343-1, second alinéa). L</w:t>
      </w:r>
      <w:r w:rsidRPr="00A85C28" w:rsidR="00A85C28">
        <w:t>’</w:t>
      </w:r>
      <w:r w:rsidRPr="00A85C28">
        <w:t>enfant doit également consentir à son adoption s</w:t>
      </w:r>
      <w:r w:rsidRPr="00A85C28" w:rsidR="00A85C28">
        <w:t>’</w:t>
      </w:r>
      <w:r w:rsidRPr="00A85C28">
        <w:t>il a plus de treize ans. L</w:t>
      </w:r>
      <w:r w:rsidRPr="00A85C28" w:rsidR="00A85C28">
        <w:t>’</w:t>
      </w:r>
      <w:r w:rsidRPr="00A85C28">
        <w:t>adoption est prononcée par une juridiction judiciaire « si les conditions de la loi sont remplies et si elle est conforme à l</w:t>
      </w:r>
      <w:r w:rsidRPr="00A85C28" w:rsidR="00A85C28">
        <w:t>’</w:t>
      </w:r>
      <w:r w:rsidRPr="00A85C28">
        <w:t>intérêt de l</w:t>
      </w:r>
      <w:r w:rsidRPr="00A85C28" w:rsidR="00A85C28">
        <w:t>’</w:t>
      </w:r>
      <w:r w:rsidRPr="00A85C28">
        <w:t xml:space="preserve">enfant » (article 353, alinéa </w:t>
      </w:r>
      <w:r w:rsidRPr="00A85C28">
        <w:t>l</w:t>
      </w:r>
      <w:r w:rsidRPr="00A85C28">
        <w:rPr>
          <w:vertAlign w:val="superscript"/>
        </w:rPr>
        <w:t>er</w:t>
      </w:r>
      <w:r w:rsidRPr="00A85C28">
        <w:t>). La loi a également aménagé les effets de cette adoption plénière spécifique. En effet, le second alinéa de l</w:t>
      </w:r>
      <w:r w:rsidRPr="00A85C28" w:rsidR="00A85C28">
        <w:t>’</w:t>
      </w:r>
      <w:r w:rsidRPr="00A85C28">
        <w:t>article 356 du code civil prévoit que l</w:t>
      </w:r>
      <w:r w:rsidRPr="00A85C28" w:rsidR="00A85C28">
        <w:t>’</w:t>
      </w:r>
      <w:r w:rsidRPr="00A85C28">
        <w:t>adoption de l</w:t>
      </w:r>
      <w:r w:rsidRPr="00A85C28" w:rsidR="00A85C28">
        <w:t>’</w:t>
      </w:r>
      <w:r w:rsidRPr="00A85C28">
        <w:t>enfant du conjoint laisse subsister sa filiation d</w:t>
      </w:r>
      <w:r w:rsidRPr="00A85C28" w:rsidR="00A85C28">
        <w:t>’</w:t>
      </w:r>
      <w:r w:rsidRPr="00A85C28">
        <w:t>origine à l</w:t>
      </w:r>
      <w:r w:rsidRPr="00A85C28" w:rsidR="00A85C28">
        <w:t>’</w:t>
      </w:r>
      <w:r w:rsidRPr="00A85C28">
        <w:t>égard de ce conjoint et de sa famille, et produit, pour le surplus, les effets d</w:t>
      </w:r>
      <w:r w:rsidRPr="00A85C28" w:rsidR="00A85C28">
        <w:t>’</w:t>
      </w:r>
      <w:r w:rsidRPr="00A85C28">
        <w:t>une adoption par deux époux. Enfin, depuis l</w:t>
      </w:r>
      <w:r w:rsidRPr="00A85C28" w:rsidR="00A85C28">
        <w:t>’</w:t>
      </w:r>
      <w:r w:rsidRPr="00A85C28">
        <w:t>entrée en vigueur de l</w:t>
      </w:r>
      <w:r w:rsidRPr="00A85C28" w:rsidR="00A85C28">
        <w:t>’</w:t>
      </w:r>
      <w:r w:rsidRPr="00A85C28">
        <w:t>ordonnance n</w:t>
      </w:r>
      <w:r w:rsidRPr="00A85C28">
        <w:rPr>
          <w:vertAlign w:val="superscript"/>
        </w:rPr>
        <w:t>o</w:t>
      </w:r>
      <w:r w:rsidRPr="00A85C28" w:rsidR="00026D90">
        <w:t xml:space="preserve"> 2005-759 du </w:t>
      </w:r>
      <w:r w:rsidRPr="00A85C28" w:rsidR="00026D90">
        <w:t>4 juillet </w:t>
      </w:r>
      <w:r w:rsidRPr="00A85C28">
        <w:t>2005, l</w:t>
      </w:r>
      <w:r w:rsidRPr="00A85C28" w:rsidR="00A85C28">
        <w:t>’</w:t>
      </w:r>
      <w:r w:rsidRPr="00A85C28">
        <w:t>article 310 du code civil pose le principe selon lequel « tous les enfants dont la filiation est légalement établie ont les mêmes droits et les mêmes devoirs dans leurs rapports avec leur père et mère » (...) ».</w:t>
      </w:r>
    </w:p>
    <w:p w:rsidRPr="00A85C28" w:rsidR="004D2843" w:rsidP="00A85C28">
      <w:pPr>
        <w:pStyle w:val="ECHRTitle1"/>
        <w:numPr>
          <w:ilvl w:val="0"/>
          <w:numId w:val="24"/>
        </w:numPr>
        <w:spacing w:before="100" w:beforeAutospacing="1"/>
        <w:jc w:val="left"/>
      </w:pPr>
      <w:bookmarkStart w:name="_Hlk36127250" w:id="6"/>
      <w:r w:rsidRPr="00A85C28">
        <w:t>EN DROIT</w:t>
      </w:r>
    </w:p>
    <w:p w:rsidRPr="00A85C28" w:rsidR="004D2843" w:rsidP="00A85C28">
      <w:pPr>
        <w:pStyle w:val="ECHRHeading1"/>
        <w:numPr>
          <w:ilvl w:val="1"/>
          <w:numId w:val="24"/>
        </w:numPr>
        <w:tabs>
          <w:tab w:val="clear" w:pos="357"/>
        </w:tabs>
        <w:spacing w:before="100" w:beforeAutospacing="1"/>
        <w:outlineLvl w:val="1"/>
      </w:pPr>
      <w:bookmarkStart w:name="_Hlk36127423" w:id="7"/>
      <w:bookmarkStart w:name="_Hlk34839031" w:id="8"/>
      <w:bookmarkEnd w:id="6"/>
      <w:r w:rsidRPr="00A85C28">
        <w:t>SUR LA VIOLATION ALLÉGUÉE DE L</w:t>
      </w:r>
      <w:r w:rsidRPr="00A85C28" w:rsidR="00A85C28">
        <w:t>’</w:t>
      </w:r>
      <w:r w:rsidRPr="00A85C28">
        <w:t>ARTICLE 8 DE LA CONVENTION</w:t>
      </w:r>
      <w:bookmarkEnd w:id="7"/>
    </w:p>
    <w:p w:rsidRPr="00A85C28" w:rsidR="004D2843" w:rsidP="00A85C28">
      <w:pPr>
        <w:pStyle w:val="ECHRPara"/>
        <w:rPr>
          <w:rFonts w:eastAsia="Arial Unicode MS"/>
          <w:u w:color="000000"/>
          <w:bdr w:val="nil"/>
          <w:lang w:eastAsia="fr-FR"/>
        </w:rPr>
      </w:pPr>
      <w:r w:rsidRPr="00A85C28">
        <w:rPr>
          <w:rFonts w:eastAsia="Arial Unicode MS"/>
          <w:u w:color="000000"/>
          <w:bdr w:val="nil"/>
          <w:lang w:eastAsia="fr-FR"/>
        </w:rPr>
        <w:fldChar w:fldCharType="begin"/>
      </w:r>
      <w:r w:rsidRPr="00A85C28">
        <w:rPr>
          <w:rFonts w:eastAsia="Arial Unicode MS"/>
          <w:u w:color="000000"/>
          <w:bdr w:val="nil"/>
          <w:lang w:eastAsia="fr-FR"/>
        </w:rPr>
        <w:instrText xml:space="preserve"> SEQ level0 \*arabic </w:instrText>
      </w:r>
      <w:r w:rsidRPr="00A85C28">
        <w:rPr>
          <w:rFonts w:eastAsia="Arial Unicode MS"/>
          <w:u w:color="000000"/>
          <w:bdr w:val="nil"/>
          <w:lang w:eastAsia="fr-FR"/>
        </w:rPr>
        <w:fldChar w:fldCharType="separate"/>
      </w:r>
      <w:r w:rsidRPr="00A85C28" w:rsidR="00A85C28">
        <w:rPr>
          <w:rFonts w:eastAsia="Arial Unicode MS"/>
          <w:noProof/>
          <w:u w:color="000000"/>
          <w:bdr w:val="nil"/>
          <w:lang w:eastAsia="fr-FR"/>
        </w:rPr>
        <w:t>29</w:t>
      </w:r>
      <w:r w:rsidRPr="00A85C28">
        <w:rPr>
          <w:rFonts w:eastAsia="Arial Unicode MS"/>
          <w:u w:color="000000"/>
          <w:bdr w:val="nil"/>
          <w:lang w:eastAsia="fr-FR"/>
        </w:rPr>
        <w:fldChar w:fldCharType="end"/>
      </w:r>
      <w:r w:rsidRPr="00A85C28">
        <w:rPr>
          <w:rFonts w:eastAsia="Arial Unicode MS"/>
          <w:u w:color="000000"/>
          <w:bdr w:val="nil"/>
          <w:lang w:eastAsia="fr-FR"/>
        </w:rPr>
        <w:t>.  Les requérants dénoncent une violation du droit au respect de la vie privée de la troisième d</w:t>
      </w:r>
      <w:r w:rsidRPr="00A85C28" w:rsidR="00A85C28">
        <w:rPr>
          <w:rFonts w:eastAsia="Arial Unicode MS"/>
          <w:u w:color="000000"/>
          <w:bdr w:val="nil"/>
          <w:lang w:eastAsia="fr-FR"/>
        </w:rPr>
        <w:t>’</w:t>
      </w:r>
      <w:r w:rsidRPr="00A85C28">
        <w:rPr>
          <w:rFonts w:eastAsia="Arial Unicode MS"/>
          <w:u w:color="000000"/>
          <w:bdr w:val="nil"/>
          <w:lang w:eastAsia="fr-FR"/>
        </w:rPr>
        <w:t>entre eux, résultant du refus du procureur de la République en 2015 puis de la cour d</w:t>
      </w:r>
      <w:r w:rsidRPr="00A85C28" w:rsidR="00A85C28">
        <w:rPr>
          <w:rFonts w:eastAsia="Arial Unicode MS"/>
          <w:u w:color="000000"/>
          <w:bdr w:val="nil"/>
          <w:lang w:eastAsia="fr-FR"/>
        </w:rPr>
        <w:t>’</w:t>
      </w:r>
      <w:r w:rsidRPr="00A85C28">
        <w:rPr>
          <w:rFonts w:eastAsia="Arial Unicode MS"/>
          <w:u w:color="000000"/>
          <w:bdr w:val="nil"/>
          <w:lang w:eastAsia="fr-FR"/>
        </w:rPr>
        <w:t>appel de Rennes en 2017 de transcrire l</w:t>
      </w:r>
      <w:r w:rsidRPr="00A85C28" w:rsidR="00A85C28">
        <w:rPr>
          <w:rFonts w:eastAsia="Arial Unicode MS"/>
          <w:u w:color="000000"/>
          <w:bdr w:val="nil"/>
          <w:lang w:eastAsia="fr-FR"/>
        </w:rPr>
        <w:t>’</w:t>
      </w:r>
      <w:r w:rsidRPr="00A85C28">
        <w:rPr>
          <w:rFonts w:eastAsia="Arial Unicode MS"/>
          <w:u w:color="000000"/>
          <w:bdr w:val="nil"/>
          <w:lang w:eastAsia="fr-FR"/>
        </w:rPr>
        <w:t>intégralité de son acte de naissance sur les registres de l</w:t>
      </w:r>
      <w:r w:rsidRPr="00A85C28" w:rsidR="00A85C28">
        <w:rPr>
          <w:rFonts w:eastAsia="Arial Unicode MS"/>
          <w:u w:color="000000"/>
          <w:bdr w:val="nil"/>
          <w:lang w:eastAsia="fr-FR"/>
        </w:rPr>
        <w:t>’</w:t>
      </w:r>
      <w:r w:rsidRPr="00A85C28">
        <w:rPr>
          <w:rFonts w:eastAsia="Arial Unicode MS"/>
          <w:u w:color="000000"/>
          <w:bdr w:val="nil"/>
          <w:lang w:eastAsia="fr-FR"/>
        </w:rPr>
        <w:t>état civil français. Ils invoquent l</w:t>
      </w:r>
      <w:r w:rsidRPr="00A85C28" w:rsidR="00A85C28">
        <w:rPr>
          <w:rFonts w:eastAsia="Arial Unicode MS"/>
          <w:u w:color="000000"/>
          <w:bdr w:val="nil"/>
          <w:lang w:eastAsia="fr-FR"/>
        </w:rPr>
        <w:t>’</w:t>
      </w:r>
      <w:r w:rsidRPr="00A85C28">
        <w:rPr>
          <w:rFonts w:eastAsia="Arial Unicode MS"/>
          <w:u w:color="000000"/>
          <w:bdr w:val="nil"/>
          <w:lang w:eastAsia="fr-FR"/>
        </w:rPr>
        <w:t>article 8 de la Convention, aux termes duquel :</w:t>
      </w:r>
    </w:p>
    <w:p w:rsidRPr="00A85C28" w:rsidR="004D2843" w:rsidP="00A85C28">
      <w:pPr>
        <w:pStyle w:val="ECHRParaQuote"/>
        <w:rPr>
          <w:rFonts w:eastAsia="Arial Unicode MS"/>
          <w:u w:color="000000"/>
          <w:bdr w:val="nil"/>
          <w:lang w:eastAsia="fr-FR"/>
        </w:rPr>
      </w:pPr>
      <w:r w:rsidRPr="00A85C28">
        <w:rPr>
          <w:rFonts w:eastAsia="Arial Unicode MS"/>
          <w:u w:color="000000"/>
          <w:bdr w:val="nil"/>
          <w:lang w:eastAsia="fr-FR"/>
        </w:rPr>
        <w:t>« 1. Toute personne a droit au respect de sa vie privée et familiale, de son domicile et de sa correspondance.</w:t>
      </w:r>
    </w:p>
    <w:p w:rsidRPr="00A85C28" w:rsidR="004D2843" w:rsidP="00A85C28">
      <w:pPr>
        <w:pStyle w:val="ECHRParaQuote"/>
        <w:rPr>
          <w:rFonts w:eastAsia="Arial Unicode MS"/>
          <w:u w:color="000000"/>
          <w:bdr w:val="nil"/>
          <w:lang w:eastAsia="fr-FR"/>
        </w:rPr>
      </w:pPr>
      <w:r w:rsidRPr="00A85C28">
        <w:rPr>
          <w:rFonts w:eastAsia="Arial Unicode MS"/>
          <w:u w:color="000000"/>
          <w:bdr w:val="nil"/>
          <w:lang w:eastAsia="fr-FR"/>
        </w:rPr>
        <w:t>2. Il ne peut y avoir ingérence d</w:t>
      </w:r>
      <w:r w:rsidRPr="00A85C28" w:rsidR="00A85C28">
        <w:rPr>
          <w:rFonts w:eastAsia="Arial Unicode MS"/>
          <w:u w:color="000000"/>
          <w:bdr w:val="nil"/>
          <w:lang w:eastAsia="fr-FR"/>
        </w:rPr>
        <w:t>’</w:t>
      </w:r>
      <w:r w:rsidRPr="00A85C28">
        <w:rPr>
          <w:rFonts w:eastAsia="Arial Unicode MS"/>
          <w:u w:color="000000"/>
          <w:bdr w:val="nil"/>
          <w:lang w:eastAsia="fr-FR"/>
        </w:rPr>
        <w:t>une autorité publique dans l</w:t>
      </w:r>
      <w:r w:rsidRPr="00A85C28" w:rsidR="00A85C28">
        <w:rPr>
          <w:rFonts w:eastAsia="Arial Unicode MS"/>
          <w:u w:color="000000"/>
          <w:bdr w:val="nil"/>
          <w:lang w:eastAsia="fr-FR"/>
        </w:rPr>
        <w:t>’</w:t>
      </w:r>
      <w:r w:rsidRPr="00A85C28">
        <w:rPr>
          <w:rFonts w:eastAsia="Arial Unicode MS"/>
          <w:u w:color="000000"/>
          <w:bdr w:val="nil"/>
          <w:lang w:eastAsia="fr-FR"/>
        </w:rPr>
        <w:t>exercice de ce droit que pour autant que cette ingérence est prévue par la loi et qu</w:t>
      </w:r>
      <w:r w:rsidRPr="00A85C28" w:rsidR="00A85C28">
        <w:rPr>
          <w:rFonts w:eastAsia="Arial Unicode MS"/>
          <w:u w:color="000000"/>
          <w:bdr w:val="nil"/>
          <w:lang w:eastAsia="fr-FR"/>
        </w:rPr>
        <w:t>’</w:t>
      </w:r>
      <w:r w:rsidRPr="00A85C28">
        <w:rPr>
          <w:rFonts w:eastAsia="Arial Unicode MS"/>
          <w:u w:color="000000"/>
          <w:bdr w:val="nil"/>
          <w:lang w:eastAsia="fr-FR"/>
        </w:rPr>
        <w:t>elle constitue une mesure qui, dans une société démocratique, est nécessaire à la sécurité nationale, à la sûreté publique, au bien-être économique du pays, à la défense de l</w:t>
      </w:r>
      <w:r w:rsidRPr="00A85C28" w:rsidR="00A85C28">
        <w:rPr>
          <w:rFonts w:eastAsia="Arial Unicode MS"/>
          <w:u w:color="000000"/>
          <w:bdr w:val="nil"/>
          <w:lang w:eastAsia="fr-FR"/>
        </w:rPr>
        <w:t>’</w:t>
      </w:r>
      <w:r w:rsidRPr="00A85C28">
        <w:rPr>
          <w:rFonts w:eastAsia="Arial Unicode MS"/>
          <w:u w:color="000000"/>
          <w:bdr w:val="nil"/>
          <w:lang w:eastAsia="fr-FR"/>
        </w:rPr>
        <w:t>ordre et à la prévention des infractions pénales, à la protection de la santé ou de la morale, ou à la protection des droits et libertés d</w:t>
      </w:r>
      <w:r w:rsidRPr="00A85C28" w:rsidR="00A85C28">
        <w:rPr>
          <w:rFonts w:eastAsia="Arial Unicode MS"/>
          <w:u w:color="000000"/>
          <w:bdr w:val="nil"/>
          <w:lang w:eastAsia="fr-FR"/>
        </w:rPr>
        <w:t>’</w:t>
      </w:r>
      <w:r w:rsidRPr="00A85C28">
        <w:rPr>
          <w:rFonts w:eastAsia="Arial Unicode MS"/>
          <w:u w:color="000000"/>
          <w:bdr w:val="nil"/>
          <w:lang w:eastAsia="fr-FR"/>
        </w:rPr>
        <w:t>autrui. »</w:t>
      </w:r>
    </w:p>
    <w:p w:rsidRPr="00A85C28" w:rsidR="004D2843" w:rsidP="00A85C28">
      <w:pPr>
        <w:pStyle w:val="ECHRHeading2"/>
        <w:numPr>
          <w:ilvl w:val="2"/>
          <w:numId w:val="24"/>
        </w:numPr>
        <w:tabs>
          <w:tab w:val="clear" w:pos="584"/>
        </w:tabs>
        <w:spacing w:before="100" w:beforeAutospacing="1"/>
        <w:jc w:val="left"/>
        <w:outlineLvl w:val="2"/>
        <w:rPr>
          <w:rFonts w:eastAsia="Arial Unicode MS"/>
          <w:szCs w:val="24"/>
          <w:u w:color="000000"/>
          <w:bdr w:val="nil"/>
          <w:lang w:eastAsia="fr-FR"/>
        </w:rPr>
      </w:pPr>
      <w:r w:rsidRPr="00A85C28">
        <w:rPr>
          <w:rFonts w:eastAsia="Arial Unicode MS"/>
          <w:szCs w:val="24"/>
          <w:u w:color="000000"/>
          <w:bdr w:val="nil"/>
          <w:lang w:eastAsia="fr-FR"/>
        </w:rPr>
        <w:t>Thèses des parties</w:t>
      </w:r>
    </w:p>
    <w:p w:rsidRPr="00A85C28" w:rsidR="004D2843" w:rsidP="00A85C28">
      <w:pPr>
        <w:pStyle w:val="ECHRHeading3"/>
        <w:numPr>
          <w:ilvl w:val="3"/>
          <w:numId w:val="24"/>
        </w:numPr>
        <w:tabs>
          <w:tab w:val="clear" w:pos="731"/>
        </w:tabs>
        <w:spacing w:before="100" w:beforeAutospacing="1"/>
        <w:jc w:val="left"/>
        <w:outlineLvl w:val="3"/>
        <w:rPr>
          <w:rFonts w:eastAsia="Arial Unicode MS"/>
          <w:u w:color="000000"/>
          <w:bdr w:val="nil"/>
          <w:lang w:eastAsia="fr-FR"/>
        </w:rPr>
      </w:pPr>
      <w:r w:rsidRPr="00A85C28">
        <w:rPr>
          <w:rFonts w:eastAsia="Arial Unicode MS"/>
          <w:u w:color="000000"/>
          <w:bdr w:val="nil"/>
          <w:lang w:eastAsia="fr-FR"/>
        </w:rPr>
        <w:t>Le Gouvernement</w:t>
      </w:r>
    </w:p>
    <w:p w:rsidRPr="00A85C28" w:rsidR="004D2843" w:rsidP="00A85C28">
      <w:pPr>
        <w:pStyle w:val="ECHRPara"/>
        <w:rPr>
          <w:rFonts w:eastAsia="Arial Unicode MS"/>
          <w:u w:color="000000"/>
          <w:bdr w:val="nil"/>
          <w:lang w:eastAsia="fr-FR"/>
        </w:rPr>
      </w:pPr>
      <w:r w:rsidRPr="00A85C28">
        <w:rPr>
          <w:rFonts w:eastAsia="Arial Unicode MS"/>
          <w:u w:color="000000"/>
          <w:bdr w:val="nil"/>
          <w:lang w:eastAsia="fr-FR"/>
        </w:rPr>
        <w:fldChar w:fldCharType="begin"/>
      </w:r>
      <w:r w:rsidRPr="00A85C28">
        <w:rPr>
          <w:rFonts w:eastAsia="Arial Unicode MS"/>
          <w:u w:color="000000"/>
          <w:bdr w:val="nil"/>
          <w:lang w:eastAsia="fr-FR"/>
        </w:rPr>
        <w:instrText xml:space="preserve"> SEQ level0 \*arabic </w:instrText>
      </w:r>
      <w:r w:rsidRPr="00A85C28">
        <w:rPr>
          <w:rFonts w:eastAsia="Arial Unicode MS"/>
          <w:u w:color="000000"/>
          <w:bdr w:val="nil"/>
          <w:lang w:eastAsia="fr-FR"/>
        </w:rPr>
        <w:fldChar w:fldCharType="separate"/>
      </w:r>
      <w:r w:rsidRPr="00A85C28" w:rsidR="00A85C28">
        <w:rPr>
          <w:rFonts w:eastAsia="Arial Unicode MS"/>
          <w:noProof/>
          <w:u w:color="000000"/>
          <w:bdr w:val="nil"/>
          <w:lang w:eastAsia="fr-FR"/>
        </w:rPr>
        <w:t>30</w:t>
      </w:r>
      <w:r w:rsidRPr="00A85C28">
        <w:rPr>
          <w:rFonts w:eastAsia="Arial Unicode MS"/>
          <w:u w:color="000000"/>
          <w:bdr w:val="nil"/>
          <w:lang w:eastAsia="fr-FR"/>
        </w:rPr>
        <w:fldChar w:fldCharType="end"/>
      </w:r>
      <w:r w:rsidRPr="00A85C28">
        <w:rPr>
          <w:rFonts w:eastAsia="Arial Unicode MS"/>
          <w:u w:color="000000"/>
          <w:bdr w:val="nil"/>
          <w:lang w:eastAsia="fr-FR"/>
        </w:rPr>
        <w:t>.  Le Gouvernement indique que, bien que les requérants ne se soient pas pourvus en cassation, il n</w:t>
      </w:r>
      <w:r w:rsidRPr="00A85C28" w:rsidR="00A85C28">
        <w:rPr>
          <w:rFonts w:eastAsia="Arial Unicode MS"/>
          <w:u w:color="000000"/>
          <w:bdr w:val="nil"/>
          <w:lang w:eastAsia="fr-FR"/>
        </w:rPr>
        <w:t>’</w:t>
      </w:r>
      <w:r w:rsidRPr="00A85C28">
        <w:rPr>
          <w:rFonts w:eastAsia="Arial Unicode MS"/>
          <w:u w:color="000000"/>
          <w:bdr w:val="nil"/>
          <w:lang w:eastAsia="fr-FR"/>
        </w:rPr>
        <w:t>entend pas soulever l</w:t>
      </w:r>
      <w:r w:rsidRPr="00A85C28" w:rsidR="00A85C28">
        <w:rPr>
          <w:rFonts w:eastAsia="Arial Unicode MS"/>
          <w:u w:color="000000"/>
          <w:bdr w:val="nil"/>
          <w:lang w:eastAsia="fr-FR"/>
        </w:rPr>
        <w:t>’</w:t>
      </w:r>
      <w:r w:rsidRPr="00A85C28">
        <w:rPr>
          <w:rFonts w:eastAsia="Arial Unicode MS"/>
          <w:u w:color="000000"/>
          <w:bdr w:val="nil"/>
          <w:lang w:eastAsia="fr-FR"/>
        </w:rPr>
        <w:t>irrecevabilité de la requête pour défaut d</w:t>
      </w:r>
      <w:r w:rsidRPr="00A85C28" w:rsidR="00A85C28">
        <w:rPr>
          <w:rFonts w:eastAsia="Arial Unicode MS"/>
          <w:u w:color="000000"/>
          <w:bdr w:val="nil"/>
          <w:lang w:eastAsia="fr-FR"/>
        </w:rPr>
        <w:t>’</w:t>
      </w:r>
      <w:r w:rsidRPr="00A85C28">
        <w:rPr>
          <w:rFonts w:eastAsia="Arial Unicode MS"/>
          <w:u w:color="000000"/>
          <w:bdr w:val="nil"/>
          <w:lang w:eastAsia="fr-FR"/>
        </w:rPr>
        <w:t>épuisement des voies de recours internes.</w:t>
      </w:r>
    </w:p>
    <w:p w:rsidRPr="00A85C28" w:rsidR="004D2843" w:rsidP="00A85C28">
      <w:pPr>
        <w:pStyle w:val="ECHRPara"/>
        <w:rPr>
          <w:rFonts w:eastAsia="Arial Unicode MS"/>
          <w:u w:color="000000"/>
          <w:bdr w:val="nil"/>
          <w:lang w:eastAsia="fr-FR"/>
        </w:rPr>
      </w:pPr>
      <w:r w:rsidRPr="00A85C28">
        <w:rPr>
          <w:rFonts w:eastAsia="Arial Unicode MS"/>
          <w:u w:color="000000"/>
          <w:bdr w:val="nil"/>
          <w:lang w:eastAsia="fr-FR"/>
        </w:rPr>
        <w:fldChar w:fldCharType="begin"/>
      </w:r>
      <w:r w:rsidRPr="00A85C28">
        <w:rPr>
          <w:rFonts w:eastAsia="Arial Unicode MS"/>
          <w:u w:color="000000"/>
          <w:bdr w:val="nil"/>
          <w:lang w:eastAsia="fr-FR"/>
        </w:rPr>
        <w:instrText xml:space="preserve"> SEQ level0 \*arabic </w:instrText>
      </w:r>
      <w:r w:rsidRPr="00A85C28">
        <w:rPr>
          <w:rFonts w:eastAsia="Arial Unicode MS"/>
          <w:u w:color="000000"/>
          <w:bdr w:val="nil"/>
          <w:lang w:eastAsia="fr-FR"/>
        </w:rPr>
        <w:fldChar w:fldCharType="separate"/>
      </w:r>
      <w:r w:rsidRPr="00A85C28" w:rsidR="00A85C28">
        <w:rPr>
          <w:rFonts w:eastAsia="Arial Unicode MS"/>
          <w:noProof/>
          <w:u w:color="000000"/>
          <w:bdr w:val="nil"/>
          <w:lang w:eastAsia="fr-FR"/>
        </w:rPr>
        <w:t>31</w:t>
      </w:r>
      <w:r w:rsidRPr="00A85C28">
        <w:rPr>
          <w:rFonts w:eastAsia="Arial Unicode MS"/>
          <w:u w:color="000000"/>
          <w:bdr w:val="nil"/>
          <w:lang w:eastAsia="fr-FR"/>
        </w:rPr>
        <w:fldChar w:fldCharType="end"/>
      </w:r>
      <w:r w:rsidRPr="00A85C28">
        <w:rPr>
          <w:rFonts w:eastAsia="Arial Unicode MS"/>
          <w:u w:color="000000"/>
          <w:bdr w:val="nil"/>
          <w:lang w:eastAsia="fr-FR"/>
        </w:rPr>
        <w:t>.  Le Gouvernement ne conteste pas que le refus de transcrire sur les registres d</w:t>
      </w:r>
      <w:r w:rsidRPr="00A85C28" w:rsidR="00A85C28">
        <w:rPr>
          <w:rFonts w:eastAsia="Arial Unicode MS"/>
          <w:u w:color="000000"/>
          <w:bdr w:val="nil"/>
          <w:lang w:eastAsia="fr-FR"/>
        </w:rPr>
        <w:t>’</w:t>
      </w:r>
      <w:r w:rsidRPr="00A85C28">
        <w:rPr>
          <w:rFonts w:eastAsia="Arial Unicode MS"/>
          <w:u w:color="000000"/>
          <w:bdr w:val="nil"/>
          <w:lang w:eastAsia="fr-FR"/>
        </w:rPr>
        <w:t>état civil français les mentions relatives à la première requérante figurant sur l</w:t>
      </w:r>
      <w:r w:rsidRPr="00A85C28" w:rsidR="00A85C28">
        <w:rPr>
          <w:rFonts w:eastAsia="Arial Unicode MS"/>
          <w:u w:color="000000"/>
          <w:bdr w:val="nil"/>
          <w:lang w:eastAsia="fr-FR"/>
        </w:rPr>
        <w:t>’</w:t>
      </w:r>
      <w:r w:rsidRPr="00A85C28">
        <w:rPr>
          <w:rFonts w:eastAsia="Arial Unicode MS"/>
          <w:u w:color="000000"/>
          <w:bdr w:val="nil"/>
          <w:lang w:eastAsia="fr-FR"/>
        </w:rPr>
        <w:t>acte de naissance étranger de la troisième requérante constitue une ingérence dans le droit au respect de la vie privée de cette dernière. Il rappelle ensuite que la Cour a admis dans l</w:t>
      </w:r>
      <w:r w:rsidRPr="00A85C28" w:rsidR="00A85C28">
        <w:rPr>
          <w:rFonts w:eastAsia="Arial Unicode MS"/>
          <w:u w:color="000000"/>
          <w:bdr w:val="nil"/>
          <w:lang w:eastAsia="fr-FR"/>
        </w:rPr>
        <w:t>’</w:t>
      </w:r>
      <w:r w:rsidRPr="00A85C28">
        <w:rPr>
          <w:rFonts w:eastAsia="Arial Unicode MS"/>
          <w:u w:color="000000"/>
          <w:bdr w:val="nil"/>
          <w:lang w:eastAsia="fr-FR"/>
        </w:rPr>
        <w:t xml:space="preserve">arrêt </w:t>
      </w:r>
      <w:r w:rsidRPr="00A85C28">
        <w:rPr>
          <w:rFonts w:eastAsia="Arial Unicode MS"/>
          <w:i/>
          <w:iCs/>
          <w:u w:color="000000"/>
          <w:bdr w:val="nil"/>
          <w:lang w:eastAsia="fr-FR"/>
        </w:rPr>
        <w:t>Mennesson</w:t>
      </w:r>
      <w:r w:rsidRPr="00A85C28" w:rsidR="00052B5B">
        <w:rPr>
          <w:rFonts w:eastAsia="Arial Unicode MS"/>
          <w:u w:color="000000"/>
          <w:bdr w:val="nil"/>
          <w:lang w:eastAsia="fr-FR"/>
        </w:rPr>
        <w:t xml:space="preserve"> précité (§§ 58 </w:t>
      </w:r>
      <w:r w:rsidRPr="00A85C28">
        <w:rPr>
          <w:rFonts w:eastAsia="Arial Unicode MS"/>
          <w:u w:color="000000"/>
          <w:bdr w:val="nil"/>
          <w:lang w:eastAsia="fr-FR"/>
        </w:rPr>
        <w:t>et 62) que ce type d</w:t>
      </w:r>
      <w:r w:rsidRPr="00A85C28" w:rsidR="00A85C28">
        <w:rPr>
          <w:rFonts w:eastAsia="Arial Unicode MS"/>
          <w:u w:color="000000"/>
          <w:bdr w:val="nil"/>
          <w:lang w:eastAsia="fr-FR"/>
        </w:rPr>
        <w:t>’</w:t>
      </w:r>
      <w:r w:rsidRPr="00A85C28">
        <w:rPr>
          <w:rFonts w:eastAsia="Arial Unicode MS"/>
          <w:u w:color="000000"/>
          <w:bdr w:val="nil"/>
          <w:lang w:eastAsia="fr-FR"/>
        </w:rPr>
        <w:t>ingérence était prévue par la loi et poursuivait des buts légitimes : la « protection de la santé » et « la protection des droits et libertés d</w:t>
      </w:r>
      <w:r w:rsidRPr="00A85C28" w:rsidR="00A85C28">
        <w:rPr>
          <w:rFonts w:eastAsia="Arial Unicode MS"/>
          <w:u w:color="000000"/>
          <w:bdr w:val="nil"/>
          <w:lang w:eastAsia="fr-FR"/>
        </w:rPr>
        <w:t>’</w:t>
      </w:r>
      <w:r w:rsidRPr="00A85C28">
        <w:rPr>
          <w:rFonts w:eastAsia="Arial Unicode MS"/>
          <w:u w:color="000000"/>
          <w:bdr w:val="nil"/>
          <w:lang w:eastAsia="fr-FR"/>
        </w:rPr>
        <w:t>autrui », ceux de l</w:t>
      </w:r>
      <w:r w:rsidRPr="00A85C28" w:rsidR="00A85C28">
        <w:rPr>
          <w:rFonts w:eastAsia="Arial Unicode MS"/>
          <w:u w:color="000000"/>
          <w:bdr w:val="nil"/>
          <w:lang w:eastAsia="fr-FR"/>
        </w:rPr>
        <w:t>’</w:t>
      </w:r>
      <w:r w:rsidRPr="00A85C28">
        <w:rPr>
          <w:rFonts w:eastAsia="Arial Unicode MS"/>
          <w:u w:color="000000"/>
          <w:bdr w:val="nil"/>
          <w:lang w:eastAsia="fr-FR"/>
        </w:rPr>
        <w:t>enfant et de la mère porteuse.</w:t>
      </w:r>
    </w:p>
    <w:p w:rsidRPr="00A85C28" w:rsidR="004D2843" w:rsidP="00A85C28">
      <w:pPr>
        <w:pStyle w:val="ECHRPara"/>
        <w:rPr>
          <w:rFonts w:eastAsia="Arial Unicode MS"/>
          <w:u w:color="000000"/>
          <w:bdr w:val="nil"/>
          <w:lang w:eastAsia="fr-FR"/>
        </w:rPr>
      </w:pPr>
      <w:r w:rsidRPr="00A85C28">
        <w:rPr>
          <w:rFonts w:eastAsia="Arial Unicode MS"/>
          <w:u w:color="000000"/>
          <w:bdr w:val="nil"/>
          <w:lang w:eastAsia="fr-FR"/>
        </w:rPr>
        <w:fldChar w:fldCharType="begin"/>
      </w:r>
      <w:r w:rsidRPr="00A85C28">
        <w:rPr>
          <w:rFonts w:eastAsia="Arial Unicode MS"/>
          <w:u w:color="000000"/>
          <w:bdr w:val="nil"/>
          <w:lang w:eastAsia="fr-FR"/>
        </w:rPr>
        <w:instrText xml:space="preserve"> SEQ level0 \*arabic </w:instrText>
      </w:r>
      <w:r w:rsidRPr="00A85C28">
        <w:rPr>
          <w:rFonts w:eastAsia="Arial Unicode MS"/>
          <w:u w:color="000000"/>
          <w:bdr w:val="nil"/>
          <w:lang w:eastAsia="fr-FR"/>
        </w:rPr>
        <w:fldChar w:fldCharType="separate"/>
      </w:r>
      <w:r w:rsidRPr="00A85C28" w:rsidR="00A85C28">
        <w:rPr>
          <w:rFonts w:eastAsia="Arial Unicode MS"/>
          <w:noProof/>
          <w:u w:color="000000"/>
          <w:bdr w:val="nil"/>
          <w:lang w:eastAsia="fr-FR"/>
        </w:rPr>
        <w:t>32</w:t>
      </w:r>
      <w:r w:rsidRPr="00A85C28">
        <w:rPr>
          <w:rFonts w:eastAsia="Arial Unicode MS"/>
          <w:u w:color="000000"/>
          <w:bdr w:val="nil"/>
          <w:lang w:eastAsia="fr-FR"/>
        </w:rPr>
        <w:fldChar w:fldCharType="end"/>
      </w:r>
      <w:r w:rsidRPr="00A85C28">
        <w:rPr>
          <w:rFonts w:eastAsia="Arial Unicode MS"/>
          <w:u w:color="000000"/>
          <w:bdr w:val="nil"/>
          <w:lang w:eastAsia="fr-FR"/>
        </w:rPr>
        <w:t>.  S</w:t>
      </w:r>
      <w:r w:rsidRPr="00A85C28" w:rsidR="00A85C28">
        <w:rPr>
          <w:rFonts w:eastAsia="Arial Unicode MS"/>
          <w:u w:color="000000"/>
          <w:bdr w:val="nil"/>
          <w:lang w:eastAsia="fr-FR"/>
        </w:rPr>
        <w:t>’</w:t>
      </w:r>
      <w:r w:rsidRPr="00A85C28">
        <w:rPr>
          <w:rFonts w:eastAsia="Arial Unicode MS"/>
          <w:u w:color="000000"/>
          <w:bdr w:val="nil"/>
          <w:lang w:eastAsia="fr-FR"/>
        </w:rPr>
        <w:t>agissant de la nécessité de l</w:t>
      </w:r>
      <w:r w:rsidRPr="00A85C28" w:rsidR="00A85C28">
        <w:rPr>
          <w:rFonts w:eastAsia="Arial Unicode MS"/>
          <w:u w:color="000000"/>
          <w:bdr w:val="nil"/>
          <w:lang w:eastAsia="fr-FR"/>
        </w:rPr>
        <w:t>’</w:t>
      </w:r>
      <w:r w:rsidRPr="00A85C28">
        <w:rPr>
          <w:rFonts w:eastAsia="Arial Unicode MS"/>
          <w:u w:color="000000"/>
          <w:bdr w:val="nil"/>
          <w:lang w:eastAsia="fr-FR"/>
        </w:rPr>
        <w:t>ingérence, au sens de l</w:t>
      </w:r>
      <w:r w:rsidRPr="00A85C28" w:rsidR="00A85C28">
        <w:rPr>
          <w:rFonts w:eastAsia="Arial Unicode MS"/>
          <w:u w:color="000000"/>
          <w:bdr w:val="nil"/>
          <w:lang w:eastAsia="fr-FR"/>
        </w:rPr>
        <w:t>’</w:t>
      </w:r>
      <w:r w:rsidRPr="00A85C28">
        <w:rPr>
          <w:rFonts w:eastAsia="Arial Unicode MS"/>
          <w:u w:color="000000"/>
          <w:bdr w:val="nil"/>
          <w:lang w:eastAsia="fr-FR"/>
        </w:rPr>
        <w:t xml:space="preserve">article 8, le Gouvernement renvoie en particulier à trois arrêts de la Cour de cassation du 5 juillet 2017 (paragraphes </w:t>
      </w:r>
      <w:r w:rsidRPr="00A85C28">
        <w:rPr>
          <w:rFonts w:eastAsia="Arial Unicode MS"/>
          <w:bCs/>
          <w:color w:val="000000" w:themeColor="text1"/>
          <w:u w:color="000000"/>
          <w:bdr w:val="nil"/>
          <w:lang w:eastAsia="fr-FR"/>
        </w:rPr>
        <w:t>15-17</w:t>
      </w:r>
      <w:r w:rsidRPr="00A85C28">
        <w:rPr>
          <w:rFonts w:eastAsia="Arial Unicode MS"/>
          <w:u w:color="000000"/>
          <w:bdr w:val="nil"/>
          <w:lang w:eastAsia="fr-FR"/>
        </w:rPr>
        <w:t xml:space="preserve"> ci-dessus) dont il ressort qu</w:t>
      </w:r>
      <w:r w:rsidRPr="00A85C28" w:rsidR="00A85C28">
        <w:rPr>
          <w:rFonts w:eastAsia="Arial Unicode MS"/>
          <w:u w:color="000000"/>
          <w:bdr w:val="nil"/>
          <w:lang w:eastAsia="fr-FR"/>
        </w:rPr>
        <w:t>’</w:t>
      </w:r>
      <w:r w:rsidRPr="00A85C28">
        <w:rPr>
          <w:rFonts w:eastAsia="Arial Unicode MS"/>
          <w:u w:color="000000"/>
          <w:bdr w:val="nil"/>
          <w:lang w:eastAsia="fr-FR"/>
        </w:rPr>
        <w:t>un lien de filiation entre la mère d</w:t>
      </w:r>
      <w:r w:rsidRPr="00A85C28" w:rsidR="00A85C28">
        <w:rPr>
          <w:rFonts w:eastAsia="Arial Unicode MS"/>
          <w:u w:color="000000"/>
          <w:bdr w:val="nil"/>
          <w:lang w:eastAsia="fr-FR"/>
        </w:rPr>
        <w:t>’</w:t>
      </w:r>
      <w:r w:rsidRPr="00A85C28">
        <w:rPr>
          <w:rFonts w:eastAsia="Arial Unicode MS"/>
          <w:u w:color="000000"/>
          <w:bdr w:val="nil"/>
          <w:lang w:eastAsia="fr-FR"/>
        </w:rPr>
        <w:t>intention et un enfant né à l</w:t>
      </w:r>
      <w:r w:rsidRPr="00A85C28" w:rsidR="00A85C28">
        <w:rPr>
          <w:rFonts w:eastAsia="Arial Unicode MS"/>
          <w:u w:color="000000"/>
          <w:bdr w:val="nil"/>
          <w:lang w:eastAsia="fr-FR"/>
        </w:rPr>
        <w:t>’</w:t>
      </w:r>
      <w:r w:rsidRPr="00A85C28">
        <w:rPr>
          <w:rFonts w:eastAsia="Arial Unicode MS"/>
          <w:u w:color="000000"/>
          <w:bdr w:val="nil"/>
          <w:lang w:eastAsia="fr-FR"/>
        </w:rPr>
        <w:t>étranger d</w:t>
      </w:r>
      <w:r w:rsidRPr="00A85C28" w:rsidR="00A85C28">
        <w:rPr>
          <w:rFonts w:eastAsia="Arial Unicode MS"/>
          <w:u w:color="000000"/>
          <w:bdr w:val="nil"/>
          <w:lang w:eastAsia="fr-FR"/>
        </w:rPr>
        <w:t>’</w:t>
      </w:r>
      <w:r w:rsidRPr="00A85C28">
        <w:rPr>
          <w:rFonts w:eastAsia="Arial Unicode MS"/>
          <w:u w:color="000000"/>
          <w:bdr w:val="nil"/>
          <w:lang w:eastAsia="fr-FR"/>
        </w:rPr>
        <w:t>une gestation pour autrui peut être établi par le biais de l</w:t>
      </w:r>
      <w:r w:rsidRPr="00A85C28" w:rsidR="00A85C28">
        <w:rPr>
          <w:rFonts w:eastAsia="Arial Unicode MS"/>
          <w:u w:color="000000"/>
          <w:bdr w:val="nil"/>
          <w:lang w:eastAsia="fr-FR"/>
        </w:rPr>
        <w:t>’</w:t>
      </w:r>
      <w:r w:rsidRPr="00A85C28">
        <w:rPr>
          <w:rFonts w:eastAsia="Arial Unicode MS"/>
          <w:u w:color="000000"/>
          <w:bdr w:val="nil"/>
          <w:lang w:eastAsia="fr-FR"/>
        </w:rPr>
        <w:t>adoption lorsque l</w:t>
      </w:r>
      <w:r w:rsidRPr="00A85C28" w:rsidR="00A85C28">
        <w:rPr>
          <w:rFonts w:eastAsia="Arial Unicode MS"/>
          <w:u w:color="000000"/>
          <w:bdr w:val="nil"/>
          <w:lang w:eastAsia="fr-FR"/>
        </w:rPr>
        <w:t>’</w:t>
      </w:r>
      <w:r w:rsidRPr="00A85C28">
        <w:rPr>
          <w:rFonts w:eastAsia="Arial Unicode MS"/>
          <w:u w:color="000000"/>
          <w:bdr w:val="nil"/>
          <w:lang w:eastAsia="fr-FR"/>
        </w:rPr>
        <w:t>enfant est issu des gamètes du mari de la mère d</w:t>
      </w:r>
      <w:r w:rsidRPr="00A85C28" w:rsidR="00A85C28">
        <w:rPr>
          <w:rFonts w:eastAsia="Arial Unicode MS"/>
          <w:u w:color="000000"/>
          <w:bdr w:val="nil"/>
          <w:lang w:eastAsia="fr-FR"/>
        </w:rPr>
        <w:t>’</w:t>
      </w:r>
      <w:r w:rsidRPr="00A85C28">
        <w:rPr>
          <w:rFonts w:eastAsia="Arial Unicode MS"/>
          <w:u w:color="000000"/>
          <w:bdr w:val="nil"/>
          <w:lang w:eastAsia="fr-FR"/>
        </w:rPr>
        <w:t>intention, et que l</w:t>
      </w:r>
      <w:r w:rsidRPr="00A85C28" w:rsidR="00A85C28">
        <w:rPr>
          <w:rFonts w:eastAsia="Arial Unicode MS"/>
          <w:u w:color="000000"/>
          <w:bdr w:val="nil"/>
          <w:lang w:eastAsia="fr-FR"/>
        </w:rPr>
        <w:t>’</w:t>
      </w:r>
      <w:r w:rsidRPr="00A85C28">
        <w:rPr>
          <w:rFonts w:eastAsia="Arial Unicode MS"/>
          <w:u w:color="000000"/>
          <w:bdr w:val="nil"/>
          <w:lang w:eastAsia="fr-FR"/>
        </w:rPr>
        <w:t>acte de naissance étranger a été retranscrit dans les registres de l</w:t>
      </w:r>
      <w:r w:rsidRPr="00A85C28" w:rsidR="00A85C28">
        <w:rPr>
          <w:rFonts w:eastAsia="Arial Unicode MS"/>
          <w:u w:color="000000"/>
          <w:bdr w:val="nil"/>
          <w:lang w:eastAsia="fr-FR"/>
        </w:rPr>
        <w:t>’</w:t>
      </w:r>
      <w:r w:rsidRPr="00A85C28">
        <w:rPr>
          <w:rFonts w:eastAsia="Arial Unicode MS"/>
          <w:u w:color="000000"/>
          <w:bdr w:val="nil"/>
          <w:lang w:eastAsia="fr-FR"/>
        </w:rPr>
        <w:t>état civil français en ce qu</w:t>
      </w:r>
      <w:r w:rsidRPr="00A85C28" w:rsidR="00A85C28">
        <w:rPr>
          <w:rFonts w:eastAsia="Arial Unicode MS"/>
          <w:u w:color="000000"/>
          <w:bdr w:val="nil"/>
          <w:lang w:eastAsia="fr-FR"/>
        </w:rPr>
        <w:t>’</w:t>
      </w:r>
      <w:r w:rsidRPr="00A85C28">
        <w:rPr>
          <w:rFonts w:eastAsia="Arial Unicode MS"/>
          <w:u w:color="000000"/>
          <w:bdr w:val="nil"/>
          <w:lang w:eastAsia="fr-FR"/>
        </w:rPr>
        <w:t>il désigne le mari comme étant le père de l</w:t>
      </w:r>
      <w:r w:rsidRPr="00A85C28" w:rsidR="00A85C28">
        <w:rPr>
          <w:rFonts w:eastAsia="Arial Unicode MS"/>
          <w:u w:color="000000"/>
          <w:bdr w:val="nil"/>
          <w:lang w:eastAsia="fr-FR"/>
        </w:rPr>
        <w:t>’</w:t>
      </w:r>
      <w:r w:rsidRPr="00A85C28">
        <w:rPr>
          <w:rFonts w:eastAsia="Arial Unicode MS"/>
          <w:u w:color="000000"/>
          <w:bdr w:val="nil"/>
          <w:lang w:eastAsia="fr-FR"/>
        </w:rPr>
        <w:t xml:space="preserve">enfant. Le Gouvernement ajoute </w:t>
      </w:r>
      <w:r w:rsidRPr="00A85C28">
        <w:rPr>
          <w:rFonts w:eastAsia="Arial Unicode MS"/>
          <w:u w:color="000000"/>
          <w:bdr w:val="nil"/>
          <w:lang w:eastAsia="fr-FR"/>
        </w:rPr>
        <w:t>qu</w:t>
      </w:r>
      <w:r w:rsidRPr="00A85C28" w:rsidR="00A85C28">
        <w:rPr>
          <w:rFonts w:eastAsia="Arial Unicode MS"/>
          <w:u w:color="000000"/>
          <w:bdr w:val="nil"/>
          <w:lang w:eastAsia="fr-FR"/>
        </w:rPr>
        <w:t>’</w:t>
      </w:r>
      <w:r w:rsidRPr="00A85C28">
        <w:rPr>
          <w:rFonts w:eastAsia="Arial Unicode MS"/>
          <w:u w:color="000000"/>
          <w:bdr w:val="nil"/>
          <w:lang w:eastAsia="fr-FR"/>
        </w:rPr>
        <w:t>il résulte de cette même jurisprudence que l</w:t>
      </w:r>
      <w:r w:rsidRPr="00A85C28" w:rsidR="00A85C28">
        <w:rPr>
          <w:rFonts w:eastAsia="Arial Unicode MS"/>
          <w:u w:color="000000"/>
          <w:bdr w:val="nil"/>
          <w:lang w:eastAsia="fr-FR"/>
        </w:rPr>
        <w:t>’</w:t>
      </w:r>
      <w:r w:rsidRPr="00A85C28">
        <w:rPr>
          <w:rFonts w:eastAsia="Arial Unicode MS"/>
          <w:u w:color="000000"/>
          <w:bdr w:val="nil"/>
          <w:lang w:eastAsia="fr-FR"/>
        </w:rPr>
        <w:t>adoption par le conjoint ou la conjointe du père est possible dès lors que les conditions légales sont remplies et que l</w:t>
      </w:r>
      <w:r w:rsidRPr="00A85C28" w:rsidR="00A85C28">
        <w:rPr>
          <w:rFonts w:eastAsia="Arial Unicode MS"/>
          <w:u w:color="000000"/>
          <w:bdr w:val="nil"/>
          <w:lang w:eastAsia="fr-FR"/>
        </w:rPr>
        <w:t>’</w:t>
      </w:r>
      <w:r w:rsidRPr="00A85C28">
        <w:rPr>
          <w:rFonts w:eastAsia="Arial Unicode MS"/>
          <w:u w:color="000000"/>
          <w:bdr w:val="nil"/>
          <w:lang w:eastAsia="fr-FR"/>
        </w:rPr>
        <w:t>adoption est dans l</w:t>
      </w:r>
      <w:r w:rsidRPr="00A85C28" w:rsidR="00A85C28">
        <w:rPr>
          <w:rFonts w:eastAsia="Arial Unicode MS"/>
          <w:u w:color="000000"/>
          <w:bdr w:val="nil"/>
          <w:lang w:eastAsia="fr-FR"/>
        </w:rPr>
        <w:t>’</w:t>
      </w:r>
      <w:r w:rsidRPr="00A85C28">
        <w:rPr>
          <w:rFonts w:eastAsia="Arial Unicode MS"/>
          <w:u w:color="000000"/>
          <w:bdr w:val="nil"/>
          <w:lang w:eastAsia="fr-FR"/>
        </w:rPr>
        <w:t>intérêt de l</w:t>
      </w:r>
      <w:r w:rsidRPr="00A85C28" w:rsidR="00A85C28">
        <w:rPr>
          <w:rFonts w:eastAsia="Arial Unicode MS"/>
          <w:u w:color="000000"/>
          <w:bdr w:val="nil"/>
          <w:lang w:eastAsia="fr-FR"/>
        </w:rPr>
        <w:t>’</w:t>
      </w:r>
      <w:r w:rsidRPr="00A85C28">
        <w:rPr>
          <w:rFonts w:eastAsia="Arial Unicode MS"/>
          <w:u w:color="000000"/>
          <w:bdr w:val="nil"/>
          <w:lang w:eastAsia="fr-FR"/>
        </w:rPr>
        <w:t>enfant. Il souligne que, contrairement à ce que soutiennent les requérants, la possibilité d</w:t>
      </w:r>
      <w:r w:rsidRPr="00A85C28" w:rsidR="00A85C28">
        <w:rPr>
          <w:rFonts w:eastAsia="Arial Unicode MS"/>
          <w:u w:color="000000"/>
          <w:bdr w:val="nil"/>
          <w:lang w:eastAsia="fr-FR"/>
        </w:rPr>
        <w:t>’</w:t>
      </w:r>
      <w:r w:rsidRPr="00A85C28">
        <w:rPr>
          <w:rFonts w:eastAsia="Arial Unicode MS"/>
          <w:u w:color="000000"/>
          <w:bdr w:val="nil"/>
          <w:lang w:eastAsia="fr-FR"/>
        </w:rPr>
        <w:t>adopter l</w:t>
      </w:r>
      <w:r w:rsidRPr="00A85C28" w:rsidR="00A85C28">
        <w:rPr>
          <w:rFonts w:eastAsia="Arial Unicode MS"/>
          <w:u w:color="000000"/>
          <w:bdr w:val="nil"/>
          <w:lang w:eastAsia="fr-FR"/>
        </w:rPr>
        <w:t>’</w:t>
      </w:r>
      <w:r w:rsidRPr="00A85C28">
        <w:rPr>
          <w:rFonts w:eastAsia="Arial Unicode MS"/>
          <w:u w:color="000000"/>
          <w:bdr w:val="nil"/>
          <w:lang w:eastAsia="fr-FR"/>
        </w:rPr>
        <w:t>enfant de son conjoint n</w:t>
      </w:r>
      <w:r w:rsidRPr="00A85C28" w:rsidR="00A85C28">
        <w:rPr>
          <w:rFonts w:eastAsia="Arial Unicode MS"/>
          <w:u w:color="000000"/>
          <w:bdr w:val="nil"/>
          <w:lang w:eastAsia="fr-FR"/>
        </w:rPr>
        <w:t>’</w:t>
      </w:r>
      <w:r w:rsidRPr="00A85C28">
        <w:rPr>
          <w:rFonts w:eastAsia="Arial Unicode MS"/>
          <w:u w:color="000000"/>
          <w:bdr w:val="nil"/>
          <w:lang w:eastAsia="fr-FR"/>
        </w:rPr>
        <w:t>est pas réservée aux personnes dont le nom ne figure pas sur l</w:t>
      </w:r>
      <w:r w:rsidRPr="00A85C28" w:rsidR="00A85C28">
        <w:rPr>
          <w:rFonts w:eastAsia="Arial Unicode MS"/>
          <w:u w:color="000000"/>
          <w:bdr w:val="nil"/>
          <w:lang w:eastAsia="fr-FR"/>
        </w:rPr>
        <w:t>’</w:t>
      </w:r>
      <w:r w:rsidRPr="00A85C28">
        <w:rPr>
          <w:rFonts w:eastAsia="Arial Unicode MS"/>
          <w:u w:color="000000"/>
          <w:bdr w:val="nil"/>
          <w:lang w:eastAsia="fr-FR"/>
        </w:rPr>
        <w:t>acte de naissance établi à l</w:t>
      </w:r>
      <w:r w:rsidRPr="00A85C28" w:rsidR="00A85C28">
        <w:rPr>
          <w:rFonts w:eastAsia="Arial Unicode MS"/>
          <w:u w:color="000000"/>
          <w:bdr w:val="nil"/>
          <w:lang w:eastAsia="fr-FR"/>
        </w:rPr>
        <w:t>’</w:t>
      </w:r>
      <w:r w:rsidRPr="00A85C28">
        <w:rPr>
          <w:rFonts w:eastAsia="Arial Unicode MS"/>
          <w:u w:color="000000"/>
          <w:bdr w:val="nil"/>
          <w:lang w:eastAsia="fr-FR"/>
        </w:rPr>
        <w:t>étranger. Il note à cet égard que, dans deux des trois arrêts précités du 5 juillet 2017, la Cour de cassation s</w:t>
      </w:r>
      <w:r w:rsidRPr="00A85C28" w:rsidR="00A85C28">
        <w:rPr>
          <w:rFonts w:eastAsia="Arial Unicode MS"/>
          <w:u w:color="000000"/>
          <w:bdr w:val="nil"/>
          <w:lang w:eastAsia="fr-FR"/>
        </w:rPr>
        <w:t>’</w:t>
      </w:r>
      <w:r w:rsidRPr="00A85C28">
        <w:rPr>
          <w:rFonts w:eastAsia="Arial Unicode MS"/>
          <w:u w:color="000000"/>
          <w:bdr w:val="nil"/>
          <w:lang w:eastAsia="fr-FR"/>
        </w:rPr>
        <w:t>est précisément prononcée sur la situation de mères d</w:t>
      </w:r>
      <w:r w:rsidRPr="00A85C28" w:rsidR="00A85C28">
        <w:rPr>
          <w:rFonts w:eastAsia="Arial Unicode MS"/>
          <w:u w:color="000000"/>
          <w:bdr w:val="nil"/>
          <w:lang w:eastAsia="fr-FR"/>
        </w:rPr>
        <w:t>’</w:t>
      </w:r>
      <w:r w:rsidRPr="00A85C28">
        <w:rPr>
          <w:rFonts w:eastAsia="Arial Unicode MS"/>
          <w:u w:color="000000"/>
          <w:bdr w:val="nil"/>
          <w:lang w:eastAsia="fr-FR"/>
        </w:rPr>
        <w:t>intention dont le nom figurait sur l</w:t>
      </w:r>
      <w:r w:rsidRPr="00A85C28" w:rsidR="00A85C28">
        <w:rPr>
          <w:rFonts w:eastAsia="Arial Unicode MS"/>
          <w:u w:color="000000"/>
          <w:bdr w:val="nil"/>
          <w:lang w:eastAsia="fr-FR"/>
        </w:rPr>
        <w:t>’</w:t>
      </w:r>
      <w:r w:rsidRPr="00A85C28">
        <w:rPr>
          <w:rFonts w:eastAsia="Arial Unicode MS"/>
          <w:u w:color="000000"/>
          <w:bdr w:val="nil"/>
          <w:lang w:eastAsia="fr-FR"/>
        </w:rPr>
        <w:t>acte de naissance établi à l</w:t>
      </w:r>
      <w:r w:rsidRPr="00A85C28" w:rsidR="00A85C28">
        <w:rPr>
          <w:rFonts w:eastAsia="Arial Unicode MS"/>
          <w:u w:color="000000"/>
          <w:bdr w:val="nil"/>
          <w:lang w:eastAsia="fr-FR"/>
        </w:rPr>
        <w:t>’</w:t>
      </w:r>
      <w:r w:rsidRPr="00A85C28">
        <w:rPr>
          <w:rFonts w:eastAsia="Arial Unicode MS"/>
          <w:u w:color="000000"/>
          <w:bdr w:val="nil"/>
          <w:lang w:eastAsia="fr-FR"/>
        </w:rPr>
        <w:t>étranger à la suite du recours à une gestation pour autrui et a explicitement indiqué que l</w:t>
      </w:r>
      <w:r w:rsidRPr="00A85C28" w:rsidR="00A85C28">
        <w:rPr>
          <w:rFonts w:eastAsia="Arial Unicode MS"/>
          <w:u w:color="000000"/>
          <w:bdr w:val="nil"/>
          <w:lang w:eastAsia="fr-FR"/>
        </w:rPr>
        <w:t>’</w:t>
      </w:r>
      <w:r w:rsidRPr="00A85C28">
        <w:rPr>
          <w:rFonts w:eastAsia="Arial Unicode MS"/>
          <w:u w:color="000000"/>
          <w:bdr w:val="nil"/>
          <w:lang w:eastAsia="fr-FR"/>
        </w:rPr>
        <w:t>adoption était possible dans cette configuration. Il précise que, lorsque le nom de la mère porteuse figure sur l</w:t>
      </w:r>
      <w:r w:rsidRPr="00A85C28" w:rsidR="00A85C28">
        <w:rPr>
          <w:rFonts w:eastAsia="Arial Unicode MS"/>
          <w:u w:color="000000"/>
          <w:bdr w:val="nil"/>
          <w:lang w:eastAsia="fr-FR"/>
        </w:rPr>
        <w:t>’</w:t>
      </w:r>
      <w:r w:rsidRPr="00A85C28">
        <w:rPr>
          <w:rFonts w:eastAsia="Arial Unicode MS"/>
          <w:u w:color="000000"/>
          <w:bdr w:val="nil"/>
          <w:lang w:eastAsia="fr-FR"/>
        </w:rPr>
        <w:t>acte de naissance, il peut s</w:t>
      </w:r>
      <w:r w:rsidRPr="00A85C28" w:rsidR="00A85C28">
        <w:rPr>
          <w:rFonts w:eastAsia="Arial Unicode MS"/>
          <w:u w:color="000000"/>
          <w:bdr w:val="nil"/>
          <w:lang w:eastAsia="fr-FR"/>
        </w:rPr>
        <w:t>’</w:t>
      </w:r>
      <w:r w:rsidRPr="00A85C28">
        <w:rPr>
          <w:rFonts w:eastAsia="Arial Unicode MS"/>
          <w:u w:color="000000"/>
          <w:bdr w:val="nil"/>
          <w:lang w:eastAsia="fr-FR"/>
        </w:rPr>
        <w:t>agir d</w:t>
      </w:r>
      <w:r w:rsidRPr="00A85C28" w:rsidR="00A85C28">
        <w:rPr>
          <w:rFonts w:eastAsia="Arial Unicode MS"/>
          <w:u w:color="000000"/>
          <w:bdr w:val="nil"/>
          <w:lang w:eastAsia="fr-FR"/>
        </w:rPr>
        <w:t>’</w:t>
      </w:r>
      <w:r w:rsidRPr="00A85C28">
        <w:rPr>
          <w:rFonts w:eastAsia="Arial Unicode MS"/>
          <w:u w:color="000000"/>
          <w:bdr w:val="nil"/>
          <w:lang w:eastAsia="fr-FR"/>
        </w:rPr>
        <w:t>une adoption simple ; si tel n</w:t>
      </w:r>
      <w:r w:rsidRPr="00A85C28" w:rsidR="00A85C28">
        <w:rPr>
          <w:rFonts w:eastAsia="Arial Unicode MS"/>
          <w:u w:color="000000"/>
          <w:bdr w:val="nil"/>
          <w:lang w:eastAsia="fr-FR"/>
        </w:rPr>
        <w:t>’</w:t>
      </w:r>
      <w:r w:rsidRPr="00A85C28">
        <w:rPr>
          <w:rFonts w:eastAsia="Arial Unicode MS"/>
          <w:u w:color="000000"/>
          <w:bdr w:val="nil"/>
          <w:lang w:eastAsia="fr-FR"/>
        </w:rPr>
        <w:t>est pas le cas, il peut s</w:t>
      </w:r>
      <w:r w:rsidRPr="00A85C28" w:rsidR="00A85C28">
        <w:rPr>
          <w:rFonts w:eastAsia="Arial Unicode MS"/>
          <w:u w:color="000000"/>
          <w:bdr w:val="nil"/>
          <w:lang w:eastAsia="fr-FR"/>
        </w:rPr>
        <w:t>’</w:t>
      </w:r>
      <w:r w:rsidRPr="00A85C28">
        <w:rPr>
          <w:rFonts w:eastAsia="Arial Unicode MS"/>
          <w:u w:color="000000"/>
          <w:bdr w:val="nil"/>
          <w:lang w:eastAsia="fr-FR"/>
        </w:rPr>
        <w:t>agir d</w:t>
      </w:r>
      <w:r w:rsidRPr="00A85C28" w:rsidR="00A85C28">
        <w:rPr>
          <w:rFonts w:eastAsia="Arial Unicode MS"/>
          <w:u w:color="000000"/>
          <w:bdr w:val="nil"/>
          <w:lang w:eastAsia="fr-FR"/>
        </w:rPr>
        <w:t>’</w:t>
      </w:r>
      <w:r w:rsidRPr="00A85C28">
        <w:rPr>
          <w:rFonts w:eastAsia="Arial Unicode MS"/>
          <w:u w:color="000000"/>
          <w:bdr w:val="nil"/>
          <w:lang w:eastAsia="fr-FR"/>
        </w:rPr>
        <w:t>une adoption plénière. Il produit le résultat d</w:t>
      </w:r>
      <w:r w:rsidRPr="00A85C28" w:rsidR="00A85C28">
        <w:rPr>
          <w:rFonts w:eastAsia="Arial Unicode MS"/>
          <w:u w:color="000000"/>
          <w:bdr w:val="nil"/>
          <w:lang w:eastAsia="fr-FR"/>
        </w:rPr>
        <w:t>’</w:t>
      </w:r>
      <w:r w:rsidRPr="00A85C28">
        <w:rPr>
          <w:rFonts w:eastAsia="Arial Unicode MS"/>
          <w:u w:color="000000"/>
          <w:bdr w:val="nil"/>
          <w:lang w:eastAsia="fr-FR"/>
        </w:rPr>
        <w:t>une étude réalisée en 2018 à la demande de la ministre de la justice, dont il ressort qu</w:t>
      </w:r>
      <w:r w:rsidRPr="00A85C28" w:rsidR="00A85C28">
        <w:rPr>
          <w:rFonts w:eastAsia="Arial Unicode MS"/>
          <w:u w:color="000000"/>
          <w:bdr w:val="nil"/>
          <w:lang w:eastAsia="fr-FR"/>
        </w:rPr>
        <w:t>’</w:t>
      </w:r>
      <w:r w:rsidRPr="00A85C28">
        <w:rPr>
          <w:rFonts w:eastAsia="Arial Unicode MS"/>
          <w:u w:color="000000"/>
          <w:bdr w:val="nil"/>
          <w:lang w:eastAsia="fr-FR"/>
        </w:rPr>
        <w:t>il est fait droit à la très grande majorité des demandes d</w:t>
      </w:r>
      <w:r w:rsidRPr="00A85C28" w:rsidR="00A85C28">
        <w:rPr>
          <w:rFonts w:eastAsia="Arial Unicode MS"/>
          <w:u w:color="000000"/>
          <w:bdr w:val="nil"/>
          <w:lang w:eastAsia="fr-FR"/>
        </w:rPr>
        <w:t>’</w:t>
      </w:r>
      <w:r w:rsidRPr="00A85C28">
        <w:rPr>
          <w:rFonts w:eastAsia="Arial Unicode MS"/>
          <w:u w:color="000000"/>
          <w:bdr w:val="nil"/>
          <w:lang w:eastAsia="fr-FR"/>
        </w:rPr>
        <w:t>adoptions formées dans ce contexte. Il indique de plus qu</w:t>
      </w:r>
      <w:r w:rsidRPr="00A85C28" w:rsidR="00A85C28">
        <w:rPr>
          <w:rFonts w:eastAsia="Arial Unicode MS"/>
          <w:u w:color="000000"/>
          <w:bdr w:val="nil"/>
          <w:lang w:eastAsia="fr-FR"/>
        </w:rPr>
        <w:t>’</w:t>
      </w:r>
      <w:r w:rsidRPr="00A85C28">
        <w:rPr>
          <w:rFonts w:eastAsia="Arial Unicode MS"/>
          <w:u w:color="000000"/>
          <w:bdr w:val="nil"/>
          <w:lang w:eastAsia="fr-FR"/>
        </w:rPr>
        <w:t>il ressort des informations les plus récentes recueillies auprès des juridictions françaises que le délai moyen pour l</w:t>
      </w:r>
      <w:r w:rsidRPr="00A85C28" w:rsidR="00A85C28">
        <w:rPr>
          <w:rFonts w:eastAsia="Arial Unicode MS"/>
          <w:u w:color="000000"/>
          <w:bdr w:val="nil"/>
          <w:lang w:eastAsia="fr-FR"/>
        </w:rPr>
        <w:t>’</w:t>
      </w:r>
      <w:r w:rsidRPr="00A85C28">
        <w:rPr>
          <w:rFonts w:eastAsia="Arial Unicode MS"/>
          <w:u w:color="000000"/>
          <w:bdr w:val="nil"/>
          <w:lang w:eastAsia="fr-FR"/>
        </w:rPr>
        <w:t>obtention d</w:t>
      </w:r>
      <w:r w:rsidRPr="00A85C28" w:rsidR="00A85C28">
        <w:rPr>
          <w:rFonts w:eastAsia="Arial Unicode MS"/>
          <w:u w:color="000000"/>
          <w:bdr w:val="nil"/>
          <w:lang w:eastAsia="fr-FR"/>
        </w:rPr>
        <w:t>’</w:t>
      </w:r>
      <w:r w:rsidRPr="00A85C28" w:rsidR="00052B5B">
        <w:rPr>
          <w:rFonts w:eastAsia="Arial Unicode MS"/>
          <w:u w:color="000000"/>
          <w:bdr w:val="nil"/>
          <w:lang w:eastAsia="fr-FR"/>
        </w:rPr>
        <w:t>une décision est de 4,7 </w:t>
      </w:r>
      <w:r w:rsidRPr="00A85C28">
        <w:rPr>
          <w:rFonts w:eastAsia="Arial Unicode MS"/>
          <w:u w:color="000000"/>
          <w:bdr w:val="nil"/>
          <w:lang w:eastAsia="fr-FR"/>
        </w:rPr>
        <w:t>mois pour l</w:t>
      </w:r>
      <w:r w:rsidRPr="00A85C28" w:rsidR="00A85C28">
        <w:rPr>
          <w:rFonts w:eastAsia="Arial Unicode MS"/>
          <w:u w:color="000000"/>
          <w:bdr w:val="nil"/>
          <w:lang w:eastAsia="fr-FR"/>
        </w:rPr>
        <w:t>’</w:t>
      </w:r>
      <w:r w:rsidRPr="00A85C28">
        <w:rPr>
          <w:rFonts w:eastAsia="Arial Unicode MS"/>
          <w:u w:color="000000"/>
          <w:bdr w:val="nil"/>
          <w:lang w:eastAsia="fr-FR"/>
        </w:rPr>
        <w:t>adoption simple et de 4,1 mois pour l</w:t>
      </w:r>
      <w:r w:rsidRPr="00A85C28" w:rsidR="00A85C28">
        <w:rPr>
          <w:rFonts w:eastAsia="Arial Unicode MS"/>
          <w:u w:color="000000"/>
          <w:bdr w:val="nil"/>
          <w:lang w:eastAsia="fr-FR"/>
        </w:rPr>
        <w:t>’</w:t>
      </w:r>
      <w:r w:rsidRPr="00A85C28">
        <w:rPr>
          <w:rFonts w:eastAsia="Arial Unicode MS"/>
          <w:u w:color="000000"/>
          <w:bdr w:val="nil"/>
          <w:lang w:eastAsia="fr-FR"/>
        </w:rPr>
        <w:t>adoption plénière.</w:t>
      </w:r>
    </w:p>
    <w:p w:rsidRPr="00A85C28" w:rsidR="004D2843" w:rsidP="00A85C28">
      <w:pPr>
        <w:pStyle w:val="ECHRPara"/>
        <w:rPr>
          <w:rFonts w:eastAsia="Arial Unicode MS"/>
          <w:u w:color="000000"/>
          <w:bdr w:val="nil"/>
          <w:lang w:eastAsia="fr-FR"/>
        </w:rPr>
      </w:pPr>
      <w:r w:rsidRPr="00A85C28">
        <w:rPr>
          <w:rFonts w:eastAsia="Arial Unicode MS"/>
          <w:u w:color="000000"/>
          <w:bdr w:val="nil"/>
          <w:lang w:eastAsia="fr-FR"/>
        </w:rPr>
        <w:fldChar w:fldCharType="begin"/>
      </w:r>
      <w:r w:rsidRPr="00A85C28">
        <w:rPr>
          <w:rFonts w:eastAsia="Arial Unicode MS"/>
          <w:u w:color="000000"/>
          <w:bdr w:val="nil"/>
          <w:lang w:eastAsia="fr-FR"/>
        </w:rPr>
        <w:instrText xml:space="preserve"> SEQ level0 \*arabic </w:instrText>
      </w:r>
      <w:r w:rsidRPr="00A85C28">
        <w:rPr>
          <w:rFonts w:eastAsia="Arial Unicode MS"/>
          <w:u w:color="000000"/>
          <w:bdr w:val="nil"/>
          <w:lang w:eastAsia="fr-FR"/>
        </w:rPr>
        <w:fldChar w:fldCharType="separate"/>
      </w:r>
      <w:r w:rsidRPr="00A85C28" w:rsidR="00A85C28">
        <w:rPr>
          <w:rFonts w:eastAsia="Arial Unicode MS"/>
          <w:noProof/>
          <w:u w:color="000000"/>
          <w:bdr w:val="nil"/>
          <w:lang w:eastAsia="fr-FR"/>
        </w:rPr>
        <w:t>33</w:t>
      </w:r>
      <w:r w:rsidRPr="00A85C28">
        <w:rPr>
          <w:rFonts w:eastAsia="Arial Unicode MS"/>
          <w:u w:color="000000"/>
          <w:bdr w:val="nil"/>
          <w:lang w:eastAsia="fr-FR"/>
        </w:rPr>
        <w:fldChar w:fldCharType="end"/>
      </w:r>
      <w:r w:rsidRPr="00A85C28">
        <w:rPr>
          <w:rFonts w:eastAsia="Arial Unicode MS"/>
          <w:u w:color="000000"/>
          <w:bdr w:val="nil"/>
          <w:lang w:eastAsia="fr-FR"/>
        </w:rPr>
        <w:t>.  Le Gouvernement souligne par ailleurs que la Cour de cassation a retenu dans son arrêt du 4 octobre 2019 que, dans le cas d</w:t>
      </w:r>
      <w:r w:rsidRPr="00A85C28" w:rsidR="00A85C28">
        <w:rPr>
          <w:rFonts w:eastAsia="Arial Unicode MS"/>
          <w:u w:color="000000"/>
          <w:bdr w:val="nil"/>
          <w:lang w:eastAsia="fr-FR"/>
        </w:rPr>
        <w:t>’</w:t>
      </w:r>
      <w:r w:rsidRPr="00A85C28">
        <w:rPr>
          <w:rFonts w:eastAsia="Arial Unicode MS"/>
          <w:u w:color="000000"/>
          <w:bdr w:val="nil"/>
          <w:lang w:eastAsia="fr-FR"/>
        </w:rPr>
        <w:t>une gestation pour autrui réalisée à l</w:t>
      </w:r>
      <w:r w:rsidRPr="00A85C28" w:rsidR="00A85C28">
        <w:rPr>
          <w:rFonts w:eastAsia="Arial Unicode MS"/>
          <w:u w:color="000000"/>
          <w:bdr w:val="nil"/>
          <w:lang w:eastAsia="fr-FR"/>
        </w:rPr>
        <w:t>’</w:t>
      </w:r>
      <w:r w:rsidRPr="00A85C28">
        <w:rPr>
          <w:rFonts w:eastAsia="Arial Unicode MS"/>
          <w:u w:color="000000"/>
          <w:bdr w:val="nil"/>
          <w:lang w:eastAsia="fr-FR"/>
        </w:rPr>
        <w:t>étranger, le lien avec la mère d</w:t>
      </w:r>
      <w:r w:rsidRPr="00A85C28" w:rsidR="00A85C28">
        <w:rPr>
          <w:rFonts w:eastAsia="Arial Unicode MS"/>
          <w:u w:color="000000"/>
          <w:bdr w:val="nil"/>
          <w:lang w:eastAsia="fr-FR"/>
        </w:rPr>
        <w:t>’</w:t>
      </w:r>
      <w:r w:rsidRPr="00A85C28">
        <w:rPr>
          <w:rFonts w:eastAsia="Arial Unicode MS"/>
          <w:u w:color="000000"/>
          <w:bdr w:val="nil"/>
          <w:lang w:eastAsia="fr-FR"/>
        </w:rPr>
        <w:t>intention doit être établi en privilégiant un mode de reconnaissance permettant au juge français de contrôler la validité de l</w:t>
      </w:r>
      <w:r w:rsidRPr="00A85C28" w:rsidR="00A85C28">
        <w:rPr>
          <w:rFonts w:eastAsia="Arial Unicode MS"/>
          <w:u w:color="000000"/>
          <w:bdr w:val="nil"/>
          <w:lang w:eastAsia="fr-FR"/>
        </w:rPr>
        <w:t>’</w:t>
      </w:r>
      <w:r w:rsidRPr="00A85C28">
        <w:rPr>
          <w:rFonts w:eastAsia="Arial Unicode MS"/>
          <w:u w:color="000000"/>
          <w:bdr w:val="nil"/>
          <w:lang w:eastAsia="fr-FR"/>
        </w:rPr>
        <w:t>acte ou du jugement étranger et d</w:t>
      </w:r>
      <w:r w:rsidRPr="00A85C28" w:rsidR="00A85C28">
        <w:rPr>
          <w:rFonts w:eastAsia="Arial Unicode MS"/>
          <w:u w:color="000000"/>
          <w:bdr w:val="nil"/>
          <w:lang w:eastAsia="fr-FR"/>
        </w:rPr>
        <w:t>’</w:t>
      </w:r>
      <w:r w:rsidRPr="00A85C28">
        <w:rPr>
          <w:rFonts w:eastAsia="Arial Unicode MS"/>
          <w:u w:color="000000"/>
          <w:bdr w:val="nil"/>
          <w:lang w:eastAsia="fr-FR"/>
        </w:rPr>
        <w:t>examiner les circonstances particulières dans lesquelles se trouve l</w:t>
      </w:r>
      <w:r w:rsidRPr="00A85C28" w:rsidR="00A85C28">
        <w:rPr>
          <w:rFonts w:eastAsia="Arial Unicode MS"/>
          <w:u w:color="000000"/>
          <w:bdr w:val="nil"/>
          <w:lang w:eastAsia="fr-FR"/>
        </w:rPr>
        <w:t>’</w:t>
      </w:r>
      <w:r w:rsidRPr="00A85C28">
        <w:rPr>
          <w:rFonts w:eastAsia="Arial Unicode MS"/>
          <w:u w:color="000000"/>
          <w:bdr w:val="nil"/>
          <w:lang w:eastAsia="fr-FR"/>
        </w:rPr>
        <w:t>enfant, ce que permet la procédure d</w:t>
      </w:r>
      <w:r w:rsidRPr="00A85C28" w:rsidR="00A85C28">
        <w:rPr>
          <w:rFonts w:eastAsia="Arial Unicode MS"/>
          <w:u w:color="000000"/>
          <w:bdr w:val="nil"/>
          <w:lang w:eastAsia="fr-FR"/>
        </w:rPr>
        <w:t>’</w:t>
      </w:r>
      <w:r w:rsidRPr="00A85C28">
        <w:rPr>
          <w:rFonts w:eastAsia="Arial Unicode MS"/>
          <w:u w:color="000000"/>
          <w:bdr w:val="nil"/>
          <w:lang w:eastAsia="fr-FR"/>
        </w:rPr>
        <w:t>adoption.</w:t>
      </w:r>
    </w:p>
    <w:p w:rsidRPr="00A85C28" w:rsidR="004D2843" w:rsidP="00A85C28">
      <w:pPr>
        <w:pStyle w:val="ECHRPara"/>
        <w:rPr>
          <w:rFonts w:eastAsia="Arial Unicode MS"/>
          <w:u w:color="000000"/>
          <w:bdr w:val="nil"/>
          <w:lang w:eastAsia="fr-FR"/>
        </w:rPr>
      </w:pPr>
      <w:r w:rsidRPr="00A85C28">
        <w:rPr>
          <w:rFonts w:eastAsia="Arial Unicode MS"/>
          <w:u w:color="000000"/>
          <w:bdr w:val="nil"/>
          <w:lang w:eastAsia="fr-FR"/>
        </w:rPr>
        <w:fldChar w:fldCharType="begin"/>
      </w:r>
      <w:r w:rsidRPr="00A85C28">
        <w:rPr>
          <w:rFonts w:eastAsia="Arial Unicode MS"/>
          <w:u w:color="000000"/>
          <w:bdr w:val="nil"/>
          <w:lang w:eastAsia="fr-FR"/>
        </w:rPr>
        <w:instrText xml:space="preserve"> SEQ level0 \*arabic </w:instrText>
      </w:r>
      <w:r w:rsidRPr="00A85C28">
        <w:rPr>
          <w:rFonts w:eastAsia="Arial Unicode MS"/>
          <w:u w:color="000000"/>
          <w:bdr w:val="nil"/>
          <w:lang w:eastAsia="fr-FR"/>
        </w:rPr>
        <w:fldChar w:fldCharType="separate"/>
      </w:r>
      <w:r w:rsidRPr="00A85C28" w:rsidR="00A85C28">
        <w:rPr>
          <w:rFonts w:eastAsia="Arial Unicode MS"/>
          <w:noProof/>
          <w:u w:color="000000"/>
          <w:bdr w:val="nil"/>
          <w:lang w:eastAsia="fr-FR"/>
        </w:rPr>
        <w:t>34</w:t>
      </w:r>
      <w:r w:rsidRPr="00A85C28">
        <w:rPr>
          <w:rFonts w:eastAsia="Arial Unicode MS"/>
          <w:u w:color="000000"/>
          <w:bdr w:val="nil"/>
          <w:lang w:eastAsia="fr-FR"/>
        </w:rPr>
        <w:fldChar w:fldCharType="end"/>
      </w:r>
      <w:r w:rsidRPr="00A85C28">
        <w:rPr>
          <w:rFonts w:eastAsia="Arial Unicode MS"/>
          <w:u w:color="000000"/>
          <w:bdr w:val="nil"/>
          <w:lang w:eastAsia="fr-FR"/>
        </w:rPr>
        <w:t>.  Le Gouvernement renvoie aussi à l</w:t>
      </w:r>
      <w:r w:rsidRPr="00A85C28" w:rsidR="00A85C28">
        <w:rPr>
          <w:rFonts w:eastAsia="Arial Unicode MS"/>
          <w:u w:color="000000"/>
          <w:bdr w:val="nil"/>
          <w:lang w:eastAsia="fr-FR"/>
        </w:rPr>
        <w:t>’</w:t>
      </w:r>
      <w:r w:rsidRPr="00A85C28">
        <w:rPr>
          <w:rFonts w:eastAsia="Arial Unicode MS"/>
          <w:u w:color="000000"/>
          <w:bdr w:val="nil"/>
          <w:lang w:eastAsia="fr-FR"/>
        </w:rPr>
        <w:t>avis consultatif n</w:t>
      </w:r>
      <w:r w:rsidRPr="00A85C28">
        <w:rPr>
          <w:rFonts w:eastAsia="Arial Unicode MS"/>
          <w:u w:color="000000"/>
          <w:bdr w:val="nil"/>
          <w:vertAlign w:val="superscript"/>
          <w:lang w:eastAsia="fr-FR"/>
        </w:rPr>
        <w:t>o</w:t>
      </w:r>
      <w:r w:rsidRPr="00A85C28">
        <w:rPr>
          <w:rFonts w:eastAsia="Arial Unicode MS"/>
          <w:u w:color="000000"/>
          <w:bdr w:val="nil"/>
          <w:lang w:eastAsia="fr-FR"/>
        </w:rPr>
        <w:t xml:space="preserve"> P16-2018-001 précité en ce qu</w:t>
      </w:r>
      <w:r w:rsidRPr="00A85C28" w:rsidR="00A85C28">
        <w:rPr>
          <w:rFonts w:eastAsia="Arial Unicode MS"/>
          <w:u w:color="000000"/>
          <w:bdr w:val="nil"/>
          <w:lang w:eastAsia="fr-FR"/>
        </w:rPr>
        <w:t>’</w:t>
      </w:r>
      <w:r w:rsidRPr="00A85C28">
        <w:rPr>
          <w:rFonts w:eastAsia="Arial Unicode MS"/>
          <w:u w:color="000000"/>
          <w:bdr w:val="nil"/>
          <w:lang w:eastAsia="fr-FR"/>
        </w:rPr>
        <w:t>il indique que, s</w:t>
      </w:r>
      <w:r w:rsidRPr="00A85C28" w:rsidR="00A85C28">
        <w:rPr>
          <w:rFonts w:eastAsia="Arial Unicode MS"/>
          <w:u w:color="000000"/>
          <w:bdr w:val="nil"/>
          <w:lang w:eastAsia="fr-FR"/>
        </w:rPr>
        <w:t>’</w:t>
      </w:r>
      <w:r w:rsidRPr="00A85C28">
        <w:rPr>
          <w:rFonts w:eastAsia="Arial Unicode MS"/>
          <w:u w:color="000000"/>
          <w:bdr w:val="nil"/>
          <w:lang w:eastAsia="fr-FR"/>
        </w:rPr>
        <w:t>agissant de la mère d</w:t>
      </w:r>
      <w:r w:rsidRPr="00A85C28" w:rsidR="00A85C28">
        <w:rPr>
          <w:rFonts w:eastAsia="Arial Unicode MS"/>
          <w:u w:color="000000"/>
          <w:bdr w:val="nil"/>
          <w:lang w:eastAsia="fr-FR"/>
        </w:rPr>
        <w:t>’</w:t>
      </w:r>
      <w:r w:rsidRPr="00A85C28">
        <w:rPr>
          <w:rFonts w:eastAsia="Arial Unicode MS"/>
          <w:u w:color="000000"/>
          <w:bdr w:val="nil"/>
          <w:lang w:eastAsia="fr-FR"/>
        </w:rPr>
        <w:t>intention, les États parties ne sont pas tenus d</w:t>
      </w:r>
      <w:r w:rsidRPr="00A85C28" w:rsidR="00A85C28">
        <w:rPr>
          <w:rFonts w:eastAsia="Arial Unicode MS"/>
          <w:u w:color="000000"/>
          <w:bdr w:val="nil"/>
          <w:lang w:eastAsia="fr-FR"/>
        </w:rPr>
        <w:t>’</w:t>
      </w:r>
      <w:r w:rsidRPr="00A85C28">
        <w:rPr>
          <w:rFonts w:eastAsia="Arial Unicode MS"/>
          <w:u w:color="000000"/>
          <w:bdr w:val="nil"/>
          <w:lang w:eastAsia="fr-FR"/>
        </w:rPr>
        <w:t>opter pour la transcription de l</w:t>
      </w:r>
      <w:r w:rsidRPr="00A85C28" w:rsidR="00A85C28">
        <w:rPr>
          <w:rFonts w:eastAsia="Arial Unicode MS"/>
          <w:u w:color="000000"/>
          <w:bdr w:val="nil"/>
          <w:lang w:eastAsia="fr-FR"/>
        </w:rPr>
        <w:t>’</w:t>
      </w:r>
      <w:r w:rsidRPr="00A85C28">
        <w:rPr>
          <w:rFonts w:eastAsia="Arial Unicode MS"/>
          <w:u w:color="000000"/>
          <w:bdr w:val="nil"/>
          <w:lang w:eastAsia="fr-FR"/>
        </w:rPr>
        <w:t>acte de naissance étranger, le choix des moyens tombant dans leur marge d</w:t>
      </w:r>
      <w:r w:rsidRPr="00A85C28" w:rsidR="00A85C28">
        <w:rPr>
          <w:rFonts w:eastAsia="Arial Unicode MS"/>
          <w:u w:color="000000"/>
          <w:bdr w:val="nil"/>
          <w:lang w:eastAsia="fr-FR"/>
        </w:rPr>
        <w:t>’</w:t>
      </w:r>
      <w:r w:rsidRPr="00A85C28">
        <w:rPr>
          <w:rFonts w:eastAsia="Arial Unicode MS"/>
          <w:u w:color="000000"/>
          <w:bdr w:val="nil"/>
          <w:lang w:eastAsia="fr-FR"/>
        </w:rPr>
        <w:t>appréciation. Selon lui, rien ne justifierait une conclusion différente lorsque comme en l</w:t>
      </w:r>
      <w:r w:rsidRPr="00A85C28" w:rsidR="00A85C28">
        <w:rPr>
          <w:rFonts w:eastAsia="Arial Unicode MS"/>
          <w:u w:color="000000"/>
          <w:bdr w:val="nil"/>
          <w:lang w:eastAsia="fr-FR"/>
        </w:rPr>
        <w:t>’</w:t>
      </w:r>
      <w:r w:rsidRPr="00A85C28">
        <w:rPr>
          <w:rFonts w:eastAsia="Arial Unicode MS"/>
          <w:u w:color="000000"/>
          <w:bdr w:val="nil"/>
          <w:lang w:eastAsia="fr-FR"/>
        </w:rPr>
        <w:t>espèce l</w:t>
      </w:r>
      <w:r w:rsidRPr="00A85C28" w:rsidR="00A85C28">
        <w:rPr>
          <w:rFonts w:eastAsia="Arial Unicode MS"/>
          <w:u w:color="000000"/>
          <w:bdr w:val="nil"/>
          <w:lang w:eastAsia="fr-FR"/>
        </w:rPr>
        <w:t>’</w:t>
      </w:r>
      <w:r w:rsidRPr="00A85C28">
        <w:rPr>
          <w:rFonts w:eastAsia="Arial Unicode MS"/>
          <w:u w:color="000000"/>
          <w:bdr w:val="nil"/>
          <w:lang w:eastAsia="fr-FR"/>
        </w:rPr>
        <w:t>enfant est issu des gamètes de la mère d</w:t>
      </w:r>
      <w:r w:rsidRPr="00A85C28" w:rsidR="00A85C28">
        <w:rPr>
          <w:rFonts w:eastAsia="Arial Unicode MS"/>
          <w:u w:color="000000"/>
          <w:bdr w:val="nil"/>
          <w:lang w:eastAsia="fr-FR"/>
        </w:rPr>
        <w:t>’</w:t>
      </w:r>
      <w:r w:rsidRPr="00A85C28">
        <w:rPr>
          <w:rFonts w:eastAsia="Arial Unicode MS"/>
          <w:u w:color="000000"/>
          <w:bdr w:val="nil"/>
          <w:lang w:eastAsia="fr-FR"/>
        </w:rPr>
        <w:t>intention. En effet, premièrement, en droit français, la mère est celle qui accouche. Deuxièmement, le refus de transcrire la filiation maternelle inscrite sur les actes de naissance étrangers vise à dissuader le recours par des français à la gestation pour autrui à l</w:t>
      </w:r>
      <w:r w:rsidRPr="00A85C28" w:rsidR="00A85C28">
        <w:rPr>
          <w:rFonts w:eastAsia="Arial Unicode MS"/>
          <w:u w:color="000000"/>
          <w:bdr w:val="nil"/>
          <w:lang w:eastAsia="fr-FR"/>
        </w:rPr>
        <w:t>’</w:t>
      </w:r>
      <w:r w:rsidRPr="00A85C28">
        <w:rPr>
          <w:rFonts w:eastAsia="Arial Unicode MS"/>
          <w:u w:color="000000"/>
          <w:bdr w:val="nil"/>
          <w:lang w:eastAsia="fr-FR"/>
        </w:rPr>
        <w:t>étranger alors qu</w:t>
      </w:r>
      <w:r w:rsidRPr="00A85C28" w:rsidR="00A85C28">
        <w:rPr>
          <w:rFonts w:eastAsia="Arial Unicode MS"/>
          <w:u w:color="000000"/>
          <w:bdr w:val="nil"/>
          <w:lang w:eastAsia="fr-FR"/>
        </w:rPr>
        <w:t>’</w:t>
      </w:r>
      <w:r w:rsidRPr="00A85C28">
        <w:rPr>
          <w:rFonts w:eastAsia="Arial Unicode MS"/>
          <w:u w:color="000000"/>
          <w:bdr w:val="nil"/>
          <w:lang w:eastAsia="fr-FR"/>
        </w:rPr>
        <w:t>elle est interdite en France. Troisièmement, la procédure d</w:t>
      </w:r>
      <w:r w:rsidRPr="00A85C28" w:rsidR="00A85C28">
        <w:rPr>
          <w:rFonts w:eastAsia="Arial Unicode MS"/>
          <w:u w:color="000000"/>
          <w:bdr w:val="nil"/>
          <w:lang w:eastAsia="fr-FR"/>
        </w:rPr>
        <w:t>’</w:t>
      </w:r>
      <w:r w:rsidRPr="00A85C28">
        <w:rPr>
          <w:rFonts w:eastAsia="Arial Unicode MS"/>
          <w:u w:color="000000"/>
          <w:bdr w:val="nil"/>
          <w:lang w:eastAsia="fr-FR"/>
        </w:rPr>
        <w:t>adoption est le mode d</w:t>
      </w:r>
      <w:r w:rsidRPr="00A85C28" w:rsidR="00A85C28">
        <w:rPr>
          <w:rFonts w:eastAsia="Arial Unicode MS"/>
          <w:u w:color="000000"/>
          <w:bdr w:val="nil"/>
          <w:lang w:eastAsia="fr-FR"/>
        </w:rPr>
        <w:t>’</w:t>
      </w:r>
      <w:r w:rsidRPr="00A85C28">
        <w:rPr>
          <w:rFonts w:eastAsia="Arial Unicode MS"/>
          <w:u w:color="000000"/>
          <w:bdr w:val="nil"/>
          <w:lang w:eastAsia="fr-FR"/>
        </w:rPr>
        <w:t>établissement de la filiation le plus adapté car il permet un contrôle juridictionnel du jugement ou de l</w:t>
      </w:r>
      <w:r w:rsidRPr="00A85C28" w:rsidR="00A85C28">
        <w:rPr>
          <w:rFonts w:eastAsia="Arial Unicode MS"/>
          <w:u w:color="000000"/>
          <w:bdr w:val="nil"/>
          <w:lang w:eastAsia="fr-FR"/>
        </w:rPr>
        <w:t>’</w:t>
      </w:r>
      <w:r w:rsidRPr="00A85C28">
        <w:rPr>
          <w:rFonts w:eastAsia="Arial Unicode MS"/>
          <w:u w:color="000000"/>
          <w:bdr w:val="nil"/>
          <w:lang w:eastAsia="fr-FR"/>
        </w:rPr>
        <w:t>acte étrangers et de l</w:t>
      </w:r>
      <w:r w:rsidRPr="00A85C28" w:rsidR="00A85C28">
        <w:rPr>
          <w:rFonts w:eastAsia="Arial Unicode MS"/>
          <w:u w:color="000000"/>
          <w:bdr w:val="nil"/>
          <w:lang w:eastAsia="fr-FR"/>
        </w:rPr>
        <w:t>’</w:t>
      </w:r>
      <w:r w:rsidRPr="00A85C28">
        <w:rPr>
          <w:rFonts w:eastAsia="Arial Unicode MS"/>
          <w:u w:color="000000"/>
          <w:bdr w:val="nil"/>
          <w:lang w:eastAsia="fr-FR"/>
        </w:rPr>
        <w:t>intérêt de l</w:t>
      </w:r>
      <w:r w:rsidRPr="00A85C28" w:rsidR="00A85C28">
        <w:rPr>
          <w:rFonts w:eastAsia="Arial Unicode MS"/>
          <w:u w:color="000000"/>
          <w:bdr w:val="nil"/>
          <w:lang w:eastAsia="fr-FR"/>
        </w:rPr>
        <w:t>’</w:t>
      </w:r>
      <w:r w:rsidRPr="00A85C28">
        <w:rPr>
          <w:rFonts w:eastAsia="Arial Unicode MS"/>
          <w:u w:color="000000"/>
          <w:bdr w:val="nil"/>
          <w:lang w:eastAsia="fr-FR"/>
        </w:rPr>
        <w:t>enfant. Quatrièmement, la Cour a indiqué dans l</w:t>
      </w:r>
      <w:r w:rsidRPr="00A85C28" w:rsidR="00A85C28">
        <w:rPr>
          <w:rFonts w:eastAsia="Arial Unicode MS"/>
          <w:u w:color="000000"/>
          <w:bdr w:val="nil"/>
          <w:lang w:eastAsia="fr-FR"/>
        </w:rPr>
        <w:t>’</w:t>
      </w:r>
      <w:r w:rsidRPr="00A85C28">
        <w:rPr>
          <w:rFonts w:eastAsia="Arial Unicode MS"/>
          <w:u w:color="000000"/>
          <w:bdr w:val="nil"/>
          <w:lang w:eastAsia="fr-FR"/>
        </w:rPr>
        <w:t>avis consultatif n</w:t>
      </w:r>
      <w:r w:rsidRPr="00A85C28">
        <w:rPr>
          <w:rFonts w:eastAsia="Arial Unicode MS"/>
          <w:u w:color="000000"/>
          <w:bdr w:val="nil"/>
          <w:vertAlign w:val="superscript"/>
          <w:lang w:eastAsia="fr-FR"/>
        </w:rPr>
        <w:t>o</w:t>
      </w:r>
      <w:r w:rsidRPr="00A85C28">
        <w:rPr>
          <w:rFonts w:eastAsia="Arial Unicode MS"/>
          <w:u w:color="000000"/>
          <w:bdr w:val="nil"/>
          <w:lang w:eastAsia="fr-FR"/>
        </w:rPr>
        <w:t xml:space="preserve"> P16-2018-001 que l</w:t>
      </w:r>
      <w:r w:rsidRPr="00A85C28" w:rsidR="00A85C28">
        <w:rPr>
          <w:rFonts w:eastAsia="Arial Unicode MS"/>
          <w:u w:color="000000"/>
          <w:bdr w:val="nil"/>
          <w:lang w:eastAsia="fr-FR"/>
        </w:rPr>
        <w:t>’</w:t>
      </w:r>
      <w:r w:rsidRPr="00A85C28">
        <w:rPr>
          <w:rFonts w:eastAsia="Arial Unicode MS"/>
          <w:u w:color="000000"/>
          <w:bdr w:val="nil"/>
          <w:lang w:eastAsia="fr-FR"/>
        </w:rPr>
        <w:t xml:space="preserve">article 8 ne pose pas une obligation générale pour les États de reconnaître </w:t>
      </w:r>
      <w:r w:rsidRPr="00A85C28">
        <w:rPr>
          <w:rFonts w:eastAsia="Arial Unicode MS"/>
          <w:i/>
          <w:u w:color="000000"/>
          <w:bdr w:val="nil"/>
          <w:lang w:eastAsia="fr-FR"/>
        </w:rPr>
        <w:t xml:space="preserve">ab </w:t>
      </w:r>
      <w:r w:rsidRPr="00A85C28">
        <w:rPr>
          <w:rFonts w:eastAsia="Arial Unicode MS"/>
          <w:i/>
          <w:u w:color="000000"/>
          <w:bdr w:val="nil"/>
          <w:lang w:eastAsia="fr-FR"/>
        </w:rPr>
        <w:t>initio</w:t>
      </w:r>
      <w:r w:rsidRPr="00A85C28">
        <w:rPr>
          <w:rFonts w:eastAsia="Arial Unicode MS"/>
          <w:u w:color="000000"/>
          <w:bdr w:val="nil"/>
          <w:lang w:eastAsia="fr-FR"/>
        </w:rPr>
        <w:t xml:space="preserve"> un lien de filiation entre l</w:t>
      </w:r>
      <w:r w:rsidRPr="00A85C28" w:rsidR="00A85C28">
        <w:rPr>
          <w:rFonts w:eastAsia="Arial Unicode MS"/>
          <w:u w:color="000000"/>
          <w:bdr w:val="nil"/>
          <w:lang w:eastAsia="fr-FR"/>
        </w:rPr>
        <w:t>’</w:t>
      </w:r>
      <w:r w:rsidRPr="00A85C28">
        <w:rPr>
          <w:rFonts w:eastAsia="Arial Unicode MS"/>
          <w:u w:color="000000"/>
          <w:bdr w:val="nil"/>
          <w:lang w:eastAsia="fr-FR"/>
        </w:rPr>
        <w:t>enfant et la mère d</w:t>
      </w:r>
      <w:r w:rsidRPr="00A85C28" w:rsidR="00A85C28">
        <w:rPr>
          <w:rFonts w:eastAsia="Arial Unicode MS"/>
          <w:u w:color="000000"/>
          <w:bdr w:val="nil"/>
          <w:lang w:eastAsia="fr-FR"/>
        </w:rPr>
        <w:t>’</w:t>
      </w:r>
      <w:r w:rsidRPr="00A85C28">
        <w:rPr>
          <w:rFonts w:eastAsia="Arial Unicode MS"/>
          <w:u w:color="000000"/>
          <w:bdr w:val="nil"/>
          <w:lang w:eastAsia="fr-FR"/>
        </w:rPr>
        <w:t>intention, l</w:t>
      </w:r>
      <w:r w:rsidRPr="00A85C28" w:rsidR="00A85C28">
        <w:rPr>
          <w:rFonts w:eastAsia="Arial Unicode MS"/>
          <w:u w:color="000000"/>
          <w:bdr w:val="nil"/>
          <w:lang w:eastAsia="fr-FR"/>
        </w:rPr>
        <w:t>’</w:t>
      </w:r>
      <w:r w:rsidRPr="00A85C28">
        <w:rPr>
          <w:rFonts w:eastAsia="Arial Unicode MS"/>
          <w:u w:color="000000"/>
          <w:bdr w:val="nil"/>
          <w:lang w:eastAsia="fr-FR"/>
        </w:rPr>
        <w:t>intérêt supérieur de l</w:t>
      </w:r>
      <w:r w:rsidRPr="00A85C28" w:rsidR="00A85C28">
        <w:rPr>
          <w:rFonts w:eastAsia="Arial Unicode MS"/>
          <w:u w:color="000000"/>
          <w:bdr w:val="nil"/>
          <w:lang w:eastAsia="fr-FR"/>
        </w:rPr>
        <w:t>’</w:t>
      </w:r>
      <w:r w:rsidRPr="00A85C28">
        <w:rPr>
          <w:rFonts w:eastAsia="Arial Unicode MS"/>
          <w:u w:color="000000"/>
          <w:bdr w:val="nil"/>
          <w:lang w:eastAsia="fr-FR"/>
        </w:rPr>
        <w:t>enfant exigeant seulement que la concrétisation des rapports entre l</w:t>
      </w:r>
      <w:r w:rsidRPr="00A85C28" w:rsidR="00A85C28">
        <w:rPr>
          <w:rFonts w:eastAsia="Arial Unicode MS"/>
          <w:u w:color="000000"/>
          <w:bdr w:val="nil"/>
          <w:lang w:eastAsia="fr-FR"/>
        </w:rPr>
        <w:t>’</w:t>
      </w:r>
      <w:r w:rsidRPr="00A85C28">
        <w:rPr>
          <w:rFonts w:eastAsia="Arial Unicode MS"/>
          <w:u w:color="000000"/>
          <w:bdr w:val="nil"/>
          <w:lang w:eastAsia="fr-FR"/>
        </w:rPr>
        <w:t>enfant et la mère d</w:t>
      </w:r>
      <w:r w:rsidRPr="00A85C28" w:rsidR="00A85C28">
        <w:rPr>
          <w:rFonts w:eastAsia="Arial Unicode MS"/>
          <w:u w:color="000000"/>
          <w:bdr w:val="nil"/>
          <w:lang w:eastAsia="fr-FR"/>
        </w:rPr>
        <w:t>’</w:t>
      </w:r>
      <w:r w:rsidRPr="00A85C28">
        <w:rPr>
          <w:rFonts w:eastAsia="Arial Unicode MS"/>
          <w:u w:color="000000"/>
          <w:bdr w:val="nil"/>
          <w:lang w:eastAsia="fr-FR"/>
        </w:rPr>
        <w:t>intention puisse être reconnue postérieurement à sa survenance.</w:t>
      </w:r>
    </w:p>
    <w:p w:rsidRPr="00A85C28" w:rsidR="004D2843" w:rsidP="00A85C28">
      <w:pPr>
        <w:pStyle w:val="ECHRHeading3"/>
        <w:numPr>
          <w:ilvl w:val="3"/>
          <w:numId w:val="24"/>
        </w:numPr>
        <w:tabs>
          <w:tab w:val="clear" w:pos="731"/>
        </w:tabs>
        <w:spacing w:before="100" w:beforeAutospacing="1"/>
        <w:jc w:val="left"/>
        <w:outlineLvl w:val="3"/>
        <w:rPr>
          <w:szCs w:val="24"/>
        </w:rPr>
      </w:pPr>
      <w:r w:rsidRPr="00A85C28">
        <w:rPr>
          <w:szCs w:val="24"/>
        </w:rPr>
        <w:t>Les requérants</w:t>
      </w:r>
    </w:p>
    <w:p w:rsidRPr="00A85C28" w:rsidR="004D2843" w:rsidP="00A85C28">
      <w:pPr>
        <w:pStyle w:val="ECHRPara"/>
        <w:rPr>
          <w:rFonts w:eastAsia="Arial Unicode MS"/>
          <w:u w:color="000000"/>
          <w:bdr w:val="nil"/>
          <w:lang w:eastAsia="fr-FR"/>
        </w:rPr>
      </w:pPr>
      <w:r w:rsidRPr="00A85C28">
        <w:rPr>
          <w:rFonts w:eastAsia="Arial Unicode MS"/>
          <w:u w:color="000000"/>
          <w:bdr w:val="nil"/>
          <w:lang w:eastAsia="fr-FR"/>
        </w:rPr>
        <w:fldChar w:fldCharType="begin"/>
      </w:r>
      <w:r w:rsidRPr="00A85C28">
        <w:rPr>
          <w:rFonts w:eastAsia="Arial Unicode MS"/>
          <w:u w:color="000000"/>
          <w:bdr w:val="nil"/>
          <w:lang w:eastAsia="fr-FR"/>
        </w:rPr>
        <w:instrText xml:space="preserve"> SEQ level0 \*arabic </w:instrText>
      </w:r>
      <w:r w:rsidRPr="00A85C28">
        <w:rPr>
          <w:rFonts w:eastAsia="Arial Unicode MS"/>
          <w:u w:color="000000"/>
          <w:bdr w:val="nil"/>
          <w:lang w:eastAsia="fr-FR"/>
        </w:rPr>
        <w:fldChar w:fldCharType="separate"/>
      </w:r>
      <w:r w:rsidRPr="00A85C28" w:rsidR="00A85C28">
        <w:rPr>
          <w:rFonts w:eastAsia="Arial Unicode MS"/>
          <w:noProof/>
          <w:u w:color="000000"/>
          <w:bdr w:val="nil"/>
          <w:lang w:eastAsia="fr-FR"/>
        </w:rPr>
        <w:t>35</w:t>
      </w:r>
      <w:r w:rsidRPr="00A85C28">
        <w:rPr>
          <w:rFonts w:eastAsia="Arial Unicode MS"/>
          <w:u w:color="000000"/>
          <w:bdr w:val="nil"/>
          <w:lang w:eastAsia="fr-FR"/>
        </w:rPr>
        <w:fldChar w:fldCharType="end"/>
      </w:r>
      <w:r w:rsidRPr="00A85C28">
        <w:rPr>
          <w:rFonts w:eastAsia="Arial Unicode MS"/>
          <w:u w:color="000000"/>
          <w:bdr w:val="nil"/>
          <w:lang w:eastAsia="fr-FR"/>
        </w:rPr>
        <w:t>.  Les requérants estiment que le refus de transcription complet de l</w:t>
      </w:r>
      <w:r w:rsidRPr="00A85C28" w:rsidR="00A85C28">
        <w:rPr>
          <w:rFonts w:eastAsia="Arial Unicode MS"/>
          <w:u w:color="000000"/>
          <w:bdr w:val="nil"/>
          <w:lang w:eastAsia="fr-FR"/>
        </w:rPr>
        <w:t>’</w:t>
      </w:r>
      <w:r w:rsidRPr="00A85C28">
        <w:rPr>
          <w:rFonts w:eastAsia="Arial Unicode MS"/>
          <w:u w:color="000000"/>
          <w:bdr w:val="nil"/>
          <w:lang w:eastAsia="fr-FR"/>
        </w:rPr>
        <w:t>acte de naissance de l</w:t>
      </w:r>
      <w:r w:rsidRPr="00A85C28" w:rsidR="00A85C28">
        <w:rPr>
          <w:rFonts w:eastAsia="Arial Unicode MS"/>
          <w:u w:color="000000"/>
          <w:bdr w:val="nil"/>
          <w:lang w:eastAsia="fr-FR"/>
        </w:rPr>
        <w:t>’</w:t>
      </w:r>
      <w:r w:rsidRPr="00A85C28">
        <w:rPr>
          <w:rFonts w:eastAsia="Arial Unicode MS"/>
          <w:u w:color="000000"/>
          <w:bdr w:val="nil"/>
          <w:lang w:eastAsia="fr-FR"/>
        </w:rPr>
        <w:t>enfant né grâce à une gestation pour autrui ne protège en rien les droits et libertés de l</w:t>
      </w:r>
      <w:r w:rsidRPr="00A85C28" w:rsidR="00A85C28">
        <w:rPr>
          <w:rFonts w:eastAsia="Arial Unicode MS"/>
          <w:u w:color="000000"/>
          <w:bdr w:val="nil"/>
          <w:lang w:eastAsia="fr-FR"/>
        </w:rPr>
        <w:t>’</w:t>
      </w:r>
      <w:r w:rsidRPr="00A85C28">
        <w:rPr>
          <w:rFonts w:eastAsia="Arial Unicode MS"/>
          <w:u w:color="000000"/>
          <w:bdr w:val="nil"/>
          <w:lang w:eastAsia="fr-FR"/>
        </w:rPr>
        <w:t>enfant ou de la femme porteuse.</w:t>
      </w:r>
    </w:p>
    <w:p w:rsidRPr="00A85C28" w:rsidR="004D2843" w:rsidP="00A85C28">
      <w:pPr>
        <w:pStyle w:val="ECHRPara"/>
        <w:rPr>
          <w:rFonts w:eastAsia="Arial Unicode MS"/>
          <w:u w:color="000000"/>
          <w:bdr w:val="nil"/>
          <w:lang w:eastAsia="fr-FR"/>
        </w:rPr>
      </w:pPr>
      <w:r w:rsidRPr="00A85C28">
        <w:rPr>
          <w:rFonts w:eastAsia="Arial Unicode MS"/>
          <w:u w:color="000000"/>
          <w:bdr w:val="nil"/>
          <w:lang w:eastAsia="fr-FR"/>
        </w:rPr>
        <w:fldChar w:fldCharType="begin"/>
      </w:r>
      <w:r w:rsidRPr="00A85C28">
        <w:rPr>
          <w:rFonts w:eastAsia="Arial Unicode MS"/>
          <w:u w:color="000000"/>
          <w:bdr w:val="nil"/>
          <w:lang w:eastAsia="fr-FR"/>
        </w:rPr>
        <w:instrText xml:space="preserve"> SEQ level0 \*arabic </w:instrText>
      </w:r>
      <w:r w:rsidRPr="00A85C28">
        <w:rPr>
          <w:rFonts w:eastAsia="Arial Unicode MS"/>
          <w:u w:color="000000"/>
          <w:bdr w:val="nil"/>
          <w:lang w:eastAsia="fr-FR"/>
        </w:rPr>
        <w:fldChar w:fldCharType="separate"/>
      </w:r>
      <w:r w:rsidRPr="00A85C28" w:rsidR="00A85C28">
        <w:rPr>
          <w:rFonts w:eastAsia="Arial Unicode MS"/>
          <w:noProof/>
          <w:u w:color="000000"/>
          <w:bdr w:val="nil"/>
          <w:lang w:eastAsia="fr-FR"/>
        </w:rPr>
        <w:t>36</w:t>
      </w:r>
      <w:r w:rsidRPr="00A85C28">
        <w:rPr>
          <w:rFonts w:eastAsia="Arial Unicode MS"/>
          <w:u w:color="000000"/>
          <w:bdr w:val="nil"/>
          <w:lang w:eastAsia="fr-FR"/>
        </w:rPr>
        <w:fldChar w:fldCharType="end"/>
      </w:r>
      <w:r w:rsidRPr="00A85C28">
        <w:rPr>
          <w:rFonts w:eastAsia="Arial Unicode MS"/>
          <w:u w:color="000000"/>
          <w:bdr w:val="nil"/>
          <w:lang w:eastAsia="fr-FR"/>
        </w:rPr>
        <w:t>.  Ils soulignent ensuite que, lorsque – premier cas de figure – le père et la mère d</w:t>
      </w:r>
      <w:r w:rsidRPr="00A85C28" w:rsidR="00A85C28">
        <w:rPr>
          <w:rFonts w:eastAsia="Arial Unicode MS"/>
          <w:u w:color="000000"/>
          <w:bdr w:val="nil"/>
          <w:lang w:eastAsia="fr-FR"/>
        </w:rPr>
        <w:t>’</w:t>
      </w:r>
      <w:r w:rsidRPr="00A85C28">
        <w:rPr>
          <w:rFonts w:eastAsia="Arial Unicode MS"/>
          <w:u w:color="000000"/>
          <w:bdr w:val="nil"/>
          <w:lang w:eastAsia="fr-FR"/>
        </w:rPr>
        <w:t>intention sont tous deux indiqués sur l</w:t>
      </w:r>
      <w:r w:rsidRPr="00A85C28" w:rsidR="00A85C28">
        <w:rPr>
          <w:rFonts w:eastAsia="Arial Unicode MS"/>
          <w:u w:color="000000"/>
          <w:bdr w:val="nil"/>
          <w:lang w:eastAsia="fr-FR"/>
        </w:rPr>
        <w:t>’</w:t>
      </w:r>
      <w:r w:rsidRPr="00A85C28">
        <w:rPr>
          <w:rFonts w:eastAsia="Arial Unicode MS"/>
          <w:u w:color="000000"/>
          <w:bdr w:val="nil"/>
          <w:lang w:eastAsia="fr-FR"/>
        </w:rPr>
        <w:t>acte de naissance étranger comme étant les parents de l</w:t>
      </w:r>
      <w:r w:rsidRPr="00A85C28" w:rsidR="00A85C28">
        <w:rPr>
          <w:rFonts w:eastAsia="Arial Unicode MS"/>
          <w:u w:color="000000"/>
          <w:bdr w:val="nil"/>
          <w:lang w:eastAsia="fr-FR"/>
        </w:rPr>
        <w:t>’</w:t>
      </w:r>
      <w:r w:rsidRPr="00A85C28">
        <w:rPr>
          <w:rFonts w:eastAsia="Arial Unicode MS"/>
          <w:u w:color="000000"/>
          <w:bdr w:val="nil"/>
          <w:lang w:eastAsia="fr-FR"/>
        </w:rPr>
        <w:t>enfant, la filiation est établie à l</w:t>
      </w:r>
      <w:r w:rsidRPr="00A85C28" w:rsidR="00A85C28">
        <w:rPr>
          <w:rFonts w:eastAsia="Arial Unicode MS"/>
          <w:u w:color="000000"/>
          <w:bdr w:val="nil"/>
          <w:lang w:eastAsia="fr-FR"/>
        </w:rPr>
        <w:t>’</w:t>
      </w:r>
      <w:r w:rsidRPr="00A85C28">
        <w:rPr>
          <w:rFonts w:eastAsia="Arial Unicode MS"/>
          <w:u w:color="000000"/>
          <w:bdr w:val="nil"/>
          <w:lang w:eastAsia="fr-FR"/>
        </w:rPr>
        <w:t>égard de l</w:t>
      </w:r>
      <w:r w:rsidRPr="00A85C28" w:rsidR="00A85C28">
        <w:rPr>
          <w:rFonts w:eastAsia="Arial Unicode MS"/>
          <w:u w:color="000000"/>
          <w:bdr w:val="nil"/>
          <w:lang w:eastAsia="fr-FR"/>
        </w:rPr>
        <w:t>’</w:t>
      </w:r>
      <w:r w:rsidRPr="00A85C28">
        <w:rPr>
          <w:rFonts w:eastAsia="Arial Unicode MS"/>
          <w:u w:color="000000"/>
          <w:bdr w:val="nil"/>
          <w:lang w:eastAsia="fr-FR"/>
        </w:rPr>
        <w:t>un comme de l</w:t>
      </w:r>
      <w:r w:rsidRPr="00A85C28" w:rsidR="00A85C28">
        <w:rPr>
          <w:rFonts w:eastAsia="Arial Unicode MS"/>
          <w:u w:color="000000"/>
          <w:bdr w:val="nil"/>
          <w:lang w:eastAsia="fr-FR"/>
        </w:rPr>
        <w:t>’</w:t>
      </w:r>
      <w:r w:rsidRPr="00A85C28">
        <w:rPr>
          <w:rFonts w:eastAsia="Arial Unicode MS"/>
          <w:u w:color="000000"/>
          <w:bdr w:val="nil"/>
          <w:lang w:eastAsia="fr-FR"/>
        </w:rPr>
        <w:t>autre, et il n</w:t>
      </w:r>
      <w:r w:rsidRPr="00A85C28" w:rsidR="00A85C28">
        <w:rPr>
          <w:rFonts w:eastAsia="Arial Unicode MS"/>
          <w:u w:color="000000"/>
          <w:bdr w:val="nil"/>
          <w:lang w:eastAsia="fr-FR"/>
        </w:rPr>
        <w:t>’</w:t>
      </w:r>
      <w:r w:rsidRPr="00A85C28">
        <w:rPr>
          <w:rFonts w:eastAsia="Arial Unicode MS"/>
          <w:u w:color="000000"/>
          <w:bdr w:val="nil"/>
          <w:lang w:eastAsia="fr-FR"/>
        </w:rPr>
        <w:t>est pas nécessaire de mettre en place une adoption. Ils ajoutent que, lorsque – deuxième cas de figure – le père et la femme porteuse sont indiqués sur l</w:t>
      </w:r>
      <w:r w:rsidRPr="00A85C28" w:rsidR="00A85C28">
        <w:rPr>
          <w:rFonts w:eastAsia="Arial Unicode MS"/>
          <w:u w:color="000000"/>
          <w:bdr w:val="nil"/>
          <w:lang w:eastAsia="fr-FR"/>
        </w:rPr>
        <w:t>’</w:t>
      </w:r>
      <w:r w:rsidRPr="00A85C28">
        <w:rPr>
          <w:rFonts w:eastAsia="Arial Unicode MS"/>
          <w:u w:color="000000"/>
          <w:bdr w:val="nil"/>
          <w:lang w:eastAsia="fr-FR"/>
        </w:rPr>
        <w:t>acte de naissance étranger, la conjointe du père peut envisager l</w:t>
      </w:r>
      <w:r w:rsidRPr="00A85C28" w:rsidR="00A85C28">
        <w:rPr>
          <w:rFonts w:eastAsia="Arial Unicode MS"/>
          <w:u w:color="000000"/>
          <w:bdr w:val="nil"/>
          <w:lang w:eastAsia="fr-FR"/>
        </w:rPr>
        <w:t>’</w:t>
      </w:r>
      <w:r w:rsidRPr="00A85C28">
        <w:rPr>
          <w:rFonts w:eastAsia="Arial Unicode MS"/>
          <w:u w:color="000000"/>
          <w:bdr w:val="nil"/>
          <w:lang w:eastAsia="fr-FR"/>
        </w:rPr>
        <w:t>adoption simple de l</w:t>
      </w:r>
      <w:r w:rsidRPr="00A85C28" w:rsidR="00A85C28">
        <w:rPr>
          <w:rFonts w:eastAsia="Arial Unicode MS"/>
          <w:u w:color="000000"/>
          <w:bdr w:val="nil"/>
          <w:lang w:eastAsia="fr-FR"/>
        </w:rPr>
        <w:t>’</w:t>
      </w:r>
      <w:r w:rsidRPr="00A85C28">
        <w:rPr>
          <w:rFonts w:eastAsia="Arial Unicode MS"/>
          <w:u w:color="000000"/>
          <w:bdr w:val="nil"/>
          <w:lang w:eastAsia="fr-FR"/>
        </w:rPr>
        <w:t>enfant du conjoint. Toutefois, si c</w:t>
      </w:r>
      <w:r w:rsidRPr="00A85C28" w:rsidR="00A85C28">
        <w:rPr>
          <w:rFonts w:eastAsia="Arial Unicode MS"/>
          <w:u w:color="000000"/>
          <w:bdr w:val="nil"/>
          <w:lang w:eastAsia="fr-FR"/>
        </w:rPr>
        <w:t>’</w:t>
      </w:r>
      <w:r w:rsidRPr="00A85C28">
        <w:rPr>
          <w:rFonts w:eastAsia="Arial Unicode MS"/>
          <w:u w:color="000000"/>
          <w:bdr w:val="nil"/>
          <w:lang w:eastAsia="fr-FR"/>
        </w:rPr>
        <w:t>est bien ce que la Cour de cassation a admis dans l</w:t>
      </w:r>
      <w:r w:rsidRPr="00A85C28" w:rsidR="00A85C28">
        <w:rPr>
          <w:rFonts w:eastAsia="Arial Unicode MS"/>
          <w:u w:color="000000"/>
          <w:bdr w:val="nil"/>
          <w:lang w:eastAsia="fr-FR"/>
        </w:rPr>
        <w:t>’</w:t>
      </w:r>
      <w:r w:rsidRPr="00A85C28">
        <w:rPr>
          <w:rFonts w:eastAsia="Arial Unicode MS"/>
          <w:u w:color="000000"/>
          <w:bdr w:val="nil"/>
          <w:lang w:eastAsia="fr-FR"/>
        </w:rPr>
        <w:t>un des arrêts du 5 juillet 2017 susmentionnés, l</w:t>
      </w:r>
      <w:r w:rsidRPr="00A85C28" w:rsidR="00A85C28">
        <w:rPr>
          <w:rFonts w:eastAsia="Arial Unicode MS"/>
          <w:u w:color="000000"/>
          <w:bdr w:val="nil"/>
          <w:lang w:eastAsia="fr-FR"/>
        </w:rPr>
        <w:t>’</w:t>
      </w:r>
      <w:r w:rsidRPr="00A85C28">
        <w:rPr>
          <w:rFonts w:eastAsia="Arial Unicode MS"/>
          <w:u w:color="000000"/>
          <w:bdr w:val="nil"/>
          <w:lang w:eastAsia="fr-FR"/>
        </w:rPr>
        <w:t>affaire en question ne concernait pas une adoption après un refus de transcription, et le conjoint du père, qui était l</w:t>
      </w:r>
      <w:r w:rsidRPr="00A85C28" w:rsidR="00A85C28">
        <w:rPr>
          <w:rFonts w:eastAsia="Arial Unicode MS"/>
          <w:u w:color="000000"/>
          <w:bdr w:val="nil"/>
          <w:lang w:eastAsia="fr-FR"/>
        </w:rPr>
        <w:t>’</w:t>
      </w:r>
      <w:r w:rsidRPr="00A85C28">
        <w:rPr>
          <w:rFonts w:eastAsia="Arial Unicode MS"/>
          <w:u w:color="000000"/>
          <w:bdr w:val="nil"/>
          <w:lang w:eastAsia="fr-FR"/>
        </w:rPr>
        <w:t>adoptant, ne figurait pas sur l</w:t>
      </w:r>
      <w:r w:rsidRPr="00A85C28" w:rsidR="00A85C28">
        <w:rPr>
          <w:rFonts w:eastAsia="Arial Unicode MS"/>
          <w:u w:color="000000"/>
          <w:bdr w:val="nil"/>
          <w:lang w:eastAsia="fr-FR"/>
        </w:rPr>
        <w:t>’</w:t>
      </w:r>
      <w:r w:rsidRPr="00A85C28">
        <w:rPr>
          <w:rFonts w:eastAsia="Arial Unicode MS"/>
          <w:u w:color="000000"/>
          <w:bdr w:val="nil"/>
          <w:lang w:eastAsia="fr-FR"/>
        </w:rPr>
        <w:t>acte de naissance étranger. Les requérants évoquent un troisième cas de figure, lorsque le père est le seul à être indiqué sur l</w:t>
      </w:r>
      <w:r w:rsidRPr="00A85C28" w:rsidR="00A85C28">
        <w:rPr>
          <w:rFonts w:eastAsia="Arial Unicode MS"/>
          <w:u w:color="000000"/>
          <w:bdr w:val="nil"/>
          <w:lang w:eastAsia="fr-FR"/>
        </w:rPr>
        <w:t>’</w:t>
      </w:r>
      <w:r w:rsidRPr="00A85C28">
        <w:rPr>
          <w:rFonts w:eastAsia="Arial Unicode MS"/>
          <w:u w:color="000000"/>
          <w:bdr w:val="nil"/>
          <w:lang w:eastAsia="fr-FR"/>
        </w:rPr>
        <w:t>acte de naissance étranger ; dans un tel cas, l</w:t>
      </w:r>
      <w:r w:rsidRPr="00A85C28" w:rsidR="00A85C28">
        <w:rPr>
          <w:rFonts w:eastAsia="Arial Unicode MS"/>
          <w:u w:color="000000"/>
          <w:bdr w:val="nil"/>
          <w:lang w:eastAsia="fr-FR"/>
        </w:rPr>
        <w:t>’</w:t>
      </w:r>
      <w:r w:rsidRPr="00A85C28">
        <w:rPr>
          <w:rFonts w:eastAsia="Arial Unicode MS"/>
          <w:u w:color="000000"/>
          <w:bdr w:val="nil"/>
          <w:lang w:eastAsia="fr-FR"/>
        </w:rPr>
        <w:t>adoption plénière de l</w:t>
      </w:r>
      <w:r w:rsidRPr="00A85C28" w:rsidR="00A85C28">
        <w:rPr>
          <w:rFonts w:eastAsia="Arial Unicode MS"/>
          <w:u w:color="000000"/>
          <w:bdr w:val="nil"/>
          <w:lang w:eastAsia="fr-FR"/>
        </w:rPr>
        <w:t>’</w:t>
      </w:r>
      <w:r w:rsidRPr="00A85C28">
        <w:rPr>
          <w:rFonts w:eastAsia="Arial Unicode MS"/>
          <w:u w:color="000000"/>
          <w:bdr w:val="nil"/>
          <w:lang w:eastAsia="fr-FR"/>
        </w:rPr>
        <w:t>enfant par la femme ou le mari du père est possible.</w:t>
      </w:r>
    </w:p>
    <w:p w:rsidRPr="00A85C28" w:rsidR="004D2843" w:rsidP="00A85C28">
      <w:pPr>
        <w:pStyle w:val="ECHRPara"/>
        <w:rPr>
          <w:rFonts w:eastAsia="Arial Unicode MS"/>
          <w:u w:color="000000"/>
          <w:bdr w:val="nil"/>
          <w:lang w:eastAsia="fr-FR"/>
        </w:rPr>
      </w:pPr>
      <w:r w:rsidRPr="00A85C28">
        <w:rPr>
          <w:rFonts w:eastAsia="Arial Unicode MS"/>
          <w:u w:color="000000"/>
          <w:bdr w:val="nil"/>
          <w:lang w:eastAsia="fr-FR"/>
        </w:rPr>
        <w:fldChar w:fldCharType="begin"/>
      </w:r>
      <w:r w:rsidRPr="00A85C28">
        <w:rPr>
          <w:rFonts w:eastAsia="Arial Unicode MS"/>
          <w:u w:color="000000"/>
          <w:bdr w:val="nil"/>
          <w:lang w:eastAsia="fr-FR"/>
        </w:rPr>
        <w:instrText xml:space="preserve"> SEQ level0 \*arabic </w:instrText>
      </w:r>
      <w:r w:rsidRPr="00A85C28">
        <w:rPr>
          <w:rFonts w:eastAsia="Arial Unicode MS"/>
          <w:u w:color="000000"/>
          <w:bdr w:val="nil"/>
          <w:lang w:eastAsia="fr-FR"/>
        </w:rPr>
        <w:fldChar w:fldCharType="separate"/>
      </w:r>
      <w:r w:rsidRPr="00A85C28" w:rsidR="00A85C28">
        <w:rPr>
          <w:rFonts w:eastAsia="Arial Unicode MS"/>
          <w:noProof/>
          <w:u w:color="000000"/>
          <w:bdr w:val="nil"/>
          <w:lang w:eastAsia="fr-FR"/>
        </w:rPr>
        <w:t>37</w:t>
      </w:r>
      <w:r w:rsidRPr="00A85C28">
        <w:rPr>
          <w:rFonts w:eastAsia="Arial Unicode MS"/>
          <w:u w:color="000000"/>
          <w:bdr w:val="nil"/>
          <w:lang w:eastAsia="fr-FR"/>
        </w:rPr>
        <w:fldChar w:fldCharType="end"/>
      </w:r>
      <w:r w:rsidRPr="00A85C28">
        <w:rPr>
          <w:rFonts w:eastAsia="Arial Unicode MS"/>
          <w:u w:color="000000"/>
          <w:bdr w:val="nil"/>
          <w:lang w:eastAsia="fr-FR"/>
        </w:rPr>
        <w:t>.  Les requérants estiment que le recours à une procédure d</w:t>
      </w:r>
      <w:r w:rsidRPr="00A85C28" w:rsidR="00A85C28">
        <w:rPr>
          <w:rFonts w:eastAsia="Arial Unicode MS"/>
          <w:u w:color="000000"/>
          <w:bdr w:val="nil"/>
          <w:lang w:eastAsia="fr-FR"/>
        </w:rPr>
        <w:t>’</w:t>
      </w:r>
      <w:r w:rsidRPr="00A85C28">
        <w:rPr>
          <w:rFonts w:eastAsia="Arial Unicode MS"/>
          <w:u w:color="000000"/>
          <w:bdr w:val="nil"/>
          <w:lang w:eastAsia="fr-FR"/>
        </w:rPr>
        <w:t>adoption ne résoudrait rien dans leur cas car ils « ne demandent pas l</w:t>
      </w:r>
      <w:r w:rsidRPr="00A85C28" w:rsidR="00A85C28">
        <w:rPr>
          <w:rFonts w:eastAsia="Arial Unicode MS"/>
          <w:u w:color="000000"/>
          <w:bdr w:val="nil"/>
          <w:lang w:eastAsia="fr-FR"/>
        </w:rPr>
        <w:t>’</w:t>
      </w:r>
      <w:r w:rsidRPr="00A85C28">
        <w:rPr>
          <w:rFonts w:eastAsia="Arial Unicode MS"/>
          <w:u w:color="000000"/>
          <w:bdr w:val="nil"/>
          <w:lang w:eastAsia="fr-FR"/>
        </w:rPr>
        <w:t>établissement d</w:t>
      </w:r>
      <w:r w:rsidRPr="00A85C28" w:rsidR="00A85C28">
        <w:rPr>
          <w:rFonts w:eastAsia="Arial Unicode MS"/>
          <w:u w:color="000000"/>
          <w:bdr w:val="nil"/>
          <w:lang w:eastAsia="fr-FR"/>
        </w:rPr>
        <w:t>’</w:t>
      </w:r>
      <w:r w:rsidRPr="00A85C28">
        <w:rPr>
          <w:rFonts w:eastAsia="Arial Unicode MS"/>
          <w:u w:color="000000"/>
          <w:bdr w:val="nil"/>
          <w:lang w:eastAsia="fr-FR"/>
        </w:rPr>
        <w:t>une filiation déjà établie », mais le droit</w:t>
      </w:r>
      <w:r w:rsidRPr="00A85C28" w:rsidR="00052B5B">
        <w:rPr>
          <w:rFonts w:eastAsia="Arial Unicode MS"/>
          <w:u w:color="000000"/>
          <w:bdr w:val="nil"/>
          <w:lang w:eastAsia="fr-FR"/>
        </w:rPr>
        <w:t xml:space="preserve"> pour la troisième requérante à </w:t>
      </w:r>
      <w:r w:rsidRPr="00A85C28">
        <w:rPr>
          <w:rFonts w:eastAsia="Arial Unicode MS"/>
          <w:u w:color="000000"/>
          <w:bdr w:val="nil"/>
          <w:lang w:eastAsia="fr-FR"/>
        </w:rPr>
        <w:t>disposer d</w:t>
      </w:r>
      <w:r w:rsidRPr="00A85C28" w:rsidR="00A85C28">
        <w:rPr>
          <w:rFonts w:eastAsia="Arial Unicode MS"/>
          <w:u w:color="000000"/>
          <w:bdr w:val="nil"/>
          <w:lang w:eastAsia="fr-FR"/>
        </w:rPr>
        <w:t>’</w:t>
      </w:r>
      <w:r w:rsidRPr="00A85C28">
        <w:rPr>
          <w:rFonts w:eastAsia="Arial Unicode MS"/>
          <w:u w:color="000000"/>
          <w:bdr w:val="nil"/>
          <w:lang w:eastAsia="fr-FR"/>
        </w:rPr>
        <w:t>un acte de naissance transcrit sur les registres, afin de cesser de subir des tracasseries administratives de toutes natures en raison de suspicion de gestation pour autrui.</w:t>
      </w:r>
    </w:p>
    <w:p w:rsidRPr="00A85C28" w:rsidR="004D2843" w:rsidP="00A85C28">
      <w:pPr>
        <w:pStyle w:val="ECHRPara"/>
        <w:rPr>
          <w:rFonts w:eastAsia="Arial Unicode MS"/>
          <w:u w:color="000000"/>
          <w:bdr w:val="nil"/>
          <w:lang w:eastAsia="fr-FR"/>
        </w:rPr>
      </w:pPr>
      <w:r w:rsidRPr="00A85C28">
        <w:rPr>
          <w:rFonts w:eastAsia="Arial Unicode MS"/>
          <w:u w:color="000000"/>
          <w:bdr w:val="nil"/>
          <w:lang w:eastAsia="fr-FR"/>
        </w:rPr>
        <w:fldChar w:fldCharType="begin"/>
      </w:r>
      <w:r w:rsidRPr="00A85C28">
        <w:rPr>
          <w:rFonts w:eastAsia="Arial Unicode MS"/>
          <w:u w:color="000000"/>
          <w:bdr w:val="nil"/>
          <w:lang w:eastAsia="fr-FR"/>
        </w:rPr>
        <w:instrText xml:space="preserve"> SEQ level0 \*arabic </w:instrText>
      </w:r>
      <w:r w:rsidRPr="00A85C28">
        <w:rPr>
          <w:rFonts w:eastAsia="Arial Unicode MS"/>
          <w:u w:color="000000"/>
          <w:bdr w:val="nil"/>
          <w:lang w:eastAsia="fr-FR"/>
        </w:rPr>
        <w:fldChar w:fldCharType="separate"/>
      </w:r>
      <w:r w:rsidRPr="00A85C28" w:rsidR="00A85C28">
        <w:rPr>
          <w:rFonts w:eastAsia="Arial Unicode MS"/>
          <w:noProof/>
          <w:u w:color="000000"/>
          <w:bdr w:val="nil"/>
          <w:lang w:eastAsia="fr-FR"/>
        </w:rPr>
        <w:t>38</w:t>
      </w:r>
      <w:r w:rsidRPr="00A85C28">
        <w:rPr>
          <w:rFonts w:eastAsia="Arial Unicode MS"/>
          <w:u w:color="000000"/>
          <w:bdr w:val="nil"/>
          <w:lang w:eastAsia="fr-FR"/>
        </w:rPr>
        <w:fldChar w:fldCharType="end"/>
      </w:r>
      <w:r w:rsidRPr="00A85C28">
        <w:rPr>
          <w:rFonts w:eastAsia="Arial Unicode MS"/>
          <w:u w:color="000000"/>
          <w:bdr w:val="nil"/>
          <w:lang w:eastAsia="fr-FR"/>
        </w:rPr>
        <w:t>.  Dans des observations complémentaires du 11 février 2020, les requérants considèrent que, dès lors que les premiers d</w:t>
      </w:r>
      <w:r w:rsidRPr="00A85C28" w:rsidR="00A85C28">
        <w:rPr>
          <w:rFonts w:eastAsia="Arial Unicode MS"/>
          <w:u w:color="000000"/>
          <w:bdr w:val="nil"/>
          <w:lang w:eastAsia="fr-FR"/>
        </w:rPr>
        <w:t>’</w:t>
      </w:r>
      <w:r w:rsidRPr="00A85C28">
        <w:rPr>
          <w:rFonts w:eastAsia="Arial Unicode MS"/>
          <w:u w:color="000000"/>
          <w:bdr w:val="nil"/>
          <w:lang w:eastAsia="fr-FR"/>
        </w:rPr>
        <w:t>entre eux sont les parents génétiques de la troisième requérante, l</w:t>
      </w:r>
      <w:r w:rsidRPr="00A85C28" w:rsidR="00A85C28">
        <w:rPr>
          <w:rFonts w:eastAsia="Arial Unicode MS"/>
          <w:u w:color="000000"/>
          <w:bdr w:val="nil"/>
          <w:lang w:eastAsia="fr-FR"/>
        </w:rPr>
        <w:t>’</w:t>
      </w:r>
      <w:r w:rsidRPr="00A85C28">
        <w:rPr>
          <w:rFonts w:eastAsia="Arial Unicode MS"/>
          <w:u w:color="000000"/>
          <w:bdr w:val="nil"/>
          <w:lang w:eastAsia="fr-FR"/>
        </w:rPr>
        <w:t>article 8 de la Convention requiert tout particulièrement que la reconnaissance du lien de filiation puisse se faire par la transcription de l</w:t>
      </w:r>
      <w:r w:rsidRPr="00A85C28" w:rsidR="00A85C28">
        <w:rPr>
          <w:rFonts w:eastAsia="Arial Unicode MS"/>
          <w:u w:color="000000"/>
          <w:bdr w:val="nil"/>
          <w:lang w:eastAsia="fr-FR"/>
        </w:rPr>
        <w:t>’</w:t>
      </w:r>
      <w:r w:rsidRPr="00A85C28">
        <w:rPr>
          <w:rFonts w:eastAsia="Arial Unicode MS"/>
          <w:u w:color="000000"/>
          <w:bdr w:val="nil"/>
          <w:lang w:eastAsia="fr-FR"/>
        </w:rPr>
        <w:t>acte de naissance étranger sur les registres de l</w:t>
      </w:r>
      <w:r w:rsidRPr="00A85C28" w:rsidR="00A85C28">
        <w:rPr>
          <w:rFonts w:eastAsia="Arial Unicode MS"/>
          <w:u w:color="000000"/>
          <w:bdr w:val="nil"/>
          <w:lang w:eastAsia="fr-FR"/>
        </w:rPr>
        <w:t>’</w:t>
      </w:r>
      <w:r w:rsidRPr="00A85C28">
        <w:rPr>
          <w:rFonts w:eastAsia="Arial Unicode MS"/>
          <w:u w:color="000000"/>
          <w:bdr w:val="nil"/>
          <w:lang w:eastAsia="fr-FR"/>
        </w:rPr>
        <w:t>état civil français. Ils ajoutent que, dans la pratique, en Île de France, les procédures d</w:t>
      </w:r>
      <w:r w:rsidRPr="00A85C28" w:rsidR="00A85C28">
        <w:rPr>
          <w:rFonts w:eastAsia="Arial Unicode MS"/>
          <w:u w:color="000000"/>
          <w:bdr w:val="nil"/>
          <w:lang w:eastAsia="fr-FR"/>
        </w:rPr>
        <w:t>’</w:t>
      </w:r>
      <w:r w:rsidRPr="00A85C28">
        <w:rPr>
          <w:rFonts w:eastAsia="Arial Unicode MS"/>
          <w:u w:color="000000"/>
          <w:bdr w:val="nil"/>
          <w:lang w:eastAsia="fr-FR"/>
        </w:rPr>
        <w:t>adoption prenn</w:t>
      </w:r>
      <w:r w:rsidRPr="00A85C28" w:rsidR="00052B5B">
        <w:rPr>
          <w:rFonts w:eastAsia="Arial Unicode MS"/>
          <w:u w:color="000000"/>
          <w:bdr w:val="nil"/>
          <w:lang w:eastAsia="fr-FR"/>
        </w:rPr>
        <w:t>ent entre neuf et quinze mois à </w:t>
      </w:r>
      <w:r w:rsidRPr="00A85C28">
        <w:rPr>
          <w:rFonts w:eastAsia="Arial Unicode MS"/>
          <w:u w:color="000000"/>
          <w:bdr w:val="nil"/>
          <w:lang w:eastAsia="fr-FR"/>
        </w:rPr>
        <w:t>cause de l</w:t>
      </w:r>
      <w:r w:rsidRPr="00A85C28" w:rsidR="00A85C28">
        <w:rPr>
          <w:rFonts w:eastAsia="Arial Unicode MS"/>
          <w:u w:color="000000"/>
          <w:bdr w:val="nil"/>
          <w:lang w:eastAsia="fr-FR"/>
        </w:rPr>
        <w:t>’</w:t>
      </w:r>
      <w:r w:rsidRPr="00A85C28">
        <w:rPr>
          <w:rFonts w:eastAsia="Arial Unicode MS"/>
          <w:u w:color="000000"/>
          <w:bdr w:val="nil"/>
          <w:lang w:eastAsia="fr-FR"/>
        </w:rPr>
        <w:t>encombrement des juridictions.</w:t>
      </w:r>
    </w:p>
    <w:p w:rsidRPr="00A85C28" w:rsidR="004D2843" w:rsidP="00A85C28">
      <w:pPr>
        <w:pStyle w:val="ECHRPara"/>
      </w:pPr>
      <w:r w:rsidRPr="00A85C28">
        <w:rPr>
          <w:rFonts w:eastAsia="Arial Unicode MS"/>
          <w:u w:color="000000"/>
          <w:bdr w:val="nil"/>
          <w:lang w:eastAsia="fr-FR"/>
        </w:rPr>
        <w:fldChar w:fldCharType="begin"/>
      </w:r>
      <w:r w:rsidRPr="00A85C28">
        <w:rPr>
          <w:rFonts w:eastAsia="Arial Unicode MS"/>
          <w:u w:color="000000"/>
          <w:bdr w:val="nil"/>
          <w:lang w:eastAsia="fr-FR"/>
        </w:rPr>
        <w:instrText xml:space="preserve"> SEQ level0 \*arabic </w:instrText>
      </w:r>
      <w:r w:rsidRPr="00A85C28">
        <w:rPr>
          <w:rFonts w:eastAsia="Arial Unicode MS"/>
          <w:u w:color="000000"/>
          <w:bdr w:val="nil"/>
          <w:lang w:eastAsia="fr-FR"/>
        </w:rPr>
        <w:fldChar w:fldCharType="separate"/>
      </w:r>
      <w:r w:rsidRPr="00A85C28" w:rsidR="00A85C28">
        <w:rPr>
          <w:rFonts w:eastAsia="Arial Unicode MS"/>
          <w:noProof/>
          <w:u w:color="000000"/>
          <w:bdr w:val="nil"/>
          <w:lang w:eastAsia="fr-FR"/>
        </w:rPr>
        <w:t>39</w:t>
      </w:r>
      <w:r w:rsidRPr="00A85C28">
        <w:rPr>
          <w:rFonts w:eastAsia="Arial Unicode MS"/>
          <w:u w:color="000000"/>
          <w:bdr w:val="nil"/>
          <w:lang w:eastAsia="fr-FR"/>
        </w:rPr>
        <w:fldChar w:fldCharType="end"/>
      </w:r>
      <w:r w:rsidRPr="00A85C28">
        <w:rPr>
          <w:rFonts w:eastAsia="Arial Unicode MS"/>
          <w:u w:color="000000"/>
          <w:bdr w:val="nil"/>
          <w:lang w:eastAsia="fr-FR"/>
        </w:rPr>
        <w:t>.  Ils font valoir que c</w:t>
      </w:r>
      <w:r w:rsidRPr="00A85C28" w:rsidR="00A85C28">
        <w:rPr>
          <w:rFonts w:eastAsia="Arial Unicode MS"/>
          <w:u w:color="000000"/>
          <w:bdr w:val="nil"/>
          <w:lang w:eastAsia="fr-FR"/>
        </w:rPr>
        <w:t>’</w:t>
      </w:r>
      <w:r w:rsidRPr="00A85C28">
        <w:rPr>
          <w:rFonts w:eastAsia="Arial Unicode MS"/>
          <w:u w:color="000000"/>
          <w:bdr w:val="nil"/>
          <w:lang w:eastAsia="fr-FR"/>
        </w:rPr>
        <w:t>est en raison de ce manque de célérité de la procédure d</w:t>
      </w:r>
      <w:r w:rsidRPr="00A85C28" w:rsidR="00A85C28">
        <w:rPr>
          <w:rFonts w:eastAsia="Arial Unicode MS"/>
          <w:u w:color="000000"/>
          <w:bdr w:val="nil"/>
          <w:lang w:eastAsia="fr-FR"/>
        </w:rPr>
        <w:t>’</w:t>
      </w:r>
      <w:r w:rsidRPr="00A85C28">
        <w:rPr>
          <w:rFonts w:eastAsia="Arial Unicode MS"/>
          <w:u w:color="000000"/>
          <w:bdr w:val="nil"/>
          <w:lang w:eastAsia="fr-FR"/>
        </w:rPr>
        <w:t>adoption que la première chambre civile de la Cour de cassation a opéré un revirement de jurisprudence le 18 décembre 2019 dans deux affaires dans lesquelles des couples d</w:t>
      </w:r>
      <w:r w:rsidRPr="00A85C28" w:rsidR="00A85C28">
        <w:rPr>
          <w:rFonts w:eastAsia="Arial Unicode MS"/>
          <w:u w:color="000000"/>
          <w:bdr w:val="nil"/>
          <w:lang w:eastAsia="fr-FR"/>
        </w:rPr>
        <w:t>’</w:t>
      </w:r>
      <w:r w:rsidRPr="00A85C28">
        <w:rPr>
          <w:rFonts w:eastAsia="Arial Unicode MS"/>
          <w:u w:color="000000"/>
          <w:bdr w:val="nil"/>
          <w:lang w:eastAsia="fr-FR"/>
        </w:rPr>
        <w:t xml:space="preserve">hommes avaient eu recours à la gestation pour autrui aux </w:t>
      </w:r>
      <w:r w:rsidRPr="00A85C28">
        <w:rPr>
          <w:rFonts w:eastAsia="Arial Unicode MS"/>
          <w:caps/>
          <w:u w:color="000000"/>
          <w:bdr w:val="nil"/>
          <w:lang w:eastAsia="fr-FR"/>
        </w:rPr>
        <w:t>é</w:t>
      </w:r>
      <w:r w:rsidRPr="00A85C28">
        <w:rPr>
          <w:rFonts w:eastAsia="Arial Unicode MS"/>
          <w:u w:color="000000"/>
          <w:bdr w:val="nil"/>
          <w:lang w:eastAsia="fr-FR"/>
        </w:rPr>
        <w:t>tats-Unis. Elle a jugé qu</w:t>
      </w:r>
      <w:r w:rsidRPr="00A85C28" w:rsidR="00A85C28">
        <w:rPr>
          <w:rFonts w:eastAsia="Arial Unicode MS"/>
          <w:u w:color="000000"/>
          <w:bdr w:val="nil"/>
          <w:lang w:eastAsia="fr-FR"/>
        </w:rPr>
        <w:t>’</w:t>
      </w:r>
      <w:r w:rsidRPr="00A85C28">
        <w:rPr>
          <w:rFonts w:eastAsia="Arial Unicode MS"/>
          <w:u w:color="000000"/>
          <w:bdr w:val="nil"/>
          <w:lang w:eastAsia="fr-FR"/>
        </w:rPr>
        <w:t>en présence d</w:t>
      </w:r>
      <w:r w:rsidRPr="00A85C28" w:rsidR="00A85C28">
        <w:rPr>
          <w:rFonts w:eastAsia="Arial Unicode MS"/>
          <w:u w:color="000000"/>
          <w:bdr w:val="nil"/>
          <w:lang w:eastAsia="fr-FR"/>
        </w:rPr>
        <w:t>’</w:t>
      </w:r>
      <w:r w:rsidRPr="00A85C28">
        <w:rPr>
          <w:rFonts w:eastAsia="Arial Unicode MS"/>
          <w:u w:color="000000"/>
          <w:bdr w:val="nil"/>
          <w:lang w:eastAsia="fr-FR"/>
        </w:rPr>
        <w:t>une action aux fins de transcription de l</w:t>
      </w:r>
      <w:r w:rsidRPr="00A85C28" w:rsidR="00A85C28">
        <w:rPr>
          <w:rFonts w:eastAsia="Arial Unicode MS"/>
          <w:u w:color="000000"/>
          <w:bdr w:val="nil"/>
          <w:lang w:eastAsia="fr-FR"/>
        </w:rPr>
        <w:t>’</w:t>
      </w:r>
      <w:r w:rsidRPr="00A85C28">
        <w:rPr>
          <w:rFonts w:eastAsia="Arial Unicode MS"/>
          <w:u w:color="000000"/>
          <w:bdr w:val="nil"/>
          <w:lang w:eastAsia="fr-FR"/>
        </w:rPr>
        <w:t>acte de naissance étranger de l</w:t>
      </w:r>
      <w:r w:rsidRPr="00A85C28" w:rsidR="00A85C28">
        <w:rPr>
          <w:rFonts w:eastAsia="Arial Unicode MS"/>
          <w:u w:color="000000"/>
          <w:bdr w:val="nil"/>
          <w:lang w:eastAsia="fr-FR"/>
        </w:rPr>
        <w:t>’</w:t>
      </w:r>
      <w:r w:rsidRPr="00A85C28">
        <w:rPr>
          <w:rFonts w:eastAsia="Arial Unicode MS"/>
          <w:u w:color="000000"/>
          <w:bdr w:val="nil"/>
          <w:lang w:eastAsia="fr-FR"/>
        </w:rPr>
        <w:t>enfant, ni la circonstance que l</w:t>
      </w:r>
      <w:r w:rsidRPr="00A85C28" w:rsidR="00A85C28">
        <w:rPr>
          <w:rFonts w:eastAsia="Arial Unicode MS"/>
          <w:u w:color="000000"/>
          <w:bdr w:val="nil"/>
          <w:lang w:eastAsia="fr-FR"/>
        </w:rPr>
        <w:t>’</w:t>
      </w:r>
      <w:r w:rsidRPr="00A85C28">
        <w:rPr>
          <w:rFonts w:eastAsia="Arial Unicode MS"/>
          <w:u w:color="000000"/>
          <w:bdr w:val="nil"/>
          <w:lang w:eastAsia="fr-FR"/>
        </w:rPr>
        <w:t>enfant soit né à l</w:t>
      </w:r>
      <w:r w:rsidRPr="00A85C28" w:rsidR="00A85C28">
        <w:rPr>
          <w:rFonts w:eastAsia="Arial Unicode MS"/>
          <w:u w:color="000000"/>
          <w:bdr w:val="nil"/>
          <w:lang w:eastAsia="fr-FR"/>
        </w:rPr>
        <w:t>’</w:t>
      </w:r>
      <w:r w:rsidRPr="00A85C28">
        <w:rPr>
          <w:rFonts w:eastAsia="Arial Unicode MS"/>
          <w:u w:color="000000"/>
          <w:bdr w:val="nil"/>
          <w:lang w:eastAsia="fr-FR"/>
        </w:rPr>
        <w:t>issue d</w:t>
      </w:r>
      <w:r w:rsidRPr="00A85C28" w:rsidR="00A85C28">
        <w:rPr>
          <w:rFonts w:eastAsia="Arial Unicode MS"/>
          <w:u w:color="000000"/>
          <w:bdr w:val="nil"/>
          <w:lang w:eastAsia="fr-FR"/>
        </w:rPr>
        <w:t>’</w:t>
      </w:r>
      <w:r w:rsidRPr="00A85C28">
        <w:rPr>
          <w:rFonts w:eastAsia="Arial Unicode MS"/>
          <w:u w:color="000000"/>
          <w:bdr w:val="nil"/>
          <w:lang w:eastAsia="fr-FR"/>
        </w:rPr>
        <w:t>une convention de gestation pour autrui ni celle que cet acte désigne le père biologique de l</w:t>
      </w:r>
      <w:r w:rsidRPr="00A85C28" w:rsidR="00A85C28">
        <w:rPr>
          <w:rFonts w:eastAsia="Arial Unicode MS"/>
          <w:u w:color="000000"/>
          <w:bdr w:val="nil"/>
          <w:lang w:eastAsia="fr-FR"/>
        </w:rPr>
        <w:t>’</w:t>
      </w:r>
      <w:r w:rsidRPr="00A85C28">
        <w:rPr>
          <w:rFonts w:eastAsia="Arial Unicode MS"/>
          <w:u w:color="000000"/>
          <w:bdr w:val="nil"/>
          <w:lang w:eastAsia="fr-FR"/>
        </w:rPr>
        <w:t>enfant et un deuxième homme comme père</w:t>
      </w:r>
      <w:r w:rsidRPr="00A85C28" w:rsidR="00052B5B">
        <w:rPr>
          <w:rFonts w:eastAsia="Arial Unicode MS"/>
          <w:u w:color="000000"/>
          <w:bdr w:val="nil"/>
          <w:lang w:eastAsia="fr-FR"/>
        </w:rPr>
        <w:t xml:space="preserve"> ne constituent des obstacles à </w:t>
      </w:r>
      <w:r w:rsidRPr="00A85C28">
        <w:rPr>
          <w:rFonts w:eastAsia="Arial Unicode MS"/>
          <w:u w:color="000000"/>
          <w:bdr w:val="nil"/>
          <w:lang w:eastAsia="fr-FR"/>
        </w:rPr>
        <w:t>la transcription de l</w:t>
      </w:r>
      <w:r w:rsidRPr="00A85C28" w:rsidR="00A85C28">
        <w:rPr>
          <w:rFonts w:eastAsia="Arial Unicode MS"/>
          <w:u w:color="000000"/>
          <w:bdr w:val="nil"/>
          <w:lang w:eastAsia="fr-FR"/>
        </w:rPr>
        <w:t>’</w:t>
      </w:r>
      <w:r w:rsidRPr="00A85C28">
        <w:rPr>
          <w:rFonts w:eastAsia="Arial Unicode MS"/>
          <w:u w:color="000000"/>
          <w:bdr w:val="nil"/>
          <w:lang w:eastAsia="fr-FR"/>
        </w:rPr>
        <w:t>acte sur les registres de l</w:t>
      </w:r>
      <w:r w:rsidRPr="00A85C28" w:rsidR="00A85C28">
        <w:rPr>
          <w:rFonts w:eastAsia="Arial Unicode MS"/>
          <w:u w:color="000000"/>
          <w:bdr w:val="nil"/>
          <w:lang w:eastAsia="fr-FR"/>
        </w:rPr>
        <w:t>’</w:t>
      </w:r>
      <w:r w:rsidRPr="00A85C28">
        <w:rPr>
          <w:rFonts w:eastAsia="Arial Unicode MS"/>
          <w:u w:color="000000"/>
          <w:bdr w:val="nil"/>
          <w:lang w:eastAsia="fr-FR"/>
        </w:rPr>
        <w:t>état civil, lorsque celui-ci est probant au sens de l</w:t>
      </w:r>
      <w:r w:rsidRPr="00A85C28" w:rsidR="00A85C28">
        <w:rPr>
          <w:rFonts w:eastAsia="Arial Unicode MS"/>
          <w:u w:color="000000"/>
          <w:bdr w:val="nil"/>
          <w:lang w:eastAsia="fr-FR"/>
        </w:rPr>
        <w:t>’</w:t>
      </w:r>
      <w:r w:rsidRPr="00A85C28">
        <w:rPr>
          <w:rFonts w:eastAsia="Arial Unicode MS"/>
          <w:u w:color="000000"/>
          <w:bdr w:val="nil"/>
          <w:lang w:eastAsia="fr-FR"/>
        </w:rPr>
        <w:t>article 47 du code civil.</w:t>
      </w:r>
    </w:p>
    <w:p w:rsidRPr="00A85C28" w:rsidR="004D2843" w:rsidP="00A85C28">
      <w:pPr>
        <w:pStyle w:val="ECHRHeading2"/>
        <w:numPr>
          <w:ilvl w:val="2"/>
          <w:numId w:val="24"/>
        </w:numPr>
        <w:tabs>
          <w:tab w:val="clear" w:pos="584"/>
        </w:tabs>
        <w:spacing w:before="100" w:beforeAutospacing="1"/>
        <w:jc w:val="left"/>
        <w:outlineLvl w:val="2"/>
        <w:rPr>
          <w:rFonts w:eastAsia="Arial Unicode MS"/>
          <w:szCs w:val="24"/>
          <w:u w:color="000000"/>
          <w:bdr w:val="nil"/>
          <w:lang w:eastAsia="fr-FR"/>
        </w:rPr>
      </w:pPr>
      <w:r w:rsidRPr="00A85C28">
        <w:rPr>
          <w:rFonts w:eastAsia="Arial Unicode MS"/>
          <w:szCs w:val="24"/>
          <w:u w:color="000000"/>
          <w:bdr w:val="nil"/>
          <w:lang w:eastAsia="fr-FR"/>
        </w:rPr>
        <w:t>Appréciation de la Cour</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40</w:t>
      </w:r>
      <w:r w:rsidRPr="00A85C28">
        <w:fldChar w:fldCharType="end"/>
      </w:r>
      <w:r w:rsidRPr="00A85C28">
        <w:t>.  </w:t>
      </w:r>
      <w:bookmarkStart w:name="_Hlk36127606" w:id="9"/>
      <w:r w:rsidRPr="00A85C28">
        <w:t>Constatant que ce grief n</w:t>
      </w:r>
      <w:r w:rsidRPr="00A85C28" w:rsidR="00A85C28">
        <w:t>’</w:t>
      </w:r>
      <w:r w:rsidRPr="00A85C28">
        <w:t>est pas manifestement mal fondé ni irrecevable pour un autre motif visé à l</w:t>
      </w:r>
      <w:r w:rsidRPr="00A85C28" w:rsidR="00A85C28">
        <w:t>’</w:t>
      </w:r>
      <w:r w:rsidRPr="00A85C28">
        <w:t>article 35 de la Convention, la Cour le déclare recevable.</w:t>
      </w:r>
      <w:bookmarkEnd w:id="9"/>
    </w:p>
    <w:p w:rsidRPr="00A85C28" w:rsidR="004D2843" w:rsidP="00A85C28">
      <w:pPr>
        <w:pStyle w:val="ECHRHeading3"/>
        <w:tabs>
          <w:tab w:val="clear" w:pos="731"/>
        </w:tabs>
        <w:spacing w:before="100" w:beforeAutospacing="1"/>
        <w:ind w:left="731" w:firstLine="0"/>
        <w:jc w:val="left"/>
        <w:outlineLvl w:val="3"/>
      </w:pPr>
      <w:bookmarkStart w:name="_Hlk36127650" w:id="10"/>
      <w:r w:rsidRPr="00A85C28">
        <w:t>Sur le fond</w:t>
      </w:r>
      <w:bookmarkEnd w:id="10"/>
    </w:p>
    <w:p w:rsidRPr="00A85C28" w:rsidR="004D2843" w:rsidP="00A85C28">
      <w:pPr>
        <w:pStyle w:val="ECHRHeading4"/>
        <w:numPr>
          <w:ilvl w:val="4"/>
          <w:numId w:val="24"/>
        </w:numPr>
        <w:tabs>
          <w:tab w:val="clear" w:pos="975"/>
        </w:tabs>
        <w:spacing w:before="100" w:beforeAutospacing="1"/>
        <w:jc w:val="left"/>
        <w:outlineLvl w:val="4"/>
      </w:pPr>
      <w:r w:rsidRPr="00A85C28">
        <w:t>Sur l</w:t>
      </w:r>
      <w:r w:rsidRPr="00A85C28" w:rsidR="00A85C28">
        <w:t>’</w:t>
      </w:r>
      <w:r w:rsidRPr="00A85C28">
        <w:t>existence d</w:t>
      </w:r>
      <w:r w:rsidRPr="00A85C28" w:rsidR="00A85C28">
        <w:t>’</w:t>
      </w:r>
      <w:r w:rsidRPr="00A85C28">
        <w:t>une ingérence</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41</w:t>
      </w:r>
      <w:r w:rsidRPr="00A85C28">
        <w:fldChar w:fldCharType="end"/>
      </w:r>
      <w:r w:rsidRPr="00A85C28">
        <w:t>.  Les parties s</w:t>
      </w:r>
      <w:r w:rsidRPr="00A85C28" w:rsidR="00A85C28">
        <w:t>’</w:t>
      </w:r>
      <w:r w:rsidRPr="00A85C28">
        <w:t>accordent à considérer que le rejet de la demande tendant à la transcription sur les registres de l</w:t>
      </w:r>
      <w:r w:rsidRPr="00A85C28" w:rsidR="00A85C28">
        <w:t>’</w:t>
      </w:r>
      <w:r w:rsidRPr="00A85C28">
        <w:t>état civil français de l</w:t>
      </w:r>
      <w:r w:rsidRPr="00A85C28" w:rsidR="00A85C28">
        <w:t>’</w:t>
      </w:r>
      <w:r w:rsidRPr="00A85C28">
        <w:t>acte de naissance étranger de la troisième requérante pour autant qu</w:t>
      </w:r>
      <w:r w:rsidRPr="00A85C28" w:rsidR="00A85C28">
        <w:t>’</w:t>
      </w:r>
      <w:r w:rsidRPr="00A85C28">
        <w:t>il désigne la première requérante comme étant sa mère est constitutif d</w:t>
      </w:r>
      <w:r w:rsidRPr="00A85C28" w:rsidR="00A85C28">
        <w:t>’</w:t>
      </w:r>
      <w:r w:rsidRPr="00A85C28">
        <w:t xml:space="preserve">une ingérence dans le droit au respect de la vie privée de la troisième requérante. Renvoyant </w:t>
      </w:r>
      <w:r w:rsidRPr="00A85C28">
        <w:rPr>
          <w:i/>
        </w:rPr>
        <w:t>mutatis mutandis</w:t>
      </w:r>
      <w:r w:rsidRPr="00A85C28">
        <w:t xml:space="preserve"> aux arrêts précités </w:t>
      </w:r>
      <w:r w:rsidRPr="00A85C28">
        <w:rPr>
          <w:i/>
        </w:rPr>
        <w:t>Mennesson</w:t>
      </w:r>
      <w:r w:rsidRPr="00A85C28">
        <w:rPr>
          <w:snapToGrid w:val="0"/>
        </w:rPr>
        <w:t xml:space="preserve"> (</w:t>
      </w:r>
      <w:r w:rsidRPr="00A85C28">
        <w:t xml:space="preserve">§ 49), </w:t>
      </w:r>
      <w:r w:rsidRPr="00A85C28">
        <w:rPr>
          <w:i/>
        </w:rPr>
        <w:t>Labassee</w:t>
      </w:r>
      <w:r w:rsidRPr="00A85C28">
        <w:rPr>
          <w:i/>
        </w:rPr>
        <w:t xml:space="preserve"> </w:t>
      </w:r>
      <w:r w:rsidRPr="00A85C28">
        <w:rPr>
          <w:snapToGrid w:val="0"/>
        </w:rPr>
        <w:t xml:space="preserve">(§ 50) et </w:t>
      </w:r>
      <w:r w:rsidRPr="00A85C28">
        <w:rPr>
          <w:i/>
        </w:rPr>
        <w:t>Foulon et Bouvet</w:t>
      </w:r>
      <w:r w:rsidRPr="00A85C28">
        <w:rPr>
          <w:snapToGrid w:val="0"/>
        </w:rPr>
        <w:t>, ainsi qu</w:t>
      </w:r>
      <w:r w:rsidRPr="00A85C28" w:rsidR="00A85C28">
        <w:rPr>
          <w:snapToGrid w:val="0"/>
        </w:rPr>
        <w:t>’</w:t>
      </w:r>
      <w:r w:rsidRPr="00A85C28">
        <w:rPr>
          <w:snapToGrid w:val="0"/>
        </w:rPr>
        <w:t xml:space="preserve">à la décision précitée </w:t>
      </w:r>
      <w:r w:rsidRPr="00A85C28">
        <w:rPr>
          <w:i/>
          <w:snapToGrid w:val="0"/>
        </w:rPr>
        <w:t>C et E c. France</w:t>
      </w:r>
      <w:r w:rsidRPr="00A85C28">
        <w:rPr>
          <w:snapToGrid w:val="0"/>
        </w:rPr>
        <w:t xml:space="preserve"> (</w:t>
      </w:r>
      <w:r w:rsidRPr="00A85C28">
        <w:t>§ 37), la Cour marque son accord.</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42</w:t>
      </w:r>
      <w:r w:rsidRPr="00A85C28">
        <w:fldChar w:fldCharType="end"/>
      </w:r>
      <w:r w:rsidRPr="00A85C28">
        <w:t>.  Pareille ingérence méconnaît l</w:t>
      </w:r>
      <w:r w:rsidRPr="00A85C28" w:rsidR="00A85C28">
        <w:t>’</w:t>
      </w:r>
      <w:r w:rsidRPr="00A85C28">
        <w:t xml:space="preserve">article 8 sauf si, « prévue par la loi », elle poursuit un ou des buts légitimes au regard du second paragraphe de cette disposition et est « nécessaire dans une société démocratique » pour les atteindre. La notion de « nécessité » implique une ingérence fondée sur un besoin social impérieux et, notamment, proportionnée au but légitime poursuivi (voir, par exemple, </w:t>
      </w:r>
      <w:r w:rsidRPr="00A85C28">
        <w:rPr>
          <w:i/>
        </w:rPr>
        <w:t>Mennesson</w:t>
      </w:r>
      <w:r w:rsidRPr="00A85C28">
        <w:t>, précité, § 50).</w:t>
      </w:r>
    </w:p>
    <w:p w:rsidRPr="00A85C28" w:rsidR="004D2843" w:rsidP="00A85C28">
      <w:pPr>
        <w:pStyle w:val="ECHRHeading4"/>
        <w:numPr>
          <w:ilvl w:val="4"/>
          <w:numId w:val="24"/>
        </w:numPr>
        <w:tabs>
          <w:tab w:val="clear" w:pos="975"/>
        </w:tabs>
        <w:spacing w:before="100" w:beforeAutospacing="1"/>
        <w:jc w:val="left"/>
        <w:outlineLvl w:val="4"/>
      </w:pPr>
      <w:r w:rsidRPr="00A85C28">
        <w:t>« Prévue par la loi » et but légitime</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43</w:t>
      </w:r>
      <w:r w:rsidRPr="00A85C28">
        <w:fldChar w:fldCharType="end"/>
      </w:r>
      <w:r w:rsidRPr="00A85C28">
        <w:t>.  La Cour constate qu</w:t>
      </w:r>
      <w:r w:rsidRPr="00A85C28" w:rsidR="00A85C28">
        <w:t>’</w:t>
      </w:r>
      <w:r w:rsidRPr="00A85C28">
        <w:t>en 2014, lorsque les requérants ont fait une demande dans ce sens, le droit positif français ne permettait pas la transcription sur les registres français de l</w:t>
      </w:r>
      <w:r w:rsidRPr="00A85C28" w:rsidR="00A85C28">
        <w:t>’</w:t>
      </w:r>
      <w:r w:rsidRPr="00A85C28">
        <w:t>état civil de l</w:t>
      </w:r>
      <w:r w:rsidRPr="00A85C28" w:rsidR="00A85C28">
        <w:t>’</w:t>
      </w:r>
      <w:r w:rsidRPr="00A85C28">
        <w:t>acte de naissance étranger des enfants nés à l</w:t>
      </w:r>
      <w:r w:rsidRPr="00A85C28" w:rsidR="00A85C28">
        <w:t>’</w:t>
      </w:r>
      <w:r w:rsidRPr="00A85C28">
        <w:t>étranger d</w:t>
      </w:r>
      <w:r w:rsidRPr="00A85C28" w:rsidR="00A85C28">
        <w:t>’</w:t>
      </w:r>
      <w:r w:rsidRPr="00A85C28">
        <w:t>une gestation pour autrui. Le droit positif a évolué alors que la procédure initiée par les requérants au plan interne était pendante s</w:t>
      </w:r>
      <w:r w:rsidRPr="00A85C28" w:rsidR="00A85C28">
        <w:t>’</w:t>
      </w:r>
      <w:r w:rsidRPr="00A85C28">
        <w:t>agissant de la transcription de l</w:t>
      </w:r>
      <w:r w:rsidRPr="00A85C28" w:rsidR="00A85C28">
        <w:t>’</w:t>
      </w:r>
      <w:r w:rsidRPr="00A85C28">
        <w:t>acte de naissance mais uniquement pour autant qu</w:t>
      </w:r>
      <w:r w:rsidRPr="00A85C28" w:rsidR="00A85C28">
        <w:t>’</w:t>
      </w:r>
      <w:r w:rsidRPr="00A85C28">
        <w:t>il désignait le père d</w:t>
      </w:r>
      <w:r w:rsidRPr="00A85C28" w:rsidR="00A85C28">
        <w:t>’</w:t>
      </w:r>
      <w:r w:rsidRPr="00A85C28">
        <w:t>intention, père biologique, comme étant le père de l</w:t>
      </w:r>
      <w:r w:rsidRPr="00A85C28" w:rsidR="00A85C28">
        <w:t>’</w:t>
      </w:r>
      <w:r w:rsidRPr="00A85C28">
        <w:t>enfant (paragraphes 15-18 ci-dessus). Il n</w:t>
      </w:r>
      <w:r w:rsidRPr="00A85C28" w:rsidR="00A85C28">
        <w:t>’</w:t>
      </w:r>
      <w:r w:rsidRPr="00A85C28">
        <w:t>est donc pas douteux qu</w:t>
      </w:r>
      <w:r w:rsidRPr="00A85C28" w:rsidR="00A85C28">
        <w:t>’</w:t>
      </w:r>
      <w:r w:rsidRPr="00A85C28">
        <w:t>à l</w:t>
      </w:r>
      <w:r w:rsidRPr="00A85C28" w:rsidR="00A85C28">
        <w:t>’</w:t>
      </w:r>
      <w:r w:rsidRPr="00A85C28">
        <w:t>époque des faits de la cause, le rejet de la demande tendant à la transcription sur les registres de l</w:t>
      </w:r>
      <w:r w:rsidRPr="00A85C28" w:rsidR="00A85C28">
        <w:t>’</w:t>
      </w:r>
      <w:r w:rsidRPr="00A85C28">
        <w:t>état civil français de l</w:t>
      </w:r>
      <w:r w:rsidRPr="00A85C28" w:rsidR="00A85C28">
        <w:t>’</w:t>
      </w:r>
      <w:r w:rsidRPr="00A85C28">
        <w:t>acte de naissance étranger de la troisième requérante pour autant qu</w:t>
      </w:r>
      <w:r w:rsidRPr="00A85C28" w:rsidR="00A85C28">
        <w:t>’</w:t>
      </w:r>
      <w:r w:rsidRPr="00A85C28">
        <w:t>il désigne la première requérante comme étant sa mère était prévu par la loi, au sens du second paragraphe de l</w:t>
      </w:r>
      <w:r w:rsidRPr="00A85C28" w:rsidR="00A85C28">
        <w:t>’</w:t>
      </w:r>
      <w:r w:rsidRPr="00A85C28">
        <w:t>article 8. Les requérants n</w:t>
      </w:r>
      <w:r w:rsidRPr="00A85C28" w:rsidR="00A85C28">
        <w:t>’</w:t>
      </w:r>
      <w:r w:rsidRPr="00A85C28">
        <w:t>en disconviennent du reste pas.</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44</w:t>
      </w:r>
      <w:r w:rsidRPr="00A85C28">
        <w:fldChar w:fldCharType="end"/>
      </w:r>
      <w:r w:rsidRPr="00A85C28">
        <w:t>.  Quant au but légitime, la Cour constate que, conformément à la jurisprudence de la Cour de cassation (paragraphe 18 ci-dessus), la cour d</w:t>
      </w:r>
      <w:r w:rsidRPr="00A85C28" w:rsidR="00A85C28">
        <w:t>’</w:t>
      </w:r>
      <w:r w:rsidRPr="00A85C28">
        <w:t>appel de Rennes a indiqué dans l</w:t>
      </w:r>
      <w:r w:rsidRPr="00A85C28" w:rsidR="00A85C28">
        <w:t>’</w:t>
      </w:r>
      <w:r w:rsidRPr="00A85C28">
        <w:t>arrêt qu</w:t>
      </w:r>
      <w:r w:rsidRPr="00A85C28" w:rsidR="00A85C28">
        <w:t>’</w:t>
      </w:r>
      <w:r w:rsidRPr="00A85C28">
        <w:t>elle a rendu en la cause des requérants le 18 décembre 2017, que le refus de transcription de la filiation maternelle d</w:t>
      </w:r>
      <w:r w:rsidRPr="00A85C28" w:rsidR="00A85C28">
        <w:t>’</w:t>
      </w:r>
      <w:r w:rsidRPr="00A85C28">
        <w:t>intention lorsque l</w:t>
      </w:r>
      <w:r w:rsidRPr="00A85C28" w:rsidR="00A85C28">
        <w:t>’</w:t>
      </w:r>
      <w:r w:rsidRPr="00A85C28">
        <w:t>enfant est né à l</w:t>
      </w:r>
      <w:r w:rsidRPr="00A85C28" w:rsidR="00A85C28">
        <w:t>’</w:t>
      </w:r>
      <w:r w:rsidRPr="00A85C28">
        <w:t>étranger à l</w:t>
      </w:r>
      <w:r w:rsidRPr="00A85C28" w:rsidR="00A85C28">
        <w:t>’</w:t>
      </w:r>
      <w:r w:rsidRPr="00A85C28">
        <w:t>issue d</w:t>
      </w:r>
      <w:r w:rsidRPr="00A85C28" w:rsidR="00A85C28">
        <w:t>’</w:t>
      </w:r>
      <w:r w:rsidRPr="00A85C28">
        <w:t xml:space="preserve">une </w:t>
      </w:r>
      <w:r w:rsidRPr="00A85C28">
        <w:t>convention de gestation pour autrui tend à la protection de l</w:t>
      </w:r>
      <w:r w:rsidRPr="00A85C28" w:rsidR="00A85C28">
        <w:t>’</w:t>
      </w:r>
      <w:r w:rsidRPr="00A85C28">
        <w:t xml:space="preserve">enfant et de la mère porteuse et vise à décourager cette pratique, qui est prohibée en France (paragraphe 10 ci-dessus). Renvoyant aux arrêts </w:t>
      </w:r>
      <w:r w:rsidRPr="00A85C28">
        <w:rPr>
          <w:i/>
        </w:rPr>
        <w:t>Mennesson</w:t>
      </w:r>
      <w:r w:rsidRPr="00A85C28">
        <w:t xml:space="preserve"> et </w:t>
      </w:r>
      <w:r w:rsidRPr="00A85C28">
        <w:rPr>
          <w:i/>
        </w:rPr>
        <w:t>Labassee</w:t>
      </w:r>
      <w:r w:rsidRPr="00A85C28">
        <w:t xml:space="preserve"> précités (§§ 62 et 54 respectivement), elle admet en conséquence qu</w:t>
      </w:r>
      <w:r w:rsidRPr="00A85C28" w:rsidR="00A85C28">
        <w:t>’</w:t>
      </w:r>
      <w:r w:rsidRPr="00A85C28">
        <w:t>il puisse être considéré que l</w:t>
      </w:r>
      <w:r w:rsidRPr="00A85C28" w:rsidR="00A85C28">
        <w:t>’</w:t>
      </w:r>
      <w:r w:rsidRPr="00A85C28">
        <w:t>ingérence litigieuse visait deux des buts légitimes énumérés au second paragraphe de l</w:t>
      </w:r>
      <w:r w:rsidRPr="00A85C28" w:rsidR="00A85C28">
        <w:t>’</w:t>
      </w:r>
      <w:r w:rsidRPr="00A85C28">
        <w:t>article 8 de la Convention : la « protection de la santé » et « la protection des droits et liberté</w:t>
      </w:r>
      <w:r w:rsidRPr="00A85C28" w:rsidR="00B04A67">
        <w:t>s</w:t>
      </w:r>
      <w:r w:rsidRPr="00A85C28">
        <w:t xml:space="preserve"> d</w:t>
      </w:r>
      <w:r w:rsidRPr="00A85C28" w:rsidR="00A85C28">
        <w:t>’</w:t>
      </w:r>
      <w:r w:rsidRPr="00A85C28">
        <w:t>autrui ».</w:t>
      </w:r>
    </w:p>
    <w:p w:rsidRPr="00A85C28" w:rsidR="004D2843" w:rsidP="00A85C28">
      <w:pPr>
        <w:pStyle w:val="ECHRHeading4"/>
        <w:numPr>
          <w:ilvl w:val="4"/>
          <w:numId w:val="24"/>
        </w:numPr>
        <w:tabs>
          <w:tab w:val="clear" w:pos="975"/>
        </w:tabs>
        <w:spacing w:before="100" w:beforeAutospacing="1"/>
        <w:jc w:val="left"/>
        <w:outlineLvl w:val="4"/>
      </w:pPr>
      <w:r w:rsidRPr="00A85C28">
        <w:t>« Nécessaire », « dans une société démocratique »</w:t>
      </w:r>
    </w:p>
    <w:p w:rsidRPr="00A85C28" w:rsidR="004D2843" w:rsidP="00A85C28">
      <w:pPr>
        <w:pStyle w:val="ECHRHeading5"/>
        <w:numPr>
          <w:ilvl w:val="5"/>
          <w:numId w:val="24"/>
        </w:numPr>
        <w:tabs>
          <w:tab w:val="clear" w:pos="1191"/>
        </w:tabs>
        <w:spacing w:before="100" w:beforeAutospacing="1" w:line="271" w:lineRule="auto"/>
        <w:jc w:val="left"/>
        <w:outlineLvl w:val="5"/>
      </w:pPr>
      <w:r w:rsidRPr="00A85C28">
        <w:t xml:space="preserve">La jurisprudence </w:t>
      </w:r>
      <w:r w:rsidRPr="00A85C28">
        <w:t>Mennesson</w:t>
      </w:r>
      <w:r w:rsidRPr="00A85C28">
        <w:t xml:space="preserve"> et l</w:t>
      </w:r>
      <w:r w:rsidRPr="00A85C28" w:rsidR="00A85C28">
        <w:t>’</w:t>
      </w:r>
      <w:r w:rsidRPr="00A85C28">
        <w:t>avis consultatif n</w:t>
      </w:r>
      <w:r w:rsidRPr="00A85C28">
        <w:rPr>
          <w:vertAlign w:val="superscript"/>
        </w:rPr>
        <w:t>o</w:t>
      </w:r>
      <w:r w:rsidRPr="00A85C28">
        <w:t xml:space="preserve"> P16-2018-001</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45</w:t>
      </w:r>
      <w:r w:rsidRPr="00A85C28">
        <w:fldChar w:fldCharType="end"/>
      </w:r>
      <w:r w:rsidRPr="00A85C28">
        <w:t>.  Dans l</w:t>
      </w:r>
      <w:r w:rsidRPr="00A85C28" w:rsidR="00A85C28">
        <w:t>’</w:t>
      </w:r>
      <w:r w:rsidRPr="00A85C28">
        <w:t xml:space="preserve">arrêt </w:t>
      </w:r>
      <w:r w:rsidRPr="00A85C28">
        <w:rPr>
          <w:i/>
        </w:rPr>
        <w:t>Mennesson</w:t>
      </w:r>
      <w:r w:rsidRPr="00A85C28">
        <w:t xml:space="preserve">, (précité ; voir aussi </w:t>
      </w:r>
      <w:r w:rsidRPr="00A85C28">
        <w:rPr>
          <w:i/>
        </w:rPr>
        <w:t>Labassee</w:t>
      </w:r>
      <w:r w:rsidRPr="00A85C28">
        <w:t>, précité), la Cour a examiné sous l</w:t>
      </w:r>
      <w:r w:rsidRPr="00A85C28" w:rsidR="00A85C28">
        <w:t>’</w:t>
      </w:r>
      <w:r w:rsidRPr="00A85C28">
        <w:t>angle de l</w:t>
      </w:r>
      <w:r w:rsidRPr="00A85C28" w:rsidR="00A85C28">
        <w:t>’</w:t>
      </w:r>
      <w:r w:rsidRPr="00A85C28">
        <w:t>article 8 de la Convention l</w:t>
      </w:r>
      <w:r w:rsidRPr="00A85C28" w:rsidR="00A85C28">
        <w:t>’</w:t>
      </w:r>
      <w:r w:rsidRPr="00A85C28">
        <w:t>impossibilité pour deux enfants nées en Californie d</w:t>
      </w:r>
      <w:r w:rsidRPr="00A85C28" w:rsidR="00A85C28">
        <w:t>’</w:t>
      </w:r>
      <w:r w:rsidRPr="00A85C28">
        <w:t>une gestation pour autrui d</w:t>
      </w:r>
      <w:r w:rsidRPr="00A85C28" w:rsidR="00A85C28">
        <w:t>’</w:t>
      </w:r>
      <w:r w:rsidRPr="00A85C28">
        <w:t>obtenir en France la reconnaissance de la filiation légalement établie aux États-Unis</w:t>
      </w:r>
      <w:r w:rsidRPr="00A85C28" w:rsidR="00B04A67">
        <w:t xml:space="preserve"> entre elles</w:t>
      </w:r>
      <w:r w:rsidRPr="00A85C28">
        <w:t xml:space="preserve"> et les parents d</w:t>
      </w:r>
      <w:r w:rsidRPr="00A85C28" w:rsidR="00A85C28">
        <w:t>’</w:t>
      </w:r>
      <w:r w:rsidRPr="00A85C28">
        <w:t>intention.</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46</w:t>
      </w:r>
      <w:r w:rsidRPr="00A85C28">
        <w:fldChar w:fldCharType="end"/>
      </w:r>
      <w:r w:rsidRPr="00A85C28">
        <w:t>.  La Cour a conclu qu</w:t>
      </w:r>
      <w:r w:rsidRPr="00A85C28" w:rsidR="00A85C28">
        <w:t>’</w:t>
      </w:r>
      <w:r w:rsidRPr="00A85C28">
        <w:t>il y avait eu violation du droit au respect de la vie privée des enfants.</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47</w:t>
      </w:r>
      <w:r w:rsidRPr="00A85C28">
        <w:fldChar w:fldCharType="end"/>
      </w:r>
      <w:r w:rsidRPr="00A85C28">
        <w:t>.  Pour parvenir à cette conclusion, elle a tout d</w:t>
      </w:r>
      <w:r w:rsidRPr="00A85C28" w:rsidR="00A85C28">
        <w:t>’</w:t>
      </w:r>
      <w:r w:rsidRPr="00A85C28">
        <w:t>abord souligné que « le respect de la vie privée exige que chacun puisse établir les détails de son identité d</w:t>
      </w:r>
      <w:r w:rsidRPr="00A85C28" w:rsidR="00A85C28">
        <w:t>’</w:t>
      </w:r>
      <w:r w:rsidRPr="00A85C28">
        <w:t>être humain, ce qui inclut sa filiation », et qu</w:t>
      </w:r>
      <w:r w:rsidRPr="00A85C28" w:rsidR="00A85C28">
        <w:t>’</w:t>
      </w:r>
      <w:r w:rsidRPr="00A85C28">
        <w:t>« un aspect essentiel de l</w:t>
      </w:r>
      <w:r w:rsidRPr="00A85C28" w:rsidR="00A85C28">
        <w:t>’</w:t>
      </w:r>
      <w:r w:rsidRPr="00A85C28">
        <w:t>identité des individus est en jeu dès lors que l</w:t>
      </w:r>
      <w:r w:rsidRPr="00A85C28" w:rsidR="00A85C28">
        <w:t>’</w:t>
      </w:r>
      <w:r w:rsidRPr="00A85C28">
        <w:t>on touche à la filiation » (voir le paragraphe 96 de l</w:t>
      </w:r>
      <w:r w:rsidRPr="00A85C28" w:rsidR="00A85C28">
        <w:t>’</w:t>
      </w:r>
      <w:r w:rsidRPr="00A85C28">
        <w:t>arrêt). Elle a ajouté que « le droit au respect de la vie privée [des enfants nés à l</w:t>
      </w:r>
      <w:r w:rsidRPr="00A85C28" w:rsidR="00A85C28">
        <w:t>’</w:t>
      </w:r>
      <w:r w:rsidRPr="00A85C28">
        <w:t>étranger d</w:t>
      </w:r>
      <w:r w:rsidRPr="00A85C28" w:rsidR="00A85C28">
        <w:t>’</w:t>
      </w:r>
      <w:r w:rsidRPr="00A85C28">
        <w:t xml:space="preserve">une gestation pour autrui], qui implique que chacun puisse établir la substance de son identité, y compris sa filiation, se </w:t>
      </w:r>
      <w:r w:rsidRPr="00A85C28">
        <w:t>trouv</w:t>
      </w:r>
      <w:r w:rsidRPr="00A85C28">
        <w:t>[</w:t>
      </w:r>
      <w:r w:rsidRPr="00A85C28">
        <w:t>ait] significativement affecté [par la non-reconnaissance en droit français du lien de filiation entre ces enfants et les parents d</w:t>
      </w:r>
      <w:r w:rsidRPr="00A85C28" w:rsidR="00A85C28">
        <w:t>’</w:t>
      </w:r>
      <w:r w:rsidRPr="00A85C28">
        <w:t>intention] ». Elle en a déduit que se posait « une question grave de compatibilité de cette situation avec l</w:t>
      </w:r>
      <w:r w:rsidRPr="00A85C28" w:rsidR="00A85C28">
        <w:t>’</w:t>
      </w:r>
      <w:r w:rsidRPr="00A85C28">
        <w:t>intérêt supérieur des enfants, dont le respect doit guider toute décision les concernant » (voir les paragraphes 96 et 99 de l</w:t>
      </w:r>
      <w:r w:rsidRPr="00A85C28" w:rsidR="00A85C28">
        <w:t>’</w:t>
      </w:r>
      <w:r w:rsidRPr="00A85C28">
        <w:t>arrêt).</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48</w:t>
      </w:r>
      <w:r w:rsidRPr="00A85C28">
        <w:fldChar w:fldCharType="end"/>
      </w:r>
      <w:r w:rsidRPr="00A85C28">
        <w:t>.  Elle s</w:t>
      </w:r>
      <w:r w:rsidRPr="00A85C28" w:rsidR="00A85C28">
        <w:t>’</w:t>
      </w:r>
      <w:r w:rsidRPr="00A85C28">
        <w:t>est ensuite prononcée expressément sur la question de la reconnaissance du lien de filiation entre les deux enfants et le père d</w:t>
      </w:r>
      <w:r w:rsidRPr="00A85C28" w:rsidR="00A85C28">
        <w:t>’</w:t>
      </w:r>
      <w:r w:rsidRPr="00A85C28">
        <w:t>intention, qui était leur père biologique. Elle a jugé ce qui suit (paragraphe 100 de l</w:t>
      </w:r>
      <w:r w:rsidRPr="00A85C28" w:rsidR="00A85C28">
        <w:t>’</w:t>
      </w:r>
      <w:r w:rsidRPr="00A85C28">
        <w:t>arrêt) :</w:t>
      </w:r>
    </w:p>
    <w:p w:rsidRPr="00A85C28" w:rsidR="004D2843" w:rsidP="00A85C28">
      <w:pPr>
        <w:pStyle w:val="ECHRParaQuote"/>
      </w:pPr>
      <w:r w:rsidRPr="00A85C28">
        <w:t>« [L</w:t>
      </w:r>
      <w:r w:rsidRPr="00A85C28" w:rsidR="00A85C28">
        <w:t>’</w:t>
      </w:r>
      <w:r w:rsidRPr="00A85C28">
        <w:t>]analyse</w:t>
      </w:r>
      <w:r w:rsidRPr="00A85C28">
        <w:t xml:space="preserve"> [rappelée ci-dessus] prend un relief particulier lorsque, comme en l</w:t>
      </w:r>
      <w:r w:rsidRPr="00A85C28" w:rsidR="00A85C28">
        <w:t>’</w:t>
      </w:r>
      <w:r w:rsidRPr="00A85C28">
        <w:t>espèce, l</w:t>
      </w:r>
      <w:r w:rsidRPr="00A85C28" w:rsidR="00A85C28">
        <w:t>’</w:t>
      </w:r>
      <w:r w:rsidRPr="00A85C28">
        <w:t>un des parents d</w:t>
      </w:r>
      <w:r w:rsidRPr="00A85C28" w:rsidR="00A85C28">
        <w:t>’</w:t>
      </w:r>
      <w:r w:rsidRPr="00A85C28">
        <w:t>intention est également géniteur de l</w:t>
      </w:r>
      <w:r w:rsidRPr="00A85C28" w:rsidR="00A85C28">
        <w:t>’</w:t>
      </w:r>
      <w:r w:rsidRPr="00A85C28">
        <w:t>enfant. Au regard de l</w:t>
      </w:r>
      <w:r w:rsidRPr="00A85C28" w:rsidR="00A85C28">
        <w:t>’</w:t>
      </w:r>
      <w:r w:rsidRPr="00A85C28">
        <w:t>importance de la filiation biologique en tant qu</w:t>
      </w:r>
      <w:r w:rsidRPr="00A85C28" w:rsidR="00A85C28">
        <w:t>’</w:t>
      </w:r>
      <w:r w:rsidRPr="00A85C28">
        <w:t>élément de l</w:t>
      </w:r>
      <w:r w:rsidRPr="00A85C28" w:rsidR="00A85C28">
        <w:t>’</w:t>
      </w:r>
      <w:r w:rsidRPr="00A85C28">
        <w:t>identité de chacun (...), on ne saurait prétendre qu</w:t>
      </w:r>
      <w:r w:rsidRPr="00A85C28" w:rsidR="00A85C28">
        <w:t>’</w:t>
      </w:r>
      <w:r w:rsidRPr="00A85C28">
        <w:t>il est conforme à l</w:t>
      </w:r>
      <w:r w:rsidRPr="00A85C28" w:rsidR="00A85C28">
        <w:t>’</w:t>
      </w:r>
      <w:r w:rsidRPr="00A85C28">
        <w:t>intérêt d</w:t>
      </w:r>
      <w:r w:rsidRPr="00A85C28" w:rsidR="00A85C28">
        <w:t>’</w:t>
      </w:r>
      <w:r w:rsidRPr="00A85C28">
        <w:t>un enfant de le priver d</w:t>
      </w:r>
      <w:r w:rsidRPr="00A85C28" w:rsidR="00A85C28">
        <w:t>’</w:t>
      </w:r>
      <w:r w:rsidRPr="00A85C28">
        <w:t>un lien juridique de cette nature alors que la réalité biologique de ce lien est établie et que l</w:t>
      </w:r>
      <w:r w:rsidRPr="00A85C28" w:rsidR="00A85C28">
        <w:t>’</w:t>
      </w:r>
      <w:r w:rsidRPr="00A85C28">
        <w:t>enfant et le parent concerné revendiquent sa pleine reconnaissance. Or non seulement le lien entre les [enfants] requérantes et leur père biologique n</w:t>
      </w:r>
      <w:r w:rsidRPr="00A85C28" w:rsidR="00A85C28">
        <w:t>’</w:t>
      </w:r>
      <w:r w:rsidRPr="00A85C28">
        <w:t>a pas été admis à l</w:t>
      </w:r>
      <w:r w:rsidRPr="00A85C28" w:rsidR="00A85C28">
        <w:t>’</w:t>
      </w:r>
      <w:r w:rsidRPr="00A85C28">
        <w:t>occasion de la demande de transcription des actes de naissance, mais encore sa consécration par la voie d</w:t>
      </w:r>
      <w:r w:rsidRPr="00A85C28" w:rsidR="00A85C28">
        <w:t>’</w:t>
      </w:r>
      <w:r w:rsidRPr="00A85C28">
        <w:t>une reconnaissance de paternité ou de l</w:t>
      </w:r>
      <w:r w:rsidRPr="00A85C28" w:rsidR="00A85C28">
        <w:t>’</w:t>
      </w:r>
      <w:r w:rsidRPr="00A85C28">
        <w:t>adoption ou par l</w:t>
      </w:r>
      <w:r w:rsidRPr="00A85C28" w:rsidR="00A85C28">
        <w:t>’</w:t>
      </w:r>
      <w:r w:rsidRPr="00A85C28">
        <w:t>effet de la possession d</w:t>
      </w:r>
      <w:r w:rsidRPr="00A85C28" w:rsidR="00A85C28">
        <w:t>’</w:t>
      </w:r>
      <w:r w:rsidRPr="00A85C28">
        <w:t xml:space="preserve">état se heurterait à la jurisprudence prohibitive établie également sur ces points par la Cour de cassation (...). La Cour estime, compte tenu </w:t>
      </w:r>
      <w:r w:rsidRPr="00A85C28">
        <w:t>des conséquences de cette grave restriction sur l</w:t>
      </w:r>
      <w:r w:rsidRPr="00A85C28" w:rsidR="00A85C28">
        <w:t>’</w:t>
      </w:r>
      <w:r w:rsidRPr="00A85C28">
        <w:t>identité et le droit au respect de la vie privée des [enfants] requérantes, qu</w:t>
      </w:r>
      <w:r w:rsidRPr="00A85C28" w:rsidR="00A85C28">
        <w:t>’</w:t>
      </w:r>
      <w:r w:rsidRPr="00A85C28">
        <w:t>en faisant ainsi obstacle tant à la reconnaissance qu</w:t>
      </w:r>
      <w:r w:rsidRPr="00A85C28" w:rsidR="00A85C28">
        <w:t>’</w:t>
      </w:r>
      <w:r w:rsidRPr="00A85C28">
        <w:t>à l</w:t>
      </w:r>
      <w:r w:rsidRPr="00A85C28" w:rsidR="00A85C28">
        <w:t>’</w:t>
      </w:r>
      <w:r w:rsidRPr="00A85C28">
        <w:t>établissement en droit interne de leur lien de filiation à l</w:t>
      </w:r>
      <w:r w:rsidRPr="00A85C28" w:rsidR="00A85C28">
        <w:t>’</w:t>
      </w:r>
      <w:r w:rsidRPr="00A85C28">
        <w:t>égard de leur père biologique, l</w:t>
      </w:r>
      <w:r w:rsidRPr="00A85C28" w:rsidR="00A85C28">
        <w:t>’</w:t>
      </w:r>
      <w:r w:rsidRPr="00A85C28">
        <w:t>État défendeur est allé au-delà de ce que lui permettait sa marge d</w:t>
      </w:r>
      <w:r w:rsidRPr="00A85C28" w:rsidR="00A85C28">
        <w:t>’</w:t>
      </w:r>
      <w:r w:rsidRPr="00A85C28">
        <w:t>appréciation. »</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49</w:t>
      </w:r>
      <w:r w:rsidRPr="00A85C28">
        <w:fldChar w:fldCharType="end"/>
      </w:r>
      <w:r w:rsidRPr="00A85C28">
        <w:t>.  La Cour n</w:t>
      </w:r>
      <w:r w:rsidRPr="00A85C28" w:rsidR="00A85C28">
        <w:t>’</w:t>
      </w:r>
      <w:r w:rsidRPr="00A85C28">
        <w:t>a donc pas jugé qu</w:t>
      </w:r>
      <w:r w:rsidRPr="00A85C28" w:rsidR="00A85C28">
        <w:t>’</w:t>
      </w:r>
      <w:r w:rsidRPr="00A85C28">
        <w:t>en tant que tel, le refus de transcrire l</w:t>
      </w:r>
      <w:r w:rsidRPr="00A85C28" w:rsidR="00A85C28">
        <w:t>’</w:t>
      </w:r>
      <w:r w:rsidRPr="00A85C28">
        <w:t>acte de naissance étranger pour autant qu</w:t>
      </w:r>
      <w:r w:rsidRPr="00A85C28" w:rsidR="00A85C28">
        <w:t>’</w:t>
      </w:r>
      <w:r w:rsidRPr="00A85C28">
        <w:t>il désigne comme étant le père, le père d</w:t>
      </w:r>
      <w:r w:rsidRPr="00A85C28" w:rsidR="00A85C28">
        <w:t>’</w:t>
      </w:r>
      <w:r w:rsidRPr="00A85C28">
        <w:t>intention, père biologique, caractérisait une ingérence disproportionnée dans le droit au respect de la vie privée de l</w:t>
      </w:r>
      <w:r w:rsidRPr="00A85C28" w:rsidR="00A85C28">
        <w:t>’</w:t>
      </w:r>
      <w:r w:rsidRPr="00A85C28">
        <w:t>enfant. Constatant qu</w:t>
      </w:r>
      <w:r w:rsidRPr="00A85C28" w:rsidR="00A85C28">
        <w:t>’</w:t>
      </w:r>
      <w:r w:rsidRPr="00A85C28">
        <w:t>en droit positif français, étaient closes non seulement la voie de la transcription, mais aussi celles de la reconnaissance de paternité, de l</w:t>
      </w:r>
      <w:r w:rsidRPr="00A85C28" w:rsidR="00A85C28">
        <w:t>’</w:t>
      </w:r>
      <w:r w:rsidRPr="00A85C28">
        <w:t>adoption et de la possession d</w:t>
      </w:r>
      <w:r w:rsidRPr="00A85C28" w:rsidR="00A85C28">
        <w:t>’</w:t>
      </w:r>
      <w:r w:rsidRPr="00A85C28">
        <w:t>état, elle a estimé « qu</w:t>
      </w:r>
      <w:r w:rsidRPr="00A85C28" w:rsidR="00A85C28">
        <w:t>’</w:t>
      </w:r>
      <w:r w:rsidRPr="00A85C28">
        <w:t>en faisant ainsi obstacle tant à la reconnaissance qu</w:t>
      </w:r>
      <w:r w:rsidRPr="00A85C28" w:rsidR="00A85C28">
        <w:t>’</w:t>
      </w:r>
      <w:r w:rsidRPr="00A85C28">
        <w:t>à l</w:t>
      </w:r>
      <w:r w:rsidRPr="00A85C28" w:rsidR="00A85C28">
        <w:t>’</w:t>
      </w:r>
      <w:r w:rsidRPr="00A85C28">
        <w:t>établissement en droit interne [du] lien de filiation [de l</w:t>
      </w:r>
      <w:r w:rsidRPr="00A85C28" w:rsidR="00A85C28">
        <w:t>’</w:t>
      </w:r>
      <w:r w:rsidRPr="00A85C28">
        <w:t>enfant] à l</w:t>
      </w:r>
      <w:r w:rsidRPr="00A85C28" w:rsidR="00A85C28">
        <w:t>’</w:t>
      </w:r>
      <w:r w:rsidRPr="00A85C28">
        <w:t>égard de [son] père biologique, l</w:t>
      </w:r>
      <w:r w:rsidRPr="00A85C28" w:rsidR="00A85C28">
        <w:t>’</w:t>
      </w:r>
      <w:r w:rsidRPr="00A85C28">
        <w:t>État défendeur [était] allé au-delà de ce que lui permettait sa marge d</w:t>
      </w:r>
      <w:r w:rsidRPr="00A85C28" w:rsidR="00A85C28">
        <w:t>’</w:t>
      </w:r>
      <w:r w:rsidRPr="00A85C28">
        <w:t>appréciation ».</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50</w:t>
      </w:r>
      <w:r w:rsidRPr="00A85C28">
        <w:fldChar w:fldCharType="end"/>
      </w:r>
      <w:r w:rsidRPr="00A85C28">
        <w:t>.  Autrement dit, l</w:t>
      </w:r>
      <w:r w:rsidRPr="00A85C28" w:rsidR="00A85C28">
        <w:t>’</w:t>
      </w:r>
      <w:r w:rsidRPr="00A85C28">
        <w:t>existence d</w:t>
      </w:r>
      <w:r w:rsidRPr="00A85C28" w:rsidR="00A85C28">
        <w:t>’</w:t>
      </w:r>
      <w:r w:rsidRPr="00A85C28">
        <w:t>un lien génétique n</w:t>
      </w:r>
      <w:r w:rsidRPr="00A85C28" w:rsidR="00A85C28">
        <w:t>’</w:t>
      </w:r>
      <w:r w:rsidRPr="00A85C28">
        <w:t>a pas pour conséquence que le droit au respect de la vie privée de l</w:t>
      </w:r>
      <w:r w:rsidRPr="00A85C28" w:rsidR="00A85C28">
        <w:t>’</w:t>
      </w:r>
      <w:r w:rsidRPr="00A85C28">
        <w:t>enfant tel qu</w:t>
      </w:r>
      <w:r w:rsidRPr="00A85C28" w:rsidR="00A85C28">
        <w:t>’</w:t>
      </w:r>
      <w:r w:rsidRPr="00A85C28">
        <w:t>il se trouve garanti par l</w:t>
      </w:r>
      <w:r w:rsidRPr="00A85C28" w:rsidR="00A85C28">
        <w:t>’</w:t>
      </w:r>
      <w:r w:rsidRPr="00A85C28">
        <w:t>article 8 de la Convention requiert que la reconnaissance du lien de filiation entre l</w:t>
      </w:r>
      <w:r w:rsidRPr="00A85C28" w:rsidR="00A85C28">
        <w:t>’</w:t>
      </w:r>
      <w:r w:rsidRPr="00A85C28">
        <w:t>enfant et le père d</w:t>
      </w:r>
      <w:r w:rsidRPr="00A85C28" w:rsidR="00A85C28">
        <w:t>’</w:t>
      </w:r>
      <w:r w:rsidRPr="00A85C28">
        <w:t>intention, puisse se faire spécifiquement par la voie de la transcription de l</w:t>
      </w:r>
      <w:r w:rsidRPr="00A85C28" w:rsidR="00A85C28">
        <w:t>’</w:t>
      </w:r>
      <w:r w:rsidRPr="00A85C28">
        <w:t>acte de naissance étranger de l</w:t>
      </w:r>
      <w:r w:rsidRPr="00A85C28" w:rsidR="00A85C28">
        <w:t>’</w:t>
      </w:r>
      <w:r w:rsidRPr="00A85C28">
        <w:t>enfant.</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51</w:t>
      </w:r>
      <w:r w:rsidRPr="00A85C28">
        <w:fldChar w:fldCharType="end"/>
      </w:r>
      <w:r w:rsidRPr="00A85C28">
        <w:t>.  Par la suite, la Cour a indiqué dans l</w:t>
      </w:r>
      <w:r w:rsidRPr="00A85C28" w:rsidR="00A85C28">
        <w:t>’</w:t>
      </w:r>
      <w:r w:rsidRPr="00A85C28">
        <w:t>avis consultatif n</w:t>
      </w:r>
      <w:r w:rsidRPr="00A85C28">
        <w:rPr>
          <w:vertAlign w:val="superscript"/>
        </w:rPr>
        <w:t>o</w:t>
      </w:r>
      <w:r w:rsidRPr="00A85C28" w:rsidR="00702F75">
        <w:t> P16</w:t>
      </w:r>
      <w:r w:rsidRPr="00A85C28" w:rsidR="00702F75">
        <w:noBreakHyphen/>
        <w:t>2018</w:t>
      </w:r>
      <w:r w:rsidRPr="00A85C28" w:rsidR="00702F75">
        <w:noBreakHyphen/>
      </w:r>
      <w:r w:rsidRPr="00A85C28">
        <w:t>001 précité (voir le dispositif) que, dans la situation où un enfant est né à l</w:t>
      </w:r>
      <w:r w:rsidRPr="00A85C28" w:rsidR="00A85C28">
        <w:t>’</w:t>
      </w:r>
      <w:r w:rsidRPr="00A85C28">
        <w:t>étranger par gestation pour autrui et est issu des gamètes du père d</w:t>
      </w:r>
      <w:r w:rsidRPr="00A85C28" w:rsidR="00A85C28">
        <w:t>’</w:t>
      </w:r>
      <w:r w:rsidRPr="00A85C28">
        <w:t>intention et d</w:t>
      </w:r>
      <w:r w:rsidRPr="00A85C28" w:rsidR="00A85C28">
        <w:t>’</w:t>
      </w:r>
      <w:r w:rsidRPr="00A85C28">
        <w:t>une tierce donneuse, et où le lien de filiation entre l</w:t>
      </w:r>
      <w:r w:rsidRPr="00A85C28" w:rsidR="00A85C28">
        <w:t>’</w:t>
      </w:r>
      <w:r w:rsidRPr="00A85C28">
        <w:t>enfant et le père d</w:t>
      </w:r>
      <w:r w:rsidRPr="00A85C28" w:rsidR="00A85C28">
        <w:t>’</w:t>
      </w:r>
      <w:r w:rsidRPr="00A85C28">
        <w:t>intention a été reconnu en droit interne, le droit au respect de la vie privée de l</w:t>
      </w:r>
      <w:r w:rsidRPr="00A85C28" w:rsidR="00A85C28">
        <w:t>’</w:t>
      </w:r>
      <w:r w:rsidRPr="00A85C28">
        <w:t>enfant, au sens de l</w:t>
      </w:r>
      <w:r w:rsidRPr="00A85C28" w:rsidR="00A85C28">
        <w:t>’</w:t>
      </w:r>
      <w:r w:rsidRPr="00A85C28">
        <w:t>article 8 de la Convention, requérait que le droit interne offre une possibilité de reconnaissance d</w:t>
      </w:r>
      <w:r w:rsidRPr="00A85C28" w:rsidR="00A85C28">
        <w:t>’</w:t>
      </w:r>
      <w:r w:rsidRPr="00A85C28">
        <w:t>un lien de filiation entre cet enfant et la mère d</w:t>
      </w:r>
      <w:r w:rsidRPr="00A85C28" w:rsidR="00A85C28">
        <w:t>’</w:t>
      </w:r>
      <w:r w:rsidRPr="00A85C28">
        <w:t>intention, désignée dans l</w:t>
      </w:r>
      <w:r w:rsidRPr="00A85C28" w:rsidR="00A85C28">
        <w:t>’</w:t>
      </w:r>
      <w:r w:rsidRPr="00A85C28">
        <w:t>acte de naissance légalement établi à l</w:t>
      </w:r>
      <w:r w:rsidRPr="00A85C28" w:rsidR="00A85C28">
        <w:t>’</w:t>
      </w:r>
      <w:r w:rsidRPr="00A85C28">
        <w:t>étranger comme étant la « mère légale ». Elle a ajouté que le droit au respect de la vie privée de l</w:t>
      </w:r>
      <w:r w:rsidRPr="00A85C28" w:rsidR="00A85C28">
        <w:t>’</w:t>
      </w:r>
      <w:r w:rsidRPr="00A85C28">
        <w:t>enfant ne requérait toutefois pas que cette reconnaissance se fasse par la transcription sur les registres de l</w:t>
      </w:r>
      <w:r w:rsidRPr="00A85C28" w:rsidR="00A85C28">
        <w:t>’</w:t>
      </w:r>
      <w:r w:rsidRPr="00A85C28">
        <w:t>état civil de l</w:t>
      </w:r>
      <w:r w:rsidRPr="00A85C28" w:rsidR="00A85C28">
        <w:t>’</w:t>
      </w:r>
      <w:r w:rsidRPr="00A85C28">
        <w:t>acte de naissance légalement établi à l</w:t>
      </w:r>
      <w:r w:rsidRPr="00A85C28" w:rsidR="00A85C28">
        <w:t>’</w:t>
      </w:r>
      <w:r w:rsidRPr="00A85C28">
        <w:t>étranger, et qu</w:t>
      </w:r>
      <w:r w:rsidRPr="00A85C28" w:rsidR="00A85C28">
        <w:t>’</w:t>
      </w:r>
      <w:r w:rsidRPr="00A85C28">
        <w:t>elle pouvait se faire par une autre voie, telle que l</w:t>
      </w:r>
      <w:r w:rsidRPr="00A85C28" w:rsidR="00A85C28">
        <w:t>’</w:t>
      </w:r>
      <w:r w:rsidRPr="00A85C28">
        <w:t>adoption de l</w:t>
      </w:r>
      <w:r w:rsidRPr="00A85C28" w:rsidR="00A85C28">
        <w:t>’</w:t>
      </w:r>
      <w:r w:rsidRPr="00A85C28">
        <w:t>enfant par la mère d</w:t>
      </w:r>
      <w:r w:rsidRPr="00A85C28" w:rsidR="00A85C28">
        <w:t>’</w:t>
      </w:r>
      <w:r w:rsidRPr="00A85C28">
        <w:t>intention, à la condition que les modalités prévues par le droit interne garantissent l</w:t>
      </w:r>
      <w:r w:rsidRPr="00A85C28" w:rsidR="00A85C28">
        <w:t>’</w:t>
      </w:r>
      <w:r w:rsidRPr="00A85C28">
        <w:t>effectivité et la célérité de sa mise en œuvre, conformément à l</w:t>
      </w:r>
      <w:r w:rsidRPr="00A85C28" w:rsidR="00A85C28">
        <w:t>’</w:t>
      </w:r>
      <w:r w:rsidRPr="00A85C28">
        <w:t>intérêt supérieur de l</w:t>
      </w:r>
      <w:r w:rsidRPr="00A85C28" w:rsidR="00A85C28">
        <w:t>’</w:t>
      </w:r>
      <w:r w:rsidRPr="00A85C28">
        <w:t>enfant.</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52</w:t>
      </w:r>
      <w:r w:rsidRPr="00A85C28">
        <w:fldChar w:fldCharType="end"/>
      </w:r>
      <w:r w:rsidRPr="00A85C28">
        <w:t>.  Plus généralement, la Cour a souligné dans l</w:t>
      </w:r>
      <w:r w:rsidRPr="00A85C28" w:rsidR="00A85C28">
        <w:t>’</w:t>
      </w:r>
      <w:r w:rsidRPr="00A85C28">
        <w:t>avis consultatif n</w:t>
      </w:r>
      <w:r w:rsidRPr="00A85C28">
        <w:rPr>
          <w:vertAlign w:val="superscript"/>
        </w:rPr>
        <w:t>o</w:t>
      </w:r>
      <w:r w:rsidRPr="00A85C28" w:rsidR="00702F75">
        <w:t> P16</w:t>
      </w:r>
      <w:r w:rsidRPr="00A85C28" w:rsidR="00702F75">
        <w:noBreakHyphen/>
      </w:r>
      <w:r w:rsidRPr="00A85C28">
        <w:t>2018-001 (§ 51) que le choix des moyens à mettre en œuvre pour permettre la reconnaissance du lien enfant-parents d</w:t>
      </w:r>
      <w:r w:rsidRPr="00A85C28" w:rsidR="00A85C28">
        <w:t>’</w:t>
      </w:r>
      <w:r w:rsidRPr="00A85C28">
        <w:t>intention tombe dans la marge d</w:t>
      </w:r>
      <w:r w:rsidRPr="00A85C28" w:rsidR="00A85C28">
        <w:t>’</w:t>
      </w:r>
      <w:r w:rsidRPr="00A85C28">
        <w:t>appréciation des États. Elle a observé à cet égard qu</w:t>
      </w:r>
      <w:r w:rsidRPr="00A85C28" w:rsidR="00A85C28">
        <w:t>’</w:t>
      </w:r>
      <w:r w:rsidRPr="00A85C28">
        <w:t>il n</w:t>
      </w:r>
      <w:r w:rsidRPr="00A85C28" w:rsidR="00A85C28">
        <w:t>’</w:t>
      </w:r>
      <w:r w:rsidRPr="00A85C28">
        <w:t>y avait pas de consensus européen en la matière (lorsque l</w:t>
      </w:r>
      <w:r w:rsidRPr="00A85C28" w:rsidR="00A85C28">
        <w:t>’</w:t>
      </w:r>
      <w:r w:rsidRPr="00A85C28">
        <w:t>établissement ou la reconnaissance du lien entre l</w:t>
      </w:r>
      <w:r w:rsidRPr="00A85C28" w:rsidR="00A85C28">
        <w:t>’</w:t>
      </w:r>
      <w:r w:rsidRPr="00A85C28">
        <w:t>enfant et le parent d</w:t>
      </w:r>
      <w:r w:rsidRPr="00A85C28" w:rsidR="00A85C28">
        <w:t>’</w:t>
      </w:r>
      <w:r w:rsidRPr="00A85C28">
        <w:t xml:space="preserve">intention est possible, </w:t>
      </w:r>
      <w:r w:rsidRPr="00A85C28">
        <w:t>leurs modalités variant d</w:t>
      </w:r>
      <w:r w:rsidRPr="00A85C28" w:rsidR="00A85C28">
        <w:t>’</w:t>
      </w:r>
      <w:r w:rsidRPr="00A85C28">
        <w:t>un État à l</w:t>
      </w:r>
      <w:r w:rsidRPr="00A85C28" w:rsidR="00A85C28">
        <w:t>’</w:t>
      </w:r>
      <w:r w:rsidRPr="00A85C28">
        <w:t>autre), et que l</w:t>
      </w:r>
      <w:r w:rsidRPr="00A85C28" w:rsidR="00A85C28">
        <w:t>’</w:t>
      </w:r>
      <w:r w:rsidRPr="00A85C28">
        <w:t>identité de l</w:t>
      </w:r>
      <w:r w:rsidRPr="00A85C28" w:rsidR="00A85C28">
        <w:t>’</w:t>
      </w:r>
      <w:r w:rsidRPr="00A85C28">
        <w:t>individu est moins directement en jeu lorsqu</w:t>
      </w:r>
      <w:r w:rsidRPr="00A85C28" w:rsidR="00A85C28">
        <w:t>’</w:t>
      </w:r>
      <w:r w:rsidRPr="00A85C28">
        <w:t>il s</w:t>
      </w:r>
      <w:r w:rsidRPr="00A85C28" w:rsidR="00A85C28">
        <w:t>’</w:t>
      </w:r>
      <w:r w:rsidRPr="00A85C28">
        <w:t>agit non du principe même de l</w:t>
      </w:r>
      <w:r w:rsidRPr="00A85C28" w:rsidR="00A85C28">
        <w:t>’</w:t>
      </w:r>
      <w:r w:rsidRPr="00A85C28">
        <w:t>établissement ou de la reconnaissance de</w:t>
      </w:r>
      <w:r w:rsidRPr="00A85C28" w:rsidR="00052B5B">
        <w:t xml:space="preserve"> sa filiation mais des moyens à </w:t>
      </w:r>
      <w:r w:rsidRPr="00A85C28">
        <w:t>mettre en œuvre à cette fin.</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53</w:t>
      </w:r>
      <w:r w:rsidRPr="00A85C28">
        <w:fldChar w:fldCharType="end"/>
      </w:r>
      <w:r w:rsidRPr="00A85C28">
        <w:t>.  La Cour a ajouté dans l</w:t>
      </w:r>
      <w:r w:rsidRPr="00A85C28" w:rsidR="00A85C28">
        <w:t>’</w:t>
      </w:r>
      <w:r w:rsidRPr="00A85C28">
        <w:t>avis consultatif n</w:t>
      </w:r>
      <w:r w:rsidRPr="00A85C28">
        <w:rPr>
          <w:vertAlign w:val="superscript"/>
        </w:rPr>
        <w:t>o</w:t>
      </w:r>
      <w:r w:rsidRPr="00A85C28">
        <w:t xml:space="preserve"> P16-2018-001 (§ 47) que la nécessité d</w:t>
      </w:r>
      <w:r w:rsidRPr="00A85C28" w:rsidR="00A85C28">
        <w:t>’</w:t>
      </w:r>
      <w:r w:rsidRPr="00A85C28">
        <w:t>offrir une possibilité de reconnaissance du lien entre l</w:t>
      </w:r>
      <w:r w:rsidRPr="00A85C28" w:rsidR="00A85C28">
        <w:t>’</w:t>
      </w:r>
      <w:r w:rsidRPr="00A85C28">
        <w:t>enfant et la mère d</w:t>
      </w:r>
      <w:r w:rsidRPr="00A85C28" w:rsidR="00A85C28">
        <w:t>’</w:t>
      </w:r>
      <w:r w:rsidRPr="00A85C28">
        <w:t xml:space="preserve">intention valait </w:t>
      </w:r>
      <w:r w:rsidRPr="00A85C28">
        <w:rPr>
          <w:i/>
        </w:rPr>
        <w:t>a fortiori</w:t>
      </w:r>
      <w:r w:rsidRPr="00A85C28">
        <w:t xml:space="preserve"> lorsque l</w:t>
      </w:r>
      <w:r w:rsidRPr="00A85C28" w:rsidR="00A85C28">
        <w:t>’</w:t>
      </w:r>
      <w:r w:rsidRPr="00A85C28">
        <w:t>enfant a été conçu avec les gamètes du père d</w:t>
      </w:r>
      <w:r w:rsidRPr="00A85C28" w:rsidR="00A85C28">
        <w:t>’</w:t>
      </w:r>
      <w:r w:rsidRPr="00A85C28">
        <w:t>intention et les gamètes de la mère d</w:t>
      </w:r>
      <w:r w:rsidRPr="00A85C28" w:rsidR="00A85C28">
        <w:t>’</w:t>
      </w:r>
      <w:r w:rsidRPr="00A85C28">
        <w:t>intention, et que le lien de filiation entre l</w:t>
      </w:r>
      <w:r w:rsidRPr="00A85C28" w:rsidR="00A85C28">
        <w:t>’</w:t>
      </w:r>
      <w:r w:rsidRPr="00A85C28">
        <w:t>enfant et le père d</w:t>
      </w:r>
      <w:r w:rsidRPr="00A85C28" w:rsidR="00A85C28">
        <w:t>’</w:t>
      </w:r>
      <w:r w:rsidRPr="00A85C28">
        <w:t>intention a été reconnu en droit interne.</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54</w:t>
      </w:r>
      <w:r w:rsidRPr="00A85C28">
        <w:fldChar w:fldCharType="end"/>
      </w:r>
      <w:r w:rsidRPr="00A85C28">
        <w:t>.  Il résulte de qui précède que, lorsqu</w:t>
      </w:r>
      <w:r w:rsidRPr="00A85C28" w:rsidR="00A85C28">
        <w:t>’</w:t>
      </w:r>
      <w:r w:rsidRPr="00A85C28">
        <w:t>un enfant est né à l</w:t>
      </w:r>
      <w:r w:rsidRPr="00A85C28" w:rsidR="00A85C28">
        <w:t>’</w:t>
      </w:r>
      <w:r w:rsidRPr="00A85C28">
        <w:t>étranger par gestation pour autrui et est issu des gamètes du père d</w:t>
      </w:r>
      <w:r w:rsidRPr="00A85C28" w:rsidR="00A85C28">
        <w:t>’</w:t>
      </w:r>
      <w:r w:rsidRPr="00A85C28">
        <w:t>intention, le droit au respect de la vie privée de l</w:t>
      </w:r>
      <w:r w:rsidRPr="00A85C28" w:rsidR="00A85C28">
        <w:t>’</w:t>
      </w:r>
      <w:r w:rsidRPr="00A85C28">
        <w:t>enfant requiert que le droit interne offre une possibilité de reconnaissance d</w:t>
      </w:r>
      <w:r w:rsidRPr="00A85C28" w:rsidR="00A85C28">
        <w:t>’</w:t>
      </w:r>
      <w:r w:rsidRPr="00A85C28">
        <w:t>un lien de filiation entre l</w:t>
      </w:r>
      <w:r w:rsidRPr="00A85C28" w:rsidR="00A85C28">
        <w:t>’</w:t>
      </w:r>
      <w:r w:rsidRPr="00A85C28">
        <w:t>enfant et le père d</w:t>
      </w:r>
      <w:r w:rsidRPr="00A85C28" w:rsidR="00A85C28">
        <w:t>’</w:t>
      </w:r>
      <w:r w:rsidRPr="00A85C28">
        <w:t>intention et entre l</w:t>
      </w:r>
      <w:r w:rsidRPr="00A85C28" w:rsidR="00A85C28">
        <w:t>’</w:t>
      </w:r>
      <w:r w:rsidRPr="00A85C28">
        <w:t>enfant et la mère d</w:t>
      </w:r>
      <w:r w:rsidRPr="00A85C28" w:rsidR="00A85C28">
        <w:t>’</w:t>
      </w:r>
      <w:r w:rsidRPr="00A85C28">
        <w:t>intention, qu</w:t>
      </w:r>
      <w:r w:rsidRPr="00A85C28" w:rsidR="00A85C28">
        <w:t>’</w:t>
      </w:r>
      <w:r w:rsidRPr="00A85C28">
        <w:t>elle soit ou non sa mère génétique. Il en ressort de plus que cette reconnaissance du lien de filiation entre l</w:t>
      </w:r>
      <w:r w:rsidRPr="00A85C28" w:rsidR="00A85C28">
        <w:t>’</w:t>
      </w:r>
      <w:r w:rsidRPr="00A85C28">
        <w:t>enfant et le père d</w:t>
      </w:r>
      <w:r w:rsidRPr="00A85C28" w:rsidR="00A85C28">
        <w:t>’</w:t>
      </w:r>
      <w:r w:rsidRPr="00A85C28">
        <w:t>intention, père biologique, et entre l</w:t>
      </w:r>
      <w:r w:rsidRPr="00A85C28" w:rsidR="00A85C28">
        <w:t>’</w:t>
      </w:r>
      <w:r w:rsidRPr="00A85C28">
        <w:t>enfant et la mère d</w:t>
      </w:r>
      <w:r w:rsidRPr="00A85C28" w:rsidR="00A85C28">
        <w:t>’</w:t>
      </w:r>
      <w:r w:rsidRPr="00A85C28">
        <w:t>intention qui n</w:t>
      </w:r>
      <w:r w:rsidRPr="00A85C28" w:rsidR="00A85C28">
        <w:t>’</w:t>
      </w:r>
      <w:r w:rsidRPr="00A85C28">
        <w:t>est pas la mère génétique peut dûment se faire par d</w:t>
      </w:r>
      <w:r w:rsidRPr="00A85C28" w:rsidR="00A85C28">
        <w:t>’</w:t>
      </w:r>
      <w:r w:rsidRPr="00A85C28">
        <w:t>autres moyens que la transcription de l</w:t>
      </w:r>
      <w:r w:rsidRPr="00A85C28" w:rsidR="00A85C28">
        <w:t>’</w:t>
      </w:r>
      <w:r w:rsidRPr="00A85C28">
        <w:t>acte de naissance étranger de l</w:t>
      </w:r>
      <w:r w:rsidRPr="00A85C28" w:rsidR="00A85C28">
        <w:t>’</w:t>
      </w:r>
      <w:r w:rsidRPr="00A85C28">
        <w:t>enfant.</w:t>
      </w:r>
    </w:p>
    <w:p w:rsidRPr="00A85C28" w:rsidR="004D2843" w:rsidP="00A85C28">
      <w:pPr>
        <w:pStyle w:val="ECHRHeading5"/>
        <w:numPr>
          <w:ilvl w:val="5"/>
          <w:numId w:val="24"/>
        </w:numPr>
        <w:tabs>
          <w:tab w:val="clear" w:pos="1191"/>
        </w:tabs>
        <w:spacing w:before="100" w:beforeAutospacing="1" w:line="271" w:lineRule="auto"/>
        <w:jc w:val="left"/>
        <w:outlineLvl w:val="5"/>
      </w:pPr>
      <w:r w:rsidRPr="00A85C28">
        <w:t>Le cas d</w:t>
      </w:r>
      <w:r w:rsidRPr="00A85C28" w:rsidR="00A85C28">
        <w:t>’</w:t>
      </w:r>
      <w:r w:rsidRPr="00A85C28">
        <w:t>espèce</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55</w:t>
      </w:r>
      <w:r w:rsidRPr="00A85C28">
        <w:fldChar w:fldCharType="end"/>
      </w:r>
      <w:r w:rsidRPr="00A85C28">
        <w:t>.  En l</w:t>
      </w:r>
      <w:r w:rsidRPr="00A85C28" w:rsidR="00A85C28">
        <w:t>’</w:t>
      </w:r>
      <w:r w:rsidRPr="00A85C28">
        <w:t>espèce, la cour d</w:t>
      </w:r>
      <w:r w:rsidRPr="00A85C28" w:rsidR="00A85C28">
        <w:t>’</w:t>
      </w:r>
      <w:r w:rsidRPr="00A85C28">
        <w:t>appel de Rennes a, le 18 décembre 2017, accueilli la demande tendant à la transcription sur les registres de l</w:t>
      </w:r>
      <w:r w:rsidRPr="00A85C28" w:rsidR="00A85C28">
        <w:t>’</w:t>
      </w:r>
      <w:r w:rsidRPr="00A85C28">
        <w:t>état civil français de l</w:t>
      </w:r>
      <w:r w:rsidRPr="00A85C28" w:rsidR="00A85C28">
        <w:t>’</w:t>
      </w:r>
      <w:r w:rsidRPr="00A85C28">
        <w:t>acte de naissance ukrainien de la troisième requérante pour autant qu</w:t>
      </w:r>
      <w:r w:rsidRPr="00A85C28" w:rsidR="00A85C28">
        <w:t>’</w:t>
      </w:r>
      <w:r w:rsidRPr="00A85C28">
        <w:t>il désignait comme étant son père le deuxième requérant, père d</w:t>
      </w:r>
      <w:r w:rsidRPr="00A85C28" w:rsidR="00A85C28">
        <w:t>’</w:t>
      </w:r>
      <w:r w:rsidRPr="00A85C28">
        <w:t>intention et père biologique. Elle a en revanche rejeté la demande de transcription pour autant que l</w:t>
      </w:r>
      <w:r w:rsidRPr="00A85C28" w:rsidR="00A85C28">
        <w:t>’</w:t>
      </w:r>
      <w:r w:rsidRPr="00A85C28">
        <w:t>acte de naissance désignait la première requérante  comme étant sa mère ; ce faisant, elle a toutefois souligné que le lien de filiation entre l</w:t>
      </w:r>
      <w:r w:rsidRPr="00A85C28" w:rsidR="00A85C28">
        <w:t>’</w:t>
      </w:r>
      <w:r w:rsidRPr="00A85C28">
        <w:t>une et l</w:t>
      </w:r>
      <w:r w:rsidRPr="00A85C28" w:rsidR="00A85C28">
        <w:t>’</w:t>
      </w:r>
      <w:r w:rsidRPr="00A85C28">
        <w:t>autre pouvait être juridiquement établi par la voie de l</w:t>
      </w:r>
      <w:r w:rsidRPr="00A85C28" w:rsidR="00A85C28">
        <w:t>’</w:t>
      </w:r>
      <w:r w:rsidRPr="00A85C28">
        <w:t>adoption (paragraphe 10 ci-dessus).</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56</w:t>
      </w:r>
      <w:r w:rsidRPr="00A85C28">
        <w:fldChar w:fldCharType="end"/>
      </w:r>
      <w:r w:rsidRPr="00A85C28">
        <w:t>.  La Cour observe que la thèse défendue aujourd</w:t>
      </w:r>
      <w:r w:rsidRPr="00A85C28" w:rsidR="00A85C28">
        <w:t>’</w:t>
      </w:r>
      <w:r w:rsidRPr="00A85C28">
        <w:t>hui par les requérants (paragraphe 38 ci-dessus) revient à dire que le rejet de la demande de transcription de l</w:t>
      </w:r>
      <w:r w:rsidRPr="00A85C28" w:rsidR="00A85C28">
        <w:t>’</w:t>
      </w:r>
      <w:r w:rsidRPr="00A85C28">
        <w:t>acte de naissance ukrainien de la troisième requérante pour autant qu</w:t>
      </w:r>
      <w:r w:rsidRPr="00A85C28" w:rsidR="00A85C28">
        <w:t>’</w:t>
      </w:r>
      <w:r w:rsidRPr="00A85C28">
        <w:t>il désigne la première requérante comme étant sa mère est constitutif d</w:t>
      </w:r>
      <w:r w:rsidRPr="00A85C28" w:rsidR="00A85C28">
        <w:t>’</w:t>
      </w:r>
      <w:r w:rsidRPr="00A85C28">
        <w:t>une ingérence disproportionnée dans son droit au respect de sa vie privée dès lors que la première requérante est sa mère génétique.</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57</w:t>
      </w:r>
      <w:r w:rsidRPr="00A85C28">
        <w:fldChar w:fldCharType="end"/>
      </w:r>
      <w:r w:rsidRPr="00A85C28">
        <w:t>.  La Cour constate tout d</w:t>
      </w:r>
      <w:r w:rsidRPr="00A85C28" w:rsidR="00A85C28">
        <w:t>’</w:t>
      </w:r>
      <w:r w:rsidRPr="00A85C28">
        <w:t>abord que les pièces relatives à la procédure internes produites par les parties indiquent que les requérants n</w:t>
      </w:r>
      <w:r w:rsidRPr="00A85C28" w:rsidR="00A85C28">
        <w:t>’</w:t>
      </w:r>
      <w:r w:rsidRPr="00A85C28">
        <w:t>ont pas informé les autorités et le juge internes du fait que la première requérante était la mère génétique de l</w:t>
      </w:r>
      <w:r w:rsidRPr="00A85C28" w:rsidR="00A85C28">
        <w:t>’</w:t>
      </w:r>
      <w:r w:rsidRPr="00A85C28">
        <w:t>enfant. En particulier, il ne ressort ni du jugement du tribunal de grande instance de Nantes du 12 janvier 2017 (paragraphe 9 ci-dessus) ni de l</w:t>
      </w:r>
      <w:r w:rsidRPr="00A85C28" w:rsidR="00A85C28">
        <w:t>’</w:t>
      </w:r>
      <w:r w:rsidRPr="00A85C28">
        <w:t>arrêt de la cour d</w:t>
      </w:r>
      <w:r w:rsidRPr="00A85C28" w:rsidR="00A85C28">
        <w:t>’</w:t>
      </w:r>
      <w:r w:rsidRPr="00A85C28">
        <w:t xml:space="preserve">appel de Rennes du </w:t>
      </w:r>
      <w:r w:rsidRPr="00A85C28">
        <w:t>18 décembre 2017 (paragraphe 10 ci-dessus) qu</w:t>
      </w:r>
      <w:r w:rsidRPr="00A85C28" w:rsidR="00A85C28">
        <w:t>’</w:t>
      </w:r>
      <w:r w:rsidRPr="00A85C28">
        <w:t>ils auraient donné cette information à ces juridictions. Elle ne figurait du reste ni dans la requête qu</w:t>
      </w:r>
      <w:r w:rsidRPr="00A85C28" w:rsidR="00A85C28">
        <w:t>’</w:t>
      </w:r>
      <w:r w:rsidRPr="00A85C28">
        <w:t>ils ont introduite devant la Cour le 2 mars 2018, ni dans leurs observations du 15 novembre 2018 en réplique à celles du Gouvernement. Les requérants n</w:t>
      </w:r>
      <w:r w:rsidRPr="00A85C28" w:rsidR="00A85C28">
        <w:t>’</w:t>
      </w:r>
      <w:r w:rsidRPr="00A85C28">
        <w:t>ont donné cette précision à la Cour q</w:t>
      </w:r>
      <w:r w:rsidRPr="00A85C28" w:rsidR="00203FA0">
        <w:t>ue le 12 septembre </w:t>
      </w:r>
      <w:r w:rsidRPr="00A85C28">
        <w:t>2019, en réponse à une demande de renseignement complémentaire adressée par elle aux parties à la suite de l</w:t>
      </w:r>
      <w:r w:rsidRPr="00A85C28" w:rsidR="00A85C28">
        <w:t>’</w:t>
      </w:r>
      <w:r w:rsidRPr="00A85C28">
        <w:t>avis consultatif n</w:t>
      </w:r>
      <w:r w:rsidRPr="00A85C28">
        <w:rPr>
          <w:vertAlign w:val="superscript"/>
        </w:rPr>
        <w:t>o</w:t>
      </w:r>
      <w:r w:rsidRPr="00A85C28">
        <w:t xml:space="preserve"> P16-2018-001 (paragraphe 12 ci-dessus). Par ailleurs les requérants ne se sont pas pourvus en cassation contre l</w:t>
      </w:r>
      <w:r w:rsidRPr="00A85C28" w:rsidR="00A85C28">
        <w:t>’</w:t>
      </w:r>
      <w:r w:rsidRPr="00A85C28">
        <w:t>arrêt de la cour d</w:t>
      </w:r>
      <w:r w:rsidRPr="00A85C28" w:rsidR="00A85C28">
        <w:t>’</w:t>
      </w:r>
      <w:r w:rsidRPr="00A85C28">
        <w:t>appel de Rennes. La Cour ne tire toutefois pas de conséquence de ces deux circonstances dès lors qu</w:t>
      </w:r>
      <w:r w:rsidRPr="00A85C28" w:rsidR="00A85C28">
        <w:t>’</w:t>
      </w:r>
      <w:r w:rsidRPr="00A85C28">
        <w:t>à l</w:t>
      </w:r>
      <w:r w:rsidRPr="00A85C28" w:rsidR="00A85C28">
        <w:t>’</w:t>
      </w:r>
      <w:r w:rsidRPr="00A85C28">
        <w:t>époque où l</w:t>
      </w:r>
      <w:r w:rsidRPr="00A85C28" w:rsidR="00A85C28">
        <w:t>’</w:t>
      </w:r>
      <w:r w:rsidRPr="00A85C28">
        <w:t>affaire était pendante au plan interne, la jurisprudence de la Cour de cassation excluait la transcription de l</w:t>
      </w:r>
      <w:r w:rsidRPr="00A85C28" w:rsidR="00A85C28">
        <w:t>’</w:t>
      </w:r>
      <w:r w:rsidRPr="00A85C28">
        <w:t>acte de naissance étranger des enfants nés à l</w:t>
      </w:r>
      <w:r w:rsidRPr="00A85C28" w:rsidR="00A85C28">
        <w:t>’</w:t>
      </w:r>
      <w:r w:rsidRPr="00A85C28">
        <w:t>étranger d</w:t>
      </w:r>
      <w:r w:rsidRPr="00A85C28" w:rsidR="00A85C28">
        <w:t>’</w:t>
      </w:r>
      <w:r w:rsidRPr="00A85C28">
        <w:t>une gestation pour autrui pour autant qu</w:t>
      </w:r>
      <w:r w:rsidRPr="00A85C28" w:rsidR="00A85C28">
        <w:t>’</w:t>
      </w:r>
      <w:r w:rsidRPr="00A85C28">
        <w:t>il désignait la mère d</w:t>
      </w:r>
      <w:r w:rsidRPr="00A85C28" w:rsidR="00A85C28">
        <w:t>’</w:t>
      </w:r>
      <w:r w:rsidRPr="00A85C28">
        <w:t>intention comme étant leur mère, sans distinguer la situation où elle était leur mère génétique de celle où elle ne l</w:t>
      </w:r>
      <w:r w:rsidRPr="00A85C28" w:rsidR="00A85C28">
        <w:t>’</w:t>
      </w:r>
      <w:r w:rsidRPr="00A85C28">
        <w:t>était pas.</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58</w:t>
      </w:r>
      <w:r w:rsidRPr="00A85C28">
        <w:fldChar w:fldCharType="end"/>
      </w:r>
      <w:r w:rsidRPr="00A85C28">
        <w:t>.  Ceci étant, comme indiqué précédemment, la Cour s</w:t>
      </w:r>
      <w:r w:rsidRPr="00A85C28" w:rsidR="00A85C28">
        <w:t>’</w:t>
      </w:r>
      <w:r w:rsidRPr="00A85C28">
        <w:t>est déjà prononcée sur une question similaire s</w:t>
      </w:r>
      <w:r w:rsidRPr="00A85C28" w:rsidR="00A85C28">
        <w:t>’</w:t>
      </w:r>
      <w:r w:rsidRPr="00A85C28">
        <w:t>agissant du lien de filiation entre l</w:t>
      </w:r>
      <w:r w:rsidRPr="00A85C28" w:rsidR="00A85C28">
        <w:t>’</w:t>
      </w:r>
      <w:r w:rsidRPr="00A85C28">
        <w:t>enfant et le père d</w:t>
      </w:r>
      <w:r w:rsidRPr="00A85C28" w:rsidR="00A85C28">
        <w:t>’</w:t>
      </w:r>
      <w:r w:rsidRPr="00A85C28">
        <w:t>intention, père biologique (paragraphes 49-50</w:t>
      </w:r>
      <w:r w:rsidRPr="00A85C28" w:rsidR="00386D87">
        <w:t xml:space="preserve"> ci</w:t>
      </w:r>
      <w:r w:rsidRPr="00A85C28" w:rsidR="00386D87">
        <w:noBreakHyphen/>
      </w:r>
      <w:r w:rsidRPr="00A85C28">
        <w:t>dessus). Il ressort de sa jurisprudence que l</w:t>
      </w:r>
      <w:r w:rsidRPr="00A85C28" w:rsidR="00A85C28">
        <w:t>’</w:t>
      </w:r>
      <w:r w:rsidRPr="00A85C28">
        <w:t>existence d</w:t>
      </w:r>
      <w:r w:rsidRPr="00A85C28" w:rsidR="00A85C28">
        <w:t>’</w:t>
      </w:r>
      <w:r w:rsidRPr="00A85C28">
        <w:t>un lien génétique n</w:t>
      </w:r>
      <w:r w:rsidRPr="00A85C28" w:rsidR="00A85C28">
        <w:t>’</w:t>
      </w:r>
      <w:r w:rsidRPr="00A85C28">
        <w:t>a pas pour conséquence que le droit au respect de la vie privée de l</w:t>
      </w:r>
      <w:r w:rsidRPr="00A85C28" w:rsidR="00A85C28">
        <w:t>’</w:t>
      </w:r>
      <w:r w:rsidRPr="00A85C28">
        <w:t>enfant requiert que la reconnaissance du lien de filiation entre l</w:t>
      </w:r>
      <w:r w:rsidRPr="00A85C28" w:rsidR="00A85C28">
        <w:t>’</w:t>
      </w:r>
      <w:r w:rsidRPr="00A85C28">
        <w:t>enfant et le père d</w:t>
      </w:r>
      <w:r w:rsidRPr="00A85C28" w:rsidR="00A85C28">
        <w:t>’</w:t>
      </w:r>
      <w:r w:rsidRPr="00A85C28">
        <w:t>intention, puisse se faire spécifiquement par la voie de la transcription de son acte de naissance étranger.</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59</w:t>
      </w:r>
      <w:r w:rsidRPr="00A85C28">
        <w:fldChar w:fldCharType="end"/>
      </w:r>
      <w:r w:rsidRPr="00A85C28">
        <w:t>.  La Cour ne voit pas de raison dans les circonstances de l</w:t>
      </w:r>
      <w:r w:rsidRPr="00A85C28" w:rsidR="00A85C28">
        <w:t>’</w:t>
      </w:r>
      <w:r w:rsidRPr="00A85C28">
        <w:t>espèce d</w:t>
      </w:r>
      <w:r w:rsidRPr="00A85C28" w:rsidR="00A85C28">
        <w:t>’</w:t>
      </w:r>
      <w:r w:rsidRPr="00A85C28">
        <w:t>en décider autrement s</w:t>
      </w:r>
      <w:r w:rsidRPr="00A85C28" w:rsidR="00A85C28">
        <w:t>’</w:t>
      </w:r>
      <w:r w:rsidRPr="00A85C28">
        <w:t>agissant de la reconnaissance du lien de filiation entre l</w:t>
      </w:r>
      <w:r w:rsidRPr="00A85C28" w:rsidR="00A85C28">
        <w:t>’</w:t>
      </w:r>
      <w:r w:rsidRPr="00A85C28">
        <w:t>enfant et la mère d</w:t>
      </w:r>
      <w:r w:rsidRPr="00A85C28" w:rsidR="00A85C28">
        <w:t>’</w:t>
      </w:r>
      <w:r w:rsidRPr="00A85C28">
        <w:t>intention, mère génétique.</w:t>
      </w:r>
    </w:p>
    <w:p w:rsidRPr="00A85C28" w:rsidR="004D2843" w:rsidP="00A85C28">
      <w:pPr>
        <w:pStyle w:val="ECHRPara"/>
        <w:rPr>
          <w:rFonts w:eastAsia="Calibri"/>
          <w:lang w:eastAsia="en-GB"/>
        </w:rPr>
      </w:pPr>
      <w:r w:rsidRPr="00A85C28">
        <w:fldChar w:fldCharType="begin"/>
      </w:r>
      <w:r w:rsidRPr="00A85C28">
        <w:instrText xml:space="preserve"> SEQ level0 \*arabic </w:instrText>
      </w:r>
      <w:r w:rsidRPr="00A85C28">
        <w:fldChar w:fldCharType="separate"/>
      </w:r>
      <w:r w:rsidRPr="00A85C28" w:rsidR="00A85C28">
        <w:rPr>
          <w:noProof/>
        </w:rPr>
        <w:t>60</w:t>
      </w:r>
      <w:r w:rsidRPr="00A85C28">
        <w:fldChar w:fldCharType="end"/>
      </w:r>
      <w:r w:rsidRPr="00A85C28">
        <w:t>.  </w:t>
      </w:r>
      <w:r w:rsidRPr="00A85C28">
        <w:rPr>
          <w:rFonts w:eastAsia="Calibri"/>
          <w:lang w:eastAsia="en-GB"/>
        </w:rPr>
        <w:t>On ne saurait donc retenir que le rejet de la demande de transcription de l</w:t>
      </w:r>
      <w:r w:rsidRPr="00A85C28" w:rsidR="00A85C28">
        <w:rPr>
          <w:rFonts w:eastAsia="Calibri"/>
          <w:lang w:eastAsia="en-GB"/>
        </w:rPr>
        <w:t>’</w:t>
      </w:r>
      <w:r w:rsidRPr="00A85C28">
        <w:rPr>
          <w:rFonts w:eastAsia="Calibri"/>
          <w:lang w:eastAsia="en-GB"/>
        </w:rPr>
        <w:t>acte de naissance ukrainien de la troisième requérante pour autant qu</w:t>
      </w:r>
      <w:r w:rsidRPr="00A85C28" w:rsidR="00A85C28">
        <w:rPr>
          <w:rFonts w:eastAsia="Calibri"/>
          <w:lang w:eastAsia="en-GB"/>
        </w:rPr>
        <w:t>’</w:t>
      </w:r>
      <w:r w:rsidRPr="00A85C28">
        <w:rPr>
          <w:rFonts w:eastAsia="Calibri"/>
          <w:lang w:eastAsia="en-GB"/>
        </w:rPr>
        <w:t>il désigne la première requérante est constitutif d</w:t>
      </w:r>
      <w:r w:rsidRPr="00A85C28" w:rsidR="00A85C28">
        <w:rPr>
          <w:rFonts w:eastAsia="Calibri"/>
          <w:lang w:eastAsia="en-GB"/>
        </w:rPr>
        <w:t>’</w:t>
      </w:r>
      <w:r w:rsidRPr="00A85C28">
        <w:rPr>
          <w:rFonts w:eastAsia="Calibri"/>
          <w:lang w:eastAsia="en-GB"/>
        </w:rPr>
        <w:t>une ingérence disproportionnée dans son droit au respect de sa vie privée du seul fait que la première requérante est sa mère génétique, dès lors que le lien de filiation entre l</w:t>
      </w:r>
      <w:r w:rsidRPr="00A85C28" w:rsidR="00A85C28">
        <w:rPr>
          <w:rFonts w:eastAsia="Calibri"/>
          <w:lang w:eastAsia="en-GB"/>
        </w:rPr>
        <w:t>’</w:t>
      </w:r>
      <w:r w:rsidRPr="00A85C28">
        <w:rPr>
          <w:rFonts w:eastAsia="Calibri"/>
          <w:lang w:eastAsia="en-GB"/>
        </w:rPr>
        <w:t>une et l</w:t>
      </w:r>
      <w:r w:rsidRPr="00A85C28" w:rsidR="00A85C28">
        <w:rPr>
          <w:rFonts w:eastAsia="Calibri"/>
          <w:lang w:eastAsia="en-GB"/>
        </w:rPr>
        <w:t>’</w:t>
      </w:r>
      <w:r w:rsidRPr="00A85C28">
        <w:rPr>
          <w:rFonts w:eastAsia="Calibri"/>
          <w:lang w:eastAsia="en-GB"/>
        </w:rPr>
        <w:t>autre peut être effectivement établi par une autre voie (paragraphes 62, 64 et 70 ci-dessous).</w:t>
      </w:r>
    </w:p>
    <w:p w:rsidRPr="00A85C28" w:rsidR="004D2843" w:rsidP="00A85C28">
      <w:pPr>
        <w:pStyle w:val="ECHRPara"/>
        <w:rPr>
          <w:color w:val="000000" w:themeColor="text1"/>
          <w:lang w:eastAsia="fr-FR"/>
        </w:rPr>
      </w:pPr>
      <w:r w:rsidRPr="00A85C28">
        <w:fldChar w:fldCharType="begin"/>
      </w:r>
      <w:r w:rsidRPr="00A85C28">
        <w:instrText xml:space="preserve"> SEQ level0 \*arabic </w:instrText>
      </w:r>
      <w:r w:rsidRPr="00A85C28">
        <w:fldChar w:fldCharType="separate"/>
      </w:r>
      <w:r w:rsidRPr="00A85C28" w:rsidR="00A85C28">
        <w:rPr>
          <w:noProof/>
        </w:rPr>
        <w:t>61</w:t>
      </w:r>
      <w:r w:rsidRPr="00A85C28">
        <w:fldChar w:fldCharType="end"/>
      </w:r>
      <w:r w:rsidRPr="00A85C28">
        <w:t>.  Certes, sur le plan interne, en l</w:t>
      </w:r>
      <w:r w:rsidRPr="00A85C28" w:rsidR="00A85C28">
        <w:t>’</w:t>
      </w:r>
      <w:r w:rsidRPr="00A85C28">
        <w:t>é</w:t>
      </w:r>
      <w:r w:rsidRPr="00A85C28" w:rsidR="00052B5B">
        <w:t>tat du droit positif français à </w:t>
      </w:r>
      <w:r w:rsidRPr="00A85C28">
        <w:t>l</w:t>
      </w:r>
      <w:r w:rsidRPr="00A85C28" w:rsidR="00A85C28">
        <w:t>’</w:t>
      </w:r>
      <w:r w:rsidRPr="00A85C28">
        <w:t>époque des faits de la cause, il était à l</w:t>
      </w:r>
      <w:r w:rsidRPr="00A85C28" w:rsidR="00A85C28">
        <w:t>’</w:t>
      </w:r>
      <w:r w:rsidRPr="00A85C28">
        <w:t>inverse possible d</w:t>
      </w:r>
      <w:r w:rsidRPr="00A85C28" w:rsidR="00A85C28">
        <w:t>’</w:t>
      </w:r>
      <w:r w:rsidRPr="00A85C28">
        <w:t>obtenir la transcription de l</w:t>
      </w:r>
      <w:r w:rsidRPr="00A85C28" w:rsidR="00A85C28">
        <w:t>’</w:t>
      </w:r>
      <w:r w:rsidRPr="00A85C28">
        <w:t>acte de naissance étranger pour autant qu</w:t>
      </w:r>
      <w:r w:rsidRPr="00A85C28" w:rsidR="00A85C28">
        <w:t>’</w:t>
      </w:r>
      <w:r w:rsidRPr="00A85C28">
        <w:t>il désignait le père d</w:t>
      </w:r>
      <w:r w:rsidRPr="00A85C28" w:rsidR="00A85C28">
        <w:t>’</w:t>
      </w:r>
      <w:r w:rsidRPr="00A85C28">
        <w:t>intention, père biologique. Comme l</w:t>
      </w:r>
      <w:r w:rsidRPr="00A85C28" w:rsidR="00A85C28">
        <w:t>’</w:t>
      </w:r>
      <w:r w:rsidRPr="00A85C28">
        <w:t>illustre les circonstances de l</w:t>
      </w:r>
      <w:r w:rsidRPr="00A85C28" w:rsidR="00A85C28">
        <w:t>’</w:t>
      </w:r>
      <w:r w:rsidRPr="00A85C28">
        <w:t>espèce, cela créait une différence de traitement quant à l</w:t>
      </w:r>
      <w:r w:rsidRPr="00A85C28" w:rsidR="00A85C28">
        <w:t>’</w:t>
      </w:r>
      <w:r w:rsidRPr="00A85C28">
        <w:t>établissement du lien de filiation entre le père d</w:t>
      </w:r>
      <w:r w:rsidRPr="00A85C28" w:rsidR="00A85C28">
        <w:t>’</w:t>
      </w:r>
      <w:r w:rsidRPr="00A85C28">
        <w:t>intention, père biologique, et la mère d</w:t>
      </w:r>
      <w:r w:rsidRPr="00A85C28" w:rsidR="00A85C28">
        <w:t>’</w:t>
      </w:r>
      <w:r w:rsidRPr="00A85C28">
        <w:t>intention, mère génétique. La présente requête ne concerne toutefois pas les droits des parents d</w:t>
      </w:r>
      <w:r w:rsidRPr="00A85C28" w:rsidR="00A85C28">
        <w:t>’</w:t>
      </w:r>
      <w:r w:rsidRPr="00A85C28">
        <w:t>intention au regard de la Convention, mais uniquement ceux de l</w:t>
      </w:r>
      <w:r w:rsidRPr="00A85C28" w:rsidR="00A85C28">
        <w:t>’</w:t>
      </w:r>
      <w:r w:rsidRPr="00A85C28">
        <w:t>enfant né à l</w:t>
      </w:r>
      <w:r w:rsidRPr="00A85C28" w:rsidR="00A85C28">
        <w:t>’</w:t>
      </w:r>
      <w:r w:rsidRPr="00A85C28">
        <w:t>étranger d</w:t>
      </w:r>
      <w:r w:rsidRPr="00A85C28" w:rsidR="00A85C28">
        <w:t>’</w:t>
      </w:r>
      <w:r w:rsidRPr="00A85C28">
        <w:t xml:space="preserve">une gestation pour autrui. </w:t>
      </w:r>
      <w:r w:rsidRPr="00A85C28">
        <w:rPr>
          <w:color w:val="000000" w:themeColor="text1"/>
          <w:lang w:eastAsia="fr-FR"/>
        </w:rPr>
        <w:t xml:space="preserve">De plus, pour autant que les requérants entendent dénoncer une discrimination </w:t>
      </w:r>
      <w:r w:rsidRPr="00A85C28">
        <w:rPr>
          <w:color w:val="000000" w:themeColor="text1"/>
          <w:lang w:eastAsia="fr-FR"/>
        </w:rPr>
        <w:t>dont la troisième d</w:t>
      </w:r>
      <w:r w:rsidRPr="00A85C28" w:rsidR="00A85C28">
        <w:rPr>
          <w:color w:val="000000" w:themeColor="text1"/>
          <w:lang w:eastAsia="fr-FR"/>
        </w:rPr>
        <w:t>’</w:t>
      </w:r>
      <w:r w:rsidRPr="00A85C28">
        <w:rPr>
          <w:color w:val="000000" w:themeColor="text1"/>
          <w:lang w:eastAsia="fr-FR"/>
        </w:rPr>
        <w:t>entre eux aurait à souffrir du fait de cette différence de traitement, la Cour</w:t>
      </w:r>
      <w:r w:rsidRPr="00A85C28" w:rsidR="00B04A67">
        <w:rPr>
          <w:color w:val="000000" w:themeColor="text1"/>
          <w:lang w:eastAsia="fr-FR"/>
        </w:rPr>
        <w:t xml:space="preserve"> renvoie aux paragraphes 81-82</w:t>
      </w:r>
      <w:r w:rsidRPr="00A85C28">
        <w:rPr>
          <w:color w:val="000000" w:themeColor="text1"/>
          <w:lang w:eastAsia="fr-FR"/>
        </w:rPr>
        <w:t xml:space="preserve"> ci-dessous.</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62</w:t>
      </w:r>
      <w:r w:rsidRPr="00A85C28">
        <w:fldChar w:fldCharType="end"/>
      </w:r>
      <w:r w:rsidRPr="00A85C28">
        <w:t>.  Or, selon la Cour, ce qui est déterminant s</w:t>
      </w:r>
      <w:r w:rsidRPr="00A85C28" w:rsidR="00A85C28">
        <w:t>’</w:t>
      </w:r>
      <w:r w:rsidRPr="00A85C28">
        <w:t>agissant de la proportionnalité de l</w:t>
      </w:r>
      <w:r w:rsidRPr="00A85C28" w:rsidR="00A85C28">
        <w:t>’</w:t>
      </w:r>
      <w:r w:rsidRPr="00A85C28">
        <w:t>ingérence dans le droit au respect de la vie privée de la troisième requérante c</w:t>
      </w:r>
      <w:r w:rsidRPr="00A85C28" w:rsidR="00A85C28">
        <w:t>’</w:t>
      </w:r>
      <w:r w:rsidRPr="00A85C28">
        <w:t>est que le rejet de la demande tendant à la transcription de son acte de naissance ukrainien pour autant qu</w:t>
      </w:r>
      <w:r w:rsidRPr="00A85C28" w:rsidR="00A85C28">
        <w:t>’</w:t>
      </w:r>
      <w:r w:rsidRPr="00A85C28">
        <w:t>il désigne la première requérante comme étant sa mère ne faisait pas obstacle à l</w:t>
      </w:r>
      <w:r w:rsidRPr="00A85C28" w:rsidR="00A85C28">
        <w:t>’</w:t>
      </w:r>
      <w:r w:rsidRPr="00A85C28">
        <w:t>établissement du lien de filiation entre l</w:t>
      </w:r>
      <w:r w:rsidRPr="00A85C28" w:rsidR="00A85C28">
        <w:t>’</w:t>
      </w:r>
      <w:r w:rsidRPr="00A85C28">
        <w:t>une et l</w:t>
      </w:r>
      <w:r w:rsidRPr="00A85C28" w:rsidR="00A85C28">
        <w:t>’</w:t>
      </w:r>
      <w:r w:rsidRPr="00A85C28">
        <w:t>autre. Comme indiqué précédemment, la cour d</w:t>
      </w:r>
      <w:r w:rsidRPr="00A85C28" w:rsidR="00A85C28">
        <w:t>’</w:t>
      </w:r>
      <w:r w:rsidRPr="00A85C28">
        <w:t>appel de Rennes a pris soin de souligner que la voie de l</w:t>
      </w:r>
      <w:r w:rsidRPr="00A85C28" w:rsidR="00A85C28">
        <w:t>’</w:t>
      </w:r>
      <w:r w:rsidRPr="00A85C28">
        <w:t>adoption leur est ouverte (paragraphe 10 ci-dessus), ce que confirme la jurisprudence de la Cour de cassation (paragraphe 17 ci-dessus).</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63</w:t>
      </w:r>
      <w:r w:rsidRPr="00A85C28">
        <w:fldChar w:fldCharType="end"/>
      </w:r>
      <w:r w:rsidRPr="00A85C28">
        <w:t>.  La Cour comprend qu</w:t>
      </w:r>
      <w:r w:rsidRPr="00A85C28" w:rsidR="00A85C28">
        <w:t>’</w:t>
      </w:r>
      <w:r w:rsidRPr="00A85C28">
        <w:t>en tant que parent génétique de la troisième requérante, la première requérante puisse avoir des difficultés à envisager de passer par une procédure d</w:t>
      </w:r>
      <w:r w:rsidRPr="00A85C28" w:rsidR="00A85C28">
        <w:t>’</w:t>
      </w:r>
      <w:r w:rsidRPr="00A85C28">
        <w:t>adoption pour établir leur lien de filiation en droit français. Il faut toutefois là aussi rappeler que la présente requête ne concerne pas les droits de la première requérante, mais uniquement ceux de la troisième requérante.</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64</w:t>
      </w:r>
      <w:r w:rsidRPr="00A85C28">
        <w:fldChar w:fldCharType="end"/>
      </w:r>
      <w:r w:rsidRPr="00A85C28">
        <w:t>.  Ce qu</w:t>
      </w:r>
      <w:r w:rsidRPr="00A85C28" w:rsidR="00A85C28">
        <w:t>’</w:t>
      </w:r>
      <w:r w:rsidRPr="00A85C28">
        <w:t>il faut au regard du droit au respect de la vie privée de la troisième requérante c</w:t>
      </w:r>
      <w:r w:rsidRPr="00A85C28" w:rsidR="00A85C28">
        <w:t>’</w:t>
      </w:r>
      <w:r w:rsidRPr="00A85C28">
        <w:t>est qu</w:t>
      </w:r>
      <w:r w:rsidRPr="00A85C28" w:rsidR="00A85C28">
        <w:t>’</w:t>
      </w:r>
      <w:r w:rsidRPr="00A85C28">
        <w:t>elle ait accès à un mécanisme effectif et suffisamment rapide permettant la reconnaissance du lien de filiation entre elle et la première requérante. La Cour a retenu ce critère dans l</w:t>
      </w:r>
      <w:r w:rsidRPr="00A85C28" w:rsidR="00A85C28">
        <w:t>’</w:t>
      </w:r>
      <w:r w:rsidRPr="00A85C28">
        <w:t>avis consultatif n</w:t>
      </w:r>
      <w:r w:rsidRPr="00A85C28">
        <w:rPr>
          <w:vertAlign w:val="superscript"/>
        </w:rPr>
        <w:t>o</w:t>
      </w:r>
      <w:r w:rsidRPr="00A85C28">
        <w:t xml:space="preserve"> P16-2018-001 s</w:t>
      </w:r>
      <w:r w:rsidRPr="00A85C28" w:rsidR="00A85C28">
        <w:t>’</w:t>
      </w:r>
      <w:r w:rsidRPr="00A85C28">
        <w:t>agissant de la situation où l</w:t>
      </w:r>
      <w:r w:rsidRPr="00A85C28" w:rsidR="00A85C28">
        <w:t>’</w:t>
      </w:r>
      <w:r w:rsidRPr="00A85C28">
        <w:t>enfant est issue des gamètes du père d</w:t>
      </w:r>
      <w:r w:rsidRPr="00A85C28" w:rsidR="00A85C28">
        <w:t>’</w:t>
      </w:r>
      <w:r w:rsidRPr="00A85C28">
        <w:t>intention et d</w:t>
      </w:r>
      <w:r w:rsidRPr="00A85C28" w:rsidR="00A85C28">
        <w:t>’</w:t>
      </w:r>
      <w:r w:rsidRPr="00A85C28">
        <w:t>une tierce donneuse et n</w:t>
      </w:r>
      <w:r w:rsidRPr="00A85C28" w:rsidR="00A85C28">
        <w:t>’</w:t>
      </w:r>
      <w:r w:rsidRPr="00A85C28">
        <w:t>a donc pas de lien génétique avec la mère d</w:t>
      </w:r>
      <w:r w:rsidRPr="00A85C28" w:rsidR="00A85C28">
        <w:t>’</w:t>
      </w:r>
      <w:r w:rsidRPr="00A85C28">
        <w:t>intention. Elle estime qu</w:t>
      </w:r>
      <w:r w:rsidRPr="00A85C28" w:rsidR="00A85C28">
        <w:t>’</w:t>
      </w:r>
      <w:r w:rsidRPr="00A85C28">
        <w:t>il vaut aussi dans la situation où, comme en l</w:t>
      </w:r>
      <w:r w:rsidRPr="00A85C28" w:rsidR="00A85C28">
        <w:t>’</w:t>
      </w:r>
      <w:r w:rsidRPr="00A85C28">
        <w:t>espèce, l</w:t>
      </w:r>
      <w:r w:rsidRPr="00A85C28" w:rsidR="00A85C28">
        <w:t>’</w:t>
      </w:r>
      <w:r w:rsidRPr="00A85C28">
        <w:t>enfant est issu des gamètes du père d</w:t>
      </w:r>
      <w:r w:rsidRPr="00A85C28" w:rsidR="00A85C28">
        <w:t>’</w:t>
      </w:r>
      <w:r w:rsidRPr="00A85C28">
        <w:t>intention et de celles de la mère d</w:t>
      </w:r>
      <w:r w:rsidRPr="00A85C28" w:rsidR="00A85C28">
        <w:t>’</w:t>
      </w:r>
      <w:r w:rsidRPr="00A85C28">
        <w:t>intention.</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65</w:t>
      </w:r>
      <w:r w:rsidRPr="00A85C28">
        <w:fldChar w:fldCharType="end"/>
      </w:r>
      <w:r w:rsidRPr="00A85C28">
        <w:t>.  Or, comme le souligne le Gouvernement (paragraphe 32 ci-dessus), les deux premiers requérants étant mariés et l</w:t>
      </w:r>
      <w:r w:rsidRPr="00A85C28" w:rsidR="00A85C28">
        <w:t>’</w:t>
      </w:r>
      <w:r w:rsidRPr="00A85C28">
        <w:t>acte de naissance ukrainien de la troisième requérante ne mentionnant pas la femme qui a accouché d</w:t>
      </w:r>
      <w:r w:rsidRPr="00A85C28" w:rsidR="00A85C28">
        <w:t>’</w:t>
      </w:r>
      <w:r w:rsidRPr="00A85C28">
        <w:t>elle, la première requérante a la possibilité de saisir le juge d</w:t>
      </w:r>
      <w:r w:rsidRPr="00A85C28" w:rsidR="00A85C28">
        <w:t>’</w:t>
      </w:r>
      <w:r w:rsidRPr="00A85C28">
        <w:t>une demande tendant à son adoption plénière au titre de l</w:t>
      </w:r>
      <w:r w:rsidRPr="00A85C28" w:rsidR="00A85C28">
        <w:t>’</w:t>
      </w:r>
      <w:r w:rsidRPr="00A85C28">
        <w:t>adoption de l</w:t>
      </w:r>
      <w:r w:rsidRPr="00A85C28" w:rsidR="00A85C28">
        <w:t>’</w:t>
      </w:r>
      <w:r w:rsidRPr="00A85C28">
        <w:t xml:space="preserve">enfant du conjoint (paragraphe </w:t>
      </w:r>
      <w:r w:rsidRPr="00A85C28" w:rsidR="00B04A67">
        <w:t>24-26</w:t>
      </w:r>
      <w:r w:rsidRPr="00A85C28">
        <w:t xml:space="preserve"> ci-dessus). Elle note à cet égard que, par une dépêche du 24 juillet 2017, la garde des sceaux, ministre de la justice, a invité le parquet général concerné à veiller, à l</w:t>
      </w:r>
      <w:r w:rsidRPr="00A85C28" w:rsidR="00A85C28">
        <w:t>’</w:t>
      </w:r>
      <w:r w:rsidRPr="00A85C28">
        <w:t>occasion de l</w:t>
      </w:r>
      <w:r w:rsidRPr="00A85C28" w:rsidR="00A85C28">
        <w:t>’</w:t>
      </w:r>
      <w:r w:rsidRPr="00A85C28">
        <w:t>examen de demandes d</w:t>
      </w:r>
      <w:r w:rsidRPr="00A85C28" w:rsidR="00A85C28">
        <w:t>’</w:t>
      </w:r>
      <w:r w:rsidRPr="00A85C28">
        <w:t>adoptions de l</w:t>
      </w:r>
      <w:r w:rsidRPr="00A85C28" w:rsidR="00A85C28">
        <w:t>’</w:t>
      </w:r>
      <w:r w:rsidRPr="00A85C28">
        <w:t>enfant du conjoint formées par des mères d</w:t>
      </w:r>
      <w:r w:rsidRPr="00A85C28" w:rsidR="00A85C28">
        <w:t>’</w:t>
      </w:r>
      <w:r w:rsidRPr="00A85C28">
        <w:t>intention, à ce que le ministère public émette un avis favorable au prononcé de l</w:t>
      </w:r>
      <w:r w:rsidRPr="00A85C28" w:rsidR="00A85C28">
        <w:t>’</w:t>
      </w:r>
      <w:r w:rsidRPr="00A85C28">
        <w:t>adoption dès lors que celle-ci apparaît conforme à l</w:t>
      </w:r>
      <w:r w:rsidRPr="00A85C28" w:rsidR="00A85C28">
        <w:t>’</w:t>
      </w:r>
      <w:r w:rsidRPr="00A85C28">
        <w:t>intérêt de l</w:t>
      </w:r>
      <w:r w:rsidRPr="00A85C28" w:rsidR="00A85C28">
        <w:t>’</w:t>
      </w:r>
      <w:r w:rsidRPr="00A85C28">
        <w:t xml:space="preserve">enfant et que les conditions en sont remplies (paragraphe </w:t>
      </w:r>
      <w:r w:rsidRPr="00A85C28" w:rsidR="00B04A67">
        <w:t>27</w:t>
      </w:r>
      <w:r w:rsidRPr="00A85C28">
        <w:t xml:space="preserve"> ci-dessus). Elle note aussi les indications données par le Gouvernement selon</w:t>
      </w:r>
      <w:r w:rsidRPr="00A85C28" w:rsidR="00052B5B">
        <w:t xml:space="preserve"> lesquelles il est fait droit à </w:t>
      </w:r>
      <w:r w:rsidRPr="00A85C28">
        <w:t>la grande majorité des demandes d</w:t>
      </w:r>
      <w:r w:rsidRPr="00A85C28" w:rsidR="00A85C28">
        <w:t>’</w:t>
      </w:r>
      <w:r w:rsidRPr="00A85C28">
        <w:t>adoption de l</w:t>
      </w:r>
      <w:r w:rsidRPr="00A85C28" w:rsidR="00A85C28">
        <w:t>’</w:t>
      </w:r>
      <w:r w:rsidRPr="00A85C28">
        <w:t>enfant du conjoint de ce type (paragraphe 32 ci-dessus).</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66</w:t>
      </w:r>
      <w:r w:rsidRPr="00A85C28">
        <w:fldChar w:fldCharType="end"/>
      </w:r>
      <w:r w:rsidRPr="00A85C28">
        <w:t>.  Ainsi que l</w:t>
      </w:r>
      <w:r w:rsidRPr="00A85C28" w:rsidR="00A85C28">
        <w:t>’</w:t>
      </w:r>
      <w:r w:rsidRPr="00A85C28">
        <w:t>a relevé la Cour dans son avis consultatif n</w:t>
      </w:r>
      <w:r w:rsidRPr="00A85C28">
        <w:rPr>
          <w:vertAlign w:val="superscript"/>
        </w:rPr>
        <w:t>o</w:t>
      </w:r>
      <w:r w:rsidRPr="00A85C28" w:rsidR="00203FA0">
        <w:t> P16</w:t>
      </w:r>
      <w:r w:rsidRPr="00A85C28" w:rsidR="00203FA0">
        <w:noBreakHyphen/>
        <w:t>2018</w:t>
      </w:r>
      <w:r w:rsidRPr="00A85C28" w:rsidR="00203FA0">
        <w:noBreakHyphen/>
      </w:r>
      <w:r w:rsidRPr="00A85C28">
        <w:t>001 (§ 53), l</w:t>
      </w:r>
      <w:r w:rsidRPr="00A85C28" w:rsidR="00A85C28">
        <w:t>’</w:t>
      </w:r>
      <w:r w:rsidRPr="00A85C28">
        <w:t xml:space="preserve">adoption produit des effets de même nature que la </w:t>
      </w:r>
      <w:r w:rsidRPr="00A85C28">
        <w:t>transcription de l</w:t>
      </w:r>
      <w:r w:rsidRPr="00A85C28" w:rsidR="00A85C28">
        <w:t>’</w:t>
      </w:r>
      <w:r w:rsidRPr="00A85C28">
        <w:t>acte de naissance étranger s</w:t>
      </w:r>
      <w:r w:rsidRPr="00A85C28" w:rsidR="00A85C28">
        <w:t>’</w:t>
      </w:r>
      <w:r w:rsidRPr="00A85C28">
        <w:t>agissant de la reconnaissance du lien de filiation entre l</w:t>
      </w:r>
      <w:r w:rsidRPr="00A85C28" w:rsidR="00A85C28">
        <w:t>’</w:t>
      </w:r>
      <w:r w:rsidRPr="00A85C28">
        <w:t>enfant et la mère d</w:t>
      </w:r>
      <w:r w:rsidRPr="00A85C28" w:rsidR="00A85C28">
        <w:t>’</w:t>
      </w:r>
      <w:r w:rsidRPr="00A85C28">
        <w:t>intention.</w:t>
      </w:r>
    </w:p>
    <w:p w:rsidRPr="00A85C28" w:rsidR="004D2843" w:rsidP="00A85C28">
      <w:pPr>
        <w:pStyle w:val="ECHRPara"/>
        <w:rPr>
          <w:color w:val="000000" w:themeColor="text1"/>
          <w:lang w:eastAsia="fr-FR"/>
        </w:rPr>
      </w:pPr>
      <w:r w:rsidRPr="00A85C28">
        <w:fldChar w:fldCharType="begin"/>
      </w:r>
      <w:r w:rsidRPr="00A85C28">
        <w:instrText xml:space="preserve"> SEQ level0 \*arabic </w:instrText>
      </w:r>
      <w:r w:rsidRPr="00A85C28">
        <w:fldChar w:fldCharType="separate"/>
      </w:r>
      <w:r w:rsidRPr="00A85C28" w:rsidR="00A85C28">
        <w:rPr>
          <w:noProof/>
        </w:rPr>
        <w:t>67</w:t>
      </w:r>
      <w:r w:rsidRPr="00A85C28">
        <w:fldChar w:fldCharType="end"/>
      </w:r>
      <w:r w:rsidRPr="00A85C28">
        <w:t>.  </w:t>
      </w:r>
      <w:r w:rsidRPr="00A85C28">
        <w:rPr>
          <w:color w:val="000000" w:themeColor="text1"/>
          <w:lang w:eastAsia="fr-FR"/>
        </w:rPr>
        <w:t>Certes, cette possibilité n</w:t>
      </w:r>
      <w:r w:rsidRPr="00A85C28" w:rsidR="00A85C28">
        <w:rPr>
          <w:color w:val="000000" w:themeColor="text1"/>
          <w:lang w:eastAsia="fr-FR"/>
        </w:rPr>
        <w:t>’</w:t>
      </w:r>
      <w:r w:rsidRPr="00A85C28">
        <w:rPr>
          <w:color w:val="000000" w:themeColor="text1"/>
          <w:lang w:eastAsia="fr-FR"/>
        </w:rPr>
        <w:t>est établie de manière certaine que depuis les arrêts de la première chambre civile de la</w:t>
      </w:r>
      <w:r w:rsidRPr="00A85C28" w:rsidR="001306B4">
        <w:rPr>
          <w:color w:val="000000" w:themeColor="text1"/>
          <w:lang w:eastAsia="fr-FR"/>
        </w:rPr>
        <w:t xml:space="preserve"> Cour de cassation du 5 juillet </w:t>
      </w:r>
      <w:r w:rsidRPr="00A85C28">
        <w:rPr>
          <w:color w:val="000000" w:themeColor="text1"/>
          <w:lang w:eastAsia="fr-FR"/>
        </w:rPr>
        <w:t>2017, alors que, née en septembre 2012, la troisième requérante avait presque cinq ans soit, selon toute vraisemblance au vu du dossier, bien après la concrétisation du lien entre elle et sa mère d</w:t>
      </w:r>
      <w:r w:rsidRPr="00A85C28" w:rsidR="00A85C28">
        <w:rPr>
          <w:color w:val="000000" w:themeColor="text1"/>
          <w:lang w:eastAsia="fr-FR"/>
        </w:rPr>
        <w:t>’</w:t>
      </w:r>
      <w:r w:rsidRPr="00A85C28">
        <w:rPr>
          <w:color w:val="000000" w:themeColor="text1"/>
          <w:lang w:eastAsia="fr-FR"/>
        </w:rPr>
        <w:t>intention. Or, la Cour a précisé dans l</w:t>
      </w:r>
      <w:r w:rsidRPr="00A85C28" w:rsidR="00A85C28">
        <w:rPr>
          <w:color w:val="000000" w:themeColor="text1"/>
          <w:lang w:eastAsia="fr-FR"/>
        </w:rPr>
        <w:t>’</w:t>
      </w:r>
      <w:r w:rsidRPr="00A85C28">
        <w:rPr>
          <w:color w:val="000000" w:themeColor="text1"/>
          <w:lang w:eastAsia="fr-FR"/>
        </w:rPr>
        <w:t>avis consultatif précité (§§ 52 et 54) qu</w:t>
      </w:r>
      <w:r w:rsidRPr="00A85C28" w:rsidR="00A85C28">
        <w:rPr>
          <w:color w:val="000000" w:themeColor="text1"/>
          <w:lang w:eastAsia="fr-FR"/>
        </w:rPr>
        <w:t>’</w:t>
      </w:r>
      <w:r w:rsidRPr="00A85C28">
        <w:rPr>
          <w:color w:val="000000" w:themeColor="text1"/>
          <w:lang w:eastAsia="fr-FR"/>
        </w:rPr>
        <w:t>un mécanisme effectif permettant la reconnaissance d</w:t>
      </w:r>
      <w:r w:rsidRPr="00A85C28" w:rsidR="00A85C28">
        <w:rPr>
          <w:color w:val="000000" w:themeColor="text1"/>
          <w:lang w:eastAsia="fr-FR"/>
        </w:rPr>
        <w:t>’</w:t>
      </w:r>
      <w:r w:rsidRPr="00A85C28">
        <w:rPr>
          <w:color w:val="000000" w:themeColor="text1"/>
          <w:lang w:eastAsia="fr-FR"/>
        </w:rPr>
        <w:t>un lien de filiation entre les enfants concernés et la mère d</w:t>
      </w:r>
      <w:r w:rsidRPr="00A85C28" w:rsidR="00A85C28">
        <w:rPr>
          <w:color w:val="000000" w:themeColor="text1"/>
          <w:lang w:eastAsia="fr-FR"/>
        </w:rPr>
        <w:t>’</w:t>
      </w:r>
      <w:r w:rsidRPr="00A85C28">
        <w:rPr>
          <w:color w:val="000000" w:themeColor="text1"/>
          <w:lang w:eastAsia="fr-FR"/>
        </w:rPr>
        <w:t>intention doit exister au plus tard lorsque, selon l</w:t>
      </w:r>
      <w:r w:rsidRPr="00A85C28" w:rsidR="00A85C28">
        <w:rPr>
          <w:color w:val="000000" w:themeColor="text1"/>
          <w:lang w:eastAsia="fr-FR"/>
        </w:rPr>
        <w:t>’</w:t>
      </w:r>
      <w:r w:rsidRPr="00A85C28">
        <w:rPr>
          <w:color w:val="000000" w:themeColor="text1"/>
          <w:lang w:eastAsia="fr-FR"/>
        </w:rPr>
        <w:t>appréciation des circonstances de chaque cas, le lien entre l</w:t>
      </w:r>
      <w:r w:rsidRPr="00A85C28" w:rsidR="00A85C28">
        <w:rPr>
          <w:color w:val="000000" w:themeColor="text1"/>
          <w:lang w:eastAsia="fr-FR"/>
        </w:rPr>
        <w:t>’</w:t>
      </w:r>
      <w:r w:rsidRPr="00A85C28">
        <w:rPr>
          <w:color w:val="000000" w:themeColor="text1"/>
          <w:lang w:eastAsia="fr-FR"/>
        </w:rPr>
        <w:t>enfant et la mère d</w:t>
      </w:r>
      <w:r w:rsidRPr="00A85C28" w:rsidR="00A85C28">
        <w:rPr>
          <w:color w:val="000000" w:themeColor="text1"/>
          <w:lang w:eastAsia="fr-FR"/>
        </w:rPr>
        <w:t>’</w:t>
      </w:r>
      <w:r w:rsidRPr="00A85C28">
        <w:rPr>
          <w:color w:val="000000" w:themeColor="text1"/>
          <w:lang w:eastAsia="fr-FR"/>
        </w:rPr>
        <w:t>intention s</w:t>
      </w:r>
      <w:r w:rsidRPr="00A85C28" w:rsidR="00A85C28">
        <w:rPr>
          <w:color w:val="000000" w:themeColor="text1"/>
          <w:lang w:eastAsia="fr-FR"/>
        </w:rPr>
        <w:t>’</w:t>
      </w:r>
      <w:r w:rsidRPr="00A85C28">
        <w:rPr>
          <w:color w:val="000000" w:themeColor="text1"/>
          <w:lang w:eastAsia="fr-FR"/>
        </w:rPr>
        <w:t>est concrétisé. La Cour, qui observe non seulement que cette évolution du droit positif est antérieure à la décision interne définitive et, donc, à sa saisine par les requérants, mais aussi que ces derniers ont été directement informés de cette possibilité le 18 décembre 2017 par l</w:t>
      </w:r>
      <w:r w:rsidRPr="00A85C28" w:rsidR="00A85C28">
        <w:rPr>
          <w:color w:val="000000" w:themeColor="text1"/>
          <w:lang w:eastAsia="fr-FR"/>
        </w:rPr>
        <w:t>’</w:t>
      </w:r>
      <w:r w:rsidRPr="00A85C28">
        <w:rPr>
          <w:color w:val="000000" w:themeColor="text1"/>
          <w:lang w:eastAsia="fr-FR"/>
        </w:rPr>
        <w:t>arrêt rendu en leur cause par la cour d</w:t>
      </w:r>
      <w:r w:rsidRPr="00A85C28" w:rsidR="00A85C28">
        <w:rPr>
          <w:color w:val="000000" w:themeColor="text1"/>
          <w:lang w:eastAsia="fr-FR"/>
        </w:rPr>
        <w:t>’</w:t>
      </w:r>
      <w:r w:rsidRPr="00A85C28">
        <w:rPr>
          <w:color w:val="000000" w:themeColor="text1"/>
          <w:lang w:eastAsia="fr-FR"/>
        </w:rPr>
        <w:t>ap</w:t>
      </w:r>
      <w:r w:rsidRPr="00A85C28" w:rsidR="00075F07">
        <w:rPr>
          <w:color w:val="000000" w:themeColor="text1"/>
          <w:lang w:eastAsia="fr-FR"/>
        </w:rPr>
        <w:t>pel de Rennes (paragraphe </w:t>
      </w:r>
      <w:r w:rsidRPr="00A85C28" w:rsidR="00052B5B">
        <w:rPr>
          <w:color w:val="000000" w:themeColor="text1"/>
          <w:lang w:eastAsia="fr-FR"/>
        </w:rPr>
        <w:t>10 </w:t>
      </w:r>
      <w:r w:rsidRPr="00A85C28" w:rsidR="001306B4">
        <w:rPr>
          <w:color w:val="000000" w:themeColor="text1"/>
          <w:lang w:eastAsia="fr-FR"/>
        </w:rPr>
        <w:t>ci</w:t>
      </w:r>
      <w:r w:rsidRPr="00A85C28" w:rsidR="001306B4">
        <w:rPr>
          <w:color w:val="000000" w:themeColor="text1"/>
          <w:lang w:eastAsia="fr-FR"/>
        </w:rPr>
        <w:noBreakHyphen/>
      </w:r>
      <w:r w:rsidRPr="00A85C28">
        <w:rPr>
          <w:color w:val="000000" w:themeColor="text1"/>
          <w:lang w:eastAsia="fr-FR"/>
        </w:rPr>
        <w:t>dessus), estime toutefois que, dans les circonstances de la cause, ce n</w:t>
      </w:r>
      <w:r w:rsidRPr="00A85C28" w:rsidR="00A85C28">
        <w:rPr>
          <w:color w:val="000000" w:themeColor="text1"/>
          <w:lang w:eastAsia="fr-FR"/>
        </w:rPr>
        <w:t>’</w:t>
      </w:r>
      <w:r w:rsidRPr="00A85C28">
        <w:rPr>
          <w:color w:val="000000" w:themeColor="text1"/>
          <w:lang w:eastAsia="fr-FR"/>
        </w:rPr>
        <w:t>est pas imposer à la troisième requérante un fardeau excessif que d</w:t>
      </w:r>
      <w:r w:rsidRPr="00A85C28" w:rsidR="00A85C28">
        <w:rPr>
          <w:color w:val="000000" w:themeColor="text1"/>
          <w:lang w:eastAsia="fr-FR"/>
        </w:rPr>
        <w:t>’</w:t>
      </w:r>
      <w:r w:rsidRPr="00A85C28">
        <w:rPr>
          <w:color w:val="000000" w:themeColor="text1"/>
          <w:lang w:eastAsia="fr-FR"/>
        </w:rPr>
        <w:t>attendre des requérants qu</w:t>
      </w:r>
      <w:r w:rsidRPr="00A85C28" w:rsidR="00A85C28">
        <w:rPr>
          <w:color w:val="000000" w:themeColor="text1"/>
          <w:lang w:eastAsia="fr-FR"/>
        </w:rPr>
        <w:t>’</w:t>
      </w:r>
      <w:r w:rsidRPr="00A85C28">
        <w:rPr>
          <w:color w:val="000000" w:themeColor="text1"/>
          <w:lang w:eastAsia="fr-FR"/>
        </w:rPr>
        <w:t>ils engagent une procédure d</w:t>
      </w:r>
      <w:r w:rsidRPr="00A85C28" w:rsidR="00A85C28">
        <w:rPr>
          <w:color w:val="000000" w:themeColor="text1"/>
          <w:lang w:eastAsia="fr-FR"/>
        </w:rPr>
        <w:t>’</w:t>
      </w:r>
      <w:r w:rsidRPr="00A85C28">
        <w:rPr>
          <w:color w:val="000000" w:themeColor="text1"/>
          <w:lang w:eastAsia="fr-FR"/>
        </w:rPr>
        <w:t>adoption, cette procédure étant susceptible d</w:t>
      </w:r>
      <w:r w:rsidRPr="00A85C28" w:rsidR="00A85C28">
        <w:rPr>
          <w:color w:val="000000" w:themeColor="text1"/>
          <w:lang w:eastAsia="fr-FR"/>
        </w:rPr>
        <w:t>’</w:t>
      </w:r>
      <w:r w:rsidRPr="00A85C28">
        <w:rPr>
          <w:color w:val="000000" w:themeColor="text1"/>
          <w:lang w:eastAsia="fr-FR"/>
        </w:rPr>
        <w:t>aboutir rapidement. Elle observe notamment qu</w:t>
      </w:r>
      <w:r w:rsidRPr="00A85C28" w:rsidR="00A85C28">
        <w:rPr>
          <w:color w:val="000000" w:themeColor="text1"/>
          <w:lang w:eastAsia="fr-FR"/>
        </w:rPr>
        <w:t>’</w:t>
      </w:r>
      <w:r w:rsidRPr="00A85C28">
        <w:rPr>
          <w:color w:val="000000" w:themeColor="text1"/>
          <w:lang w:eastAsia="fr-FR"/>
        </w:rPr>
        <w:t>il résulte des indications données par le Gouvernement que la durée moyenne d</w:t>
      </w:r>
      <w:r w:rsidRPr="00A85C28" w:rsidR="00A85C28">
        <w:rPr>
          <w:color w:val="000000" w:themeColor="text1"/>
          <w:lang w:eastAsia="fr-FR"/>
        </w:rPr>
        <w:t>’</w:t>
      </w:r>
      <w:r w:rsidRPr="00A85C28">
        <w:rPr>
          <w:color w:val="000000" w:themeColor="text1"/>
          <w:lang w:eastAsia="fr-FR"/>
        </w:rPr>
        <w:t>obtention d</w:t>
      </w:r>
      <w:r w:rsidRPr="00A85C28" w:rsidR="00A85C28">
        <w:rPr>
          <w:color w:val="000000" w:themeColor="text1"/>
          <w:lang w:eastAsia="fr-FR"/>
        </w:rPr>
        <w:t>’</w:t>
      </w:r>
      <w:r w:rsidRPr="00A85C28">
        <w:rPr>
          <w:color w:val="000000" w:themeColor="text1"/>
          <w:lang w:eastAsia="fr-FR"/>
        </w:rPr>
        <w:t>une décision n</w:t>
      </w:r>
      <w:r w:rsidRPr="00A85C28" w:rsidR="00A85C28">
        <w:rPr>
          <w:color w:val="000000" w:themeColor="text1"/>
          <w:lang w:eastAsia="fr-FR"/>
        </w:rPr>
        <w:t>’</w:t>
      </w:r>
      <w:r w:rsidRPr="00A85C28">
        <w:rPr>
          <w:color w:val="000000" w:themeColor="text1"/>
          <w:lang w:eastAsia="fr-FR"/>
        </w:rPr>
        <w:t>est que de 4,1 mois en cas d</w:t>
      </w:r>
      <w:r w:rsidRPr="00A85C28" w:rsidR="00A85C28">
        <w:rPr>
          <w:color w:val="000000" w:themeColor="text1"/>
          <w:lang w:eastAsia="fr-FR"/>
        </w:rPr>
        <w:t>’</w:t>
      </w:r>
      <w:r w:rsidRPr="00A85C28">
        <w:rPr>
          <w:color w:val="000000" w:themeColor="text1"/>
          <w:lang w:eastAsia="fr-FR"/>
        </w:rPr>
        <w:t>adoption plénière. Ainsi, si la procédure d</w:t>
      </w:r>
      <w:r w:rsidRPr="00A85C28" w:rsidR="00A85C28">
        <w:rPr>
          <w:color w:val="000000" w:themeColor="text1"/>
          <w:lang w:eastAsia="fr-FR"/>
        </w:rPr>
        <w:t>’</w:t>
      </w:r>
      <w:r w:rsidRPr="00A85C28">
        <w:rPr>
          <w:color w:val="000000" w:themeColor="text1"/>
          <w:lang w:eastAsia="fr-FR"/>
        </w:rPr>
        <w:t>adoption avait été initiée à la suite de l</w:t>
      </w:r>
      <w:r w:rsidRPr="00A85C28" w:rsidR="00A85C28">
        <w:rPr>
          <w:color w:val="000000" w:themeColor="text1"/>
          <w:lang w:eastAsia="fr-FR"/>
        </w:rPr>
        <w:t>’</w:t>
      </w:r>
      <w:r w:rsidRPr="00A85C28">
        <w:rPr>
          <w:color w:val="000000" w:themeColor="text1"/>
          <w:lang w:eastAsia="fr-FR"/>
        </w:rPr>
        <w:t>arrêt de la cour d</w:t>
      </w:r>
      <w:r w:rsidRPr="00A85C28" w:rsidR="00A85C28">
        <w:rPr>
          <w:color w:val="000000" w:themeColor="text1"/>
          <w:lang w:eastAsia="fr-FR"/>
        </w:rPr>
        <w:t>’</w:t>
      </w:r>
      <w:r w:rsidRPr="00A85C28">
        <w:rPr>
          <w:color w:val="000000" w:themeColor="text1"/>
          <w:lang w:eastAsia="fr-FR"/>
        </w:rPr>
        <w:t>appel de Rennes du 18 décembre 2017, la situation de la troisième requérante au regard de sa filiation maternelle aurait vraisemblablement pu être réglée avant qu</w:t>
      </w:r>
      <w:r w:rsidRPr="00A85C28" w:rsidR="00A85C28">
        <w:rPr>
          <w:color w:val="000000" w:themeColor="text1"/>
          <w:lang w:eastAsia="fr-FR"/>
        </w:rPr>
        <w:t>’</w:t>
      </w:r>
      <w:r w:rsidRPr="00A85C28">
        <w:rPr>
          <w:color w:val="000000" w:themeColor="text1"/>
          <w:lang w:eastAsia="fr-FR"/>
        </w:rPr>
        <w:t>elle ait atteint l</w:t>
      </w:r>
      <w:r w:rsidRPr="00A85C28" w:rsidR="00A85C28">
        <w:rPr>
          <w:color w:val="000000" w:themeColor="text1"/>
          <w:lang w:eastAsia="fr-FR"/>
        </w:rPr>
        <w:t>’</w:t>
      </w:r>
      <w:r w:rsidRPr="00A85C28">
        <w:rPr>
          <w:color w:val="000000" w:themeColor="text1"/>
          <w:lang w:eastAsia="fr-FR"/>
        </w:rPr>
        <w:t>âge de six</w:t>
      </w:r>
      <w:r w:rsidRPr="00A85C28" w:rsidR="00052B5B">
        <w:rPr>
          <w:color w:val="000000" w:themeColor="text1"/>
          <w:lang w:eastAsia="fr-FR"/>
        </w:rPr>
        <w:t> </w:t>
      </w:r>
      <w:r w:rsidRPr="00A85C28">
        <w:rPr>
          <w:color w:val="000000" w:themeColor="text1"/>
          <w:lang w:eastAsia="fr-FR"/>
        </w:rPr>
        <w:t>ans, et plus ou moins à la date à laquelle les requérants ont saisi la Cour.</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68</w:t>
      </w:r>
      <w:r w:rsidRPr="00A85C28">
        <w:fldChar w:fldCharType="end"/>
      </w:r>
      <w:r w:rsidRPr="00A85C28">
        <w:t>.  La Cour note que les requérants soutiennent que la procédure d</w:t>
      </w:r>
      <w:r w:rsidRPr="00A85C28" w:rsidR="00A85C28">
        <w:t>’</w:t>
      </w:r>
      <w:r w:rsidRPr="00A85C28">
        <w:t>adoption est plus lente que ce qu</w:t>
      </w:r>
      <w:r w:rsidRPr="00A85C28" w:rsidR="00A85C28">
        <w:t>’</w:t>
      </w:r>
      <w:r w:rsidRPr="00A85C28">
        <w:t>indique le Gouvernement. Ils se réfèrent pour cela au délai moyen de jugement en Île de France. La Cour constate toutefois que le juge territorialement compétente pour une adoption en France est celui du lieu du domicile de l</w:t>
      </w:r>
      <w:r w:rsidRPr="00A85C28" w:rsidR="00A85C28">
        <w:t>’</w:t>
      </w:r>
      <w:r w:rsidRPr="00A85C28">
        <w:t xml:space="preserve">adoptant (paragraphe </w:t>
      </w:r>
      <w:r w:rsidRPr="00A85C28" w:rsidR="00075F07">
        <w:t>26</w:t>
      </w:r>
      <w:r w:rsidRPr="00A85C28">
        <w:t xml:space="preserve"> ci-dessus). Or il ressort du dossier que les requérants ne sont pas domiciliés dans la région Île de France.</w:t>
      </w:r>
    </w:p>
    <w:p w:rsidRPr="00A85C28" w:rsidR="004D2843" w:rsidP="00A85C28">
      <w:pPr>
        <w:pStyle w:val="ECHRPara"/>
        <w:rPr>
          <w:rFonts w:ascii="Cambria" w:hAnsi="Cambria" w:eastAsia="Calibri" w:cs="Times New Roman"/>
          <w:color w:val="000000"/>
          <w:sz w:val="20"/>
          <w:szCs w:val="20"/>
          <w:lang w:eastAsia="fr-FR"/>
        </w:rPr>
      </w:pPr>
      <w:r w:rsidRPr="00A85C28">
        <w:rPr>
          <w:rFonts w:eastAsia="Calibri"/>
          <w:lang w:eastAsia="fr-FR"/>
        </w:rPr>
        <w:fldChar w:fldCharType="begin"/>
      </w:r>
      <w:r w:rsidRPr="00A85C28">
        <w:rPr>
          <w:rFonts w:eastAsia="Calibri"/>
          <w:lang w:eastAsia="fr-FR"/>
        </w:rPr>
        <w:instrText xml:space="preserve"> SEQ level0 \*arabic </w:instrText>
      </w:r>
      <w:r w:rsidRPr="00A85C28">
        <w:rPr>
          <w:rFonts w:eastAsia="Calibri"/>
          <w:lang w:eastAsia="fr-FR"/>
        </w:rPr>
        <w:fldChar w:fldCharType="separate"/>
      </w:r>
      <w:r w:rsidRPr="00A85C28" w:rsidR="00A85C28">
        <w:rPr>
          <w:rFonts w:eastAsia="Calibri"/>
          <w:noProof/>
          <w:lang w:eastAsia="fr-FR"/>
        </w:rPr>
        <w:t>69</w:t>
      </w:r>
      <w:r w:rsidRPr="00A85C28">
        <w:rPr>
          <w:rFonts w:eastAsia="Calibri"/>
          <w:lang w:eastAsia="fr-FR"/>
        </w:rPr>
        <w:fldChar w:fldCharType="end"/>
      </w:r>
      <w:r w:rsidRPr="00A85C28">
        <w:rPr>
          <w:rFonts w:eastAsia="Calibri"/>
          <w:lang w:eastAsia="fr-FR"/>
        </w:rPr>
        <w:t>.  Enfin, la Cour relève que les requérants font valoir que c</w:t>
      </w:r>
      <w:r w:rsidRPr="00A85C28" w:rsidR="00A85C28">
        <w:rPr>
          <w:rFonts w:eastAsia="Calibri"/>
          <w:lang w:eastAsia="fr-FR"/>
        </w:rPr>
        <w:t>’</w:t>
      </w:r>
      <w:r w:rsidRPr="00A85C28">
        <w:rPr>
          <w:rFonts w:eastAsia="Calibri"/>
          <w:lang w:eastAsia="fr-FR"/>
        </w:rPr>
        <w:t>est à cause du manque de célérité de la procédure d</w:t>
      </w:r>
      <w:r w:rsidRPr="00A85C28" w:rsidR="00A85C28">
        <w:rPr>
          <w:rFonts w:eastAsia="Calibri"/>
          <w:lang w:eastAsia="fr-FR"/>
        </w:rPr>
        <w:t>’</w:t>
      </w:r>
      <w:r w:rsidRPr="00A85C28">
        <w:rPr>
          <w:rFonts w:eastAsia="Calibri"/>
          <w:lang w:eastAsia="fr-FR"/>
        </w:rPr>
        <w:t>adoption que la première chambre civile de la Cour de cassation a opéré un revirement de jurisprudence par deux arrêts du 18 décembre 2019, en posant le principe de la transcription de l</w:t>
      </w:r>
      <w:r w:rsidRPr="00A85C28" w:rsidR="00A85C28">
        <w:rPr>
          <w:rFonts w:eastAsia="Calibri"/>
          <w:lang w:eastAsia="fr-FR"/>
        </w:rPr>
        <w:t>’</w:t>
      </w:r>
      <w:r w:rsidRPr="00A85C28">
        <w:rPr>
          <w:rFonts w:eastAsia="Calibri"/>
          <w:lang w:eastAsia="fr-FR"/>
        </w:rPr>
        <w:t>acte de naissance étranger (paragraphe 39 ci-dessus). Elle constate toutefois non seulement que les requérants n</w:t>
      </w:r>
      <w:r w:rsidRPr="00A85C28" w:rsidR="00A85C28">
        <w:rPr>
          <w:rFonts w:eastAsia="Calibri"/>
          <w:lang w:eastAsia="fr-FR"/>
        </w:rPr>
        <w:t>’</w:t>
      </w:r>
      <w:r w:rsidRPr="00A85C28">
        <w:rPr>
          <w:rFonts w:eastAsia="Calibri"/>
          <w:lang w:eastAsia="fr-FR"/>
        </w:rPr>
        <w:t>apportent auc</w:t>
      </w:r>
      <w:r w:rsidRPr="00A85C28" w:rsidR="001306B4">
        <w:rPr>
          <w:rFonts w:eastAsia="Calibri"/>
          <w:lang w:eastAsia="fr-FR"/>
        </w:rPr>
        <w:t>un élément à </w:t>
      </w:r>
      <w:r w:rsidRPr="00A85C28">
        <w:rPr>
          <w:rFonts w:eastAsia="Calibri"/>
          <w:lang w:eastAsia="fr-FR"/>
        </w:rPr>
        <w:t>l</w:t>
      </w:r>
      <w:r w:rsidRPr="00A85C28" w:rsidR="00A85C28">
        <w:rPr>
          <w:rFonts w:eastAsia="Calibri"/>
          <w:lang w:eastAsia="fr-FR"/>
        </w:rPr>
        <w:t>’</w:t>
      </w:r>
      <w:r w:rsidRPr="00A85C28">
        <w:rPr>
          <w:rFonts w:eastAsia="Calibri"/>
          <w:lang w:eastAsia="fr-FR"/>
        </w:rPr>
        <w:t>appui de cette thèse, mais aussi qu</w:t>
      </w:r>
      <w:r w:rsidRPr="00A85C28" w:rsidR="00A85C28">
        <w:rPr>
          <w:rFonts w:eastAsia="Calibri"/>
          <w:lang w:eastAsia="fr-FR"/>
        </w:rPr>
        <w:t>’</w:t>
      </w:r>
      <w:r w:rsidRPr="00A85C28">
        <w:rPr>
          <w:rFonts w:eastAsia="Calibri"/>
          <w:lang w:eastAsia="fr-FR"/>
        </w:rPr>
        <w:t>il ne ressort pas des motifs de ces arrêts (paragraphe 22 ci-dessus) que la raison pour laquelle la première chambre civile a procédé à ce revirement de jurisprudence se trouverait dans la durée de la procédure d</w:t>
      </w:r>
      <w:r w:rsidRPr="00A85C28" w:rsidR="00A85C28">
        <w:rPr>
          <w:rFonts w:eastAsia="Calibri"/>
          <w:lang w:eastAsia="fr-FR"/>
        </w:rPr>
        <w:t>’</w:t>
      </w:r>
      <w:r w:rsidRPr="00A85C28">
        <w:rPr>
          <w:rFonts w:eastAsia="Calibri"/>
          <w:lang w:eastAsia="fr-FR"/>
        </w:rPr>
        <w:t>adoption ou dans son ineffectivité.</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70</w:t>
      </w:r>
      <w:r w:rsidRPr="00A85C28">
        <w:fldChar w:fldCharType="end"/>
      </w:r>
      <w:r w:rsidRPr="00A85C28">
        <w:t>.  La Cour retient ainsi que l</w:t>
      </w:r>
      <w:r w:rsidRPr="00A85C28" w:rsidR="00A85C28">
        <w:t>’</w:t>
      </w:r>
      <w:r w:rsidRPr="00A85C28">
        <w:t>adoption de l</w:t>
      </w:r>
      <w:r w:rsidRPr="00A85C28" w:rsidR="00A85C28">
        <w:t>’</w:t>
      </w:r>
      <w:r w:rsidRPr="00A85C28">
        <w:t>enfant du conjoint constitue en l</w:t>
      </w:r>
      <w:r w:rsidRPr="00A85C28" w:rsidR="00A85C28">
        <w:t>’</w:t>
      </w:r>
      <w:r w:rsidRPr="00A85C28">
        <w:t xml:space="preserve">espèce un mécanisme effectif et suffisamment rapide permettant la reconnaissance du lien de filiation entre </w:t>
      </w:r>
      <w:r w:rsidRPr="00A85C28">
        <w:t>les première</w:t>
      </w:r>
      <w:r w:rsidRPr="00A85C28">
        <w:t xml:space="preserve"> et troisième requérantes.</w:t>
      </w:r>
    </w:p>
    <w:p w:rsidRPr="00A85C28" w:rsidR="004D2843" w:rsidP="00A85C28">
      <w:pPr>
        <w:pStyle w:val="ECHRPara"/>
        <w:rPr>
          <w:rFonts w:eastAsia="Calibri"/>
          <w:color w:val="000000" w:themeColor="text1"/>
          <w:lang w:eastAsia="en-GB"/>
        </w:rPr>
      </w:pPr>
      <w:r w:rsidRPr="00A85C28">
        <w:fldChar w:fldCharType="begin"/>
      </w:r>
      <w:r w:rsidRPr="00A85C28">
        <w:instrText xml:space="preserve"> SEQ level0 \*arabic </w:instrText>
      </w:r>
      <w:r w:rsidRPr="00A85C28">
        <w:fldChar w:fldCharType="separate"/>
      </w:r>
      <w:r w:rsidRPr="00A85C28" w:rsidR="00A85C28">
        <w:rPr>
          <w:noProof/>
        </w:rPr>
        <w:t>71</w:t>
      </w:r>
      <w:r w:rsidRPr="00A85C28">
        <w:fldChar w:fldCharType="end"/>
      </w:r>
      <w:r w:rsidRPr="00A85C28">
        <w:t>.  </w:t>
      </w:r>
      <w:r w:rsidRPr="00A85C28">
        <w:rPr>
          <w:rFonts w:eastAsia="Calibri"/>
          <w:color w:val="000000" w:themeColor="text1"/>
          <w:lang w:eastAsia="en-GB"/>
        </w:rPr>
        <w:t>En conséquence, en refusant de procéder à la transcription de l</w:t>
      </w:r>
      <w:r w:rsidRPr="00A85C28" w:rsidR="00A85C28">
        <w:rPr>
          <w:rFonts w:eastAsia="Calibri"/>
          <w:color w:val="000000" w:themeColor="text1"/>
          <w:lang w:eastAsia="en-GB"/>
        </w:rPr>
        <w:t>’</w:t>
      </w:r>
      <w:r w:rsidRPr="00A85C28">
        <w:rPr>
          <w:rFonts w:eastAsia="Calibri"/>
          <w:color w:val="000000" w:themeColor="text1"/>
          <w:lang w:eastAsia="en-GB"/>
        </w:rPr>
        <w:t>acte de naissance ukrainien de la troisième requérante sur les registres de l</w:t>
      </w:r>
      <w:r w:rsidRPr="00A85C28" w:rsidR="00A85C28">
        <w:rPr>
          <w:rFonts w:eastAsia="Calibri"/>
          <w:color w:val="000000" w:themeColor="text1"/>
          <w:lang w:eastAsia="en-GB"/>
        </w:rPr>
        <w:t>’</w:t>
      </w:r>
      <w:r w:rsidRPr="00A85C28">
        <w:rPr>
          <w:rFonts w:eastAsia="Calibri"/>
          <w:color w:val="000000" w:themeColor="text1"/>
          <w:lang w:eastAsia="en-GB"/>
        </w:rPr>
        <w:t>état civil français pour autant qu</w:t>
      </w:r>
      <w:r w:rsidRPr="00A85C28" w:rsidR="00A85C28">
        <w:rPr>
          <w:rFonts w:eastAsia="Calibri"/>
          <w:color w:val="000000" w:themeColor="text1"/>
          <w:lang w:eastAsia="en-GB"/>
        </w:rPr>
        <w:t>’</w:t>
      </w:r>
      <w:r w:rsidRPr="00A85C28">
        <w:rPr>
          <w:rFonts w:eastAsia="Calibri"/>
          <w:color w:val="000000" w:themeColor="text1"/>
          <w:lang w:eastAsia="en-GB"/>
        </w:rPr>
        <w:t>il désigne la première requérante comme étant sa mère, l</w:t>
      </w:r>
      <w:r w:rsidRPr="00A85C28" w:rsidR="00A85C28">
        <w:rPr>
          <w:rFonts w:eastAsia="Calibri"/>
          <w:color w:val="000000" w:themeColor="text1"/>
          <w:lang w:eastAsia="en-GB"/>
        </w:rPr>
        <w:t>’</w:t>
      </w:r>
      <w:r w:rsidRPr="00A85C28">
        <w:rPr>
          <w:rFonts w:eastAsia="Calibri"/>
          <w:color w:val="000000" w:themeColor="text1"/>
          <w:lang w:eastAsia="en-GB"/>
        </w:rPr>
        <w:t>État défendeur n</w:t>
      </w:r>
      <w:r w:rsidRPr="00A85C28" w:rsidR="00A85C28">
        <w:rPr>
          <w:rFonts w:eastAsia="Calibri"/>
          <w:color w:val="000000" w:themeColor="text1"/>
          <w:lang w:eastAsia="en-GB"/>
        </w:rPr>
        <w:t>’</w:t>
      </w:r>
      <w:r w:rsidRPr="00A85C28">
        <w:rPr>
          <w:rFonts w:eastAsia="Calibri"/>
          <w:color w:val="000000" w:themeColor="text1"/>
          <w:lang w:eastAsia="en-GB"/>
        </w:rPr>
        <w:t>a pas, dans les circonstances de la cause, excédé sa marge d</w:t>
      </w:r>
      <w:r w:rsidRPr="00A85C28" w:rsidR="00A85C28">
        <w:rPr>
          <w:rFonts w:eastAsia="Calibri"/>
          <w:color w:val="000000" w:themeColor="text1"/>
          <w:lang w:eastAsia="en-GB"/>
        </w:rPr>
        <w:t>’</w:t>
      </w:r>
      <w:r w:rsidRPr="00A85C28">
        <w:rPr>
          <w:rFonts w:eastAsia="Calibri"/>
          <w:color w:val="000000" w:themeColor="text1"/>
          <w:lang w:eastAsia="en-GB"/>
        </w:rPr>
        <w:t>appréciation.</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72</w:t>
      </w:r>
      <w:r w:rsidRPr="00A85C28">
        <w:fldChar w:fldCharType="end"/>
      </w:r>
      <w:r w:rsidRPr="00A85C28">
        <w:t>.  </w:t>
      </w:r>
      <w:bookmarkStart w:name="_Hlk36127749" w:id="11"/>
      <w:r w:rsidRPr="00A85C28">
        <w:t>Partant, il n</w:t>
      </w:r>
      <w:r w:rsidRPr="00A85C28" w:rsidR="00A85C28">
        <w:t>’</w:t>
      </w:r>
      <w:r w:rsidRPr="00A85C28">
        <w:t>y a pas eu violation de l</w:t>
      </w:r>
      <w:r w:rsidRPr="00A85C28" w:rsidR="00A85C28">
        <w:t>’</w:t>
      </w:r>
      <w:r w:rsidRPr="00A85C28">
        <w:t>article 8 de la Convention</w:t>
      </w:r>
      <w:bookmarkEnd w:id="11"/>
      <w:r w:rsidRPr="00A85C28">
        <w:t>.</w:t>
      </w:r>
    </w:p>
    <w:p w:rsidRPr="00A85C28" w:rsidR="004D2843" w:rsidP="00A85C28">
      <w:pPr>
        <w:pStyle w:val="ECHRHeading1"/>
        <w:numPr>
          <w:ilvl w:val="1"/>
          <w:numId w:val="24"/>
        </w:numPr>
        <w:tabs>
          <w:tab w:val="clear" w:pos="357"/>
        </w:tabs>
        <w:spacing w:before="100" w:beforeAutospacing="1"/>
        <w:outlineLvl w:val="1"/>
      </w:pPr>
      <w:bookmarkStart w:name="_Hlk36127770" w:id="12"/>
      <w:bookmarkEnd w:id="8"/>
      <w:r w:rsidRPr="00A85C28">
        <w:t>SUR LA VIOLATION ALLÉGUÉE DE L</w:t>
      </w:r>
      <w:r w:rsidRPr="00A85C28" w:rsidR="00A85C28">
        <w:t>’</w:t>
      </w:r>
      <w:r w:rsidRPr="00A85C28">
        <w:t>ARTICLE 14 DE LA CONVENTION</w:t>
      </w:r>
      <w:bookmarkEnd w:id="12"/>
      <w:r w:rsidRPr="00A85C28">
        <w:t xml:space="preserve"> </w:t>
      </w:r>
      <w:r w:rsidRPr="00A85C28" w:rsidR="001306B4">
        <w:t>COMBINÉ AVEC L</w:t>
      </w:r>
      <w:r w:rsidRPr="00A85C28" w:rsidR="00A85C28">
        <w:t>’</w:t>
      </w:r>
      <w:r w:rsidRPr="00A85C28">
        <w:t>A</w:t>
      </w:r>
      <w:r w:rsidRPr="00A85C28" w:rsidR="001306B4">
        <w:t xml:space="preserve">RTICLE </w:t>
      </w:r>
      <w:r w:rsidRPr="00A85C28">
        <w:t>8</w:t>
      </w:r>
    </w:p>
    <w:bookmarkStart w:name="_Hlk36127792" w:id="13"/>
    <w:p w:rsidRPr="00A85C28" w:rsidR="004D2843" w:rsidP="00A85C28">
      <w:pPr>
        <w:pStyle w:val="ECHRPara"/>
        <w:rPr>
          <w:rFonts w:eastAsia="Arial Unicode MS"/>
          <w:u w:color="000000"/>
          <w:bdr w:val="nil"/>
          <w:lang w:eastAsia="fr-FR"/>
        </w:rPr>
      </w:pPr>
      <w:r w:rsidRPr="00A85C28">
        <w:rPr>
          <w:rFonts w:eastAsia="Arial Unicode MS"/>
          <w:u w:color="000000"/>
          <w:bdr w:val="nil"/>
          <w:lang w:eastAsia="fr-FR"/>
        </w:rPr>
        <w:fldChar w:fldCharType="begin"/>
      </w:r>
      <w:r w:rsidRPr="00A85C28">
        <w:rPr>
          <w:rFonts w:eastAsia="Arial Unicode MS"/>
          <w:u w:color="000000"/>
          <w:bdr w:val="nil"/>
          <w:lang w:eastAsia="fr-FR"/>
        </w:rPr>
        <w:instrText xml:space="preserve"> SEQ level0 \*arabic </w:instrText>
      </w:r>
      <w:r w:rsidRPr="00A85C28">
        <w:rPr>
          <w:rFonts w:eastAsia="Arial Unicode MS"/>
          <w:u w:color="000000"/>
          <w:bdr w:val="nil"/>
          <w:lang w:eastAsia="fr-FR"/>
        </w:rPr>
        <w:fldChar w:fldCharType="separate"/>
      </w:r>
      <w:r w:rsidRPr="00A85C28" w:rsidR="00A85C28">
        <w:rPr>
          <w:rFonts w:eastAsia="Arial Unicode MS"/>
          <w:noProof/>
          <w:u w:color="000000"/>
          <w:bdr w:val="nil"/>
          <w:lang w:eastAsia="fr-FR"/>
        </w:rPr>
        <w:t>73</w:t>
      </w:r>
      <w:r w:rsidRPr="00A85C28">
        <w:rPr>
          <w:rFonts w:eastAsia="Arial Unicode MS"/>
          <w:u w:color="000000"/>
          <w:bdr w:val="nil"/>
          <w:lang w:eastAsia="fr-FR"/>
        </w:rPr>
        <w:fldChar w:fldCharType="end"/>
      </w:r>
      <w:r w:rsidRPr="00A85C28">
        <w:rPr>
          <w:rFonts w:eastAsia="Arial Unicode MS"/>
          <w:u w:color="000000"/>
          <w:bdr w:val="nil"/>
          <w:lang w:eastAsia="fr-FR"/>
        </w:rPr>
        <w:t>.  Les requérants dénoncent une atteinte discriminatoire au droit au respect de la vie privée de la troisième d</w:t>
      </w:r>
      <w:r w:rsidRPr="00A85C28" w:rsidR="00A85C28">
        <w:rPr>
          <w:rFonts w:eastAsia="Arial Unicode MS"/>
          <w:u w:color="000000"/>
          <w:bdr w:val="nil"/>
          <w:lang w:eastAsia="fr-FR"/>
        </w:rPr>
        <w:t>’</w:t>
      </w:r>
      <w:r w:rsidRPr="00A85C28" w:rsidR="00052B5B">
        <w:rPr>
          <w:rFonts w:eastAsia="Arial Unicode MS"/>
          <w:u w:color="000000"/>
          <w:bdr w:val="nil"/>
          <w:lang w:eastAsia="fr-FR"/>
        </w:rPr>
        <w:t>entre eux, fondée sur « la </w:t>
      </w:r>
      <w:r w:rsidRPr="00A85C28">
        <w:rPr>
          <w:rFonts w:eastAsia="Arial Unicode MS"/>
          <w:u w:color="000000"/>
          <w:bdr w:val="nil"/>
          <w:lang w:eastAsia="fr-FR"/>
        </w:rPr>
        <w:t>naissance ». Ils invoquent, combiné avec l</w:t>
      </w:r>
      <w:r w:rsidRPr="00A85C28" w:rsidR="00A85C28">
        <w:rPr>
          <w:rFonts w:eastAsia="Arial Unicode MS"/>
          <w:u w:color="000000"/>
          <w:bdr w:val="nil"/>
          <w:lang w:eastAsia="fr-FR"/>
        </w:rPr>
        <w:t>’</w:t>
      </w:r>
      <w:r w:rsidRPr="00A85C28">
        <w:rPr>
          <w:rFonts w:eastAsia="Arial Unicode MS"/>
          <w:u w:color="000000"/>
          <w:bdr w:val="nil"/>
          <w:lang w:eastAsia="fr-FR"/>
        </w:rPr>
        <w:t>article 8 de la Convention précité, l</w:t>
      </w:r>
      <w:r w:rsidRPr="00A85C28" w:rsidR="00A85C28">
        <w:rPr>
          <w:rFonts w:eastAsia="Arial Unicode MS"/>
          <w:u w:color="000000"/>
          <w:bdr w:val="nil"/>
          <w:lang w:eastAsia="fr-FR"/>
        </w:rPr>
        <w:t>’</w:t>
      </w:r>
      <w:r w:rsidRPr="00A85C28">
        <w:rPr>
          <w:rFonts w:eastAsia="Arial Unicode MS"/>
          <w:u w:color="000000"/>
          <w:bdr w:val="nil"/>
          <w:lang w:eastAsia="fr-FR"/>
        </w:rPr>
        <w:t>article 14, aux termes duquel :</w:t>
      </w:r>
    </w:p>
    <w:p w:rsidRPr="00A85C28" w:rsidR="004D2843" w:rsidP="00A85C28">
      <w:pPr>
        <w:pStyle w:val="ECHRParaQuote"/>
        <w:rPr>
          <w:rFonts w:eastAsia="Arial Unicode MS"/>
          <w:u w:color="000000"/>
          <w:bdr w:val="nil"/>
          <w:lang w:eastAsia="fr-FR"/>
        </w:rPr>
      </w:pPr>
      <w:r w:rsidRPr="00A85C28">
        <w:rPr>
          <w:rFonts w:eastAsia="Arial Unicode MS"/>
          <w:u w:color="000000"/>
          <w:bdr w:val="nil"/>
          <w:lang w:eastAsia="fr-FR"/>
        </w:rPr>
        <w:t>« La jouissance des droits et libertés reconnus dans la présente Convention doit être assurée, sans distinction aucune, fondée notamment sur le sexe, la race, la couleur, la langue, la religion, les opinions politiques ou toutes autres opinions, l</w:t>
      </w:r>
      <w:r w:rsidRPr="00A85C28" w:rsidR="00A85C28">
        <w:rPr>
          <w:rFonts w:eastAsia="Arial Unicode MS"/>
          <w:u w:color="000000"/>
          <w:bdr w:val="nil"/>
          <w:lang w:eastAsia="fr-FR"/>
        </w:rPr>
        <w:t>’</w:t>
      </w:r>
      <w:r w:rsidRPr="00A85C28">
        <w:rPr>
          <w:rFonts w:eastAsia="Arial Unicode MS"/>
          <w:u w:color="000000"/>
          <w:bdr w:val="nil"/>
          <w:lang w:eastAsia="fr-FR"/>
        </w:rPr>
        <w:t>origine nationale ou sociale, l</w:t>
      </w:r>
      <w:r w:rsidRPr="00A85C28" w:rsidR="00A85C28">
        <w:rPr>
          <w:rFonts w:eastAsia="Arial Unicode MS"/>
          <w:u w:color="000000"/>
          <w:bdr w:val="nil"/>
          <w:lang w:eastAsia="fr-FR"/>
        </w:rPr>
        <w:t>’</w:t>
      </w:r>
      <w:r w:rsidRPr="00A85C28">
        <w:rPr>
          <w:rFonts w:eastAsia="Arial Unicode MS"/>
          <w:u w:color="000000"/>
          <w:bdr w:val="nil"/>
          <w:lang w:eastAsia="fr-FR"/>
        </w:rPr>
        <w:t>appartenance à une minorité nationale, la fortune, la naissance ou toute autre situation.</w:t>
      </w:r>
    </w:p>
    <w:p w:rsidRPr="00A85C28" w:rsidR="004D2843" w:rsidP="00A85C28">
      <w:pPr>
        <w:pStyle w:val="ECHRPara"/>
        <w:rPr>
          <w:rFonts w:eastAsia="Arial Unicode MS"/>
          <w:u w:color="000000"/>
          <w:bdr w:val="nil"/>
          <w:lang w:eastAsia="fr-FR"/>
        </w:rPr>
      </w:pPr>
      <w:r w:rsidRPr="00A85C28">
        <w:rPr>
          <w:rFonts w:eastAsia="Arial Unicode MS"/>
          <w:u w:color="000000"/>
          <w:bdr w:val="nil"/>
          <w:lang w:eastAsia="fr-FR"/>
        </w:rPr>
        <w:fldChar w:fldCharType="begin"/>
      </w:r>
      <w:r w:rsidRPr="00A85C28">
        <w:rPr>
          <w:rFonts w:eastAsia="Arial Unicode MS"/>
          <w:u w:color="000000"/>
          <w:bdr w:val="nil"/>
          <w:lang w:eastAsia="fr-FR"/>
        </w:rPr>
        <w:instrText xml:space="preserve"> SEQ level0 \*arabic </w:instrText>
      </w:r>
      <w:r w:rsidRPr="00A85C28">
        <w:rPr>
          <w:rFonts w:eastAsia="Arial Unicode MS"/>
          <w:u w:color="000000"/>
          <w:bdr w:val="nil"/>
          <w:lang w:eastAsia="fr-FR"/>
        </w:rPr>
        <w:fldChar w:fldCharType="separate"/>
      </w:r>
      <w:r w:rsidRPr="00A85C28" w:rsidR="00A85C28">
        <w:rPr>
          <w:rFonts w:eastAsia="Arial Unicode MS"/>
          <w:noProof/>
          <w:u w:color="000000"/>
          <w:bdr w:val="nil"/>
          <w:lang w:eastAsia="fr-FR"/>
        </w:rPr>
        <w:t>74</w:t>
      </w:r>
      <w:r w:rsidRPr="00A85C28">
        <w:rPr>
          <w:rFonts w:eastAsia="Arial Unicode MS"/>
          <w:u w:color="000000"/>
          <w:bdr w:val="nil"/>
          <w:lang w:eastAsia="fr-FR"/>
        </w:rPr>
        <w:fldChar w:fldCharType="end"/>
      </w:r>
      <w:r w:rsidRPr="00A85C28">
        <w:rPr>
          <w:rFonts w:eastAsia="Arial Unicode MS"/>
          <w:u w:color="000000"/>
          <w:bdr w:val="nil"/>
          <w:lang w:eastAsia="fr-FR"/>
        </w:rPr>
        <w:t>.  Les requérants font en outre valoir dans des observations complémentaires du 11 février 2020 qu</w:t>
      </w:r>
      <w:r w:rsidRPr="00A85C28" w:rsidR="00A85C28">
        <w:rPr>
          <w:rFonts w:eastAsia="Arial Unicode MS"/>
          <w:u w:color="000000"/>
          <w:bdr w:val="nil"/>
          <w:lang w:eastAsia="fr-FR"/>
        </w:rPr>
        <w:t>’</w:t>
      </w:r>
      <w:r w:rsidRPr="00A85C28">
        <w:rPr>
          <w:rFonts w:eastAsia="Arial Unicode MS"/>
          <w:u w:color="000000"/>
          <w:bdr w:val="nil"/>
          <w:lang w:eastAsia="fr-FR"/>
        </w:rPr>
        <w:t>exclure la transcription de l</w:t>
      </w:r>
      <w:r w:rsidRPr="00A85C28" w:rsidR="00A85C28">
        <w:rPr>
          <w:rFonts w:eastAsia="Arial Unicode MS"/>
          <w:u w:color="000000"/>
          <w:bdr w:val="nil"/>
          <w:lang w:eastAsia="fr-FR"/>
        </w:rPr>
        <w:t>’</w:t>
      </w:r>
      <w:r w:rsidRPr="00A85C28">
        <w:rPr>
          <w:rFonts w:eastAsia="Arial Unicode MS"/>
          <w:u w:color="000000"/>
          <w:bdr w:val="nil"/>
          <w:lang w:eastAsia="fr-FR"/>
        </w:rPr>
        <w:t>acte de naissance d</w:t>
      </w:r>
      <w:r w:rsidRPr="00A85C28" w:rsidR="00A85C28">
        <w:rPr>
          <w:rFonts w:eastAsia="Arial Unicode MS"/>
          <w:u w:color="000000"/>
          <w:bdr w:val="nil"/>
          <w:lang w:eastAsia="fr-FR"/>
        </w:rPr>
        <w:t>’</w:t>
      </w:r>
      <w:r w:rsidRPr="00A85C28">
        <w:rPr>
          <w:rFonts w:eastAsia="Arial Unicode MS"/>
          <w:u w:color="000000"/>
          <w:bdr w:val="nil"/>
          <w:lang w:eastAsia="fr-FR"/>
        </w:rPr>
        <w:t>un enfant né à l</w:t>
      </w:r>
      <w:r w:rsidRPr="00A85C28" w:rsidR="00A85C28">
        <w:rPr>
          <w:rFonts w:eastAsia="Arial Unicode MS"/>
          <w:u w:color="000000"/>
          <w:bdr w:val="nil"/>
          <w:lang w:eastAsia="fr-FR"/>
        </w:rPr>
        <w:t>’</w:t>
      </w:r>
      <w:r w:rsidRPr="00A85C28">
        <w:rPr>
          <w:rFonts w:eastAsia="Arial Unicode MS"/>
          <w:u w:color="000000"/>
          <w:bdr w:val="nil"/>
          <w:lang w:eastAsia="fr-FR"/>
        </w:rPr>
        <w:t>étranger d</w:t>
      </w:r>
      <w:r w:rsidRPr="00A85C28" w:rsidR="00A85C28">
        <w:rPr>
          <w:rFonts w:eastAsia="Arial Unicode MS"/>
          <w:u w:color="000000"/>
          <w:bdr w:val="nil"/>
          <w:lang w:eastAsia="fr-FR"/>
        </w:rPr>
        <w:t>’</w:t>
      </w:r>
      <w:r w:rsidRPr="00A85C28">
        <w:rPr>
          <w:rFonts w:eastAsia="Arial Unicode MS"/>
          <w:u w:color="000000"/>
          <w:bdr w:val="nil"/>
          <w:lang w:eastAsia="fr-FR"/>
        </w:rPr>
        <w:t>une gestation pour autrui pour autant qu</w:t>
      </w:r>
      <w:r w:rsidRPr="00A85C28" w:rsidR="00A85C28">
        <w:rPr>
          <w:rFonts w:eastAsia="Arial Unicode MS"/>
          <w:u w:color="000000"/>
          <w:bdr w:val="nil"/>
          <w:lang w:eastAsia="fr-FR"/>
        </w:rPr>
        <w:t>’</w:t>
      </w:r>
      <w:r w:rsidRPr="00A85C28">
        <w:rPr>
          <w:rFonts w:eastAsia="Arial Unicode MS"/>
          <w:u w:color="000000"/>
          <w:bdr w:val="nil"/>
          <w:lang w:eastAsia="fr-FR"/>
        </w:rPr>
        <w:t>il désigne la mère d</w:t>
      </w:r>
      <w:r w:rsidRPr="00A85C28" w:rsidR="00A85C28">
        <w:rPr>
          <w:rFonts w:eastAsia="Arial Unicode MS"/>
          <w:u w:color="000000"/>
          <w:bdr w:val="nil"/>
          <w:lang w:eastAsia="fr-FR"/>
        </w:rPr>
        <w:t>’</w:t>
      </w:r>
      <w:r w:rsidRPr="00A85C28">
        <w:rPr>
          <w:rFonts w:eastAsia="Arial Unicode MS"/>
          <w:u w:color="000000"/>
          <w:bdr w:val="nil"/>
          <w:lang w:eastAsia="fr-FR"/>
        </w:rPr>
        <w:t>intention, mère génétique, comme étant sa mère, alors que la transcription est possible s</w:t>
      </w:r>
      <w:r w:rsidRPr="00A85C28" w:rsidR="00A85C28">
        <w:rPr>
          <w:rFonts w:eastAsia="Arial Unicode MS"/>
          <w:u w:color="000000"/>
          <w:bdr w:val="nil"/>
          <w:lang w:eastAsia="fr-FR"/>
        </w:rPr>
        <w:t>’</w:t>
      </w:r>
      <w:r w:rsidRPr="00A85C28">
        <w:rPr>
          <w:rFonts w:eastAsia="Arial Unicode MS"/>
          <w:u w:color="000000"/>
          <w:bdr w:val="nil"/>
          <w:lang w:eastAsia="fr-FR"/>
        </w:rPr>
        <w:t>agissant du père d</w:t>
      </w:r>
      <w:r w:rsidRPr="00A85C28" w:rsidR="00A85C28">
        <w:rPr>
          <w:rFonts w:eastAsia="Arial Unicode MS"/>
          <w:u w:color="000000"/>
          <w:bdr w:val="nil"/>
          <w:lang w:eastAsia="fr-FR"/>
        </w:rPr>
        <w:t>’</w:t>
      </w:r>
      <w:r w:rsidRPr="00A85C28">
        <w:rPr>
          <w:rFonts w:eastAsia="Arial Unicode MS"/>
          <w:u w:color="000000"/>
          <w:bdr w:val="nil"/>
          <w:lang w:eastAsia="fr-FR"/>
        </w:rPr>
        <w:t>intention, père biologique, est constitutif d</w:t>
      </w:r>
      <w:r w:rsidRPr="00A85C28" w:rsidR="00A85C28">
        <w:rPr>
          <w:rFonts w:eastAsia="Arial Unicode MS"/>
          <w:u w:color="000000"/>
          <w:bdr w:val="nil"/>
          <w:lang w:eastAsia="fr-FR"/>
        </w:rPr>
        <w:t>’</w:t>
      </w:r>
      <w:r w:rsidRPr="00A85C28">
        <w:rPr>
          <w:rFonts w:eastAsia="Arial Unicode MS"/>
          <w:u w:color="000000"/>
          <w:bdr w:val="nil"/>
          <w:lang w:eastAsia="fr-FR"/>
        </w:rPr>
        <w:t>une discrimination à l</w:t>
      </w:r>
      <w:r w:rsidRPr="00A85C28" w:rsidR="00A85C28">
        <w:rPr>
          <w:rFonts w:eastAsia="Arial Unicode MS"/>
          <w:u w:color="000000"/>
          <w:bdr w:val="nil"/>
          <w:lang w:eastAsia="fr-FR"/>
        </w:rPr>
        <w:t>’</w:t>
      </w:r>
      <w:r w:rsidRPr="00A85C28">
        <w:rPr>
          <w:rFonts w:eastAsia="Arial Unicode MS"/>
          <w:u w:color="000000"/>
          <w:bdr w:val="nil"/>
          <w:lang w:eastAsia="fr-FR"/>
        </w:rPr>
        <w:t>encontre de la mère.</w:t>
      </w:r>
    </w:p>
    <w:p w:rsidRPr="00A85C28" w:rsidR="004D2843" w:rsidP="00A85C28">
      <w:pPr>
        <w:pStyle w:val="ECHRHeading2"/>
        <w:numPr>
          <w:ilvl w:val="2"/>
          <w:numId w:val="24"/>
        </w:numPr>
        <w:tabs>
          <w:tab w:val="clear" w:pos="584"/>
        </w:tabs>
        <w:spacing w:before="100" w:beforeAutospacing="1"/>
        <w:jc w:val="left"/>
        <w:outlineLvl w:val="2"/>
        <w:rPr>
          <w:szCs w:val="24"/>
          <w:u w:val="single"/>
        </w:rPr>
      </w:pPr>
      <w:r w:rsidRPr="00A85C28">
        <w:rPr>
          <w:szCs w:val="24"/>
        </w:rPr>
        <w:t>Thèses des parties</w:t>
      </w:r>
    </w:p>
    <w:p w:rsidRPr="00A85C28" w:rsidR="004D2843" w:rsidP="00A85C28">
      <w:pPr>
        <w:pStyle w:val="ECHRHeading3"/>
        <w:numPr>
          <w:ilvl w:val="3"/>
          <w:numId w:val="24"/>
        </w:numPr>
        <w:tabs>
          <w:tab w:val="clear" w:pos="731"/>
        </w:tabs>
        <w:spacing w:before="100" w:beforeAutospacing="1"/>
        <w:jc w:val="left"/>
        <w:outlineLvl w:val="3"/>
        <w:rPr>
          <w:szCs w:val="24"/>
        </w:rPr>
      </w:pPr>
      <w:r w:rsidRPr="00A85C28">
        <w:rPr>
          <w:szCs w:val="24"/>
        </w:rPr>
        <w:t>Le Gouvernement</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75</w:t>
      </w:r>
      <w:r w:rsidRPr="00A85C28">
        <w:fldChar w:fldCharType="end"/>
      </w:r>
      <w:r w:rsidRPr="00A85C28">
        <w:t>.  Le Gouvernement soutient à titre principal que les autorités nationales n</w:t>
      </w:r>
      <w:r w:rsidRPr="00A85C28" w:rsidR="00A85C28">
        <w:t>’</w:t>
      </w:r>
      <w:r w:rsidRPr="00A85C28">
        <w:t>ont pas procédé à une distinction basée sur le mode de conception. Il souligne à cet égard que le refus de transcription des mentions relatives à la mère d</w:t>
      </w:r>
      <w:r w:rsidRPr="00A85C28" w:rsidR="00A85C28">
        <w:t>’</w:t>
      </w:r>
      <w:r w:rsidRPr="00A85C28">
        <w:t>intention figurant sur l</w:t>
      </w:r>
      <w:r w:rsidRPr="00A85C28" w:rsidR="00A85C28">
        <w:t>’</w:t>
      </w:r>
      <w:r w:rsidRPr="00A85C28">
        <w:t>acte de naissance étrangers résulte du simple constat que la première requérante n</w:t>
      </w:r>
      <w:r w:rsidRPr="00A85C28" w:rsidR="00A85C28">
        <w:t>’</w:t>
      </w:r>
      <w:r w:rsidRPr="00A85C28">
        <w:t>a pas accouché de la troisième requérante. Le fait que la transcription des actes de naissance étrangers est possible s</w:t>
      </w:r>
      <w:r w:rsidRPr="00A85C28" w:rsidR="00A85C28">
        <w:t>’</w:t>
      </w:r>
      <w:r w:rsidRPr="00A85C28">
        <w:t>agissant des mentions relatives au père d</w:t>
      </w:r>
      <w:r w:rsidRPr="00A85C28" w:rsidR="00A85C28">
        <w:t>’</w:t>
      </w:r>
      <w:r w:rsidRPr="00A85C28">
        <w:t>intention le démontrerait. Il ajoute que, si la Cour devait juger qu</w:t>
      </w:r>
      <w:r w:rsidRPr="00A85C28" w:rsidR="00A85C28">
        <w:t>’</w:t>
      </w:r>
      <w:r w:rsidRPr="00A85C28">
        <w:t>il y a une distinction fondée sur le mode de conception de l</w:t>
      </w:r>
      <w:r w:rsidRPr="00A85C28" w:rsidR="00A85C28">
        <w:t>’</w:t>
      </w:r>
      <w:r w:rsidRPr="00A85C28">
        <w:t>enfant, il faudrait retenir que les enfants dont l</w:t>
      </w:r>
      <w:r w:rsidRPr="00A85C28" w:rsidR="00A85C28">
        <w:t>’</w:t>
      </w:r>
      <w:r w:rsidRPr="00A85C28">
        <w:t>acte de naissance indique une filiation maternelle d</w:t>
      </w:r>
      <w:r w:rsidRPr="00A85C28" w:rsidR="00A85C28">
        <w:t>’</w:t>
      </w:r>
      <w:r w:rsidRPr="00A85C28">
        <w:t>intention et ceux dont l</w:t>
      </w:r>
      <w:r w:rsidRPr="00A85C28" w:rsidR="00A85C28">
        <w:t>’</w:t>
      </w:r>
      <w:r w:rsidRPr="00A85C28">
        <w:t xml:space="preserve">acte de naissance indique une « filiation maternelle réelle </w:t>
      </w:r>
      <w:r w:rsidRPr="00A85C28">
        <w:t>(découlant de l</w:t>
      </w:r>
      <w:r w:rsidRPr="00A85C28" w:rsidR="00A85C28">
        <w:t>’</w:t>
      </w:r>
      <w:r w:rsidRPr="00A85C28">
        <w:t>accouchement) » ne sont pas placés dans une situation comparable au regard de l</w:t>
      </w:r>
      <w:r w:rsidRPr="00A85C28" w:rsidR="00A85C28">
        <w:t>’</w:t>
      </w:r>
      <w:r w:rsidRPr="00A85C28">
        <w:t>examen de la demande de transcription de leur acte de naissance.</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76</w:t>
      </w:r>
      <w:r w:rsidRPr="00A85C28">
        <w:fldChar w:fldCharType="end"/>
      </w:r>
      <w:r w:rsidRPr="00A85C28">
        <w:t>.  À titre subsidiaire, le Gouvernement soutient que la distinction dénoncée reposait sur une justification objective et raisonnable. Tout d</w:t>
      </w:r>
      <w:r w:rsidRPr="00A85C28" w:rsidR="00A85C28">
        <w:t>’</w:t>
      </w:r>
      <w:r w:rsidRPr="00A85C28">
        <w:t>abord, elle poursuivait des buts légitimes, ceux évoqués dans le contexte de l</w:t>
      </w:r>
      <w:r w:rsidRPr="00A85C28" w:rsidR="00A85C28">
        <w:t>’</w:t>
      </w:r>
      <w:r w:rsidRPr="00A85C28">
        <w:t>article 8. Ensuite, elle était proportionnée et adéquate puisque la reconnaissance du lien de filiation enfant-mère d</w:t>
      </w:r>
      <w:r w:rsidRPr="00A85C28" w:rsidR="00A85C28">
        <w:t>’</w:t>
      </w:r>
      <w:r w:rsidRPr="00A85C28">
        <w:t>intention pouvait se faire par l</w:t>
      </w:r>
      <w:r w:rsidRPr="00A85C28" w:rsidR="00A85C28">
        <w:t>’</w:t>
      </w:r>
      <w:r w:rsidRPr="00A85C28">
        <w:t>adoption.</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77</w:t>
      </w:r>
      <w:r w:rsidRPr="00A85C28">
        <w:fldChar w:fldCharType="end"/>
      </w:r>
      <w:r w:rsidRPr="00A85C28">
        <w:t>.  Selon le Gouvernement, imposer aux enfants nés à l</w:t>
      </w:r>
      <w:r w:rsidRPr="00A85C28" w:rsidR="00A85C28">
        <w:t>’</w:t>
      </w:r>
      <w:r w:rsidRPr="00A85C28">
        <w:t>étranger d</w:t>
      </w:r>
      <w:r w:rsidRPr="00A85C28" w:rsidR="00A85C28">
        <w:t>’</w:t>
      </w:r>
      <w:r w:rsidRPr="00A85C28">
        <w:t>une gestation pour autrui le passage par un autre mode d</w:t>
      </w:r>
      <w:r w:rsidRPr="00A85C28" w:rsidR="00A85C28">
        <w:t>’</w:t>
      </w:r>
      <w:r w:rsidRPr="00A85C28">
        <w:t>établissement de la filiation, ce qui les différencie en effet des autres enfants nés à l</w:t>
      </w:r>
      <w:r w:rsidRPr="00A85C28" w:rsidR="00A85C28">
        <w:t>’</w:t>
      </w:r>
      <w:r w:rsidRPr="00A85C28">
        <w:t>étranger, découlait logiquement de ce mode de conception. La filiation maternelle étant, dans un premier temps, déconnectée de l</w:t>
      </w:r>
      <w:r w:rsidRPr="00A85C28" w:rsidR="00A85C28">
        <w:t>’</w:t>
      </w:r>
      <w:r w:rsidRPr="00A85C28">
        <w:t>accouchement, il était justifié, afin de protéger l</w:t>
      </w:r>
      <w:r w:rsidRPr="00A85C28" w:rsidR="00A85C28">
        <w:t>’</w:t>
      </w:r>
      <w:r w:rsidRPr="00A85C28">
        <w:t>intérêt supérieur de l</w:t>
      </w:r>
      <w:r w:rsidRPr="00A85C28" w:rsidR="00A85C28">
        <w:t>’</w:t>
      </w:r>
      <w:r w:rsidRPr="00A85C28">
        <w:t>enfant, que l</w:t>
      </w:r>
      <w:r w:rsidRPr="00A85C28" w:rsidR="00A85C28">
        <w:t>’</w:t>
      </w:r>
      <w:r w:rsidRPr="00A85C28">
        <w:t xml:space="preserve">établissement de la filiation qui en résulte, qui ne peut être constatée immédiatement, soit judiciairement </w:t>
      </w:r>
      <w:r w:rsidRPr="00A85C28">
        <w:t>établie</w:t>
      </w:r>
      <w:r w:rsidRPr="00A85C28">
        <w:t xml:space="preserve"> à l</w:t>
      </w:r>
      <w:r w:rsidRPr="00A85C28" w:rsidR="00A85C28">
        <w:t>’</w:t>
      </w:r>
      <w:r w:rsidRPr="00A85C28">
        <w:t>instar de la situation qui prévaut dans les autres cas d</w:t>
      </w:r>
      <w:r w:rsidRPr="00A85C28" w:rsidR="00A85C28">
        <w:t>’</w:t>
      </w:r>
      <w:r w:rsidRPr="00A85C28">
        <w:t>adoption. En matière de filiation adoptive, l</w:t>
      </w:r>
      <w:r w:rsidRPr="00A85C28" w:rsidR="00A85C28">
        <w:t>’</w:t>
      </w:r>
      <w:r w:rsidRPr="00A85C28">
        <w:t>intervention judiciaire serait en effet nécessaire pour vérifier que les conditions légales de l</w:t>
      </w:r>
      <w:r w:rsidRPr="00A85C28" w:rsidR="00A85C28">
        <w:t>’</w:t>
      </w:r>
      <w:r w:rsidRPr="00A85C28">
        <w:t>adoption sont remplies et qu</w:t>
      </w:r>
      <w:r w:rsidRPr="00A85C28" w:rsidR="00A85C28">
        <w:t>’</w:t>
      </w:r>
      <w:r w:rsidRPr="00A85C28">
        <w:t>elle est dans l</w:t>
      </w:r>
      <w:r w:rsidRPr="00A85C28" w:rsidR="00A85C28">
        <w:t>’</w:t>
      </w:r>
      <w:r w:rsidRPr="00A85C28">
        <w:t>intérêt de l</w:t>
      </w:r>
      <w:r w:rsidRPr="00A85C28" w:rsidR="00A85C28">
        <w:t>’</w:t>
      </w:r>
      <w:r w:rsidRPr="00A85C28">
        <w:t>enfant. Or, au regard de la mère d</w:t>
      </w:r>
      <w:r w:rsidRPr="00A85C28" w:rsidR="00A85C28">
        <w:t>’</w:t>
      </w:r>
      <w:r w:rsidRPr="00A85C28">
        <w:t>intention, les enfants nés à l</w:t>
      </w:r>
      <w:r w:rsidRPr="00A85C28" w:rsidR="00A85C28">
        <w:t>’</w:t>
      </w:r>
      <w:r w:rsidRPr="00A85C28">
        <w:t>issue d</w:t>
      </w:r>
      <w:r w:rsidRPr="00A85C28" w:rsidR="00A85C28">
        <w:t>’</w:t>
      </w:r>
      <w:r w:rsidRPr="00A85C28">
        <w:t>une gestation pour autrui seraient dans une situation analogue à celle des enfants vis-à-vis desquels une femme a un projet parental pouvant se matérialiser par l</w:t>
      </w:r>
      <w:r w:rsidRPr="00A85C28" w:rsidR="00A85C28">
        <w:t>’</w:t>
      </w:r>
      <w:r w:rsidRPr="00A85C28">
        <w:t>adoption. Il serait donc justifié que les enfants requérants fassent l</w:t>
      </w:r>
      <w:r w:rsidRPr="00A85C28" w:rsidR="00A85C28">
        <w:t>’</w:t>
      </w:r>
      <w:r w:rsidRPr="00A85C28">
        <w:t>objet d</w:t>
      </w:r>
      <w:r w:rsidRPr="00A85C28" w:rsidR="00A85C28">
        <w:t>’</w:t>
      </w:r>
      <w:r w:rsidRPr="00A85C28">
        <w:t>une procédure d</w:t>
      </w:r>
      <w:r w:rsidRPr="00A85C28" w:rsidR="00A85C28">
        <w:t>’</w:t>
      </w:r>
      <w:r w:rsidRPr="00A85C28">
        <w:t>adoption pour voir la filiation avec leurs mères d</w:t>
      </w:r>
      <w:r w:rsidRPr="00A85C28" w:rsidR="00A85C28">
        <w:t>’</w:t>
      </w:r>
      <w:r w:rsidRPr="00A85C28">
        <w:t>intention reconnue en droit interne. Le Gouvernement ajoute qu</w:t>
      </w:r>
      <w:r w:rsidRPr="00A85C28" w:rsidR="00A85C28">
        <w:t>’</w:t>
      </w:r>
      <w:r w:rsidRPr="00A85C28">
        <w:t>une fois l</w:t>
      </w:r>
      <w:r w:rsidRPr="00A85C28" w:rsidR="00A85C28">
        <w:t>’</w:t>
      </w:r>
      <w:r w:rsidRPr="00A85C28">
        <w:t>adoption prononcée, les enfants requérants se trouvent strictement dans la même situation, au regard de la filiation maternelle, que les autres enfants nés à l</w:t>
      </w:r>
      <w:r w:rsidRPr="00A85C28" w:rsidR="00A85C28">
        <w:t>’</w:t>
      </w:r>
      <w:r w:rsidRPr="00A85C28">
        <w:t>étranger.</w:t>
      </w:r>
    </w:p>
    <w:p w:rsidRPr="00A85C28" w:rsidR="004D2843" w:rsidP="00A85C28">
      <w:pPr>
        <w:pStyle w:val="ECHRHeading3"/>
        <w:numPr>
          <w:ilvl w:val="3"/>
          <w:numId w:val="24"/>
        </w:numPr>
        <w:tabs>
          <w:tab w:val="clear" w:pos="731"/>
        </w:tabs>
        <w:spacing w:before="100" w:beforeAutospacing="1"/>
        <w:jc w:val="left"/>
        <w:outlineLvl w:val="3"/>
        <w:rPr>
          <w:szCs w:val="24"/>
        </w:rPr>
      </w:pPr>
      <w:r w:rsidRPr="00A85C28">
        <w:rPr>
          <w:szCs w:val="24"/>
        </w:rPr>
        <w:t>Les requérants</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78</w:t>
      </w:r>
      <w:r w:rsidRPr="00A85C28">
        <w:fldChar w:fldCharType="end"/>
      </w:r>
      <w:r w:rsidRPr="00A85C28">
        <w:t>.  Les requérants indiquent que la troisième requérante est dans une situation comparable à celle d</w:t>
      </w:r>
      <w:r w:rsidRPr="00A85C28" w:rsidR="00A85C28">
        <w:t>’</w:t>
      </w:r>
      <w:r w:rsidRPr="00A85C28">
        <w:t>enfants nés à l</w:t>
      </w:r>
      <w:r w:rsidRPr="00A85C28" w:rsidR="00A85C28">
        <w:t>’</w:t>
      </w:r>
      <w:r w:rsidRPr="00A85C28">
        <w:t>étranger sans recours à la gestation pour autrui dont les parents demandent la transcription de l</w:t>
      </w:r>
      <w:r w:rsidRPr="00A85C28" w:rsidR="00A85C28">
        <w:t>’</w:t>
      </w:r>
      <w:r w:rsidRPr="00A85C28">
        <w:t>acte de naissance étranger ; elle a exactement le même acte de naissance valablement établi par les autorités étrangères, lequel est opposable aux autorités françaises. Cependant, soulignent les requérants, parce qu</w:t>
      </w:r>
      <w:r w:rsidRPr="00A85C28" w:rsidR="00A85C28">
        <w:t>’</w:t>
      </w:r>
      <w:r w:rsidRPr="00A85C28">
        <w:t>elle est née par gestation pour autrui, elle n</w:t>
      </w:r>
      <w:r w:rsidRPr="00A85C28" w:rsidR="00A85C28">
        <w:t>’</w:t>
      </w:r>
      <w:r w:rsidRPr="00A85C28">
        <w:t>a pu obtenir qu</w:t>
      </w:r>
      <w:r w:rsidRPr="00A85C28" w:rsidR="00A85C28">
        <w:t>’</w:t>
      </w:r>
      <w:r w:rsidRPr="00A85C28">
        <w:t>une transcription partielle, et le Gouvernement cherche à imposer aux enfants qui sont dans cette situation une « adoption sanction ». Cela reviendrait à leur reprocher leur mode de conception, dont ils ne sont pourtant pas responsables.</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79</w:t>
      </w:r>
      <w:r w:rsidRPr="00A85C28">
        <w:fldChar w:fldCharType="end"/>
      </w:r>
      <w:r w:rsidRPr="00A85C28">
        <w:t>.  Selon les requérants, le choix de l</w:t>
      </w:r>
      <w:r w:rsidRPr="00A85C28" w:rsidR="00A85C28">
        <w:t>’</w:t>
      </w:r>
      <w:r w:rsidRPr="00A85C28">
        <w:t>État défendeur de lutter contre le recours à l</w:t>
      </w:r>
      <w:r w:rsidRPr="00A85C28" w:rsidR="00A85C28">
        <w:t>’</w:t>
      </w:r>
      <w:r w:rsidRPr="00A85C28">
        <w:t>étranger à la gestation pour autrui ne saurait justifier qu</w:t>
      </w:r>
      <w:r w:rsidRPr="00A85C28" w:rsidR="00A85C28">
        <w:t>’</w:t>
      </w:r>
      <w:r w:rsidRPr="00A85C28">
        <w:t>il fasse payer les enfants en ne permettant qu</w:t>
      </w:r>
      <w:r w:rsidRPr="00A85C28" w:rsidR="00A85C28">
        <w:t>’</w:t>
      </w:r>
      <w:r w:rsidRPr="00A85C28">
        <w:t xml:space="preserve">une transcription partielle des actes de </w:t>
      </w:r>
      <w:r w:rsidRPr="00A85C28">
        <w:t>naissance étrangers, amputée de la branche maternelle, et cela d</w:t>
      </w:r>
      <w:r w:rsidRPr="00A85C28" w:rsidR="00A85C28">
        <w:t>’</w:t>
      </w:r>
      <w:r w:rsidRPr="00A85C28">
        <w:t>autant moins qu</w:t>
      </w:r>
      <w:r w:rsidRPr="00A85C28" w:rsidR="00A85C28">
        <w:t>’</w:t>
      </w:r>
      <w:r w:rsidRPr="00A85C28">
        <w:t>il existe d</w:t>
      </w:r>
      <w:r w:rsidRPr="00A85C28" w:rsidR="00A85C28">
        <w:t>’</w:t>
      </w:r>
      <w:r w:rsidRPr="00A85C28">
        <w:t>autres solutions ne faisant pas peser sur les enfants les conséquences d</w:t>
      </w:r>
      <w:r w:rsidRPr="00A85C28" w:rsidR="00A85C28">
        <w:t>’</w:t>
      </w:r>
      <w:r w:rsidRPr="00A85C28">
        <w:t>un choix dont ils ne peuvent être tenus pour responsables : soit légaliser la gestation pour autrui en France selon les principes, les valeurs et les critères que la société française se donnera ; soit modifier les règles de droit pénal.</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80</w:t>
      </w:r>
      <w:r w:rsidRPr="00A85C28">
        <w:fldChar w:fldCharType="end"/>
      </w:r>
      <w:r w:rsidRPr="00A85C28">
        <w:t>.  La troisième requérante subirait ainsi un traitement discriminatoire fondé sur la naissance, par rapport aux autres enfants nés à l</w:t>
      </w:r>
      <w:r w:rsidRPr="00A85C28" w:rsidR="00A85C28">
        <w:t>’</w:t>
      </w:r>
      <w:r w:rsidRPr="00A85C28">
        <w:t>étranger.</w:t>
      </w:r>
    </w:p>
    <w:p w:rsidRPr="00A85C28" w:rsidR="004D2843" w:rsidP="00A85C28">
      <w:pPr>
        <w:pStyle w:val="ECHRHeading2"/>
        <w:numPr>
          <w:ilvl w:val="2"/>
          <w:numId w:val="24"/>
        </w:numPr>
        <w:tabs>
          <w:tab w:val="clear" w:pos="584"/>
        </w:tabs>
        <w:spacing w:before="100" w:beforeAutospacing="1"/>
        <w:jc w:val="left"/>
        <w:outlineLvl w:val="2"/>
        <w:rPr>
          <w:szCs w:val="24"/>
        </w:rPr>
      </w:pPr>
      <w:r w:rsidRPr="00A85C28">
        <w:rPr>
          <w:szCs w:val="24"/>
        </w:rPr>
        <w:t>Appréciation de la Cour</w:t>
      </w:r>
    </w:p>
    <w:p w:rsidRPr="00A85C28" w:rsidR="004D2843" w:rsidP="00A85C28">
      <w:pPr>
        <w:pStyle w:val="ECHRHeading3"/>
        <w:numPr>
          <w:ilvl w:val="3"/>
          <w:numId w:val="24"/>
        </w:numPr>
        <w:tabs>
          <w:tab w:val="clear" w:pos="731"/>
        </w:tabs>
        <w:spacing w:before="100" w:beforeAutospacing="1"/>
        <w:jc w:val="left"/>
        <w:outlineLvl w:val="3"/>
        <w:rPr>
          <w:szCs w:val="24"/>
        </w:rPr>
      </w:pPr>
      <w:bookmarkStart w:name="_Hlk36127859" w:id="14"/>
      <w:bookmarkEnd w:id="13"/>
      <w:r w:rsidRPr="00A85C28">
        <w:rPr>
          <w:szCs w:val="24"/>
        </w:rPr>
        <w:t>Sur la recevabilité</w:t>
      </w:r>
      <w:bookmarkEnd w:id="14"/>
    </w:p>
    <w:p w:rsidRPr="00A85C28" w:rsidR="004D2843" w:rsidP="00A85C28">
      <w:pPr>
        <w:pStyle w:val="ECHRPara"/>
        <w:rPr>
          <w:rFonts w:eastAsia="Arial Unicode MS"/>
          <w:u w:color="000000"/>
          <w:bdr w:val="nil"/>
          <w:lang w:eastAsia="fr-FR"/>
        </w:rPr>
      </w:pPr>
      <w:r w:rsidRPr="00A85C28">
        <w:rPr>
          <w:rFonts w:eastAsia="Arial Unicode MS"/>
          <w:u w:color="000000"/>
          <w:bdr w:val="nil"/>
          <w:lang w:eastAsia="fr-FR"/>
        </w:rPr>
        <w:fldChar w:fldCharType="begin"/>
      </w:r>
      <w:r w:rsidRPr="00A85C28">
        <w:rPr>
          <w:rFonts w:eastAsia="Arial Unicode MS"/>
          <w:u w:color="000000"/>
          <w:bdr w:val="nil"/>
          <w:lang w:eastAsia="fr-FR"/>
        </w:rPr>
        <w:instrText xml:space="preserve"> SEQ level0 \*arabic </w:instrText>
      </w:r>
      <w:r w:rsidRPr="00A85C28">
        <w:rPr>
          <w:rFonts w:eastAsia="Arial Unicode MS"/>
          <w:u w:color="000000"/>
          <w:bdr w:val="nil"/>
          <w:lang w:eastAsia="fr-FR"/>
        </w:rPr>
        <w:fldChar w:fldCharType="separate"/>
      </w:r>
      <w:r w:rsidRPr="00A85C28" w:rsidR="00A85C28">
        <w:rPr>
          <w:rFonts w:eastAsia="Arial Unicode MS"/>
          <w:noProof/>
          <w:u w:color="000000"/>
          <w:bdr w:val="nil"/>
          <w:lang w:eastAsia="fr-FR"/>
        </w:rPr>
        <w:t>81</w:t>
      </w:r>
      <w:r w:rsidRPr="00A85C28">
        <w:rPr>
          <w:rFonts w:eastAsia="Arial Unicode MS"/>
          <w:u w:color="000000"/>
          <w:bdr w:val="nil"/>
          <w:lang w:eastAsia="fr-FR"/>
        </w:rPr>
        <w:fldChar w:fldCharType="end"/>
      </w:r>
      <w:r w:rsidRPr="00A85C28">
        <w:rPr>
          <w:rFonts w:eastAsia="Arial Unicode MS"/>
          <w:u w:color="000000"/>
          <w:bdr w:val="nil"/>
          <w:lang w:eastAsia="fr-FR"/>
        </w:rPr>
        <w:t>.  La Cour note la thèse avancée par les requérants dans leurs observations du 11 février 2020 selon laquelle, en l</w:t>
      </w:r>
      <w:r w:rsidRPr="00A85C28" w:rsidR="00A85C28">
        <w:rPr>
          <w:rFonts w:eastAsia="Arial Unicode MS"/>
          <w:u w:color="000000"/>
          <w:bdr w:val="nil"/>
          <w:lang w:eastAsia="fr-FR"/>
        </w:rPr>
        <w:t>’</w:t>
      </w:r>
      <w:r w:rsidRPr="00A85C28">
        <w:rPr>
          <w:rFonts w:eastAsia="Arial Unicode MS"/>
          <w:u w:color="000000"/>
          <w:bdr w:val="nil"/>
          <w:lang w:eastAsia="fr-FR"/>
        </w:rPr>
        <w:t>état du droit positif applicable dans leur cas, un problème de discrimination entre le père et la mère d</w:t>
      </w:r>
      <w:r w:rsidRPr="00A85C28" w:rsidR="00A85C28">
        <w:rPr>
          <w:rFonts w:eastAsia="Arial Unicode MS"/>
          <w:u w:color="000000"/>
          <w:bdr w:val="nil"/>
          <w:lang w:eastAsia="fr-FR"/>
        </w:rPr>
        <w:t>’</w:t>
      </w:r>
      <w:r w:rsidRPr="00A85C28">
        <w:rPr>
          <w:rFonts w:eastAsia="Arial Unicode MS"/>
          <w:u w:color="000000"/>
          <w:bdr w:val="nil"/>
          <w:lang w:eastAsia="fr-FR"/>
        </w:rPr>
        <w:t>intention se posait du fait de la différence de traitement entre l</w:t>
      </w:r>
      <w:r w:rsidRPr="00A85C28" w:rsidR="00A85C28">
        <w:rPr>
          <w:rFonts w:eastAsia="Arial Unicode MS"/>
          <w:u w:color="000000"/>
          <w:bdr w:val="nil"/>
          <w:lang w:eastAsia="fr-FR"/>
        </w:rPr>
        <w:t>’</w:t>
      </w:r>
      <w:r w:rsidRPr="00A85C28">
        <w:rPr>
          <w:rFonts w:eastAsia="Arial Unicode MS"/>
          <w:u w:color="000000"/>
          <w:bdr w:val="nil"/>
          <w:lang w:eastAsia="fr-FR"/>
        </w:rPr>
        <w:t>un et l</w:t>
      </w:r>
      <w:r w:rsidRPr="00A85C28" w:rsidR="00A85C28">
        <w:rPr>
          <w:rFonts w:eastAsia="Arial Unicode MS"/>
          <w:u w:color="000000"/>
          <w:bdr w:val="nil"/>
          <w:lang w:eastAsia="fr-FR"/>
        </w:rPr>
        <w:t>’</w:t>
      </w:r>
      <w:r w:rsidRPr="00A85C28">
        <w:rPr>
          <w:rFonts w:eastAsia="Arial Unicode MS"/>
          <w:u w:color="000000"/>
          <w:bdr w:val="nil"/>
          <w:lang w:eastAsia="fr-FR"/>
        </w:rPr>
        <w:t>autre quant aux modalités d</w:t>
      </w:r>
      <w:r w:rsidRPr="00A85C28" w:rsidR="00A85C28">
        <w:rPr>
          <w:rFonts w:eastAsia="Arial Unicode MS"/>
          <w:u w:color="000000"/>
          <w:bdr w:val="nil"/>
          <w:lang w:eastAsia="fr-FR"/>
        </w:rPr>
        <w:t>’</w:t>
      </w:r>
      <w:r w:rsidRPr="00A85C28">
        <w:rPr>
          <w:rFonts w:eastAsia="Arial Unicode MS"/>
          <w:u w:color="000000"/>
          <w:bdr w:val="nil"/>
          <w:lang w:eastAsia="fr-FR"/>
        </w:rPr>
        <w:t>établissement de la filiation. Elle en déduit que les requérants entendent ainsi la saisir d</w:t>
      </w:r>
      <w:r w:rsidRPr="00A85C28" w:rsidR="00A85C28">
        <w:rPr>
          <w:rFonts w:eastAsia="Arial Unicode MS"/>
          <w:u w:color="000000"/>
          <w:bdr w:val="nil"/>
          <w:lang w:eastAsia="fr-FR"/>
        </w:rPr>
        <w:t>’</w:t>
      </w:r>
      <w:r w:rsidRPr="00A85C28">
        <w:rPr>
          <w:rFonts w:eastAsia="Arial Unicode MS"/>
          <w:u w:color="000000"/>
          <w:bdr w:val="nil"/>
          <w:lang w:eastAsia="fr-FR"/>
        </w:rPr>
        <w:t>un grief relatif à une discrimination, au sens de l</w:t>
      </w:r>
      <w:r w:rsidRPr="00A85C28" w:rsidR="00A85C28">
        <w:rPr>
          <w:rFonts w:eastAsia="Arial Unicode MS"/>
          <w:u w:color="000000"/>
          <w:bdr w:val="nil"/>
          <w:lang w:eastAsia="fr-FR"/>
        </w:rPr>
        <w:t>’</w:t>
      </w:r>
      <w:r w:rsidRPr="00A85C28">
        <w:rPr>
          <w:rFonts w:eastAsia="Arial Unicode MS"/>
          <w:u w:color="000000"/>
          <w:bdr w:val="nil"/>
          <w:lang w:eastAsia="fr-FR"/>
        </w:rPr>
        <w:t>article 14 de la Convention, dont la première requérante aurait à souffrir. Il s</w:t>
      </w:r>
      <w:r w:rsidRPr="00A85C28" w:rsidR="00A85C28">
        <w:rPr>
          <w:rFonts w:eastAsia="Arial Unicode MS"/>
          <w:u w:color="000000"/>
          <w:bdr w:val="nil"/>
          <w:lang w:eastAsia="fr-FR"/>
        </w:rPr>
        <w:t>’</w:t>
      </w:r>
      <w:r w:rsidRPr="00A85C28">
        <w:rPr>
          <w:rFonts w:eastAsia="Arial Unicode MS"/>
          <w:u w:color="000000"/>
          <w:bdr w:val="nil"/>
          <w:lang w:eastAsia="fr-FR"/>
        </w:rPr>
        <w:t>agit là d</w:t>
      </w:r>
      <w:r w:rsidRPr="00A85C28" w:rsidR="00A85C28">
        <w:rPr>
          <w:rFonts w:eastAsia="Arial Unicode MS"/>
          <w:u w:color="000000"/>
          <w:bdr w:val="nil"/>
          <w:lang w:eastAsia="fr-FR"/>
        </w:rPr>
        <w:t>’</w:t>
      </w:r>
      <w:r w:rsidRPr="00A85C28">
        <w:rPr>
          <w:rFonts w:eastAsia="Arial Unicode MS"/>
          <w:u w:color="000000"/>
          <w:bdr w:val="nil"/>
          <w:lang w:eastAsia="fr-FR"/>
        </w:rPr>
        <w:t>un grief distinct de ceux que les requérants ont développés dans leur requête, qui visent uniquement les droits de la troisième d</w:t>
      </w:r>
      <w:r w:rsidRPr="00A85C28" w:rsidR="00A85C28">
        <w:rPr>
          <w:rFonts w:eastAsia="Arial Unicode MS"/>
          <w:u w:color="000000"/>
          <w:bdr w:val="nil"/>
          <w:lang w:eastAsia="fr-FR"/>
        </w:rPr>
        <w:t>’</w:t>
      </w:r>
      <w:r w:rsidRPr="00A85C28">
        <w:rPr>
          <w:rFonts w:eastAsia="Arial Unicode MS"/>
          <w:u w:color="000000"/>
          <w:bdr w:val="nil"/>
          <w:lang w:eastAsia="fr-FR"/>
        </w:rPr>
        <w:t>entre eux au regard des articles 8 et 14 de la Convention, en tant qu</w:t>
      </w:r>
      <w:r w:rsidRPr="00A85C28" w:rsidR="00A85C28">
        <w:rPr>
          <w:rFonts w:eastAsia="Arial Unicode MS"/>
          <w:u w:color="000000"/>
          <w:bdr w:val="nil"/>
          <w:lang w:eastAsia="fr-FR"/>
        </w:rPr>
        <w:t>’</w:t>
      </w:r>
      <w:r w:rsidRPr="00A85C28">
        <w:rPr>
          <w:rFonts w:eastAsia="Arial Unicode MS"/>
          <w:u w:color="000000"/>
          <w:bdr w:val="nil"/>
          <w:lang w:eastAsia="fr-FR"/>
        </w:rPr>
        <w:t>enfant née à l</w:t>
      </w:r>
      <w:r w:rsidRPr="00A85C28" w:rsidR="00A85C28">
        <w:rPr>
          <w:rFonts w:eastAsia="Arial Unicode MS"/>
          <w:u w:color="000000"/>
          <w:bdr w:val="nil"/>
          <w:lang w:eastAsia="fr-FR"/>
        </w:rPr>
        <w:t>’</w:t>
      </w:r>
      <w:r w:rsidRPr="00A85C28">
        <w:rPr>
          <w:rFonts w:eastAsia="Arial Unicode MS"/>
          <w:u w:color="000000"/>
          <w:bdr w:val="nil"/>
          <w:lang w:eastAsia="fr-FR"/>
        </w:rPr>
        <w:t>étranger d</w:t>
      </w:r>
      <w:r w:rsidRPr="00A85C28" w:rsidR="00A85C28">
        <w:rPr>
          <w:rFonts w:eastAsia="Arial Unicode MS"/>
          <w:u w:color="000000"/>
          <w:bdr w:val="nil"/>
          <w:lang w:eastAsia="fr-FR"/>
        </w:rPr>
        <w:t>’</w:t>
      </w:r>
      <w:r w:rsidRPr="00A85C28">
        <w:rPr>
          <w:rFonts w:eastAsia="Arial Unicode MS"/>
          <w:u w:color="000000"/>
          <w:bdr w:val="nil"/>
          <w:lang w:eastAsia="fr-FR"/>
        </w:rPr>
        <w:t>une gestation pour autrui. La Cour constate au surplus que ce grief repose sur un fait – la circonstance que la première requérant</w:t>
      </w:r>
      <w:r w:rsidRPr="00A85C28" w:rsidR="00682CF6">
        <w:rPr>
          <w:rFonts w:eastAsia="Arial Unicode MS"/>
          <w:u w:color="000000"/>
          <w:bdr w:val="nil"/>
          <w:lang w:eastAsia="fr-FR"/>
        </w:rPr>
        <w:t>e</w:t>
      </w:r>
      <w:r w:rsidRPr="00A85C28">
        <w:rPr>
          <w:rFonts w:eastAsia="Arial Unicode MS"/>
          <w:u w:color="000000"/>
          <w:bdr w:val="nil"/>
          <w:lang w:eastAsia="fr-FR"/>
        </w:rPr>
        <w:t xml:space="preserve"> est la mère génétique de la troisième </w:t>
      </w:r>
      <w:r w:rsidRPr="00A85C28" w:rsidR="00075F07">
        <w:rPr>
          <w:rFonts w:eastAsia="Arial Unicode MS"/>
          <w:u w:color="000000"/>
          <w:bdr w:val="nil"/>
          <w:lang w:eastAsia="fr-FR"/>
        </w:rPr>
        <w:t>requérante -</w:t>
      </w:r>
      <w:r w:rsidRPr="00A85C28">
        <w:rPr>
          <w:rFonts w:eastAsia="Arial Unicode MS"/>
          <w:u w:color="000000"/>
          <w:bdr w:val="nil"/>
          <w:lang w:eastAsia="fr-FR"/>
        </w:rPr>
        <w:t>que les requérants ont omis d</w:t>
      </w:r>
      <w:r w:rsidRPr="00A85C28" w:rsidR="00A85C28">
        <w:rPr>
          <w:rFonts w:eastAsia="Arial Unicode MS"/>
          <w:u w:color="000000"/>
          <w:bdr w:val="nil"/>
          <w:lang w:eastAsia="fr-FR"/>
        </w:rPr>
        <w:t>’</w:t>
      </w:r>
      <w:r w:rsidRPr="00A85C28">
        <w:rPr>
          <w:rFonts w:eastAsia="Arial Unicode MS"/>
          <w:u w:color="000000"/>
          <w:bdr w:val="nil"/>
          <w:lang w:eastAsia="fr-FR"/>
        </w:rPr>
        <w:t>indiquer dans la requête qu</w:t>
      </w:r>
      <w:r w:rsidRPr="00A85C28" w:rsidR="00A85C28">
        <w:rPr>
          <w:rFonts w:eastAsia="Arial Unicode MS"/>
          <w:u w:color="000000"/>
          <w:bdr w:val="nil"/>
          <w:lang w:eastAsia="fr-FR"/>
        </w:rPr>
        <w:t>’</w:t>
      </w:r>
      <w:r w:rsidRPr="00A85C28">
        <w:rPr>
          <w:rFonts w:eastAsia="Arial Unicode MS"/>
          <w:u w:color="000000"/>
          <w:bdr w:val="nil"/>
          <w:lang w:eastAsia="fr-FR"/>
        </w:rPr>
        <w:t>ils ont introduite devant elle le 2 mars 2018, et qu</w:t>
      </w:r>
      <w:r w:rsidRPr="00A85C28" w:rsidR="00A85C28">
        <w:rPr>
          <w:rFonts w:eastAsia="Arial Unicode MS"/>
          <w:u w:color="000000"/>
          <w:bdr w:val="nil"/>
          <w:lang w:eastAsia="fr-FR"/>
        </w:rPr>
        <w:t>’</w:t>
      </w:r>
      <w:r w:rsidRPr="00A85C28">
        <w:rPr>
          <w:rFonts w:eastAsia="Arial Unicode MS"/>
          <w:u w:color="000000"/>
          <w:bdr w:val="nil"/>
          <w:lang w:eastAsia="fr-FR"/>
        </w:rPr>
        <w:t>ils ne lui</w:t>
      </w:r>
      <w:r w:rsidRPr="00A85C28" w:rsidR="00894566">
        <w:rPr>
          <w:rFonts w:eastAsia="Arial Unicode MS"/>
          <w:u w:color="000000"/>
          <w:bdr w:val="nil"/>
          <w:lang w:eastAsia="fr-FR"/>
        </w:rPr>
        <w:t xml:space="preserve"> ont révélé que le 12 septembre </w:t>
      </w:r>
      <w:r w:rsidRPr="00A85C28">
        <w:rPr>
          <w:rFonts w:eastAsia="Arial Unicode MS"/>
          <w:u w:color="000000"/>
          <w:bdr w:val="nil"/>
          <w:lang w:eastAsia="fr-FR"/>
        </w:rPr>
        <w:t>2019 à la suite d</w:t>
      </w:r>
      <w:r w:rsidRPr="00A85C28" w:rsidR="00A85C28">
        <w:rPr>
          <w:rFonts w:eastAsia="Arial Unicode MS"/>
          <w:u w:color="000000"/>
          <w:bdr w:val="nil"/>
          <w:lang w:eastAsia="fr-FR"/>
        </w:rPr>
        <w:t>’</w:t>
      </w:r>
      <w:r w:rsidRPr="00A85C28">
        <w:rPr>
          <w:rFonts w:eastAsia="Arial Unicode MS"/>
          <w:u w:color="000000"/>
          <w:bdr w:val="nil"/>
          <w:lang w:eastAsia="fr-FR"/>
        </w:rPr>
        <w:t>une demande de la présidente de la chambre (paragraphe 12 ci-dessus). Il ressort de plus des pièces de la procédure interne produites par les parties que les requérants n</w:t>
      </w:r>
      <w:r w:rsidRPr="00A85C28" w:rsidR="00A85C28">
        <w:rPr>
          <w:rFonts w:eastAsia="Arial Unicode MS"/>
          <w:u w:color="000000"/>
          <w:bdr w:val="nil"/>
          <w:lang w:eastAsia="fr-FR"/>
        </w:rPr>
        <w:t>’</w:t>
      </w:r>
      <w:r w:rsidRPr="00A85C28">
        <w:rPr>
          <w:rFonts w:eastAsia="Arial Unicode MS"/>
          <w:u w:color="000000"/>
          <w:bdr w:val="nil"/>
          <w:lang w:eastAsia="fr-FR"/>
        </w:rPr>
        <w:t>avaient pas informé les autorités et juridictions internes de ce fait, lequel n</w:t>
      </w:r>
      <w:r w:rsidRPr="00A85C28" w:rsidR="00A85C28">
        <w:rPr>
          <w:rFonts w:eastAsia="Arial Unicode MS"/>
          <w:u w:color="000000"/>
          <w:bdr w:val="nil"/>
          <w:lang w:eastAsia="fr-FR"/>
        </w:rPr>
        <w:t>’</w:t>
      </w:r>
      <w:r w:rsidRPr="00A85C28">
        <w:rPr>
          <w:rFonts w:eastAsia="Arial Unicode MS"/>
          <w:u w:color="000000"/>
          <w:bdr w:val="nil"/>
          <w:lang w:eastAsia="fr-FR"/>
        </w:rPr>
        <w:t>a donc pas été intégré aux débats.</w:t>
      </w:r>
    </w:p>
    <w:p w:rsidRPr="00A85C28" w:rsidR="004D2843" w:rsidP="00A85C28">
      <w:pPr>
        <w:pStyle w:val="ECHRPara"/>
        <w:rPr>
          <w:rFonts w:eastAsia="Arial Unicode MS"/>
          <w:u w:color="000000"/>
          <w:bdr w:val="nil"/>
          <w:lang w:eastAsia="fr-FR"/>
        </w:rPr>
      </w:pPr>
      <w:r w:rsidRPr="00A85C28">
        <w:rPr>
          <w:rFonts w:eastAsia="Arial Unicode MS"/>
          <w:u w:color="000000"/>
          <w:bdr w:val="nil"/>
          <w:lang w:eastAsia="fr-FR"/>
        </w:rPr>
        <w:fldChar w:fldCharType="begin"/>
      </w:r>
      <w:r w:rsidRPr="00A85C28">
        <w:rPr>
          <w:rFonts w:eastAsia="Arial Unicode MS"/>
          <w:u w:color="000000"/>
          <w:bdr w:val="nil"/>
          <w:lang w:eastAsia="fr-FR"/>
        </w:rPr>
        <w:instrText xml:space="preserve"> SEQ level0 \*arabic </w:instrText>
      </w:r>
      <w:r w:rsidRPr="00A85C28">
        <w:rPr>
          <w:rFonts w:eastAsia="Arial Unicode MS"/>
          <w:u w:color="000000"/>
          <w:bdr w:val="nil"/>
          <w:lang w:eastAsia="fr-FR"/>
        </w:rPr>
        <w:fldChar w:fldCharType="separate"/>
      </w:r>
      <w:r w:rsidRPr="00A85C28" w:rsidR="00A85C28">
        <w:rPr>
          <w:rFonts w:eastAsia="Arial Unicode MS"/>
          <w:noProof/>
          <w:u w:color="000000"/>
          <w:bdr w:val="nil"/>
          <w:lang w:eastAsia="fr-FR"/>
        </w:rPr>
        <w:t>82</w:t>
      </w:r>
      <w:r w:rsidRPr="00A85C28">
        <w:rPr>
          <w:rFonts w:eastAsia="Arial Unicode MS"/>
          <w:u w:color="000000"/>
          <w:bdr w:val="nil"/>
          <w:lang w:eastAsia="fr-FR"/>
        </w:rPr>
        <w:fldChar w:fldCharType="end"/>
      </w:r>
      <w:r w:rsidRPr="00A85C28">
        <w:rPr>
          <w:rFonts w:eastAsia="Arial Unicode MS"/>
          <w:u w:color="000000"/>
          <w:bdr w:val="nil"/>
          <w:lang w:eastAsia="fr-FR"/>
        </w:rPr>
        <w:t>.  La Cour retient qu</w:t>
      </w:r>
      <w:r w:rsidRPr="00A85C28" w:rsidR="00A85C28">
        <w:rPr>
          <w:rFonts w:eastAsia="Arial Unicode MS"/>
          <w:u w:color="000000"/>
          <w:bdr w:val="nil"/>
          <w:lang w:eastAsia="fr-FR"/>
        </w:rPr>
        <w:t>’</w:t>
      </w:r>
      <w:r w:rsidRPr="00A85C28">
        <w:rPr>
          <w:rFonts w:eastAsia="Arial Unicode MS"/>
          <w:u w:color="000000"/>
          <w:bdr w:val="nil"/>
          <w:lang w:eastAsia="fr-FR"/>
        </w:rPr>
        <w:t>en tout état de cause, ce nouveau grief se heurte désormais au délai de six mois de l</w:t>
      </w:r>
      <w:r w:rsidRPr="00A85C28" w:rsidR="00A85C28">
        <w:rPr>
          <w:rFonts w:eastAsia="Arial Unicode MS"/>
          <w:u w:color="000000"/>
          <w:bdr w:val="nil"/>
          <w:lang w:eastAsia="fr-FR"/>
        </w:rPr>
        <w:t>’</w:t>
      </w:r>
      <w:r w:rsidRPr="00A85C28">
        <w:rPr>
          <w:rFonts w:eastAsia="Arial Unicode MS"/>
          <w:u w:color="000000"/>
          <w:bdr w:val="nil"/>
          <w:lang w:eastAsia="fr-FR"/>
        </w:rPr>
        <w:t>article 35 § 1 de la Convention. Il doit donc être rejeté en application de l</w:t>
      </w:r>
      <w:r w:rsidRPr="00A85C28" w:rsidR="00A85C28">
        <w:rPr>
          <w:rFonts w:eastAsia="Arial Unicode MS"/>
          <w:u w:color="000000"/>
          <w:bdr w:val="nil"/>
          <w:lang w:eastAsia="fr-FR"/>
        </w:rPr>
        <w:t>’</w:t>
      </w:r>
      <w:r w:rsidRPr="00A85C28">
        <w:rPr>
          <w:rFonts w:eastAsia="Arial Unicode MS"/>
          <w:u w:color="000000"/>
          <w:bdr w:val="nil"/>
          <w:lang w:eastAsia="fr-FR"/>
        </w:rPr>
        <w:t>article 35 § 1 et 4 de la Convention.</w:t>
      </w:r>
    </w:p>
    <w:p w:rsidRPr="00A85C28" w:rsidR="004D2843" w:rsidP="00A85C28">
      <w:pPr>
        <w:pStyle w:val="ECHRPara"/>
      </w:pPr>
      <w:r w:rsidRPr="00A85C28">
        <w:fldChar w:fldCharType="begin"/>
      </w:r>
      <w:r w:rsidRPr="00A85C28">
        <w:instrText xml:space="preserve"> SEQ level0 \*arabic </w:instrText>
      </w:r>
      <w:r w:rsidRPr="00A85C28">
        <w:fldChar w:fldCharType="separate"/>
      </w:r>
      <w:r w:rsidRPr="00A85C28" w:rsidR="00A85C28">
        <w:rPr>
          <w:noProof/>
        </w:rPr>
        <w:t>83</w:t>
      </w:r>
      <w:r w:rsidRPr="00A85C28">
        <w:fldChar w:fldCharType="end"/>
      </w:r>
      <w:r w:rsidRPr="00A85C28">
        <w:t>.  </w:t>
      </w:r>
      <w:bookmarkStart w:name="_Hlk36127924" w:id="15"/>
      <w:r w:rsidRPr="00A85C28">
        <w:t xml:space="preserve">Quant au grief </w:t>
      </w:r>
      <w:r w:rsidRPr="00A85C28">
        <w:rPr>
          <w:rFonts w:eastAsia="Arial Unicode MS"/>
          <w:u w:color="000000"/>
          <w:bdr w:val="nil"/>
          <w:lang w:eastAsia="fr-FR"/>
        </w:rPr>
        <w:t>relatif à la discrimination dont la troisième requérante serait victime dans la jouissance de son droit au respect de la vie privée, la Cour c</w:t>
      </w:r>
      <w:r w:rsidRPr="00A85C28">
        <w:t>onstate qu</w:t>
      </w:r>
      <w:r w:rsidRPr="00A85C28" w:rsidR="00A85C28">
        <w:t>’</w:t>
      </w:r>
      <w:r w:rsidRPr="00A85C28">
        <w:t>il n</w:t>
      </w:r>
      <w:r w:rsidRPr="00A85C28" w:rsidR="00A85C28">
        <w:t>’</w:t>
      </w:r>
      <w:r w:rsidRPr="00A85C28">
        <w:t>est ni manifestement mal fondé ni irrecevable pour un autre motif visé à l</w:t>
      </w:r>
      <w:r w:rsidRPr="00A85C28" w:rsidR="00A85C28">
        <w:t>’</w:t>
      </w:r>
      <w:r w:rsidRPr="00A85C28">
        <w:t>article 35 de la Convention. Elle le déclare donc recevable.</w:t>
      </w:r>
      <w:bookmarkEnd w:id="15"/>
    </w:p>
    <w:p w:rsidRPr="00A85C28" w:rsidR="004D2843" w:rsidP="00A85C28">
      <w:pPr>
        <w:pStyle w:val="ECHRHeading3"/>
        <w:numPr>
          <w:ilvl w:val="3"/>
          <w:numId w:val="24"/>
        </w:numPr>
        <w:tabs>
          <w:tab w:val="clear" w:pos="731"/>
        </w:tabs>
        <w:spacing w:before="100" w:beforeAutospacing="1"/>
        <w:jc w:val="left"/>
        <w:outlineLvl w:val="3"/>
      </w:pPr>
      <w:bookmarkStart w:name="_Hlk36127958" w:id="16"/>
      <w:r w:rsidRPr="00A85C28">
        <w:t>Sur le fond</w:t>
      </w:r>
      <w:bookmarkEnd w:id="16"/>
    </w:p>
    <w:p w:rsidRPr="00A85C28" w:rsidR="004D2843" w:rsidP="00A85C28">
      <w:pPr>
        <w:pStyle w:val="ECHRPara"/>
        <w:rPr>
          <w:rFonts w:eastAsia="Arial Unicode MS"/>
          <w:u w:color="000000"/>
          <w:bdr w:val="nil"/>
          <w:lang w:eastAsia="fr-FR"/>
        </w:rPr>
      </w:pPr>
      <w:r w:rsidRPr="00A85C28">
        <w:rPr>
          <w:rFonts w:eastAsia="Arial Unicode MS"/>
          <w:u w:color="000000"/>
          <w:bdr w:val="nil"/>
          <w:lang w:eastAsia="fr-FR"/>
        </w:rPr>
        <w:fldChar w:fldCharType="begin"/>
      </w:r>
      <w:r w:rsidRPr="00A85C28">
        <w:rPr>
          <w:rFonts w:eastAsia="Arial Unicode MS"/>
          <w:u w:color="000000"/>
          <w:bdr w:val="nil"/>
          <w:lang w:eastAsia="fr-FR"/>
        </w:rPr>
        <w:instrText xml:space="preserve"> SEQ level0 \*arabic </w:instrText>
      </w:r>
      <w:r w:rsidRPr="00A85C28">
        <w:rPr>
          <w:rFonts w:eastAsia="Arial Unicode MS"/>
          <w:u w:color="000000"/>
          <w:bdr w:val="nil"/>
          <w:lang w:eastAsia="fr-FR"/>
        </w:rPr>
        <w:fldChar w:fldCharType="separate"/>
      </w:r>
      <w:r w:rsidRPr="00A85C28" w:rsidR="00A85C28">
        <w:rPr>
          <w:rFonts w:eastAsia="Arial Unicode MS"/>
          <w:noProof/>
          <w:u w:color="000000"/>
          <w:bdr w:val="nil"/>
          <w:lang w:eastAsia="fr-FR"/>
        </w:rPr>
        <w:t>84</w:t>
      </w:r>
      <w:r w:rsidRPr="00A85C28">
        <w:rPr>
          <w:rFonts w:eastAsia="Arial Unicode MS"/>
          <w:u w:color="000000"/>
          <w:bdr w:val="nil"/>
          <w:lang w:eastAsia="fr-FR"/>
        </w:rPr>
        <w:fldChar w:fldCharType="end"/>
      </w:r>
      <w:r w:rsidRPr="00A85C28">
        <w:rPr>
          <w:rFonts w:eastAsia="Arial Unicode MS"/>
          <w:u w:color="000000"/>
          <w:bdr w:val="nil"/>
          <w:lang w:eastAsia="fr-FR"/>
        </w:rPr>
        <w:t>.  La Cour renvoie aux principes généraux qui se dégagent de sa jurisprudence, tels qu</w:t>
      </w:r>
      <w:r w:rsidRPr="00A85C28" w:rsidR="00A85C28">
        <w:rPr>
          <w:rFonts w:eastAsia="Arial Unicode MS"/>
          <w:u w:color="000000"/>
          <w:bdr w:val="nil"/>
          <w:lang w:eastAsia="fr-FR"/>
        </w:rPr>
        <w:t>’</w:t>
      </w:r>
      <w:r w:rsidRPr="00A85C28">
        <w:rPr>
          <w:rFonts w:eastAsia="Arial Unicode MS"/>
          <w:u w:color="000000"/>
          <w:bdr w:val="nil"/>
          <w:lang w:eastAsia="fr-FR"/>
        </w:rPr>
        <w:t>ils se trouvent énoncés dans l</w:t>
      </w:r>
      <w:r w:rsidRPr="00A85C28" w:rsidR="00A85C28">
        <w:rPr>
          <w:rFonts w:eastAsia="Arial Unicode MS"/>
          <w:u w:color="000000"/>
          <w:bdr w:val="nil"/>
          <w:lang w:eastAsia="fr-FR"/>
        </w:rPr>
        <w:t>’</w:t>
      </w:r>
      <w:r w:rsidRPr="00A85C28">
        <w:rPr>
          <w:rFonts w:eastAsia="Arial Unicode MS"/>
          <w:u w:color="000000"/>
          <w:bdr w:val="nil"/>
          <w:lang w:eastAsia="fr-FR"/>
        </w:rPr>
        <w:t xml:space="preserve">arrêt </w:t>
      </w:r>
      <w:r w:rsidRPr="00A85C28">
        <w:rPr>
          <w:rFonts w:eastAsia="Arial Unicode MS"/>
          <w:i/>
          <w:iCs/>
          <w:u w:color="000000"/>
          <w:bdr w:val="nil"/>
          <w:lang w:eastAsia="fr-FR"/>
        </w:rPr>
        <w:t>Biao</w:t>
      </w:r>
      <w:r w:rsidRPr="00A85C28">
        <w:rPr>
          <w:rFonts w:eastAsia="Arial Unicode MS"/>
          <w:i/>
          <w:iCs/>
          <w:u w:color="000000"/>
          <w:bdr w:val="nil"/>
          <w:lang w:eastAsia="fr-FR"/>
        </w:rPr>
        <w:t xml:space="preserve"> c. Danemark</w:t>
      </w:r>
      <w:r w:rsidRPr="00A85C28">
        <w:rPr>
          <w:rFonts w:eastAsia="Arial Unicode MS"/>
          <w:u w:color="000000"/>
          <w:bdr w:val="nil"/>
          <w:lang w:eastAsia="fr-FR"/>
        </w:rPr>
        <w:t xml:space="preserve"> [GC] (n</w:t>
      </w:r>
      <w:r w:rsidRPr="00A85C28">
        <w:rPr>
          <w:rFonts w:eastAsia="Arial Unicode MS"/>
          <w:u w:color="000000"/>
          <w:bdr w:val="nil"/>
          <w:vertAlign w:val="superscript"/>
          <w:lang w:eastAsia="fr-FR"/>
        </w:rPr>
        <w:t>o</w:t>
      </w:r>
      <w:r w:rsidRPr="00A85C28">
        <w:rPr>
          <w:rFonts w:eastAsia="Arial Unicode MS"/>
          <w:u w:color="000000"/>
          <w:bdr w:val="nil"/>
          <w:lang w:eastAsia="fr-FR"/>
        </w:rPr>
        <w:t xml:space="preserve"> 38590/10, §§ 88-93, 24 mai 2016) notamment. Il en résulte en particulier que, pour qu</w:t>
      </w:r>
      <w:r w:rsidRPr="00A85C28" w:rsidR="00A85C28">
        <w:rPr>
          <w:rFonts w:eastAsia="Arial Unicode MS"/>
          <w:u w:color="000000"/>
          <w:bdr w:val="nil"/>
          <w:lang w:eastAsia="fr-FR"/>
        </w:rPr>
        <w:t>’</w:t>
      </w:r>
      <w:r w:rsidRPr="00A85C28">
        <w:rPr>
          <w:rFonts w:eastAsia="Arial Unicode MS"/>
          <w:u w:color="000000"/>
          <w:bdr w:val="nil"/>
          <w:lang w:eastAsia="fr-FR"/>
        </w:rPr>
        <w:t>un problème se pose au regard de l</w:t>
      </w:r>
      <w:r w:rsidRPr="00A85C28" w:rsidR="00A85C28">
        <w:rPr>
          <w:rFonts w:eastAsia="Arial Unicode MS"/>
          <w:u w:color="000000"/>
          <w:bdr w:val="nil"/>
          <w:lang w:eastAsia="fr-FR"/>
        </w:rPr>
        <w:t>’</w:t>
      </w:r>
      <w:r w:rsidRPr="00A85C28">
        <w:rPr>
          <w:rFonts w:eastAsia="Arial Unicode MS"/>
          <w:u w:color="000000"/>
          <w:bdr w:val="nil"/>
          <w:lang w:eastAsia="fr-FR"/>
        </w:rPr>
        <w:t>article 14, il doit y avoir une différence dans le traitement de personnes placées dans des situations analogues ou comparables, et qu</w:t>
      </w:r>
      <w:r w:rsidRPr="00A85C28" w:rsidR="00A85C28">
        <w:rPr>
          <w:rFonts w:eastAsia="Arial Unicode MS"/>
          <w:u w:color="000000"/>
          <w:bdr w:val="nil"/>
          <w:lang w:eastAsia="fr-FR"/>
        </w:rPr>
        <w:t>’</w:t>
      </w:r>
      <w:r w:rsidRPr="00A85C28">
        <w:rPr>
          <w:rFonts w:eastAsia="Arial Unicode MS"/>
          <w:u w:color="000000"/>
          <w:bdr w:val="nil"/>
          <w:lang w:eastAsia="fr-FR"/>
        </w:rPr>
        <w:t>une différence est discriminatoire si elle ne repose pas sur une justification objective et raisonnable, c</w:t>
      </w:r>
      <w:r w:rsidRPr="00A85C28" w:rsidR="00A85C28">
        <w:rPr>
          <w:rFonts w:eastAsia="Arial Unicode MS"/>
          <w:u w:color="000000"/>
          <w:bdr w:val="nil"/>
          <w:lang w:eastAsia="fr-FR"/>
        </w:rPr>
        <w:t>’</w:t>
      </w:r>
      <w:r w:rsidRPr="00A85C28">
        <w:rPr>
          <w:rFonts w:eastAsia="Arial Unicode MS"/>
          <w:u w:color="000000"/>
          <w:bdr w:val="nil"/>
          <w:lang w:eastAsia="fr-FR"/>
        </w:rPr>
        <w:t>est-à-dire si elle ne poursuit pas un but légitime ou s</w:t>
      </w:r>
      <w:r w:rsidRPr="00A85C28" w:rsidR="00A85C28">
        <w:rPr>
          <w:rFonts w:eastAsia="Arial Unicode MS"/>
          <w:u w:color="000000"/>
          <w:bdr w:val="nil"/>
          <w:lang w:eastAsia="fr-FR"/>
        </w:rPr>
        <w:t>’</w:t>
      </w:r>
      <w:r w:rsidRPr="00A85C28">
        <w:rPr>
          <w:rFonts w:eastAsia="Arial Unicode MS"/>
          <w:u w:color="000000"/>
          <w:bdr w:val="nil"/>
          <w:lang w:eastAsia="fr-FR"/>
        </w:rPr>
        <w:t>il n</w:t>
      </w:r>
      <w:r w:rsidRPr="00A85C28" w:rsidR="00A85C28">
        <w:rPr>
          <w:rFonts w:eastAsia="Arial Unicode MS"/>
          <w:u w:color="000000"/>
          <w:bdr w:val="nil"/>
          <w:lang w:eastAsia="fr-FR"/>
        </w:rPr>
        <w:t>’</w:t>
      </w:r>
      <w:r w:rsidRPr="00A85C28">
        <w:rPr>
          <w:rFonts w:eastAsia="Arial Unicode MS"/>
          <w:u w:color="000000"/>
          <w:bdr w:val="nil"/>
          <w:lang w:eastAsia="fr-FR"/>
        </w:rPr>
        <w:t>y a pas un rapport raisonnable de proportionnalité entre les moyens employés et le but visé. Il en résulte aussi que les États contractants jouissent d</w:t>
      </w:r>
      <w:r w:rsidRPr="00A85C28" w:rsidR="00A85C28">
        <w:rPr>
          <w:rFonts w:eastAsia="Arial Unicode MS"/>
          <w:u w:color="000000"/>
          <w:bdr w:val="nil"/>
          <w:lang w:eastAsia="fr-FR"/>
        </w:rPr>
        <w:t>’</w:t>
      </w:r>
      <w:r w:rsidRPr="00A85C28">
        <w:rPr>
          <w:rFonts w:eastAsia="Arial Unicode MS"/>
          <w:u w:color="000000"/>
          <w:bdr w:val="nil"/>
          <w:lang w:eastAsia="fr-FR"/>
        </w:rPr>
        <w:t>une certaine marge d</w:t>
      </w:r>
      <w:r w:rsidRPr="00A85C28" w:rsidR="00A85C28">
        <w:rPr>
          <w:rFonts w:eastAsia="Arial Unicode MS"/>
          <w:u w:color="000000"/>
          <w:bdr w:val="nil"/>
          <w:lang w:eastAsia="fr-FR"/>
        </w:rPr>
        <w:t>’</w:t>
      </w:r>
      <w:r w:rsidRPr="00A85C28">
        <w:rPr>
          <w:rFonts w:eastAsia="Arial Unicode MS"/>
          <w:u w:color="000000"/>
          <w:bdr w:val="nil"/>
          <w:lang w:eastAsia="fr-FR"/>
        </w:rPr>
        <w:t>appréciation pour déterminer si et dans quelle mesure des différences entre des situations à d</w:t>
      </w:r>
      <w:r w:rsidRPr="00A85C28" w:rsidR="00A85C28">
        <w:rPr>
          <w:rFonts w:eastAsia="Arial Unicode MS"/>
          <w:u w:color="000000"/>
          <w:bdr w:val="nil"/>
          <w:lang w:eastAsia="fr-FR"/>
        </w:rPr>
        <w:t>’</w:t>
      </w:r>
      <w:r w:rsidRPr="00A85C28">
        <w:rPr>
          <w:rFonts w:eastAsia="Arial Unicode MS"/>
          <w:u w:color="000000"/>
          <w:bdr w:val="nil"/>
          <w:lang w:eastAsia="fr-FR"/>
        </w:rPr>
        <w:t>autres égards analogues justifient des différences de traitement.</w:t>
      </w:r>
    </w:p>
    <w:p w:rsidRPr="00A85C28" w:rsidR="004D2843" w:rsidP="00A85C28">
      <w:pPr>
        <w:pStyle w:val="ECHRPara"/>
        <w:rPr>
          <w:rFonts w:eastAsia="Arial Unicode MS"/>
          <w:u w:color="000000"/>
          <w:bdr w:val="nil"/>
          <w:lang w:eastAsia="fr-FR"/>
        </w:rPr>
      </w:pPr>
      <w:r w:rsidRPr="00A85C28">
        <w:rPr>
          <w:rFonts w:eastAsia="Arial Unicode MS"/>
          <w:u w:color="000000"/>
          <w:bdr w:val="nil"/>
          <w:lang w:eastAsia="fr-FR"/>
        </w:rPr>
        <w:fldChar w:fldCharType="begin"/>
      </w:r>
      <w:r w:rsidRPr="00A85C28">
        <w:rPr>
          <w:rFonts w:eastAsia="Arial Unicode MS"/>
          <w:u w:color="000000"/>
          <w:bdr w:val="nil"/>
          <w:lang w:eastAsia="fr-FR"/>
        </w:rPr>
        <w:instrText xml:space="preserve"> SEQ level0 \*arabic </w:instrText>
      </w:r>
      <w:r w:rsidRPr="00A85C28">
        <w:rPr>
          <w:rFonts w:eastAsia="Arial Unicode MS"/>
          <w:u w:color="000000"/>
          <w:bdr w:val="nil"/>
          <w:lang w:eastAsia="fr-FR"/>
        </w:rPr>
        <w:fldChar w:fldCharType="separate"/>
      </w:r>
      <w:r w:rsidRPr="00A85C28" w:rsidR="00A85C28">
        <w:rPr>
          <w:rFonts w:eastAsia="Arial Unicode MS"/>
          <w:noProof/>
          <w:u w:color="000000"/>
          <w:bdr w:val="nil"/>
          <w:lang w:eastAsia="fr-FR"/>
        </w:rPr>
        <w:t>85</w:t>
      </w:r>
      <w:r w:rsidRPr="00A85C28">
        <w:rPr>
          <w:rFonts w:eastAsia="Arial Unicode MS"/>
          <w:u w:color="000000"/>
          <w:bdr w:val="nil"/>
          <w:lang w:eastAsia="fr-FR"/>
        </w:rPr>
        <w:fldChar w:fldCharType="end"/>
      </w:r>
      <w:r w:rsidRPr="00A85C28">
        <w:rPr>
          <w:rFonts w:eastAsia="Arial Unicode MS"/>
          <w:u w:color="000000"/>
          <w:bdr w:val="nil"/>
          <w:lang w:eastAsia="fr-FR"/>
        </w:rPr>
        <w:t>.  En l</w:t>
      </w:r>
      <w:r w:rsidRPr="00A85C28" w:rsidR="00A85C28">
        <w:rPr>
          <w:rFonts w:eastAsia="Arial Unicode MS"/>
          <w:u w:color="000000"/>
          <w:bdr w:val="nil"/>
          <w:lang w:eastAsia="fr-FR"/>
        </w:rPr>
        <w:t>’</w:t>
      </w:r>
      <w:r w:rsidRPr="00A85C28">
        <w:rPr>
          <w:rFonts w:eastAsia="Arial Unicode MS"/>
          <w:u w:color="000000"/>
          <w:bdr w:val="nil"/>
          <w:lang w:eastAsia="fr-FR"/>
        </w:rPr>
        <w:t>espèce, à supposer que l</w:t>
      </w:r>
      <w:r w:rsidRPr="00A85C28" w:rsidR="00A85C28">
        <w:rPr>
          <w:rFonts w:eastAsia="Arial Unicode MS"/>
          <w:u w:color="000000"/>
          <w:bdr w:val="nil"/>
          <w:lang w:eastAsia="fr-FR"/>
        </w:rPr>
        <w:t>’</w:t>
      </w:r>
      <w:r w:rsidRPr="00A85C28">
        <w:rPr>
          <w:rFonts w:eastAsia="Arial Unicode MS"/>
          <w:u w:color="000000"/>
          <w:bdr w:val="nil"/>
          <w:lang w:eastAsia="fr-FR"/>
        </w:rPr>
        <w:t>on puisse considérer que les enfants français nés d</w:t>
      </w:r>
      <w:r w:rsidRPr="00A85C28" w:rsidR="00A85C28">
        <w:rPr>
          <w:rFonts w:eastAsia="Arial Unicode MS"/>
          <w:u w:color="000000"/>
          <w:bdr w:val="nil"/>
          <w:lang w:eastAsia="fr-FR"/>
        </w:rPr>
        <w:t>’</w:t>
      </w:r>
      <w:r w:rsidRPr="00A85C28">
        <w:rPr>
          <w:rFonts w:eastAsia="Arial Unicode MS"/>
          <w:u w:color="000000"/>
          <w:bdr w:val="nil"/>
          <w:lang w:eastAsia="fr-FR"/>
        </w:rPr>
        <w:t>une gestation pour autrui à l</w:t>
      </w:r>
      <w:r w:rsidRPr="00A85C28" w:rsidR="00A85C28">
        <w:rPr>
          <w:rFonts w:eastAsia="Arial Unicode MS"/>
          <w:u w:color="000000"/>
          <w:bdr w:val="nil"/>
          <w:lang w:eastAsia="fr-FR"/>
        </w:rPr>
        <w:t>’</w:t>
      </w:r>
      <w:r w:rsidRPr="00A85C28">
        <w:rPr>
          <w:rFonts w:eastAsia="Arial Unicode MS"/>
          <w:u w:color="000000"/>
          <w:bdr w:val="nil"/>
          <w:lang w:eastAsia="fr-FR"/>
        </w:rPr>
        <w:t>étranger et les autres enfants français nés à l</w:t>
      </w:r>
      <w:r w:rsidRPr="00A85C28" w:rsidR="00A85C28">
        <w:rPr>
          <w:rFonts w:eastAsia="Arial Unicode MS"/>
          <w:u w:color="000000"/>
          <w:bdr w:val="nil"/>
          <w:lang w:eastAsia="fr-FR"/>
        </w:rPr>
        <w:t>’</w:t>
      </w:r>
      <w:r w:rsidRPr="00A85C28">
        <w:rPr>
          <w:rFonts w:eastAsia="Arial Unicode MS"/>
          <w:u w:color="000000"/>
          <w:bdr w:val="nil"/>
          <w:lang w:eastAsia="fr-FR"/>
        </w:rPr>
        <w:t>étranger se trouvent dans des situations analogues ou comparables quant à leur filiation maternelle, la différence de traitement dont il est question ne tient pas à ce qu</w:t>
      </w:r>
      <w:r w:rsidRPr="00A85C28" w:rsidR="00A85C28">
        <w:rPr>
          <w:rFonts w:eastAsia="Arial Unicode MS"/>
          <w:u w:color="000000"/>
          <w:bdr w:val="nil"/>
          <w:lang w:eastAsia="fr-FR"/>
        </w:rPr>
        <w:t>’</w:t>
      </w:r>
      <w:r w:rsidRPr="00A85C28">
        <w:rPr>
          <w:rFonts w:eastAsia="Arial Unicode MS"/>
          <w:u w:color="000000"/>
          <w:bdr w:val="nil"/>
          <w:lang w:eastAsia="fr-FR"/>
        </w:rPr>
        <w:t>à l</w:t>
      </w:r>
      <w:r w:rsidRPr="00A85C28" w:rsidR="00A85C28">
        <w:rPr>
          <w:rFonts w:eastAsia="Arial Unicode MS"/>
          <w:u w:color="000000"/>
          <w:bdr w:val="nil"/>
          <w:lang w:eastAsia="fr-FR"/>
        </w:rPr>
        <w:t>’</w:t>
      </w:r>
      <w:r w:rsidRPr="00A85C28">
        <w:rPr>
          <w:rFonts w:eastAsia="Arial Unicode MS"/>
          <w:u w:color="000000"/>
          <w:bdr w:val="nil"/>
          <w:lang w:eastAsia="fr-FR"/>
        </w:rPr>
        <w:t>inverse des seconds, les premiers ne pourraient obtenir la reconnaissance en droit interne d</w:t>
      </w:r>
      <w:r w:rsidRPr="00A85C28" w:rsidR="00A85C28">
        <w:rPr>
          <w:rFonts w:eastAsia="Arial Unicode MS"/>
          <w:u w:color="000000"/>
          <w:bdr w:val="nil"/>
          <w:lang w:eastAsia="fr-FR"/>
        </w:rPr>
        <w:t>’</w:t>
      </w:r>
      <w:r w:rsidRPr="00A85C28">
        <w:rPr>
          <w:rFonts w:eastAsia="Arial Unicode MS"/>
          <w:u w:color="000000"/>
          <w:bdr w:val="nil"/>
          <w:lang w:eastAsia="fr-FR"/>
        </w:rPr>
        <w:t>un lien de filiation à l</w:t>
      </w:r>
      <w:r w:rsidRPr="00A85C28" w:rsidR="00A85C28">
        <w:rPr>
          <w:rFonts w:eastAsia="Arial Unicode MS"/>
          <w:u w:color="000000"/>
          <w:bdr w:val="nil"/>
          <w:lang w:eastAsia="fr-FR"/>
        </w:rPr>
        <w:t>’</w:t>
      </w:r>
      <w:r w:rsidRPr="00A85C28">
        <w:rPr>
          <w:rFonts w:eastAsia="Arial Unicode MS"/>
          <w:u w:color="000000"/>
          <w:bdr w:val="nil"/>
          <w:lang w:eastAsia="fr-FR"/>
        </w:rPr>
        <w:t>égard de celle dont le nom figure sur l</w:t>
      </w:r>
      <w:r w:rsidRPr="00A85C28" w:rsidR="00A85C28">
        <w:rPr>
          <w:rFonts w:eastAsia="Arial Unicode MS"/>
          <w:u w:color="000000"/>
          <w:bdr w:val="nil"/>
          <w:lang w:eastAsia="fr-FR"/>
        </w:rPr>
        <w:t>’</w:t>
      </w:r>
      <w:r w:rsidRPr="00A85C28">
        <w:rPr>
          <w:rFonts w:eastAsia="Arial Unicode MS"/>
          <w:u w:color="000000"/>
          <w:bdr w:val="nil"/>
          <w:lang w:eastAsia="fr-FR"/>
        </w:rPr>
        <w:t>acte de naissance étranger. Cette différence consiste en ce qu</w:t>
      </w:r>
      <w:r w:rsidRPr="00A85C28" w:rsidR="00A85C28">
        <w:rPr>
          <w:rFonts w:eastAsia="Arial Unicode MS"/>
          <w:u w:color="000000"/>
          <w:bdr w:val="nil"/>
          <w:lang w:eastAsia="fr-FR"/>
        </w:rPr>
        <w:t>’</w:t>
      </w:r>
      <w:r w:rsidRPr="00A85C28">
        <w:rPr>
          <w:rFonts w:eastAsia="Arial Unicode MS"/>
          <w:u w:color="000000"/>
          <w:bdr w:val="nil"/>
          <w:lang w:eastAsia="fr-FR"/>
        </w:rPr>
        <w:t>à l</w:t>
      </w:r>
      <w:r w:rsidRPr="00A85C28" w:rsidR="00A85C28">
        <w:rPr>
          <w:rFonts w:eastAsia="Arial Unicode MS"/>
          <w:u w:color="000000"/>
          <w:bdr w:val="nil"/>
          <w:lang w:eastAsia="fr-FR"/>
        </w:rPr>
        <w:t>’</w:t>
      </w:r>
      <w:r w:rsidRPr="00A85C28">
        <w:rPr>
          <w:rFonts w:eastAsia="Arial Unicode MS"/>
          <w:u w:color="000000"/>
          <w:bdr w:val="nil"/>
          <w:lang w:eastAsia="fr-FR"/>
        </w:rPr>
        <w:t>époque des faits de la cause, contrairement aux seconds, ils ne pouvaient à cette fin obtenir la transcription intégrale de l</w:t>
      </w:r>
      <w:r w:rsidRPr="00A85C28" w:rsidR="00A85C28">
        <w:rPr>
          <w:rFonts w:eastAsia="Arial Unicode MS"/>
          <w:u w:color="000000"/>
          <w:bdr w:val="nil"/>
          <w:lang w:eastAsia="fr-FR"/>
        </w:rPr>
        <w:t>’</w:t>
      </w:r>
      <w:r w:rsidRPr="00A85C28">
        <w:rPr>
          <w:rFonts w:eastAsia="Arial Unicode MS"/>
          <w:u w:color="000000"/>
          <w:bdr w:val="nil"/>
          <w:lang w:eastAsia="fr-FR"/>
        </w:rPr>
        <w:t>acte de naissance étranger et devaient passer par la voie de l</w:t>
      </w:r>
      <w:r w:rsidRPr="00A85C28" w:rsidR="00A85C28">
        <w:rPr>
          <w:rFonts w:eastAsia="Arial Unicode MS"/>
          <w:u w:color="000000"/>
          <w:bdr w:val="nil"/>
          <w:lang w:eastAsia="fr-FR"/>
        </w:rPr>
        <w:t>’</w:t>
      </w:r>
      <w:r w:rsidRPr="00A85C28">
        <w:rPr>
          <w:rFonts w:eastAsia="Arial Unicode MS"/>
          <w:u w:color="000000"/>
          <w:bdr w:val="nil"/>
          <w:lang w:eastAsia="fr-FR"/>
        </w:rPr>
        <w:t>adoption s</w:t>
      </w:r>
      <w:r w:rsidRPr="00A85C28" w:rsidR="00A85C28">
        <w:rPr>
          <w:rFonts w:eastAsia="Arial Unicode MS"/>
          <w:u w:color="000000"/>
          <w:bdr w:val="nil"/>
          <w:lang w:eastAsia="fr-FR"/>
        </w:rPr>
        <w:t>’</w:t>
      </w:r>
      <w:r w:rsidRPr="00A85C28">
        <w:rPr>
          <w:rFonts w:eastAsia="Arial Unicode MS"/>
          <w:u w:color="000000"/>
          <w:bdr w:val="nil"/>
          <w:lang w:eastAsia="fr-FR"/>
        </w:rPr>
        <w:t>agissant de leur filiation maternelle. Or, comme l</w:t>
      </w:r>
      <w:r w:rsidRPr="00A85C28" w:rsidR="00A85C28">
        <w:rPr>
          <w:rFonts w:eastAsia="Arial Unicode MS"/>
          <w:u w:color="000000"/>
          <w:bdr w:val="nil"/>
          <w:lang w:eastAsia="fr-FR"/>
        </w:rPr>
        <w:t>’</w:t>
      </w:r>
      <w:r w:rsidRPr="00A85C28">
        <w:rPr>
          <w:rFonts w:eastAsia="Arial Unicode MS"/>
          <w:u w:color="000000"/>
          <w:bdr w:val="nil"/>
          <w:lang w:eastAsia="fr-FR"/>
        </w:rPr>
        <w:t>a souligné la Cour précédemment, l</w:t>
      </w:r>
      <w:r w:rsidRPr="00A85C28" w:rsidR="00A85C28">
        <w:rPr>
          <w:rFonts w:eastAsia="Arial Unicode MS"/>
          <w:u w:color="000000"/>
          <w:bdr w:val="nil"/>
          <w:lang w:eastAsia="fr-FR"/>
        </w:rPr>
        <w:t>’</w:t>
      </w:r>
      <w:r w:rsidRPr="00A85C28">
        <w:rPr>
          <w:rFonts w:eastAsia="Arial Unicode MS"/>
          <w:u w:color="000000"/>
          <w:bdr w:val="nil"/>
          <w:lang w:eastAsia="fr-FR"/>
        </w:rPr>
        <w:t>adoption de l</w:t>
      </w:r>
      <w:r w:rsidRPr="00A85C28" w:rsidR="00A85C28">
        <w:rPr>
          <w:rFonts w:eastAsia="Arial Unicode MS"/>
          <w:u w:color="000000"/>
          <w:bdr w:val="nil"/>
          <w:lang w:eastAsia="fr-FR"/>
        </w:rPr>
        <w:t>’</w:t>
      </w:r>
      <w:r w:rsidRPr="00A85C28">
        <w:rPr>
          <w:rFonts w:eastAsia="Arial Unicode MS"/>
          <w:u w:color="000000"/>
          <w:bdr w:val="nil"/>
          <w:lang w:eastAsia="fr-FR"/>
        </w:rPr>
        <w:t>enfant du conjoint constitue en l</w:t>
      </w:r>
      <w:r w:rsidRPr="00A85C28" w:rsidR="00A85C28">
        <w:rPr>
          <w:rFonts w:eastAsia="Arial Unicode MS"/>
          <w:u w:color="000000"/>
          <w:bdr w:val="nil"/>
          <w:lang w:eastAsia="fr-FR"/>
        </w:rPr>
        <w:t>’</w:t>
      </w:r>
      <w:r w:rsidRPr="00A85C28">
        <w:rPr>
          <w:rFonts w:eastAsia="Arial Unicode MS"/>
          <w:u w:color="000000"/>
          <w:bdr w:val="nil"/>
          <w:lang w:eastAsia="fr-FR"/>
        </w:rPr>
        <w:t xml:space="preserve">espèce un mécanisme effectif permettant la reconnaissance du lien de filiation entre </w:t>
      </w:r>
      <w:r w:rsidRPr="00A85C28">
        <w:rPr>
          <w:rFonts w:eastAsia="Arial Unicode MS"/>
          <w:u w:color="000000"/>
          <w:bdr w:val="nil"/>
          <w:lang w:eastAsia="fr-FR"/>
        </w:rPr>
        <w:t>les première</w:t>
      </w:r>
      <w:r w:rsidRPr="00A85C28">
        <w:rPr>
          <w:rFonts w:eastAsia="Arial Unicode MS"/>
          <w:u w:color="000000"/>
          <w:bdr w:val="nil"/>
          <w:lang w:eastAsia="fr-FR"/>
        </w:rPr>
        <w:t xml:space="preserve"> et troisième requérantes (paragraphe 70 ci-dessus).</w:t>
      </w:r>
    </w:p>
    <w:p w:rsidRPr="00A85C28" w:rsidR="004D2843" w:rsidP="00A85C28">
      <w:pPr>
        <w:pStyle w:val="ECHRPara"/>
        <w:rPr>
          <w:rFonts w:eastAsia="Arial Unicode MS"/>
          <w:u w:color="000000"/>
          <w:bdr w:val="nil"/>
          <w:lang w:eastAsia="fr-FR"/>
        </w:rPr>
      </w:pPr>
      <w:r w:rsidRPr="00A85C28">
        <w:rPr>
          <w:rFonts w:eastAsia="Arial Unicode MS"/>
          <w:u w:color="000000"/>
          <w:bdr w:val="nil"/>
          <w:lang w:eastAsia="fr-FR"/>
        </w:rPr>
        <w:fldChar w:fldCharType="begin"/>
      </w:r>
      <w:r w:rsidRPr="00A85C28">
        <w:rPr>
          <w:rFonts w:eastAsia="Arial Unicode MS"/>
          <w:u w:color="000000"/>
          <w:bdr w:val="nil"/>
          <w:lang w:eastAsia="fr-FR"/>
        </w:rPr>
        <w:instrText xml:space="preserve"> SEQ level0 \*arabic </w:instrText>
      </w:r>
      <w:r w:rsidRPr="00A85C28">
        <w:rPr>
          <w:rFonts w:eastAsia="Arial Unicode MS"/>
          <w:u w:color="000000"/>
          <w:bdr w:val="nil"/>
          <w:lang w:eastAsia="fr-FR"/>
        </w:rPr>
        <w:fldChar w:fldCharType="separate"/>
      </w:r>
      <w:r w:rsidRPr="00A85C28" w:rsidR="00A85C28">
        <w:rPr>
          <w:rFonts w:eastAsia="Arial Unicode MS"/>
          <w:noProof/>
          <w:u w:color="000000"/>
          <w:bdr w:val="nil"/>
          <w:lang w:eastAsia="fr-FR"/>
        </w:rPr>
        <w:t>86</w:t>
      </w:r>
      <w:r w:rsidRPr="00A85C28">
        <w:rPr>
          <w:rFonts w:eastAsia="Arial Unicode MS"/>
          <w:u w:color="000000"/>
          <w:bdr w:val="nil"/>
          <w:lang w:eastAsia="fr-FR"/>
        </w:rPr>
        <w:fldChar w:fldCharType="end"/>
      </w:r>
      <w:r w:rsidRPr="00A85C28">
        <w:rPr>
          <w:rFonts w:eastAsia="Arial Unicode MS"/>
          <w:u w:color="000000"/>
          <w:bdr w:val="nil"/>
          <w:lang w:eastAsia="fr-FR"/>
        </w:rPr>
        <w:t>.  Ceci étant souligné, il ressort des explications du Gouvernement que cette différence de traitement quant aux modalités d</w:t>
      </w:r>
      <w:r w:rsidRPr="00A85C28" w:rsidR="00A85C28">
        <w:rPr>
          <w:rFonts w:eastAsia="Arial Unicode MS"/>
          <w:u w:color="000000"/>
          <w:bdr w:val="nil"/>
          <w:lang w:eastAsia="fr-FR"/>
        </w:rPr>
        <w:t>’</w:t>
      </w:r>
      <w:r w:rsidRPr="00A85C28">
        <w:rPr>
          <w:rFonts w:eastAsia="Arial Unicode MS"/>
          <w:u w:color="000000"/>
          <w:bdr w:val="nil"/>
          <w:lang w:eastAsia="fr-FR"/>
        </w:rPr>
        <w:t>établissement du lien maternel de filiation visait, en ce qu</w:t>
      </w:r>
      <w:r w:rsidRPr="00A85C28" w:rsidR="00A85C28">
        <w:rPr>
          <w:rFonts w:eastAsia="Arial Unicode MS"/>
          <w:u w:color="000000"/>
          <w:bdr w:val="nil"/>
          <w:lang w:eastAsia="fr-FR"/>
        </w:rPr>
        <w:t>’</w:t>
      </w:r>
      <w:r w:rsidRPr="00A85C28">
        <w:rPr>
          <w:rFonts w:eastAsia="Arial Unicode MS"/>
          <w:u w:color="000000"/>
          <w:bdr w:val="nil"/>
          <w:lang w:eastAsia="fr-FR"/>
        </w:rPr>
        <w:t>elle induisait un contrôle juridictionnel, à s</w:t>
      </w:r>
      <w:r w:rsidRPr="00A85C28" w:rsidR="00A85C28">
        <w:rPr>
          <w:rFonts w:eastAsia="Arial Unicode MS"/>
          <w:u w:color="000000"/>
          <w:bdr w:val="nil"/>
          <w:lang w:eastAsia="fr-FR"/>
        </w:rPr>
        <w:t>’</w:t>
      </w:r>
      <w:r w:rsidRPr="00A85C28">
        <w:rPr>
          <w:rFonts w:eastAsia="Arial Unicode MS"/>
          <w:u w:color="000000"/>
          <w:bdr w:val="nil"/>
          <w:lang w:eastAsia="fr-FR"/>
        </w:rPr>
        <w:t>assurer au regard des circonstances particulières de chaque cas qu</w:t>
      </w:r>
      <w:r w:rsidRPr="00A85C28" w:rsidR="00A85C28">
        <w:rPr>
          <w:rFonts w:eastAsia="Arial Unicode MS"/>
          <w:u w:color="000000"/>
          <w:bdr w:val="nil"/>
          <w:lang w:eastAsia="fr-FR"/>
        </w:rPr>
        <w:t>’</w:t>
      </w:r>
      <w:r w:rsidRPr="00A85C28">
        <w:rPr>
          <w:rFonts w:eastAsia="Arial Unicode MS"/>
          <w:u w:color="000000"/>
          <w:bdr w:val="nil"/>
          <w:lang w:eastAsia="fr-FR"/>
        </w:rPr>
        <w:t>il était dans l</w:t>
      </w:r>
      <w:r w:rsidRPr="00A85C28" w:rsidR="00A85C28">
        <w:rPr>
          <w:rFonts w:eastAsia="Arial Unicode MS"/>
          <w:u w:color="000000"/>
          <w:bdr w:val="nil"/>
          <w:lang w:eastAsia="fr-FR"/>
        </w:rPr>
        <w:t>’</w:t>
      </w:r>
      <w:r w:rsidRPr="00A85C28">
        <w:rPr>
          <w:rFonts w:eastAsia="Arial Unicode MS"/>
          <w:u w:color="000000"/>
          <w:bdr w:val="nil"/>
          <w:lang w:eastAsia="fr-FR"/>
        </w:rPr>
        <w:t>intérêt supérieur de l</w:t>
      </w:r>
      <w:r w:rsidRPr="00A85C28" w:rsidR="00A85C28">
        <w:rPr>
          <w:rFonts w:eastAsia="Arial Unicode MS"/>
          <w:u w:color="000000"/>
          <w:bdr w:val="nil"/>
          <w:lang w:eastAsia="fr-FR"/>
        </w:rPr>
        <w:t>’</w:t>
      </w:r>
      <w:r w:rsidRPr="00A85C28">
        <w:rPr>
          <w:rFonts w:eastAsia="Arial Unicode MS"/>
          <w:u w:color="000000"/>
          <w:bdr w:val="nil"/>
          <w:lang w:eastAsia="fr-FR"/>
        </w:rPr>
        <w:t>enfant né d</w:t>
      </w:r>
      <w:r w:rsidRPr="00A85C28" w:rsidR="00A85C28">
        <w:rPr>
          <w:rFonts w:eastAsia="Arial Unicode MS"/>
          <w:u w:color="000000"/>
          <w:bdr w:val="nil"/>
          <w:lang w:eastAsia="fr-FR"/>
        </w:rPr>
        <w:t>’</w:t>
      </w:r>
      <w:r w:rsidRPr="00A85C28">
        <w:rPr>
          <w:rFonts w:eastAsia="Arial Unicode MS"/>
          <w:u w:color="000000"/>
          <w:bdr w:val="nil"/>
          <w:lang w:eastAsia="fr-FR"/>
        </w:rPr>
        <w:t>une gestation pour autrui qu</w:t>
      </w:r>
      <w:r w:rsidRPr="00A85C28" w:rsidR="00A85C28">
        <w:rPr>
          <w:rFonts w:eastAsia="Arial Unicode MS"/>
          <w:u w:color="000000"/>
          <w:bdr w:val="nil"/>
          <w:lang w:eastAsia="fr-FR"/>
        </w:rPr>
        <w:t>’</w:t>
      </w:r>
      <w:r w:rsidRPr="00A85C28">
        <w:rPr>
          <w:rFonts w:eastAsia="Arial Unicode MS"/>
          <w:u w:color="000000"/>
          <w:bdr w:val="nil"/>
          <w:lang w:eastAsia="fr-FR"/>
        </w:rPr>
        <w:t>un tel lien soit établi à l</w:t>
      </w:r>
      <w:r w:rsidRPr="00A85C28" w:rsidR="00A85C28">
        <w:rPr>
          <w:rFonts w:eastAsia="Arial Unicode MS"/>
          <w:u w:color="000000"/>
          <w:bdr w:val="nil"/>
          <w:lang w:eastAsia="fr-FR"/>
        </w:rPr>
        <w:t>’</w:t>
      </w:r>
      <w:r w:rsidRPr="00A85C28">
        <w:rPr>
          <w:rFonts w:eastAsia="Arial Unicode MS"/>
          <w:u w:color="000000"/>
          <w:bdr w:val="nil"/>
          <w:lang w:eastAsia="fr-FR"/>
        </w:rPr>
        <w:t>égard de la mère d</w:t>
      </w:r>
      <w:r w:rsidRPr="00A85C28" w:rsidR="00A85C28">
        <w:rPr>
          <w:rFonts w:eastAsia="Arial Unicode MS"/>
          <w:u w:color="000000"/>
          <w:bdr w:val="nil"/>
          <w:lang w:eastAsia="fr-FR"/>
        </w:rPr>
        <w:t>’</w:t>
      </w:r>
      <w:r w:rsidRPr="00A85C28">
        <w:rPr>
          <w:rFonts w:eastAsia="Arial Unicode MS"/>
          <w:u w:color="000000"/>
          <w:bdr w:val="nil"/>
          <w:lang w:eastAsia="fr-FR"/>
        </w:rPr>
        <w:t>intention.</w:t>
      </w:r>
    </w:p>
    <w:p w:rsidRPr="00A85C28" w:rsidR="004D2843" w:rsidP="00A85C28">
      <w:pPr>
        <w:pStyle w:val="ECHRPara"/>
        <w:rPr>
          <w:rFonts w:eastAsia="Arial Unicode MS"/>
          <w:u w:color="000000"/>
          <w:bdr w:val="nil"/>
          <w:lang w:eastAsia="fr-FR"/>
        </w:rPr>
      </w:pPr>
      <w:r w:rsidRPr="00A85C28">
        <w:rPr>
          <w:rFonts w:eastAsia="Arial Unicode MS"/>
          <w:u w:color="000000"/>
          <w:bdr w:val="nil"/>
          <w:lang w:eastAsia="fr-FR"/>
        </w:rPr>
        <w:fldChar w:fldCharType="begin"/>
      </w:r>
      <w:r w:rsidRPr="00A85C28">
        <w:rPr>
          <w:rFonts w:eastAsia="Arial Unicode MS"/>
          <w:u w:color="000000"/>
          <w:bdr w:val="nil"/>
          <w:lang w:eastAsia="fr-FR"/>
        </w:rPr>
        <w:instrText xml:space="preserve"> SEQ level0 \*arabic </w:instrText>
      </w:r>
      <w:r w:rsidRPr="00A85C28">
        <w:rPr>
          <w:rFonts w:eastAsia="Arial Unicode MS"/>
          <w:u w:color="000000"/>
          <w:bdr w:val="nil"/>
          <w:lang w:eastAsia="fr-FR"/>
        </w:rPr>
        <w:fldChar w:fldCharType="separate"/>
      </w:r>
      <w:r w:rsidRPr="00A85C28" w:rsidR="00A85C28">
        <w:rPr>
          <w:rFonts w:eastAsia="Arial Unicode MS"/>
          <w:noProof/>
          <w:u w:color="000000"/>
          <w:bdr w:val="nil"/>
          <w:lang w:eastAsia="fr-FR"/>
        </w:rPr>
        <w:t>87</w:t>
      </w:r>
      <w:r w:rsidRPr="00A85C28">
        <w:rPr>
          <w:rFonts w:eastAsia="Arial Unicode MS"/>
          <w:u w:color="000000"/>
          <w:bdr w:val="nil"/>
          <w:lang w:eastAsia="fr-FR"/>
        </w:rPr>
        <w:fldChar w:fldCharType="end"/>
      </w:r>
      <w:r w:rsidRPr="00A85C28">
        <w:rPr>
          <w:rFonts w:eastAsia="Arial Unicode MS"/>
          <w:u w:color="000000"/>
          <w:bdr w:val="nil"/>
          <w:lang w:eastAsia="fr-FR"/>
        </w:rPr>
        <w:t>.  Le choix qui était celui du droit positif français à l</w:t>
      </w:r>
      <w:r w:rsidRPr="00A85C28" w:rsidR="00A85C28">
        <w:rPr>
          <w:rFonts w:eastAsia="Arial Unicode MS"/>
          <w:u w:color="000000"/>
          <w:bdr w:val="nil"/>
          <w:lang w:eastAsia="fr-FR"/>
        </w:rPr>
        <w:t>’</w:t>
      </w:r>
      <w:r w:rsidRPr="00A85C28">
        <w:rPr>
          <w:rFonts w:eastAsia="Arial Unicode MS"/>
          <w:u w:color="000000"/>
          <w:bdr w:val="nil"/>
          <w:lang w:eastAsia="fr-FR"/>
        </w:rPr>
        <w:t>époque des faits de la cause d</w:t>
      </w:r>
      <w:r w:rsidRPr="00A85C28" w:rsidR="00A85C28">
        <w:rPr>
          <w:rFonts w:eastAsia="Arial Unicode MS"/>
          <w:u w:color="000000"/>
          <w:bdr w:val="nil"/>
          <w:lang w:eastAsia="fr-FR"/>
        </w:rPr>
        <w:t>’</w:t>
      </w:r>
      <w:r w:rsidRPr="00A85C28">
        <w:rPr>
          <w:rFonts w:eastAsia="Arial Unicode MS"/>
          <w:u w:color="000000"/>
          <w:bdr w:val="nil"/>
          <w:lang w:eastAsia="fr-FR"/>
        </w:rPr>
        <w:t>imposer un tel examen judiciaire s</w:t>
      </w:r>
      <w:r w:rsidRPr="00A85C28" w:rsidR="00A85C28">
        <w:rPr>
          <w:rFonts w:eastAsia="Arial Unicode MS"/>
          <w:u w:color="000000"/>
          <w:bdr w:val="nil"/>
          <w:lang w:eastAsia="fr-FR"/>
        </w:rPr>
        <w:t>’</w:t>
      </w:r>
      <w:r w:rsidRPr="00A85C28">
        <w:rPr>
          <w:rFonts w:eastAsia="Arial Unicode MS"/>
          <w:u w:color="000000"/>
          <w:bdr w:val="nil"/>
          <w:lang w:eastAsia="fr-FR"/>
        </w:rPr>
        <w:t>expliquait ainsi par la volonté de limiter les risques que la gestation pour autrui peut engendrer, notamment pour l</w:t>
      </w:r>
      <w:r w:rsidRPr="00A85C28" w:rsidR="00A85C28">
        <w:rPr>
          <w:rFonts w:eastAsia="Arial Unicode MS"/>
          <w:u w:color="000000"/>
          <w:bdr w:val="nil"/>
          <w:lang w:eastAsia="fr-FR"/>
        </w:rPr>
        <w:t>’</w:t>
      </w:r>
      <w:r w:rsidRPr="00A85C28">
        <w:rPr>
          <w:rFonts w:eastAsia="Arial Unicode MS"/>
          <w:u w:color="000000"/>
          <w:bdr w:val="nil"/>
          <w:lang w:eastAsia="fr-FR"/>
        </w:rPr>
        <w:t>enfant, lorsqu</w:t>
      </w:r>
      <w:r w:rsidRPr="00A85C28" w:rsidR="00A85C28">
        <w:rPr>
          <w:rFonts w:eastAsia="Arial Unicode MS"/>
          <w:u w:color="000000"/>
          <w:bdr w:val="nil"/>
          <w:lang w:eastAsia="fr-FR"/>
        </w:rPr>
        <w:t>’</w:t>
      </w:r>
      <w:r w:rsidRPr="00A85C28">
        <w:rPr>
          <w:rFonts w:eastAsia="Arial Unicode MS"/>
          <w:u w:color="000000"/>
          <w:bdr w:val="nil"/>
          <w:lang w:eastAsia="fr-FR"/>
        </w:rPr>
        <w:t>elle est pratiquée à l</w:t>
      </w:r>
      <w:r w:rsidRPr="00A85C28" w:rsidR="00A85C28">
        <w:rPr>
          <w:rFonts w:eastAsia="Arial Unicode MS"/>
          <w:u w:color="000000"/>
          <w:bdr w:val="nil"/>
          <w:lang w:eastAsia="fr-FR"/>
        </w:rPr>
        <w:t>’</w:t>
      </w:r>
      <w:r w:rsidRPr="00A85C28">
        <w:rPr>
          <w:rFonts w:eastAsia="Arial Unicode MS"/>
          <w:u w:color="000000"/>
          <w:bdr w:val="nil"/>
          <w:lang w:eastAsia="fr-FR"/>
        </w:rPr>
        <w:t>étranger par des ressortissants d</w:t>
      </w:r>
      <w:r w:rsidRPr="00A85C28" w:rsidR="00A85C28">
        <w:rPr>
          <w:rFonts w:eastAsia="Arial Unicode MS"/>
          <w:u w:color="000000"/>
          <w:bdr w:val="nil"/>
          <w:lang w:eastAsia="fr-FR"/>
        </w:rPr>
        <w:t>’</w:t>
      </w:r>
      <w:r w:rsidRPr="00A85C28">
        <w:rPr>
          <w:rFonts w:eastAsia="Arial Unicode MS"/>
          <w:u w:color="000000"/>
          <w:bdr w:val="nil"/>
          <w:lang w:eastAsia="fr-FR"/>
        </w:rPr>
        <w:t>un pays où elle n</w:t>
      </w:r>
      <w:r w:rsidRPr="00A85C28" w:rsidR="00A85C28">
        <w:rPr>
          <w:rFonts w:eastAsia="Arial Unicode MS"/>
          <w:u w:color="000000"/>
          <w:bdr w:val="nil"/>
          <w:lang w:eastAsia="fr-FR"/>
        </w:rPr>
        <w:t>’</w:t>
      </w:r>
      <w:r w:rsidRPr="00A85C28">
        <w:rPr>
          <w:rFonts w:eastAsia="Arial Unicode MS"/>
          <w:u w:color="000000"/>
          <w:bdr w:val="nil"/>
          <w:lang w:eastAsia="fr-FR"/>
        </w:rPr>
        <w:t>est pas autorisée.</w:t>
      </w:r>
    </w:p>
    <w:p w:rsidRPr="00A85C28" w:rsidR="004D2843" w:rsidP="00A85C28">
      <w:pPr>
        <w:pStyle w:val="ECHRPara"/>
        <w:rPr>
          <w:rFonts w:eastAsia="Arial Unicode MS"/>
          <w:u w:color="000000"/>
          <w:bdr w:val="nil"/>
          <w:lang w:eastAsia="fr-FR"/>
        </w:rPr>
      </w:pPr>
      <w:r w:rsidRPr="00A85C28">
        <w:rPr>
          <w:rFonts w:eastAsia="Arial Unicode MS"/>
          <w:u w:color="000000"/>
          <w:bdr w:val="nil"/>
          <w:lang w:eastAsia="fr-FR"/>
        </w:rPr>
        <w:fldChar w:fldCharType="begin"/>
      </w:r>
      <w:r w:rsidRPr="00A85C28">
        <w:rPr>
          <w:rFonts w:eastAsia="Arial Unicode MS"/>
          <w:u w:color="000000"/>
          <w:bdr w:val="nil"/>
          <w:lang w:eastAsia="fr-FR"/>
        </w:rPr>
        <w:instrText xml:space="preserve"> SEQ level0 \*arabic </w:instrText>
      </w:r>
      <w:r w:rsidRPr="00A85C28">
        <w:rPr>
          <w:rFonts w:eastAsia="Arial Unicode MS"/>
          <w:u w:color="000000"/>
          <w:bdr w:val="nil"/>
          <w:lang w:eastAsia="fr-FR"/>
        </w:rPr>
        <w:fldChar w:fldCharType="separate"/>
      </w:r>
      <w:r w:rsidRPr="00A85C28" w:rsidR="00A85C28">
        <w:rPr>
          <w:rFonts w:eastAsia="Arial Unicode MS"/>
          <w:noProof/>
          <w:u w:color="000000"/>
          <w:bdr w:val="nil"/>
          <w:lang w:eastAsia="fr-FR"/>
        </w:rPr>
        <w:t>88</w:t>
      </w:r>
      <w:r w:rsidRPr="00A85C28">
        <w:rPr>
          <w:rFonts w:eastAsia="Arial Unicode MS"/>
          <w:u w:color="000000"/>
          <w:bdr w:val="nil"/>
          <w:lang w:eastAsia="fr-FR"/>
        </w:rPr>
        <w:fldChar w:fldCharType="end"/>
      </w:r>
      <w:r w:rsidRPr="00A85C28">
        <w:rPr>
          <w:rFonts w:eastAsia="Arial Unicode MS"/>
          <w:u w:color="000000"/>
          <w:bdr w:val="nil"/>
          <w:lang w:eastAsia="fr-FR"/>
        </w:rPr>
        <w:t>.  La Cour, qui, comme il se doit, se prononce uniquement à l</w:t>
      </w:r>
      <w:r w:rsidRPr="00A85C28" w:rsidR="00A85C28">
        <w:rPr>
          <w:rFonts w:eastAsia="Arial Unicode MS"/>
          <w:u w:color="000000"/>
          <w:bdr w:val="nil"/>
          <w:lang w:eastAsia="fr-FR"/>
        </w:rPr>
        <w:t>’</w:t>
      </w:r>
      <w:r w:rsidRPr="00A85C28">
        <w:rPr>
          <w:rFonts w:eastAsia="Arial Unicode MS"/>
          <w:u w:color="000000"/>
          <w:bdr w:val="nil"/>
          <w:lang w:eastAsia="fr-FR"/>
        </w:rPr>
        <w:t>aune des éléments de comparaison évoqués par les requérants, admet donc que la différence de traitement qu</w:t>
      </w:r>
      <w:r w:rsidRPr="00A85C28" w:rsidR="00A85C28">
        <w:rPr>
          <w:rFonts w:eastAsia="Arial Unicode MS"/>
          <w:u w:color="000000"/>
          <w:bdr w:val="nil"/>
          <w:lang w:eastAsia="fr-FR"/>
        </w:rPr>
        <w:t>’</w:t>
      </w:r>
      <w:r w:rsidRPr="00A85C28">
        <w:rPr>
          <w:rFonts w:eastAsia="Arial Unicode MS"/>
          <w:u w:color="000000"/>
          <w:bdr w:val="nil"/>
          <w:lang w:eastAsia="fr-FR"/>
        </w:rPr>
        <w:t>ils dénoncent entre les enfants français qui, telle la troisième requérante, sont nés à l</w:t>
      </w:r>
      <w:r w:rsidRPr="00A85C28" w:rsidR="00A85C28">
        <w:rPr>
          <w:rFonts w:eastAsia="Arial Unicode MS"/>
          <w:u w:color="000000"/>
          <w:bdr w:val="nil"/>
          <w:lang w:eastAsia="fr-FR"/>
        </w:rPr>
        <w:t>’</w:t>
      </w:r>
      <w:r w:rsidRPr="00A85C28">
        <w:rPr>
          <w:rFonts w:eastAsia="Arial Unicode MS"/>
          <w:u w:color="000000"/>
          <w:bdr w:val="nil"/>
          <w:lang w:eastAsia="fr-FR"/>
        </w:rPr>
        <w:t>étranger d</w:t>
      </w:r>
      <w:r w:rsidRPr="00A85C28" w:rsidR="00A85C28">
        <w:rPr>
          <w:rFonts w:eastAsia="Arial Unicode MS"/>
          <w:u w:color="000000"/>
          <w:bdr w:val="nil"/>
          <w:lang w:eastAsia="fr-FR"/>
        </w:rPr>
        <w:t>’</w:t>
      </w:r>
      <w:r w:rsidRPr="00A85C28">
        <w:rPr>
          <w:rFonts w:eastAsia="Arial Unicode MS"/>
          <w:u w:color="000000"/>
          <w:bdr w:val="nil"/>
          <w:lang w:eastAsia="fr-FR"/>
        </w:rPr>
        <w:t>une gestation pour autrui, et les autres enfants français nés à l</w:t>
      </w:r>
      <w:r w:rsidRPr="00A85C28" w:rsidR="00A85C28">
        <w:rPr>
          <w:rFonts w:eastAsia="Arial Unicode MS"/>
          <w:u w:color="000000"/>
          <w:bdr w:val="nil"/>
          <w:lang w:eastAsia="fr-FR"/>
        </w:rPr>
        <w:t>’</w:t>
      </w:r>
      <w:r w:rsidRPr="00A85C28">
        <w:rPr>
          <w:rFonts w:eastAsia="Arial Unicode MS"/>
          <w:u w:color="000000"/>
          <w:bdr w:val="nil"/>
          <w:lang w:eastAsia="fr-FR"/>
        </w:rPr>
        <w:t xml:space="preserve">étranger quant aux modalités de la </w:t>
      </w:r>
      <w:r w:rsidRPr="00A85C28">
        <w:rPr>
          <w:rFonts w:eastAsia="Arial Unicode MS"/>
          <w:u w:color="000000"/>
          <w:bdr w:val="nil"/>
          <w:lang w:eastAsia="fr-FR"/>
        </w:rPr>
        <w:t>reconnaissance du lien de filiation avec leur mère génétique reposait sur une justification objective et raisonnable.</w:t>
      </w:r>
    </w:p>
    <w:p w:rsidRPr="00A85C28" w:rsidR="004D2843" w:rsidP="00A85C28">
      <w:pPr>
        <w:pStyle w:val="ECHRPara"/>
      </w:pPr>
      <w:r w:rsidRPr="00A85C28">
        <w:rPr>
          <w:rFonts w:eastAsia="Arial Unicode MS"/>
          <w:u w:color="000000"/>
          <w:bdr w:val="nil"/>
          <w:lang w:eastAsia="fr-FR"/>
        </w:rPr>
        <w:fldChar w:fldCharType="begin"/>
      </w:r>
      <w:r w:rsidRPr="00A85C28">
        <w:rPr>
          <w:rFonts w:eastAsia="Arial Unicode MS"/>
          <w:u w:color="000000"/>
          <w:bdr w:val="nil"/>
          <w:lang w:eastAsia="fr-FR"/>
        </w:rPr>
        <w:instrText xml:space="preserve"> SEQ level0 \*arabic </w:instrText>
      </w:r>
      <w:r w:rsidRPr="00A85C28">
        <w:rPr>
          <w:rFonts w:eastAsia="Arial Unicode MS"/>
          <w:u w:color="000000"/>
          <w:bdr w:val="nil"/>
          <w:lang w:eastAsia="fr-FR"/>
        </w:rPr>
        <w:fldChar w:fldCharType="separate"/>
      </w:r>
      <w:r w:rsidRPr="00A85C28" w:rsidR="00A85C28">
        <w:rPr>
          <w:rFonts w:eastAsia="Arial Unicode MS"/>
          <w:noProof/>
          <w:u w:color="000000"/>
          <w:bdr w:val="nil"/>
          <w:lang w:eastAsia="fr-FR"/>
        </w:rPr>
        <w:t>89</w:t>
      </w:r>
      <w:r w:rsidRPr="00A85C28">
        <w:rPr>
          <w:rFonts w:eastAsia="Arial Unicode MS"/>
          <w:u w:color="000000"/>
          <w:bdr w:val="nil"/>
          <w:lang w:eastAsia="fr-FR"/>
        </w:rPr>
        <w:fldChar w:fldCharType="end"/>
      </w:r>
      <w:r w:rsidRPr="00A85C28">
        <w:rPr>
          <w:rFonts w:eastAsia="Arial Unicode MS"/>
          <w:u w:color="000000"/>
          <w:bdr w:val="nil"/>
          <w:lang w:eastAsia="fr-FR"/>
        </w:rPr>
        <w:t>.  Partant, il n</w:t>
      </w:r>
      <w:r w:rsidRPr="00A85C28" w:rsidR="00A85C28">
        <w:rPr>
          <w:rFonts w:eastAsia="Arial Unicode MS"/>
          <w:u w:color="000000"/>
          <w:bdr w:val="nil"/>
          <w:lang w:eastAsia="fr-FR"/>
        </w:rPr>
        <w:t>’</w:t>
      </w:r>
      <w:r w:rsidRPr="00A85C28">
        <w:rPr>
          <w:rFonts w:eastAsia="Arial Unicode MS"/>
          <w:u w:color="000000"/>
          <w:bdr w:val="nil"/>
          <w:lang w:eastAsia="fr-FR"/>
        </w:rPr>
        <w:t>y a pas eu violation de l</w:t>
      </w:r>
      <w:r w:rsidRPr="00A85C28" w:rsidR="00A85C28">
        <w:rPr>
          <w:rFonts w:eastAsia="Arial Unicode MS"/>
          <w:u w:color="000000"/>
          <w:bdr w:val="nil"/>
          <w:lang w:eastAsia="fr-FR"/>
        </w:rPr>
        <w:t>’</w:t>
      </w:r>
      <w:r w:rsidRPr="00A85C28">
        <w:rPr>
          <w:rFonts w:eastAsia="Arial Unicode MS"/>
          <w:u w:color="000000"/>
          <w:bdr w:val="nil"/>
          <w:lang w:eastAsia="fr-FR"/>
        </w:rPr>
        <w:t>article 14 combiné avec l</w:t>
      </w:r>
      <w:r w:rsidRPr="00A85C28" w:rsidR="00A85C28">
        <w:rPr>
          <w:rFonts w:eastAsia="Arial Unicode MS"/>
          <w:u w:color="000000"/>
          <w:bdr w:val="nil"/>
          <w:lang w:eastAsia="fr-FR"/>
        </w:rPr>
        <w:t>’</w:t>
      </w:r>
      <w:r w:rsidRPr="00A85C28" w:rsidR="00075F07">
        <w:rPr>
          <w:rFonts w:eastAsia="Arial Unicode MS"/>
          <w:u w:color="000000"/>
          <w:bdr w:val="nil"/>
          <w:lang w:eastAsia="fr-FR"/>
        </w:rPr>
        <w:t>article </w:t>
      </w:r>
      <w:r w:rsidRPr="00A85C28">
        <w:rPr>
          <w:rFonts w:eastAsia="Arial Unicode MS"/>
          <w:u w:color="000000"/>
          <w:bdr w:val="nil"/>
          <w:lang w:eastAsia="fr-FR"/>
        </w:rPr>
        <w:t>8 de la Convention.</w:t>
      </w:r>
    </w:p>
    <w:p w:rsidRPr="00A85C28" w:rsidR="004D2843" w:rsidP="00A85C28">
      <w:pPr>
        <w:pStyle w:val="ECHRTitle1"/>
        <w:numPr>
          <w:ilvl w:val="0"/>
          <w:numId w:val="22"/>
        </w:numPr>
        <w:spacing w:before="100" w:beforeAutospacing="1"/>
      </w:pPr>
      <w:r w:rsidRPr="00A85C28">
        <w:t>PAR CES MOTIFS, LA COUR, À L</w:t>
      </w:r>
      <w:r w:rsidRPr="00A85C28" w:rsidR="00A85C28">
        <w:rPr>
          <w:caps/>
        </w:rPr>
        <w:t>’</w:t>
      </w:r>
      <w:r w:rsidRPr="00A85C28">
        <w:t>UNANIMITÉ,</w:t>
      </w:r>
    </w:p>
    <w:p w:rsidRPr="00A85C28" w:rsidR="00730E09" w:rsidP="00A85C28">
      <w:pPr>
        <w:pStyle w:val="JuList"/>
        <w:numPr>
          <w:ilvl w:val="0"/>
          <w:numId w:val="23"/>
        </w:numPr>
        <w:spacing w:before="280" w:after="60"/>
      </w:pPr>
      <w:r w:rsidRPr="00A85C28">
        <w:rPr>
          <w:i/>
        </w:rPr>
        <w:t>Déclare</w:t>
      </w:r>
      <w:r w:rsidRPr="00A85C28">
        <w:t xml:space="preserve"> les griefs tirés d</w:t>
      </w:r>
      <w:r w:rsidRPr="00A85C28" w:rsidR="00A85C28">
        <w:t>’</w:t>
      </w:r>
      <w:r w:rsidRPr="00A85C28">
        <w:t>une violation des droits de la troisième requérante au regard de l</w:t>
      </w:r>
      <w:r w:rsidRPr="00A85C28" w:rsidR="00A85C28">
        <w:t>’</w:t>
      </w:r>
      <w:r w:rsidRPr="00A85C28">
        <w:t>article 8 de la Convention, pris isolément et combin</w:t>
      </w:r>
      <w:r w:rsidRPr="00A85C28" w:rsidR="005E26B8">
        <w:t>é avec l</w:t>
      </w:r>
      <w:r w:rsidRPr="00A85C28" w:rsidR="00A85C28">
        <w:t>’</w:t>
      </w:r>
      <w:r w:rsidRPr="00A85C28" w:rsidR="005E26B8">
        <w:t>article 14, recevables ;</w:t>
      </w:r>
    </w:p>
    <w:p w:rsidRPr="00A85C28" w:rsidR="00730E09" w:rsidP="00A85C28">
      <w:pPr>
        <w:pStyle w:val="JuList"/>
        <w:numPr>
          <w:ilvl w:val="0"/>
          <w:numId w:val="23"/>
        </w:numPr>
        <w:spacing w:before="280" w:after="60"/>
      </w:pPr>
      <w:r w:rsidRPr="00A85C28">
        <w:rPr>
          <w:i/>
        </w:rPr>
        <w:t>Déclare</w:t>
      </w:r>
      <w:r w:rsidRPr="00A85C28">
        <w:t xml:space="preserve"> le grief tiré d</w:t>
      </w:r>
      <w:r w:rsidRPr="00A85C28" w:rsidR="00A85C28">
        <w:t>’</w:t>
      </w:r>
      <w:r w:rsidRPr="00A85C28">
        <w:t>une violation des droits de la première requérante au regard de l</w:t>
      </w:r>
      <w:r w:rsidRPr="00A85C28" w:rsidR="00A85C28">
        <w:t>’</w:t>
      </w:r>
      <w:r w:rsidRPr="00A85C28">
        <w:t>article 14 de la Convention irrecevable ;</w:t>
      </w:r>
    </w:p>
    <w:p w:rsidRPr="00A85C28" w:rsidR="00730E09" w:rsidP="00A85C28">
      <w:pPr>
        <w:pStyle w:val="JuList"/>
        <w:numPr>
          <w:ilvl w:val="0"/>
          <w:numId w:val="23"/>
        </w:numPr>
        <w:spacing w:before="280" w:after="60"/>
      </w:pPr>
      <w:r w:rsidRPr="00A85C28">
        <w:rPr>
          <w:i/>
        </w:rPr>
        <w:t>Dit</w:t>
      </w:r>
      <w:r w:rsidRPr="00A85C28">
        <w:t xml:space="preserve"> qu</w:t>
      </w:r>
      <w:r w:rsidRPr="00A85C28" w:rsidR="00A85C28">
        <w:t>’</w:t>
      </w:r>
      <w:r w:rsidRPr="00A85C28">
        <w:t>il n</w:t>
      </w:r>
      <w:r w:rsidRPr="00A85C28" w:rsidR="00A85C28">
        <w:t>’</w:t>
      </w:r>
      <w:r w:rsidRPr="00A85C28">
        <w:t>y a pas eu violation de l</w:t>
      </w:r>
      <w:r w:rsidRPr="00A85C28" w:rsidR="00A85C28">
        <w:t>’</w:t>
      </w:r>
      <w:r w:rsidRPr="00A85C28">
        <w:t>article 8 de la Convention ;</w:t>
      </w:r>
    </w:p>
    <w:p w:rsidRPr="00A85C28" w:rsidR="00730E09" w:rsidP="00A85C28">
      <w:pPr>
        <w:pStyle w:val="JuList"/>
        <w:numPr>
          <w:ilvl w:val="0"/>
          <w:numId w:val="23"/>
        </w:numPr>
        <w:spacing w:before="280" w:after="60"/>
      </w:pPr>
      <w:r w:rsidRPr="00A85C28">
        <w:rPr>
          <w:i/>
        </w:rPr>
        <w:t>Dit</w:t>
      </w:r>
      <w:r w:rsidRPr="00A85C28">
        <w:t xml:space="preserve"> qu</w:t>
      </w:r>
      <w:r w:rsidRPr="00A85C28" w:rsidR="00A85C28">
        <w:t>’</w:t>
      </w:r>
      <w:r w:rsidRPr="00A85C28">
        <w:t>il n</w:t>
      </w:r>
      <w:r w:rsidRPr="00A85C28" w:rsidR="00A85C28">
        <w:t>’</w:t>
      </w:r>
      <w:r w:rsidRPr="00A85C28">
        <w:t>y a pas eu violation de l</w:t>
      </w:r>
      <w:r w:rsidRPr="00A85C28" w:rsidR="00A85C28">
        <w:t>’</w:t>
      </w:r>
      <w:r w:rsidRPr="00A85C28">
        <w:t>article 14 de la Convention combiné avec l</w:t>
      </w:r>
      <w:r w:rsidRPr="00A85C28" w:rsidR="00A85C28">
        <w:t>’</w:t>
      </w:r>
      <w:r w:rsidRPr="00A85C28">
        <w:t>article 8.</w:t>
      </w:r>
    </w:p>
    <w:p w:rsidRPr="00A85C28" w:rsidR="0055090B" w:rsidP="00A85C28">
      <w:pPr>
        <w:pStyle w:val="JuParaLast"/>
        <w:keepNext w:val="0"/>
        <w:keepLines w:val="0"/>
      </w:pPr>
      <w:r w:rsidRPr="00A85C28">
        <w:t xml:space="preserve">Fait en français, puis communiqué par écrit le </w:t>
      </w:r>
      <w:r w:rsidRPr="00A85C28" w:rsidR="004D2843">
        <w:rPr>
          <w:rFonts w:ascii="Times New Roman" w:hAnsi="Times New Roman" w:cs="Times New Roman"/>
        </w:rPr>
        <w:t xml:space="preserve">16 </w:t>
      </w:r>
      <w:r w:rsidRPr="00A85C28" w:rsidR="001B333B">
        <w:rPr>
          <w:rFonts w:ascii="Times New Roman" w:hAnsi="Times New Roman" w:cs="Times New Roman"/>
        </w:rPr>
        <w:t>juillet</w:t>
      </w:r>
      <w:r w:rsidRPr="00A85C28" w:rsidR="004D2843">
        <w:rPr>
          <w:rFonts w:ascii="Times New Roman" w:hAnsi="Times New Roman" w:cs="Times New Roman"/>
        </w:rPr>
        <w:t xml:space="preserve"> 2020</w:t>
      </w:r>
      <w:r w:rsidRPr="00A85C28">
        <w:t>, en application de l</w:t>
      </w:r>
      <w:r w:rsidRPr="00A85C28" w:rsidR="00A85C28">
        <w:t>’</w:t>
      </w:r>
      <w:r w:rsidRPr="00A85C28">
        <w:t>article 77 §§ 2 et 3 du règlement de la Cour.</w:t>
      </w:r>
    </w:p>
    <w:p w:rsidRPr="00A85C28" w:rsidR="0055090B" w:rsidP="00A85C28">
      <w:pPr>
        <w:pStyle w:val="JuSigned"/>
        <w:rPr>
          <w:szCs w:val="24"/>
        </w:rPr>
      </w:pPr>
      <w:r w:rsidRPr="00A85C28">
        <w:tab/>
      </w:r>
      <w:r w:rsidRPr="00A85C28" w:rsidR="00577439">
        <w:t xml:space="preserve">Victor </w:t>
      </w:r>
      <w:r w:rsidRPr="00A85C28" w:rsidR="00577439">
        <w:t>Soloveytchik</w:t>
      </w:r>
      <w:r w:rsidRPr="00A85C28">
        <w:tab/>
      </w:r>
      <w:r w:rsidRPr="00A85C28">
        <w:rPr>
          <w:szCs w:val="24"/>
        </w:rPr>
        <w:t>Síofra</w:t>
      </w:r>
      <w:r w:rsidRPr="00A85C28">
        <w:rPr>
          <w:szCs w:val="24"/>
        </w:rPr>
        <w:t xml:space="preserve"> O</w:t>
      </w:r>
      <w:r w:rsidRPr="00A85C28" w:rsidR="00A85C28">
        <w:rPr>
          <w:szCs w:val="24"/>
        </w:rPr>
        <w:t>’</w:t>
      </w:r>
      <w:r w:rsidRPr="00A85C28">
        <w:rPr>
          <w:szCs w:val="24"/>
        </w:rPr>
        <w:t>Leary</w:t>
      </w:r>
      <w:r w:rsidRPr="00A85C28">
        <w:br/>
      </w:r>
      <w:r w:rsidRPr="00A85C28">
        <w:tab/>
      </w:r>
      <w:r w:rsidRPr="00A85C28" w:rsidR="00577439">
        <w:t>Greffier adjoint</w:t>
      </w:r>
      <w:r w:rsidRPr="00A85C28">
        <w:tab/>
      </w:r>
      <w:r w:rsidRPr="00A85C28">
        <w:t>Présidente</w:t>
      </w:r>
    </w:p>
    <w:p w:rsidRPr="00A85C28" w:rsidR="00686CE9" w:rsidP="00A85C28">
      <w:pPr>
        <w:rPr>
          <w:rFonts w:asciiTheme="majorHAnsi" w:hAnsiTheme="majorHAnsi"/>
          <w:b/>
          <w:caps/>
        </w:rPr>
      </w:pPr>
    </w:p>
    <w:p w:rsidRPr="00A85C28" w:rsidR="00686CE9" w:rsidP="00A85C28">
      <w:pPr>
        <w:jc w:val="left"/>
        <w:rPr>
          <w:rFonts w:asciiTheme="majorHAnsi" w:hAnsiTheme="majorHAnsi"/>
          <w:b/>
          <w:caps/>
        </w:rPr>
      </w:pPr>
    </w:p>
    <w:p w:rsidRPr="00A85C28" w:rsidR="007B51A3" w:rsidP="00A85C28">
      <w:pPr>
        <w:pStyle w:val="JuParaLast"/>
      </w:pPr>
      <w:r w:rsidRPr="00A85C28">
        <w:t>Au présent arrêt se trouve joint, conformément aux articles 45 § 2 de la Convention et 74 § 2 du règlement, l</w:t>
      </w:r>
      <w:r w:rsidRPr="00A85C28" w:rsidR="00A85C28">
        <w:t>’</w:t>
      </w:r>
      <w:r w:rsidRPr="00A85C28">
        <w:t>exposé de l</w:t>
      </w:r>
      <w:r w:rsidRPr="00A85C28" w:rsidR="00A85C28">
        <w:t>’</w:t>
      </w:r>
      <w:r w:rsidRPr="00A85C28">
        <w:t>opinion séparée de la juge O</w:t>
      </w:r>
      <w:r w:rsidRPr="00A85C28" w:rsidR="00A85C28">
        <w:t>’</w:t>
      </w:r>
      <w:r w:rsidRPr="00A85C28">
        <w:t>Leary.</w:t>
      </w:r>
    </w:p>
    <w:p w:rsidRPr="00A85C28" w:rsidR="006B0CE5" w:rsidP="00A85C28">
      <w:pPr>
        <w:pStyle w:val="JuInitialled"/>
      </w:pPr>
      <w:r w:rsidRPr="00A85C28">
        <w:t>S.O.L</w:t>
      </w:r>
      <w:r w:rsidRPr="00A85C28">
        <w:t>.</w:t>
      </w:r>
      <w:r w:rsidRPr="00A85C28">
        <w:br/>
        <w:t>V.S.</w:t>
      </w:r>
      <w:r w:rsidRPr="00A85C28">
        <w:br/>
      </w:r>
    </w:p>
    <w:p w:rsidRPr="00A85C28" w:rsidR="006B0CE5" w:rsidP="00A85C28">
      <w:pPr>
        <w:pStyle w:val="JuInitialled"/>
        <w:sectPr w:rsidSect="006A4208">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A85C28" w:rsidR="00071E92" w:rsidP="00A85C28">
      <w:pPr>
        <w:keepNext/>
        <w:keepLines/>
        <w:spacing w:after="240"/>
        <w:jc w:val="center"/>
        <w:outlineLvl w:val="0"/>
        <w:rPr>
          <w:rFonts w:ascii="Times New Roman" w:hAnsi="Times New Roman" w:eastAsia="Times New Roman" w:cs="Times New Roman"/>
          <w:sz w:val="28"/>
        </w:rPr>
      </w:pPr>
      <w:r w:rsidRPr="00A85C28">
        <w:rPr>
          <w:rFonts w:ascii="Times New Roman" w:hAnsi="Times New Roman" w:eastAsia="Times New Roman" w:cs="Times New Roman"/>
          <w:sz w:val="28"/>
        </w:rPr>
        <w:t>OPINION CONCORDANTE DE LA JUGE O</w:t>
      </w:r>
      <w:r w:rsidRPr="00A85C28" w:rsidR="00A85C28">
        <w:rPr>
          <w:rFonts w:ascii="Times New Roman" w:hAnsi="Times New Roman" w:eastAsia="Times New Roman" w:cs="Times New Roman"/>
          <w:sz w:val="28"/>
        </w:rPr>
        <w:t>’</w:t>
      </w:r>
      <w:r w:rsidRPr="00A85C28">
        <w:rPr>
          <w:rFonts w:ascii="Times New Roman" w:hAnsi="Times New Roman" w:eastAsia="Times New Roman" w:cs="Times New Roman"/>
          <w:sz w:val="28"/>
        </w:rPr>
        <w:t>LEARY</w:t>
      </w:r>
    </w:p>
    <w:p w:rsidRPr="00A85C28" w:rsidR="00067E66" w:rsidP="00A85C28">
      <w:pPr>
        <w:pStyle w:val="ECHRPara"/>
        <w:rPr>
          <w:rFonts w:eastAsia="Times New Roman"/>
        </w:rPr>
      </w:pPr>
      <w:r w:rsidRPr="00A85C28">
        <w:rPr>
          <w:rFonts w:eastAsia="Times New Roman"/>
        </w:rPr>
        <w:fldChar w:fldCharType="begin"/>
      </w:r>
      <w:r w:rsidRPr="00A85C28">
        <w:rPr>
          <w:rFonts w:eastAsia="Times New Roman"/>
        </w:rPr>
        <w:instrText xml:space="preserve"> SEQ level0 \*arabic \r1 </w:instrText>
      </w:r>
      <w:r w:rsidRPr="00A85C28">
        <w:rPr>
          <w:rFonts w:eastAsia="Times New Roman"/>
        </w:rPr>
        <w:fldChar w:fldCharType="separate"/>
      </w:r>
      <w:r w:rsidRPr="00A85C28" w:rsidR="00A85C28">
        <w:rPr>
          <w:rFonts w:eastAsia="Times New Roman"/>
          <w:noProof/>
        </w:rPr>
        <w:t>1</w:t>
      </w:r>
      <w:r w:rsidRPr="00A85C28">
        <w:rPr>
          <w:rFonts w:eastAsia="Times New Roman"/>
        </w:rPr>
        <w:fldChar w:fldCharType="end"/>
      </w:r>
      <w:r w:rsidRPr="00A85C28">
        <w:rPr>
          <w:rFonts w:eastAsia="Times New Roman"/>
        </w:rPr>
        <w:t>.  La chambre a conclu en l</w:t>
      </w:r>
      <w:r w:rsidRPr="00A85C28" w:rsidR="00A85C28">
        <w:rPr>
          <w:rFonts w:eastAsia="Times New Roman"/>
        </w:rPr>
        <w:t>’</w:t>
      </w:r>
      <w:r w:rsidRPr="00A85C28">
        <w:rPr>
          <w:rFonts w:eastAsia="Times New Roman"/>
        </w:rPr>
        <w:t>espèce à l</w:t>
      </w:r>
      <w:r w:rsidRPr="00A85C28" w:rsidR="00A85C28">
        <w:rPr>
          <w:rFonts w:eastAsia="Times New Roman"/>
        </w:rPr>
        <w:t>’</w:t>
      </w:r>
      <w:r w:rsidRPr="00A85C28">
        <w:rPr>
          <w:rFonts w:eastAsia="Times New Roman"/>
        </w:rPr>
        <w:t>absence de violation de l</w:t>
      </w:r>
      <w:r w:rsidRPr="00A85C28" w:rsidR="00A85C28">
        <w:rPr>
          <w:rFonts w:eastAsia="Times New Roman"/>
        </w:rPr>
        <w:t>’</w:t>
      </w:r>
      <w:r w:rsidRPr="00A85C28">
        <w:rPr>
          <w:rFonts w:eastAsia="Times New Roman"/>
        </w:rPr>
        <w:t>article 8 de la Convention, seul et combiné avec l</w:t>
      </w:r>
      <w:r w:rsidRPr="00A85C28" w:rsidR="00A85C28">
        <w:rPr>
          <w:rFonts w:eastAsia="Times New Roman"/>
        </w:rPr>
        <w:t>’</w:t>
      </w:r>
      <w:r w:rsidRPr="00A85C28">
        <w:rPr>
          <w:rFonts w:eastAsia="Times New Roman"/>
        </w:rPr>
        <w:t>article 14, s</w:t>
      </w:r>
      <w:r w:rsidRPr="00A85C28" w:rsidR="00A85C28">
        <w:rPr>
          <w:rFonts w:eastAsia="Times New Roman"/>
        </w:rPr>
        <w:t>’</w:t>
      </w:r>
      <w:r w:rsidRPr="00A85C28">
        <w:rPr>
          <w:rFonts w:eastAsia="Times New Roman"/>
        </w:rPr>
        <w:t>agissant du refus de transcription, par le procureur en 2015 et par la Cour d</w:t>
      </w:r>
      <w:r w:rsidRPr="00A85C28" w:rsidR="00A85C28">
        <w:rPr>
          <w:rFonts w:eastAsia="Times New Roman"/>
        </w:rPr>
        <w:t>’</w:t>
      </w:r>
      <w:r w:rsidRPr="00A85C28">
        <w:rPr>
          <w:rFonts w:eastAsia="Times New Roman"/>
        </w:rPr>
        <w:t>appel de Rennes en 2017, de l</w:t>
      </w:r>
      <w:r w:rsidRPr="00A85C28" w:rsidR="00A85C28">
        <w:rPr>
          <w:rFonts w:eastAsia="Times New Roman"/>
        </w:rPr>
        <w:t>’</w:t>
      </w:r>
      <w:r w:rsidRPr="00A85C28">
        <w:rPr>
          <w:rFonts w:eastAsia="Times New Roman"/>
        </w:rPr>
        <w:t>acte de naissance de la troisième requérante qui avait été délivré par les autorités étatiques du pays où cette dernière est née à la suite d</w:t>
      </w:r>
      <w:r w:rsidRPr="00A85C28" w:rsidR="00A85C28">
        <w:rPr>
          <w:rFonts w:eastAsia="Times New Roman"/>
        </w:rPr>
        <w:t>’</w:t>
      </w:r>
      <w:r w:rsidRPr="00A85C28">
        <w:rPr>
          <w:rFonts w:eastAsia="Times New Roman"/>
        </w:rPr>
        <w:t>un processus de gestation pour autrui (GPA), pour autant que cet acte concernait la première requérante, la mère d</w:t>
      </w:r>
      <w:r w:rsidRPr="00A85C28" w:rsidR="00A85C28">
        <w:rPr>
          <w:rFonts w:eastAsia="Times New Roman"/>
        </w:rPr>
        <w:t>’</w:t>
      </w:r>
      <w:r w:rsidRPr="00A85C28">
        <w:rPr>
          <w:rFonts w:eastAsia="Times New Roman"/>
        </w:rPr>
        <w:t>intention.</w:t>
      </w:r>
    </w:p>
    <w:p w:rsidRPr="00A85C28" w:rsidR="00067E66" w:rsidP="00A85C28">
      <w:pPr>
        <w:pStyle w:val="ECHRPara"/>
        <w:rPr>
          <w:rFonts w:eastAsia="Times New Roman"/>
        </w:rPr>
      </w:pPr>
      <w:r w:rsidRPr="00A85C28">
        <w:rPr>
          <w:rFonts w:eastAsia="Times New Roman"/>
        </w:rPr>
        <w:fldChar w:fldCharType="begin"/>
      </w:r>
      <w:r w:rsidRPr="00A85C28">
        <w:rPr>
          <w:rFonts w:eastAsia="Times New Roman"/>
        </w:rPr>
        <w:instrText xml:space="preserve"> SEQ level0 \*arabic </w:instrText>
      </w:r>
      <w:r w:rsidRPr="00A85C28">
        <w:rPr>
          <w:rFonts w:eastAsia="Times New Roman"/>
        </w:rPr>
        <w:fldChar w:fldCharType="separate"/>
      </w:r>
      <w:r w:rsidRPr="00A85C28" w:rsidR="00A85C28">
        <w:rPr>
          <w:rFonts w:eastAsia="Times New Roman"/>
          <w:noProof/>
        </w:rPr>
        <w:t>2</w:t>
      </w:r>
      <w:r w:rsidRPr="00A85C28">
        <w:rPr>
          <w:rFonts w:eastAsia="Times New Roman"/>
        </w:rPr>
        <w:fldChar w:fldCharType="end"/>
      </w:r>
      <w:r w:rsidRPr="00A85C28">
        <w:rPr>
          <w:rFonts w:eastAsia="Times New Roman"/>
        </w:rPr>
        <w:t>.  Toutefois, ce constat de non-violation est, à mon sens, lié aux faits tout à fait particuliers qui caractérisent la requête des requérants et à la manière dont ceux-ci ont plaidé, ou omis de plaider, leurs griefs, tant devant les juridictions françaises que devant la Cour.</w:t>
      </w:r>
    </w:p>
    <w:p w:rsidRPr="00A85C28" w:rsidR="00621544" w:rsidP="00A85C28">
      <w:pPr>
        <w:pStyle w:val="ECHRHeading1"/>
        <w:rPr>
          <w:rFonts w:eastAsia="Times New Roman"/>
          <w:caps/>
        </w:rPr>
      </w:pPr>
      <w:r w:rsidRPr="00A85C28">
        <w:rPr>
          <w:rFonts w:eastAsia="Times New Roman"/>
        </w:rPr>
        <w:t>I.  </w:t>
      </w:r>
      <w:r w:rsidRPr="00A85C28" w:rsidR="00CA1056">
        <w:rPr>
          <w:rFonts w:eastAsia="Times New Roman"/>
        </w:rPr>
        <w:t xml:space="preserve">RAPPEL </w:t>
      </w:r>
      <w:r w:rsidRPr="00A85C28" w:rsidR="00CA1056">
        <w:t>DES</w:t>
      </w:r>
      <w:r w:rsidRPr="00A85C28" w:rsidR="00CA1056">
        <w:rPr>
          <w:rFonts w:eastAsia="Times New Roman"/>
        </w:rPr>
        <w:t xml:space="preserve"> FAITS ET MISE EN CONTEXTE DE LA JURISPRUDENCE EXISTANTE</w:t>
      </w:r>
    </w:p>
    <w:p w:rsidRPr="00A85C28" w:rsidR="00067E66" w:rsidP="00A85C28">
      <w:pPr>
        <w:pStyle w:val="ECHRPara"/>
        <w:rPr>
          <w:rFonts w:eastAsia="Times New Roman"/>
        </w:rPr>
      </w:pPr>
      <w:r w:rsidRPr="00A85C28">
        <w:rPr>
          <w:rFonts w:eastAsia="Times New Roman"/>
        </w:rPr>
        <w:fldChar w:fldCharType="begin"/>
      </w:r>
      <w:r w:rsidRPr="00A85C28">
        <w:rPr>
          <w:rFonts w:eastAsia="Times New Roman"/>
        </w:rPr>
        <w:instrText xml:space="preserve"> SEQ level0 \*arabic </w:instrText>
      </w:r>
      <w:r w:rsidRPr="00A85C28">
        <w:rPr>
          <w:rFonts w:eastAsia="Times New Roman"/>
        </w:rPr>
        <w:fldChar w:fldCharType="separate"/>
      </w:r>
      <w:r w:rsidRPr="00A85C28" w:rsidR="00A85C28">
        <w:rPr>
          <w:rFonts w:eastAsia="Times New Roman"/>
          <w:noProof/>
        </w:rPr>
        <w:t>3</w:t>
      </w:r>
      <w:r w:rsidRPr="00A85C28">
        <w:rPr>
          <w:rFonts w:eastAsia="Times New Roman"/>
        </w:rPr>
        <w:fldChar w:fldCharType="end"/>
      </w:r>
      <w:r w:rsidRPr="00A85C28">
        <w:rPr>
          <w:rFonts w:eastAsia="Times New Roman"/>
        </w:rPr>
        <w:t>.  La demande des requérants, datant du 20 septembre 2014, a été rejetée par le procureur compétent en vertu de l</w:t>
      </w:r>
      <w:r w:rsidRPr="00A85C28" w:rsidR="00A85C28">
        <w:rPr>
          <w:rFonts w:eastAsia="Times New Roman"/>
        </w:rPr>
        <w:t>’</w:t>
      </w:r>
      <w:r w:rsidRPr="00A85C28">
        <w:rPr>
          <w:rFonts w:eastAsia="Times New Roman"/>
        </w:rPr>
        <w:t>article 47 du Code civil français, ce dernier faisant obstacle à la désignation comme mère d</w:t>
      </w:r>
      <w:r w:rsidRPr="00A85C28" w:rsidR="00A85C28">
        <w:rPr>
          <w:rFonts w:eastAsia="Times New Roman"/>
        </w:rPr>
        <w:t>’</w:t>
      </w:r>
      <w:r w:rsidRPr="00A85C28">
        <w:rPr>
          <w:rFonts w:eastAsia="Times New Roman"/>
        </w:rPr>
        <w:t>une femme qui n</w:t>
      </w:r>
      <w:r w:rsidRPr="00A85C28" w:rsidR="00A85C28">
        <w:rPr>
          <w:rFonts w:eastAsia="Times New Roman"/>
        </w:rPr>
        <w:t>’</w:t>
      </w:r>
      <w:r w:rsidRPr="00A85C28">
        <w:rPr>
          <w:rFonts w:eastAsia="Times New Roman"/>
        </w:rPr>
        <w:t>a pas accouché de l</w:t>
      </w:r>
      <w:r w:rsidRPr="00A85C28" w:rsidR="00A85C28">
        <w:rPr>
          <w:rFonts w:eastAsia="Times New Roman"/>
        </w:rPr>
        <w:t>’</w:t>
      </w:r>
      <w:r w:rsidRPr="00A85C28">
        <w:rPr>
          <w:rFonts w:eastAsia="Times New Roman"/>
        </w:rPr>
        <w:t>enfant concerné. Le 12 janvier 2017, le tribunal de grande instance de Nantes a toutefois fait droit à leur demande de transcription.</w:t>
      </w:r>
    </w:p>
    <w:p w:rsidRPr="00A85C28" w:rsidR="00067E66" w:rsidP="00A85C28">
      <w:pPr>
        <w:pStyle w:val="ECHRPara"/>
      </w:pPr>
      <w:r w:rsidRPr="00A85C28">
        <w:rPr>
          <w:rFonts w:eastAsia="Times New Roman"/>
        </w:rPr>
        <w:fldChar w:fldCharType="begin"/>
      </w:r>
      <w:r w:rsidRPr="00A85C28">
        <w:rPr>
          <w:rFonts w:eastAsia="Times New Roman"/>
        </w:rPr>
        <w:instrText xml:space="preserve"> SEQ level0 \*arabic </w:instrText>
      </w:r>
      <w:r w:rsidRPr="00A85C28">
        <w:rPr>
          <w:rFonts w:eastAsia="Times New Roman"/>
        </w:rPr>
        <w:fldChar w:fldCharType="separate"/>
      </w:r>
      <w:r w:rsidRPr="00A85C28" w:rsidR="00A85C28">
        <w:rPr>
          <w:rFonts w:eastAsia="Times New Roman"/>
          <w:noProof/>
        </w:rPr>
        <w:t>4</w:t>
      </w:r>
      <w:r w:rsidRPr="00A85C28">
        <w:rPr>
          <w:rFonts w:eastAsia="Times New Roman"/>
        </w:rPr>
        <w:fldChar w:fldCharType="end"/>
      </w:r>
      <w:r w:rsidRPr="00A85C28">
        <w:rPr>
          <w:rFonts w:eastAsia="Times New Roman"/>
        </w:rPr>
        <w:t>.  Il y a lieu de préciser que la demande de transcription formulée par les requérants en 2014 est intervenue trois mois à peine après le prononcé de l</w:t>
      </w:r>
      <w:r w:rsidRPr="00A85C28" w:rsidR="00A85C28">
        <w:rPr>
          <w:rFonts w:eastAsia="Times New Roman"/>
        </w:rPr>
        <w:t>’</w:t>
      </w:r>
      <w:r w:rsidRPr="00A85C28">
        <w:rPr>
          <w:rFonts w:eastAsia="Times New Roman"/>
        </w:rPr>
        <w:t xml:space="preserve">arrêt </w:t>
      </w:r>
      <w:r w:rsidRPr="00A85C28">
        <w:rPr>
          <w:i/>
        </w:rPr>
        <w:t>Mennesson</w:t>
      </w:r>
      <w:r w:rsidRPr="00A85C28">
        <w:rPr>
          <w:i/>
        </w:rPr>
        <w:t xml:space="preserve"> c. France</w:t>
      </w:r>
      <w:r w:rsidRPr="00A85C28">
        <w:rPr>
          <w:snapToGrid w:val="0"/>
        </w:rPr>
        <w:t xml:space="preserve"> (n</w:t>
      </w:r>
      <w:r w:rsidRPr="00A85C28">
        <w:rPr>
          <w:snapToGrid w:val="0"/>
          <w:vertAlign w:val="superscript"/>
        </w:rPr>
        <w:t>o</w:t>
      </w:r>
      <w:r w:rsidRPr="00A85C28">
        <w:rPr>
          <w:snapToGrid w:val="0"/>
        </w:rPr>
        <w:t xml:space="preserve"> </w:t>
      </w:r>
      <w:r w:rsidRPr="00A85C28">
        <w:t>65192/11, CEDH 2014 (extraits))</w:t>
      </w:r>
      <w:r w:rsidRPr="00A85C28">
        <w:rPr>
          <w:rFonts w:eastAsia="Times New Roman"/>
        </w:rPr>
        <w:t>. Cette dernière affaire avait trait à l</w:t>
      </w:r>
      <w:r w:rsidRPr="00A85C28" w:rsidR="00A85C28">
        <w:rPr>
          <w:rFonts w:eastAsia="Times New Roman"/>
        </w:rPr>
        <w:t>’</w:t>
      </w:r>
      <w:r w:rsidRPr="00A85C28">
        <w:rPr>
          <w:rFonts w:eastAsia="Times New Roman"/>
        </w:rPr>
        <w:t xml:space="preserve">impossibilité </w:t>
      </w:r>
      <w:r w:rsidRPr="00A85C28">
        <w:rPr>
          <w:rFonts w:eastAsia="Times New Roman"/>
          <w:i/>
        </w:rPr>
        <w:t>absolue</w:t>
      </w:r>
      <w:r w:rsidRPr="00A85C28" w:rsidR="001952DC">
        <w:rPr>
          <w:rFonts w:eastAsia="Times New Roman"/>
        </w:rPr>
        <w:t xml:space="preserve"> en droit français, à </w:t>
      </w:r>
      <w:r w:rsidRPr="00A85C28">
        <w:rPr>
          <w:rFonts w:eastAsia="Times New Roman"/>
        </w:rPr>
        <w:t>l</w:t>
      </w:r>
      <w:r w:rsidRPr="00A85C28" w:rsidR="00A85C28">
        <w:rPr>
          <w:rFonts w:eastAsia="Times New Roman"/>
        </w:rPr>
        <w:t>’</w:t>
      </w:r>
      <w:r w:rsidRPr="00A85C28">
        <w:rPr>
          <w:rFonts w:eastAsia="Times New Roman"/>
        </w:rPr>
        <w:t>époque, pour les parents d</w:t>
      </w:r>
      <w:r w:rsidRPr="00A85C28" w:rsidR="00A85C28">
        <w:rPr>
          <w:rFonts w:eastAsia="Times New Roman"/>
        </w:rPr>
        <w:t>’</w:t>
      </w:r>
      <w:r w:rsidRPr="00A85C28">
        <w:rPr>
          <w:rFonts w:eastAsia="Times New Roman"/>
        </w:rPr>
        <w:t>intention de faire établir un lien de filiation avec des enfants nés d</w:t>
      </w:r>
      <w:r w:rsidRPr="00A85C28" w:rsidR="00A85C28">
        <w:rPr>
          <w:rFonts w:eastAsia="Times New Roman"/>
        </w:rPr>
        <w:t>’</w:t>
      </w:r>
      <w:r w:rsidRPr="00A85C28">
        <w:rPr>
          <w:rFonts w:eastAsia="Times New Roman"/>
        </w:rPr>
        <w:t>un processus de GPA. Dans l</w:t>
      </w:r>
      <w:r w:rsidRPr="00A85C28" w:rsidR="00A85C28">
        <w:rPr>
          <w:rFonts w:eastAsia="Times New Roman"/>
        </w:rPr>
        <w:t>’</w:t>
      </w:r>
      <w:r w:rsidRPr="00A85C28">
        <w:rPr>
          <w:rFonts w:eastAsia="Times New Roman"/>
        </w:rPr>
        <w:t xml:space="preserve">arrêt </w:t>
      </w:r>
      <w:r w:rsidRPr="00A85C28">
        <w:rPr>
          <w:rFonts w:eastAsia="Times New Roman"/>
          <w:i/>
        </w:rPr>
        <w:t>Mennesson</w:t>
      </w:r>
      <w:r w:rsidRPr="00A85C28">
        <w:rPr>
          <w:rFonts w:eastAsia="Times New Roman"/>
        </w:rPr>
        <w:t>, la Cour a jugé que, compte tenu des conséquences de la grave restriction sur l</w:t>
      </w:r>
      <w:r w:rsidRPr="00A85C28" w:rsidR="00A85C28">
        <w:rPr>
          <w:rFonts w:eastAsia="Times New Roman"/>
        </w:rPr>
        <w:t>’</w:t>
      </w:r>
      <w:r w:rsidRPr="00A85C28">
        <w:rPr>
          <w:rFonts w:eastAsia="Times New Roman"/>
        </w:rPr>
        <w:t>identité et le droit au respect de la vie privée des enfants requérantes, en faisant ainsi obstacle tant à la reconnaissance qu</w:t>
      </w:r>
      <w:r w:rsidRPr="00A85C28" w:rsidR="00A85C28">
        <w:rPr>
          <w:rFonts w:eastAsia="Times New Roman"/>
        </w:rPr>
        <w:t>’</w:t>
      </w:r>
      <w:r w:rsidRPr="00A85C28">
        <w:rPr>
          <w:rFonts w:eastAsia="Times New Roman"/>
        </w:rPr>
        <w:t>à l</w:t>
      </w:r>
      <w:r w:rsidRPr="00A85C28" w:rsidR="00A85C28">
        <w:rPr>
          <w:rFonts w:eastAsia="Times New Roman"/>
        </w:rPr>
        <w:t>’</w:t>
      </w:r>
      <w:r w:rsidRPr="00A85C28">
        <w:rPr>
          <w:rFonts w:eastAsia="Times New Roman"/>
        </w:rPr>
        <w:t>établissement en droit interne de leur lien de filiation à l</w:t>
      </w:r>
      <w:r w:rsidRPr="00A85C28" w:rsidR="00A85C28">
        <w:rPr>
          <w:rFonts w:eastAsia="Times New Roman"/>
        </w:rPr>
        <w:t>’</w:t>
      </w:r>
      <w:r w:rsidRPr="00A85C28">
        <w:rPr>
          <w:rFonts w:eastAsia="Times New Roman"/>
        </w:rPr>
        <w:t>égard de leur père biologique, l</w:t>
      </w:r>
      <w:r w:rsidRPr="00A85C28" w:rsidR="00A85C28">
        <w:rPr>
          <w:rFonts w:eastAsia="Times New Roman"/>
        </w:rPr>
        <w:t>’</w:t>
      </w:r>
      <w:r w:rsidRPr="00A85C28">
        <w:rPr>
          <w:rFonts w:eastAsia="Times New Roman"/>
        </w:rPr>
        <w:t>État défendeur était allé au-delà de ce que lui permettait sa marge d</w:t>
      </w:r>
      <w:r w:rsidRPr="00A85C28" w:rsidR="00A85C28">
        <w:rPr>
          <w:rFonts w:eastAsia="Times New Roman"/>
        </w:rPr>
        <w:t>’</w:t>
      </w:r>
      <w:r w:rsidRPr="00A85C28">
        <w:rPr>
          <w:rFonts w:eastAsia="Times New Roman"/>
        </w:rPr>
        <w:t>appréciation. Étant donné aussi le poids qu</w:t>
      </w:r>
      <w:r w:rsidRPr="00A85C28" w:rsidR="00A85C28">
        <w:rPr>
          <w:rFonts w:eastAsia="Times New Roman"/>
        </w:rPr>
        <w:t>’</w:t>
      </w:r>
      <w:r w:rsidRPr="00A85C28">
        <w:rPr>
          <w:rFonts w:eastAsia="Times New Roman"/>
        </w:rPr>
        <w:t>il y a lieu d</w:t>
      </w:r>
      <w:r w:rsidRPr="00A85C28" w:rsidR="00A85C28">
        <w:rPr>
          <w:rFonts w:eastAsia="Times New Roman"/>
        </w:rPr>
        <w:t>’</w:t>
      </w:r>
      <w:r w:rsidRPr="00A85C28">
        <w:rPr>
          <w:rFonts w:eastAsia="Times New Roman"/>
        </w:rPr>
        <w:t>accorder à l</w:t>
      </w:r>
      <w:r w:rsidRPr="00A85C28" w:rsidR="00A85C28">
        <w:rPr>
          <w:rFonts w:eastAsia="Times New Roman"/>
        </w:rPr>
        <w:t>’</w:t>
      </w:r>
      <w:r w:rsidRPr="00A85C28">
        <w:rPr>
          <w:rFonts w:eastAsia="Times New Roman"/>
        </w:rPr>
        <w:t>intérêt de l</w:t>
      </w:r>
      <w:r w:rsidRPr="00A85C28" w:rsidR="00A85C28">
        <w:rPr>
          <w:rFonts w:eastAsia="Times New Roman"/>
        </w:rPr>
        <w:t>’</w:t>
      </w:r>
      <w:r w:rsidRPr="00A85C28">
        <w:rPr>
          <w:rFonts w:eastAsia="Times New Roman"/>
        </w:rPr>
        <w:t>enfant lorsqu</w:t>
      </w:r>
      <w:r w:rsidRPr="00A85C28" w:rsidR="00A85C28">
        <w:rPr>
          <w:rFonts w:eastAsia="Times New Roman"/>
        </w:rPr>
        <w:t>’</w:t>
      </w:r>
      <w:r w:rsidRPr="00A85C28">
        <w:rPr>
          <w:rFonts w:eastAsia="Times New Roman"/>
        </w:rPr>
        <w:t>on procède à la balance des intérêts en présence, la Cour a conclu que le droit des enfants requérantes au respect de leur vie privée avait été méconnu.</w:t>
      </w:r>
    </w:p>
    <w:p w:rsidRPr="00A85C28" w:rsidR="00067E66" w:rsidP="00A85C28">
      <w:pPr>
        <w:pStyle w:val="ECHRPara"/>
        <w:rPr>
          <w:rFonts w:eastAsia="Times New Roman"/>
        </w:rPr>
      </w:pPr>
      <w:r w:rsidRPr="00A85C28">
        <w:rPr>
          <w:rFonts w:eastAsia="Times New Roman"/>
        </w:rPr>
        <w:fldChar w:fldCharType="begin"/>
      </w:r>
      <w:r w:rsidRPr="00A85C28">
        <w:rPr>
          <w:rFonts w:eastAsia="Times New Roman"/>
        </w:rPr>
        <w:instrText xml:space="preserve"> SEQ level0 \*arabic </w:instrText>
      </w:r>
      <w:r w:rsidRPr="00A85C28">
        <w:rPr>
          <w:rFonts w:eastAsia="Times New Roman"/>
        </w:rPr>
        <w:fldChar w:fldCharType="separate"/>
      </w:r>
      <w:r w:rsidRPr="00A85C28" w:rsidR="00A85C28">
        <w:rPr>
          <w:rFonts w:eastAsia="Times New Roman"/>
          <w:noProof/>
        </w:rPr>
        <w:t>5</w:t>
      </w:r>
      <w:r w:rsidRPr="00A85C28">
        <w:rPr>
          <w:rFonts w:eastAsia="Times New Roman"/>
        </w:rPr>
        <w:fldChar w:fldCharType="end"/>
      </w:r>
      <w:r w:rsidRPr="00A85C28">
        <w:rPr>
          <w:rFonts w:eastAsia="Times New Roman"/>
        </w:rPr>
        <w:t>.  La réponse de la Cour de Cassation à cet arrêt de la Cour a été prononcée le 5 juillet 2017. Opérant un premier revirement de sa jurisprudence dans ce domaine, la Cour de Cassation a relevé que la transcription sur les registres de l</w:t>
      </w:r>
      <w:r w:rsidRPr="00A85C28" w:rsidR="00A85C28">
        <w:rPr>
          <w:rFonts w:eastAsia="Times New Roman"/>
        </w:rPr>
        <w:t>’</w:t>
      </w:r>
      <w:r w:rsidRPr="00A85C28">
        <w:rPr>
          <w:rFonts w:eastAsia="Times New Roman"/>
        </w:rPr>
        <w:t>état civil français de l</w:t>
      </w:r>
      <w:r w:rsidRPr="00A85C28" w:rsidR="00A85C28">
        <w:rPr>
          <w:rFonts w:eastAsia="Times New Roman"/>
        </w:rPr>
        <w:t>’</w:t>
      </w:r>
      <w:r w:rsidRPr="00A85C28">
        <w:rPr>
          <w:rFonts w:eastAsia="Times New Roman"/>
        </w:rPr>
        <w:t>acte de naissance étranger d</w:t>
      </w:r>
      <w:r w:rsidRPr="00A85C28" w:rsidR="00A85C28">
        <w:rPr>
          <w:rFonts w:eastAsia="Times New Roman"/>
        </w:rPr>
        <w:t>’</w:t>
      </w:r>
      <w:r w:rsidRPr="00A85C28">
        <w:rPr>
          <w:rFonts w:eastAsia="Times New Roman"/>
        </w:rPr>
        <w:t>un enfant né à l</w:t>
      </w:r>
      <w:r w:rsidRPr="00A85C28" w:rsidR="00A85C28">
        <w:rPr>
          <w:rFonts w:eastAsia="Times New Roman"/>
        </w:rPr>
        <w:t>’</w:t>
      </w:r>
      <w:r w:rsidRPr="00A85C28">
        <w:rPr>
          <w:rFonts w:eastAsia="Times New Roman"/>
        </w:rPr>
        <w:t>étranger à l</w:t>
      </w:r>
      <w:r w:rsidRPr="00A85C28" w:rsidR="00A85C28">
        <w:rPr>
          <w:rFonts w:eastAsia="Times New Roman"/>
        </w:rPr>
        <w:t>’</w:t>
      </w:r>
      <w:r w:rsidRPr="00A85C28">
        <w:rPr>
          <w:rFonts w:eastAsia="Times New Roman"/>
        </w:rPr>
        <w:t>issue d</w:t>
      </w:r>
      <w:r w:rsidRPr="00A85C28" w:rsidR="00A85C28">
        <w:rPr>
          <w:rFonts w:eastAsia="Times New Roman"/>
        </w:rPr>
        <w:t>’</w:t>
      </w:r>
      <w:r w:rsidRPr="00A85C28" w:rsidR="001952DC">
        <w:rPr>
          <w:rFonts w:eastAsia="Times New Roman"/>
        </w:rPr>
        <w:t>une GPA pratiquée à </w:t>
      </w:r>
      <w:r w:rsidRPr="00A85C28">
        <w:rPr>
          <w:rFonts w:eastAsia="Times New Roman"/>
        </w:rPr>
        <w:t>l</w:t>
      </w:r>
      <w:r w:rsidRPr="00A85C28" w:rsidR="00A85C28">
        <w:rPr>
          <w:rFonts w:eastAsia="Times New Roman"/>
        </w:rPr>
        <w:t>’</w:t>
      </w:r>
      <w:r w:rsidRPr="00A85C28">
        <w:rPr>
          <w:rFonts w:eastAsia="Times New Roman"/>
        </w:rPr>
        <w:t>étranger était possible pour autant qu</w:t>
      </w:r>
      <w:r w:rsidRPr="00A85C28" w:rsidR="00A85C28">
        <w:rPr>
          <w:rFonts w:eastAsia="Times New Roman"/>
        </w:rPr>
        <w:t>’</w:t>
      </w:r>
      <w:r w:rsidRPr="00A85C28">
        <w:rPr>
          <w:rFonts w:eastAsia="Times New Roman"/>
        </w:rPr>
        <w:t xml:space="preserve">il désignait comme père le père </w:t>
      </w:r>
      <w:r w:rsidRPr="00A85C28">
        <w:rPr>
          <w:rFonts w:eastAsia="Times New Roman"/>
        </w:rPr>
        <w:t>biologique</w:t>
      </w:r>
      <w:r>
        <w:rPr>
          <w:rFonts w:eastAsia="Times New Roman"/>
          <w:vertAlign w:val="superscript"/>
          <w:lang w:val="en-US"/>
        </w:rPr>
        <w:footnoteReference w:id="2"/>
      </w:r>
      <w:r w:rsidRPr="00A85C28">
        <w:rPr>
          <w:rFonts w:eastAsia="Times New Roman"/>
        </w:rPr>
        <w:t>, mais pas pour autant que l</w:t>
      </w:r>
      <w:r w:rsidRPr="00A85C28" w:rsidR="00A85C28">
        <w:rPr>
          <w:rFonts w:eastAsia="Times New Roman"/>
        </w:rPr>
        <w:t>’</w:t>
      </w:r>
      <w:r w:rsidRPr="00A85C28">
        <w:rPr>
          <w:rFonts w:eastAsia="Times New Roman"/>
        </w:rPr>
        <w:t>acte de naissance étranger désignait comme mère la mère d</w:t>
      </w:r>
      <w:r w:rsidRPr="00A85C28" w:rsidR="00A85C28">
        <w:rPr>
          <w:rFonts w:eastAsia="Times New Roman"/>
        </w:rPr>
        <w:t>’</w:t>
      </w:r>
      <w:r w:rsidRPr="00A85C28">
        <w:rPr>
          <w:rFonts w:eastAsia="Times New Roman"/>
        </w:rPr>
        <w:t>intention, dès lors qu</w:t>
      </w:r>
      <w:r w:rsidRPr="00A85C28" w:rsidR="00A85C28">
        <w:rPr>
          <w:rFonts w:eastAsia="Times New Roman"/>
        </w:rPr>
        <w:t>’</w:t>
      </w:r>
      <w:r w:rsidRPr="00A85C28">
        <w:rPr>
          <w:rFonts w:eastAsia="Times New Roman"/>
        </w:rPr>
        <w:t>il ne s</w:t>
      </w:r>
      <w:r w:rsidRPr="00A85C28" w:rsidR="00A85C28">
        <w:rPr>
          <w:rFonts w:eastAsia="Times New Roman"/>
        </w:rPr>
        <w:t>’</w:t>
      </w:r>
      <w:r w:rsidRPr="00A85C28">
        <w:rPr>
          <w:rFonts w:eastAsia="Times New Roman"/>
        </w:rPr>
        <w:t>agissait pas de la femme qui avait accouché de l</w:t>
      </w:r>
      <w:r w:rsidRPr="00A85C28" w:rsidR="00A85C28">
        <w:rPr>
          <w:rFonts w:eastAsia="Times New Roman"/>
        </w:rPr>
        <w:t>’</w:t>
      </w:r>
      <w:r w:rsidRPr="00A85C28">
        <w:rPr>
          <w:rFonts w:eastAsia="Times New Roman"/>
        </w:rPr>
        <w:t>enfant concerné.</w:t>
      </w:r>
    </w:p>
    <w:p w:rsidRPr="00A85C28" w:rsidR="00067E66" w:rsidP="00A85C28">
      <w:pPr>
        <w:pStyle w:val="ECHRPara"/>
        <w:rPr>
          <w:rFonts w:eastAsia="Times New Roman"/>
        </w:rPr>
      </w:pPr>
      <w:r w:rsidRPr="00A85C28">
        <w:rPr>
          <w:rFonts w:eastAsia="Times New Roman"/>
        </w:rPr>
        <w:fldChar w:fldCharType="begin"/>
      </w:r>
      <w:r w:rsidRPr="00A85C28">
        <w:rPr>
          <w:rFonts w:eastAsia="Times New Roman"/>
        </w:rPr>
        <w:instrText xml:space="preserve"> SEQ level0 \*arabic </w:instrText>
      </w:r>
      <w:r w:rsidRPr="00A85C28">
        <w:rPr>
          <w:rFonts w:eastAsia="Times New Roman"/>
        </w:rPr>
        <w:fldChar w:fldCharType="separate"/>
      </w:r>
      <w:r w:rsidRPr="00A85C28" w:rsidR="00A85C28">
        <w:rPr>
          <w:rFonts w:eastAsia="Times New Roman"/>
          <w:noProof/>
        </w:rPr>
        <w:t>6</w:t>
      </w:r>
      <w:r w:rsidRPr="00A85C28">
        <w:rPr>
          <w:rFonts w:eastAsia="Times New Roman"/>
        </w:rPr>
        <w:fldChar w:fldCharType="end"/>
      </w:r>
      <w:r w:rsidRPr="00A85C28">
        <w:rPr>
          <w:rFonts w:eastAsia="Times New Roman"/>
        </w:rPr>
        <w:t>.  Quelques mois plus tard, le 18 décembre 2017, la cour d</w:t>
      </w:r>
      <w:r w:rsidRPr="00A85C28" w:rsidR="00A85C28">
        <w:rPr>
          <w:rFonts w:eastAsia="Times New Roman"/>
        </w:rPr>
        <w:t>’</w:t>
      </w:r>
      <w:r w:rsidRPr="00A85C28">
        <w:rPr>
          <w:rFonts w:eastAsia="Times New Roman"/>
        </w:rPr>
        <w:t>appel de Rennes, statuant en tant que juridiction de renvoi dans l</w:t>
      </w:r>
      <w:r w:rsidRPr="00A85C28" w:rsidR="00A85C28">
        <w:rPr>
          <w:rFonts w:eastAsia="Times New Roman"/>
        </w:rPr>
        <w:t>’</w:t>
      </w:r>
      <w:r w:rsidRPr="00A85C28">
        <w:rPr>
          <w:rFonts w:eastAsia="Times New Roman"/>
        </w:rPr>
        <w:t>affaire des requérants de la présente espèce, a confirmé le jugement de première instance mais uniquement pour autant qu</w:t>
      </w:r>
      <w:r w:rsidRPr="00A85C28" w:rsidR="00A85C28">
        <w:rPr>
          <w:rFonts w:eastAsia="Times New Roman"/>
        </w:rPr>
        <w:t>’</w:t>
      </w:r>
      <w:r w:rsidRPr="00A85C28">
        <w:rPr>
          <w:rFonts w:eastAsia="Times New Roman"/>
        </w:rPr>
        <w:t>il faisait droit à la demande de transcription de l</w:t>
      </w:r>
      <w:r w:rsidRPr="00A85C28" w:rsidR="00A85C28">
        <w:rPr>
          <w:rFonts w:eastAsia="Times New Roman"/>
        </w:rPr>
        <w:t>’</w:t>
      </w:r>
      <w:r w:rsidRPr="00A85C28">
        <w:rPr>
          <w:rFonts w:eastAsia="Times New Roman"/>
        </w:rPr>
        <w:t>acte de naissance au titre de la filiation paternelle, le père étant le père biologique. Pour la cour d</w:t>
      </w:r>
      <w:r w:rsidRPr="00A85C28" w:rsidR="00A85C28">
        <w:rPr>
          <w:rFonts w:eastAsia="Times New Roman"/>
        </w:rPr>
        <w:t>’</w:t>
      </w:r>
      <w:r w:rsidRPr="00A85C28">
        <w:rPr>
          <w:rFonts w:eastAsia="Times New Roman"/>
        </w:rPr>
        <w:t>appel de Rennes, le lien de filiation de la mère d</w:t>
      </w:r>
      <w:r w:rsidRPr="00A85C28" w:rsidR="00A85C28">
        <w:rPr>
          <w:rFonts w:eastAsia="Times New Roman"/>
        </w:rPr>
        <w:t>’</w:t>
      </w:r>
      <w:r w:rsidRPr="00A85C28">
        <w:rPr>
          <w:rFonts w:eastAsia="Times New Roman"/>
        </w:rPr>
        <w:t>intention devait quant à lui être établi par voie d</w:t>
      </w:r>
      <w:r w:rsidRPr="00A85C28" w:rsidR="00A85C28">
        <w:rPr>
          <w:rFonts w:eastAsia="Times New Roman"/>
        </w:rPr>
        <w:t>’</w:t>
      </w:r>
      <w:r w:rsidRPr="00A85C28">
        <w:rPr>
          <w:rFonts w:eastAsia="Times New Roman"/>
        </w:rPr>
        <w:t>adoption, suivant ainsi la décision précitée de la Cour de Cassation et la distinction y opérée entre le père biologique et la mère d</w:t>
      </w:r>
      <w:r w:rsidRPr="00A85C28" w:rsidR="00A85C28">
        <w:rPr>
          <w:rFonts w:eastAsia="Times New Roman"/>
        </w:rPr>
        <w:t>’</w:t>
      </w:r>
      <w:r w:rsidRPr="00A85C28">
        <w:rPr>
          <w:rFonts w:eastAsia="Times New Roman"/>
        </w:rPr>
        <w:t>intention.</w:t>
      </w:r>
    </w:p>
    <w:p w:rsidRPr="00A85C28" w:rsidR="00067E66" w:rsidP="00A85C28">
      <w:pPr>
        <w:pStyle w:val="ECHRPara"/>
        <w:rPr>
          <w:rFonts w:eastAsia="Times New Roman"/>
        </w:rPr>
      </w:pPr>
      <w:r w:rsidRPr="00A85C28">
        <w:rPr>
          <w:rFonts w:eastAsia="Times New Roman"/>
        </w:rPr>
        <w:fldChar w:fldCharType="begin"/>
      </w:r>
      <w:r w:rsidRPr="00A85C28">
        <w:rPr>
          <w:rFonts w:eastAsia="Times New Roman"/>
        </w:rPr>
        <w:instrText xml:space="preserve"> SEQ level0 \*arabic </w:instrText>
      </w:r>
      <w:r w:rsidRPr="00A85C28">
        <w:rPr>
          <w:rFonts w:eastAsia="Times New Roman"/>
        </w:rPr>
        <w:fldChar w:fldCharType="separate"/>
      </w:r>
      <w:r w:rsidRPr="00A85C28" w:rsidR="00A85C28">
        <w:rPr>
          <w:rFonts w:eastAsia="Times New Roman"/>
          <w:noProof/>
        </w:rPr>
        <w:t>7</w:t>
      </w:r>
      <w:r w:rsidRPr="00A85C28">
        <w:rPr>
          <w:rFonts w:eastAsia="Times New Roman"/>
        </w:rPr>
        <w:fldChar w:fldCharType="end"/>
      </w:r>
      <w:r w:rsidRPr="00A85C28">
        <w:rPr>
          <w:rFonts w:eastAsia="Times New Roman"/>
        </w:rPr>
        <w:t>.  Par conséquent, à ce stade, la marge d</w:t>
      </w:r>
      <w:r w:rsidRPr="00A85C28" w:rsidR="00A85C28">
        <w:rPr>
          <w:rFonts w:eastAsia="Times New Roman"/>
        </w:rPr>
        <w:t>’</w:t>
      </w:r>
      <w:r w:rsidRPr="00A85C28">
        <w:rPr>
          <w:rFonts w:eastAsia="Times New Roman"/>
        </w:rPr>
        <w:t>appréciation dont jouit l</w:t>
      </w:r>
      <w:r w:rsidRPr="00A85C28" w:rsidR="00A85C28">
        <w:rPr>
          <w:rFonts w:eastAsia="Times New Roman"/>
        </w:rPr>
        <w:t>’</w:t>
      </w:r>
      <w:r w:rsidRPr="00A85C28">
        <w:rPr>
          <w:rFonts w:eastAsia="Times New Roman"/>
        </w:rPr>
        <w:t>État défendeur avait été exercée dans un sens permettant la transcription de l</w:t>
      </w:r>
      <w:r w:rsidRPr="00A85C28" w:rsidR="00A85C28">
        <w:rPr>
          <w:rFonts w:eastAsia="Times New Roman"/>
        </w:rPr>
        <w:t>’</w:t>
      </w:r>
      <w:r w:rsidRPr="00A85C28">
        <w:rPr>
          <w:rFonts w:eastAsia="Times New Roman"/>
        </w:rPr>
        <w:t>acte de naissance s</w:t>
      </w:r>
      <w:r w:rsidRPr="00A85C28" w:rsidR="00A85C28">
        <w:rPr>
          <w:rFonts w:eastAsia="Times New Roman"/>
        </w:rPr>
        <w:t>’</w:t>
      </w:r>
      <w:r w:rsidRPr="00A85C28">
        <w:rPr>
          <w:rFonts w:eastAsia="Times New Roman"/>
        </w:rPr>
        <w:t>agissant du parent d</w:t>
      </w:r>
      <w:r w:rsidRPr="00A85C28" w:rsidR="00A85C28">
        <w:rPr>
          <w:rFonts w:eastAsia="Times New Roman"/>
        </w:rPr>
        <w:t>’</w:t>
      </w:r>
      <w:r w:rsidRPr="00A85C28">
        <w:rPr>
          <w:rFonts w:eastAsia="Times New Roman"/>
        </w:rPr>
        <w:t>intention biologique, ce parent étant le père. Le refus de transcription de la filiation maternelle d</w:t>
      </w:r>
      <w:r w:rsidRPr="00A85C28" w:rsidR="00A85C28">
        <w:rPr>
          <w:rFonts w:eastAsia="Times New Roman"/>
        </w:rPr>
        <w:t>’</w:t>
      </w:r>
      <w:r w:rsidRPr="00A85C28">
        <w:rPr>
          <w:rFonts w:eastAsia="Times New Roman"/>
        </w:rPr>
        <w:t>intention était en revanche maintenu, la cour d</w:t>
      </w:r>
      <w:r w:rsidRPr="00A85C28" w:rsidR="00A85C28">
        <w:rPr>
          <w:rFonts w:eastAsia="Times New Roman"/>
        </w:rPr>
        <w:t>’</w:t>
      </w:r>
      <w:r w:rsidRPr="00A85C28">
        <w:rPr>
          <w:rFonts w:eastAsia="Times New Roman"/>
        </w:rPr>
        <w:t>appel de Rennes l</w:t>
      </w:r>
      <w:r w:rsidRPr="00A85C28" w:rsidR="00A85C28">
        <w:rPr>
          <w:rFonts w:eastAsia="Times New Roman"/>
        </w:rPr>
        <w:t>’</w:t>
      </w:r>
      <w:r w:rsidRPr="00A85C28">
        <w:rPr>
          <w:rFonts w:eastAsia="Times New Roman"/>
        </w:rPr>
        <w:t>expliquant ainsi :</w:t>
      </w:r>
    </w:p>
    <w:p w:rsidRPr="00A85C28" w:rsidR="00067E66" w:rsidP="00A85C28">
      <w:pPr>
        <w:pStyle w:val="ECHRParaQuote"/>
        <w:rPr>
          <w:rFonts w:eastAsia="Times New Roman"/>
        </w:rPr>
      </w:pPr>
      <w:r w:rsidRPr="00A85C28">
        <w:rPr>
          <w:rFonts w:eastAsia="Times New Roman"/>
        </w:rPr>
        <w:t>« Concernant la désignation de la mère d</w:t>
      </w:r>
      <w:r w:rsidRPr="00A85C28" w:rsidR="00A85C28">
        <w:rPr>
          <w:rFonts w:eastAsia="Times New Roman"/>
        </w:rPr>
        <w:t>’</w:t>
      </w:r>
      <w:r w:rsidRPr="00A85C28">
        <w:rPr>
          <w:rFonts w:eastAsia="Times New Roman"/>
        </w:rPr>
        <w:t>intention dans l</w:t>
      </w:r>
      <w:r w:rsidRPr="00A85C28" w:rsidR="00A85C28">
        <w:rPr>
          <w:rFonts w:eastAsia="Times New Roman"/>
        </w:rPr>
        <w:t>’</w:t>
      </w:r>
      <w:r w:rsidRPr="00A85C28">
        <w:rPr>
          <w:rFonts w:eastAsia="Times New Roman"/>
        </w:rPr>
        <w:t>acte de naissance, la réalité au sens (de l</w:t>
      </w:r>
      <w:r w:rsidRPr="00A85C28" w:rsidR="00A85C28">
        <w:rPr>
          <w:rFonts w:eastAsia="Times New Roman"/>
        </w:rPr>
        <w:t>’</w:t>
      </w:r>
      <w:r w:rsidRPr="00A85C28">
        <w:rPr>
          <w:rFonts w:eastAsia="Times New Roman"/>
        </w:rPr>
        <w:t>article 47 du code civil), est la réalité de l</w:t>
      </w:r>
      <w:r w:rsidRPr="00A85C28" w:rsidR="00A85C28">
        <w:rPr>
          <w:rFonts w:eastAsia="Times New Roman"/>
        </w:rPr>
        <w:t>’</w:t>
      </w:r>
      <w:r w:rsidRPr="00A85C28">
        <w:rPr>
          <w:rFonts w:eastAsia="Times New Roman"/>
        </w:rPr>
        <w:t>accouchement ;</w:t>
      </w:r>
    </w:p>
    <w:p w:rsidRPr="00A85C28" w:rsidR="00067E66" w:rsidP="00A85C28">
      <w:pPr>
        <w:pStyle w:val="ECHRParaQuote"/>
        <w:rPr>
          <w:rFonts w:eastAsia="Times New Roman"/>
        </w:rPr>
      </w:pPr>
      <w:r w:rsidRPr="00A85C28">
        <w:rPr>
          <w:rFonts w:eastAsia="Times New Roman"/>
        </w:rPr>
        <w:t>(...) le droit positif n</w:t>
      </w:r>
      <w:r w:rsidRPr="00A85C28" w:rsidR="00A85C28">
        <w:rPr>
          <w:rFonts w:eastAsia="Times New Roman"/>
        </w:rPr>
        <w:t>’</w:t>
      </w:r>
      <w:r w:rsidRPr="00A85C28">
        <w:rPr>
          <w:rFonts w:eastAsia="Times New Roman"/>
        </w:rPr>
        <w:t xml:space="preserve">autorise une dérogation au principe </w:t>
      </w:r>
      <w:r w:rsidRPr="00A85C28">
        <w:rPr>
          <w:rFonts w:eastAsia="Times New Roman"/>
          <w:i/>
        </w:rPr>
        <w:t xml:space="preserve">mater semper </w:t>
      </w:r>
      <w:r w:rsidRPr="00A85C28">
        <w:rPr>
          <w:rFonts w:eastAsia="Times New Roman"/>
          <w:i/>
        </w:rPr>
        <w:t>certa</w:t>
      </w:r>
      <w:r w:rsidRPr="00A85C28">
        <w:rPr>
          <w:rFonts w:eastAsia="Times New Roman"/>
          <w:i/>
        </w:rPr>
        <w:t xml:space="preserve"> est</w:t>
      </w:r>
      <w:r w:rsidRPr="00A85C28">
        <w:rPr>
          <w:rFonts w:eastAsia="Times New Roman"/>
        </w:rPr>
        <w:t xml:space="preserve"> que dans le cas expressément limité prévu par le législateur, en matière d</w:t>
      </w:r>
      <w:r w:rsidRPr="00A85C28" w:rsidR="00A85C28">
        <w:rPr>
          <w:rFonts w:eastAsia="Times New Roman"/>
        </w:rPr>
        <w:t>’</w:t>
      </w:r>
      <w:r w:rsidRPr="00A85C28">
        <w:rPr>
          <w:rFonts w:eastAsia="Times New Roman"/>
        </w:rPr>
        <w:t>adoption plénière (...), permettant ainsi de désigner valablement comme mère la femme adoptive qui n</w:t>
      </w:r>
      <w:r w:rsidRPr="00A85C28" w:rsidR="00A85C28">
        <w:rPr>
          <w:rFonts w:eastAsia="Times New Roman"/>
        </w:rPr>
        <w:t>’</w:t>
      </w:r>
      <w:r w:rsidRPr="00A85C28">
        <w:rPr>
          <w:rFonts w:eastAsia="Times New Roman"/>
        </w:rPr>
        <w:t>a pas accouché ».</w:t>
      </w:r>
    </w:p>
    <w:p w:rsidRPr="00A85C28" w:rsidR="00914131" w:rsidP="00A85C28">
      <w:pPr>
        <w:pStyle w:val="ECHRHeading1"/>
        <w:rPr>
          <w:rFonts w:eastAsia="Times New Roman"/>
        </w:rPr>
      </w:pPr>
      <w:r w:rsidRPr="00A85C28">
        <w:rPr>
          <w:rFonts w:eastAsia="Times New Roman"/>
        </w:rPr>
        <w:t>II.  </w:t>
      </w:r>
      <w:r w:rsidRPr="00A85C28" w:rsidR="00EC719B">
        <w:rPr>
          <w:rFonts w:eastAsia="Times New Roman"/>
        </w:rPr>
        <w:t>DÉFAUTS DE PROCÉDURE AYANT CONDUIT, DANS CETTE AFFAIRE, AUX CONSTATS DE NON-VIOLATION</w:t>
      </w:r>
    </w:p>
    <w:p w:rsidRPr="00A85C28" w:rsidR="00067E66" w:rsidP="00A85C28">
      <w:pPr>
        <w:pStyle w:val="ECHRPara"/>
        <w:rPr>
          <w:rFonts w:eastAsia="Times New Roman"/>
        </w:rPr>
      </w:pPr>
      <w:r w:rsidRPr="00A85C28">
        <w:rPr>
          <w:rFonts w:eastAsia="Times New Roman"/>
        </w:rPr>
        <w:fldChar w:fldCharType="begin"/>
      </w:r>
      <w:r w:rsidRPr="00A85C28">
        <w:rPr>
          <w:rFonts w:eastAsia="Times New Roman"/>
        </w:rPr>
        <w:instrText xml:space="preserve"> SEQ level0 \*arabic </w:instrText>
      </w:r>
      <w:r w:rsidRPr="00A85C28">
        <w:rPr>
          <w:rFonts w:eastAsia="Times New Roman"/>
        </w:rPr>
        <w:fldChar w:fldCharType="separate"/>
      </w:r>
      <w:r w:rsidRPr="00A85C28" w:rsidR="00A85C28">
        <w:rPr>
          <w:rFonts w:eastAsia="Times New Roman"/>
          <w:noProof/>
        </w:rPr>
        <w:t>8</w:t>
      </w:r>
      <w:r w:rsidRPr="00A85C28">
        <w:rPr>
          <w:rFonts w:eastAsia="Times New Roman"/>
        </w:rPr>
        <w:fldChar w:fldCharType="end"/>
      </w:r>
      <w:r w:rsidRPr="00A85C28">
        <w:rPr>
          <w:rFonts w:eastAsia="Times New Roman"/>
        </w:rPr>
        <w:t>.  Deux aspects essentiels méritent d</w:t>
      </w:r>
      <w:r w:rsidRPr="00A85C28" w:rsidR="00A85C28">
        <w:rPr>
          <w:rFonts w:eastAsia="Times New Roman"/>
        </w:rPr>
        <w:t>’</w:t>
      </w:r>
      <w:r w:rsidRPr="00A85C28">
        <w:rPr>
          <w:rFonts w:eastAsia="Times New Roman"/>
        </w:rPr>
        <w:t>être notés à ce stade.</w:t>
      </w:r>
    </w:p>
    <w:p w:rsidRPr="00A85C28" w:rsidR="00067E66" w:rsidP="00A85C28">
      <w:pPr>
        <w:pStyle w:val="ECHRPara"/>
        <w:rPr>
          <w:rFonts w:eastAsia="Times New Roman"/>
        </w:rPr>
      </w:pPr>
      <w:r w:rsidRPr="00A85C28">
        <w:rPr>
          <w:rFonts w:eastAsia="Times New Roman"/>
        </w:rPr>
        <w:t>D</w:t>
      </w:r>
      <w:r w:rsidRPr="00A85C28" w:rsidR="00A85C28">
        <w:rPr>
          <w:rFonts w:eastAsia="Times New Roman"/>
        </w:rPr>
        <w:t>’</w:t>
      </w:r>
      <w:r w:rsidRPr="00A85C28">
        <w:rPr>
          <w:rFonts w:eastAsia="Times New Roman"/>
        </w:rPr>
        <w:t>une part, plusieurs informations essentielles ne sont apparues que tardivement au cours de la procédure. Tout d</w:t>
      </w:r>
      <w:r w:rsidRPr="00A85C28" w:rsidR="00A85C28">
        <w:rPr>
          <w:rFonts w:eastAsia="Times New Roman"/>
        </w:rPr>
        <w:t>’</w:t>
      </w:r>
      <w:r w:rsidRPr="00A85C28">
        <w:rPr>
          <w:rFonts w:eastAsia="Times New Roman"/>
        </w:rPr>
        <w:t>abord, il s</w:t>
      </w:r>
      <w:r w:rsidRPr="00A85C28" w:rsidR="00A85C28">
        <w:rPr>
          <w:rFonts w:eastAsia="Times New Roman"/>
        </w:rPr>
        <w:t>’</w:t>
      </w:r>
      <w:r w:rsidRPr="00A85C28">
        <w:rPr>
          <w:rFonts w:eastAsia="Times New Roman"/>
        </w:rPr>
        <w:t>avère que la première requérante est la mère génétique de la troisième requérante. Ce fait n</w:t>
      </w:r>
      <w:r w:rsidRPr="00A85C28" w:rsidR="00A85C28">
        <w:rPr>
          <w:rFonts w:eastAsia="Times New Roman"/>
        </w:rPr>
        <w:t>’</w:t>
      </w:r>
      <w:r w:rsidRPr="00A85C28">
        <w:rPr>
          <w:rFonts w:eastAsia="Times New Roman"/>
        </w:rPr>
        <w:t>a toutefois été éclairci qu</w:t>
      </w:r>
      <w:r w:rsidRPr="00A85C28" w:rsidR="00A85C28">
        <w:rPr>
          <w:rFonts w:eastAsia="Times New Roman"/>
        </w:rPr>
        <w:t>’</w:t>
      </w:r>
      <w:r w:rsidRPr="00A85C28">
        <w:rPr>
          <w:rFonts w:eastAsia="Times New Roman"/>
        </w:rPr>
        <w:t>en 2019, à la suite d</w:t>
      </w:r>
      <w:r w:rsidRPr="00A85C28" w:rsidR="00A85C28">
        <w:rPr>
          <w:rFonts w:eastAsia="Times New Roman"/>
        </w:rPr>
        <w:t>’</w:t>
      </w:r>
      <w:r w:rsidRPr="00A85C28">
        <w:rPr>
          <w:rFonts w:eastAsia="Times New Roman"/>
        </w:rPr>
        <w:t>une demande expresse de la Cour et malgré un premier refus des requérants de partager cette information. Ce fait nouveau et potentiellement clé n</w:t>
      </w:r>
      <w:r w:rsidRPr="00A85C28" w:rsidR="00A85C28">
        <w:rPr>
          <w:rFonts w:eastAsia="Times New Roman"/>
        </w:rPr>
        <w:t>’</w:t>
      </w:r>
      <w:r w:rsidRPr="00A85C28">
        <w:rPr>
          <w:rFonts w:eastAsia="Times New Roman"/>
        </w:rPr>
        <w:t>a jamais été porté, selon les informations dont dispose la Cour, à l</w:t>
      </w:r>
      <w:r w:rsidRPr="00A85C28" w:rsidR="00A85C28">
        <w:rPr>
          <w:rFonts w:eastAsia="Times New Roman"/>
        </w:rPr>
        <w:t>’</w:t>
      </w:r>
      <w:r w:rsidRPr="00A85C28">
        <w:rPr>
          <w:rFonts w:eastAsia="Times New Roman"/>
        </w:rPr>
        <w:t>attention des autorités françaises dont les décisions de refus sont en cause en l</w:t>
      </w:r>
      <w:r w:rsidRPr="00A85C28" w:rsidR="00A85C28">
        <w:rPr>
          <w:rFonts w:eastAsia="Times New Roman"/>
        </w:rPr>
        <w:t>’</w:t>
      </w:r>
      <w:r w:rsidRPr="00A85C28">
        <w:rPr>
          <w:rFonts w:eastAsia="Times New Roman"/>
        </w:rPr>
        <w:t>espèce. Ensuite, s</w:t>
      </w:r>
      <w:r w:rsidRPr="00A85C28" w:rsidR="00A85C28">
        <w:rPr>
          <w:rFonts w:eastAsia="Times New Roman"/>
        </w:rPr>
        <w:t>’</w:t>
      </w:r>
      <w:r w:rsidRPr="00A85C28">
        <w:rPr>
          <w:rFonts w:eastAsia="Times New Roman"/>
        </w:rPr>
        <w:t>agissant du grief relatif à l</w:t>
      </w:r>
      <w:r w:rsidRPr="00A85C28" w:rsidR="00A85C28">
        <w:rPr>
          <w:rFonts w:eastAsia="Times New Roman"/>
        </w:rPr>
        <w:t>’</w:t>
      </w:r>
      <w:r w:rsidRPr="00A85C28">
        <w:rPr>
          <w:rFonts w:eastAsia="Times New Roman"/>
        </w:rPr>
        <w:t>article 8 combiné avec l</w:t>
      </w:r>
      <w:r w:rsidRPr="00A85C28" w:rsidR="00A85C28">
        <w:rPr>
          <w:rFonts w:eastAsia="Times New Roman"/>
        </w:rPr>
        <w:t>’</w:t>
      </w:r>
      <w:r w:rsidRPr="00A85C28">
        <w:rPr>
          <w:rFonts w:eastAsia="Times New Roman"/>
        </w:rPr>
        <w:t>article 14 de la Convention, ce n</w:t>
      </w:r>
      <w:r w:rsidRPr="00A85C28" w:rsidR="00A85C28">
        <w:rPr>
          <w:rFonts w:eastAsia="Times New Roman"/>
        </w:rPr>
        <w:t>’</w:t>
      </w:r>
      <w:r w:rsidRPr="00A85C28">
        <w:rPr>
          <w:rFonts w:eastAsia="Times New Roman"/>
        </w:rPr>
        <w:t xml:space="preserve">est que dans des observations supplémentaires soumises à la Cour le 11 février 2020 que les requérants ont mis en avant une différence de traitement entre un père biologique et une mère biologique, </w:t>
      </w:r>
      <w:r w:rsidRPr="00A85C28">
        <w:rPr>
          <w:rFonts w:eastAsia="Times New Roman"/>
        </w:rPr>
        <w:t>méconnaissant ainsi très clairement la règle des six mois (voir §§ 81-82 de l</w:t>
      </w:r>
      <w:r w:rsidRPr="00A85C28" w:rsidR="00A85C28">
        <w:rPr>
          <w:rFonts w:eastAsia="Times New Roman"/>
        </w:rPr>
        <w:t>’</w:t>
      </w:r>
      <w:r w:rsidRPr="00A85C28">
        <w:rPr>
          <w:rFonts w:eastAsia="Times New Roman"/>
        </w:rPr>
        <w:t>arrêt de la chambre).</w:t>
      </w:r>
    </w:p>
    <w:p w:rsidRPr="00A85C28" w:rsidR="00067E66" w:rsidP="00A85C28">
      <w:pPr>
        <w:pStyle w:val="ECHRPara"/>
        <w:rPr>
          <w:rFonts w:eastAsia="Times New Roman"/>
        </w:rPr>
      </w:pPr>
      <w:r w:rsidRPr="00A85C28">
        <w:rPr>
          <w:rFonts w:eastAsia="Times New Roman"/>
        </w:rPr>
        <w:t>D</w:t>
      </w:r>
      <w:r w:rsidRPr="00A85C28" w:rsidR="00A85C28">
        <w:rPr>
          <w:rFonts w:eastAsia="Times New Roman"/>
        </w:rPr>
        <w:t>’</w:t>
      </w:r>
      <w:r w:rsidRPr="00A85C28">
        <w:rPr>
          <w:rFonts w:eastAsia="Times New Roman"/>
        </w:rPr>
        <w:t>autre part, à la suite de l</w:t>
      </w:r>
      <w:r w:rsidRPr="00A85C28" w:rsidR="00A85C28">
        <w:rPr>
          <w:rFonts w:eastAsia="Times New Roman"/>
        </w:rPr>
        <w:t>’</w:t>
      </w:r>
      <w:r w:rsidRPr="00A85C28">
        <w:rPr>
          <w:rFonts w:eastAsia="Times New Roman"/>
        </w:rPr>
        <w:t>arrêt de la cour d</w:t>
      </w:r>
      <w:r w:rsidRPr="00A85C28" w:rsidR="00A85C28">
        <w:rPr>
          <w:rFonts w:eastAsia="Times New Roman"/>
        </w:rPr>
        <w:t>’</w:t>
      </w:r>
      <w:r w:rsidRPr="00A85C28">
        <w:rPr>
          <w:rFonts w:eastAsia="Times New Roman"/>
        </w:rPr>
        <w:t>appel de Rennes de décembre 2017, les requérants ne se sont pas pourvus en cassation. Ainsi, au lieu d</w:t>
      </w:r>
      <w:r w:rsidRPr="00A85C28" w:rsidR="00A85C28">
        <w:rPr>
          <w:rFonts w:eastAsia="Times New Roman"/>
        </w:rPr>
        <w:t>’</w:t>
      </w:r>
      <w:r w:rsidRPr="00A85C28">
        <w:rPr>
          <w:rFonts w:eastAsia="Times New Roman"/>
        </w:rPr>
        <w:t>agir devant la Cour de Cassation, ils ont introduit leur demande directement devant la Cour.</w:t>
      </w:r>
    </w:p>
    <w:p w:rsidRPr="00A85C28" w:rsidR="00067E66" w:rsidP="00A85C28">
      <w:pPr>
        <w:pStyle w:val="ECHRPara"/>
        <w:rPr>
          <w:rFonts w:eastAsia="Times New Roman"/>
        </w:rPr>
      </w:pPr>
      <w:r w:rsidRPr="00A85C28">
        <w:rPr>
          <w:rFonts w:eastAsia="Times New Roman"/>
        </w:rPr>
        <w:fldChar w:fldCharType="begin"/>
      </w:r>
      <w:r w:rsidRPr="00A85C28">
        <w:rPr>
          <w:rFonts w:eastAsia="Times New Roman"/>
        </w:rPr>
        <w:instrText xml:space="preserve"> SEQ level0 \*arabic </w:instrText>
      </w:r>
      <w:r w:rsidRPr="00A85C28">
        <w:rPr>
          <w:rFonts w:eastAsia="Times New Roman"/>
        </w:rPr>
        <w:fldChar w:fldCharType="separate"/>
      </w:r>
      <w:r w:rsidRPr="00A85C28" w:rsidR="00A85C28">
        <w:rPr>
          <w:rFonts w:eastAsia="Times New Roman"/>
          <w:noProof/>
        </w:rPr>
        <w:t>9</w:t>
      </w:r>
      <w:r w:rsidRPr="00A85C28">
        <w:rPr>
          <w:rFonts w:eastAsia="Times New Roman"/>
        </w:rPr>
        <w:fldChar w:fldCharType="end"/>
      </w:r>
      <w:r w:rsidRPr="00A85C28">
        <w:rPr>
          <w:rFonts w:eastAsia="Times New Roman"/>
        </w:rPr>
        <w:t>.  En pareil cas, il est habituel qu</w:t>
      </w:r>
      <w:r w:rsidRPr="00A85C28" w:rsidR="00A85C28">
        <w:rPr>
          <w:rFonts w:eastAsia="Times New Roman"/>
        </w:rPr>
        <w:t>’</w:t>
      </w:r>
      <w:r w:rsidRPr="00A85C28">
        <w:rPr>
          <w:rFonts w:eastAsia="Times New Roman"/>
        </w:rPr>
        <w:t>un gouvernement défendeur introduise une exception préliminaire de non-épuisement des voies de recours internes au titre de l</w:t>
      </w:r>
      <w:r w:rsidRPr="00A85C28" w:rsidR="00A85C28">
        <w:rPr>
          <w:rFonts w:eastAsia="Times New Roman"/>
        </w:rPr>
        <w:t>’</w:t>
      </w:r>
      <w:r w:rsidRPr="00A85C28">
        <w:rPr>
          <w:rFonts w:eastAsia="Times New Roman"/>
        </w:rPr>
        <w:t>article 35 § 1 de la Convention, les requérants n</w:t>
      </w:r>
      <w:r w:rsidRPr="00A85C28" w:rsidR="00A85C28">
        <w:rPr>
          <w:rFonts w:eastAsia="Times New Roman"/>
        </w:rPr>
        <w:t>’</w:t>
      </w:r>
      <w:r w:rsidRPr="00A85C28">
        <w:rPr>
          <w:rFonts w:eastAsia="Times New Roman"/>
        </w:rPr>
        <w:t>ayant pas épuisé la voie de recours apparemment effective qui était à leur disposition. Toutefois, en l</w:t>
      </w:r>
      <w:r w:rsidRPr="00A85C28" w:rsidR="00A85C28">
        <w:rPr>
          <w:rFonts w:eastAsia="Times New Roman"/>
        </w:rPr>
        <w:t>’</w:t>
      </w:r>
      <w:r w:rsidRPr="00A85C28">
        <w:rPr>
          <w:rFonts w:eastAsia="Times New Roman"/>
        </w:rPr>
        <w:t>espèce, ainsi qu</w:t>
      </w:r>
      <w:r w:rsidRPr="00A85C28" w:rsidR="00A85C28">
        <w:rPr>
          <w:rFonts w:eastAsia="Times New Roman"/>
        </w:rPr>
        <w:t>’</w:t>
      </w:r>
      <w:r w:rsidRPr="00A85C28">
        <w:rPr>
          <w:rFonts w:eastAsia="Times New Roman"/>
        </w:rPr>
        <w:t>il ressort du paragraphe 30 de l</w:t>
      </w:r>
      <w:r w:rsidRPr="00A85C28" w:rsidR="00A85C28">
        <w:rPr>
          <w:rFonts w:eastAsia="Times New Roman"/>
        </w:rPr>
        <w:t>’</w:t>
      </w:r>
      <w:r w:rsidRPr="00A85C28">
        <w:rPr>
          <w:rFonts w:eastAsia="Times New Roman"/>
        </w:rPr>
        <w:t>arrêt de la chambre, malgré une question explicite de la Cour relative à l</w:t>
      </w:r>
      <w:r w:rsidRPr="00A85C28" w:rsidR="00A85C28">
        <w:rPr>
          <w:rFonts w:eastAsia="Times New Roman"/>
        </w:rPr>
        <w:t>’</w:t>
      </w:r>
      <w:r w:rsidRPr="00A85C28">
        <w:rPr>
          <w:rFonts w:eastAsia="Times New Roman"/>
        </w:rPr>
        <w:t>épuisement des voies de recours internes, le Gouvernement a renoncé à soulever l</w:t>
      </w:r>
      <w:r w:rsidRPr="00A85C28" w:rsidR="00A85C28">
        <w:rPr>
          <w:rFonts w:eastAsia="Times New Roman"/>
        </w:rPr>
        <w:t>’</w:t>
      </w:r>
      <w:r w:rsidRPr="00A85C28">
        <w:rPr>
          <w:rFonts w:eastAsia="Times New Roman"/>
        </w:rPr>
        <w:t>irrecevabilité de la requête</w:t>
      </w:r>
      <w:r>
        <w:rPr>
          <w:rStyle w:val="FootnoteReference"/>
          <w:rFonts w:eastAsia="Times New Roman"/>
        </w:rPr>
        <w:footnoteReference w:id="3"/>
      </w:r>
      <w:r w:rsidRPr="00A85C28">
        <w:rPr>
          <w:rFonts w:eastAsia="Times New Roman"/>
        </w:rPr>
        <w:t>.</w:t>
      </w:r>
    </w:p>
    <w:p w:rsidRPr="00A85C28" w:rsidR="00067E66" w:rsidP="00A85C28">
      <w:pPr>
        <w:pStyle w:val="ECHRPara"/>
        <w:rPr>
          <w:rFonts w:eastAsia="Times New Roman"/>
        </w:rPr>
      </w:pPr>
      <w:r w:rsidRPr="00A85C28">
        <w:rPr>
          <w:rFonts w:eastAsia="Times New Roman"/>
        </w:rPr>
        <w:fldChar w:fldCharType="begin"/>
      </w:r>
      <w:r w:rsidRPr="00A85C28">
        <w:rPr>
          <w:rFonts w:eastAsia="Times New Roman"/>
        </w:rPr>
        <w:instrText xml:space="preserve"> SEQ level0 \*arabic </w:instrText>
      </w:r>
      <w:r w:rsidRPr="00A85C28">
        <w:rPr>
          <w:rFonts w:eastAsia="Times New Roman"/>
        </w:rPr>
        <w:fldChar w:fldCharType="separate"/>
      </w:r>
      <w:r w:rsidRPr="00A85C28" w:rsidR="00A85C28">
        <w:rPr>
          <w:rFonts w:eastAsia="Times New Roman"/>
          <w:noProof/>
        </w:rPr>
        <w:t>10</w:t>
      </w:r>
      <w:r w:rsidRPr="00A85C28">
        <w:rPr>
          <w:rFonts w:eastAsia="Times New Roman"/>
        </w:rPr>
        <w:fldChar w:fldCharType="end"/>
      </w:r>
      <w:r w:rsidRPr="00A85C28">
        <w:rPr>
          <w:rFonts w:eastAsia="Times New Roman"/>
        </w:rPr>
        <w:t>.  Il s</w:t>
      </w:r>
      <w:r w:rsidRPr="00A85C28" w:rsidR="00A85C28">
        <w:rPr>
          <w:rFonts w:eastAsia="Times New Roman"/>
        </w:rPr>
        <w:t>’</w:t>
      </w:r>
      <w:r w:rsidRPr="00A85C28">
        <w:rPr>
          <w:rFonts w:eastAsia="Times New Roman"/>
        </w:rPr>
        <w:t>ensuit que, dans la présente affaire, tant les requérants (qui se sont abstenus de communiquer des informations essentielles au niveau interne et devant la Cour et de se pourvoir devant la Cour de Cassation, et qui ont élargi tardivement leur grief relatif à l</w:t>
      </w:r>
      <w:r w:rsidRPr="00A85C28" w:rsidR="00A85C28">
        <w:rPr>
          <w:rFonts w:eastAsia="Times New Roman"/>
        </w:rPr>
        <w:t>’</w:t>
      </w:r>
      <w:r w:rsidRPr="00A85C28">
        <w:rPr>
          <w:rFonts w:eastAsia="Times New Roman"/>
        </w:rPr>
        <w:t>article 14 devant la Cour) que le gouvernement défendeur (qui n</w:t>
      </w:r>
      <w:r w:rsidRPr="00A85C28" w:rsidR="00A85C28">
        <w:rPr>
          <w:rFonts w:eastAsia="Times New Roman"/>
        </w:rPr>
        <w:t>’</w:t>
      </w:r>
      <w:r w:rsidRPr="00A85C28">
        <w:rPr>
          <w:rFonts w:eastAsia="Times New Roman"/>
        </w:rPr>
        <w:t>a pas soulevé d</w:t>
      </w:r>
      <w:r w:rsidRPr="00A85C28" w:rsidR="00A85C28">
        <w:rPr>
          <w:rFonts w:eastAsia="Times New Roman"/>
        </w:rPr>
        <w:t>’</w:t>
      </w:r>
      <w:r w:rsidRPr="00A85C28">
        <w:rPr>
          <w:rFonts w:eastAsia="Times New Roman"/>
        </w:rPr>
        <w:t>exception d</w:t>
      </w:r>
      <w:r w:rsidRPr="00A85C28" w:rsidR="00A85C28">
        <w:rPr>
          <w:rFonts w:eastAsia="Times New Roman"/>
        </w:rPr>
        <w:t>’</w:t>
      </w:r>
      <w:r w:rsidRPr="00A85C28">
        <w:rPr>
          <w:rFonts w:eastAsia="Times New Roman"/>
        </w:rPr>
        <w:t>irrecevabilité pour non-épuisement) ont placé la Cour dans une situation impossible. En s</w:t>
      </w:r>
      <w:r w:rsidRPr="00A85C28" w:rsidR="00A85C28">
        <w:rPr>
          <w:rFonts w:eastAsia="Times New Roman"/>
        </w:rPr>
        <w:t>’</w:t>
      </w:r>
      <w:r w:rsidRPr="00A85C28">
        <w:rPr>
          <w:rFonts w:eastAsia="Times New Roman"/>
        </w:rPr>
        <w:t>abstenant de soulever une exception d</w:t>
      </w:r>
      <w:r w:rsidRPr="00A85C28" w:rsidR="00A85C28">
        <w:rPr>
          <w:rFonts w:eastAsia="Times New Roman"/>
        </w:rPr>
        <w:t>’</w:t>
      </w:r>
      <w:r w:rsidRPr="00A85C28">
        <w:rPr>
          <w:rFonts w:eastAsia="Times New Roman"/>
        </w:rPr>
        <w:t>irrecevabilité pour non-épuisement, le Gouvernement n</w:t>
      </w:r>
      <w:r w:rsidRPr="00A85C28" w:rsidR="00A85C28">
        <w:rPr>
          <w:rFonts w:eastAsia="Times New Roman"/>
        </w:rPr>
        <w:t>’</w:t>
      </w:r>
      <w:r w:rsidRPr="00A85C28">
        <w:rPr>
          <w:rFonts w:eastAsia="Times New Roman"/>
        </w:rPr>
        <w:t>a pas permis à la Cour de statuer par voie d</w:t>
      </w:r>
      <w:r w:rsidRPr="00A85C28" w:rsidR="00A85C28">
        <w:rPr>
          <w:rFonts w:eastAsia="Times New Roman"/>
        </w:rPr>
        <w:t>’</w:t>
      </w:r>
      <w:r w:rsidRPr="00A85C28">
        <w:rPr>
          <w:rFonts w:eastAsia="Times New Roman"/>
        </w:rPr>
        <w:t>une décision concluant à l</w:t>
      </w:r>
      <w:r w:rsidRPr="00A85C28" w:rsidR="00A85C28">
        <w:rPr>
          <w:rFonts w:eastAsia="Times New Roman"/>
        </w:rPr>
        <w:t>’</w:t>
      </w:r>
      <w:r w:rsidRPr="00A85C28">
        <w:rPr>
          <w:rFonts w:eastAsia="Times New Roman"/>
        </w:rPr>
        <w:t xml:space="preserve">irrecevabilité pour cette raison limitée. En ce qui concerne les requérants, outre que leur façon de plaider leur affaire pose de multiples problèmes, une décision de la chambre concluant au défaut </w:t>
      </w:r>
      <w:r w:rsidRPr="00A85C28">
        <w:rPr>
          <w:rFonts w:eastAsia="Times New Roman"/>
          <w:i/>
        </w:rPr>
        <w:t>manifeste</w:t>
      </w:r>
      <w:r w:rsidRPr="00A85C28">
        <w:rPr>
          <w:rFonts w:eastAsia="Times New Roman"/>
        </w:rPr>
        <w:t xml:space="preserve"> de fondement pour leur grief relatif à l</w:t>
      </w:r>
      <w:r w:rsidRPr="00A85C28" w:rsidR="00A85C28">
        <w:rPr>
          <w:rFonts w:eastAsia="Times New Roman"/>
        </w:rPr>
        <w:t>’</w:t>
      </w:r>
      <w:r w:rsidRPr="00A85C28">
        <w:rPr>
          <w:rFonts w:eastAsia="Times New Roman"/>
        </w:rPr>
        <w:t>article 8 de la Convention aurait pu donner une impression erronée de la portée de la jurisprudence actuelle de la Cour relative à l</w:t>
      </w:r>
      <w:r w:rsidRPr="00A85C28" w:rsidR="00A85C28">
        <w:rPr>
          <w:rFonts w:eastAsia="Times New Roman"/>
        </w:rPr>
        <w:t>’</w:t>
      </w:r>
      <w:r w:rsidRPr="00A85C28">
        <w:rPr>
          <w:rFonts w:eastAsia="Times New Roman"/>
        </w:rPr>
        <w:t>article 8 de la Convention, dès lors que la Cour n</w:t>
      </w:r>
      <w:r w:rsidRPr="00A85C28" w:rsidR="00A85C28">
        <w:rPr>
          <w:rFonts w:eastAsia="Times New Roman"/>
        </w:rPr>
        <w:t>’</w:t>
      </w:r>
      <w:r w:rsidRPr="00A85C28">
        <w:rPr>
          <w:rFonts w:eastAsia="Times New Roman"/>
        </w:rPr>
        <w:t>a pas encore traité le cas de figure d</w:t>
      </w:r>
      <w:r w:rsidRPr="00A85C28" w:rsidR="00A85C28">
        <w:rPr>
          <w:rFonts w:eastAsia="Times New Roman"/>
        </w:rPr>
        <w:t>’</w:t>
      </w:r>
      <w:r w:rsidRPr="00A85C28">
        <w:rPr>
          <w:rFonts w:eastAsia="Times New Roman"/>
        </w:rPr>
        <w:t>une mère d</w:t>
      </w:r>
      <w:r w:rsidRPr="00A85C28" w:rsidR="00A85C28">
        <w:rPr>
          <w:rFonts w:eastAsia="Times New Roman"/>
        </w:rPr>
        <w:t>’</w:t>
      </w:r>
      <w:r w:rsidRPr="00A85C28">
        <w:rPr>
          <w:rFonts w:eastAsia="Times New Roman"/>
        </w:rPr>
        <w:t>intention génétique.</w:t>
      </w:r>
    </w:p>
    <w:p w:rsidRPr="00A85C28" w:rsidR="00067E66" w:rsidP="00A85C28">
      <w:pPr>
        <w:pStyle w:val="ECHRPara"/>
        <w:rPr>
          <w:rFonts w:eastAsia="Times New Roman"/>
        </w:rPr>
      </w:pPr>
      <w:r w:rsidRPr="00A85C28">
        <w:rPr>
          <w:rFonts w:eastAsia="Times New Roman"/>
        </w:rPr>
        <w:fldChar w:fldCharType="begin"/>
      </w:r>
      <w:r w:rsidRPr="00A85C28">
        <w:rPr>
          <w:rFonts w:eastAsia="Times New Roman"/>
        </w:rPr>
        <w:instrText xml:space="preserve"> SEQ level0 \*arabic </w:instrText>
      </w:r>
      <w:r w:rsidRPr="00A85C28">
        <w:rPr>
          <w:rFonts w:eastAsia="Times New Roman"/>
        </w:rPr>
        <w:fldChar w:fldCharType="separate"/>
      </w:r>
      <w:r w:rsidRPr="00A85C28" w:rsidR="00A85C28">
        <w:rPr>
          <w:rFonts w:eastAsia="Times New Roman"/>
          <w:noProof/>
        </w:rPr>
        <w:t>11</w:t>
      </w:r>
      <w:r w:rsidRPr="00A85C28">
        <w:rPr>
          <w:rFonts w:eastAsia="Times New Roman"/>
        </w:rPr>
        <w:fldChar w:fldCharType="end"/>
      </w:r>
      <w:r w:rsidRPr="00A85C28">
        <w:rPr>
          <w:rFonts w:eastAsia="Times New Roman"/>
        </w:rPr>
        <w:t>.  S</w:t>
      </w:r>
      <w:r w:rsidRPr="00A85C28" w:rsidR="00A85C28">
        <w:rPr>
          <w:rFonts w:eastAsia="Times New Roman"/>
        </w:rPr>
        <w:t>’</w:t>
      </w:r>
      <w:r w:rsidRPr="00A85C28">
        <w:rPr>
          <w:rFonts w:eastAsia="Times New Roman"/>
        </w:rPr>
        <w:t>agissant du défaut d</w:t>
      </w:r>
      <w:r w:rsidRPr="00A85C28" w:rsidR="00A85C28">
        <w:rPr>
          <w:rFonts w:eastAsia="Times New Roman"/>
        </w:rPr>
        <w:t>’</w:t>
      </w:r>
      <w:r w:rsidRPr="00A85C28">
        <w:rPr>
          <w:rFonts w:eastAsia="Times New Roman"/>
        </w:rPr>
        <w:t>épuisement des voies de recours internes, il convient de souligner que la Cour n</w:t>
      </w:r>
      <w:r w:rsidRPr="00A85C28" w:rsidR="00A85C28">
        <w:rPr>
          <w:rFonts w:eastAsia="Times New Roman"/>
        </w:rPr>
        <w:t>’</w:t>
      </w:r>
      <w:r w:rsidRPr="00A85C28">
        <w:rPr>
          <w:rFonts w:eastAsia="Times New Roman"/>
        </w:rPr>
        <w:t xml:space="preserve">a pas actuellement pour pratique de soulever pareille exception </w:t>
      </w:r>
      <w:r w:rsidRPr="00A85C28">
        <w:rPr>
          <w:rFonts w:eastAsia="Times New Roman"/>
          <w:i/>
        </w:rPr>
        <w:t>proprio motu</w:t>
      </w:r>
      <w:r w:rsidRPr="00A85C28">
        <w:rPr>
          <w:rFonts w:eastAsia="Times New Roman"/>
        </w:rPr>
        <w:t xml:space="preserve"> (voir, par exemple, </w:t>
      </w:r>
      <w:r w:rsidRPr="00A85C28">
        <w:rPr>
          <w:rFonts w:eastAsia="Times New Roman"/>
          <w:i/>
        </w:rPr>
        <w:t>Banque internationale pour le commerce et l</w:t>
      </w:r>
      <w:r w:rsidRPr="00A85C28" w:rsidR="001952DC">
        <w:rPr>
          <w:rFonts w:eastAsia="Times New Roman"/>
          <w:i/>
        </w:rPr>
        <w:t>e développement AD et autres c. </w:t>
      </w:r>
      <w:r w:rsidRPr="00A85C28">
        <w:rPr>
          <w:rFonts w:eastAsia="Times New Roman"/>
          <w:i/>
        </w:rPr>
        <w:t>Bulgarie</w:t>
      </w:r>
      <w:r w:rsidRPr="00A85C28">
        <w:rPr>
          <w:rFonts w:eastAsia="Times New Roman"/>
        </w:rPr>
        <w:t>, n</w:t>
      </w:r>
      <w:r w:rsidRPr="00A85C28">
        <w:rPr>
          <w:rFonts w:eastAsia="Times New Roman"/>
          <w:vertAlign w:val="superscript"/>
        </w:rPr>
        <w:t>o</w:t>
      </w:r>
      <w:r w:rsidRPr="00A85C28">
        <w:rPr>
          <w:rFonts w:eastAsia="Times New Roman"/>
        </w:rPr>
        <w:t xml:space="preserve"> 7031/05, § 131, 2 juin 2016, et la jurisprudence qui y est citée). Si la règle du délai de six mois endéans lesquels il convient de saisir la Cour à partir de la date de décision interne définitive, également prévue </w:t>
      </w:r>
      <w:r w:rsidRPr="00A85C28">
        <w:rPr>
          <w:rFonts w:eastAsia="Times New Roman"/>
        </w:rPr>
        <w:t>par l</w:t>
      </w:r>
      <w:r w:rsidRPr="00A85C28" w:rsidR="00A85C28">
        <w:rPr>
          <w:rFonts w:eastAsia="Times New Roman"/>
        </w:rPr>
        <w:t>’</w:t>
      </w:r>
      <w:r w:rsidRPr="00A85C28">
        <w:rPr>
          <w:rFonts w:eastAsia="Times New Roman"/>
        </w:rPr>
        <w:t>article 35 § 1 de la Convention, est considérée comme une règle d</w:t>
      </w:r>
      <w:r w:rsidRPr="00A85C28" w:rsidR="00A85C28">
        <w:rPr>
          <w:rFonts w:eastAsia="Times New Roman"/>
        </w:rPr>
        <w:t>’</w:t>
      </w:r>
      <w:r w:rsidRPr="00A85C28">
        <w:rPr>
          <w:rFonts w:eastAsia="Times New Roman"/>
        </w:rPr>
        <w:t>ordre public touchant à la compétence même de la Cour, de sorte qu</w:t>
      </w:r>
      <w:r w:rsidRPr="00A85C28" w:rsidR="00A85C28">
        <w:rPr>
          <w:rFonts w:eastAsia="Times New Roman"/>
        </w:rPr>
        <w:t>’</w:t>
      </w:r>
      <w:r w:rsidRPr="00A85C28">
        <w:rPr>
          <w:rFonts w:eastAsia="Times New Roman"/>
        </w:rPr>
        <w:t>elle peut et doit être soulevée d</w:t>
      </w:r>
      <w:r w:rsidRPr="00A85C28" w:rsidR="00A85C28">
        <w:rPr>
          <w:rFonts w:eastAsia="Times New Roman"/>
        </w:rPr>
        <w:t>’</w:t>
      </w:r>
      <w:r w:rsidRPr="00A85C28">
        <w:rPr>
          <w:rFonts w:eastAsia="Times New Roman"/>
        </w:rPr>
        <w:t>office, tel n</w:t>
      </w:r>
      <w:r w:rsidRPr="00A85C28" w:rsidR="00A85C28">
        <w:rPr>
          <w:rFonts w:eastAsia="Times New Roman"/>
        </w:rPr>
        <w:t>’</w:t>
      </w:r>
      <w:r w:rsidRPr="00A85C28">
        <w:rPr>
          <w:rFonts w:eastAsia="Times New Roman"/>
        </w:rPr>
        <w:t>est pas le cas pour la règle de non-épuisement :</w:t>
      </w:r>
    </w:p>
    <w:p w:rsidRPr="00A85C28" w:rsidR="00067E66" w:rsidP="00A85C28">
      <w:pPr>
        <w:pStyle w:val="ECHRParaQuote"/>
        <w:rPr>
          <w:rFonts w:eastAsia="Times New Roman"/>
        </w:rPr>
      </w:pPr>
      <w:r w:rsidRPr="00A85C28">
        <w:rPr>
          <w:rFonts w:eastAsia="Times New Roman"/>
        </w:rPr>
        <w:t>« (</w:t>
      </w:r>
      <w:r w:rsidRPr="00A85C28" w:rsidR="00071E92">
        <w:rPr>
          <w:rFonts w:eastAsia="Times New Roman"/>
        </w:rPr>
        <w:t>...</w:t>
      </w:r>
      <w:r w:rsidRPr="00A85C28">
        <w:rPr>
          <w:rFonts w:eastAsia="Times New Roman"/>
        </w:rPr>
        <w:t>) [l</w:t>
      </w:r>
      <w:r w:rsidRPr="00A85C28" w:rsidR="00A85C28">
        <w:rPr>
          <w:rFonts w:eastAsia="Times New Roman"/>
        </w:rPr>
        <w:t>’</w:t>
      </w:r>
      <w:r w:rsidRPr="00A85C28">
        <w:rPr>
          <w:rFonts w:eastAsia="Times New Roman"/>
        </w:rPr>
        <w:t>]incompatibilité</w:t>
      </w:r>
      <w:r w:rsidRPr="00A85C28">
        <w:rPr>
          <w:rFonts w:eastAsia="Times New Roman"/>
        </w:rPr>
        <w:t xml:space="preserve"> </w:t>
      </w:r>
      <w:r w:rsidRPr="00A85C28">
        <w:rPr>
          <w:rFonts w:eastAsia="Times New Roman"/>
          <w:i/>
        </w:rPr>
        <w:t>ratione</w:t>
      </w:r>
      <w:r w:rsidRPr="00A85C28">
        <w:rPr>
          <w:rFonts w:eastAsia="Times New Roman"/>
          <w:i/>
        </w:rPr>
        <w:t xml:space="preserve"> </w:t>
      </w:r>
      <w:r w:rsidRPr="00A85C28">
        <w:rPr>
          <w:rFonts w:eastAsia="Times New Roman"/>
          <w:i/>
        </w:rPr>
        <w:t>temporis</w:t>
      </w:r>
      <w:r w:rsidRPr="00A85C28">
        <w:rPr>
          <w:rFonts w:eastAsia="Times New Roman"/>
        </w:rPr>
        <w:t xml:space="preserve"> est une question qui touche à la compétence de la Cour plutôt qu</w:t>
      </w:r>
      <w:r w:rsidRPr="00A85C28" w:rsidR="00A85C28">
        <w:rPr>
          <w:rFonts w:eastAsia="Times New Roman"/>
        </w:rPr>
        <w:t>’</w:t>
      </w:r>
      <w:r w:rsidRPr="00A85C28">
        <w:rPr>
          <w:rFonts w:eastAsia="Times New Roman"/>
        </w:rPr>
        <w:t>une question de recevabilité au sens étroit du terme. Dès lors que l</w:t>
      </w:r>
      <w:r w:rsidRPr="00A85C28" w:rsidR="00A85C28">
        <w:rPr>
          <w:rFonts w:eastAsia="Times New Roman"/>
        </w:rPr>
        <w:t>’</w:t>
      </w:r>
      <w:r w:rsidRPr="00A85C28">
        <w:rPr>
          <w:rFonts w:eastAsia="Times New Roman"/>
        </w:rPr>
        <w:t>étendue de la compétence de la Cour est déterminée par la Convention elle-même, spécialement par son article 32, et non par les observations soumises par les parties dans une affaire donnée, l</w:t>
      </w:r>
      <w:r w:rsidRPr="00A85C28" w:rsidR="00A85C28">
        <w:rPr>
          <w:rFonts w:eastAsia="Times New Roman"/>
        </w:rPr>
        <w:t>’</w:t>
      </w:r>
      <w:r w:rsidRPr="00A85C28">
        <w:rPr>
          <w:rFonts w:eastAsia="Times New Roman"/>
        </w:rPr>
        <w:t>absence d</w:t>
      </w:r>
      <w:r w:rsidRPr="00A85C28" w:rsidR="00A85C28">
        <w:rPr>
          <w:rFonts w:eastAsia="Times New Roman"/>
        </w:rPr>
        <w:t>’</w:t>
      </w:r>
      <w:r w:rsidRPr="00A85C28">
        <w:rPr>
          <w:rFonts w:eastAsia="Times New Roman"/>
        </w:rPr>
        <w:t>une exception d</w:t>
      </w:r>
      <w:r w:rsidRPr="00A85C28" w:rsidR="00A85C28">
        <w:rPr>
          <w:rFonts w:eastAsia="Times New Roman"/>
        </w:rPr>
        <w:t>’</w:t>
      </w:r>
      <w:r w:rsidRPr="00A85C28">
        <w:rPr>
          <w:rFonts w:eastAsia="Times New Roman"/>
        </w:rPr>
        <w:t>incompatibilité ne saurait en soi avoir pour effet d</w:t>
      </w:r>
      <w:r w:rsidRPr="00A85C28" w:rsidR="00A85C28">
        <w:rPr>
          <w:rFonts w:eastAsia="Times New Roman"/>
        </w:rPr>
        <w:t>’</w:t>
      </w:r>
      <w:r w:rsidRPr="00A85C28">
        <w:rPr>
          <w:rFonts w:eastAsia="Times New Roman"/>
        </w:rPr>
        <w:t>étendre cette compétence. » (</w:t>
      </w:r>
      <w:r w:rsidRPr="00A85C28">
        <w:rPr>
          <w:rFonts w:eastAsia="Times New Roman"/>
          <w:i/>
        </w:rPr>
        <w:t>Blečić</w:t>
      </w:r>
      <w:r w:rsidRPr="00A85C28">
        <w:rPr>
          <w:rFonts w:eastAsia="Times New Roman"/>
          <w:i/>
        </w:rPr>
        <w:t xml:space="preserve"> c. Croatie</w:t>
      </w:r>
      <w:r w:rsidRPr="00A85C28">
        <w:rPr>
          <w:rFonts w:eastAsia="Times New Roman"/>
        </w:rPr>
        <w:t xml:space="preserve"> [GC], n</w:t>
      </w:r>
      <w:r w:rsidRPr="00A85C28">
        <w:rPr>
          <w:rFonts w:eastAsia="Times New Roman"/>
          <w:vertAlign w:val="superscript"/>
        </w:rPr>
        <w:t>o </w:t>
      </w:r>
      <w:r w:rsidRPr="00A85C28">
        <w:rPr>
          <w:rFonts w:eastAsia="Times New Roman"/>
        </w:rPr>
        <w:t>59532/00, § 67, 8 mars 2006, italique ajouté).</w:t>
      </w:r>
    </w:p>
    <w:p w:rsidRPr="00A85C28" w:rsidR="00067E66" w:rsidP="00A85C28">
      <w:pPr>
        <w:pStyle w:val="ECHRPara"/>
        <w:rPr>
          <w:rFonts w:eastAsia="Times New Roman"/>
        </w:rPr>
      </w:pPr>
      <w:r w:rsidRPr="00A85C28">
        <w:rPr>
          <w:rFonts w:eastAsia="Times New Roman"/>
        </w:rPr>
        <w:fldChar w:fldCharType="begin"/>
      </w:r>
      <w:r w:rsidRPr="00A85C28">
        <w:rPr>
          <w:rFonts w:eastAsia="Times New Roman"/>
        </w:rPr>
        <w:instrText xml:space="preserve"> SEQ level0 \*arabic </w:instrText>
      </w:r>
      <w:r w:rsidRPr="00A85C28">
        <w:rPr>
          <w:rFonts w:eastAsia="Times New Roman"/>
        </w:rPr>
        <w:fldChar w:fldCharType="separate"/>
      </w:r>
      <w:r w:rsidRPr="00A85C28" w:rsidR="00A85C28">
        <w:rPr>
          <w:rFonts w:eastAsia="Times New Roman"/>
          <w:noProof/>
        </w:rPr>
        <w:t>12</w:t>
      </w:r>
      <w:r w:rsidRPr="00A85C28">
        <w:rPr>
          <w:rFonts w:eastAsia="Times New Roman"/>
        </w:rPr>
        <w:fldChar w:fldCharType="end"/>
      </w:r>
      <w:r w:rsidRPr="00A85C28">
        <w:rPr>
          <w:rFonts w:eastAsia="Times New Roman"/>
        </w:rPr>
        <w:t>.  Par conséquent, selon la jurisprudence actuelle de la Cour, l</w:t>
      </w:r>
      <w:r w:rsidRPr="00A85C28" w:rsidR="00A85C28">
        <w:rPr>
          <w:rFonts w:eastAsia="Times New Roman"/>
        </w:rPr>
        <w:t>’</w:t>
      </w:r>
      <w:r w:rsidRPr="00A85C28">
        <w:rPr>
          <w:rFonts w:eastAsia="Times New Roman"/>
        </w:rPr>
        <w:t>application de la règle de non-épuisement, pourtant essentielle à l</w:t>
      </w:r>
      <w:r w:rsidRPr="00A85C28" w:rsidR="00A85C28">
        <w:rPr>
          <w:rFonts w:eastAsia="Times New Roman"/>
        </w:rPr>
        <w:t>’</w:t>
      </w:r>
      <w:r w:rsidRPr="00A85C28">
        <w:rPr>
          <w:rFonts w:eastAsia="Times New Roman"/>
        </w:rPr>
        <w:t>égard du respect du principe de subsidiarité, dépend de la formulation par un gouvernement défendeur d</w:t>
      </w:r>
      <w:r w:rsidRPr="00A85C28" w:rsidR="00A85C28">
        <w:rPr>
          <w:rFonts w:eastAsia="Times New Roman"/>
        </w:rPr>
        <w:t>’</w:t>
      </w:r>
      <w:r w:rsidRPr="00A85C28">
        <w:rPr>
          <w:rFonts w:eastAsia="Times New Roman"/>
        </w:rPr>
        <w:t>une exception préliminaire.</w:t>
      </w:r>
    </w:p>
    <w:p w:rsidRPr="00A85C28" w:rsidR="00067E66" w:rsidP="00A85C28">
      <w:pPr>
        <w:pStyle w:val="ECHRPara"/>
        <w:rPr>
          <w:rFonts w:eastAsia="Times New Roman"/>
        </w:rPr>
      </w:pPr>
      <w:r w:rsidRPr="00A85C28">
        <w:rPr>
          <w:rFonts w:eastAsia="Times New Roman"/>
        </w:rPr>
        <w:fldChar w:fldCharType="begin"/>
      </w:r>
      <w:r w:rsidRPr="00A85C28">
        <w:rPr>
          <w:rFonts w:eastAsia="Times New Roman"/>
        </w:rPr>
        <w:instrText xml:space="preserve"> SEQ level0 \*arabic </w:instrText>
      </w:r>
      <w:r w:rsidRPr="00A85C28">
        <w:rPr>
          <w:rFonts w:eastAsia="Times New Roman"/>
        </w:rPr>
        <w:fldChar w:fldCharType="separate"/>
      </w:r>
      <w:r w:rsidRPr="00A85C28" w:rsidR="00A85C28">
        <w:rPr>
          <w:rFonts w:eastAsia="Times New Roman"/>
          <w:noProof/>
        </w:rPr>
        <w:t>13</w:t>
      </w:r>
      <w:r w:rsidRPr="00A85C28">
        <w:rPr>
          <w:rFonts w:eastAsia="Times New Roman"/>
        </w:rPr>
        <w:fldChar w:fldCharType="end"/>
      </w:r>
      <w:r w:rsidRPr="00A85C28">
        <w:rPr>
          <w:rFonts w:eastAsia="Times New Roman"/>
        </w:rPr>
        <w:t>.  Toutefois, ainsi qu</w:t>
      </w:r>
      <w:r w:rsidRPr="00A85C28" w:rsidR="00A85C28">
        <w:rPr>
          <w:rFonts w:eastAsia="Times New Roman"/>
        </w:rPr>
        <w:t>’</w:t>
      </w:r>
      <w:r w:rsidRPr="00A85C28">
        <w:rPr>
          <w:rFonts w:eastAsia="Times New Roman"/>
        </w:rPr>
        <w:t>il ressort de la jurisprudence de la Cour relative à l</w:t>
      </w:r>
      <w:r w:rsidRPr="00A85C28" w:rsidR="00A85C28">
        <w:rPr>
          <w:rFonts w:eastAsia="Times New Roman"/>
        </w:rPr>
        <w:t>’</w:t>
      </w:r>
      <w:r w:rsidRPr="00A85C28">
        <w:rPr>
          <w:rFonts w:eastAsia="Times New Roman"/>
        </w:rPr>
        <w:t xml:space="preserve">article 35 § 1 de la Convention, </w:t>
      </w:r>
      <w:r w:rsidRPr="00A85C28">
        <w:rPr>
          <w:rFonts w:eastAsia="Times New Roman"/>
        </w:rPr>
        <w:t>la</w:t>
      </w:r>
      <w:r w:rsidRPr="00A85C28">
        <w:rPr>
          <w:rFonts w:eastAsia="Times New Roman"/>
        </w:rPr>
        <w:t xml:space="preserve"> </w:t>
      </w:r>
      <w:r w:rsidRPr="00A85C28">
        <w:rPr>
          <w:rFonts w:eastAsia="Times New Roman"/>
          <w:i/>
        </w:rPr>
        <w:t>ratio</w:t>
      </w:r>
      <w:r w:rsidRPr="00A85C28">
        <w:rPr>
          <w:rFonts w:eastAsia="Times New Roman"/>
        </w:rPr>
        <w:t xml:space="preserve"> et l</w:t>
      </w:r>
      <w:r w:rsidRPr="00A85C28" w:rsidR="00A85C28">
        <w:rPr>
          <w:rFonts w:eastAsia="Times New Roman"/>
        </w:rPr>
        <w:t>’</w:t>
      </w:r>
      <w:r w:rsidRPr="00A85C28">
        <w:rPr>
          <w:rFonts w:eastAsia="Times New Roman"/>
        </w:rPr>
        <w:t>importance de cette règle n</w:t>
      </w:r>
      <w:r w:rsidRPr="00A85C28" w:rsidR="00A85C28">
        <w:rPr>
          <w:rFonts w:eastAsia="Times New Roman"/>
        </w:rPr>
        <w:t>’</w:t>
      </w:r>
      <w:r w:rsidRPr="00A85C28">
        <w:rPr>
          <w:rFonts w:eastAsia="Times New Roman"/>
        </w:rPr>
        <w:t>en sont pas moins impérieuses que celles du délai de six mois :</w:t>
      </w:r>
    </w:p>
    <w:p w:rsidRPr="00A85C28" w:rsidR="00067E66" w:rsidP="00A85C28">
      <w:pPr>
        <w:pStyle w:val="ECHRParaQuote"/>
        <w:rPr>
          <w:rFonts w:eastAsia="Times New Roman"/>
        </w:rPr>
      </w:pPr>
      <w:r w:rsidRPr="00A85C28">
        <w:rPr>
          <w:rFonts w:eastAsia="Times New Roman"/>
        </w:rPr>
        <w:t>« Les États n</w:t>
      </w:r>
      <w:r w:rsidRPr="00A85C28" w:rsidR="00A85C28">
        <w:rPr>
          <w:rFonts w:eastAsia="Times New Roman"/>
        </w:rPr>
        <w:t>’</w:t>
      </w:r>
      <w:r w:rsidRPr="00A85C28">
        <w:rPr>
          <w:rFonts w:eastAsia="Times New Roman"/>
        </w:rPr>
        <w:t>ont pas à répondre de leurs actes devant un organisme international avant d</w:t>
      </w:r>
      <w:r w:rsidRPr="00A85C28" w:rsidR="00A85C28">
        <w:rPr>
          <w:rFonts w:eastAsia="Times New Roman"/>
        </w:rPr>
        <w:t>’</w:t>
      </w:r>
      <w:r w:rsidRPr="00A85C28">
        <w:rPr>
          <w:rFonts w:eastAsia="Times New Roman"/>
        </w:rPr>
        <w:t>avoir eu la possibilité de redresser la situation dans leur ordre juridique interne (...) » (</w:t>
      </w:r>
      <w:r w:rsidRPr="00A85C28">
        <w:rPr>
          <w:rFonts w:eastAsia="Times New Roman"/>
          <w:i/>
        </w:rPr>
        <w:t>Vučković</w:t>
      </w:r>
      <w:r w:rsidRPr="00A85C28">
        <w:rPr>
          <w:rFonts w:eastAsia="Times New Roman"/>
          <w:i/>
        </w:rPr>
        <w:t xml:space="preserve"> et autres c. Serbie</w:t>
      </w:r>
      <w:r w:rsidRPr="00A85C28">
        <w:rPr>
          <w:rFonts w:eastAsia="Times New Roman"/>
        </w:rPr>
        <w:t xml:space="preserve"> ((exception préliminaire) [GC], n</w:t>
      </w:r>
      <w:r w:rsidRPr="00A85C28">
        <w:rPr>
          <w:rFonts w:eastAsia="Times New Roman"/>
          <w:vertAlign w:val="superscript"/>
        </w:rPr>
        <w:t>o </w:t>
      </w:r>
      <w:r w:rsidRPr="00A85C28">
        <w:rPr>
          <w:rFonts w:eastAsia="Times New Roman"/>
        </w:rPr>
        <w:t>17153/11 et 29 autres, § 70, 25 mars 2014), italique ajouté)</w:t>
      </w:r>
    </w:p>
    <w:p w:rsidRPr="00A85C28" w:rsidR="00067E66" w:rsidP="00A85C28">
      <w:pPr>
        <w:pStyle w:val="ECHRPara"/>
        <w:rPr>
          <w:rFonts w:eastAsia="Times New Roman"/>
        </w:rPr>
      </w:pPr>
      <w:r w:rsidRPr="00A85C28">
        <w:rPr>
          <w:rFonts w:eastAsia="Times New Roman"/>
        </w:rPr>
        <w:fldChar w:fldCharType="begin"/>
      </w:r>
      <w:r w:rsidRPr="00A85C28">
        <w:rPr>
          <w:rFonts w:eastAsia="Times New Roman"/>
        </w:rPr>
        <w:instrText xml:space="preserve"> SEQ level0 \*arabic </w:instrText>
      </w:r>
      <w:r w:rsidRPr="00A85C28">
        <w:rPr>
          <w:rFonts w:eastAsia="Times New Roman"/>
        </w:rPr>
        <w:fldChar w:fldCharType="separate"/>
      </w:r>
      <w:r w:rsidRPr="00A85C28" w:rsidR="00A85C28">
        <w:rPr>
          <w:rFonts w:eastAsia="Times New Roman"/>
          <w:noProof/>
        </w:rPr>
        <w:t>14</w:t>
      </w:r>
      <w:r w:rsidRPr="00A85C28">
        <w:rPr>
          <w:rFonts w:eastAsia="Times New Roman"/>
        </w:rPr>
        <w:fldChar w:fldCharType="end"/>
      </w:r>
      <w:r w:rsidRPr="00A85C28">
        <w:rPr>
          <w:rFonts w:eastAsia="Times New Roman"/>
        </w:rPr>
        <w:t>.  En outre, ainsi que la Cour l</w:t>
      </w:r>
      <w:r w:rsidRPr="00A85C28" w:rsidR="00A85C28">
        <w:rPr>
          <w:rFonts w:eastAsia="Times New Roman"/>
        </w:rPr>
        <w:t>’</w:t>
      </w:r>
      <w:r w:rsidRPr="00A85C28">
        <w:rPr>
          <w:rFonts w:eastAsia="Times New Roman"/>
        </w:rPr>
        <w:t>a souligné à plusieurs reprises dans des affaires sensibles relatives, entre autres, à l</w:t>
      </w:r>
      <w:r w:rsidRPr="00A85C28" w:rsidR="00A85C28">
        <w:rPr>
          <w:rFonts w:eastAsia="Times New Roman"/>
        </w:rPr>
        <w:t>’</w:t>
      </w:r>
      <w:r w:rsidRPr="00A85C28">
        <w:rPr>
          <w:rFonts w:eastAsia="Times New Roman"/>
        </w:rPr>
        <w:t>article 8 de la Convention :</w:t>
      </w:r>
    </w:p>
    <w:p w:rsidRPr="00A85C28" w:rsidR="00067E66" w:rsidP="00A85C28">
      <w:pPr>
        <w:pStyle w:val="ECHRParaQuote"/>
        <w:rPr>
          <w:rFonts w:eastAsia="Times New Roman"/>
        </w:rPr>
      </w:pPr>
      <w:r w:rsidRPr="00A85C28">
        <w:rPr>
          <w:rFonts w:eastAsia="Times New Roman"/>
        </w:rPr>
        <w:t>« (</w:t>
      </w:r>
      <w:r w:rsidRPr="00A85C28" w:rsidR="00071E92">
        <w:rPr>
          <w:rFonts w:eastAsia="Times New Roman"/>
        </w:rPr>
        <w:t>...</w:t>
      </w:r>
      <w:r w:rsidRPr="00A85C28">
        <w:rPr>
          <w:rFonts w:eastAsia="Times New Roman"/>
        </w:rPr>
        <w:t>) [l</w:t>
      </w:r>
      <w:r w:rsidRPr="00A85C28" w:rsidR="00A85C28">
        <w:rPr>
          <w:rFonts w:eastAsia="Times New Roman"/>
        </w:rPr>
        <w:t>’</w:t>
      </w:r>
      <w:r w:rsidRPr="00A85C28">
        <w:rPr>
          <w:rFonts w:eastAsia="Times New Roman"/>
        </w:rPr>
        <w:t>]obligation</w:t>
      </w:r>
      <w:r w:rsidRPr="00A85C28">
        <w:rPr>
          <w:rFonts w:eastAsia="Times New Roman"/>
        </w:rPr>
        <w:t xml:space="preserve"> d</w:t>
      </w:r>
      <w:r w:rsidRPr="00A85C28" w:rsidR="00A85C28">
        <w:rPr>
          <w:rFonts w:eastAsia="Times New Roman"/>
        </w:rPr>
        <w:t>’</w:t>
      </w:r>
      <w:r w:rsidRPr="00A85C28">
        <w:rPr>
          <w:rFonts w:eastAsia="Times New Roman"/>
        </w:rPr>
        <w:t>épuiser préalablement les voies de recours internes vise, entre autre, à donner aux États membres la possibilité de redresser la situation qui fait l</w:t>
      </w:r>
      <w:r w:rsidRPr="00A85C28" w:rsidR="00A85C28">
        <w:rPr>
          <w:rFonts w:eastAsia="Times New Roman"/>
        </w:rPr>
        <w:t>’</w:t>
      </w:r>
      <w:r w:rsidRPr="00A85C28">
        <w:rPr>
          <w:rFonts w:eastAsia="Times New Roman"/>
        </w:rPr>
        <w:t>objet de la requête avant de devoir répondre de leurs actes devant un organisme international. Ce principe revêt une importance particulière s</w:t>
      </w:r>
      <w:r w:rsidRPr="00A85C28" w:rsidR="00A85C28">
        <w:rPr>
          <w:rFonts w:eastAsia="Times New Roman"/>
        </w:rPr>
        <w:t>’</w:t>
      </w:r>
      <w:r w:rsidRPr="00A85C28">
        <w:rPr>
          <w:rFonts w:eastAsia="Times New Roman"/>
        </w:rPr>
        <w:t>agissant de griefs tirés de l</w:t>
      </w:r>
      <w:r w:rsidRPr="00A85C28" w:rsidR="00A85C28">
        <w:rPr>
          <w:rFonts w:eastAsia="Times New Roman"/>
        </w:rPr>
        <w:t>’</w:t>
      </w:r>
      <w:r w:rsidRPr="00A85C28">
        <w:rPr>
          <w:rFonts w:eastAsia="Times New Roman"/>
        </w:rPr>
        <w:t>article 8, que cet article soit pris isolément ou combiné avec l</w:t>
      </w:r>
      <w:r w:rsidRPr="00A85C28" w:rsidR="00A85C28">
        <w:rPr>
          <w:rFonts w:eastAsia="Times New Roman"/>
        </w:rPr>
        <w:t>’</w:t>
      </w:r>
      <w:r w:rsidRPr="00A85C28">
        <w:rPr>
          <w:rFonts w:eastAsia="Times New Roman"/>
        </w:rPr>
        <w:t>article 14. Il est en effet primordial lorsque la Cour aborde la question complexe et délicate de la balance à opérer entre les droits et intérêts en jeu dans le cadre de l</w:t>
      </w:r>
      <w:r w:rsidRPr="00A85C28" w:rsidR="00A85C28">
        <w:rPr>
          <w:rFonts w:eastAsia="Times New Roman"/>
        </w:rPr>
        <w:t>’</w:t>
      </w:r>
      <w:r w:rsidRPr="00A85C28">
        <w:rPr>
          <w:rFonts w:eastAsia="Times New Roman"/>
        </w:rPr>
        <w:t>application de cette disposition que cette balance ait préalablement été faite par les juridictions internes, celles-ci étant en principe mieux placées pour le faire. » (</w:t>
      </w:r>
      <w:r w:rsidRPr="00A85C28">
        <w:rPr>
          <w:rFonts w:eastAsia="Times New Roman"/>
          <w:i/>
        </w:rPr>
        <w:t xml:space="preserve">Charron et Merle </w:t>
      </w:r>
      <w:r w:rsidRPr="00A85C28">
        <w:rPr>
          <w:rFonts w:eastAsia="Times New Roman"/>
          <w:i/>
        </w:rPr>
        <w:t>Montet</w:t>
      </w:r>
      <w:r w:rsidRPr="00A85C28">
        <w:rPr>
          <w:rFonts w:eastAsia="Times New Roman"/>
          <w:i/>
        </w:rPr>
        <w:t xml:space="preserve"> c. France </w:t>
      </w:r>
      <w:r w:rsidRPr="00A85C28">
        <w:rPr>
          <w:rFonts w:eastAsia="Times New Roman"/>
        </w:rPr>
        <w:t>(déc.)</w:t>
      </w:r>
      <w:r w:rsidRPr="00A85C28">
        <w:rPr>
          <w:rFonts w:eastAsia="Times New Roman"/>
          <w:i/>
        </w:rPr>
        <w:t>,</w:t>
      </w:r>
      <w:r w:rsidRPr="00A85C28">
        <w:rPr>
          <w:rFonts w:eastAsia="Times New Roman"/>
        </w:rPr>
        <w:t xml:space="preserve"> n</w:t>
      </w:r>
      <w:r w:rsidRPr="00A85C28">
        <w:rPr>
          <w:rFonts w:eastAsia="Times New Roman"/>
          <w:vertAlign w:val="superscript"/>
        </w:rPr>
        <w:t>o</w:t>
      </w:r>
      <w:r w:rsidRPr="00A85C28">
        <w:rPr>
          <w:rFonts w:eastAsia="Times New Roman"/>
        </w:rPr>
        <w:t xml:space="preserve"> 22612/15, § 30, 16 janvier 2018 ; voir d</w:t>
      </w:r>
      <w:r w:rsidRPr="00A85C28" w:rsidR="00A85C28">
        <w:rPr>
          <w:rFonts w:eastAsia="Times New Roman"/>
        </w:rPr>
        <w:t>’</w:t>
      </w:r>
      <w:r w:rsidRPr="00A85C28">
        <w:rPr>
          <w:rFonts w:eastAsia="Times New Roman"/>
        </w:rPr>
        <w:t xml:space="preserve">autres décisions et arrêts comme </w:t>
      </w:r>
      <w:r w:rsidRPr="00A85C28">
        <w:rPr>
          <w:rFonts w:eastAsia="Times New Roman"/>
          <w:i/>
        </w:rPr>
        <w:t>Courtney c. Irlande</w:t>
      </w:r>
      <w:r w:rsidRPr="00A85C28">
        <w:rPr>
          <w:rFonts w:eastAsia="Times New Roman"/>
        </w:rPr>
        <w:t xml:space="preserve"> (déc.), n</w:t>
      </w:r>
      <w:r w:rsidRPr="00A85C28">
        <w:rPr>
          <w:rFonts w:eastAsia="Times New Roman"/>
          <w:vertAlign w:val="superscript"/>
        </w:rPr>
        <w:t>o</w:t>
      </w:r>
      <w:r w:rsidRPr="00A85C28">
        <w:rPr>
          <w:rFonts w:eastAsia="Times New Roman"/>
        </w:rPr>
        <w:t xml:space="preserve"> </w:t>
      </w:r>
      <w:hyperlink w:tgtFrame="_blank" w:history="1" w:anchor="{" r:id="rId16">
        <w:r w:rsidRPr="00A85C28">
          <w:rPr>
            <w:rStyle w:val="Hyperlink"/>
            <w:rFonts w:eastAsia="Times New Roman"/>
          </w:rPr>
          <w:t>69558/10</w:t>
        </w:r>
      </w:hyperlink>
      <w:r w:rsidRPr="00A85C28">
        <w:rPr>
          <w:rFonts w:eastAsia="Times New Roman"/>
        </w:rPr>
        <w:t xml:space="preserve">, 18 décembre 2012 ; </w:t>
      </w:r>
      <w:r w:rsidRPr="00A85C28">
        <w:rPr>
          <w:rFonts w:eastAsia="Times New Roman"/>
          <w:i/>
        </w:rPr>
        <w:t>Big</w:t>
      </w:r>
      <w:r w:rsidRPr="00A85C28">
        <w:rPr>
          <w:rFonts w:eastAsia="Times New Roman"/>
          <w:i/>
        </w:rPr>
        <w:t xml:space="preserve"> Brother Watch et autres c. Royaume-Uni, </w:t>
      </w:r>
      <w:r w:rsidRPr="00A85C28">
        <w:rPr>
          <w:rFonts w:eastAsia="Times New Roman"/>
        </w:rPr>
        <w:t>n</w:t>
      </w:r>
      <w:r w:rsidRPr="00A85C28">
        <w:rPr>
          <w:rFonts w:eastAsia="Times New Roman"/>
          <w:vertAlign w:val="superscript"/>
        </w:rPr>
        <w:t>o</w:t>
      </w:r>
      <w:r w:rsidRPr="00A85C28">
        <w:rPr>
          <w:rFonts w:eastAsia="Times New Roman"/>
        </w:rPr>
        <w:t xml:space="preserve"> 58170/13 et 2 autres, § 245, 13 septembre 2019, arrêt non encore définitif, et, plus récemment, </w:t>
      </w:r>
      <w:r w:rsidRPr="00A85C28">
        <w:rPr>
          <w:rFonts w:eastAsia="Times New Roman"/>
          <w:i/>
        </w:rPr>
        <w:t>Graner c. France</w:t>
      </w:r>
      <w:r w:rsidRPr="00A85C28">
        <w:rPr>
          <w:rFonts w:eastAsia="Times New Roman"/>
        </w:rPr>
        <w:t>, n</w:t>
      </w:r>
      <w:r w:rsidRPr="00A85C28">
        <w:rPr>
          <w:rFonts w:eastAsia="Times New Roman"/>
          <w:vertAlign w:val="superscript"/>
        </w:rPr>
        <w:t>o</w:t>
      </w:r>
      <w:r w:rsidRPr="00A85C28">
        <w:rPr>
          <w:rFonts w:eastAsia="Times New Roman"/>
        </w:rPr>
        <w:t xml:space="preserve"> 84536/17, 5 février 2020).</w:t>
      </w:r>
    </w:p>
    <w:p w:rsidRPr="00A85C28" w:rsidR="00067E66" w:rsidP="00A85C28">
      <w:pPr>
        <w:pStyle w:val="ECHRPara"/>
        <w:rPr>
          <w:rFonts w:eastAsia="Times New Roman"/>
        </w:rPr>
      </w:pPr>
      <w:r w:rsidRPr="00A85C28">
        <w:rPr>
          <w:rFonts w:eastAsia="Times New Roman"/>
        </w:rPr>
        <w:fldChar w:fldCharType="begin"/>
      </w:r>
      <w:r w:rsidRPr="00A85C28">
        <w:rPr>
          <w:rFonts w:eastAsia="Times New Roman"/>
        </w:rPr>
        <w:instrText xml:space="preserve"> SEQ level0 \*arabic </w:instrText>
      </w:r>
      <w:r w:rsidRPr="00A85C28">
        <w:rPr>
          <w:rFonts w:eastAsia="Times New Roman"/>
        </w:rPr>
        <w:fldChar w:fldCharType="separate"/>
      </w:r>
      <w:r w:rsidRPr="00A85C28" w:rsidR="00A85C28">
        <w:rPr>
          <w:rFonts w:eastAsia="Times New Roman"/>
          <w:noProof/>
        </w:rPr>
        <w:t>15</w:t>
      </w:r>
      <w:r w:rsidRPr="00A85C28">
        <w:rPr>
          <w:rFonts w:eastAsia="Times New Roman"/>
        </w:rPr>
        <w:fldChar w:fldCharType="end"/>
      </w:r>
      <w:r w:rsidRPr="00A85C28">
        <w:rPr>
          <w:rFonts w:eastAsia="Times New Roman"/>
        </w:rPr>
        <w:t>.  En l</w:t>
      </w:r>
      <w:r w:rsidRPr="00A85C28" w:rsidR="00A85C28">
        <w:rPr>
          <w:rFonts w:eastAsia="Times New Roman"/>
        </w:rPr>
        <w:t>’</w:t>
      </w:r>
      <w:r w:rsidRPr="00A85C28">
        <w:rPr>
          <w:rFonts w:eastAsia="Times New Roman"/>
        </w:rPr>
        <w:t>espèce, donc, quelles voies étaient ouvertes à la chambre ?</w:t>
      </w:r>
    </w:p>
    <w:p w:rsidRPr="00A85C28" w:rsidR="00067E66" w:rsidP="00A85C28">
      <w:pPr>
        <w:pStyle w:val="ECHRPara"/>
        <w:rPr>
          <w:rFonts w:eastAsia="Times New Roman"/>
        </w:rPr>
      </w:pPr>
      <w:r w:rsidRPr="00A85C28">
        <w:rPr>
          <w:rFonts w:eastAsia="Times New Roman"/>
        </w:rPr>
        <w:t>Premièrement, une information revêtant une importance potentiellement cruciale, à savoir le fait que la mère d</w:t>
      </w:r>
      <w:r w:rsidRPr="00A85C28" w:rsidR="00A85C28">
        <w:rPr>
          <w:rFonts w:eastAsia="Times New Roman"/>
        </w:rPr>
        <w:t>’</w:t>
      </w:r>
      <w:r w:rsidRPr="00A85C28">
        <w:rPr>
          <w:rFonts w:eastAsia="Times New Roman"/>
        </w:rPr>
        <w:t xml:space="preserve">intention était la mère génétique des enfants, ne semble pas avoir été </w:t>
      </w:r>
      <w:r w:rsidRPr="00A85C28">
        <w:rPr>
          <w:rFonts w:eastAsia="Times New Roman"/>
        </w:rPr>
        <w:t>dévoilée</w:t>
      </w:r>
      <w:r w:rsidRPr="00A85C28">
        <w:rPr>
          <w:rFonts w:eastAsia="Times New Roman"/>
        </w:rPr>
        <w:t xml:space="preserve"> devant les juridictions françaises au moment où celles-ci ont statué et n</w:t>
      </w:r>
      <w:r w:rsidRPr="00A85C28" w:rsidR="00A85C28">
        <w:rPr>
          <w:rFonts w:eastAsia="Times New Roman"/>
        </w:rPr>
        <w:t>’</w:t>
      </w:r>
      <w:r w:rsidRPr="00A85C28">
        <w:rPr>
          <w:rFonts w:eastAsia="Times New Roman"/>
        </w:rPr>
        <w:t>a été communiquée à la Cour qu</w:t>
      </w:r>
      <w:r w:rsidRPr="00A85C28" w:rsidR="00A85C28">
        <w:rPr>
          <w:rFonts w:eastAsia="Times New Roman"/>
        </w:rPr>
        <w:t>’</w:t>
      </w:r>
      <w:r w:rsidRPr="00A85C28">
        <w:rPr>
          <w:rFonts w:eastAsia="Times New Roman"/>
        </w:rPr>
        <w:t>à un stade très avancé de la procédure. Il en va de même s</w:t>
      </w:r>
      <w:r w:rsidRPr="00A85C28" w:rsidR="00A85C28">
        <w:rPr>
          <w:rFonts w:eastAsia="Times New Roman"/>
        </w:rPr>
        <w:t>’</w:t>
      </w:r>
      <w:r w:rsidRPr="00A85C28">
        <w:rPr>
          <w:rFonts w:eastAsia="Times New Roman"/>
        </w:rPr>
        <w:t>agissant du second grief relatif à l</w:t>
      </w:r>
      <w:r w:rsidRPr="00A85C28" w:rsidR="00A85C28">
        <w:rPr>
          <w:rFonts w:eastAsia="Times New Roman"/>
        </w:rPr>
        <w:t>’</w:t>
      </w:r>
      <w:r w:rsidRPr="00A85C28">
        <w:rPr>
          <w:rFonts w:eastAsia="Times New Roman"/>
        </w:rPr>
        <w:t>article 8 combiné avec l</w:t>
      </w:r>
      <w:r w:rsidRPr="00A85C28" w:rsidR="00A85C28">
        <w:rPr>
          <w:rFonts w:eastAsia="Times New Roman"/>
        </w:rPr>
        <w:t>’</w:t>
      </w:r>
      <w:r w:rsidRPr="00A85C28">
        <w:rPr>
          <w:rFonts w:eastAsia="Times New Roman"/>
        </w:rPr>
        <w:t>article 14 de la Convention, introduit tardivement auprès de la Cour.</w:t>
      </w:r>
    </w:p>
    <w:p w:rsidRPr="00A85C28" w:rsidR="00067E66" w:rsidP="00A85C28">
      <w:pPr>
        <w:pStyle w:val="ECHRPara"/>
        <w:rPr>
          <w:rFonts w:eastAsia="Times New Roman"/>
        </w:rPr>
      </w:pPr>
      <w:r w:rsidRPr="00A85C28">
        <w:rPr>
          <w:rFonts w:eastAsia="Times New Roman"/>
        </w:rPr>
        <w:t>Deuxièmement, il semble difficile de conclure, en l</w:t>
      </w:r>
      <w:r w:rsidRPr="00A85C28" w:rsidR="00A85C28">
        <w:rPr>
          <w:rFonts w:eastAsia="Times New Roman"/>
        </w:rPr>
        <w:t>’</w:t>
      </w:r>
      <w:r w:rsidRPr="00A85C28">
        <w:rPr>
          <w:rFonts w:eastAsia="Times New Roman"/>
        </w:rPr>
        <w:t>absence d</w:t>
      </w:r>
      <w:r w:rsidRPr="00A85C28" w:rsidR="00A85C28">
        <w:rPr>
          <w:rFonts w:eastAsia="Times New Roman"/>
        </w:rPr>
        <w:t>’</w:t>
      </w:r>
      <w:r w:rsidRPr="00A85C28">
        <w:rPr>
          <w:rFonts w:eastAsia="Times New Roman"/>
        </w:rPr>
        <w:t>un pourvoi en cassation à la suite de l</w:t>
      </w:r>
      <w:r w:rsidRPr="00A85C28" w:rsidR="00A85C28">
        <w:rPr>
          <w:rFonts w:eastAsia="Times New Roman"/>
        </w:rPr>
        <w:t>’</w:t>
      </w:r>
      <w:r w:rsidRPr="00A85C28">
        <w:rPr>
          <w:rFonts w:eastAsia="Times New Roman"/>
        </w:rPr>
        <w:t>arrêt de la cour d</w:t>
      </w:r>
      <w:r w:rsidRPr="00A85C28" w:rsidR="00A85C28">
        <w:rPr>
          <w:rFonts w:eastAsia="Times New Roman"/>
        </w:rPr>
        <w:t>’</w:t>
      </w:r>
      <w:r w:rsidRPr="00A85C28">
        <w:rPr>
          <w:rFonts w:eastAsia="Times New Roman"/>
        </w:rPr>
        <w:t>appel de Rennes, que l</w:t>
      </w:r>
      <w:r w:rsidRPr="00A85C28" w:rsidR="00A85C28">
        <w:rPr>
          <w:rFonts w:eastAsia="Times New Roman"/>
        </w:rPr>
        <w:t>’</w:t>
      </w:r>
      <w:r w:rsidRPr="00A85C28">
        <w:rPr>
          <w:rFonts w:eastAsia="Times New Roman"/>
        </w:rPr>
        <w:t>État défendeur a eu la possibilité de redresser la situation qui fait l</w:t>
      </w:r>
      <w:r w:rsidRPr="00A85C28" w:rsidR="00A85C28">
        <w:rPr>
          <w:rFonts w:eastAsia="Times New Roman"/>
        </w:rPr>
        <w:t>’</w:t>
      </w:r>
      <w:r w:rsidRPr="00A85C28">
        <w:rPr>
          <w:rFonts w:eastAsia="Times New Roman"/>
        </w:rPr>
        <w:t>objet de la présente requête. Un tel recours était essentiel dès lors que le droit interne était potentiellement en voie d</w:t>
      </w:r>
      <w:r w:rsidRPr="00A85C28" w:rsidR="00A85C28">
        <w:rPr>
          <w:rFonts w:eastAsia="Times New Roman"/>
        </w:rPr>
        <w:t>’</w:t>
      </w:r>
      <w:r w:rsidRPr="00A85C28">
        <w:rPr>
          <w:rFonts w:eastAsia="Times New Roman"/>
        </w:rPr>
        <w:t>évolution précisément en conséquence de recours introduits devant la Cour de Cassation par des parents d</w:t>
      </w:r>
      <w:r w:rsidRPr="00A85C28" w:rsidR="00A85C28">
        <w:rPr>
          <w:rFonts w:eastAsia="Times New Roman"/>
        </w:rPr>
        <w:t>’</w:t>
      </w:r>
      <w:r w:rsidRPr="00A85C28">
        <w:rPr>
          <w:rFonts w:eastAsia="Times New Roman"/>
        </w:rPr>
        <w:t>intention.</w:t>
      </w:r>
    </w:p>
    <w:p w:rsidRPr="00A85C28" w:rsidR="00067E66" w:rsidP="00A85C28">
      <w:pPr>
        <w:pStyle w:val="ECHRPara"/>
        <w:rPr>
          <w:rFonts w:eastAsia="Times New Roman"/>
        </w:rPr>
      </w:pPr>
      <w:r w:rsidRPr="00A85C28">
        <w:rPr>
          <w:rFonts w:eastAsia="Times New Roman"/>
        </w:rPr>
        <w:fldChar w:fldCharType="begin"/>
      </w:r>
      <w:r w:rsidRPr="00A85C28">
        <w:rPr>
          <w:rFonts w:eastAsia="Times New Roman"/>
        </w:rPr>
        <w:instrText xml:space="preserve"> SEQ level0 \*arabic </w:instrText>
      </w:r>
      <w:r w:rsidRPr="00A85C28">
        <w:rPr>
          <w:rFonts w:eastAsia="Times New Roman"/>
        </w:rPr>
        <w:fldChar w:fldCharType="separate"/>
      </w:r>
      <w:r w:rsidRPr="00A85C28" w:rsidR="00A85C28">
        <w:rPr>
          <w:rFonts w:eastAsia="Times New Roman"/>
          <w:noProof/>
        </w:rPr>
        <w:t>16</w:t>
      </w:r>
      <w:r w:rsidRPr="00A85C28">
        <w:rPr>
          <w:rFonts w:eastAsia="Times New Roman"/>
        </w:rPr>
        <w:fldChar w:fldCharType="end"/>
      </w:r>
      <w:r w:rsidRPr="00A85C28">
        <w:rPr>
          <w:rFonts w:eastAsia="Times New Roman"/>
        </w:rPr>
        <w:t>.  En effet, ainsi qu</w:t>
      </w:r>
      <w:r w:rsidRPr="00A85C28" w:rsidR="00A85C28">
        <w:rPr>
          <w:rFonts w:eastAsia="Times New Roman"/>
        </w:rPr>
        <w:t>’</w:t>
      </w:r>
      <w:r w:rsidRPr="00A85C28">
        <w:rPr>
          <w:rFonts w:eastAsia="Times New Roman"/>
        </w:rPr>
        <w:t>il est indiqué ci-dessus, la Cour de Cassation a reconnu en juillet 2017 aux pères d</w:t>
      </w:r>
      <w:r w:rsidRPr="00A85C28" w:rsidR="00A85C28">
        <w:rPr>
          <w:rFonts w:eastAsia="Times New Roman"/>
        </w:rPr>
        <w:t>’</w:t>
      </w:r>
      <w:r w:rsidRPr="00A85C28">
        <w:rPr>
          <w:rFonts w:eastAsia="Times New Roman"/>
        </w:rPr>
        <w:t xml:space="preserve">intention biologiques la possibilité de faire établir leur lien de filiation par voie de transcription. En octobre 2018, dans le cadre de la même affaire </w:t>
      </w:r>
      <w:r w:rsidRPr="00A85C28">
        <w:rPr>
          <w:rFonts w:eastAsia="Times New Roman"/>
          <w:i/>
        </w:rPr>
        <w:t>Mennesson</w:t>
      </w:r>
      <w:r w:rsidRPr="00A85C28">
        <w:rPr>
          <w:rFonts w:eastAsia="Times New Roman"/>
        </w:rPr>
        <w:t>, la Cour de Cassation a, en vertu du Protocole n</w:t>
      </w:r>
      <w:r w:rsidRPr="00A85C28">
        <w:rPr>
          <w:rFonts w:eastAsia="Times New Roman"/>
          <w:vertAlign w:val="superscript"/>
        </w:rPr>
        <w:t>o</w:t>
      </w:r>
      <w:r w:rsidRPr="00A85C28">
        <w:rPr>
          <w:rFonts w:eastAsia="Times New Roman"/>
        </w:rPr>
        <w:t>16, saisi la Cour d</w:t>
      </w:r>
      <w:r w:rsidRPr="00A85C28" w:rsidR="00A85C28">
        <w:rPr>
          <w:rFonts w:eastAsia="Times New Roman"/>
        </w:rPr>
        <w:t>’</w:t>
      </w:r>
      <w:r w:rsidRPr="00A85C28">
        <w:rPr>
          <w:rFonts w:eastAsia="Times New Roman"/>
        </w:rPr>
        <w:t>une demande d</w:t>
      </w:r>
      <w:r w:rsidRPr="00A85C28" w:rsidR="00A85C28">
        <w:rPr>
          <w:rFonts w:eastAsia="Times New Roman"/>
        </w:rPr>
        <w:t>’</w:t>
      </w:r>
      <w:r w:rsidRPr="00A85C28">
        <w:rPr>
          <w:rFonts w:eastAsia="Times New Roman"/>
        </w:rPr>
        <w:t>avis consultatif relatif aux obligations des États membres en matière de transcription s</w:t>
      </w:r>
      <w:r w:rsidRPr="00A85C28" w:rsidR="00A85C28">
        <w:rPr>
          <w:rFonts w:eastAsia="Times New Roman"/>
        </w:rPr>
        <w:t>’</w:t>
      </w:r>
      <w:r w:rsidRPr="00A85C28">
        <w:rPr>
          <w:rFonts w:eastAsia="Times New Roman"/>
        </w:rPr>
        <w:t>agissant d</w:t>
      </w:r>
      <w:r w:rsidRPr="00A85C28" w:rsidR="00A85C28">
        <w:rPr>
          <w:rFonts w:eastAsia="Times New Roman"/>
        </w:rPr>
        <w:t>’</w:t>
      </w:r>
      <w:r w:rsidRPr="00A85C28">
        <w:rPr>
          <w:rFonts w:eastAsia="Times New Roman"/>
        </w:rPr>
        <w:t>une mère d</w:t>
      </w:r>
      <w:r w:rsidRPr="00A85C28" w:rsidR="00A85C28">
        <w:rPr>
          <w:rFonts w:eastAsia="Times New Roman"/>
        </w:rPr>
        <w:t>’</w:t>
      </w:r>
      <w:r w:rsidRPr="00A85C28">
        <w:rPr>
          <w:rFonts w:eastAsia="Times New Roman"/>
        </w:rPr>
        <w:t>intention sans lien biologique avec les enfants concernés. La Cour a statué en avril 2019, limitant explicitement sa réponse à ce cas de figure (</w:t>
      </w:r>
      <w:r w:rsidRPr="00A85C28">
        <w:rPr>
          <w:i/>
        </w:rPr>
        <w:t>Avis consultatif relatif à la reconnaissance en droit interne d</w:t>
      </w:r>
      <w:r w:rsidRPr="00A85C28" w:rsidR="00A85C28">
        <w:rPr>
          <w:i/>
        </w:rPr>
        <w:t>’</w:t>
      </w:r>
      <w:r w:rsidRPr="00A85C28">
        <w:rPr>
          <w:i/>
        </w:rPr>
        <w:t>un lien de filiation entre un enfant né d</w:t>
      </w:r>
      <w:r w:rsidRPr="00A85C28" w:rsidR="00A85C28">
        <w:rPr>
          <w:i/>
        </w:rPr>
        <w:t>’</w:t>
      </w:r>
      <w:r w:rsidRPr="00A85C28">
        <w:rPr>
          <w:i/>
        </w:rPr>
        <w:t>une gestation pour autrui pratiquée à l</w:t>
      </w:r>
      <w:r w:rsidRPr="00A85C28" w:rsidR="00A85C28">
        <w:rPr>
          <w:i/>
        </w:rPr>
        <w:t>’</w:t>
      </w:r>
      <w:r w:rsidRPr="00A85C28">
        <w:rPr>
          <w:i/>
        </w:rPr>
        <w:t>étranger et la mère d</w:t>
      </w:r>
      <w:r w:rsidRPr="00A85C28" w:rsidR="00A85C28">
        <w:rPr>
          <w:i/>
        </w:rPr>
        <w:t>’</w:t>
      </w:r>
      <w:r w:rsidRPr="00A85C28">
        <w:rPr>
          <w:i/>
        </w:rPr>
        <w:t>intention</w:t>
      </w:r>
      <w:r w:rsidRPr="00A85C28">
        <w:t xml:space="preserve"> [GC], demande n</w:t>
      </w:r>
      <w:r w:rsidRPr="00A85C28">
        <w:rPr>
          <w:vertAlign w:val="superscript"/>
        </w:rPr>
        <w:t>o</w:t>
      </w:r>
      <w:r w:rsidRPr="00A85C28" w:rsidR="00621544">
        <w:t> P16</w:t>
      </w:r>
      <w:r w:rsidRPr="00A85C28" w:rsidR="00621544">
        <w:noBreakHyphen/>
      </w:r>
      <w:r w:rsidRPr="00A85C28">
        <w:t>2018</w:t>
      </w:r>
      <w:r w:rsidRPr="00A85C28" w:rsidR="00621544">
        <w:noBreakHyphen/>
      </w:r>
      <w:r w:rsidRPr="00A85C28">
        <w:t>001, Cour de cassation française, § 36, 10 avril 2019</w:t>
      </w:r>
      <w:r w:rsidRPr="00A85C28">
        <w:rPr>
          <w:rFonts w:eastAsia="Times New Roman"/>
        </w:rPr>
        <w:t>). La Cour de Cassation a rendu sa décision à la suite de l</w:t>
      </w:r>
      <w:r w:rsidRPr="00A85C28" w:rsidR="00A85C28">
        <w:rPr>
          <w:rFonts w:eastAsia="Times New Roman"/>
        </w:rPr>
        <w:t>’</w:t>
      </w:r>
      <w:r w:rsidRPr="00A85C28">
        <w:rPr>
          <w:rFonts w:eastAsia="Times New Roman"/>
        </w:rPr>
        <w:t xml:space="preserve">avis consultatif </w:t>
      </w:r>
      <w:r w:rsidRPr="00A85C28" w:rsidR="00621544">
        <w:rPr>
          <w:rFonts w:eastAsia="Times New Roman"/>
        </w:rPr>
        <w:t>le 4 octobre </w:t>
      </w:r>
      <w:r w:rsidRPr="00A85C28" w:rsidR="001952DC">
        <w:rPr>
          <w:rFonts w:eastAsia="Times New Roman"/>
        </w:rPr>
        <w:t>2019. Le 18 </w:t>
      </w:r>
      <w:r w:rsidRPr="00A85C28">
        <w:rPr>
          <w:rFonts w:eastAsia="Times New Roman"/>
        </w:rPr>
        <w:t xml:space="preserve">décembre 2019, cette même juridiction a opéré un nouveau revirement de sa jurisprudence dans </w:t>
      </w:r>
      <w:r w:rsidRPr="00A85C28" w:rsidR="00621544">
        <w:rPr>
          <w:rFonts w:eastAsia="Times New Roman"/>
        </w:rPr>
        <w:t>le domaine de la GPA, ouvrant à </w:t>
      </w:r>
      <w:r w:rsidRPr="00A85C28">
        <w:rPr>
          <w:rFonts w:eastAsia="Times New Roman"/>
        </w:rPr>
        <w:t>d</w:t>
      </w:r>
      <w:r w:rsidRPr="00A85C28" w:rsidR="00A85C28">
        <w:rPr>
          <w:rFonts w:eastAsia="Times New Roman"/>
        </w:rPr>
        <w:t>’</w:t>
      </w:r>
      <w:r w:rsidRPr="00A85C28">
        <w:rPr>
          <w:rFonts w:eastAsia="Times New Roman"/>
        </w:rPr>
        <w:t>autres cas de figure, lorsque l</w:t>
      </w:r>
      <w:r w:rsidRPr="00A85C28" w:rsidR="00A85C28">
        <w:rPr>
          <w:rFonts w:eastAsia="Times New Roman"/>
        </w:rPr>
        <w:t>’</w:t>
      </w:r>
      <w:r w:rsidRPr="00A85C28">
        <w:rPr>
          <w:rFonts w:eastAsia="Times New Roman"/>
        </w:rPr>
        <w:t>adoption n</w:t>
      </w:r>
      <w:r w:rsidRPr="00A85C28" w:rsidR="00A85C28">
        <w:rPr>
          <w:rFonts w:eastAsia="Times New Roman"/>
        </w:rPr>
        <w:t>’</w:t>
      </w:r>
      <w:r w:rsidRPr="00A85C28">
        <w:rPr>
          <w:rFonts w:eastAsia="Times New Roman"/>
        </w:rPr>
        <w:t>est pas possible, la possibilité d</w:t>
      </w:r>
      <w:r w:rsidRPr="00A85C28" w:rsidR="00A85C28">
        <w:rPr>
          <w:rFonts w:eastAsia="Times New Roman"/>
        </w:rPr>
        <w:t>’</w:t>
      </w:r>
      <w:r w:rsidRPr="00A85C28">
        <w:rPr>
          <w:rFonts w:eastAsia="Times New Roman"/>
        </w:rPr>
        <w:t>une transcription de l</w:t>
      </w:r>
      <w:r w:rsidRPr="00A85C28" w:rsidR="00A85C28">
        <w:rPr>
          <w:rFonts w:eastAsia="Times New Roman"/>
        </w:rPr>
        <w:t>’</w:t>
      </w:r>
      <w:r w:rsidRPr="00A85C28">
        <w:rPr>
          <w:rFonts w:eastAsia="Times New Roman"/>
        </w:rPr>
        <w:t>acte de naissance étranger (voir les arrêts mentionnés au paragraphe 22 de l</w:t>
      </w:r>
      <w:r w:rsidRPr="00A85C28" w:rsidR="00A85C28">
        <w:rPr>
          <w:rFonts w:eastAsia="Times New Roman"/>
        </w:rPr>
        <w:t>’</w:t>
      </w:r>
      <w:r w:rsidRPr="00A85C28">
        <w:rPr>
          <w:rFonts w:eastAsia="Times New Roman"/>
        </w:rPr>
        <w:t>arrêt de la chambre). En outre, dans un rapport de 2018 sur la révision de la loi de bioéthique en France, le Conseil d</w:t>
      </w:r>
      <w:r w:rsidRPr="00A85C28" w:rsidR="00A85C28">
        <w:rPr>
          <w:rFonts w:eastAsia="Times New Roman"/>
        </w:rPr>
        <w:t>’</w:t>
      </w:r>
      <w:r w:rsidRPr="00A85C28">
        <w:rPr>
          <w:rFonts w:eastAsia="Times New Roman"/>
        </w:rPr>
        <w:t>État a noté la vision traditionnelle, non remise en cause jusqu</w:t>
      </w:r>
      <w:r w:rsidRPr="00A85C28" w:rsidR="00A85C28">
        <w:rPr>
          <w:rFonts w:eastAsia="Times New Roman"/>
        </w:rPr>
        <w:t>’</w:t>
      </w:r>
      <w:r w:rsidRPr="00A85C28">
        <w:rPr>
          <w:rFonts w:eastAsia="Times New Roman"/>
        </w:rPr>
        <w:t>ici, selon laquelle la mère biologique est toujours certaine puisqu</w:t>
      </w:r>
      <w:r w:rsidRPr="00A85C28" w:rsidR="00A85C28">
        <w:rPr>
          <w:rFonts w:eastAsia="Times New Roman"/>
        </w:rPr>
        <w:t>’</w:t>
      </w:r>
      <w:r w:rsidRPr="00A85C28">
        <w:rPr>
          <w:rFonts w:eastAsia="Times New Roman"/>
        </w:rPr>
        <w:t>elle accouche de l</w:t>
      </w:r>
      <w:r w:rsidRPr="00A85C28" w:rsidR="00A85C28">
        <w:rPr>
          <w:rFonts w:eastAsia="Times New Roman"/>
        </w:rPr>
        <w:t>’</w:t>
      </w:r>
      <w:r w:rsidRPr="00A85C28">
        <w:rPr>
          <w:rFonts w:eastAsia="Times New Roman"/>
        </w:rPr>
        <w:t>enfant, et a relevé ce qui suit :</w:t>
      </w:r>
    </w:p>
    <w:p w:rsidRPr="00A85C28" w:rsidR="00067E66" w:rsidP="00A85C28">
      <w:pPr>
        <w:pStyle w:val="ECHRParaQuote"/>
        <w:rPr>
          <w:rFonts w:eastAsia="Times New Roman"/>
        </w:rPr>
      </w:pPr>
      <w:r w:rsidRPr="00A85C28">
        <w:rPr>
          <w:rFonts w:eastAsia="Times New Roman"/>
        </w:rPr>
        <w:t>« Or, cette affirmation peut ne plus être vraie. En effet, certaines GPA peuvent être réalisées avec les gamètes de la mère d</w:t>
      </w:r>
      <w:r w:rsidRPr="00A85C28" w:rsidR="00A85C28">
        <w:rPr>
          <w:rFonts w:eastAsia="Times New Roman"/>
        </w:rPr>
        <w:t>’</w:t>
      </w:r>
      <w:r w:rsidRPr="00A85C28">
        <w:rPr>
          <w:rFonts w:eastAsia="Times New Roman"/>
        </w:rPr>
        <w:t>intention qui ne mettra plus l</w:t>
      </w:r>
      <w:r w:rsidRPr="00A85C28" w:rsidR="00A85C28">
        <w:rPr>
          <w:rFonts w:eastAsia="Times New Roman"/>
        </w:rPr>
        <w:t>’</w:t>
      </w:r>
      <w:r w:rsidRPr="00A85C28">
        <w:rPr>
          <w:rFonts w:eastAsia="Times New Roman"/>
        </w:rPr>
        <w:t>enfant au monde pour autant. Une telle fragmentation de la maternité entre le lien génétique, le lien gestationnel et le projet parental fragilise nécessairement cette approche de la maternité comme une et évidente</w:t>
      </w:r>
      <w:r>
        <w:rPr>
          <w:rFonts w:eastAsia="Times New Roman"/>
          <w:vertAlign w:val="superscript"/>
          <w:lang w:val="en-US"/>
        </w:rPr>
        <w:footnoteReference w:id="4"/>
      </w:r>
      <w:r w:rsidRPr="00A85C28">
        <w:rPr>
          <w:rFonts w:eastAsia="Times New Roman"/>
        </w:rPr>
        <w:t> ».</w:t>
      </w:r>
    </w:p>
    <w:p w:rsidRPr="00A85C28" w:rsidR="00067E66" w:rsidP="00A85C28">
      <w:pPr>
        <w:pStyle w:val="ECHRPara"/>
        <w:rPr>
          <w:rFonts w:eastAsia="Times New Roman"/>
        </w:rPr>
      </w:pPr>
      <w:r w:rsidRPr="00A85C28">
        <w:rPr>
          <w:rFonts w:eastAsia="Times New Roman"/>
        </w:rPr>
        <w:fldChar w:fldCharType="begin"/>
      </w:r>
      <w:r w:rsidRPr="00A85C28">
        <w:rPr>
          <w:rFonts w:eastAsia="Times New Roman"/>
        </w:rPr>
        <w:instrText xml:space="preserve"> SEQ level0 \*arabic </w:instrText>
      </w:r>
      <w:r w:rsidRPr="00A85C28">
        <w:rPr>
          <w:rFonts w:eastAsia="Times New Roman"/>
        </w:rPr>
        <w:fldChar w:fldCharType="separate"/>
      </w:r>
      <w:r w:rsidRPr="00A85C28" w:rsidR="00A85C28">
        <w:rPr>
          <w:rFonts w:eastAsia="Times New Roman"/>
          <w:noProof/>
        </w:rPr>
        <w:t>17</w:t>
      </w:r>
      <w:r w:rsidRPr="00A85C28">
        <w:rPr>
          <w:rFonts w:eastAsia="Times New Roman"/>
        </w:rPr>
        <w:fldChar w:fldCharType="end"/>
      </w:r>
      <w:r w:rsidRPr="00A85C28">
        <w:rPr>
          <w:rFonts w:eastAsia="Times New Roman"/>
        </w:rPr>
        <w:t>.  Il ressort de ces développements jurisprudentiels et des réflexions juridiques engagées au niveau interne que, loin d</w:t>
      </w:r>
      <w:r w:rsidRPr="00A85C28" w:rsidR="00A85C28">
        <w:rPr>
          <w:rFonts w:eastAsia="Times New Roman"/>
        </w:rPr>
        <w:t>’</w:t>
      </w:r>
      <w:r w:rsidRPr="00A85C28">
        <w:rPr>
          <w:rFonts w:eastAsia="Times New Roman"/>
        </w:rPr>
        <w:t xml:space="preserve">être ineffectif, un pourvoi </w:t>
      </w:r>
      <w:r w:rsidRPr="00A85C28">
        <w:rPr>
          <w:rFonts w:eastAsia="Times New Roman"/>
        </w:rPr>
        <w:t>en cassation paraissait essentiel en l</w:t>
      </w:r>
      <w:r w:rsidRPr="00A85C28" w:rsidR="00A85C28">
        <w:rPr>
          <w:rFonts w:eastAsia="Times New Roman"/>
        </w:rPr>
        <w:t>’</w:t>
      </w:r>
      <w:r w:rsidRPr="00A85C28">
        <w:rPr>
          <w:rFonts w:eastAsia="Times New Roman"/>
        </w:rPr>
        <w:t>espèce. Comme la Cour l</w:t>
      </w:r>
      <w:r w:rsidRPr="00A85C28" w:rsidR="00A85C28">
        <w:rPr>
          <w:rFonts w:eastAsia="Times New Roman"/>
        </w:rPr>
        <w:t>’</w:t>
      </w:r>
      <w:r w:rsidRPr="00A85C28">
        <w:rPr>
          <w:rFonts w:eastAsia="Times New Roman"/>
        </w:rPr>
        <w:t>a déjà indiqué dans une affaire britannique :</w:t>
      </w:r>
    </w:p>
    <w:p w:rsidRPr="00A85C28" w:rsidR="00067E66" w:rsidP="00A85C28">
      <w:pPr>
        <w:pStyle w:val="ECHRParaQuote"/>
        <w:rPr>
          <w:rFonts w:eastAsia="Times New Roman"/>
        </w:rPr>
      </w:pPr>
      <w:r w:rsidRPr="00A85C28">
        <w:rPr>
          <w:rFonts w:eastAsia="Times New Roman"/>
        </w:rPr>
        <w:t>« La règle de l</w:t>
      </w:r>
      <w:r w:rsidRPr="00A85C28" w:rsidR="00A85C28">
        <w:rPr>
          <w:rFonts w:eastAsia="Times New Roman"/>
        </w:rPr>
        <w:t>’</w:t>
      </w:r>
      <w:r w:rsidRPr="00A85C28">
        <w:rPr>
          <w:rFonts w:eastAsia="Times New Roman"/>
        </w:rPr>
        <w:t>épuisement des voies de recours internes telle qu</w:t>
      </w:r>
      <w:r w:rsidRPr="00A85C28" w:rsidR="00A85C28">
        <w:rPr>
          <w:rFonts w:eastAsia="Times New Roman"/>
        </w:rPr>
        <w:t>’</w:t>
      </w:r>
      <w:r w:rsidRPr="00A85C28">
        <w:rPr>
          <w:rFonts w:eastAsia="Times New Roman"/>
        </w:rPr>
        <w:t>énoncée à l</w:t>
      </w:r>
      <w:r w:rsidRPr="00A85C28" w:rsidR="00A85C28">
        <w:rPr>
          <w:rFonts w:eastAsia="Times New Roman"/>
        </w:rPr>
        <w:t>’</w:t>
      </w:r>
      <w:r w:rsidRPr="00A85C28">
        <w:rPr>
          <w:rFonts w:eastAsia="Times New Roman"/>
        </w:rPr>
        <w:t>article 35 § 1 reflète le rôle subsidiaire du mécanisme de la Convention. La Cour suprême, qui occupe le sommet de la hiérarchie judiciaire dans la plupart des domaines du droit au Royaume-Uni, est investie d</w:t>
      </w:r>
      <w:r w:rsidRPr="00A85C28" w:rsidR="00A85C28">
        <w:rPr>
          <w:rFonts w:eastAsia="Times New Roman"/>
        </w:rPr>
        <w:t>’</w:t>
      </w:r>
      <w:r w:rsidRPr="00A85C28">
        <w:rPr>
          <w:rFonts w:eastAsia="Times New Roman"/>
        </w:rPr>
        <w:t>une certaine responsabilité lorsqu</w:t>
      </w:r>
      <w:r w:rsidRPr="00A85C28" w:rsidR="00A85C28">
        <w:rPr>
          <w:rFonts w:eastAsia="Times New Roman"/>
        </w:rPr>
        <w:t>’</w:t>
      </w:r>
      <w:r w:rsidRPr="00A85C28">
        <w:rPr>
          <w:rFonts w:eastAsia="Times New Roman"/>
        </w:rPr>
        <w:t>il s</w:t>
      </w:r>
      <w:r w:rsidRPr="00A85C28" w:rsidR="00A85C28">
        <w:rPr>
          <w:rFonts w:eastAsia="Times New Roman"/>
        </w:rPr>
        <w:t>’</w:t>
      </w:r>
      <w:r w:rsidRPr="00A85C28">
        <w:rPr>
          <w:rFonts w:eastAsia="Times New Roman"/>
        </w:rPr>
        <w:t>agit de faire appliquer la Convention dans l</w:t>
      </w:r>
      <w:r w:rsidRPr="00A85C28" w:rsidR="00A85C28">
        <w:rPr>
          <w:rFonts w:eastAsia="Times New Roman"/>
        </w:rPr>
        <w:t>’</w:t>
      </w:r>
      <w:r w:rsidRPr="00A85C28">
        <w:rPr>
          <w:rFonts w:eastAsia="Times New Roman"/>
        </w:rPr>
        <w:t>État défendeur. Il serait absurde et irait à l</w:t>
      </w:r>
      <w:r w:rsidRPr="00A85C28" w:rsidR="00A85C28">
        <w:rPr>
          <w:rFonts w:eastAsia="Times New Roman"/>
        </w:rPr>
        <w:t>’</w:t>
      </w:r>
      <w:r w:rsidRPr="00A85C28">
        <w:rPr>
          <w:rFonts w:eastAsia="Times New Roman"/>
        </w:rPr>
        <w:t>encontre du principe de subsidiarité que cette Cour interprète l</w:t>
      </w:r>
      <w:r w:rsidRPr="00A85C28" w:rsidR="00A85C28">
        <w:rPr>
          <w:rFonts w:eastAsia="Times New Roman"/>
        </w:rPr>
        <w:t>’</w:t>
      </w:r>
      <w:r w:rsidRPr="00A85C28">
        <w:rPr>
          <w:rFonts w:eastAsia="Times New Roman"/>
        </w:rPr>
        <w:t>article 35 § 1 dans un sens qui priverait la Cour suprême de son rôle juridique dans le fonctionnement du système de la Convention. » (</w:t>
      </w:r>
      <w:r w:rsidRPr="00A85C28">
        <w:rPr>
          <w:rFonts w:eastAsia="Times New Roman"/>
          <w:i/>
        </w:rPr>
        <w:t>Roberts c. Royaume-Uni</w:t>
      </w:r>
      <w:r w:rsidRPr="00A85C28">
        <w:rPr>
          <w:rFonts w:eastAsia="Times New Roman"/>
        </w:rPr>
        <w:t xml:space="preserve"> (déc.), n</w:t>
      </w:r>
      <w:r w:rsidRPr="00A85C28">
        <w:rPr>
          <w:rFonts w:eastAsia="Times New Roman"/>
          <w:vertAlign w:val="superscript"/>
        </w:rPr>
        <w:t>o</w:t>
      </w:r>
      <w:r w:rsidRPr="00A85C28">
        <w:rPr>
          <w:rFonts w:eastAsia="Times New Roman"/>
        </w:rPr>
        <w:t xml:space="preserve"> 59703/13, § 43, 5 janvier 2016)</w:t>
      </w:r>
    </w:p>
    <w:p w:rsidRPr="00A85C28" w:rsidR="00067E66" w:rsidP="00A85C28">
      <w:pPr>
        <w:pStyle w:val="ECHRPara"/>
      </w:pPr>
      <w:r w:rsidRPr="00A85C28">
        <w:rPr>
          <w:rFonts w:eastAsia="Times New Roman"/>
        </w:rPr>
        <w:fldChar w:fldCharType="begin"/>
      </w:r>
      <w:r w:rsidRPr="00A85C28">
        <w:rPr>
          <w:rFonts w:eastAsia="Times New Roman"/>
        </w:rPr>
        <w:instrText xml:space="preserve"> SEQ level0 \*arabic </w:instrText>
      </w:r>
      <w:r w:rsidRPr="00A85C28">
        <w:rPr>
          <w:rFonts w:eastAsia="Times New Roman"/>
        </w:rPr>
        <w:fldChar w:fldCharType="separate"/>
      </w:r>
      <w:r w:rsidRPr="00A85C28" w:rsidR="00A85C28">
        <w:rPr>
          <w:rFonts w:eastAsia="Times New Roman"/>
          <w:noProof/>
        </w:rPr>
        <w:t>18</w:t>
      </w:r>
      <w:r w:rsidRPr="00A85C28">
        <w:rPr>
          <w:rFonts w:eastAsia="Times New Roman"/>
        </w:rPr>
        <w:fldChar w:fldCharType="end"/>
      </w:r>
      <w:r w:rsidRPr="00A85C28">
        <w:rPr>
          <w:rFonts w:eastAsia="Times New Roman"/>
        </w:rPr>
        <w:t>.  Toutefois, en l</w:t>
      </w:r>
      <w:r w:rsidRPr="00A85C28" w:rsidR="00A85C28">
        <w:rPr>
          <w:rFonts w:eastAsia="Times New Roman"/>
        </w:rPr>
        <w:t>’</w:t>
      </w:r>
      <w:r w:rsidRPr="00A85C28">
        <w:rPr>
          <w:rFonts w:eastAsia="Times New Roman"/>
        </w:rPr>
        <w:t>absence d</w:t>
      </w:r>
      <w:r w:rsidRPr="00A85C28" w:rsidR="00A85C28">
        <w:rPr>
          <w:rFonts w:eastAsia="Times New Roman"/>
        </w:rPr>
        <w:t>’</w:t>
      </w:r>
      <w:r w:rsidRPr="00A85C28">
        <w:rPr>
          <w:rFonts w:eastAsia="Times New Roman"/>
        </w:rPr>
        <w:t>une exception soulevée par le gouvernement français, la Cour était obligée d</w:t>
      </w:r>
      <w:r w:rsidRPr="00A85C28" w:rsidR="00A85C28">
        <w:rPr>
          <w:rFonts w:eastAsia="Times New Roman"/>
        </w:rPr>
        <w:t>’</w:t>
      </w:r>
      <w:r w:rsidRPr="00A85C28">
        <w:rPr>
          <w:rFonts w:eastAsia="Times New Roman"/>
        </w:rPr>
        <w:t>avancer. Je suis loin d</w:t>
      </w:r>
      <w:r w:rsidRPr="00A85C28" w:rsidR="00A85C28">
        <w:rPr>
          <w:rFonts w:eastAsia="Times New Roman"/>
        </w:rPr>
        <w:t>’</w:t>
      </w:r>
      <w:r w:rsidRPr="00A85C28">
        <w:rPr>
          <w:rFonts w:eastAsia="Times New Roman"/>
        </w:rPr>
        <w:t>être le seul juge à me demander si la jurisprudence actuelle de la Cour selon laquelle celle-ci ne peut soulever une absence d</w:t>
      </w:r>
      <w:r w:rsidRPr="00A85C28" w:rsidR="00A85C28">
        <w:rPr>
          <w:rFonts w:eastAsia="Times New Roman"/>
        </w:rPr>
        <w:t>’</w:t>
      </w:r>
      <w:r w:rsidRPr="00A85C28">
        <w:rPr>
          <w:rFonts w:eastAsia="Times New Roman"/>
        </w:rPr>
        <w:t xml:space="preserve">épuisement </w:t>
      </w:r>
      <w:r w:rsidRPr="00A85C28">
        <w:rPr>
          <w:rFonts w:eastAsia="Times New Roman"/>
          <w:i/>
        </w:rPr>
        <w:t>proprio motu</w:t>
      </w:r>
      <w:r w:rsidRPr="00A85C28">
        <w:rPr>
          <w:rFonts w:eastAsia="Times New Roman"/>
        </w:rPr>
        <w:t xml:space="preserve"> est la plus adaptée et si les dispositions pertinentes de la Convention l</w:t>
      </w:r>
      <w:r w:rsidRPr="00A85C28" w:rsidR="00A85C28">
        <w:rPr>
          <w:rFonts w:eastAsia="Times New Roman"/>
        </w:rPr>
        <w:t>’</w:t>
      </w:r>
      <w:r w:rsidRPr="00A85C28">
        <w:rPr>
          <w:rFonts w:eastAsia="Times New Roman"/>
        </w:rPr>
        <w:t>imposent (voir, entre autres, l</w:t>
      </w:r>
      <w:r w:rsidRPr="00A85C28" w:rsidR="00A85C28">
        <w:rPr>
          <w:rFonts w:eastAsia="Times New Roman"/>
        </w:rPr>
        <w:t>’</w:t>
      </w:r>
      <w:r w:rsidRPr="00A85C28">
        <w:rPr>
          <w:rFonts w:eastAsia="Times New Roman"/>
        </w:rPr>
        <w:t xml:space="preserve">opinion séparée exprimée par la juge </w:t>
      </w:r>
      <w:r w:rsidRPr="00A85C28">
        <w:rPr>
          <w:rFonts w:eastAsia="Times New Roman"/>
        </w:rPr>
        <w:t>Koskelo</w:t>
      </w:r>
      <w:r w:rsidRPr="00A85C28">
        <w:rPr>
          <w:rFonts w:eastAsia="Times New Roman"/>
        </w:rPr>
        <w:t xml:space="preserve"> (et moi-même) dans l</w:t>
      </w:r>
      <w:r w:rsidRPr="00A85C28" w:rsidR="00A85C28">
        <w:rPr>
          <w:rFonts w:eastAsia="Times New Roman"/>
        </w:rPr>
        <w:t>’</w:t>
      </w:r>
      <w:r w:rsidRPr="00A85C28">
        <w:rPr>
          <w:rFonts w:eastAsia="Times New Roman"/>
        </w:rPr>
        <w:t xml:space="preserve">affaire </w:t>
      </w:r>
      <w:r w:rsidRPr="00A85C28">
        <w:rPr>
          <w:rFonts w:eastAsia="Times New Roman"/>
          <w:i/>
        </w:rPr>
        <w:t>Fabian c. Hongrie</w:t>
      </w:r>
      <w:r w:rsidRPr="00A85C28">
        <w:rPr>
          <w:rFonts w:eastAsia="Times New Roman"/>
        </w:rPr>
        <w:t xml:space="preserve"> [GC], n</w:t>
      </w:r>
      <w:r w:rsidRPr="00A85C28">
        <w:rPr>
          <w:rFonts w:eastAsia="Times New Roman"/>
          <w:vertAlign w:val="superscript"/>
        </w:rPr>
        <w:t>o </w:t>
      </w:r>
      <w:r w:rsidRPr="00A85C28">
        <w:rPr>
          <w:rFonts w:eastAsia="Times New Roman"/>
        </w:rPr>
        <w:t>78117/13, 5 septembre 2017 ; le paragraphe 17 de l</w:t>
      </w:r>
      <w:r w:rsidRPr="00A85C28" w:rsidR="00A85C28">
        <w:rPr>
          <w:rFonts w:eastAsia="Times New Roman"/>
        </w:rPr>
        <w:t>’</w:t>
      </w:r>
      <w:r w:rsidRPr="00A85C28">
        <w:rPr>
          <w:rFonts w:eastAsia="Times New Roman"/>
        </w:rPr>
        <w:t xml:space="preserve">opinion des juges </w:t>
      </w:r>
      <w:r w:rsidRPr="00A85C28">
        <w:rPr>
          <w:rFonts w:eastAsia="Times New Roman"/>
        </w:rPr>
        <w:t>Wojtyczek</w:t>
      </w:r>
      <w:r w:rsidRPr="00A85C28">
        <w:rPr>
          <w:rFonts w:eastAsia="Times New Roman"/>
        </w:rPr>
        <w:t xml:space="preserve">, </w:t>
      </w:r>
      <w:r w:rsidRPr="00A85C28">
        <w:rPr>
          <w:rFonts w:eastAsia="Times New Roman"/>
        </w:rPr>
        <w:t>Eicke</w:t>
      </w:r>
      <w:r w:rsidRPr="00A85C28">
        <w:rPr>
          <w:rFonts w:eastAsia="Times New Roman"/>
        </w:rPr>
        <w:t xml:space="preserve"> et </w:t>
      </w:r>
      <w:r w:rsidRPr="00A85C28">
        <w:rPr>
          <w:rFonts w:eastAsia="Times New Roman"/>
        </w:rPr>
        <w:t>Ilievski</w:t>
      </w:r>
      <w:r w:rsidRPr="00A85C28">
        <w:rPr>
          <w:rFonts w:eastAsia="Times New Roman"/>
        </w:rPr>
        <w:t xml:space="preserve"> jointe à l</w:t>
      </w:r>
      <w:r w:rsidRPr="00A85C28" w:rsidR="00A85C28">
        <w:rPr>
          <w:rFonts w:eastAsia="Times New Roman"/>
        </w:rPr>
        <w:t>’</w:t>
      </w:r>
      <w:r w:rsidRPr="00A85C28">
        <w:rPr>
          <w:rFonts w:eastAsia="Times New Roman"/>
        </w:rPr>
        <w:t xml:space="preserve">arrêt </w:t>
      </w:r>
      <w:r w:rsidRPr="00A85C28">
        <w:rPr>
          <w:i/>
        </w:rPr>
        <w:t>Pasquini c. Saint-Marin</w:t>
      </w:r>
      <w:r w:rsidRPr="00A85C28">
        <w:t>, n</w:t>
      </w:r>
      <w:r w:rsidRPr="00A85C28">
        <w:rPr>
          <w:vertAlign w:val="superscript"/>
        </w:rPr>
        <w:t>o</w:t>
      </w:r>
      <w:r w:rsidRPr="00A85C28">
        <w:t xml:space="preserve"> 50956/16, 2 mai 2019, ainsi que </w:t>
      </w:r>
      <w:r w:rsidRPr="00A85C28">
        <w:rPr>
          <w:rFonts w:eastAsia="Times New Roman"/>
        </w:rPr>
        <w:t>l</w:t>
      </w:r>
      <w:r w:rsidRPr="00A85C28" w:rsidR="00A85C28">
        <w:rPr>
          <w:rFonts w:eastAsia="Times New Roman"/>
        </w:rPr>
        <w:t>’</w:t>
      </w:r>
      <w:r w:rsidRPr="00A85C28">
        <w:rPr>
          <w:rFonts w:eastAsia="Times New Roman"/>
        </w:rPr>
        <w:t xml:space="preserve">exposé extrajudiciaire du juge </w:t>
      </w:r>
      <w:r w:rsidRPr="00A85C28">
        <w:rPr>
          <w:rFonts w:eastAsia="Times New Roman"/>
        </w:rPr>
        <w:t>Eicke</w:t>
      </w:r>
      <w:r w:rsidRPr="00A85C28">
        <w:rPr>
          <w:rFonts w:eastAsia="Times New Roman"/>
        </w:rPr>
        <w:t xml:space="preserve"> intitulé, </w:t>
      </w:r>
      <w:r w:rsidRPr="00A85C28">
        <w:t>« </w:t>
      </w:r>
      <w:r w:rsidRPr="00A85C28">
        <w:rPr>
          <w:rFonts w:eastAsia="Times New Roman"/>
        </w:rPr>
        <w:t xml:space="preserve">The </w:t>
      </w:r>
      <w:r w:rsidRPr="00A85C28">
        <w:rPr>
          <w:rFonts w:eastAsia="Times New Roman"/>
        </w:rPr>
        <w:t>Court</w:t>
      </w:r>
      <w:r w:rsidRPr="00A85C28" w:rsidR="00A85C28">
        <w:rPr>
          <w:rFonts w:eastAsia="Times New Roman"/>
        </w:rPr>
        <w:t>’</w:t>
      </w:r>
      <w:r w:rsidRPr="00A85C28">
        <w:rPr>
          <w:rFonts w:eastAsia="Times New Roman"/>
        </w:rPr>
        <w:t>s</w:t>
      </w:r>
      <w:r w:rsidRPr="00A85C28">
        <w:rPr>
          <w:rFonts w:eastAsia="Times New Roman"/>
        </w:rPr>
        <w:t xml:space="preserve"> </w:t>
      </w:r>
      <w:r w:rsidRPr="00A85C28">
        <w:rPr>
          <w:rFonts w:eastAsia="Times New Roman"/>
        </w:rPr>
        <w:t>approach</w:t>
      </w:r>
      <w:r w:rsidRPr="00A85C28">
        <w:rPr>
          <w:rFonts w:eastAsia="Times New Roman"/>
        </w:rPr>
        <w:t xml:space="preserve"> to exhaustion of </w:t>
      </w:r>
      <w:r w:rsidRPr="00A85C28">
        <w:rPr>
          <w:rFonts w:eastAsia="Times New Roman"/>
        </w:rPr>
        <w:t>domestic</w:t>
      </w:r>
      <w:r w:rsidRPr="00A85C28">
        <w:rPr>
          <w:rFonts w:eastAsia="Times New Roman"/>
        </w:rPr>
        <w:t xml:space="preserve"> </w:t>
      </w:r>
      <w:r w:rsidRPr="00A85C28">
        <w:rPr>
          <w:rFonts w:eastAsia="Times New Roman"/>
        </w:rPr>
        <w:t>remedies</w:t>
      </w:r>
      <w:r w:rsidRPr="00A85C28">
        <w:rPr>
          <w:rFonts w:eastAsia="Times New Roman"/>
        </w:rPr>
        <w:t xml:space="preserve"> in the </w:t>
      </w:r>
      <w:r w:rsidRPr="00A85C28">
        <w:rPr>
          <w:rFonts w:eastAsia="Times New Roman"/>
        </w:rPr>
        <w:t>age</w:t>
      </w:r>
      <w:r w:rsidRPr="00A85C28">
        <w:rPr>
          <w:rFonts w:eastAsia="Times New Roman"/>
        </w:rPr>
        <w:t xml:space="preserve"> of </w:t>
      </w:r>
      <w:r w:rsidRPr="00A85C28">
        <w:rPr>
          <w:rFonts w:eastAsia="Times New Roman"/>
        </w:rPr>
        <w:t>subsidiarity</w:t>
      </w:r>
      <w:r w:rsidRPr="00A85C28">
        <w:rPr>
          <w:rFonts w:eastAsia="Times New Roman"/>
        </w:rPr>
        <w:t xml:space="preserve"> », </w:t>
      </w:r>
      <w:r w:rsidRPr="00A85C28">
        <w:rPr>
          <w:rFonts w:eastAsia="Times New Roman"/>
          <w:i/>
        </w:rPr>
        <w:t>in</w:t>
      </w:r>
      <w:r w:rsidRPr="00A85C28">
        <w:rPr>
          <w:rFonts w:eastAsia="Times New Roman"/>
        </w:rPr>
        <w:t xml:space="preserve"> L.-A. </w:t>
      </w:r>
      <w:r w:rsidRPr="00A85C28">
        <w:rPr>
          <w:rFonts w:eastAsia="Times New Roman"/>
        </w:rPr>
        <w:t>Sicilianos</w:t>
      </w:r>
      <w:r w:rsidRPr="00A85C28">
        <w:rPr>
          <w:rFonts w:eastAsia="Times New Roman"/>
        </w:rPr>
        <w:t xml:space="preserve"> </w:t>
      </w:r>
      <w:r w:rsidRPr="00A85C28">
        <w:rPr>
          <w:rFonts w:eastAsia="Times New Roman"/>
          <w:i/>
        </w:rPr>
        <w:t>et al.</w:t>
      </w:r>
      <w:r w:rsidRPr="00A85C28">
        <w:rPr>
          <w:rFonts w:eastAsia="Times New Roman"/>
        </w:rPr>
        <w:t xml:space="preserve"> (</w:t>
      </w:r>
      <w:r w:rsidRPr="00A85C28">
        <w:rPr>
          <w:rFonts w:eastAsia="Times New Roman"/>
        </w:rPr>
        <w:t>eds</w:t>
      </w:r>
      <w:r w:rsidRPr="00A85C28">
        <w:rPr>
          <w:rFonts w:eastAsia="Times New Roman"/>
        </w:rPr>
        <w:t xml:space="preserve">.), </w:t>
      </w:r>
      <w:r w:rsidRPr="00A85C28">
        <w:rPr>
          <w:rFonts w:eastAsia="Times New Roman"/>
          <w:i/>
          <w:iCs/>
        </w:rPr>
        <w:t>Regards croisés sur la protection nationale et internationale des droits de l</w:t>
      </w:r>
      <w:r w:rsidRPr="00A85C28" w:rsidR="00A85C28">
        <w:rPr>
          <w:rFonts w:eastAsia="Times New Roman"/>
          <w:i/>
          <w:iCs/>
        </w:rPr>
        <w:t>’</w:t>
      </w:r>
      <w:r w:rsidRPr="00A85C28">
        <w:rPr>
          <w:rFonts w:eastAsia="Times New Roman"/>
          <w:i/>
          <w:iCs/>
        </w:rPr>
        <w:t xml:space="preserve">homme - </w:t>
      </w:r>
      <w:r w:rsidRPr="00A85C28">
        <w:rPr>
          <w:rFonts w:eastAsia="Times New Roman"/>
          <w:i/>
          <w:iCs/>
        </w:rPr>
        <w:t>Intersecting</w:t>
      </w:r>
      <w:r w:rsidRPr="00A85C28">
        <w:rPr>
          <w:rFonts w:eastAsia="Times New Roman"/>
          <w:i/>
          <w:iCs/>
        </w:rPr>
        <w:t xml:space="preserve"> </w:t>
      </w:r>
      <w:r w:rsidRPr="00A85C28">
        <w:rPr>
          <w:rFonts w:eastAsia="Times New Roman"/>
          <w:i/>
          <w:iCs/>
        </w:rPr>
        <w:t>views</w:t>
      </w:r>
      <w:r w:rsidRPr="00A85C28">
        <w:rPr>
          <w:rFonts w:eastAsia="Times New Roman"/>
          <w:i/>
          <w:iCs/>
        </w:rPr>
        <w:t xml:space="preserve"> on national and international </w:t>
      </w:r>
      <w:r w:rsidRPr="00A85C28">
        <w:rPr>
          <w:rFonts w:eastAsia="Times New Roman"/>
          <w:i/>
          <w:iCs/>
        </w:rPr>
        <w:t>human</w:t>
      </w:r>
      <w:r w:rsidRPr="00A85C28">
        <w:rPr>
          <w:rFonts w:eastAsia="Times New Roman"/>
          <w:i/>
          <w:iCs/>
        </w:rPr>
        <w:t xml:space="preserve"> </w:t>
      </w:r>
      <w:r w:rsidRPr="00A85C28">
        <w:rPr>
          <w:rFonts w:eastAsia="Times New Roman"/>
          <w:i/>
          <w:iCs/>
        </w:rPr>
        <w:t>rights</w:t>
      </w:r>
      <w:r w:rsidRPr="00A85C28">
        <w:rPr>
          <w:rFonts w:eastAsia="Times New Roman"/>
          <w:i/>
          <w:iCs/>
        </w:rPr>
        <w:t xml:space="preserve"> protection: Liber </w:t>
      </w:r>
      <w:r w:rsidRPr="00A85C28">
        <w:rPr>
          <w:rFonts w:eastAsia="Times New Roman"/>
          <w:i/>
          <w:iCs/>
        </w:rPr>
        <w:t>amicorum</w:t>
      </w:r>
      <w:r w:rsidRPr="00A85C28">
        <w:rPr>
          <w:rFonts w:eastAsia="Times New Roman"/>
          <w:i/>
          <w:iCs/>
        </w:rPr>
        <w:t xml:space="preserve"> Guido Raimondi</w:t>
      </w:r>
      <w:r w:rsidRPr="00A85C28">
        <w:rPr>
          <w:rFonts w:eastAsia="Times New Roman"/>
        </w:rPr>
        <w:t xml:space="preserve">, Tilburg, Wolf </w:t>
      </w:r>
      <w:r w:rsidRPr="00A85C28">
        <w:rPr>
          <w:rFonts w:eastAsia="Times New Roman"/>
        </w:rPr>
        <w:t>Lega</w:t>
      </w:r>
      <w:r w:rsidRPr="00A85C28" w:rsidR="00914131">
        <w:rPr>
          <w:rFonts w:eastAsia="Times New Roman"/>
        </w:rPr>
        <w:t>l</w:t>
      </w:r>
      <w:r w:rsidRPr="00A85C28" w:rsidR="00914131">
        <w:rPr>
          <w:rFonts w:eastAsia="Times New Roman"/>
        </w:rPr>
        <w:t xml:space="preserve"> </w:t>
      </w:r>
      <w:r w:rsidRPr="00A85C28" w:rsidR="00914131">
        <w:rPr>
          <w:rFonts w:eastAsia="Times New Roman"/>
        </w:rPr>
        <w:t>Publishers</w:t>
      </w:r>
      <w:r w:rsidRPr="00A85C28" w:rsidR="00914131">
        <w:rPr>
          <w:rFonts w:eastAsia="Times New Roman"/>
        </w:rPr>
        <w:t>, 2019, pp. 231</w:t>
      </w:r>
      <w:r w:rsidRPr="00A85C28" w:rsidR="00914131">
        <w:rPr>
          <w:rFonts w:eastAsia="Times New Roman"/>
        </w:rPr>
        <w:noBreakHyphen/>
      </w:r>
      <w:r w:rsidRPr="00A85C28">
        <w:rPr>
          <w:rFonts w:eastAsia="Times New Roman"/>
        </w:rPr>
        <w:t>254)</w:t>
      </w:r>
      <w:r>
        <w:rPr>
          <w:rFonts w:eastAsia="Times New Roman"/>
          <w:vertAlign w:val="superscript"/>
          <w:lang w:val="en-US"/>
        </w:rPr>
        <w:footnoteReference w:id="5"/>
      </w:r>
      <w:r w:rsidRPr="00A85C28">
        <w:rPr>
          <w:rFonts w:eastAsia="Times New Roman"/>
        </w:rPr>
        <w:t>.</w:t>
      </w:r>
    </w:p>
    <w:p w:rsidRPr="00A85C28" w:rsidR="00914131" w:rsidP="00A85C28">
      <w:pPr>
        <w:pStyle w:val="ECHRHeading1"/>
        <w:rPr>
          <w:rFonts w:eastAsia="Times New Roman"/>
        </w:rPr>
      </w:pPr>
      <w:r w:rsidRPr="00A85C28">
        <w:rPr>
          <w:rFonts w:eastAsia="Times New Roman"/>
        </w:rPr>
        <w:t>III. </w:t>
      </w:r>
      <w:r w:rsidRPr="00A85C28" w:rsidR="00796963">
        <w:rPr>
          <w:rFonts w:eastAsia="Times New Roman"/>
        </w:rPr>
        <w:t> </w:t>
      </w:r>
      <w:r w:rsidRPr="00A85C28">
        <w:rPr>
          <w:rFonts w:eastAsia="Times New Roman"/>
        </w:rPr>
        <w:t>QUESTIONS JURIDIQUES NON TRANCHÉES PAR L</w:t>
      </w:r>
      <w:r w:rsidRPr="00A85C28" w:rsidR="00A85C28">
        <w:rPr>
          <w:rFonts w:eastAsia="Times New Roman"/>
        </w:rPr>
        <w:t>’</w:t>
      </w:r>
      <w:r w:rsidRPr="00A85C28">
        <w:rPr>
          <w:rFonts w:eastAsia="Times New Roman"/>
        </w:rPr>
        <w:t>ARRÊT</w:t>
      </w:r>
    </w:p>
    <w:p w:rsidRPr="00A85C28" w:rsidR="00067E66" w:rsidP="00A85C28">
      <w:pPr>
        <w:pStyle w:val="ECHRPara"/>
        <w:rPr>
          <w:rFonts w:eastAsia="Times New Roman"/>
        </w:rPr>
      </w:pPr>
      <w:r w:rsidRPr="00A85C28">
        <w:rPr>
          <w:rFonts w:eastAsia="Times New Roman"/>
        </w:rPr>
        <w:fldChar w:fldCharType="begin"/>
      </w:r>
      <w:r w:rsidRPr="00A85C28">
        <w:rPr>
          <w:rFonts w:eastAsia="Times New Roman"/>
        </w:rPr>
        <w:instrText xml:space="preserve"> SEQ level0 \*arabic </w:instrText>
      </w:r>
      <w:r w:rsidRPr="00A85C28">
        <w:rPr>
          <w:rFonts w:eastAsia="Times New Roman"/>
        </w:rPr>
        <w:fldChar w:fldCharType="separate"/>
      </w:r>
      <w:r w:rsidRPr="00A85C28" w:rsidR="00A85C28">
        <w:rPr>
          <w:rFonts w:eastAsia="Times New Roman"/>
          <w:noProof/>
        </w:rPr>
        <w:t>19</w:t>
      </w:r>
      <w:r w:rsidRPr="00A85C28">
        <w:rPr>
          <w:rFonts w:eastAsia="Times New Roman"/>
        </w:rPr>
        <w:fldChar w:fldCharType="end"/>
      </w:r>
      <w:r w:rsidRPr="00A85C28">
        <w:rPr>
          <w:rFonts w:eastAsia="Times New Roman"/>
        </w:rPr>
        <w:t>.  Le constat de non-violation dans cette situation inédite ne doit pas cacher le fait qu</w:t>
      </w:r>
      <w:r w:rsidRPr="00A85C28" w:rsidR="00A85C28">
        <w:rPr>
          <w:rFonts w:eastAsia="Times New Roman"/>
        </w:rPr>
        <w:t>’</w:t>
      </w:r>
      <w:r w:rsidRPr="00A85C28">
        <w:rPr>
          <w:rFonts w:eastAsia="Times New Roman"/>
        </w:rPr>
        <w:t>une demande telle que celle en cause confronterait la Cour à des questions juridiques qui ne sont pas simplement difficiles et sensibles (</w:t>
      </w:r>
      <w:r w:rsidRPr="00A85C28">
        <w:rPr>
          <w:rFonts w:eastAsia="Times New Roman"/>
          <w:i/>
        </w:rPr>
        <w:t>Mennesson</w:t>
      </w:r>
      <w:r w:rsidRPr="00A85C28">
        <w:rPr>
          <w:rFonts w:eastAsia="Times New Roman"/>
          <w:i/>
        </w:rPr>
        <w:t xml:space="preserve">, </w:t>
      </w:r>
      <w:r w:rsidRPr="00A85C28">
        <w:rPr>
          <w:rFonts w:eastAsia="Times New Roman"/>
        </w:rPr>
        <w:t>précité, §§ 78-79), mais qui sont également nouvelles. Dans son avis du 10 avril 2019, la Cour indique très clairement que le litige interne faisant l</w:t>
      </w:r>
      <w:r w:rsidRPr="00A85C28" w:rsidR="00A85C28">
        <w:rPr>
          <w:rFonts w:eastAsia="Times New Roman"/>
        </w:rPr>
        <w:t>’</w:t>
      </w:r>
      <w:r w:rsidRPr="00A85C28">
        <w:rPr>
          <w:rFonts w:eastAsia="Times New Roman"/>
        </w:rPr>
        <w:t>objet de la demande d</w:t>
      </w:r>
      <w:r w:rsidRPr="00A85C28" w:rsidR="00A85C28">
        <w:rPr>
          <w:rFonts w:eastAsia="Times New Roman"/>
        </w:rPr>
        <w:t>’</w:t>
      </w:r>
      <w:r w:rsidRPr="00A85C28">
        <w:rPr>
          <w:rFonts w:eastAsia="Times New Roman"/>
        </w:rPr>
        <w:t>avis « ne concerne donc pas le cas où l</w:t>
      </w:r>
      <w:r w:rsidRPr="00A85C28" w:rsidR="00A85C28">
        <w:rPr>
          <w:rFonts w:eastAsia="Times New Roman"/>
        </w:rPr>
        <w:t>’</w:t>
      </w:r>
      <w:r w:rsidRPr="00A85C28">
        <w:rPr>
          <w:rFonts w:eastAsia="Times New Roman"/>
        </w:rPr>
        <w:t>enfant est issu des gamètes de la mère d</w:t>
      </w:r>
      <w:r w:rsidRPr="00A85C28" w:rsidR="00A85C28">
        <w:rPr>
          <w:rFonts w:eastAsia="Times New Roman"/>
        </w:rPr>
        <w:t>’</w:t>
      </w:r>
      <w:r w:rsidRPr="00A85C28">
        <w:rPr>
          <w:rFonts w:eastAsia="Times New Roman"/>
        </w:rPr>
        <w:t>intention » (n</w:t>
      </w:r>
      <w:r w:rsidRPr="00A85C28">
        <w:rPr>
          <w:rFonts w:eastAsia="Times New Roman"/>
          <w:vertAlign w:val="superscript"/>
        </w:rPr>
        <w:t>o</w:t>
      </w:r>
      <w:r w:rsidRPr="00A85C28">
        <w:rPr>
          <w:rFonts w:eastAsia="Times New Roman"/>
        </w:rPr>
        <w:t xml:space="preserve"> P-16-2018-001, précité, § 28). En outre, au paragraphe 36 de l</w:t>
      </w:r>
      <w:r w:rsidRPr="00A85C28" w:rsidR="00A85C28">
        <w:rPr>
          <w:rFonts w:eastAsia="Times New Roman"/>
        </w:rPr>
        <w:t>’</w:t>
      </w:r>
      <w:r w:rsidRPr="00A85C28">
        <w:rPr>
          <w:rFonts w:eastAsia="Times New Roman"/>
        </w:rPr>
        <w:t>avis, la Cour a fait valoir ce qui suit :</w:t>
      </w:r>
    </w:p>
    <w:p w:rsidRPr="00A85C28" w:rsidR="00067E66" w:rsidP="00A85C28">
      <w:pPr>
        <w:pStyle w:val="ECHRParaQuote"/>
        <w:rPr>
          <w:rFonts w:eastAsia="Times New Roman"/>
        </w:rPr>
      </w:pPr>
      <w:r w:rsidRPr="00A85C28">
        <w:rPr>
          <w:rFonts w:eastAsia="Times New Roman"/>
        </w:rPr>
        <w:t>« Elle rappelle à cet égard que la question à examiner en l</w:t>
      </w:r>
      <w:r w:rsidRPr="00A85C28" w:rsidR="00A85C28">
        <w:rPr>
          <w:rFonts w:eastAsia="Times New Roman"/>
        </w:rPr>
        <w:t>’</w:t>
      </w:r>
      <w:r w:rsidRPr="00A85C28">
        <w:rPr>
          <w:rFonts w:eastAsia="Times New Roman"/>
        </w:rPr>
        <w:t>espèce inclut explicitement un élément factuel selon lequel le père d</w:t>
      </w:r>
      <w:r w:rsidRPr="00A85C28" w:rsidR="00A85C28">
        <w:rPr>
          <w:rFonts w:eastAsia="Times New Roman"/>
        </w:rPr>
        <w:t>’</w:t>
      </w:r>
      <w:r w:rsidRPr="00A85C28">
        <w:rPr>
          <w:rFonts w:eastAsia="Times New Roman"/>
        </w:rPr>
        <w:t>intention a un lien biologique avec l</w:t>
      </w:r>
      <w:r w:rsidRPr="00A85C28" w:rsidR="00A85C28">
        <w:rPr>
          <w:rFonts w:eastAsia="Times New Roman"/>
        </w:rPr>
        <w:t>’</w:t>
      </w:r>
      <w:r w:rsidRPr="00A85C28">
        <w:rPr>
          <w:rFonts w:eastAsia="Times New Roman"/>
        </w:rPr>
        <w:t>enfant concerné. La Cour va circonscrire sa réponse en conséquence. Elle précise toutefois qu</w:t>
      </w:r>
      <w:r w:rsidRPr="00A85C28" w:rsidR="00A85C28">
        <w:rPr>
          <w:rFonts w:eastAsia="Times New Roman"/>
        </w:rPr>
        <w:t>’</w:t>
      </w:r>
      <w:r w:rsidRPr="00A85C28">
        <w:rPr>
          <w:rFonts w:eastAsia="Times New Roman"/>
        </w:rPr>
        <w:t>elle pourrait être appelée à l</w:t>
      </w:r>
      <w:r w:rsidRPr="00A85C28" w:rsidR="00A85C28">
        <w:rPr>
          <w:rFonts w:eastAsia="Times New Roman"/>
        </w:rPr>
        <w:t>’</w:t>
      </w:r>
      <w:r w:rsidRPr="00A85C28">
        <w:rPr>
          <w:rFonts w:eastAsia="Times New Roman"/>
        </w:rPr>
        <w:t>avenir à développer sa jurisprudence dans ce domaine, étant donné en particulier l</w:t>
      </w:r>
      <w:r w:rsidRPr="00A85C28" w:rsidR="00A85C28">
        <w:rPr>
          <w:rFonts w:eastAsia="Times New Roman"/>
        </w:rPr>
        <w:t>’</w:t>
      </w:r>
      <w:r w:rsidRPr="00A85C28">
        <w:rPr>
          <w:rFonts w:eastAsia="Times New Roman"/>
        </w:rPr>
        <w:t>évolution de la question de la gestation pour autrui. »</w:t>
      </w:r>
    </w:p>
    <w:p w:rsidRPr="00A85C28" w:rsidR="00067E66" w:rsidP="00A85C28">
      <w:pPr>
        <w:pStyle w:val="ECHRPara"/>
        <w:rPr>
          <w:rFonts w:eastAsia="Times New Roman"/>
        </w:rPr>
      </w:pPr>
      <w:r w:rsidRPr="00A85C28">
        <w:rPr>
          <w:rFonts w:eastAsia="Times New Roman"/>
        </w:rPr>
        <w:fldChar w:fldCharType="begin"/>
      </w:r>
      <w:r w:rsidRPr="00A85C28">
        <w:rPr>
          <w:rFonts w:eastAsia="Times New Roman"/>
        </w:rPr>
        <w:instrText xml:space="preserve"> SEQ level0 \*arabic </w:instrText>
      </w:r>
      <w:r w:rsidRPr="00A85C28">
        <w:rPr>
          <w:rFonts w:eastAsia="Times New Roman"/>
        </w:rPr>
        <w:fldChar w:fldCharType="separate"/>
      </w:r>
      <w:r w:rsidRPr="00A85C28" w:rsidR="00A85C28">
        <w:rPr>
          <w:rFonts w:eastAsia="Times New Roman"/>
          <w:noProof/>
        </w:rPr>
        <w:t>20</w:t>
      </w:r>
      <w:r w:rsidRPr="00A85C28">
        <w:rPr>
          <w:rFonts w:eastAsia="Times New Roman"/>
        </w:rPr>
        <w:fldChar w:fldCharType="end"/>
      </w:r>
      <w:r w:rsidRPr="00A85C28">
        <w:rPr>
          <w:rFonts w:eastAsia="Times New Roman"/>
        </w:rPr>
        <w:t>.  Compte tenu de l</w:t>
      </w:r>
      <w:r w:rsidRPr="00A85C28" w:rsidR="00A85C28">
        <w:rPr>
          <w:rFonts w:eastAsia="Times New Roman"/>
        </w:rPr>
        <w:t>’</w:t>
      </w:r>
      <w:r w:rsidRPr="00A85C28">
        <w:rPr>
          <w:rFonts w:eastAsia="Times New Roman"/>
        </w:rPr>
        <w:t>importance que la Cour attache jusqu</w:t>
      </w:r>
      <w:r w:rsidRPr="00A85C28" w:rsidR="00A85C28">
        <w:rPr>
          <w:rFonts w:eastAsia="Times New Roman"/>
        </w:rPr>
        <w:t>’</w:t>
      </w:r>
      <w:r w:rsidRPr="00A85C28">
        <w:rPr>
          <w:rFonts w:eastAsia="Times New Roman"/>
        </w:rPr>
        <w:t>à présent à l</w:t>
      </w:r>
      <w:r w:rsidRPr="00A85C28" w:rsidR="00A85C28">
        <w:rPr>
          <w:rFonts w:eastAsia="Times New Roman"/>
        </w:rPr>
        <w:t>’</w:t>
      </w:r>
      <w:r w:rsidRPr="00A85C28">
        <w:rPr>
          <w:rFonts w:eastAsia="Times New Roman"/>
        </w:rPr>
        <w:t>existence d</w:t>
      </w:r>
      <w:r w:rsidRPr="00A85C28" w:rsidR="00A85C28">
        <w:rPr>
          <w:rFonts w:eastAsia="Times New Roman"/>
        </w:rPr>
        <w:t>’</w:t>
      </w:r>
      <w:r w:rsidRPr="00A85C28">
        <w:rPr>
          <w:rFonts w:eastAsia="Times New Roman"/>
        </w:rPr>
        <w:t>un lien biologique entre le(s) parent(s) d</w:t>
      </w:r>
      <w:r w:rsidRPr="00A85C28" w:rsidR="00A85C28">
        <w:rPr>
          <w:rFonts w:eastAsia="Times New Roman"/>
        </w:rPr>
        <w:t>’</w:t>
      </w:r>
      <w:r w:rsidRPr="00A85C28">
        <w:rPr>
          <w:rFonts w:eastAsia="Times New Roman"/>
        </w:rPr>
        <w:t>intention et l</w:t>
      </w:r>
      <w:r w:rsidRPr="00A85C28" w:rsidR="00A85C28">
        <w:rPr>
          <w:rFonts w:eastAsia="Times New Roman"/>
        </w:rPr>
        <w:t>’</w:t>
      </w:r>
      <w:r w:rsidRPr="00A85C28">
        <w:rPr>
          <w:rFonts w:eastAsia="Times New Roman"/>
        </w:rPr>
        <w:t>enfant issu d</w:t>
      </w:r>
      <w:r w:rsidRPr="00A85C28" w:rsidR="00A85C28">
        <w:rPr>
          <w:rFonts w:eastAsia="Times New Roman"/>
        </w:rPr>
        <w:t>’</w:t>
      </w:r>
      <w:r w:rsidRPr="00A85C28">
        <w:rPr>
          <w:rFonts w:eastAsia="Times New Roman"/>
        </w:rPr>
        <w:t xml:space="preserve">une GPA (voir </w:t>
      </w:r>
      <w:r w:rsidRPr="00A85C28">
        <w:rPr>
          <w:rFonts w:eastAsia="Times New Roman"/>
          <w:i/>
        </w:rPr>
        <w:t>Mennesson</w:t>
      </w:r>
      <w:r w:rsidRPr="00A85C28">
        <w:rPr>
          <w:rFonts w:eastAsia="Times New Roman"/>
        </w:rPr>
        <w:t xml:space="preserve">, précité, § 100 ou </w:t>
      </w:r>
      <w:r w:rsidRPr="00A85C28">
        <w:rPr>
          <w:rFonts w:eastAsia="Times New Roman"/>
          <w:i/>
        </w:rPr>
        <w:t>Paradiso</w:t>
      </w:r>
      <w:r w:rsidRPr="00A85C28">
        <w:rPr>
          <w:rFonts w:eastAsia="Times New Roman"/>
          <w:i/>
        </w:rPr>
        <w:t xml:space="preserve"> et </w:t>
      </w:r>
      <w:r w:rsidRPr="00A85C28">
        <w:rPr>
          <w:rFonts w:eastAsia="Times New Roman"/>
          <w:i/>
        </w:rPr>
        <w:t>Campanelli</w:t>
      </w:r>
      <w:r w:rsidRPr="00A85C28">
        <w:rPr>
          <w:rFonts w:eastAsia="Times New Roman"/>
          <w:i/>
        </w:rPr>
        <w:t xml:space="preserve"> c. Italie, </w:t>
      </w:r>
      <w:r w:rsidRPr="00A85C28">
        <w:rPr>
          <w:rFonts w:eastAsia="Times New Roman"/>
        </w:rPr>
        <w:t>n</w:t>
      </w:r>
      <w:r w:rsidRPr="00A85C28">
        <w:rPr>
          <w:rFonts w:eastAsia="Times New Roman"/>
          <w:vertAlign w:val="superscript"/>
        </w:rPr>
        <w:t>o</w:t>
      </w:r>
      <w:r w:rsidRPr="00A85C28">
        <w:rPr>
          <w:rFonts w:eastAsia="Times New Roman"/>
        </w:rPr>
        <w:t xml:space="preserve"> 25358/12, §§ 157 et 195, 24 janvier 2017), il reste à savoir si la marge d</w:t>
      </w:r>
      <w:r w:rsidRPr="00A85C28" w:rsidR="00A85C28">
        <w:rPr>
          <w:rFonts w:eastAsia="Times New Roman"/>
        </w:rPr>
        <w:t>’</w:t>
      </w:r>
      <w:r w:rsidRPr="00A85C28">
        <w:rPr>
          <w:rFonts w:eastAsia="Times New Roman"/>
        </w:rPr>
        <w:t>appréciation des États membres en vertu de l</w:t>
      </w:r>
      <w:r w:rsidRPr="00A85C28" w:rsidR="00A85C28">
        <w:rPr>
          <w:rFonts w:eastAsia="Times New Roman"/>
        </w:rPr>
        <w:t>’</w:t>
      </w:r>
      <w:r w:rsidRPr="00A85C28">
        <w:rPr>
          <w:rFonts w:eastAsia="Times New Roman"/>
        </w:rPr>
        <w:t>article 8, lu seul ou combiné avec l</w:t>
      </w:r>
      <w:r w:rsidRPr="00A85C28" w:rsidR="00A85C28">
        <w:rPr>
          <w:rFonts w:eastAsia="Times New Roman"/>
        </w:rPr>
        <w:t>’</w:t>
      </w:r>
      <w:r w:rsidRPr="00A85C28">
        <w:rPr>
          <w:rFonts w:eastAsia="Times New Roman"/>
        </w:rPr>
        <w:t>article 14, permet la transcription à l</w:t>
      </w:r>
      <w:r w:rsidRPr="00A85C28" w:rsidR="00A85C28">
        <w:rPr>
          <w:rFonts w:eastAsia="Times New Roman"/>
        </w:rPr>
        <w:t>’</w:t>
      </w:r>
      <w:r w:rsidRPr="00A85C28">
        <w:rPr>
          <w:rFonts w:eastAsia="Times New Roman"/>
        </w:rPr>
        <w:t>égard du père biologique d</w:t>
      </w:r>
      <w:r w:rsidRPr="00A85C28" w:rsidR="00A85C28">
        <w:rPr>
          <w:rFonts w:eastAsia="Times New Roman"/>
        </w:rPr>
        <w:t>’</w:t>
      </w:r>
      <w:r w:rsidRPr="00A85C28">
        <w:rPr>
          <w:rFonts w:eastAsia="Times New Roman"/>
        </w:rPr>
        <w:t>intention alors que le lien de filiation avec la mère génétique d</w:t>
      </w:r>
      <w:r w:rsidRPr="00A85C28" w:rsidR="00A85C28">
        <w:rPr>
          <w:rFonts w:eastAsia="Times New Roman"/>
        </w:rPr>
        <w:t>’</w:t>
      </w:r>
      <w:r w:rsidRPr="00A85C28">
        <w:rPr>
          <w:rFonts w:eastAsia="Times New Roman"/>
        </w:rPr>
        <w:t>intention doit être établi par voie d</w:t>
      </w:r>
      <w:r w:rsidRPr="00A85C28" w:rsidR="00A85C28">
        <w:rPr>
          <w:rFonts w:eastAsia="Times New Roman"/>
        </w:rPr>
        <w:t>’</w:t>
      </w:r>
      <w:r w:rsidRPr="00A85C28">
        <w:rPr>
          <w:rFonts w:eastAsia="Times New Roman"/>
        </w:rPr>
        <w:t>adoption. Que l</w:t>
      </w:r>
      <w:r w:rsidRPr="00A85C28" w:rsidR="00A85C28">
        <w:rPr>
          <w:rFonts w:eastAsia="Times New Roman"/>
        </w:rPr>
        <w:t>’</w:t>
      </w:r>
      <w:r w:rsidRPr="00A85C28">
        <w:rPr>
          <w:rFonts w:eastAsia="Times New Roman"/>
        </w:rPr>
        <w:t>on soit d</w:t>
      </w:r>
      <w:r w:rsidRPr="00A85C28" w:rsidR="00A85C28">
        <w:rPr>
          <w:rFonts w:eastAsia="Times New Roman"/>
        </w:rPr>
        <w:t>’</w:t>
      </w:r>
      <w:r w:rsidRPr="00A85C28">
        <w:rPr>
          <w:rFonts w:eastAsia="Times New Roman"/>
        </w:rPr>
        <w:t>accord ou pas, l</w:t>
      </w:r>
      <w:r w:rsidRPr="00A85C28" w:rsidR="00A85C28">
        <w:rPr>
          <w:rFonts w:eastAsia="Times New Roman"/>
        </w:rPr>
        <w:t>’</w:t>
      </w:r>
      <w:r w:rsidRPr="00A85C28">
        <w:rPr>
          <w:rFonts w:eastAsia="Times New Roman"/>
        </w:rPr>
        <w:t>importance du lien biologique se trouve au cœur d</w:t>
      </w:r>
      <w:r w:rsidRPr="00A85C28" w:rsidR="00A85C28">
        <w:rPr>
          <w:rFonts w:eastAsia="Times New Roman"/>
        </w:rPr>
        <w:t>’</w:t>
      </w:r>
      <w:r w:rsidRPr="00A85C28">
        <w:rPr>
          <w:rFonts w:eastAsia="Times New Roman"/>
        </w:rPr>
        <w:t xml:space="preserve">autres affaires, </w:t>
      </w:r>
      <w:r w:rsidRPr="00A85C28">
        <w:t xml:space="preserve">liées ou non au </w:t>
      </w:r>
      <w:r w:rsidRPr="00A85C28">
        <w:rPr>
          <w:rFonts w:eastAsia="Times New Roman"/>
        </w:rPr>
        <w:t>contexte de la GPA, qui portent sur l</w:t>
      </w:r>
      <w:r w:rsidRPr="00A85C28" w:rsidR="00A85C28">
        <w:rPr>
          <w:rFonts w:eastAsia="Times New Roman"/>
        </w:rPr>
        <w:t>’</w:t>
      </w:r>
      <w:r w:rsidRPr="00A85C28">
        <w:rPr>
          <w:rFonts w:eastAsia="Times New Roman"/>
        </w:rPr>
        <w:t xml:space="preserve">article 8 de la Convention (voir, par exemple, </w:t>
      </w:r>
      <w:r w:rsidRPr="00A85C28">
        <w:rPr>
          <w:rFonts w:eastAsia="Times New Roman"/>
          <w:i/>
        </w:rPr>
        <w:t>Mandet</w:t>
      </w:r>
      <w:r w:rsidRPr="00A85C28">
        <w:rPr>
          <w:rFonts w:eastAsia="Times New Roman"/>
          <w:i/>
        </w:rPr>
        <w:t xml:space="preserve"> c. France</w:t>
      </w:r>
      <w:r w:rsidRPr="00A85C28">
        <w:rPr>
          <w:rFonts w:eastAsia="Times New Roman"/>
        </w:rPr>
        <w:t>, n</w:t>
      </w:r>
      <w:r w:rsidRPr="00A85C28">
        <w:rPr>
          <w:rFonts w:eastAsia="Times New Roman"/>
          <w:vertAlign w:val="superscript"/>
        </w:rPr>
        <w:t>o</w:t>
      </w:r>
      <w:r w:rsidRPr="00A85C28">
        <w:rPr>
          <w:rFonts w:eastAsia="Times New Roman"/>
        </w:rPr>
        <w:t xml:space="preserve"> </w:t>
      </w:r>
      <w:r w:rsidRPr="00A85C28" w:rsidR="00914131">
        <w:rPr>
          <w:rFonts w:eastAsia="Times New Roman"/>
        </w:rPr>
        <w:t>30955/12, § 59, 14 </w:t>
      </w:r>
      <w:r w:rsidRPr="00A85C28">
        <w:rPr>
          <w:rFonts w:eastAsia="Times New Roman"/>
        </w:rPr>
        <w:t xml:space="preserve">janvier 2016, et </w:t>
      </w:r>
      <w:r w:rsidRPr="00A85C28">
        <w:rPr>
          <w:rFonts w:eastAsia="Times New Roman"/>
          <w:i/>
        </w:rPr>
        <w:t>Boljevi</w:t>
      </w:r>
      <w:r w:rsidRPr="00A85C28">
        <w:rPr>
          <w:rFonts w:eastAsia="Times New Roman" w:cstheme="minorHAnsi"/>
          <w:i/>
        </w:rPr>
        <w:t>ć</w:t>
      </w:r>
      <w:r w:rsidRPr="00A85C28">
        <w:rPr>
          <w:rFonts w:eastAsia="Times New Roman"/>
          <w:i/>
        </w:rPr>
        <w:t xml:space="preserve"> c. Serbie</w:t>
      </w:r>
      <w:r w:rsidRPr="00A85C28">
        <w:rPr>
          <w:rFonts w:eastAsia="Times New Roman"/>
        </w:rPr>
        <w:t>, n</w:t>
      </w:r>
      <w:r w:rsidRPr="00A85C28" w:rsidR="00071E92">
        <w:rPr>
          <w:rFonts w:eastAsia="Times New Roman"/>
          <w:vertAlign w:val="superscript"/>
        </w:rPr>
        <w:t>o</w:t>
      </w:r>
      <w:r w:rsidRPr="00A85C28" w:rsidR="00914131">
        <w:rPr>
          <w:rFonts w:eastAsia="Times New Roman"/>
        </w:rPr>
        <w:t xml:space="preserve"> 47443/14, §§ 28 et 54, 16 juin </w:t>
      </w:r>
      <w:r w:rsidRPr="00A85C28">
        <w:rPr>
          <w:rFonts w:eastAsia="Times New Roman"/>
        </w:rPr>
        <w:t>2020, où, du point de vue de l</w:t>
      </w:r>
      <w:r w:rsidRPr="00A85C28" w:rsidR="00A85C28">
        <w:rPr>
          <w:rFonts w:eastAsia="Times New Roman"/>
        </w:rPr>
        <w:t>’</w:t>
      </w:r>
      <w:r w:rsidRPr="00A85C28">
        <w:rPr>
          <w:rFonts w:eastAsia="Times New Roman"/>
        </w:rPr>
        <w:t>enfant, l</w:t>
      </w:r>
      <w:r w:rsidRPr="00A85C28" w:rsidR="00A85C28">
        <w:rPr>
          <w:rFonts w:eastAsia="Times New Roman"/>
        </w:rPr>
        <w:t>’</w:t>
      </w:r>
      <w:r w:rsidRPr="00A85C28">
        <w:rPr>
          <w:rFonts w:eastAsia="Times New Roman"/>
        </w:rPr>
        <w:t>établissement de l</w:t>
      </w:r>
      <w:r w:rsidRPr="00A85C28" w:rsidR="00A85C28">
        <w:rPr>
          <w:rFonts w:eastAsia="Times New Roman"/>
        </w:rPr>
        <w:t>’</w:t>
      </w:r>
      <w:r w:rsidRPr="00A85C28">
        <w:rPr>
          <w:rFonts w:eastAsia="Times New Roman"/>
        </w:rPr>
        <w:t>identité du père biologique a été considéré comme étant « un intérêt vital protégé par la Convention » même après le passage de plusieurs décennies).</w:t>
      </w:r>
    </w:p>
    <w:p w:rsidRPr="00A85C28" w:rsidR="00067E66" w:rsidP="00A85C28">
      <w:pPr>
        <w:pStyle w:val="ECHRPara"/>
        <w:rPr>
          <w:rFonts w:eastAsia="Times New Roman"/>
        </w:rPr>
      </w:pPr>
      <w:r w:rsidRPr="00A85C28">
        <w:rPr>
          <w:rFonts w:eastAsia="Times New Roman"/>
        </w:rPr>
        <w:fldChar w:fldCharType="begin"/>
      </w:r>
      <w:r w:rsidRPr="00A85C28">
        <w:rPr>
          <w:rFonts w:eastAsia="Times New Roman"/>
        </w:rPr>
        <w:instrText xml:space="preserve"> SEQ level0 \*arabic </w:instrText>
      </w:r>
      <w:r w:rsidRPr="00A85C28">
        <w:rPr>
          <w:rFonts w:eastAsia="Times New Roman"/>
        </w:rPr>
        <w:fldChar w:fldCharType="separate"/>
      </w:r>
      <w:r w:rsidRPr="00A85C28" w:rsidR="00A85C28">
        <w:rPr>
          <w:rFonts w:eastAsia="Times New Roman"/>
          <w:noProof/>
        </w:rPr>
        <w:t>21</w:t>
      </w:r>
      <w:r w:rsidRPr="00A85C28">
        <w:rPr>
          <w:rFonts w:eastAsia="Times New Roman"/>
        </w:rPr>
        <w:fldChar w:fldCharType="end"/>
      </w:r>
      <w:r w:rsidRPr="00A85C28">
        <w:rPr>
          <w:rFonts w:eastAsia="Times New Roman"/>
        </w:rPr>
        <w:t>.  Pour les raisons exposées ci-dessus, cet</w:t>
      </w:r>
      <w:r w:rsidRPr="00A85C28" w:rsidR="00B83C91">
        <w:rPr>
          <w:rFonts w:eastAsia="Times New Roman"/>
        </w:rPr>
        <w:t>te affaire ne permettait pas, à </w:t>
      </w:r>
      <w:r w:rsidRPr="00A85C28">
        <w:rPr>
          <w:rFonts w:eastAsia="Times New Roman"/>
        </w:rPr>
        <w:t xml:space="preserve">mon sens, à la Cour de répondre à de telles questions. Tôt ou tard, les juridictions nationales pourraient être confrontées à la question de savoir si le </w:t>
      </w:r>
      <w:r w:rsidRPr="00A85C28">
        <w:rPr>
          <w:rFonts w:eastAsia="Times New Roman"/>
        </w:rPr>
        <w:t>dictum</w:t>
      </w:r>
      <w:r w:rsidRPr="00A85C28">
        <w:rPr>
          <w:rFonts w:eastAsia="Times New Roman"/>
        </w:rPr>
        <w:t xml:space="preserve"> </w:t>
      </w:r>
      <w:r w:rsidRPr="00A85C28">
        <w:rPr>
          <w:rFonts w:eastAsia="Times New Roman"/>
          <w:i/>
        </w:rPr>
        <w:t xml:space="preserve">mater semper </w:t>
      </w:r>
      <w:r w:rsidRPr="00A85C28">
        <w:rPr>
          <w:rFonts w:eastAsia="Times New Roman"/>
          <w:i/>
        </w:rPr>
        <w:t>certa</w:t>
      </w:r>
      <w:r w:rsidRPr="00A85C28">
        <w:rPr>
          <w:rFonts w:eastAsia="Times New Roman"/>
          <w:i/>
        </w:rPr>
        <w:t xml:space="preserve"> est</w:t>
      </w:r>
      <w:r w:rsidRPr="00A85C28">
        <w:rPr>
          <w:rFonts w:eastAsia="Times New Roman"/>
        </w:rPr>
        <w:t xml:space="preserve"> doit ou peut toujours être appliqué par les autorités internes comme il l</w:t>
      </w:r>
      <w:r w:rsidRPr="00A85C28" w:rsidR="00A85C28">
        <w:rPr>
          <w:rFonts w:eastAsia="Times New Roman"/>
        </w:rPr>
        <w:t>’</w:t>
      </w:r>
      <w:r w:rsidRPr="00A85C28">
        <w:rPr>
          <w:rFonts w:eastAsia="Times New Roman"/>
        </w:rPr>
        <w:t>a été en l</w:t>
      </w:r>
      <w:r w:rsidRPr="00A85C28" w:rsidR="00A85C28">
        <w:rPr>
          <w:rFonts w:eastAsia="Times New Roman"/>
        </w:rPr>
        <w:t>’</w:t>
      </w:r>
      <w:r w:rsidRPr="00A85C28">
        <w:rPr>
          <w:rFonts w:eastAsia="Times New Roman"/>
        </w:rPr>
        <w:t>espèce par la cour d</w:t>
      </w:r>
      <w:r w:rsidRPr="00A85C28" w:rsidR="00A85C28">
        <w:rPr>
          <w:rFonts w:eastAsia="Times New Roman"/>
        </w:rPr>
        <w:t>’</w:t>
      </w:r>
      <w:r w:rsidRPr="00A85C28">
        <w:rPr>
          <w:rFonts w:eastAsia="Times New Roman"/>
        </w:rPr>
        <w:t>appel de Rennes, qui a rattaché « la maternité avec l</w:t>
      </w:r>
      <w:r w:rsidRPr="00A85C28" w:rsidR="00A85C28">
        <w:rPr>
          <w:rFonts w:eastAsia="Times New Roman"/>
        </w:rPr>
        <w:t>’</w:t>
      </w:r>
      <w:r w:rsidRPr="00A85C28">
        <w:rPr>
          <w:rFonts w:eastAsia="Times New Roman"/>
        </w:rPr>
        <w:t>acte charnel d</w:t>
      </w:r>
      <w:r w:rsidRPr="00A85C28" w:rsidR="00A85C28">
        <w:rPr>
          <w:rFonts w:eastAsia="Times New Roman"/>
        </w:rPr>
        <w:t>’</w:t>
      </w:r>
      <w:r w:rsidRPr="00A85C28">
        <w:rPr>
          <w:rFonts w:eastAsia="Times New Roman"/>
        </w:rPr>
        <w:t>accouchement » (voir le paragraphe 10 de l</w:t>
      </w:r>
      <w:r w:rsidRPr="00A85C28" w:rsidR="00A85C28">
        <w:rPr>
          <w:rFonts w:eastAsia="Times New Roman"/>
        </w:rPr>
        <w:t>’</w:t>
      </w:r>
      <w:r w:rsidRPr="00A85C28">
        <w:rPr>
          <w:rFonts w:eastAsia="Times New Roman"/>
        </w:rPr>
        <w:t>arrêt de la chambre). Dans une telle affaire, la protection de l</w:t>
      </w:r>
      <w:r w:rsidRPr="00A85C28" w:rsidR="00A85C28">
        <w:rPr>
          <w:rFonts w:eastAsia="Times New Roman"/>
        </w:rPr>
        <w:t>’</w:t>
      </w:r>
      <w:r w:rsidRPr="00A85C28">
        <w:rPr>
          <w:rFonts w:eastAsia="Times New Roman"/>
        </w:rPr>
        <w:t>intérêt supérieur de l</w:t>
      </w:r>
      <w:r w:rsidRPr="00A85C28" w:rsidR="00A85C28">
        <w:rPr>
          <w:rFonts w:eastAsia="Times New Roman"/>
        </w:rPr>
        <w:t>’</w:t>
      </w:r>
      <w:r w:rsidRPr="00A85C28">
        <w:rPr>
          <w:rFonts w:eastAsia="Times New Roman"/>
        </w:rPr>
        <w:t>enfant concerné restera primordiale lors de l</w:t>
      </w:r>
      <w:r w:rsidRPr="00A85C28" w:rsidR="00A85C28">
        <w:rPr>
          <w:rFonts w:eastAsia="Times New Roman"/>
        </w:rPr>
        <w:t>’</w:t>
      </w:r>
      <w:r w:rsidRPr="00A85C28">
        <w:rPr>
          <w:rFonts w:eastAsia="Times New Roman"/>
        </w:rPr>
        <w:t>examen mené sous l</w:t>
      </w:r>
      <w:r w:rsidRPr="00A85C28" w:rsidR="00A85C28">
        <w:rPr>
          <w:rFonts w:eastAsia="Times New Roman"/>
        </w:rPr>
        <w:t>’</w:t>
      </w:r>
      <w:r w:rsidRPr="00A85C28">
        <w:rPr>
          <w:rFonts w:eastAsia="Times New Roman"/>
        </w:rPr>
        <w:t>angle de l</w:t>
      </w:r>
      <w:r w:rsidRPr="00A85C28" w:rsidR="00A85C28">
        <w:rPr>
          <w:rFonts w:eastAsia="Times New Roman"/>
        </w:rPr>
        <w:t>’</w:t>
      </w:r>
      <w:r w:rsidRPr="00A85C28">
        <w:rPr>
          <w:rFonts w:eastAsia="Times New Roman"/>
        </w:rPr>
        <w:t>article 8 de la Convention.</w:t>
      </w:r>
    </w:p>
    <w:p w:rsidRPr="00A85C28" w:rsidR="00067E66" w:rsidP="00A85C28">
      <w:pPr>
        <w:pStyle w:val="ECHRPara"/>
        <w:rPr>
          <w:rFonts w:eastAsia="Times New Roman"/>
        </w:rPr>
      </w:pPr>
      <w:r w:rsidRPr="00A85C28">
        <w:rPr>
          <w:rFonts w:eastAsia="Times New Roman"/>
        </w:rPr>
        <w:fldChar w:fldCharType="begin"/>
      </w:r>
      <w:r w:rsidRPr="00A85C28">
        <w:rPr>
          <w:rFonts w:eastAsia="Times New Roman"/>
        </w:rPr>
        <w:instrText xml:space="preserve"> SEQ level0 \*arabic </w:instrText>
      </w:r>
      <w:r w:rsidRPr="00A85C28">
        <w:rPr>
          <w:rFonts w:eastAsia="Times New Roman"/>
        </w:rPr>
        <w:fldChar w:fldCharType="separate"/>
      </w:r>
      <w:r w:rsidRPr="00A85C28" w:rsidR="00A85C28">
        <w:rPr>
          <w:rFonts w:eastAsia="Times New Roman"/>
          <w:noProof/>
        </w:rPr>
        <w:t>22</w:t>
      </w:r>
      <w:r w:rsidRPr="00A85C28">
        <w:rPr>
          <w:rFonts w:eastAsia="Times New Roman"/>
        </w:rPr>
        <w:fldChar w:fldCharType="end"/>
      </w:r>
      <w:r w:rsidRPr="00A85C28">
        <w:rPr>
          <w:rFonts w:eastAsia="Times New Roman"/>
        </w:rPr>
        <w:t>.  L</w:t>
      </w:r>
      <w:r w:rsidRPr="00A85C28" w:rsidR="00A85C28">
        <w:rPr>
          <w:rFonts w:eastAsia="Times New Roman"/>
        </w:rPr>
        <w:t>’</w:t>
      </w:r>
      <w:r w:rsidRPr="00A85C28">
        <w:rPr>
          <w:rFonts w:eastAsia="Times New Roman"/>
        </w:rPr>
        <w:t>arrêt de la chambre met en exergue le dialogue judiciaire important qui s</w:t>
      </w:r>
      <w:r w:rsidRPr="00A85C28" w:rsidR="00A85C28">
        <w:rPr>
          <w:rFonts w:eastAsia="Times New Roman"/>
        </w:rPr>
        <w:t>’</w:t>
      </w:r>
      <w:r w:rsidRPr="00A85C28">
        <w:rPr>
          <w:rFonts w:eastAsia="Times New Roman"/>
        </w:rPr>
        <w:t>est tissé au cours des dernières années dans un domaine sensible entre la plus haute juridiction d</w:t>
      </w:r>
      <w:r w:rsidRPr="00A85C28" w:rsidR="00A85C28">
        <w:rPr>
          <w:rFonts w:eastAsia="Times New Roman"/>
        </w:rPr>
        <w:t>’</w:t>
      </w:r>
      <w:r w:rsidRPr="00A85C28">
        <w:rPr>
          <w:rFonts w:eastAsia="Times New Roman"/>
        </w:rPr>
        <w:t>un État membre et la Cour. Afin de faire fonctionner ce type de dialogue, reflétant le fait qu</w:t>
      </w:r>
      <w:r w:rsidRPr="00A85C28" w:rsidR="00A85C28">
        <w:rPr>
          <w:rFonts w:eastAsia="Times New Roman"/>
        </w:rPr>
        <w:t>’</w:t>
      </w:r>
      <w:r w:rsidRPr="00A85C28">
        <w:rPr>
          <w:rFonts w:eastAsia="Times New Roman"/>
        </w:rPr>
        <w:t>il incombe en premier lieu aux autorités nationales de garantir les droits et libertés énoncés par la Convention (voir, entre autres, la déclaration de Copenhague du 13 avril 2018, § 10), tant les requérants que les gouvernements défendeurs doivent assumer leurs propres responsabilités.</w:t>
      </w:r>
    </w:p>
    <w:p w:rsidRPr="00A85C28" w:rsidR="006B0CE5" w:rsidP="00A85C28">
      <w:pPr>
        <w:pStyle w:val="ECHRPara"/>
      </w:pPr>
    </w:p>
    <w:sectPr w:rsidSect="006B0CE5">
      <w:headerReference w:type="even" r:id="rId17"/>
      <w:headerReference w:type="default" r:id="rId18"/>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92" w:rsidRPr="00150BFA" w:rsidP="00B331E6">
    <w:pPr>
      <w:jc w:val="center"/>
    </w:pPr>
    <w:r>
      <w:rPr>
        <w:noProof/>
        <w:lang w:val="en-US"/>
      </w:rPr>
      <w:drawing>
        <wp:inline distT="0" distB="0" distL="0" distR="0">
          <wp:extent cx="771525" cy="619125"/>
          <wp:effectExtent l="0" t="0" r="9525" b="9525"/>
          <wp:docPr id="143" name="Picture 1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071E92" w:rsidRPr="004D410F" w:rsidP="00B331E6">
    <w:pPr>
      <w:pStyle w:val="Footer"/>
      <w:jc w:val="center"/>
      <w:rPr>
        <w:sz w:val="4"/>
        <w:szCs w:val="4"/>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92" w:rsidRPr="00150BFA" w:rsidP="00B331E6">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071E92" w:rsidRPr="004D410F" w:rsidP="00985E4A">
    <w:pPr>
      <w:pStyle w:val="Footer"/>
      <w:jc w:val="center"/>
      <w:rPr>
        <w:sz w:val="4"/>
        <w:szCs w:val="4"/>
        <w:lang w:val="en-G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92" w:rsidP="00686CE9">
    <w:pPr>
      <w:pStyle w:val="ECHRHeader"/>
    </w:pPr>
    <w:r>
      <w:rPr>
        <w:rStyle w:val="PageNumber"/>
      </w:rPr>
      <w:fldChar w:fldCharType="begin"/>
    </w:r>
    <w:r>
      <w:rPr>
        <w:rStyle w:val="PageNumber"/>
      </w:rPr>
      <w:instrText xml:space="preserve"> PAGE </w:instrText>
    </w:r>
    <w:r>
      <w:rPr>
        <w:rStyle w:val="PageNumber"/>
      </w:rPr>
      <w:fldChar w:fldCharType="separate"/>
    </w:r>
    <w:r w:rsidR="004705AE">
      <w:rPr>
        <w:rStyle w:val="PageNumber"/>
        <w:noProof/>
      </w:rPr>
      <w:t>32</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92" w:rsidRPr="000B7195" w:rsidP="006A4208">
    <w:pPr>
      <w:pStyle w:val="ECHRHeader"/>
    </w:pPr>
    <w:r>
      <w:rPr>
        <w:rStyle w:val="PageNumber"/>
      </w:rPr>
      <w:fldChar w:fldCharType="begin"/>
    </w:r>
    <w:r>
      <w:rPr>
        <w:rStyle w:val="PageNumber"/>
      </w:rPr>
      <w:instrText xml:space="preserve"> PAGE </w:instrText>
    </w:r>
    <w:r>
      <w:rPr>
        <w:rStyle w:val="PageNumber"/>
      </w:rPr>
      <w:fldChar w:fldCharType="separate"/>
    </w:r>
    <w:r w:rsidR="004705A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71E92" w:rsidRPr="004D410F" w:rsidP="00B331E6">
      <w:pPr>
        <w:rPr>
          <w:lang w:val="en-GB"/>
        </w:rPr>
      </w:pPr>
      <w:r w:rsidRPr="004D410F">
        <w:rPr>
          <w:lang w:val="en-GB"/>
        </w:rPr>
        <w:separator/>
      </w:r>
    </w:p>
  </w:footnote>
  <w:footnote w:type="continuationSeparator" w:id="1">
    <w:p w:rsidR="00071E92" w:rsidRPr="004D410F" w:rsidP="00B331E6">
      <w:pPr>
        <w:rPr>
          <w:lang w:val="en-GB"/>
        </w:rPr>
      </w:pPr>
      <w:r w:rsidRPr="004D410F">
        <w:rPr>
          <w:lang w:val="en-GB"/>
        </w:rPr>
        <w:continuationSeparator/>
      </w:r>
    </w:p>
  </w:footnote>
  <w:footnote w:id="2">
    <w:p w:rsidR="00071E92" w:rsidRPr="00353295" w:rsidP="00067E66">
      <w:pPr>
        <w:pStyle w:val="FootnoteText"/>
        <w:rPr>
          <w:rFonts w:ascii="Times New Roman" w:hAnsi="Times New Roman" w:cs="Times New Roman"/>
        </w:rPr>
      </w:pPr>
      <w:r w:rsidRPr="00353295">
        <w:rPr>
          <w:rStyle w:val="FootnoteReference"/>
          <w:rFonts w:ascii="Times New Roman" w:hAnsi="Times New Roman" w:cs="Times New Roman"/>
        </w:rPr>
        <w:footnoteRef/>
      </w:r>
      <w:r w:rsidRPr="00353295">
        <w:rPr>
          <w:rFonts w:ascii="Times New Roman" w:hAnsi="Times New Roman" w:cs="Times New Roman"/>
        </w:rPr>
        <w:t xml:space="preserve"> Selon le gouvernement défendeur dans une autre affaire (</w:t>
      </w:r>
      <w:r w:rsidRPr="00353295">
        <w:rPr>
          <w:rFonts w:ascii="Times New Roman" w:hAnsi="Times New Roman" w:cs="Times New Roman"/>
          <w:i/>
        </w:rPr>
        <w:t>Foulon et Bouvet c. France</w:t>
      </w:r>
      <w:r>
        <w:rPr>
          <w:rFonts w:ascii="Times New Roman" w:hAnsi="Times New Roman" w:cs="Times New Roman"/>
        </w:rPr>
        <w:t>, n° </w:t>
      </w:r>
      <w:r w:rsidRPr="00353295">
        <w:rPr>
          <w:rFonts w:ascii="Times New Roman" w:hAnsi="Times New Roman" w:cs="Times New Roman"/>
        </w:rPr>
        <w:t xml:space="preserve">9063/14 et 10410/14, § 56, 21 juillet 2016), ce revirement </w:t>
      </w:r>
      <w:r>
        <w:rPr>
          <w:rFonts w:ascii="Times New Roman" w:hAnsi="Times New Roman" w:cs="Times New Roman"/>
        </w:rPr>
        <w:t>était</w:t>
      </w:r>
      <w:r w:rsidRPr="00353295">
        <w:rPr>
          <w:rFonts w:ascii="Times New Roman" w:hAnsi="Times New Roman" w:cs="Times New Roman"/>
        </w:rPr>
        <w:t xml:space="preserve"> intervenu antérieurement, à la suite de l’arrêt </w:t>
      </w:r>
      <w:r w:rsidRPr="00353295">
        <w:rPr>
          <w:rFonts w:ascii="Times New Roman" w:hAnsi="Times New Roman" w:cs="Times New Roman"/>
          <w:i/>
        </w:rPr>
        <w:t>Mennesson</w:t>
      </w:r>
      <w:r w:rsidRPr="00353295">
        <w:rPr>
          <w:rFonts w:ascii="Times New Roman" w:hAnsi="Times New Roman" w:cs="Times New Roman"/>
        </w:rPr>
        <w:t xml:space="preserve"> de la Cour, dans deux arrê</w:t>
      </w:r>
      <w:r>
        <w:rPr>
          <w:rFonts w:ascii="Times New Roman" w:hAnsi="Times New Roman" w:cs="Times New Roman"/>
        </w:rPr>
        <w:t>ts de la Cour de Cassation du 3 </w:t>
      </w:r>
      <w:r w:rsidRPr="00353295">
        <w:rPr>
          <w:rFonts w:ascii="Times New Roman" w:hAnsi="Times New Roman" w:cs="Times New Roman"/>
        </w:rPr>
        <w:t>juillet 2015. La Cour n’a toutefois pas accepté cette thèse.</w:t>
      </w:r>
    </w:p>
  </w:footnote>
  <w:footnote w:id="3">
    <w:p w:rsidR="00071E92" w:rsidRPr="000975D4" w:rsidP="00067E66">
      <w:pPr>
        <w:pStyle w:val="FootnoteText"/>
      </w:pPr>
      <w:r w:rsidRPr="000975D4">
        <w:rPr>
          <w:rStyle w:val="FootnoteReference"/>
        </w:rPr>
        <w:footnoteRef/>
      </w:r>
      <w:r w:rsidRPr="000975D4">
        <w:t xml:space="preserve"> Selon la jurisprudence de la Cour, « si la Partie contractante défenderesse entend soulever une exception d’irrecevabilité, elle doit le faire, </w:t>
      </w:r>
      <w:r w:rsidRPr="000975D4">
        <w:rPr>
          <w:i/>
        </w:rPr>
        <w:t>pour autant que</w:t>
      </w:r>
      <w:r w:rsidRPr="000975D4">
        <w:t xml:space="preserve"> la nature de l’exception et </w:t>
      </w:r>
      <w:r w:rsidRPr="000975D4">
        <w:rPr>
          <w:i/>
        </w:rPr>
        <w:t>les circonstances le permettent</w:t>
      </w:r>
      <w:r w:rsidRPr="000975D4">
        <w:t xml:space="preserve">, dans ses observations écrites ou orales sur la recevabilité de la requête » (voir </w:t>
      </w:r>
      <w:r w:rsidRPr="000975D4">
        <w:rPr>
          <w:i/>
        </w:rPr>
        <w:t>Khlaifia</w:t>
      </w:r>
      <w:r w:rsidRPr="000975D4">
        <w:rPr>
          <w:i/>
        </w:rPr>
        <w:t xml:space="preserve"> et autres c. Italie</w:t>
      </w:r>
      <w:r w:rsidRPr="000975D4">
        <w:t xml:space="preserve"> </w:t>
      </w:r>
      <w:r w:rsidRPr="000975D4">
        <w:rPr>
          <w:rFonts w:cstheme="minorHAnsi"/>
        </w:rPr>
        <w:t>[GC], n</w:t>
      </w:r>
      <w:r w:rsidRPr="008D5F96">
        <w:rPr>
          <w:rFonts w:cstheme="minorHAnsi"/>
          <w:vertAlign w:val="superscript"/>
        </w:rPr>
        <w:t>o</w:t>
      </w:r>
      <w:r w:rsidRPr="000975D4">
        <w:rPr>
          <w:rFonts w:cstheme="minorHAnsi"/>
        </w:rPr>
        <w:t xml:space="preserve"> 16483/12, § 52, 15 décembre 2016, </w:t>
      </w:r>
      <w:r>
        <w:rPr>
          <w:rFonts w:cstheme="minorHAnsi"/>
        </w:rPr>
        <w:t>italique ajouté</w:t>
      </w:r>
      <w:r w:rsidRPr="000975D4">
        <w:rPr>
          <w:rFonts w:cstheme="minorHAnsi"/>
        </w:rPr>
        <w:t>). Toutefois, compte tenu d</w:t>
      </w:r>
      <w:r>
        <w:rPr>
          <w:rFonts w:cstheme="minorHAnsi"/>
        </w:rPr>
        <w:t>e l’</w:t>
      </w:r>
      <w:r w:rsidRPr="000975D4">
        <w:rPr>
          <w:rFonts w:cstheme="minorHAnsi"/>
        </w:rPr>
        <w:t>élément factuel</w:t>
      </w:r>
      <w:r>
        <w:rPr>
          <w:rFonts w:cstheme="minorHAnsi"/>
        </w:rPr>
        <w:t xml:space="preserve"> nouveau</w:t>
      </w:r>
      <w:r w:rsidRPr="000975D4">
        <w:rPr>
          <w:rFonts w:cstheme="minorHAnsi"/>
        </w:rPr>
        <w:t xml:space="preserve"> </w:t>
      </w:r>
      <w:r>
        <w:rPr>
          <w:rFonts w:cstheme="minorHAnsi"/>
        </w:rPr>
        <w:t>qui est apparu</w:t>
      </w:r>
      <w:r w:rsidRPr="000975D4">
        <w:rPr>
          <w:rFonts w:cstheme="minorHAnsi"/>
        </w:rPr>
        <w:t xml:space="preserve"> à la suite de la </w:t>
      </w:r>
      <w:r>
        <w:rPr>
          <w:rFonts w:cstheme="minorHAnsi"/>
        </w:rPr>
        <w:t xml:space="preserve">décision de la Cour de </w:t>
      </w:r>
      <w:r w:rsidRPr="000975D4">
        <w:rPr>
          <w:rFonts w:cstheme="minorHAnsi"/>
        </w:rPr>
        <w:t>r</w:t>
      </w:r>
      <w:r>
        <w:rPr>
          <w:rFonts w:cstheme="minorHAnsi"/>
        </w:rPr>
        <w:t>e</w:t>
      </w:r>
      <w:r>
        <w:rPr>
          <w:rFonts w:cstheme="minorHAnsi"/>
        </w:rPr>
        <w:t>-</w:t>
      </w:r>
      <w:r w:rsidRPr="000975D4">
        <w:rPr>
          <w:rFonts w:cstheme="minorHAnsi"/>
        </w:rPr>
        <w:t>communi</w:t>
      </w:r>
      <w:r>
        <w:rPr>
          <w:rFonts w:cstheme="minorHAnsi"/>
        </w:rPr>
        <w:t>quer</w:t>
      </w:r>
      <w:r w:rsidRPr="000975D4">
        <w:rPr>
          <w:rFonts w:cstheme="minorHAnsi"/>
        </w:rPr>
        <w:t xml:space="preserve"> l’affaire en 2019, il me semble évident que ce principe de célérité n’aurait pas pu être opposé au gouvernement défendeur en l’espèce. </w:t>
      </w:r>
    </w:p>
  </w:footnote>
  <w:footnote w:id="4">
    <w:p w:rsidR="00071E92" w:rsidRPr="008B1BCA" w:rsidP="00067E66">
      <w:pPr>
        <w:pStyle w:val="FootnoteText"/>
        <w:rPr>
          <w:rFonts w:ascii="Times New Roman" w:hAnsi="Times New Roman" w:cs="Times New Roman"/>
          <w:lang w:val="en-GB"/>
        </w:rPr>
      </w:pPr>
      <w:r w:rsidRPr="00353295">
        <w:rPr>
          <w:rStyle w:val="FootnoteReference"/>
          <w:rFonts w:ascii="Times New Roman" w:hAnsi="Times New Roman" w:cs="Times New Roman"/>
        </w:rPr>
        <w:footnoteRef/>
      </w:r>
      <w:r>
        <w:rPr>
          <w:rFonts w:ascii="Times New Roman" w:hAnsi="Times New Roman" w:cs="Times New Roman"/>
        </w:rPr>
        <w:t xml:space="preserve"> </w:t>
      </w:r>
      <w:r w:rsidRPr="00836669">
        <w:rPr>
          <w:rFonts w:ascii="Times New Roman" w:hAnsi="Times New Roman" w:cs="Times New Roman"/>
        </w:rPr>
        <w:t xml:space="preserve">Conseil d’État, </w:t>
      </w:r>
      <w:r>
        <w:rPr>
          <w:rFonts w:ascii="Times New Roman" w:hAnsi="Times New Roman" w:cs="Times New Roman"/>
        </w:rPr>
        <w:t xml:space="preserve">Les </w:t>
      </w:r>
      <w:r w:rsidRPr="00836669">
        <w:rPr>
          <w:rFonts w:ascii="Times New Roman" w:hAnsi="Times New Roman" w:cs="Times New Roman"/>
        </w:rPr>
        <w:t>Étude</w:t>
      </w:r>
      <w:r>
        <w:rPr>
          <w:rFonts w:ascii="Times New Roman" w:hAnsi="Times New Roman" w:cs="Times New Roman"/>
        </w:rPr>
        <w:t>s du Conseil d’État</w:t>
      </w:r>
      <w:r w:rsidRPr="00836669">
        <w:rPr>
          <w:rFonts w:ascii="Times New Roman" w:hAnsi="Times New Roman" w:cs="Times New Roman"/>
        </w:rPr>
        <w:t xml:space="preserve">, « Révision de la loi de bioéthique : quelles options pour demain ? » </w:t>
      </w:r>
      <w:r w:rsidRPr="008D5F96">
        <w:rPr>
          <w:rFonts w:ascii="Times New Roman" w:hAnsi="Times New Roman" w:cs="Times New Roman"/>
          <w:lang w:val="en-US"/>
        </w:rPr>
        <w:t>2018, p. 86.</w:t>
      </w:r>
      <w:r w:rsidRPr="008D5F96">
        <w:rPr>
          <w:rFonts w:ascii="Times New Roman" w:hAnsi="Times New Roman" w:cs="Times New Roman"/>
          <w:lang w:val="en-US"/>
        </w:rPr>
        <w:t xml:space="preserve"> </w:t>
      </w:r>
      <w:r w:rsidRPr="008D5F96">
        <w:rPr>
          <w:rFonts w:ascii="Times New Roman" w:hAnsi="Times New Roman" w:cs="Times New Roman"/>
          <w:lang w:val="en-US"/>
        </w:rPr>
        <w:t>Voir</w:t>
      </w:r>
      <w:r w:rsidRPr="008D5F96">
        <w:rPr>
          <w:rFonts w:ascii="Times New Roman" w:hAnsi="Times New Roman" w:cs="Times New Roman"/>
          <w:lang w:val="en-US"/>
        </w:rPr>
        <w:t xml:space="preserve">, </w:t>
      </w:r>
      <w:r w:rsidRPr="008D5F96">
        <w:rPr>
          <w:rFonts w:ascii="Times New Roman" w:hAnsi="Times New Roman" w:cs="Times New Roman"/>
          <w:lang w:val="en-US"/>
        </w:rPr>
        <w:t>dans</w:t>
      </w:r>
      <w:r w:rsidRPr="008D5F96">
        <w:rPr>
          <w:rFonts w:ascii="Times New Roman" w:hAnsi="Times New Roman" w:cs="Times New Roman"/>
          <w:lang w:val="en-US"/>
        </w:rPr>
        <w:t xml:space="preserve"> le </w:t>
      </w:r>
      <w:r w:rsidRPr="008D5F96">
        <w:rPr>
          <w:rFonts w:ascii="Times New Roman" w:hAnsi="Times New Roman" w:cs="Times New Roman"/>
          <w:lang w:val="en-US"/>
        </w:rPr>
        <w:t>même</w:t>
      </w:r>
      <w:r w:rsidRPr="008D5F96">
        <w:rPr>
          <w:rFonts w:ascii="Times New Roman" w:hAnsi="Times New Roman" w:cs="Times New Roman"/>
          <w:lang w:val="en-US"/>
        </w:rPr>
        <w:t xml:space="preserve"> </w:t>
      </w:r>
      <w:r w:rsidRPr="008D5F96">
        <w:rPr>
          <w:rFonts w:ascii="Times New Roman" w:hAnsi="Times New Roman" w:cs="Times New Roman"/>
          <w:lang w:val="en-US"/>
        </w:rPr>
        <w:t>sens</w:t>
      </w:r>
      <w:r w:rsidRPr="008D5F96">
        <w:rPr>
          <w:rFonts w:ascii="Times New Roman" w:hAnsi="Times New Roman" w:cs="Times New Roman"/>
          <w:lang w:val="en-US"/>
        </w:rPr>
        <w:t xml:space="preserve">, Clarke J., </w:t>
      </w:r>
      <w:r w:rsidRPr="008D5F96">
        <w:rPr>
          <w:rFonts w:ascii="Times New Roman" w:hAnsi="Times New Roman" w:cs="Times New Roman"/>
          <w:lang w:val="en-US"/>
        </w:rPr>
        <w:t>dans</w:t>
      </w:r>
      <w:r w:rsidRPr="008D5F96">
        <w:rPr>
          <w:rFonts w:ascii="Times New Roman" w:hAnsi="Times New Roman" w:cs="Times New Roman"/>
          <w:lang w:val="en-US"/>
        </w:rPr>
        <w:t xml:space="preserve"> son opinion </w:t>
      </w:r>
      <w:r w:rsidRPr="008D5F96">
        <w:rPr>
          <w:rFonts w:ascii="Times New Roman" w:hAnsi="Times New Roman" w:cs="Times New Roman"/>
          <w:lang w:val="en-US"/>
        </w:rPr>
        <w:t>dissidente</w:t>
      </w:r>
      <w:r>
        <w:rPr>
          <w:rFonts w:ascii="Times New Roman" w:hAnsi="Times New Roman" w:cs="Times New Roman"/>
          <w:lang w:val="en-US"/>
        </w:rPr>
        <w:t xml:space="preserve"> </w:t>
      </w:r>
      <w:r w:rsidRPr="008D5F96">
        <w:rPr>
          <w:rFonts w:ascii="Times New Roman" w:hAnsi="Times New Roman" w:cs="Times New Roman"/>
          <w:lang w:val="en-US"/>
        </w:rPr>
        <w:t>dans</w:t>
      </w:r>
      <w:r w:rsidRPr="008D5F96">
        <w:rPr>
          <w:rFonts w:ascii="Times New Roman" w:hAnsi="Times New Roman" w:cs="Times New Roman"/>
          <w:lang w:val="en-US"/>
        </w:rPr>
        <w:t xml:space="preserve"> </w:t>
      </w:r>
      <w:r w:rsidRPr="008D5F96">
        <w:rPr>
          <w:rFonts w:ascii="Times New Roman" w:hAnsi="Times New Roman" w:cs="Times New Roman"/>
          <w:lang w:val="en-US"/>
        </w:rPr>
        <w:t>l’affaire</w:t>
      </w:r>
      <w:r w:rsidRPr="008D5F96">
        <w:rPr>
          <w:rFonts w:ascii="Times New Roman" w:hAnsi="Times New Roman" w:cs="Times New Roman"/>
          <w:lang w:val="en-US"/>
        </w:rPr>
        <w:t xml:space="preserve"> de la </w:t>
      </w:r>
      <w:r w:rsidRPr="008D5F96">
        <w:rPr>
          <w:rFonts w:ascii="Times New Roman" w:hAnsi="Times New Roman" w:cs="Times New Roman"/>
          <w:lang w:val="en-US"/>
        </w:rPr>
        <w:t>Cour</w:t>
      </w:r>
      <w:r w:rsidRPr="008D5F96">
        <w:rPr>
          <w:rFonts w:ascii="Times New Roman" w:hAnsi="Times New Roman" w:cs="Times New Roman"/>
          <w:lang w:val="en-US"/>
        </w:rPr>
        <w:t xml:space="preserve"> </w:t>
      </w:r>
      <w:r w:rsidRPr="008D5F96">
        <w:rPr>
          <w:rFonts w:ascii="Times New Roman" w:hAnsi="Times New Roman" w:cs="Times New Roman"/>
          <w:lang w:val="en-US"/>
        </w:rPr>
        <w:t>Suprême</w:t>
      </w:r>
      <w:r w:rsidRPr="008D5F96">
        <w:rPr>
          <w:rFonts w:ascii="Times New Roman" w:hAnsi="Times New Roman" w:cs="Times New Roman"/>
          <w:lang w:val="en-US"/>
        </w:rPr>
        <w:t xml:space="preserve"> </w:t>
      </w:r>
      <w:r w:rsidRPr="008D5F96">
        <w:rPr>
          <w:rFonts w:ascii="Times New Roman" w:hAnsi="Times New Roman" w:cs="Times New Roman"/>
          <w:lang w:val="en-US"/>
        </w:rPr>
        <w:t>d’Irlande</w:t>
      </w:r>
      <w:r w:rsidRPr="008D5F96">
        <w:rPr>
          <w:rFonts w:ascii="Times New Roman" w:hAnsi="Times New Roman" w:cs="Times New Roman"/>
          <w:lang w:val="en-US"/>
        </w:rPr>
        <w:t xml:space="preserve"> </w:t>
      </w:r>
      <w:r w:rsidRPr="008D5F96">
        <w:rPr>
          <w:rFonts w:ascii="Times New Roman" w:hAnsi="Times New Roman" w:cs="Times New Roman"/>
          <w:i/>
          <w:lang w:val="en-US"/>
        </w:rPr>
        <w:t xml:space="preserve">M.R. </w:t>
      </w:r>
      <w:r w:rsidRPr="008D5F96">
        <w:rPr>
          <w:rFonts w:ascii="Times New Roman" w:hAnsi="Times New Roman" w:cs="Times New Roman"/>
          <w:i/>
          <w:lang w:val="en-US"/>
        </w:rPr>
        <w:t>et</w:t>
      </w:r>
      <w:r w:rsidRPr="008D5F96">
        <w:rPr>
          <w:rFonts w:ascii="Times New Roman" w:hAnsi="Times New Roman" w:cs="Times New Roman"/>
          <w:i/>
          <w:lang w:val="en-US"/>
        </w:rPr>
        <w:t xml:space="preserve"> D.R. c. An </w:t>
      </w:r>
      <w:r w:rsidRPr="008D5F96">
        <w:rPr>
          <w:rFonts w:ascii="Times New Roman" w:hAnsi="Times New Roman" w:cs="Times New Roman"/>
          <w:i/>
          <w:lang w:val="en-US"/>
        </w:rPr>
        <w:t>tArd</w:t>
      </w:r>
      <w:r w:rsidRPr="008D5F96">
        <w:rPr>
          <w:rFonts w:ascii="Times New Roman" w:hAnsi="Times New Roman" w:cs="Times New Roman"/>
          <w:i/>
          <w:lang w:val="en-US"/>
        </w:rPr>
        <w:t xml:space="preserve"> </w:t>
      </w:r>
      <w:r w:rsidRPr="008D5F96">
        <w:rPr>
          <w:rFonts w:ascii="Times New Roman" w:hAnsi="Times New Roman" w:cs="Times New Roman"/>
          <w:i/>
          <w:lang w:val="en-US"/>
        </w:rPr>
        <w:t>Chlaraitheoir</w:t>
      </w:r>
      <w:r w:rsidRPr="008D5F96">
        <w:rPr>
          <w:rFonts w:ascii="Times New Roman" w:hAnsi="Times New Roman" w:cs="Times New Roman"/>
          <w:i/>
          <w:lang w:val="en-US"/>
        </w:rPr>
        <w:t xml:space="preserve">, </w:t>
      </w:r>
      <w:r w:rsidRPr="008D5F96">
        <w:rPr>
          <w:rFonts w:ascii="Times New Roman" w:hAnsi="Times New Roman" w:cs="Times New Roman"/>
          <w:i/>
          <w:lang w:val="en-US"/>
        </w:rPr>
        <w:t>Irlande</w:t>
      </w:r>
      <w:r w:rsidRPr="008D5F96">
        <w:rPr>
          <w:rFonts w:ascii="Times New Roman" w:hAnsi="Times New Roman" w:cs="Times New Roman"/>
          <w:i/>
          <w:lang w:val="en-US"/>
        </w:rPr>
        <w:t xml:space="preserve"> et Attorney</w:t>
      </w:r>
      <w:r w:rsidRPr="008D5F96">
        <w:rPr>
          <w:rFonts w:ascii="Times New Roman" w:hAnsi="Times New Roman" w:cs="Times New Roman"/>
          <w:lang w:val="en-US"/>
        </w:rPr>
        <w:t xml:space="preserve"> </w:t>
      </w:r>
      <w:r w:rsidRPr="008D5F96">
        <w:rPr>
          <w:rFonts w:ascii="Times New Roman" w:hAnsi="Times New Roman" w:cs="Times New Roman"/>
          <w:i/>
          <w:lang w:val="en-US"/>
        </w:rPr>
        <w:t xml:space="preserve">General </w:t>
      </w:r>
      <w:r w:rsidRPr="008D5F96">
        <w:rPr>
          <w:rFonts w:ascii="Times New Roman" w:hAnsi="Times New Roman" w:cs="Times New Roman"/>
          <w:lang w:val="en-US"/>
        </w:rPr>
        <w:t>(2014) IESC 60, § 7.3 : « </w:t>
      </w:r>
      <w:r w:rsidRPr="008D5F96">
        <w:rPr>
          <w:rFonts w:ascii="Times New Roman" w:hAnsi="Times New Roman" w:cs="Times New Roman"/>
          <w:i/>
          <w:lang w:val="en-US"/>
        </w:rPr>
        <w:t>What then is the consequence for the meaning of the term ‘mother’ (un</w:t>
      </w:r>
      <w:r>
        <w:rPr>
          <w:rFonts w:ascii="Times New Roman" w:hAnsi="Times New Roman" w:cs="Times New Roman"/>
          <w:i/>
          <w:lang w:val="en-US"/>
        </w:rPr>
        <w:t>less specifically defined for a </w:t>
      </w:r>
      <w:r w:rsidRPr="008D5F96">
        <w:rPr>
          <w:rFonts w:ascii="Times New Roman" w:hAnsi="Times New Roman" w:cs="Times New Roman"/>
          <w:i/>
          <w:lang w:val="en-US"/>
        </w:rPr>
        <w:t>particular purpose in a particular statutory context) of the development of reproductive techniques which now allow those two rules (those of genetic mother and birth mother) to fall on different persons. The law did not distinguish between a birth mother and a genetic mother because there was no distinction in scientific fact. Now that there is a distinction in scientific fact how does that previous legal definition</w:t>
      </w:r>
      <w:r w:rsidRPr="008D5F96">
        <w:rPr>
          <w:rFonts w:ascii="Times New Roman" w:hAnsi="Times New Roman" w:cs="Times New Roman"/>
          <w:lang w:val="en-US"/>
        </w:rPr>
        <w:t xml:space="preserve"> [</w:t>
      </w:r>
      <w:r w:rsidRPr="008D5F96">
        <w:rPr>
          <w:rFonts w:ascii="Times New Roman" w:hAnsi="Times New Roman" w:cs="Times New Roman"/>
          <w:i/>
          <w:lang w:val="en-US"/>
        </w:rPr>
        <w:t xml:space="preserve">mater </w:t>
      </w:r>
      <w:r w:rsidRPr="008D5F96">
        <w:rPr>
          <w:rFonts w:ascii="Times New Roman" w:hAnsi="Times New Roman" w:cs="Times New Roman"/>
          <w:i/>
          <w:lang w:val="en-US"/>
        </w:rPr>
        <w:t>certa</w:t>
      </w:r>
      <w:r w:rsidRPr="008D5F96">
        <w:rPr>
          <w:rFonts w:ascii="Times New Roman" w:hAnsi="Times New Roman" w:cs="Times New Roman"/>
          <w:i/>
          <w:lang w:val="en-US"/>
        </w:rPr>
        <w:t xml:space="preserve"> semper </w:t>
      </w:r>
      <w:r w:rsidRPr="008D5F96">
        <w:rPr>
          <w:rFonts w:ascii="Times New Roman" w:hAnsi="Times New Roman" w:cs="Times New Roman"/>
          <w:i/>
          <w:lang w:val="en-US"/>
        </w:rPr>
        <w:t>est</w:t>
      </w:r>
      <w:r w:rsidRPr="008D5F96">
        <w:rPr>
          <w:rFonts w:ascii="Times New Roman" w:hAnsi="Times New Roman" w:cs="Times New Roman"/>
          <w:lang w:val="en-US"/>
        </w:rPr>
        <w:t xml:space="preserve">] </w:t>
      </w:r>
      <w:r w:rsidRPr="008D5F96">
        <w:rPr>
          <w:rFonts w:ascii="Times New Roman" w:hAnsi="Times New Roman" w:cs="Times New Roman"/>
          <w:i/>
          <w:lang w:val="en-US"/>
        </w:rPr>
        <w:t>apply?</w:t>
      </w:r>
      <w:r w:rsidRPr="008D5F96">
        <w:rPr>
          <w:rFonts w:ascii="Times New Roman" w:hAnsi="Times New Roman" w:cs="Times New Roman"/>
          <w:lang w:val="en-US"/>
        </w:rPr>
        <w:t> »</w:t>
      </w:r>
    </w:p>
  </w:footnote>
  <w:footnote w:id="5">
    <w:p w:rsidR="00071E92" w:rsidRPr="00CD3F79" w:rsidP="00067E66">
      <w:pPr>
        <w:pStyle w:val="FootnoteText"/>
      </w:pPr>
      <w:r w:rsidRPr="00353295">
        <w:rPr>
          <w:rStyle w:val="FootnoteReference"/>
          <w:rFonts w:ascii="Times New Roman" w:hAnsi="Times New Roman" w:cs="Times New Roman"/>
        </w:rPr>
        <w:footnoteRef/>
      </w:r>
      <w:r w:rsidRPr="00353295">
        <w:rPr>
          <w:rFonts w:ascii="Times New Roman" w:hAnsi="Times New Roman" w:cs="Times New Roman"/>
        </w:rPr>
        <w:t xml:space="preserve"> En outre, </w:t>
      </w:r>
      <w:r>
        <w:rPr>
          <w:rFonts w:ascii="Times New Roman" w:hAnsi="Times New Roman" w:cs="Times New Roman"/>
        </w:rPr>
        <w:t xml:space="preserve">il existe </w:t>
      </w:r>
      <w:r w:rsidRPr="00353295">
        <w:rPr>
          <w:rFonts w:ascii="Times New Roman" w:hAnsi="Times New Roman" w:cs="Times New Roman"/>
        </w:rPr>
        <w:t xml:space="preserve">des exemples de griefs </w:t>
      </w:r>
      <w:r>
        <w:rPr>
          <w:rFonts w:ascii="Times New Roman" w:hAnsi="Times New Roman" w:cs="Times New Roman"/>
        </w:rPr>
        <w:t xml:space="preserve">pour lesquels les voies de recours internes n’avaient pas été épuisées et qui ont été </w:t>
      </w:r>
      <w:r w:rsidRPr="00353295">
        <w:rPr>
          <w:rFonts w:ascii="Times New Roman" w:hAnsi="Times New Roman" w:cs="Times New Roman"/>
        </w:rPr>
        <w:t>rejetés par les organes de la Convention</w:t>
      </w:r>
      <w:r>
        <w:rPr>
          <w:rFonts w:ascii="Times New Roman" w:hAnsi="Times New Roman" w:cs="Times New Roman"/>
        </w:rPr>
        <w:t xml:space="preserve"> alors même que l’É</w:t>
      </w:r>
      <w:r w:rsidRPr="00353295">
        <w:rPr>
          <w:rFonts w:ascii="Times New Roman" w:hAnsi="Times New Roman" w:cs="Times New Roman"/>
        </w:rPr>
        <w:t xml:space="preserve">tat défendeur </w:t>
      </w:r>
      <w:r>
        <w:rPr>
          <w:rFonts w:ascii="Times New Roman" w:hAnsi="Times New Roman" w:cs="Times New Roman"/>
        </w:rPr>
        <w:t>n’avait pas soulevé d’exception</w:t>
      </w:r>
      <w:r w:rsidRPr="00353295">
        <w:rPr>
          <w:rFonts w:ascii="Times New Roman" w:hAnsi="Times New Roman" w:cs="Times New Roman"/>
        </w:rPr>
        <w:t xml:space="preserve"> d’</w:t>
      </w:r>
      <w:r>
        <w:rPr>
          <w:rFonts w:ascii="Times New Roman" w:hAnsi="Times New Roman" w:cs="Times New Roman"/>
        </w:rPr>
        <w:t xml:space="preserve">irrecevabilité </w:t>
      </w:r>
      <w:r w:rsidRPr="00353295">
        <w:rPr>
          <w:rFonts w:ascii="Times New Roman" w:hAnsi="Times New Roman" w:cs="Times New Roman"/>
        </w:rPr>
        <w:t xml:space="preserve">(voir, par exemple, </w:t>
      </w:r>
      <w:r w:rsidRPr="00353295">
        <w:rPr>
          <w:rFonts w:ascii="Times New Roman" w:hAnsi="Times New Roman" w:cs="Times New Roman"/>
          <w:i/>
        </w:rPr>
        <w:t>Laidin</w:t>
      </w:r>
      <w:r w:rsidRPr="00353295">
        <w:rPr>
          <w:rFonts w:ascii="Times New Roman" w:hAnsi="Times New Roman" w:cs="Times New Roman"/>
          <w:i/>
        </w:rPr>
        <w:t xml:space="preserve"> c. France</w:t>
      </w:r>
      <w:r w:rsidRPr="00353295">
        <w:rPr>
          <w:rFonts w:ascii="Times New Roman" w:hAnsi="Times New Roman" w:cs="Times New Roman"/>
        </w:rPr>
        <w:t xml:space="preserve"> (d</w:t>
      </w:r>
      <w:r>
        <w:rPr>
          <w:rFonts w:ascii="Times New Roman" w:hAnsi="Times New Roman" w:cs="Times New Roman"/>
        </w:rPr>
        <w:t>é</w:t>
      </w:r>
      <w:r w:rsidRPr="00353295">
        <w:rPr>
          <w:rFonts w:ascii="Times New Roman" w:hAnsi="Times New Roman" w:cs="Times New Roman"/>
        </w:rPr>
        <w:t>c.), n° 43191/98, 8 janvier 2002</w:t>
      </w:r>
      <w:r>
        <w:rPr>
          <w:rFonts w:ascii="Times New Roman" w:hAnsi="Times New Roman" w:cs="Times New Roman"/>
        </w:rPr>
        <w:t>,</w:t>
      </w:r>
      <w:r w:rsidRPr="00353295">
        <w:rPr>
          <w:rFonts w:ascii="Times New Roman" w:hAnsi="Times New Roman" w:cs="Times New Roman"/>
        </w:rPr>
        <w:t xml:space="preserve"> ou la d</w:t>
      </w:r>
      <w:r>
        <w:rPr>
          <w:rFonts w:ascii="Times New Roman" w:hAnsi="Times New Roman" w:cs="Times New Roman"/>
        </w:rPr>
        <w:t>é</w:t>
      </w:r>
      <w:r w:rsidRPr="00353295">
        <w:rPr>
          <w:rFonts w:ascii="Times New Roman" w:hAnsi="Times New Roman" w:cs="Times New Roman"/>
        </w:rPr>
        <w:t xml:space="preserve">cision de la Commission dans </w:t>
      </w:r>
      <w:r>
        <w:rPr>
          <w:rFonts w:ascii="Times New Roman" w:hAnsi="Times New Roman" w:cs="Times New Roman"/>
        </w:rPr>
        <w:t xml:space="preserve">l’affaire </w:t>
      </w:r>
      <w:r w:rsidRPr="00353295">
        <w:rPr>
          <w:rFonts w:ascii="Times New Roman" w:hAnsi="Times New Roman" w:cs="Times New Roman"/>
          <w:i/>
        </w:rPr>
        <w:t>Veenstra</w:t>
      </w:r>
      <w:r w:rsidRPr="00353295">
        <w:rPr>
          <w:rFonts w:ascii="Times New Roman" w:hAnsi="Times New Roman" w:cs="Times New Roman"/>
          <w:i/>
        </w:rPr>
        <w:t xml:space="preserve"> c. le Royaume</w:t>
      </w:r>
      <w:r>
        <w:rPr>
          <w:rFonts w:ascii="Times New Roman" w:hAnsi="Times New Roman" w:cs="Times New Roman"/>
          <w:i/>
        </w:rPr>
        <w:t>-</w:t>
      </w:r>
      <w:r w:rsidRPr="00353295">
        <w:rPr>
          <w:rFonts w:ascii="Times New Roman" w:hAnsi="Times New Roman" w:cs="Times New Roman"/>
          <w:i/>
        </w:rPr>
        <w:t>Uni</w:t>
      </w:r>
      <w:r w:rsidRPr="00353295">
        <w:rPr>
          <w:rFonts w:ascii="Times New Roman" w:hAnsi="Times New Roman" w:cs="Times New Roman"/>
        </w:rPr>
        <w:t>, n°20946/92, 31 août 1994).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92">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92" w:rsidRPr="00A45145" w:rsidP="00B331E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071E92" w:rsidRPr="004D410F" w:rsidP="00B331E6">
    <w:pPr>
      <w:jc w:val="center"/>
      <w:rPr>
        <w:sz w:val="4"/>
        <w:szCs w:val="4"/>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92" w:rsidRPr="00A45145" w:rsidP="00B331E6">
    <w:pPr>
      <w:jc w:val="center"/>
    </w:pPr>
    <w:r>
      <w:rPr>
        <w:noProof/>
        <w:lang w:val="en-US"/>
      </w:rPr>
      <w:drawing>
        <wp:inline distT="0" distB="0" distL="0" distR="0">
          <wp:extent cx="2962275" cy="1219200"/>
          <wp:effectExtent l="0" t="0" r="9525" b="0"/>
          <wp:docPr id="126" name="Picture 12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071E92" w:rsidRPr="004D410F">
    <w:pPr>
      <w:rPr>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92" w:rsidRPr="004D0EC7" w:rsidP="00B331E6">
    <w:pPr>
      <w:pStyle w:val="ECHRHeader"/>
    </w:pPr>
    <w:r w:rsidRPr="00C25A3E">
      <w:t xml:space="preserve">ARRÊT </w:t>
    </w:r>
    <w:r>
      <w:t>D c. FRANCE</w:t>
    </w:r>
    <w:r w:rsidRPr="00C25A3E">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92" w:rsidRPr="00882CD5" w:rsidP="006A4208">
    <w:pPr>
      <w:pStyle w:val="ECHRHeader"/>
    </w:pPr>
    <w:r w:rsidRPr="00A7574A">
      <w:t xml:space="preserve">ARRÊT </w:t>
    </w:r>
    <w:r>
      <w:t>D c. FRANCE</w:t>
    </w:r>
    <w:r w:rsidRPr="00A7574A">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92" w:rsidRPr="006B0CE5" w:rsidP="006B0CE5">
    <w:pPr>
      <w:pStyle w:val="ECHRHeader"/>
      <w:tabs>
        <w:tab w:val="center" w:pos="3685"/>
      </w:tabs>
      <w:rPr>
        <w:lang w:val="fr-FR"/>
      </w:rPr>
    </w:pPr>
    <w:r w:rsidRPr="006B0CE5">
      <w:rPr>
        <w:lang w:val="fr-FR"/>
      </w:rPr>
      <w:t>A</w:t>
    </w:r>
    <w:r>
      <w:rPr>
        <w:lang w:val="fr-FR"/>
      </w:rPr>
      <w:t xml:space="preserve">RRÊT D c. FRANCE </w:t>
    </w:r>
    <w:r w:rsidRPr="006B0CE5">
      <w:rPr>
        <w:lang w:val="fr-FR"/>
      </w:rPr>
      <w:t>- OPINION</w:t>
    </w:r>
    <w:r>
      <w:rPr>
        <w:lang w:val="fr-FR"/>
      </w:rPr>
      <w:t xml:space="preserve"> S</w:t>
    </w:r>
    <w:r w:rsidRPr="00067E66">
      <w:rPr>
        <w:lang w:val="fr-FR"/>
      </w:rPr>
      <w:t>É</w:t>
    </w:r>
    <w:r>
      <w:rPr>
        <w:lang w:val="fr-FR"/>
      </w:rPr>
      <w:t>PAR</w:t>
    </w:r>
    <w:r w:rsidRPr="00067E66">
      <w:rPr>
        <w:lang w:val="fr-FR"/>
      </w:rPr>
      <w:t>É</w:t>
    </w:r>
    <w:r>
      <w:rPr>
        <w:lang w:val="fr-FR"/>
      </w:rPr>
      <w:t>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E92" w:rsidRPr="00067E66" w:rsidP="00067E66">
    <w:pPr>
      <w:pStyle w:val="ECHRHeader"/>
      <w:tabs>
        <w:tab w:val="right" w:pos="7370"/>
      </w:tabs>
      <w:rPr>
        <w:lang w:val="fr-FR"/>
      </w:rPr>
    </w:pPr>
    <w:r w:rsidRPr="00067E66">
      <w:rPr>
        <w:lang w:val="fr-FR"/>
      </w:rPr>
      <w:t>A</w:t>
    </w:r>
    <w:r>
      <w:rPr>
        <w:lang w:val="fr-FR"/>
      </w:rPr>
      <w:t xml:space="preserve">RRÊT D c. FRANCE </w:t>
    </w:r>
    <w:r w:rsidRPr="00067E66">
      <w:rPr>
        <w:lang w:val="fr-FR"/>
      </w:rPr>
      <w:t>- OPINION SÉPARÉE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8B2457E6"/>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heme="minorHAnsi" w:hAnsiTheme="minorHAnsi" w:hint="default"/>
        <w:b w:val="0"/>
        <w:i w:val="0"/>
      </w:rPr>
    </w:lvl>
    <w:lvl w:ilvl="7">
      <w:start w:val="1"/>
      <w:numFmt w:val="bullet"/>
      <w:lvlText w:val="‒"/>
      <w:lvlJc w:val="left"/>
      <w:pPr>
        <w:ind w:left="1418" w:hanging="182"/>
      </w:pPr>
      <w:rPr>
        <w:rFonts w:ascii="Times New Roman" w:hAnsi="Times New Roman" w:cs="Times New Roman" w:hint="default"/>
        <w:color w:val="auto"/>
      </w:rPr>
    </w:lvl>
    <w:lvl w:ilvl="8">
      <w:start w:val="1"/>
      <w:numFmt w:val="bullet"/>
      <w:lvlText w:val="▪"/>
      <w:lvlJc w:val="left"/>
      <w:pPr>
        <w:ind w:left="1644" w:hanging="221"/>
      </w:pPr>
      <w:rPr>
        <w:rFonts w:ascii="Times New Roman" w:hAnsi="Times New Roman" w:cs="Times New Roman" w:hint="default"/>
        <w:color w:val="auto"/>
      </w:rPr>
    </w:lvl>
  </w:abstractNum>
  <w:abstractNum w:abstractNumId="1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7222064C"/>
    <w:styleLink w:val="ECHRA1Style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97F286E8"/>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0AB4CE3"/>
    <w:multiLevelType w:val="multilevel"/>
    <w:tmpl w:val="CBE464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0">
    <w:nsid w:val="56B9429C"/>
    <w:multiLevelType w:val="multilevel"/>
    <w:tmpl w:val="3836BF8A"/>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1">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2">
    <w:nsid w:val="718C54F2"/>
    <w:multiLevelType w:val="multilevel"/>
    <w:tmpl w:val="7222064C"/>
    <w:numStyleLink w:val="ECHRA1StyleList"/>
  </w:abstractNum>
  <w:abstractNum w:abstractNumId="2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6"/>
  </w:num>
  <w:num w:numId="2">
    <w:abstractNumId w:val="24"/>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10"/>
  </w:num>
  <w:num w:numId="6">
    <w:abstractNumId w:val="24"/>
  </w:num>
  <w:num w:numId="7">
    <w:abstractNumId w:val="10"/>
  </w:num>
  <w:num w:numId="8">
    <w:abstractNumId w:val="6"/>
  </w:num>
  <w:num w:numId="9">
    <w:abstractNumId w:val="21"/>
  </w:num>
  <w:num w:numId="10">
    <w:abstractNumId w:val="17"/>
  </w:num>
  <w:num w:numId="11">
    <w:abstractNumId w:val="12"/>
  </w:num>
  <w:num w:numId="12">
    <w:abstractNumId w:val="11"/>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3"/>
  </w:num>
  <w:num w:numId="22">
    <w:abstractNumId w:val="20"/>
  </w:num>
  <w:num w:numId="23">
    <w:abstractNumId w:val="14"/>
  </w:num>
  <w:num w:numId="24">
    <w:abstractNumId w:val="9"/>
  </w:num>
  <w:num w:numId="25">
    <w:abstractNumId w:val="18"/>
  </w:num>
  <w:num w:numId="26">
    <w:abstractNumId w:val="13"/>
  </w:num>
  <w:num w:numId="27">
    <w:abstractNumId w:val="19"/>
  </w:num>
  <w:num w:numId="28">
    <w:abstractNumId w:val="15"/>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843"/>
    <w:rsid w:val="00026D90"/>
    <w:rsid w:val="00052B5B"/>
    <w:rsid w:val="00067E66"/>
    <w:rsid w:val="00071E92"/>
    <w:rsid w:val="00075F07"/>
    <w:rsid w:val="00084296"/>
    <w:rsid w:val="000975D4"/>
    <w:rsid w:val="000B7195"/>
    <w:rsid w:val="00124E04"/>
    <w:rsid w:val="001306B4"/>
    <w:rsid w:val="001353CF"/>
    <w:rsid w:val="00150BFA"/>
    <w:rsid w:val="00150EAC"/>
    <w:rsid w:val="00156729"/>
    <w:rsid w:val="001612B7"/>
    <w:rsid w:val="001854CF"/>
    <w:rsid w:val="001952DC"/>
    <w:rsid w:val="001A6B0C"/>
    <w:rsid w:val="001B046C"/>
    <w:rsid w:val="001B333B"/>
    <w:rsid w:val="00201B32"/>
    <w:rsid w:val="00203FA0"/>
    <w:rsid w:val="00214485"/>
    <w:rsid w:val="00244302"/>
    <w:rsid w:val="00261F46"/>
    <w:rsid w:val="002C3BCE"/>
    <w:rsid w:val="002F0D9A"/>
    <w:rsid w:val="00334BFD"/>
    <w:rsid w:val="003449E1"/>
    <w:rsid w:val="00353295"/>
    <w:rsid w:val="00354295"/>
    <w:rsid w:val="00386D87"/>
    <w:rsid w:val="003E7503"/>
    <w:rsid w:val="00403FA4"/>
    <w:rsid w:val="004705AE"/>
    <w:rsid w:val="00475200"/>
    <w:rsid w:val="004D0EC7"/>
    <w:rsid w:val="004D2843"/>
    <w:rsid w:val="004D410F"/>
    <w:rsid w:val="00547158"/>
    <w:rsid w:val="0055090B"/>
    <w:rsid w:val="00577439"/>
    <w:rsid w:val="005B20B8"/>
    <w:rsid w:val="005B64AE"/>
    <w:rsid w:val="005E26B8"/>
    <w:rsid w:val="005E7A40"/>
    <w:rsid w:val="00621544"/>
    <w:rsid w:val="00682CF6"/>
    <w:rsid w:val="00686CE9"/>
    <w:rsid w:val="006A4208"/>
    <w:rsid w:val="006B0CE5"/>
    <w:rsid w:val="006C1DF8"/>
    <w:rsid w:val="00702F75"/>
    <w:rsid w:val="00730E09"/>
    <w:rsid w:val="00732E29"/>
    <w:rsid w:val="00796963"/>
    <w:rsid w:val="007B51A3"/>
    <w:rsid w:val="007E41BD"/>
    <w:rsid w:val="008350B0"/>
    <w:rsid w:val="00836669"/>
    <w:rsid w:val="0085729B"/>
    <w:rsid w:val="00880D6F"/>
    <w:rsid w:val="00882CD5"/>
    <w:rsid w:val="00894566"/>
    <w:rsid w:val="008B1BCA"/>
    <w:rsid w:val="008C1387"/>
    <w:rsid w:val="008D5F96"/>
    <w:rsid w:val="0091001E"/>
    <w:rsid w:val="00914131"/>
    <w:rsid w:val="009763C4"/>
    <w:rsid w:val="00985E4A"/>
    <w:rsid w:val="00987D12"/>
    <w:rsid w:val="00997615"/>
    <w:rsid w:val="00A126FE"/>
    <w:rsid w:val="00A43970"/>
    <w:rsid w:val="00A45145"/>
    <w:rsid w:val="00A7574A"/>
    <w:rsid w:val="00A85C28"/>
    <w:rsid w:val="00B04A67"/>
    <w:rsid w:val="00B331E6"/>
    <w:rsid w:val="00B83C91"/>
    <w:rsid w:val="00BF7322"/>
    <w:rsid w:val="00C25A3E"/>
    <w:rsid w:val="00CA1056"/>
    <w:rsid w:val="00CD3F79"/>
    <w:rsid w:val="00CE3386"/>
    <w:rsid w:val="00CE67FC"/>
    <w:rsid w:val="00D61679"/>
    <w:rsid w:val="00DB40B4"/>
    <w:rsid w:val="00DF7123"/>
    <w:rsid w:val="00E974D6"/>
    <w:rsid w:val="00EC719B"/>
    <w:rsid w:val="00FA467A"/>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0"/>
    <w:lsdException w:name="caption" w:qFormat="1"/>
    <w:lsdException w:name="footnote reference" w:uiPriority="99"/>
    <w:lsdException w:name="annotation reference" w:uiPriority="99"/>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uiPriority="59"/>
    <w:lsdException w:name="Table Theme" w:uiPriority="99"/>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semiHidden/>
    <w:rsid w:val="006A4208"/>
    <w:pPr>
      <w:jc w:val="both"/>
    </w:pPr>
    <w:rPr>
      <w:rFonts w:eastAsiaTheme="minorEastAsia"/>
      <w:sz w:val="24"/>
      <w:lang w:val="fr-FR"/>
    </w:rPr>
  </w:style>
  <w:style w:type="paragraph" w:styleId="Heading1">
    <w:name w:val="heading 1"/>
    <w:basedOn w:val="Normal"/>
    <w:next w:val="Normal"/>
    <w:link w:val="Heading1Char"/>
    <w:uiPriority w:val="98"/>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4393B"/>
    <w:rPr>
      <w:rFonts w:ascii="Tahoma" w:hAnsi="Tahoma" w:cs="Tahoma"/>
      <w:sz w:val="16"/>
      <w:szCs w:val="16"/>
    </w:rPr>
  </w:style>
  <w:style w:type="character" w:customStyle="1" w:styleId="BalloonTextChar">
    <w:name w:val="Balloon Text Char"/>
    <w:basedOn w:val="DefaultParagraphFont"/>
    <w:link w:val="BalloonText"/>
    <w:uiPriority w:val="98"/>
    <w:semiHidden/>
    <w:rsid w:val="0064393B"/>
    <w:rPr>
      <w:rFonts w:ascii="Tahoma" w:hAnsi="Tahoma" w:eastAsiaTheme="minorEastAsia" w:cs="Tahoma"/>
      <w:sz w:val="16"/>
      <w:szCs w:val="16"/>
    </w:rPr>
  </w:style>
  <w:style w:type="character" w:styleId="BookTitle">
    <w:name w:val="Book Title"/>
    <w:uiPriority w:val="98"/>
    <w:semiHidden/>
    <w:qFormat/>
    <w:rsid w:val="0064393B"/>
    <w:rPr>
      <w:i/>
      <w:iCs/>
      <w:smallCaps/>
      <w:spacing w:val="5"/>
    </w:rPr>
  </w:style>
  <w:style w:type="paragraph" w:customStyle="1" w:styleId="ECHRHeader">
    <w:name w:val="ECHR_Header"/>
    <w:aliases w:val="Ju_Header,_Header"/>
    <w:basedOn w:val="Header0"/>
    <w:uiPriority w:val="29"/>
    <w:qFormat/>
    <w:rsid w:val="006A4208"/>
    <w:pPr>
      <w:tabs>
        <w:tab w:val="clear" w:pos="4536"/>
        <w:tab w:val="clear" w:pos="9072"/>
      </w:tabs>
      <w:jc w:val="center"/>
    </w:pPr>
    <w:rPr>
      <w:sz w:val="18"/>
      <w:lang w:val="en-GB"/>
    </w:rPr>
  </w:style>
  <w:style w:type="paragraph" w:customStyle="1" w:styleId="OpiPara">
    <w:name w:val="Opi_Para"/>
    <w:basedOn w:val="ECHRPara"/>
    <w:uiPriority w:val="46"/>
    <w:qFormat/>
    <w:rsid w:val="0064393B"/>
  </w:style>
  <w:style w:type="character" w:styleId="Strong">
    <w:name w:val="Strong"/>
    <w:uiPriority w:val="98"/>
    <w:semiHidden/>
    <w:qFormat/>
    <w:rsid w:val="0064393B"/>
    <w:rPr>
      <w:b/>
      <w:bCs/>
    </w:rPr>
  </w:style>
  <w:style w:type="paragraph" w:styleId="NoSpacing">
    <w:name w:val="No Spacing"/>
    <w:basedOn w:val="Normal"/>
    <w:link w:val="NoSpacingChar"/>
    <w:uiPriority w:val="98"/>
    <w:semiHidden/>
    <w:qFormat/>
    <w:rsid w:val="0064393B"/>
  </w:style>
  <w:style w:type="character" w:customStyle="1" w:styleId="NoSpacingChar">
    <w:name w:val="No Spacing Char"/>
    <w:basedOn w:val="DefaultParagraphFont"/>
    <w:link w:val="NoSpacing"/>
    <w:uiPriority w:val="98"/>
    <w:semiHidden/>
    <w:rsid w:val="0064393B"/>
    <w:rPr>
      <w:rFonts w:eastAsiaTheme="minorEastAsia"/>
      <w:sz w:val="24"/>
    </w:rPr>
  </w:style>
  <w:style w:type="paragraph" w:customStyle="1" w:styleId="ECHRParaQuote">
    <w:name w:val="ECHR_Para_Quote"/>
    <w:aliases w:val="Ju_Quot,_Quote"/>
    <w:basedOn w:val="Normal"/>
    <w:uiPriority w:val="20"/>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_Title_C_3,_Title_Quote"/>
    <w:basedOn w:val="Normal"/>
    <w:next w:val="ECHRParaQuote"/>
    <w:uiPriority w:val="26"/>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_Title_C_1"/>
    <w:basedOn w:val="Normal"/>
    <w:next w:val="OpiPara"/>
    <w:uiPriority w:val="26"/>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_Head_1,_Title_L_1"/>
    <w:basedOn w:val="Normal"/>
    <w:next w:val="ECHRPara"/>
    <w:uiPriority w:val="17"/>
    <w:qFormat/>
    <w:rsid w:val="0064393B"/>
    <w:pPr>
      <w:keepNext/>
      <w:keepLines/>
      <w:spacing w:before="720" w:after="240"/>
      <w:outlineLvl w:val="0"/>
    </w:pPr>
    <w:rPr>
      <w:rFonts w:asciiTheme="majorHAnsi" w:hAnsiTheme="majorHAnsi"/>
      <w:sz w:val="28"/>
    </w:rPr>
  </w:style>
  <w:style w:type="paragraph" w:customStyle="1" w:styleId="JuInitialled">
    <w:name w:val="Ju_Initialled"/>
    <w:aliases w:val="_Right"/>
    <w:basedOn w:val="Normal"/>
    <w:uiPriority w:val="30"/>
    <w:qFormat/>
    <w:rsid w:val="0064393B"/>
    <w:pPr>
      <w:tabs>
        <w:tab w:val="center" w:pos="6407"/>
      </w:tabs>
      <w:spacing w:before="720"/>
      <w:jc w:val="right"/>
    </w:pPr>
  </w:style>
  <w:style w:type="paragraph" w:customStyle="1" w:styleId="JuSigned">
    <w:name w:val="Ju_Signed"/>
    <w:aliases w:val="_Signature"/>
    <w:basedOn w:val="Normal"/>
    <w:next w:val="JuParaLast"/>
    <w:uiPriority w:val="31"/>
    <w:qFormat/>
    <w:rsid w:val="0064393B"/>
    <w:pPr>
      <w:tabs>
        <w:tab w:val="center" w:pos="851"/>
        <w:tab w:val="center" w:pos="6407"/>
      </w:tabs>
      <w:spacing w:before="720"/>
      <w:jc w:val="left"/>
    </w:pPr>
  </w:style>
  <w:style w:type="paragraph" w:styleId="Title">
    <w:name w:val="Title"/>
    <w:basedOn w:val="Normal"/>
    <w:next w:val="Normal"/>
    <w:link w:val="TitleChar"/>
    <w:uiPriority w:val="98"/>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aliases w:val="_Ju_Names"/>
    <w:uiPriority w:val="33"/>
    <w:qFormat/>
    <w:rsid w:val="0064393B"/>
    <w:rPr>
      <w:caps w:val="0"/>
      <w:smallCaps/>
    </w:rPr>
  </w:style>
  <w:style w:type="character" w:customStyle="1" w:styleId="JuITMark">
    <w:name w:val="Ju_ITMark"/>
    <w:aliases w:val="_ITMark"/>
    <w:basedOn w:val="DefaultParagraphFont"/>
    <w:uiPriority w:val="43"/>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aliases w:val="_Court_Names"/>
    <w:basedOn w:val="Normal"/>
    <w:next w:val="Normal"/>
    <w:uiPriority w:val="32"/>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_Head_2"/>
    <w:basedOn w:val="Heading1"/>
    <w:next w:val="ECHRPara"/>
    <w:uiPriority w:val="17"/>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_Head_3"/>
    <w:basedOn w:val="Heading2"/>
    <w:next w:val="ECHRPara"/>
    <w:uiPriority w:val="17"/>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_Head_4"/>
    <w:basedOn w:val="Heading3"/>
    <w:next w:val="ECHRPara"/>
    <w:uiPriority w:val="17"/>
    <w:qFormat/>
    <w:rsid w:val="0064393B"/>
    <w:pPr>
      <w:keepNext/>
      <w:keepLines/>
      <w:tabs>
        <w:tab w:val="left" w:pos="731"/>
      </w:tabs>
      <w:spacing w:before="240" w:after="120" w:line="240" w:lineRule="auto"/>
      <w:ind w:left="732" w:hanging="301"/>
    </w:pPr>
    <w:rPr>
      <w:b w:val="0"/>
      <w:i/>
      <w:color w:val="auto"/>
    </w:rPr>
  </w:style>
  <w:style w:type="paragraph" w:styleId="Header0">
    <w:name w:val="header"/>
    <w:basedOn w:val="Normal"/>
    <w:link w:val="HeaderChar"/>
    <w:uiPriority w:val="98"/>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0"/>
    <w:uiPriority w:val="98"/>
    <w:semiHidden/>
    <w:rsid w:val="0064393B"/>
    <w:rPr>
      <w:sz w:val="24"/>
    </w:rPr>
  </w:style>
  <w:style w:type="character" w:customStyle="1" w:styleId="Heading1Char">
    <w:name w:val="Heading 1 Char"/>
    <w:basedOn w:val="DefaultParagraphFont"/>
    <w:link w:val="Heading1"/>
    <w:uiPriority w:val="98"/>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_Head_5"/>
    <w:basedOn w:val="Heading4"/>
    <w:next w:val="ECHRPara"/>
    <w:uiPriority w:val="17"/>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_Head_6"/>
    <w:basedOn w:val="Heading5"/>
    <w:next w:val="ECHRPara"/>
    <w:uiPriority w:val="17"/>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8"/>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_Head_7"/>
    <w:basedOn w:val="Heading6"/>
    <w:next w:val="ECHRPara"/>
    <w:uiPriority w:val="17"/>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_Head_8"/>
    <w:basedOn w:val="Heading7"/>
    <w:next w:val="ECHRPara"/>
    <w:uiPriority w:val="17"/>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8"/>
    <w:semiHidden/>
    <w:rsid w:val="0064393B"/>
    <w:rPr>
      <w:rFonts w:asciiTheme="majorHAnsi" w:eastAsiaTheme="majorEastAsia" w:hAnsiTheme="majorHAnsi" w:cstheme="majorBidi"/>
      <w:b/>
      <w:bCs/>
      <w:color w:val="5F5F5F"/>
      <w:sz w:val="24"/>
    </w:rPr>
  </w:style>
  <w:style w:type="paragraph" w:customStyle="1" w:styleId="JuParaLast">
    <w:name w:val="Ju_Para_Last"/>
    <w:aliases w:val="_Para_Spaced"/>
    <w:basedOn w:val="Normal"/>
    <w:next w:val="ECHRPara"/>
    <w:uiPriority w:val="9"/>
    <w:qFormat/>
    <w:rsid w:val="0064393B"/>
    <w:pPr>
      <w:keepNext/>
      <w:keepLines/>
      <w:spacing w:before="240"/>
      <w:ind w:firstLine="284"/>
    </w:pPr>
  </w:style>
  <w:style w:type="paragraph" w:customStyle="1" w:styleId="ECHRDecisionBody">
    <w:name w:val="ECHR_Decision_Body"/>
    <w:aliases w:val="Ju_Judges,_Decision_Body,_Judges"/>
    <w:basedOn w:val="Normal"/>
    <w:uiPriority w:val="32"/>
    <w:qFormat/>
    <w:rsid w:val="0064393B"/>
    <w:pPr>
      <w:tabs>
        <w:tab w:val="left" w:pos="567"/>
        <w:tab w:val="left" w:pos="1134"/>
      </w:tabs>
      <w:jc w:val="left"/>
    </w:pPr>
  </w:style>
  <w:style w:type="character" w:customStyle="1" w:styleId="Heading4Char">
    <w:name w:val="Heading 4 Char"/>
    <w:basedOn w:val="DefaultParagraphFont"/>
    <w:link w:val="Heading4"/>
    <w:uiPriority w:val="98"/>
    <w:semiHidden/>
    <w:rsid w:val="0064393B"/>
    <w:rPr>
      <w:rFonts w:asciiTheme="majorHAnsi" w:eastAsiaTheme="majorEastAsia" w:hAnsiTheme="majorHAnsi" w:cstheme="majorBidi"/>
      <w:b/>
      <w:bCs/>
      <w:i/>
      <w:iCs/>
      <w:color w:val="777777"/>
      <w:sz w:val="24"/>
    </w:rPr>
  </w:style>
  <w:style w:type="paragraph" w:customStyle="1" w:styleId="JuList">
    <w:name w:val="Ju_List"/>
    <w:aliases w:val="_List_1"/>
    <w:basedOn w:val="Normal"/>
    <w:uiPriority w:val="23"/>
    <w:qFormat/>
    <w:rsid w:val="0064393B"/>
    <w:pPr>
      <w:ind w:left="340" w:hanging="340"/>
    </w:pPr>
  </w:style>
  <w:style w:type="character" w:customStyle="1" w:styleId="Heading5Char">
    <w:name w:val="Heading 5 Char"/>
    <w:basedOn w:val="DefaultParagraphFont"/>
    <w:link w:val="Heading5"/>
    <w:uiPriority w:val="98"/>
    <w:semiHidden/>
    <w:rsid w:val="0064393B"/>
    <w:rPr>
      <w:rFonts w:asciiTheme="majorHAnsi" w:eastAsiaTheme="majorEastAsia" w:hAnsiTheme="majorHAnsi" w:cstheme="majorBidi"/>
      <w:b/>
      <w:bCs/>
      <w:color w:val="808080"/>
      <w:sz w:val="24"/>
    </w:rPr>
  </w:style>
  <w:style w:type="paragraph" w:customStyle="1" w:styleId="JuLista">
    <w:name w:val="Ju_List_a"/>
    <w:aliases w:val="_List_2"/>
    <w:basedOn w:val="JuList"/>
    <w:uiPriority w:val="23"/>
    <w:qFormat/>
    <w:rsid w:val="0064393B"/>
    <w:pPr>
      <w:ind w:left="346" w:firstLine="0"/>
    </w:pPr>
  </w:style>
  <w:style w:type="paragraph" w:customStyle="1" w:styleId="JuListi">
    <w:name w:val="Ju_List_i"/>
    <w:aliases w:val="_List_3"/>
    <w:basedOn w:val="Normal"/>
    <w:next w:val="JuLista"/>
    <w:uiPriority w:val="23"/>
    <w:qFormat/>
    <w:rsid w:val="0064393B"/>
    <w:pPr>
      <w:ind w:left="794"/>
    </w:pPr>
  </w:style>
  <w:style w:type="character" w:styleId="SubtleEmphasis">
    <w:name w:val="Subtle Emphasis"/>
    <w:uiPriority w:val="98"/>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aliases w:val="_Dummy"/>
    <w:basedOn w:val="Normal"/>
    <w:semiHidden/>
    <w:qFormat/>
    <w:rsid w:val="0064393B"/>
    <w:rPr>
      <w:color w:val="00B050"/>
    </w:rPr>
  </w:style>
  <w:style w:type="character" w:styleId="Emphasis">
    <w:name w:val="Emphasis"/>
    <w:uiPriority w:val="98"/>
    <w:semiHidden/>
    <w:qFormat/>
    <w:rsid w:val="0064393B"/>
    <w:rPr>
      <w:b/>
      <w:bCs/>
      <w:i/>
      <w:iCs/>
      <w:spacing w:val="10"/>
      <w:bdr w:val="none" w:sz="0" w:space="0" w:color="auto"/>
      <w:shd w:val="clear" w:color="auto" w:fill="auto"/>
    </w:rPr>
  </w:style>
  <w:style w:type="paragraph" w:styleId="Footer">
    <w:name w:val="footer"/>
    <w:basedOn w:val="Normal"/>
    <w:link w:val="FooterChar"/>
    <w:uiPriority w:val="98"/>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98"/>
    <w:semiHidden/>
    <w:rsid w:val="0064393B"/>
    <w:rPr>
      <w:sz w:val="24"/>
    </w:rPr>
  </w:style>
  <w:style w:type="character" w:styleId="FootnoteReference">
    <w:name w:val="footnote reference"/>
    <w:basedOn w:val="DefaultParagraphFont"/>
    <w:uiPriority w:val="99"/>
    <w:rsid w:val="0064393B"/>
    <w:rPr>
      <w:vertAlign w:val="superscript"/>
    </w:rPr>
  </w:style>
  <w:style w:type="paragraph" w:styleId="FootnoteText">
    <w:name w:val="footnote text"/>
    <w:basedOn w:val="Normal"/>
    <w:link w:val="FootnoteTextChar"/>
    <w:uiPriority w:val="98"/>
    <w:semiHidden/>
    <w:rsid w:val="0064393B"/>
    <w:rPr>
      <w:sz w:val="20"/>
      <w:szCs w:val="20"/>
    </w:rPr>
  </w:style>
  <w:style w:type="character" w:customStyle="1" w:styleId="FootnoteTextChar">
    <w:name w:val="Footnote Text Char"/>
    <w:basedOn w:val="DefaultParagraphFont"/>
    <w:link w:val="FootnoteText"/>
    <w:uiPriority w:val="98"/>
    <w:semiHidden/>
    <w:rsid w:val="0064393B"/>
    <w:rPr>
      <w:rFonts w:eastAsiaTheme="minorEastAsia"/>
      <w:sz w:val="20"/>
      <w:szCs w:val="20"/>
    </w:rPr>
  </w:style>
  <w:style w:type="character" w:customStyle="1" w:styleId="Heading6Char">
    <w:name w:val="Heading 6 Char"/>
    <w:basedOn w:val="DefaultParagraphFont"/>
    <w:link w:val="Heading6"/>
    <w:uiPriority w:val="98"/>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8"/>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8"/>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8"/>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8"/>
    <w:rsid w:val="0064393B"/>
    <w:rPr>
      <w:color w:val="0072BC" w:themeColor="hyperlink"/>
      <w:u w:val="single"/>
    </w:rPr>
  </w:style>
  <w:style w:type="character" w:styleId="IntenseEmphasis">
    <w:name w:val="Intense Emphasis"/>
    <w:uiPriority w:val="98"/>
    <w:semiHidden/>
    <w:qFormat/>
    <w:rsid w:val="0064393B"/>
    <w:rPr>
      <w:b/>
      <w:bCs/>
    </w:rPr>
  </w:style>
  <w:style w:type="paragraph" w:styleId="IntenseQuote">
    <w:name w:val="Intense Quote"/>
    <w:basedOn w:val="Normal"/>
    <w:next w:val="Normal"/>
    <w:link w:val="IntenseQuoteChar"/>
    <w:uiPriority w:val="98"/>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4393B"/>
    <w:rPr>
      <w:rFonts w:eastAsiaTheme="minorEastAsia"/>
      <w:b/>
      <w:bCs/>
      <w:i/>
      <w:iCs/>
      <w:sz w:val="24"/>
      <w:lang w:bidi="en-US"/>
    </w:rPr>
  </w:style>
  <w:style w:type="character" w:styleId="IntenseReference">
    <w:name w:val="Intense Reference"/>
    <w:uiPriority w:val="98"/>
    <w:semiHidden/>
    <w:qFormat/>
    <w:rsid w:val="0064393B"/>
    <w:rPr>
      <w:smallCaps/>
      <w:spacing w:val="5"/>
      <w:u w:val="single"/>
    </w:rPr>
  </w:style>
  <w:style w:type="paragraph" w:styleId="ListParagraph">
    <w:name w:val="List Paragraph"/>
    <w:basedOn w:val="Normal"/>
    <w:uiPriority w:val="98"/>
    <w:semiHidden/>
    <w:qFormat/>
    <w:rsid w:val="0064393B"/>
    <w:pPr>
      <w:ind w:left="720"/>
      <w:contextualSpacing/>
    </w:pPr>
  </w:style>
  <w:style w:type="table" w:customStyle="1" w:styleId="LtrTableAddress">
    <w:name w:val="Ltr_Table_Address"/>
    <w:aliases w:val="ECHR_Ltr_Table_Address"/>
    <w:basedOn w:val="TableNormal"/>
    <w:uiPriority w:val="99"/>
    <w:rsid w:val="001E6F32"/>
    <w:tblPr>
      <w:tblInd w:w="5103" w:type="dxa"/>
    </w:tblPr>
  </w:style>
  <w:style w:type="paragraph" w:styleId="Quote0">
    <w:name w:val="Quote"/>
    <w:basedOn w:val="Normal"/>
    <w:next w:val="Normal"/>
    <w:link w:val="QuoteChar"/>
    <w:uiPriority w:val="98"/>
    <w:semiHidden/>
    <w:qFormat/>
    <w:rsid w:val="0064393B"/>
    <w:pPr>
      <w:spacing w:before="200"/>
      <w:ind w:left="360" w:right="360"/>
    </w:pPr>
    <w:rPr>
      <w:i/>
      <w:iCs/>
      <w:lang w:bidi="en-US"/>
    </w:rPr>
  </w:style>
  <w:style w:type="character" w:customStyle="1" w:styleId="QuoteChar">
    <w:name w:val="Quote Char"/>
    <w:basedOn w:val="DefaultParagraphFont"/>
    <w:link w:val="Quote0"/>
    <w:uiPriority w:val="98"/>
    <w:semiHidden/>
    <w:rsid w:val="0064393B"/>
    <w:rPr>
      <w:rFonts w:eastAsiaTheme="minorEastAsia"/>
      <w:i/>
      <w:iCs/>
      <w:sz w:val="24"/>
      <w:lang w:bidi="en-US"/>
    </w:rPr>
  </w:style>
  <w:style w:type="character" w:styleId="SubtleReference">
    <w:name w:val="Subtle Reference"/>
    <w:uiPriority w:val="98"/>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aliases w:val="ECHR_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8"/>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8"/>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_Para"/>
    <w:basedOn w:val="Normal"/>
    <w:link w:val="JuParaChar"/>
    <w:uiPriority w:val="4"/>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8410D"/>
  </w:style>
  <w:style w:type="paragraph" w:styleId="BlockText">
    <w:name w:val="Block Text"/>
    <w:basedOn w:val="Normal"/>
    <w:uiPriority w:val="98"/>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8410D"/>
    <w:pPr>
      <w:spacing w:after="120"/>
    </w:pPr>
  </w:style>
  <w:style w:type="character" w:customStyle="1" w:styleId="BodyTextChar">
    <w:name w:val="Body Text Char"/>
    <w:basedOn w:val="DefaultParagraphFont"/>
    <w:link w:val="BodyText"/>
    <w:uiPriority w:val="98"/>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ECHRPara"/>
    <w:uiPriority w:val="32"/>
    <w:rsid w:val="0064393B"/>
    <w:pPr>
      <w:ind w:firstLine="284"/>
    </w:pPr>
    <w:rPr>
      <w:b/>
    </w:rPr>
  </w:style>
  <w:style w:type="character" w:styleId="PageNumber">
    <w:name w:val="page number"/>
    <w:uiPriority w:val="98"/>
    <w:semiHidden/>
    <w:rsid w:val="0098410D"/>
    <w:rPr>
      <w:sz w:val="18"/>
    </w:rPr>
  </w:style>
  <w:style w:type="paragraph" w:styleId="ListBullet">
    <w:name w:val="List Bullet"/>
    <w:basedOn w:val="Normal"/>
    <w:uiPriority w:val="98"/>
    <w:semiHidden/>
    <w:rsid w:val="0098410D"/>
    <w:pPr>
      <w:numPr>
        <w:numId w:val="9"/>
      </w:numPr>
    </w:pPr>
  </w:style>
  <w:style w:type="paragraph" w:styleId="ListBullet3">
    <w:name w:val="List Bullet 3"/>
    <w:basedOn w:val="Normal"/>
    <w:uiPriority w:val="98"/>
    <w:semiHidden/>
    <w:rsid w:val="0098410D"/>
    <w:pPr>
      <w:numPr>
        <w:numId w:val="8"/>
      </w:numPr>
      <w:contextualSpacing/>
    </w:pPr>
  </w:style>
  <w:style w:type="character" w:customStyle="1" w:styleId="BodyText2Char">
    <w:name w:val="Body Text 2 Char"/>
    <w:basedOn w:val="DefaultParagraphFont"/>
    <w:link w:val="BodyText2"/>
    <w:uiPriority w:val="98"/>
    <w:semiHidden/>
    <w:rsid w:val="0098410D"/>
    <w:rPr>
      <w:rFonts w:eastAsiaTheme="minorEastAsia"/>
      <w:sz w:val="24"/>
    </w:rPr>
  </w:style>
  <w:style w:type="paragraph" w:styleId="BodyText3">
    <w:name w:val="Body Text 3"/>
    <w:basedOn w:val="Normal"/>
    <w:link w:val="BodyText3Char"/>
    <w:uiPriority w:val="98"/>
    <w:semiHidden/>
    <w:rsid w:val="0098410D"/>
    <w:pPr>
      <w:spacing w:after="120"/>
    </w:pPr>
    <w:rPr>
      <w:sz w:val="16"/>
      <w:szCs w:val="16"/>
    </w:rPr>
  </w:style>
  <w:style w:type="character" w:customStyle="1" w:styleId="BodyText3Char">
    <w:name w:val="Body Text 3 Char"/>
    <w:basedOn w:val="DefaultParagraphFont"/>
    <w:link w:val="BodyText3"/>
    <w:uiPriority w:val="98"/>
    <w:semiHidden/>
    <w:rsid w:val="0098410D"/>
    <w:rPr>
      <w:rFonts w:eastAsiaTheme="minorEastAsia"/>
      <w:sz w:val="16"/>
      <w:szCs w:val="16"/>
    </w:rPr>
  </w:style>
  <w:style w:type="paragraph" w:styleId="BodyTextFirstIndent">
    <w:name w:val="Body Text First Indent"/>
    <w:basedOn w:val="BodyText"/>
    <w:link w:val="BodyTextFirstIndentChar"/>
    <w:uiPriority w:val="98"/>
    <w:semiHidden/>
    <w:rsid w:val="0098410D"/>
    <w:pPr>
      <w:spacing w:after="0"/>
      <w:ind w:firstLine="360"/>
    </w:pPr>
  </w:style>
  <w:style w:type="character" w:customStyle="1" w:styleId="BodyTextFirstIndentChar">
    <w:name w:val="Body Text First Indent Char"/>
    <w:basedOn w:val="BodyTextChar"/>
    <w:link w:val="BodyTextFirstIndent"/>
    <w:uiPriority w:val="98"/>
    <w:semiHidden/>
    <w:rsid w:val="0098410D"/>
    <w:rPr>
      <w:rFonts w:eastAsiaTheme="minorEastAsia"/>
      <w:sz w:val="24"/>
    </w:rPr>
  </w:style>
  <w:style w:type="paragraph" w:styleId="BodyTextIndent">
    <w:name w:val="Body Text Indent"/>
    <w:basedOn w:val="Normal"/>
    <w:link w:val="BodyTextIndentChar"/>
    <w:uiPriority w:val="98"/>
    <w:semiHidden/>
    <w:rsid w:val="0098410D"/>
    <w:pPr>
      <w:spacing w:after="120"/>
      <w:ind w:left="283"/>
    </w:pPr>
  </w:style>
  <w:style w:type="character" w:customStyle="1" w:styleId="BodyTextIndentChar">
    <w:name w:val="Body Text Indent Char"/>
    <w:basedOn w:val="DefaultParagraphFont"/>
    <w:link w:val="BodyTextIndent"/>
    <w:uiPriority w:val="98"/>
    <w:semiHidden/>
    <w:rsid w:val="0098410D"/>
    <w:rPr>
      <w:rFonts w:eastAsiaTheme="minorEastAsia"/>
      <w:sz w:val="24"/>
    </w:rPr>
  </w:style>
  <w:style w:type="paragraph" w:styleId="BodyTextFirstIndent2">
    <w:name w:val="Body Text First Indent 2"/>
    <w:basedOn w:val="BodyTextIndent"/>
    <w:link w:val="BodyTextFirstIndent2Char"/>
    <w:uiPriority w:val="98"/>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8"/>
    <w:semiHidden/>
    <w:rsid w:val="0098410D"/>
    <w:rPr>
      <w:rFonts w:eastAsiaTheme="minorEastAsia"/>
      <w:sz w:val="24"/>
    </w:rPr>
  </w:style>
  <w:style w:type="paragraph" w:styleId="BodyTextIndent2">
    <w:name w:val="Body Text Indent 2"/>
    <w:basedOn w:val="Normal"/>
    <w:link w:val="BodyTextIndent2Char"/>
    <w:uiPriority w:val="98"/>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8"/>
    <w:semiHidden/>
    <w:rsid w:val="0098410D"/>
    <w:rPr>
      <w:rFonts w:eastAsiaTheme="minorEastAsia"/>
      <w:sz w:val="24"/>
    </w:rPr>
  </w:style>
  <w:style w:type="paragraph" w:styleId="BodyTextIndent3">
    <w:name w:val="Body Text Indent 3"/>
    <w:basedOn w:val="Normal"/>
    <w:link w:val="BodyTextIndent3Char"/>
    <w:uiPriority w:val="98"/>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8410D"/>
    <w:rPr>
      <w:rFonts w:eastAsiaTheme="minorEastAsia"/>
      <w:sz w:val="16"/>
      <w:szCs w:val="16"/>
    </w:rPr>
  </w:style>
  <w:style w:type="paragraph" w:styleId="Caption">
    <w:name w:val="caption"/>
    <w:basedOn w:val="Normal"/>
    <w:next w:val="Normal"/>
    <w:uiPriority w:val="98"/>
    <w:semiHidden/>
    <w:qFormat/>
    <w:rsid w:val="0098410D"/>
    <w:pPr>
      <w:spacing w:after="200"/>
    </w:pPr>
    <w:rPr>
      <w:b/>
      <w:bCs/>
      <w:color w:val="0072BC" w:themeColor="accent1"/>
      <w:sz w:val="18"/>
      <w:szCs w:val="18"/>
    </w:rPr>
  </w:style>
  <w:style w:type="paragraph" w:styleId="Closing">
    <w:name w:val="Closing"/>
    <w:basedOn w:val="Normal"/>
    <w:link w:val="ClosingChar"/>
    <w:uiPriority w:val="98"/>
    <w:semiHidden/>
    <w:rsid w:val="0098410D"/>
    <w:pPr>
      <w:ind w:left="4252"/>
    </w:pPr>
  </w:style>
  <w:style w:type="character" w:customStyle="1" w:styleId="ClosingChar">
    <w:name w:val="Closing Char"/>
    <w:basedOn w:val="DefaultParagraphFont"/>
    <w:link w:val="Closing"/>
    <w:uiPriority w:val="98"/>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semiHidden/>
    <w:rsid w:val="0098410D"/>
    <w:rPr>
      <w:sz w:val="20"/>
      <w:szCs w:val="20"/>
    </w:rPr>
  </w:style>
  <w:style w:type="character" w:customStyle="1" w:styleId="CommentTextChar">
    <w:name w:val="Comment Text Char"/>
    <w:basedOn w:val="DefaultParagraphFont"/>
    <w:link w:val="CommentText"/>
    <w:semiHidden/>
    <w:rsid w:val="0098410D"/>
    <w:rPr>
      <w:rFonts w:eastAsiaTheme="minorEastAsia"/>
      <w:sz w:val="20"/>
      <w:szCs w:val="20"/>
    </w:rPr>
  </w:style>
  <w:style w:type="paragraph" w:styleId="CommentSubject">
    <w:name w:val="annotation subject"/>
    <w:basedOn w:val="CommentText"/>
    <w:next w:val="CommentText"/>
    <w:link w:val="CommentSubjectChar"/>
    <w:uiPriority w:val="98"/>
    <w:semiHidden/>
    <w:rsid w:val="0098410D"/>
    <w:rPr>
      <w:b/>
      <w:bCs/>
    </w:rPr>
  </w:style>
  <w:style w:type="character" w:customStyle="1" w:styleId="CommentSubjectChar">
    <w:name w:val="Comment Subject Char"/>
    <w:basedOn w:val="CommentTextChar"/>
    <w:link w:val="CommentSubject"/>
    <w:uiPriority w:val="98"/>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8410D"/>
  </w:style>
  <w:style w:type="character" w:customStyle="1" w:styleId="DateChar">
    <w:name w:val="Date Char"/>
    <w:basedOn w:val="DefaultParagraphFont"/>
    <w:link w:val="Date"/>
    <w:uiPriority w:val="98"/>
    <w:semiHidden/>
    <w:rsid w:val="0098410D"/>
    <w:rPr>
      <w:rFonts w:eastAsiaTheme="minorEastAsia"/>
      <w:sz w:val="24"/>
    </w:rPr>
  </w:style>
  <w:style w:type="paragraph" w:styleId="DocumentMap">
    <w:name w:val="Document Map"/>
    <w:basedOn w:val="Normal"/>
    <w:link w:val="DocumentMapChar"/>
    <w:uiPriority w:val="98"/>
    <w:semiHidden/>
    <w:rsid w:val="0098410D"/>
    <w:rPr>
      <w:rFonts w:ascii="Tahoma" w:hAnsi="Tahoma" w:cs="Tahoma"/>
      <w:sz w:val="16"/>
      <w:szCs w:val="16"/>
    </w:rPr>
  </w:style>
  <w:style w:type="character" w:customStyle="1" w:styleId="DocumentMapChar">
    <w:name w:val="Document Map Char"/>
    <w:basedOn w:val="DefaultParagraphFont"/>
    <w:link w:val="DocumentMap"/>
    <w:uiPriority w:val="98"/>
    <w:semiHidden/>
    <w:rsid w:val="0098410D"/>
    <w:rPr>
      <w:rFonts w:ascii="Tahoma" w:hAnsi="Tahoma" w:eastAsiaTheme="minorEastAsia" w:cs="Tahoma"/>
      <w:sz w:val="16"/>
      <w:szCs w:val="16"/>
    </w:rPr>
  </w:style>
  <w:style w:type="paragraph" w:styleId="E-mailSignature">
    <w:name w:val="E-mail Signature"/>
    <w:basedOn w:val="Normal"/>
    <w:link w:val="E-mailSignatureChar"/>
    <w:uiPriority w:val="98"/>
    <w:semiHidden/>
    <w:rsid w:val="0098410D"/>
  </w:style>
  <w:style w:type="character" w:customStyle="1" w:styleId="E-mailSignatureChar">
    <w:name w:val="E-mail Signature Char"/>
    <w:basedOn w:val="DefaultParagraphFont"/>
    <w:link w:val="E-mailSignature"/>
    <w:uiPriority w:val="98"/>
    <w:semiHidden/>
    <w:rsid w:val="0098410D"/>
    <w:rPr>
      <w:rFonts w:eastAsiaTheme="minorEastAsia"/>
      <w:sz w:val="24"/>
    </w:rPr>
  </w:style>
  <w:style w:type="character" w:styleId="EndnoteReference">
    <w:name w:val="endnote reference"/>
    <w:basedOn w:val="DefaultParagraphFont"/>
    <w:uiPriority w:val="98"/>
    <w:semiHidden/>
    <w:rsid w:val="0098410D"/>
    <w:rPr>
      <w:vertAlign w:val="superscript"/>
    </w:rPr>
  </w:style>
  <w:style w:type="paragraph" w:styleId="EndnoteText">
    <w:name w:val="endnote text"/>
    <w:basedOn w:val="Normal"/>
    <w:link w:val="EndnoteTextChar"/>
    <w:uiPriority w:val="98"/>
    <w:semiHidden/>
    <w:rsid w:val="0098410D"/>
    <w:rPr>
      <w:sz w:val="20"/>
      <w:szCs w:val="20"/>
    </w:rPr>
  </w:style>
  <w:style w:type="character" w:customStyle="1" w:styleId="EndnoteTextChar">
    <w:name w:val="Endnote Text Char"/>
    <w:basedOn w:val="DefaultParagraphFont"/>
    <w:link w:val="EndnoteText"/>
    <w:uiPriority w:val="98"/>
    <w:semiHidden/>
    <w:rsid w:val="0098410D"/>
    <w:rPr>
      <w:rFonts w:eastAsiaTheme="minorEastAsia"/>
      <w:sz w:val="20"/>
      <w:szCs w:val="20"/>
    </w:rPr>
  </w:style>
  <w:style w:type="paragraph" w:styleId="EnvelopeAddress">
    <w:name w:val="envelope address"/>
    <w:basedOn w:val="Normal"/>
    <w:uiPriority w:val="98"/>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8"/>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8410D"/>
    <w:rPr>
      <w:color w:val="7030A0" w:themeColor="followedHyperlink"/>
      <w:u w:val="single"/>
    </w:rPr>
  </w:style>
  <w:style w:type="character" w:styleId="HTMLAcronym">
    <w:name w:val="HTML Acronym"/>
    <w:basedOn w:val="DefaultParagraphFont"/>
    <w:uiPriority w:val="98"/>
    <w:semiHidden/>
    <w:rsid w:val="0098410D"/>
  </w:style>
  <w:style w:type="paragraph" w:styleId="HTMLAddress">
    <w:name w:val="HTML Address"/>
    <w:basedOn w:val="Normal"/>
    <w:link w:val="HTMLAddressChar"/>
    <w:uiPriority w:val="98"/>
    <w:semiHidden/>
    <w:rsid w:val="0098410D"/>
    <w:rPr>
      <w:i/>
      <w:iCs/>
    </w:rPr>
  </w:style>
  <w:style w:type="character" w:customStyle="1" w:styleId="HTMLAddressChar">
    <w:name w:val="HTML Address Char"/>
    <w:basedOn w:val="DefaultParagraphFont"/>
    <w:link w:val="HTMLAddress"/>
    <w:uiPriority w:val="98"/>
    <w:semiHidden/>
    <w:rsid w:val="0098410D"/>
    <w:rPr>
      <w:rFonts w:eastAsiaTheme="minorEastAsia"/>
      <w:i/>
      <w:iCs/>
      <w:sz w:val="24"/>
    </w:rPr>
  </w:style>
  <w:style w:type="character" w:styleId="HTMLCite">
    <w:name w:val="HTML Cite"/>
    <w:basedOn w:val="DefaultParagraphFont"/>
    <w:uiPriority w:val="98"/>
    <w:semiHidden/>
    <w:rsid w:val="0098410D"/>
    <w:rPr>
      <w:i/>
      <w:iCs/>
    </w:rPr>
  </w:style>
  <w:style w:type="character" w:styleId="HTMLCode">
    <w:name w:val="HTML Code"/>
    <w:basedOn w:val="DefaultParagraphFont"/>
    <w:uiPriority w:val="98"/>
    <w:semiHidden/>
    <w:rsid w:val="0098410D"/>
    <w:rPr>
      <w:rFonts w:ascii="Consolas" w:hAnsi="Consolas" w:cs="Consolas"/>
      <w:sz w:val="20"/>
      <w:szCs w:val="20"/>
    </w:rPr>
  </w:style>
  <w:style w:type="character" w:styleId="HTMLDefinition">
    <w:name w:val="HTML Definition"/>
    <w:basedOn w:val="DefaultParagraphFont"/>
    <w:uiPriority w:val="98"/>
    <w:semiHidden/>
    <w:rsid w:val="0098410D"/>
    <w:rPr>
      <w:i/>
      <w:iCs/>
    </w:rPr>
  </w:style>
  <w:style w:type="character" w:styleId="HTMLKeyboard">
    <w:name w:val="HTML Keyboard"/>
    <w:basedOn w:val="DefaultParagraphFont"/>
    <w:uiPriority w:val="98"/>
    <w:semiHidden/>
    <w:rsid w:val="0098410D"/>
    <w:rPr>
      <w:rFonts w:ascii="Consolas" w:hAnsi="Consolas" w:cs="Consolas"/>
      <w:sz w:val="20"/>
      <w:szCs w:val="20"/>
    </w:rPr>
  </w:style>
  <w:style w:type="paragraph" w:styleId="HTMLPreformatted">
    <w:name w:val="HTML Preformatted"/>
    <w:basedOn w:val="Normal"/>
    <w:link w:val="HTMLPreformattedChar"/>
    <w:uiPriority w:val="98"/>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8410D"/>
    <w:rPr>
      <w:rFonts w:ascii="Consolas" w:hAnsi="Consolas" w:eastAsiaTheme="minorEastAsia" w:cs="Consolas"/>
      <w:sz w:val="20"/>
      <w:szCs w:val="20"/>
    </w:rPr>
  </w:style>
  <w:style w:type="character" w:styleId="HTMLSample">
    <w:name w:val="HTML Sample"/>
    <w:basedOn w:val="DefaultParagraphFont"/>
    <w:uiPriority w:val="98"/>
    <w:semiHidden/>
    <w:rsid w:val="0098410D"/>
    <w:rPr>
      <w:rFonts w:ascii="Consolas" w:hAnsi="Consolas" w:cs="Consolas"/>
      <w:sz w:val="24"/>
      <w:szCs w:val="24"/>
    </w:rPr>
  </w:style>
  <w:style w:type="character" w:styleId="HTMLTypewriter">
    <w:name w:val="HTML Typewriter"/>
    <w:basedOn w:val="DefaultParagraphFont"/>
    <w:uiPriority w:val="98"/>
    <w:semiHidden/>
    <w:rsid w:val="0098410D"/>
    <w:rPr>
      <w:rFonts w:ascii="Consolas" w:hAnsi="Consolas" w:cs="Consolas"/>
      <w:sz w:val="20"/>
      <w:szCs w:val="20"/>
    </w:rPr>
  </w:style>
  <w:style w:type="character" w:styleId="HTMLVariable">
    <w:name w:val="HTML Variable"/>
    <w:basedOn w:val="DefaultParagraphFont"/>
    <w:uiPriority w:val="98"/>
    <w:semiHidden/>
    <w:rsid w:val="0098410D"/>
    <w:rPr>
      <w:i/>
      <w:iCs/>
    </w:rPr>
  </w:style>
  <w:style w:type="paragraph" w:styleId="Index1">
    <w:name w:val="index 1"/>
    <w:basedOn w:val="Normal"/>
    <w:next w:val="Normal"/>
    <w:autoRedefine/>
    <w:uiPriority w:val="98"/>
    <w:semiHidden/>
    <w:rsid w:val="0098410D"/>
    <w:pPr>
      <w:ind w:left="240" w:hanging="240"/>
    </w:pPr>
  </w:style>
  <w:style w:type="paragraph" w:styleId="Index2">
    <w:name w:val="index 2"/>
    <w:basedOn w:val="Normal"/>
    <w:next w:val="Normal"/>
    <w:autoRedefine/>
    <w:uiPriority w:val="98"/>
    <w:semiHidden/>
    <w:rsid w:val="0098410D"/>
    <w:pPr>
      <w:ind w:left="480" w:hanging="240"/>
    </w:pPr>
  </w:style>
  <w:style w:type="paragraph" w:styleId="Index3">
    <w:name w:val="index 3"/>
    <w:basedOn w:val="Normal"/>
    <w:next w:val="Normal"/>
    <w:autoRedefine/>
    <w:uiPriority w:val="98"/>
    <w:semiHidden/>
    <w:rsid w:val="0098410D"/>
    <w:pPr>
      <w:ind w:left="720" w:hanging="240"/>
    </w:pPr>
  </w:style>
  <w:style w:type="paragraph" w:styleId="Index4">
    <w:name w:val="index 4"/>
    <w:basedOn w:val="Normal"/>
    <w:next w:val="Normal"/>
    <w:autoRedefine/>
    <w:uiPriority w:val="98"/>
    <w:semiHidden/>
    <w:rsid w:val="0098410D"/>
    <w:pPr>
      <w:ind w:left="960" w:hanging="240"/>
    </w:pPr>
  </w:style>
  <w:style w:type="paragraph" w:styleId="Index5">
    <w:name w:val="index 5"/>
    <w:basedOn w:val="Normal"/>
    <w:next w:val="Normal"/>
    <w:autoRedefine/>
    <w:uiPriority w:val="98"/>
    <w:semiHidden/>
    <w:rsid w:val="0098410D"/>
    <w:pPr>
      <w:ind w:left="1200" w:hanging="240"/>
    </w:pPr>
  </w:style>
  <w:style w:type="paragraph" w:styleId="Index6">
    <w:name w:val="index 6"/>
    <w:basedOn w:val="Normal"/>
    <w:next w:val="Normal"/>
    <w:autoRedefine/>
    <w:uiPriority w:val="98"/>
    <w:semiHidden/>
    <w:rsid w:val="0098410D"/>
    <w:pPr>
      <w:ind w:left="1440" w:hanging="240"/>
    </w:pPr>
  </w:style>
  <w:style w:type="paragraph" w:styleId="Index7">
    <w:name w:val="index 7"/>
    <w:basedOn w:val="Normal"/>
    <w:next w:val="Normal"/>
    <w:autoRedefine/>
    <w:uiPriority w:val="98"/>
    <w:semiHidden/>
    <w:rsid w:val="0098410D"/>
    <w:pPr>
      <w:ind w:left="1680" w:hanging="240"/>
    </w:pPr>
  </w:style>
  <w:style w:type="paragraph" w:styleId="Index8">
    <w:name w:val="index 8"/>
    <w:basedOn w:val="Normal"/>
    <w:next w:val="Normal"/>
    <w:autoRedefine/>
    <w:uiPriority w:val="98"/>
    <w:semiHidden/>
    <w:rsid w:val="0098410D"/>
    <w:pPr>
      <w:ind w:left="1920" w:hanging="240"/>
    </w:pPr>
  </w:style>
  <w:style w:type="paragraph" w:styleId="Index9">
    <w:name w:val="index 9"/>
    <w:basedOn w:val="Normal"/>
    <w:next w:val="Normal"/>
    <w:autoRedefine/>
    <w:uiPriority w:val="98"/>
    <w:semiHidden/>
    <w:rsid w:val="0098410D"/>
    <w:pPr>
      <w:ind w:left="2160" w:hanging="240"/>
    </w:pPr>
  </w:style>
  <w:style w:type="paragraph" w:styleId="IndexHeading">
    <w:name w:val="index heading"/>
    <w:basedOn w:val="Normal"/>
    <w:next w:val="Index1"/>
    <w:uiPriority w:val="98"/>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8410D"/>
  </w:style>
  <w:style w:type="paragraph" w:styleId="List">
    <w:name w:val="List"/>
    <w:basedOn w:val="Normal"/>
    <w:uiPriority w:val="98"/>
    <w:semiHidden/>
    <w:rsid w:val="0098410D"/>
    <w:pPr>
      <w:ind w:left="283" w:hanging="283"/>
      <w:contextualSpacing/>
    </w:pPr>
  </w:style>
  <w:style w:type="paragraph" w:styleId="List20">
    <w:name w:val="List 2"/>
    <w:basedOn w:val="Normal"/>
    <w:uiPriority w:val="98"/>
    <w:semiHidden/>
    <w:rsid w:val="0098410D"/>
    <w:pPr>
      <w:ind w:left="566" w:hanging="283"/>
      <w:contextualSpacing/>
    </w:pPr>
  </w:style>
  <w:style w:type="paragraph" w:styleId="List30">
    <w:name w:val="List 3"/>
    <w:basedOn w:val="Normal"/>
    <w:uiPriority w:val="98"/>
    <w:semiHidden/>
    <w:rsid w:val="0098410D"/>
    <w:pPr>
      <w:ind w:left="849" w:hanging="283"/>
      <w:contextualSpacing/>
    </w:pPr>
  </w:style>
  <w:style w:type="paragraph" w:styleId="List4">
    <w:name w:val="List 4"/>
    <w:basedOn w:val="Normal"/>
    <w:uiPriority w:val="98"/>
    <w:semiHidden/>
    <w:rsid w:val="0098410D"/>
    <w:pPr>
      <w:ind w:left="1132" w:hanging="283"/>
      <w:contextualSpacing/>
    </w:pPr>
  </w:style>
  <w:style w:type="paragraph" w:styleId="List5">
    <w:name w:val="List 5"/>
    <w:basedOn w:val="Normal"/>
    <w:uiPriority w:val="98"/>
    <w:semiHidden/>
    <w:rsid w:val="0098410D"/>
    <w:pPr>
      <w:ind w:left="1415" w:hanging="283"/>
      <w:contextualSpacing/>
    </w:pPr>
  </w:style>
  <w:style w:type="paragraph" w:styleId="ListBullet2">
    <w:name w:val="List Bullet 2"/>
    <w:basedOn w:val="Normal"/>
    <w:uiPriority w:val="98"/>
    <w:semiHidden/>
    <w:rsid w:val="0098410D"/>
    <w:pPr>
      <w:numPr>
        <w:numId w:val="13"/>
      </w:numPr>
      <w:contextualSpacing/>
    </w:pPr>
  </w:style>
  <w:style w:type="paragraph" w:styleId="ListBullet4">
    <w:name w:val="List Bullet 4"/>
    <w:basedOn w:val="Normal"/>
    <w:uiPriority w:val="98"/>
    <w:semiHidden/>
    <w:rsid w:val="0098410D"/>
    <w:pPr>
      <w:numPr>
        <w:numId w:val="14"/>
      </w:numPr>
      <w:contextualSpacing/>
    </w:pPr>
  </w:style>
  <w:style w:type="paragraph" w:styleId="ListBullet5">
    <w:name w:val="List Bullet 5"/>
    <w:basedOn w:val="Normal"/>
    <w:uiPriority w:val="98"/>
    <w:semiHidden/>
    <w:rsid w:val="0098410D"/>
    <w:pPr>
      <w:numPr>
        <w:numId w:val="15"/>
      </w:numPr>
      <w:contextualSpacing/>
    </w:pPr>
  </w:style>
  <w:style w:type="paragraph" w:styleId="ListContinue">
    <w:name w:val="List Continue"/>
    <w:basedOn w:val="Normal"/>
    <w:uiPriority w:val="98"/>
    <w:semiHidden/>
    <w:rsid w:val="0098410D"/>
    <w:pPr>
      <w:spacing w:after="120"/>
      <w:ind w:left="283"/>
      <w:contextualSpacing/>
    </w:pPr>
  </w:style>
  <w:style w:type="paragraph" w:styleId="ListContinue2">
    <w:name w:val="List Continue 2"/>
    <w:basedOn w:val="Normal"/>
    <w:uiPriority w:val="98"/>
    <w:semiHidden/>
    <w:rsid w:val="0098410D"/>
    <w:pPr>
      <w:spacing w:after="120"/>
      <w:ind w:left="566"/>
      <w:contextualSpacing/>
    </w:pPr>
  </w:style>
  <w:style w:type="paragraph" w:styleId="ListContinue3">
    <w:name w:val="List Continue 3"/>
    <w:basedOn w:val="Normal"/>
    <w:uiPriority w:val="98"/>
    <w:semiHidden/>
    <w:rsid w:val="0098410D"/>
    <w:pPr>
      <w:spacing w:after="120"/>
      <w:ind w:left="849"/>
      <w:contextualSpacing/>
    </w:pPr>
  </w:style>
  <w:style w:type="paragraph" w:styleId="ListContinue4">
    <w:name w:val="List Continue 4"/>
    <w:basedOn w:val="Normal"/>
    <w:uiPriority w:val="98"/>
    <w:semiHidden/>
    <w:rsid w:val="0098410D"/>
    <w:pPr>
      <w:spacing w:after="120"/>
      <w:ind w:left="1132"/>
      <w:contextualSpacing/>
    </w:pPr>
  </w:style>
  <w:style w:type="paragraph" w:styleId="ListContinue5">
    <w:name w:val="List Continue 5"/>
    <w:basedOn w:val="Normal"/>
    <w:uiPriority w:val="98"/>
    <w:semiHidden/>
    <w:rsid w:val="0098410D"/>
    <w:pPr>
      <w:spacing w:after="120"/>
      <w:ind w:left="1415"/>
      <w:contextualSpacing/>
    </w:pPr>
  </w:style>
  <w:style w:type="paragraph" w:styleId="ListNumber">
    <w:name w:val="List Number"/>
    <w:basedOn w:val="Normal"/>
    <w:uiPriority w:val="98"/>
    <w:semiHidden/>
    <w:rsid w:val="0098410D"/>
    <w:pPr>
      <w:numPr>
        <w:numId w:val="16"/>
      </w:numPr>
      <w:contextualSpacing/>
    </w:pPr>
  </w:style>
  <w:style w:type="paragraph" w:styleId="ListNumber2">
    <w:name w:val="List Number 2"/>
    <w:basedOn w:val="Normal"/>
    <w:uiPriority w:val="98"/>
    <w:semiHidden/>
    <w:rsid w:val="0098410D"/>
    <w:pPr>
      <w:numPr>
        <w:numId w:val="17"/>
      </w:numPr>
      <w:contextualSpacing/>
    </w:pPr>
  </w:style>
  <w:style w:type="paragraph" w:styleId="ListNumber3">
    <w:name w:val="List Number 3"/>
    <w:basedOn w:val="Normal"/>
    <w:uiPriority w:val="98"/>
    <w:semiHidden/>
    <w:rsid w:val="0098410D"/>
    <w:pPr>
      <w:numPr>
        <w:numId w:val="18"/>
      </w:numPr>
      <w:contextualSpacing/>
    </w:pPr>
  </w:style>
  <w:style w:type="paragraph" w:styleId="ListNumber4">
    <w:name w:val="List Number 4"/>
    <w:basedOn w:val="Normal"/>
    <w:uiPriority w:val="98"/>
    <w:semiHidden/>
    <w:rsid w:val="0098410D"/>
    <w:pPr>
      <w:numPr>
        <w:numId w:val="19"/>
      </w:numPr>
      <w:contextualSpacing/>
    </w:pPr>
  </w:style>
  <w:style w:type="paragraph" w:styleId="ListNumber5">
    <w:name w:val="List Number 5"/>
    <w:basedOn w:val="Normal"/>
    <w:uiPriority w:val="98"/>
    <w:semiHidden/>
    <w:rsid w:val="0098410D"/>
    <w:pPr>
      <w:numPr>
        <w:numId w:val="20"/>
      </w:numPr>
      <w:contextualSpacing/>
    </w:pPr>
  </w:style>
  <w:style w:type="paragraph" w:styleId="Macro">
    <w:name w:val="macro"/>
    <w:link w:val="MacroTextChar"/>
    <w:uiPriority w:val="98"/>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98410D"/>
    <w:rPr>
      <w:rFonts w:ascii="Consolas" w:hAnsi="Consolas" w:eastAsiaTheme="minorEastAsia"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8"/>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8"/>
    <w:semiHidden/>
    <w:rsid w:val="0098410D"/>
    <w:rPr>
      <w:rFonts w:ascii="Times New Roman" w:hAnsi="Times New Roman" w:cs="Times New Roman"/>
      <w:szCs w:val="24"/>
    </w:rPr>
  </w:style>
  <w:style w:type="paragraph" w:styleId="NormalIndent">
    <w:name w:val="Normal Indent"/>
    <w:basedOn w:val="Normal"/>
    <w:uiPriority w:val="98"/>
    <w:semiHidden/>
    <w:rsid w:val="0098410D"/>
    <w:pPr>
      <w:ind w:left="720"/>
    </w:pPr>
  </w:style>
  <w:style w:type="paragraph" w:customStyle="1" w:styleId="NoteHeading1">
    <w:name w:val="Note Heading1"/>
    <w:basedOn w:val="Normal"/>
    <w:next w:val="Normal"/>
    <w:link w:val="NoteHeadingChar"/>
    <w:uiPriority w:val="99"/>
    <w:semiHidden/>
    <w:rsid w:val="0098410D"/>
  </w:style>
  <w:style w:type="character" w:customStyle="1" w:styleId="NoteHeadingChar">
    <w:name w:val="Note Heading Char"/>
    <w:basedOn w:val="DefaultParagraphFont"/>
    <w:link w:val="NoteHeading1"/>
    <w:uiPriority w:val="98"/>
    <w:semiHidden/>
    <w:rsid w:val="0098410D"/>
    <w:rPr>
      <w:rFonts w:eastAsiaTheme="minorEastAsia"/>
      <w:sz w:val="24"/>
    </w:rPr>
  </w:style>
  <w:style w:type="character" w:styleId="PlaceholderText">
    <w:name w:val="Placeholder Text"/>
    <w:basedOn w:val="DefaultParagraphFont"/>
    <w:uiPriority w:val="99"/>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8410D"/>
    <w:rPr>
      <w:rFonts w:ascii="Consolas" w:hAnsi="Consolas" w:cs="Consolas"/>
      <w:sz w:val="21"/>
      <w:szCs w:val="21"/>
    </w:rPr>
  </w:style>
  <w:style w:type="character" w:customStyle="1" w:styleId="PlainTextChar">
    <w:name w:val="Plain Text Char"/>
    <w:basedOn w:val="DefaultParagraphFont"/>
    <w:link w:val="PlainText"/>
    <w:uiPriority w:val="98"/>
    <w:semiHidden/>
    <w:rsid w:val="0098410D"/>
    <w:rPr>
      <w:rFonts w:ascii="Consolas" w:hAnsi="Consolas" w:eastAsiaTheme="minorEastAsia" w:cs="Consolas"/>
      <w:sz w:val="21"/>
      <w:szCs w:val="21"/>
    </w:rPr>
  </w:style>
  <w:style w:type="paragraph" w:styleId="Salutation">
    <w:name w:val="Salutation"/>
    <w:basedOn w:val="Normal"/>
    <w:next w:val="Normal"/>
    <w:link w:val="SalutationChar"/>
    <w:uiPriority w:val="98"/>
    <w:semiHidden/>
    <w:rsid w:val="0098410D"/>
  </w:style>
  <w:style w:type="character" w:customStyle="1" w:styleId="SalutationChar">
    <w:name w:val="Salutation Char"/>
    <w:basedOn w:val="DefaultParagraphFont"/>
    <w:link w:val="Salutation"/>
    <w:uiPriority w:val="98"/>
    <w:semiHidden/>
    <w:rsid w:val="0098410D"/>
    <w:rPr>
      <w:rFonts w:eastAsiaTheme="minorEastAsia"/>
      <w:sz w:val="24"/>
    </w:rPr>
  </w:style>
  <w:style w:type="paragraph" w:styleId="Signature0">
    <w:name w:val="Signature"/>
    <w:basedOn w:val="Normal"/>
    <w:link w:val="SignatureChar"/>
    <w:uiPriority w:val="98"/>
    <w:semiHidden/>
    <w:rsid w:val="0098410D"/>
    <w:pPr>
      <w:ind w:left="4252"/>
    </w:pPr>
  </w:style>
  <w:style w:type="character" w:customStyle="1" w:styleId="SignatureChar">
    <w:name w:val="Signature Char"/>
    <w:basedOn w:val="DefaultParagraphFont"/>
    <w:link w:val="Signature0"/>
    <w:uiPriority w:val="98"/>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8410D"/>
    <w:pPr>
      <w:ind w:left="240" w:hanging="240"/>
    </w:pPr>
  </w:style>
  <w:style w:type="paragraph" w:styleId="TableofFigures">
    <w:name w:val="table of figures"/>
    <w:basedOn w:val="Normal"/>
    <w:next w:val="Normal"/>
    <w:uiPriority w:val="98"/>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8410D"/>
    <w:pPr>
      <w:spacing w:after="100"/>
      <w:ind w:left="1680"/>
    </w:pPr>
  </w:style>
  <w:style w:type="paragraph" w:styleId="TOC9">
    <w:name w:val="toc 9"/>
    <w:basedOn w:val="Normal"/>
    <w:next w:val="Normal"/>
    <w:autoRedefine/>
    <w:uiPriority w:val="98"/>
    <w:semiHidden/>
    <w:rsid w:val="0098410D"/>
    <w:pPr>
      <w:spacing w:after="100"/>
      <w:ind w:left="1920"/>
    </w:pPr>
  </w:style>
  <w:style w:type="paragraph" w:customStyle="1" w:styleId="DecHTitle">
    <w:name w:val="Dec_H_Title"/>
    <w:aliases w:val="_Title_1"/>
    <w:basedOn w:val="ECHRTitleCentre1"/>
    <w:uiPriority w:val="38"/>
    <w:qFormat/>
    <w:rsid w:val="0064393B"/>
  </w:style>
  <w:style w:type="paragraph" w:customStyle="1" w:styleId="DecList">
    <w:name w:val="Dec_List"/>
    <w:aliases w:val="_List"/>
    <w:basedOn w:val="Normal"/>
    <w:uiPriority w:val="22"/>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_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_Title_3,_Title_C_2"/>
    <w:basedOn w:val="Normal"/>
    <w:next w:val="ECHRPara"/>
    <w:uiPriority w:val="26"/>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semiHidden/>
    <w:qFormat/>
    <w:rsid w:val="0064393B"/>
    <w:pPr>
      <w:numPr>
        <w:numId w:val="21"/>
      </w:numPr>
      <w:jc w:val="left"/>
    </w:pPr>
    <w:rPr>
      <w:b/>
    </w:rPr>
  </w:style>
  <w:style w:type="paragraph" w:customStyle="1" w:styleId="JuTitle">
    <w:name w:val="Ju_Title"/>
    <w:aliases w:val="_Title_2"/>
    <w:basedOn w:val="Normal"/>
    <w:next w:val="ECHRPara"/>
    <w:uiPriority w:val="38"/>
    <w:qFormat/>
    <w:rsid w:val="0064393B"/>
    <w:pPr>
      <w:spacing w:before="720" w:after="240"/>
      <w:jc w:val="center"/>
      <w:outlineLvl w:val="0"/>
    </w:pPr>
    <w:rPr>
      <w:rFonts w:asciiTheme="majorHAnsi" w:hAnsiTheme="majorHAnsi"/>
      <w:b/>
      <w:caps/>
    </w:rPr>
  </w:style>
  <w:style w:type="character" w:customStyle="1" w:styleId="JuParaChar">
    <w:name w:val="Ju_Para Char"/>
    <w:aliases w:val="_Para Char"/>
    <w:link w:val="ECHRPara"/>
    <w:uiPriority w:val="4"/>
    <w:rsid w:val="004D2843"/>
    <w:rPr>
      <w:rFonts w:eastAsiaTheme="minorEastAsia"/>
      <w:sz w:val="24"/>
      <w:lang w:val="fr-FR"/>
    </w:rPr>
  </w:style>
  <w:style w:type="paragraph" w:customStyle="1" w:styleId="NormalJustified">
    <w:name w:val="Normal_Justified"/>
    <w:basedOn w:val="Normal"/>
    <w:semiHidden/>
    <w:rsid w:val="004D2843"/>
    <w:rPr>
      <w:rFonts w:eastAsiaTheme="minorHAnsi"/>
      <w:szCs w:val="24"/>
    </w:rPr>
  </w:style>
  <w:style w:type="paragraph" w:customStyle="1" w:styleId="ECHRCoverTitle4">
    <w:name w:val="ECHR_Cover_Title_4"/>
    <w:aliases w:val="_Title_4"/>
    <w:basedOn w:val="ECHRPara"/>
    <w:next w:val="ECHRPara"/>
    <w:uiPriority w:val="38"/>
    <w:qFormat/>
    <w:rsid w:val="004D2843"/>
    <w:pPr>
      <w:keepNext/>
      <w:keepLines/>
      <w:tabs>
        <w:tab w:val="right" w:pos="7938"/>
      </w:tabs>
      <w:ind w:firstLine="0"/>
      <w:jc w:val="center"/>
    </w:pPr>
    <w:rPr>
      <w:rFonts w:eastAsiaTheme="minorHAnsi"/>
      <w:i/>
      <w:szCs w:val="24"/>
    </w:rPr>
  </w:style>
  <w:style w:type="numbering" w:customStyle="1" w:styleId="ECHRA1StyleBulletedSquare">
    <w:name w:val="ECHR_A1_Style_Bulleted_Square"/>
    <w:basedOn w:val="NoList"/>
    <w:rsid w:val="004D2843"/>
    <w:pPr>
      <w:numPr>
        <w:numId w:val="25"/>
      </w:numPr>
    </w:pPr>
  </w:style>
  <w:style w:type="numbering" w:customStyle="1" w:styleId="ECHRA1StyleList">
    <w:name w:val="ECHR_A1_Style_List"/>
    <w:basedOn w:val="NoList"/>
    <w:uiPriority w:val="99"/>
    <w:rsid w:val="004D2843"/>
    <w:pPr>
      <w:numPr>
        <w:numId w:val="26"/>
      </w:numPr>
    </w:pPr>
  </w:style>
  <w:style w:type="numbering" w:customStyle="1" w:styleId="ECHRA1StyleNumberedList">
    <w:name w:val="ECHR_A1_Style_Numbered_List"/>
    <w:basedOn w:val="NoList"/>
    <w:rsid w:val="004D2843"/>
    <w:pPr>
      <w:numPr>
        <w:numId w:val="27"/>
      </w:numPr>
    </w:pPr>
  </w:style>
  <w:style w:type="table" w:customStyle="1" w:styleId="ECHRTable2019">
    <w:name w:val="ECHR_Table_2019"/>
    <w:basedOn w:val="TableNormal"/>
    <w:uiPriority w:val="99"/>
    <w:rsid w:val="004D28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0">
    <w:name w:val="_Footer"/>
    <w:aliases w:val="Footer_"/>
    <w:basedOn w:val="Footer"/>
    <w:uiPriority w:val="57"/>
    <w:semiHidden/>
    <w:rsid w:val="004D2843"/>
    <w:pPr>
      <w:tabs>
        <w:tab w:val="center" w:pos="3686"/>
        <w:tab w:val="clear" w:pos="4536"/>
        <w:tab w:val="right" w:pos="7371"/>
        <w:tab w:val="clear" w:pos="9696"/>
      </w:tabs>
      <w:ind w:left="0" w:right="0"/>
      <w:jc w:val="left"/>
    </w:pPr>
    <w:rPr>
      <w:sz w:val="8"/>
      <w:szCs w:val="24"/>
    </w:rPr>
  </w:style>
  <w:style w:type="paragraph" w:styleId="NoteHeading">
    <w:name w:val="Note Heading"/>
    <w:basedOn w:val="Normal"/>
    <w:next w:val="Normal"/>
    <w:uiPriority w:val="98"/>
    <w:semiHidden/>
    <w:rsid w:val="004D2843"/>
    <w:pPr>
      <w:jc w:val="left"/>
    </w:pPr>
    <w:rPr>
      <w:rFonts w:eastAsiaTheme="minorHAnsi"/>
      <w:szCs w:val="24"/>
    </w:rPr>
  </w:style>
  <w:style w:type="character" w:customStyle="1" w:styleId="NoteHeadingChar1">
    <w:name w:val="Note Heading Char1"/>
    <w:basedOn w:val="DefaultParagraphFont"/>
    <w:uiPriority w:val="99"/>
    <w:semiHidden/>
    <w:rsid w:val="004D2843"/>
    <w:rPr>
      <w:rFonts w:eastAsiaTheme="minorEastAsia"/>
      <w:sz w:val="24"/>
      <w:lang w:val="fr-FR"/>
    </w:rPr>
  </w:style>
  <w:style w:type="paragraph" w:customStyle="1" w:styleId="ECHRHeaderRefIt">
    <w:name w:val="ECHR_Header_Ref_It"/>
    <w:aliases w:val="_Ref_Ital"/>
    <w:basedOn w:val="Normal"/>
    <w:next w:val="ECHRHeaderDate"/>
    <w:uiPriority w:val="43"/>
    <w:qFormat/>
    <w:rsid w:val="004D2843"/>
    <w:pPr>
      <w:jc w:val="right"/>
    </w:pPr>
    <w:rPr>
      <w:rFonts w:eastAsiaTheme="minorHAnsi"/>
      <w:i/>
      <w:sz w:val="20"/>
      <w:szCs w:val="24"/>
    </w:rPr>
  </w:style>
  <w:style w:type="character" w:customStyle="1" w:styleId="JuNames1">
    <w:name w:val="Ju_Names"/>
    <w:rsid w:val="004D2843"/>
    <w:rPr>
      <w:smallCaps/>
    </w:rPr>
  </w:style>
  <w:style w:type="paragraph" w:customStyle="1" w:styleId="JuList4">
    <w:name w:val="Ju_List_4"/>
    <w:aliases w:val="N_Bul_4"/>
    <w:basedOn w:val="JuListi"/>
    <w:uiPriority w:val="19"/>
    <w:rsid w:val="004D2843"/>
    <w:pPr>
      <w:tabs>
        <w:tab w:val="num" w:pos="1701"/>
      </w:tabs>
      <w:spacing w:before="60" w:after="60" w:line="240" w:lineRule="exact"/>
      <w:ind w:left="1703" w:hanging="284"/>
      <w:contextualSpacing/>
    </w:pPr>
    <w:rPr>
      <w:rFonts w:eastAsiaTheme="minorHAnsi"/>
      <w:sz w:val="22"/>
      <w:szCs w:val="24"/>
      <w:lang w:eastAsia="fr-FR"/>
    </w:rPr>
  </w:style>
  <w:style w:type="paragraph" w:customStyle="1" w:styleId="ECHRHeading9">
    <w:name w:val="ECHR_Heading_9"/>
    <w:aliases w:val="_Head_9"/>
    <w:basedOn w:val="Heading9"/>
    <w:uiPriority w:val="19"/>
    <w:semiHidden/>
    <w:rsid w:val="004D2843"/>
    <w:pPr>
      <w:keepNext/>
      <w:keepLines/>
      <w:spacing w:before="100" w:beforeAutospacing="1"/>
      <w:ind w:left="1644" w:hanging="221"/>
      <w:contextualSpacing/>
      <w:jc w:val="left"/>
    </w:pPr>
    <w:rPr>
      <w:i w:val="0"/>
      <w:sz w:val="18"/>
      <w:lang w:val="en-GB"/>
    </w:rPr>
  </w:style>
  <w:style w:type="numbering" w:customStyle="1" w:styleId="ECHRA1StyleBulletedSquare1">
    <w:name w:val="ECHR_A1_Style_Bulleted_Square1"/>
    <w:basedOn w:val="NoList"/>
    <w:rsid w:val="004D2843"/>
  </w:style>
  <w:style w:type="paragraph" w:customStyle="1" w:styleId="ECHRBullet1">
    <w:name w:val="ECHR_Bullet_1"/>
    <w:aliases w:val="_Bul_1"/>
    <w:basedOn w:val="NormalJustified"/>
    <w:uiPriority w:val="23"/>
    <w:semiHidden/>
    <w:qFormat/>
    <w:rsid w:val="004D2843"/>
    <w:pPr>
      <w:numPr>
        <w:numId w:val="25"/>
      </w:numPr>
      <w:spacing w:before="60" w:after="60"/>
    </w:pPr>
  </w:style>
  <w:style w:type="paragraph" w:customStyle="1" w:styleId="ECHRBullet2">
    <w:name w:val="ECHR_Bullet_2"/>
    <w:aliases w:val="_Bul_2"/>
    <w:basedOn w:val="ECHRBullet1"/>
    <w:uiPriority w:val="23"/>
    <w:semiHidden/>
    <w:rsid w:val="004D2843"/>
    <w:pPr>
      <w:numPr>
        <w:ilvl w:val="1"/>
      </w:numPr>
    </w:pPr>
  </w:style>
  <w:style w:type="paragraph" w:customStyle="1" w:styleId="ECHRBullet3">
    <w:name w:val="ECHR_Bullet_3"/>
    <w:aliases w:val="_Bul_3"/>
    <w:basedOn w:val="ECHRBullet2"/>
    <w:uiPriority w:val="23"/>
    <w:semiHidden/>
    <w:rsid w:val="004D2843"/>
    <w:pPr>
      <w:numPr>
        <w:ilvl w:val="2"/>
      </w:numPr>
    </w:pPr>
  </w:style>
  <w:style w:type="paragraph" w:customStyle="1" w:styleId="ECHRBullet4">
    <w:name w:val="ECHR_Bullet_4"/>
    <w:aliases w:val="_Bul_4"/>
    <w:basedOn w:val="ECHRBullet3"/>
    <w:uiPriority w:val="23"/>
    <w:semiHidden/>
    <w:rsid w:val="004D2843"/>
    <w:pPr>
      <w:numPr>
        <w:ilvl w:val="3"/>
      </w:numPr>
    </w:pPr>
  </w:style>
  <w:style w:type="paragraph" w:customStyle="1" w:styleId="ECHRConfidential">
    <w:name w:val="ECHR_Confidential"/>
    <w:aliases w:val="_Confidential"/>
    <w:basedOn w:val="Normal"/>
    <w:next w:val="Normal"/>
    <w:uiPriority w:val="42"/>
    <w:semiHidden/>
    <w:qFormat/>
    <w:rsid w:val="004D2843"/>
    <w:pPr>
      <w:jc w:val="right"/>
    </w:pPr>
    <w:rPr>
      <w:rFonts w:eastAsiaTheme="minorHAnsi"/>
      <w:color w:val="C00000"/>
      <w:sz w:val="20"/>
      <w:szCs w:val="24"/>
    </w:rPr>
  </w:style>
  <w:style w:type="paragraph" w:customStyle="1" w:styleId="ECHRDivisionName">
    <w:name w:val="ECHR_DivisionName"/>
    <w:aliases w:val="_Div_Name"/>
    <w:basedOn w:val="Normal"/>
    <w:link w:val="ECHRDivisionNameChar"/>
    <w:uiPriority w:val="41"/>
    <w:semiHidden/>
    <w:qFormat/>
    <w:rsid w:val="004D2843"/>
    <w:pPr>
      <w:contextualSpacing/>
      <w:jc w:val="center"/>
    </w:pPr>
    <w:rPr>
      <w:rFonts w:ascii="Arial" w:hAnsi="Arial" w:eastAsiaTheme="minorHAnsi"/>
      <w:i/>
      <w:color w:val="002856"/>
      <w:sz w:val="32"/>
      <w:szCs w:val="24"/>
    </w:rPr>
  </w:style>
  <w:style w:type="character" w:customStyle="1" w:styleId="ECHRDivisionNameChar">
    <w:name w:val="ECHR_DivisionName Char"/>
    <w:aliases w:val="_Div_Name Char"/>
    <w:basedOn w:val="DefaultParagraphFont"/>
    <w:link w:val="ECHRDivisionName"/>
    <w:uiPriority w:val="41"/>
    <w:semiHidden/>
    <w:rsid w:val="004D2843"/>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30"/>
    <w:semiHidden/>
    <w:rsid w:val="004D2843"/>
    <w:pPr>
      <w:pBdr>
        <w:top w:val="single" w:sz="8" w:space="1" w:color="7F7F7F" w:themeColor="text1" w:themeTint="80"/>
      </w:pBdr>
      <w:tabs>
        <w:tab w:val="center" w:pos="6146"/>
        <w:tab w:val="right" w:pos="12293"/>
      </w:tabs>
      <w:ind w:left="-1474" w:right="-1474"/>
      <w:jc w:val="left"/>
    </w:pPr>
    <w:rPr>
      <w:rFonts w:eastAsiaTheme="minorHAnsi"/>
      <w:color w:val="474747" w:themeColor="accent3" w:themeShade="BF"/>
      <w:sz w:val="22"/>
      <w:szCs w:val="24"/>
    </w:rPr>
  </w:style>
  <w:style w:type="paragraph" w:customStyle="1" w:styleId="ECHRParaHanging">
    <w:name w:val="ECHR_Para_Hanging"/>
    <w:aliases w:val="_Hanging"/>
    <w:basedOn w:val="Normal"/>
    <w:uiPriority w:val="8"/>
    <w:semiHidden/>
    <w:qFormat/>
    <w:rsid w:val="004D2843"/>
    <w:pPr>
      <w:ind w:left="567" w:hanging="567"/>
    </w:pPr>
    <w:rPr>
      <w:rFonts w:eastAsiaTheme="minorHAnsi"/>
      <w:szCs w:val="24"/>
    </w:rPr>
  </w:style>
  <w:style w:type="paragraph" w:customStyle="1" w:styleId="ECHRParaIndent">
    <w:name w:val="ECHR_Para_Indent"/>
    <w:aliases w:val="_Indent"/>
    <w:basedOn w:val="Normal"/>
    <w:uiPriority w:val="7"/>
    <w:semiHidden/>
    <w:qFormat/>
    <w:rsid w:val="004D2843"/>
    <w:pPr>
      <w:spacing w:before="120" w:after="120"/>
      <w:ind w:left="567"/>
    </w:pPr>
    <w:rPr>
      <w:rFonts w:eastAsiaTheme="minorHAnsi"/>
      <w:szCs w:val="24"/>
    </w:rPr>
  </w:style>
  <w:style w:type="paragraph" w:customStyle="1" w:styleId="ECHRLine">
    <w:name w:val="ECHR_Line"/>
    <w:aliases w:val="_Line"/>
    <w:basedOn w:val="NormalJustified"/>
    <w:next w:val="Normal"/>
    <w:uiPriority w:val="46"/>
    <w:semiHidden/>
    <w:rsid w:val="004D28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4D2843"/>
    <w:pPr>
      <w:numPr>
        <w:numId w:val="27"/>
      </w:numPr>
      <w:spacing w:before="60" w:after="60"/>
      <w:jc w:val="left"/>
    </w:pPr>
    <w:rPr>
      <w:rFonts w:eastAsiaTheme="minorHAnsi"/>
      <w:szCs w:val="24"/>
    </w:rPr>
  </w:style>
  <w:style w:type="paragraph" w:customStyle="1" w:styleId="ECHRNumberedList2">
    <w:name w:val="ECHR_Numbered_List_2"/>
    <w:aliases w:val="_Num_2"/>
    <w:basedOn w:val="ECHRNumberedList1"/>
    <w:uiPriority w:val="23"/>
    <w:semiHidden/>
    <w:rsid w:val="004D2843"/>
    <w:pPr>
      <w:numPr>
        <w:ilvl w:val="1"/>
      </w:numPr>
    </w:pPr>
  </w:style>
  <w:style w:type="paragraph" w:customStyle="1" w:styleId="ECHRNumberedList3">
    <w:name w:val="ECHR_Numbered_List_3"/>
    <w:aliases w:val="_Num_3"/>
    <w:basedOn w:val="ECHRNumberedList2"/>
    <w:uiPriority w:val="23"/>
    <w:semiHidden/>
    <w:rsid w:val="004D2843"/>
    <w:pPr>
      <w:numPr>
        <w:ilvl w:val="2"/>
      </w:numPr>
    </w:pPr>
  </w:style>
  <w:style w:type="character" w:customStyle="1" w:styleId="ECHRRed">
    <w:name w:val="ECHR_Red"/>
    <w:aliases w:val="_Red"/>
    <w:basedOn w:val="DefaultParagraphFont"/>
    <w:uiPriority w:val="15"/>
    <w:semiHidden/>
    <w:qFormat/>
    <w:rsid w:val="004D2843"/>
    <w:rPr>
      <w:color w:val="C00000" w:themeColor="accent2"/>
    </w:rPr>
  </w:style>
  <w:style w:type="paragraph" w:customStyle="1" w:styleId="ECHRHeaderDate">
    <w:name w:val="ECHR_Header_Date"/>
    <w:aliases w:val="_Ref_Date"/>
    <w:basedOn w:val="Normal"/>
    <w:uiPriority w:val="44"/>
    <w:semiHidden/>
    <w:qFormat/>
    <w:rsid w:val="004D2843"/>
    <w:pPr>
      <w:jc w:val="right"/>
    </w:pPr>
    <w:rPr>
      <w:rFonts w:eastAsiaTheme="minorHAnsi"/>
      <w:sz w:val="20"/>
      <w:szCs w:val="24"/>
    </w:rPr>
  </w:style>
  <w:style w:type="paragraph" w:customStyle="1" w:styleId="ECHRSpacer">
    <w:name w:val="ECHR_Spacer"/>
    <w:aliases w:val="_Spacer"/>
    <w:basedOn w:val="Normal"/>
    <w:uiPriority w:val="45"/>
    <w:semiHidden/>
    <w:rsid w:val="004D2843"/>
    <w:pPr>
      <w:jc w:val="left"/>
    </w:pPr>
    <w:rPr>
      <w:rFonts w:eastAsiaTheme="minorHAnsi"/>
      <w:sz w:val="4"/>
      <w:szCs w:val="24"/>
    </w:rPr>
  </w:style>
  <w:style w:type="paragraph" w:customStyle="1" w:styleId="ECHRTitleCentreTOC1">
    <w:name w:val="ECHR_Title_Centre_TOC_1"/>
    <w:aliases w:val="_Title_C_TOC"/>
    <w:basedOn w:val="ECHRTitleCentre1"/>
    <w:next w:val="Normal"/>
    <w:uiPriority w:val="25"/>
    <w:semiHidden/>
    <w:qFormat/>
    <w:rsid w:val="004D2843"/>
    <w:pPr>
      <w:spacing w:before="240" w:after="0"/>
      <w:contextualSpacing/>
    </w:pPr>
    <w:rPr>
      <w:rFonts w:eastAsiaTheme="minorHAnsi"/>
      <w:b/>
      <w:color w:val="2F2F2F" w:themeColor="accent3" w:themeShade="80"/>
      <w:sz w:val="32"/>
      <w:szCs w:val="24"/>
    </w:rPr>
  </w:style>
  <w:style w:type="paragraph" w:customStyle="1" w:styleId="ECHRTitle2">
    <w:name w:val="ECHR_Title_2"/>
    <w:aliases w:val="_Title_L_2"/>
    <w:basedOn w:val="Normal"/>
    <w:next w:val="Normal"/>
    <w:uiPriority w:val="28"/>
    <w:semiHidden/>
    <w:qFormat/>
    <w:rsid w:val="004D2843"/>
    <w:pPr>
      <w:keepNext/>
      <w:keepLines/>
      <w:spacing w:before="240"/>
      <w:contextualSpacing/>
      <w:jc w:val="left"/>
    </w:pPr>
    <w:rPr>
      <w:rFonts w:asciiTheme="majorHAnsi" w:eastAsiaTheme="minorHAnsi" w:hAnsiTheme="majorHAnsi"/>
      <w:b/>
      <w:color w:val="474747" w:themeColor="accent3" w:themeShade="BF"/>
      <w:sz w:val="28"/>
      <w:szCs w:val="24"/>
    </w:rPr>
  </w:style>
  <w:style w:type="paragraph" w:customStyle="1" w:styleId="ECHRTitle3">
    <w:name w:val="ECHR_Title_3"/>
    <w:aliases w:val="_Title_L_3"/>
    <w:basedOn w:val="Normal"/>
    <w:next w:val="Normal"/>
    <w:uiPriority w:val="28"/>
    <w:semiHidden/>
    <w:qFormat/>
    <w:rsid w:val="004D2843"/>
    <w:pPr>
      <w:keepNext/>
      <w:keepLines/>
      <w:spacing w:before="240"/>
      <w:contextualSpacing/>
      <w:jc w:val="left"/>
    </w:pPr>
    <w:rPr>
      <w:rFonts w:asciiTheme="majorHAnsi" w:eastAsiaTheme="minorHAnsi" w:hAnsiTheme="majorHAnsi"/>
      <w:b/>
      <w:color w:val="474747" w:themeColor="accent3" w:themeShade="BF"/>
      <w:szCs w:val="24"/>
    </w:rPr>
  </w:style>
  <w:style w:type="paragraph" w:customStyle="1" w:styleId="ECHRTitleTOC1">
    <w:name w:val="ECHR_Title_TOC_1"/>
    <w:aliases w:val="_Title_L_TOC"/>
    <w:basedOn w:val="ECHRTitle1"/>
    <w:next w:val="Normal"/>
    <w:uiPriority w:val="27"/>
    <w:semiHidden/>
    <w:qFormat/>
    <w:rsid w:val="004D2843"/>
    <w:pPr>
      <w:spacing w:before="240" w:after="0"/>
      <w:contextualSpacing/>
      <w:jc w:val="left"/>
    </w:pPr>
    <w:rPr>
      <w:rFonts w:eastAsiaTheme="minorHAnsi"/>
      <w:b/>
      <w:color w:val="2F2F2F" w:themeColor="accent3" w:themeShade="80"/>
      <w:sz w:val="32"/>
      <w:szCs w:val="24"/>
    </w:rPr>
  </w:style>
  <w:style w:type="table" w:customStyle="1" w:styleId="ECHRTable2">
    <w:name w:val="ECHR_Table_2"/>
    <w:basedOn w:val="TableNormal"/>
    <w:uiPriority w:val="99"/>
    <w:rsid w:val="004D28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D28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para0">
    <w:name w:val="jupara"/>
    <w:basedOn w:val="Normal"/>
    <w:rsid w:val="004705AE"/>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4705AE"/>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hyperlink" Target="https://hudoc.echr.coe.int/eng" TargetMode="External" /><Relationship Id="rId17" Type="http://schemas.openxmlformats.org/officeDocument/2006/relationships/header" Target="header6.xml" /><Relationship Id="rId18" Type="http://schemas.openxmlformats.org/officeDocument/2006/relationships/header" Target="header7.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F55153-1049-4E1F-B6BA-D80F6C66F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14343</Words>
  <Characters>81759</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95911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2020-07-09T15:08:00Z</dcterms:created>
  <dcterms:modified xsi:type="dcterms:W3CDTF">2020-10-23T13:41:00Z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1369319</vt:lpwstr>
  </property>
  <property fmtid="{D5CDD505-2E9C-101B-9397-08002B2CF9AE}" pid="3" name="cstLanguage">
    <vt:i4>2057</vt:i4>
  </property>
  <property fmtid="{D5CDD505-2E9C-101B-9397-08002B2CF9AE}" pid="4" name="RegisteredNo">
    <vt:lpwstr>11288/18</vt:lpwstr>
  </property>
</Properties>
</file>