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E0616" w:rsidR="006263A0" w:rsidP="00FE0616" w:rsidRDefault="006263A0">
      <w:pPr>
        <w:jc w:val="center"/>
        <w:rPr>
          <w:rFonts w:ascii="Times New Roman" w:hAnsi="Times New Roman" w:cs="Times New Roman"/>
        </w:rPr>
      </w:pPr>
    </w:p>
    <w:p w:rsidRPr="00FE0616" w:rsidR="0098410D" w:rsidP="00FE0616" w:rsidRDefault="006263A0">
      <w:pPr>
        <w:pStyle w:val="DecHCase"/>
        <w:keepNext w:val="0"/>
        <w:keepLines w:val="0"/>
      </w:pPr>
      <w:r w:rsidRPr="00FE0616">
        <w:t>FOURTH SECTION</w:t>
      </w:r>
    </w:p>
    <w:p w:rsidRPr="00FE0616" w:rsidR="008E6217" w:rsidP="00D8414E" w:rsidRDefault="008E6217">
      <w:pPr>
        <w:pStyle w:val="JuTitle"/>
        <w:keepNext w:val="0"/>
        <w:keepLines w:val="0"/>
        <w:spacing w:before="1080"/>
      </w:pPr>
      <w:bookmarkStart w:name="To" w:id="0"/>
      <w:r w:rsidRPr="00FE0616">
        <w:rPr>
          <w:color w:val="000000" w:themeColor="text1"/>
        </w:rPr>
        <w:t xml:space="preserve">CASE OF </w:t>
      </w:r>
      <w:bookmarkEnd w:id="0"/>
      <w:r w:rsidRPr="00FE0616" w:rsidR="006263A0">
        <w:t>MARIA MIHALACHE v. ROMANIA</w:t>
      </w:r>
    </w:p>
    <w:p w:rsidRPr="00FE0616" w:rsidR="00D74888" w:rsidP="00FE0616" w:rsidRDefault="008E6217">
      <w:pPr>
        <w:pStyle w:val="ECHRCoverTitle4"/>
        <w:keepNext w:val="0"/>
        <w:keepLines w:val="0"/>
      </w:pPr>
      <w:r w:rsidRPr="00FE0616">
        <w:t>(</w:t>
      </w:r>
      <w:r w:rsidRPr="00FE0616" w:rsidR="006263A0">
        <w:t>Application no.</w:t>
      </w:r>
      <w:r w:rsidRPr="00FE0616">
        <w:t xml:space="preserve"> </w:t>
      </w:r>
      <w:r w:rsidRPr="00FE0616" w:rsidR="006263A0">
        <w:t>68851/16</w:t>
      </w:r>
      <w:r w:rsidRPr="00FE0616">
        <w:t>)</w:t>
      </w:r>
    </w:p>
    <w:p w:rsidRPr="00FE0616" w:rsidR="0098410D" w:rsidP="00FE0616" w:rsidRDefault="0098410D">
      <w:pPr>
        <w:pStyle w:val="DecHCase"/>
        <w:keepNext w:val="0"/>
        <w:keepLines w:val="0"/>
      </w:pPr>
    </w:p>
    <w:p w:rsidRPr="00FE0616" w:rsidR="0098410D" w:rsidP="00FE0616" w:rsidRDefault="0098410D">
      <w:pPr>
        <w:pStyle w:val="DecHCase"/>
        <w:keepNext w:val="0"/>
        <w:keepLines w:val="0"/>
      </w:pPr>
    </w:p>
    <w:p w:rsidR="0098410D" w:rsidP="00FE0616" w:rsidRDefault="0098410D">
      <w:pPr>
        <w:pStyle w:val="DecHCase"/>
        <w:keepNext w:val="0"/>
        <w:keepLines w:val="0"/>
      </w:pPr>
      <w:r w:rsidRPr="00FE0616">
        <w:t>JUDGMENT</w:t>
      </w:r>
      <w:r w:rsidRPr="00FE0616" w:rsidR="00AC4CD4">
        <w:br/>
      </w:r>
    </w:p>
    <w:p w:rsidR="00D8414E" w:rsidP="00D8414E" w:rsidRDefault="00D8414E">
      <w:pPr>
        <w:pStyle w:val="JuPara"/>
        <w:pBdr>
          <w:top w:val="single" w:color="auto" w:sz="4" w:space="1"/>
          <w:left w:val="single" w:color="auto" w:sz="4" w:space="4"/>
          <w:bottom w:val="single" w:color="auto" w:sz="4" w:space="1"/>
          <w:right w:val="single" w:color="auto" w:sz="4" w:space="4"/>
        </w:pBdr>
        <w:ind w:firstLine="0"/>
        <w:rPr>
          <w:noProof/>
        </w:rPr>
      </w:pPr>
      <w:r>
        <w:rPr>
          <w:noProof/>
        </w:rPr>
        <w:t>Art 1 P1 • Control of the use of property • Non-enforcement of final judgment lifting the mortgage placed on a property and excluding any tax obligation to pay for damage caused by somebody else • Judgment rendered devoid of any legal effect on account on the tax authority’s consistent position as to the existence of a debt to be paid by the applicant • Failure to remedy an error attributable to customs not compliant with the principle of good governance • Failure of the authorities to recognise the res judicata effect of the final judgment and to implement its findings by fully enforcing it • Excessive burden imposed on the applicant</w:t>
      </w:r>
    </w:p>
    <w:p w:rsidRPr="00D8414E" w:rsidR="00D8414E" w:rsidP="00D8414E" w:rsidRDefault="00D8414E">
      <w:pPr>
        <w:pStyle w:val="JuPara"/>
      </w:pPr>
    </w:p>
    <w:p w:rsidRPr="00FE0616" w:rsidR="0098410D" w:rsidP="00FE0616" w:rsidRDefault="0098410D">
      <w:pPr>
        <w:pStyle w:val="DecHCase"/>
        <w:keepNext w:val="0"/>
        <w:keepLines w:val="0"/>
      </w:pPr>
      <w:r w:rsidRPr="00FE0616">
        <w:t>STRASBOURG</w:t>
      </w:r>
    </w:p>
    <w:p w:rsidRPr="00FE0616" w:rsidR="0098410D" w:rsidP="00FE0616" w:rsidRDefault="006263A0">
      <w:pPr>
        <w:pStyle w:val="DecHCase"/>
        <w:keepNext w:val="0"/>
        <w:keepLines w:val="0"/>
      </w:pPr>
      <w:r w:rsidRPr="00FE0616">
        <w:rPr>
          <w:rFonts w:ascii="Times New Roman" w:hAnsi="Times New Roman" w:cs="Times New Roman"/>
        </w:rPr>
        <w:t>30 June 2020</w:t>
      </w:r>
    </w:p>
    <w:p w:rsidRPr="00FE0616" w:rsidR="00AC4CD4" w:rsidP="00FE0616" w:rsidRDefault="00AC4CD4">
      <w:pPr>
        <w:pStyle w:val="JuPara"/>
      </w:pPr>
    </w:p>
    <w:p w:rsidR="005F062F" w:rsidP="005F062F" w:rsidRDefault="005F062F">
      <w:pPr>
        <w:pStyle w:val="jucase0"/>
        <w:ind w:firstLine="0"/>
        <w:jc w:val="center"/>
        <w:rPr>
          <w:color w:val="FF0000"/>
          <w:sz w:val="28"/>
          <w:szCs w:val="28"/>
          <w:u w:val="single"/>
        </w:rPr>
      </w:pPr>
      <w:r w:rsidRPr="00261F46">
        <w:rPr>
          <w:color w:val="FF0000"/>
          <w:sz w:val="28"/>
          <w:szCs w:val="28"/>
          <w:u w:val="single"/>
        </w:rPr>
        <w:t>FINAL</w:t>
      </w:r>
    </w:p>
    <w:p w:rsidR="005F062F" w:rsidP="005F062F" w:rsidRDefault="005F062F">
      <w:pPr>
        <w:pStyle w:val="jucase0"/>
        <w:ind w:firstLine="0"/>
        <w:jc w:val="center"/>
        <w:rPr>
          <w:color w:val="FF0000"/>
          <w:sz w:val="28"/>
          <w:szCs w:val="28"/>
          <w:u w:val="single"/>
        </w:rPr>
      </w:pPr>
    </w:p>
    <w:p w:rsidRPr="00E974D6" w:rsidR="005F062F" w:rsidP="005F062F" w:rsidRDefault="005F062F">
      <w:pPr>
        <w:pStyle w:val="jucase0"/>
        <w:ind w:firstLine="0"/>
        <w:jc w:val="center"/>
        <w:rPr>
          <w:b w:val="0"/>
          <w:color w:val="FF0000"/>
          <w:sz w:val="28"/>
          <w:szCs w:val="28"/>
        </w:rPr>
      </w:pPr>
      <w:r>
        <w:rPr>
          <w:b w:val="0"/>
          <w:color w:val="FF0000"/>
          <w:sz w:val="28"/>
          <w:szCs w:val="28"/>
        </w:rPr>
        <w:t>30</w:t>
      </w:r>
      <w:r w:rsidRPr="00E974D6">
        <w:rPr>
          <w:b w:val="0"/>
          <w:color w:val="FF0000"/>
          <w:sz w:val="28"/>
          <w:szCs w:val="28"/>
        </w:rPr>
        <w:t>/09/2020</w:t>
      </w:r>
    </w:p>
    <w:p w:rsidRPr="00261F46" w:rsidR="005F062F" w:rsidP="005F062F" w:rsidRDefault="005F062F">
      <w:pPr>
        <w:pStyle w:val="jupara0"/>
        <w:ind w:firstLine="0"/>
        <w:jc w:val="center"/>
      </w:pPr>
    </w:p>
    <w:p w:rsidRPr="00261F46" w:rsidR="005F062F" w:rsidP="005F062F" w:rsidRDefault="005F062F">
      <w:pPr>
        <w:jc w:val="both"/>
        <w:rPr>
          <w:i/>
          <w:iCs/>
          <w:sz w:val="22"/>
          <w:szCs w:val="22"/>
        </w:rPr>
      </w:pPr>
      <w:r w:rsidRPr="00261F46">
        <w:rPr>
          <w:i/>
          <w:iCs/>
          <w:sz w:val="22"/>
          <w:szCs w:val="22"/>
        </w:rPr>
        <w:t>This judgment has become final under Article 44 § 2 of the Convention. It may be subject</w:t>
      </w:r>
      <w:bookmarkStart w:name="_GoBack" w:id="1"/>
      <w:bookmarkEnd w:id="1"/>
      <w:r w:rsidRPr="00261F46">
        <w:rPr>
          <w:i/>
          <w:iCs/>
          <w:sz w:val="22"/>
          <w:szCs w:val="22"/>
        </w:rPr>
        <w:t xml:space="preserve"> to editorial revision.</w:t>
      </w:r>
    </w:p>
    <w:p w:rsidRPr="00FE0616" w:rsidR="0098410D" w:rsidP="00FE0616" w:rsidRDefault="0098410D"/>
    <w:p w:rsidRPr="00FE0616" w:rsidR="00FE0616" w:rsidP="00FE0616" w:rsidRDefault="00FE0616">
      <w:pPr>
        <w:sectPr w:rsidRPr="00FE0616" w:rsidR="00FE0616"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E0616" w:rsidR="0098410D" w:rsidP="00FE0616" w:rsidRDefault="0098410D">
      <w:pPr>
        <w:pStyle w:val="JuCase"/>
      </w:pPr>
      <w:r w:rsidRPr="00FE0616">
        <w:t xml:space="preserve">In the case of </w:t>
      </w:r>
      <w:r w:rsidRPr="00FE0616" w:rsidR="006263A0">
        <w:t xml:space="preserve">Maria </w:t>
      </w:r>
      <w:proofErr w:type="spellStart"/>
      <w:r w:rsidRPr="00FE0616" w:rsidR="006263A0">
        <w:t>Mihalache</w:t>
      </w:r>
      <w:proofErr w:type="spellEnd"/>
      <w:r w:rsidRPr="00FE0616" w:rsidR="006263A0">
        <w:t xml:space="preserve"> v. Romania</w:t>
      </w:r>
      <w:r w:rsidRPr="00FE0616">
        <w:t>,</w:t>
      </w:r>
    </w:p>
    <w:p w:rsidRPr="00FE0616" w:rsidR="009F4C8F" w:rsidP="00FE0616" w:rsidRDefault="009F4C8F">
      <w:pPr>
        <w:pStyle w:val="JuPara"/>
      </w:pPr>
      <w:r w:rsidRPr="00FE0616">
        <w:t>The European Court of Human Rights (</w:t>
      </w:r>
      <w:r w:rsidRPr="00FE0616" w:rsidR="006263A0">
        <w:t>Fourth Section</w:t>
      </w:r>
      <w:r w:rsidRPr="00FE0616">
        <w:t xml:space="preserve">), sitting as a </w:t>
      </w:r>
      <w:r w:rsidRPr="00FE0616" w:rsidR="006263A0">
        <w:t>Chamber</w:t>
      </w:r>
      <w:r w:rsidRPr="00FE0616">
        <w:t xml:space="preserve"> composed of:</w:t>
      </w:r>
    </w:p>
    <w:p w:rsidRPr="00FE0616" w:rsidR="009F4C8F" w:rsidP="00FE0616" w:rsidRDefault="00700D96">
      <w:pPr>
        <w:pStyle w:val="JuJudges"/>
      </w:pPr>
      <w:r w:rsidRPr="00FE0616">
        <w:tab/>
      </w:r>
      <w:proofErr w:type="spellStart"/>
      <w:r w:rsidRPr="00FE0616">
        <w:t>Yonko</w:t>
      </w:r>
      <w:proofErr w:type="spellEnd"/>
      <w:r w:rsidRPr="00FE0616">
        <w:t xml:space="preserve"> </w:t>
      </w:r>
      <w:proofErr w:type="spellStart"/>
      <w:r w:rsidRPr="00FE0616">
        <w:t>Grozev</w:t>
      </w:r>
      <w:proofErr w:type="spellEnd"/>
      <w:r w:rsidRPr="00FE0616">
        <w:t>,</w:t>
      </w:r>
      <w:r w:rsidRPr="00FE0616">
        <w:rPr>
          <w:i/>
        </w:rPr>
        <w:t xml:space="preserve"> President,</w:t>
      </w:r>
      <w:r w:rsidRPr="00FE0616">
        <w:rPr>
          <w:i/>
        </w:rPr>
        <w:br/>
      </w:r>
      <w:r w:rsidRPr="00FE0616">
        <w:tab/>
      </w:r>
      <w:proofErr w:type="spellStart"/>
      <w:r w:rsidRPr="00FE0616">
        <w:t>Faris</w:t>
      </w:r>
      <w:proofErr w:type="spellEnd"/>
      <w:r w:rsidRPr="00FE0616">
        <w:t xml:space="preserve"> </w:t>
      </w:r>
      <w:proofErr w:type="spellStart"/>
      <w:r w:rsidRPr="00FE0616">
        <w:t>Vehabović</w:t>
      </w:r>
      <w:proofErr w:type="spellEnd"/>
      <w:r w:rsidRPr="00FE0616">
        <w:t>,</w:t>
      </w:r>
      <w:r w:rsidRPr="00FE0616">
        <w:rPr>
          <w:i/>
        </w:rPr>
        <w:br/>
      </w:r>
      <w:r w:rsidRPr="00FE0616">
        <w:tab/>
        <w:t xml:space="preserve">Iulia </w:t>
      </w:r>
      <w:proofErr w:type="spellStart"/>
      <w:r w:rsidRPr="00FE0616">
        <w:t>Antoanella</w:t>
      </w:r>
      <w:proofErr w:type="spellEnd"/>
      <w:r w:rsidRPr="00FE0616">
        <w:t xml:space="preserve"> Motoc,</w:t>
      </w:r>
      <w:r w:rsidRPr="00FE0616">
        <w:rPr>
          <w:i/>
        </w:rPr>
        <w:br/>
      </w:r>
      <w:r w:rsidRPr="00FE0616">
        <w:tab/>
        <w:t>Carlo Ranzoni,</w:t>
      </w:r>
      <w:r w:rsidRPr="00FE0616">
        <w:rPr>
          <w:i/>
        </w:rPr>
        <w:br/>
      </w:r>
      <w:r w:rsidRPr="00FE0616">
        <w:tab/>
        <w:t xml:space="preserve">Georges </w:t>
      </w:r>
      <w:proofErr w:type="spellStart"/>
      <w:r w:rsidRPr="00FE0616">
        <w:t>Ravarani</w:t>
      </w:r>
      <w:proofErr w:type="spellEnd"/>
      <w:r w:rsidRPr="00FE0616">
        <w:t>,</w:t>
      </w:r>
      <w:r w:rsidRPr="00FE0616">
        <w:rPr>
          <w:i/>
        </w:rPr>
        <w:br/>
      </w:r>
      <w:r w:rsidRPr="00FE0616">
        <w:tab/>
        <w:t>Jolien Schukking,</w:t>
      </w:r>
      <w:r w:rsidRPr="00FE0616">
        <w:rPr>
          <w:i/>
        </w:rPr>
        <w:br/>
      </w:r>
      <w:r w:rsidRPr="00FE0616">
        <w:tab/>
      </w:r>
      <w:proofErr w:type="spellStart"/>
      <w:r w:rsidRPr="00FE0616">
        <w:t>Péter</w:t>
      </w:r>
      <w:proofErr w:type="spellEnd"/>
      <w:r w:rsidRPr="00FE0616">
        <w:t xml:space="preserve"> </w:t>
      </w:r>
      <w:proofErr w:type="spellStart"/>
      <w:r w:rsidRPr="00FE0616">
        <w:t>Paczolay</w:t>
      </w:r>
      <w:proofErr w:type="spellEnd"/>
      <w:r w:rsidRPr="00FE0616">
        <w:t>,</w:t>
      </w:r>
      <w:r w:rsidRPr="00FE0616">
        <w:rPr>
          <w:i/>
        </w:rPr>
        <w:t xml:space="preserve"> judges,</w:t>
      </w:r>
      <w:r w:rsidRPr="00FE0616" w:rsidR="009F4C8F">
        <w:br/>
        <w:t xml:space="preserve">and </w:t>
      </w:r>
      <w:r w:rsidRPr="00FE0616" w:rsidR="006263A0">
        <w:t>Andrea Tamietti</w:t>
      </w:r>
      <w:r w:rsidRPr="00FE0616" w:rsidR="009F4C8F">
        <w:t xml:space="preserve">, </w:t>
      </w:r>
      <w:r w:rsidRPr="00FE0616" w:rsidR="006263A0">
        <w:rPr>
          <w:i/>
        </w:rPr>
        <w:t xml:space="preserve">Section </w:t>
      </w:r>
      <w:r w:rsidRPr="00FE0616" w:rsidR="006263A0">
        <w:rPr>
          <w:i/>
          <w:iCs/>
        </w:rPr>
        <w:t>Registrar</w:t>
      </w:r>
      <w:r w:rsidRPr="00FE0616" w:rsidR="009F4C8F">
        <w:rPr>
          <w:i/>
        </w:rPr>
        <w:t>,</w:t>
      </w:r>
    </w:p>
    <w:p w:rsidRPr="00FE0616" w:rsidR="006263A0" w:rsidP="00FE0616" w:rsidRDefault="006263A0">
      <w:pPr>
        <w:pStyle w:val="JuPara"/>
      </w:pPr>
      <w:bookmarkStart w:name="ITMARKHavingStart" w:id="2"/>
      <w:bookmarkEnd w:id="2"/>
      <w:r w:rsidRPr="00FE0616">
        <w:t xml:space="preserve">Having </w:t>
      </w:r>
      <w:proofErr w:type="gramStart"/>
      <w:r w:rsidRPr="00FE0616">
        <w:t>regard</w:t>
      </w:r>
      <w:proofErr w:type="gramEnd"/>
      <w:r w:rsidRPr="00FE0616">
        <w:t xml:space="preserve"> to:</w:t>
      </w:r>
    </w:p>
    <w:p w:rsidRPr="00FE0616" w:rsidR="006263A0" w:rsidP="00FE0616" w:rsidRDefault="006263A0">
      <w:pPr>
        <w:pStyle w:val="JuPara"/>
      </w:pPr>
      <w:proofErr w:type="gramStart"/>
      <w:r w:rsidRPr="00FE0616">
        <w:t>the</w:t>
      </w:r>
      <w:proofErr w:type="gramEnd"/>
      <w:r w:rsidRPr="00FE0616">
        <w:t xml:space="preserve"> application against Romania lodged with the Court under Article</w:t>
      </w:r>
      <w:r w:rsidRPr="00FE0616" w:rsidR="00700D96">
        <w:t> </w:t>
      </w:r>
      <w:r w:rsidRPr="00FE0616">
        <w:t>34 of the Convention for the Protection of Human Rights and Fundamental Freedoms (“the Convention”) by a Romanian national, Ms</w:t>
      </w:r>
      <w:r w:rsidRPr="00FE0616" w:rsidR="00700D96">
        <w:t> </w:t>
      </w:r>
      <w:r w:rsidRPr="00FE0616">
        <w:t>Maria</w:t>
      </w:r>
      <w:r w:rsidRPr="00FE0616" w:rsidR="00700D96">
        <w:t> </w:t>
      </w:r>
      <w:proofErr w:type="spellStart"/>
      <w:r w:rsidRPr="00FE0616">
        <w:t>Mihalache</w:t>
      </w:r>
      <w:proofErr w:type="spellEnd"/>
      <w:r w:rsidRPr="00FE0616">
        <w:t xml:space="preserve"> (“the applicant”), on 24 October 2016;</w:t>
      </w:r>
    </w:p>
    <w:p w:rsidRPr="00FE0616" w:rsidR="006263A0" w:rsidP="00FE0616" w:rsidRDefault="006263A0">
      <w:pPr>
        <w:pStyle w:val="JuPara"/>
      </w:pPr>
      <w:proofErr w:type="gramStart"/>
      <w:r w:rsidRPr="00FE0616">
        <w:t>the</w:t>
      </w:r>
      <w:proofErr w:type="gramEnd"/>
      <w:r w:rsidRPr="00FE0616">
        <w:t xml:space="preserve"> decision to give notice to the Romanian Government (“the Government”) of the application;</w:t>
      </w:r>
    </w:p>
    <w:p w:rsidRPr="00FE0616" w:rsidR="006263A0" w:rsidP="00FE0616" w:rsidRDefault="006263A0">
      <w:pPr>
        <w:pStyle w:val="JuPara"/>
      </w:pPr>
      <w:proofErr w:type="gramStart"/>
      <w:r w:rsidRPr="00FE0616">
        <w:t>the</w:t>
      </w:r>
      <w:proofErr w:type="gramEnd"/>
      <w:r w:rsidRPr="00FE0616">
        <w:t xml:space="preserve"> parties</w:t>
      </w:r>
      <w:r w:rsidRPr="00FE0616" w:rsidR="00FE0616">
        <w:t>’</w:t>
      </w:r>
      <w:r w:rsidRPr="00FE0616">
        <w:t xml:space="preserve"> observations;</w:t>
      </w:r>
    </w:p>
    <w:p w:rsidRPr="00FE0616" w:rsidR="009F4C8F" w:rsidP="00FE0616" w:rsidRDefault="009F4C8F">
      <w:pPr>
        <w:pStyle w:val="JuPara"/>
      </w:pPr>
      <w:r w:rsidRPr="00FE0616">
        <w:t xml:space="preserve">Having deliberated in private on </w:t>
      </w:r>
      <w:r w:rsidRPr="00FE0616" w:rsidR="006263A0">
        <w:t>9 June 2020</w:t>
      </w:r>
      <w:r w:rsidRPr="00FE0616">
        <w:t>,</w:t>
      </w:r>
    </w:p>
    <w:p w:rsidRPr="00FE0616" w:rsidR="009F4C8F" w:rsidP="00FE0616" w:rsidRDefault="009F4C8F">
      <w:pPr>
        <w:pStyle w:val="JuPara"/>
      </w:pPr>
      <w:r w:rsidRPr="00FE0616">
        <w:t>Delivers the following judgment, which was adopted on that date:</w:t>
      </w:r>
    </w:p>
    <w:p w:rsidRPr="00FE0616" w:rsidR="006263A0" w:rsidP="00FE0616" w:rsidRDefault="006263A0">
      <w:pPr>
        <w:pStyle w:val="JuHHead"/>
        <w:keepNext w:val="0"/>
        <w:keepLines w:val="0"/>
        <w:numPr>
          <w:ilvl w:val="0"/>
          <w:numId w:val="0"/>
        </w:numPr>
      </w:pPr>
      <w:r w:rsidRPr="00FE0616">
        <w:t>INTRODUCTION</w:t>
      </w:r>
    </w:p>
    <w:p w:rsidRPr="00FE0616" w:rsidR="006263A0" w:rsidP="00FE0616" w:rsidRDefault="006263A0">
      <w:pPr>
        <w:pStyle w:val="JuPara"/>
      </w:pPr>
      <w:r w:rsidRPr="00FE0616">
        <w:t xml:space="preserve">The present case concerns the failure of the domestic authorities to enforce the final judgment of </w:t>
      </w:r>
      <w:r w:rsidRPr="00FE0616">
        <w:rPr>
          <w:rFonts w:eastAsia="Times New Roman" w:cs="Times New Roman"/>
        </w:rPr>
        <w:t xml:space="preserve">29 June 2016 given by the </w:t>
      </w:r>
      <w:proofErr w:type="spellStart"/>
      <w:r w:rsidRPr="00FE0616">
        <w:rPr>
          <w:rFonts w:eastAsia="Times New Roman" w:cs="Times New Roman"/>
        </w:rPr>
        <w:t>Suceava</w:t>
      </w:r>
      <w:proofErr w:type="spellEnd"/>
      <w:r w:rsidRPr="00FE0616">
        <w:rPr>
          <w:rFonts w:eastAsia="Times New Roman" w:cs="Times New Roman"/>
        </w:rPr>
        <w:t xml:space="preserve"> County Court</w:t>
      </w:r>
      <w:r w:rsidRPr="00FE0616">
        <w:t xml:space="preserve"> in the applicant</w:t>
      </w:r>
      <w:r w:rsidRPr="00FE0616" w:rsidR="00FE0616">
        <w:t>’</w:t>
      </w:r>
      <w:r w:rsidRPr="00FE0616">
        <w:t>s favour.</w:t>
      </w:r>
    </w:p>
    <w:p w:rsidRPr="00FE0616" w:rsidR="006263A0" w:rsidP="00FE0616" w:rsidRDefault="006263A0">
      <w:pPr>
        <w:pStyle w:val="JuHHead"/>
        <w:keepNext w:val="0"/>
        <w:keepLines w:val="0"/>
        <w:numPr>
          <w:ilvl w:val="0"/>
          <w:numId w:val="1"/>
        </w:numPr>
      </w:pPr>
      <w:r w:rsidRPr="00FE0616">
        <w:t>THE FACTS</w:t>
      </w:r>
    </w:p>
    <w:p w:rsidRPr="00FE0616" w:rsidR="006263A0" w:rsidP="00FE0616" w:rsidRDefault="006263A0">
      <w:pPr>
        <w:pStyle w:val="JuPara"/>
      </w:pPr>
      <w:r w:rsidRPr="00FE0616">
        <w:fldChar w:fldCharType="begin"/>
      </w:r>
      <w:r w:rsidRPr="00FE0616">
        <w:instrText xml:space="preserve"> SEQ level0 \*arabic </w:instrText>
      </w:r>
      <w:r w:rsidRPr="00FE0616">
        <w:fldChar w:fldCharType="separate"/>
      </w:r>
      <w:r w:rsidRPr="00FE0616" w:rsidR="00FE0616">
        <w:rPr>
          <w:noProof/>
        </w:rPr>
        <w:t>1</w:t>
      </w:r>
      <w:r w:rsidRPr="00FE0616">
        <w:fldChar w:fldCharType="end"/>
      </w:r>
      <w:r w:rsidRPr="00FE0616">
        <w:t xml:space="preserve">.  The applicant was born in 1970 and lives in </w:t>
      </w:r>
      <w:proofErr w:type="spellStart"/>
      <w:r w:rsidRPr="00FE0616">
        <w:t>Straja</w:t>
      </w:r>
      <w:proofErr w:type="spellEnd"/>
      <w:r w:rsidRPr="00FE0616">
        <w:t>.</w:t>
      </w:r>
    </w:p>
    <w:p w:rsidRPr="00FE0616" w:rsidR="006263A0" w:rsidP="00FE0616" w:rsidRDefault="006263A0">
      <w:pPr>
        <w:pStyle w:val="JuPara"/>
      </w:pPr>
      <w:r w:rsidRPr="00FE0616">
        <w:fldChar w:fldCharType="begin"/>
      </w:r>
      <w:r w:rsidRPr="00FE0616">
        <w:instrText xml:space="preserve"> SEQ level0 \*arabic </w:instrText>
      </w:r>
      <w:r w:rsidRPr="00FE0616">
        <w:fldChar w:fldCharType="separate"/>
      </w:r>
      <w:r w:rsidRPr="00FE0616" w:rsidR="00FE0616">
        <w:rPr>
          <w:noProof/>
        </w:rPr>
        <w:t>2</w:t>
      </w:r>
      <w:r w:rsidRPr="00FE0616">
        <w:fldChar w:fldCharType="end"/>
      </w:r>
      <w:r w:rsidRPr="00FE0616">
        <w:t xml:space="preserve">.  The Government were represented by their Agent, most recently </w:t>
      </w:r>
      <w:r w:rsidRPr="00FE0616" w:rsidR="00700D96">
        <w:t>Ms O. </w:t>
      </w:r>
      <w:proofErr w:type="spellStart"/>
      <w:r w:rsidRPr="00FE0616">
        <w:t>Ezer</w:t>
      </w:r>
      <w:proofErr w:type="spellEnd"/>
      <w:r w:rsidRPr="00FE0616">
        <w:t>, from the Ministry of Foreign Affairs.</w:t>
      </w:r>
    </w:p>
    <w:p w:rsidRPr="00FE0616" w:rsidR="006263A0" w:rsidP="00FE0616" w:rsidRDefault="006263A0">
      <w:pPr>
        <w:pStyle w:val="JuPara"/>
      </w:pPr>
      <w:r w:rsidRPr="00FE0616">
        <w:fldChar w:fldCharType="begin"/>
      </w:r>
      <w:r w:rsidRPr="00FE0616">
        <w:instrText xml:space="preserve"> SEQ level0 \*arabic </w:instrText>
      </w:r>
      <w:r w:rsidRPr="00FE0616">
        <w:fldChar w:fldCharType="separate"/>
      </w:r>
      <w:r w:rsidRPr="00FE0616" w:rsidR="00FE0616">
        <w:rPr>
          <w:noProof/>
        </w:rPr>
        <w:t>3</w:t>
      </w:r>
      <w:r w:rsidRPr="00FE0616">
        <w:fldChar w:fldCharType="end"/>
      </w:r>
      <w:r w:rsidRPr="00FE0616">
        <w:t>.  The facts of the case, as submitted by the parties, may be summarised as follows.</w:t>
      </w:r>
    </w:p>
    <w:p w:rsidRPr="00FE0616" w:rsidR="006263A0" w:rsidP="00FE0616" w:rsidRDefault="006263A0">
      <w:pPr>
        <w:pStyle w:val="JuHIRoman"/>
        <w:keepNext w:val="0"/>
        <w:keepLines w:val="0"/>
        <w:numPr>
          <w:ilvl w:val="1"/>
          <w:numId w:val="1"/>
        </w:numPr>
      </w:pPr>
      <w:r w:rsidRPr="00FE0616">
        <w:t>Search and seizure</w:t>
      </w:r>
    </w:p>
    <w:bookmarkStart w:name="para_4" w:id="3"/>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4</w:t>
      </w:r>
      <w:r w:rsidRPr="00FE0616">
        <w:rPr>
          <w:rFonts w:eastAsia="Times New Roman"/>
        </w:rPr>
        <w:fldChar w:fldCharType="end"/>
      </w:r>
      <w:bookmarkEnd w:id="3"/>
      <w:r w:rsidRPr="00FE0616">
        <w:rPr>
          <w:rFonts w:eastAsia="Times New Roman"/>
        </w:rPr>
        <w:t>.  On the night of 8 August 2013 the police raided the applicant</w:t>
      </w:r>
      <w:r w:rsidRPr="00FE0616" w:rsidR="00FE0616">
        <w:rPr>
          <w:rFonts w:eastAsia="Times New Roman"/>
        </w:rPr>
        <w:t>’</w:t>
      </w:r>
      <w:r w:rsidRPr="00FE0616">
        <w:rPr>
          <w:rFonts w:eastAsia="Times New Roman"/>
        </w:rPr>
        <w:t xml:space="preserve">s home and found 5,450 packets of cigarettes in an outbuilding (the applicant used the word </w:t>
      </w:r>
      <w:proofErr w:type="spellStart"/>
      <w:r w:rsidRPr="00FE0616">
        <w:rPr>
          <w:rFonts w:eastAsia="Times New Roman"/>
          <w:i/>
        </w:rPr>
        <w:t>beci</w:t>
      </w:r>
      <w:proofErr w:type="spellEnd"/>
      <w:r w:rsidRPr="00FE0616">
        <w:rPr>
          <w:rFonts w:eastAsia="Times New Roman"/>
        </w:rPr>
        <w:t xml:space="preserve"> (“cellar”)) on the applicant</w:t>
      </w:r>
      <w:r w:rsidRPr="00FE0616" w:rsidR="00FE0616">
        <w:rPr>
          <w:rFonts w:eastAsia="Times New Roman"/>
        </w:rPr>
        <w:t>’</w:t>
      </w:r>
      <w:r w:rsidRPr="00FE0616">
        <w:rPr>
          <w:rFonts w:eastAsia="Times New Roman"/>
        </w:rPr>
        <w:t>s property, which was located close to the Ukrainian border. The packets were stamped with Ukrainian tax stamps exclusively; the applicant and her husband could not provide any proof as to their provenance or of payment of the corresponding customs duties to the Romanian authorities. They declared that they were completely unaware of the very existence of the impugned goods, indicating that the respective outbuilding had been abandoned for a long time.</w:t>
      </w:r>
    </w:p>
    <w:p w:rsidRPr="00FE0616" w:rsidR="006263A0" w:rsidP="00FE0616" w:rsidRDefault="006263A0">
      <w:pPr>
        <w:pStyle w:val="JuHIRoman"/>
        <w:keepNext w:val="0"/>
        <w:keepLines w:val="0"/>
        <w:numPr>
          <w:ilvl w:val="1"/>
          <w:numId w:val="1"/>
        </w:numPr>
      </w:pPr>
      <w:r w:rsidRPr="00FE0616">
        <w:rPr>
          <w:rFonts w:eastAsia="Times New Roman"/>
        </w:rPr>
        <w:t>Criminal proceedings initiated against the Applicant and the Customs</w:t>
      </w:r>
      <w:r w:rsidRPr="00FE0616" w:rsidR="00FE0616">
        <w:rPr>
          <w:rFonts w:eastAsia="Times New Roman"/>
        </w:rPr>
        <w:t>’</w:t>
      </w:r>
      <w:r w:rsidRPr="00FE0616">
        <w:rPr>
          <w:rFonts w:eastAsia="Times New Roman"/>
        </w:rPr>
        <w:t xml:space="preserve"> decision</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5</w:t>
      </w:r>
      <w:r w:rsidRPr="00FE0616">
        <w:rPr>
          <w:rFonts w:eastAsia="Times New Roman"/>
        </w:rPr>
        <w:fldChar w:fldCharType="end"/>
      </w:r>
      <w:r w:rsidRPr="00FE0616">
        <w:rPr>
          <w:rFonts w:eastAsia="Times New Roman"/>
        </w:rPr>
        <w:t>.  On 12 August 2013 the prosecutor initiated criminal proceedings against the applicant and her husband, accusing them of having committed aggravated smuggling of cigarettes.</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6</w:t>
      </w:r>
      <w:r w:rsidRPr="00FE0616">
        <w:rPr>
          <w:rFonts w:eastAsia="Times New Roman"/>
        </w:rPr>
        <w:fldChar w:fldCharType="end"/>
      </w:r>
      <w:r w:rsidRPr="00FE0616">
        <w:rPr>
          <w:rFonts w:eastAsia="Times New Roman"/>
        </w:rPr>
        <w:t>.  On 24 September 2013 the prosecutor asked the Regional Excise and Customs Operations Department (hereinafter “the customs authority”) to calculate the corresponding customs duties, VAT and penalties due for the presumably smuggled goods.</w:t>
      </w:r>
    </w:p>
    <w:bookmarkStart w:name="fiscal_outstanding_decision" w:id="4"/>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7</w:t>
      </w:r>
      <w:r w:rsidRPr="00FE0616">
        <w:rPr>
          <w:rFonts w:eastAsia="Times New Roman"/>
        </w:rPr>
        <w:fldChar w:fldCharType="end"/>
      </w:r>
      <w:bookmarkEnd w:id="4"/>
      <w:r w:rsidRPr="00FE0616">
        <w:rPr>
          <w:rFonts w:eastAsia="Times New Roman"/>
        </w:rPr>
        <w:t xml:space="preserve">.  On 23 December 2013 the customs authority issued a decision according to which the applicant had to pay a total </w:t>
      </w:r>
      <w:r w:rsidRPr="00FE0616" w:rsidR="007D3940">
        <w:rPr>
          <w:rFonts w:eastAsia="Times New Roman"/>
        </w:rPr>
        <w:t>amount of 61,780 Romanian </w:t>
      </w:r>
      <w:r w:rsidRPr="00FE0616">
        <w:rPr>
          <w:rFonts w:eastAsia="Times New Roman"/>
        </w:rPr>
        <w:t>lei (RON – approximately 13,730 euros (EUR)), which represented the material damage of the evasion of customs checks in respect of the smuggled goods. The customs authority requested that a seizure (</w:t>
      </w:r>
      <w:proofErr w:type="spellStart"/>
      <w:r w:rsidRPr="00FE0616">
        <w:rPr>
          <w:rFonts w:eastAsia="Times New Roman"/>
          <w:i/>
        </w:rPr>
        <w:t>sechestru</w:t>
      </w:r>
      <w:proofErr w:type="spellEnd"/>
      <w:r w:rsidRPr="00FE0616">
        <w:rPr>
          <w:rFonts w:eastAsia="Times New Roman"/>
        </w:rPr>
        <w:t>) be enforced in respect of the applicant</w:t>
      </w:r>
      <w:r w:rsidRPr="00FE0616" w:rsidR="00FE0616">
        <w:rPr>
          <w:rFonts w:eastAsia="Times New Roman"/>
        </w:rPr>
        <w:t>’</w:t>
      </w:r>
      <w:r w:rsidRPr="00FE0616">
        <w:rPr>
          <w:rFonts w:eastAsia="Times New Roman"/>
        </w:rPr>
        <w:t>s property until the payment of the due amount had been made.</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8</w:t>
      </w:r>
      <w:r w:rsidRPr="00FE0616">
        <w:rPr>
          <w:rFonts w:eastAsia="Times New Roman"/>
        </w:rPr>
        <w:fldChar w:fldCharType="end"/>
      </w:r>
      <w:r w:rsidRPr="00FE0616">
        <w:rPr>
          <w:rFonts w:eastAsia="Times New Roman"/>
        </w:rPr>
        <w:t xml:space="preserve">.  The decision also indicated that under Articles 205-07 of the Tax Procedure Code (hereinafter “the TPC”, see paragraph </w:t>
      </w:r>
      <w:r w:rsidRPr="00FE0616">
        <w:rPr>
          <w:rFonts w:eastAsia="Times New Roman"/>
        </w:rPr>
        <w:fldChar w:fldCharType="begin"/>
      </w:r>
      <w:r w:rsidRPr="00FE0616" w:rsidR="00394A1C">
        <w:rPr>
          <w:rFonts w:eastAsia="Times New Roman"/>
        </w:rPr>
        <w:instrText xml:space="preserve"> REF art205FCP \h </w:instrText>
      </w:r>
      <w:r w:rsidRPr="00FE0616">
        <w:rPr>
          <w:rFonts w:eastAsia="Times New Roman"/>
        </w:rPr>
      </w:r>
      <w:r w:rsidRPr="00FE0616">
        <w:rPr>
          <w:rFonts w:eastAsia="Times New Roman"/>
        </w:rPr>
        <w:fldChar w:fldCharType="separate"/>
      </w:r>
      <w:r w:rsidRPr="00FE0616" w:rsidR="00FE0616">
        <w:rPr>
          <w:rFonts w:eastAsia="Times New Roman"/>
          <w:noProof/>
        </w:rPr>
        <w:t>37</w:t>
      </w:r>
      <w:r w:rsidRPr="00FE0616">
        <w:rPr>
          <w:rFonts w:eastAsia="Times New Roman"/>
        </w:rPr>
        <w:fldChar w:fldCharType="end"/>
      </w:r>
      <w:r w:rsidRPr="00FE0616">
        <w:rPr>
          <w:rFonts w:eastAsia="Times New Roman"/>
        </w:rPr>
        <w:t xml:space="preserve"> below), the applicant could challenge the measures taken by the customs authority within thirty days of notification of the decision.</w:t>
      </w:r>
    </w:p>
    <w:bookmarkStart w:name="notif_fiscal_outstanding_decision" w:id="5"/>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9</w:t>
      </w:r>
      <w:r w:rsidRPr="00FE0616">
        <w:rPr>
          <w:rFonts w:eastAsia="Times New Roman"/>
        </w:rPr>
        <w:fldChar w:fldCharType="end"/>
      </w:r>
      <w:bookmarkEnd w:id="5"/>
      <w:r w:rsidRPr="00FE0616">
        <w:rPr>
          <w:rFonts w:eastAsia="Times New Roman"/>
        </w:rPr>
        <w:t xml:space="preserve">.  The applicant was notified of that decision on 10 January 2014; she did not challenge it, allegedly in view of the fact that she was awaiting the outcome in the criminal proceedings which were pending against her for the act of smuggling (see also paragraphs </w:t>
      </w:r>
      <w:r w:rsidRPr="00FE0616">
        <w:rPr>
          <w:rFonts w:eastAsia="Times New Roman"/>
        </w:rPr>
        <w:fldChar w:fldCharType="begin"/>
      </w:r>
      <w:r w:rsidRPr="00FE0616" w:rsidR="00394A1C">
        <w:rPr>
          <w:rFonts w:eastAsia="Times New Roman"/>
        </w:rPr>
        <w:instrText xml:space="preserve"> REF applicant_challenge_fax \h </w:instrText>
      </w:r>
      <w:r w:rsidRPr="00FE0616">
        <w:rPr>
          <w:rFonts w:eastAsia="Times New Roman"/>
        </w:rPr>
      </w:r>
      <w:r w:rsidRPr="00FE0616">
        <w:rPr>
          <w:rFonts w:eastAsia="Times New Roman"/>
        </w:rPr>
        <w:fldChar w:fldCharType="separate"/>
      </w:r>
      <w:r w:rsidRPr="00FE0616" w:rsidR="00FE0616">
        <w:rPr>
          <w:rFonts w:eastAsia="Times New Roman"/>
          <w:noProof/>
        </w:rPr>
        <w:t>13</w:t>
      </w:r>
      <w:r w:rsidRPr="00FE0616">
        <w:rPr>
          <w:rFonts w:eastAsia="Times New Roman"/>
        </w:rPr>
        <w:fldChar w:fldCharType="end"/>
      </w:r>
      <w:r w:rsidRPr="00FE0616">
        <w:rPr>
          <w:rFonts w:eastAsia="Times New Roman"/>
        </w:rPr>
        <w:t xml:space="preserve"> and </w:t>
      </w:r>
      <w:r w:rsidRPr="00FE0616">
        <w:rPr>
          <w:rFonts w:eastAsia="Times New Roman"/>
        </w:rPr>
        <w:fldChar w:fldCharType="begin"/>
      </w:r>
      <w:r w:rsidRPr="00FE0616" w:rsidR="00394A1C">
        <w:rPr>
          <w:rFonts w:eastAsia="Times New Roman"/>
        </w:rPr>
        <w:instrText xml:space="preserve"> REF applicant_challenge_courts \h </w:instrText>
      </w:r>
      <w:r w:rsidRPr="00FE0616">
        <w:rPr>
          <w:rFonts w:eastAsia="Times New Roman"/>
        </w:rPr>
      </w:r>
      <w:r w:rsidRPr="00FE0616">
        <w:rPr>
          <w:rFonts w:eastAsia="Times New Roman"/>
        </w:rPr>
        <w:fldChar w:fldCharType="separate"/>
      </w:r>
      <w:r w:rsidRPr="00FE0616" w:rsidR="00FE0616">
        <w:rPr>
          <w:rFonts w:eastAsia="Times New Roman"/>
          <w:noProof/>
        </w:rPr>
        <w:t>17</w:t>
      </w:r>
      <w:r w:rsidRPr="00FE0616">
        <w:rPr>
          <w:rFonts w:eastAsia="Times New Roman"/>
        </w:rPr>
        <w:fldChar w:fldCharType="end"/>
      </w:r>
      <w:r w:rsidRPr="00FE0616">
        <w:rPr>
          <w:rFonts w:eastAsia="Times New Roman"/>
        </w:rPr>
        <w:t xml:space="preserve"> below).</w:t>
      </w:r>
    </w:p>
    <w:bookmarkStart w:name="Prosecutor_terminates" w:id="6"/>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10</w:t>
      </w:r>
      <w:r w:rsidRPr="00FE0616">
        <w:rPr>
          <w:rFonts w:eastAsia="Times New Roman"/>
        </w:rPr>
        <w:fldChar w:fldCharType="end"/>
      </w:r>
      <w:bookmarkEnd w:id="6"/>
      <w:r w:rsidRPr="00FE0616">
        <w:rPr>
          <w:rFonts w:eastAsia="Times New Roman"/>
        </w:rPr>
        <w:t>.  On 31 January 2014 the prosecutor decided to terminate criminal proceedings against the applicant and her husband for lack of sufficient evidence to rebut the presumption of innocence operating in their favour. The proceedings continued in respect of “U.P.” (“</w:t>
      </w:r>
      <w:proofErr w:type="gramStart"/>
      <w:r w:rsidRPr="00FE0616">
        <w:rPr>
          <w:rFonts w:eastAsia="Times New Roman"/>
        </w:rPr>
        <w:t>unknown</w:t>
      </w:r>
      <w:proofErr w:type="gramEnd"/>
      <w:r w:rsidRPr="00FE0616">
        <w:rPr>
          <w:rFonts w:eastAsia="Times New Roman"/>
        </w:rPr>
        <w:t xml:space="preserve"> perpetrator”) instead.</w:t>
      </w:r>
    </w:p>
    <w:p w:rsidRPr="00FE0616" w:rsidR="006263A0" w:rsidP="00FE0616" w:rsidRDefault="006263A0">
      <w:pPr>
        <w:pStyle w:val="JuPara"/>
        <w:rPr>
          <w:rFonts w:eastAsia="Times New Roman"/>
        </w:rPr>
      </w:pPr>
      <w:r w:rsidRPr="00FE0616">
        <w:rPr>
          <w:rFonts w:eastAsia="Times New Roman"/>
        </w:rPr>
        <w:t>In the same decision, the prosecutor ordered the confiscation of the cigarettes.</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11</w:t>
      </w:r>
      <w:r w:rsidRPr="00FE0616">
        <w:rPr>
          <w:rFonts w:eastAsia="Times New Roman"/>
        </w:rPr>
        <w:fldChar w:fldCharType="end"/>
      </w:r>
      <w:r w:rsidRPr="00FE0616">
        <w:rPr>
          <w:rFonts w:eastAsia="Times New Roman"/>
        </w:rPr>
        <w:t>.  On 15 March 2014 the applicant was notified of the prosecutor</w:t>
      </w:r>
      <w:r w:rsidRPr="00FE0616" w:rsidR="00FE0616">
        <w:rPr>
          <w:rFonts w:eastAsia="Times New Roman"/>
        </w:rPr>
        <w:t>’</w:t>
      </w:r>
      <w:r w:rsidRPr="00FE0616">
        <w:rPr>
          <w:rFonts w:eastAsia="Times New Roman"/>
        </w:rPr>
        <w:t>s decision.</w:t>
      </w:r>
    </w:p>
    <w:bookmarkStart w:name="appeal_customs" w:id="7"/>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12</w:t>
      </w:r>
      <w:r w:rsidRPr="00FE0616">
        <w:rPr>
          <w:rFonts w:eastAsia="Times New Roman"/>
        </w:rPr>
        <w:fldChar w:fldCharType="end"/>
      </w:r>
      <w:bookmarkEnd w:id="7"/>
      <w:r w:rsidRPr="00FE0616">
        <w:rPr>
          <w:rFonts w:eastAsia="Times New Roman"/>
        </w:rPr>
        <w:t>.  This decision was confirmed by the higher prosecutor on 18</w:t>
      </w:r>
      <w:r w:rsidRPr="00FE0616" w:rsidR="007D3940">
        <w:rPr>
          <w:rFonts w:eastAsia="Times New Roman"/>
        </w:rPr>
        <w:t> </w:t>
      </w:r>
      <w:r w:rsidRPr="00FE0616">
        <w:rPr>
          <w:rFonts w:eastAsia="Times New Roman"/>
        </w:rPr>
        <w:t>July 2014, following an appeal lodged by the customs authority. No further appeal was lodged against this latter decision.</w:t>
      </w:r>
    </w:p>
    <w:bookmarkStart w:name="applicant_challenge_fax" w:id="8"/>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13</w:t>
      </w:r>
      <w:r w:rsidRPr="00FE0616">
        <w:rPr>
          <w:rFonts w:eastAsia="Times New Roman"/>
        </w:rPr>
        <w:fldChar w:fldCharType="end"/>
      </w:r>
      <w:bookmarkEnd w:id="8"/>
      <w:r w:rsidRPr="00FE0616">
        <w:rPr>
          <w:rFonts w:eastAsia="Times New Roman"/>
        </w:rPr>
        <w:t>.  On 2 July 2014 the applicant allegedly wrote to the customs authority</w:t>
      </w:r>
      <w:r w:rsidRPr="00FE0616" w:rsidDel="00D04D5B">
        <w:rPr>
          <w:rFonts w:eastAsia="Times New Roman"/>
        </w:rPr>
        <w:t xml:space="preserve"> </w:t>
      </w:r>
      <w:r w:rsidRPr="00FE0616">
        <w:rPr>
          <w:rFonts w:eastAsia="Times New Roman"/>
        </w:rPr>
        <w:t>and requested that they stop any proceedings against her owing to the prosecutor</w:t>
      </w:r>
      <w:r w:rsidRPr="00FE0616" w:rsidR="00FE0616">
        <w:rPr>
          <w:rFonts w:eastAsia="Times New Roman"/>
        </w:rPr>
        <w:t>’</w:t>
      </w:r>
      <w:r w:rsidRPr="00FE0616">
        <w:rPr>
          <w:rFonts w:eastAsia="Times New Roman"/>
        </w:rPr>
        <w:t>s decision which had absolved her of any criminal liability in relation to the confiscated goods.</w:t>
      </w:r>
    </w:p>
    <w:bookmarkStart w:name="no_written_reply_Customs" w:id="9"/>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14</w:t>
      </w:r>
      <w:r w:rsidRPr="00FE0616">
        <w:rPr>
          <w:rFonts w:eastAsia="Times New Roman"/>
        </w:rPr>
        <w:fldChar w:fldCharType="end"/>
      </w:r>
      <w:bookmarkEnd w:id="9"/>
      <w:r w:rsidRPr="00FE0616">
        <w:rPr>
          <w:rFonts w:eastAsia="Times New Roman"/>
        </w:rPr>
        <w:t>.  The customs authority allegedly confirmed orally that the case would be examined based on the new information submitted. However, no written reply was ever given to the applicant</w:t>
      </w:r>
      <w:r w:rsidRPr="00FE0616" w:rsidR="00FE0616">
        <w:rPr>
          <w:rFonts w:eastAsia="Times New Roman"/>
        </w:rPr>
        <w:t>’</w:t>
      </w:r>
      <w:r w:rsidRPr="00FE0616">
        <w:rPr>
          <w:rFonts w:eastAsia="Times New Roman"/>
        </w:rPr>
        <w:t>s request.</w:t>
      </w:r>
    </w:p>
    <w:bookmarkStart w:name="fiscal_warrant_25July" w:id="10"/>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15</w:t>
      </w:r>
      <w:r w:rsidRPr="00FE0616">
        <w:rPr>
          <w:rFonts w:eastAsia="Times New Roman"/>
        </w:rPr>
        <w:fldChar w:fldCharType="end"/>
      </w:r>
      <w:bookmarkEnd w:id="10"/>
      <w:r w:rsidRPr="00FE0616">
        <w:rPr>
          <w:rFonts w:eastAsia="Times New Roman"/>
        </w:rPr>
        <w:t xml:space="preserve">.  On 25 July 2014 the tax authority issued a warrant of execution in respect of the decision of 23 December 2013 (see paragraph </w:t>
      </w:r>
      <w:r w:rsidRPr="00FE0616">
        <w:rPr>
          <w:rFonts w:eastAsia="Times New Roman"/>
        </w:rPr>
        <w:fldChar w:fldCharType="begin"/>
      </w:r>
      <w:r w:rsidRPr="00FE0616" w:rsidR="00394A1C">
        <w:rPr>
          <w:rFonts w:eastAsia="Times New Roman"/>
        </w:rPr>
        <w:instrText xml:space="preserve"> REF fiscal_outstanding_decision \h </w:instrText>
      </w:r>
      <w:r w:rsidRPr="00FE0616">
        <w:rPr>
          <w:rFonts w:eastAsia="Times New Roman"/>
        </w:rPr>
      </w:r>
      <w:r w:rsidRPr="00FE0616">
        <w:rPr>
          <w:rFonts w:eastAsia="Times New Roman"/>
        </w:rPr>
        <w:fldChar w:fldCharType="separate"/>
      </w:r>
      <w:r w:rsidRPr="00FE0616" w:rsidR="00FE0616">
        <w:rPr>
          <w:rFonts w:eastAsia="Times New Roman"/>
          <w:noProof/>
        </w:rPr>
        <w:t>7</w:t>
      </w:r>
      <w:r w:rsidRPr="00FE0616">
        <w:rPr>
          <w:rFonts w:eastAsia="Times New Roman"/>
        </w:rPr>
        <w:fldChar w:fldCharType="end"/>
      </w:r>
      <w:r w:rsidRPr="00FE0616">
        <w:rPr>
          <w:rFonts w:eastAsia="Times New Roman"/>
        </w:rPr>
        <w:t xml:space="preserve"> above), and notified the applicant of that. The warrant was received by the applicant on 11 August 2014, as indicated by her signature on the notification slip appended to the documents.</w:t>
      </w:r>
    </w:p>
    <w:p w:rsidRPr="00FE0616" w:rsidR="006263A0" w:rsidP="00FE0616" w:rsidRDefault="006263A0">
      <w:pPr>
        <w:pStyle w:val="JuHIRoman"/>
        <w:keepNext w:val="0"/>
        <w:keepLines w:val="0"/>
        <w:numPr>
          <w:ilvl w:val="1"/>
          <w:numId w:val="1"/>
        </w:numPr>
      </w:pPr>
      <w:r w:rsidRPr="00FE0616">
        <w:t>Procedure pursued in accordance with Article</w:t>
      </w:r>
      <w:r w:rsidRPr="00FE0616" w:rsidR="007D3940">
        <w:t> </w:t>
      </w:r>
      <w:r w:rsidRPr="00FE0616">
        <w:t xml:space="preserve">205 of the </w:t>
      </w:r>
      <w:r w:rsidRPr="00FE0616">
        <w:rPr>
          <w:rFonts w:ascii="Times New Roman" w:hAnsi="Times New Roman"/>
          <w:color w:val="000000"/>
        </w:rPr>
        <w:t>TPC</w:t>
      </w:r>
    </w:p>
    <w:bookmarkStart w:name="para_16" w:id="11"/>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16</w:t>
      </w:r>
      <w:r w:rsidRPr="00FE0616">
        <w:rPr>
          <w:rFonts w:eastAsia="Times New Roman"/>
        </w:rPr>
        <w:fldChar w:fldCharType="end"/>
      </w:r>
      <w:bookmarkEnd w:id="11"/>
      <w:r w:rsidRPr="00FE0616">
        <w:rPr>
          <w:rFonts w:eastAsia="Times New Roman"/>
        </w:rPr>
        <w:t xml:space="preserve">.  On 10 February 2015 the applicant lodged an application with the </w:t>
      </w:r>
      <w:proofErr w:type="spellStart"/>
      <w:r w:rsidRPr="00FE0616">
        <w:rPr>
          <w:rFonts w:eastAsia="Times New Roman"/>
        </w:rPr>
        <w:t>Rădăuţi</w:t>
      </w:r>
      <w:proofErr w:type="spellEnd"/>
      <w:r w:rsidRPr="00FE0616">
        <w:rPr>
          <w:rFonts w:eastAsia="Times New Roman"/>
        </w:rPr>
        <w:t xml:space="preserve"> First-Instance Court, seeking to annul the decision of 23</w:t>
      </w:r>
      <w:r w:rsidRPr="00FE0616" w:rsidR="007D3940">
        <w:rPr>
          <w:rFonts w:eastAsia="Times New Roman"/>
        </w:rPr>
        <w:t> </w:t>
      </w:r>
      <w:r w:rsidRPr="00FE0616">
        <w:rPr>
          <w:rFonts w:eastAsia="Times New Roman"/>
        </w:rPr>
        <w:t xml:space="preserve">December 2013 (see paragraph </w:t>
      </w:r>
      <w:r w:rsidRPr="00FE0616">
        <w:rPr>
          <w:rFonts w:eastAsia="Times New Roman"/>
        </w:rPr>
        <w:fldChar w:fldCharType="begin"/>
      </w:r>
      <w:r w:rsidRPr="00FE0616" w:rsidR="00394A1C">
        <w:rPr>
          <w:rFonts w:eastAsia="Times New Roman"/>
        </w:rPr>
        <w:instrText xml:space="preserve"> REF fiscal_outstanding_decision \h </w:instrText>
      </w:r>
      <w:r w:rsidRPr="00FE0616">
        <w:rPr>
          <w:rFonts w:eastAsia="Times New Roman"/>
        </w:rPr>
      </w:r>
      <w:r w:rsidRPr="00FE0616">
        <w:rPr>
          <w:rFonts w:eastAsia="Times New Roman"/>
        </w:rPr>
        <w:fldChar w:fldCharType="separate"/>
      </w:r>
      <w:r w:rsidRPr="00FE0616" w:rsidR="00FE0616">
        <w:rPr>
          <w:rFonts w:eastAsia="Times New Roman"/>
          <w:noProof/>
        </w:rPr>
        <w:t>7</w:t>
      </w:r>
      <w:r w:rsidRPr="00FE0616">
        <w:rPr>
          <w:rFonts w:eastAsia="Times New Roman"/>
        </w:rPr>
        <w:fldChar w:fldCharType="end"/>
      </w:r>
      <w:r w:rsidRPr="00FE0616">
        <w:rPr>
          <w:rFonts w:eastAsia="Times New Roman"/>
        </w:rPr>
        <w:t xml:space="preserve"> above); at the same time, she lodged an application for an extension of the time-limit set to challenge the impugned decision. She relied on Articles 205-18 of the TPC (see paragraph </w:t>
      </w:r>
      <w:r w:rsidRPr="00FE0616">
        <w:rPr>
          <w:rFonts w:eastAsia="Times New Roman"/>
        </w:rPr>
        <w:fldChar w:fldCharType="begin"/>
      </w:r>
      <w:r w:rsidRPr="00FE0616" w:rsidR="00394A1C">
        <w:rPr>
          <w:rFonts w:eastAsia="Times New Roman"/>
        </w:rPr>
        <w:instrText xml:space="preserve"> REF art205FCP \h </w:instrText>
      </w:r>
      <w:r w:rsidRPr="00FE0616">
        <w:rPr>
          <w:rFonts w:eastAsia="Times New Roman"/>
        </w:rPr>
      </w:r>
      <w:r w:rsidRPr="00FE0616">
        <w:rPr>
          <w:rFonts w:eastAsia="Times New Roman"/>
        </w:rPr>
        <w:fldChar w:fldCharType="separate"/>
      </w:r>
      <w:r w:rsidRPr="00FE0616" w:rsidR="00FE0616">
        <w:rPr>
          <w:rFonts w:eastAsia="Times New Roman"/>
          <w:noProof/>
        </w:rPr>
        <w:t>37</w:t>
      </w:r>
      <w:r w:rsidRPr="00FE0616">
        <w:rPr>
          <w:rFonts w:eastAsia="Times New Roman"/>
        </w:rPr>
        <w:fldChar w:fldCharType="end"/>
      </w:r>
      <w:r w:rsidRPr="00FE0616">
        <w:rPr>
          <w:rFonts w:eastAsia="Times New Roman"/>
        </w:rPr>
        <w:t xml:space="preserve"> below).</w:t>
      </w:r>
    </w:p>
    <w:bookmarkStart w:name="applicant_challenge_courts" w:id="12"/>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17</w:t>
      </w:r>
      <w:r w:rsidRPr="00FE0616">
        <w:rPr>
          <w:rFonts w:eastAsia="Times New Roman"/>
        </w:rPr>
        <w:fldChar w:fldCharType="end"/>
      </w:r>
      <w:bookmarkEnd w:id="12"/>
      <w:r w:rsidRPr="00FE0616">
        <w:rPr>
          <w:rFonts w:eastAsia="Times New Roman"/>
        </w:rPr>
        <w:t xml:space="preserve">.  The applicant argued that when she had been notified of the decision – in January 2014 (see paragraph </w:t>
      </w:r>
      <w:r w:rsidRPr="00FE0616">
        <w:rPr>
          <w:rFonts w:eastAsia="Times New Roman"/>
        </w:rPr>
        <w:fldChar w:fldCharType="begin"/>
      </w:r>
      <w:r w:rsidRPr="00FE0616" w:rsidR="00394A1C">
        <w:rPr>
          <w:rFonts w:eastAsia="Times New Roman"/>
        </w:rPr>
        <w:instrText xml:space="preserve"> REF notif_fiscal_outstanding_decision \h </w:instrText>
      </w:r>
      <w:r w:rsidRPr="00FE0616">
        <w:rPr>
          <w:rFonts w:eastAsia="Times New Roman"/>
        </w:rPr>
      </w:r>
      <w:r w:rsidRPr="00FE0616">
        <w:rPr>
          <w:rFonts w:eastAsia="Times New Roman"/>
        </w:rPr>
        <w:fldChar w:fldCharType="separate"/>
      </w:r>
      <w:r w:rsidRPr="00FE0616" w:rsidR="00FE0616">
        <w:rPr>
          <w:rFonts w:eastAsia="Times New Roman"/>
          <w:noProof/>
        </w:rPr>
        <w:t>9</w:t>
      </w:r>
      <w:r w:rsidRPr="00FE0616">
        <w:rPr>
          <w:rFonts w:eastAsia="Times New Roman"/>
        </w:rPr>
        <w:fldChar w:fldCharType="end"/>
      </w:r>
      <w:r w:rsidRPr="00FE0616">
        <w:rPr>
          <w:rFonts w:eastAsia="Times New Roman"/>
        </w:rPr>
        <w:t xml:space="preserve"> above) – the criminal proceedings against her had still been ongoing and their outcome had been uncertain; she asserted therefore that the said decision had breached the presumption of innocence, which had operated in her favour. In any event, pending the said outcome, it was unreasonable to presume that she was able to formulate any articulated defence against the decision issued by the customs authority.</w:t>
      </w:r>
    </w:p>
    <w:bookmarkStart w:name="para_18" w:id="13"/>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18</w:t>
      </w:r>
      <w:r w:rsidRPr="00FE0616">
        <w:rPr>
          <w:rFonts w:eastAsia="Times New Roman"/>
        </w:rPr>
        <w:fldChar w:fldCharType="end"/>
      </w:r>
      <w:bookmarkEnd w:id="13"/>
      <w:r w:rsidRPr="00FE0616">
        <w:rPr>
          <w:rFonts w:eastAsia="Times New Roman"/>
        </w:rPr>
        <w:t>.  She also argued that as soon as she had been notified of the prosecutor</w:t>
      </w:r>
      <w:r w:rsidRPr="00FE0616" w:rsidR="00FE0616">
        <w:rPr>
          <w:rFonts w:eastAsia="Times New Roman"/>
        </w:rPr>
        <w:t>’</w:t>
      </w:r>
      <w:r w:rsidRPr="00FE0616">
        <w:rPr>
          <w:rFonts w:eastAsia="Times New Roman"/>
        </w:rPr>
        <w:t xml:space="preserve">s decision to terminate the criminal proceedings against her, she had forwarded a copy of that decision to the customs authority, asking that her tax situation be clarified (see paragraph </w:t>
      </w:r>
      <w:r w:rsidRPr="00FE0616">
        <w:rPr>
          <w:rFonts w:eastAsia="Times New Roman"/>
        </w:rPr>
        <w:fldChar w:fldCharType="begin"/>
      </w:r>
      <w:r w:rsidRPr="00FE0616" w:rsidR="00394A1C">
        <w:rPr>
          <w:rFonts w:eastAsia="Times New Roman"/>
        </w:rPr>
        <w:instrText xml:space="preserve"> REF applicant_challenge_fax \h </w:instrText>
      </w:r>
      <w:r w:rsidRPr="00FE0616">
        <w:rPr>
          <w:rFonts w:eastAsia="Times New Roman"/>
        </w:rPr>
      </w:r>
      <w:r w:rsidRPr="00FE0616">
        <w:rPr>
          <w:rFonts w:eastAsia="Times New Roman"/>
        </w:rPr>
        <w:fldChar w:fldCharType="separate"/>
      </w:r>
      <w:r w:rsidRPr="00FE0616" w:rsidR="00FE0616">
        <w:rPr>
          <w:rFonts w:eastAsia="Times New Roman"/>
          <w:noProof/>
        </w:rPr>
        <w:t>13</w:t>
      </w:r>
      <w:r w:rsidRPr="00FE0616">
        <w:rPr>
          <w:rFonts w:eastAsia="Times New Roman"/>
        </w:rPr>
        <w:fldChar w:fldCharType="end"/>
      </w:r>
      <w:r w:rsidRPr="00FE0616">
        <w:rPr>
          <w:rFonts w:eastAsia="Times New Roman"/>
        </w:rPr>
        <w:t xml:space="preserve"> above). The applicant submitted that she had sent that request by fax, appending proof that on that date she had faxed some documents to the customs authority. At that moment and in view of the outcome of the criminal proceedings against her, she had presumed that all further actions seeking to annul the tax decision against her had become unnecessary. In any event, she considered it to be self-evident that she could not be held liable for damage that she had not caused.</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19</w:t>
      </w:r>
      <w:r w:rsidRPr="00FE0616">
        <w:rPr>
          <w:rFonts w:eastAsia="Times New Roman"/>
        </w:rPr>
        <w:fldChar w:fldCharType="end"/>
      </w:r>
      <w:r w:rsidRPr="00FE0616">
        <w:rPr>
          <w:rFonts w:eastAsia="Times New Roman"/>
        </w:rPr>
        <w:t xml:space="preserve">.  On 11 June 2015 the </w:t>
      </w:r>
      <w:proofErr w:type="spellStart"/>
      <w:r w:rsidRPr="00FE0616">
        <w:rPr>
          <w:rFonts w:eastAsia="Times New Roman"/>
        </w:rPr>
        <w:t>Suceava</w:t>
      </w:r>
      <w:proofErr w:type="spellEnd"/>
      <w:r w:rsidRPr="00FE0616">
        <w:rPr>
          <w:rFonts w:eastAsia="Times New Roman"/>
        </w:rPr>
        <w:t xml:space="preserve"> County Court rejected as ill-founded the applicant</w:t>
      </w:r>
      <w:r w:rsidRPr="00FE0616" w:rsidR="00FE0616">
        <w:rPr>
          <w:rFonts w:eastAsia="Times New Roman"/>
        </w:rPr>
        <w:t>’</w:t>
      </w:r>
      <w:r w:rsidRPr="00FE0616">
        <w:rPr>
          <w:rFonts w:eastAsia="Times New Roman"/>
        </w:rPr>
        <w:t>s request for an extension of the time-limit and rejected as inadmissible her request for the annulment of the decision of 23</w:t>
      </w:r>
      <w:r w:rsidRPr="00FE0616" w:rsidR="008F6E49">
        <w:rPr>
          <w:rFonts w:eastAsia="Times New Roman"/>
        </w:rPr>
        <w:t> </w:t>
      </w:r>
      <w:r w:rsidRPr="00FE0616">
        <w:rPr>
          <w:rFonts w:eastAsia="Times New Roman"/>
        </w:rPr>
        <w:t>December 2013.</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20</w:t>
      </w:r>
      <w:r w:rsidRPr="00FE0616">
        <w:rPr>
          <w:rFonts w:eastAsia="Times New Roman"/>
        </w:rPr>
        <w:fldChar w:fldCharType="end"/>
      </w:r>
      <w:r w:rsidRPr="00FE0616">
        <w:rPr>
          <w:rFonts w:eastAsia="Times New Roman"/>
        </w:rPr>
        <w:t>.  The court firstly held that once the applicant was notified of the decision, she had the possibility to challenge it and to then ask for the suspension of the challenge procedure pending the outcome of the criminal proceedings against her.</w:t>
      </w:r>
    </w:p>
    <w:bookmarkStart w:name="first_court_205" w:id="14"/>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21</w:t>
      </w:r>
      <w:r w:rsidRPr="00FE0616">
        <w:rPr>
          <w:rFonts w:eastAsia="Times New Roman"/>
        </w:rPr>
        <w:fldChar w:fldCharType="end"/>
      </w:r>
      <w:bookmarkEnd w:id="14"/>
      <w:r w:rsidRPr="00FE0616">
        <w:rPr>
          <w:rFonts w:eastAsia="Times New Roman"/>
        </w:rPr>
        <w:t>.  The County Court also held that even if the applicant had sent to the customs authority a copy of the prosecutor</w:t>
      </w:r>
      <w:r w:rsidRPr="00FE0616" w:rsidR="00FE0616">
        <w:rPr>
          <w:rFonts w:eastAsia="Times New Roman"/>
        </w:rPr>
        <w:t>’</w:t>
      </w:r>
      <w:r w:rsidRPr="00FE0616">
        <w:rPr>
          <w:rFonts w:eastAsia="Times New Roman"/>
        </w:rPr>
        <w:t xml:space="preserve">s decision which had exonerated her from criminal liability (see paragraph </w:t>
      </w:r>
      <w:r w:rsidRPr="00FE0616">
        <w:rPr>
          <w:rFonts w:eastAsia="Times New Roman"/>
        </w:rPr>
        <w:fldChar w:fldCharType="begin"/>
      </w:r>
      <w:r w:rsidRPr="00FE0616" w:rsidR="00394A1C">
        <w:rPr>
          <w:rFonts w:eastAsia="Times New Roman"/>
        </w:rPr>
        <w:instrText xml:space="preserve"> REF no_written_reply_Customs \h </w:instrText>
      </w:r>
      <w:r w:rsidRPr="00FE0616">
        <w:rPr>
          <w:rFonts w:eastAsia="Times New Roman"/>
        </w:rPr>
      </w:r>
      <w:r w:rsidRPr="00FE0616">
        <w:rPr>
          <w:rFonts w:eastAsia="Times New Roman"/>
        </w:rPr>
        <w:fldChar w:fldCharType="separate"/>
      </w:r>
      <w:r w:rsidRPr="00FE0616" w:rsidR="00FE0616">
        <w:rPr>
          <w:rFonts w:eastAsia="Times New Roman"/>
          <w:noProof/>
        </w:rPr>
        <w:t>14</w:t>
      </w:r>
      <w:r w:rsidRPr="00FE0616">
        <w:rPr>
          <w:rFonts w:eastAsia="Times New Roman"/>
        </w:rPr>
        <w:fldChar w:fldCharType="end"/>
      </w:r>
      <w:r w:rsidRPr="00FE0616">
        <w:rPr>
          <w:rFonts w:eastAsia="Times New Roman"/>
        </w:rPr>
        <w:t xml:space="preserve"> above), such notification could not be considered as a valid request to annul the tax decision as set out in</w:t>
      </w:r>
      <w:r w:rsidRPr="00FE0616" w:rsidR="008F6E49">
        <w:rPr>
          <w:rFonts w:eastAsia="Times New Roman"/>
        </w:rPr>
        <w:t xml:space="preserve"> Article </w:t>
      </w:r>
      <w:r w:rsidRPr="00FE0616">
        <w:rPr>
          <w:rFonts w:eastAsia="Times New Roman"/>
        </w:rPr>
        <w:t xml:space="preserve">205 of the TPC. Moreover, even assuming the request was valid, the court noted that the applicant had only submitted proof that she had sent some pages by fax on 2 July 2014 (see paragraph </w:t>
      </w:r>
      <w:r w:rsidRPr="00FE0616">
        <w:rPr>
          <w:rFonts w:eastAsia="Times New Roman"/>
        </w:rPr>
        <w:fldChar w:fldCharType="begin"/>
      </w:r>
      <w:r w:rsidRPr="00FE0616" w:rsidR="00394A1C">
        <w:rPr>
          <w:rFonts w:eastAsia="Times New Roman"/>
        </w:rPr>
        <w:instrText xml:space="preserve"> REF para_18 \h </w:instrText>
      </w:r>
      <w:r w:rsidRPr="00FE0616">
        <w:rPr>
          <w:rFonts w:eastAsia="Times New Roman"/>
        </w:rPr>
      </w:r>
      <w:r w:rsidRPr="00FE0616">
        <w:rPr>
          <w:rFonts w:eastAsia="Times New Roman"/>
        </w:rPr>
        <w:fldChar w:fldCharType="separate"/>
      </w:r>
      <w:r w:rsidRPr="00FE0616" w:rsidR="00FE0616">
        <w:rPr>
          <w:rFonts w:eastAsia="Times New Roman"/>
          <w:noProof/>
        </w:rPr>
        <w:t>18</w:t>
      </w:r>
      <w:r w:rsidRPr="00FE0616">
        <w:rPr>
          <w:rFonts w:eastAsia="Times New Roman"/>
        </w:rPr>
        <w:fldChar w:fldCharType="end"/>
      </w:r>
      <w:r w:rsidRPr="00FE0616">
        <w:rPr>
          <w:rFonts w:eastAsia="Times New Roman"/>
        </w:rPr>
        <w:t xml:space="preserve"> above), without being able to prove what exactly she had sent; in any event, the customs authority had not given any reply to the applicant</w:t>
      </w:r>
      <w:r w:rsidRPr="00FE0616" w:rsidR="00FE0616">
        <w:rPr>
          <w:rFonts w:eastAsia="Times New Roman"/>
        </w:rPr>
        <w:t>’</w:t>
      </w:r>
      <w:r w:rsidRPr="00FE0616">
        <w:rPr>
          <w:rFonts w:eastAsia="Times New Roman"/>
        </w:rPr>
        <w:t xml:space="preserve">s request (see paragraph </w:t>
      </w:r>
      <w:r w:rsidRPr="00FE0616">
        <w:rPr>
          <w:rFonts w:eastAsia="Times New Roman"/>
        </w:rPr>
        <w:fldChar w:fldCharType="begin"/>
      </w:r>
      <w:r w:rsidRPr="00FE0616" w:rsidR="00394A1C">
        <w:rPr>
          <w:rFonts w:eastAsia="Times New Roman"/>
        </w:rPr>
        <w:instrText xml:space="preserve"> REF applicant_challenge_fax \h </w:instrText>
      </w:r>
      <w:r w:rsidRPr="00FE0616">
        <w:rPr>
          <w:rFonts w:eastAsia="Times New Roman"/>
        </w:rPr>
      </w:r>
      <w:r w:rsidRPr="00FE0616">
        <w:rPr>
          <w:rFonts w:eastAsia="Times New Roman"/>
        </w:rPr>
        <w:fldChar w:fldCharType="separate"/>
      </w:r>
      <w:r w:rsidRPr="00FE0616" w:rsidR="00FE0616">
        <w:rPr>
          <w:rFonts w:eastAsia="Times New Roman"/>
          <w:noProof/>
        </w:rPr>
        <w:t>13</w:t>
      </w:r>
      <w:r w:rsidRPr="00FE0616">
        <w:rPr>
          <w:rFonts w:eastAsia="Times New Roman"/>
        </w:rPr>
        <w:fldChar w:fldCharType="end"/>
      </w:r>
      <w:r w:rsidRPr="00FE0616">
        <w:rPr>
          <w:rFonts w:eastAsia="Times New Roman"/>
        </w:rPr>
        <w:t xml:space="preserve"> above). In that context, the court reiterated that it had jurisdiction only to examine any decision that the customs authority gave in reply to the applicant</w:t>
      </w:r>
      <w:r w:rsidRPr="00FE0616" w:rsidR="00FE0616">
        <w:rPr>
          <w:rFonts w:eastAsia="Times New Roman"/>
        </w:rPr>
        <w:t>’</w:t>
      </w:r>
      <w:r w:rsidRPr="00FE0616">
        <w:rPr>
          <w:rFonts w:eastAsia="Times New Roman"/>
        </w:rPr>
        <w:t>s request to have the decision annulled. Hence, the courts could not directly order the annulment of the impugned decision before the authorities had themselves decided on the annulment request. The applicant</w:t>
      </w:r>
      <w:r w:rsidRPr="00FE0616" w:rsidR="00FE0616">
        <w:rPr>
          <w:rFonts w:eastAsia="Times New Roman"/>
        </w:rPr>
        <w:t>’</w:t>
      </w:r>
      <w:r w:rsidRPr="00FE0616">
        <w:rPr>
          <w:rFonts w:eastAsia="Times New Roman"/>
        </w:rPr>
        <w:t>s claims were therefore inadmissible.</w:t>
      </w:r>
    </w:p>
    <w:bookmarkStart w:name="last_court_205" w:id="15"/>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22</w:t>
      </w:r>
      <w:r w:rsidRPr="00FE0616">
        <w:rPr>
          <w:rFonts w:eastAsia="Times New Roman"/>
        </w:rPr>
        <w:fldChar w:fldCharType="end"/>
      </w:r>
      <w:bookmarkEnd w:id="15"/>
      <w:r w:rsidRPr="00FE0616">
        <w:rPr>
          <w:rFonts w:eastAsia="Times New Roman"/>
        </w:rPr>
        <w:t xml:space="preserve">.  An appeal by the applicant against this judgment was dismissed on 24 November 2015 by the </w:t>
      </w:r>
      <w:proofErr w:type="spellStart"/>
      <w:r w:rsidRPr="00FE0616">
        <w:rPr>
          <w:rFonts w:eastAsia="Times New Roman"/>
        </w:rPr>
        <w:t>Suceava</w:t>
      </w:r>
      <w:proofErr w:type="spellEnd"/>
      <w:r w:rsidRPr="00FE0616">
        <w:rPr>
          <w:rFonts w:eastAsia="Times New Roman"/>
        </w:rPr>
        <w:t xml:space="preserve"> Court of Appeal. The appellate court held that the applicant had not sufficiently substantiated her assertion that she had lodged a valid request challenging the decision of 23</w:t>
      </w:r>
      <w:r w:rsidRPr="00FE0616" w:rsidR="008F6E49">
        <w:rPr>
          <w:rFonts w:eastAsia="Times New Roman"/>
        </w:rPr>
        <w:t> </w:t>
      </w:r>
      <w:r w:rsidRPr="00FE0616">
        <w:rPr>
          <w:rFonts w:eastAsia="Times New Roman"/>
        </w:rPr>
        <w:t>December 2013 before the customs authority.</w:t>
      </w:r>
    </w:p>
    <w:p w:rsidRPr="00FE0616" w:rsidR="006263A0" w:rsidP="00FE0616" w:rsidRDefault="006263A0">
      <w:pPr>
        <w:pStyle w:val="JuHIRoman"/>
        <w:keepNext w:val="0"/>
        <w:keepLines w:val="0"/>
        <w:numPr>
          <w:ilvl w:val="1"/>
          <w:numId w:val="1"/>
        </w:numPr>
      </w:pPr>
      <w:r w:rsidRPr="00FE0616">
        <w:rPr>
          <w:rFonts w:eastAsia="Times New Roman"/>
        </w:rPr>
        <w:t>Measures of enforcement of the decision of 23 December 2013</w:t>
      </w:r>
    </w:p>
    <w:bookmarkStart w:name="ipoteca" w:id="16"/>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23</w:t>
      </w:r>
      <w:r w:rsidRPr="00FE0616">
        <w:rPr>
          <w:rFonts w:eastAsia="Times New Roman"/>
        </w:rPr>
        <w:fldChar w:fldCharType="end"/>
      </w:r>
      <w:bookmarkEnd w:id="16"/>
      <w:r w:rsidRPr="00FE0616">
        <w:rPr>
          <w:rFonts w:eastAsia="Times New Roman"/>
        </w:rPr>
        <w:t>.  On 20 November 2014 the Land Registry allowed the request submitted by the tax authority on 18 November 2014 to place a mortgage (</w:t>
      </w:r>
      <w:proofErr w:type="spellStart"/>
      <w:r w:rsidRPr="00FE0616">
        <w:rPr>
          <w:rFonts w:eastAsia="Times New Roman"/>
          <w:i/>
        </w:rPr>
        <w:t>ipotecă</w:t>
      </w:r>
      <w:proofErr w:type="spellEnd"/>
      <w:r w:rsidRPr="00FE0616">
        <w:rPr>
          <w:rFonts w:eastAsia="Times New Roman"/>
        </w:rPr>
        <w:t>) on the applicant</w:t>
      </w:r>
      <w:r w:rsidRPr="00FE0616" w:rsidR="00FE0616">
        <w:rPr>
          <w:rFonts w:eastAsia="Times New Roman"/>
        </w:rPr>
        <w:t>’</w:t>
      </w:r>
      <w:r w:rsidRPr="00FE0616">
        <w:rPr>
          <w:rFonts w:eastAsia="Times New Roman"/>
        </w:rPr>
        <w:t>s immovable property, namely on three plots of land surrounding the applicant</w:t>
      </w:r>
      <w:r w:rsidRPr="00FE0616" w:rsidR="00FE0616">
        <w:rPr>
          <w:rFonts w:eastAsia="Times New Roman"/>
        </w:rPr>
        <w:t>’</w:t>
      </w:r>
      <w:r w:rsidRPr="00FE0616">
        <w:rPr>
          <w:rFonts w:eastAsia="Times New Roman"/>
        </w:rPr>
        <w:t>s home, and to record the change in the land register.</w:t>
      </w:r>
    </w:p>
    <w:bookmarkStart w:name="notif_ipoteca_november" w:id="17"/>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24</w:t>
      </w:r>
      <w:r w:rsidRPr="00FE0616">
        <w:rPr>
          <w:rFonts w:eastAsia="Times New Roman"/>
        </w:rPr>
        <w:fldChar w:fldCharType="end"/>
      </w:r>
      <w:bookmarkEnd w:id="17"/>
      <w:r w:rsidRPr="00FE0616">
        <w:rPr>
          <w:rFonts w:eastAsia="Times New Roman"/>
        </w:rPr>
        <w:t>.  On 19 December 2014 the applicant requested that the Land Registry provide her with the documents which justified the decision to place a mortgage on her property. Upon receipt, she lodged an application with the tax authority to have the measure lifted.</w:t>
      </w:r>
    </w:p>
    <w:bookmarkStart w:name="No_annulment_further_enforcement" w:id="18"/>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25</w:t>
      </w:r>
      <w:r w:rsidRPr="00FE0616">
        <w:rPr>
          <w:rFonts w:eastAsia="Times New Roman"/>
        </w:rPr>
        <w:fldChar w:fldCharType="end"/>
      </w:r>
      <w:bookmarkEnd w:id="18"/>
      <w:r w:rsidRPr="00FE0616">
        <w:rPr>
          <w:rFonts w:eastAsia="Times New Roman"/>
        </w:rPr>
        <w:t>.  On 12 February 2015 the local tax office replied to the applicant that her request had been forwarded to the customs authority for comments. On 27</w:t>
      </w:r>
      <w:r w:rsidRPr="00FE0616" w:rsidR="008F6E49">
        <w:rPr>
          <w:rFonts w:eastAsia="Times New Roman"/>
        </w:rPr>
        <w:t> </w:t>
      </w:r>
      <w:r w:rsidRPr="00FE0616">
        <w:rPr>
          <w:rFonts w:eastAsia="Times New Roman"/>
        </w:rPr>
        <w:t>February 2015 the applicant was informed that the lifting of the mortgage was possible only if the decision setting out the applicant</w:t>
      </w:r>
      <w:r w:rsidRPr="00FE0616" w:rsidR="00FE0616">
        <w:rPr>
          <w:rFonts w:eastAsia="Times New Roman"/>
        </w:rPr>
        <w:t>’</w:t>
      </w:r>
      <w:r w:rsidRPr="00FE0616">
        <w:rPr>
          <w:rFonts w:eastAsia="Times New Roman"/>
        </w:rPr>
        <w:t xml:space="preserve">s debts to the State, namely that of 23 December 2013 (see paragraph </w:t>
      </w:r>
      <w:r w:rsidRPr="00FE0616">
        <w:rPr>
          <w:rFonts w:eastAsia="Times New Roman"/>
        </w:rPr>
        <w:fldChar w:fldCharType="begin"/>
      </w:r>
      <w:r w:rsidRPr="00FE0616" w:rsidR="00394A1C">
        <w:rPr>
          <w:rFonts w:eastAsia="Times New Roman"/>
        </w:rPr>
        <w:instrText xml:space="preserve"> REF fiscal_outstanding_decision \h </w:instrText>
      </w:r>
      <w:r w:rsidRPr="00FE0616">
        <w:rPr>
          <w:rFonts w:eastAsia="Times New Roman"/>
        </w:rPr>
      </w:r>
      <w:r w:rsidRPr="00FE0616">
        <w:rPr>
          <w:rFonts w:eastAsia="Times New Roman"/>
        </w:rPr>
        <w:fldChar w:fldCharType="separate"/>
      </w:r>
      <w:r w:rsidRPr="00FE0616" w:rsidR="00FE0616">
        <w:rPr>
          <w:rFonts w:eastAsia="Times New Roman"/>
          <w:noProof/>
        </w:rPr>
        <w:t>7</w:t>
      </w:r>
      <w:r w:rsidRPr="00FE0616">
        <w:rPr>
          <w:rFonts w:eastAsia="Times New Roman"/>
        </w:rPr>
        <w:fldChar w:fldCharType="end"/>
      </w:r>
      <w:r w:rsidRPr="00FE0616">
        <w:rPr>
          <w:rFonts w:eastAsia="Times New Roman"/>
        </w:rPr>
        <w:t xml:space="preserve"> above), was annulled.</w:t>
      </w:r>
    </w:p>
    <w:p w:rsidRPr="00FE0616" w:rsidR="006263A0" w:rsidP="00FE0616" w:rsidRDefault="006263A0">
      <w:pPr>
        <w:pStyle w:val="JuHIRoman"/>
        <w:numPr>
          <w:ilvl w:val="1"/>
          <w:numId w:val="1"/>
        </w:numPr>
      </w:pPr>
      <w:r w:rsidRPr="00FE0616">
        <w:t>Challenge to enforcement UNDER Article 711 et seq. of the code of CIVIL Procedure</w:t>
      </w:r>
    </w:p>
    <w:bookmarkStart w:name="applicant_711" w:id="19"/>
    <w:p w:rsidRPr="00FE0616" w:rsidR="006263A0" w:rsidP="00FE0616" w:rsidRDefault="006263A0">
      <w:pPr>
        <w:pStyle w:val="JuPara"/>
        <w:keepNext/>
        <w:keepLines/>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26</w:t>
      </w:r>
      <w:r w:rsidRPr="00FE0616">
        <w:rPr>
          <w:rFonts w:eastAsia="Times New Roman"/>
        </w:rPr>
        <w:fldChar w:fldCharType="end"/>
      </w:r>
      <w:bookmarkEnd w:id="19"/>
      <w:r w:rsidRPr="00FE0616">
        <w:rPr>
          <w:rFonts w:eastAsia="Times New Roman"/>
        </w:rPr>
        <w:t xml:space="preserve">.  On 5 January 2015 the applicant lodged an application with the </w:t>
      </w:r>
      <w:proofErr w:type="spellStart"/>
      <w:r w:rsidRPr="00FE0616">
        <w:rPr>
          <w:rFonts w:eastAsia="Times New Roman"/>
        </w:rPr>
        <w:t>Rădăuţi</w:t>
      </w:r>
      <w:proofErr w:type="spellEnd"/>
      <w:r w:rsidRPr="00FE0616">
        <w:rPr>
          <w:rFonts w:eastAsia="Times New Roman"/>
        </w:rPr>
        <w:t xml:space="preserve"> First-Instance Court, seeking to annul all the enforcement measures against her including the placement of a mortgage on her immovable property (see paragraph </w:t>
      </w:r>
      <w:r w:rsidRPr="00FE0616">
        <w:rPr>
          <w:rFonts w:eastAsia="Times New Roman"/>
        </w:rPr>
        <w:fldChar w:fldCharType="begin"/>
      </w:r>
      <w:r w:rsidRPr="00FE0616" w:rsidR="00394A1C">
        <w:rPr>
          <w:rFonts w:eastAsia="Times New Roman"/>
        </w:rPr>
        <w:instrText xml:space="preserve"> REF ipoteca \h </w:instrText>
      </w:r>
      <w:r w:rsidRPr="00FE0616">
        <w:rPr>
          <w:rFonts w:eastAsia="Times New Roman"/>
        </w:rPr>
      </w:r>
      <w:r w:rsidRPr="00FE0616">
        <w:rPr>
          <w:rFonts w:eastAsia="Times New Roman"/>
        </w:rPr>
        <w:fldChar w:fldCharType="separate"/>
      </w:r>
      <w:r w:rsidRPr="00FE0616" w:rsidR="00FE0616">
        <w:rPr>
          <w:rFonts w:eastAsia="Times New Roman"/>
          <w:noProof/>
        </w:rPr>
        <w:t>23</w:t>
      </w:r>
      <w:r w:rsidRPr="00FE0616">
        <w:rPr>
          <w:rFonts w:eastAsia="Times New Roman"/>
        </w:rPr>
        <w:fldChar w:fldCharType="end"/>
      </w:r>
      <w:r w:rsidRPr="00FE0616">
        <w:rPr>
          <w:rFonts w:eastAsia="Times New Roman"/>
        </w:rPr>
        <w:t xml:space="preserve"> above). She relied on Article 711 et seq. of the Code of Civil Procedure (see paragraph </w:t>
      </w:r>
      <w:r w:rsidRPr="00FE0616">
        <w:rPr>
          <w:rFonts w:eastAsia="Times New Roman"/>
        </w:rPr>
        <w:fldChar w:fldCharType="begin"/>
      </w:r>
      <w:r w:rsidRPr="00FE0616" w:rsidR="00394A1C">
        <w:rPr>
          <w:rFonts w:eastAsia="Times New Roman"/>
        </w:rPr>
        <w:instrText xml:space="preserve"> REF art711_CCP \h </w:instrText>
      </w:r>
      <w:r w:rsidRPr="00FE0616">
        <w:rPr>
          <w:rFonts w:eastAsia="Times New Roman"/>
        </w:rPr>
      </w:r>
      <w:r w:rsidRPr="00FE0616">
        <w:rPr>
          <w:rFonts w:eastAsia="Times New Roman"/>
        </w:rPr>
        <w:fldChar w:fldCharType="separate"/>
      </w:r>
      <w:r w:rsidRPr="00FE0616" w:rsidR="00FE0616">
        <w:rPr>
          <w:rFonts w:eastAsia="Times New Roman"/>
          <w:noProof/>
        </w:rPr>
        <w:t>40</w:t>
      </w:r>
      <w:r w:rsidRPr="00FE0616">
        <w:rPr>
          <w:rFonts w:eastAsia="Times New Roman"/>
        </w:rPr>
        <w:fldChar w:fldCharType="end"/>
      </w:r>
      <w:r w:rsidRPr="00FE0616">
        <w:rPr>
          <w:rFonts w:eastAsia="Times New Roman"/>
        </w:rPr>
        <w:t xml:space="preserve"> below).</w:t>
      </w:r>
    </w:p>
    <w:bookmarkStart w:name="first_court_contex" w:id="20"/>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27</w:t>
      </w:r>
      <w:r w:rsidRPr="00FE0616">
        <w:rPr>
          <w:rFonts w:eastAsia="Times New Roman"/>
        </w:rPr>
        <w:fldChar w:fldCharType="end"/>
      </w:r>
      <w:bookmarkEnd w:id="20"/>
      <w:r w:rsidRPr="00FE0616">
        <w:rPr>
          <w:rFonts w:eastAsia="Times New Roman"/>
        </w:rPr>
        <w:t>.  On 11 December 2015 the First-Instance Court allowed the applicant</w:t>
      </w:r>
      <w:r w:rsidRPr="00FE0616" w:rsidR="00FE0616">
        <w:rPr>
          <w:rFonts w:eastAsia="Times New Roman"/>
        </w:rPr>
        <w:t>’</w:t>
      </w:r>
      <w:r w:rsidRPr="00FE0616">
        <w:rPr>
          <w:rFonts w:eastAsia="Times New Roman"/>
        </w:rPr>
        <w:t>s claims and annulled all the enforcement measures against her. It found that in so far as the prosecutor</w:t>
      </w:r>
      <w:r w:rsidRPr="00FE0616" w:rsidR="00FE0616">
        <w:rPr>
          <w:rFonts w:eastAsia="Times New Roman"/>
        </w:rPr>
        <w:t>’</w:t>
      </w:r>
      <w:r w:rsidRPr="00FE0616">
        <w:rPr>
          <w:rFonts w:eastAsia="Times New Roman"/>
        </w:rPr>
        <w:t>s decision of 31</w:t>
      </w:r>
      <w:r w:rsidRPr="00FE0616" w:rsidR="008F6E49">
        <w:rPr>
          <w:rFonts w:eastAsia="Times New Roman"/>
        </w:rPr>
        <w:t xml:space="preserve"> </w:t>
      </w:r>
      <w:r w:rsidRPr="00FE0616">
        <w:rPr>
          <w:rFonts w:eastAsia="Times New Roman"/>
        </w:rPr>
        <w:t>January 2014 (see paragraph</w:t>
      </w:r>
      <w:r w:rsidRPr="00FE0616" w:rsidR="008F6E49">
        <w:rPr>
          <w:rFonts w:eastAsia="Times New Roman"/>
        </w:rPr>
        <w:t> </w:t>
      </w:r>
      <w:r w:rsidRPr="00FE0616">
        <w:rPr>
          <w:rFonts w:eastAsia="Times New Roman"/>
        </w:rPr>
        <w:fldChar w:fldCharType="begin"/>
      </w:r>
      <w:r w:rsidRPr="00FE0616" w:rsidR="00394A1C">
        <w:rPr>
          <w:rFonts w:eastAsia="Times New Roman"/>
        </w:rPr>
        <w:instrText xml:space="preserve"> REF Prosecutor_terminates \h </w:instrText>
      </w:r>
      <w:r w:rsidRPr="00FE0616">
        <w:rPr>
          <w:rFonts w:eastAsia="Times New Roman"/>
        </w:rPr>
      </w:r>
      <w:r w:rsidRPr="00FE0616">
        <w:rPr>
          <w:rFonts w:eastAsia="Times New Roman"/>
        </w:rPr>
        <w:fldChar w:fldCharType="separate"/>
      </w:r>
      <w:r w:rsidRPr="00FE0616" w:rsidR="00FE0616">
        <w:rPr>
          <w:rFonts w:eastAsia="Times New Roman"/>
          <w:noProof/>
        </w:rPr>
        <w:t>10</w:t>
      </w:r>
      <w:r w:rsidRPr="00FE0616">
        <w:rPr>
          <w:rFonts w:eastAsia="Times New Roman"/>
        </w:rPr>
        <w:fldChar w:fldCharType="end"/>
      </w:r>
      <w:r w:rsidRPr="00FE0616">
        <w:rPr>
          <w:rFonts w:eastAsia="Times New Roman"/>
        </w:rPr>
        <w:t xml:space="preserve"> above) held that the applicant had not committed the acts which had caused the damage claimed by the State, she could not be held responsible for someone else</w:t>
      </w:r>
      <w:r w:rsidRPr="00FE0616" w:rsidR="00FE0616">
        <w:rPr>
          <w:rFonts w:eastAsia="Times New Roman"/>
        </w:rPr>
        <w:t>’</w:t>
      </w:r>
      <w:r w:rsidRPr="00FE0616">
        <w:rPr>
          <w:rFonts w:eastAsia="Times New Roman"/>
        </w:rPr>
        <w:t>s deed and thus she was not liable to pay any amount thereto.</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28</w:t>
      </w:r>
      <w:r w:rsidRPr="00FE0616">
        <w:rPr>
          <w:rFonts w:eastAsia="Times New Roman"/>
        </w:rPr>
        <w:fldChar w:fldCharType="end"/>
      </w:r>
      <w:r w:rsidRPr="00FE0616">
        <w:rPr>
          <w:rFonts w:eastAsia="Times New Roman"/>
        </w:rPr>
        <w:t xml:space="preserve">.  The court furthermore found that the outstanding tax decision against the applicant, </w:t>
      </w:r>
      <w:r w:rsidRPr="00FE0616">
        <w:t>namely</w:t>
      </w:r>
      <w:r w:rsidRPr="00FE0616">
        <w:rPr>
          <w:rFonts w:eastAsia="Times New Roman"/>
        </w:rPr>
        <w:t xml:space="preserve"> that of 23 December 2013 (see paragraph</w:t>
      </w:r>
      <w:r w:rsidRPr="00FE0616" w:rsidR="008F6E49">
        <w:rPr>
          <w:rFonts w:eastAsia="Times New Roman"/>
        </w:rPr>
        <w:t> </w:t>
      </w:r>
      <w:r w:rsidRPr="00FE0616">
        <w:rPr>
          <w:rFonts w:eastAsia="Times New Roman"/>
        </w:rPr>
        <w:fldChar w:fldCharType="begin"/>
      </w:r>
      <w:r w:rsidRPr="00FE0616" w:rsidR="00394A1C">
        <w:rPr>
          <w:rFonts w:eastAsia="Times New Roman"/>
        </w:rPr>
        <w:instrText xml:space="preserve"> REF fiscal_outstanding_decision \h </w:instrText>
      </w:r>
      <w:r w:rsidRPr="00FE0616">
        <w:rPr>
          <w:rFonts w:eastAsia="Times New Roman"/>
        </w:rPr>
      </w:r>
      <w:r w:rsidRPr="00FE0616">
        <w:rPr>
          <w:rFonts w:eastAsia="Times New Roman"/>
        </w:rPr>
        <w:fldChar w:fldCharType="separate"/>
      </w:r>
      <w:r w:rsidRPr="00FE0616" w:rsidR="00FE0616">
        <w:rPr>
          <w:rFonts w:eastAsia="Times New Roman"/>
          <w:noProof/>
        </w:rPr>
        <w:t>7</w:t>
      </w:r>
      <w:r w:rsidRPr="00FE0616">
        <w:rPr>
          <w:rFonts w:eastAsia="Times New Roman"/>
        </w:rPr>
        <w:fldChar w:fldCharType="end"/>
      </w:r>
      <w:r w:rsidRPr="00FE0616">
        <w:rPr>
          <w:rFonts w:eastAsia="Times New Roman"/>
        </w:rPr>
        <w:t xml:space="preserve"> above), was not a final judgment and therefore could not be considered to be a warrant of execution (</w:t>
      </w:r>
      <w:proofErr w:type="spellStart"/>
      <w:r w:rsidRPr="00FE0616">
        <w:rPr>
          <w:rFonts w:eastAsia="Times New Roman"/>
          <w:i/>
        </w:rPr>
        <w:t>titlu</w:t>
      </w:r>
      <w:proofErr w:type="spellEnd"/>
      <w:r w:rsidRPr="00FE0616">
        <w:rPr>
          <w:rFonts w:eastAsia="Times New Roman"/>
          <w:i/>
        </w:rPr>
        <w:t xml:space="preserve"> </w:t>
      </w:r>
      <w:proofErr w:type="spellStart"/>
      <w:r w:rsidRPr="00FE0616">
        <w:rPr>
          <w:rFonts w:eastAsia="Times New Roman"/>
          <w:i/>
        </w:rPr>
        <w:t>executoriu</w:t>
      </w:r>
      <w:proofErr w:type="spellEnd"/>
      <w:r w:rsidRPr="00FE0616">
        <w:rPr>
          <w:rFonts w:eastAsia="Times New Roman"/>
        </w:rPr>
        <w:t>).</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29</w:t>
      </w:r>
      <w:r w:rsidRPr="00FE0616">
        <w:rPr>
          <w:rFonts w:eastAsia="Times New Roman"/>
        </w:rPr>
        <w:fldChar w:fldCharType="end"/>
      </w:r>
      <w:r w:rsidRPr="00FE0616">
        <w:rPr>
          <w:rFonts w:eastAsia="Times New Roman"/>
        </w:rPr>
        <w:t>.  The tax authority challenged this judgment.</w:t>
      </w:r>
    </w:p>
    <w:bookmarkStart w:name="outstanding_judgment_2016" w:id="21"/>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30</w:t>
      </w:r>
      <w:r w:rsidRPr="00FE0616">
        <w:rPr>
          <w:rFonts w:eastAsia="Times New Roman"/>
        </w:rPr>
        <w:fldChar w:fldCharType="end"/>
      </w:r>
      <w:bookmarkEnd w:id="21"/>
      <w:r w:rsidRPr="00FE0616">
        <w:rPr>
          <w:rFonts w:eastAsia="Times New Roman"/>
        </w:rPr>
        <w:t xml:space="preserve">.  On 29 June 2016 the </w:t>
      </w:r>
      <w:proofErr w:type="spellStart"/>
      <w:r w:rsidRPr="00FE0616">
        <w:rPr>
          <w:rFonts w:eastAsia="Times New Roman"/>
        </w:rPr>
        <w:t>Suceava</w:t>
      </w:r>
      <w:proofErr w:type="spellEnd"/>
      <w:r w:rsidRPr="00FE0616">
        <w:rPr>
          <w:rFonts w:eastAsia="Times New Roman"/>
        </w:rPr>
        <w:t xml:space="preserve"> County Court allowed the appeal and partly changed the lower court</w:t>
      </w:r>
      <w:r w:rsidRPr="00FE0616" w:rsidR="00FE0616">
        <w:rPr>
          <w:rFonts w:eastAsia="Times New Roman"/>
        </w:rPr>
        <w:t>’</w:t>
      </w:r>
      <w:r w:rsidRPr="00FE0616">
        <w:rPr>
          <w:rFonts w:eastAsia="Times New Roman"/>
        </w:rPr>
        <w:t>s judgment, specifically in respect of the annulment of the enforcement measures taken on 25 July 2014 (see paragraph</w:t>
      </w:r>
      <w:r w:rsidRPr="00FE0616" w:rsidR="008F6E49">
        <w:rPr>
          <w:rFonts w:eastAsia="Times New Roman"/>
        </w:rPr>
        <w:t> </w:t>
      </w:r>
      <w:r w:rsidRPr="00FE0616">
        <w:rPr>
          <w:rFonts w:eastAsia="Times New Roman"/>
        </w:rPr>
        <w:fldChar w:fldCharType="begin"/>
      </w:r>
      <w:r w:rsidRPr="00FE0616" w:rsidR="00394A1C">
        <w:rPr>
          <w:rFonts w:eastAsia="Times New Roman"/>
        </w:rPr>
        <w:instrText xml:space="preserve"> REF fiscal_warrant_25July \h </w:instrText>
      </w:r>
      <w:r w:rsidRPr="00FE0616">
        <w:rPr>
          <w:rFonts w:eastAsia="Times New Roman"/>
        </w:rPr>
      </w:r>
      <w:r w:rsidRPr="00FE0616">
        <w:rPr>
          <w:rFonts w:eastAsia="Times New Roman"/>
        </w:rPr>
        <w:fldChar w:fldCharType="separate"/>
      </w:r>
      <w:r w:rsidRPr="00FE0616" w:rsidR="00FE0616">
        <w:rPr>
          <w:rFonts w:eastAsia="Times New Roman"/>
          <w:noProof/>
        </w:rPr>
        <w:t>15</w:t>
      </w:r>
      <w:r w:rsidRPr="00FE0616">
        <w:rPr>
          <w:rFonts w:eastAsia="Times New Roman"/>
        </w:rPr>
        <w:fldChar w:fldCharType="end"/>
      </w:r>
      <w:r w:rsidRPr="00FE0616">
        <w:rPr>
          <w:rFonts w:eastAsia="Times New Roman"/>
        </w:rPr>
        <w:t xml:space="preserve"> above).</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31</w:t>
      </w:r>
      <w:r w:rsidRPr="00FE0616">
        <w:rPr>
          <w:rFonts w:eastAsia="Times New Roman"/>
        </w:rPr>
        <w:fldChar w:fldCharType="end"/>
      </w:r>
      <w:r w:rsidRPr="00FE0616">
        <w:rPr>
          <w:rFonts w:eastAsia="Times New Roman"/>
        </w:rPr>
        <w:t>.  The court found that the challenge lodged on 5 January 2015 (see paragraph</w:t>
      </w:r>
      <w:r w:rsidRPr="00FE0616" w:rsidR="008F6E49">
        <w:rPr>
          <w:rFonts w:eastAsia="Times New Roman"/>
        </w:rPr>
        <w:t> </w:t>
      </w:r>
      <w:r w:rsidRPr="00FE0616">
        <w:rPr>
          <w:rFonts w:eastAsia="Times New Roman"/>
        </w:rPr>
        <w:fldChar w:fldCharType="begin"/>
      </w:r>
      <w:r w:rsidRPr="00FE0616" w:rsidR="00394A1C">
        <w:rPr>
          <w:rFonts w:eastAsia="Times New Roman"/>
        </w:rPr>
        <w:instrText xml:space="preserve"> REF applicant_711 \h </w:instrText>
      </w:r>
      <w:r w:rsidRPr="00FE0616">
        <w:rPr>
          <w:rFonts w:eastAsia="Times New Roman"/>
        </w:rPr>
      </w:r>
      <w:r w:rsidRPr="00FE0616">
        <w:rPr>
          <w:rFonts w:eastAsia="Times New Roman"/>
        </w:rPr>
        <w:fldChar w:fldCharType="separate"/>
      </w:r>
      <w:r w:rsidRPr="00FE0616" w:rsidR="00FE0616">
        <w:rPr>
          <w:rFonts w:eastAsia="Times New Roman"/>
          <w:noProof/>
        </w:rPr>
        <w:t>26</w:t>
      </w:r>
      <w:r w:rsidRPr="00FE0616">
        <w:rPr>
          <w:rFonts w:eastAsia="Times New Roman"/>
        </w:rPr>
        <w:fldChar w:fldCharType="end"/>
      </w:r>
      <w:r w:rsidRPr="00FE0616">
        <w:rPr>
          <w:rFonts w:eastAsia="Times New Roman"/>
        </w:rPr>
        <w:t xml:space="preserve"> above) in respect of the enforcement measures taken on 25 July 2014 was inadmissible as being lodged out of time, in view of the fact that the applicant had been notified of the decision to enforce on 11 August 2014, as shown by her signature on the notification slip (see paragraph</w:t>
      </w:r>
      <w:r w:rsidRPr="00FE0616" w:rsidR="008F6E49">
        <w:rPr>
          <w:rFonts w:eastAsia="Times New Roman"/>
        </w:rPr>
        <w:t> </w:t>
      </w:r>
      <w:r w:rsidRPr="00FE0616">
        <w:rPr>
          <w:rFonts w:eastAsia="Times New Roman"/>
        </w:rPr>
        <w:fldChar w:fldCharType="begin"/>
      </w:r>
      <w:r w:rsidRPr="00FE0616" w:rsidR="00394A1C">
        <w:rPr>
          <w:rFonts w:eastAsia="Times New Roman"/>
        </w:rPr>
        <w:instrText xml:space="preserve"> REF fiscal_warrant_25July \h </w:instrText>
      </w:r>
      <w:r w:rsidRPr="00FE0616">
        <w:rPr>
          <w:rFonts w:eastAsia="Times New Roman"/>
        </w:rPr>
      </w:r>
      <w:r w:rsidRPr="00FE0616">
        <w:rPr>
          <w:rFonts w:eastAsia="Times New Roman"/>
        </w:rPr>
        <w:fldChar w:fldCharType="separate"/>
      </w:r>
      <w:r w:rsidRPr="00FE0616" w:rsidR="00FE0616">
        <w:rPr>
          <w:rFonts w:eastAsia="Times New Roman"/>
          <w:noProof/>
        </w:rPr>
        <w:t>15</w:t>
      </w:r>
      <w:r w:rsidRPr="00FE0616">
        <w:rPr>
          <w:rFonts w:eastAsia="Times New Roman"/>
        </w:rPr>
        <w:fldChar w:fldCharType="end"/>
      </w:r>
      <w:r w:rsidRPr="00FE0616">
        <w:rPr>
          <w:rFonts w:eastAsia="Times New Roman"/>
        </w:rPr>
        <w:t xml:space="preserve"> above).</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32</w:t>
      </w:r>
      <w:r w:rsidRPr="00FE0616">
        <w:rPr>
          <w:rFonts w:eastAsia="Times New Roman"/>
        </w:rPr>
        <w:fldChar w:fldCharType="end"/>
      </w:r>
      <w:r w:rsidRPr="00FE0616">
        <w:rPr>
          <w:rFonts w:eastAsia="Times New Roman"/>
        </w:rPr>
        <w:t>.  The county court also held that the decision of 23 December 2013 had become a warrant of execution, as it had not been challenged, thus becoming final; it could be challenged in accordance with the provisions of Article</w:t>
      </w:r>
      <w:r w:rsidRPr="00FE0616" w:rsidR="008F6E49">
        <w:rPr>
          <w:rFonts w:eastAsia="Times New Roman"/>
        </w:rPr>
        <w:t> </w:t>
      </w:r>
      <w:r w:rsidRPr="00FE0616">
        <w:rPr>
          <w:rFonts w:eastAsia="Times New Roman"/>
        </w:rPr>
        <w:t xml:space="preserve">205 of the TPC (see paragraph </w:t>
      </w:r>
      <w:r w:rsidRPr="00FE0616">
        <w:rPr>
          <w:rFonts w:eastAsia="Times New Roman"/>
        </w:rPr>
        <w:fldChar w:fldCharType="begin"/>
      </w:r>
      <w:r w:rsidRPr="00FE0616" w:rsidR="00394A1C">
        <w:rPr>
          <w:rFonts w:eastAsia="Times New Roman"/>
        </w:rPr>
        <w:instrText xml:space="preserve"> REF art205FCP \h </w:instrText>
      </w:r>
      <w:r w:rsidRPr="00FE0616">
        <w:rPr>
          <w:rFonts w:eastAsia="Times New Roman"/>
        </w:rPr>
      </w:r>
      <w:r w:rsidRPr="00FE0616">
        <w:rPr>
          <w:rFonts w:eastAsia="Times New Roman"/>
        </w:rPr>
        <w:fldChar w:fldCharType="separate"/>
      </w:r>
      <w:r w:rsidRPr="00FE0616" w:rsidR="00FE0616">
        <w:rPr>
          <w:rFonts w:eastAsia="Times New Roman"/>
          <w:noProof/>
        </w:rPr>
        <w:t>37</w:t>
      </w:r>
      <w:r w:rsidRPr="00FE0616">
        <w:rPr>
          <w:rFonts w:eastAsia="Times New Roman"/>
        </w:rPr>
        <w:fldChar w:fldCharType="end"/>
      </w:r>
      <w:r w:rsidRPr="00FE0616">
        <w:rPr>
          <w:rFonts w:eastAsia="Times New Roman"/>
        </w:rPr>
        <w:t xml:space="preserve"> below).</w:t>
      </w:r>
    </w:p>
    <w:bookmarkStart w:name="reasoning_outstanding_judgment_2016" w:id="22"/>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33</w:t>
      </w:r>
      <w:r w:rsidRPr="00FE0616">
        <w:rPr>
          <w:rFonts w:eastAsia="Times New Roman"/>
        </w:rPr>
        <w:fldChar w:fldCharType="end"/>
      </w:r>
      <w:bookmarkEnd w:id="22"/>
      <w:r w:rsidRPr="00FE0616">
        <w:rPr>
          <w:rFonts w:eastAsia="Times New Roman"/>
        </w:rPr>
        <w:t>.  However, the court indicated that, even if it could no longer assess the lawfulness of the said warrant, according to Article 148 of the TPC (see paragraph</w:t>
      </w:r>
      <w:r w:rsidRPr="00FE0616" w:rsidR="008F6E49">
        <w:rPr>
          <w:rFonts w:eastAsia="Times New Roman"/>
        </w:rPr>
        <w:t> </w:t>
      </w:r>
      <w:r w:rsidRPr="00FE0616">
        <w:rPr>
          <w:rFonts w:eastAsia="Times New Roman"/>
        </w:rPr>
        <w:fldChar w:fldCharType="begin"/>
      </w:r>
      <w:r w:rsidRPr="00FE0616" w:rsidR="00394A1C">
        <w:rPr>
          <w:rFonts w:eastAsia="Times New Roman"/>
        </w:rPr>
        <w:instrText xml:space="preserve"> REF art148FCP \h </w:instrText>
      </w:r>
      <w:r w:rsidRPr="00FE0616">
        <w:rPr>
          <w:rFonts w:eastAsia="Times New Roman"/>
        </w:rPr>
      </w:r>
      <w:r w:rsidRPr="00FE0616">
        <w:rPr>
          <w:rFonts w:eastAsia="Times New Roman"/>
        </w:rPr>
        <w:fldChar w:fldCharType="separate"/>
      </w:r>
      <w:r w:rsidRPr="00FE0616" w:rsidR="00FE0616">
        <w:rPr>
          <w:rFonts w:eastAsia="Times New Roman"/>
          <w:noProof/>
        </w:rPr>
        <w:t>38</w:t>
      </w:r>
      <w:r w:rsidRPr="00FE0616">
        <w:rPr>
          <w:rFonts w:eastAsia="Times New Roman"/>
        </w:rPr>
        <w:fldChar w:fldCharType="end"/>
      </w:r>
      <w:r w:rsidRPr="00FE0616">
        <w:rPr>
          <w:rFonts w:eastAsia="Times New Roman"/>
        </w:rPr>
        <w:t xml:space="preserve"> below), direct enforcement ended essentially when the tax debt could be considered as extinguished. In the applicant</w:t>
      </w:r>
      <w:r w:rsidRPr="00FE0616" w:rsidR="00FE0616">
        <w:rPr>
          <w:rFonts w:eastAsia="Times New Roman"/>
        </w:rPr>
        <w:t>’</w:t>
      </w:r>
      <w:r w:rsidRPr="00FE0616">
        <w:rPr>
          <w:rFonts w:eastAsia="Times New Roman"/>
        </w:rPr>
        <w:t xml:space="preserve">s case, the warrant of execution had been issued as a result of the initiation of criminal proceedings against her for smuggling. It followed that once the criminal proceedings had been terminated on 31 January 2014, the applicant having been exonerated of any criminal liability (see paragraph </w:t>
      </w:r>
      <w:r w:rsidRPr="00FE0616">
        <w:rPr>
          <w:rFonts w:eastAsia="Times New Roman"/>
        </w:rPr>
        <w:fldChar w:fldCharType="begin"/>
      </w:r>
      <w:r w:rsidRPr="00FE0616" w:rsidR="00394A1C">
        <w:rPr>
          <w:rFonts w:eastAsia="Times New Roman"/>
        </w:rPr>
        <w:instrText xml:space="preserve"> REF Prosecutor_terminates \h </w:instrText>
      </w:r>
      <w:r w:rsidRPr="00FE0616">
        <w:rPr>
          <w:rFonts w:eastAsia="Times New Roman"/>
        </w:rPr>
      </w:r>
      <w:r w:rsidRPr="00FE0616">
        <w:rPr>
          <w:rFonts w:eastAsia="Times New Roman"/>
        </w:rPr>
        <w:fldChar w:fldCharType="separate"/>
      </w:r>
      <w:r w:rsidRPr="00FE0616" w:rsidR="00FE0616">
        <w:rPr>
          <w:rFonts w:eastAsia="Times New Roman"/>
          <w:noProof/>
        </w:rPr>
        <w:t>10</w:t>
      </w:r>
      <w:r w:rsidRPr="00FE0616">
        <w:rPr>
          <w:rFonts w:eastAsia="Times New Roman"/>
        </w:rPr>
        <w:fldChar w:fldCharType="end"/>
      </w:r>
      <w:r w:rsidRPr="00FE0616">
        <w:rPr>
          <w:rFonts w:eastAsia="Times New Roman"/>
        </w:rPr>
        <w:t xml:space="preserve"> above), the tax debt had been extinguished and the applicant had been discharged of any obligation to pay damages caused by the alleged criminal act. It followed that the applicant could no longer be considered a “tax debtor”, given the lack of any tax-law relationship between her and the tax authority.</w:t>
      </w:r>
    </w:p>
    <w:bookmarkStart w:name="never_enforced" w:id="23"/>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34</w:t>
      </w:r>
      <w:r w:rsidRPr="00FE0616">
        <w:rPr>
          <w:rFonts w:eastAsia="Times New Roman"/>
        </w:rPr>
        <w:fldChar w:fldCharType="end"/>
      </w:r>
      <w:bookmarkEnd w:id="23"/>
      <w:r w:rsidRPr="00FE0616">
        <w:rPr>
          <w:rFonts w:eastAsia="Times New Roman"/>
        </w:rPr>
        <w:t>.  It appears that at the date of the latest information available to the Court (19 February 2018), this judgment had not been enforced, in spite of the applicant</w:t>
      </w:r>
      <w:r w:rsidRPr="00FE0616" w:rsidR="00FE0616">
        <w:rPr>
          <w:rFonts w:eastAsia="Times New Roman"/>
        </w:rPr>
        <w:t>’</w:t>
      </w:r>
      <w:r w:rsidRPr="00FE0616">
        <w:rPr>
          <w:rFonts w:eastAsia="Times New Roman"/>
        </w:rPr>
        <w:t>s efforts thereto, which included written requests sent to the tax authority, the last one dating 10 October 2016.</w:t>
      </w:r>
    </w:p>
    <w:bookmarkStart w:name="new_seizure_2017" w:id="24"/>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35</w:t>
      </w:r>
      <w:r w:rsidRPr="00FE0616">
        <w:rPr>
          <w:rFonts w:eastAsia="Times New Roman"/>
        </w:rPr>
        <w:fldChar w:fldCharType="end"/>
      </w:r>
      <w:bookmarkEnd w:id="24"/>
      <w:r w:rsidRPr="00FE0616">
        <w:rPr>
          <w:rFonts w:eastAsia="Times New Roman"/>
        </w:rPr>
        <w:t>.  On 9 February 2017 the tax authority issued a new decision for the seizure (</w:t>
      </w:r>
      <w:proofErr w:type="spellStart"/>
      <w:r w:rsidRPr="00FE0616">
        <w:rPr>
          <w:rFonts w:eastAsia="Times New Roman"/>
          <w:i/>
        </w:rPr>
        <w:t>sechestru</w:t>
      </w:r>
      <w:proofErr w:type="spellEnd"/>
      <w:r w:rsidRPr="00FE0616">
        <w:rPr>
          <w:rFonts w:eastAsia="Times New Roman"/>
        </w:rPr>
        <w:t>) of the applicant</w:t>
      </w:r>
      <w:r w:rsidRPr="00FE0616" w:rsidR="00FE0616">
        <w:rPr>
          <w:rFonts w:eastAsia="Times New Roman"/>
        </w:rPr>
        <w:t>’</w:t>
      </w:r>
      <w:r w:rsidRPr="00FE0616">
        <w:rPr>
          <w:rFonts w:eastAsia="Times New Roman"/>
        </w:rPr>
        <w:t>s property, with the aim of securing payment of a total of RON 61,780 (approximately EUR 13,730). The parties have not submitted any further information in relation to this measure taken by the tax authority.</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36</w:t>
      </w:r>
      <w:r w:rsidRPr="00FE0616">
        <w:rPr>
          <w:rFonts w:eastAsia="Times New Roman"/>
        </w:rPr>
        <w:fldChar w:fldCharType="end"/>
      </w:r>
      <w:r w:rsidRPr="00FE0616">
        <w:rPr>
          <w:rFonts w:eastAsia="Times New Roman"/>
        </w:rPr>
        <w:t>.  In their observations, the Government indicated that the total amount owed by the applicant on 27 December 2017 was RON</w:t>
      </w:r>
      <w:r w:rsidRPr="00FE0616" w:rsidR="008F6E49">
        <w:rPr>
          <w:rFonts w:eastAsia="Times New Roman"/>
        </w:rPr>
        <w:t> </w:t>
      </w:r>
      <w:r w:rsidRPr="00FE0616">
        <w:rPr>
          <w:rFonts w:eastAsia="Times New Roman"/>
        </w:rPr>
        <w:t>83,228 (approximately EUR 18,495), in view of the penalties which had continued to accrue as a result of the debt not having been paid.</w:t>
      </w:r>
    </w:p>
    <w:p w:rsidRPr="00FE0616" w:rsidR="006263A0" w:rsidP="00FE0616" w:rsidRDefault="006263A0">
      <w:pPr>
        <w:pStyle w:val="JuHHead"/>
        <w:keepNext w:val="0"/>
        <w:keepLines w:val="0"/>
        <w:numPr>
          <w:ilvl w:val="0"/>
          <w:numId w:val="1"/>
        </w:numPr>
      </w:pPr>
      <w:r w:rsidRPr="00FE0616">
        <w:t>RELEVANT LEGAL FRAMEWORK</w:t>
      </w:r>
    </w:p>
    <w:p w:rsidRPr="00FE0616" w:rsidR="006263A0" w:rsidP="00FE0616" w:rsidRDefault="006263A0">
      <w:pPr>
        <w:pStyle w:val="JuHIRoman"/>
        <w:keepNext w:val="0"/>
        <w:keepLines w:val="0"/>
        <w:numPr>
          <w:ilvl w:val="1"/>
          <w:numId w:val="1"/>
        </w:numPr>
      </w:pPr>
      <w:r w:rsidRPr="00FE0616">
        <w:rPr>
          <w:rFonts w:ascii="Times New Roman" w:hAnsi="Times New Roman" w:eastAsia="Times New Roman" w:cs="Times New Roman"/>
          <w:color w:val="000000"/>
        </w:rPr>
        <w:t>TAX Procedure Code</w:t>
      </w:r>
      <w:r w:rsidRPr="00FE0616" w:rsidDel="008D0C74">
        <w:t xml:space="preserve"> </w:t>
      </w:r>
      <w:r w:rsidRPr="00FE0616">
        <w:t>(“the</w:t>
      </w:r>
      <w:r w:rsidRPr="00FE0616" w:rsidDel="008D0C74">
        <w:t xml:space="preserve"> </w:t>
      </w:r>
      <w:r w:rsidRPr="00FE0616">
        <w:t>TPC”)</w:t>
      </w:r>
    </w:p>
    <w:bookmarkStart w:name="art205FCP" w:id="25"/>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37</w:t>
      </w:r>
      <w:r w:rsidRPr="00FE0616">
        <w:rPr>
          <w:rFonts w:eastAsia="Times New Roman"/>
        </w:rPr>
        <w:fldChar w:fldCharType="end"/>
      </w:r>
      <w:bookmarkEnd w:id="25"/>
      <w:r w:rsidRPr="00FE0616">
        <w:rPr>
          <w:rFonts w:eastAsia="Times New Roman"/>
        </w:rPr>
        <w:t>.  Articles 205-18 of the TPC as in force at the relevant time set out the procedure to challenge a decision issued by the tax authority; the time-limit was set for thirty days from the moment of notification and the request for annulment should be lodged with the authority which had issued the contested decision. The response given by the tax authority could in its turn be challenged before the domestic courts in accordance with the rules of administrative procedure, specifically within thirty days of notification, or, if there was no response, within six months of the initial challenge having been lodged.</w:t>
      </w:r>
    </w:p>
    <w:bookmarkStart w:name="art148FCP" w:id="26"/>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38</w:t>
      </w:r>
      <w:r w:rsidRPr="00FE0616">
        <w:rPr>
          <w:rFonts w:eastAsia="Times New Roman"/>
        </w:rPr>
        <w:fldChar w:fldCharType="end"/>
      </w:r>
      <w:bookmarkEnd w:id="26"/>
      <w:r w:rsidRPr="00FE0616">
        <w:rPr>
          <w:rFonts w:eastAsia="Times New Roman"/>
        </w:rPr>
        <w:t>.  Article 148 of TPC set out the circumstances in which direct enforcement could cease as follows:</w:t>
      </w:r>
    </w:p>
    <w:p w:rsidRPr="00FE0616" w:rsidR="006263A0" w:rsidP="00FE0616" w:rsidRDefault="006263A0">
      <w:pPr>
        <w:pStyle w:val="JuHArticle"/>
        <w:keepNext w:val="0"/>
        <w:rPr>
          <w:rFonts w:eastAsia="Times New Roman"/>
        </w:rPr>
      </w:pPr>
      <w:r w:rsidRPr="00FE0616">
        <w:rPr>
          <w:rFonts w:eastAsia="Times New Roman"/>
        </w:rPr>
        <w:t>Article 148</w:t>
      </w:r>
    </w:p>
    <w:p w:rsidRPr="00FE0616" w:rsidR="006263A0" w:rsidP="00FE0616" w:rsidRDefault="006263A0">
      <w:pPr>
        <w:pStyle w:val="JuQuot"/>
        <w:rPr>
          <w:rFonts w:eastAsia="Times New Roman"/>
        </w:rPr>
      </w:pPr>
      <w:r w:rsidRPr="00FE0616">
        <w:rPr>
          <w:rFonts w:eastAsia="Times New Roman"/>
        </w:rPr>
        <w:t>“Direct enforcement ceases if:</w:t>
      </w:r>
    </w:p>
    <w:p w:rsidRPr="00FE0616" w:rsidR="006263A0" w:rsidP="00FE0616" w:rsidRDefault="006263A0">
      <w:pPr>
        <w:pStyle w:val="JuQuot"/>
        <w:rPr>
          <w:rFonts w:eastAsia="Times New Roman"/>
        </w:rPr>
      </w:pPr>
      <w:r w:rsidRPr="00FE0616">
        <w:rPr>
          <w:rFonts w:eastAsia="Times New Roman"/>
        </w:rPr>
        <w:t>a) the tax obligation stipulated in the warrant of enforcement, including the obligations of payment of the accessories, the costs for enforcement and any other amounts settled by the debtor, according to the law, have been extinguished in full;</w:t>
      </w:r>
    </w:p>
    <w:p w:rsidRPr="00FE0616" w:rsidR="006263A0" w:rsidP="00FE0616" w:rsidRDefault="006263A0">
      <w:pPr>
        <w:pStyle w:val="JuQuot"/>
        <w:rPr>
          <w:rFonts w:eastAsia="Times New Roman"/>
        </w:rPr>
      </w:pPr>
      <w:r w:rsidRPr="00FE0616">
        <w:rPr>
          <w:rFonts w:eastAsia="Times New Roman"/>
        </w:rPr>
        <w:t xml:space="preserve">b) </w:t>
      </w:r>
      <w:proofErr w:type="gramStart"/>
      <w:r w:rsidRPr="00FE0616">
        <w:rPr>
          <w:rFonts w:eastAsia="Times New Roman"/>
        </w:rPr>
        <w:t>the</w:t>
      </w:r>
      <w:proofErr w:type="gramEnd"/>
      <w:r w:rsidRPr="00FE0616">
        <w:rPr>
          <w:rFonts w:eastAsia="Times New Roman"/>
        </w:rPr>
        <w:t xml:space="preserve"> enforceable title was annulled;</w:t>
      </w:r>
    </w:p>
    <w:p w:rsidRPr="00FE0616" w:rsidR="006263A0" w:rsidP="00FE0616" w:rsidRDefault="006263A0">
      <w:pPr>
        <w:pStyle w:val="JuQuot"/>
        <w:rPr>
          <w:rFonts w:eastAsia="Times New Roman"/>
        </w:rPr>
      </w:pPr>
      <w:r w:rsidRPr="00FE0616">
        <w:rPr>
          <w:rFonts w:eastAsia="Times New Roman"/>
        </w:rPr>
        <w:t xml:space="preserve">c) </w:t>
      </w:r>
      <w:proofErr w:type="gramStart"/>
      <w:r w:rsidRPr="00FE0616">
        <w:rPr>
          <w:rFonts w:eastAsia="Times New Roman"/>
        </w:rPr>
        <w:t>any</w:t>
      </w:r>
      <w:proofErr w:type="gramEnd"/>
      <w:r w:rsidRPr="00FE0616">
        <w:rPr>
          <w:rFonts w:eastAsia="Times New Roman"/>
        </w:rPr>
        <w:t xml:space="preserve"> other circumstances prescribed by law.”</w:t>
      </w:r>
    </w:p>
    <w:p w:rsidRPr="00FE0616" w:rsidR="006263A0" w:rsidP="00FE0616" w:rsidRDefault="006263A0">
      <w:pPr>
        <w:pStyle w:val="JuHIRoman"/>
        <w:keepNext w:val="0"/>
        <w:keepLines w:val="0"/>
        <w:numPr>
          <w:ilvl w:val="1"/>
          <w:numId w:val="1"/>
        </w:numPr>
        <w:rPr>
          <w:rFonts w:eastAsia="Times New Roman"/>
        </w:rPr>
      </w:pPr>
      <w:r w:rsidRPr="00FE0616">
        <w:rPr>
          <w:rFonts w:eastAsia="Times New Roman"/>
        </w:rPr>
        <w:t>Code of civil procedure</w:t>
      </w:r>
    </w:p>
    <w:bookmarkStart w:name="res_judicata_CCP" w:id="27"/>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39</w:t>
      </w:r>
      <w:r w:rsidRPr="00FE0616">
        <w:rPr>
          <w:rFonts w:eastAsia="Times New Roman"/>
        </w:rPr>
        <w:fldChar w:fldCharType="end"/>
      </w:r>
      <w:bookmarkEnd w:id="27"/>
      <w:r w:rsidRPr="00FE0616">
        <w:rPr>
          <w:rFonts w:eastAsia="Times New Roman"/>
        </w:rPr>
        <w:t xml:space="preserve">.  The principle of </w:t>
      </w:r>
      <w:r w:rsidRPr="00FE0616">
        <w:rPr>
          <w:rFonts w:eastAsia="Times New Roman"/>
          <w:i/>
        </w:rPr>
        <w:t>r</w:t>
      </w:r>
      <w:r w:rsidRPr="00FE0616">
        <w:rPr>
          <w:rFonts w:eastAsia="Times New Roman"/>
          <w:i/>
          <w:iCs/>
        </w:rPr>
        <w:t>es judicata</w:t>
      </w:r>
      <w:r w:rsidRPr="00FE0616" w:rsidR="008F6E49">
        <w:rPr>
          <w:rFonts w:eastAsia="Times New Roman"/>
          <w:i/>
          <w:iCs/>
        </w:rPr>
        <w:t xml:space="preserve"> </w:t>
      </w:r>
      <w:r w:rsidRPr="00FE0616">
        <w:rPr>
          <w:rFonts w:eastAsia="Times New Roman"/>
        </w:rPr>
        <w:t>and the binding character of judgments under Romanian civil-procedure law are set out in Articles 430-35 of the Code of Civil Procedure as follows: judgments of the civil courts are binding on the parties and their successors.</w:t>
      </w:r>
      <w:r w:rsidRPr="00FE0616" w:rsidR="008F6E49">
        <w:rPr>
          <w:rFonts w:eastAsia="Times New Roman"/>
        </w:rPr>
        <w:t xml:space="preserve"> </w:t>
      </w:r>
      <w:r w:rsidRPr="00FE0616">
        <w:rPr>
          <w:rFonts w:eastAsia="Times New Roman"/>
        </w:rPr>
        <w:t>An issue determined in the court</w:t>
      </w:r>
      <w:r w:rsidRPr="00FE0616" w:rsidR="00FE0616">
        <w:rPr>
          <w:rFonts w:eastAsia="Times New Roman"/>
        </w:rPr>
        <w:t>’</w:t>
      </w:r>
      <w:r w:rsidRPr="00FE0616">
        <w:rPr>
          <w:rFonts w:eastAsia="Times New Roman"/>
        </w:rPr>
        <w:t xml:space="preserve">s holding on the merits is </w:t>
      </w:r>
      <w:r w:rsidRPr="00FE0616">
        <w:rPr>
          <w:rFonts w:eastAsia="Times New Roman"/>
          <w:i/>
          <w:iCs/>
        </w:rPr>
        <w:t>res judicata.</w:t>
      </w:r>
      <w:r w:rsidRPr="00FE0616" w:rsidR="008F6E49">
        <w:rPr>
          <w:rFonts w:eastAsia="Times New Roman"/>
        </w:rPr>
        <w:t xml:space="preserve"> </w:t>
      </w:r>
      <w:r w:rsidRPr="00FE0616">
        <w:rPr>
          <w:rFonts w:eastAsia="Times New Roman"/>
        </w:rPr>
        <w:t>In addition, certain decisive findings on elements directly determinative of the disputed right or obligation may also be seen as</w:t>
      </w:r>
      <w:r w:rsidRPr="00FE0616" w:rsidR="008F6E49">
        <w:rPr>
          <w:rFonts w:eastAsia="Times New Roman"/>
        </w:rPr>
        <w:t xml:space="preserve"> </w:t>
      </w:r>
      <w:r w:rsidRPr="00FE0616">
        <w:rPr>
          <w:rFonts w:eastAsia="Times New Roman"/>
          <w:i/>
          <w:iCs/>
        </w:rPr>
        <w:t>res judicata</w:t>
      </w:r>
      <w:r w:rsidRPr="00FE0616">
        <w:rPr>
          <w:rFonts w:eastAsia="Times New Roman"/>
        </w:rPr>
        <w:t>, whether they appear in the operative part of the judgment or are reflected only in the reasoning part.</w:t>
      </w:r>
    </w:p>
    <w:bookmarkStart w:name="art711_CCP" w:id="28"/>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40</w:t>
      </w:r>
      <w:r w:rsidRPr="00FE0616">
        <w:rPr>
          <w:rFonts w:eastAsia="Times New Roman"/>
        </w:rPr>
        <w:fldChar w:fldCharType="end"/>
      </w:r>
      <w:bookmarkEnd w:id="28"/>
      <w:r w:rsidRPr="00FE0616">
        <w:rPr>
          <w:rFonts w:eastAsia="Times New Roman"/>
        </w:rPr>
        <w:t>.  Articles 711 et seq. set out the conditions in which certain enforcement measures may be challenged before the courts; the time-limit set for such challenges is fifteen days after the notification of the impugned enforcement decision.</w:t>
      </w:r>
    </w:p>
    <w:p w:rsidRPr="00FE0616" w:rsidR="006263A0" w:rsidP="00FE0616" w:rsidRDefault="006263A0">
      <w:pPr>
        <w:pStyle w:val="JuHHead"/>
        <w:keepNext w:val="0"/>
        <w:keepLines w:val="0"/>
        <w:numPr>
          <w:ilvl w:val="0"/>
          <w:numId w:val="1"/>
        </w:numPr>
      </w:pPr>
      <w:r w:rsidRPr="00FE0616">
        <w:t>THE LAW</w:t>
      </w:r>
    </w:p>
    <w:p w:rsidRPr="00FE0616" w:rsidR="006263A0" w:rsidP="00FE0616" w:rsidRDefault="006263A0">
      <w:pPr>
        <w:pStyle w:val="JuHIRoman"/>
        <w:keepNext w:val="0"/>
        <w:keepLines w:val="0"/>
        <w:numPr>
          <w:ilvl w:val="1"/>
          <w:numId w:val="1"/>
        </w:numPr>
      </w:pPr>
      <w:r w:rsidRPr="00FE0616">
        <w:t>ALLEGED VIOLATION OF ARTICLE 1 of Protocol No. 1 to the Convention</w:t>
      </w:r>
    </w:p>
    <w:p w:rsidRPr="00FE0616" w:rsidR="006263A0" w:rsidP="00FE0616" w:rsidRDefault="006263A0">
      <w:pPr>
        <w:pStyle w:val="JuPara"/>
        <w:rPr>
          <w:rFonts w:ascii="Arial" w:hAnsi="Arial" w:eastAsia="Times New Roman" w:cs="Arial"/>
          <w:color w:val="000000"/>
        </w:rPr>
      </w:pPr>
      <w:r w:rsidRPr="00FE0616">
        <w:rPr>
          <w:rFonts w:eastAsia="Times New Roman" w:cs="Times New Roman"/>
        </w:rPr>
        <w:fldChar w:fldCharType="begin"/>
      </w:r>
      <w:r w:rsidRPr="00FE0616">
        <w:rPr>
          <w:rFonts w:eastAsia="Times New Roman" w:cs="Times New Roman"/>
        </w:rPr>
        <w:instrText xml:space="preserve"> SEQ level0 \*arabic </w:instrText>
      </w:r>
      <w:r w:rsidRPr="00FE0616">
        <w:rPr>
          <w:rFonts w:eastAsia="Times New Roman" w:cs="Times New Roman"/>
        </w:rPr>
        <w:fldChar w:fldCharType="separate"/>
      </w:r>
      <w:r w:rsidRPr="00FE0616" w:rsidR="00FE0616">
        <w:rPr>
          <w:rFonts w:eastAsia="Times New Roman" w:cs="Times New Roman"/>
          <w:noProof/>
        </w:rPr>
        <w:t>41</w:t>
      </w:r>
      <w:r w:rsidRPr="00FE0616">
        <w:rPr>
          <w:rFonts w:eastAsia="Times New Roman" w:cs="Times New Roman"/>
        </w:rPr>
        <w:fldChar w:fldCharType="end"/>
      </w:r>
      <w:r w:rsidRPr="00FE0616">
        <w:rPr>
          <w:rFonts w:eastAsia="Times New Roman" w:cs="Times New Roman"/>
        </w:rPr>
        <w:t xml:space="preserve">.  The applicant complained that the judgment given in her favour on </w:t>
      </w:r>
      <w:r w:rsidRPr="00FE0616">
        <w:rPr>
          <w:rFonts w:ascii="Times New Roman" w:hAnsi="Times New Roman" w:eastAsia="Times New Roman" w:cs="Times New Roman"/>
          <w:color w:val="000000"/>
        </w:rPr>
        <w:t>29</w:t>
      </w:r>
      <w:r w:rsidRPr="00FE0616" w:rsidR="008F6E49">
        <w:rPr>
          <w:rFonts w:ascii="Times New Roman" w:hAnsi="Times New Roman" w:eastAsia="Times New Roman" w:cs="Times New Roman"/>
          <w:color w:val="000000"/>
        </w:rPr>
        <w:t> </w:t>
      </w:r>
      <w:r w:rsidRPr="00FE0616">
        <w:rPr>
          <w:rFonts w:ascii="Times New Roman" w:hAnsi="Times New Roman" w:eastAsia="Times New Roman" w:cs="Times New Roman"/>
          <w:color w:val="000000"/>
        </w:rPr>
        <w:t xml:space="preserve">June 2016 (see </w:t>
      </w:r>
      <w:r w:rsidRPr="00FE0616">
        <w:t xml:space="preserve">paragraph </w:t>
      </w:r>
      <w:r w:rsidRPr="00FE0616">
        <w:fldChar w:fldCharType="begin"/>
      </w:r>
      <w:r w:rsidRPr="00FE0616" w:rsidR="00394A1C">
        <w:instrText xml:space="preserve"> REF outstanding_judgment_2016 \h \* MERGEFORMAT </w:instrText>
      </w:r>
      <w:r w:rsidRPr="00FE0616">
        <w:fldChar w:fldCharType="separate"/>
      </w:r>
      <w:r w:rsidRPr="00FE0616" w:rsidR="00FE0616">
        <w:t>30</w:t>
      </w:r>
      <w:r w:rsidRPr="00FE0616">
        <w:fldChar w:fldCharType="end"/>
      </w:r>
      <w:r w:rsidRPr="00FE0616">
        <w:t xml:space="preserve"> above</w:t>
      </w:r>
      <w:r w:rsidRPr="00FE0616">
        <w:rPr>
          <w:rFonts w:ascii="Times New Roman" w:hAnsi="Times New Roman" w:eastAsia="Times New Roman" w:cs="Times New Roman"/>
          <w:color w:val="000000"/>
        </w:rPr>
        <w:t xml:space="preserve">) had </w:t>
      </w:r>
      <w:r w:rsidRPr="00FE0616">
        <w:rPr>
          <w:rFonts w:eastAsia="Times New Roman" w:cs="Times New Roman"/>
        </w:rPr>
        <w:t>remained unenforced, including in connection with the court</w:t>
      </w:r>
      <w:r w:rsidRPr="00FE0616" w:rsidR="00FE0616">
        <w:rPr>
          <w:rFonts w:eastAsia="Times New Roman" w:cs="Times New Roman"/>
        </w:rPr>
        <w:t>’</w:t>
      </w:r>
      <w:r w:rsidRPr="00FE0616">
        <w:rPr>
          <w:rFonts w:eastAsia="Times New Roman" w:cs="Times New Roman"/>
        </w:rPr>
        <w:t>s findings to the effect that she could not be held responsible for damage she had not caused.</w:t>
      </w:r>
    </w:p>
    <w:p w:rsidRPr="00FE0616" w:rsidR="006263A0" w:rsidP="00FE0616" w:rsidRDefault="006263A0">
      <w:pPr>
        <w:pStyle w:val="JuPara"/>
        <w:rPr>
          <w:rFonts w:ascii="Arial" w:hAnsi="Arial" w:eastAsia="Times New Roman" w:cs="Arial"/>
          <w:color w:val="000000"/>
        </w:rPr>
      </w:pPr>
      <w:r w:rsidRPr="00FE0616">
        <w:t>She relied on Article 6 of the Convention</w:t>
      </w:r>
      <w:r w:rsidRPr="00FE0616" w:rsidR="008F6E49">
        <w:t xml:space="preserve"> and Article 1 of Protocol No. </w:t>
      </w:r>
      <w:r w:rsidRPr="00FE0616">
        <w:t>1 to the Convention.</w:t>
      </w:r>
    </w:p>
    <w:p w:rsidRPr="00FE0616" w:rsidR="006263A0" w:rsidP="00FE0616" w:rsidRDefault="006263A0">
      <w:pPr>
        <w:pStyle w:val="JuPara"/>
      </w:pPr>
      <w:r w:rsidRPr="00FE0616">
        <w:rPr>
          <w:rFonts w:eastAsia="Times New Roman" w:cstheme="minorHAnsi"/>
          <w:color w:val="000000"/>
        </w:rPr>
        <w:fldChar w:fldCharType="begin"/>
      </w:r>
      <w:r w:rsidRPr="00FE0616">
        <w:rPr>
          <w:rFonts w:eastAsia="Times New Roman" w:cstheme="minorHAnsi"/>
          <w:color w:val="000000"/>
        </w:rPr>
        <w:instrText xml:space="preserve"> SEQ level0 \*arabic </w:instrText>
      </w:r>
      <w:r w:rsidRPr="00FE0616">
        <w:rPr>
          <w:rFonts w:eastAsia="Times New Roman" w:cstheme="minorHAnsi"/>
          <w:color w:val="000000"/>
        </w:rPr>
        <w:fldChar w:fldCharType="separate"/>
      </w:r>
      <w:r w:rsidRPr="00FE0616" w:rsidR="00FE0616">
        <w:rPr>
          <w:rFonts w:eastAsia="Times New Roman" w:cstheme="minorHAnsi"/>
          <w:noProof/>
          <w:color w:val="000000"/>
        </w:rPr>
        <w:t>42</w:t>
      </w:r>
      <w:r w:rsidRPr="00FE0616">
        <w:rPr>
          <w:rFonts w:eastAsia="Times New Roman" w:cstheme="minorHAnsi"/>
          <w:color w:val="000000"/>
        </w:rPr>
        <w:fldChar w:fldCharType="end"/>
      </w:r>
      <w:r w:rsidRPr="00FE0616">
        <w:rPr>
          <w:rFonts w:eastAsia="Times New Roman" w:cstheme="minorHAnsi"/>
          <w:color w:val="000000"/>
        </w:rPr>
        <w:t>.  Master of characterisation</w:t>
      </w:r>
      <w:r w:rsidRPr="00FE0616">
        <w:rPr>
          <w:rFonts w:ascii="Arial" w:hAnsi="Arial" w:eastAsia="Times New Roman" w:cs="Arial"/>
          <w:color w:val="000000"/>
        </w:rPr>
        <w:t xml:space="preserve"> </w:t>
      </w:r>
      <w:r w:rsidRPr="00FE0616">
        <w:t xml:space="preserve">to be given in law to the facts of the case </w:t>
      </w:r>
      <w:r w:rsidRPr="00FE0616">
        <w:rPr>
          <w:rFonts w:eastAsia="Times New Roman" w:cs="Times New Roman"/>
          <w:color w:val="000000"/>
        </w:rPr>
        <w:t>(</w:t>
      </w:r>
      <w:r w:rsidRPr="00FE0616">
        <w:t xml:space="preserve">see </w:t>
      </w:r>
      <w:proofErr w:type="spellStart"/>
      <w:r w:rsidRPr="00FE0616">
        <w:rPr>
          <w:i/>
        </w:rPr>
        <w:t>Radomilja</w:t>
      </w:r>
      <w:proofErr w:type="spellEnd"/>
      <w:r w:rsidRPr="00FE0616">
        <w:rPr>
          <w:i/>
        </w:rPr>
        <w:t xml:space="preserve"> and Others v. Croatia </w:t>
      </w:r>
      <w:r w:rsidRPr="00FE0616">
        <w:t>[GC], nos. 37685/10 a</w:t>
      </w:r>
      <w:r w:rsidRPr="00FE0616" w:rsidR="008F6E49">
        <w:t xml:space="preserve">nd </w:t>
      </w:r>
      <w:r w:rsidRPr="00FE0616">
        <w:t>22768/12</w:t>
      </w:r>
      <w:r w:rsidRPr="00FE0616" w:rsidR="008F6E49">
        <w:t>, §§ </w:t>
      </w:r>
      <w:r w:rsidRPr="00FE0616">
        <w:t xml:space="preserve">114 and 126, 20 March 2018), which concern essentially tax proceedings against the applicant, the Court considers that </w:t>
      </w:r>
      <w:r w:rsidRPr="00FE0616">
        <w:rPr>
          <w:rFonts w:eastAsia="Times New Roman" w:cs="Times New Roman"/>
          <w:color w:val="000000"/>
        </w:rPr>
        <w:t>these complaints should be examined only from the standpoint of Article 1 of Protocol No. 1 to the Convention</w:t>
      </w:r>
      <w:r w:rsidRPr="00FE0616">
        <w:t>.</w:t>
      </w:r>
    </w:p>
    <w:p w:rsidRPr="00FE0616" w:rsidR="006263A0" w:rsidP="00FE0616" w:rsidRDefault="006263A0">
      <w:pPr>
        <w:pStyle w:val="JuPara"/>
        <w:rPr>
          <w:rFonts w:eastAsia="Times New Roman" w:cs="Times New Roman"/>
        </w:rPr>
      </w:pPr>
      <w:r w:rsidRPr="00FE0616">
        <w:rPr>
          <w:rFonts w:eastAsia="Times New Roman" w:cs="Times New Roman"/>
          <w:color w:val="000000"/>
        </w:rPr>
        <w:t>This provision provides as follows</w:t>
      </w:r>
      <w:r w:rsidRPr="00FE0616">
        <w:rPr>
          <w:rFonts w:ascii="Arial" w:hAnsi="Arial" w:eastAsia="Times New Roman" w:cs="Arial"/>
          <w:color w:val="000000"/>
        </w:rPr>
        <w:t>:</w:t>
      </w:r>
    </w:p>
    <w:p w:rsidRPr="00FE0616" w:rsidR="006263A0" w:rsidP="00FE0616" w:rsidRDefault="006263A0">
      <w:pPr>
        <w:pStyle w:val="JuHArticle"/>
        <w:keepNext w:val="0"/>
        <w:rPr>
          <w:rFonts w:eastAsia="Times New Roman"/>
          <w:sz w:val="17"/>
          <w:szCs w:val="17"/>
          <w:lang w:val="en-US"/>
        </w:rPr>
      </w:pPr>
      <w:r w:rsidRPr="00FE0616">
        <w:rPr>
          <w:rFonts w:eastAsia="Times New Roman"/>
          <w:lang w:val="en-US"/>
        </w:rPr>
        <w:t>Article 1 of Protocol No. 1</w:t>
      </w:r>
    </w:p>
    <w:p w:rsidRPr="00FE0616" w:rsidR="006263A0" w:rsidP="00FE0616" w:rsidRDefault="006263A0">
      <w:pPr>
        <w:pStyle w:val="JuQuot"/>
        <w:rPr>
          <w:rFonts w:eastAsia="Times New Roman" w:cstheme="minorHAnsi"/>
          <w:sz w:val="17"/>
          <w:szCs w:val="17"/>
          <w:lang w:val="en-US"/>
        </w:rPr>
      </w:pPr>
      <w:r w:rsidRPr="00FE0616">
        <w:rPr>
          <w:rFonts w:eastAsia="Times New Roman" w:cstheme="minorHAnsi"/>
          <w:lang w:val="en-US"/>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E0616" w:rsidR="006263A0" w:rsidP="00FE0616" w:rsidRDefault="006263A0">
      <w:pPr>
        <w:pStyle w:val="JuQuot"/>
        <w:rPr>
          <w:rFonts w:eastAsia="Times New Roman" w:cstheme="minorHAnsi"/>
          <w:sz w:val="17"/>
          <w:szCs w:val="17"/>
          <w:lang w:val="en-US"/>
        </w:rPr>
      </w:pPr>
      <w:r w:rsidRPr="00FE0616">
        <w:rPr>
          <w:rFonts w:eastAsia="Times New Roman" w:cstheme="minorHAnsi"/>
          <w:lang w:val="en-US"/>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E0616" w:rsidR="006263A0" w:rsidP="00FE0616" w:rsidRDefault="006263A0">
      <w:pPr>
        <w:pStyle w:val="JuHA"/>
        <w:numPr>
          <w:ilvl w:val="2"/>
          <w:numId w:val="1"/>
        </w:numPr>
      </w:pPr>
      <w:r w:rsidRPr="00FE0616">
        <w:t>Admissibility</w:t>
      </w:r>
    </w:p>
    <w:p w:rsidRPr="00FE0616" w:rsidR="006263A0" w:rsidP="00FE0616" w:rsidRDefault="006263A0">
      <w:pPr>
        <w:pStyle w:val="JuH1"/>
        <w:numPr>
          <w:ilvl w:val="3"/>
          <w:numId w:val="1"/>
        </w:numPr>
      </w:pPr>
      <w:r w:rsidRPr="00FE0616">
        <w:t>The parties</w:t>
      </w:r>
      <w:r w:rsidRPr="00FE0616" w:rsidR="00FE0616">
        <w:t>’</w:t>
      </w:r>
      <w:r w:rsidRPr="00FE0616">
        <w:t xml:space="preserve"> submissions</w:t>
      </w:r>
    </w:p>
    <w:p w:rsidRPr="00FE0616" w:rsidR="006263A0" w:rsidP="00FE0616" w:rsidRDefault="006263A0">
      <w:pPr>
        <w:pStyle w:val="JuHa0"/>
        <w:numPr>
          <w:ilvl w:val="4"/>
          <w:numId w:val="1"/>
        </w:numPr>
      </w:pPr>
      <w:r w:rsidRPr="00FE0616">
        <w:t>The Government</w:t>
      </w:r>
    </w:p>
    <w:bookmarkStart w:name="Govt_objection" w:id="29"/>
    <w:p w:rsidRPr="00FE0616" w:rsidR="006263A0" w:rsidP="00FE0616" w:rsidRDefault="006263A0">
      <w:pPr>
        <w:pStyle w:val="JuPara"/>
        <w:keepNext/>
        <w:keepLines/>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43</w:t>
      </w:r>
      <w:r w:rsidRPr="00FE0616">
        <w:rPr>
          <w:rFonts w:eastAsia="Times New Roman"/>
        </w:rPr>
        <w:fldChar w:fldCharType="end"/>
      </w:r>
      <w:bookmarkEnd w:id="29"/>
      <w:r w:rsidRPr="00FE0616">
        <w:rPr>
          <w:rFonts w:eastAsia="Times New Roman"/>
        </w:rPr>
        <w:t>.  The Government argued that the applicant had failed to exhaust the available domestic remedies, specifically to challenge the wa</w:t>
      </w:r>
      <w:r w:rsidRPr="00FE0616" w:rsidR="008F6E49">
        <w:rPr>
          <w:rFonts w:eastAsia="Times New Roman"/>
        </w:rPr>
        <w:t xml:space="preserve">rrant of execution issued on 23 </w:t>
      </w:r>
      <w:r w:rsidRPr="00FE0616">
        <w:rPr>
          <w:rFonts w:eastAsia="Times New Roman"/>
        </w:rPr>
        <w:t xml:space="preserve">December 2013 (see paragraph </w:t>
      </w:r>
      <w:r w:rsidRPr="00FE0616">
        <w:rPr>
          <w:rFonts w:eastAsia="Times New Roman"/>
        </w:rPr>
        <w:fldChar w:fldCharType="begin"/>
      </w:r>
      <w:r w:rsidRPr="00FE0616" w:rsidR="00394A1C">
        <w:rPr>
          <w:rFonts w:eastAsia="Times New Roman"/>
        </w:rPr>
        <w:instrText xml:space="preserve"> REF fiscal_outstanding_decision \h </w:instrText>
      </w:r>
      <w:r w:rsidRPr="00FE0616">
        <w:rPr>
          <w:rFonts w:eastAsia="Times New Roman"/>
        </w:rPr>
      </w:r>
      <w:r w:rsidRPr="00FE0616">
        <w:rPr>
          <w:rFonts w:eastAsia="Times New Roman"/>
        </w:rPr>
        <w:fldChar w:fldCharType="separate"/>
      </w:r>
      <w:r w:rsidRPr="00FE0616" w:rsidR="00FE0616">
        <w:rPr>
          <w:rFonts w:eastAsia="Times New Roman"/>
          <w:noProof/>
        </w:rPr>
        <w:t>7</w:t>
      </w:r>
      <w:r w:rsidRPr="00FE0616">
        <w:rPr>
          <w:rFonts w:eastAsia="Times New Roman"/>
        </w:rPr>
        <w:fldChar w:fldCharType="end"/>
      </w:r>
      <w:r w:rsidRPr="00FE0616">
        <w:rPr>
          <w:rFonts w:eastAsia="Times New Roman"/>
        </w:rPr>
        <w:t xml:space="preserve"> above) under Article</w:t>
      </w:r>
      <w:r w:rsidRPr="00FE0616" w:rsidR="008F6E49">
        <w:rPr>
          <w:rFonts w:eastAsia="Times New Roman"/>
        </w:rPr>
        <w:t> </w:t>
      </w:r>
      <w:r w:rsidRPr="00FE0616">
        <w:rPr>
          <w:rFonts w:eastAsia="Times New Roman"/>
        </w:rPr>
        <w:t xml:space="preserve">205 of the TPC (see paragraph </w:t>
      </w:r>
      <w:r w:rsidRPr="00FE0616">
        <w:rPr>
          <w:rFonts w:eastAsia="Times New Roman"/>
        </w:rPr>
        <w:fldChar w:fldCharType="begin"/>
      </w:r>
      <w:r w:rsidRPr="00FE0616" w:rsidR="00394A1C">
        <w:rPr>
          <w:rFonts w:eastAsia="Times New Roman"/>
        </w:rPr>
        <w:instrText xml:space="preserve"> REF art205FCP \h </w:instrText>
      </w:r>
      <w:r w:rsidRPr="00FE0616">
        <w:rPr>
          <w:rFonts w:eastAsia="Times New Roman"/>
        </w:rPr>
      </w:r>
      <w:r w:rsidRPr="00FE0616">
        <w:rPr>
          <w:rFonts w:eastAsia="Times New Roman"/>
        </w:rPr>
        <w:fldChar w:fldCharType="separate"/>
      </w:r>
      <w:r w:rsidRPr="00FE0616" w:rsidR="00FE0616">
        <w:rPr>
          <w:rFonts w:eastAsia="Times New Roman"/>
          <w:noProof/>
        </w:rPr>
        <w:t>37</w:t>
      </w:r>
      <w:r w:rsidRPr="00FE0616">
        <w:rPr>
          <w:rFonts w:eastAsia="Times New Roman"/>
        </w:rPr>
        <w:fldChar w:fldCharType="end"/>
      </w:r>
      <w:r w:rsidRPr="00FE0616">
        <w:rPr>
          <w:rFonts w:eastAsia="Times New Roman"/>
        </w:rPr>
        <w:t xml:space="preserve"> above). They claimed that as long as that warrant had been valid, all enforcement measures taken against the applicant had been lawful.</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44</w:t>
      </w:r>
      <w:r w:rsidRPr="00FE0616">
        <w:rPr>
          <w:rFonts w:eastAsia="Times New Roman"/>
        </w:rPr>
        <w:fldChar w:fldCharType="end"/>
      </w:r>
      <w:r w:rsidRPr="00FE0616">
        <w:rPr>
          <w:rFonts w:eastAsia="Times New Roman"/>
        </w:rPr>
        <w:t>.  They further submitted that while the two sets of proceedings – administrative and criminal – had been intertwined, their outcome had not necessarily been interdependent. Therefore the applicant had not been bound to wait for the outcome of the criminal proceedings before exhausting the administrative remedies.</w:t>
      </w:r>
    </w:p>
    <w:p w:rsidRPr="00FE0616" w:rsidR="006263A0" w:rsidP="00FE0616" w:rsidRDefault="006263A0">
      <w:pPr>
        <w:pStyle w:val="JuHa0"/>
        <w:keepNext w:val="0"/>
        <w:keepLines w:val="0"/>
        <w:numPr>
          <w:ilvl w:val="4"/>
          <w:numId w:val="1"/>
        </w:numPr>
        <w:rPr>
          <w:rFonts w:eastAsia="Times New Roman"/>
        </w:rPr>
      </w:pPr>
      <w:r w:rsidRPr="00FE0616">
        <w:rPr>
          <w:rFonts w:eastAsia="Times New Roman"/>
        </w:rPr>
        <w:t>The applicant</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45</w:t>
      </w:r>
      <w:r w:rsidRPr="00FE0616">
        <w:rPr>
          <w:rFonts w:eastAsia="Times New Roman"/>
        </w:rPr>
        <w:fldChar w:fldCharType="end"/>
      </w:r>
      <w:r w:rsidRPr="00FE0616">
        <w:rPr>
          <w:rFonts w:eastAsia="Times New Roman"/>
        </w:rPr>
        <w:t>.  The applicant argued that she had exhausted all the remedies available in the domestic judicial system. She had sought the annulment of the decision of 23 December 2013 by faxing her request to the customs authority on 2</w:t>
      </w:r>
      <w:r w:rsidRPr="00FE0616" w:rsidR="008F6E49">
        <w:rPr>
          <w:rFonts w:eastAsia="Times New Roman"/>
        </w:rPr>
        <w:t xml:space="preserve"> </w:t>
      </w:r>
      <w:r w:rsidRPr="00FE0616">
        <w:rPr>
          <w:rFonts w:eastAsia="Times New Roman"/>
        </w:rPr>
        <w:t xml:space="preserve">July 2014 (see paragraph </w:t>
      </w:r>
      <w:r w:rsidRPr="00FE0616">
        <w:rPr>
          <w:rFonts w:eastAsia="Times New Roman"/>
        </w:rPr>
        <w:fldChar w:fldCharType="begin"/>
      </w:r>
      <w:r w:rsidRPr="00FE0616" w:rsidR="00394A1C">
        <w:rPr>
          <w:rFonts w:eastAsia="Times New Roman"/>
        </w:rPr>
        <w:instrText xml:space="preserve"> REF applicant_challenge_fax \h </w:instrText>
      </w:r>
      <w:r w:rsidRPr="00FE0616">
        <w:rPr>
          <w:rFonts w:eastAsia="Times New Roman"/>
        </w:rPr>
      </w:r>
      <w:r w:rsidRPr="00FE0616">
        <w:rPr>
          <w:rFonts w:eastAsia="Times New Roman"/>
        </w:rPr>
        <w:fldChar w:fldCharType="separate"/>
      </w:r>
      <w:r w:rsidRPr="00FE0616" w:rsidR="00FE0616">
        <w:rPr>
          <w:rFonts w:eastAsia="Times New Roman"/>
          <w:noProof/>
        </w:rPr>
        <w:t>13</w:t>
      </w:r>
      <w:r w:rsidRPr="00FE0616">
        <w:rPr>
          <w:rFonts w:eastAsia="Times New Roman"/>
        </w:rPr>
        <w:fldChar w:fldCharType="end"/>
      </w:r>
      <w:r w:rsidRPr="00FE0616">
        <w:rPr>
          <w:rFonts w:eastAsia="Times New Roman"/>
        </w:rPr>
        <w:t xml:space="preserve"> above); in support of her request, she appended a copy of the prosecutor</w:t>
      </w:r>
      <w:r w:rsidRPr="00FE0616" w:rsidR="00FE0616">
        <w:rPr>
          <w:rFonts w:eastAsia="Times New Roman"/>
        </w:rPr>
        <w:t>’</w:t>
      </w:r>
      <w:r w:rsidRPr="00FE0616">
        <w:rPr>
          <w:rFonts w:eastAsia="Times New Roman"/>
        </w:rPr>
        <w:t>s decision to terminate the criminal proceedings against her. In any event, she argued that it had been the tax authority</w:t>
      </w:r>
      <w:r w:rsidRPr="00FE0616" w:rsidR="00FE0616">
        <w:rPr>
          <w:rFonts w:eastAsia="Times New Roman"/>
        </w:rPr>
        <w:t>’</w:t>
      </w:r>
      <w:r w:rsidRPr="00FE0616">
        <w:rPr>
          <w:rFonts w:eastAsia="Times New Roman"/>
        </w:rPr>
        <w:t>s duty and interest to stay informed about the outcome of the criminal case which had been initiated against her, in the light of the fact that its civil claims would have to be pursued against the real perpetrator, whoever that person might be.</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46</w:t>
      </w:r>
      <w:r w:rsidRPr="00FE0616">
        <w:rPr>
          <w:rFonts w:eastAsia="Times New Roman"/>
        </w:rPr>
        <w:fldChar w:fldCharType="end"/>
      </w:r>
      <w:r w:rsidRPr="00FE0616">
        <w:rPr>
          <w:rFonts w:eastAsia="Times New Roman"/>
        </w:rPr>
        <w:t xml:space="preserve">.  The applicant had interpreted the lack of any written reply to her request faxed to the customs authority as a positive sign until she had been notified of the decisions of November 2014 placing a mortgage on her property (see paragraph </w:t>
      </w:r>
      <w:r w:rsidRPr="00FE0616">
        <w:rPr>
          <w:rFonts w:eastAsia="Times New Roman"/>
        </w:rPr>
        <w:fldChar w:fldCharType="begin"/>
      </w:r>
      <w:r w:rsidRPr="00FE0616" w:rsidR="00394A1C">
        <w:rPr>
          <w:rFonts w:eastAsia="Times New Roman"/>
        </w:rPr>
        <w:instrText xml:space="preserve"> REF notif_ipoteca_november \h </w:instrText>
      </w:r>
      <w:r w:rsidRPr="00FE0616">
        <w:rPr>
          <w:rFonts w:eastAsia="Times New Roman"/>
        </w:rPr>
      </w:r>
      <w:r w:rsidRPr="00FE0616">
        <w:rPr>
          <w:rFonts w:eastAsia="Times New Roman"/>
        </w:rPr>
        <w:fldChar w:fldCharType="separate"/>
      </w:r>
      <w:r w:rsidRPr="00FE0616" w:rsidR="00FE0616">
        <w:rPr>
          <w:rFonts w:eastAsia="Times New Roman"/>
          <w:noProof/>
        </w:rPr>
        <w:t>24</w:t>
      </w:r>
      <w:r w:rsidRPr="00FE0616">
        <w:rPr>
          <w:rFonts w:eastAsia="Times New Roman"/>
        </w:rPr>
        <w:fldChar w:fldCharType="end"/>
      </w:r>
      <w:r w:rsidRPr="00FE0616">
        <w:rPr>
          <w:rFonts w:eastAsia="Times New Roman"/>
        </w:rPr>
        <w:t xml:space="preserve"> above).</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47</w:t>
      </w:r>
      <w:r w:rsidRPr="00FE0616">
        <w:rPr>
          <w:rFonts w:eastAsia="Times New Roman"/>
        </w:rPr>
        <w:fldChar w:fldCharType="end"/>
      </w:r>
      <w:r w:rsidRPr="00FE0616">
        <w:rPr>
          <w:rFonts w:eastAsia="Times New Roman"/>
        </w:rPr>
        <w:t>.  At that juncture, she had decided to lodge complaints with the domestic courts, both in accordance with Article 205 of the TPC (see paragraph</w:t>
      </w:r>
      <w:r w:rsidRPr="00FE0616" w:rsidR="008F6E49">
        <w:rPr>
          <w:rFonts w:eastAsia="Times New Roman"/>
        </w:rPr>
        <w:t> </w:t>
      </w:r>
      <w:r w:rsidRPr="00FE0616">
        <w:rPr>
          <w:rFonts w:eastAsia="Times New Roman"/>
        </w:rPr>
        <w:fldChar w:fldCharType="begin"/>
      </w:r>
      <w:r w:rsidRPr="00FE0616" w:rsidR="00394A1C">
        <w:rPr>
          <w:rFonts w:eastAsia="Times New Roman"/>
        </w:rPr>
        <w:instrText xml:space="preserve"> REF para_16 \h </w:instrText>
      </w:r>
      <w:r w:rsidRPr="00FE0616">
        <w:rPr>
          <w:rFonts w:eastAsia="Times New Roman"/>
        </w:rPr>
      </w:r>
      <w:r w:rsidRPr="00FE0616">
        <w:rPr>
          <w:rFonts w:eastAsia="Times New Roman"/>
        </w:rPr>
        <w:fldChar w:fldCharType="separate"/>
      </w:r>
      <w:r w:rsidRPr="00FE0616" w:rsidR="00FE0616">
        <w:rPr>
          <w:rFonts w:eastAsia="Times New Roman"/>
          <w:noProof/>
        </w:rPr>
        <w:t>16</w:t>
      </w:r>
      <w:r w:rsidRPr="00FE0616">
        <w:rPr>
          <w:rFonts w:eastAsia="Times New Roman"/>
        </w:rPr>
        <w:fldChar w:fldCharType="end"/>
      </w:r>
      <w:r w:rsidRPr="00FE0616">
        <w:rPr>
          <w:rFonts w:eastAsia="Times New Roman"/>
        </w:rPr>
        <w:t xml:space="preserve"> above) and in accordance with the relevant provisions of the Code of Civil Procedure (see paragraph </w:t>
      </w:r>
      <w:r w:rsidRPr="00FE0616">
        <w:rPr>
          <w:rFonts w:eastAsia="Times New Roman"/>
        </w:rPr>
        <w:fldChar w:fldCharType="begin"/>
      </w:r>
      <w:r w:rsidRPr="00FE0616" w:rsidR="00394A1C">
        <w:rPr>
          <w:rFonts w:eastAsia="Times New Roman"/>
        </w:rPr>
        <w:instrText xml:space="preserve"> REF applicant_711 \h </w:instrText>
      </w:r>
      <w:r w:rsidRPr="00FE0616">
        <w:rPr>
          <w:rFonts w:eastAsia="Times New Roman"/>
        </w:rPr>
      </w:r>
      <w:r w:rsidRPr="00FE0616">
        <w:rPr>
          <w:rFonts w:eastAsia="Times New Roman"/>
        </w:rPr>
        <w:fldChar w:fldCharType="separate"/>
      </w:r>
      <w:r w:rsidRPr="00FE0616" w:rsidR="00FE0616">
        <w:rPr>
          <w:rFonts w:eastAsia="Times New Roman"/>
          <w:noProof/>
        </w:rPr>
        <w:t>26</w:t>
      </w:r>
      <w:r w:rsidRPr="00FE0616">
        <w:rPr>
          <w:rFonts w:eastAsia="Times New Roman"/>
        </w:rPr>
        <w:fldChar w:fldCharType="end"/>
      </w:r>
      <w:r w:rsidRPr="00FE0616">
        <w:rPr>
          <w:rFonts w:eastAsia="Times New Roman"/>
        </w:rPr>
        <w:t xml:space="preserve"> above). The outcome of those cases had been partly in her favour, but in spite of that, the domestic courts</w:t>
      </w:r>
      <w:r w:rsidRPr="00FE0616" w:rsidR="00FE0616">
        <w:rPr>
          <w:rFonts w:eastAsia="Times New Roman"/>
        </w:rPr>
        <w:t>’</w:t>
      </w:r>
      <w:r w:rsidRPr="00FE0616">
        <w:rPr>
          <w:rFonts w:eastAsia="Times New Roman"/>
        </w:rPr>
        <w:t xml:space="preserve"> decision to annul the seizure title had not been enforced.</w:t>
      </w:r>
    </w:p>
    <w:p w:rsidRPr="00FE0616" w:rsidR="006263A0" w:rsidP="00FE0616" w:rsidRDefault="006263A0">
      <w:pPr>
        <w:pStyle w:val="JuH1"/>
        <w:keepNext w:val="0"/>
        <w:keepLines w:val="0"/>
        <w:numPr>
          <w:ilvl w:val="3"/>
          <w:numId w:val="1"/>
        </w:numPr>
        <w:rPr>
          <w:rFonts w:eastAsia="Times New Roman"/>
        </w:rPr>
      </w:pPr>
      <w:r w:rsidRPr="00FE0616">
        <w:rPr>
          <w:rFonts w:eastAsia="Times New Roman"/>
        </w:rPr>
        <w:t>The Court</w:t>
      </w:r>
      <w:r w:rsidRPr="00FE0616" w:rsidR="00FE0616">
        <w:rPr>
          <w:rFonts w:eastAsia="Times New Roman"/>
        </w:rPr>
        <w:t>’</w:t>
      </w:r>
      <w:r w:rsidRPr="00FE0616">
        <w:rPr>
          <w:rFonts w:eastAsia="Times New Roman"/>
        </w:rPr>
        <w:t>s assessment</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48</w:t>
      </w:r>
      <w:r w:rsidRPr="00FE0616">
        <w:rPr>
          <w:rFonts w:eastAsia="Times New Roman"/>
        </w:rPr>
        <w:fldChar w:fldCharType="end"/>
      </w:r>
      <w:r w:rsidRPr="00FE0616">
        <w:rPr>
          <w:rFonts w:eastAsia="Times New Roman"/>
        </w:rPr>
        <w:t>.  The Court notes that the applicant complained of the non</w:t>
      </w:r>
      <w:r w:rsidRPr="00FE0616">
        <w:rPr>
          <w:rFonts w:eastAsia="Times New Roman"/>
        </w:rPr>
        <w:noBreakHyphen/>
        <w:t xml:space="preserve">enforcement of the outstanding judgment of 29 June 2016 </w:t>
      </w:r>
      <w:r w:rsidRPr="00FE0616">
        <w:rPr>
          <w:rFonts w:ascii="Times New Roman" w:hAnsi="Times New Roman" w:eastAsia="Times New Roman"/>
          <w:color w:val="000000"/>
        </w:rPr>
        <w:t>(see paragraph</w:t>
      </w:r>
      <w:r w:rsidRPr="00FE0616" w:rsidR="008F6E49">
        <w:rPr>
          <w:rFonts w:ascii="Times New Roman" w:hAnsi="Times New Roman" w:eastAsia="Times New Roman"/>
          <w:color w:val="000000"/>
        </w:rPr>
        <w:t> </w:t>
      </w:r>
      <w:r w:rsidRPr="00FE0616">
        <w:rPr>
          <w:rFonts w:ascii="Times New Roman" w:hAnsi="Times New Roman" w:eastAsia="Times New Roman"/>
          <w:color w:val="000000"/>
        </w:rPr>
        <w:fldChar w:fldCharType="begin"/>
      </w:r>
      <w:r w:rsidRPr="00FE0616" w:rsidR="00394A1C">
        <w:rPr>
          <w:rFonts w:ascii="Times New Roman" w:hAnsi="Times New Roman" w:eastAsia="Times New Roman"/>
          <w:color w:val="000000"/>
        </w:rPr>
        <w:instrText xml:space="preserve"> REF outstanding_judgment_2016 \h </w:instrText>
      </w:r>
      <w:r w:rsidRPr="00FE0616">
        <w:rPr>
          <w:rFonts w:ascii="Times New Roman" w:hAnsi="Times New Roman" w:eastAsia="Times New Roman"/>
          <w:color w:val="000000"/>
        </w:rPr>
      </w:r>
      <w:r w:rsidRPr="00FE0616">
        <w:rPr>
          <w:rFonts w:ascii="Times New Roman" w:hAnsi="Times New Roman" w:eastAsia="Times New Roman"/>
          <w:color w:val="000000"/>
        </w:rPr>
        <w:fldChar w:fldCharType="separate"/>
      </w:r>
      <w:r w:rsidRPr="00FE0616" w:rsidR="00FE0616">
        <w:rPr>
          <w:rFonts w:eastAsia="Times New Roman"/>
          <w:noProof/>
        </w:rPr>
        <w:t>30</w:t>
      </w:r>
      <w:r w:rsidRPr="00FE0616">
        <w:rPr>
          <w:rFonts w:ascii="Times New Roman" w:hAnsi="Times New Roman" w:eastAsia="Times New Roman"/>
          <w:color w:val="000000"/>
        </w:rPr>
        <w:fldChar w:fldCharType="end"/>
      </w:r>
      <w:r w:rsidRPr="00FE0616">
        <w:rPr>
          <w:rFonts w:ascii="Times New Roman" w:hAnsi="Times New Roman" w:eastAsia="Times New Roman"/>
          <w:color w:val="000000"/>
        </w:rPr>
        <w:t xml:space="preserve"> above)</w:t>
      </w:r>
      <w:r w:rsidRPr="00FE0616">
        <w:rPr>
          <w:rFonts w:eastAsia="Times New Roman"/>
        </w:rPr>
        <w:t xml:space="preserve">. In that connection, the fact that the applicant failed to obtain the annulment of the decision of 23 December 2013 </w:t>
      </w:r>
      <w:r w:rsidRPr="00FE0616">
        <w:rPr>
          <w:rFonts w:ascii="Times New Roman" w:hAnsi="Times New Roman" w:eastAsia="Times New Roman"/>
          <w:color w:val="000000"/>
        </w:rPr>
        <w:t>(see paragraphs</w:t>
      </w:r>
      <w:r w:rsidRPr="00FE0616" w:rsidR="008F6E49">
        <w:rPr>
          <w:rFonts w:ascii="Times New Roman" w:hAnsi="Times New Roman" w:eastAsia="Times New Roman"/>
          <w:color w:val="000000"/>
        </w:rPr>
        <w:t> </w:t>
      </w:r>
      <w:r w:rsidRPr="00FE0616">
        <w:rPr>
          <w:rFonts w:ascii="Times New Roman" w:hAnsi="Times New Roman" w:eastAsia="Times New Roman"/>
          <w:color w:val="000000"/>
        </w:rPr>
        <w:fldChar w:fldCharType="begin"/>
      </w:r>
      <w:r w:rsidRPr="00FE0616" w:rsidR="00394A1C">
        <w:rPr>
          <w:rFonts w:ascii="Times New Roman" w:hAnsi="Times New Roman" w:eastAsia="Times New Roman"/>
          <w:color w:val="000000"/>
        </w:rPr>
        <w:instrText xml:space="preserve"> REF fiscal_outstanding_decision \h </w:instrText>
      </w:r>
      <w:r w:rsidRPr="00FE0616">
        <w:rPr>
          <w:rFonts w:ascii="Times New Roman" w:hAnsi="Times New Roman" w:eastAsia="Times New Roman"/>
          <w:color w:val="000000"/>
        </w:rPr>
      </w:r>
      <w:r w:rsidRPr="00FE0616">
        <w:rPr>
          <w:rFonts w:ascii="Times New Roman" w:hAnsi="Times New Roman" w:eastAsia="Times New Roman"/>
          <w:color w:val="000000"/>
        </w:rPr>
        <w:fldChar w:fldCharType="separate"/>
      </w:r>
      <w:r w:rsidRPr="00FE0616" w:rsidR="00FE0616">
        <w:rPr>
          <w:rFonts w:eastAsia="Times New Roman"/>
          <w:noProof/>
        </w:rPr>
        <w:t>7</w:t>
      </w:r>
      <w:r w:rsidRPr="00FE0616">
        <w:rPr>
          <w:rFonts w:ascii="Times New Roman" w:hAnsi="Times New Roman" w:eastAsia="Times New Roman"/>
          <w:color w:val="000000"/>
        </w:rPr>
        <w:fldChar w:fldCharType="end"/>
      </w:r>
      <w:r w:rsidRPr="00FE0616">
        <w:rPr>
          <w:rFonts w:ascii="Times New Roman" w:hAnsi="Times New Roman" w:eastAsia="Times New Roman"/>
          <w:color w:val="000000"/>
        </w:rPr>
        <w:t xml:space="preserve"> and </w:t>
      </w:r>
      <w:r w:rsidRPr="00FE0616">
        <w:rPr>
          <w:rFonts w:ascii="Times New Roman" w:hAnsi="Times New Roman" w:eastAsia="Times New Roman"/>
          <w:color w:val="000000"/>
        </w:rPr>
        <w:fldChar w:fldCharType="begin"/>
      </w:r>
      <w:r w:rsidRPr="00FE0616" w:rsidR="00394A1C">
        <w:rPr>
          <w:rFonts w:ascii="Times New Roman" w:hAnsi="Times New Roman" w:eastAsia="Times New Roman"/>
          <w:color w:val="000000"/>
        </w:rPr>
        <w:instrText xml:space="preserve"> REF notif_fiscal_outstanding_decision \h </w:instrText>
      </w:r>
      <w:r w:rsidRPr="00FE0616">
        <w:rPr>
          <w:rFonts w:ascii="Times New Roman" w:hAnsi="Times New Roman" w:eastAsia="Times New Roman"/>
          <w:color w:val="000000"/>
        </w:rPr>
      </w:r>
      <w:r w:rsidRPr="00FE0616">
        <w:rPr>
          <w:rFonts w:ascii="Times New Roman" w:hAnsi="Times New Roman" w:eastAsia="Times New Roman"/>
          <w:color w:val="000000"/>
        </w:rPr>
        <w:fldChar w:fldCharType="separate"/>
      </w:r>
      <w:r w:rsidRPr="00FE0616" w:rsidR="00FE0616">
        <w:rPr>
          <w:rFonts w:eastAsia="Times New Roman"/>
          <w:noProof/>
        </w:rPr>
        <w:t>9</w:t>
      </w:r>
      <w:r w:rsidRPr="00FE0616">
        <w:rPr>
          <w:rFonts w:ascii="Times New Roman" w:hAnsi="Times New Roman" w:eastAsia="Times New Roman"/>
          <w:color w:val="000000"/>
        </w:rPr>
        <w:fldChar w:fldCharType="end"/>
      </w:r>
      <w:r w:rsidRPr="00FE0616">
        <w:rPr>
          <w:rFonts w:ascii="Times New Roman" w:hAnsi="Times New Roman" w:eastAsia="Times New Roman"/>
          <w:color w:val="000000"/>
        </w:rPr>
        <w:t xml:space="preserve"> above)</w:t>
      </w:r>
      <w:r w:rsidRPr="00FE0616">
        <w:rPr>
          <w:rFonts w:eastAsia="Times New Roman"/>
        </w:rPr>
        <w:t xml:space="preserve"> may be relevant in the overall assessment of the applicant</w:t>
      </w:r>
      <w:r w:rsidRPr="00FE0616" w:rsidR="00FE0616">
        <w:rPr>
          <w:rFonts w:eastAsia="Times New Roman"/>
        </w:rPr>
        <w:t>’</w:t>
      </w:r>
      <w:r w:rsidRPr="00FE0616">
        <w:rPr>
          <w:rFonts w:eastAsia="Times New Roman"/>
        </w:rPr>
        <w:t>s complaints, as it appears to constitute the main justification underlying the authorities</w:t>
      </w:r>
      <w:r w:rsidRPr="00FE0616" w:rsidR="00FE0616">
        <w:rPr>
          <w:rFonts w:eastAsia="Times New Roman"/>
        </w:rPr>
        <w:t>’</w:t>
      </w:r>
      <w:r w:rsidRPr="00FE0616">
        <w:rPr>
          <w:rFonts w:eastAsia="Times New Roman"/>
        </w:rPr>
        <w:t xml:space="preserve"> failure to enforce the findings of the outstanding judgment of 29 June 2016</w:t>
      </w:r>
      <w:r w:rsidRPr="00FE0616">
        <w:rPr>
          <w:rFonts w:eastAsia="Times New Roman"/>
          <w:color w:val="000000"/>
        </w:rPr>
        <w:t>.</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49</w:t>
      </w:r>
      <w:r w:rsidRPr="00FE0616">
        <w:rPr>
          <w:rFonts w:eastAsia="Times New Roman"/>
        </w:rPr>
        <w:fldChar w:fldCharType="end"/>
      </w:r>
      <w:r w:rsidRPr="00FE0616">
        <w:rPr>
          <w:rFonts w:eastAsia="Times New Roman"/>
        </w:rPr>
        <w:t>.  Hence, the Court considers the Government</w:t>
      </w:r>
      <w:r w:rsidRPr="00FE0616" w:rsidR="00FE0616">
        <w:rPr>
          <w:rFonts w:eastAsia="Times New Roman"/>
        </w:rPr>
        <w:t>’</w:t>
      </w:r>
      <w:r w:rsidRPr="00FE0616">
        <w:rPr>
          <w:rFonts w:eastAsia="Times New Roman"/>
        </w:rPr>
        <w:t>s objection of non</w:t>
      </w:r>
      <w:r w:rsidRPr="00FE0616" w:rsidR="008F6E49">
        <w:rPr>
          <w:rFonts w:eastAsia="Times New Roman"/>
        </w:rPr>
        <w:noBreakHyphen/>
      </w:r>
      <w:r w:rsidRPr="00FE0616">
        <w:rPr>
          <w:rFonts w:eastAsia="Times New Roman"/>
        </w:rPr>
        <w:t>exhaustion of domestic remedies to be a question which raises issues going to the merits</w:t>
      </w:r>
      <w:r w:rsidRPr="00FE0616" w:rsidR="008F6E49">
        <w:rPr>
          <w:rFonts w:eastAsia="Times New Roman"/>
        </w:rPr>
        <w:t xml:space="preserve"> </w:t>
      </w:r>
      <w:r w:rsidRPr="00FE0616">
        <w:rPr>
          <w:rFonts w:eastAsia="Times New Roman"/>
        </w:rPr>
        <w:t>of the case and which cannot be regarded merely as a preliminary matter; it must therefore be joined to the merits.</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50</w:t>
      </w:r>
      <w:r w:rsidRPr="00FE0616">
        <w:rPr>
          <w:rFonts w:eastAsia="Times New Roman"/>
        </w:rPr>
        <w:fldChar w:fldCharType="end"/>
      </w:r>
      <w:r w:rsidRPr="00FE0616">
        <w:rPr>
          <w:rFonts w:eastAsia="Times New Roman"/>
        </w:rPr>
        <w:t>.  The Court further notes that these complaints are neither manifestly ill</w:t>
      </w:r>
      <w:r w:rsidRPr="00FE0616">
        <w:rPr>
          <w:rFonts w:eastAsia="Times New Roman"/>
        </w:rPr>
        <w:noBreakHyphen/>
        <w:t>founded nor inadmissible on any other grounds listed in Article</w:t>
      </w:r>
      <w:r w:rsidRPr="00FE0616" w:rsidR="008F6E49">
        <w:rPr>
          <w:rFonts w:eastAsia="Times New Roman"/>
        </w:rPr>
        <w:t xml:space="preserve"> </w:t>
      </w:r>
      <w:r w:rsidRPr="00FE0616">
        <w:rPr>
          <w:rFonts w:eastAsia="Times New Roman"/>
        </w:rPr>
        <w:t>35 of the Convention. They must therefore be declared admissible.</w:t>
      </w:r>
    </w:p>
    <w:p w:rsidRPr="00FE0616" w:rsidR="006263A0" w:rsidP="00FE0616" w:rsidRDefault="006263A0">
      <w:pPr>
        <w:pStyle w:val="JuHA"/>
        <w:keepNext w:val="0"/>
        <w:keepLines w:val="0"/>
        <w:numPr>
          <w:ilvl w:val="2"/>
          <w:numId w:val="1"/>
        </w:numPr>
        <w:rPr>
          <w:rFonts w:eastAsia="Times New Roman"/>
        </w:rPr>
      </w:pPr>
      <w:r w:rsidRPr="00FE0616">
        <w:rPr>
          <w:rFonts w:eastAsia="Times New Roman"/>
        </w:rPr>
        <w:t>Merits</w:t>
      </w:r>
    </w:p>
    <w:p w:rsidRPr="00FE0616" w:rsidR="006263A0" w:rsidP="00FE0616" w:rsidRDefault="006263A0">
      <w:pPr>
        <w:pStyle w:val="JuH1"/>
        <w:keepNext w:val="0"/>
        <w:keepLines w:val="0"/>
        <w:numPr>
          <w:ilvl w:val="3"/>
          <w:numId w:val="1"/>
        </w:numPr>
      </w:pPr>
      <w:r w:rsidRPr="00FE0616">
        <w:t>The parties</w:t>
      </w:r>
      <w:r w:rsidRPr="00FE0616" w:rsidR="00FE0616">
        <w:t>’</w:t>
      </w:r>
      <w:r w:rsidRPr="00FE0616">
        <w:t xml:space="preserve"> submissions</w:t>
      </w:r>
    </w:p>
    <w:p w:rsidRPr="00FE0616" w:rsidR="006263A0" w:rsidP="00FE0616" w:rsidRDefault="006263A0">
      <w:pPr>
        <w:pStyle w:val="JuHa0"/>
        <w:keepNext w:val="0"/>
        <w:keepLines w:val="0"/>
        <w:numPr>
          <w:ilvl w:val="4"/>
          <w:numId w:val="1"/>
        </w:numPr>
      </w:pPr>
      <w:r w:rsidRPr="00FE0616">
        <w:rPr>
          <w:rFonts w:eastAsia="Times New Roman"/>
        </w:rPr>
        <w:t>The applicant</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51</w:t>
      </w:r>
      <w:r w:rsidRPr="00FE0616">
        <w:rPr>
          <w:rFonts w:eastAsia="Times New Roman"/>
        </w:rPr>
        <w:fldChar w:fldCharType="end"/>
      </w:r>
      <w:r w:rsidRPr="00FE0616">
        <w:rPr>
          <w:rFonts w:eastAsia="Times New Roman"/>
        </w:rPr>
        <w:t>.  The applicant claimed that she could not be held responsible and obliged to compensate for damage she had not caused; furthermore, the smuggled cigarettes had been found in an open outbuilding located on her large property, where they had been deposited without her knowledge; therefore, the goods had not been in her possession, as claimed by the authorities. The customs authority</w:t>
      </w:r>
      <w:r w:rsidRPr="00FE0616" w:rsidR="00FE0616">
        <w:rPr>
          <w:rFonts w:eastAsia="Times New Roman"/>
        </w:rPr>
        <w:t>’</w:t>
      </w:r>
      <w:r w:rsidRPr="00FE0616">
        <w:rPr>
          <w:rFonts w:eastAsia="Times New Roman"/>
        </w:rPr>
        <w:t>s issuing of the decision finding her liable to pay customs charges had been unlawful as the criminal proceedings had been still ongoing at that time.</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52</w:t>
      </w:r>
      <w:r w:rsidRPr="00FE0616">
        <w:rPr>
          <w:rFonts w:eastAsia="Times New Roman"/>
        </w:rPr>
        <w:fldChar w:fldCharType="end"/>
      </w:r>
      <w:r w:rsidRPr="00FE0616">
        <w:rPr>
          <w:rFonts w:eastAsia="Times New Roman"/>
        </w:rPr>
        <w:t>.  Furthermore, to claim that the criminal and taxation liabilities were unconnected was contrary to the findings in the customs authority</w:t>
      </w:r>
      <w:r w:rsidRPr="00FE0616" w:rsidR="00FE0616">
        <w:rPr>
          <w:rFonts w:eastAsia="Times New Roman"/>
        </w:rPr>
        <w:t>’</w:t>
      </w:r>
      <w:r w:rsidRPr="00FE0616">
        <w:rPr>
          <w:rFonts w:eastAsia="Times New Roman"/>
        </w:rPr>
        <w:t xml:space="preserve">s decision itself, which had been issued as a consequence of the incident of 8 August 2013 (see paragraph </w:t>
      </w:r>
      <w:r w:rsidRPr="00FE0616">
        <w:rPr>
          <w:rFonts w:eastAsia="Times New Roman"/>
        </w:rPr>
        <w:fldChar w:fldCharType="begin"/>
      </w:r>
      <w:r w:rsidRPr="00FE0616" w:rsidR="00394A1C">
        <w:rPr>
          <w:rFonts w:eastAsia="Times New Roman"/>
        </w:rPr>
        <w:instrText xml:space="preserve"> REF para_4 \h </w:instrText>
      </w:r>
      <w:r w:rsidRPr="00FE0616">
        <w:rPr>
          <w:rFonts w:eastAsia="Times New Roman"/>
        </w:rPr>
      </w:r>
      <w:r w:rsidRPr="00FE0616">
        <w:rPr>
          <w:rFonts w:eastAsia="Times New Roman"/>
        </w:rPr>
        <w:fldChar w:fldCharType="separate"/>
      </w:r>
      <w:r w:rsidRPr="00FE0616" w:rsidR="00FE0616">
        <w:rPr>
          <w:rFonts w:eastAsia="Times New Roman"/>
          <w:noProof/>
        </w:rPr>
        <w:t>4</w:t>
      </w:r>
      <w:r w:rsidRPr="00FE0616">
        <w:rPr>
          <w:rFonts w:eastAsia="Times New Roman"/>
        </w:rPr>
        <w:fldChar w:fldCharType="end"/>
      </w:r>
      <w:r w:rsidRPr="00FE0616">
        <w:rPr>
          <w:rFonts w:eastAsia="Times New Roman"/>
        </w:rPr>
        <w:t xml:space="preserve"> above) and based on the existence of the goods confiscated at that time.</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53</w:t>
      </w:r>
      <w:r w:rsidRPr="00FE0616">
        <w:rPr>
          <w:rFonts w:eastAsia="Times New Roman"/>
        </w:rPr>
        <w:fldChar w:fldCharType="end"/>
      </w:r>
      <w:r w:rsidRPr="00FE0616">
        <w:rPr>
          <w:rFonts w:eastAsia="Times New Roman"/>
        </w:rPr>
        <w:t xml:space="preserve">.  The applicant finally claimed that her property remained seized, as the enforcement was still ongoing against her, in spite </w:t>
      </w:r>
      <w:r w:rsidRPr="00FE0616" w:rsidR="002326E5">
        <w:rPr>
          <w:rFonts w:eastAsia="Times New Roman"/>
        </w:rPr>
        <w:t xml:space="preserve">of </w:t>
      </w:r>
      <w:r w:rsidRPr="00FE0616">
        <w:rPr>
          <w:rFonts w:eastAsia="Times New Roman"/>
        </w:rPr>
        <w:t>the domestic authorities</w:t>
      </w:r>
      <w:r w:rsidRPr="00FE0616" w:rsidR="00FE0616">
        <w:rPr>
          <w:rFonts w:eastAsia="Times New Roman"/>
        </w:rPr>
        <w:t>’</w:t>
      </w:r>
      <w:r w:rsidRPr="00FE0616">
        <w:rPr>
          <w:rFonts w:eastAsia="Times New Roman"/>
        </w:rPr>
        <w:t xml:space="preserve"> findings that she had not been responsible for the damage caused to the State (see paragraphs </w:t>
      </w:r>
      <w:r w:rsidRPr="00FE0616">
        <w:rPr>
          <w:rFonts w:eastAsia="Times New Roman"/>
        </w:rPr>
        <w:fldChar w:fldCharType="begin"/>
      </w:r>
      <w:r w:rsidRPr="00FE0616" w:rsidR="00394A1C">
        <w:rPr>
          <w:rFonts w:eastAsia="Times New Roman"/>
        </w:rPr>
        <w:instrText xml:space="preserve"> REF Prosecutor_terminates \h </w:instrText>
      </w:r>
      <w:r w:rsidRPr="00FE0616">
        <w:rPr>
          <w:rFonts w:eastAsia="Times New Roman"/>
        </w:rPr>
      </w:r>
      <w:r w:rsidRPr="00FE0616">
        <w:rPr>
          <w:rFonts w:eastAsia="Times New Roman"/>
        </w:rPr>
        <w:fldChar w:fldCharType="separate"/>
      </w:r>
      <w:r w:rsidRPr="00FE0616" w:rsidR="00FE0616">
        <w:rPr>
          <w:rFonts w:eastAsia="Times New Roman"/>
          <w:noProof/>
        </w:rPr>
        <w:t>10</w:t>
      </w:r>
      <w:r w:rsidRPr="00FE0616">
        <w:rPr>
          <w:rFonts w:eastAsia="Times New Roman"/>
        </w:rPr>
        <w:fldChar w:fldCharType="end"/>
      </w:r>
      <w:r w:rsidRPr="00FE0616">
        <w:rPr>
          <w:rFonts w:eastAsia="Times New Roman"/>
        </w:rPr>
        <w:t xml:space="preserve">, </w:t>
      </w:r>
      <w:r w:rsidRPr="00FE0616">
        <w:rPr>
          <w:rFonts w:eastAsia="Times New Roman"/>
        </w:rPr>
        <w:fldChar w:fldCharType="begin"/>
      </w:r>
      <w:r w:rsidRPr="00FE0616" w:rsidR="00394A1C">
        <w:rPr>
          <w:rFonts w:eastAsia="Times New Roman"/>
        </w:rPr>
        <w:instrText xml:space="preserve"> REF first_court_contex \h </w:instrText>
      </w:r>
      <w:r w:rsidRPr="00FE0616">
        <w:rPr>
          <w:rFonts w:eastAsia="Times New Roman"/>
        </w:rPr>
      </w:r>
      <w:r w:rsidRPr="00FE0616">
        <w:rPr>
          <w:rFonts w:eastAsia="Times New Roman"/>
        </w:rPr>
        <w:fldChar w:fldCharType="separate"/>
      </w:r>
      <w:r w:rsidRPr="00FE0616" w:rsidR="00FE0616">
        <w:rPr>
          <w:rFonts w:eastAsia="Times New Roman"/>
          <w:noProof/>
        </w:rPr>
        <w:t>27</w:t>
      </w:r>
      <w:r w:rsidRPr="00FE0616">
        <w:rPr>
          <w:rFonts w:eastAsia="Times New Roman"/>
        </w:rPr>
        <w:fldChar w:fldCharType="end"/>
      </w:r>
      <w:r w:rsidRPr="00FE0616">
        <w:rPr>
          <w:rFonts w:eastAsia="Times New Roman"/>
        </w:rPr>
        <w:t xml:space="preserve"> and </w:t>
      </w:r>
      <w:r w:rsidRPr="00FE0616">
        <w:rPr>
          <w:rFonts w:eastAsia="Times New Roman"/>
        </w:rPr>
        <w:fldChar w:fldCharType="begin"/>
      </w:r>
      <w:r w:rsidRPr="00FE0616" w:rsidR="00394A1C">
        <w:rPr>
          <w:rFonts w:eastAsia="Times New Roman"/>
        </w:rPr>
        <w:instrText xml:space="preserve"> REF reasoning_outstanding_judgment_2016 \h </w:instrText>
      </w:r>
      <w:r w:rsidRPr="00FE0616">
        <w:rPr>
          <w:rFonts w:eastAsia="Times New Roman"/>
        </w:rPr>
      </w:r>
      <w:r w:rsidRPr="00FE0616">
        <w:rPr>
          <w:rFonts w:eastAsia="Times New Roman"/>
        </w:rPr>
        <w:fldChar w:fldCharType="separate"/>
      </w:r>
      <w:r w:rsidRPr="00FE0616" w:rsidR="00FE0616">
        <w:rPr>
          <w:rFonts w:eastAsia="Times New Roman"/>
          <w:noProof/>
        </w:rPr>
        <w:t>33</w:t>
      </w:r>
      <w:r w:rsidRPr="00FE0616">
        <w:rPr>
          <w:rFonts w:eastAsia="Times New Roman"/>
        </w:rPr>
        <w:fldChar w:fldCharType="end"/>
      </w:r>
      <w:r w:rsidRPr="00FE0616">
        <w:rPr>
          <w:rFonts w:eastAsia="Times New Roman"/>
        </w:rPr>
        <w:t xml:space="preserve"> above).</w:t>
      </w:r>
    </w:p>
    <w:p w:rsidRPr="00FE0616" w:rsidR="006263A0" w:rsidP="00FE0616" w:rsidRDefault="006263A0">
      <w:pPr>
        <w:pStyle w:val="JuHa0"/>
        <w:keepNext w:val="0"/>
        <w:keepLines w:val="0"/>
        <w:numPr>
          <w:ilvl w:val="4"/>
          <w:numId w:val="1"/>
        </w:numPr>
        <w:rPr>
          <w:rFonts w:eastAsia="Times New Roman"/>
        </w:rPr>
      </w:pPr>
      <w:r w:rsidRPr="00FE0616">
        <w:rPr>
          <w:rFonts w:eastAsia="Times New Roman"/>
        </w:rPr>
        <w:t>The Government</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54</w:t>
      </w:r>
      <w:r w:rsidRPr="00FE0616">
        <w:rPr>
          <w:rFonts w:eastAsia="Times New Roman"/>
        </w:rPr>
        <w:fldChar w:fldCharType="end"/>
      </w:r>
      <w:r w:rsidRPr="00FE0616">
        <w:rPr>
          <w:rFonts w:eastAsia="Times New Roman"/>
        </w:rPr>
        <w:t>.  The Government argued that the customs authority had calculated the amount due by the applicant based on the fact that the smuggled cigarettes had been found in her possession; her criminal liability related thereto had had no effect on the tax liability thus established. This aspect had also been confirmed by the prosecutor</w:t>
      </w:r>
      <w:r w:rsidRPr="00FE0616" w:rsidR="00FE0616">
        <w:rPr>
          <w:rFonts w:eastAsia="Times New Roman"/>
        </w:rPr>
        <w:t>’</w:t>
      </w:r>
      <w:r w:rsidRPr="00FE0616">
        <w:rPr>
          <w:rFonts w:eastAsia="Times New Roman"/>
        </w:rPr>
        <w:t>s decision, which had not indicated anything in relation to the tax debt owed by the applicant.</w:t>
      </w:r>
    </w:p>
    <w:bookmarkStart w:name="payment_mandatory" w:id="30"/>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55</w:t>
      </w:r>
      <w:r w:rsidRPr="00FE0616">
        <w:rPr>
          <w:rFonts w:eastAsia="Times New Roman"/>
        </w:rPr>
        <w:fldChar w:fldCharType="end"/>
      </w:r>
      <w:bookmarkEnd w:id="30"/>
      <w:r w:rsidRPr="00FE0616">
        <w:rPr>
          <w:rFonts w:eastAsia="Times New Roman"/>
        </w:rPr>
        <w:t>.  The Government submitted that criminal and civil liability were two different concepts which were not necessarily interdependent. Thus, the applicant could still be found liable to pay for the damage caused to the State, even if her criminal liability had not been established for various reasons. The payment of customs duties by the applicant had been mandatory irrespective of any criminal liability established or otherwise in respect of her.</w:t>
      </w:r>
    </w:p>
    <w:bookmarkStart w:name="govt_seizure" w:id="31"/>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56</w:t>
      </w:r>
      <w:r w:rsidRPr="00FE0616">
        <w:rPr>
          <w:rFonts w:eastAsia="Times New Roman"/>
        </w:rPr>
        <w:fldChar w:fldCharType="end"/>
      </w:r>
      <w:bookmarkEnd w:id="31"/>
      <w:r w:rsidRPr="00FE0616">
        <w:rPr>
          <w:rFonts w:eastAsia="Times New Roman"/>
        </w:rPr>
        <w:t>.  The Government further argued that the seizure was a measure falling under the second rule of Article 1 of Protocol No. 1, namely the control of use of property, and it aimed to secure the payment of taxes. Such a measure was prescribed by the law and was proportionate in the applicant</w:t>
      </w:r>
      <w:r w:rsidRPr="00FE0616" w:rsidR="00FE0616">
        <w:rPr>
          <w:rFonts w:eastAsia="Times New Roman"/>
        </w:rPr>
        <w:t>’</w:t>
      </w:r>
      <w:r w:rsidRPr="00FE0616">
        <w:rPr>
          <w:rFonts w:eastAsia="Times New Roman"/>
        </w:rPr>
        <w:t>s case, because she had had the possibility to challenge it before the domestic courts.</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57</w:t>
      </w:r>
      <w:r w:rsidRPr="00FE0616">
        <w:rPr>
          <w:rFonts w:eastAsia="Times New Roman"/>
        </w:rPr>
        <w:fldChar w:fldCharType="end"/>
      </w:r>
      <w:r w:rsidRPr="00FE0616">
        <w:rPr>
          <w:rFonts w:eastAsia="Times New Roman"/>
        </w:rPr>
        <w:t>.  Lastly, the Government noted that the enforcement of the outstanding tax decision against the applicant was ongoing, having regard to the fact that the said decision was still in force, in so far as the domestic courts had decided to annul only one enforcement measure, namely the seizure issued on 18</w:t>
      </w:r>
      <w:r w:rsidRPr="00FE0616" w:rsidR="00C863E9">
        <w:rPr>
          <w:rFonts w:eastAsia="Times New Roman"/>
        </w:rPr>
        <w:t xml:space="preserve"> </w:t>
      </w:r>
      <w:r w:rsidRPr="00FE0616">
        <w:rPr>
          <w:rFonts w:eastAsia="Times New Roman"/>
        </w:rPr>
        <w:t xml:space="preserve">November 2014 (see paragraphs </w:t>
      </w:r>
      <w:r w:rsidRPr="00FE0616">
        <w:rPr>
          <w:rFonts w:eastAsia="Times New Roman"/>
        </w:rPr>
        <w:fldChar w:fldCharType="begin"/>
      </w:r>
      <w:r w:rsidRPr="00FE0616" w:rsidR="00394A1C">
        <w:rPr>
          <w:rFonts w:eastAsia="Times New Roman"/>
        </w:rPr>
        <w:instrText xml:space="preserve"> REF ipoteca \h </w:instrText>
      </w:r>
      <w:r w:rsidRPr="00FE0616">
        <w:rPr>
          <w:rFonts w:eastAsia="Times New Roman"/>
        </w:rPr>
      </w:r>
      <w:r w:rsidRPr="00FE0616">
        <w:rPr>
          <w:rFonts w:eastAsia="Times New Roman"/>
        </w:rPr>
        <w:fldChar w:fldCharType="separate"/>
      </w:r>
      <w:r w:rsidRPr="00FE0616" w:rsidR="00FE0616">
        <w:rPr>
          <w:rFonts w:eastAsia="Times New Roman"/>
          <w:noProof/>
        </w:rPr>
        <w:t>23</w:t>
      </w:r>
      <w:r w:rsidRPr="00FE0616">
        <w:rPr>
          <w:rFonts w:eastAsia="Times New Roman"/>
        </w:rPr>
        <w:fldChar w:fldCharType="end"/>
      </w:r>
      <w:r w:rsidRPr="00FE0616">
        <w:rPr>
          <w:rFonts w:eastAsia="Times New Roman"/>
        </w:rPr>
        <w:t xml:space="preserve">, </w:t>
      </w:r>
      <w:r w:rsidRPr="00FE0616">
        <w:rPr>
          <w:rFonts w:eastAsia="Times New Roman"/>
        </w:rPr>
        <w:fldChar w:fldCharType="begin"/>
      </w:r>
      <w:r w:rsidRPr="00FE0616" w:rsidR="00394A1C">
        <w:rPr>
          <w:rFonts w:eastAsia="Times New Roman"/>
        </w:rPr>
        <w:instrText xml:space="preserve"> REF first_court_contex \h </w:instrText>
      </w:r>
      <w:r w:rsidRPr="00FE0616">
        <w:rPr>
          <w:rFonts w:eastAsia="Times New Roman"/>
        </w:rPr>
      </w:r>
      <w:r w:rsidRPr="00FE0616">
        <w:rPr>
          <w:rFonts w:eastAsia="Times New Roman"/>
        </w:rPr>
        <w:fldChar w:fldCharType="separate"/>
      </w:r>
      <w:r w:rsidRPr="00FE0616" w:rsidR="00FE0616">
        <w:rPr>
          <w:rFonts w:eastAsia="Times New Roman"/>
          <w:noProof/>
        </w:rPr>
        <w:t>27</w:t>
      </w:r>
      <w:r w:rsidRPr="00FE0616">
        <w:rPr>
          <w:rFonts w:eastAsia="Times New Roman"/>
        </w:rPr>
        <w:fldChar w:fldCharType="end"/>
      </w:r>
      <w:r w:rsidRPr="00FE0616">
        <w:rPr>
          <w:rFonts w:eastAsia="Times New Roman"/>
        </w:rPr>
        <w:t xml:space="preserve"> and </w:t>
      </w:r>
      <w:r w:rsidRPr="00FE0616">
        <w:rPr>
          <w:rFonts w:eastAsia="Times New Roman"/>
        </w:rPr>
        <w:fldChar w:fldCharType="begin"/>
      </w:r>
      <w:r w:rsidRPr="00FE0616" w:rsidR="00394A1C">
        <w:rPr>
          <w:rFonts w:eastAsia="Times New Roman"/>
        </w:rPr>
        <w:instrText xml:space="preserve"> REF outstanding_judgment_2016 \h </w:instrText>
      </w:r>
      <w:r w:rsidRPr="00FE0616">
        <w:rPr>
          <w:rFonts w:eastAsia="Times New Roman"/>
        </w:rPr>
      </w:r>
      <w:r w:rsidRPr="00FE0616">
        <w:rPr>
          <w:rFonts w:eastAsia="Times New Roman"/>
        </w:rPr>
        <w:fldChar w:fldCharType="separate"/>
      </w:r>
      <w:r w:rsidRPr="00FE0616" w:rsidR="00FE0616">
        <w:rPr>
          <w:rFonts w:eastAsia="Times New Roman"/>
          <w:noProof/>
        </w:rPr>
        <w:t>30</w:t>
      </w:r>
      <w:r w:rsidRPr="00FE0616">
        <w:rPr>
          <w:rFonts w:eastAsia="Times New Roman"/>
        </w:rPr>
        <w:fldChar w:fldCharType="end"/>
      </w:r>
      <w:r w:rsidRPr="00FE0616">
        <w:rPr>
          <w:rFonts w:eastAsia="Times New Roman"/>
        </w:rPr>
        <w:t xml:space="preserve"> above).</w:t>
      </w:r>
    </w:p>
    <w:p w:rsidRPr="00FE0616" w:rsidR="006263A0" w:rsidP="00FE0616" w:rsidRDefault="006263A0">
      <w:pPr>
        <w:pStyle w:val="JuH1"/>
        <w:keepNext w:val="0"/>
        <w:keepLines w:val="0"/>
        <w:numPr>
          <w:ilvl w:val="3"/>
          <w:numId w:val="1"/>
        </w:numPr>
      </w:pPr>
      <w:r w:rsidRPr="00FE0616">
        <w:t>The Court</w:t>
      </w:r>
      <w:r w:rsidRPr="00FE0616" w:rsidR="00FE0616">
        <w:t>’</w:t>
      </w:r>
      <w:r w:rsidRPr="00FE0616">
        <w:t>s assessment</w:t>
      </w:r>
    </w:p>
    <w:p w:rsidRPr="00FE0616" w:rsidR="006263A0" w:rsidP="00FE0616" w:rsidRDefault="006263A0">
      <w:pPr>
        <w:pStyle w:val="JuPara"/>
      </w:pPr>
      <w:r w:rsidRPr="00FE0616">
        <w:fldChar w:fldCharType="begin"/>
      </w:r>
      <w:r w:rsidRPr="00FE0616">
        <w:instrText xml:space="preserve"> SEQ level0 \*arabic </w:instrText>
      </w:r>
      <w:r w:rsidRPr="00FE0616">
        <w:fldChar w:fldCharType="separate"/>
      </w:r>
      <w:r w:rsidRPr="00FE0616" w:rsidR="00FE0616">
        <w:rPr>
          <w:noProof/>
        </w:rPr>
        <w:t>58</w:t>
      </w:r>
      <w:r w:rsidRPr="00FE0616">
        <w:fldChar w:fldCharType="end"/>
      </w:r>
      <w:r w:rsidRPr="00FE0616">
        <w:t xml:space="preserve">.  The Court emphasises that the first and most important requirement of Article 1 of Protocol No. 1 is that any interference by a public authority with the peaceful enjoyment of possessions should be lawful (see </w:t>
      </w:r>
      <w:proofErr w:type="spellStart"/>
      <w:r w:rsidRPr="00FE0616">
        <w:rPr>
          <w:i/>
        </w:rPr>
        <w:t>Iatridis</w:t>
      </w:r>
      <w:proofErr w:type="spellEnd"/>
      <w:r w:rsidRPr="00FE0616">
        <w:rPr>
          <w:i/>
        </w:rPr>
        <w:t xml:space="preserve"> v. Greece</w:t>
      </w:r>
      <w:r w:rsidRPr="00FE0616">
        <w:t xml:space="preserve"> [GC], no. 31107/96, § 58, ECHR 1999</w:t>
      </w:r>
      <w:r w:rsidRPr="00FE0616" w:rsidR="00C863E9">
        <w:t>-</w:t>
      </w:r>
      <w:r w:rsidRPr="00FE0616">
        <w:t xml:space="preserve">II). The requirement of lawfulness, within the meaning of the Convention, demands compliance with the relevant provisions of domestic law and compatibility with the rule of law, which includes freedom from arbitrariness (see </w:t>
      </w:r>
      <w:r w:rsidRPr="00FE0616">
        <w:rPr>
          <w:i/>
        </w:rPr>
        <w:t>East West Alliance Limited</w:t>
      </w:r>
      <w:r w:rsidRPr="00FE0616">
        <w:t xml:space="preserve"> </w:t>
      </w:r>
      <w:r w:rsidRPr="00FE0616">
        <w:rPr>
          <w:i/>
        </w:rPr>
        <w:t>v. Ukraine</w:t>
      </w:r>
      <w:r w:rsidRPr="00FE0616">
        <w:t>, no. 19336/04, § 167, 23 January 2014).</w:t>
      </w:r>
    </w:p>
    <w:p w:rsidRPr="00FE0616" w:rsidR="006263A0" w:rsidP="00FE0616" w:rsidRDefault="006263A0">
      <w:pPr>
        <w:pStyle w:val="JuPara"/>
        <w:rPr>
          <w:lang w:eastAsia="fr-FR"/>
        </w:rPr>
      </w:pPr>
      <w:r w:rsidRPr="00FE0616">
        <w:fldChar w:fldCharType="begin"/>
      </w:r>
      <w:r w:rsidRPr="00FE0616">
        <w:instrText xml:space="preserve"> SEQ level0 \*arabic </w:instrText>
      </w:r>
      <w:r w:rsidRPr="00FE0616">
        <w:fldChar w:fldCharType="separate"/>
      </w:r>
      <w:r w:rsidRPr="00FE0616" w:rsidR="00FE0616">
        <w:rPr>
          <w:noProof/>
        </w:rPr>
        <w:t>59</w:t>
      </w:r>
      <w:r w:rsidRPr="00FE0616">
        <w:fldChar w:fldCharType="end"/>
      </w:r>
      <w:r w:rsidRPr="00FE0616">
        <w:t>.  According to the Court</w:t>
      </w:r>
      <w:r w:rsidRPr="00FE0616" w:rsidR="00FE0616">
        <w:t>’</w:t>
      </w:r>
      <w:r w:rsidRPr="00FE0616">
        <w:t xml:space="preserve">s well-established case-law, </w:t>
      </w:r>
      <w:proofErr w:type="gramStart"/>
      <w:r w:rsidRPr="00FE0616">
        <w:t>an interference</w:t>
      </w:r>
      <w:proofErr w:type="gramEnd"/>
      <w:r w:rsidRPr="00FE0616">
        <w:t xml:space="preserve">, including one resulting from a measure to secure the payment of taxes, must </w:t>
      </w:r>
      <w:r w:rsidRPr="00FE0616">
        <w:rPr>
          <w:rFonts w:eastAsia="Times New Roman"/>
          <w:lang w:eastAsia="fr-FR"/>
        </w:rPr>
        <w:t>strike a “fair balance” between the demands of the general interest of the community and the requirements of the protection of the individual</w:t>
      </w:r>
      <w:r w:rsidRPr="00FE0616" w:rsidR="00FE0616">
        <w:rPr>
          <w:rFonts w:eastAsia="Times New Roman"/>
          <w:lang w:eastAsia="fr-FR"/>
        </w:rPr>
        <w:t>’</w:t>
      </w:r>
      <w:r w:rsidRPr="00FE0616">
        <w:rPr>
          <w:rFonts w:eastAsia="Times New Roman"/>
          <w:lang w:eastAsia="fr-FR"/>
        </w:rPr>
        <w:t>s fundamental rights. The concern to achieve this balance is reflected in the structure of Article</w:t>
      </w:r>
      <w:r w:rsidRPr="00FE0616" w:rsidR="00C863E9">
        <w:rPr>
          <w:rFonts w:eastAsia="Times New Roman"/>
          <w:lang w:eastAsia="fr-FR"/>
        </w:rPr>
        <w:t xml:space="preserve"> </w:t>
      </w:r>
      <w:r w:rsidRPr="00FE0616">
        <w:rPr>
          <w:rFonts w:eastAsia="Times New Roman"/>
          <w:lang w:eastAsia="fr-FR"/>
        </w:rPr>
        <w:t xml:space="preserve">1 as a whole, including the second paragraph: there must therefore be a reasonable relationship of proportionality between the means employed and the aims pursued. </w:t>
      </w:r>
      <w:r w:rsidRPr="00FE0616">
        <w:rPr>
          <w:rFonts w:ascii="Times New Roman" w:hAnsi="Times New Roman" w:eastAsia="Times New Roman"/>
          <w:lang w:eastAsia="fr-FR"/>
        </w:rPr>
        <w:t>Furthermore, in determining whether this requirement has been met, it is recognised that a Contracting State, not least when framing and implementing policies in the area of taxation, enjoys a wide margin of appreciation and the Court will respect the legislature</w:t>
      </w:r>
      <w:r w:rsidRPr="00FE0616" w:rsidR="00FE0616">
        <w:rPr>
          <w:rFonts w:ascii="Times New Roman" w:hAnsi="Times New Roman" w:eastAsia="Times New Roman"/>
          <w:lang w:eastAsia="fr-FR"/>
        </w:rPr>
        <w:t>’</w:t>
      </w:r>
      <w:r w:rsidRPr="00FE0616">
        <w:rPr>
          <w:rFonts w:ascii="Times New Roman" w:hAnsi="Times New Roman" w:eastAsia="Times New Roman"/>
          <w:lang w:eastAsia="fr-FR"/>
        </w:rPr>
        <w:t xml:space="preserve">s assessment in such matters unless it is devoid of reasonable foundation (see </w:t>
      </w:r>
      <w:r w:rsidRPr="00FE0616">
        <w:rPr>
          <w:i/>
        </w:rPr>
        <w:t>National &amp; Provincial Building Society, the Leeds Permanent Building Society and the Yorkshire Building Society v. the United Kingdom</w:t>
      </w:r>
      <w:r w:rsidRPr="00FE0616">
        <w:t xml:space="preserve">, 23 October 1997, § 80, </w:t>
      </w:r>
      <w:r w:rsidRPr="00FE0616">
        <w:rPr>
          <w:i/>
        </w:rPr>
        <w:t xml:space="preserve">Reports of Judgments and Decisions </w:t>
      </w:r>
      <w:r w:rsidRPr="00FE0616">
        <w:t>1997-VII, with further references).</w:t>
      </w:r>
    </w:p>
    <w:p w:rsidRPr="00FE0616" w:rsidR="006263A0" w:rsidP="00FE0616" w:rsidRDefault="006263A0">
      <w:pPr>
        <w:pStyle w:val="JuPara"/>
        <w:rPr>
          <w:rFonts w:eastAsia="Times New Roman"/>
          <w:color w:val="000000"/>
        </w:rPr>
      </w:pPr>
      <w:r w:rsidRPr="00FE0616">
        <w:fldChar w:fldCharType="begin"/>
      </w:r>
      <w:r w:rsidRPr="00FE0616">
        <w:instrText xml:space="preserve"> SEQ level0 \*arabic </w:instrText>
      </w:r>
      <w:r w:rsidRPr="00FE0616">
        <w:fldChar w:fldCharType="separate"/>
      </w:r>
      <w:r w:rsidRPr="00FE0616" w:rsidR="00FE0616">
        <w:rPr>
          <w:noProof/>
        </w:rPr>
        <w:t>60</w:t>
      </w:r>
      <w:r w:rsidRPr="00FE0616">
        <w:fldChar w:fldCharType="end"/>
      </w:r>
      <w:r w:rsidRPr="00FE0616">
        <w:t>.  Turning to the present case, the Court notes that the applicant</w:t>
      </w:r>
      <w:r w:rsidRPr="00FE0616" w:rsidR="00FE0616">
        <w:t>’</w:t>
      </w:r>
      <w:r w:rsidRPr="00FE0616">
        <w:t>s complaints concerning the non-enforcement of the judgment of 29</w:t>
      </w:r>
      <w:r w:rsidRPr="00FE0616" w:rsidR="00C863E9">
        <w:t> </w:t>
      </w:r>
      <w:r w:rsidRPr="00FE0616">
        <w:t xml:space="preserve">June </w:t>
      </w:r>
      <w:r w:rsidRPr="00FE0616">
        <w:rPr>
          <w:rFonts w:eastAsia="Times New Roman"/>
          <w:color w:val="000000"/>
        </w:rPr>
        <w:t>2016 are twofold: on the one hand, she complained that the mortgage placed on her property had not been lifted, as ordered by the outstanding judgment; on the other hand, she complained that the findings of the domestic courts which related to the lack of any tax obligation in respect of her to pay for damage caused by somebody else had been completely disregarded by the tax authority, who had continued enforcement proceedings against her.</w:t>
      </w:r>
    </w:p>
    <w:bookmarkStart w:name="Court_sees_notenforced" w:id="32"/>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61</w:t>
      </w:r>
      <w:r w:rsidRPr="00FE0616">
        <w:rPr>
          <w:rFonts w:eastAsia="Times New Roman"/>
        </w:rPr>
        <w:fldChar w:fldCharType="end"/>
      </w:r>
      <w:bookmarkEnd w:id="32"/>
      <w:r w:rsidRPr="00FE0616">
        <w:rPr>
          <w:rFonts w:eastAsia="Times New Roman"/>
        </w:rPr>
        <w:t>.  The Court notes at the outset that the judgment of 29 June 2016 had not been enforced at the date of the latest available information (see paragraph</w:t>
      </w:r>
      <w:r w:rsidRPr="00FE0616" w:rsidR="00C863E9">
        <w:rPr>
          <w:rFonts w:eastAsia="Times New Roman"/>
        </w:rPr>
        <w:t> </w:t>
      </w:r>
      <w:r w:rsidRPr="00FE0616">
        <w:rPr>
          <w:rFonts w:eastAsia="Times New Roman"/>
        </w:rPr>
        <w:fldChar w:fldCharType="begin"/>
      </w:r>
      <w:r w:rsidRPr="00FE0616" w:rsidR="00394A1C">
        <w:rPr>
          <w:rFonts w:eastAsia="Times New Roman"/>
        </w:rPr>
        <w:instrText xml:space="preserve"> REF never_enforced \h </w:instrText>
      </w:r>
      <w:r w:rsidRPr="00FE0616">
        <w:rPr>
          <w:rFonts w:eastAsia="Times New Roman"/>
        </w:rPr>
      </w:r>
      <w:r w:rsidRPr="00FE0616">
        <w:rPr>
          <w:rFonts w:eastAsia="Times New Roman"/>
        </w:rPr>
        <w:fldChar w:fldCharType="separate"/>
      </w:r>
      <w:r w:rsidRPr="00FE0616" w:rsidR="00FE0616">
        <w:rPr>
          <w:rFonts w:eastAsia="Times New Roman"/>
          <w:noProof/>
        </w:rPr>
        <w:t>34</w:t>
      </w:r>
      <w:r w:rsidRPr="00FE0616">
        <w:rPr>
          <w:rFonts w:eastAsia="Times New Roman"/>
        </w:rPr>
        <w:fldChar w:fldCharType="end"/>
      </w:r>
      <w:r w:rsidRPr="00FE0616">
        <w:rPr>
          <w:rFonts w:eastAsia="Times New Roman"/>
        </w:rPr>
        <w:t xml:space="preserve"> above). Moreover, in February 2017 the tax authority started new enforcement measures against the applicant (see paragraph </w:t>
      </w:r>
      <w:r w:rsidRPr="00FE0616">
        <w:rPr>
          <w:rFonts w:eastAsia="Times New Roman"/>
        </w:rPr>
        <w:fldChar w:fldCharType="begin"/>
      </w:r>
      <w:r w:rsidRPr="00FE0616" w:rsidR="00394A1C">
        <w:rPr>
          <w:rFonts w:eastAsia="Times New Roman"/>
        </w:rPr>
        <w:instrText xml:space="preserve"> REF new_seizure_2017 \h </w:instrText>
      </w:r>
      <w:r w:rsidRPr="00FE0616">
        <w:rPr>
          <w:rFonts w:eastAsia="Times New Roman"/>
        </w:rPr>
      </w:r>
      <w:r w:rsidRPr="00FE0616">
        <w:rPr>
          <w:rFonts w:eastAsia="Times New Roman"/>
        </w:rPr>
        <w:fldChar w:fldCharType="separate"/>
      </w:r>
      <w:r w:rsidRPr="00FE0616" w:rsidR="00FE0616">
        <w:rPr>
          <w:rFonts w:eastAsia="Times New Roman"/>
          <w:noProof/>
        </w:rPr>
        <w:t>35</w:t>
      </w:r>
      <w:r w:rsidRPr="00FE0616">
        <w:rPr>
          <w:rFonts w:eastAsia="Times New Roman"/>
        </w:rPr>
        <w:fldChar w:fldCharType="end"/>
      </w:r>
      <w:r w:rsidRPr="00FE0616">
        <w:rPr>
          <w:rFonts w:eastAsia="Times New Roman"/>
        </w:rPr>
        <w:t xml:space="preserve"> above), based on the decision of 23</w:t>
      </w:r>
      <w:r w:rsidRPr="00FE0616" w:rsidR="00C863E9">
        <w:rPr>
          <w:rFonts w:eastAsia="Times New Roman"/>
        </w:rPr>
        <w:t xml:space="preserve"> </w:t>
      </w:r>
      <w:r w:rsidRPr="00FE0616">
        <w:rPr>
          <w:rFonts w:eastAsia="Times New Roman"/>
        </w:rPr>
        <w:t xml:space="preserve">December 2013, which they considered to be valid so long as no domestic court had annulled it (see paragraphs </w:t>
      </w:r>
      <w:r w:rsidRPr="00FE0616">
        <w:rPr>
          <w:rFonts w:eastAsia="Times New Roman"/>
        </w:rPr>
        <w:fldChar w:fldCharType="begin"/>
      </w:r>
      <w:r w:rsidRPr="00FE0616" w:rsidR="00394A1C">
        <w:rPr>
          <w:rFonts w:eastAsia="Times New Roman"/>
        </w:rPr>
        <w:instrText xml:space="preserve"> REF No_annulment_further_enforcement \h </w:instrText>
      </w:r>
      <w:r w:rsidRPr="00FE0616">
        <w:rPr>
          <w:rFonts w:eastAsia="Times New Roman"/>
        </w:rPr>
      </w:r>
      <w:r w:rsidRPr="00FE0616">
        <w:rPr>
          <w:rFonts w:eastAsia="Times New Roman"/>
        </w:rPr>
        <w:fldChar w:fldCharType="separate"/>
      </w:r>
      <w:r w:rsidRPr="00FE0616" w:rsidR="00FE0616">
        <w:rPr>
          <w:rFonts w:eastAsia="Times New Roman"/>
          <w:noProof/>
        </w:rPr>
        <w:t>25</w:t>
      </w:r>
      <w:r w:rsidRPr="00FE0616">
        <w:rPr>
          <w:rFonts w:eastAsia="Times New Roman"/>
        </w:rPr>
        <w:fldChar w:fldCharType="end"/>
      </w:r>
      <w:r w:rsidRPr="00FE0616">
        <w:rPr>
          <w:rFonts w:eastAsia="Times New Roman"/>
        </w:rPr>
        <w:t xml:space="preserve"> and </w:t>
      </w:r>
      <w:r w:rsidRPr="00FE0616">
        <w:rPr>
          <w:rFonts w:eastAsia="Times New Roman"/>
        </w:rPr>
        <w:fldChar w:fldCharType="begin"/>
      </w:r>
      <w:r w:rsidRPr="00FE0616" w:rsidR="00394A1C">
        <w:rPr>
          <w:rFonts w:eastAsia="Times New Roman"/>
        </w:rPr>
        <w:instrText xml:space="preserve"> REF Govt_objection \h </w:instrText>
      </w:r>
      <w:r w:rsidRPr="00FE0616">
        <w:rPr>
          <w:rFonts w:eastAsia="Times New Roman"/>
        </w:rPr>
      </w:r>
      <w:r w:rsidRPr="00FE0616">
        <w:rPr>
          <w:rFonts w:eastAsia="Times New Roman"/>
        </w:rPr>
        <w:fldChar w:fldCharType="separate"/>
      </w:r>
      <w:r w:rsidRPr="00FE0616" w:rsidR="00FE0616">
        <w:rPr>
          <w:rFonts w:eastAsia="Times New Roman"/>
          <w:noProof/>
        </w:rPr>
        <w:t>43</w:t>
      </w:r>
      <w:r w:rsidRPr="00FE0616">
        <w:rPr>
          <w:rFonts w:eastAsia="Times New Roman"/>
        </w:rPr>
        <w:fldChar w:fldCharType="end"/>
      </w:r>
      <w:r w:rsidRPr="00FE0616">
        <w:rPr>
          <w:rFonts w:eastAsia="Times New Roman"/>
        </w:rPr>
        <w:t xml:space="preserve"> above).</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62</w:t>
      </w:r>
      <w:r w:rsidRPr="00FE0616">
        <w:rPr>
          <w:rFonts w:eastAsia="Times New Roman"/>
        </w:rPr>
        <w:fldChar w:fldCharType="end"/>
      </w:r>
      <w:r w:rsidRPr="00FE0616">
        <w:rPr>
          <w:rFonts w:eastAsia="Times New Roman"/>
        </w:rPr>
        <w:t>.  The Court therefore considers that the enforcement measures complained of by the applicant constituted interference with the exercise of her right to the peaceful enjoyment of her possessions. This was not contested by the parties.</w:t>
      </w:r>
    </w:p>
    <w:p w:rsidRPr="00FE0616" w:rsidR="006263A0" w:rsidP="00FE0616" w:rsidRDefault="006263A0">
      <w:pPr>
        <w:pStyle w:val="JuPara"/>
        <w:rPr>
          <w:rFonts w:eastAsia="Times New Roman" w:cs="Times New Roman"/>
          <w:color w:val="000000"/>
        </w:rPr>
      </w:pPr>
      <w:r w:rsidRPr="00FE0616">
        <w:rPr>
          <w:rFonts w:eastAsia="Times New Roman" w:cs="Times New Roman"/>
          <w:color w:val="000000"/>
        </w:rPr>
        <w:fldChar w:fldCharType="begin"/>
      </w:r>
      <w:r w:rsidRPr="00FE0616">
        <w:rPr>
          <w:rFonts w:eastAsia="Times New Roman" w:cs="Times New Roman"/>
          <w:color w:val="000000"/>
        </w:rPr>
        <w:instrText xml:space="preserve"> SEQ level0 \*arabic </w:instrText>
      </w:r>
      <w:r w:rsidRPr="00FE0616">
        <w:rPr>
          <w:rFonts w:eastAsia="Times New Roman" w:cs="Times New Roman"/>
          <w:color w:val="000000"/>
        </w:rPr>
        <w:fldChar w:fldCharType="separate"/>
      </w:r>
      <w:r w:rsidRPr="00FE0616" w:rsidR="00FE0616">
        <w:rPr>
          <w:rFonts w:eastAsia="Times New Roman" w:cs="Times New Roman"/>
          <w:noProof/>
          <w:color w:val="000000"/>
        </w:rPr>
        <w:t>63</w:t>
      </w:r>
      <w:r w:rsidRPr="00FE0616">
        <w:rPr>
          <w:rFonts w:eastAsia="Times New Roman" w:cs="Times New Roman"/>
          <w:color w:val="000000"/>
        </w:rPr>
        <w:fldChar w:fldCharType="end"/>
      </w:r>
      <w:r w:rsidRPr="00FE0616">
        <w:rPr>
          <w:rFonts w:eastAsia="Times New Roman" w:cs="Times New Roman"/>
          <w:color w:val="000000"/>
        </w:rPr>
        <w:t>.  </w:t>
      </w:r>
      <w:r w:rsidRPr="00FE0616">
        <w:rPr>
          <w:rFonts w:ascii="Times New Roman" w:hAnsi="Times New Roman" w:eastAsia="Times New Roman" w:cs="Times New Roman"/>
          <w:color w:val="000000"/>
        </w:rPr>
        <w:t xml:space="preserve">The Court further </w:t>
      </w:r>
      <w:r w:rsidRPr="00FE0616">
        <w:t xml:space="preserve">reiterates that the seizure of property for legal proceedings, which does not deprive the owner of his possessions, but only provisionally prevents him or her from using them and from disposing of them, normally relates to the control of the use of property </w:t>
      </w:r>
      <w:r w:rsidRPr="00FE0616">
        <w:rPr>
          <w:rFonts w:ascii="Times New Roman" w:hAnsi="Times New Roman" w:eastAsia="Times New Roman" w:cs="Times New Roman"/>
          <w:color w:val="000000"/>
        </w:rPr>
        <w:t xml:space="preserve">(see, for instance, </w:t>
      </w:r>
      <w:r w:rsidRPr="00FE0616">
        <w:rPr>
          <w:rFonts w:ascii="Times New Roman" w:hAnsi="Times New Roman" w:eastAsia="Times New Roman" w:cs="Times New Roman"/>
          <w:i/>
          <w:color w:val="000000"/>
        </w:rPr>
        <w:t>East West Alliance Limited</w:t>
      </w:r>
      <w:r w:rsidRPr="00FE0616">
        <w:rPr>
          <w:rFonts w:ascii="Times New Roman" w:hAnsi="Times New Roman" w:eastAsia="Times New Roman" w:cs="Times New Roman"/>
          <w:color w:val="000000"/>
        </w:rPr>
        <w:t>, cited above, § 185). The Court does not see any reasons for holding otherwise in the present case and considers the interference at stake, aimed to secure the payment of taxes, to be falling under the second rule of Article 1 of Protocol No. 1, namely the control of use of property.</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64</w:t>
      </w:r>
      <w:r w:rsidRPr="00FE0616">
        <w:rPr>
          <w:rFonts w:eastAsia="Times New Roman"/>
        </w:rPr>
        <w:fldChar w:fldCharType="end"/>
      </w:r>
      <w:r w:rsidRPr="00FE0616">
        <w:rPr>
          <w:rFonts w:eastAsia="Times New Roman"/>
        </w:rPr>
        <w:t xml:space="preserve">.  In this context, the Court underlines that the fiscal decision of 23 December 2013 (see paragraph </w:t>
      </w:r>
      <w:r w:rsidRPr="00FE0616">
        <w:rPr>
          <w:rFonts w:eastAsia="Times New Roman"/>
        </w:rPr>
        <w:fldChar w:fldCharType="begin"/>
      </w:r>
      <w:r w:rsidRPr="00FE0616" w:rsidR="00394A1C">
        <w:rPr>
          <w:rFonts w:eastAsia="Times New Roman"/>
        </w:rPr>
        <w:instrText xml:space="preserve"> REF fiscal_outstanding_decision \h </w:instrText>
      </w:r>
      <w:r w:rsidRPr="00FE0616">
        <w:rPr>
          <w:rFonts w:eastAsia="Times New Roman"/>
        </w:rPr>
      </w:r>
      <w:r w:rsidRPr="00FE0616">
        <w:rPr>
          <w:rFonts w:eastAsia="Times New Roman"/>
        </w:rPr>
        <w:fldChar w:fldCharType="separate"/>
      </w:r>
      <w:r w:rsidRPr="00FE0616" w:rsidR="00FE0616">
        <w:rPr>
          <w:rFonts w:eastAsia="Times New Roman"/>
          <w:noProof/>
        </w:rPr>
        <w:t>7</w:t>
      </w:r>
      <w:r w:rsidRPr="00FE0616">
        <w:rPr>
          <w:rFonts w:eastAsia="Times New Roman"/>
        </w:rPr>
        <w:fldChar w:fldCharType="end"/>
      </w:r>
      <w:r w:rsidRPr="00FE0616">
        <w:rPr>
          <w:rFonts w:eastAsia="Times New Roman"/>
        </w:rPr>
        <w:t xml:space="preserve"> above) was indeed the source of all the matters complained of by the applicant before the domestic authorities, as well as before this Court.</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65</w:t>
      </w:r>
      <w:r w:rsidRPr="00FE0616">
        <w:rPr>
          <w:rFonts w:eastAsia="Times New Roman"/>
        </w:rPr>
        <w:fldChar w:fldCharType="end"/>
      </w:r>
      <w:r w:rsidRPr="00FE0616">
        <w:rPr>
          <w:rFonts w:eastAsia="Times New Roman"/>
        </w:rPr>
        <w:t xml:space="preserve">.  The Government argued that the payment of customs duties by the applicant had been mandatory irrespective of any criminal liability established or otherwise in respect of her (see paragraph </w:t>
      </w:r>
      <w:r w:rsidRPr="00FE0616">
        <w:rPr>
          <w:rFonts w:eastAsia="Times New Roman"/>
        </w:rPr>
        <w:fldChar w:fldCharType="begin"/>
      </w:r>
      <w:r w:rsidRPr="00FE0616" w:rsidR="00394A1C">
        <w:rPr>
          <w:rFonts w:eastAsia="Times New Roman"/>
        </w:rPr>
        <w:instrText xml:space="preserve"> REF payment_mandatory \h </w:instrText>
      </w:r>
      <w:r w:rsidRPr="00FE0616">
        <w:rPr>
          <w:rFonts w:eastAsia="Times New Roman"/>
        </w:rPr>
      </w:r>
      <w:r w:rsidRPr="00FE0616">
        <w:rPr>
          <w:rFonts w:eastAsia="Times New Roman"/>
        </w:rPr>
        <w:fldChar w:fldCharType="separate"/>
      </w:r>
      <w:r w:rsidRPr="00FE0616" w:rsidR="00FE0616">
        <w:rPr>
          <w:rFonts w:eastAsia="Times New Roman"/>
          <w:noProof/>
        </w:rPr>
        <w:t>55</w:t>
      </w:r>
      <w:r w:rsidRPr="00FE0616">
        <w:rPr>
          <w:rFonts w:eastAsia="Times New Roman"/>
        </w:rPr>
        <w:fldChar w:fldCharType="end"/>
      </w:r>
      <w:r w:rsidRPr="00FE0616">
        <w:rPr>
          <w:rFonts w:eastAsia="Times New Roman"/>
        </w:rPr>
        <w:t xml:space="preserve"> above).</w:t>
      </w:r>
    </w:p>
    <w:p w:rsidRPr="00FE0616" w:rsidR="006263A0" w:rsidP="00FE0616" w:rsidRDefault="006263A0">
      <w:pPr>
        <w:pStyle w:val="JuPara"/>
        <w:rPr>
          <w:rFonts w:eastAsia="Times New Roman" w:cs="Times New Roman"/>
          <w:color w:val="000000"/>
        </w:rPr>
      </w:pPr>
      <w:r w:rsidRPr="00FE0616">
        <w:rPr>
          <w:rFonts w:eastAsia="Times New Roman" w:cs="Times New Roman"/>
          <w:color w:val="000000"/>
        </w:rPr>
        <w:fldChar w:fldCharType="begin"/>
      </w:r>
      <w:r w:rsidRPr="00FE0616">
        <w:rPr>
          <w:rFonts w:eastAsia="Times New Roman" w:cs="Times New Roman"/>
          <w:color w:val="000000"/>
        </w:rPr>
        <w:instrText xml:space="preserve"> SEQ level0 \*arabic </w:instrText>
      </w:r>
      <w:r w:rsidRPr="00FE0616">
        <w:rPr>
          <w:rFonts w:eastAsia="Times New Roman" w:cs="Times New Roman"/>
          <w:color w:val="000000"/>
        </w:rPr>
        <w:fldChar w:fldCharType="separate"/>
      </w:r>
      <w:r w:rsidRPr="00FE0616" w:rsidR="00FE0616">
        <w:rPr>
          <w:rFonts w:eastAsia="Times New Roman" w:cs="Times New Roman"/>
          <w:noProof/>
          <w:color w:val="000000"/>
        </w:rPr>
        <w:t>66</w:t>
      </w:r>
      <w:r w:rsidRPr="00FE0616">
        <w:rPr>
          <w:rFonts w:eastAsia="Times New Roman" w:cs="Times New Roman"/>
          <w:color w:val="000000"/>
        </w:rPr>
        <w:fldChar w:fldCharType="end"/>
      </w:r>
      <w:r w:rsidRPr="00FE0616">
        <w:rPr>
          <w:rFonts w:eastAsia="Times New Roman" w:cs="Times New Roman"/>
          <w:color w:val="000000"/>
        </w:rPr>
        <w:t>.  It is not the Court</w:t>
      </w:r>
      <w:r w:rsidRPr="00FE0616" w:rsidR="00FE0616">
        <w:rPr>
          <w:rFonts w:eastAsia="Times New Roman" w:cs="Times New Roman"/>
          <w:color w:val="000000"/>
        </w:rPr>
        <w:t>’</w:t>
      </w:r>
      <w:r w:rsidRPr="00FE0616">
        <w:rPr>
          <w:rFonts w:eastAsia="Times New Roman" w:cs="Times New Roman"/>
          <w:color w:val="000000"/>
        </w:rPr>
        <w:t>s task here to examine</w:t>
      </w:r>
      <w:r w:rsidRPr="00FE0616" w:rsidR="00C863E9">
        <w:rPr>
          <w:rFonts w:eastAsia="Times New Roman" w:cs="Times New Roman"/>
          <w:color w:val="000000"/>
        </w:rPr>
        <w:t xml:space="preserve"> </w:t>
      </w:r>
      <w:r w:rsidRPr="00FE0616">
        <w:rPr>
          <w:rFonts w:eastAsia="Times New Roman" w:cs="Times New Roman"/>
          <w:i/>
          <w:iCs/>
          <w:color w:val="000000"/>
        </w:rPr>
        <w:t xml:space="preserve">in </w:t>
      </w:r>
      <w:proofErr w:type="spellStart"/>
      <w:r w:rsidRPr="00FE0616">
        <w:rPr>
          <w:rFonts w:eastAsia="Times New Roman" w:cs="Times New Roman"/>
          <w:i/>
          <w:iCs/>
          <w:color w:val="000000"/>
        </w:rPr>
        <w:t>abstracto</w:t>
      </w:r>
      <w:proofErr w:type="spellEnd"/>
      <w:r w:rsidRPr="00FE0616" w:rsidR="00C863E9">
        <w:rPr>
          <w:rFonts w:eastAsia="Times New Roman" w:cs="Times New Roman"/>
          <w:i/>
          <w:iCs/>
          <w:color w:val="000000"/>
        </w:rPr>
        <w:t xml:space="preserve"> </w:t>
      </w:r>
      <w:r w:rsidRPr="00FE0616">
        <w:rPr>
          <w:rFonts w:eastAsia="Times New Roman" w:cs="Times New Roman"/>
          <w:color w:val="000000"/>
        </w:rPr>
        <w:t>the legal theory underlying the interrelation or lack thereof between the tax and criminal liabilities of an individual in circumstances similar as those revealed by the present case. It must limit its analysis to the question of whether or not the application of the law in the particular circumstances of the present case resulted in a violation of the applicant</w:t>
      </w:r>
      <w:r w:rsidRPr="00FE0616" w:rsidR="00FE0616">
        <w:rPr>
          <w:rFonts w:eastAsia="Times New Roman" w:cs="Times New Roman"/>
          <w:color w:val="000000"/>
        </w:rPr>
        <w:t>’</w:t>
      </w:r>
      <w:r w:rsidRPr="00FE0616">
        <w:rPr>
          <w:rFonts w:eastAsia="Times New Roman" w:cs="Times New Roman"/>
          <w:color w:val="000000"/>
        </w:rPr>
        <w:t xml:space="preserve">s rights under the Convention, and in particular, of her rights protected by Article 1 of Protocol No. 1 to the Convention (see, </w:t>
      </w:r>
      <w:r w:rsidRPr="00FE0616">
        <w:rPr>
          <w:rFonts w:eastAsia="Times New Roman" w:cs="Times New Roman"/>
          <w:i/>
          <w:color w:val="000000"/>
        </w:rPr>
        <w:t>mutatis mutandis</w:t>
      </w:r>
      <w:r w:rsidRPr="00FE0616" w:rsidR="00C863E9">
        <w:rPr>
          <w:rFonts w:eastAsia="Times New Roman" w:cs="Times New Roman"/>
          <w:color w:val="000000"/>
        </w:rPr>
        <w:t xml:space="preserve">, </w:t>
      </w:r>
      <w:proofErr w:type="spellStart"/>
      <w:r w:rsidRPr="00FE0616">
        <w:rPr>
          <w:i/>
        </w:rPr>
        <w:t>Kehaya</w:t>
      </w:r>
      <w:proofErr w:type="spellEnd"/>
      <w:r w:rsidRPr="00FE0616">
        <w:rPr>
          <w:i/>
        </w:rPr>
        <w:t xml:space="preserve"> and Others v. Bulgaria</w:t>
      </w:r>
      <w:r w:rsidRPr="00FE0616">
        <w:t>, nos. 47797/99 and 68698/01, § 65, 12 January 2006</w:t>
      </w:r>
      <w:r w:rsidRPr="00FE0616">
        <w:rPr>
          <w:rFonts w:eastAsia="Times New Roman" w:cs="Times New Roman"/>
          <w:color w:val="000000"/>
        </w:rPr>
        <w:t>).</w:t>
      </w:r>
    </w:p>
    <w:p w:rsidRPr="00FE0616" w:rsidR="006263A0" w:rsidP="00FE0616" w:rsidRDefault="006263A0">
      <w:pPr>
        <w:pStyle w:val="JuPara"/>
        <w:rPr>
          <w:rFonts w:eastAsia="Times New Roman"/>
          <w:lang w:val="en-US"/>
        </w:rPr>
      </w:pPr>
      <w:r w:rsidRPr="00FE0616">
        <w:rPr>
          <w:rFonts w:eastAsia="Times New Roman"/>
          <w:lang w:val="en-US"/>
        </w:rPr>
        <w:fldChar w:fldCharType="begin"/>
      </w:r>
      <w:r w:rsidRPr="00FE0616">
        <w:rPr>
          <w:rFonts w:eastAsia="Times New Roman"/>
          <w:lang w:val="en-US"/>
        </w:rPr>
        <w:instrText xml:space="preserve"> SEQ level0 \*arabic </w:instrText>
      </w:r>
      <w:r w:rsidRPr="00FE0616">
        <w:rPr>
          <w:rFonts w:eastAsia="Times New Roman"/>
          <w:lang w:val="en-US"/>
        </w:rPr>
        <w:fldChar w:fldCharType="separate"/>
      </w:r>
      <w:r w:rsidRPr="00FE0616" w:rsidR="00FE0616">
        <w:rPr>
          <w:rFonts w:eastAsia="Times New Roman"/>
          <w:noProof/>
          <w:lang w:val="en-US"/>
        </w:rPr>
        <w:t>67</w:t>
      </w:r>
      <w:r w:rsidRPr="00FE0616">
        <w:rPr>
          <w:rFonts w:eastAsia="Times New Roman"/>
          <w:lang w:val="en-US"/>
        </w:rPr>
        <w:fldChar w:fldCharType="end"/>
      </w:r>
      <w:r w:rsidRPr="00FE0616">
        <w:rPr>
          <w:rFonts w:eastAsia="Times New Roman"/>
          <w:lang w:val="en-US"/>
        </w:rPr>
        <w:t xml:space="preserve">.  The Court must take into account the fact that the </w:t>
      </w:r>
      <w:r w:rsidRPr="00FE0616" w:rsidR="00063FD2">
        <w:rPr>
          <w:rFonts w:eastAsia="Times New Roman"/>
          <w:lang w:val="en-US"/>
        </w:rPr>
        <w:t>judgment of 29 June </w:t>
      </w:r>
      <w:r w:rsidRPr="00FE0616">
        <w:rPr>
          <w:rFonts w:eastAsia="Times New Roman"/>
          <w:lang w:val="en-US"/>
        </w:rPr>
        <w:t xml:space="preserve">2016 (see paragraph </w:t>
      </w:r>
      <w:r w:rsidRPr="00FE0616">
        <w:rPr>
          <w:rFonts w:eastAsia="Times New Roman"/>
          <w:lang w:val="en-US"/>
        </w:rPr>
        <w:fldChar w:fldCharType="begin"/>
      </w:r>
      <w:r w:rsidRPr="00FE0616" w:rsidR="00394A1C">
        <w:rPr>
          <w:rFonts w:eastAsia="Times New Roman"/>
          <w:lang w:val="en-US"/>
        </w:rPr>
        <w:instrText xml:space="preserve"> REF outstanding_judgment_2016 \h </w:instrText>
      </w:r>
      <w:r w:rsidRPr="00FE0616">
        <w:rPr>
          <w:rFonts w:eastAsia="Times New Roman"/>
          <w:lang w:val="en-US"/>
        </w:rPr>
      </w:r>
      <w:r w:rsidRPr="00FE0616">
        <w:rPr>
          <w:rFonts w:eastAsia="Times New Roman"/>
          <w:lang w:val="en-US"/>
        </w:rPr>
        <w:fldChar w:fldCharType="separate"/>
      </w:r>
      <w:r w:rsidRPr="00FE0616" w:rsidR="00FE0616">
        <w:rPr>
          <w:rFonts w:eastAsia="Times New Roman"/>
          <w:noProof/>
        </w:rPr>
        <w:t>30</w:t>
      </w:r>
      <w:r w:rsidRPr="00FE0616">
        <w:rPr>
          <w:rFonts w:eastAsia="Times New Roman"/>
          <w:lang w:val="en-US"/>
        </w:rPr>
        <w:fldChar w:fldCharType="end"/>
      </w:r>
      <w:r w:rsidRPr="00FE0616">
        <w:rPr>
          <w:rFonts w:eastAsia="Times New Roman"/>
          <w:lang w:val="en-US"/>
        </w:rPr>
        <w:t xml:space="preserve"> above) was the result of contentious proceedings between the applicant and the tax authority, before two levels of jurisdiction. Both courts essentially accepted the applicant</w:t>
      </w:r>
      <w:r w:rsidRPr="00FE0616" w:rsidR="00FE0616">
        <w:rPr>
          <w:rFonts w:eastAsia="Times New Roman"/>
          <w:lang w:val="en-US"/>
        </w:rPr>
        <w:t>’</w:t>
      </w:r>
      <w:r w:rsidRPr="00FE0616">
        <w:rPr>
          <w:rFonts w:eastAsia="Times New Roman"/>
          <w:lang w:val="en-US"/>
        </w:rPr>
        <w:t xml:space="preserve">s claims challenging the enforcement started against her, on the basis of the consideration that in the absence of any criminal liability, no tax liability could be established in respect of her either. These findings were binding on the parties, as they were </w:t>
      </w:r>
      <w:r w:rsidRPr="00FE0616">
        <w:rPr>
          <w:rFonts w:eastAsia="Times New Roman"/>
          <w:i/>
          <w:lang w:val="en-US"/>
        </w:rPr>
        <w:t>res judicata</w:t>
      </w:r>
      <w:r w:rsidRPr="00FE0616">
        <w:rPr>
          <w:rFonts w:eastAsia="Times New Roman"/>
          <w:lang w:val="en-US"/>
        </w:rPr>
        <w:t xml:space="preserve">, pursuant to domestic law, in so far as they were </w:t>
      </w:r>
      <w:r w:rsidRPr="00FE0616">
        <w:rPr>
          <w:rFonts w:eastAsia="Times New Roman"/>
        </w:rPr>
        <w:t>directly determinative of the disputed right (see paragraphs</w:t>
      </w:r>
      <w:r w:rsidRPr="00FE0616" w:rsidR="00C863E9">
        <w:rPr>
          <w:rFonts w:eastAsia="Times New Roman"/>
        </w:rPr>
        <w:t> </w:t>
      </w:r>
      <w:r w:rsidRPr="00FE0616">
        <w:rPr>
          <w:rFonts w:eastAsia="Times New Roman"/>
        </w:rPr>
        <w:fldChar w:fldCharType="begin"/>
      </w:r>
      <w:r w:rsidRPr="00FE0616" w:rsidR="00394A1C">
        <w:rPr>
          <w:rFonts w:eastAsia="Times New Roman"/>
        </w:rPr>
        <w:instrText xml:space="preserve"> REF reasoning_outstanding_judgment_2016 \h </w:instrText>
      </w:r>
      <w:r w:rsidRPr="00FE0616">
        <w:rPr>
          <w:rFonts w:eastAsia="Times New Roman"/>
        </w:rPr>
      </w:r>
      <w:r w:rsidRPr="00FE0616">
        <w:rPr>
          <w:rFonts w:eastAsia="Times New Roman"/>
        </w:rPr>
        <w:fldChar w:fldCharType="separate"/>
      </w:r>
      <w:r w:rsidRPr="00FE0616" w:rsidR="00FE0616">
        <w:rPr>
          <w:rFonts w:eastAsia="Times New Roman"/>
          <w:noProof/>
        </w:rPr>
        <w:t>33</w:t>
      </w:r>
      <w:r w:rsidRPr="00FE0616">
        <w:rPr>
          <w:rFonts w:eastAsia="Times New Roman"/>
        </w:rPr>
        <w:fldChar w:fldCharType="end"/>
      </w:r>
      <w:r w:rsidRPr="00FE0616">
        <w:rPr>
          <w:rFonts w:eastAsia="Times New Roman"/>
        </w:rPr>
        <w:t xml:space="preserve"> and </w:t>
      </w:r>
      <w:r w:rsidRPr="00FE0616">
        <w:rPr>
          <w:rFonts w:eastAsia="Times New Roman"/>
          <w:lang w:val="en-US"/>
        </w:rPr>
        <w:fldChar w:fldCharType="begin"/>
      </w:r>
      <w:r w:rsidRPr="00FE0616" w:rsidR="00394A1C">
        <w:rPr>
          <w:rFonts w:eastAsia="Times New Roman"/>
          <w:lang w:val="en-US"/>
        </w:rPr>
        <w:instrText xml:space="preserve"> REF res_judicata_CCP \h </w:instrText>
      </w:r>
      <w:r w:rsidRPr="00FE0616">
        <w:rPr>
          <w:rFonts w:eastAsia="Times New Roman"/>
          <w:lang w:val="en-US"/>
        </w:rPr>
      </w:r>
      <w:r w:rsidRPr="00FE0616">
        <w:rPr>
          <w:rFonts w:eastAsia="Times New Roman"/>
          <w:lang w:val="en-US"/>
        </w:rPr>
        <w:fldChar w:fldCharType="separate"/>
      </w:r>
      <w:r w:rsidRPr="00FE0616" w:rsidR="00FE0616">
        <w:rPr>
          <w:rFonts w:eastAsia="Times New Roman"/>
          <w:noProof/>
        </w:rPr>
        <w:t>39</w:t>
      </w:r>
      <w:r w:rsidRPr="00FE0616">
        <w:rPr>
          <w:rFonts w:eastAsia="Times New Roman"/>
          <w:lang w:val="en-US"/>
        </w:rPr>
        <w:fldChar w:fldCharType="end"/>
      </w:r>
      <w:r w:rsidRPr="00FE0616">
        <w:rPr>
          <w:rFonts w:eastAsia="Times New Roman"/>
          <w:lang w:val="en-US"/>
        </w:rPr>
        <w:t xml:space="preserve"> above).</w:t>
      </w:r>
    </w:p>
    <w:p w:rsidRPr="00FE0616" w:rsidR="006263A0" w:rsidP="00FE0616" w:rsidRDefault="006263A0">
      <w:pPr>
        <w:pStyle w:val="JuPara"/>
        <w:rPr>
          <w:rFonts w:eastAsia="Times New Roman"/>
          <w:lang w:val="en-US"/>
        </w:rPr>
      </w:pPr>
      <w:r w:rsidRPr="00FE0616">
        <w:rPr>
          <w:rFonts w:eastAsia="Times New Roman"/>
          <w:lang w:val="en-US"/>
        </w:rPr>
        <w:fldChar w:fldCharType="begin"/>
      </w:r>
      <w:r w:rsidRPr="00FE0616">
        <w:rPr>
          <w:rFonts w:eastAsia="Times New Roman"/>
          <w:lang w:val="en-US"/>
        </w:rPr>
        <w:instrText xml:space="preserve"> SEQ level0 \*arabic </w:instrText>
      </w:r>
      <w:r w:rsidRPr="00FE0616">
        <w:rPr>
          <w:rFonts w:eastAsia="Times New Roman"/>
          <w:lang w:val="en-US"/>
        </w:rPr>
        <w:fldChar w:fldCharType="separate"/>
      </w:r>
      <w:r w:rsidRPr="00FE0616" w:rsidR="00FE0616">
        <w:rPr>
          <w:rFonts w:eastAsia="Times New Roman"/>
          <w:noProof/>
          <w:lang w:val="en-US"/>
        </w:rPr>
        <w:t>68</w:t>
      </w:r>
      <w:r w:rsidRPr="00FE0616">
        <w:rPr>
          <w:rFonts w:eastAsia="Times New Roman"/>
          <w:lang w:val="en-US"/>
        </w:rPr>
        <w:fldChar w:fldCharType="end"/>
      </w:r>
      <w:r w:rsidRPr="00FE0616">
        <w:rPr>
          <w:rFonts w:eastAsia="Times New Roman"/>
          <w:lang w:val="en-US"/>
        </w:rPr>
        <w:t xml:space="preserve">.  Moreover, the appellate court also referred to Article 148 of the TPC (see paragraph </w:t>
      </w:r>
      <w:r w:rsidRPr="00FE0616">
        <w:rPr>
          <w:rFonts w:eastAsia="Times New Roman"/>
          <w:lang w:val="en-US"/>
        </w:rPr>
        <w:fldChar w:fldCharType="begin"/>
      </w:r>
      <w:r w:rsidRPr="00FE0616" w:rsidR="00394A1C">
        <w:rPr>
          <w:rFonts w:eastAsia="Times New Roman"/>
          <w:lang w:val="en-US"/>
        </w:rPr>
        <w:instrText xml:space="preserve"> REF art148FCP \h </w:instrText>
      </w:r>
      <w:r w:rsidRPr="00FE0616">
        <w:rPr>
          <w:rFonts w:eastAsia="Times New Roman"/>
          <w:lang w:val="en-US"/>
        </w:rPr>
      </w:r>
      <w:r w:rsidRPr="00FE0616">
        <w:rPr>
          <w:rFonts w:eastAsia="Times New Roman"/>
          <w:lang w:val="en-US"/>
        </w:rPr>
        <w:fldChar w:fldCharType="separate"/>
      </w:r>
      <w:r w:rsidRPr="00FE0616" w:rsidR="00FE0616">
        <w:rPr>
          <w:rFonts w:eastAsia="Times New Roman"/>
          <w:noProof/>
        </w:rPr>
        <w:t>38</w:t>
      </w:r>
      <w:r w:rsidRPr="00FE0616">
        <w:rPr>
          <w:rFonts w:eastAsia="Times New Roman"/>
          <w:lang w:val="en-US"/>
        </w:rPr>
        <w:fldChar w:fldCharType="end"/>
      </w:r>
      <w:r w:rsidRPr="00FE0616">
        <w:rPr>
          <w:rFonts w:eastAsia="Times New Roman"/>
          <w:lang w:val="en-US"/>
        </w:rPr>
        <w:t xml:space="preserve"> above) to conclude that </w:t>
      </w:r>
      <w:r w:rsidRPr="00FE0616">
        <w:rPr>
          <w:rFonts w:ascii="Times New Roman" w:hAnsi="Times New Roman" w:eastAsia="Times New Roman"/>
          <w:lang w:val="en-US"/>
        </w:rPr>
        <w:t>direct enforcement ended when the tax debt could be considered as extinguished, as it was in the applicant</w:t>
      </w:r>
      <w:r w:rsidRPr="00FE0616" w:rsidR="00FE0616">
        <w:rPr>
          <w:rFonts w:ascii="Times New Roman" w:hAnsi="Times New Roman" w:eastAsia="Times New Roman"/>
          <w:lang w:val="en-US"/>
        </w:rPr>
        <w:t>’</w:t>
      </w:r>
      <w:r w:rsidRPr="00FE0616">
        <w:rPr>
          <w:rFonts w:ascii="Times New Roman" w:hAnsi="Times New Roman" w:eastAsia="Times New Roman"/>
          <w:lang w:val="en-US"/>
        </w:rPr>
        <w:t xml:space="preserve">s case (see paragraph </w:t>
      </w:r>
      <w:r w:rsidRPr="00FE0616">
        <w:rPr>
          <w:rFonts w:ascii="Times New Roman" w:hAnsi="Times New Roman" w:eastAsia="Times New Roman"/>
          <w:lang w:val="en-US"/>
        </w:rPr>
        <w:fldChar w:fldCharType="begin"/>
      </w:r>
      <w:r w:rsidRPr="00FE0616" w:rsidR="00394A1C">
        <w:rPr>
          <w:rFonts w:ascii="Times New Roman" w:hAnsi="Times New Roman" w:eastAsia="Times New Roman"/>
          <w:lang w:val="en-US"/>
        </w:rPr>
        <w:instrText xml:space="preserve"> REF reasoning_outstanding_judgment_2016 \h </w:instrText>
      </w:r>
      <w:r w:rsidRPr="00FE0616">
        <w:rPr>
          <w:rFonts w:ascii="Times New Roman" w:hAnsi="Times New Roman" w:eastAsia="Times New Roman"/>
          <w:lang w:val="en-US"/>
        </w:rPr>
      </w:r>
      <w:r w:rsidRPr="00FE0616">
        <w:rPr>
          <w:rFonts w:ascii="Times New Roman" w:hAnsi="Times New Roman" w:eastAsia="Times New Roman"/>
          <w:lang w:val="en-US"/>
        </w:rPr>
        <w:fldChar w:fldCharType="separate"/>
      </w:r>
      <w:r w:rsidRPr="00FE0616" w:rsidR="00FE0616">
        <w:rPr>
          <w:rFonts w:eastAsia="Times New Roman"/>
          <w:noProof/>
        </w:rPr>
        <w:t>33</w:t>
      </w:r>
      <w:r w:rsidRPr="00FE0616">
        <w:rPr>
          <w:rFonts w:ascii="Times New Roman" w:hAnsi="Times New Roman" w:eastAsia="Times New Roman"/>
          <w:lang w:val="en-US"/>
        </w:rPr>
        <w:fldChar w:fldCharType="end"/>
      </w:r>
      <w:r w:rsidRPr="00FE0616">
        <w:rPr>
          <w:rFonts w:ascii="Times New Roman" w:hAnsi="Times New Roman" w:eastAsia="Times New Roman"/>
          <w:lang w:val="en-US"/>
        </w:rPr>
        <w:t xml:space="preserve"> above). The Court reiterates that t</w:t>
      </w:r>
      <w:r w:rsidRPr="00FE0616">
        <w:rPr>
          <w:rFonts w:eastAsia="Times New Roman"/>
          <w:lang w:val="en-US"/>
        </w:rPr>
        <w:t xml:space="preserve">he principle of legal certainty dictates that, where a dispute has been examined on the merits by competent courts, it should be decided once and for all (see in the context of Article 6 of the Convention, </w:t>
      </w:r>
      <w:proofErr w:type="spellStart"/>
      <w:r w:rsidRPr="00FE0616">
        <w:rPr>
          <w:rFonts w:eastAsia="Times New Roman"/>
          <w:i/>
          <w:lang w:val="en-US"/>
        </w:rPr>
        <w:t>Kehaya</w:t>
      </w:r>
      <w:proofErr w:type="spellEnd"/>
      <w:r w:rsidRPr="00FE0616">
        <w:rPr>
          <w:rFonts w:eastAsia="Times New Roman"/>
          <w:lang w:val="en-US"/>
        </w:rPr>
        <w:t xml:space="preserve">, cited above, </w:t>
      </w:r>
      <w:r w:rsidRPr="00FE0616">
        <w:rPr>
          <w:rFonts w:eastAsia="Times New Roman" w:cstheme="minorHAnsi"/>
          <w:lang w:val="en-US"/>
        </w:rPr>
        <w:t>§</w:t>
      </w:r>
      <w:r w:rsidRPr="00FE0616">
        <w:rPr>
          <w:rFonts w:eastAsia="Times New Roman"/>
          <w:lang w:val="en-US"/>
        </w:rPr>
        <w:t xml:space="preserve"> 68) and its findings should become operative, including by being fully enforced to the benefit of the successful party.</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69</w:t>
      </w:r>
      <w:r w:rsidRPr="00FE0616">
        <w:rPr>
          <w:rFonts w:eastAsia="Times New Roman"/>
        </w:rPr>
        <w:fldChar w:fldCharType="end"/>
      </w:r>
      <w:r w:rsidRPr="00FE0616">
        <w:rPr>
          <w:rFonts w:eastAsia="Times New Roman"/>
        </w:rPr>
        <w:t>. </w:t>
      </w:r>
      <w:r w:rsidRPr="00FE0616" w:rsidR="004E4CB4">
        <w:rPr>
          <w:rFonts w:eastAsia="Times New Roman"/>
        </w:rPr>
        <w:t> </w:t>
      </w:r>
      <w:r w:rsidRPr="00FE0616">
        <w:rPr>
          <w:rFonts w:eastAsia="Times New Roman"/>
        </w:rPr>
        <w:t>However, in the present case, as already mentioned above (see paragraph</w:t>
      </w:r>
      <w:r w:rsidRPr="00FE0616" w:rsidR="00C863E9">
        <w:rPr>
          <w:rFonts w:eastAsia="Times New Roman"/>
        </w:rPr>
        <w:t> </w:t>
      </w:r>
      <w:r w:rsidRPr="00FE0616">
        <w:rPr>
          <w:rFonts w:eastAsia="Times New Roman"/>
        </w:rPr>
        <w:fldChar w:fldCharType="begin"/>
      </w:r>
      <w:r w:rsidRPr="00FE0616" w:rsidR="00394A1C">
        <w:rPr>
          <w:rFonts w:eastAsia="Times New Roman"/>
        </w:rPr>
        <w:instrText xml:space="preserve"> REF Court_sees_notenforced \h </w:instrText>
      </w:r>
      <w:r w:rsidRPr="00FE0616">
        <w:rPr>
          <w:rFonts w:eastAsia="Times New Roman"/>
        </w:rPr>
      </w:r>
      <w:r w:rsidRPr="00FE0616">
        <w:rPr>
          <w:rFonts w:eastAsia="Times New Roman"/>
        </w:rPr>
        <w:fldChar w:fldCharType="separate"/>
      </w:r>
      <w:r w:rsidRPr="00FE0616" w:rsidR="00FE0616">
        <w:rPr>
          <w:rFonts w:eastAsia="Times New Roman"/>
          <w:noProof/>
        </w:rPr>
        <w:t>61</w:t>
      </w:r>
      <w:r w:rsidRPr="00FE0616">
        <w:rPr>
          <w:rFonts w:eastAsia="Times New Roman"/>
        </w:rPr>
        <w:fldChar w:fldCharType="end"/>
      </w:r>
      <w:r w:rsidRPr="00FE0616">
        <w:rPr>
          <w:rFonts w:eastAsia="Times New Roman"/>
        </w:rPr>
        <w:t xml:space="preserve"> above) that outstanding judgment had, at the date of the latest information available to the Court, remained unenforced. Moreover, the Court notes that the domestic court</w:t>
      </w:r>
      <w:r w:rsidRPr="00FE0616" w:rsidR="00FE0616">
        <w:rPr>
          <w:rFonts w:eastAsia="Times New Roman"/>
        </w:rPr>
        <w:t>’</w:t>
      </w:r>
      <w:r w:rsidRPr="00FE0616">
        <w:rPr>
          <w:rFonts w:eastAsia="Times New Roman"/>
        </w:rPr>
        <w:t>s decisive findings concerning the lack of any obligation of the applicant to cover the impugned damage caused by an alleged tax evasion remained completely inoperative to her detriment; in fact, the outstanding judgment as a whole was rendered devoid of any legal effect on account on the tax authority</w:t>
      </w:r>
      <w:r w:rsidRPr="00FE0616" w:rsidR="00FE0616">
        <w:rPr>
          <w:rFonts w:eastAsia="Times New Roman"/>
        </w:rPr>
        <w:t>’</w:t>
      </w:r>
      <w:r w:rsidRPr="00FE0616">
        <w:rPr>
          <w:rFonts w:eastAsia="Times New Roman"/>
        </w:rPr>
        <w:t>s consistent position as to the existence of a debt to be paid by the applicant, in spite of the findings of the prosecutor and of the court which had absolved her of any such liability in that regard (see paragraphs</w:t>
      </w:r>
      <w:r w:rsidRPr="00FE0616">
        <w:rPr>
          <w:rFonts w:ascii="Times New Roman" w:hAnsi="Times New Roman" w:eastAsia="Times New Roman"/>
        </w:rPr>
        <w:t xml:space="preserve"> </w:t>
      </w:r>
      <w:r w:rsidRPr="00FE0616">
        <w:rPr>
          <w:rFonts w:ascii="Times New Roman" w:hAnsi="Times New Roman" w:eastAsia="Times New Roman"/>
        </w:rPr>
        <w:fldChar w:fldCharType="begin"/>
      </w:r>
      <w:r w:rsidRPr="00FE0616" w:rsidR="00394A1C">
        <w:rPr>
          <w:rFonts w:ascii="Times New Roman" w:hAnsi="Times New Roman" w:eastAsia="Times New Roman"/>
        </w:rPr>
        <w:instrText xml:space="preserve"> REF Prosecutor_terminates \h </w:instrText>
      </w:r>
      <w:r w:rsidRPr="00FE0616">
        <w:rPr>
          <w:rFonts w:ascii="Times New Roman" w:hAnsi="Times New Roman" w:eastAsia="Times New Roman"/>
        </w:rPr>
      </w:r>
      <w:r w:rsidRPr="00FE0616">
        <w:rPr>
          <w:rFonts w:ascii="Times New Roman" w:hAnsi="Times New Roman" w:eastAsia="Times New Roman"/>
        </w:rPr>
        <w:fldChar w:fldCharType="separate"/>
      </w:r>
      <w:r w:rsidRPr="00FE0616" w:rsidR="00FE0616">
        <w:rPr>
          <w:rFonts w:eastAsia="Times New Roman"/>
          <w:noProof/>
        </w:rPr>
        <w:t>10</w:t>
      </w:r>
      <w:r w:rsidRPr="00FE0616">
        <w:rPr>
          <w:rFonts w:ascii="Times New Roman" w:hAnsi="Times New Roman" w:eastAsia="Times New Roman"/>
        </w:rPr>
        <w:fldChar w:fldCharType="end"/>
      </w:r>
      <w:r w:rsidRPr="00FE0616">
        <w:rPr>
          <w:rFonts w:ascii="Times New Roman" w:hAnsi="Times New Roman" w:eastAsia="Times New Roman"/>
        </w:rPr>
        <w:t xml:space="preserve">, </w:t>
      </w:r>
      <w:r w:rsidRPr="00FE0616">
        <w:rPr>
          <w:rFonts w:ascii="Times New Roman" w:hAnsi="Times New Roman" w:eastAsia="Times New Roman"/>
        </w:rPr>
        <w:fldChar w:fldCharType="begin"/>
      </w:r>
      <w:r w:rsidRPr="00FE0616" w:rsidR="00394A1C">
        <w:rPr>
          <w:rFonts w:ascii="Times New Roman" w:hAnsi="Times New Roman" w:eastAsia="Times New Roman"/>
        </w:rPr>
        <w:instrText xml:space="preserve"> REF first_court_contex \h </w:instrText>
      </w:r>
      <w:r w:rsidRPr="00FE0616">
        <w:rPr>
          <w:rFonts w:ascii="Times New Roman" w:hAnsi="Times New Roman" w:eastAsia="Times New Roman"/>
        </w:rPr>
      </w:r>
      <w:r w:rsidRPr="00FE0616">
        <w:rPr>
          <w:rFonts w:ascii="Times New Roman" w:hAnsi="Times New Roman" w:eastAsia="Times New Roman"/>
        </w:rPr>
        <w:fldChar w:fldCharType="separate"/>
      </w:r>
      <w:r w:rsidRPr="00FE0616" w:rsidR="00FE0616">
        <w:rPr>
          <w:rFonts w:eastAsia="Times New Roman"/>
          <w:noProof/>
        </w:rPr>
        <w:t>27</w:t>
      </w:r>
      <w:r w:rsidRPr="00FE0616">
        <w:rPr>
          <w:rFonts w:ascii="Times New Roman" w:hAnsi="Times New Roman" w:eastAsia="Times New Roman"/>
        </w:rPr>
        <w:fldChar w:fldCharType="end"/>
      </w:r>
      <w:r w:rsidRPr="00FE0616">
        <w:rPr>
          <w:rFonts w:ascii="Times New Roman" w:hAnsi="Times New Roman" w:eastAsia="Times New Roman"/>
        </w:rPr>
        <w:t xml:space="preserve"> and </w:t>
      </w:r>
      <w:r w:rsidRPr="00FE0616">
        <w:rPr>
          <w:rFonts w:ascii="Times New Roman" w:hAnsi="Times New Roman" w:eastAsia="Times New Roman"/>
        </w:rPr>
        <w:fldChar w:fldCharType="begin"/>
      </w:r>
      <w:r w:rsidRPr="00FE0616" w:rsidR="00394A1C">
        <w:rPr>
          <w:rFonts w:ascii="Times New Roman" w:hAnsi="Times New Roman" w:eastAsia="Times New Roman"/>
        </w:rPr>
        <w:instrText xml:space="preserve"> REF reasoning_outstanding_judgment_2016 \h </w:instrText>
      </w:r>
      <w:r w:rsidRPr="00FE0616">
        <w:rPr>
          <w:rFonts w:ascii="Times New Roman" w:hAnsi="Times New Roman" w:eastAsia="Times New Roman"/>
        </w:rPr>
      </w:r>
      <w:r w:rsidRPr="00FE0616">
        <w:rPr>
          <w:rFonts w:ascii="Times New Roman" w:hAnsi="Times New Roman" w:eastAsia="Times New Roman"/>
        </w:rPr>
        <w:fldChar w:fldCharType="separate"/>
      </w:r>
      <w:r w:rsidRPr="00FE0616" w:rsidR="00FE0616">
        <w:rPr>
          <w:rFonts w:eastAsia="Times New Roman"/>
          <w:noProof/>
        </w:rPr>
        <w:t>33</w:t>
      </w:r>
      <w:r w:rsidRPr="00FE0616">
        <w:rPr>
          <w:rFonts w:ascii="Times New Roman" w:hAnsi="Times New Roman" w:eastAsia="Times New Roman"/>
        </w:rPr>
        <w:fldChar w:fldCharType="end"/>
      </w:r>
      <w:r w:rsidRPr="00FE0616">
        <w:rPr>
          <w:rFonts w:ascii="Times New Roman" w:hAnsi="Times New Roman" w:eastAsia="Times New Roman"/>
        </w:rPr>
        <w:t xml:space="preserve"> above</w:t>
      </w:r>
      <w:r w:rsidRPr="00FE0616">
        <w:rPr>
          <w:rFonts w:eastAsia="Times New Roman"/>
        </w:rPr>
        <w:t>).</w:t>
      </w:r>
    </w:p>
    <w:p w:rsidRPr="00FE0616" w:rsidR="006263A0" w:rsidP="00FE0616" w:rsidRDefault="006263A0">
      <w:pPr>
        <w:pStyle w:val="JuPara"/>
      </w:pPr>
      <w:r w:rsidRPr="00FE0616">
        <w:fldChar w:fldCharType="begin"/>
      </w:r>
      <w:r w:rsidRPr="00FE0616">
        <w:instrText xml:space="preserve"> SEQ level0 \*arabic </w:instrText>
      </w:r>
      <w:r w:rsidRPr="00FE0616">
        <w:fldChar w:fldCharType="separate"/>
      </w:r>
      <w:r w:rsidRPr="00FE0616" w:rsidR="00FE0616">
        <w:rPr>
          <w:noProof/>
        </w:rPr>
        <w:t>70</w:t>
      </w:r>
      <w:r w:rsidRPr="00FE0616">
        <w:fldChar w:fldCharType="end"/>
      </w:r>
      <w:r w:rsidRPr="00FE0616">
        <w:t>.  The Court reiterates that particular importance must be attached to the principle of good governance, requiring that public authorities act in an good time, in appropriate manner and with the utmost consistency, when an</w:t>
      </w:r>
      <w:r w:rsidRPr="00FE0616">
        <w:rPr>
          <w:rFonts w:ascii="Arial" w:hAnsi="Arial" w:cs="Arial"/>
        </w:rPr>
        <w:t xml:space="preserve"> </w:t>
      </w:r>
      <w:r w:rsidRPr="00FE0616">
        <w:t>issue in the general interest is at stake (see</w:t>
      </w:r>
      <w:r w:rsidRPr="00FE0616" w:rsidR="00C863E9">
        <w:t xml:space="preserve"> </w:t>
      </w:r>
      <w:proofErr w:type="spellStart"/>
      <w:r w:rsidRPr="00FE0616">
        <w:rPr>
          <w:i/>
          <w:lang w:val="en-US"/>
        </w:rPr>
        <w:t>Beyeler</w:t>
      </w:r>
      <w:proofErr w:type="spellEnd"/>
      <w:r w:rsidRPr="00FE0616">
        <w:rPr>
          <w:i/>
          <w:lang w:val="en-US"/>
        </w:rPr>
        <w:t xml:space="preserve"> v. Italy</w:t>
      </w:r>
      <w:r w:rsidRPr="00FE0616">
        <w:rPr>
          <w:lang w:val="en-US"/>
        </w:rPr>
        <w:t xml:space="preserve"> [GC], no. 33202/96, § 120, ECHR 2000</w:t>
      </w:r>
      <w:r w:rsidRPr="00FE0616" w:rsidR="00C863E9">
        <w:rPr>
          <w:lang w:val="en-US"/>
        </w:rPr>
        <w:t>-</w:t>
      </w:r>
      <w:r w:rsidRPr="00FE0616">
        <w:rPr>
          <w:lang w:val="en-US"/>
        </w:rPr>
        <w:t>I</w:t>
      </w:r>
      <w:r w:rsidRPr="00FE0616">
        <w:t>, and</w:t>
      </w:r>
      <w:r w:rsidRPr="00FE0616" w:rsidR="00C863E9">
        <w:t xml:space="preserve"> </w:t>
      </w:r>
      <w:r w:rsidRPr="00FE0616" w:rsidR="00C863E9">
        <w:rPr>
          <w:i/>
          <w:iCs/>
        </w:rPr>
        <w:t xml:space="preserve">Megadat.com </w:t>
      </w:r>
      <w:proofErr w:type="spellStart"/>
      <w:r w:rsidRPr="00FE0616" w:rsidR="00C863E9">
        <w:rPr>
          <w:i/>
          <w:iCs/>
        </w:rPr>
        <w:t>S.r.l</w:t>
      </w:r>
      <w:proofErr w:type="spellEnd"/>
      <w:r w:rsidRPr="00FE0616" w:rsidR="00C863E9">
        <w:rPr>
          <w:i/>
          <w:iCs/>
        </w:rPr>
        <w:t xml:space="preserve">. </w:t>
      </w:r>
      <w:r w:rsidRPr="00FE0616">
        <w:rPr>
          <w:i/>
          <w:iCs/>
        </w:rPr>
        <w:t>v. Moldova</w:t>
      </w:r>
      <w:r w:rsidRPr="00FE0616">
        <w:t>, no. 21151/04, §</w:t>
      </w:r>
      <w:r w:rsidRPr="00FE0616" w:rsidR="00C863E9">
        <w:t xml:space="preserve"> </w:t>
      </w:r>
      <w:r w:rsidRPr="00FE0616">
        <w:t>72, 8 April 2008). However, the Court observes that in the present case the domestic authorities have not complied with their above</w:t>
      </w:r>
      <w:r w:rsidRPr="00FE0616" w:rsidR="00C863E9">
        <w:noBreakHyphen/>
      </w:r>
      <w:r w:rsidRPr="00FE0616">
        <w:t xml:space="preserve">mentioned obligations, since they failed to give full effect to the findings of the domestic courts and to thus remedy an error that was attributable to the Customs, as implied by the domestic courts in their reasoning (see paragraphs </w:t>
      </w:r>
      <w:r w:rsidRPr="00FE0616">
        <w:rPr>
          <w:rFonts w:ascii="Times New Roman" w:hAnsi="Times New Roman" w:eastAsia="Times New Roman" w:cs="Times New Roman"/>
        </w:rPr>
        <w:fldChar w:fldCharType="begin"/>
      </w:r>
      <w:r w:rsidRPr="00FE0616" w:rsidR="00394A1C">
        <w:rPr>
          <w:rFonts w:ascii="Times New Roman" w:hAnsi="Times New Roman" w:eastAsia="Times New Roman" w:cs="Times New Roman"/>
        </w:rPr>
        <w:instrText xml:space="preserve"> REF first_court_contex \h \* MERGEFORMAT </w:instrText>
      </w:r>
      <w:r w:rsidRPr="00FE0616">
        <w:rPr>
          <w:rFonts w:ascii="Times New Roman" w:hAnsi="Times New Roman" w:eastAsia="Times New Roman" w:cs="Times New Roman"/>
        </w:rPr>
      </w:r>
      <w:r w:rsidRPr="00FE0616">
        <w:rPr>
          <w:rFonts w:ascii="Times New Roman" w:hAnsi="Times New Roman" w:eastAsia="Times New Roman" w:cs="Times New Roman"/>
        </w:rPr>
        <w:fldChar w:fldCharType="separate"/>
      </w:r>
      <w:r w:rsidRPr="00FE0616" w:rsidR="00FE0616">
        <w:rPr>
          <w:rFonts w:ascii="Times New Roman" w:hAnsi="Times New Roman" w:eastAsia="Times New Roman" w:cs="Times New Roman"/>
        </w:rPr>
        <w:t>27</w:t>
      </w:r>
      <w:r w:rsidRPr="00FE0616">
        <w:rPr>
          <w:rFonts w:ascii="Times New Roman" w:hAnsi="Times New Roman" w:eastAsia="Times New Roman" w:cs="Times New Roman"/>
        </w:rPr>
        <w:fldChar w:fldCharType="end"/>
      </w:r>
      <w:r w:rsidRPr="00FE0616">
        <w:rPr>
          <w:rFonts w:ascii="Times New Roman" w:hAnsi="Times New Roman" w:eastAsia="Times New Roman" w:cs="Times New Roman"/>
        </w:rPr>
        <w:t xml:space="preserve"> and </w:t>
      </w:r>
      <w:r w:rsidRPr="00FE0616">
        <w:rPr>
          <w:rFonts w:ascii="Times New Roman" w:hAnsi="Times New Roman" w:eastAsia="Times New Roman" w:cs="Times New Roman"/>
        </w:rPr>
        <w:fldChar w:fldCharType="begin"/>
      </w:r>
      <w:r w:rsidRPr="00FE0616" w:rsidR="00394A1C">
        <w:rPr>
          <w:rFonts w:ascii="Times New Roman" w:hAnsi="Times New Roman" w:eastAsia="Times New Roman" w:cs="Times New Roman"/>
        </w:rPr>
        <w:instrText xml:space="preserve"> REF reasoning_outstanding_judgment_2016 \h \* MERGEFORMAT </w:instrText>
      </w:r>
      <w:r w:rsidRPr="00FE0616">
        <w:rPr>
          <w:rFonts w:ascii="Times New Roman" w:hAnsi="Times New Roman" w:eastAsia="Times New Roman" w:cs="Times New Roman"/>
        </w:rPr>
      </w:r>
      <w:r w:rsidRPr="00FE0616">
        <w:rPr>
          <w:rFonts w:ascii="Times New Roman" w:hAnsi="Times New Roman" w:eastAsia="Times New Roman" w:cs="Times New Roman"/>
        </w:rPr>
        <w:fldChar w:fldCharType="separate"/>
      </w:r>
      <w:r w:rsidRPr="00FE0616" w:rsidR="00FE0616">
        <w:rPr>
          <w:rFonts w:ascii="Times New Roman" w:hAnsi="Times New Roman" w:eastAsia="Times New Roman" w:cs="Times New Roman"/>
        </w:rPr>
        <w:t>33</w:t>
      </w:r>
      <w:r w:rsidRPr="00FE0616">
        <w:rPr>
          <w:rFonts w:ascii="Times New Roman" w:hAnsi="Times New Roman" w:eastAsia="Times New Roman" w:cs="Times New Roman"/>
        </w:rPr>
        <w:fldChar w:fldCharType="end"/>
      </w:r>
      <w:r w:rsidRPr="00FE0616">
        <w:rPr>
          <w:rFonts w:ascii="Times New Roman" w:hAnsi="Times New Roman" w:eastAsia="Times New Roman" w:cs="Times New Roman"/>
        </w:rPr>
        <w:t xml:space="preserve"> above).</w:t>
      </w:r>
    </w:p>
    <w:bookmarkStart w:name="no_coordination" w:id="33"/>
    <w:p w:rsidRPr="00FE0616" w:rsidR="006263A0" w:rsidP="00FE0616" w:rsidRDefault="006263A0">
      <w:pPr>
        <w:pStyle w:val="JuPara"/>
        <w:rPr>
          <w:rFonts w:eastAsia="Times New Roman"/>
          <w:color w:val="000000"/>
        </w:rPr>
      </w:pPr>
      <w:r w:rsidRPr="00FE0616">
        <w:rPr>
          <w:rFonts w:eastAsia="Times New Roman"/>
          <w:color w:val="000000"/>
        </w:rPr>
        <w:fldChar w:fldCharType="begin"/>
      </w:r>
      <w:r w:rsidRPr="00FE0616">
        <w:rPr>
          <w:rFonts w:eastAsia="Times New Roman"/>
          <w:color w:val="000000"/>
        </w:rPr>
        <w:instrText xml:space="preserve"> SEQ level0 \*arabic </w:instrText>
      </w:r>
      <w:r w:rsidRPr="00FE0616">
        <w:rPr>
          <w:rFonts w:eastAsia="Times New Roman"/>
          <w:color w:val="000000"/>
        </w:rPr>
        <w:fldChar w:fldCharType="separate"/>
      </w:r>
      <w:r w:rsidRPr="00FE0616" w:rsidR="00FE0616">
        <w:rPr>
          <w:rFonts w:eastAsia="Times New Roman"/>
          <w:noProof/>
          <w:color w:val="000000"/>
        </w:rPr>
        <w:t>71</w:t>
      </w:r>
      <w:r w:rsidRPr="00FE0616">
        <w:rPr>
          <w:rFonts w:eastAsia="Times New Roman"/>
          <w:color w:val="000000"/>
        </w:rPr>
        <w:fldChar w:fldCharType="end"/>
      </w:r>
      <w:bookmarkEnd w:id="33"/>
      <w:r w:rsidRPr="00FE0616">
        <w:rPr>
          <w:rFonts w:eastAsia="Times New Roman"/>
          <w:color w:val="000000"/>
        </w:rPr>
        <w:t>. </w:t>
      </w:r>
      <w:r w:rsidRPr="00FE0616" w:rsidR="00C863E9">
        <w:rPr>
          <w:rFonts w:eastAsia="Times New Roman"/>
          <w:color w:val="000000"/>
        </w:rPr>
        <w:t> </w:t>
      </w:r>
      <w:r w:rsidRPr="00FE0616">
        <w:rPr>
          <w:rFonts w:eastAsia="Times New Roman"/>
          <w:color w:val="000000"/>
        </w:rPr>
        <w:t xml:space="preserve">Moreover, the Court cannot see any reasonable justification for the </w:t>
      </w:r>
      <w:r w:rsidRPr="00FE0616">
        <w:rPr>
          <w:rFonts w:eastAsia="Times New Roman"/>
        </w:rPr>
        <w:t>authorities</w:t>
      </w:r>
      <w:r w:rsidRPr="00FE0616" w:rsidR="00FE0616">
        <w:rPr>
          <w:rFonts w:eastAsia="Times New Roman"/>
        </w:rPr>
        <w:t>’</w:t>
      </w:r>
      <w:r w:rsidRPr="00FE0616">
        <w:rPr>
          <w:rFonts w:eastAsia="Times New Roman"/>
        </w:rPr>
        <w:t xml:space="preserve"> continuous calling into question of the rulings of 29 June 2016 by the </w:t>
      </w:r>
      <w:proofErr w:type="spellStart"/>
      <w:r w:rsidRPr="00FE0616">
        <w:rPr>
          <w:rFonts w:eastAsia="Times New Roman"/>
        </w:rPr>
        <w:t>Suceava</w:t>
      </w:r>
      <w:proofErr w:type="spellEnd"/>
      <w:r w:rsidRPr="00FE0616">
        <w:rPr>
          <w:rFonts w:eastAsia="Times New Roman"/>
        </w:rPr>
        <w:t xml:space="preserve"> County Court</w:t>
      </w:r>
      <w:r w:rsidRPr="00FE0616">
        <w:rPr>
          <w:rFonts w:eastAsia="Times New Roman"/>
          <w:color w:val="000000"/>
        </w:rPr>
        <w:t>.</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72</w:t>
      </w:r>
      <w:r w:rsidRPr="00FE0616">
        <w:rPr>
          <w:rFonts w:eastAsia="Times New Roman"/>
        </w:rPr>
        <w:fldChar w:fldCharType="end"/>
      </w:r>
      <w:r w:rsidRPr="00FE0616">
        <w:rPr>
          <w:rFonts w:eastAsia="Times New Roman"/>
        </w:rPr>
        <w:t>.  It cannot be maintained, therefore, that the control of the use of the property at issue was lawful, in the sense of the Convention. The present case concerns a failure to recognise the </w:t>
      </w:r>
      <w:r w:rsidRPr="00FE0616">
        <w:rPr>
          <w:rFonts w:eastAsia="Times New Roman"/>
          <w:i/>
          <w:iCs/>
        </w:rPr>
        <w:t>res judicata</w:t>
      </w:r>
      <w:r w:rsidRPr="00FE0616">
        <w:rPr>
          <w:rFonts w:eastAsia="Times New Roman"/>
        </w:rPr>
        <w:t> effect of a final judgment delivered in contentious proceedings. It cannot be considered that a public interest overriding the fundamental principle of legal certainty and the applicant</w:t>
      </w:r>
      <w:r w:rsidRPr="00FE0616" w:rsidR="00FE0616">
        <w:rPr>
          <w:rFonts w:eastAsia="Times New Roman"/>
        </w:rPr>
        <w:t>’</w:t>
      </w:r>
      <w:r w:rsidRPr="00FE0616">
        <w:rPr>
          <w:rFonts w:eastAsia="Times New Roman"/>
        </w:rPr>
        <w:t>s rights justified the constant calling into question of the court</w:t>
      </w:r>
      <w:r w:rsidRPr="00FE0616" w:rsidR="00FE0616">
        <w:rPr>
          <w:rFonts w:eastAsia="Times New Roman"/>
        </w:rPr>
        <w:t>’</w:t>
      </w:r>
      <w:r w:rsidRPr="00FE0616">
        <w:rPr>
          <w:rFonts w:eastAsia="Times New Roman"/>
        </w:rPr>
        <w:t>s findings that she was no longer a tax debtor, as well as the resulting constant interference with the applicant</w:t>
      </w:r>
      <w:r w:rsidRPr="00FE0616" w:rsidR="00FE0616">
        <w:rPr>
          <w:rFonts w:eastAsia="Times New Roman"/>
        </w:rPr>
        <w:t>’</w:t>
      </w:r>
      <w:r w:rsidRPr="00FE0616">
        <w:rPr>
          <w:rFonts w:eastAsia="Times New Roman"/>
        </w:rPr>
        <w:t>s right to peacefully enjoy her property.</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73</w:t>
      </w:r>
      <w:r w:rsidRPr="00FE0616">
        <w:rPr>
          <w:rFonts w:eastAsia="Times New Roman"/>
        </w:rPr>
        <w:fldChar w:fldCharType="end"/>
      </w:r>
      <w:r w:rsidRPr="00FE0616">
        <w:rPr>
          <w:rFonts w:eastAsia="Times New Roman"/>
        </w:rPr>
        <w:t>.  The above is, in principle, sufficient for the Court to conclude that the interference with the applicants</w:t>
      </w:r>
      <w:r w:rsidRPr="00FE0616" w:rsidR="00FE0616">
        <w:rPr>
          <w:rFonts w:eastAsia="Times New Roman"/>
        </w:rPr>
        <w:t>’</w:t>
      </w:r>
      <w:r w:rsidRPr="00FE0616">
        <w:rPr>
          <w:rFonts w:eastAsia="Times New Roman"/>
        </w:rPr>
        <w:t xml:space="preserve"> “possessions” fell </w:t>
      </w:r>
      <w:proofErr w:type="spellStart"/>
      <w:r w:rsidRPr="00FE0616">
        <w:rPr>
          <w:rFonts w:eastAsia="Times New Roman"/>
        </w:rPr>
        <w:t>foul</w:t>
      </w:r>
      <w:proofErr w:type="spellEnd"/>
      <w:r w:rsidRPr="00FE0616">
        <w:rPr>
          <w:rFonts w:eastAsia="Times New Roman"/>
        </w:rPr>
        <w:t xml:space="preserve"> of the requirements of Article 1 of Protocol No. 1 (see, </w:t>
      </w:r>
      <w:r w:rsidRPr="00FE0616">
        <w:rPr>
          <w:rFonts w:eastAsia="Times New Roman"/>
          <w:i/>
        </w:rPr>
        <w:t>mutatis mutandis</w:t>
      </w:r>
      <w:r w:rsidRPr="00FE0616">
        <w:rPr>
          <w:rFonts w:eastAsia="Times New Roman"/>
        </w:rPr>
        <w:t xml:space="preserve">, </w:t>
      </w:r>
      <w:proofErr w:type="spellStart"/>
      <w:r w:rsidRPr="00FE0616">
        <w:rPr>
          <w:rFonts w:eastAsia="Times New Roman"/>
          <w:i/>
        </w:rPr>
        <w:t>Chengelyan</w:t>
      </w:r>
      <w:proofErr w:type="spellEnd"/>
      <w:r w:rsidRPr="00FE0616">
        <w:rPr>
          <w:rFonts w:eastAsia="Times New Roman"/>
          <w:i/>
        </w:rPr>
        <w:t xml:space="preserve"> and Others v. Bulgaria</w:t>
      </w:r>
      <w:r w:rsidRPr="00FE0616">
        <w:rPr>
          <w:rFonts w:eastAsia="Times New Roman"/>
        </w:rPr>
        <w:t>, no. 47405/07, § 50, 21 April 2016).</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74</w:t>
      </w:r>
      <w:r w:rsidRPr="00FE0616">
        <w:rPr>
          <w:rFonts w:eastAsia="Times New Roman"/>
        </w:rPr>
        <w:fldChar w:fldCharType="end"/>
      </w:r>
      <w:r w:rsidRPr="00FE0616">
        <w:rPr>
          <w:rFonts w:eastAsia="Times New Roman"/>
        </w:rPr>
        <w:t>.  Nevertheless, the Court also takes note of the facts put forward by the Government to justify that interference, specifically that the seizure was necessary to secure the payment of taxes, and that it was proportional in so far as the applicant had the possibility to challenge it (see paragraph</w:t>
      </w:r>
      <w:r w:rsidRPr="00FE0616" w:rsidR="00C863E9">
        <w:rPr>
          <w:rFonts w:eastAsia="Times New Roman"/>
        </w:rPr>
        <w:t> </w:t>
      </w:r>
      <w:r w:rsidRPr="00FE0616">
        <w:rPr>
          <w:rFonts w:eastAsia="Times New Roman"/>
        </w:rPr>
        <w:fldChar w:fldCharType="begin"/>
      </w:r>
      <w:r w:rsidRPr="00FE0616" w:rsidR="00394A1C">
        <w:rPr>
          <w:rFonts w:eastAsia="Times New Roman"/>
        </w:rPr>
        <w:instrText xml:space="preserve"> REF govt_seizure \h </w:instrText>
      </w:r>
      <w:r w:rsidRPr="00FE0616">
        <w:rPr>
          <w:rFonts w:eastAsia="Times New Roman"/>
        </w:rPr>
      </w:r>
      <w:r w:rsidRPr="00FE0616">
        <w:rPr>
          <w:rFonts w:eastAsia="Times New Roman"/>
        </w:rPr>
        <w:fldChar w:fldCharType="separate"/>
      </w:r>
      <w:r w:rsidRPr="00FE0616" w:rsidR="00FE0616">
        <w:rPr>
          <w:rFonts w:eastAsia="Times New Roman"/>
          <w:noProof/>
        </w:rPr>
        <w:t>56</w:t>
      </w:r>
      <w:r w:rsidRPr="00FE0616">
        <w:rPr>
          <w:rFonts w:eastAsia="Times New Roman"/>
        </w:rPr>
        <w:fldChar w:fldCharType="end"/>
      </w:r>
      <w:r w:rsidRPr="00FE0616">
        <w:rPr>
          <w:rFonts w:eastAsia="Times New Roman"/>
        </w:rPr>
        <w:t xml:space="preserve"> above). However, as already mentioned, no reasonable justification was provided by the Government as to why a final judgment rendered in the applicant</w:t>
      </w:r>
      <w:r w:rsidRPr="00FE0616" w:rsidR="00FE0616">
        <w:rPr>
          <w:rFonts w:eastAsia="Times New Roman"/>
        </w:rPr>
        <w:t>’</w:t>
      </w:r>
      <w:r w:rsidRPr="00FE0616">
        <w:rPr>
          <w:rFonts w:eastAsia="Times New Roman"/>
        </w:rPr>
        <w:t>s favour and which considered that the seizure needed to be lifted and that the applicant was not a tax debtor has remained unenforced (see paragraph</w:t>
      </w:r>
      <w:r w:rsidRPr="00FE0616" w:rsidR="00C863E9">
        <w:rPr>
          <w:rFonts w:eastAsia="Times New Roman"/>
        </w:rPr>
        <w:t> </w:t>
      </w:r>
      <w:r w:rsidRPr="00FE0616">
        <w:rPr>
          <w:rFonts w:eastAsia="Times New Roman"/>
        </w:rPr>
        <w:fldChar w:fldCharType="begin"/>
      </w:r>
      <w:r w:rsidRPr="00FE0616" w:rsidR="00394A1C">
        <w:rPr>
          <w:rFonts w:eastAsia="Times New Roman"/>
        </w:rPr>
        <w:instrText xml:space="preserve"> REF no_coordination \h </w:instrText>
      </w:r>
      <w:r w:rsidRPr="00FE0616">
        <w:rPr>
          <w:rFonts w:eastAsia="Times New Roman"/>
        </w:rPr>
      </w:r>
      <w:r w:rsidRPr="00FE0616">
        <w:rPr>
          <w:rFonts w:eastAsia="Times New Roman"/>
        </w:rPr>
        <w:fldChar w:fldCharType="separate"/>
      </w:r>
      <w:r w:rsidRPr="00FE0616" w:rsidR="00FE0616">
        <w:rPr>
          <w:rFonts w:eastAsia="Times New Roman"/>
          <w:noProof/>
          <w:color w:val="000000"/>
        </w:rPr>
        <w:t>71</w:t>
      </w:r>
      <w:r w:rsidRPr="00FE0616">
        <w:rPr>
          <w:rFonts w:eastAsia="Times New Roman"/>
        </w:rPr>
        <w:fldChar w:fldCharType="end"/>
      </w:r>
      <w:r w:rsidRPr="00FE0616">
        <w:rPr>
          <w:rFonts w:eastAsia="Times New Roman"/>
        </w:rPr>
        <w:t xml:space="preserve"> above).</w:t>
      </w:r>
    </w:p>
    <w:p w:rsidRPr="00FE0616" w:rsidR="006263A0" w:rsidP="00FE0616" w:rsidRDefault="006263A0">
      <w:pPr>
        <w:pStyle w:val="JuPara"/>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75</w:t>
      </w:r>
      <w:r w:rsidRPr="00FE0616">
        <w:rPr>
          <w:rFonts w:eastAsia="Times New Roman"/>
        </w:rPr>
        <w:fldChar w:fldCharType="end"/>
      </w:r>
      <w:r w:rsidRPr="00FE0616">
        <w:rPr>
          <w:rFonts w:eastAsia="Times New Roman"/>
        </w:rPr>
        <w:t xml:space="preserve">.  The foregoing considerations are sufficient to enable the Court to dismiss the preliminary objection </w:t>
      </w:r>
      <w:r w:rsidRPr="00FE0616">
        <w:t xml:space="preserve">of non-exhaustion of domestic remedies lodged by the Government (see paragraph </w:t>
      </w:r>
      <w:r w:rsidRPr="00FE0616">
        <w:fldChar w:fldCharType="begin"/>
      </w:r>
      <w:r w:rsidRPr="00FE0616" w:rsidR="00394A1C">
        <w:instrText xml:space="preserve"> REF Govt_objection \h \* MERGEFORMAT </w:instrText>
      </w:r>
      <w:r w:rsidRPr="00FE0616">
        <w:fldChar w:fldCharType="separate"/>
      </w:r>
      <w:r w:rsidRPr="00FE0616" w:rsidR="00FE0616">
        <w:t>43</w:t>
      </w:r>
      <w:r w:rsidRPr="00FE0616">
        <w:fldChar w:fldCharType="end"/>
      </w:r>
      <w:r w:rsidRPr="00FE0616">
        <w:t xml:space="preserve"> above) and to conclude that the nature of the failings of the State authorities to recognise the</w:t>
      </w:r>
      <w:r w:rsidRPr="00FE0616" w:rsidR="00C863E9">
        <w:t xml:space="preserve"> </w:t>
      </w:r>
      <w:r w:rsidRPr="00FE0616">
        <w:rPr>
          <w:i/>
        </w:rPr>
        <w:t>res judicata</w:t>
      </w:r>
      <w:r w:rsidRPr="00FE0616" w:rsidR="00C863E9">
        <w:t xml:space="preserve"> </w:t>
      </w:r>
      <w:r w:rsidRPr="00FE0616">
        <w:t xml:space="preserve">effect of the final judgment of 29 June 2016 (see paragraph </w:t>
      </w:r>
      <w:r w:rsidRPr="00FE0616">
        <w:fldChar w:fldCharType="begin"/>
      </w:r>
      <w:r w:rsidRPr="00FE0616" w:rsidR="00394A1C">
        <w:instrText xml:space="preserve"> REF outstanding_judgment_2016 \h \* MERGEFORMAT </w:instrText>
      </w:r>
      <w:r w:rsidRPr="00FE0616">
        <w:fldChar w:fldCharType="separate"/>
      </w:r>
      <w:r w:rsidRPr="00FE0616" w:rsidR="00FE0616">
        <w:t>30</w:t>
      </w:r>
      <w:r w:rsidRPr="00FE0616">
        <w:fldChar w:fldCharType="end"/>
      </w:r>
      <w:r w:rsidRPr="00FE0616">
        <w:t xml:space="preserve"> above) and to implement its findings (see paragraph </w:t>
      </w:r>
      <w:r w:rsidRPr="00FE0616">
        <w:fldChar w:fldCharType="begin"/>
      </w:r>
      <w:r w:rsidRPr="00FE0616" w:rsidR="00394A1C">
        <w:instrText xml:space="preserve"> REF reasoning_outstanding_judgment_2016 \h \* MERGEFORMAT </w:instrText>
      </w:r>
      <w:r w:rsidRPr="00FE0616">
        <w:fldChar w:fldCharType="separate"/>
      </w:r>
      <w:r w:rsidRPr="00FE0616" w:rsidR="00FE0616">
        <w:t>33</w:t>
      </w:r>
      <w:r w:rsidRPr="00FE0616">
        <w:fldChar w:fldCharType="end"/>
      </w:r>
      <w:r w:rsidRPr="00FE0616">
        <w:t xml:space="preserve"> above)</w:t>
      </w:r>
      <w:r w:rsidRPr="00FE0616">
        <w:rPr>
          <w:rFonts w:eastAsia="Times New Roman"/>
        </w:rPr>
        <w:t xml:space="preserve"> by fully enforcing that outstanding judgment, </w:t>
      </w:r>
      <w:r w:rsidRPr="00FE0616">
        <w:t xml:space="preserve">resulted in an excessive burden being imposed on the applicant (see, </w:t>
      </w:r>
      <w:r w:rsidRPr="00FE0616">
        <w:rPr>
          <w:i/>
        </w:rPr>
        <w:t>mutatis mutandis</w:t>
      </w:r>
      <w:r w:rsidRPr="00FE0616">
        <w:t xml:space="preserve">, </w:t>
      </w:r>
      <w:proofErr w:type="spellStart"/>
      <w:r w:rsidRPr="00FE0616">
        <w:rPr>
          <w:i/>
        </w:rPr>
        <w:t>Polimerkonteyner</w:t>
      </w:r>
      <w:proofErr w:type="spellEnd"/>
      <w:r w:rsidRPr="00FE0616">
        <w:rPr>
          <w:i/>
        </w:rPr>
        <w:t>, TOV v. Ukraine</w:t>
      </w:r>
      <w:r w:rsidRPr="00FE0616" w:rsidR="00C863E9">
        <w:t>, no. </w:t>
      </w:r>
      <w:r w:rsidRPr="00FE0616">
        <w:t>23620/05, § 20, 24 November 2016).</w:t>
      </w:r>
    </w:p>
    <w:p w:rsidRPr="00FE0616" w:rsidR="006263A0" w:rsidP="00FE0616" w:rsidRDefault="006263A0">
      <w:pPr>
        <w:pStyle w:val="JuPara"/>
        <w:rPr>
          <w:rFonts w:eastAsia="Times New Roman"/>
        </w:rPr>
      </w:pPr>
      <w:r w:rsidRPr="00FE0616">
        <w:rPr>
          <w:rFonts w:eastAsia="Times New Roman"/>
          <w:color w:val="000000"/>
        </w:rPr>
        <w:fldChar w:fldCharType="begin"/>
      </w:r>
      <w:r w:rsidRPr="00FE0616">
        <w:rPr>
          <w:rFonts w:eastAsia="Times New Roman"/>
          <w:color w:val="000000"/>
        </w:rPr>
        <w:instrText xml:space="preserve"> SEQ level0 \*arabic </w:instrText>
      </w:r>
      <w:r w:rsidRPr="00FE0616">
        <w:rPr>
          <w:rFonts w:eastAsia="Times New Roman"/>
          <w:color w:val="000000"/>
        </w:rPr>
        <w:fldChar w:fldCharType="separate"/>
      </w:r>
      <w:r w:rsidRPr="00FE0616" w:rsidR="00FE0616">
        <w:rPr>
          <w:rFonts w:eastAsia="Times New Roman"/>
          <w:noProof/>
          <w:color w:val="000000"/>
        </w:rPr>
        <w:t>76</w:t>
      </w:r>
      <w:r w:rsidRPr="00FE0616">
        <w:rPr>
          <w:rFonts w:eastAsia="Times New Roman"/>
          <w:color w:val="000000"/>
        </w:rPr>
        <w:fldChar w:fldCharType="end"/>
      </w:r>
      <w:r w:rsidRPr="00FE0616">
        <w:rPr>
          <w:rFonts w:eastAsia="Times New Roman"/>
          <w:color w:val="000000"/>
        </w:rPr>
        <w:t>.  </w:t>
      </w:r>
      <w:r w:rsidRPr="00FE0616">
        <w:rPr>
          <w:rFonts w:eastAsia="Times New Roman"/>
        </w:rPr>
        <w:t>It follows from the above that there has be</w:t>
      </w:r>
      <w:r w:rsidRPr="00FE0616" w:rsidR="00C863E9">
        <w:rPr>
          <w:rFonts w:eastAsia="Times New Roman"/>
        </w:rPr>
        <w:t>en a violation of Article </w:t>
      </w:r>
      <w:r w:rsidRPr="00FE0616">
        <w:rPr>
          <w:rFonts w:eastAsia="Times New Roman"/>
        </w:rPr>
        <w:t>1 of Protocol No. 1 in this case</w:t>
      </w:r>
      <w:r w:rsidRPr="00FE0616">
        <w:rPr>
          <w:rFonts w:eastAsia="Times New Roman"/>
          <w:color w:val="000000"/>
        </w:rPr>
        <w:t>.</w:t>
      </w:r>
    </w:p>
    <w:p w:rsidRPr="00FE0616" w:rsidR="006263A0" w:rsidP="00FE0616" w:rsidRDefault="006263A0">
      <w:pPr>
        <w:pStyle w:val="JuHIRoman"/>
        <w:keepNext w:val="0"/>
        <w:keepLines w:val="0"/>
        <w:numPr>
          <w:ilvl w:val="0"/>
          <w:numId w:val="0"/>
        </w:numPr>
        <w:ind w:left="357"/>
      </w:pPr>
      <w:r w:rsidRPr="00FE0616">
        <w:t>II. APPLICATION OF ARTICLE</w:t>
      </w:r>
      <w:r w:rsidRPr="00FE0616" w:rsidR="00C863E9">
        <w:t xml:space="preserve"> </w:t>
      </w:r>
      <w:r w:rsidRPr="00FE0616">
        <w:t>41 OF THE CONVENTION</w:t>
      </w:r>
    </w:p>
    <w:p w:rsidRPr="00FE0616" w:rsidR="006263A0" w:rsidP="00FE0616" w:rsidRDefault="006263A0">
      <w:pPr>
        <w:pStyle w:val="JuPara"/>
      </w:pPr>
      <w:r w:rsidRPr="00FE0616">
        <w:fldChar w:fldCharType="begin"/>
      </w:r>
      <w:r w:rsidRPr="00FE0616">
        <w:instrText xml:space="preserve"> SEQ level0 \*arabic </w:instrText>
      </w:r>
      <w:r w:rsidRPr="00FE0616">
        <w:fldChar w:fldCharType="separate"/>
      </w:r>
      <w:r w:rsidRPr="00FE0616" w:rsidR="00FE0616">
        <w:rPr>
          <w:noProof/>
        </w:rPr>
        <w:t>77</w:t>
      </w:r>
      <w:r w:rsidRPr="00FE0616">
        <w:fldChar w:fldCharType="end"/>
      </w:r>
      <w:r w:rsidRPr="00FE0616">
        <w:t>.  Article</w:t>
      </w:r>
      <w:r w:rsidRPr="00FE0616" w:rsidR="00C863E9">
        <w:t xml:space="preserve"> </w:t>
      </w:r>
      <w:r w:rsidRPr="00FE0616">
        <w:t>41 of the Convention provides:</w:t>
      </w:r>
    </w:p>
    <w:p w:rsidRPr="00FE0616" w:rsidR="006263A0" w:rsidP="00FE0616" w:rsidRDefault="006263A0">
      <w:pPr>
        <w:pStyle w:val="JuQuot"/>
      </w:pPr>
      <w:r w:rsidRPr="00FE061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E0616" w:rsidR="006263A0" w:rsidP="00FE0616" w:rsidRDefault="006263A0">
      <w:pPr>
        <w:pStyle w:val="JuHA"/>
        <w:keepNext w:val="0"/>
        <w:keepLines w:val="0"/>
        <w:numPr>
          <w:ilvl w:val="2"/>
          <w:numId w:val="2"/>
        </w:numPr>
      </w:pPr>
      <w:r w:rsidRPr="00FE0616">
        <w:t>Damage</w:t>
      </w:r>
    </w:p>
    <w:p w:rsidRPr="00FE0616" w:rsidR="006263A0" w:rsidP="00FE0616" w:rsidRDefault="006263A0">
      <w:pPr>
        <w:pStyle w:val="JuPara"/>
      </w:pPr>
      <w:r w:rsidRPr="00FE0616">
        <w:fldChar w:fldCharType="begin"/>
      </w:r>
      <w:r w:rsidRPr="00FE0616">
        <w:instrText xml:space="preserve"> SEQ level0 \*arabic </w:instrText>
      </w:r>
      <w:r w:rsidRPr="00FE0616">
        <w:fldChar w:fldCharType="separate"/>
      </w:r>
      <w:r w:rsidRPr="00FE0616" w:rsidR="00FE0616">
        <w:rPr>
          <w:noProof/>
        </w:rPr>
        <w:t>78</w:t>
      </w:r>
      <w:r w:rsidRPr="00FE0616">
        <w:fldChar w:fldCharType="end"/>
      </w:r>
      <w:r w:rsidRPr="00FE0616">
        <w:t>.  The applicant claimed 14,100 euros (EUR) in respect of pecuniary damage, representing the amount she had been ordered to pay to the tax authority, and EUR 20,000 in respect of the non-pecuniary damage caused by the distress and frustration suffered for many years.</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79</w:t>
      </w:r>
      <w:r w:rsidRPr="00FE0616">
        <w:rPr>
          <w:rFonts w:eastAsia="Times New Roman"/>
        </w:rPr>
        <w:fldChar w:fldCharType="end"/>
      </w:r>
      <w:r w:rsidRPr="00FE0616">
        <w:rPr>
          <w:rFonts w:eastAsia="Times New Roman"/>
        </w:rPr>
        <w:t>.  The Government has not submitted any comments in that regard.</w:t>
      </w:r>
    </w:p>
    <w:p w:rsidRPr="00FE0616" w:rsidR="006263A0" w:rsidP="00FE0616" w:rsidRDefault="006263A0">
      <w:pPr>
        <w:pStyle w:val="JuPara"/>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80</w:t>
      </w:r>
      <w:r w:rsidRPr="00FE0616">
        <w:rPr>
          <w:rFonts w:eastAsia="Times New Roman"/>
        </w:rPr>
        <w:fldChar w:fldCharType="end"/>
      </w:r>
      <w:r w:rsidRPr="00FE0616">
        <w:rPr>
          <w:rFonts w:eastAsia="Times New Roman"/>
        </w:rPr>
        <w:t>.  </w:t>
      </w:r>
      <w:r w:rsidRPr="00FE0616">
        <w:t>The Court reiterates that the most appropriate form of redress in non</w:t>
      </w:r>
      <w:r w:rsidRPr="00FE0616">
        <w:noBreakHyphen/>
        <w:t xml:space="preserve">enforcement cases is to ensure full enforcement of the domestic judgments in question (see for instance </w:t>
      </w:r>
      <w:proofErr w:type="spellStart"/>
      <w:r w:rsidRPr="00FE0616">
        <w:rPr>
          <w:i/>
        </w:rPr>
        <w:t>Đurić</w:t>
      </w:r>
      <w:proofErr w:type="spellEnd"/>
      <w:r w:rsidRPr="00FE0616">
        <w:rPr>
          <w:i/>
        </w:rPr>
        <w:t xml:space="preserve"> and Others v. Bosnia and Herzegovina</w:t>
      </w:r>
      <w:r w:rsidRPr="00FE0616">
        <w:t>, nos. 79867/12 and 5 others, § 36, 20 January 2015). This principle equally applies to the present case, the Court considering that the full implementation of the findings of the outstanding judgment of 29</w:t>
      </w:r>
      <w:r w:rsidRPr="00FE0616" w:rsidR="0096123C">
        <w:t> </w:t>
      </w:r>
      <w:r w:rsidRPr="00FE0616">
        <w:t xml:space="preserve">June 2016 (see paragraph </w:t>
      </w:r>
      <w:r w:rsidRPr="00FE0616">
        <w:fldChar w:fldCharType="begin"/>
      </w:r>
      <w:r w:rsidRPr="00FE0616" w:rsidR="00394A1C">
        <w:instrText xml:space="preserve"> REF outstanding_judgment_2016 \h \* MERGEFORMAT </w:instrText>
      </w:r>
      <w:r w:rsidRPr="00FE0616">
        <w:fldChar w:fldCharType="separate"/>
      </w:r>
      <w:r w:rsidRPr="00FE0616" w:rsidR="00FE0616">
        <w:t>30</w:t>
      </w:r>
      <w:r w:rsidRPr="00FE0616">
        <w:fldChar w:fldCharType="end"/>
      </w:r>
      <w:r w:rsidRPr="00FE0616">
        <w:t xml:space="preserve"> above) would ensure appropriate redress to the applicant.</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81</w:t>
      </w:r>
      <w:r w:rsidRPr="00FE0616">
        <w:rPr>
          <w:rFonts w:eastAsia="Times New Roman"/>
        </w:rPr>
        <w:fldChar w:fldCharType="end"/>
      </w:r>
      <w:r w:rsidRPr="00FE0616">
        <w:rPr>
          <w:rFonts w:eastAsia="Times New Roman"/>
        </w:rPr>
        <w:t>.  Failing such enforcement by the respondent State within three months of the date on which this judgment becomes final, the Court holds that the respondent State is to pay the applicant, in respect of pecuniary damage, the amount of EUR 14,100 which represents the amount the applicant claims is owed to the tax authority on the basis of the decision of 23</w:t>
      </w:r>
      <w:r w:rsidRPr="00FE0616" w:rsidR="0096123C">
        <w:rPr>
          <w:rFonts w:eastAsia="Times New Roman"/>
        </w:rPr>
        <w:t> </w:t>
      </w:r>
      <w:r w:rsidRPr="00FE0616">
        <w:rPr>
          <w:rFonts w:eastAsia="Times New Roman"/>
        </w:rPr>
        <w:t xml:space="preserve">December 2013 (see paragraph </w:t>
      </w:r>
      <w:r w:rsidRPr="00FE0616">
        <w:rPr>
          <w:rFonts w:eastAsia="Times New Roman"/>
        </w:rPr>
        <w:fldChar w:fldCharType="begin"/>
      </w:r>
      <w:r w:rsidRPr="00FE0616" w:rsidR="00394A1C">
        <w:rPr>
          <w:rFonts w:eastAsia="Times New Roman"/>
        </w:rPr>
        <w:instrText xml:space="preserve"> REF fiscal_outstanding_decision \h \* MERGEFORMAT </w:instrText>
      </w:r>
      <w:r w:rsidRPr="00FE0616">
        <w:rPr>
          <w:rFonts w:eastAsia="Times New Roman"/>
        </w:rPr>
      </w:r>
      <w:r w:rsidRPr="00FE0616">
        <w:rPr>
          <w:rFonts w:eastAsia="Times New Roman"/>
        </w:rPr>
        <w:fldChar w:fldCharType="separate"/>
      </w:r>
      <w:r w:rsidRPr="00FE0616" w:rsidR="00FE0616">
        <w:rPr>
          <w:rFonts w:eastAsia="Times New Roman"/>
          <w:noProof/>
        </w:rPr>
        <w:t>7</w:t>
      </w:r>
      <w:r w:rsidRPr="00FE0616">
        <w:rPr>
          <w:rFonts w:eastAsia="Times New Roman"/>
        </w:rPr>
        <w:fldChar w:fldCharType="end"/>
      </w:r>
      <w:r w:rsidRPr="00FE0616">
        <w:rPr>
          <w:rFonts w:eastAsia="Times New Roman"/>
        </w:rPr>
        <w:t xml:space="preserve"> above).</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82</w:t>
      </w:r>
      <w:r w:rsidRPr="00FE0616">
        <w:rPr>
          <w:rFonts w:eastAsia="Times New Roman"/>
        </w:rPr>
        <w:fldChar w:fldCharType="end"/>
      </w:r>
      <w:r w:rsidRPr="00FE0616">
        <w:rPr>
          <w:rFonts w:eastAsia="Times New Roman"/>
        </w:rPr>
        <w:t>.  The Court further accepts that the applicant suffered distress, anxiety and frustration as a result of the respondent State</w:t>
      </w:r>
      <w:r w:rsidRPr="00FE0616" w:rsidR="00FE0616">
        <w:rPr>
          <w:rFonts w:eastAsia="Times New Roman"/>
        </w:rPr>
        <w:t>’</w:t>
      </w:r>
      <w:r w:rsidRPr="00FE0616">
        <w:rPr>
          <w:rFonts w:eastAsia="Times New Roman"/>
        </w:rPr>
        <w:t>s failure to fully enforce the final domestic judgment in her favour. Making its assessment on an equitable basis, as required by Article 41 of the Convention, it awards the applicant EUR 4,000 in respect of non-pecuniary damage, plus any tax that may be chargeable.</w:t>
      </w:r>
    </w:p>
    <w:p w:rsidRPr="00FE0616" w:rsidR="006263A0" w:rsidP="00FE0616" w:rsidRDefault="006263A0">
      <w:pPr>
        <w:pStyle w:val="JuHA"/>
        <w:keepNext w:val="0"/>
        <w:keepLines w:val="0"/>
        <w:numPr>
          <w:ilvl w:val="2"/>
          <w:numId w:val="2"/>
        </w:numPr>
      </w:pPr>
      <w:r w:rsidRPr="00FE0616">
        <w:t>Costs and expenses</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83</w:t>
      </w:r>
      <w:r w:rsidRPr="00FE0616">
        <w:rPr>
          <w:rFonts w:eastAsia="Times New Roman"/>
        </w:rPr>
        <w:fldChar w:fldCharType="end"/>
      </w:r>
      <w:r w:rsidRPr="00FE0616">
        <w:rPr>
          <w:rFonts w:eastAsia="Times New Roman"/>
        </w:rPr>
        <w:t>.  The applicant also claimed EUR 1,000 for the costs and expenses incurred before the domestic courts.</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84</w:t>
      </w:r>
      <w:r w:rsidRPr="00FE0616">
        <w:rPr>
          <w:rFonts w:eastAsia="Times New Roman"/>
        </w:rPr>
        <w:fldChar w:fldCharType="end"/>
      </w:r>
      <w:r w:rsidRPr="00FE0616">
        <w:rPr>
          <w:rFonts w:eastAsia="Times New Roman"/>
        </w:rPr>
        <w:t>.  The Government has not submitted any comments in that regard.</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r w:rsidRPr="00FE0616">
        <w:rPr>
          <w:rFonts w:eastAsia="Times New Roman"/>
        </w:rPr>
        <w:fldChar w:fldCharType="separate"/>
      </w:r>
      <w:r w:rsidRPr="00FE0616" w:rsidR="00FE0616">
        <w:rPr>
          <w:rFonts w:eastAsia="Times New Roman"/>
          <w:noProof/>
        </w:rPr>
        <w:t>85</w:t>
      </w:r>
      <w:r w:rsidRPr="00FE0616">
        <w:rPr>
          <w:rFonts w:eastAsia="Times New Roman"/>
        </w:rPr>
        <w:fldChar w:fldCharType="end"/>
      </w:r>
      <w:r w:rsidRPr="00FE0616">
        <w:rPr>
          <w:rFonts w:eastAsia="Times New Roman"/>
        </w:rPr>
        <w:t>.  According to the Court</w:t>
      </w:r>
      <w:r w:rsidRPr="00FE0616" w:rsidR="00FE0616">
        <w:rPr>
          <w:rFonts w:eastAsia="Times New Roman"/>
        </w:rPr>
        <w:t>’</w:t>
      </w:r>
      <w:r w:rsidRPr="00FE0616">
        <w:rPr>
          <w:rFonts w:eastAsia="Times New Roman"/>
        </w:rPr>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1,000 for costs and expenses in the domestic proceedings, plus any tax that may be chargeable to the applicant.</w:t>
      </w:r>
    </w:p>
    <w:p w:rsidRPr="00FE0616" w:rsidR="006263A0" w:rsidP="00FE0616" w:rsidRDefault="006263A0">
      <w:pPr>
        <w:pStyle w:val="JuHA"/>
        <w:keepNext w:val="0"/>
        <w:keepLines w:val="0"/>
        <w:numPr>
          <w:ilvl w:val="2"/>
          <w:numId w:val="2"/>
        </w:numPr>
      </w:pPr>
      <w:r w:rsidRPr="00FE0616">
        <w:t>Default interest</w:t>
      </w:r>
    </w:p>
    <w:p w:rsidRPr="00FE0616" w:rsidR="006263A0" w:rsidP="00FE0616" w:rsidRDefault="006263A0">
      <w:pPr>
        <w:pStyle w:val="JuPara"/>
        <w:rPr>
          <w:rFonts w:eastAsia="Times New Roman"/>
        </w:rPr>
      </w:pPr>
      <w:r w:rsidRPr="00FE0616">
        <w:rPr>
          <w:rFonts w:eastAsia="Times New Roman"/>
        </w:rPr>
        <w:fldChar w:fldCharType="begin"/>
      </w:r>
      <w:r w:rsidRPr="00FE0616">
        <w:rPr>
          <w:rFonts w:eastAsia="Times New Roman"/>
        </w:rPr>
        <w:instrText xml:space="preserve"> SEQ level0 \*arabic </w:instrText>
      </w:r>
      <w:proofErr w:type="gramStart"/>
      <w:r w:rsidRPr="00FE0616">
        <w:rPr>
          <w:rFonts w:eastAsia="Times New Roman"/>
        </w:rPr>
        <w:fldChar w:fldCharType="separate"/>
      </w:r>
      <w:r w:rsidRPr="00FE0616" w:rsidR="00FE0616">
        <w:rPr>
          <w:rFonts w:eastAsia="Times New Roman"/>
          <w:noProof/>
        </w:rPr>
        <w:t>86</w:t>
      </w:r>
      <w:r w:rsidRPr="00FE0616">
        <w:rPr>
          <w:rFonts w:eastAsia="Times New Roman"/>
        </w:rPr>
        <w:fldChar w:fldCharType="end"/>
      </w:r>
      <w:r w:rsidRPr="00FE0616">
        <w:rPr>
          <w:rFonts w:eastAsia="Times New Roman"/>
        </w:rPr>
        <w:t>.</w:t>
      </w:r>
      <w:proofErr w:type="gramEnd"/>
      <w:r w:rsidRPr="00FE0616">
        <w:rPr>
          <w:rFonts w:eastAsia="Times New Roman"/>
        </w:rPr>
        <w:t>  The Court considers it appropriate that the default interest rate should be based on the marginal lending rate of the European Central Bank, to which should be added three percentage points.</w:t>
      </w:r>
    </w:p>
    <w:p w:rsidRPr="00FE0616" w:rsidR="006263A0" w:rsidP="00FE0616" w:rsidRDefault="006263A0">
      <w:pPr>
        <w:pStyle w:val="JuHHead"/>
      </w:pPr>
      <w:r w:rsidRPr="00FE0616">
        <w:t>FOR THESE REASONS, THE COURT</w:t>
      </w:r>
      <w:r w:rsidRPr="00FE0616">
        <w:rPr>
          <w:rFonts w:eastAsia="Times New Roman"/>
        </w:rPr>
        <w:t>, UNANIMOUSLY,</w:t>
      </w:r>
    </w:p>
    <w:p w:rsidRPr="00FE0616" w:rsidR="006263A0" w:rsidP="00FE0616" w:rsidRDefault="006263A0">
      <w:pPr>
        <w:pStyle w:val="JuList"/>
        <w:keepNext/>
        <w:keepLines/>
        <w:rPr>
          <w:rFonts w:eastAsia="Times New Roman" w:cs="Times New Roman"/>
        </w:rPr>
      </w:pPr>
      <w:r w:rsidRPr="00FE0616">
        <w:rPr>
          <w:i/>
        </w:rPr>
        <w:t>Decides</w:t>
      </w:r>
      <w:r w:rsidRPr="00FE0616">
        <w:t xml:space="preserve"> to join to the merits the Government</w:t>
      </w:r>
      <w:r w:rsidRPr="00FE0616" w:rsidR="00FE0616">
        <w:t>’</w:t>
      </w:r>
      <w:r w:rsidRPr="00FE0616">
        <w:t xml:space="preserve">s preliminary objection concerning non-exhaustion of domestic remedies and </w:t>
      </w:r>
      <w:r w:rsidRPr="00FE0616">
        <w:rPr>
          <w:i/>
        </w:rPr>
        <w:t>rejects</w:t>
      </w:r>
      <w:r w:rsidRPr="00FE0616">
        <w:t xml:space="preserve"> it;</w:t>
      </w:r>
    </w:p>
    <w:p w:rsidRPr="00FE0616" w:rsidR="006263A0" w:rsidP="00FE0616" w:rsidRDefault="006263A0">
      <w:pPr>
        <w:pStyle w:val="JuList"/>
        <w:rPr>
          <w:rFonts w:eastAsia="Times New Roman" w:cs="Times New Roman"/>
        </w:rPr>
      </w:pPr>
      <w:r w:rsidRPr="00FE0616">
        <w:rPr>
          <w:rFonts w:eastAsia="Times New Roman" w:cs="Times New Roman"/>
          <w:i/>
        </w:rPr>
        <w:t>Declares</w:t>
      </w:r>
      <w:r w:rsidRPr="00FE0616">
        <w:rPr>
          <w:rFonts w:eastAsia="Times New Roman" w:cs="Times New Roman"/>
        </w:rPr>
        <w:t xml:space="preserve"> the application admissible;</w:t>
      </w:r>
    </w:p>
    <w:p w:rsidRPr="00FE0616" w:rsidR="006263A0" w:rsidP="00FE0616" w:rsidRDefault="006263A0">
      <w:pPr>
        <w:pStyle w:val="JuList"/>
        <w:rPr>
          <w:rFonts w:eastAsia="Times New Roman" w:cs="Times New Roman"/>
        </w:rPr>
      </w:pPr>
      <w:r w:rsidRPr="00FE0616">
        <w:rPr>
          <w:rFonts w:eastAsia="Times New Roman" w:cs="Times New Roman"/>
          <w:i/>
        </w:rPr>
        <w:t>Holds</w:t>
      </w:r>
      <w:r w:rsidRPr="00FE0616" w:rsidR="00B632DD">
        <w:rPr>
          <w:rFonts w:eastAsia="Times New Roman" w:cs="Times New Roman"/>
          <w:i/>
        </w:rPr>
        <w:t xml:space="preserve"> </w:t>
      </w:r>
      <w:r w:rsidRPr="00FE0616">
        <w:rPr>
          <w:rFonts w:eastAsia="Times New Roman" w:cs="Times New Roman"/>
        </w:rPr>
        <w:t>that there has been a violation of Article 1 of Protocol No. 1 to the Convention on account of the non</w:t>
      </w:r>
      <w:r w:rsidRPr="00FE0616" w:rsidR="0096123C">
        <w:rPr>
          <w:rFonts w:eastAsia="Times New Roman" w:cs="Times New Roman"/>
        </w:rPr>
        <w:t>-</w:t>
      </w:r>
      <w:r w:rsidRPr="00FE0616">
        <w:rPr>
          <w:rFonts w:eastAsia="Times New Roman" w:cs="Times New Roman"/>
        </w:rPr>
        <w:t>enforcement of the outstanding judgment of 29 June 2016 ;</w:t>
      </w:r>
    </w:p>
    <w:p w:rsidRPr="00FE0616" w:rsidR="006263A0" w:rsidP="00FE0616" w:rsidRDefault="006263A0">
      <w:pPr>
        <w:pStyle w:val="JuList"/>
        <w:rPr>
          <w:rFonts w:eastAsia="Times New Roman" w:cs="Times New Roman"/>
        </w:rPr>
      </w:pPr>
      <w:r w:rsidRPr="00FE0616">
        <w:rPr>
          <w:rFonts w:eastAsia="Times New Roman" w:cs="Times New Roman"/>
          <w:i/>
        </w:rPr>
        <w:t>Holds</w:t>
      </w:r>
    </w:p>
    <w:p w:rsidRPr="00FE0616" w:rsidR="006263A0" w:rsidP="00FE0616" w:rsidRDefault="006263A0">
      <w:pPr>
        <w:pStyle w:val="JuLista"/>
        <w:rPr>
          <w:rFonts w:eastAsia="Times New Roman"/>
        </w:rPr>
      </w:pPr>
      <w:r w:rsidRPr="00FE0616">
        <w:rPr>
          <w:rFonts w:eastAsia="Times New Roman"/>
        </w:rPr>
        <w:t>that the respondent State shall ensure, by appropriate means, within three months from the date on which the judgment becomes final in accordance with Article</w:t>
      </w:r>
      <w:r w:rsidRPr="00FE0616" w:rsidR="0096123C">
        <w:rPr>
          <w:rFonts w:eastAsia="Times New Roman"/>
        </w:rPr>
        <w:t xml:space="preserve"> </w:t>
      </w:r>
      <w:r w:rsidRPr="00FE0616">
        <w:rPr>
          <w:rFonts w:eastAsia="Times New Roman"/>
        </w:rPr>
        <w:t>44</w:t>
      </w:r>
      <w:r w:rsidRPr="00FE0616" w:rsidR="0096123C">
        <w:rPr>
          <w:rFonts w:eastAsia="Times New Roman"/>
        </w:rPr>
        <w:t xml:space="preserve"> </w:t>
      </w:r>
      <w:r w:rsidRPr="00FE0616">
        <w:rPr>
          <w:rFonts w:eastAsia="Times New Roman"/>
        </w:rPr>
        <w:t>§</w:t>
      </w:r>
      <w:r w:rsidRPr="00FE0616" w:rsidR="0096123C">
        <w:rPr>
          <w:rFonts w:eastAsia="Times New Roman"/>
        </w:rPr>
        <w:t xml:space="preserve"> </w:t>
      </w:r>
      <w:r w:rsidRPr="00FE0616">
        <w:rPr>
          <w:rFonts w:eastAsia="Times New Roman"/>
        </w:rPr>
        <w:t>2 of the Convention, the full enforcement of the outstanding judgment of 29</w:t>
      </w:r>
      <w:r w:rsidRPr="00FE0616" w:rsidR="0096123C">
        <w:rPr>
          <w:rFonts w:eastAsia="Times New Roman"/>
        </w:rPr>
        <w:t xml:space="preserve"> </w:t>
      </w:r>
      <w:r w:rsidRPr="00FE0616">
        <w:rPr>
          <w:rFonts w:eastAsia="Times New Roman"/>
        </w:rPr>
        <w:t>June 2016, failing which the State is to pay the applicant EUR 14,100 (fourteen thousand and one hundred euros), plus any tax that may be chargeable to her, this amount representing what the applicant claims to be owing to the tax authority on the basis of the decision of 23 December 2013;</w:t>
      </w:r>
    </w:p>
    <w:p w:rsidRPr="00FE0616" w:rsidR="006263A0" w:rsidP="00FE0616" w:rsidRDefault="006263A0">
      <w:pPr>
        <w:pStyle w:val="JuLista"/>
        <w:rPr>
          <w:rFonts w:eastAsia="Times New Roman"/>
        </w:rPr>
      </w:pPr>
      <w:r w:rsidRPr="00FE0616">
        <w:rPr>
          <w:rFonts w:eastAsia="Times New Roman"/>
        </w:rPr>
        <w:t>that the respondent State is to pay the applicant, within three months from the date on which the judgment becomes final in accordance with Article</w:t>
      </w:r>
      <w:r w:rsidRPr="00FE0616" w:rsidR="0096123C">
        <w:rPr>
          <w:rFonts w:eastAsia="Times New Roman"/>
        </w:rPr>
        <w:t xml:space="preserve"> </w:t>
      </w:r>
      <w:r w:rsidRPr="00FE0616">
        <w:rPr>
          <w:rFonts w:eastAsia="Times New Roman"/>
        </w:rPr>
        <w:t>44</w:t>
      </w:r>
      <w:r w:rsidRPr="00FE0616" w:rsidR="0096123C">
        <w:rPr>
          <w:rFonts w:eastAsia="Times New Roman"/>
        </w:rPr>
        <w:t xml:space="preserve"> § </w:t>
      </w:r>
      <w:r w:rsidRPr="00FE0616">
        <w:rPr>
          <w:rFonts w:eastAsia="Times New Roman"/>
        </w:rPr>
        <w:t>2 of the Convention, the following amounts, to be converted into the currency of the respondent State at the rate applicable at the date of settlement:</w:t>
      </w:r>
    </w:p>
    <w:p w:rsidRPr="00FE0616" w:rsidR="006263A0" w:rsidP="00FE0616" w:rsidRDefault="006263A0">
      <w:pPr>
        <w:pStyle w:val="JuListi"/>
        <w:rPr>
          <w:rFonts w:eastAsia="Times New Roman"/>
        </w:rPr>
      </w:pPr>
      <w:r w:rsidRPr="00FE0616">
        <w:rPr>
          <w:rFonts w:eastAsia="Times New Roman"/>
        </w:rPr>
        <w:t>EUR 4,000 (four thousand euros), in respect of non-pecuniary damage, plus any tax that may be chargeable;</w:t>
      </w:r>
    </w:p>
    <w:p w:rsidRPr="00FE0616" w:rsidR="006263A0" w:rsidP="00FE0616" w:rsidRDefault="006263A0">
      <w:pPr>
        <w:pStyle w:val="JuListi"/>
        <w:rPr>
          <w:rFonts w:eastAsia="Times New Roman"/>
        </w:rPr>
      </w:pPr>
      <w:r w:rsidRPr="00FE0616">
        <w:rPr>
          <w:rFonts w:eastAsia="Times New Roman"/>
        </w:rPr>
        <w:t>EUR 1,000 (one thousand euros), in respect of costs and expenses, plus any tax that may be chargeable to the applicant;</w:t>
      </w:r>
    </w:p>
    <w:p w:rsidRPr="00FE0616" w:rsidR="006263A0" w:rsidP="00FE0616" w:rsidRDefault="006263A0">
      <w:pPr>
        <w:pStyle w:val="JuLista"/>
        <w:rPr>
          <w:rFonts w:eastAsia="Times New Roman"/>
        </w:rPr>
      </w:pPr>
      <w:r w:rsidRPr="00FE0616">
        <w:rPr>
          <w:rFonts w:eastAsia="Times New Roman"/>
        </w:rPr>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E0616" w:rsidR="00B632DD" w:rsidP="00FE0616" w:rsidRDefault="006263A0">
      <w:pPr>
        <w:pStyle w:val="JuList"/>
      </w:pPr>
      <w:r w:rsidRPr="00FE0616">
        <w:rPr>
          <w:rFonts w:eastAsia="Times New Roman" w:cs="Times New Roman"/>
          <w:i/>
        </w:rPr>
        <w:t>Dismisses</w:t>
      </w:r>
      <w:r w:rsidRPr="00FE0616">
        <w:rPr>
          <w:rFonts w:eastAsia="Times New Roman" w:cs="Times New Roman"/>
        </w:rPr>
        <w:t xml:space="preserve"> the remainder of the applicant</w:t>
      </w:r>
      <w:r w:rsidRPr="00FE0616" w:rsidR="00FE0616">
        <w:rPr>
          <w:rFonts w:eastAsia="Times New Roman" w:cs="Times New Roman"/>
        </w:rPr>
        <w:t>’</w:t>
      </w:r>
      <w:r w:rsidRPr="00FE0616">
        <w:rPr>
          <w:rFonts w:eastAsia="Times New Roman" w:cs="Times New Roman"/>
        </w:rPr>
        <w:t>s claim for just satisfaction.</w:t>
      </w:r>
    </w:p>
    <w:p w:rsidRPr="00FE0616" w:rsidR="008E3A08" w:rsidP="00FE0616" w:rsidRDefault="007E2C8C">
      <w:pPr>
        <w:pStyle w:val="JuParaLast"/>
      </w:pPr>
      <w:r w:rsidRPr="00FE0616">
        <w:t xml:space="preserve">Done in English, and notified in writing on </w:t>
      </w:r>
      <w:r w:rsidRPr="00FE0616" w:rsidR="006263A0">
        <w:rPr>
          <w:rFonts w:ascii="Times New Roman" w:hAnsi="Times New Roman" w:cs="Times New Roman"/>
        </w:rPr>
        <w:t>30 June 2020</w:t>
      </w:r>
      <w:r w:rsidRPr="00FE0616">
        <w:t>, pursuant to Rule 77 §§ 2 and 3 of the Rules of Court.</w:t>
      </w:r>
    </w:p>
    <w:p w:rsidRPr="00FE0616" w:rsidR="002A613A" w:rsidP="00FE0616" w:rsidRDefault="006263A0">
      <w:pPr>
        <w:pStyle w:val="JuSigned"/>
        <w:keepNext/>
        <w:keepLines/>
        <w:rPr>
          <w:lang w:val="it-IT"/>
        </w:rPr>
      </w:pPr>
      <w:r w:rsidRPr="00FE0616">
        <w:rPr>
          <w:lang w:val="it-IT"/>
        </w:rPr>
        <w:t>Andrea Tamietti</w:t>
      </w:r>
      <w:r w:rsidRPr="00FE0616" w:rsidR="005879A2">
        <w:rPr>
          <w:lang w:val="it-IT"/>
        </w:rPr>
        <w:t xml:space="preserve"> </w:t>
      </w:r>
      <w:r w:rsidRPr="00FE0616" w:rsidR="009F4C8F">
        <w:rPr>
          <w:lang w:val="it-IT"/>
        </w:rPr>
        <w:tab/>
      </w:r>
      <w:proofErr w:type="spellStart"/>
      <w:r w:rsidRPr="00FE0616">
        <w:rPr>
          <w:lang w:val="it-IT"/>
        </w:rPr>
        <w:t>Yonko</w:t>
      </w:r>
      <w:proofErr w:type="spellEnd"/>
      <w:r w:rsidRPr="00FE0616">
        <w:rPr>
          <w:lang w:val="it-IT"/>
        </w:rPr>
        <w:t xml:space="preserve"> </w:t>
      </w:r>
      <w:proofErr w:type="spellStart"/>
      <w:r w:rsidRPr="00FE0616">
        <w:rPr>
          <w:lang w:val="it-IT"/>
        </w:rPr>
        <w:t>Grozev</w:t>
      </w:r>
      <w:proofErr w:type="spellEnd"/>
      <w:r w:rsidRPr="00FE0616" w:rsidR="009F4C8F">
        <w:rPr>
          <w:lang w:val="it-IT"/>
        </w:rPr>
        <w:br/>
      </w:r>
      <w:r w:rsidRPr="00FE0616" w:rsidR="009F4C8F">
        <w:rPr>
          <w:lang w:val="it-IT"/>
        </w:rPr>
        <w:tab/>
      </w:r>
      <w:r w:rsidRPr="00FE0616">
        <w:rPr>
          <w:iCs/>
          <w:lang w:val="it-IT"/>
        </w:rPr>
        <w:t>Registrar</w:t>
      </w:r>
      <w:r w:rsidRPr="00FE0616" w:rsidR="009F4C8F">
        <w:rPr>
          <w:lang w:val="it-IT"/>
        </w:rPr>
        <w:tab/>
      </w:r>
      <w:proofErr w:type="spellStart"/>
      <w:r w:rsidRPr="00FE0616" w:rsidR="009F4C8F">
        <w:rPr>
          <w:lang w:val="it-IT"/>
        </w:rPr>
        <w:t>President</w:t>
      </w:r>
      <w:proofErr w:type="spellEnd"/>
    </w:p>
    <w:sectPr w:rsidRPr="00FE0616"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7C4" w:rsidRPr="009E7A6F" w:rsidRDefault="008D77C4" w:rsidP="0098410D">
      <w:r w:rsidRPr="009E7A6F">
        <w:separator/>
      </w:r>
    </w:p>
  </w:endnote>
  <w:endnote w:type="continuationSeparator" w:id="0">
    <w:p w:rsidR="008D77C4" w:rsidRPr="009E7A6F" w:rsidRDefault="008D77C4"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CB4" w:rsidRDefault="004E4CB4">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7C4" w:rsidRPr="00150BFA" w:rsidRDefault="008D77C4" w:rsidP="0064133E">
    <w:pPr>
      <w:jc w:val="center"/>
    </w:pPr>
    <w:r>
      <w:rPr>
        <w:noProof/>
        <w:lang w:val="en-US" w:eastAsia="ja-JP"/>
      </w:rPr>
      <w:drawing>
        <wp:inline distT="0" distB="0" distL="0" distR="0" wp14:anchorId="4F67F2A1" wp14:editId="61D3F064">
          <wp:extent cx="771525" cy="619125"/>
          <wp:effectExtent l="0" t="0" r="9525" b="9525"/>
          <wp:docPr id="100" name="Picture 10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D77C4" w:rsidRPr="009E7A6F" w:rsidRDefault="008D77C4" w:rsidP="0064133E">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7C4" w:rsidRPr="00150BFA" w:rsidRDefault="008D77C4" w:rsidP="0064133E">
    <w:pPr>
      <w:jc w:val="center"/>
    </w:pPr>
    <w:r>
      <w:rPr>
        <w:noProof/>
        <w:lang w:val="en-US" w:eastAsia="ja-JP"/>
      </w:rPr>
      <w:drawing>
        <wp:inline distT="0" distB="0" distL="0" distR="0" wp14:anchorId="6451B4B5" wp14:editId="2D8E81B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D77C4" w:rsidRPr="009E7A6F" w:rsidRDefault="008D77C4"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7C4" w:rsidRDefault="008D77C4" w:rsidP="009A115C">
    <w:pPr>
      <w:pStyle w:val="JuHeader"/>
    </w:pPr>
    <w:r>
      <w:rPr>
        <w:rStyle w:val="PageNumber"/>
      </w:rPr>
      <w:fldChar w:fldCharType="begin"/>
    </w:r>
    <w:r>
      <w:rPr>
        <w:rStyle w:val="PageNumber"/>
      </w:rPr>
      <w:instrText xml:space="preserve"> PAGE </w:instrText>
    </w:r>
    <w:r>
      <w:rPr>
        <w:rStyle w:val="PageNumber"/>
      </w:rPr>
      <w:fldChar w:fldCharType="separate"/>
    </w:r>
    <w:r w:rsidR="005F062F">
      <w:rPr>
        <w:rStyle w:val="PageNumber"/>
        <w:noProof/>
      </w:rPr>
      <w:t>14</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7C4" w:rsidRPr="000B7195" w:rsidRDefault="008D77C4" w:rsidP="007D3701">
    <w:pPr>
      <w:pStyle w:val="JuHeader"/>
    </w:pPr>
    <w:r>
      <w:fldChar w:fldCharType="begin"/>
    </w:r>
    <w:r>
      <w:instrText xml:space="preserve"> PAGE </w:instrText>
    </w:r>
    <w:r>
      <w:fldChar w:fldCharType="separate"/>
    </w:r>
    <w:r w:rsidR="005F062F">
      <w:rPr>
        <w:noProof/>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7C4" w:rsidRPr="009E7A6F" w:rsidRDefault="008D77C4" w:rsidP="0098410D">
      <w:r w:rsidRPr="009E7A6F">
        <w:separator/>
      </w:r>
    </w:p>
  </w:footnote>
  <w:footnote w:type="continuationSeparator" w:id="0">
    <w:p w:rsidR="008D77C4" w:rsidRPr="009E7A6F" w:rsidRDefault="008D77C4"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CB4" w:rsidRDefault="004E4C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7C4" w:rsidRPr="00A45145" w:rsidRDefault="008D77C4" w:rsidP="0064133E">
    <w:pPr>
      <w:jc w:val="center"/>
    </w:pPr>
    <w:r>
      <w:rPr>
        <w:noProof/>
        <w:lang w:val="en-US" w:eastAsia="ja-JP"/>
      </w:rPr>
      <w:drawing>
        <wp:inline distT="0" distB="0" distL="0" distR="0" wp14:anchorId="30ABF953" wp14:editId="5088B13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D77C4" w:rsidRPr="009E7A6F" w:rsidRDefault="008D77C4" w:rsidP="0064133E">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7C4" w:rsidRPr="00A45145" w:rsidRDefault="008D77C4" w:rsidP="0064133E">
    <w:pPr>
      <w:jc w:val="center"/>
    </w:pPr>
    <w:r>
      <w:rPr>
        <w:noProof/>
        <w:lang w:val="en-US" w:eastAsia="ja-JP"/>
      </w:rPr>
      <w:drawing>
        <wp:inline distT="0" distB="0" distL="0" distR="0" wp14:anchorId="7ED6F5C1" wp14:editId="179EFAA8">
          <wp:extent cx="2962275" cy="1219200"/>
          <wp:effectExtent l="0" t="0" r="9525" b="0"/>
          <wp:docPr id="87" name="Picture 8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D77C4" w:rsidRPr="009E7A6F" w:rsidRDefault="008D77C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7C4" w:rsidRPr="004D0EC7" w:rsidRDefault="008D77C4" w:rsidP="004D0EC7">
    <w:pPr>
      <w:pStyle w:val="JuHeader"/>
    </w:pPr>
    <w:r>
      <w:t>MARIA MIHALACHE v. ROMANIA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7C4" w:rsidRPr="00882CD5" w:rsidRDefault="008D77C4" w:rsidP="007D3701">
    <w:pPr>
      <w:pStyle w:val="JuHeader"/>
    </w:pPr>
    <w:r>
      <w:t>MARIA MIHALACHE v. ROMANIA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FEA3298"/>
    <w:multiLevelType w:val="multilevel"/>
    <w:tmpl w:val="5EC8B2DE"/>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778" w:hanging="352"/>
      </w:pPr>
      <w:rPr>
        <w:rFonts w:hint="default"/>
      </w:rPr>
    </w:lvl>
    <w:lvl w:ilvl="3">
      <w:start w:val="1"/>
      <w:numFmt w:val="decimal"/>
      <w:lvlText w:val="%4."/>
      <w:lvlJc w:val="left"/>
      <w:pPr>
        <w:ind w:left="867"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num w:numId="1">
    <w:abstractNumId w:val="9"/>
  </w:num>
  <w:num w:numId="2">
    <w:abstractNumId w:val="17"/>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263A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3FD2"/>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26E5"/>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4A1C"/>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4CB4"/>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62F"/>
    <w:rsid w:val="005F51E1"/>
    <w:rsid w:val="00611C80"/>
    <w:rsid w:val="00620692"/>
    <w:rsid w:val="006242CA"/>
    <w:rsid w:val="006263A0"/>
    <w:rsid w:val="00627507"/>
    <w:rsid w:val="00633717"/>
    <w:rsid w:val="006344E1"/>
    <w:rsid w:val="0064133E"/>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00D96"/>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3940"/>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213A"/>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D77C4"/>
    <w:rsid w:val="008E271C"/>
    <w:rsid w:val="008E3A08"/>
    <w:rsid w:val="008E418E"/>
    <w:rsid w:val="008E5BC6"/>
    <w:rsid w:val="008E6217"/>
    <w:rsid w:val="008E6A25"/>
    <w:rsid w:val="008F2554"/>
    <w:rsid w:val="008F3AEC"/>
    <w:rsid w:val="008F4D80"/>
    <w:rsid w:val="008F5193"/>
    <w:rsid w:val="008F6B36"/>
    <w:rsid w:val="008F6E49"/>
    <w:rsid w:val="009013A7"/>
    <w:rsid w:val="009017FB"/>
    <w:rsid w:val="009017FC"/>
    <w:rsid w:val="0090506B"/>
    <w:rsid w:val="009050C9"/>
    <w:rsid w:val="009066FC"/>
    <w:rsid w:val="009140A3"/>
    <w:rsid w:val="009144A2"/>
    <w:rsid w:val="0091510C"/>
    <w:rsid w:val="00917828"/>
    <w:rsid w:val="009259AC"/>
    <w:rsid w:val="00926F38"/>
    <w:rsid w:val="00927BEB"/>
    <w:rsid w:val="009333DC"/>
    <w:rsid w:val="00934301"/>
    <w:rsid w:val="00936CD1"/>
    <w:rsid w:val="00941747"/>
    <w:rsid w:val="00941EFB"/>
    <w:rsid w:val="00947AFB"/>
    <w:rsid w:val="00951AA3"/>
    <w:rsid w:val="00951D7D"/>
    <w:rsid w:val="00956D0C"/>
    <w:rsid w:val="0096123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32D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63E9"/>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8414E"/>
    <w:rsid w:val="00D908A8"/>
    <w:rsid w:val="00D977B6"/>
    <w:rsid w:val="00DA1223"/>
    <w:rsid w:val="00DA127E"/>
    <w:rsid w:val="00DA4A31"/>
    <w:rsid w:val="00DA7B04"/>
    <w:rsid w:val="00DB36C2"/>
    <w:rsid w:val="00DC169B"/>
    <w:rsid w:val="00DC2AB9"/>
    <w:rsid w:val="00DC63F0"/>
    <w:rsid w:val="00DD214B"/>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7A0A"/>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0616"/>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E0616"/>
    <w:rPr>
      <w:sz w:val="24"/>
      <w:szCs w:val="24"/>
      <w:lang w:val="en-GB"/>
    </w:rPr>
  </w:style>
  <w:style w:type="paragraph" w:styleId="Heading1">
    <w:name w:val="heading 1"/>
    <w:basedOn w:val="Normal"/>
    <w:next w:val="Normal"/>
    <w:link w:val="Heading1Char"/>
    <w:uiPriority w:val="98"/>
    <w:semiHidden/>
    <w:rsid w:val="00FE061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E061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E061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E061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E061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E061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E061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E061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E061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E0616"/>
    <w:rPr>
      <w:rFonts w:ascii="Tahoma" w:hAnsi="Tahoma" w:cs="Tahoma"/>
      <w:sz w:val="16"/>
      <w:szCs w:val="16"/>
    </w:rPr>
  </w:style>
  <w:style w:type="character" w:customStyle="1" w:styleId="BalloonTextChar">
    <w:name w:val="Balloon Text Char"/>
    <w:basedOn w:val="DefaultParagraphFont"/>
    <w:link w:val="BalloonText"/>
    <w:uiPriority w:val="98"/>
    <w:semiHidden/>
    <w:rsid w:val="00FE0616"/>
    <w:rPr>
      <w:rFonts w:ascii="Tahoma" w:hAnsi="Tahoma" w:cs="Tahoma"/>
      <w:sz w:val="16"/>
      <w:szCs w:val="16"/>
      <w:lang w:val="en-GB"/>
    </w:rPr>
  </w:style>
  <w:style w:type="character" w:styleId="BookTitle">
    <w:name w:val="Book Title"/>
    <w:uiPriority w:val="98"/>
    <w:semiHidden/>
    <w:qFormat/>
    <w:rsid w:val="00FE0616"/>
    <w:rPr>
      <w:i/>
      <w:iCs/>
      <w:smallCaps/>
      <w:spacing w:val="5"/>
    </w:rPr>
  </w:style>
  <w:style w:type="paragraph" w:customStyle="1" w:styleId="JuHeader">
    <w:name w:val="Ju_Header"/>
    <w:aliases w:val="_Header"/>
    <w:basedOn w:val="Header"/>
    <w:uiPriority w:val="29"/>
    <w:qFormat/>
    <w:rsid w:val="00FE0616"/>
    <w:pPr>
      <w:tabs>
        <w:tab w:val="clear" w:pos="4536"/>
        <w:tab w:val="clear" w:pos="9072"/>
      </w:tabs>
      <w:jc w:val="center"/>
    </w:pPr>
    <w:rPr>
      <w:sz w:val="18"/>
    </w:rPr>
  </w:style>
  <w:style w:type="paragraph" w:customStyle="1" w:styleId="NormalJustified">
    <w:name w:val="Normal_Justified"/>
    <w:basedOn w:val="Normal"/>
    <w:semiHidden/>
    <w:rsid w:val="00FE0616"/>
    <w:pPr>
      <w:jc w:val="both"/>
    </w:pPr>
  </w:style>
  <w:style w:type="character" w:styleId="Strong">
    <w:name w:val="Strong"/>
    <w:uiPriority w:val="98"/>
    <w:semiHidden/>
    <w:qFormat/>
    <w:rsid w:val="00FE0616"/>
    <w:rPr>
      <w:b/>
      <w:bCs/>
    </w:rPr>
  </w:style>
  <w:style w:type="paragraph" w:styleId="NoSpacing">
    <w:name w:val="No Spacing"/>
    <w:basedOn w:val="Normal"/>
    <w:link w:val="NoSpacingChar"/>
    <w:uiPriority w:val="98"/>
    <w:semiHidden/>
    <w:qFormat/>
    <w:rsid w:val="00FE0616"/>
  </w:style>
  <w:style w:type="character" w:customStyle="1" w:styleId="NoSpacingChar">
    <w:name w:val="No Spacing Char"/>
    <w:basedOn w:val="DefaultParagraphFont"/>
    <w:link w:val="NoSpacing"/>
    <w:uiPriority w:val="98"/>
    <w:semiHidden/>
    <w:rsid w:val="00FE0616"/>
    <w:rPr>
      <w:sz w:val="24"/>
      <w:szCs w:val="24"/>
      <w:lang w:val="en-GB"/>
    </w:rPr>
  </w:style>
  <w:style w:type="paragraph" w:customStyle="1" w:styleId="JuQuot">
    <w:name w:val="Ju_Quot"/>
    <w:aliases w:val="_Quote"/>
    <w:basedOn w:val="NormalJustified"/>
    <w:uiPriority w:val="20"/>
    <w:qFormat/>
    <w:rsid w:val="00FE0616"/>
    <w:pPr>
      <w:spacing w:before="120" w:after="120"/>
      <w:ind w:left="425" w:firstLine="142"/>
    </w:pPr>
    <w:rPr>
      <w:sz w:val="20"/>
    </w:rPr>
  </w:style>
  <w:style w:type="paragraph" w:customStyle="1" w:styleId="DecList">
    <w:name w:val="Dec_List"/>
    <w:aliases w:val="_List"/>
    <w:basedOn w:val="JuList"/>
    <w:uiPriority w:val="22"/>
    <w:rsid w:val="00FE0616"/>
    <w:pPr>
      <w:numPr>
        <w:numId w:val="0"/>
      </w:numPr>
      <w:ind w:left="284"/>
    </w:pPr>
  </w:style>
  <w:style w:type="paragraph" w:customStyle="1" w:styleId="JuList">
    <w:name w:val="Ju_List"/>
    <w:aliases w:val="_List_1"/>
    <w:basedOn w:val="NormalJustified"/>
    <w:uiPriority w:val="23"/>
    <w:qFormat/>
    <w:rsid w:val="00FE0616"/>
    <w:pPr>
      <w:numPr>
        <w:numId w:val="8"/>
      </w:numPr>
      <w:spacing w:before="280" w:after="60"/>
    </w:pPr>
  </w:style>
  <w:style w:type="paragraph" w:customStyle="1" w:styleId="JuLista">
    <w:name w:val="Ju_List_a"/>
    <w:aliases w:val="_List_2"/>
    <w:basedOn w:val="NormalJustified"/>
    <w:uiPriority w:val="23"/>
    <w:rsid w:val="00FE0616"/>
    <w:pPr>
      <w:numPr>
        <w:ilvl w:val="1"/>
        <w:numId w:val="8"/>
      </w:numPr>
    </w:pPr>
  </w:style>
  <w:style w:type="paragraph" w:customStyle="1" w:styleId="JuListi">
    <w:name w:val="Ju_List_i"/>
    <w:aliases w:val="_List_3"/>
    <w:basedOn w:val="NormalJustified"/>
    <w:uiPriority w:val="23"/>
    <w:rsid w:val="00FE0616"/>
    <w:pPr>
      <w:numPr>
        <w:ilvl w:val="2"/>
        <w:numId w:val="8"/>
      </w:numPr>
    </w:pPr>
  </w:style>
  <w:style w:type="paragraph" w:customStyle="1" w:styleId="JuHArticle">
    <w:name w:val="Ju_H_Article"/>
    <w:aliases w:val="_Title_Quote"/>
    <w:basedOn w:val="Normal"/>
    <w:next w:val="JuQuot"/>
    <w:uiPriority w:val="19"/>
    <w:qFormat/>
    <w:rsid w:val="00FE061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E061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E061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E0616"/>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FE0616"/>
    <w:pPr>
      <w:numPr>
        <w:numId w:val="7"/>
      </w:numPr>
    </w:pPr>
  </w:style>
  <w:style w:type="paragraph" w:customStyle="1" w:styleId="JuSigned">
    <w:name w:val="Ju_Signed"/>
    <w:aliases w:val="_Signature"/>
    <w:basedOn w:val="Normal"/>
    <w:next w:val="JuPara"/>
    <w:uiPriority w:val="31"/>
    <w:qFormat/>
    <w:rsid w:val="00FE0616"/>
    <w:pPr>
      <w:tabs>
        <w:tab w:val="center" w:pos="851"/>
        <w:tab w:val="center" w:pos="6407"/>
      </w:tabs>
      <w:spacing w:before="720"/>
    </w:pPr>
  </w:style>
  <w:style w:type="paragraph" w:styleId="Title">
    <w:name w:val="Title"/>
    <w:basedOn w:val="Normal"/>
    <w:next w:val="Normal"/>
    <w:link w:val="TitleChar"/>
    <w:uiPriority w:val="98"/>
    <w:semiHidden/>
    <w:qFormat/>
    <w:rsid w:val="00FE061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E061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E0616"/>
    <w:pPr>
      <w:numPr>
        <w:numId w:val="8"/>
      </w:numPr>
    </w:pPr>
  </w:style>
  <w:style w:type="numbering" w:customStyle="1" w:styleId="ECHRA1StyleNumberedList">
    <w:name w:val="ECHR_A1_Style_Numbered_List"/>
    <w:basedOn w:val="NoList"/>
    <w:rsid w:val="00FE0616"/>
    <w:pPr>
      <w:numPr>
        <w:numId w:val="9"/>
      </w:numPr>
    </w:pPr>
  </w:style>
  <w:style w:type="table" w:customStyle="1" w:styleId="ECHRTable2019">
    <w:name w:val="ECHR_Table_2019"/>
    <w:basedOn w:val="TableNormal"/>
    <w:uiPriority w:val="99"/>
    <w:rsid w:val="00FE061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FE0616"/>
    <w:rPr>
      <w:sz w:val="8"/>
    </w:rPr>
  </w:style>
  <w:style w:type="paragraph" w:customStyle="1" w:styleId="JuCourt">
    <w:name w:val="Ju_Court"/>
    <w:aliases w:val="_Court_Names"/>
    <w:basedOn w:val="Normal"/>
    <w:next w:val="Normal"/>
    <w:uiPriority w:val="32"/>
    <w:qFormat/>
    <w:rsid w:val="00FE061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E0616"/>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FE0616"/>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FE0616"/>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FE0616"/>
    <w:pPr>
      <w:tabs>
        <w:tab w:val="center" w:pos="4536"/>
        <w:tab w:val="right" w:pos="9072"/>
      </w:tabs>
    </w:pPr>
  </w:style>
  <w:style w:type="character" w:customStyle="1" w:styleId="HeaderChar">
    <w:name w:val="Header Char"/>
    <w:basedOn w:val="DefaultParagraphFont"/>
    <w:link w:val="Header"/>
    <w:uiPriority w:val="98"/>
    <w:semiHidden/>
    <w:rsid w:val="00FE0616"/>
    <w:rPr>
      <w:sz w:val="24"/>
      <w:szCs w:val="24"/>
      <w:lang w:val="en-GB"/>
    </w:rPr>
  </w:style>
  <w:style w:type="character" w:customStyle="1" w:styleId="Heading1Char">
    <w:name w:val="Heading 1 Char"/>
    <w:basedOn w:val="DefaultParagraphFont"/>
    <w:link w:val="Heading1"/>
    <w:uiPriority w:val="98"/>
    <w:semiHidden/>
    <w:rsid w:val="00FE061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E0616"/>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FE0616"/>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FE061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E0616"/>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FE0616"/>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FE061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E0616"/>
    <w:pPr>
      <w:keepNext/>
      <w:keepLines/>
      <w:spacing w:before="240" w:after="240"/>
      <w:ind w:firstLine="284"/>
    </w:pPr>
  </w:style>
  <w:style w:type="paragraph" w:customStyle="1" w:styleId="JuJudges">
    <w:name w:val="Ju_Judges"/>
    <w:aliases w:val="_Judges"/>
    <w:basedOn w:val="Normal"/>
    <w:uiPriority w:val="32"/>
    <w:qFormat/>
    <w:rsid w:val="00FE0616"/>
    <w:pPr>
      <w:tabs>
        <w:tab w:val="left" w:pos="567"/>
        <w:tab w:val="left" w:pos="1134"/>
      </w:tabs>
    </w:pPr>
  </w:style>
  <w:style w:type="character" w:customStyle="1" w:styleId="Heading4Char">
    <w:name w:val="Heading 4 Char"/>
    <w:basedOn w:val="DefaultParagraphFont"/>
    <w:link w:val="Heading4"/>
    <w:uiPriority w:val="98"/>
    <w:semiHidden/>
    <w:rsid w:val="00FE061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FE0616"/>
    <w:pPr>
      <w:tabs>
        <w:tab w:val="center" w:pos="6407"/>
      </w:tabs>
      <w:spacing w:before="720"/>
      <w:jc w:val="right"/>
    </w:pPr>
  </w:style>
  <w:style w:type="character" w:customStyle="1" w:styleId="Heading5Char">
    <w:name w:val="Heading 5 Char"/>
    <w:basedOn w:val="DefaultParagraphFont"/>
    <w:link w:val="Heading5"/>
    <w:uiPriority w:val="98"/>
    <w:semiHidden/>
    <w:rsid w:val="00FE061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FE061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E0616"/>
    <w:rPr>
      <w:caps w:val="0"/>
      <w:smallCaps/>
    </w:rPr>
  </w:style>
  <w:style w:type="character" w:styleId="SubtleEmphasis">
    <w:name w:val="Subtle Emphasis"/>
    <w:uiPriority w:val="98"/>
    <w:semiHidden/>
    <w:qFormat/>
    <w:rsid w:val="00FE0616"/>
    <w:rPr>
      <w:i/>
      <w:iCs/>
    </w:rPr>
  </w:style>
  <w:style w:type="table" w:customStyle="1" w:styleId="ECHRTable">
    <w:name w:val="ECHR_Table"/>
    <w:basedOn w:val="TableNormal"/>
    <w:rsid w:val="00FE061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E061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E0616"/>
    <w:rPr>
      <w:b/>
      <w:bCs/>
      <w:i/>
      <w:iCs/>
      <w:spacing w:val="10"/>
      <w:bdr w:val="none" w:sz="0" w:space="0" w:color="auto"/>
      <w:shd w:val="clear" w:color="auto" w:fill="auto"/>
    </w:rPr>
  </w:style>
  <w:style w:type="paragraph" w:styleId="Footer0">
    <w:name w:val="footer"/>
    <w:basedOn w:val="Normal"/>
    <w:link w:val="FooterChar"/>
    <w:uiPriority w:val="98"/>
    <w:semiHidden/>
    <w:rsid w:val="00FE0616"/>
    <w:pPr>
      <w:tabs>
        <w:tab w:val="center" w:pos="3686"/>
        <w:tab w:val="right" w:pos="7371"/>
      </w:tabs>
    </w:pPr>
  </w:style>
  <w:style w:type="character" w:customStyle="1" w:styleId="FooterChar">
    <w:name w:val="Footer Char"/>
    <w:basedOn w:val="DefaultParagraphFont"/>
    <w:link w:val="Footer0"/>
    <w:uiPriority w:val="98"/>
    <w:semiHidden/>
    <w:rsid w:val="00FE0616"/>
    <w:rPr>
      <w:sz w:val="24"/>
      <w:szCs w:val="24"/>
      <w:lang w:val="en-GB"/>
    </w:rPr>
  </w:style>
  <w:style w:type="character" w:styleId="FootnoteReference">
    <w:name w:val="footnote reference"/>
    <w:basedOn w:val="DefaultParagraphFont"/>
    <w:uiPriority w:val="98"/>
    <w:semiHidden/>
    <w:rsid w:val="00FE0616"/>
    <w:rPr>
      <w:vertAlign w:val="superscript"/>
    </w:rPr>
  </w:style>
  <w:style w:type="paragraph" w:styleId="FootnoteText">
    <w:name w:val="footnote text"/>
    <w:basedOn w:val="Normal"/>
    <w:link w:val="FootnoteTextChar"/>
    <w:uiPriority w:val="98"/>
    <w:semiHidden/>
    <w:rsid w:val="00FE0616"/>
    <w:rPr>
      <w:sz w:val="20"/>
      <w:szCs w:val="20"/>
    </w:rPr>
  </w:style>
  <w:style w:type="character" w:customStyle="1" w:styleId="FootnoteTextChar">
    <w:name w:val="Footnote Text Char"/>
    <w:basedOn w:val="DefaultParagraphFont"/>
    <w:link w:val="FootnoteText"/>
    <w:uiPriority w:val="98"/>
    <w:semiHidden/>
    <w:rsid w:val="00FE0616"/>
    <w:rPr>
      <w:sz w:val="20"/>
      <w:szCs w:val="20"/>
      <w:lang w:val="en-GB"/>
    </w:rPr>
  </w:style>
  <w:style w:type="character" w:customStyle="1" w:styleId="Heading6Char">
    <w:name w:val="Heading 6 Char"/>
    <w:basedOn w:val="DefaultParagraphFont"/>
    <w:link w:val="Heading6"/>
    <w:uiPriority w:val="98"/>
    <w:semiHidden/>
    <w:rsid w:val="00FE061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E061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E061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E061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E0616"/>
    <w:rPr>
      <w:color w:val="0072BC" w:themeColor="hyperlink"/>
      <w:u w:val="single"/>
    </w:rPr>
  </w:style>
  <w:style w:type="character" w:styleId="IntenseEmphasis">
    <w:name w:val="Intense Emphasis"/>
    <w:uiPriority w:val="98"/>
    <w:semiHidden/>
    <w:qFormat/>
    <w:rsid w:val="00FE0616"/>
    <w:rPr>
      <w:b/>
      <w:bCs/>
    </w:rPr>
  </w:style>
  <w:style w:type="paragraph" w:styleId="IntenseQuote">
    <w:name w:val="Intense Quote"/>
    <w:basedOn w:val="Normal"/>
    <w:next w:val="Normal"/>
    <w:link w:val="IntenseQuoteChar"/>
    <w:uiPriority w:val="98"/>
    <w:semiHidden/>
    <w:qFormat/>
    <w:rsid w:val="00FE061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E0616"/>
    <w:rPr>
      <w:b/>
      <w:bCs/>
      <w:i/>
      <w:iCs/>
      <w:sz w:val="24"/>
      <w:szCs w:val="24"/>
      <w:lang w:val="en-GB" w:bidi="en-US"/>
    </w:rPr>
  </w:style>
  <w:style w:type="character" w:styleId="IntenseReference">
    <w:name w:val="Intense Reference"/>
    <w:uiPriority w:val="98"/>
    <w:semiHidden/>
    <w:qFormat/>
    <w:rsid w:val="00FE0616"/>
    <w:rPr>
      <w:smallCaps/>
      <w:spacing w:val="5"/>
      <w:u w:val="single"/>
    </w:rPr>
  </w:style>
  <w:style w:type="paragraph" w:styleId="ListParagraph">
    <w:name w:val="List Paragraph"/>
    <w:basedOn w:val="Normal"/>
    <w:uiPriority w:val="98"/>
    <w:semiHidden/>
    <w:qFormat/>
    <w:rsid w:val="00FE0616"/>
    <w:pPr>
      <w:ind w:left="720"/>
      <w:contextualSpacing/>
    </w:pPr>
  </w:style>
  <w:style w:type="table" w:customStyle="1" w:styleId="LtrTableAddress">
    <w:name w:val="Ltr_Table_Address"/>
    <w:aliases w:val="ECHR_Ltr_Table_Address"/>
    <w:basedOn w:val="TableNormal"/>
    <w:uiPriority w:val="99"/>
    <w:rsid w:val="00FE0616"/>
    <w:rPr>
      <w:sz w:val="24"/>
      <w:szCs w:val="24"/>
    </w:rPr>
    <w:tblPr>
      <w:tblInd w:w="5103" w:type="dxa"/>
    </w:tblPr>
  </w:style>
  <w:style w:type="paragraph" w:styleId="Quote">
    <w:name w:val="Quote"/>
    <w:basedOn w:val="Normal"/>
    <w:next w:val="Normal"/>
    <w:link w:val="QuoteChar"/>
    <w:uiPriority w:val="98"/>
    <w:semiHidden/>
    <w:qFormat/>
    <w:rsid w:val="00FE0616"/>
    <w:pPr>
      <w:spacing w:before="200"/>
      <w:ind w:left="360" w:right="360"/>
    </w:pPr>
    <w:rPr>
      <w:i/>
      <w:iCs/>
      <w:lang w:bidi="en-US"/>
    </w:rPr>
  </w:style>
  <w:style w:type="character" w:customStyle="1" w:styleId="QuoteChar">
    <w:name w:val="Quote Char"/>
    <w:basedOn w:val="DefaultParagraphFont"/>
    <w:link w:val="Quote"/>
    <w:uiPriority w:val="98"/>
    <w:semiHidden/>
    <w:rsid w:val="00FE0616"/>
    <w:rPr>
      <w:i/>
      <w:iCs/>
      <w:sz w:val="24"/>
      <w:szCs w:val="24"/>
      <w:lang w:val="en-GB" w:bidi="en-US"/>
    </w:rPr>
  </w:style>
  <w:style w:type="character" w:styleId="SubtleReference">
    <w:name w:val="Subtle Reference"/>
    <w:uiPriority w:val="98"/>
    <w:semiHidden/>
    <w:qFormat/>
    <w:rsid w:val="00FE0616"/>
    <w:rPr>
      <w:smallCaps/>
    </w:rPr>
  </w:style>
  <w:style w:type="table" w:styleId="TableGrid">
    <w:name w:val="Table Grid"/>
    <w:basedOn w:val="TableNormal"/>
    <w:uiPriority w:val="59"/>
    <w:semiHidden/>
    <w:rsid w:val="00FE061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E061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E061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E061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E061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E061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E061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E061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E061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E061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E061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E061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E061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E061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E061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E061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E0616"/>
    <w:pPr>
      <w:numPr>
        <w:numId w:val="4"/>
      </w:numPr>
    </w:pPr>
  </w:style>
  <w:style w:type="paragraph" w:customStyle="1" w:styleId="JuPara">
    <w:name w:val="Ju_Para"/>
    <w:aliases w:val="_Para"/>
    <w:basedOn w:val="NormalJustified"/>
    <w:link w:val="JuParaChar"/>
    <w:uiPriority w:val="4"/>
    <w:qFormat/>
    <w:rsid w:val="00FE0616"/>
    <w:pPr>
      <w:ind w:firstLine="284"/>
    </w:pPr>
  </w:style>
  <w:style w:type="numbering" w:styleId="1ai">
    <w:name w:val="Outline List 1"/>
    <w:basedOn w:val="NoList"/>
    <w:uiPriority w:val="99"/>
    <w:semiHidden/>
    <w:unhideWhenUsed/>
    <w:rsid w:val="00FE0616"/>
    <w:pPr>
      <w:numPr>
        <w:numId w:val="5"/>
      </w:numPr>
    </w:pPr>
  </w:style>
  <w:style w:type="table" w:customStyle="1" w:styleId="ECHRTableSimpleBox">
    <w:name w:val="ECHR_Table_Simple_Box"/>
    <w:basedOn w:val="TableNormal"/>
    <w:uiPriority w:val="99"/>
    <w:rsid w:val="00FE061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E061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E0616"/>
    <w:pPr>
      <w:numPr>
        <w:numId w:val="6"/>
      </w:numPr>
    </w:pPr>
  </w:style>
  <w:style w:type="table" w:customStyle="1" w:styleId="ECHRTableForInternalUse">
    <w:name w:val="ECHR_Table_For_Internal_Use"/>
    <w:basedOn w:val="TableNormal"/>
    <w:uiPriority w:val="99"/>
    <w:rsid w:val="00FE061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E061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E0616"/>
  </w:style>
  <w:style w:type="paragraph" w:styleId="BlockText">
    <w:name w:val="Block Text"/>
    <w:basedOn w:val="Normal"/>
    <w:uiPriority w:val="98"/>
    <w:semiHidden/>
    <w:rsid w:val="00FE061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E061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E0616"/>
    <w:pPr>
      <w:spacing w:after="120"/>
    </w:pPr>
  </w:style>
  <w:style w:type="character" w:customStyle="1" w:styleId="BodyTextChar">
    <w:name w:val="Body Text Char"/>
    <w:basedOn w:val="DefaultParagraphFont"/>
    <w:link w:val="BodyText"/>
    <w:uiPriority w:val="98"/>
    <w:semiHidden/>
    <w:rsid w:val="00FE0616"/>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E0616"/>
    <w:pPr>
      <w:spacing w:after="120" w:line="480" w:lineRule="auto"/>
    </w:pPr>
  </w:style>
  <w:style w:type="table" w:customStyle="1" w:styleId="ECHRHeaderTableReduced">
    <w:name w:val="ECHR_Header_Table_Reduced"/>
    <w:basedOn w:val="TableNormal"/>
    <w:uiPriority w:val="99"/>
    <w:rsid w:val="00FE061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E0616"/>
    <w:pPr>
      <w:ind w:firstLine="284"/>
    </w:pPr>
    <w:rPr>
      <w:b/>
    </w:rPr>
  </w:style>
  <w:style w:type="character" w:styleId="PageNumber">
    <w:name w:val="page number"/>
    <w:uiPriority w:val="98"/>
    <w:semiHidden/>
    <w:rsid w:val="00FE0616"/>
    <w:rPr>
      <w:sz w:val="18"/>
    </w:rPr>
  </w:style>
  <w:style w:type="paragraph" w:styleId="ListBullet">
    <w:name w:val="List Bullet"/>
    <w:basedOn w:val="Normal"/>
    <w:uiPriority w:val="98"/>
    <w:semiHidden/>
    <w:rsid w:val="00FE0616"/>
    <w:pPr>
      <w:numPr>
        <w:numId w:val="10"/>
      </w:numPr>
    </w:pPr>
  </w:style>
  <w:style w:type="paragraph" w:styleId="ListBullet3">
    <w:name w:val="List Bullet 3"/>
    <w:basedOn w:val="Normal"/>
    <w:uiPriority w:val="98"/>
    <w:semiHidden/>
    <w:rsid w:val="00FE0616"/>
    <w:pPr>
      <w:numPr>
        <w:numId w:val="12"/>
      </w:numPr>
      <w:contextualSpacing/>
    </w:pPr>
  </w:style>
  <w:style w:type="character" w:customStyle="1" w:styleId="BodyText2Char">
    <w:name w:val="Body Text 2 Char"/>
    <w:basedOn w:val="DefaultParagraphFont"/>
    <w:link w:val="BodyText2"/>
    <w:uiPriority w:val="98"/>
    <w:semiHidden/>
    <w:rsid w:val="00FE0616"/>
    <w:rPr>
      <w:sz w:val="24"/>
      <w:szCs w:val="24"/>
      <w:lang w:val="en-GB"/>
    </w:rPr>
  </w:style>
  <w:style w:type="paragraph" w:styleId="BodyText3">
    <w:name w:val="Body Text 3"/>
    <w:basedOn w:val="Normal"/>
    <w:link w:val="BodyText3Char"/>
    <w:uiPriority w:val="98"/>
    <w:semiHidden/>
    <w:rsid w:val="00FE0616"/>
    <w:pPr>
      <w:spacing w:after="120"/>
    </w:pPr>
    <w:rPr>
      <w:sz w:val="16"/>
      <w:szCs w:val="16"/>
    </w:rPr>
  </w:style>
  <w:style w:type="character" w:customStyle="1" w:styleId="BodyText3Char">
    <w:name w:val="Body Text 3 Char"/>
    <w:basedOn w:val="DefaultParagraphFont"/>
    <w:link w:val="BodyText3"/>
    <w:uiPriority w:val="98"/>
    <w:semiHidden/>
    <w:rsid w:val="00FE0616"/>
    <w:rPr>
      <w:sz w:val="16"/>
      <w:szCs w:val="16"/>
      <w:lang w:val="en-GB"/>
    </w:rPr>
  </w:style>
  <w:style w:type="paragraph" w:styleId="BodyTextFirstIndent">
    <w:name w:val="Body Text First Indent"/>
    <w:basedOn w:val="BodyText"/>
    <w:link w:val="BodyTextFirstIndentChar"/>
    <w:uiPriority w:val="98"/>
    <w:semiHidden/>
    <w:rsid w:val="00FE0616"/>
    <w:pPr>
      <w:spacing w:after="0"/>
      <w:ind w:firstLine="360"/>
    </w:pPr>
  </w:style>
  <w:style w:type="character" w:customStyle="1" w:styleId="BodyTextFirstIndentChar">
    <w:name w:val="Body Text First Indent Char"/>
    <w:basedOn w:val="BodyTextChar"/>
    <w:link w:val="BodyTextFirstIndent"/>
    <w:uiPriority w:val="98"/>
    <w:semiHidden/>
    <w:rsid w:val="00FE0616"/>
    <w:rPr>
      <w:sz w:val="24"/>
      <w:szCs w:val="24"/>
      <w:lang w:val="en-GB"/>
    </w:rPr>
  </w:style>
  <w:style w:type="paragraph" w:styleId="BodyTextIndent">
    <w:name w:val="Body Text Indent"/>
    <w:basedOn w:val="Normal"/>
    <w:link w:val="BodyTextIndentChar"/>
    <w:uiPriority w:val="98"/>
    <w:semiHidden/>
    <w:rsid w:val="00FE0616"/>
    <w:pPr>
      <w:spacing w:after="120"/>
      <w:ind w:left="283"/>
    </w:pPr>
  </w:style>
  <w:style w:type="character" w:customStyle="1" w:styleId="BodyTextIndentChar">
    <w:name w:val="Body Text Indent Char"/>
    <w:basedOn w:val="DefaultParagraphFont"/>
    <w:link w:val="BodyTextIndent"/>
    <w:uiPriority w:val="98"/>
    <w:semiHidden/>
    <w:rsid w:val="00FE0616"/>
    <w:rPr>
      <w:sz w:val="24"/>
      <w:szCs w:val="24"/>
      <w:lang w:val="en-GB"/>
    </w:rPr>
  </w:style>
  <w:style w:type="paragraph" w:styleId="BodyTextFirstIndent2">
    <w:name w:val="Body Text First Indent 2"/>
    <w:basedOn w:val="BodyTextIndent"/>
    <w:link w:val="BodyTextFirstIndent2Char"/>
    <w:uiPriority w:val="98"/>
    <w:semiHidden/>
    <w:rsid w:val="00FE0616"/>
    <w:pPr>
      <w:spacing w:after="0"/>
      <w:ind w:left="360" w:firstLine="360"/>
    </w:pPr>
  </w:style>
  <w:style w:type="character" w:customStyle="1" w:styleId="BodyTextFirstIndent2Char">
    <w:name w:val="Body Text First Indent 2 Char"/>
    <w:basedOn w:val="BodyTextIndentChar"/>
    <w:link w:val="BodyTextFirstIndent2"/>
    <w:uiPriority w:val="98"/>
    <w:semiHidden/>
    <w:rsid w:val="00FE0616"/>
    <w:rPr>
      <w:sz w:val="24"/>
      <w:szCs w:val="24"/>
      <w:lang w:val="en-GB"/>
    </w:rPr>
  </w:style>
  <w:style w:type="paragraph" w:styleId="BodyTextIndent2">
    <w:name w:val="Body Text Indent 2"/>
    <w:basedOn w:val="Normal"/>
    <w:link w:val="BodyTextIndent2Char"/>
    <w:uiPriority w:val="98"/>
    <w:semiHidden/>
    <w:rsid w:val="00FE0616"/>
    <w:pPr>
      <w:spacing w:after="120" w:line="480" w:lineRule="auto"/>
      <w:ind w:left="283"/>
    </w:pPr>
  </w:style>
  <w:style w:type="character" w:customStyle="1" w:styleId="BodyTextIndent2Char">
    <w:name w:val="Body Text Indent 2 Char"/>
    <w:basedOn w:val="DefaultParagraphFont"/>
    <w:link w:val="BodyTextIndent2"/>
    <w:uiPriority w:val="98"/>
    <w:semiHidden/>
    <w:rsid w:val="00FE0616"/>
    <w:rPr>
      <w:sz w:val="24"/>
      <w:szCs w:val="24"/>
      <w:lang w:val="en-GB"/>
    </w:rPr>
  </w:style>
  <w:style w:type="paragraph" w:styleId="BodyTextIndent3">
    <w:name w:val="Body Text Indent 3"/>
    <w:basedOn w:val="Normal"/>
    <w:link w:val="BodyTextIndent3Char"/>
    <w:uiPriority w:val="98"/>
    <w:semiHidden/>
    <w:rsid w:val="00FE061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E0616"/>
    <w:rPr>
      <w:sz w:val="16"/>
      <w:szCs w:val="16"/>
      <w:lang w:val="en-GB"/>
    </w:rPr>
  </w:style>
  <w:style w:type="paragraph" w:styleId="Caption">
    <w:name w:val="caption"/>
    <w:basedOn w:val="Normal"/>
    <w:next w:val="Normal"/>
    <w:uiPriority w:val="98"/>
    <w:semiHidden/>
    <w:qFormat/>
    <w:rsid w:val="00FE0616"/>
    <w:pPr>
      <w:spacing w:after="200"/>
    </w:pPr>
    <w:rPr>
      <w:b/>
      <w:bCs/>
      <w:color w:val="0072BC" w:themeColor="accent1"/>
      <w:sz w:val="18"/>
      <w:szCs w:val="18"/>
    </w:rPr>
  </w:style>
  <w:style w:type="paragraph" w:styleId="Closing">
    <w:name w:val="Closing"/>
    <w:basedOn w:val="Normal"/>
    <w:link w:val="ClosingChar"/>
    <w:uiPriority w:val="98"/>
    <w:semiHidden/>
    <w:rsid w:val="00FE0616"/>
    <w:pPr>
      <w:ind w:left="4252"/>
    </w:pPr>
  </w:style>
  <w:style w:type="character" w:customStyle="1" w:styleId="ClosingChar">
    <w:name w:val="Closing Char"/>
    <w:basedOn w:val="DefaultParagraphFont"/>
    <w:link w:val="Closing"/>
    <w:uiPriority w:val="98"/>
    <w:semiHidden/>
    <w:rsid w:val="00FE0616"/>
    <w:rPr>
      <w:sz w:val="24"/>
      <w:szCs w:val="24"/>
      <w:lang w:val="en-GB"/>
    </w:rPr>
  </w:style>
  <w:style w:type="table" w:styleId="ColorfulGrid">
    <w:name w:val="Colorful Grid"/>
    <w:basedOn w:val="TableNormal"/>
    <w:uiPriority w:val="73"/>
    <w:semiHidden/>
    <w:rsid w:val="00FE061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E061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E061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E061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E061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E061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E061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E061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E061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E061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E061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E061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E061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E061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E061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E061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E061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E061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E061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E061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E061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E0616"/>
    <w:rPr>
      <w:sz w:val="16"/>
      <w:szCs w:val="16"/>
    </w:rPr>
  </w:style>
  <w:style w:type="paragraph" w:styleId="CommentText">
    <w:name w:val="annotation text"/>
    <w:basedOn w:val="Normal"/>
    <w:link w:val="CommentTextChar"/>
    <w:uiPriority w:val="98"/>
    <w:semiHidden/>
    <w:rsid w:val="00FE0616"/>
    <w:rPr>
      <w:sz w:val="20"/>
      <w:szCs w:val="20"/>
    </w:rPr>
  </w:style>
  <w:style w:type="character" w:customStyle="1" w:styleId="CommentTextChar">
    <w:name w:val="Comment Text Char"/>
    <w:basedOn w:val="DefaultParagraphFont"/>
    <w:link w:val="CommentText"/>
    <w:uiPriority w:val="98"/>
    <w:semiHidden/>
    <w:rsid w:val="00FE0616"/>
    <w:rPr>
      <w:sz w:val="20"/>
      <w:szCs w:val="20"/>
      <w:lang w:val="en-GB"/>
    </w:rPr>
  </w:style>
  <w:style w:type="paragraph" w:styleId="CommentSubject">
    <w:name w:val="annotation subject"/>
    <w:basedOn w:val="CommentText"/>
    <w:next w:val="CommentText"/>
    <w:link w:val="CommentSubjectChar"/>
    <w:uiPriority w:val="98"/>
    <w:semiHidden/>
    <w:rsid w:val="00FE0616"/>
    <w:rPr>
      <w:b/>
      <w:bCs/>
    </w:rPr>
  </w:style>
  <w:style w:type="character" w:customStyle="1" w:styleId="CommentSubjectChar">
    <w:name w:val="Comment Subject Char"/>
    <w:basedOn w:val="CommentTextChar"/>
    <w:link w:val="CommentSubject"/>
    <w:uiPriority w:val="98"/>
    <w:semiHidden/>
    <w:rsid w:val="00FE0616"/>
    <w:rPr>
      <w:b/>
      <w:bCs/>
      <w:sz w:val="20"/>
      <w:szCs w:val="20"/>
      <w:lang w:val="en-GB"/>
    </w:rPr>
  </w:style>
  <w:style w:type="table" w:styleId="DarkList">
    <w:name w:val="Dark List"/>
    <w:basedOn w:val="TableNormal"/>
    <w:uiPriority w:val="70"/>
    <w:semiHidden/>
    <w:rsid w:val="00FE061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E061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E061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E061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E061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E061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E061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E0616"/>
  </w:style>
  <w:style w:type="character" w:customStyle="1" w:styleId="DateChar">
    <w:name w:val="Date Char"/>
    <w:basedOn w:val="DefaultParagraphFont"/>
    <w:link w:val="Date"/>
    <w:uiPriority w:val="98"/>
    <w:semiHidden/>
    <w:rsid w:val="00FE0616"/>
    <w:rPr>
      <w:sz w:val="24"/>
      <w:szCs w:val="24"/>
      <w:lang w:val="en-GB"/>
    </w:rPr>
  </w:style>
  <w:style w:type="paragraph" w:styleId="DocumentMap">
    <w:name w:val="Document Map"/>
    <w:basedOn w:val="Normal"/>
    <w:link w:val="DocumentMapChar"/>
    <w:uiPriority w:val="98"/>
    <w:semiHidden/>
    <w:rsid w:val="00FE0616"/>
    <w:rPr>
      <w:rFonts w:ascii="Tahoma" w:hAnsi="Tahoma" w:cs="Tahoma"/>
      <w:sz w:val="16"/>
      <w:szCs w:val="16"/>
    </w:rPr>
  </w:style>
  <w:style w:type="character" w:customStyle="1" w:styleId="DocumentMapChar">
    <w:name w:val="Document Map Char"/>
    <w:basedOn w:val="DefaultParagraphFont"/>
    <w:link w:val="DocumentMap"/>
    <w:uiPriority w:val="98"/>
    <w:semiHidden/>
    <w:rsid w:val="00FE0616"/>
    <w:rPr>
      <w:rFonts w:ascii="Tahoma" w:hAnsi="Tahoma" w:cs="Tahoma"/>
      <w:sz w:val="16"/>
      <w:szCs w:val="16"/>
      <w:lang w:val="en-GB"/>
    </w:rPr>
  </w:style>
  <w:style w:type="paragraph" w:styleId="E-mailSignature">
    <w:name w:val="E-mail Signature"/>
    <w:basedOn w:val="Normal"/>
    <w:link w:val="E-mailSignatureChar"/>
    <w:uiPriority w:val="98"/>
    <w:semiHidden/>
    <w:rsid w:val="00FE0616"/>
  </w:style>
  <w:style w:type="character" w:customStyle="1" w:styleId="E-mailSignatureChar">
    <w:name w:val="E-mail Signature Char"/>
    <w:basedOn w:val="DefaultParagraphFont"/>
    <w:link w:val="E-mailSignature"/>
    <w:uiPriority w:val="98"/>
    <w:semiHidden/>
    <w:rsid w:val="00FE0616"/>
    <w:rPr>
      <w:sz w:val="24"/>
      <w:szCs w:val="24"/>
      <w:lang w:val="en-GB"/>
    </w:rPr>
  </w:style>
  <w:style w:type="character" w:styleId="EndnoteReference">
    <w:name w:val="endnote reference"/>
    <w:basedOn w:val="DefaultParagraphFont"/>
    <w:uiPriority w:val="98"/>
    <w:semiHidden/>
    <w:rsid w:val="00FE0616"/>
    <w:rPr>
      <w:vertAlign w:val="superscript"/>
    </w:rPr>
  </w:style>
  <w:style w:type="paragraph" w:styleId="EndnoteText">
    <w:name w:val="endnote text"/>
    <w:basedOn w:val="Normal"/>
    <w:link w:val="EndnoteTextChar"/>
    <w:uiPriority w:val="98"/>
    <w:semiHidden/>
    <w:rsid w:val="00FE0616"/>
    <w:rPr>
      <w:sz w:val="20"/>
      <w:szCs w:val="20"/>
    </w:rPr>
  </w:style>
  <w:style w:type="character" w:customStyle="1" w:styleId="EndnoteTextChar">
    <w:name w:val="Endnote Text Char"/>
    <w:basedOn w:val="DefaultParagraphFont"/>
    <w:link w:val="EndnoteText"/>
    <w:uiPriority w:val="98"/>
    <w:semiHidden/>
    <w:rsid w:val="00FE0616"/>
    <w:rPr>
      <w:sz w:val="20"/>
      <w:szCs w:val="20"/>
      <w:lang w:val="en-GB"/>
    </w:rPr>
  </w:style>
  <w:style w:type="paragraph" w:styleId="EnvelopeAddress">
    <w:name w:val="envelope address"/>
    <w:basedOn w:val="Normal"/>
    <w:uiPriority w:val="98"/>
    <w:semiHidden/>
    <w:rsid w:val="00FE061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E061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E0616"/>
    <w:rPr>
      <w:color w:val="7030A0" w:themeColor="followedHyperlink"/>
      <w:u w:val="single"/>
    </w:rPr>
  </w:style>
  <w:style w:type="character" w:styleId="HTMLAcronym">
    <w:name w:val="HTML Acronym"/>
    <w:basedOn w:val="DefaultParagraphFont"/>
    <w:uiPriority w:val="98"/>
    <w:semiHidden/>
    <w:rsid w:val="00FE0616"/>
  </w:style>
  <w:style w:type="paragraph" w:styleId="HTMLAddress">
    <w:name w:val="HTML Address"/>
    <w:basedOn w:val="Normal"/>
    <w:link w:val="HTMLAddressChar"/>
    <w:uiPriority w:val="98"/>
    <w:semiHidden/>
    <w:rsid w:val="00FE0616"/>
    <w:rPr>
      <w:i/>
      <w:iCs/>
    </w:rPr>
  </w:style>
  <w:style w:type="character" w:customStyle="1" w:styleId="HTMLAddressChar">
    <w:name w:val="HTML Address Char"/>
    <w:basedOn w:val="DefaultParagraphFont"/>
    <w:link w:val="HTMLAddress"/>
    <w:uiPriority w:val="98"/>
    <w:semiHidden/>
    <w:rsid w:val="00FE0616"/>
    <w:rPr>
      <w:i/>
      <w:iCs/>
      <w:sz w:val="24"/>
      <w:szCs w:val="24"/>
      <w:lang w:val="en-GB"/>
    </w:rPr>
  </w:style>
  <w:style w:type="character" w:styleId="HTMLCite">
    <w:name w:val="HTML Cite"/>
    <w:basedOn w:val="DefaultParagraphFont"/>
    <w:uiPriority w:val="98"/>
    <w:semiHidden/>
    <w:rsid w:val="00FE0616"/>
    <w:rPr>
      <w:i/>
      <w:iCs/>
    </w:rPr>
  </w:style>
  <w:style w:type="character" w:styleId="HTMLCode">
    <w:name w:val="HTML Code"/>
    <w:basedOn w:val="DefaultParagraphFont"/>
    <w:uiPriority w:val="98"/>
    <w:semiHidden/>
    <w:rsid w:val="00FE0616"/>
    <w:rPr>
      <w:rFonts w:ascii="Consolas" w:hAnsi="Consolas" w:cs="Consolas"/>
      <w:sz w:val="20"/>
      <w:szCs w:val="20"/>
    </w:rPr>
  </w:style>
  <w:style w:type="character" w:styleId="HTMLDefinition">
    <w:name w:val="HTML Definition"/>
    <w:basedOn w:val="DefaultParagraphFont"/>
    <w:uiPriority w:val="98"/>
    <w:semiHidden/>
    <w:rsid w:val="00FE0616"/>
    <w:rPr>
      <w:i/>
      <w:iCs/>
    </w:rPr>
  </w:style>
  <w:style w:type="character" w:styleId="HTMLKeyboard">
    <w:name w:val="HTML Keyboard"/>
    <w:basedOn w:val="DefaultParagraphFont"/>
    <w:uiPriority w:val="98"/>
    <w:semiHidden/>
    <w:rsid w:val="00FE0616"/>
    <w:rPr>
      <w:rFonts w:ascii="Consolas" w:hAnsi="Consolas" w:cs="Consolas"/>
      <w:sz w:val="20"/>
      <w:szCs w:val="20"/>
    </w:rPr>
  </w:style>
  <w:style w:type="paragraph" w:styleId="HTMLPreformatted">
    <w:name w:val="HTML Preformatted"/>
    <w:basedOn w:val="Normal"/>
    <w:link w:val="HTMLPreformattedChar"/>
    <w:uiPriority w:val="98"/>
    <w:semiHidden/>
    <w:rsid w:val="00FE061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E0616"/>
    <w:rPr>
      <w:rFonts w:ascii="Consolas" w:hAnsi="Consolas" w:cs="Consolas"/>
      <w:sz w:val="20"/>
      <w:szCs w:val="20"/>
      <w:lang w:val="en-GB"/>
    </w:rPr>
  </w:style>
  <w:style w:type="character" w:styleId="HTMLSample">
    <w:name w:val="HTML Sample"/>
    <w:basedOn w:val="DefaultParagraphFont"/>
    <w:uiPriority w:val="98"/>
    <w:semiHidden/>
    <w:rsid w:val="00FE0616"/>
    <w:rPr>
      <w:rFonts w:ascii="Consolas" w:hAnsi="Consolas" w:cs="Consolas"/>
      <w:sz w:val="24"/>
      <w:szCs w:val="24"/>
    </w:rPr>
  </w:style>
  <w:style w:type="character" w:styleId="HTMLTypewriter">
    <w:name w:val="HTML Typewriter"/>
    <w:basedOn w:val="DefaultParagraphFont"/>
    <w:uiPriority w:val="98"/>
    <w:semiHidden/>
    <w:rsid w:val="00FE0616"/>
    <w:rPr>
      <w:rFonts w:ascii="Consolas" w:hAnsi="Consolas" w:cs="Consolas"/>
      <w:sz w:val="20"/>
      <w:szCs w:val="20"/>
    </w:rPr>
  </w:style>
  <w:style w:type="character" w:styleId="HTMLVariable">
    <w:name w:val="HTML Variable"/>
    <w:basedOn w:val="DefaultParagraphFont"/>
    <w:uiPriority w:val="98"/>
    <w:semiHidden/>
    <w:rsid w:val="00FE0616"/>
    <w:rPr>
      <w:i/>
      <w:iCs/>
    </w:rPr>
  </w:style>
  <w:style w:type="paragraph" w:styleId="Index1">
    <w:name w:val="index 1"/>
    <w:basedOn w:val="Normal"/>
    <w:next w:val="Normal"/>
    <w:autoRedefine/>
    <w:uiPriority w:val="98"/>
    <w:semiHidden/>
    <w:rsid w:val="00FE0616"/>
    <w:pPr>
      <w:ind w:left="240" w:hanging="240"/>
    </w:pPr>
  </w:style>
  <w:style w:type="paragraph" w:styleId="Index2">
    <w:name w:val="index 2"/>
    <w:basedOn w:val="Normal"/>
    <w:next w:val="Normal"/>
    <w:autoRedefine/>
    <w:uiPriority w:val="98"/>
    <w:semiHidden/>
    <w:rsid w:val="00FE0616"/>
    <w:pPr>
      <w:ind w:left="480" w:hanging="240"/>
    </w:pPr>
  </w:style>
  <w:style w:type="paragraph" w:styleId="Index3">
    <w:name w:val="index 3"/>
    <w:basedOn w:val="Normal"/>
    <w:next w:val="Normal"/>
    <w:autoRedefine/>
    <w:uiPriority w:val="98"/>
    <w:semiHidden/>
    <w:rsid w:val="00FE0616"/>
    <w:pPr>
      <w:ind w:left="720" w:hanging="240"/>
    </w:pPr>
  </w:style>
  <w:style w:type="paragraph" w:styleId="Index4">
    <w:name w:val="index 4"/>
    <w:basedOn w:val="Normal"/>
    <w:next w:val="Normal"/>
    <w:autoRedefine/>
    <w:uiPriority w:val="98"/>
    <w:semiHidden/>
    <w:rsid w:val="00FE0616"/>
    <w:pPr>
      <w:ind w:left="960" w:hanging="240"/>
    </w:pPr>
  </w:style>
  <w:style w:type="paragraph" w:styleId="Index5">
    <w:name w:val="index 5"/>
    <w:basedOn w:val="Normal"/>
    <w:next w:val="Normal"/>
    <w:autoRedefine/>
    <w:uiPriority w:val="98"/>
    <w:semiHidden/>
    <w:rsid w:val="00FE0616"/>
    <w:pPr>
      <w:ind w:left="1200" w:hanging="240"/>
    </w:pPr>
  </w:style>
  <w:style w:type="paragraph" w:styleId="Index6">
    <w:name w:val="index 6"/>
    <w:basedOn w:val="Normal"/>
    <w:next w:val="Normal"/>
    <w:autoRedefine/>
    <w:uiPriority w:val="98"/>
    <w:semiHidden/>
    <w:rsid w:val="00FE0616"/>
    <w:pPr>
      <w:ind w:left="1440" w:hanging="240"/>
    </w:pPr>
  </w:style>
  <w:style w:type="paragraph" w:styleId="Index7">
    <w:name w:val="index 7"/>
    <w:basedOn w:val="Normal"/>
    <w:next w:val="Normal"/>
    <w:autoRedefine/>
    <w:uiPriority w:val="98"/>
    <w:semiHidden/>
    <w:rsid w:val="00FE0616"/>
    <w:pPr>
      <w:ind w:left="1680" w:hanging="240"/>
    </w:pPr>
  </w:style>
  <w:style w:type="paragraph" w:styleId="Index8">
    <w:name w:val="index 8"/>
    <w:basedOn w:val="Normal"/>
    <w:next w:val="Normal"/>
    <w:autoRedefine/>
    <w:uiPriority w:val="98"/>
    <w:semiHidden/>
    <w:rsid w:val="00FE0616"/>
    <w:pPr>
      <w:ind w:left="1920" w:hanging="240"/>
    </w:pPr>
  </w:style>
  <w:style w:type="paragraph" w:styleId="Index9">
    <w:name w:val="index 9"/>
    <w:basedOn w:val="Normal"/>
    <w:next w:val="Normal"/>
    <w:autoRedefine/>
    <w:uiPriority w:val="98"/>
    <w:semiHidden/>
    <w:rsid w:val="00FE0616"/>
    <w:pPr>
      <w:ind w:left="2160" w:hanging="240"/>
    </w:pPr>
  </w:style>
  <w:style w:type="paragraph" w:styleId="IndexHeading">
    <w:name w:val="index heading"/>
    <w:basedOn w:val="Normal"/>
    <w:next w:val="Index1"/>
    <w:uiPriority w:val="98"/>
    <w:semiHidden/>
    <w:rsid w:val="00FE0616"/>
    <w:rPr>
      <w:rFonts w:asciiTheme="majorHAnsi" w:eastAsiaTheme="majorEastAsia" w:hAnsiTheme="majorHAnsi" w:cstheme="majorBidi"/>
      <w:b/>
      <w:bCs/>
    </w:rPr>
  </w:style>
  <w:style w:type="table" w:styleId="LightGrid">
    <w:name w:val="Light Grid"/>
    <w:basedOn w:val="TableNormal"/>
    <w:uiPriority w:val="62"/>
    <w:semiHidden/>
    <w:rsid w:val="00FE061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E061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E061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E061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E061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E061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E061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E061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E061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E061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E061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E061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E061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E061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E061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E061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E061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E061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E061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E061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E061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E0616"/>
  </w:style>
  <w:style w:type="paragraph" w:styleId="List">
    <w:name w:val="List"/>
    <w:basedOn w:val="Normal"/>
    <w:uiPriority w:val="98"/>
    <w:semiHidden/>
    <w:rsid w:val="00FE0616"/>
    <w:pPr>
      <w:ind w:left="283" w:hanging="283"/>
      <w:contextualSpacing/>
    </w:pPr>
  </w:style>
  <w:style w:type="paragraph" w:styleId="List2">
    <w:name w:val="List 2"/>
    <w:basedOn w:val="Normal"/>
    <w:uiPriority w:val="98"/>
    <w:semiHidden/>
    <w:rsid w:val="00FE0616"/>
    <w:pPr>
      <w:ind w:left="566" w:hanging="283"/>
      <w:contextualSpacing/>
    </w:pPr>
  </w:style>
  <w:style w:type="paragraph" w:styleId="List3">
    <w:name w:val="List 3"/>
    <w:basedOn w:val="Normal"/>
    <w:uiPriority w:val="98"/>
    <w:semiHidden/>
    <w:rsid w:val="00FE0616"/>
    <w:pPr>
      <w:ind w:left="849" w:hanging="283"/>
      <w:contextualSpacing/>
    </w:pPr>
  </w:style>
  <w:style w:type="paragraph" w:styleId="List4">
    <w:name w:val="List 4"/>
    <w:basedOn w:val="Normal"/>
    <w:uiPriority w:val="98"/>
    <w:semiHidden/>
    <w:rsid w:val="00FE0616"/>
    <w:pPr>
      <w:ind w:left="1132" w:hanging="283"/>
      <w:contextualSpacing/>
    </w:pPr>
  </w:style>
  <w:style w:type="paragraph" w:styleId="List5">
    <w:name w:val="List 5"/>
    <w:basedOn w:val="Normal"/>
    <w:uiPriority w:val="98"/>
    <w:semiHidden/>
    <w:rsid w:val="00FE0616"/>
    <w:pPr>
      <w:ind w:left="1415" w:hanging="283"/>
      <w:contextualSpacing/>
    </w:pPr>
  </w:style>
  <w:style w:type="paragraph" w:styleId="ListBullet2">
    <w:name w:val="List Bullet 2"/>
    <w:basedOn w:val="Normal"/>
    <w:uiPriority w:val="98"/>
    <w:semiHidden/>
    <w:rsid w:val="00FE0616"/>
    <w:pPr>
      <w:numPr>
        <w:numId w:val="11"/>
      </w:numPr>
      <w:contextualSpacing/>
    </w:pPr>
  </w:style>
  <w:style w:type="paragraph" w:styleId="ListBullet4">
    <w:name w:val="List Bullet 4"/>
    <w:basedOn w:val="Normal"/>
    <w:uiPriority w:val="98"/>
    <w:semiHidden/>
    <w:rsid w:val="00FE0616"/>
    <w:pPr>
      <w:numPr>
        <w:numId w:val="13"/>
      </w:numPr>
      <w:contextualSpacing/>
    </w:pPr>
  </w:style>
  <w:style w:type="paragraph" w:styleId="ListBullet5">
    <w:name w:val="List Bullet 5"/>
    <w:basedOn w:val="Normal"/>
    <w:uiPriority w:val="98"/>
    <w:semiHidden/>
    <w:rsid w:val="00FE0616"/>
    <w:pPr>
      <w:numPr>
        <w:numId w:val="14"/>
      </w:numPr>
      <w:contextualSpacing/>
    </w:pPr>
  </w:style>
  <w:style w:type="paragraph" w:styleId="ListContinue">
    <w:name w:val="List Continue"/>
    <w:basedOn w:val="Normal"/>
    <w:uiPriority w:val="98"/>
    <w:semiHidden/>
    <w:rsid w:val="00FE0616"/>
    <w:pPr>
      <w:spacing w:after="120"/>
      <w:ind w:left="283"/>
      <w:contextualSpacing/>
    </w:pPr>
  </w:style>
  <w:style w:type="paragraph" w:styleId="ListContinue2">
    <w:name w:val="List Continue 2"/>
    <w:basedOn w:val="Normal"/>
    <w:uiPriority w:val="98"/>
    <w:semiHidden/>
    <w:rsid w:val="00FE0616"/>
    <w:pPr>
      <w:spacing w:after="120"/>
      <w:ind w:left="566"/>
      <w:contextualSpacing/>
    </w:pPr>
  </w:style>
  <w:style w:type="paragraph" w:styleId="ListContinue3">
    <w:name w:val="List Continue 3"/>
    <w:basedOn w:val="Normal"/>
    <w:uiPriority w:val="98"/>
    <w:semiHidden/>
    <w:rsid w:val="00FE0616"/>
    <w:pPr>
      <w:spacing w:after="120"/>
      <w:ind w:left="849"/>
      <w:contextualSpacing/>
    </w:pPr>
  </w:style>
  <w:style w:type="paragraph" w:styleId="ListContinue4">
    <w:name w:val="List Continue 4"/>
    <w:basedOn w:val="Normal"/>
    <w:uiPriority w:val="98"/>
    <w:semiHidden/>
    <w:rsid w:val="00FE0616"/>
    <w:pPr>
      <w:spacing w:after="120"/>
      <w:ind w:left="1132"/>
      <w:contextualSpacing/>
    </w:pPr>
  </w:style>
  <w:style w:type="paragraph" w:styleId="ListContinue5">
    <w:name w:val="List Continue 5"/>
    <w:basedOn w:val="Normal"/>
    <w:uiPriority w:val="98"/>
    <w:semiHidden/>
    <w:rsid w:val="00FE0616"/>
    <w:pPr>
      <w:spacing w:after="120"/>
      <w:ind w:left="1415"/>
      <w:contextualSpacing/>
    </w:pPr>
  </w:style>
  <w:style w:type="paragraph" w:styleId="ListNumber">
    <w:name w:val="List Number"/>
    <w:basedOn w:val="Normal"/>
    <w:uiPriority w:val="98"/>
    <w:semiHidden/>
    <w:rsid w:val="00FE0616"/>
    <w:pPr>
      <w:numPr>
        <w:numId w:val="15"/>
      </w:numPr>
      <w:contextualSpacing/>
    </w:pPr>
  </w:style>
  <w:style w:type="paragraph" w:styleId="ListNumber2">
    <w:name w:val="List Number 2"/>
    <w:basedOn w:val="Normal"/>
    <w:uiPriority w:val="98"/>
    <w:semiHidden/>
    <w:rsid w:val="00FE0616"/>
    <w:pPr>
      <w:numPr>
        <w:numId w:val="16"/>
      </w:numPr>
      <w:contextualSpacing/>
    </w:pPr>
  </w:style>
  <w:style w:type="paragraph" w:styleId="ListNumber3">
    <w:name w:val="List Number 3"/>
    <w:basedOn w:val="Normal"/>
    <w:uiPriority w:val="98"/>
    <w:semiHidden/>
    <w:rsid w:val="00FE0616"/>
    <w:pPr>
      <w:numPr>
        <w:numId w:val="17"/>
      </w:numPr>
      <w:contextualSpacing/>
    </w:pPr>
  </w:style>
  <w:style w:type="paragraph" w:styleId="ListNumber4">
    <w:name w:val="List Number 4"/>
    <w:basedOn w:val="Normal"/>
    <w:uiPriority w:val="98"/>
    <w:semiHidden/>
    <w:rsid w:val="00FE0616"/>
    <w:pPr>
      <w:numPr>
        <w:numId w:val="18"/>
      </w:numPr>
      <w:contextualSpacing/>
    </w:pPr>
  </w:style>
  <w:style w:type="paragraph" w:styleId="ListNumber5">
    <w:name w:val="List Number 5"/>
    <w:basedOn w:val="Normal"/>
    <w:uiPriority w:val="98"/>
    <w:semiHidden/>
    <w:rsid w:val="00FE0616"/>
    <w:pPr>
      <w:numPr>
        <w:numId w:val="19"/>
      </w:numPr>
      <w:contextualSpacing/>
    </w:pPr>
  </w:style>
  <w:style w:type="paragraph" w:styleId="MacroText">
    <w:name w:val="macro"/>
    <w:link w:val="MacroTextChar"/>
    <w:uiPriority w:val="98"/>
    <w:semiHidden/>
    <w:rsid w:val="00FE061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FE0616"/>
    <w:rPr>
      <w:rFonts w:ascii="Consolas" w:eastAsiaTheme="minorEastAsia" w:hAnsi="Consolas" w:cs="Consolas"/>
      <w:sz w:val="20"/>
      <w:szCs w:val="20"/>
    </w:rPr>
  </w:style>
  <w:style w:type="table" w:styleId="MediumGrid1">
    <w:name w:val="Medium Grid 1"/>
    <w:basedOn w:val="TableNormal"/>
    <w:uiPriority w:val="67"/>
    <w:semiHidden/>
    <w:rsid w:val="00FE061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E061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E061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E061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E061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E061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E061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E061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E061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E061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E061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E061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E061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E061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E061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E061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E061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E061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E061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E061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E061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E061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E061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E061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E061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E061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E061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E061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E061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E0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E0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E0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E0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E0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E0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E06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E061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E061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E0616"/>
    <w:rPr>
      <w:rFonts w:ascii="Times New Roman" w:hAnsi="Times New Roman" w:cs="Times New Roman"/>
    </w:rPr>
  </w:style>
  <w:style w:type="paragraph" w:styleId="NormalIndent">
    <w:name w:val="Normal Indent"/>
    <w:basedOn w:val="Normal"/>
    <w:uiPriority w:val="98"/>
    <w:semiHidden/>
    <w:rsid w:val="00FE0616"/>
    <w:pPr>
      <w:ind w:left="720"/>
    </w:pPr>
  </w:style>
  <w:style w:type="paragraph" w:styleId="NoteHeading">
    <w:name w:val="Note Heading"/>
    <w:basedOn w:val="Normal"/>
    <w:next w:val="Normal"/>
    <w:link w:val="NoteHeadingChar"/>
    <w:uiPriority w:val="98"/>
    <w:semiHidden/>
    <w:rsid w:val="00FE0616"/>
  </w:style>
  <w:style w:type="character" w:customStyle="1" w:styleId="NoteHeadingChar">
    <w:name w:val="Note Heading Char"/>
    <w:basedOn w:val="DefaultParagraphFont"/>
    <w:link w:val="NoteHeading"/>
    <w:uiPriority w:val="98"/>
    <w:semiHidden/>
    <w:rsid w:val="00FE0616"/>
    <w:rPr>
      <w:sz w:val="24"/>
      <w:szCs w:val="24"/>
      <w:lang w:val="en-GB"/>
    </w:rPr>
  </w:style>
  <w:style w:type="character" w:styleId="PlaceholderText">
    <w:name w:val="Placeholder Text"/>
    <w:basedOn w:val="DefaultParagraphFont"/>
    <w:uiPriority w:val="98"/>
    <w:semiHidden/>
    <w:rsid w:val="00FE061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E0616"/>
    <w:rPr>
      <w:rFonts w:ascii="Consolas" w:hAnsi="Consolas" w:cs="Consolas"/>
      <w:sz w:val="21"/>
      <w:szCs w:val="21"/>
    </w:rPr>
  </w:style>
  <w:style w:type="character" w:customStyle="1" w:styleId="PlainTextChar">
    <w:name w:val="Plain Text Char"/>
    <w:basedOn w:val="DefaultParagraphFont"/>
    <w:link w:val="PlainText"/>
    <w:uiPriority w:val="98"/>
    <w:semiHidden/>
    <w:rsid w:val="00FE0616"/>
    <w:rPr>
      <w:rFonts w:ascii="Consolas" w:hAnsi="Consolas" w:cs="Consolas"/>
      <w:sz w:val="21"/>
      <w:szCs w:val="21"/>
      <w:lang w:val="en-GB"/>
    </w:rPr>
  </w:style>
  <w:style w:type="paragraph" w:styleId="Salutation">
    <w:name w:val="Salutation"/>
    <w:basedOn w:val="Normal"/>
    <w:next w:val="Normal"/>
    <w:link w:val="SalutationChar"/>
    <w:uiPriority w:val="98"/>
    <w:semiHidden/>
    <w:rsid w:val="00FE0616"/>
  </w:style>
  <w:style w:type="character" w:customStyle="1" w:styleId="SalutationChar">
    <w:name w:val="Salutation Char"/>
    <w:basedOn w:val="DefaultParagraphFont"/>
    <w:link w:val="Salutation"/>
    <w:uiPriority w:val="98"/>
    <w:semiHidden/>
    <w:rsid w:val="00FE0616"/>
    <w:rPr>
      <w:sz w:val="24"/>
      <w:szCs w:val="24"/>
      <w:lang w:val="en-GB"/>
    </w:rPr>
  </w:style>
  <w:style w:type="paragraph" w:styleId="Signature">
    <w:name w:val="Signature"/>
    <w:basedOn w:val="Normal"/>
    <w:link w:val="SignatureChar"/>
    <w:uiPriority w:val="98"/>
    <w:semiHidden/>
    <w:rsid w:val="00FE0616"/>
    <w:pPr>
      <w:ind w:left="4252"/>
    </w:pPr>
  </w:style>
  <w:style w:type="character" w:customStyle="1" w:styleId="SignatureChar">
    <w:name w:val="Signature Char"/>
    <w:basedOn w:val="DefaultParagraphFont"/>
    <w:link w:val="Signature"/>
    <w:uiPriority w:val="98"/>
    <w:semiHidden/>
    <w:rsid w:val="00FE0616"/>
    <w:rPr>
      <w:sz w:val="24"/>
      <w:szCs w:val="24"/>
      <w:lang w:val="en-GB"/>
    </w:rPr>
  </w:style>
  <w:style w:type="table" w:styleId="Table3Deffects1">
    <w:name w:val="Table 3D effects 1"/>
    <w:basedOn w:val="TableNormal"/>
    <w:uiPriority w:val="99"/>
    <w:semiHidden/>
    <w:unhideWhenUsed/>
    <w:rsid w:val="00FE061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061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061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061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061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061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061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E061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E061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E061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061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061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061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061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061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061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061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E06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E061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061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061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061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061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061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061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E061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061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061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061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06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061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061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061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E0616"/>
    <w:pPr>
      <w:ind w:left="240" w:hanging="240"/>
    </w:pPr>
  </w:style>
  <w:style w:type="paragraph" w:styleId="TableofFigures">
    <w:name w:val="table of figures"/>
    <w:basedOn w:val="Normal"/>
    <w:next w:val="Normal"/>
    <w:uiPriority w:val="98"/>
    <w:semiHidden/>
    <w:rsid w:val="00FE0616"/>
  </w:style>
  <w:style w:type="table" w:styleId="TableProfessional">
    <w:name w:val="Table Professional"/>
    <w:basedOn w:val="TableNormal"/>
    <w:uiPriority w:val="99"/>
    <w:semiHidden/>
    <w:unhideWhenUsed/>
    <w:rsid w:val="00FE06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061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061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061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061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061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061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E061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061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061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E061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E061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E0616"/>
    <w:pPr>
      <w:spacing w:after="100"/>
      <w:ind w:left="1680"/>
    </w:pPr>
  </w:style>
  <w:style w:type="paragraph" w:styleId="TOC9">
    <w:name w:val="toc 9"/>
    <w:basedOn w:val="Normal"/>
    <w:next w:val="Normal"/>
    <w:autoRedefine/>
    <w:uiPriority w:val="98"/>
    <w:semiHidden/>
    <w:rsid w:val="00FE0616"/>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FE061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E061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E0616"/>
    <w:pPr>
      <w:keepNext/>
      <w:keepLines/>
      <w:spacing w:before="1320" w:after="280"/>
      <w:contextualSpacing/>
      <w:jc w:val="center"/>
    </w:pPr>
    <w:rPr>
      <w:b/>
    </w:rPr>
  </w:style>
  <w:style w:type="paragraph" w:customStyle="1" w:styleId="DummyStyle">
    <w:name w:val="Dummy_Style"/>
    <w:aliases w:val="_Dummy"/>
    <w:basedOn w:val="Normal"/>
    <w:semiHidden/>
    <w:qFormat/>
    <w:rsid w:val="00FE0616"/>
    <w:rPr>
      <w:color w:val="00B050"/>
      <w:sz w:val="22"/>
    </w:rPr>
  </w:style>
  <w:style w:type="paragraph" w:customStyle="1" w:styleId="ECHRBullet1">
    <w:name w:val="ECHR_Bullet_1"/>
    <w:aliases w:val="_Bul_1"/>
    <w:basedOn w:val="NormalJustified"/>
    <w:uiPriority w:val="23"/>
    <w:semiHidden/>
    <w:qFormat/>
    <w:rsid w:val="00FE0616"/>
    <w:pPr>
      <w:numPr>
        <w:numId w:val="7"/>
      </w:numPr>
      <w:spacing w:before="60" w:after="60"/>
    </w:pPr>
  </w:style>
  <w:style w:type="paragraph" w:customStyle="1" w:styleId="ECHRBullet2">
    <w:name w:val="ECHR_Bullet_2"/>
    <w:aliases w:val="_Bul_2"/>
    <w:basedOn w:val="ECHRBullet1"/>
    <w:uiPriority w:val="23"/>
    <w:semiHidden/>
    <w:rsid w:val="00FE0616"/>
    <w:pPr>
      <w:numPr>
        <w:ilvl w:val="1"/>
      </w:numPr>
    </w:pPr>
  </w:style>
  <w:style w:type="paragraph" w:customStyle="1" w:styleId="ECHRBullet3">
    <w:name w:val="ECHR_Bullet_3"/>
    <w:aliases w:val="_Bul_3"/>
    <w:basedOn w:val="ECHRBullet2"/>
    <w:uiPriority w:val="23"/>
    <w:semiHidden/>
    <w:rsid w:val="00FE0616"/>
    <w:pPr>
      <w:numPr>
        <w:ilvl w:val="2"/>
      </w:numPr>
    </w:pPr>
  </w:style>
  <w:style w:type="paragraph" w:customStyle="1" w:styleId="ECHRBullet4">
    <w:name w:val="ECHR_Bullet_4"/>
    <w:aliases w:val="_Bul_4"/>
    <w:basedOn w:val="ECHRBullet3"/>
    <w:uiPriority w:val="23"/>
    <w:semiHidden/>
    <w:rsid w:val="00FE0616"/>
    <w:pPr>
      <w:numPr>
        <w:ilvl w:val="3"/>
      </w:numPr>
    </w:pPr>
  </w:style>
  <w:style w:type="paragraph" w:customStyle="1" w:styleId="ECHRConfidential">
    <w:name w:val="ECHR_Confidential"/>
    <w:aliases w:val="_Confidential"/>
    <w:basedOn w:val="Normal"/>
    <w:next w:val="Normal"/>
    <w:uiPriority w:val="42"/>
    <w:semiHidden/>
    <w:qFormat/>
    <w:rsid w:val="00FE0616"/>
    <w:pPr>
      <w:jc w:val="right"/>
    </w:pPr>
    <w:rPr>
      <w:color w:val="C00000"/>
      <w:sz w:val="20"/>
    </w:rPr>
  </w:style>
  <w:style w:type="paragraph" w:customStyle="1" w:styleId="ECHRDecisionBody">
    <w:name w:val="ECHR_Decision_Body"/>
    <w:aliases w:val="_Decision_Body"/>
    <w:basedOn w:val="NormalJustified"/>
    <w:uiPriority w:val="54"/>
    <w:semiHidden/>
    <w:rsid w:val="00FE061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E061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E061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E061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E0616"/>
    <w:pPr>
      <w:jc w:val="right"/>
    </w:pPr>
    <w:rPr>
      <w:sz w:val="20"/>
    </w:rPr>
  </w:style>
  <w:style w:type="paragraph" w:customStyle="1" w:styleId="ECHRHeaderRefIt">
    <w:name w:val="ECHR_Header_Ref_It"/>
    <w:aliases w:val="_Ref_Ital"/>
    <w:basedOn w:val="Normal"/>
    <w:next w:val="ECHRHeaderDate"/>
    <w:uiPriority w:val="43"/>
    <w:qFormat/>
    <w:rsid w:val="00FE0616"/>
    <w:pPr>
      <w:jc w:val="right"/>
    </w:pPr>
    <w:rPr>
      <w:i/>
      <w:sz w:val="20"/>
    </w:rPr>
  </w:style>
  <w:style w:type="paragraph" w:customStyle="1" w:styleId="ECHRHeading9">
    <w:name w:val="ECHR_Heading_9"/>
    <w:aliases w:val="_Head_9"/>
    <w:basedOn w:val="Heading9"/>
    <w:uiPriority w:val="17"/>
    <w:semiHidden/>
    <w:rsid w:val="00FE0616"/>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FE061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FE0616"/>
    <w:pPr>
      <w:numPr>
        <w:numId w:val="9"/>
      </w:numPr>
      <w:spacing w:before="60" w:after="60"/>
    </w:pPr>
  </w:style>
  <w:style w:type="paragraph" w:customStyle="1" w:styleId="ECHRNumberedList2">
    <w:name w:val="ECHR_Numbered_List_2"/>
    <w:aliases w:val="_Num_2"/>
    <w:basedOn w:val="ECHRNumberedList1"/>
    <w:uiPriority w:val="23"/>
    <w:semiHidden/>
    <w:rsid w:val="00FE0616"/>
    <w:pPr>
      <w:numPr>
        <w:ilvl w:val="1"/>
      </w:numPr>
    </w:pPr>
  </w:style>
  <w:style w:type="paragraph" w:customStyle="1" w:styleId="ECHRNumberedList3">
    <w:name w:val="ECHR_Numbered_List_3"/>
    <w:aliases w:val="_Num_3"/>
    <w:basedOn w:val="ECHRNumberedList2"/>
    <w:uiPriority w:val="23"/>
    <w:semiHidden/>
    <w:rsid w:val="00FE0616"/>
    <w:pPr>
      <w:numPr>
        <w:ilvl w:val="2"/>
      </w:numPr>
    </w:pPr>
  </w:style>
  <w:style w:type="paragraph" w:customStyle="1" w:styleId="ECHRParaHanging">
    <w:name w:val="ECHR_Para_Hanging"/>
    <w:aliases w:val="_Hanging"/>
    <w:basedOn w:val="Normal"/>
    <w:uiPriority w:val="8"/>
    <w:semiHidden/>
    <w:qFormat/>
    <w:rsid w:val="00FE0616"/>
    <w:pPr>
      <w:ind w:left="567" w:hanging="567"/>
      <w:jc w:val="both"/>
    </w:pPr>
  </w:style>
  <w:style w:type="paragraph" w:customStyle="1" w:styleId="ECHRParaIndent">
    <w:name w:val="ECHR_Para_Indent"/>
    <w:aliases w:val="_Indent"/>
    <w:basedOn w:val="Normal"/>
    <w:uiPriority w:val="7"/>
    <w:semiHidden/>
    <w:qFormat/>
    <w:rsid w:val="00FE0616"/>
    <w:pPr>
      <w:spacing w:before="120" w:after="120"/>
      <w:ind w:left="284"/>
      <w:jc w:val="both"/>
    </w:pPr>
  </w:style>
  <w:style w:type="character" w:customStyle="1" w:styleId="ECHRRed">
    <w:name w:val="ECHR_Red"/>
    <w:aliases w:val="_Red"/>
    <w:basedOn w:val="DefaultParagraphFont"/>
    <w:uiPriority w:val="15"/>
    <w:semiHidden/>
    <w:qFormat/>
    <w:rsid w:val="00FE0616"/>
    <w:rPr>
      <w:color w:val="C00000" w:themeColor="accent2"/>
    </w:rPr>
  </w:style>
  <w:style w:type="paragraph" w:customStyle="1" w:styleId="ECHRSpacer">
    <w:name w:val="ECHR_Spacer"/>
    <w:aliases w:val="_Spacer"/>
    <w:basedOn w:val="Normal"/>
    <w:uiPriority w:val="45"/>
    <w:semiHidden/>
    <w:rsid w:val="00FE0616"/>
    <w:rPr>
      <w:sz w:val="4"/>
    </w:rPr>
  </w:style>
  <w:style w:type="table" w:customStyle="1" w:styleId="ECHRTable2">
    <w:name w:val="ECHR_Table_2"/>
    <w:basedOn w:val="TableNormal"/>
    <w:uiPriority w:val="99"/>
    <w:rsid w:val="00FE061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E061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E061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E061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E061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E061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E061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E061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E0616"/>
    <w:pPr>
      <w:outlineLvl w:val="0"/>
    </w:pPr>
  </w:style>
  <w:style w:type="paragraph" w:customStyle="1" w:styleId="ECHRTitleTOC1">
    <w:name w:val="ECHR_Title_TOC_1"/>
    <w:aliases w:val="_Title_L_TOC"/>
    <w:basedOn w:val="ECHRTitle1"/>
    <w:next w:val="Normal"/>
    <w:uiPriority w:val="27"/>
    <w:semiHidden/>
    <w:qFormat/>
    <w:rsid w:val="00FE0616"/>
    <w:pPr>
      <w:outlineLvl w:val="0"/>
    </w:pPr>
  </w:style>
  <w:style w:type="character" w:customStyle="1" w:styleId="JuParaChar">
    <w:name w:val="Ju_Para Char"/>
    <w:aliases w:val="_Para Char"/>
    <w:link w:val="JuPara"/>
    <w:uiPriority w:val="4"/>
    <w:rsid w:val="006263A0"/>
    <w:rPr>
      <w:sz w:val="24"/>
      <w:szCs w:val="24"/>
      <w:lang w:val="en-GB"/>
    </w:rPr>
  </w:style>
  <w:style w:type="character" w:customStyle="1" w:styleId="JuNames0">
    <w:name w:val="Ju_Names"/>
    <w:rsid w:val="006263A0"/>
    <w:rPr>
      <w:smallCaps/>
    </w:rPr>
  </w:style>
  <w:style w:type="paragraph" w:customStyle="1" w:styleId="JuList4">
    <w:name w:val="Ju_List_4"/>
    <w:aliases w:val="N_Bul_4"/>
    <w:basedOn w:val="JuListi"/>
    <w:uiPriority w:val="19"/>
    <w:rsid w:val="006263A0"/>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6263A0"/>
    <w:rPr>
      <w:sz w:val="24"/>
      <w:szCs w:val="24"/>
      <w:lang w:val="en-GB"/>
    </w:rPr>
  </w:style>
  <w:style w:type="paragraph" w:customStyle="1" w:styleId="jupara0">
    <w:name w:val="jupara"/>
    <w:basedOn w:val="Normal"/>
    <w:rsid w:val="005F062F"/>
    <w:pPr>
      <w:ind w:firstLine="284"/>
      <w:jc w:val="both"/>
    </w:pPr>
    <w:rPr>
      <w:rFonts w:ascii="Times New Roman" w:eastAsia="Times New Roman" w:hAnsi="Times New Roman" w:cs="Times New Roman"/>
      <w:lang w:eastAsia="en-GB"/>
    </w:rPr>
  </w:style>
  <w:style w:type="paragraph" w:customStyle="1" w:styleId="jucase0">
    <w:name w:val="jucase"/>
    <w:basedOn w:val="Normal"/>
    <w:rsid w:val="005F062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048EE7-3225-42F4-B47C-2E9CB6CD2B1C}"/>
</file>

<file path=customXml/itemProps2.xml><?xml version="1.0" encoding="utf-8"?>
<ds:datastoreItem xmlns:ds="http://schemas.openxmlformats.org/officeDocument/2006/customXml" ds:itemID="{4871BF11-DEF3-4D02-81F0-2AAC8122CB9A}"/>
</file>

<file path=customXml/itemProps3.xml><?xml version="1.0" encoding="utf-8"?>
<ds:datastoreItem xmlns:ds="http://schemas.openxmlformats.org/officeDocument/2006/customXml" ds:itemID="{60D807AE-2C07-422B-8BAC-7818BAE9E42E}"/>
</file>

<file path=customXml/itemProps4.xml><?xml version="1.0" encoding="utf-8"?>
<ds:datastoreItem xmlns:ds="http://schemas.openxmlformats.org/officeDocument/2006/customXml" ds:itemID="{9BAE93B7-8DDD-41D7-9679-C909FA21C51D}"/>
</file>

<file path=docProps/app.xml><?xml version="1.0" encoding="utf-8"?>
<Properties xmlns="http://schemas.openxmlformats.org/officeDocument/2006/extended-properties" xmlns:vt="http://schemas.openxmlformats.org/officeDocument/2006/docPropsVTypes">
  <Template>Normal.dotm</Template>
  <TotalTime>0</TotalTime>
  <Pages>1</Pages>
  <Words>6364</Words>
  <Characters>36281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2020-11-16T13:55:00Z</dcterms:created>
  <dcterms:modified xsi:type="dcterms:W3CDTF">2020-11-16T13:55:00Z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68851/16</vt:lpwstr>
  </property>
  <property fmtid="{D5CDD505-2E9C-101B-9397-08002B2CF9AE}" pid="4" name="CASEID">
    <vt:lpwstr>1262343</vt:lpwstr>
  </property>
  <property fmtid="{D5CDD505-2E9C-101B-9397-08002B2CF9AE}" pid="5" name="ContentTypeId">
    <vt:lpwstr>0x010100558EB02BDB9E204AB350EDD385B68E10</vt:lpwstr>
  </property>
</Properties>
</file>