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842ACD" w:rsidR="001169B9" w:rsidP="00842ACD">
      <w:pPr>
        <w:rPr>
          <w:rFonts w:ascii="Times New Roman" w:hAnsi="Times New Roman" w:cs="Times New Roman"/>
        </w:rPr>
      </w:pPr>
    </w:p>
    <w:p w:rsidRPr="00842ACD" w:rsidR="007A4070" w:rsidP="00842ACD">
      <w:pPr>
        <w:pStyle w:val="DecHCase"/>
      </w:pPr>
      <w:r w:rsidRPr="00842ACD">
        <w:t>QUATRIÈME SECTION</w:t>
      </w:r>
    </w:p>
    <w:p w:rsidRPr="00842ACD" w:rsidR="002262D1" w:rsidP="000023F2">
      <w:pPr>
        <w:pStyle w:val="JuTitle"/>
        <w:spacing w:before="960"/>
      </w:pPr>
      <w:r w:rsidRPr="00842ACD">
        <w:t xml:space="preserve">AFFAIRE </w:t>
      </w:r>
      <w:r w:rsidRPr="00842ACD" w:rsidR="001169B9">
        <w:t xml:space="preserve">ERLICH </w:t>
      </w:r>
      <w:r w:rsidRPr="00842ACD" w:rsidR="00D82D9B">
        <w:t>ET</w:t>
      </w:r>
      <w:r w:rsidRPr="00842ACD">
        <w:t xml:space="preserve"> KASTRO c. ROUMANIE</w:t>
      </w:r>
    </w:p>
    <w:p w:rsidRPr="00842ACD" w:rsidR="007A4070" w:rsidP="00842ACD">
      <w:pPr>
        <w:pStyle w:val="ECHRCoverTitle4"/>
      </w:pPr>
      <w:r w:rsidRPr="00842ACD">
        <w:t>(</w:t>
      </w:r>
      <w:r w:rsidRPr="00842ACD" w:rsidR="001169B9">
        <w:t>Requête</w:t>
      </w:r>
      <w:r w:rsidRPr="00842ACD" w:rsidR="002262D1">
        <w:t>s</w:t>
      </w:r>
      <w:r w:rsidRPr="00842ACD" w:rsidR="001169B9">
        <w:t xml:space="preserve"> n</w:t>
      </w:r>
      <w:r w:rsidRPr="00842ACD" w:rsidR="001169B9">
        <w:rPr>
          <w:vertAlign w:val="superscript"/>
        </w:rPr>
        <w:t>o</w:t>
      </w:r>
      <w:r w:rsidRPr="00842ACD" w:rsidR="002262D1">
        <w:rPr>
          <w:vertAlign w:val="superscript"/>
        </w:rPr>
        <w:t>s</w:t>
      </w:r>
      <w:r w:rsidRPr="00842ACD">
        <w:t xml:space="preserve"> </w:t>
      </w:r>
      <w:r w:rsidRPr="00842ACD" w:rsidR="001169B9">
        <w:t>23735/16</w:t>
      </w:r>
      <w:r w:rsidRPr="00842ACD" w:rsidR="002262D1">
        <w:t xml:space="preserve"> et 23740/16</w:t>
      </w:r>
      <w:r w:rsidRPr="00842ACD">
        <w:t>)</w:t>
      </w:r>
    </w:p>
    <w:p w:rsidRPr="00842ACD" w:rsidR="007A4070" w:rsidP="00842ACD">
      <w:pPr>
        <w:pStyle w:val="DecHCase"/>
      </w:pPr>
    </w:p>
    <w:p w:rsidRPr="00842ACD" w:rsidR="007A4070" w:rsidP="00842ACD">
      <w:pPr>
        <w:pStyle w:val="DecHCase"/>
      </w:pPr>
    </w:p>
    <w:p w:rsidRPr="00842ACD" w:rsidR="007A4070" w:rsidP="000023F2">
      <w:pPr>
        <w:pStyle w:val="DecHCase"/>
        <w:spacing w:after="120"/>
      </w:pPr>
      <w:r w:rsidRPr="00842ACD">
        <w:t>ARRÊT</w:t>
      </w:r>
      <w:r w:rsidRPr="00842ACD">
        <w:br/>
      </w:r>
    </w:p>
    <w:p w:rsidRPr="000023F2" w:rsidR="00842ACD" w:rsidP="00842ACD">
      <w:pPr>
        <w:pStyle w:val="JuPara"/>
        <w:pBdr>
          <w:top w:val="single" w:color="auto" w:sz="4" w:space="1"/>
          <w:left w:val="single" w:color="auto" w:sz="4" w:space="4"/>
          <w:bottom w:val="single" w:color="auto" w:sz="4" w:space="1"/>
          <w:right w:val="single" w:color="auto" w:sz="4" w:space="4"/>
        </w:pBdr>
        <w:ind w:firstLine="0"/>
        <w:rPr>
          <w:sz w:val="22"/>
          <w:szCs w:val="22"/>
        </w:rPr>
      </w:pPr>
      <w:r w:rsidRPr="000023F2">
        <w:rPr>
          <w:sz w:val="22"/>
          <w:szCs w:val="22"/>
        </w:rPr>
        <w:t>Art 9 • Obligations positives • Mesures adéquates des autorités pénitentiaires dans l’exécution d’un jugement reconnaissant le droit à des prisonniers de religion juive de manger des repas casher • Solution sur mesure applicable sans délai et palliant l’absence d’un cadre réglementaire spécifique pour les détenus de confession juive • Exigence de conditions spéciales strictes pour la préparation des repas casher ayant une incidence sur l’ampleur de la marge d’appréciation reconnue à l’État • Importance de la collaboration des autorités pénitentiaires avec une fondation religieuse juive • Aménagement d’une cuisine séparée pour la préparation des repas par les détenus en question • Possibilité pour les requérants de se procurer par leurs propres moyens les produits nécessaires et de demander le remboursement des frais par le biais d’une action civile séparée</w:t>
      </w:r>
    </w:p>
    <w:p w:rsidRPr="00842ACD" w:rsidR="00842ACD" w:rsidP="00842ACD">
      <w:pPr>
        <w:pStyle w:val="JuPara"/>
      </w:pPr>
    </w:p>
    <w:p w:rsidRPr="00842ACD" w:rsidR="007A4070" w:rsidP="00842ACD">
      <w:pPr>
        <w:pStyle w:val="DecHCase"/>
      </w:pPr>
      <w:r w:rsidRPr="00842ACD">
        <w:t>STRASBOURG</w:t>
      </w:r>
    </w:p>
    <w:p w:rsidRPr="00842ACD" w:rsidR="007A4070" w:rsidP="000023F2">
      <w:pPr>
        <w:pStyle w:val="DecHCase"/>
        <w:spacing w:after="360"/>
      </w:pPr>
      <w:r w:rsidRPr="00842ACD">
        <w:t>9 juin 2020</w:t>
      </w:r>
      <w:bookmarkStart w:name="_GoBack" w:id="0"/>
      <w:bookmarkEnd w:id="0"/>
    </w:p>
    <w:p w:rsidR="000023F2" w:rsidP="000023F2">
      <w:pPr>
        <w:pStyle w:val="jucase0"/>
        <w:ind w:firstLine="0"/>
        <w:jc w:val="center"/>
        <w:rPr>
          <w:color w:val="FF0000"/>
          <w:sz w:val="28"/>
          <w:szCs w:val="28"/>
          <w:u w:val="single"/>
          <w:lang w:val="fr-FR"/>
        </w:rPr>
      </w:pPr>
      <w:r w:rsidRPr="00261F46">
        <w:rPr>
          <w:color w:val="FF0000"/>
          <w:sz w:val="28"/>
          <w:szCs w:val="28"/>
          <w:u w:val="single"/>
          <w:lang w:val="fr-FR"/>
        </w:rPr>
        <w:t>DÉFINITIF</w:t>
      </w:r>
    </w:p>
    <w:p w:rsidR="000023F2" w:rsidP="000023F2">
      <w:pPr>
        <w:pStyle w:val="jucase0"/>
        <w:ind w:firstLine="0"/>
        <w:jc w:val="center"/>
        <w:rPr>
          <w:color w:val="FF0000"/>
          <w:sz w:val="28"/>
          <w:szCs w:val="28"/>
          <w:u w:val="single"/>
          <w:lang w:val="fr-FR"/>
        </w:rPr>
      </w:pPr>
    </w:p>
    <w:p w:rsidRPr="00E974D6" w:rsidR="000023F2" w:rsidP="000023F2">
      <w:pPr>
        <w:pStyle w:val="jucase0"/>
        <w:ind w:firstLine="0"/>
        <w:jc w:val="center"/>
        <w:rPr>
          <w:b w:val="0"/>
          <w:color w:val="FF0000"/>
          <w:sz w:val="28"/>
          <w:szCs w:val="28"/>
          <w:lang w:val="fr-FR"/>
        </w:rPr>
      </w:pPr>
      <w:r>
        <w:rPr>
          <w:b w:val="0"/>
          <w:color w:val="FF0000"/>
          <w:sz w:val="28"/>
          <w:szCs w:val="28"/>
          <w:lang w:val="fr-FR"/>
        </w:rPr>
        <w:t>09</w:t>
      </w:r>
      <w:r w:rsidRPr="00E974D6">
        <w:rPr>
          <w:b w:val="0"/>
          <w:color w:val="FF0000"/>
          <w:sz w:val="28"/>
          <w:szCs w:val="28"/>
          <w:lang w:val="fr-FR"/>
        </w:rPr>
        <w:t>/09/2020</w:t>
      </w:r>
    </w:p>
    <w:p w:rsidR="000023F2" w:rsidP="000023F2">
      <w:pPr>
        <w:pStyle w:val="jupara0"/>
        <w:ind w:firstLine="0"/>
        <w:jc w:val="center"/>
        <w:rPr>
          <w:u w:val="single"/>
          <w:lang w:val="fr-FR"/>
        </w:rPr>
      </w:pPr>
    </w:p>
    <w:p w:rsidRPr="00261F46" w:rsidR="000023F2" w:rsidP="000023F2">
      <w:pPr>
        <w:pStyle w:val="jupara0"/>
        <w:ind w:firstLine="0"/>
        <w:jc w:val="center"/>
        <w:rPr>
          <w:u w:val="single"/>
          <w:lang w:val="fr-FR"/>
        </w:rPr>
      </w:pPr>
    </w:p>
    <w:p w:rsidRPr="00261F46" w:rsidR="000023F2" w:rsidP="000023F2">
      <w:pPr>
        <w:rPr>
          <w:i/>
          <w:iCs/>
          <w:sz w:val="22"/>
          <w:szCs w:val="22"/>
        </w:rPr>
      </w:pPr>
      <w:r w:rsidRPr="00261F46">
        <w:rPr>
          <w:i/>
          <w:iCs/>
          <w:sz w:val="22"/>
          <w:szCs w:val="22"/>
        </w:rPr>
        <w:t xml:space="preserve">Cet arrêt est devenu définitif en vertu de l’article 44 § 2 de la Convention. Il peut </w:t>
      </w:r>
      <w:r w:rsidRPr="00261F46">
        <w:rPr>
          <w:i/>
          <w:iCs/>
          <w:sz w:val="22"/>
          <w:szCs w:val="22"/>
        </w:rPr>
        <w:t>subir</w:t>
      </w:r>
      <w:r w:rsidRPr="00261F46">
        <w:rPr>
          <w:i/>
          <w:iCs/>
          <w:sz w:val="22"/>
          <w:szCs w:val="22"/>
        </w:rPr>
        <w:t xml:space="preserve"> des retouches de forme.</w:t>
      </w:r>
    </w:p>
    <w:p w:rsidRPr="00842ACD" w:rsidR="00500D54" w:rsidP="000023F2">
      <w:pPr>
        <w:ind w:left="720"/>
        <w:rPr>
          <w:rFonts w:ascii="Times New Roman" w:hAnsi="Times New Roman" w:cs="Times New Roman"/>
          <w:sz w:val="22"/>
        </w:rPr>
        <w:sectPr w:rsidSect="00F912E4">
          <w:headerReference w:type="default" r:id="rId5"/>
          <w:footerReference w:type="even" r:id="rId6"/>
          <w:footerReference w:type="default" r:id="rId7"/>
          <w:footnotePr>
            <w:numRestart w:val="eachSect"/>
          </w:footnotePr>
          <w:endnotePr>
            <w:numFmt w:val="decimal"/>
          </w:endnotePr>
          <w:pgSz w:w="11906" w:h="16838" w:code="9"/>
          <w:pgMar w:top="2274" w:right="2274" w:bottom="2274" w:left="2274" w:header="1701" w:footer="720" w:gutter="0"/>
          <w:pgNumType w:start="1"/>
          <w:cols w:space="720"/>
          <w:noEndnote/>
        </w:sectPr>
      </w:pPr>
    </w:p>
    <w:p w:rsidRPr="00842ACD" w:rsidR="004344E6" w:rsidP="00842ACD">
      <w:pPr>
        <w:pStyle w:val="JuCase"/>
      </w:pPr>
      <w:r w:rsidRPr="00842ACD">
        <w:t>En l</w:t>
      </w:r>
      <w:r w:rsidRPr="00842ACD" w:rsidR="00842ACD">
        <w:t>’</w:t>
      </w:r>
      <w:r w:rsidRPr="00842ACD">
        <w:t xml:space="preserve">affaire </w:t>
      </w:r>
      <w:r w:rsidRPr="00842ACD" w:rsidR="001169B9">
        <w:t>Erlich</w:t>
      </w:r>
      <w:r w:rsidRPr="00842ACD" w:rsidR="001169B9">
        <w:t xml:space="preserve"> </w:t>
      </w:r>
      <w:r w:rsidRPr="00842ACD" w:rsidR="002262D1">
        <w:t>et Kastro c. Roumanie</w:t>
      </w:r>
      <w:r w:rsidRPr="00842ACD">
        <w:t>,</w:t>
      </w:r>
    </w:p>
    <w:p w:rsidRPr="00842ACD" w:rsidR="004344E6" w:rsidP="00842ACD">
      <w:pPr>
        <w:pStyle w:val="JuPara"/>
      </w:pPr>
      <w:r w:rsidRPr="00842ACD">
        <w:t>La Cour européenne des droits de l</w:t>
      </w:r>
      <w:r w:rsidRPr="00842ACD" w:rsidR="00842ACD">
        <w:t>’</w:t>
      </w:r>
      <w:r w:rsidRPr="00842ACD">
        <w:t>homme (</w:t>
      </w:r>
      <w:r w:rsidRPr="00842ACD" w:rsidR="001169B9">
        <w:t>quatrième section</w:t>
      </w:r>
      <w:r w:rsidRPr="00842ACD">
        <w:t xml:space="preserve">), siégeant en </w:t>
      </w:r>
      <w:r w:rsidRPr="00842ACD" w:rsidR="001169B9">
        <w:rPr>
          <w:color w:val="000000"/>
        </w:rPr>
        <w:t>une</w:t>
      </w:r>
      <w:r w:rsidRPr="00842ACD" w:rsidR="001169B9">
        <w:t xml:space="preserve"> Chambre composée</w:t>
      </w:r>
      <w:r w:rsidRPr="00842ACD">
        <w:t xml:space="preserve"> de :</w:t>
      </w:r>
    </w:p>
    <w:p w:rsidRPr="00842ACD" w:rsidR="0084481A" w:rsidP="00842ACD">
      <w:pPr>
        <w:pStyle w:val="JuJudges"/>
      </w:pPr>
      <w:r w:rsidRPr="00842ACD">
        <w:tab/>
      </w:r>
      <w:r w:rsidRPr="00842ACD">
        <w:t>Yonko</w:t>
      </w:r>
      <w:r w:rsidRPr="00842ACD">
        <w:t xml:space="preserve"> </w:t>
      </w:r>
      <w:r w:rsidRPr="00842ACD">
        <w:t>Grozev</w:t>
      </w:r>
      <w:r w:rsidRPr="00842ACD">
        <w:t>,</w:t>
      </w:r>
      <w:r w:rsidRPr="00842ACD">
        <w:rPr>
          <w:i/>
        </w:rPr>
        <w:t xml:space="preserve"> président,</w:t>
      </w:r>
      <w:r w:rsidRPr="00842ACD">
        <w:rPr>
          <w:i/>
        </w:rPr>
        <w:br/>
      </w:r>
      <w:r w:rsidRPr="00842ACD">
        <w:tab/>
        <w:t xml:space="preserve">Iulia </w:t>
      </w:r>
      <w:r w:rsidRPr="00842ACD">
        <w:t>Antoanella</w:t>
      </w:r>
      <w:r w:rsidRPr="00842ACD">
        <w:t xml:space="preserve"> Motoc,</w:t>
      </w:r>
      <w:r w:rsidRPr="00842ACD">
        <w:rPr>
          <w:i/>
        </w:rPr>
        <w:br/>
      </w:r>
      <w:r w:rsidRPr="00842ACD">
        <w:tab/>
      </w:r>
      <w:r w:rsidRPr="00842ACD">
        <w:t>Branko</w:t>
      </w:r>
      <w:r w:rsidRPr="00842ACD">
        <w:t xml:space="preserve"> </w:t>
      </w:r>
      <w:r w:rsidRPr="00842ACD">
        <w:t>Lubarda</w:t>
      </w:r>
      <w:r w:rsidRPr="00842ACD">
        <w:t>,</w:t>
      </w:r>
      <w:r w:rsidRPr="00842ACD">
        <w:rPr>
          <w:i/>
        </w:rPr>
        <w:br/>
      </w:r>
      <w:r w:rsidRPr="00842ACD">
        <w:tab/>
        <w:t xml:space="preserve">Stéphanie </w:t>
      </w:r>
      <w:r w:rsidRPr="00842ACD">
        <w:t>Mourou-Vikström</w:t>
      </w:r>
      <w:r w:rsidRPr="00842ACD">
        <w:t>,</w:t>
      </w:r>
      <w:r w:rsidRPr="00842ACD">
        <w:rPr>
          <w:i/>
        </w:rPr>
        <w:br/>
      </w:r>
      <w:r w:rsidRPr="00842ACD">
        <w:tab/>
        <w:t xml:space="preserve">Georges </w:t>
      </w:r>
      <w:r w:rsidRPr="00842ACD">
        <w:t>Ravarani</w:t>
      </w:r>
      <w:r w:rsidRPr="00842ACD">
        <w:t>,</w:t>
      </w:r>
      <w:r w:rsidRPr="00842ACD">
        <w:rPr>
          <w:i/>
        </w:rPr>
        <w:br/>
      </w:r>
      <w:r w:rsidRPr="00842ACD">
        <w:tab/>
      </w:r>
      <w:r w:rsidRPr="00842ACD">
        <w:t>Jolien</w:t>
      </w:r>
      <w:r w:rsidRPr="00842ACD">
        <w:t xml:space="preserve"> </w:t>
      </w:r>
      <w:r w:rsidRPr="00842ACD">
        <w:t>Schukking</w:t>
      </w:r>
      <w:r w:rsidRPr="00842ACD">
        <w:t>,</w:t>
      </w:r>
      <w:r w:rsidRPr="00842ACD">
        <w:rPr>
          <w:i/>
        </w:rPr>
        <w:br/>
      </w:r>
      <w:r w:rsidRPr="00842ACD">
        <w:tab/>
        <w:t xml:space="preserve">Péter </w:t>
      </w:r>
      <w:r w:rsidRPr="00842ACD">
        <w:t>Paczolay</w:t>
      </w:r>
      <w:r w:rsidRPr="00842ACD">
        <w:t>,</w:t>
      </w:r>
      <w:r w:rsidRPr="00842ACD">
        <w:rPr>
          <w:i/>
        </w:rPr>
        <w:t xml:space="preserve"> juges,</w:t>
      </w:r>
    </w:p>
    <w:p w:rsidRPr="00842ACD" w:rsidR="004344E6" w:rsidP="00842ACD">
      <w:pPr>
        <w:pStyle w:val="JuJudges"/>
      </w:pPr>
      <w:r w:rsidRPr="00842ACD">
        <w:t>et</w:t>
      </w:r>
      <w:r w:rsidRPr="00842ACD">
        <w:t xml:space="preserve"> de </w:t>
      </w:r>
      <w:r w:rsidRPr="00842ACD" w:rsidR="001169B9">
        <w:t>Andrea Tamietti</w:t>
      </w:r>
      <w:r w:rsidRPr="00842ACD">
        <w:t xml:space="preserve">, </w:t>
      </w:r>
      <w:r w:rsidRPr="00842ACD" w:rsidR="001169B9">
        <w:rPr>
          <w:i/>
        </w:rPr>
        <w:t>greffier</w:t>
      </w:r>
      <w:r w:rsidRPr="00842ACD" w:rsidR="001169B9">
        <w:rPr>
          <w:iCs/>
        </w:rPr>
        <w:t xml:space="preserve"> </w:t>
      </w:r>
      <w:r w:rsidRPr="00842ACD" w:rsidR="001169B9">
        <w:rPr>
          <w:i/>
          <w:iCs/>
        </w:rPr>
        <w:t>d</w:t>
      </w:r>
      <w:r w:rsidRPr="00842ACD" w:rsidR="001169B9">
        <w:rPr>
          <w:i/>
        </w:rPr>
        <w:t>e section</w:t>
      </w:r>
      <w:r w:rsidRPr="00842ACD">
        <w:t>,</w:t>
      </w:r>
    </w:p>
    <w:p w:rsidRPr="00842ACD" w:rsidR="001169B9" w:rsidP="00842ACD">
      <w:pPr>
        <w:pStyle w:val="JuPara"/>
      </w:pPr>
      <w:bookmarkStart w:name="ITMARKHavingStart" w:id="1"/>
      <w:bookmarkEnd w:id="1"/>
      <w:r w:rsidRPr="00842ACD">
        <w:t>Vu :</w:t>
      </w:r>
    </w:p>
    <w:p w:rsidRPr="00842ACD" w:rsidR="001169B9" w:rsidP="00842ACD">
      <w:pPr>
        <w:pStyle w:val="JuPara"/>
      </w:pPr>
      <w:r w:rsidRPr="00842ACD">
        <w:t>les</w:t>
      </w:r>
      <w:r w:rsidRPr="00842ACD">
        <w:t xml:space="preserve"> requêtes (n</w:t>
      </w:r>
      <w:r w:rsidRPr="00842ACD">
        <w:rPr>
          <w:vertAlign w:val="superscript"/>
        </w:rPr>
        <w:t>os</w:t>
      </w:r>
      <w:r w:rsidRPr="00842ACD">
        <w:t xml:space="preserve"> 23735/16 et 23740/16) dirigées contre la Roumanie et dont deux ressortissants israéliens, MM. </w:t>
      </w:r>
      <w:r w:rsidRPr="00842ACD">
        <w:t>Nehemia</w:t>
      </w:r>
      <w:r w:rsidRPr="00842ACD">
        <w:t xml:space="preserve"> </w:t>
      </w:r>
      <w:r w:rsidRPr="00842ACD">
        <w:t>Erlich</w:t>
      </w:r>
      <w:r w:rsidRPr="00842ACD">
        <w:t xml:space="preserve"> et Charli Kastro (« les requérants ») ont </w:t>
      </w:r>
      <w:bookmarkStart w:name="_Hlk36124016" w:id="2"/>
      <w:r w:rsidRPr="00842ACD">
        <w:t>saisi la Cour en vertu de l</w:t>
      </w:r>
      <w:r w:rsidRPr="00842ACD" w:rsidR="00842ACD">
        <w:t>’</w:t>
      </w:r>
      <w:r w:rsidRPr="00842ACD">
        <w:t>article 34 de la Convention de sauvegarde des droits de l</w:t>
      </w:r>
      <w:r w:rsidRPr="00842ACD" w:rsidR="00842ACD">
        <w:t>’</w:t>
      </w:r>
      <w:r w:rsidRPr="00842ACD">
        <w:t>homme et des libertés fondamentales (« la Convention »)</w:t>
      </w:r>
      <w:bookmarkEnd w:id="2"/>
      <w:r w:rsidRPr="00842ACD">
        <w:t xml:space="preserve"> le 20 avril 2016,</w:t>
      </w:r>
    </w:p>
    <w:p w:rsidRPr="00842ACD" w:rsidR="001169B9" w:rsidP="00842ACD">
      <w:pPr>
        <w:pStyle w:val="JuPara"/>
      </w:pPr>
      <w:r w:rsidRPr="00842ACD">
        <w:t>la</w:t>
      </w:r>
      <w:r w:rsidRPr="00842ACD">
        <w:t xml:space="preserve"> décision de porter les requêtes à la connaissance du gouvernement roumain (« le Gouvernement »),</w:t>
      </w:r>
    </w:p>
    <w:p w:rsidRPr="00842ACD" w:rsidR="001169B9" w:rsidP="00842ACD">
      <w:pPr>
        <w:pStyle w:val="JuPara"/>
      </w:pPr>
      <w:r w:rsidRPr="00842ACD">
        <w:t>les</w:t>
      </w:r>
      <w:r w:rsidRPr="00842ACD">
        <w:t xml:space="preserve"> observations des parties,</w:t>
      </w:r>
    </w:p>
    <w:p w:rsidRPr="00842ACD" w:rsidR="004344E6" w:rsidP="00842ACD">
      <w:pPr>
        <w:pStyle w:val="JuPara"/>
      </w:pPr>
      <w:r w:rsidRPr="00842ACD">
        <w:t xml:space="preserve">Après en avoir délibéré en chambre du conseil le </w:t>
      </w:r>
      <w:r w:rsidRPr="00842ACD" w:rsidR="001169B9">
        <w:t>19 mai 2020</w:t>
      </w:r>
      <w:r w:rsidRPr="00842ACD">
        <w:t>,</w:t>
      </w:r>
    </w:p>
    <w:p w:rsidRPr="00842ACD" w:rsidR="00876F03" w:rsidP="00842ACD">
      <w:pPr>
        <w:pStyle w:val="JuPara"/>
      </w:pPr>
      <w:r w:rsidRPr="00842ACD">
        <w:t>Rend l</w:t>
      </w:r>
      <w:r w:rsidRPr="00842ACD" w:rsidR="00842ACD">
        <w:t>’</w:t>
      </w:r>
      <w:r w:rsidRPr="00842ACD">
        <w:t>arrêt que voici</w:t>
      </w:r>
      <w:r w:rsidRPr="00842ACD">
        <w:t>, adopté à cette date :</w:t>
      </w:r>
    </w:p>
    <w:p w:rsidRPr="00842ACD" w:rsidR="001169B9" w:rsidP="00842ACD">
      <w:pPr>
        <w:pStyle w:val="JuHHead"/>
        <w:numPr>
          <w:ilvl w:val="0"/>
          <w:numId w:val="1"/>
        </w:numPr>
        <w:jc w:val="both"/>
        <w:rPr>
          <w:lang w:val="fr-FR"/>
        </w:rPr>
      </w:pPr>
      <w:r w:rsidRPr="00842ACD">
        <w:rPr>
          <w:lang w:val="fr-FR"/>
        </w:rPr>
        <w:t>INTRODUCTION</w:t>
      </w:r>
    </w:p>
    <w:p w:rsidRPr="00842ACD" w:rsidR="001169B9" w:rsidP="00842ACD">
      <w:pPr>
        <w:pStyle w:val="JuPara"/>
      </w:pPr>
      <w:r w:rsidRPr="00842ACD">
        <w:t>Les présentes requêtes ont comme objet l</w:t>
      </w:r>
      <w:r w:rsidRPr="00842ACD" w:rsidR="00842ACD">
        <w:t>’</w:t>
      </w:r>
      <w:r w:rsidRPr="00842ACD">
        <w:t xml:space="preserve">allocation de repas casher dans la prison de </w:t>
      </w:r>
      <w:r w:rsidRPr="00842ACD">
        <w:t>Rahova</w:t>
      </w:r>
      <w:r w:rsidRPr="00842ACD">
        <w:t>, o</w:t>
      </w:r>
      <w:r w:rsidRPr="00842ACD">
        <w:rPr>
          <w:rFonts w:cstheme="minorHAnsi"/>
        </w:rPr>
        <w:t>ù</w:t>
      </w:r>
      <w:r w:rsidRPr="00842ACD">
        <w:t xml:space="preserve"> les requérants, deux ressortissants israéliens de religion juive, ont purg</w:t>
      </w:r>
      <w:r w:rsidRPr="00842ACD">
        <w:rPr>
          <w:rFonts w:cstheme="minorHAnsi"/>
        </w:rPr>
        <w:t>é</w:t>
      </w:r>
      <w:r w:rsidRPr="00842ACD">
        <w:t xml:space="preserve"> des peines de prison.</w:t>
      </w:r>
    </w:p>
    <w:p w:rsidRPr="00842ACD" w:rsidR="001169B9" w:rsidP="00842ACD">
      <w:pPr>
        <w:pStyle w:val="JuHHead"/>
        <w:numPr>
          <w:ilvl w:val="0"/>
          <w:numId w:val="1"/>
        </w:numPr>
        <w:jc w:val="both"/>
        <w:rPr>
          <w:lang w:val="fr-FR"/>
        </w:rPr>
      </w:pPr>
      <w:bookmarkStart w:name="_Hlk36126677" w:id="3"/>
      <w:r w:rsidRPr="00842ACD">
        <w:rPr>
          <w:lang w:val="fr-FR"/>
        </w:rPr>
        <w:t>EN FAIT</w:t>
      </w:r>
    </w:p>
    <w:bookmarkEnd w:id="3"/>
    <w:p w:rsidRPr="00842ACD" w:rsidR="001169B9" w:rsidP="00842ACD">
      <w:pPr>
        <w:pStyle w:val="JuPara"/>
      </w:pPr>
      <w:r w:rsidRPr="00842ACD">
        <w:fldChar w:fldCharType="begin"/>
      </w:r>
      <w:r w:rsidRPr="00842ACD">
        <w:instrText xml:space="preserve"> SEQ level0 \*arabic </w:instrText>
      </w:r>
      <w:r w:rsidRPr="00842ACD">
        <w:fldChar w:fldCharType="separate"/>
      </w:r>
      <w:r w:rsidRPr="00842ACD" w:rsidR="00842ACD">
        <w:rPr>
          <w:noProof/>
        </w:rPr>
        <w:t>1</w:t>
      </w:r>
      <w:r w:rsidRPr="00842ACD">
        <w:fldChar w:fldCharType="end"/>
      </w:r>
      <w:r w:rsidRPr="00842ACD">
        <w:t>.  Les requérants sont nés en 1965 et sont détenus à Giurgiu. Ils sont représentés par M</w:t>
      </w:r>
      <w:r w:rsidRPr="00842ACD">
        <w:rPr>
          <w:vertAlign w:val="superscript"/>
        </w:rPr>
        <w:t>e</w:t>
      </w:r>
      <w:r w:rsidRPr="00842ACD">
        <w:t xml:space="preserve"> Caraman, avocat.</w:t>
      </w:r>
    </w:p>
    <w:p w:rsidRPr="00842ACD" w:rsidR="001169B9" w:rsidP="00842ACD">
      <w:pPr>
        <w:pStyle w:val="JuPara"/>
      </w:pPr>
      <w:r w:rsidRPr="00842ACD">
        <w:fldChar w:fldCharType="begin"/>
      </w:r>
      <w:r w:rsidRPr="00842ACD">
        <w:instrText xml:space="preserve"> SEQ level0 \*arabic </w:instrText>
      </w:r>
      <w:r w:rsidRPr="00842ACD">
        <w:fldChar w:fldCharType="separate"/>
      </w:r>
      <w:r w:rsidRPr="00842ACD" w:rsidR="00842ACD">
        <w:rPr>
          <w:noProof/>
        </w:rPr>
        <w:t>2</w:t>
      </w:r>
      <w:r w:rsidRPr="00842ACD">
        <w:fldChar w:fldCharType="end"/>
      </w:r>
      <w:r w:rsidRPr="00842ACD">
        <w:t>.  </w:t>
      </w:r>
      <w:bookmarkStart w:name="_Hlk36127123" w:id="4"/>
      <w:r w:rsidRPr="00842ACD">
        <w:t>Le Gouvernement a été représenté par son agente, M</w:t>
      </w:r>
      <w:r w:rsidRPr="00842ACD">
        <w:rPr>
          <w:vertAlign w:val="superscript"/>
        </w:rPr>
        <w:t>me</w:t>
      </w:r>
      <w:r w:rsidRPr="00842ACD">
        <w:t xml:space="preserve"> </w:t>
      </w:r>
      <w:r w:rsidRPr="00842ACD">
        <w:t>Brumar</w:t>
      </w:r>
      <w:r w:rsidRPr="00842ACD">
        <w:t>, représentante permanente de Roumanie à la Cour européenne des droits de l</w:t>
      </w:r>
      <w:r w:rsidRPr="00842ACD" w:rsidR="00842ACD">
        <w:t>’</w:t>
      </w:r>
      <w:r w:rsidRPr="00842ACD">
        <w:t>homme.</w:t>
      </w:r>
      <w:bookmarkEnd w:id="4"/>
    </w:p>
    <w:p w:rsidRPr="00842ACD" w:rsidR="001169B9" w:rsidP="00842ACD">
      <w:pPr>
        <w:pStyle w:val="JuPara"/>
      </w:pPr>
      <w:r w:rsidRPr="00842ACD">
        <w:fldChar w:fldCharType="begin"/>
      </w:r>
      <w:r w:rsidRPr="00842ACD">
        <w:instrText xml:space="preserve"> SEQ level0 \*arabic </w:instrText>
      </w:r>
      <w:r w:rsidRPr="00842ACD">
        <w:fldChar w:fldCharType="separate"/>
      </w:r>
      <w:r w:rsidRPr="00842ACD" w:rsidR="00842ACD">
        <w:rPr>
          <w:noProof/>
        </w:rPr>
        <w:t>3</w:t>
      </w:r>
      <w:r w:rsidRPr="00842ACD">
        <w:fldChar w:fldCharType="end"/>
      </w:r>
      <w:r w:rsidRPr="00842ACD">
        <w:t>.  Au moment des faits, les requérants purgeaient une peine d</w:t>
      </w:r>
      <w:r w:rsidRPr="00842ACD" w:rsidR="00842ACD">
        <w:t>’</w:t>
      </w:r>
      <w:r w:rsidRPr="00842ACD">
        <w:t xml:space="preserve">emprisonnement </w:t>
      </w:r>
      <w:r w:rsidRPr="00842ACD">
        <w:rPr>
          <w:rFonts w:cstheme="minorHAnsi"/>
        </w:rPr>
        <w:t>à</w:t>
      </w:r>
      <w:r w:rsidRPr="00842ACD">
        <w:t xml:space="preserve"> la prison de </w:t>
      </w:r>
      <w:r w:rsidRPr="00842ACD">
        <w:t>Rahova</w:t>
      </w:r>
      <w:r w:rsidRPr="00842ACD">
        <w:t>.</w:t>
      </w:r>
    </w:p>
    <w:p w:rsidRPr="00842ACD" w:rsidR="001169B9" w:rsidP="00842ACD">
      <w:pPr>
        <w:pStyle w:val="JuPara"/>
      </w:pPr>
      <w:r w:rsidRPr="00842ACD">
        <w:fldChar w:fldCharType="begin"/>
      </w:r>
      <w:r w:rsidRPr="00842ACD">
        <w:instrText xml:space="preserve"> SEQ level0 \*arabic </w:instrText>
      </w:r>
      <w:r w:rsidRPr="00842ACD">
        <w:fldChar w:fldCharType="separate"/>
      </w:r>
      <w:r w:rsidRPr="00842ACD" w:rsidR="00842ACD">
        <w:rPr>
          <w:noProof/>
        </w:rPr>
        <w:t>4</w:t>
      </w:r>
      <w:r w:rsidRPr="00842ACD">
        <w:fldChar w:fldCharType="end"/>
      </w:r>
      <w:r w:rsidRPr="00842ACD">
        <w:t>.  À des dates non précisées, les requérants se plaignirent séparément auprès du juge chargé du contrôle de la privation de liberté (</w:t>
      </w:r>
      <w:r w:rsidRPr="00842ACD">
        <w:rPr>
          <w:i/>
        </w:rPr>
        <w:t>judecătorul</w:t>
      </w:r>
      <w:r w:rsidRPr="00842ACD">
        <w:rPr>
          <w:i/>
        </w:rPr>
        <w:t xml:space="preserve"> de </w:t>
      </w:r>
      <w:r w:rsidRPr="00842ACD">
        <w:rPr>
          <w:i/>
        </w:rPr>
        <w:t>supraveghere</w:t>
      </w:r>
      <w:r w:rsidRPr="00842ACD">
        <w:rPr>
          <w:i/>
        </w:rPr>
        <w:t xml:space="preserve"> a </w:t>
      </w:r>
      <w:r w:rsidRPr="00842ACD">
        <w:rPr>
          <w:i/>
        </w:rPr>
        <w:t>privării</w:t>
      </w:r>
      <w:r w:rsidRPr="00842ACD">
        <w:rPr>
          <w:i/>
        </w:rPr>
        <w:t xml:space="preserve"> de </w:t>
      </w:r>
      <w:r w:rsidRPr="00842ACD">
        <w:rPr>
          <w:i/>
        </w:rPr>
        <w:t>libertate</w:t>
      </w:r>
      <w:r w:rsidRPr="00842ACD">
        <w:t xml:space="preserve">) dans cet établissement de ne pas recevoir de repas casher conformes </w:t>
      </w:r>
      <w:r w:rsidRPr="00842ACD">
        <w:rPr>
          <w:rFonts w:cstheme="minorHAnsi"/>
        </w:rPr>
        <w:t>aux préceptes de leur religion.</w:t>
      </w:r>
      <w:r w:rsidRPr="00842ACD">
        <w:t xml:space="preserve"> Leurs plaintes furent jointes. Par un jugement avant dire droit du 10 juillet 2015, le juge susmentionné les rejeta au motif que les requérants avaient reçu </w:t>
      </w:r>
      <w:r w:rsidRPr="00842ACD">
        <w:t xml:space="preserve">certains produits de la part de leurs familles respectives. Le juge précisa aussi que les requérants pouvaient demander à la direction de la prison de </w:t>
      </w:r>
      <w:r w:rsidRPr="00842ACD">
        <w:t>Rahova</w:t>
      </w:r>
      <w:r w:rsidRPr="00842ACD">
        <w:t xml:space="preserve"> de se voir offrir la possibilité d</w:t>
      </w:r>
      <w:r w:rsidRPr="00842ACD" w:rsidR="00842ACD">
        <w:t>’</w:t>
      </w:r>
      <w:r w:rsidRPr="00842ACD">
        <w:t>acheter des produits certifiés casher par l</w:t>
      </w:r>
      <w:r w:rsidRPr="00842ACD" w:rsidR="00842ACD">
        <w:t>’</w:t>
      </w:r>
      <w:r w:rsidRPr="00842ACD">
        <w:t>intermédiaire du magasin de la prison et qu</w:t>
      </w:r>
      <w:r w:rsidRPr="00842ACD" w:rsidR="00842ACD">
        <w:t>’</w:t>
      </w:r>
      <w:r w:rsidRPr="00842ACD">
        <w:t>ils n</w:t>
      </w:r>
      <w:r w:rsidRPr="00842ACD" w:rsidR="00842ACD">
        <w:t>’</w:t>
      </w:r>
      <w:r w:rsidRPr="00842ACD">
        <w:t>avaient pas fait une telle demande.</w:t>
      </w:r>
      <w:r w:rsidRPr="00842ACD">
        <w:rPr>
          <w:b/>
        </w:rPr>
        <w:t xml:space="preserve"> </w:t>
      </w:r>
      <w:r w:rsidRPr="00842ACD">
        <w:t>Le juge rappela que la législation en vigueur ne permettait pas aux détenus de recevoir des aliments qui devaient ensuite être réchauffés, bouillis ou cuits (à l</w:t>
      </w:r>
      <w:r w:rsidRPr="00842ACD" w:rsidR="00842ACD">
        <w:t>’</w:t>
      </w:r>
      <w:r w:rsidRPr="00842ACD">
        <w:t>exception du café, du thé et du lait).</w:t>
      </w:r>
    </w:p>
    <w:bookmarkStart w:name="judecatoriaS4" w:id="5"/>
    <w:p w:rsidRPr="00842ACD" w:rsidR="001169B9" w:rsidP="00842ACD">
      <w:pPr>
        <w:pStyle w:val="JuPara"/>
      </w:pPr>
      <w:r w:rsidRPr="00842ACD">
        <w:fldChar w:fldCharType="begin"/>
      </w:r>
      <w:r w:rsidRPr="00842ACD">
        <w:instrText xml:space="preserve"> SEQ level0 \*arabic </w:instrText>
      </w:r>
      <w:r w:rsidRPr="00842ACD">
        <w:fldChar w:fldCharType="separate"/>
      </w:r>
      <w:r w:rsidRPr="00842ACD" w:rsidR="00842ACD">
        <w:rPr>
          <w:noProof/>
        </w:rPr>
        <w:t>5</w:t>
      </w:r>
      <w:r w:rsidRPr="00842ACD">
        <w:fldChar w:fldCharType="end"/>
      </w:r>
      <w:bookmarkEnd w:id="5"/>
      <w:r w:rsidRPr="00842ACD">
        <w:t>.  Les requérants contestèrent la décision du juge chargé du contrôle</w:t>
      </w:r>
      <w:r w:rsidRPr="00842ACD">
        <w:rPr>
          <w:rFonts w:eastAsiaTheme="minorEastAsia"/>
          <w:szCs w:val="22"/>
        </w:rPr>
        <w:t xml:space="preserve"> </w:t>
      </w:r>
      <w:r w:rsidRPr="00842ACD">
        <w:t>de la privation de liberté. Par un jugement du 1</w:t>
      </w:r>
      <w:r w:rsidRPr="00842ACD">
        <w:rPr>
          <w:vertAlign w:val="superscript"/>
        </w:rPr>
        <w:t>er</w:t>
      </w:r>
      <w:r w:rsidRPr="00842ACD">
        <w:t xml:space="preserve"> octobre 2015, le tribunal de première instance de Bucarest fit droit à leurs contestations. Il nota que la prison de </w:t>
      </w:r>
      <w:r w:rsidRPr="00842ACD">
        <w:t>Rahova</w:t>
      </w:r>
      <w:r w:rsidRPr="00842ACD">
        <w:t xml:space="preserve"> ne disposait pas des facilités nécessaires pour la préparation des repas casher et que l</w:t>
      </w:r>
      <w:r w:rsidRPr="00842ACD" w:rsidR="00842ACD">
        <w:t>’</w:t>
      </w:r>
      <w:r w:rsidRPr="00842ACD">
        <w:t>acquisition par la prison de tels repas auprès d</w:t>
      </w:r>
      <w:r w:rsidRPr="00842ACD" w:rsidR="00842ACD">
        <w:t>’</w:t>
      </w:r>
      <w:r w:rsidRPr="00842ACD">
        <w:t>un prestataire extérieur supposait la dotation d</w:t>
      </w:r>
      <w:r w:rsidRPr="00842ACD" w:rsidR="00842ACD">
        <w:t>’</w:t>
      </w:r>
      <w:r w:rsidRPr="00842ACD">
        <w:t>un budget spécifique et la mise en œuvre d</w:t>
      </w:r>
      <w:r w:rsidRPr="00842ACD" w:rsidR="00842ACD">
        <w:t>’</w:t>
      </w:r>
      <w:r w:rsidRPr="00842ACD">
        <w:t>une procédure d</w:t>
      </w:r>
      <w:r w:rsidRPr="00842ACD" w:rsidR="00842ACD">
        <w:t>’</w:t>
      </w:r>
      <w:r w:rsidRPr="00842ACD">
        <w:t xml:space="preserve">achats publics. Il précisa que ces aménagements prendraient un certain temps, ce qui priverait les requérants du droit à des repas conformes aux exigences de leur religion pendant ce laps de temps. En conséquence, le tribunal ordonna à la prison de </w:t>
      </w:r>
      <w:r w:rsidRPr="00842ACD">
        <w:t>Rahova</w:t>
      </w:r>
      <w:r w:rsidRPr="00842ACD">
        <w:t> :</w:t>
      </w:r>
    </w:p>
    <w:p w:rsidRPr="00842ACD" w:rsidR="001169B9" w:rsidP="00842ACD">
      <w:pPr>
        <w:pStyle w:val="JuQuot"/>
      </w:pPr>
      <w:r w:rsidRPr="00842ACD">
        <w:t>« (...) de permettre aux parties demanderesses de recevoir quotidiennement (en [en] supportant le coût) des repas de type casher, en quantité nécessaire pour satisfaire leurs besoins personnels (y compris des repas [nécessitant] d</w:t>
      </w:r>
      <w:r w:rsidRPr="00842ACD" w:rsidR="00842ACD">
        <w:t>’</w:t>
      </w:r>
      <w:r w:rsidRPr="00842ACD">
        <w:t>être réchauffés, cuits ou bouillis ou [de subir] d</w:t>
      </w:r>
      <w:r w:rsidRPr="00842ACD" w:rsidR="00842ACD">
        <w:t>’</w:t>
      </w:r>
      <w:r w:rsidRPr="00842ACD">
        <w:t>autres traitements thermiques en vue de la consommation), de pourvoir à la distribution des repas dans les mêmes conditions que celles [offertes aux] autres personnes détenues, ainsi que d</w:t>
      </w:r>
      <w:r w:rsidRPr="00842ACD" w:rsidR="00842ACD">
        <w:t>’</w:t>
      </w:r>
      <w:r w:rsidRPr="00842ACD">
        <w:t>assurer les facilités pour la conservation des repas les jours où [ceux-ci] ne peuvent pas être livrés. »</w:t>
      </w:r>
    </w:p>
    <w:p w:rsidRPr="00842ACD" w:rsidR="001169B9" w:rsidP="00842ACD">
      <w:pPr>
        <w:pStyle w:val="JuPara"/>
      </w:pPr>
      <w:r w:rsidRPr="00842ACD">
        <w:fldChar w:fldCharType="begin"/>
      </w:r>
      <w:r w:rsidRPr="00842ACD">
        <w:instrText xml:space="preserve"> SEQ level0 \*arabic </w:instrText>
      </w:r>
      <w:r w:rsidRPr="00842ACD">
        <w:fldChar w:fldCharType="separate"/>
      </w:r>
      <w:r w:rsidRPr="00842ACD" w:rsidR="00842ACD">
        <w:rPr>
          <w:noProof/>
        </w:rPr>
        <w:t>6</w:t>
      </w:r>
      <w:r w:rsidRPr="00842ACD">
        <w:fldChar w:fldCharType="end"/>
      </w:r>
      <w:r w:rsidRPr="00842ACD">
        <w:t>.  Le tribunal jugea que les dispositions normatives qui ne permettaient pas aux détenus de recevoir des aliments nécessitant d</w:t>
      </w:r>
      <w:r w:rsidRPr="00842ACD" w:rsidR="00842ACD">
        <w:t>’</w:t>
      </w:r>
      <w:r w:rsidRPr="00842ACD">
        <w:t>être réchauffés ou cuits ne pouvaient pas être appliquées en l</w:t>
      </w:r>
      <w:r w:rsidRPr="00842ACD" w:rsidR="00842ACD">
        <w:t>’</w:t>
      </w:r>
      <w:r w:rsidRPr="00842ACD">
        <w:t>espèce car elles étaient d</w:t>
      </w:r>
      <w:r w:rsidRPr="00842ACD" w:rsidR="00842ACD">
        <w:t>’</w:t>
      </w:r>
      <w:r w:rsidRPr="00842ACD">
        <w:t xml:space="preserve">une valeur juridique inférieure </w:t>
      </w:r>
      <w:r w:rsidRPr="00842ACD">
        <w:rPr>
          <w:bCs/>
        </w:rPr>
        <w:t>à la loi</w:t>
      </w:r>
      <w:r w:rsidRPr="00842ACD">
        <w:t xml:space="preserve"> organique sur l</w:t>
      </w:r>
      <w:r w:rsidRPr="00842ACD" w:rsidR="00842ACD">
        <w:t>’</w:t>
      </w:r>
      <w:r w:rsidRPr="00842ACD">
        <w:t xml:space="preserve">exécution des peines, à la Constitution et à la Convention, lesquelles garantissaient le droit à la liberté de religion. De plus, il considéra que la prison de </w:t>
      </w:r>
      <w:r w:rsidRPr="00842ACD">
        <w:t>Rahova</w:t>
      </w:r>
      <w:r w:rsidRPr="00842ACD">
        <w:t xml:space="preserve"> ne disposait pas des facilités à même de permettre aux requérants l</w:t>
      </w:r>
      <w:r w:rsidRPr="00842ACD" w:rsidR="00842ACD">
        <w:t>’</w:t>
      </w:r>
      <w:r w:rsidRPr="00842ACD">
        <w:t>exercice du droit en cause.</w:t>
      </w:r>
    </w:p>
    <w:bookmarkStart w:name="para10" w:id="6"/>
    <w:p w:rsidRPr="00842ACD" w:rsidR="001169B9" w:rsidP="00842ACD">
      <w:pPr>
        <w:pStyle w:val="JuPara"/>
      </w:pPr>
      <w:r w:rsidRPr="00842ACD">
        <w:fldChar w:fldCharType="begin"/>
      </w:r>
      <w:r w:rsidRPr="00842ACD">
        <w:instrText xml:space="preserve"> SEQ level0 \*arabic </w:instrText>
      </w:r>
      <w:r w:rsidRPr="00842ACD">
        <w:fldChar w:fldCharType="separate"/>
      </w:r>
      <w:r w:rsidRPr="00842ACD" w:rsidR="00842ACD">
        <w:rPr>
          <w:noProof/>
        </w:rPr>
        <w:t>7</w:t>
      </w:r>
      <w:r w:rsidRPr="00842ACD">
        <w:fldChar w:fldCharType="end"/>
      </w:r>
      <w:bookmarkEnd w:id="6"/>
      <w:r w:rsidRPr="00842ACD">
        <w:t>.  S</w:t>
      </w:r>
      <w:r w:rsidRPr="00842ACD" w:rsidR="00842ACD">
        <w:t>’</w:t>
      </w:r>
      <w:r w:rsidRPr="00842ACD">
        <w:t>agissant du coût des repas, le tribunal jugea que les requérants pouvaient en demander le remboursement dans les limites prévues par les normes alimentaires (</w:t>
      </w:r>
      <w:r w:rsidRPr="00842ACD">
        <w:rPr>
          <w:i/>
        </w:rPr>
        <w:t>norma</w:t>
      </w:r>
      <w:r w:rsidRPr="00842ACD">
        <w:rPr>
          <w:i/>
        </w:rPr>
        <w:t xml:space="preserve"> de </w:t>
      </w:r>
      <w:r w:rsidRPr="00842ACD">
        <w:rPr>
          <w:i/>
        </w:rPr>
        <w:t>hrană</w:t>
      </w:r>
      <w:r w:rsidRPr="00842ACD">
        <w:t>) applicables aux détenus. Il précisa toutefois que la compétence en la matière revenait aux juridictions civiles de droit commun, auxquelles il incombait de se prononcer à cet égard.</w:t>
      </w:r>
      <w:r w:rsidRPr="00842ACD" w:rsidR="00B57E2A">
        <w:t xml:space="preserve"> </w:t>
      </w:r>
      <w:r w:rsidRPr="00842ACD">
        <w:t>Il ne ressort pas du dossier que les requérants aient saisi les juridictions civiles d</w:t>
      </w:r>
      <w:r w:rsidRPr="00842ACD" w:rsidR="00842ACD">
        <w:t>’</w:t>
      </w:r>
      <w:r w:rsidRPr="00842ACD">
        <w:t>une telle action.</w:t>
      </w:r>
    </w:p>
    <w:p w:rsidRPr="00842ACD" w:rsidR="001169B9" w:rsidP="00842ACD">
      <w:pPr>
        <w:pStyle w:val="JuPara"/>
      </w:pPr>
      <w:r w:rsidRPr="00842ACD">
        <w:fldChar w:fldCharType="begin"/>
      </w:r>
      <w:r w:rsidRPr="00842ACD">
        <w:instrText xml:space="preserve"> SEQ level0 \*arabic </w:instrText>
      </w:r>
      <w:r w:rsidRPr="00842ACD">
        <w:fldChar w:fldCharType="separate"/>
      </w:r>
      <w:r w:rsidRPr="00842ACD" w:rsidR="00842ACD">
        <w:rPr>
          <w:noProof/>
        </w:rPr>
        <w:t>8</w:t>
      </w:r>
      <w:r w:rsidRPr="00842ACD">
        <w:fldChar w:fldCharType="end"/>
      </w:r>
      <w:r w:rsidRPr="00842ACD">
        <w:t>.  Les parties n</w:t>
      </w:r>
      <w:r w:rsidRPr="00842ACD" w:rsidR="00842ACD">
        <w:t>’</w:t>
      </w:r>
      <w:r w:rsidRPr="00842ACD">
        <w:t xml:space="preserve">ont pas indiqué si des aliments certifiés casher étaient en vente au magasin de la prison de </w:t>
      </w:r>
      <w:r w:rsidRPr="00842ACD">
        <w:t>Rahova</w:t>
      </w:r>
      <w:r w:rsidRPr="00842ACD">
        <w:t>.</w:t>
      </w:r>
    </w:p>
    <w:p w:rsidRPr="00842ACD" w:rsidR="001169B9" w:rsidP="00842ACD">
      <w:pPr>
        <w:pStyle w:val="JuHHead"/>
        <w:numPr>
          <w:ilvl w:val="0"/>
          <w:numId w:val="1"/>
        </w:numPr>
        <w:jc w:val="both"/>
        <w:rPr>
          <w:lang w:val="fr-FR"/>
        </w:rPr>
      </w:pPr>
      <w:bookmarkStart w:name="_Hlk36127227" w:id="7"/>
      <w:r w:rsidRPr="00842ACD">
        <w:rPr>
          <w:caps w:val="0"/>
          <w:lang w:val="fr-FR"/>
        </w:rPr>
        <w:t>LE CADRE JURIDIQUE INTERNE PERTINENT</w:t>
      </w:r>
      <w:bookmarkEnd w:id="7"/>
    </w:p>
    <w:p w:rsidRPr="00842ACD" w:rsidR="001169B9" w:rsidP="00842ACD">
      <w:pPr>
        <w:pStyle w:val="JuHIRoman"/>
        <w:numPr>
          <w:ilvl w:val="1"/>
          <w:numId w:val="1"/>
        </w:numPr>
        <w:ind w:left="357"/>
        <w:jc w:val="both"/>
        <w:rPr>
          <w:rFonts w:eastAsia="Times New Roman"/>
          <w:lang w:val="fr-FR"/>
        </w:rPr>
      </w:pPr>
      <w:r w:rsidRPr="00842ACD">
        <w:rPr>
          <w:rFonts w:eastAsia="Times New Roman"/>
          <w:lang w:val="fr-FR"/>
        </w:rPr>
        <w:t>La Constitution</w:t>
      </w:r>
    </w:p>
    <w:bookmarkStart w:name="Constitutia" w:id="8"/>
    <w:p w:rsidRPr="00842ACD" w:rsidR="001169B9" w:rsidP="00842ACD">
      <w:pPr>
        <w:pStyle w:val="JuPara"/>
        <w:rPr>
          <w:rFonts w:eastAsia="Times New Roman"/>
        </w:rPr>
      </w:pPr>
      <w:r w:rsidRPr="00842ACD">
        <w:rPr>
          <w:rFonts w:eastAsia="Times New Roman"/>
        </w:rPr>
        <w:fldChar w:fldCharType="begin"/>
      </w:r>
      <w:r w:rsidRPr="00842ACD">
        <w:rPr>
          <w:rFonts w:eastAsia="Times New Roman"/>
        </w:rPr>
        <w:instrText xml:space="preserve"> SEQ level0 \*arabic </w:instrText>
      </w:r>
      <w:r w:rsidRPr="00842ACD">
        <w:rPr>
          <w:rFonts w:eastAsia="Times New Roman"/>
        </w:rPr>
        <w:fldChar w:fldCharType="separate"/>
      </w:r>
      <w:r w:rsidRPr="00842ACD" w:rsidR="00842ACD">
        <w:rPr>
          <w:rFonts w:eastAsia="Times New Roman"/>
          <w:noProof/>
        </w:rPr>
        <w:t>9</w:t>
      </w:r>
      <w:r w:rsidRPr="00842ACD">
        <w:rPr>
          <w:rFonts w:eastAsia="Times New Roman"/>
        </w:rPr>
        <w:fldChar w:fldCharType="end"/>
      </w:r>
      <w:bookmarkEnd w:id="8"/>
      <w:r w:rsidRPr="00842ACD">
        <w:rPr>
          <w:rFonts w:eastAsia="Times New Roman"/>
        </w:rPr>
        <w:t>.  En ses dispositions pertinentes en l</w:t>
      </w:r>
      <w:r w:rsidRPr="00842ACD" w:rsidR="00842ACD">
        <w:rPr>
          <w:rFonts w:eastAsia="Times New Roman"/>
        </w:rPr>
        <w:t>’</w:t>
      </w:r>
      <w:r w:rsidRPr="00842ACD">
        <w:rPr>
          <w:rFonts w:eastAsia="Times New Roman"/>
        </w:rPr>
        <w:t>espèce, la Constitution roumaine est ainsi libellée ː</w:t>
      </w:r>
    </w:p>
    <w:p w:rsidRPr="00842ACD" w:rsidR="001169B9" w:rsidP="00842ACD">
      <w:pPr>
        <w:pStyle w:val="JuHArticle"/>
        <w:rPr>
          <w:rFonts w:eastAsia="Times New Roman"/>
        </w:rPr>
      </w:pPr>
      <w:r w:rsidRPr="00842ACD">
        <w:rPr>
          <w:rFonts w:eastAsia="Times New Roman"/>
        </w:rPr>
        <w:t>Article 29</w:t>
      </w:r>
    </w:p>
    <w:p w:rsidRPr="00842ACD" w:rsidR="001169B9" w:rsidP="00842ACD">
      <w:pPr>
        <w:pStyle w:val="JuQuot"/>
        <w:rPr>
          <w:rFonts w:eastAsia="Times New Roman"/>
        </w:rPr>
      </w:pPr>
      <w:r w:rsidRPr="00842ACD">
        <w:rPr>
          <w:rFonts w:eastAsia="Times New Roman"/>
        </w:rPr>
        <w:t>« </w:t>
      </w:r>
      <w:r w:rsidRPr="00842ACD">
        <w:rPr>
          <w:rFonts w:eastAsia="Times New Roman"/>
        </w:rPr>
        <w:t>1. La liberté de pensée et d</w:t>
      </w:r>
      <w:r w:rsidRPr="00842ACD" w:rsidR="00842ACD">
        <w:rPr>
          <w:rFonts w:eastAsia="Times New Roman"/>
        </w:rPr>
        <w:t>’</w:t>
      </w:r>
      <w:r w:rsidRPr="00842ACD">
        <w:rPr>
          <w:rFonts w:eastAsia="Times New Roman"/>
        </w:rPr>
        <w:t>opinion ainsi que la liberté de croyance religieuse ne peuvent être limitées d</w:t>
      </w:r>
      <w:r w:rsidRPr="00842ACD" w:rsidR="00842ACD">
        <w:rPr>
          <w:rFonts w:eastAsia="Times New Roman"/>
        </w:rPr>
        <w:t>’</w:t>
      </w:r>
      <w:r w:rsidRPr="00842ACD">
        <w:rPr>
          <w:rFonts w:eastAsia="Times New Roman"/>
        </w:rPr>
        <w:t>aucune manière. Nul ne peut être contraint à adopter une opinion ou à adhérer à une croyance religieuse contre ses convictions.</w:t>
      </w:r>
    </w:p>
    <w:p w:rsidRPr="00842ACD" w:rsidR="001169B9" w:rsidP="00842ACD">
      <w:pPr>
        <w:pStyle w:val="JuQuot"/>
        <w:rPr>
          <w:rFonts w:eastAsia="Times New Roman"/>
        </w:rPr>
      </w:pPr>
      <w:r w:rsidRPr="00842ACD">
        <w:rPr>
          <w:rFonts w:eastAsia="Times New Roman"/>
        </w:rPr>
        <w:t>2. La liberté de conscience est garantie ; elle doit se manifester dans un esprit de tolérance et de respect réciproque.</w:t>
      </w:r>
    </w:p>
    <w:p w:rsidRPr="00842ACD" w:rsidR="001169B9" w:rsidP="00842ACD">
      <w:pPr>
        <w:pStyle w:val="JuQuot"/>
        <w:rPr>
          <w:rFonts w:eastAsia="Times New Roman"/>
        </w:rPr>
      </w:pPr>
      <w:r w:rsidRPr="00842ACD">
        <w:rPr>
          <w:rFonts w:eastAsia="Times New Roman"/>
        </w:rPr>
        <w:t>(...) »</w:t>
      </w:r>
    </w:p>
    <w:p w:rsidRPr="00842ACD" w:rsidR="001169B9" w:rsidP="00842ACD">
      <w:pPr>
        <w:pStyle w:val="JuHIRoman"/>
        <w:numPr>
          <w:ilvl w:val="1"/>
          <w:numId w:val="1"/>
        </w:numPr>
        <w:ind w:left="357"/>
        <w:jc w:val="both"/>
        <w:rPr>
          <w:rFonts w:eastAsia="Times New Roman"/>
          <w:lang w:val="fr-FR"/>
        </w:rPr>
      </w:pPr>
      <w:r w:rsidRPr="00842ACD">
        <w:rPr>
          <w:rFonts w:eastAsia="Times New Roman"/>
          <w:lang w:val="fr-FR"/>
        </w:rPr>
        <w:t>La loi sur la liberté religieuse</w:t>
      </w:r>
    </w:p>
    <w:bookmarkStart w:name="lege_libertrelig" w:id="9"/>
    <w:p w:rsidRPr="00842ACD" w:rsidR="001169B9" w:rsidP="00842ACD">
      <w:pPr>
        <w:pStyle w:val="JuPara"/>
        <w:rPr>
          <w:rFonts w:eastAsia="Times New Roman"/>
        </w:rPr>
      </w:pPr>
      <w:r w:rsidRPr="00842ACD">
        <w:rPr>
          <w:rFonts w:eastAsia="Times New Roman"/>
        </w:rPr>
        <w:fldChar w:fldCharType="begin"/>
      </w:r>
      <w:r w:rsidRPr="00842ACD">
        <w:rPr>
          <w:rFonts w:eastAsia="Times New Roman"/>
        </w:rPr>
        <w:instrText xml:space="preserve"> SEQ level0 \*arabic </w:instrText>
      </w:r>
      <w:r w:rsidRPr="00842ACD">
        <w:rPr>
          <w:rFonts w:eastAsia="Times New Roman"/>
        </w:rPr>
        <w:fldChar w:fldCharType="separate"/>
      </w:r>
      <w:r w:rsidRPr="00842ACD" w:rsidR="00842ACD">
        <w:rPr>
          <w:rFonts w:eastAsia="Times New Roman"/>
          <w:noProof/>
        </w:rPr>
        <w:t>10</w:t>
      </w:r>
      <w:r w:rsidRPr="00842ACD">
        <w:rPr>
          <w:rFonts w:eastAsia="Times New Roman"/>
        </w:rPr>
        <w:fldChar w:fldCharType="end"/>
      </w:r>
      <w:bookmarkEnd w:id="9"/>
      <w:r w:rsidRPr="00842ACD">
        <w:rPr>
          <w:rFonts w:eastAsia="Times New Roman"/>
        </w:rPr>
        <w:t>.  La loi n</w:t>
      </w:r>
      <w:r w:rsidRPr="00842ACD">
        <w:rPr>
          <w:rFonts w:eastAsia="Times New Roman"/>
          <w:vertAlign w:val="superscript"/>
        </w:rPr>
        <w:t>o</w:t>
      </w:r>
      <w:r w:rsidRPr="00842ACD">
        <w:rPr>
          <w:rFonts w:eastAsia="Times New Roman"/>
        </w:rPr>
        <w:t xml:space="preserve"> 489/2006 sur la liberté religieuse et le régime général des cultes comporte, en annexe,</w:t>
      </w:r>
      <w:r w:rsidRPr="00842ACD">
        <w:rPr>
          <w:rFonts w:eastAsia="Times New Roman"/>
          <w:szCs w:val="22"/>
        </w:rPr>
        <w:t xml:space="preserve"> </w:t>
      </w:r>
      <w:r w:rsidRPr="00842ACD">
        <w:rPr>
          <w:rFonts w:eastAsia="Times New Roman"/>
        </w:rPr>
        <w:t>une liste des « cultes reconnus en Roumanie », comprenant la désignation des cultes et des associations religieuses légalement admis. La Fédération des communautés juives de Roumanie figure dans cette annexe sous le numéro 16.</w:t>
      </w:r>
    </w:p>
    <w:p w:rsidRPr="00842ACD" w:rsidR="001169B9" w:rsidP="00842ACD">
      <w:pPr>
        <w:pStyle w:val="JuHIRoman"/>
        <w:numPr>
          <w:ilvl w:val="1"/>
          <w:numId w:val="1"/>
        </w:numPr>
        <w:ind w:left="357"/>
        <w:jc w:val="both"/>
        <w:rPr>
          <w:rFonts w:eastAsia="Times New Roman"/>
          <w:lang w:val="fr-FR"/>
        </w:rPr>
      </w:pPr>
      <w:r w:rsidRPr="00842ACD">
        <w:rPr>
          <w:rFonts w:eastAsia="Times New Roman"/>
          <w:lang w:val="fr-FR"/>
        </w:rPr>
        <w:t>La loi sur l</w:t>
      </w:r>
      <w:r w:rsidRPr="00842ACD" w:rsidR="00842ACD">
        <w:rPr>
          <w:rFonts w:eastAsia="Times New Roman"/>
          <w:lang w:val="fr-FR"/>
        </w:rPr>
        <w:t>’</w:t>
      </w:r>
      <w:r w:rsidRPr="00842ACD">
        <w:rPr>
          <w:rFonts w:eastAsia="Times New Roman"/>
          <w:lang w:val="fr-FR"/>
        </w:rPr>
        <w:t>exécution des peines</w:t>
      </w:r>
    </w:p>
    <w:bookmarkStart w:name="lege_executare_pedepse" w:id="10"/>
    <w:p w:rsidRPr="00842ACD" w:rsidR="001169B9" w:rsidP="00842ACD">
      <w:pPr>
        <w:pStyle w:val="JuPara"/>
        <w:rPr>
          <w:rFonts w:eastAsia="Times New Roman"/>
        </w:rPr>
      </w:pPr>
      <w:r w:rsidRPr="00842ACD">
        <w:rPr>
          <w:rFonts w:eastAsia="Times New Roman"/>
        </w:rPr>
        <w:fldChar w:fldCharType="begin"/>
      </w:r>
      <w:r w:rsidRPr="00842ACD">
        <w:rPr>
          <w:rFonts w:eastAsia="Times New Roman"/>
        </w:rPr>
        <w:instrText xml:space="preserve"> SEQ level0 \*arabic </w:instrText>
      </w:r>
      <w:r w:rsidRPr="00842ACD">
        <w:rPr>
          <w:rFonts w:eastAsia="Times New Roman"/>
        </w:rPr>
        <w:fldChar w:fldCharType="separate"/>
      </w:r>
      <w:r w:rsidRPr="00842ACD" w:rsidR="00842ACD">
        <w:rPr>
          <w:rFonts w:eastAsia="Times New Roman"/>
          <w:noProof/>
        </w:rPr>
        <w:t>11</w:t>
      </w:r>
      <w:r w:rsidRPr="00842ACD">
        <w:rPr>
          <w:rFonts w:eastAsia="Times New Roman"/>
        </w:rPr>
        <w:fldChar w:fldCharType="end"/>
      </w:r>
      <w:bookmarkEnd w:id="10"/>
      <w:r w:rsidRPr="00842ACD">
        <w:rPr>
          <w:rFonts w:eastAsia="Times New Roman"/>
        </w:rPr>
        <w:t>.  La loi n</w:t>
      </w:r>
      <w:r w:rsidRPr="00842ACD">
        <w:rPr>
          <w:rFonts w:eastAsia="Times New Roman"/>
          <w:vertAlign w:val="superscript"/>
        </w:rPr>
        <w:t>o</w:t>
      </w:r>
      <w:r w:rsidRPr="00842ACD">
        <w:rPr>
          <w:rFonts w:eastAsia="Times New Roman"/>
        </w:rPr>
        <w:t xml:space="preserve"> 254/2013 sur l</w:t>
      </w:r>
      <w:r w:rsidRPr="00842ACD" w:rsidR="00842ACD">
        <w:rPr>
          <w:rFonts w:eastAsia="Times New Roman"/>
        </w:rPr>
        <w:t>’</w:t>
      </w:r>
      <w:r w:rsidRPr="00842ACD">
        <w:rPr>
          <w:rFonts w:eastAsia="Times New Roman"/>
        </w:rPr>
        <w:t>exécution des peines et des mesures privatives de liberté décidées par les autorités judiciaires au cours du procès pénal (« la loi n</w:t>
      </w:r>
      <w:r w:rsidRPr="00842ACD">
        <w:rPr>
          <w:rFonts w:eastAsia="Times New Roman"/>
          <w:vertAlign w:val="superscript"/>
        </w:rPr>
        <w:t>o</w:t>
      </w:r>
      <w:r w:rsidRPr="00842ACD">
        <w:rPr>
          <w:rFonts w:eastAsia="Times New Roman"/>
        </w:rPr>
        <w:t xml:space="preserve"> 254/2013 ») prévoit ce qui suit en ses parties pertinentes en l</w:t>
      </w:r>
      <w:r w:rsidRPr="00842ACD" w:rsidR="00842ACD">
        <w:rPr>
          <w:rFonts w:eastAsia="Times New Roman"/>
        </w:rPr>
        <w:t>’</w:t>
      </w:r>
      <w:r w:rsidRPr="00842ACD">
        <w:rPr>
          <w:rFonts w:eastAsia="Times New Roman"/>
        </w:rPr>
        <w:t>espèce ː</w:t>
      </w:r>
    </w:p>
    <w:p w:rsidRPr="00842ACD" w:rsidR="001169B9" w:rsidP="00842ACD">
      <w:pPr>
        <w:pStyle w:val="JuHArticle"/>
        <w:rPr>
          <w:rFonts w:eastAsia="Times New Roman"/>
        </w:rPr>
      </w:pPr>
      <w:r w:rsidRPr="00842ACD">
        <w:rPr>
          <w:rFonts w:eastAsia="Times New Roman"/>
        </w:rPr>
        <w:t>Article 50 – Alimentation des personnes condamnées</w:t>
      </w:r>
    </w:p>
    <w:p w:rsidRPr="00842ACD" w:rsidR="001169B9" w:rsidP="00842ACD">
      <w:pPr>
        <w:pStyle w:val="JuQuot"/>
        <w:rPr>
          <w:rFonts w:eastAsia="Times New Roman"/>
        </w:rPr>
      </w:pPr>
      <w:r w:rsidRPr="00842ACD">
        <w:rPr>
          <w:rFonts w:eastAsia="Times New Roman"/>
        </w:rPr>
        <w:t xml:space="preserve">«  </w:t>
      </w:r>
      <w:r w:rsidRPr="00842ACD">
        <w:rPr>
          <w:rFonts w:eastAsia="Times New Roman"/>
        </w:rPr>
        <w:t>1. L</w:t>
      </w:r>
      <w:r w:rsidRPr="00842ACD" w:rsidR="00842ACD">
        <w:rPr>
          <w:rFonts w:eastAsia="Times New Roman"/>
        </w:rPr>
        <w:t>’</w:t>
      </w:r>
      <w:r w:rsidRPr="00842ACD">
        <w:rPr>
          <w:rFonts w:eastAsia="Times New Roman"/>
        </w:rPr>
        <w:t>administration de chaque établissement pénitentiaire assure des conditions adéquates pour la préparation, la distribution et le service des repas selon les normes d</w:t>
      </w:r>
      <w:r w:rsidRPr="00842ACD" w:rsidR="00842ACD">
        <w:rPr>
          <w:rFonts w:eastAsia="Times New Roman"/>
        </w:rPr>
        <w:t>’</w:t>
      </w:r>
      <w:r w:rsidRPr="00842ACD">
        <w:rPr>
          <w:rFonts w:eastAsia="Times New Roman"/>
        </w:rPr>
        <w:t>hygiène alimentaire, en fonction de l</w:t>
      </w:r>
      <w:r w:rsidRPr="00842ACD" w:rsidR="00842ACD">
        <w:rPr>
          <w:rFonts w:eastAsia="Times New Roman"/>
        </w:rPr>
        <w:t>’</w:t>
      </w:r>
      <w:r w:rsidRPr="00842ACD">
        <w:rPr>
          <w:rFonts w:eastAsia="Times New Roman"/>
        </w:rPr>
        <w:t>âge, de l</w:t>
      </w:r>
      <w:r w:rsidRPr="00842ACD" w:rsidR="00842ACD">
        <w:rPr>
          <w:rFonts w:eastAsia="Times New Roman"/>
        </w:rPr>
        <w:t>’</w:t>
      </w:r>
      <w:r w:rsidRPr="00842ACD">
        <w:rPr>
          <w:rFonts w:eastAsia="Times New Roman"/>
        </w:rPr>
        <w:t>état de santé, de la nature du travail effectué, en respectant les croyances religieuses assumées par la personne condamnée par une déclaration sur l</w:t>
      </w:r>
      <w:r w:rsidRPr="00842ACD" w:rsidR="00842ACD">
        <w:rPr>
          <w:rFonts w:eastAsia="Times New Roman"/>
        </w:rPr>
        <w:t>’</w:t>
      </w:r>
      <w:r w:rsidRPr="00842ACD">
        <w:rPr>
          <w:rFonts w:eastAsia="Times New Roman"/>
        </w:rPr>
        <w:t>honneur.</w:t>
      </w:r>
    </w:p>
    <w:p w:rsidRPr="00842ACD" w:rsidR="001169B9" w:rsidP="00842ACD">
      <w:pPr>
        <w:pStyle w:val="JuQuot"/>
        <w:rPr>
          <w:rFonts w:eastAsia="Times New Roman"/>
        </w:rPr>
      </w:pPr>
      <w:r w:rsidRPr="00842ACD">
        <w:rPr>
          <w:rFonts w:eastAsia="Times New Roman"/>
        </w:rPr>
        <w:t>(...)</w:t>
      </w:r>
    </w:p>
    <w:p w:rsidRPr="00842ACD" w:rsidR="001169B9" w:rsidP="00842ACD">
      <w:pPr>
        <w:pStyle w:val="JuQuot"/>
        <w:rPr>
          <w:rFonts w:eastAsia="Times New Roman"/>
        </w:rPr>
      </w:pPr>
      <w:r w:rsidRPr="00842ACD">
        <w:rPr>
          <w:rFonts w:eastAsia="Times New Roman"/>
        </w:rPr>
        <w:t>3. Les normes alimentaires minimales obligatoires (</w:t>
      </w:r>
      <w:r w:rsidRPr="00842ACD">
        <w:rPr>
          <w:rFonts w:eastAsia="Times New Roman"/>
          <w:i/>
        </w:rPr>
        <w:t>normele</w:t>
      </w:r>
      <w:r w:rsidRPr="00842ACD">
        <w:rPr>
          <w:rFonts w:eastAsia="Times New Roman"/>
          <w:i/>
        </w:rPr>
        <w:t xml:space="preserve"> minime </w:t>
      </w:r>
      <w:r w:rsidRPr="00842ACD">
        <w:rPr>
          <w:rFonts w:eastAsia="Times New Roman"/>
          <w:i/>
        </w:rPr>
        <w:t>obligatorii</w:t>
      </w:r>
      <w:r w:rsidRPr="00842ACD">
        <w:rPr>
          <w:rFonts w:eastAsia="Times New Roman"/>
          <w:i/>
        </w:rPr>
        <w:t xml:space="preserve"> de </w:t>
      </w:r>
      <w:r w:rsidRPr="00842ACD">
        <w:rPr>
          <w:rFonts w:eastAsia="Times New Roman"/>
          <w:i/>
        </w:rPr>
        <w:t>hrană</w:t>
      </w:r>
      <w:r w:rsidRPr="00842ACD">
        <w:rPr>
          <w:rFonts w:eastAsia="Times New Roman"/>
        </w:rPr>
        <w:t>) sont établies, après la consultation de spécialistes en nutrition, par arrêté du ministre de la Justice. »</w:t>
      </w:r>
    </w:p>
    <w:p w:rsidRPr="00842ACD" w:rsidR="001169B9" w:rsidP="00842ACD">
      <w:pPr>
        <w:pStyle w:val="JuHArticle"/>
        <w:rPr>
          <w:rFonts w:eastAsia="Times New Roman"/>
        </w:rPr>
      </w:pPr>
      <w:r w:rsidRPr="00842ACD">
        <w:rPr>
          <w:rFonts w:eastAsia="Times New Roman"/>
        </w:rPr>
        <w:t>Article 56 – Exercice des droits des personnes condamnées</w:t>
      </w:r>
    </w:p>
    <w:p w:rsidRPr="00842ACD" w:rsidR="001169B9" w:rsidP="00842ACD">
      <w:pPr>
        <w:pStyle w:val="JuQuot"/>
        <w:rPr>
          <w:rFonts w:eastAsia="Times New Roman"/>
        </w:rPr>
      </w:pPr>
      <w:r w:rsidRPr="00842ACD">
        <w:rPr>
          <w:rFonts w:eastAsia="Times New Roman"/>
        </w:rPr>
        <w:t>« 1. L</w:t>
      </w:r>
      <w:r w:rsidRPr="00842ACD" w:rsidR="00842ACD">
        <w:rPr>
          <w:rFonts w:eastAsia="Times New Roman"/>
        </w:rPr>
        <w:t>’</w:t>
      </w:r>
      <w:r w:rsidRPr="00842ACD">
        <w:rPr>
          <w:rFonts w:eastAsia="Times New Roman"/>
        </w:rPr>
        <w:t>exercice des droits des personnes condamnées ne peut être restreint que dans les limites et les conditions prévues par la Constitution et les lois.</w:t>
      </w:r>
    </w:p>
    <w:p w:rsidRPr="00842ACD" w:rsidR="001169B9" w:rsidP="00842ACD">
      <w:pPr>
        <w:pStyle w:val="JuQuot"/>
        <w:rPr>
          <w:rFonts w:eastAsia="Times New Roman"/>
        </w:rPr>
      </w:pPr>
      <w:r w:rsidRPr="00842ACD">
        <w:rPr>
          <w:rFonts w:eastAsia="Times New Roman"/>
        </w:rPr>
        <w:t>2. Les personnes condamnées peuvent contester les mesures relatives à l</w:t>
      </w:r>
      <w:r w:rsidRPr="00842ACD" w:rsidR="00842ACD">
        <w:rPr>
          <w:rFonts w:eastAsia="Times New Roman"/>
        </w:rPr>
        <w:t>’</w:t>
      </w:r>
      <w:r w:rsidRPr="00842ACD">
        <w:rPr>
          <w:rFonts w:eastAsia="Times New Roman"/>
        </w:rPr>
        <w:t>exercice des droits prévus dans la présente loi prises par l</w:t>
      </w:r>
      <w:r w:rsidRPr="00842ACD" w:rsidR="00842ACD">
        <w:rPr>
          <w:rFonts w:eastAsia="Times New Roman"/>
        </w:rPr>
        <w:t>’</w:t>
      </w:r>
      <w:r w:rsidRPr="00842ACD">
        <w:rPr>
          <w:rFonts w:eastAsia="Times New Roman"/>
        </w:rPr>
        <w:t>administration de l</w:t>
      </w:r>
      <w:r w:rsidRPr="00842ACD" w:rsidR="00842ACD">
        <w:rPr>
          <w:rFonts w:eastAsia="Times New Roman"/>
        </w:rPr>
        <w:t>’</w:t>
      </w:r>
      <w:r w:rsidRPr="00842ACD">
        <w:rPr>
          <w:rFonts w:eastAsia="Times New Roman"/>
        </w:rPr>
        <w:t>établissement pénitentiaire devant le juge chargé du contrôle de la privation de liberté dans un délai de 10 jours à compter de la date à laquelle elles ont pris connaissance de la mesure décidée.</w:t>
      </w:r>
    </w:p>
    <w:p w:rsidRPr="00842ACD" w:rsidR="001169B9" w:rsidP="00842ACD">
      <w:pPr>
        <w:pStyle w:val="JuQuot"/>
        <w:rPr>
          <w:rFonts w:eastAsia="Times New Roman"/>
        </w:rPr>
      </w:pPr>
      <w:r w:rsidRPr="00842ACD">
        <w:rPr>
          <w:rFonts w:eastAsia="Times New Roman"/>
        </w:rPr>
        <w:t>(...) »</w:t>
      </w:r>
    </w:p>
    <w:p w:rsidRPr="00842ACD" w:rsidR="001169B9" w:rsidP="00842ACD">
      <w:pPr>
        <w:pStyle w:val="JuHArticle"/>
        <w:rPr>
          <w:rFonts w:eastAsia="Times New Roman"/>
        </w:rPr>
      </w:pPr>
      <w:r w:rsidRPr="00842ACD">
        <w:rPr>
          <w:rFonts w:eastAsia="Times New Roman"/>
        </w:rPr>
        <w:t>Article 58 – Liberté de conscience et d</w:t>
      </w:r>
      <w:r w:rsidRPr="00842ACD" w:rsidR="00842ACD">
        <w:rPr>
          <w:rFonts w:eastAsia="Times New Roman"/>
        </w:rPr>
        <w:t>’</w:t>
      </w:r>
      <w:r w:rsidRPr="00842ACD">
        <w:rPr>
          <w:rFonts w:eastAsia="Times New Roman"/>
        </w:rPr>
        <w:t>opinion, et liberté de croyance religieuse</w:t>
      </w:r>
    </w:p>
    <w:p w:rsidRPr="00842ACD" w:rsidR="001169B9" w:rsidP="00842ACD">
      <w:pPr>
        <w:pStyle w:val="JuQuot"/>
        <w:rPr>
          <w:rFonts w:eastAsia="Times New Roman"/>
        </w:rPr>
      </w:pPr>
      <w:r w:rsidRPr="00842ACD">
        <w:rPr>
          <w:rFonts w:eastAsia="Times New Roman"/>
        </w:rPr>
        <w:t>« 1. La liberté de conscience et d</w:t>
      </w:r>
      <w:r w:rsidRPr="00842ACD" w:rsidR="00842ACD">
        <w:rPr>
          <w:rFonts w:eastAsia="Times New Roman"/>
        </w:rPr>
        <w:t>’</w:t>
      </w:r>
      <w:r w:rsidRPr="00842ACD">
        <w:rPr>
          <w:rFonts w:eastAsia="Times New Roman"/>
        </w:rPr>
        <w:t>opinion, ainsi que la liberté de croyance religieuse des personnes condamnées ne peuvent être restreintes.</w:t>
      </w:r>
    </w:p>
    <w:p w:rsidRPr="00842ACD" w:rsidR="001169B9" w:rsidP="00842ACD">
      <w:pPr>
        <w:pStyle w:val="JuQuot"/>
        <w:rPr>
          <w:rFonts w:eastAsia="Times New Roman"/>
        </w:rPr>
      </w:pPr>
      <w:r w:rsidRPr="00842ACD">
        <w:rPr>
          <w:rFonts w:eastAsia="Times New Roman"/>
        </w:rPr>
        <w:t>2. Les personnes condamnées ont le droit à la liberté de croyance religieuse, sans préjudice de la liberté de croyance religieuse des autres personnes condamnées.</w:t>
      </w:r>
    </w:p>
    <w:p w:rsidRPr="00842ACD" w:rsidR="001169B9" w:rsidP="00842ACD">
      <w:pPr>
        <w:pStyle w:val="JuQuot"/>
        <w:rPr>
          <w:rFonts w:eastAsia="Times New Roman"/>
        </w:rPr>
      </w:pPr>
      <w:r w:rsidRPr="00842ACD">
        <w:rPr>
          <w:rFonts w:eastAsia="Times New Roman"/>
        </w:rPr>
        <w:t xml:space="preserve">3. Les personnes condamnées peuvent participer, sur la base du libre consentement, aux services ou réunions religieux organisés dans les prisons, peuvent recevoir des visites de la part des représentants [de leur] culte et peuvent se procurer et détenir des publications </w:t>
      </w:r>
      <w:r w:rsidRPr="00842ACD">
        <w:rPr>
          <w:rFonts w:eastAsia="Times New Roman" w:cstheme="minorHAnsi"/>
        </w:rPr>
        <w:t>à</w:t>
      </w:r>
      <w:r w:rsidRPr="00842ACD">
        <w:rPr>
          <w:rFonts w:eastAsia="Times New Roman"/>
        </w:rPr>
        <w:t xml:space="preserve"> caractère religieux ainsi que des objets de culte. »</w:t>
      </w:r>
    </w:p>
    <w:p w:rsidRPr="00842ACD" w:rsidR="001169B9" w:rsidP="00842ACD">
      <w:pPr>
        <w:pStyle w:val="JuHIRoman"/>
        <w:numPr>
          <w:ilvl w:val="1"/>
          <w:numId w:val="1"/>
        </w:numPr>
        <w:ind w:left="357"/>
        <w:jc w:val="both"/>
        <w:rPr>
          <w:rFonts w:eastAsia="Times New Roman"/>
          <w:lang w:val="fr-FR"/>
        </w:rPr>
      </w:pPr>
      <w:bookmarkStart w:name="ordinmj" w:id="11"/>
      <w:r w:rsidRPr="00842ACD">
        <w:rPr>
          <w:rFonts w:eastAsia="Times New Roman"/>
          <w:lang w:val="fr-FR"/>
        </w:rPr>
        <w:t>Les arrêtés du ministère de la Justice et du gouvernement</w:t>
      </w:r>
    </w:p>
    <w:p w:rsidRPr="00842ACD" w:rsidR="001169B9" w:rsidP="00842ACD">
      <w:pPr>
        <w:pStyle w:val="JuPara"/>
        <w:rPr>
          <w:rFonts w:eastAsia="Times New Roman"/>
        </w:rPr>
      </w:pPr>
      <w:r w:rsidRPr="00842ACD">
        <w:rPr>
          <w:rFonts w:eastAsia="Times New Roman"/>
        </w:rPr>
        <w:fldChar w:fldCharType="begin"/>
      </w:r>
      <w:r w:rsidRPr="00842ACD">
        <w:rPr>
          <w:rFonts w:eastAsia="Times New Roman"/>
        </w:rPr>
        <w:instrText xml:space="preserve"> SEQ level0 \*arabic </w:instrText>
      </w:r>
      <w:r w:rsidRPr="00842ACD">
        <w:rPr>
          <w:rFonts w:eastAsia="Times New Roman"/>
        </w:rPr>
        <w:fldChar w:fldCharType="separate"/>
      </w:r>
      <w:r w:rsidRPr="00842ACD" w:rsidR="00842ACD">
        <w:rPr>
          <w:rFonts w:eastAsia="Times New Roman"/>
          <w:noProof/>
        </w:rPr>
        <w:t>12</w:t>
      </w:r>
      <w:r w:rsidRPr="00842ACD">
        <w:rPr>
          <w:rFonts w:eastAsia="Times New Roman"/>
        </w:rPr>
        <w:fldChar w:fldCharType="end"/>
      </w:r>
      <w:bookmarkEnd w:id="11"/>
      <w:r w:rsidRPr="00842ACD">
        <w:rPr>
          <w:rFonts w:eastAsia="Times New Roman"/>
        </w:rPr>
        <w:t>.  L</w:t>
      </w:r>
      <w:r w:rsidRPr="00842ACD" w:rsidR="00842ACD">
        <w:rPr>
          <w:rFonts w:eastAsia="Times New Roman"/>
        </w:rPr>
        <w:t>’</w:t>
      </w:r>
      <w:r w:rsidRPr="00842ACD">
        <w:rPr>
          <w:rFonts w:eastAsia="Times New Roman"/>
        </w:rPr>
        <w:t>arrêté du ministère de la Justice n</w:t>
      </w:r>
      <w:r w:rsidRPr="00842ACD">
        <w:rPr>
          <w:rFonts w:eastAsia="Times New Roman"/>
          <w:vertAlign w:val="superscript"/>
        </w:rPr>
        <w:t>o</w:t>
      </w:r>
      <w:r w:rsidRPr="00842ACD">
        <w:rPr>
          <w:rFonts w:eastAsia="Times New Roman"/>
        </w:rPr>
        <w:t xml:space="preserve"> 1072/2013 </w:t>
      </w:r>
      <w:r w:rsidRPr="00842ACD">
        <w:rPr>
          <w:rFonts w:eastAsia="Times New Roman"/>
        </w:rPr>
        <w:t>portant</w:t>
      </w:r>
      <w:r w:rsidRPr="00842ACD">
        <w:rPr>
          <w:rFonts w:eastAsia="Times New Roman"/>
        </w:rPr>
        <w:t xml:space="preserve"> approbation du règlement sur l</w:t>
      </w:r>
      <w:r w:rsidRPr="00842ACD" w:rsidR="00842ACD">
        <w:rPr>
          <w:rFonts w:eastAsia="Times New Roman"/>
        </w:rPr>
        <w:t>’</w:t>
      </w:r>
      <w:r w:rsidRPr="00842ACD">
        <w:rPr>
          <w:rFonts w:eastAsia="Times New Roman"/>
        </w:rPr>
        <w:t>assistance religieuse des personnes privées de liberté placées sous la garde de l</w:t>
      </w:r>
      <w:r w:rsidRPr="00842ACD" w:rsidR="00842ACD">
        <w:rPr>
          <w:rFonts w:eastAsia="Times New Roman"/>
        </w:rPr>
        <w:t>’</w:t>
      </w:r>
      <w:r w:rsidRPr="00842ACD">
        <w:rPr>
          <w:rFonts w:eastAsia="Times New Roman"/>
        </w:rPr>
        <w:t>Administration nationale des établissements pénitentiaires était en vigueur du 3 avril 2013 au 28 novembre 2016. Il se lisait comme suit en ses dispositions pertinentes en l</w:t>
      </w:r>
      <w:r w:rsidRPr="00842ACD" w:rsidR="00842ACD">
        <w:rPr>
          <w:rFonts w:eastAsia="Times New Roman"/>
        </w:rPr>
        <w:t>’</w:t>
      </w:r>
      <w:r w:rsidRPr="00842ACD">
        <w:rPr>
          <w:rFonts w:eastAsia="Times New Roman"/>
        </w:rPr>
        <w:t>espèce :</w:t>
      </w:r>
    </w:p>
    <w:p w:rsidRPr="00842ACD" w:rsidR="001169B9" w:rsidP="00842ACD">
      <w:pPr>
        <w:pStyle w:val="JuHArticle"/>
        <w:rPr>
          <w:rFonts w:eastAsia="Times New Roman"/>
        </w:rPr>
      </w:pPr>
      <w:r w:rsidRPr="00842ACD">
        <w:rPr>
          <w:rFonts w:eastAsia="Times New Roman"/>
        </w:rPr>
        <w:t>Article 6</w:t>
      </w:r>
    </w:p>
    <w:p w:rsidRPr="00842ACD" w:rsidR="001169B9" w:rsidP="00842ACD">
      <w:pPr>
        <w:pStyle w:val="JuQuot"/>
      </w:pPr>
      <w:r w:rsidRPr="00842ACD">
        <w:t>« (...)</w:t>
      </w:r>
    </w:p>
    <w:p w:rsidRPr="00842ACD" w:rsidR="001169B9" w:rsidP="00842ACD">
      <w:pPr>
        <w:pStyle w:val="JuQuot"/>
      </w:pPr>
      <w:r w:rsidRPr="00842ACD">
        <w:t>4. Les personnes placées sous la garde de l</w:t>
      </w:r>
      <w:r w:rsidRPr="00842ACD" w:rsidR="00842ACD">
        <w:t>’</w:t>
      </w:r>
      <w:r w:rsidRPr="00842ACD">
        <w:t>Administration nationale des établissements pénitentiaires peuvent demander des repas [conformes aux] préceptes des cultes ou des associations religieuses reconnus par la loi (...). Les repas conformes aux préceptes des cultes ou des associations religieuses reconnus par la loi peuvent être reçus [selon les conditions] du régime réglementaire relatif à la réception des colis. »</w:t>
      </w:r>
    </w:p>
    <w:bookmarkStart w:name="hot_guvern" w:id="12"/>
    <w:p w:rsidRPr="00842ACD" w:rsidR="001169B9" w:rsidP="00842ACD">
      <w:pPr>
        <w:pStyle w:val="JuPara"/>
        <w:rPr>
          <w:rFonts w:eastAsia="Times New Roman"/>
        </w:rPr>
      </w:pPr>
      <w:r w:rsidRPr="00842ACD">
        <w:rPr>
          <w:rFonts w:eastAsia="Times New Roman"/>
        </w:rPr>
        <w:fldChar w:fldCharType="begin"/>
      </w:r>
      <w:r w:rsidRPr="00842ACD">
        <w:rPr>
          <w:rFonts w:eastAsia="Times New Roman"/>
        </w:rPr>
        <w:instrText xml:space="preserve"> SEQ level0 \*arabic </w:instrText>
      </w:r>
      <w:r w:rsidRPr="00842ACD">
        <w:rPr>
          <w:rFonts w:eastAsia="Times New Roman"/>
        </w:rPr>
        <w:fldChar w:fldCharType="separate"/>
      </w:r>
      <w:r w:rsidRPr="00842ACD" w:rsidR="00842ACD">
        <w:rPr>
          <w:rFonts w:eastAsia="Times New Roman"/>
          <w:noProof/>
        </w:rPr>
        <w:t>13</w:t>
      </w:r>
      <w:r w:rsidRPr="00842ACD">
        <w:rPr>
          <w:rFonts w:eastAsia="Times New Roman"/>
        </w:rPr>
        <w:fldChar w:fldCharType="end"/>
      </w:r>
      <w:bookmarkEnd w:id="12"/>
      <w:r w:rsidRPr="00842ACD">
        <w:rPr>
          <w:rFonts w:eastAsia="Times New Roman"/>
        </w:rPr>
        <w:t>.  L</w:t>
      </w:r>
      <w:r w:rsidRPr="00842ACD" w:rsidR="00842ACD">
        <w:rPr>
          <w:rFonts w:eastAsia="Times New Roman"/>
        </w:rPr>
        <w:t>’</w:t>
      </w:r>
      <w:r w:rsidRPr="00842ACD">
        <w:rPr>
          <w:rFonts w:eastAsia="Times New Roman"/>
        </w:rPr>
        <w:t>arrêté du gouvernement n</w:t>
      </w:r>
      <w:r w:rsidRPr="00842ACD">
        <w:rPr>
          <w:rFonts w:eastAsia="Times New Roman"/>
          <w:vertAlign w:val="superscript"/>
        </w:rPr>
        <w:t>o</w:t>
      </w:r>
      <w:r w:rsidRPr="00842ACD">
        <w:rPr>
          <w:rFonts w:eastAsia="Times New Roman"/>
        </w:rPr>
        <w:t xml:space="preserve"> 157/2016 </w:t>
      </w:r>
      <w:r w:rsidRPr="00842ACD">
        <w:rPr>
          <w:rFonts w:eastAsia="Times New Roman"/>
        </w:rPr>
        <w:t>portant</w:t>
      </w:r>
      <w:r w:rsidRPr="00842ACD">
        <w:rPr>
          <w:rFonts w:eastAsia="Times New Roman"/>
        </w:rPr>
        <w:t xml:space="preserve"> approbation du règlement d</w:t>
      </w:r>
      <w:r w:rsidRPr="00842ACD" w:rsidR="00842ACD">
        <w:rPr>
          <w:rFonts w:eastAsia="Times New Roman"/>
        </w:rPr>
        <w:t>’</w:t>
      </w:r>
      <w:r w:rsidRPr="00842ACD">
        <w:rPr>
          <w:rFonts w:eastAsia="Times New Roman"/>
        </w:rPr>
        <w:t>application de la loi n</w:t>
      </w:r>
      <w:r w:rsidRPr="00842ACD">
        <w:rPr>
          <w:rFonts w:eastAsia="Times New Roman"/>
          <w:vertAlign w:val="superscript"/>
        </w:rPr>
        <w:t>o</w:t>
      </w:r>
      <w:r w:rsidRPr="00842ACD">
        <w:rPr>
          <w:rFonts w:eastAsia="Times New Roman"/>
        </w:rPr>
        <w:t xml:space="preserve"> 254/2013 est ainsi libellé en ses dispositions pertinentes en l</w:t>
      </w:r>
      <w:r w:rsidRPr="00842ACD" w:rsidR="00842ACD">
        <w:rPr>
          <w:rFonts w:eastAsia="Times New Roman"/>
        </w:rPr>
        <w:t>’</w:t>
      </w:r>
      <w:r w:rsidRPr="00842ACD">
        <w:rPr>
          <w:rFonts w:eastAsia="Times New Roman"/>
        </w:rPr>
        <w:t>espèce :</w:t>
      </w:r>
    </w:p>
    <w:p w:rsidRPr="00842ACD" w:rsidR="001169B9" w:rsidP="00842ACD">
      <w:pPr>
        <w:pStyle w:val="JuHArticle"/>
        <w:rPr>
          <w:rFonts w:eastAsia="Times New Roman"/>
        </w:rPr>
      </w:pPr>
      <w:r w:rsidRPr="00842ACD">
        <w:rPr>
          <w:rFonts w:eastAsia="Times New Roman"/>
        </w:rPr>
        <w:t>Article 113 – Alimentation des détenus</w:t>
      </w:r>
    </w:p>
    <w:p w:rsidRPr="00842ACD" w:rsidR="001169B9" w:rsidP="00842ACD">
      <w:pPr>
        <w:pStyle w:val="JuQuot"/>
        <w:rPr>
          <w:rFonts w:eastAsia="Times New Roman"/>
        </w:rPr>
      </w:pPr>
      <w:r w:rsidRPr="00842ACD">
        <w:rPr>
          <w:rFonts w:eastAsia="Times New Roman"/>
        </w:rPr>
        <w:t>« 1. L</w:t>
      </w:r>
      <w:r w:rsidRPr="00842ACD" w:rsidR="00842ACD">
        <w:rPr>
          <w:rFonts w:eastAsia="Times New Roman"/>
        </w:rPr>
        <w:t>’</w:t>
      </w:r>
      <w:r w:rsidRPr="00842ACD">
        <w:rPr>
          <w:rFonts w:eastAsia="Times New Roman"/>
        </w:rPr>
        <w:t>administration de l</w:t>
      </w:r>
      <w:r w:rsidRPr="00842ACD" w:rsidR="00842ACD">
        <w:rPr>
          <w:rFonts w:eastAsia="Times New Roman"/>
        </w:rPr>
        <w:t>’</w:t>
      </w:r>
      <w:r w:rsidRPr="00842ACD">
        <w:rPr>
          <w:rFonts w:eastAsia="Times New Roman"/>
        </w:rPr>
        <w:t>établissement pénitentiaire fournit aux détenus, trois fois par jour, une alimentation variée, qui correspond aux règles qualitatives et quantitatives d</w:t>
      </w:r>
      <w:r w:rsidRPr="00842ACD" w:rsidR="00842ACD">
        <w:rPr>
          <w:rFonts w:eastAsia="Times New Roman"/>
        </w:rPr>
        <w:t>’</w:t>
      </w:r>
      <w:r w:rsidRPr="00842ACD">
        <w:rPr>
          <w:rFonts w:eastAsia="Times New Roman"/>
        </w:rPr>
        <w:t>hygiène alimentaire, en considération de l</w:t>
      </w:r>
      <w:r w:rsidRPr="00842ACD" w:rsidR="00842ACD">
        <w:rPr>
          <w:rFonts w:eastAsia="Times New Roman"/>
        </w:rPr>
        <w:t>’</w:t>
      </w:r>
      <w:r w:rsidRPr="00842ACD">
        <w:rPr>
          <w:rFonts w:eastAsia="Times New Roman"/>
        </w:rPr>
        <w:t>âge, de l</w:t>
      </w:r>
      <w:r w:rsidRPr="00842ACD" w:rsidR="00842ACD">
        <w:rPr>
          <w:rFonts w:eastAsia="Times New Roman"/>
        </w:rPr>
        <w:t>’</w:t>
      </w:r>
      <w:r w:rsidRPr="00842ACD">
        <w:rPr>
          <w:rFonts w:eastAsia="Times New Roman"/>
        </w:rPr>
        <w:t>état de santé et de la nature du travail effectué, en respectant les croyances religieuses déclarées par le détenu lors de l</w:t>
      </w:r>
      <w:r w:rsidRPr="00842ACD" w:rsidR="00842ACD">
        <w:rPr>
          <w:rFonts w:eastAsia="Times New Roman"/>
        </w:rPr>
        <w:t>’</w:t>
      </w:r>
      <w:r w:rsidRPr="00842ACD">
        <w:rPr>
          <w:rFonts w:eastAsia="Times New Roman"/>
        </w:rPr>
        <w:t>incarcération ou, le cas échéant, lors de l</w:t>
      </w:r>
      <w:r w:rsidRPr="00842ACD" w:rsidR="00842ACD">
        <w:rPr>
          <w:rFonts w:eastAsia="Times New Roman"/>
        </w:rPr>
        <w:t>’</w:t>
      </w:r>
      <w:r w:rsidRPr="00842ACD">
        <w:rPr>
          <w:rFonts w:eastAsia="Times New Roman"/>
        </w:rPr>
        <w:t>adhésion, librement consentie et prouvée, à d</w:t>
      </w:r>
      <w:r w:rsidRPr="00842ACD" w:rsidR="00842ACD">
        <w:rPr>
          <w:rFonts w:eastAsia="Times New Roman"/>
        </w:rPr>
        <w:t>’</w:t>
      </w:r>
      <w:r w:rsidRPr="00842ACD">
        <w:rPr>
          <w:rFonts w:eastAsia="Times New Roman"/>
        </w:rPr>
        <w:t>autres religions reconnues par l</w:t>
      </w:r>
      <w:r w:rsidRPr="00842ACD" w:rsidR="00842ACD">
        <w:rPr>
          <w:rFonts w:eastAsia="Times New Roman"/>
        </w:rPr>
        <w:t>’</w:t>
      </w:r>
      <w:r w:rsidRPr="00842ACD">
        <w:rPr>
          <w:rFonts w:eastAsia="Times New Roman"/>
        </w:rPr>
        <w:t>État roumain, pendant l</w:t>
      </w:r>
      <w:r w:rsidRPr="00842ACD" w:rsidR="00842ACD">
        <w:rPr>
          <w:rFonts w:eastAsia="Times New Roman"/>
        </w:rPr>
        <w:t>’</w:t>
      </w:r>
      <w:r w:rsidRPr="00842ACD">
        <w:rPr>
          <w:rFonts w:eastAsia="Times New Roman"/>
        </w:rPr>
        <w:t>exécution de la peine.</w:t>
      </w:r>
    </w:p>
    <w:p w:rsidRPr="00842ACD" w:rsidR="001169B9" w:rsidP="00842ACD">
      <w:pPr>
        <w:pStyle w:val="JuQuot"/>
        <w:rPr>
          <w:rFonts w:eastAsia="Times New Roman"/>
        </w:rPr>
      </w:pPr>
      <w:r w:rsidRPr="00842ACD">
        <w:rPr>
          <w:rFonts w:eastAsia="Times New Roman"/>
        </w:rPr>
        <w:t>(...)</w:t>
      </w:r>
    </w:p>
    <w:p w:rsidRPr="00842ACD" w:rsidR="001169B9" w:rsidP="00842ACD">
      <w:pPr>
        <w:pStyle w:val="JuQuot"/>
        <w:rPr>
          <w:rFonts w:eastAsia="Times New Roman"/>
        </w:rPr>
      </w:pPr>
      <w:r w:rsidRPr="00842ACD">
        <w:rPr>
          <w:rFonts w:eastAsia="Times New Roman"/>
        </w:rPr>
        <w:t>4. L</w:t>
      </w:r>
      <w:r w:rsidRPr="00842ACD" w:rsidR="00842ACD">
        <w:rPr>
          <w:rFonts w:eastAsia="Times New Roman"/>
        </w:rPr>
        <w:t>’</w:t>
      </w:r>
      <w:r w:rsidRPr="00842ACD">
        <w:rPr>
          <w:rFonts w:eastAsia="Times New Roman"/>
        </w:rPr>
        <w:t>administration de l</w:t>
      </w:r>
      <w:r w:rsidRPr="00842ACD" w:rsidR="00842ACD">
        <w:rPr>
          <w:rFonts w:eastAsia="Times New Roman"/>
        </w:rPr>
        <w:t>’</w:t>
      </w:r>
      <w:r w:rsidRPr="00842ACD">
        <w:rPr>
          <w:rFonts w:eastAsia="Times New Roman"/>
        </w:rPr>
        <w:t>établissement pénitentiaire assure des conditions de service des repas, principalement dans des salles à manger, ainsi que l</w:t>
      </w:r>
      <w:r w:rsidRPr="00842ACD" w:rsidR="00842ACD">
        <w:rPr>
          <w:rFonts w:eastAsia="Times New Roman"/>
        </w:rPr>
        <w:t>’</w:t>
      </w:r>
      <w:r w:rsidRPr="00842ACD">
        <w:rPr>
          <w:rFonts w:eastAsia="Times New Roman"/>
        </w:rPr>
        <w:t>équipement nécessaire pour la préparation, la distribution et le service des repas, selon les normes établies par le ministère de la Sant</w:t>
      </w:r>
      <w:r w:rsidRPr="00842ACD">
        <w:rPr>
          <w:rFonts w:eastAsia="Times New Roman" w:cstheme="minorHAnsi"/>
        </w:rPr>
        <w:t>é</w:t>
      </w:r>
      <w:r w:rsidRPr="00842ACD">
        <w:rPr>
          <w:rFonts w:eastAsia="Times New Roman"/>
        </w:rPr>
        <w:t>.</w:t>
      </w:r>
    </w:p>
    <w:p w:rsidRPr="00842ACD" w:rsidR="001169B9" w:rsidP="00842ACD">
      <w:pPr>
        <w:pStyle w:val="JuQuot"/>
        <w:rPr>
          <w:rFonts w:eastAsia="Times New Roman"/>
        </w:rPr>
      </w:pPr>
      <w:r w:rsidRPr="00842ACD">
        <w:rPr>
          <w:rFonts w:eastAsia="Times New Roman"/>
        </w:rPr>
        <w:t>5. La préparation des repas se fait sous le contrôle et la surveillance du personnel spécialisé de l</w:t>
      </w:r>
      <w:r w:rsidRPr="00842ACD" w:rsidR="00842ACD">
        <w:rPr>
          <w:rFonts w:eastAsia="Times New Roman"/>
        </w:rPr>
        <w:t>’</w:t>
      </w:r>
      <w:r w:rsidRPr="00842ACD">
        <w:rPr>
          <w:rFonts w:eastAsia="Times New Roman"/>
        </w:rPr>
        <w:t>établissement pénitentiaire. »</w:t>
      </w:r>
    </w:p>
    <w:p w:rsidRPr="00842ACD" w:rsidR="001169B9" w:rsidP="00842ACD">
      <w:pPr>
        <w:pStyle w:val="JuHArticle"/>
        <w:rPr>
          <w:rFonts w:eastAsia="Times New Roman"/>
        </w:rPr>
      </w:pPr>
      <w:r w:rsidRPr="00842ACD">
        <w:rPr>
          <w:rFonts w:eastAsia="Times New Roman"/>
        </w:rPr>
        <w:t>Article 148 – Poids, nombre de colis, et catégories de marchandises pouvant être reçues, achetées, conservées et utilisées par les personnes purgeant des peines privatives de liberté</w:t>
      </w:r>
    </w:p>
    <w:p w:rsidRPr="00842ACD" w:rsidR="001169B9" w:rsidP="00842ACD">
      <w:pPr>
        <w:pStyle w:val="JuQuot"/>
        <w:rPr>
          <w:rFonts w:eastAsia="Times New Roman"/>
        </w:rPr>
      </w:pPr>
      <w:r w:rsidRPr="00842ACD">
        <w:rPr>
          <w:rFonts w:eastAsia="Times New Roman"/>
        </w:rPr>
        <w:t>« 1. Les détenus ont le droit de recevoir, d</w:t>
      </w:r>
      <w:r w:rsidRPr="00842ACD" w:rsidR="00842ACD">
        <w:rPr>
          <w:rFonts w:eastAsia="Times New Roman"/>
        </w:rPr>
        <w:t>’</w:t>
      </w:r>
      <w:r w:rsidRPr="00842ACD">
        <w:rPr>
          <w:rFonts w:eastAsia="Times New Roman"/>
        </w:rPr>
        <w:t>acheter, de conserver et d</w:t>
      </w:r>
      <w:r w:rsidRPr="00842ACD" w:rsidR="00842ACD">
        <w:rPr>
          <w:rFonts w:eastAsia="Times New Roman"/>
        </w:rPr>
        <w:t>’</w:t>
      </w:r>
      <w:r w:rsidRPr="00842ACD">
        <w:rPr>
          <w:rFonts w:eastAsia="Times New Roman"/>
        </w:rPr>
        <w:t xml:space="preserve">utiliser pendant la détention des biens de la nature de ceux prévus </w:t>
      </w:r>
      <w:r w:rsidRPr="00842ACD">
        <w:rPr>
          <w:rFonts w:eastAsia="Times New Roman" w:cstheme="minorHAnsi"/>
        </w:rPr>
        <w:t>à</w:t>
      </w:r>
      <w:r w:rsidRPr="00842ACD">
        <w:rPr>
          <w:rFonts w:eastAsia="Times New Roman"/>
        </w:rPr>
        <w:t xml:space="preserve"> l</w:t>
      </w:r>
      <w:r w:rsidRPr="00842ACD" w:rsidR="00842ACD">
        <w:rPr>
          <w:rFonts w:eastAsia="Times New Roman"/>
        </w:rPr>
        <w:t>’</w:t>
      </w:r>
      <w:r w:rsidRPr="00842ACD">
        <w:rPr>
          <w:rFonts w:eastAsia="Times New Roman"/>
        </w:rPr>
        <w:t>annexe n</w:t>
      </w:r>
      <w:r w:rsidRPr="00842ACD">
        <w:rPr>
          <w:rFonts w:eastAsia="Times New Roman"/>
          <w:vertAlign w:val="superscript"/>
        </w:rPr>
        <w:t>o</w:t>
      </w:r>
      <w:r w:rsidRPr="00842ACD">
        <w:rPr>
          <w:rFonts w:eastAsia="Times New Roman"/>
        </w:rPr>
        <w:t xml:space="preserve"> 1.</w:t>
      </w:r>
    </w:p>
    <w:p w:rsidRPr="00842ACD" w:rsidR="001169B9" w:rsidP="00842ACD">
      <w:pPr>
        <w:pStyle w:val="JuQuot"/>
        <w:rPr>
          <w:rFonts w:eastAsia="Times New Roman"/>
        </w:rPr>
      </w:pPr>
      <w:r w:rsidRPr="00842ACD">
        <w:rPr>
          <w:rFonts w:eastAsia="Times New Roman"/>
        </w:rPr>
        <w:t>(...)</w:t>
      </w:r>
    </w:p>
    <w:p w:rsidRPr="00842ACD" w:rsidR="001169B9" w:rsidP="00842ACD">
      <w:pPr>
        <w:pStyle w:val="JuQuot"/>
        <w:rPr>
          <w:rFonts w:eastAsia="Times New Roman"/>
        </w:rPr>
      </w:pPr>
      <w:r w:rsidRPr="00842ACD">
        <w:rPr>
          <w:rFonts w:eastAsia="Times New Roman"/>
        </w:rPr>
        <w:t>4. Les détenus ont le droit de recevoir chaque mois un colis avec des produits alimentaires d</w:t>
      </w:r>
      <w:r w:rsidRPr="00842ACD" w:rsidR="00842ACD">
        <w:rPr>
          <w:rFonts w:eastAsia="Times New Roman"/>
        </w:rPr>
        <w:t>’</w:t>
      </w:r>
      <w:r w:rsidRPr="00842ACD">
        <w:rPr>
          <w:rFonts w:eastAsia="Times New Roman"/>
        </w:rPr>
        <w:t>un poids de 10 kilos maximum, auquel peut s</w:t>
      </w:r>
      <w:r w:rsidRPr="00842ACD" w:rsidR="00842ACD">
        <w:rPr>
          <w:rFonts w:eastAsia="Times New Roman"/>
        </w:rPr>
        <w:t>’</w:t>
      </w:r>
      <w:r w:rsidRPr="00842ACD">
        <w:rPr>
          <w:rFonts w:eastAsia="Times New Roman"/>
        </w:rPr>
        <w:t>ajouter une quantité de fruits et légumes de 6 kilos maximum.</w:t>
      </w:r>
    </w:p>
    <w:p w:rsidRPr="00842ACD" w:rsidR="001169B9" w:rsidP="00842ACD">
      <w:pPr>
        <w:pStyle w:val="JuQuot"/>
        <w:rPr>
          <w:rFonts w:eastAsia="Times New Roman"/>
        </w:rPr>
      </w:pPr>
      <w:r w:rsidRPr="00842ACD">
        <w:rPr>
          <w:rFonts w:eastAsia="Times New Roman"/>
        </w:rPr>
        <w:t xml:space="preserve">5. Les colis prévus au paragraphe 4 ainsi que les articles et les objets prévus </w:t>
      </w:r>
      <w:r w:rsidRPr="00842ACD">
        <w:rPr>
          <w:rFonts w:eastAsia="Times New Roman" w:cstheme="minorHAnsi"/>
        </w:rPr>
        <w:t>à</w:t>
      </w:r>
      <w:r w:rsidRPr="00842ACD">
        <w:rPr>
          <w:rFonts w:eastAsia="Times New Roman"/>
        </w:rPr>
        <w:t xml:space="preserve"> l</w:t>
      </w:r>
      <w:r w:rsidRPr="00842ACD" w:rsidR="00842ACD">
        <w:rPr>
          <w:rFonts w:eastAsia="Times New Roman"/>
        </w:rPr>
        <w:t>’</w:t>
      </w:r>
      <w:r w:rsidRPr="00842ACD">
        <w:rPr>
          <w:rFonts w:eastAsia="Times New Roman"/>
        </w:rPr>
        <w:t>annexe n</w:t>
      </w:r>
      <w:r w:rsidRPr="00842ACD">
        <w:rPr>
          <w:rFonts w:eastAsia="Times New Roman"/>
          <w:vertAlign w:val="superscript"/>
        </w:rPr>
        <w:t>o</w:t>
      </w:r>
      <w:r w:rsidRPr="00842ACD">
        <w:rPr>
          <w:rFonts w:eastAsia="Times New Roman"/>
        </w:rPr>
        <w:t xml:space="preserve"> 1 peuvent être reçus </w:t>
      </w:r>
      <w:r w:rsidRPr="00842ACD">
        <w:rPr>
          <w:rFonts w:eastAsia="Times New Roman" w:cstheme="minorHAnsi"/>
        </w:rPr>
        <w:t>à</w:t>
      </w:r>
      <w:r w:rsidRPr="00842ACD">
        <w:rPr>
          <w:rFonts w:eastAsia="Times New Roman"/>
        </w:rPr>
        <w:t xml:space="preserve"> l</w:t>
      </w:r>
      <w:r w:rsidRPr="00842ACD" w:rsidR="00842ACD">
        <w:rPr>
          <w:rFonts w:eastAsia="Times New Roman"/>
        </w:rPr>
        <w:t>’</w:t>
      </w:r>
      <w:r w:rsidRPr="00842ACD">
        <w:rPr>
          <w:rFonts w:eastAsia="Times New Roman"/>
        </w:rPr>
        <w:t>occasion des visites.</w:t>
      </w:r>
    </w:p>
    <w:p w:rsidRPr="00842ACD" w:rsidR="001169B9" w:rsidP="00842ACD">
      <w:pPr>
        <w:pStyle w:val="JuQuot"/>
        <w:rPr>
          <w:rFonts w:eastAsia="Times New Roman"/>
        </w:rPr>
      </w:pPr>
      <w:r w:rsidRPr="00842ACD">
        <w:rPr>
          <w:rFonts w:eastAsia="Times New Roman"/>
        </w:rPr>
        <w:t>6. La réception, l</w:t>
      </w:r>
      <w:r w:rsidRPr="00842ACD" w:rsidR="00842ACD">
        <w:rPr>
          <w:rFonts w:eastAsia="Times New Roman"/>
        </w:rPr>
        <w:t>’</w:t>
      </w:r>
      <w:r w:rsidRPr="00842ACD">
        <w:rPr>
          <w:rFonts w:eastAsia="Times New Roman"/>
        </w:rPr>
        <w:t>utilisation et la conservation des marchandises, y compris des [denrées] alimentaires, doivent se faire dans le respect des règles d</w:t>
      </w:r>
      <w:r w:rsidRPr="00842ACD" w:rsidR="00842ACD">
        <w:rPr>
          <w:rFonts w:eastAsia="Times New Roman"/>
        </w:rPr>
        <w:t>’</w:t>
      </w:r>
      <w:r w:rsidRPr="00842ACD">
        <w:rPr>
          <w:rFonts w:eastAsia="Times New Roman"/>
        </w:rPr>
        <w:t>hygiène et des mesures de sécurité imposées par l</w:t>
      </w:r>
      <w:r w:rsidRPr="00842ACD" w:rsidR="00842ACD">
        <w:rPr>
          <w:rFonts w:eastAsia="Times New Roman"/>
        </w:rPr>
        <w:t>’</w:t>
      </w:r>
      <w:r w:rsidRPr="00842ACD">
        <w:rPr>
          <w:rFonts w:eastAsia="Times New Roman"/>
        </w:rPr>
        <w:t>administration de l</w:t>
      </w:r>
      <w:r w:rsidRPr="00842ACD" w:rsidR="00842ACD">
        <w:rPr>
          <w:rFonts w:eastAsia="Times New Roman"/>
        </w:rPr>
        <w:t>’</w:t>
      </w:r>
      <w:r w:rsidRPr="00842ACD">
        <w:rPr>
          <w:rFonts w:eastAsia="Times New Roman"/>
        </w:rPr>
        <w:t>établissement pénitentiaire.</w:t>
      </w:r>
    </w:p>
    <w:p w:rsidRPr="00842ACD" w:rsidR="001169B9" w:rsidP="00842ACD">
      <w:pPr>
        <w:pStyle w:val="JuQuot"/>
        <w:rPr>
          <w:rFonts w:eastAsia="Times New Roman"/>
        </w:rPr>
      </w:pPr>
      <w:r w:rsidRPr="00842ACD">
        <w:rPr>
          <w:rFonts w:eastAsia="Times New Roman"/>
        </w:rPr>
        <w:t>(...)</w:t>
      </w:r>
    </w:p>
    <w:p w:rsidRPr="00842ACD" w:rsidR="001169B9" w:rsidP="00842ACD">
      <w:pPr>
        <w:pStyle w:val="JuQuot"/>
        <w:rPr>
          <w:rFonts w:eastAsia="Times New Roman"/>
        </w:rPr>
      </w:pPr>
      <w:r w:rsidRPr="00842ACD">
        <w:rPr>
          <w:rFonts w:eastAsia="Times New Roman"/>
        </w:rPr>
        <w:t>8. Il est interdit aux détenus :</w:t>
      </w:r>
    </w:p>
    <w:p w:rsidRPr="00842ACD" w:rsidR="001169B9" w:rsidP="00842ACD">
      <w:pPr>
        <w:pStyle w:val="JuQuot"/>
        <w:rPr>
          <w:rFonts w:eastAsia="Times New Roman"/>
        </w:rPr>
      </w:pPr>
      <w:r w:rsidRPr="00842ACD">
        <w:rPr>
          <w:rFonts w:eastAsia="Times New Roman"/>
        </w:rPr>
        <w:t>a) de recevoir des produits alimentaires qui, en vue de leur consommation, nécessitent d</w:t>
      </w:r>
      <w:r w:rsidRPr="00842ACD" w:rsidR="00842ACD">
        <w:rPr>
          <w:rFonts w:eastAsia="Times New Roman"/>
        </w:rPr>
        <w:t>’</w:t>
      </w:r>
      <w:r w:rsidRPr="00842ACD">
        <w:rPr>
          <w:rFonts w:eastAsia="Times New Roman"/>
        </w:rPr>
        <w:t>être réchauffés, cuits ou bouillis ou [de subir] un autre traitement thermique ;</w:t>
      </w:r>
    </w:p>
    <w:p w:rsidRPr="00842ACD" w:rsidR="001169B9" w:rsidP="00842ACD">
      <w:pPr>
        <w:pStyle w:val="JuQuot"/>
        <w:rPr>
          <w:rFonts w:eastAsia="Times New Roman"/>
        </w:rPr>
      </w:pPr>
      <w:r w:rsidRPr="00842ACD">
        <w:rPr>
          <w:rFonts w:eastAsia="Times New Roman"/>
        </w:rPr>
        <w:t>b) d</w:t>
      </w:r>
      <w:r w:rsidRPr="00842ACD" w:rsidR="00842ACD">
        <w:rPr>
          <w:rFonts w:eastAsia="Times New Roman"/>
        </w:rPr>
        <w:t>’</w:t>
      </w:r>
      <w:r w:rsidRPr="00842ACD">
        <w:rPr>
          <w:rFonts w:eastAsia="Times New Roman"/>
        </w:rPr>
        <w:t>acheter des produits alimentaires qui sont rapidement périssables ou qui, en vue de leur consommation, nécessitent d</w:t>
      </w:r>
      <w:r w:rsidRPr="00842ACD" w:rsidR="00842ACD">
        <w:rPr>
          <w:rFonts w:eastAsia="Times New Roman"/>
        </w:rPr>
        <w:t>’</w:t>
      </w:r>
      <w:r w:rsidRPr="00842ACD">
        <w:rPr>
          <w:rFonts w:eastAsia="Times New Roman"/>
        </w:rPr>
        <w:t xml:space="preserve">être réchauffés, cuits ou bouillis ou [de subir] un autre traitement thermique, </w:t>
      </w:r>
      <w:r w:rsidRPr="00842ACD">
        <w:rPr>
          <w:rFonts w:eastAsia="Times New Roman" w:cstheme="minorHAnsi"/>
        </w:rPr>
        <w:t>à</w:t>
      </w:r>
      <w:r w:rsidRPr="00842ACD">
        <w:rPr>
          <w:rFonts w:eastAsia="Times New Roman"/>
        </w:rPr>
        <w:t xml:space="preserve"> l</w:t>
      </w:r>
      <w:r w:rsidRPr="00842ACD" w:rsidR="00842ACD">
        <w:rPr>
          <w:rFonts w:eastAsia="Times New Roman"/>
        </w:rPr>
        <w:t>’</w:t>
      </w:r>
      <w:r w:rsidRPr="00842ACD">
        <w:rPr>
          <w:rFonts w:eastAsia="Times New Roman"/>
        </w:rPr>
        <w:t>exception du café, du thé, du lait et des soupes instantanées ;</w:t>
      </w:r>
    </w:p>
    <w:p w:rsidRPr="00842ACD" w:rsidR="001169B9" w:rsidP="00842ACD">
      <w:pPr>
        <w:pStyle w:val="JuQuot"/>
        <w:rPr>
          <w:rFonts w:eastAsia="Times New Roman"/>
        </w:rPr>
      </w:pPr>
      <w:r w:rsidRPr="00842ACD">
        <w:rPr>
          <w:rFonts w:eastAsia="Times New Roman"/>
        </w:rPr>
        <w:t>c) de recevoir et d</w:t>
      </w:r>
      <w:r w:rsidRPr="00842ACD" w:rsidR="00842ACD">
        <w:rPr>
          <w:rFonts w:eastAsia="Times New Roman"/>
        </w:rPr>
        <w:t>’</w:t>
      </w:r>
      <w:r w:rsidRPr="00842ACD">
        <w:rPr>
          <w:rFonts w:eastAsia="Times New Roman"/>
        </w:rPr>
        <w:t>acheter des citrons et des dérivés de ceux-ci.</w:t>
      </w:r>
    </w:p>
    <w:p w:rsidRPr="00842ACD" w:rsidR="001169B9" w:rsidP="00842ACD">
      <w:pPr>
        <w:pStyle w:val="JuQuot"/>
        <w:rPr>
          <w:rFonts w:eastAsia="Times New Roman"/>
        </w:rPr>
      </w:pPr>
      <w:r w:rsidRPr="00842ACD">
        <w:rPr>
          <w:rFonts w:eastAsia="Times New Roman"/>
        </w:rPr>
        <w:t>(...) »</w:t>
      </w:r>
    </w:p>
    <w:p w:rsidRPr="00842ACD" w:rsidR="001169B9" w:rsidP="00842ACD">
      <w:pPr>
        <w:pStyle w:val="JuHHead"/>
        <w:numPr>
          <w:ilvl w:val="0"/>
          <w:numId w:val="1"/>
        </w:numPr>
        <w:jc w:val="both"/>
        <w:rPr>
          <w:lang w:val="fr-FR"/>
        </w:rPr>
      </w:pPr>
      <w:r w:rsidRPr="00842ACD">
        <w:rPr>
          <w:caps w:val="0"/>
          <w:lang w:val="fr-FR"/>
        </w:rPr>
        <w:t>LE DROIT EUROPÉEN PERTINENT</w:t>
      </w:r>
    </w:p>
    <w:bookmarkStart w:name="RPE" w:id="13"/>
    <w:p w:rsidRPr="00842ACD" w:rsidR="001169B9" w:rsidP="00842ACD">
      <w:pPr>
        <w:pStyle w:val="JuPara"/>
        <w:rPr>
          <w:iCs/>
          <w:spacing w:val="-2"/>
        </w:rPr>
      </w:pPr>
      <w:r w:rsidRPr="00842ACD">
        <w:fldChar w:fldCharType="begin"/>
      </w:r>
      <w:r w:rsidRPr="00842ACD">
        <w:instrText xml:space="preserve"> SEQ level0 \*arabic </w:instrText>
      </w:r>
      <w:r w:rsidRPr="00842ACD">
        <w:fldChar w:fldCharType="separate"/>
      </w:r>
      <w:r w:rsidRPr="00842ACD" w:rsidR="00842ACD">
        <w:rPr>
          <w:noProof/>
        </w:rPr>
        <w:t>14</w:t>
      </w:r>
      <w:r w:rsidRPr="00842ACD">
        <w:fldChar w:fldCharType="end"/>
      </w:r>
      <w:bookmarkEnd w:id="13"/>
      <w:r w:rsidRPr="00842ACD">
        <w:t xml:space="preserve">.  La Recommandation </w:t>
      </w:r>
      <w:r w:rsidRPr="00842ACD">
        <w:t>Rec</w:t>
      </w:r>
      <w:r w:rsidRPr="00842ACD">
        <w:t>(2006)2 du Comité des Ministres du Conseil de l</w:t>
      </w:r>
      <w:r w:rsidRPr="00842ACD" w:rsidR="00842ACD">
        <w:t>’</w:t>
      </w:r>
      <w:r w:rsidRPr="00842ACD">
        <w:t xml:space="preserve">Europe aux États membres sur les Règles pénitentiaires européennes </w:t>
      </w:r>
      <w:r w:rsidRPr="00842ACD">
        <w:rPr>
          <w:iCs/>
          <w:spacing w:val="-2"/>
        </w:rPr>
        <w:t>(adoptée par le Comité des Ministres le 11 janvier 2006) prévoit ce qui suit en ses parties pertinentes en l</w:t>
      </w:r>
      <w:r w:rsidRPr="00842ACD" w:rsidR="00842ACD">
        <w:rPr>
          <w:iCs/>
          <w:spacing w:val="-2"/>
        </w:rPr>
        <w:t>’</w:t>
      </w:r>
      <w:r w:rsidRPr="00842ACD">
        <w:rPr>
          <w:iCs/>
          <w:spacing w:val="-2"/>
        </w:rPr>
        <w:t>espèce </w:t>
      </w:r>
      <w:r w:rsidRPr="00842ACD">
        <w:t>ː</w:t>
      </w:r>
    </w:p>
    <w:p w:rsidRPr="00842ACD" w:rsidR="001169B9" w:rsidP="00842ACD">
      <w:pPr>
        <w:pStyle w:val="JuHArticle"/>
      </w:pPr>
      <w:r w:rsidRPr="00842ACD">
        <w:t>Régime alimentaire</w:t>
      </w:r>
    </w:p>
    <w:p w:rsidRPr="00842ACD" w:rsidR="001169B9" w:rsidP="00842ACD">
      <w:pPr>
        <w:pStyle w:val="JuQuot"/>
      </w:pPr>
      <w:r w:rsidRPr="00842ACD">
        <w:t>« 22.1 Les détenus doivent bénéficier d</w:t>
      </w:r>
      <w:r w:rsidRPr="00842ACD" w:rsidR="00842ACD">
        <w:t>’</w:t>
      </w:r>
      <w:r w:rsidRPr="00842ACD">
        <w:t>un régime alimentaire tenant compte de leur âge, de leur état de santé, de leur état physique, de leur religion, de leur culture et de la nature de leur travail.</w:t>
      </w:r>
    </w:p>
    <w:p w:rsidRPr="00842ACD" w:rsidR="001169B9" w:rsidP="00842ACD">
      <w:pPr>
        <w:pStyle w:val="JuQuot"/>
      </w:pPr>
      <w:r w:rsidRPr="00842ACD">
        <w:t>22.2 Le droit interne doit déterminer les critères de qualité du régime alimentaire en précisant notamment son contenu énergétique et protéinique minimal.</w:t>
      </w:r>
    </w:p>
    <w:p w:rsidRPr="00842ACD" w:rsidR="001169B9" w:rsidP="00842ACD">
      <w:pPr>
        <w:pStyle w:val="JuQuot"/>
      </w:pPr>
      <w:r w:rsidRPr="00842ACD">
        <w:t>22.3 La nourriture doit être préparée et servie dans des conditions hygiéniques.</w:t>
      </w:r>
    </w:p>
    <w:p w:rsidRPr="00842ACD" w:rsidR="001169B9" w:rsidP="00842ACD">
      <w:pPr>
        <w:pStyle w:val="JuQuot"/>
      </w:pPr>
      <w:r w:rsidRPr="00842ACD">
        <w:t>22.4 Trois repas doivent être servis tous les jours à des intervalles raisonnables.</w:t>
      </w:r>
    </w:p>
    <w:p w:rsidRPr="00842ACD" w:rsidR="001169B9" w:rsidP="00842ACD">
      <w:pPr>
        <w:pStyle w:val="JuQuot"/>
      </w:pPr>
      <w:r w:rsidRPr="00842ACD">
        <w:t>(...) »</w:t>
      </w:r>
    </w:p>
    <w:p w:rsidRPr="00842ACD" w:rsidR="001169B9" w:rsidP="00842ACD">
      <w:pPr>
        <w:pStyle w:val="JuHArticle"/>
      </w:pPr>
      <w:r w:rsidRPr="00842ACD">
        <w:t>Liberté de pensée, de conscience et de religion</w:t>
      </w:r>
    </w:p>
    <w:p w:rsidRPr="00842ACD" w:rsidR="001169B9" w:rsidP="00842ACD">
      <w:pPr>
        <w:pStyle w:val="JuQuot"/>
      </w:pPr>
      <w:r w:rsidRPr="00842ACD">
        <w:t>« 29.1 Le droit à la liberté de pensée, de conscience et de religion des détenus doit être respecté.</w:t>
      </w:r>
    </w:p>
    <w:p w:rsidRPr="00842ACD" w:rsidR="001169B9" w:rsidP="00842ACD">
      <w:pPr>
        <w:pStyle w:val="JuQuot"/>
      </w:pPr>
      <w:r w:rsidRPr="00842ACD">
        <w:t>29.2 Le régime carcéral doit être organisé, autant que possible, de manière à permettre aux détenus de pratiquer leur religion et de suivre leur philosophie, de participer à des services ou réunions menés par des représentants agréés des dites religions ou philosophies, de recevoir en privé des visites de tels représentants de leur religion ou leur philosophie et d</w:t>
      </w:r>
      <w:r w:rsidRPr="00842ACD" w:rsidR="00842ACD">
        <w:t>’</w:t>
      </w:r>
      <w:r w:rsidRPr="00842ACD">
        <w:t>avoir en leur possession des livres ou publications à caractère religieux ou spirituel.</w:t>
      </w:r>
    </w:p>
    <w:p w:rsidRPr="00842ACD" w:rsidR="001169B9" w:rsidP="00842ACD">
      <w:pPr>
        <w:pStyle w:val="JuQuot"/>
      </w:pPr>
      <w:r w:rsidRPr="00842ACD">
        <w:t xml:space="preserve">29.3 Les détenus ne peuvent être contraints de pratiquer une religion ou de suivre une philosophie, de participer à des services ou des réunions </w:t>
      </w:r>
      <w:r w:rsidRPr="00842ACD">
        <w:t>religieux</w:t>
      </w:r>
      <w:r w:rsidRPr="00842ACD">
        <w:t>, de participer à des pratiques religieuses ou bien d</w:t>
      </w:r>
      <w:r w:rsidRPr="00842ACD" w:rsidR="00842ACD">
        <w:t>’</w:t>
      </w:r>
      <w:r w:rsidRPr="00842ACD">
        <w:t>accepter la visite d</w:t>
      </w:r>
      <w:r w:rsidRPr="00842ACD" w:rsidR="00842ACD">
        <w:t>’</w:t>
      </w:r>
      <w:r w:rsidRPr="00842ACD">
        <w:t>un représentant d</w:t>
      </w:r>
      <w:r w:rsidRPr="00842ACD" w:rsidR="00842ACD">
        <w:t>’</w:t>
      </w:r>
      <w:r w:rsidRPr="00842ACD">
        <w:t>une religion ou d</w:t>
      </w:r>
      <w:r w:rsidRPr="00842ACD" w:rsidR="00842ACD">
        <w:t>’</w:t>
      </w:r>
      <w:r w:rsidRPr="00842ACD">
        <w:t>une philosophie quelconque. »</w:t>
      </w:r>
    </w:p>
    <w:bookmarkStart w:name="comentariu_RPE" w:id="14"/>
    <w:p w:rsidRPr="00842ACD" w:rsidR="001169B9" w:rsidP="00842ACD">
      <w:pPr>
        <w:pStyle w:val="JuPara"/>
      </w:pPr>
      <w:r w:rsidRPr="00842ACD">
        <w:fldChar w:fldCharType="begin"/>
      </w:r>
      <w:r w:rsidRPr="00842ACD">
        <w:instrText xml:space="preserve"> SEQ level0 \*arabic </w:instrText>
      </w:r>
      <w:r w:rsidRPr="00842ACD">
        <w:fldChar w:fldCharType="separate"/>
      </w:r>
      <w:r w:rsidRPr="00842ACD" w:rsidR="00842ACD">
        <w:rPr>
          <w:noProof/>
        </w:rPr>
        <w:t>15</w:t>
      </w:r>
      <w:r w:rsidRPr="00842ACD">
        <w:fldChar w:fldCharType="end"/>
      </w:r>
      <w:bookmarkEnd w:id="14"/>
      <w:r w:rsidRPr="00842ACD">
        <w:t xml:space="preserve">.  Le Commentaire de la Recommandation </w:t>
      </w:r>
      <w:r w:rsidRPr="00842ACD">
        <w:t>Rec</w:t>
      </w:r>
      <w:r w:rsidRPr="00842ACD">
        <w:t>(2006)2 comporte les précisions suivantes</w:t>
      </w:r>
      <w:r w:rsidRPr="00842ACD">
        <w:rPr>
          <w:iCs/>
          <w:spacing w:val="-2"/>
        </w:rPr>
        <w:t> </w:t>
      </w:r>
      <w:r w:rsidRPr="00842ACD">
        <w:t>ː</w:t>
      </w:r>
    </w:p>
    <w:p w:rsidRPr="00842ACD" w:rsidR="001169B9" w:rsidP="00842ACD">
      <w:pPr>
        <w:pStyle w:val="JuHArticle"/>
      </w:pPr>
      <w:r w:rsidRPr="00842ACD">
        <w:t>Régime alimentaire – Règle 22</w:t>
      </w:r>
    </w:p>
    <w:p w:rsidRPr="00842ACD" w:rsidR="001169B9" w:rsidP="00842ACD">
      <w:pPr>
        <w:pStyle w:val="JuQuot"/>
      </w:pPr>
      <w:r w:rsidRPr="00842ACD">
        <w:t>« Une fonction essentielle des autorités pénitentiaires est de veiller à ce que les détenus reçoivent une alimentation satisfaisante. La modification de l</w:t>
      </w:r>
      <w:r w:rsidRPr="00842ACD" w:rsidR="00842ACD">
        <w:t>’</w:t>
      </w:r>
      <w:r w:rsidRPr="00842ACD">
        <w:t>intitulé de cette section des règles (« Régime alimentaire » au lieu de « Alimentation ») vise à souligner ce fait. Des arrangements selon lesquels le détenu assure individuellement son alimentation ne sont pas interdits par la règle mais, si tel devait être le cas, il conviendrait de veiller à ce que le détenu ait trois repas par jour. Dans certains États, les autorités pénitentiaires permettent aux détenus de préparer eux-mêmes leurs repas, car cela leur donne un aperçu des aspects positifs de la vie en communauté. Dans ce cas, elles mettent à leur disposition les installations adéquates ainsi qu</w:t>
      </w:r>
      <w:r w:rsidRPr="00842ACD" w:rsidR="00842ACD">
        <w:t>’</w:t>
      </w:r>
      <w:r w:rsidRPr="00842ACD">
        <w:t>une quantité de nourriture suffisant à satisfaire leurs besoins nutritionnels.</w:t>
      </w:r>
    </w:p>
    <w:p w:rsidRPr="00842ACD" w:rsidR="001169B9" w:rsidP="00842ACD">
      <w:pPr>
        <w:pStyle w:val="JuQuot"/>
      </w:pPr>
      <w:r w:rsidRPr="00842ACD">
        <w:t>La Règle 22.2 oblige maintenant de façon spécifique les autorités nationales à inscrire les critères de qualité du régime alimentaire dans le droit interne. Ces critères doivent tenir compte des besoins alimentaires de différentes catégories de détenus. Une fois de telles normes spécifiques définies, les systèmes d</w:t>
      </w:r>
      <w:r w:rsidRPr="00842ACD" w:rsidR="00842ACD">
        <w:t>’</w:t>
      </w:r>
      <w:r w:rsidRPr="00842ACD">
        <w:t>inspection interne ainsi que les organes nationaux et internationaux de contrôle disposeront d</w:t>
      </w:r>
      <w:r w:rsidRPr="00842ACD" w:rsidR="00842ACD">
        <w:t>’</w:t>
      </w:r>
      <w:r w:rsidRPr="00842ACD">
        <w:t>une base leur permettant d</w:t>
      </w:r>
      <w:r w:rsidRPr="00842ACD" w:rsidR="00842ACD">
        <w:t>’</w:t>
      </w:r>
      <w:r w:rsidRPr="00842ACD">
        <w:t>établir si les besoins alimentaires des détenus sont satisfaits conformément à la loi.</w:t>
      </w:r>
    </w:p>
    <w:p w:rsidRPr="00842ACD" w:rsidR="001169B9" w:rsidP="00842ACD">
      <w:pPr>
        <w:pStyle w:val="JuQuot"/>
      </w:pPr>
      <w:r w:rsidRPr="00842ACD">
        <w:t>(...) »</w:t>
      </w:r>
    </w:p>
    <w:p w:rsidRPr="00842ACD" w:rsidR="001169B9" w:rsidP="00842ACD">
      <w:pPr>
        <w:pStyle w:val="JuHArticle"/>
      </w:pPr>
      <w:r w:rsidRPr="00842ACD">
        <w:t>Liberté de pensée, de conscience et de religion – Règle 29</w:t>
      </w:r>
    </w:p>
    <w:p w:rsidRPr="00842ACD" w:rsidR="001169B9" w:rsidP="00842ACD">
      <w:pPr>
        <w:pStyle w:val="JuQuot"/>
      </w:pPr>
      <w:r w:rsidRPr="00842ACD">
        <w:t>« Les règles pénitentiaires ont considéré jusqu</w:t>
      </w:r>
      <w:r w:rsidRPr="00842ACD" w:rsidR="00842ACD">
        <w:t>’</w:t>
      </w:r>
      <w:r w:rsidRPr="00842ACD">
        <w:t>ici la place de la religion en prison comme non problématique et se sont limitées à formuler des recommandations positives sur les meilleurs moyens d</w:t>
      </w:r>
      <w:r w:rsidRPr="00842ACD" w:rsidR="00842ACD">
        <w:t>’</w:t>
      </w:r>
      <w:r w:rsidRPr="00842ACD">
        <w:t>organiser la vie religieuse en prison. Cependant, l</w:t>
      </w:r>
      <w:r w:rsidRPr="00842ACD" w:rsidR="00842ACD">
        <w:t>’</w:t>
      </w:r>
      <w:r w:rsidRPr="00842ACD">
        <w:t>augmentation dans certains pays du nombre de détenus animés de fortes convictions religieuses nécessite une approche mieux fondée quant aux principes, ainsi que l</w:t>
      </w:r>
      <w:r w:rsidRPr="00842ACD" w:rsidR="00842ACD">
        <w:t>’</w:t>
      </w:r>
      <w:r w:rsidRPr="00842ACD">
        <w:t>adoption d</w:t>
      </w:r>
      <w:r w:rsidRPr="00842ACD" w:rsidR="00842ACD">
        <w:t>’</w:t>
      </w:r>
      <w:r w:rsidRPr="00842ACD">
        <w:t>exigences positives.</w:t>
      </w:r>
    </w:p>
    <w:p w:rsidRPr="00842ACD" w:rsidR="001169B9" w:rsidP="00842ACD">
      <w:pPr>
        <w:pStyle w:val="JuQuot"/>
      </w:pPr>
      <w:r w:rsidRPr="00842ACD">
        <w:t>La Règle 29.1 vise à assurer la reconnaissance de la liberté de religion et de la liberté de pensée et de conscience, conformément à l</w:t>
      </w:r>
      <w:r w:rsidRPr="00842ACD" w:rsidR="00842ACD">
        <w:t>’</w:t>
      </w:r>
      <w:r w:rsidRPr="00842ACD">
        <w:t>article 9 de la Convention européenne des Droits de l</w:t>
      </w:r>
      <w:r w:rsidRPr="00842ACD" w:rsidR="00842ACD">
        <w:t>’</w:t>
      </w:r>
      <w:r w:rsidRPr="00842ACD">
        <w:t>Homme.</w:t>
      </w:r>
    </w:p>
    <w:p w:rsidRPr="00842ACD" w:rsidR="001169B9" w:rsidP="00842ACD">
      <w:pPr>
        <w:pStyle w:val="JuQuot"/>
      </w:pPr>
      <w:r w:rsidRPr="00842ACD">
        <w:t>La Règle 29.2 ajoute l</w:t>
      </w:r>
      <w:r w:rsidRPr="00842ACD" w:rsidR="00842ACD">
        <w:t>’</w:t>
      </w:r>
      <w:r w:rsidRPr="00842ACD">
        <w:t>obligation positive pour les autorités pénitentiaires de faciliter la pratique religieuse et le respect des croyances des détenus. Diverses mesures pourront être prises à cet égard. La Règle 22 prévoit déjà que les exigences liées à des convictions religieuses soient prises en compte dans le régime alimentaire des détenus. Dans la mesure du possible, des lieux de culte et de réunion doivent être fournis dans chaque prison aux détenus de diverses religions et confessions. Lorsqu</w:t>
      </w:r>
      <w:r w:rsidRPr="00842ACD" w:rsidR="00842ACD">
        <w:t>’</w:t>
      </w:r>
      <w:r w:rsidRPr="00842ACD">
        <w:t>une prison contient un nombre suffisant de détenus appartenant à une même religion, un représentant de cette religion doit être agréé. Lorsque le nombre de détenus le justifie et si les conditions le permettent, la personne désignée devra remplir cette fonction à plein temps. Le représentant qualifié doit être autorisé à tenir des services réguliers, à organiser des activités et à avoir des entretiens en privé avec les détenus appartenant à sa religion. Aucun détenu ne doit se voir refuser l</w:t>
      </w:r>
      <w:r w:rsidRPr="00842ACD" w:rsidR="00842ACD">
        <w:t>’</w:t>
      </w:r>
      <w:r w:rsidRPr="00842ACD">
        <w:t>accès au représentant agréé d</w:t>
      </w:r>
      <w:r w:rsidRPr="00842ACD" w:rsidR="00842ACD">
        <w:t>’</w:t>
      </w:r>
      <w:r w:rsidRPr="00842ACD">
        <w:t>une religion.</w:t>
      </w:r>
    </w:p>
    <w:p w:rsidRPr="00842ACD" w:rsidR="001169B9" w:rsidP="00842ACD">
      <w:pPr>
        <w:pStyle w:val="JuQuot"/>
      </w:pPr>
      <w:r w:rsidRPr="00842ACD">
        <w:t>La Règle 29.3 vise à protéger les détenus de toute pression indue en matière religieuse. Ces questions sont abordées dans la section générale afin de souligner que la pratique religieuse ne doit pas être conçue principalement comme un aspect du programme de détention, mais comme une question d</w:t>
      </w:r>
      <w:r w:rsidRPr="00842ACD" w:rsidR="00842ACD">
        <w:t>’</w:t>
      </w:r>
      <w:r w:rsidRPr="00842ACD">
        <w:t>intérêt général concernant tous les détenus. »</w:t>
      </w:r>
    </w:p>
    <w:p w:rsidRPr="00842ACD" w:rsidR="001169B9" w:rsidP="00842ACD">
      <w:pPr>
        <w:pStyle w:val="JuHHead"/>
        <w:numPr>
          <w:ilvl w:val="0"/>
          <w:numId w:val="1"/>
        </w:numPr>
        <w:jc w:val="both"/>
        <w:rPr>
          <w:lang w:val="fr-FR"/>
        </w:rPr>
      </w:pPr>
      <w:bookmarkStart w:name="_Hlk36127250" w:id="15"/>
      <w:r w:rsidRPr="00842ACD">
        <w:rPr>
          <w:caps w:val="0"/>
          <w:lang w:val="fr-FR"/>
        </w:rPr>
        <w:t>EN DROIT</w:t>
      </w:r>
    </w:p>
    <w:bookmarkEnd w:id="15"/>
    <w:p w:rsidRPr="00842ACD" w:rsidR="001169B9" w:rsidP="00842ACD">
      <w:pPr>
        <w:pStyle w:val="JuHIRoman"/>
        <w:numPr>
          <w:ilvl w:val="1"/>
          <w:numId w:val="1"/>
        </w:numPr>
        <w:ind w:left="357"/>
        <w:jc w:val="both"/>
        <w:rPr>
          <w:lang w:val="fr-FR"/>
        </w:rPr>
      </w:pPr>
      <w:r w:rsidRPr="00842ACD">
        <w:rPr>
          <w:lang w:val="fr-FR"/>
        </w:rPr>
        <w:t>OBSERVATIONS PRÉLIMINAIRES</w:t>
      </w:r>
    </w:p>
    <w:p w:rsidRPr="00842ACD" w:rsidR="001169B9" w:rsidP="00842ACD">
      <w:pPr>
        <w:pStyle w:val="JuHA"/>
        <w:numPr>
          <w:ilvl w:val="2"/>
          <w:numId w:val="1"/>
        </w:numPr>
        <w:jc w:val="both"/>
        <w:rPr>
          <w:lang w:val="fr-FR"/>
        </w:rPr>
      </w:pPr>
      <w:r w:rsidRPr="00842ACD">
        <w:rPr>
          <w:lang w:val="fr-FR"/>
        </w:rPr>
        <w:t>Sur la jonction des requ</w:t>
      </w:r>
      <w:r w:rsidRPr="00842ACD">
        <w:rPr>
          <w:rFonts w:cstheme="minorHAnsi"/>
          <w:lang w:val="fr-FR"/>
        </w:rPr>
        <w:t>ê</w:t>
      </w:r>
      <w:r w:rsidRPr="00842ACD">
        <w:rPr>
          <w:lang w:val="fr-FR"/>
        </w:rPr>
        <w:t>tes</w:t>
      </w:r>
    </w:p>
    <w:p w:rsidRPr="00842ACD" w:rsidR="001169B9" w:rsidP="00842ACD">
      <w:pPr>
        <w:pStyle w:val="JuPara"/>
      </w:pPr>
      <w:r w:rsidRPr="00842ACD">
        <w:fldChar w:fldCharType="begin"/>
      </w:r>
      <w:r w:rsidRPr="00842ACD">
        <w:instrText xml:space="preserve"> SEQ level0 \*arabic </w:instrText>
      </w:r>
      <w:r w:rsidRPr="00842ACD">
        <w:fldChar w:fldCharType="separate"/>
      </w:r>
      <w:r w:rsidRPr="00842ACD" w:rsidR="00842ACD">
        <w:rPr>
          <w:noProof/>
        </w:rPr>
        <w:t>16</w:t>
      </w:r>
      <w:r w:rsidRPr="00842ACD">
        <w:fldChar w:fldCharType="end"/>
      </w:r>
      <w:r w:rsidRPr="00842ACD">
        <w:t xml:space="preserve">.  Compte tenu de la similitude des requêtes, la Cour estime </w:t>
      </w:r>
      <w:r w:rsidRPr="00842ACD">
        <w:t>approprié</w:t>
      </w:r>
      <w:r w:rsidRPr="00842ACD">
        <w:t xml:space="preserve"> d</w:t>
      </w:r>
      <w:r w:rsidRPr="00842ACD" w:rsidR="00842ACD">
        <w:t>’</w:t>
      </w:r>
      <w:r w:rsidRPr="00842ACD">
        <w:t>ordonner leur jonction (article 42 § 1 du règlement de la Cour).</w:t>
      </w:r>
    </w:p>
    <w:p w:rsidRPr="00842ACD" w:rsidR="001169B9" w:rsidP="00842ACD">
      <w:pPr>
        <w:pStyle w:val="JuHA"/>
        <w:numPr>
          <w:ilvl w:val="2"/>
          <w:numId w:val="1"/>
        </w:numPr>
        <w:jc w:val="both"/>
        <w:rPr>
          <w:lang w:val="fr-FR"/>
        </w:rPr>
      </w:pPr>
      <w:r w:rsidRPr="00842ACD">
        <w:rPr>
          <w:lang w:val="fr-FR"/>
        </w:rPr>
        <w:t>Sur l</w:t>
      </w:r>
      <w:r w:rsidRPr="00842ACD" w:rsidR="00842ACD">
        <w:rPr>
          <w:lang w:val="fr-FR"/>
        </w:rPr>
        <w:t>’</w:t>
      </w:r>
      <w:r w:rsidRPr="00842ACD">
        <w:rPr>
          <w:lang w:val="fr-FR"/>
        </w:rPr>
        <w:t>objet des requêtes</w:t>
      </w:r>
    </w:p>
    <w:p w:rsidRPr="00842ACD" w:rsidR="001169B9" w:rsidP="00842ACD">
      <w:pPr>
        <w:pStyle w:val="JuPara"/>
      </w:pPr>
      <w:r w:rsidRPr="00842ACD">
        <w:fldChar w:fldCharType="begin"/>
      </w:r>
      <w:r w:rsidRPr="00842ACD">
        <w:instrText xml:space="preserve"> SEQ level0 \*arabic </w:instrText>
      </w:r>
      <w:r w:rsidRPr="00842ACD">
        <w:fldChar w:fldCharType="separate"/>
      </w:r>
      <w:r w:rsidRPr="00842ACD" w:rsidR="00842ACD">
        <w:rPr>
          <w:noProof/>
        </w:rPr>
        <w:t>17</w:t>
      </w:r>
      <w:r w:rsidRPr="00842ACD">
        <w:fldChar w:fldCharType="end"/>
      </w:r>
      <w:r w:rsidRPr="00842ACD">
        <w:t>.  La Cour note de prime abord que dans leurs formulaires de requêtes, les requérants ont soulevé des doléances relatives à l</w:t>
      </w:r>
      <w:r w:rsidRPr="00842ACD" w:rsidR="00842ACD">
        <w:t>’</w:t>
      </w:r>
      <w:r w:rsidRPr="00842ACD">
        <w:t xml:space="preserve">allocation de repas casher à la prison de </w:t>
      </w:r>
      <w:r w:rsidRPr="00842ACD">
        <w:t>Rahova</w:t>
      </w:r>
      <w:r w:rsidRPr="00842ACD">
        <w:t xml:space="preserve">, et que ces griefs ont été communiqués au Gouvernement. Pour autant que, dans leurs observations, les requérants allèguent que la situation a perduré aux prisons de </w:t>
      </w:r>
      <w:r w:rsidRPr="00842ACD">
        <w:t>Mărgineni</w:t>
      </w:r>
      <w:r w:rsidRPr="00842ACD">
        <w:t xml:space="preserve"> et de Giurgiu, où ils ont été ensuite transférés, force est de constater que les intéressés n</w:t>
      </w:r>
      <w:r w:rsidRPr="00842ACD" w:rsidR="00842ACD">
        <w:t>’</w:t>
      </w:r>
      <w:r w:rsidRPr="00842ACD">
        <w:t xml:space="preserve">ont pas indiqué concrètement quels aménagements ont été mis en place </w:t>
      </w:r>
      <w:r w:rsidRPr="00842ACD">
        <w:t>dans ces établissements et qu</w:t>
      </w:r>
      <w:r w:rsidRPr="00842ACD" w:rsidR="00842ACD">
        <w:t>’</w:t>
      </w:r>
      <w:r w:rsidRPr="00842ACD">
        <w:t>ils n</w:t>
      </w:r>
      <w:r w:rsidRPr="00842ACD" w:rsidR="00842ACD">
        <w:t>’</w:t>
      </w:r>
      <w:r w:rsidRPr="00842ACD">
        <w:t>ont pas démontré avoir fait, après leur transfert, des demandes d</w:t>
      </w:r>
      <w:r w:rsidRPr="00842ACD" w:rsidR="00842ACD">
        <w:t>’</w:t>
      </w:r>
      <w:r w:rsidRPr="00842ACD">
        <w:t>allocation de repas casher et s</w:t>
      </w:r>
      <w:r w:rsidRPr="00842ACD" w:rsidR="00842ACD">
        <w:t>’</w:t>
      </w:r>
      <w:r w:rsidRPr="00842ACD">
        <w:t>être heurtés à un refus.</w:t>
      </w:r>
    </w:p>
    <w:p w:rsidRPr="00842ACD" w:rsidR="001169B9" w:rsidP="00842ACD">
      <w:pPr>
        <w:pStyle w:val="JuPara"/>
      </w:pPr>
      <w:r w:rsidRPr="00842ACD">
        <w:fldChar w:fldCharType="begin"/>
      </w:r>
      <w:r w:rsidRPr="00842ACD">
        <w:instrText xml:space="preserve"> SEQ level0 \*arabic </w:instrText>
      </w:r>
      <w:r w:rsidRPr="00842ACD">
        <w:fldChar w:fldCharType="separate"/>
      </w:r>
      <w:r w:rsidRPr="00842ACD" w:rsidR="00842ACD">
        <w:rPr>
          <w:noProof/>
        </w:rPr>
        <w:t>18</w:t>
      </w:r>
      <w:r w:rsidRPr="00842ACD">
        <w:fldChar w:fldCharType="end"/>
      </w:r>
      <w:r w:rsidRPr="00842ACD">
        <w:t>.  La Cour estime qu</w:t>
      </w:r>
      <w:r w:rsidRPr="00842ACD" w:rsidR="00842ACD">
        <w:t>’</w:t>
      </w:r>
      <w:r w:rsidRPr="00842ACD">
        <w:t>il s</w:t>
      </w:r>
      <w:r w:rsidRPr="00842ACD" w:rsidR="00842ACD">
        <w:t>’</w:t>
      </w:r>
      <w:r w:rsidRPr="00842ACD">
        <w:t>agit là de doléances nouvelles, non circonstanciées par des él</w:t>
      </w:r>
      <w:r w:rsidRPr="00842ACD" w:rsidR="00A825D5">
        <w:t>éments de preuve, et que celles-</w:t>
      </w:r>
      <w:r w:rsidRPr="00842ACD">
        <w:t xml:space="preserve">ci ne constituent pas des griefs sur lesquels les parties </w:t>
      </w:r>
      <w:r w:rsidRPr="00842ACD" w:rsidR="00A825D5">
        <w:t xml:space="preserve">ont échangé leurs observations. </w:t>
      </w:r>
      <w:r w:rsidRPr="00842ACD">
        <w:t xml:space="preserve">Dès lors, il convient de ne pas examiner ces griefs à ce stade de la procédure (voir, </w:t>
      </w:r>
      <w:r w:rsidRPr="00842ACD">
        <w:rPr>
          <w:i/>
        </w:rPr>
        <w:t>mutatis mutandis</w:t>
      </w:r>
      <w:r w:rsidRPr="00842ACD">
        <w:t>,</w:t>
      </w:r>
      <w:r w:rsidRPr="00842ACD">
        <w:rPr>
          <w:i/>
        </w:rPr>
        <w:t xml:space="preserve"> </w:t>
      </w:r>
      <w:r w:rsidRPr="00842ACD">
        <w:rPr>
          <w:i/>
        </w:rPr>
        <w:t>Nuray</w:t>
      </w:r>
      <w:r w:rsidRPr="00842ACD">
        <w:rPr>
          <w:i/>
        </w:rPr>
        <w:t xml:space="preserve"> </w:t>
      </w:r>
      <w:r w:rsidRPr="00842ACD">
        <w:rPr>
          <w:i/>
        </w:rPr>
        <w:t>Şen</w:t>
      </w:r>
      <w:r w:rsidRPr="00842ACD">
        <w:rPr>
          <w:i/>
        </w:rPr>
        <w:t xml:space="preserve"> c. Turquie (n</w:t>
      </w:r>
      <w:r w:rsidRPr="00842ACD">
        <w:rPr>
          <w:rFonts w:cs="Times New Roman"/>
          <w:i/>
          <w:vertAlign w:val="superscript"/>
        </w:rPr>
        <w:t>o</w:t>
      </w:r>
      <w:r w:rsidRPr="00842ACD">
        <w:rPr>
          <w:i/>
        </w:rPr>
        <w:t xml:space="preserve"> 2)</w:t>
      </w:r>
      <w:r w:rsidRPr="00842ACD">
        <w:t>, n</w:t>
      </w:r>
      <w:r w:rsidRPr="00842ACD">
        <w:rPr>
          <w:vertAlign w:val="superscript"/>
        </w:rPr>
        <w:t>o</w:t>
      </w:r>
      <w:r w:rsidRPr="00842ACD" w:rsidR="00105497">
        <w:t> </w:t>
      </w:r>
      <w:r w:rsidRPr="00842ACD">
        <w:t>25354/94, §§</w:t>
      </w:r>
      <w:r w:rsidRPr="00842ACD" w:rsidR="00105497">
        <w:t> </w:t>
      </w:r>
      <w:r w:rsidRPr="00842ACD">
        <w:t>199</w:t>
      </w:r>
      <w:r w:rsidRPr="00842ACD" w:rsidR="00105497">
        <w:noBreakHyphen/>
      </w:r>
      <w:r w:rsidRPr="00842ACD">
        <w:t xml:space="preserve">200, 30 mars 2004 ; </w:t>
      </w:r>
      <w:r w:rsidRPr="00842ACD">
        <w:rPr>
          <w:i/>
        </w:rPr>
        <w:t>Piryanik</w:t>
      </w:r>
      <w:r w:rsidRPr="00842ACD">
        <w:rPr>
          <w:i/>
        </w:rPr>
        <w:t xml:space="preserve"> c. Ukraine</w:t>
      </w:r>
      <w:r w:rsidRPr="00842ACD">
        <w:t>, n</w:t>
      </w:r>
      <w:r w:rsidRPr="00842ACD">
        <w:rPr>
          <w:vertAlign w:val="superscript"/>
        </w:rPr>
        <w:t>o</w:t>
      </w:r>
      <w:r w:rsidRPr="00842ACD">
        <w:t xml:space="preserve"> 75788/01, §§ 19-20, 19 avril 2005 ; et </w:t>
      </w:r>
      <w:r w:rsidRPr="00842ACD">
        <w:rPr>
          <w:i/>
        </w:rPr>
        <w:t>M.C.</w:t>
      </w:r>
      <w:r w:rsidRPr="00842ACD">
        <w:rPr>
          <w:snapToGrid w:val="0"/>
        </w:rPr>
        <w:t xml:space="preserve"> </w:t>
      </w:r>
      <w:r w:rsidRPr="00842ACD">
        <w:rPr>
          <w:i/>
        </w:rPr>
        <w:t>et autres c. Italie</w:t>
      </w:r>
      <w:r w:rsidRPr="00842ACD">
        <w:rPr>
          <w:snapToGrid w:val="0"/>
        </w:rPr>
        <w:t>, n</w:t>
      </w:r>
      <w:r w:rsidRPr="00842ACD">
        <w:rPr>
          <w:snapToGrid w:val="0"/>
          <w:vertAlign w:val="superscript"/>
        </w:rPr>
        <w:t>o</w:t>
      </w:r>
      <w:r w:rsidRPr="00842ACD">
        <w:rPr>
          <w:snapToGrid w:val="0"/>
        </w:rPr>
        <w:t xml:space="preserve"> 5376/11, § 54, 3</w:t>
      </w:r>
      <w:r w:rsidRPr="00842ACD" w:rsidR="00105497">
        <w:rPr>
          <w:snapToGrid w:val="0"/>
        </w:rPr>
        <w:t> </w:t>
      </w:r>
      <w:r w:rsidRPr="00842ACD">
        <w:rPr>
          <w:snapToGrid w:val="0"/>
        </w:rPr>
        <w:t>septembre 2013).</w:t>
      </w:r>
    </w:p>
    <w:p w:rsidRPr="00842ACD" w:rsidR="001169B9" w:rsidP="00842ACD">
      <w:pPr>
        <w:pStyle w:val="JuHIRoman"/>
        <w:numPr>
          <w:ilvl w:val="1"/>
          <w:numId w:val="1"/>
        </w:numPr>
        <w:ind w:left="357"/>
        <w:jc w:val="both"/>
        <w:rPr>
          <w:lang w:val="fr-FR"/>
        </w:rPr>
      </w:pPr>
      <w:bookmarkStart w:name="_Hlk36127423" w:id="16"/>
      <w:bookmarkStart w:name="_Hlk34839031" w:id="17"/>
      <w:r w:rsidRPr="00842ACD">
        <w:rPr>
          <w:lang w:val="fr-FR"/>
        </w:rPr>
        <w:t>SUR LA VIOLATION ALLÉGUÉE DE L</w:t>
      </w:r>
      <w:r w:rsidRPr="00842ACD" w:rsidR="00842ACD">
        <w:rPr>
          <w:lang w:val="fr-FR"/>
        </w:rPr>
        <w:t>’</w:t>
      </w:r>
      <w:r w:rsidRPr="00842ACD">
        <w:rPr>
          <w:lang w:val="fr-FR"/>
        </w:rPr>
        <w:t>ARTICLE 9 DE LA CONVENTION</w:t>
      </w:r>
      <w:bookmarkEnd w:id="16"/>
    </w:p>
    <w:p w:rsidRPr="00842ACD" w:rsidR="001169B9" w:rsidP="00842ACD">
      <w:pPr>
        <w:pStyle w:val="JuPara"/>
      </w:pPr>
      <w:r w:rsidRPr="00842ACD">
        <w:fldChar w:fldCharType="begin"/>
      </w:r>
      <w:r w:rsidRPr="00842ACD">
        <w:instrText xml:space="preserve"> SEQ level0 \*arabic </w:instrText>
      </w:r>
      <w:r w:rsidRPr="00842ACD">
        <w:fldChar w:fldCharType="separate"/>
      </w:r>
      <w:r w:rsidRPr="00842ACD" w:rsidR="00842ACD">
        <w:rPr>
          <w:noProof/>
        </w:rPr>
        <w:t>19</w:t>
      </w:r>
      <w:r w:rsidRPr="00842ACD">
        <w:fldChar w:fldCharType="end"/>
      </w:r>
      <w:r w:rsidRPr="00842ACD">
        <w:t xml:space="preserve">.  Les requérants allèguent une atteinte </w:t>
      </w:r>
      <w:r w:rsidRPr="00842ACD">
        <w:rPr>
          <w:rFonts w:cstheme="minorHAnsi"/>
        </w:rPr>
        <w:t>à</w:t>
      </w:r>
      <w:r w:rsidRPr="00842ACD">
        <w:t xml:space="preserve"> leur liberté de religion à raison d</w:t>
      </w:r>
      <w:r w:rsidRPr="00842ACD" w:rsidR="00842ACD">
        <w:t>’</w:t>
      </w:r>
      <w:r w:rsidRPr="00842ACD">
        <w:t xml:space="preserve">un manquement des autorités pénitentiaires de </w:t>
      </w:r>
      <w:r w:rsidRPr="00842ACD">
        <w:t>Rahova</w:t>
      </w:r>
      <w:r w:rsidRPr="00842ACD">
        <w:t xml:space="preserve"> à leur fournir des repas conformes aux préceptes de leur religion. Ils invoquent les articles 3 et</w:t>
      </w:r>
      <w:r w:rsidRPr="00842ACD" w:rsidR="00A825D5">
        <w:t xml:space="preserve"> </w:t>
      </w:r>
      <w:r w:rsidRPr="00842ACD">
        <w:t>14 de la Convention et l</w:t>
      </w:r>
      <w:r w:rsidRPr="00842ACD" w:rsidR="00842ACD">
        <w:t>’</w:t>
      </w:r>
      <w:r w:rsidRPr="00842ACD">
        <w:t>article 1 du Protocole n</w:t>
      </w:r>
      <w:r w:rsidRPr="00842ACD">
        <w:rPr>
          <w:vertAlign w:val="superscript"/>
        </w:rPr>
        <w:t xml:space="preserve">o </w:t>
      </w:r>
      <w:r w:rsidRPr="00842ACD">
        <w:t xml:space="preserve">12 </w:t>
      </w:r>
      <w:r w:rsidRPr="00842ACD">
        <w:rPr>
          <w:rFonts w:cstheme="minorHAnsi"/>
        </w:rPr>
        <w:t>à</w:t>
      </w:r>
      <w:r w:rsidRPr="00842ACD">
        <w:t xml:space="preserve"> la Convention.</w:t>
      </w:r>
    </w:p>
    <w:p w:rsidRPr="00842ACD" w:rsidR="001169B9" w:rsidP="00842ACD">
      <w:pPr>
        <w:pStyle w:val="JuPara"/>
      </w:pPr>
      <w:r w:rsidRPr="00842ACD">
        <w:t>La Cour rappelle qu</w:t>
      </w:r>
      <w:r w:rsidRPr="00842ACD" w:rsidR="00842ACD">
        <w:t>’</w:t>
      </w:r>
      <w:r w:rsidRPr="00842ACD">
        <w:t>elle n</w:t>
      </w:r>
      <w:r w:rsidRPr="00842ACD" w:rsidR="00842ACD">
        <w:t>’</w:t>
      </w:r>
      <w:r w:rsidRPr="00842ACD">
        <w:t>est pas tenue par les moyens de droit avancés par un requérant en vertu de la Convention et de ses Protocoles et qu</w:t>
      </w:r>
      <w:r w:rsidRPr="00842ACD" w:rsidR="00842ACD">
        <w:t>’</w:t>
      </w:r>
      <w:r w:rsidRPr="00842ACD">
        <w:t>elle peut décider de la qualification juridique à donner aux faits d</w:t>
      </w:r>
      <w:r w:rsidRPr="00842ACD" w:rsidR="00842ACD">
        <w:t>’</w:t>
      </w:r>
      <w:r w:rsidRPr="00842ACD">
        <w:t>un grief en examinant celui-ci sur le terrain d</w:t>
      </w:r>
      <w:r w:rsidRPr="00842ACD" w:rsidR="00842ACD">
        <w:t>’</w:t>
      </w:r>
      <w:r w:rsidRPr="00842ACD">
        <w:t>articles ou de dispositions de la Convention autres que ceux invoqués par le requérant (</w:t>
      </w:r>
      <w:r w:rsidRPr="00842ACD">
        <w:rPr>
          <w:i/>
          <w:iCs/>
        </w:rPr>
        <w:t>Radomilja</w:t>
      </w:r>
      <w:r w:rsidRPr="00842ACD">
        <w:rPr>
          <w:i/>
          <w:iCs/>
        </w:rPr>
        <w:t xml:space="preserve"> et autres c.</w:t>
      </w:r>
      <w:r w:rsidRPr="00842ACD" w:rsidR="00105497">
        <w:rPr>
          <w:i/>
          <w:iCs/>
        </w:rPr>
        <w:t> </w:t>
      </w:r>
      <w:r w:rsidRPr="00842ACD">
        <w:rPr>
          <w:i/>
          <w:iCs/>
        </w:rPr>
        <w:t>Croatie</w:t>
      </w:r>
      <w:r w:rsidRPr="00842ACD">
        <w:t xml:space="preserve"> [GC]</w:t>
      </w:r>
      <w:r w:rsidRPr="00842ACD">
        <w:rPr>
          <w:lang w:eastAsia="en-GB"/>
        </w:rPr>
        <w:t xml:space="preserve">, </w:t>
      </w:r>
      <w:r w:rsidRPr="00842ACD">
        <w:t>n</w:t>
      </w:r>
      <w:r w:rsidRPr="00842ACD">
        <w:rPr>
          <w:vertAlign w:val="superscript"/>
        </w:rPr>
        <w:t>os</w:t>
      </w:r>
      <w:r w:rsidRPr="00842ACD">
        <w:t xml:space="preserve"> 37685/10 et 22768/12</w:t>
      </w:r>
      <w:r w:rsidRPr="00842ACD">
        <w:rPr>
          <w:lang w:eastAsia="en-GB"/>
        </w:rPr>
        <w:t xml:space="preserve">, </w:t>
      </w:r>
      <w:r w:rsidRPr="00842ACD">
        <w:t>§ 126, 20 mars 2018).</w:t>
      </w:r>
    </w:p>
    <w:p w:rsidRPr="00842ACD" w:rsidR="001169B9" w:rsidP="00842ACD">
      <w:pPr>
        <w:pStyle w:val="JuPara"/>
        <w:rPr>
          <w:rFonts w:cstheme="minorHAnsi"/>
        </w:rPr>
      </w:pPr>
      <w:r w:rsidRPr="00842ACD">
        <w:fldChar w:fldCharType="begin"/>
      </w:r>
      <w:r w:rsidRPr="00842ACD">
        <w:instrText xml:space="preserve"> SEQ level0 \*arabic </w:instrText>
      </w:r>
      <w:r w:rsidRPr="00842ACD">
        <w:fldChar w:fldCharType="separate"/>
      </w:r>
      <w:r w:rsidRPr="00842ACD" w:rsidR="00842ACD">
        <w:rPr>
          <w:noProof/>
        </w:rPr>
        <w:t>20</w:t>
      </w:r>
      <w:r w:rsidRPr="00842ACD">
        <w:fldChar w:fldCharType="end"/>
      </w:r>
      <w:r w:rsidRPr="00842ACD">
        <w:t>.  En l</w:t>
      </w:r>
      <w:r w:rsidRPr="00842ACD" w:rsidR="00842ACD">
        <w:t>’</w:t>
      </w:r>
      <w:r w:rsidRPr="00842ACD">
        <w:t>espèce, elle estime que le grief susmentionné doit être examiné sous l</w:t>
      </w:r>
      <w:r w:rsidRPr="00842ACD" w:rsidR="00842ACD">
        <w:t>’</w:t>
      </w:r>
      <w:r w:rsidRPr="00842ACD">
        <w:t>angle de l</w:t>
      </w:r>
      <w:r w:rsidRPr="00842ACD" w:rsidR="00842ACD">
        <w:t>’</w:t>
      </w:r>
      <w:r w:rsidRPr="00842ACD">
        <w:t>article 9 de la Convention, qui est ainsi libell</w:t>
      </w:r>
      <w:r w:rsidRPr="00842ACD">
        <w:rPr>
          <w:rFonts w:cstheme="minorHAnsi"/>
        </w:rPr>
        <w:t>é</w:t>
      </w:r>
      <w:r w:rsidRPr="00842ACD">
        <w:t> </w:t>
      </w:r>
      <w:r w:rsidRPr="00842ACD">
        <w:rPr>
          <w:rFonts w:cstheme="minorHAnsi"/>
        </w:rPr>
        <w:t>:</w:t>
      </w:r>
    </w:p>
    <w:p w:rsidRPr="00842ACD" w:rsidR="001169B9" w:rsidP="00842ACD">
      <w:pPr>
        <w:pStyle w:val="JuQuot"/>
      </w:pPr>
      <w:r w:rsidRPr="00842ACD">
        <w:t>« 1.  Toute personne a droit à la liberté de pensée, de conscience et de religion ; ce droit implique la liberté de changer de religion ou de conviction, ainsi que la liberté de manifester sa religion ou sa conviction individuellement ou collectivement, en public ou en privé, par le culte, l</w:t>
      </w:r>
      <w:r w:rsidRPr="00842ACD" w:rsidR="00842ACD">
        <w:t>’</w:t>
      </w:r>
      <w:r w:rsidRPr="00842ACD">
        <w:t>enseignement, les pratiques et l</w:t>
      </w:r>
      <w:r w:rsidRPr="00842ACD" w:rsidR="00842ACD">
        <w:t>’</w:t>
      </w:r>
      <w:r w:rsidRPr="00842ACD">
        <w:t>accomplissement des rites.</w:t>
      </w:r>
    </w:p>
    <w:p w:rsidRPr="00842ACD" w:rsidR="001169B9" w:rsidP="00842ACD">
      <w:pPr>
        <w:pStyle w:val="JuQuot"/>
      </w:pPr>
      <w:r w:rsidRPr="00842ACD">
        <w:t>2.  La liberté de manifester sa religion ou ses convictions ne peut faire l</w:t>
      </w:r>
      <w:r w:rsidRPr="00842ACD" w:rsidR="00842ACD">
        <w:t>’</w:t>
      </w:r>
      <w:r w:rsidRPr="00842ACD">
        <w:t>objet d</w:t>
      </w:r>
      <w:r w:rsidRPr="00842ACD" w:rsidR="00842ACD">
        <w:t>’</w:t>
      </w:r>
      <w:r w:rsidRPr="00842ACD">
        <w:t>autres restrictions que celles qui, prévues par la loi, constituent des mesures nécessaires, dans une société démocratique, à la sécurité publique, à la protection de l</w:t>
      </w:r>
      <w:r w:rsidRPr="00842ACD" w:rsidR="00842ACD">
        <w:t>’</w:t>
      </w:r>
      <w:r w:rsidRPr="00842ACD">
        <w:t>ordre, de la santé ou de la morale publiques, ou à la protection des droits et libertés d</w:t>
      </w:r>
      <w:r w:rsidRPr="00842ACD" w:rsidR="00842ACD">
        <w:t>’</w:t>
      </w:r>
      <w:r w:rsidRPr="00842ACD">
        <w:t>autrui. »</w:t>
      </w:r>
    </w:p>
    <w:p w:rsidRPr="00842ACD" w:rsidR="001169B9" w:rsidP="00842ACD">
      <w:pPr>
        <w:pStyle w:val="JuHA"/>
        <w:numPr>
          <w:ilvl w:val="2"/>
          <w:numId w:val="1"/>
        </w:numPr>
        <w:jc w:val="both"/>
        <w:rPr>
          <w:lang w:val="fr-FR"/>
        </w:rPr>
      </w:pPr>
      <w:bookmarkStart w:name="_Hlk36127545" w:id="18"/>
      <w:r w:rsidRPr="00842ACD">
        <w:rPr>
          <w:lang w:val="fr-FR"/>
        </w:rPr>
        <w:t>Sur la recevabilité</w:t>
      </w:r>
      <w:bookmarkEnd w:id="18"/>
    </w:p>
    <w:p w:rsidRPr="00842ACD" w:rsidR="001169B9" w:rsidP="00842ACD">
      <w:pPr>
        <w:pStyle w:val="JuPara"/>
        <w:rPr>
          <w:b/>
        </w:rPr>
      </w:pPr>
      <w:r w:rsidRPr="00842ACD">
        <w:fldChar w:fldCharType="begin"/>
      </w:r>
      <w:r w:rsidRPr="00842ACD">
        <w:instrText xml:space="preserve"> SEQ level0 \*arabic </w:instrText>
      </w:r>
      <w:r w:rsidRPr="00842ACD">
        <w:fldChar w:fldCharType="separate"/>
      </w:r>
      <w:r w:rsidRPr="00842ACD" w:rsidR="00842ACD">
        <w:rPr>
          <w:noProof/>
        </w:rPr>
        <w:t>21</w:t>
      </w:r>
      <w:r w:rsidRPr="00842ACD">
        <w:fldChar w:fldCharType="end"/>
      </w:r>
      <w:r w:rsidRPr="00842ACD">
        <w:t>.  Le Gouvernement n</w:t>
      </w:r>
      <w:r w:rsidRPr="00842ACD" w:rsidR="00842ACD">
        <w:t>’</w:t>
      </w:r>
      <w:r w:rsidRPr="00842ACD">
        <w:t>a pas soulev</w:t>
      </w:r>
      <w:r w:rsidRPr="00842ACD">
        <w:rPr>
          <w:rFonts w:cstheme="minorHAnsi"/>
        </w:rPr>
        <w:t>é</w:t>
      </w:r>
      <w:r w:rsidRPr="00842ACD">
        <w:t xml:space="preserve"> d</w:t>
      </w:r>
      <w:r w:rsidRPr="00842ACD" w:rsidR="00842ACD">
        <w:t>’</w:t>
      </w:r>
      <w:r w:rsidRPr="00842ACD">
        <w:t>exception d</w:t>
      </w:r>
      <w:r w:rsidRPr="00842ACD" w:rsidR="00842ACD">
        <w:t>’</w:t>
      </w:r>
      <w:r w:rsidRPr="00842ACD">
        <w:t>irrecevabilit</w:t>
      </w:r>
      <w:r w:rsidRPr="00842ACD">
        <w:rPr>
          <w:rFonts w:cstheme="minorHAnsi"/>
        </w:rPr>
        <w:t>é</w:t>
      </w:r>
      <w:r w:rsidRPr="00842ACD">
        <w:t xml:space="preserve"> des requêtes.</w:t>
      </w:r>
    </w:p>
    <w:p w:rsidRPr="00842ACD" w:rsidR="001169B9" w:rsidP="00842ACD">
      <w:pPr>
        <w:pStyle w:val="JuPara"/>
      </w:pPr>
      <w:r w:rsidRPr="00842ACD">
        <w:fldChar w:fldCharType="begin"/>
      </w:r>
      <w:r w:rsidRPr="00842ACD">
        <w:instrText xml:space="preserve"> SEQ level0 \*arabic </w:instrText>
      </w:r>
      <w:r w:rsidRPr="00842ACD">
        <w:fldChar w:fldCharType="separate"/>
      </w:r>
      <w:r w:rsidRPr="00842ACD" w:rsidR="00842ACD">
        <w:rPr>
          <w:noProof/>
        </w:rPr>
        <w:t>22</w:t>
      </w:r>
      <w:r w:rsidRPr="00842ACD">
        <w:fldChar w:fldCharType="end"/>
      </w:r>
      <w:r w:rsidRPr="00842ACD">
        <w:t>.  </w:t>
      </w:r>
      <w:bookmarkStart w:name="_Hlk36127606" w:id="19"/>
      <w:r w:rsidRPr="00842ACD">
        <w:t>L</w:t>
      </w:r>
      <w:r w:rsidRPr="00842ACD">
        <w:rPr>
          <w:rFonts w:eastAsia="Times New Roman"/>
        </w:rPr>
        <w:t>a Cour note que l</w:t>
      </w:r>
      <w:r w:rsidRPr="00842ACD" w:rsidR="00842ACD">
        <w:rPr>
          <w:rFonts w:eastAsia="Times New Roman"/>
        </w:rPr>
        <w:t>’</w:t>
      </w:r>
      <w:r w:rsidRPr="00842ACD">
        <w:rPr>
          <w:rFonts w:eastAsia="Times New Roman"/>
        </w:rPr>
        <w:t>applicabilité de l</w:t>
      </w:r>
      <w:r w:rsidRPr="00842ACD" w:rsidR="00842ACD">
        <w:rPr>
          <w:rFonts w:eastAsia="Times New Roman"/>
        </w:rPr>
        <w:t>’</w:t>
      </w:r>
      <w:r w:rsidRPr="00842ACD">
        <w:rPr>
          <w:rFonts w:eastAsia="Times New Roman"/>
        </w:rPr>
        <w:t>article 9 de la Convention n</w:t>
      </w:r>
      <w:r w:rsidRPr="00842ACD" w:rsidR="00842ACD">
        <w:rPr>
          <w:rFonts w:eastAsia="Times New Roman"/>
        </w:rPr>
        <w:t>’</w:t>
      </w:r>
      <w:r w:rsidRPr="00842ACD">
        <w:rPr>
          <w:rFonts w:eastAsia="Times New Roman"/>
        </w:rPr>
        <w:t xml:space="preserve">est pas contestée par le Gouvernement. En effet, elle a déjà retenu que les restrictions ou prescriptions alimentaires peuvent relever de la pratique </w:t>
      </w:r>
      <w:r w:rsidRPr="00842ACD">
        <w:rPr>
          <w:rFonts w:eastAsia="Times New Roman"/>
        </w:rPr>
        <w:t>d</w:t>
      </w:r>
      <w:r w:rsidRPr="00842ACD" w:rsidR="00842ACD">
        <w:rPr>
          <w:rFonts w:eastAsia="Times New Roman"/>
        </w:rPr>
        <w:t>’</w:t>
      </w:r>
      <w:r w:rsidRPr="00842ACD">
        <w:rPr>
          <w:rFonts w:eastAsia="Times New Roman"/>
        </w:rPr>
        <w:t>une religion (</w:t>
      </w:r>
      <w:r w:rsidRPr="00842ACD">
        <w:rPr>
          <w:i/>
        </w:rPr>
        <w:t>Vartic</w:t>
      </w:r>
      <w:r w:rsidRPr="00842ACD">
        <w:rPr>
          <w:i/>
        </w:rPr>
        <w:t xml:space="preserve"> c. Roumanie (n</w:t>
      </w:r>
      <w:r w:rsidRPr="00842ACD">
        <w:rPr>
          <w:rFonts w:cs="Times New Roman"/>
          <w:i/>
          <w:vertAlign w:val="superscript"/>
        </w:rPr>
        <w:t>o</w:t>
      </w:r>
      <w:r w:rsidRPr="00842ACD">
        <w:rPr>
          <w:i/>
        </w:rPr>
        <w:t xml:space="preserve"> 2)</w:t>
      </w:r>
      <w:r w:rsidRPr="00842ACD">
        <w:t>, n</w:t>
      </w:r>
      <w:r w:rsidRPr="00842ACD">
        <w:rPr>
          <w:vertAlign w:val="superscript"/>
        </w:rPr>
        <w:t>o</w:t>
      </w:r>
      <w:r w:rsidRPr="00842ACD" w:rsidR="00A825D5">
        <w:t xml:space="preserve"> </w:t>
      </w:r>
      <w:r w:rsidRPr="00842ACD">
        <w:t>14150/08</w:t>
      </w:r>
      <w:r w:rsidRPr="00842ACD">
        <w:rPr>
          <w:snapToGrid w:val="0"/>
        </w:rPr>
        <w:t>, § 35, 17 </w:t>
      </w:r>
      <w:r w:rsidRPr="00842ACD">
        <w:t>décembre</w:t>
      </w:r>
      <w:r w:rsidRPr="00842ACD">
        <w:rPr>
          <w:snapToGrid w:val="0"/>
        </w:rPr>
        <w:t xml:space="preserve"> 2013</w:t>
      </w:r>
      <w:r w:rsidRPr="00842ACD">
        <w:rPr>
          <w:rFonts w:eastAsia="Times New Roman"/>
        </w:rPr>
        <w:t>). Les préceptes alimentaires spécifiques de la religion juive, en particulier quant aux aliments qui peuvent ou ne peuvent pas être mangés et à la façon de les préparer, sont expliqués en détail dans l</w:t>
      </w:r>
      <w:r w:rsidRPr="00842ACD" w:rsidR="00842ACD">
        <w:rPr>
          <w:rFonts w:eastAsia="Times New Roman"/>
        </w:rPr>
        <w:t>’</w:t>
      </w:r>
      <w:r w:rsidRPr="00842ACD">
        <w:rPr>
          <w:rFonts w:eastAsia="Times New Roman"/>
        </w:rPr>
        <w:t xml:space="preserve">arrêt </w:t>
      </w:r>
      <w:r w:rsidRPr="00842ACD">
        <w:rPr>
          <w:rFonts w:eastAsia="Times New Roman"/>
          <w:i/>
        </w:rPr>
        <w:t>Cha</w:t>
      </w:r>
      <w:r w:rsidRPr="00842ACD" w:rsidR="00842ACD">
        <w:rPr>
          <w:rFonts w:eastAsia="Times New Roman"/>
          <w:i/>
        </w:rPr>
        <w:t>’</w:t>
      </w:r>
      <w:r w:rsidRPr="00842ACD">
        <w:rPr>
          <w:rFonts w:eastAsia="Times New Roman"/>
          <w:i/>
        </w:rPr>
        <w:t>are</w:t>
      </w:r>
      <w:r w:rsidRPr="00842ACD">
        <w:rPr>
          <w:rFonts w:eastAsia="Times New Roman"/>
          <w:i/>
        </w:rPr>
        <w:t xml:space="preserve"> </w:t>
      </w:r>
      <w:r w:rsidRPr="00842ACD">
        <w:rPr>
          <w:rFonts w:eastAsia="Times New Roman"/>
          <w:i/>
        </w:rPr>
        <w:t>Shalom</w:t>
      </w:r>
      <w:r w:rsidRPr="00842ACD">
        <w:rPr>
          <w:rFonts w:eastAsia="Times New Roman"/>
          <w:i/>
        </w:rPr>
        <w:t xml:space="preserve"> Ve </w:t>
      </w:r>
      <w:r w:rsidRPr="00842ACD">
        <w:rPr>
          <w:rFonts w:eastAsia="Times New Roman"/>
          <w:i/>
        </w:rPr>
        <w:t>Tsedek</w:t>
      </w:r>
      <w:r w:rsidRPr="00842ACD">
        <w:rPr>
          <w:rFonts w:eastAsia="Times New Roman"/>
        </w:rPr>
        <w:t xml:space="preserve"> </w:t>
      </w:r>
      <w:r w:rsidRPr="00842ACD">
        <w:rPr>
          <w:rFonts w:eastAsia="Times New Roman"/>
          <w:i/>
        </w:rPr>
        <w:t>c. France</w:t>
      </w:r>
      <w:r w:rsidRPr="00842ACD">
        <w:rPr>
          <w:rFonts w:eastAsia="Times New Roman"/>
        </w:rPr>
        <w:t xml:space="preserve"> ([GC], n</w:t>
      </w:r>
      <w:r w:rsidRPr="00842ACD">
        <w:rPr>
          <w:rFonts w:eastAsia="Times New Roman"/>
          <w:vertAlign w:val="superscript"/>
        </w:rPr>
        <w:t>o</w:t>
      </w:r>
      <w:r w:rsidRPr="00842ACD">
        <w:rPr>
          <w:rFonts w:eastAsia="Times New Roman"/>
        </w:rPr>
        <w:t xml:space="preserve"> 27417/95, §§ 13</w:t>
      </w:r>
      <w:r w:rsidRPr="00842ACD">
        <w:rPr>
          <w:rFonts w:eastAsia="Times New Roman"/>
        </w:rPr>
        <w:noBreakHyphen/>
        <w:t>19, CEDH 2000</w:t>
      </w:r>
      <w:r w:rsidRPr="00842ACD">
        <w:rPr>
          <w:rFonts w:eastAsia="Times New Roman"/>
        </w:rPr>
        <w:noBreakHyphen/>
        <w:t>VII).</w:t>
      </w:r>
    </w:p>
    <w:p w:rsidRPr="00842ACD" w:rsidR="001169B9" w:rsidP="00842ACD">
      <w:pPr>
        <w:pStyle w:val="JuPara"/>
      </w:pPr>
      <w:r w:rsidRPr="00842ACD">
        <w:fldChar w:fldCharType="begin"/>
      </w:r>
      <w:r w:rsidRPr="00842ACD">
        <w:instrText xml:space="preserve"> SEQ level0 \*arabic </w:instrText>
      </w:r>
      <w:r w:rsidRPr="00842ACD">
        <w:fldChar w:fldCharType="separate"/>
      </w:r>
      <w:r w:rsidRPr="00842ACD" w:rsidR="00842ACD">
        <w:rPr>
          <w:noProof/>
        </w:rPr>
        <w:t>23</w:t>
      </w:r>
      <w:r w:rsidRPr="00842ACD">
        <w:fldChar w:fldCharType="end"/>
      </w:r>
      <w:r w:rsidRPr="00842ACD">
        <w:t>.  Constatant en outre que les requêtes ne sont pas manifestement mal fondées ni irrecevables pour un autre motif visé à l</w:t>
      </w:r>
      <w:r w:rsidRPr="00842ACD" w:rsidR="00842ACD">
        <w:t>’</w:t>
      </w:r>
      <w:r w:rsidRPr="00842ACD">
        <w:t>article 35 de la Convention, la Cour les déclare recevables.</w:t>
      </w:r>
      <w:bookmarkEnd w:id="19"/>
    </w:p>
    <w:p w:rsidRPr="00842ACD" w:rsidR="001169B9" w:rsidP="00842ACD">
      <w:pPr>
        <w:pStyle w:val="JuHA"/>
        <w:numPr>
          <w:ilvl w:val="2"/>
          <w:numId w:val="1"/>
        </w:numPr>
        <w:jc w:val="both"/>
        <w:rPr>
          <w:lang w:val="fr-FR"/>
        </w:rPr>
      </w:pPr>
      <w:bookmarkStart w:name="_Hlk36127650" w:id="20"/>
      <w:r w:rsidRPr="00842ACD">
        <w:rPr>
          <w:lang w:val="fr-FR"/>
        </w:rPr>
        <w:t>Sur le fond</w:t>
      </w:r>
      <w:bookmarkEnd w:id="20"/>
    </w:p>
    <w:p w:rsidRPr="00842ACD" w:rsidR="001169B9" w:rsidP="00842ACD">
      <w:pPr>
        <w:pStyle w:val="JuH1"/>
        <w:rPr>
          <w:lang w:val="fr-FR"/>
        </w:rPr>
      </w:pPr>
      <w:r w:rsidRPr="00842ACD">
        <w:rPr>
          <w:lang w:val="fr-FR"/>
        </w:rPr>
        <w:t>Arguments des parties</w:t>
      </w:r>
    </w:p>
    <w:p w:rsidRPr="00842ACD" w:rsidR="001169B9" w:rsidP="00842ACD">
      <w:pPr>
        <w:pStyle w:val="JuHa0"/>
        <w:numPr>
          <w:ilvl w:val="4"/>
          <w:numId w:val="1"/>
        </w:numPr>
        <w:jc w:val="both"/>
        <w:rPr>
          <w:lang w:val="fr-FR"/>
        </w:rPr>
      </w:pPr>
      <w:r w:rsidRPr="00842ACD">
        <w:rPr>
          <w:lang w:val="fr-FR"/>
        </w:rPr>
        <w:t>Le Gouvernement</w:t>
      </w:r>
    </w:p>
    <w:bookmarkStart w:name="obsGOUV" w:id="21"/>
    <w:p w:rsidRPr="00842ACD" w:rsidR="001169B9" w:rsidP="00842ACD">
      <w:pPr>
        <w:pStyle w:val="JuPara"/>
      </w:pPr>
      <w:r w:rsidRPr="00842ACD">
        <w:fldChar w:fldCharType="begin"/>
      </w:r>
      <w:r w:rsidRPr="00842ACD">
        <w:instrText xml:space="preserve"> SEQ level0 \*arabic </w:instrText>
      </w:r>
      <w:r w:rsidRPr="00842ACD">
        <w:fldChar w:fldCharType="separate"/>
      </w:r>
      <w:r w:rsidRPr="00842ACD" w:rsidR="00842ACD">
        <w:rPr>
          <w:noProof/>
        </w:rPr>
        <w:t>24</w:t>
      </w:r>
      <w:r w:rsidRPr="00842ACD">
        <w:fldChar w:fldCharType="end"/>
      </w:r>
      <w:bookmarkEnd w:id="21"/>
      <w:r w:rsidRPr="00842ACD">
        <w:t>.  Le Gouvernement indique que les requérants ont bénéficié de la « norme alimentaire n</w:t>
      </w:r>
      <w:r w:rsidRPr="00842ACD">
        <w:rPr>
          <w:vertAlign w:val="superscript"/>
        </w:rPr>
        <w:t>o</w:t>
      </w:r>
      <w:r w:rsidRPr="00842ACD" w:rsidR="00A825D5">
        <w:t xml:space="preserve"> </w:t>
      </w:r>
      <w:r w:rsidRPr="00842ACD">
        <w:t>18 », applicable aux détenus malades adeptes d</w:t>
      </w:r>
      <w:r w:rsidRPr="00842ACD" w:rsidR="00842ACD">
        <w:t>’</w:t>
      </w:r>
      <w:r w:rsidRPr="00842ACD">
        <w:t>autres religions que la religion majoritaire en Roumanie, aux fins d</w:t>
      </w:r>
      <w:r w:rsidRPr="00842ACD" w:rsidR="00842ACD">
        <w:t>’</w:t>
      </w:r>
      <w:r w:rsidRPr="00842ACD">
        <w:t xml:space="preserve">une prise en compte tant de leurs convictions que de leur état de santé (le premier requérant souffre de diabète). Il expose ce qui suit : la prison de </w:t>
      </w:r>
      <w:r w:rsidRPr="00842ACD">
        <w:t>Rahova</w:t>
      </w:r>
      <w:r w:rsidRPr="00842ACD">
        <w:t xml:space="preserve"> a procédé à l</w:t>
      </w:r>
      <w:r w:rsidRPr="00842ACD" w:rsidR="00842ACD">
        <w:t>’</w:t>
      </w:r>
      <w:r w:rsidRPr="00842ACD">
        <w:t>aménagement d</w:t>
      </w:r>
      <w:r w:rsidRPr="00842ACD" w:rsidR="00842ACD">
        <w:t>’</w:t>
      </w:r>
      <w:r w:rsidRPr="00842ACD">
        <w:t xml:space="preserve">une cuisine destinée à la préparation des repas casher, à laquelle les détenus de confession juive sont amenés à participer ; les conditions de préparation des repas ont été approuvées par la fondation </w:t>
      </w:r>
      <w:r w:rsidRPr="00842ACD">
        <w:rPr>
          <w:i/>
        </w:rPr>
        <w:t>Chabad</w:t>
      </w:r>
      <w:r w:rsidRPr="00842ACD">
        <w:rPr>
          <w:i/>
        </w:rPr>
        <w:t xml:space="preserve"> </w:t>
      </w:r>
      <w:r w:rsidRPr="00842ACD">
        <w:rPr>
          <w:i/>
        </w:rPr>
        <w:t>Lyubavitshi</w:t>
      </w:r>
      <w:r w:rsidRPr="00842ACD">
        <w:t>,</w:t>
      </w:r>
      <w:r w:rsidRPr="00842ACD">
        <w:rPr>
          <w:i/>
        </w:rPr>
        <w:t xml:space="preserve"> </w:t>
      </w:r>
      <w:r w:rsidRPr="00842ACD">
        <w:t>qui a aussi</w:t>
      </w:r>
      <w:r w:rsidRPr="00842ACD">
        <w:rPr>
          <w:i/>
        </w:rPr>
        <w:t xml:space="preserve"> </w:t>
      </w:r>
      <w:r w:rsidRPr="00842ACD">
        <w:t>fourni des produits alimentaires ; le président de cette fondation s</w:t>
      </w:r>
      <w:r w:rsidRPr="00842ACD" w:rsidR="00842ACD">
        <w:t>’</w:t>
      </w:r>
      <w:r w:rsidRPr="00842ACD">
        <w:t xml:space="preserve">est rendu à la prison de </w:t>
      </w:r>
      <w:r w:rsidRPr="00842ACD">
        <w:t>Rahova</w:t>
      </w:r>
      <w:r w:rsidRPr="00842ACD">
        <w:t xml:space="preserve"> le 21 octobre</w:t>
      </w:r>
      <w:r w:rsidRPr="00842ACD" w:rsidR="008A5834">
        <w:t xml:space="preserve"> </w:t>
      </w:r>
      <w:r w:rsidRPr="00842ACD">
        <w:t>2015 afin de consacrer la cuisine ; par la suite, les représentants de cette fondation ont rendu visite aux requérants en prison à six reprises lors des fêtes religieuses, à l</w:t>
      </w:r>
      <w:r w:rsidRPr="00842ACD" w:rsidR="00842ACD">
        <w:t>’</w:t>
      </w:r>
      <w:r w:rsidRPr="00842ACD">
        <w:t>occasion desquelles ces derniers ont reçu des objets de culte et des produits alimentaires spécifiques pour ces fêtes ; par ailleurs, en 2011, l</w:t>
      </w:r>
      <w:r w:rsidRPr="00842ACD" w:rsidR="00842ACD">
        <w:t>’</w:t>
      </w:r>
      <w:r w:rsidRPr="00842ACD" w:rsidR="008A5834">
        <w:t>Ad</w:t>
      </w:r>
      <w:r w:rsidRPr="00842ACD">
        <w:t>ministration nationale des établissements pénitentiaires avait conclu un protocole de collaboration avec la Fédération des communautés juives de Roumanie afin d</w:t>
      </w:r>
      <w:r w:rsidRPr="00842ACD" w:rsidR="00842ACD">
        <w:t>’</w:t>
      </w:r>
      <w:r w:rsidRPr="00842ACD">
        <w:t>assister les détenus en vue de leur réinsertion dans la société. Le Gouvernement ajoute que les requérants n</w:t>
      </w:r>
      <w:r w:rsidRPr="00842ACD" w:rsidR="00842ACD">
        <w:t>’</w:t>
      </w:r>
      <w:r w:rsidRPr="00842ACD">
        <w:t>ont pas formé d</w:t>
      </w:r>
      <w:r w:rsidRPr="00842ACD" w:rsidR="00842ACD">
        <w:t>’</w:t>
      </w:r>
      <w:r w:rsidRPr="00842ACD">
        <w:t>action civile en remboursement du coût des repas qu</w:t>
      </w:r>
      <w:r w:rsidRPr="00842ACD" w:rsidR="00842ACD">
        <w:t>’</w:t>
      </w:r>
      <w:r w:rsidRPr="00842ACD">
        <w:t>ils se sont procur</w:t>
      </w:r>
      <w:r w:rsidRPr="00842ACD">
        <w:rPr>
          <w:rFonts w:cstheme="minorHAnsi"/>
        </w:rPr>
        <w:t>é</w:t>
      </w:r>
      <w:r w:rsidRPr="00842ACD">
        <w:t>s par leurs propres moyens.</w:t>
      </w:r>
    </w:p>
    <w:p w:rsidRPr="00842ACD" w:rsidR="001169B9" w:rsidP="00842ACD">
      <w:pPr>
        <w:pStyle w:val="JuPara"/>
      </w:pPr>
      <w:r w:rsidRPr="00842ACD">
        <w:fldChar w:fldCharType="begin"/>
      </w:r>
      <w:r w:rsidRPr="00842ACD">
        <w:instrText xml:space="preserve"> SEQ level0 \*arabic </w:instrText>
      </w:r>
      <w:r w:rsidRPr="00842ACD">
        <w:fldChar w:fldCharType="separate"/>
      </w:r>
      <w:r w:rsidRPr="00842ACD" w:rsidR="00842ACD">
        <w:rPr>
          <w:noProof/>
        </w:rPr>
        <w:t>25</w:t>
      </w:r>
      <w:r w:rsidRPr="00842ACD">
        <w:fldChar w:fldCharType="end"/>
      </w:r>
      <w:r w:rsidRPr="00842ACD">
        <w:t xml:space="preserve">.  Dans ses observations supplémentaires, le Gouvernement a transmis des documents fournis par la prison de </w:t>
      </w:r>
      <w:r w:rsidRPr="00842ACD">
        <w:t>Rahova</w:t>
      </w:r>
      <w:r w:rsidRPr="00842ACD">
        <w:t xml:space="preserve"> au sujet des prix des produits alimentaires disponibles dans le magasin de la prison. Il en ressort que les autorités pénitentiaires ont régulièrement vérifié en 2014 et 2015 les prix pratiqués dans ce point de vente, qu</w:t>
      </w:r>
      <w:r w:rsidRPr="00842ACD" w:rsidR="00842ACD">
        <w:t>’</w:t>
      </w:r>
      <w:r w:rsidRPr="00842ACD">
        <w:t>elles les ont comparés avec les prix moyens affichés dans des magasins du voisinage et qu</w:t>
      </w:r>
      <w:r w:rsidRPr="00842ACD" w:rsidR="00842ACD">
        <w:t>’</w:t>
      </w:r>
      <w:r w:rsidRPr="00842ACD">
        <w:t>elles ont indiqué aux gérants du magasin de la prison de les revoir à la baisse lorsqu</w:t>
      </w:r>
      <w:r w:rsidRPr="00842ACD" w:rsidR="00842ACD">
        <w:t>’</w:t>
      </w:r>
      <w:r w:rsidRPr="00842ACD">
        <w:t>ils étaient supérieurs à ces prix moyens.</w:t>
      </w:r>
    </w:p>
    <w:p w:rsidRPr="00842ACD" w:rsidR="001169B9" w:rsidP="00842ACD">
      <w:pPr>
        <w:pStyle w:val="JuHa0"/>
        <w:numPr>
          <w:ilvl w:val="4"/>
          <w:numId w:val="1"/>
        </w:numPr>
        <w:jc w:val="both"/>
        <w:rPr>
          <w:lang w:val="fr-FR"/>
        </w:rPr>
      </w:pPr>
      <w:r w:rsidRPr="00842ACD">
        <w:rPr>
          <w:lang w:val="fr-FR"/>
        </w:rPr>
        <w:t>Les requérants</w:t>
      </w:r>
    </w:p>
    <w:bookmarkStart w:name="obsR_legilsation_specifique" w:id="22"/>
    <w:p w:rsidRPr="00842ACD" w:rsidR="001169B9" w:rsidP="00842ACD">
      <w:pPr>
        <w:pStyle w:val="JuPara"/>
      </w:pPr>
      <w:r w:rsidRPr="00842ACD">
        <w:fldChar w:fldCharType="begin"/>
      </w:r>
      <w:r w:rsidRPr="00842ACD">
        <w:instrText xml:space="preserve"> SEQ level0 \*arabic </w:instrText>
      </w:r>
      <w:r w:rsidRPr="00842ACD">
        <w:fldChar w:fldCharType="separate"/>
      </w:r>
      <w:r w:rsidRPr="00842ACD" w:rsidR="00842ACD">
        <w:rPr>
          <w:noProof/>
        </w:rPr>
        <w:t>26</w:t>
      </w:r>
      <w:r w:rsidRPr="00842ACD">
        <w:fldChar w:fldCharType="end"/>
      </w:r>
      <w:bookmarkEnd w:id="22"/>
      <w:r w:rsidRPr="00842ACD">
        <w:t>.  Les requérants soutiennent que la Roumanie n</w:t>
      </w:r>
      <w:r w:rsidRPr="00842ACD" w:rsidR="00842ACD">
        <w:t>’</w:t>
      </w:r>
      <w:r w:rsidRPr="00842ACD">
        <w:t>a pas adopté de législation pour reconnaître la religion juive et pour établir les exigences en matière de nourriture. Ils estiment qu</w:t>
      </w:r>
      <w:r w:rsidRPr="00842ACD" w:rsidR="00842ACD">
        <w:t>’</w:t>
      </w:r>
      <w:r w:rsidRPr="00842ACD">
        <w:t>une obligation de résultat pèse à cet égard sur les autorités.</w:t>
      </w:r>
    </w:p>
    <w:bookmarkStart w:name="obsR_conditii" w:id="23"/>
    <w:p w:rsidRPr="00842ACD" w:rsidR="001169B9" w:rsidP="00842ACD">
      <w:pPr>
        <w:pStyle w:val="JuPara"/>
      </w:pPr>
      <w:r w:rsidRPr="00842ACD">
        <w:fldChar w:fldCharType="begin"/>
      </w:r>
      <w:r w:rsidRPr="00842ACD">
        <w:instrText xml:space="preserve"> SEQ level0 \*arabic </w:instrText>
      </w:r>
      <w:r w:rsidRPr="00842ACD">
        <w:fldChar w:fldCharType="separate"/>
      </w:r>
      <w:r w:rsidRPr="00842ACD" w:rsidR="00842ACD">
        <w:rPr>
          <w:noProof/>
        </w:rPr>
        <w:t>27</w:t>
      </w:r>
      <w:r w:rsidRPr="00842ACD">
        <w:fldChar w:fldCharType="end"/>
      </w:r>
      <w:bookmarkEnd w:id="23"/>
      <w:r w:rsidRPr="00842ACD">
        <w:t>.  Les requérants se plaignent qu</w:t>
      </w:r>
      <w:r w:rsidRPr="00842ACD" w:rsidR="00842ACD">
        <w:t>’</w:t>
      </w:r>
      <w:r w:rsidRPr="00842ACD">
        <w:t>ils aient dû obtenir une décision judiciaire pour se voir reconnaître le droit de bénéficier de repas conformes aux exigences de leur religion et que cette décision ait été sans effet sur la période antérieure à son prononcé. Ils considèrent que les diligences des autorités n</w:t>
      </w:r>
      <w:r w:rsidRPr="00842ACD" w:rsidR="00842ACD">
        <w:t>’</w:t>
      </w:r>
      <w:r w:rsidRPr="00842ACD">
        <w:t>ont pas été suffisantes, dès lors que l</w:t>
      </w:r>
      <w:r w:rsidRPr="00842ACD" w:rsidR="00842ACD">
        <w:t>’</w:t>
      </w:r>
      <w:r w:rsidRPr="00842ACD">
        <w:t>exercice de leur religion relèverait du quotidien et qu</w:t>
      </w:r>
      <w:r w:rsidRPr="00842ACD" w:rsidR="00842ACD">
        <w:t>’</w:t>
      </w:r>
      <w:r w:rsidRPr="00842ACD">
        <w:t>il ne serait pas limité aux seules fêtes religieuses. Ils allèguent que le budget consacré par leurs familles et amis respectifs à l</w:t>
      </w:r>
      <w:r w:rsidRPr="00842ACD" w:rsidR="00842ACD">
        <w:t>’</w:t>
      </w:r>
      <w:r w:rsidRPr="00842ACD">
        <w:t>achat de denrées alimentaires pour eux s</w:t>
      </w:r>
      <w:r w:rsidRPr="00842ACD" w:rsidR="00842ACD">
        <w:t>’</w:t>
      </w:r>
      <w:r w:rsidRPr="00842ACD">
        <w:t>élève à environ 1 000 euros par mois, que les prix pratiqués par le magasin de la prison sont exorbitants et que certains produits ne sont pas certifiés casher. Ils précisent que les préceptes religieux auxquels ils adhèrent impliquent notamment la mise à disposition d</w:t>
      </w:r>
      <w:r w:rsidRPr="00842ACD" w:rsidR="00842ACD">
        <w:t>’</w:t>
      </w:r>
      <w:r w:rsidRPr="00842ACD">
        <w:t>une cuisine séparée et la présence du rabbin pour le service religieux lors de la préparation de la nourriture. Enfin, ils estiment que l</w:t>
      </w:r>
      <w:r w:rsidRPr="00842ACD" w:rsidR="00842ACD">
        <w:t>’</w:t>
      </w:r>
      <w:r w:rsidRPr="00842ACD">
        <w:t>État devrait assurer un budget supplémentaire spécifique pour pourvoir à l</w:t>
      </w:r>
      <w:r w:rsidRPr="00842ACD" w:rsidR="00842ACD">
        <w:t>’</w:t>
      </w:r>
      <w:r w:rsidRPr="00842ACD">
        <w:t>approvisionnement en repas des détenus de confession juive, et ils arguent qu</w:t>
      </w:r>
      <w:r w:rsidRPr="00842ACD" w:rsidR="00842ACD">
        <w:t>’</w:t>
      </w:r>
      <w:r w:rsidRPr="00842ACD">
        <w:t>un tel budget ne requerrait pas un effort extraordinaire de la part de l</w:t>
      </w:r>
      <w:r w:rsidRPr="00842ACD" w:rsidR="00842ACD">
        <w:t>’</w:t>
      </w:r>
      <w:r w:rsidRPr="00842ACD">
        <w:t>État. Ils en veulent pour preuve le fait que, selon eux, le nombre de personnes de confession juive détenues dans les prisons roumaines était seulement de huit au moment des faits.</w:t>
      </w:r>
    </w:p>
    <w:p w:rsidRPr="00842ACD" w:rsidR="001169B9" w:rsidP="00842ACD">
      <w:pPr>
        <w:pStyle w:val="JuH1"/>
        <w:rPr>
          <w:lang w:val="fr-FR"/>
        </w:rPr>
      </w:pPr>
      <w:r w:rsidRPr="00842ACD">
        <w:rPr>
          <w:lang w:val="fr-FR"/>
        </w:rPr>
        <w:t>Appréciation de la Cour</w:t>
      </w:r>
    </w:p>
    <w:p w:rsidRPr="00842ACD" w:rsidR="001169B9" w:rsidP="00842ACD">
      <w:pPr>
        <w:pStyle w:val="JuHa0"/>
        <w:rPr>
          <w:rFonts w:eastAsia="Times New Roman"/>
          <w:lang w:val="fr-FR"/>
        </w:rPr>
      </w:pPr>
      <w:r w:rsidRPr="00842ACD">
        <w:rPr>
          <w:rFonts w:eastAsia="Times New Roman"/>
          <w:lang w:val="fr-FR"/>
        </w:rPr>
        <w:t>Principes généraux</w:t>
      </w:r>
    </w:p>
    <w:p w:rsidRPr="00842ACD" w:rsidR="001169B9" w:rsidP="00842ACD">
      <w:pPr>
        <w:pStyle w:val="JuPara"/>
      </w:pPr>
      <w:r w:rsidRPr="00842ACD">
        <w:fldChar w:fldCharType="begin"/>
      </w:r>
      <w:r w:rsidRPr="00842ACD">
        <w:instrText xml:space="preserve"> SEQ level0 \*arabic </w:instrText>
      </w:r>
      <w:r w:rsidRPr="00842ACD">
        <w:fldChar w:fldCharType="separate"/>
      </w:r>
      <w:r w:rsidRPr="00842ACD" w:rsidR="00842ACD">
        <w:rPr>
          <w:noProof/>
        </w:rPr>
        <w:t>28</w:t>
      </w:r>
      <w:r w:rsidRPr="00842ACD">
        <w:fldChar w:fldCharType="end"/>
      </w:r>
      <w:r w:rsidRPr="00842ACD">
        <w:t>.  </w:t>
      </w:r>
      <w:r w:rsidRPr="00842ACD">
        <w:rPr>
          <w:rFonts w:eastAsia="Times New Roman"/>
        </w:rPr>
        <w:t>La Cour rappelle que, telle que la protège l</w:t>
      </w:r>
      <w:r w:rsidRPr="00842ACD" w:rsidR="00842ACD">
        <w:rPr>
          <w:rFonts w:eastAsia="Times New Roman"/>
        </w:rPr>
        <w:t>’</w:t>
      </w:r>
      <w:r w:rsidRPr="00842ACD">
        <w:rPr>
          <w:rFonts w:eastAsia="Times New Roman"/>
        </w:rPr>
        <w:t>article 9 de la Convention, la liberté de pensée, de conscience et de religion représente l</w:t>
      </w:r>
      <w:r w:rsidRPr="00842ACD" w:rsidR="00842ACD">
        <w:rPr>
          <w:rFonts w:eastAsia="Times New Roman"/>
        </w:rPr>
        <w:t>’</w:t>
      </w:r>
      <w:r w:rsidRPr="00842ACD">
        <w:rPr>
          <w:rFonts w:eastAsia="Times New Roman"/>
        </w:rPr>
        <w:t>une des assises d</w:t>
      </w:r>
      <w:r w:rsidRPr="00842ACD" w:rsidR="00842ACD">
        <w:rPr>
          <w:rFonts w:eastAsia="Times New Roman"/>
        </w:rPr>
        <w:t>’</w:t>
      </w:r>
      <w:r w:rsidRPr="00842ACD">
        <w:rPr>
          <w:rFonts w:eastAsia="Times New Roman"/>
        </w:rPr>
        <w:t>une « société démocratique » au sens de cet instrument. Cette liberté figure, dans sa dimension religieuse, parmi les éléments les plus essentiels de l</w:t>
      </w:r>
      <w:r w:rsidRPr="00842ACD" w:rsidR="00842ACD">
        <w:rPr>
          <w:rFonts w:eastAsia="Times New Roman"/>
        </w:rPr>
        <w:t>’</w:t>
      </w:r>
      <w:r w:rsidRPr="00842ACD">
        <w:rPr>
          <w:rFonts w:eastAsia="Times New Roman"/>
        </w:rPr>
        <w:t>identité des croyants et de leur conception de la vie, mais elle est aussi un bien précieux pour les athées, les agnostiques, les sceptiques ou les indifférents. Il y va du pluralisme – chèrement conquis au cours des siècles – qui ne saurait être dissocié de pareille société. Cette liberté implique, notamment, celle d</w:t>
      </w:r>
      <w:r w:rsidRPr="00842ACD" w:rsidR="00842ACD">
        <w:rPr>
          <w:rFonts w:eastAsia="Times New Roman"/>
        </w:rPr>
        <w:t>’</w:t>
      </w:r>
      <w:r w:rsidRPr="00842ACD">
        <w:rPr>
          <w:rFonts w:eastAsia="Times New Roman"/>
        </w:rPr>
        <w:t>adhérer ou non à une religion et celle de la pratiquer ou de ne pas la pratiquer (</w:t>
      </w:r>
      <w:r w:rsidRPr="00842ACD">
        <w:rPr>
          <w:i/>
        </w:rPr>
        <w:t>S.A.S. c. France</w:t>
      </w:r>
      <w:r w:rsidRPr="00842ACD">
        <w:t xml:space="preserve"> [GC]</w:t>
      </w:r>
      <w:r w:rsidRPr="00842ACD">
        <w:rPr>
          <w:snapToGrid w:val="0"/>
        </w:rPr>
        <w:t>, n</w:t>
      </w:r>
      <w:r w:rsidRPr="00842ACD">
        <w:rPr>
          <w:snapToGrid w:val="0"/>
          <w:vertAlign w:val="superscript"/>
        </w:rPr>
        <w:t>o</w:t>
      </w:r>
      <w:r w:rsidRPr="00842ACD">
        <w:rPr>
          <w:snapToGrid w:val="0"/>
        </w:rPr>
        <w:t> </w:t>
      </w:r>
      <w:r w:rsidRPr="00842ACD">
        <w:t>43835/11, § 124, CEDH 2014 (extraits)).</w:t>
      </w:r>
    </w:p>
    <w:p w:rsidRPr="00842ACD" w:rsidR="001169B9" w:rsidP="00842ACD">
      <w:pPr>
        <w:pStyle w:val="JuPara"/>
      </w:pPr>
      <w:r w:rsidRPr="00842ACD">
        <w:rPr>
          <w:rFonts w:eastAsia="Times New Roman"/>
        </w:rPr>
        <w:fldChar w:fldCharType="begin"/>
      </w:r>
      <w:r w:rsidRPr="00842ACD">
        <w:rPr>
          <w:rFonts w:eastAsia="Times New Roman"/>
        </w:rPr>
        <w:instrText xml:space="preserve"> SEQ level0 \*arabic </w:instrText>
      </w:r>
      <w:r w:rsidRPr="00842ACD">
        <w:rPr>
          <w:rFonts w:eastAsia="Times New Roman"/>
        </w:rPr>
        <w:fldChar w:fldCharType="separate"/>
      </w:r>
      <w:r w:rsidRPr="00842ACD" w:rsidR="00842ACD">
        <w:rPr>
          <w:rFonts w:eastAsia="Times New Roman"/>
          <w:noProof/>
        </w:rPr>
        <w:t>29</w:t>
      </w:r>
      <w:r w:rsidRPr="00842ACD">
        <w:rPr>
          <w:rFonts w:eastAsia="Times New Roman"/>
        </w:rPr>
        <w:fldChar w:fldCharType="end"/>
      </w:r>
      <w:r w:rsidRPr="00842ACD">
        <w:rPr>
          <w:rFonts w:eastAsia="Times New Roman"/>
        </w:rPr>
        <w:t>.  Si la liberté de religion relève d</w:t>
      </w:r>
      <w:r w:rsidRPr="00842ACD" w:rsidR="00842ACD">
        <w:rPr>
          <w:rFonts w:eastAsia="Times New Roman"/>
        </w:rPr>
        <w:t>’</w:t>
      </w:r>
      <w:r w:rsidRPr="00842ACD">
        <w:rPr>
          <w:rFonts w:eastAsia="Times New Roman"/>
        </w:rPr>
        <w:t>abord du for intérieur, elle implique également celle de manifester sa religion individuellement et en privé, ou de manière collective, en public et dans le cercle de ceux dont on partage la foi. L</w:t>
      </w:r>
      <w:r w:rsidRPr="00842ACD" w:rsidR="00842ACD">
        <w:rPr>
          <w:rFonts w:eastAsia="Times New Roman"/>
        </w:rPr>
        <w:t>’</w:t>
      </w:r>
      <w:r w:rsidRPr="00842ACD">
        <w:rPr>
          <w:rFonts w:eastAsia="Times New Roman"/>
        </w:rPr>
        <w:t>article</w:t>
      </w:r>
      <w:r w:rsidRPr="00842ACD" w:rsidR="00925AFB">
        <w:rPr>
          <w:rFonts w:eastAsia="Times New Roman"/>
        </w:rPr>
        <w:t> </w:t>
      </w:r>
      <w:r w:rsidRPr="00842ACD">
        <w:rPr>
          <w:rFonts w:eastAsia="Times New Roman"/>
        </w:rPr>
        <w:t>9 de la Convention énumère les diverses formes que peut prendre la manifestation d</w:t>
      </w:r>
      <w:r w:rsidRPr="00842ACD" w:rsidR="00842ACD">
        <w:rPr>
          <w:rFonts w:eastAsia="Times New Roman"/>
        </w:rPr>
        <w:t>’</w:t>
      </w:r>
      <w:r w:rsidRPr="00842ACD">
        <w:rPr>
          <w:rFonts w:eastAsia="Times New Roman"/>
        </w:rPr>
        <w:t>une religion ou d</w:t>
      </w:r>
      <w:r w:rsidRPr="00842ACD" w:rsidR="00842ACD">
        <w:rPr>
          <w:rFonts w:eastAsia="Times New Roman"/>
        </w:rPr>
        <w:t>’</w:t>
      </w:r>
      <w:r w:rsidRPr="00842ACD">
        <w:rPr>
          <w:rFonts w:eastAsia="Times New Roman"/>
        </w:rPr>
        <w:t xml:space="preserve">une conviction, à savoir le culte, </w:t>
      </w:r>
      <w:r w:rsidRPr="00842ACD">
        <w:rPr>
          <w:rFonts w:eastAsia="Times New Roman"/>
        </w:rPr>
        <w:t>l</w:t>
      </w:r>
      <w:r w:rsidRPr="00842ACD" w:rsidR="00842ACD">
        <w:rPr>
          <w:rFonts w:eastAsia="Times New Roman"/>
        </w:rPr>
        <w:t>’</w:t>
      </w:r>
      <w:r w:rsidRPr="00842ACD">
        <w:rPr>
          <w:rFonts w:eastAsia="Times New Roman"/>
        </w:rPr>
        <w:t>enseignement, les pratiques et l</w:t>
      </w:r>
      <w:r w:rsidRPr="00842ACD" w:rsidR="00842ACD">
        <w:rPr>
          <w:rFonts w:eastAsia="Times New Roman"/>
        </w:rPr>
        <w:t>’</w:t>
      </w:r>
      <w:r w:rsidRPr="00842ACD">
        <w:rPr>
          <w:rFonts w:eastAsia="Times New Roman"/>
        </w:rPr>
        <w:t>accomplissement des rites (</w:t>
      </w:r>
      <w:r w:rsidRPr="00842ACD">
        <w:rPr>
          <w:rFonts w:eastAsia="Times New Roman"/>
          <w:i/>
        </w:rPr>
        <w:t>Cha</w:t>
      </w:r>
      <w:r w:rsidRPr="00842ACD" w:rsidR="00842ACD">
        <w:rPr>
          <w:rFonts w:eastAsia="Times New Roman"/>
          <w:i/>
        </w:rPr>
        <w:t>’</w:t>
      </w:r>
      <w:r w:rsidRPr="00842ACD">
        <w:rPr>
          <w:rFonts w:eastAsia="Times New Roman"/>
          <w:i/>
        </w:rPr>
        <w:t>are</w:t>
      </w:r>
      <w:r w:rsidRPr="00842ACD">
        <w:rPr>
          <w:rFonts w:eastAsia="Times New Roman"/>
          <w:i/>
        </w:rPr>
        <w:t xml:space="preserve"> </w:t>
      </w:r>
      <w:r w:rsidRPr="00842ACD">
        <w:rPr>
          <w:rFonts w:eastAsia="Times New Roman"/>
          <w:i/>
        </w:rPr>
        <w:t>Shalom</w:t>
      </w:r>
      <w:r w:rsidRPr="00842ACD">
        <w:rPr>
          <w:rFonts w:eastAsia="Times New Roman"/>
          <w:i/>
        </w:rPr>
        <w:t xml:space="preserve"> Ve </w:t>
      </w:r>
      <w:r w:rsidRPr="00842ACD">
        <w:rPr>
          <w:rFonts w:eastAsia="Times New Roman"/>
          <w:i/>
        </w:rPr>
        <w:t>Tsedek</w:t>
      </w:r>
      <w:r w:rsidRPr="00842ACD" w:rsidR="00925AFB">
        <w:rPr>
          <w:rFonts w:eastAsia="Times New Roman"/>
        </w:rPr>
        <w:t xml:space="preserve">, précité, § </w:t>
      </w:r>
      <w:r w:rsidRPr="00842ACD">
        <w:rPr>
          <w:rFonts w:eastAsia="Times New Roman"/>
        </w:rPr>
        <w:t xml:space="preserve">73, et </w:t>
      </w:r>
      <w:r w:rsidRPr="00842ACD">
        <w:rPr>
          <w:i/>
        </w:rPr>
        <w:t>Leyla</w:t>
      </w:r>
      <w:r w:rsidRPr="00842ACD">
        <w:rPr>
          <w:i/>
        </w:rPr>
        <w:t xml:space="preserve"> </w:t>
      </w:r>
      <w:r w:rsidRPr="00842ACD">
        <w:rPr>
          <w:i/>
        </w:rPr>
        <w:t>Şahin</w:t>
      </w:r>
      <w:r w:rsidRPr="00842ACD">
        <w:rPr>
          <w:i/>
        </w:rPr>
        <w:t xml:space="preserve"> c. Turquie</w:t>
      </w:r>
      <w:r w:rsidRPr="00842ACD">
        <w:t xml:space="preserve"> [GC], n</w:t>
      </w:r>
      <w:r w:rsidRPr="00842ACD">
        <w:rPr>
          <w:vertAlign w:val="superscript"/>
        </w:rPr>
        <w:t>o</w:t>
      </w:r>
      <w:r w:rsidRPr="00842ACD">
        <w:t> 44774/98, § 105, CEDH 2005</w:t>
      </w:r>
      <w:r w:rsidRPr="00842ACD">
        <w:noBreakHyphen/>
        <w:t>XI).</w:t>
      </w:r>
    </w:p>
    <w:p w:rsidRPr="00842ACD" w:rsidR="001169B9" w:rsidP="00842ACD">
      <w:pPr>
        <w:pStyle w:val="JuPara"/>
        <w:rPr>
          <w:rFonts w:eastAsia="Times New Roman"/>
        </w:rPr>
      </w:pPr>
      <w:r w:rsidRPr="00842ACD">
        <w:rPr>
          <w:rFonts w:eastAsia="Times New Roman"/>
        </w:rPr>
        <w:fldChar w:fldCharType="begin"/>
      </w:r>
      <w:r w:rsidRPr="00842ACD">
        <w:rPr>
          <w:rFonts w:eastAsia="Times New Roman"/>
        </w:rPr>
        <w:instrText xml:space="preserve"> SEQ level0 \*arabic </w:instrText>
      </w:r>
      <w:r w:rsidRPr="00842ACD">
        <w:rPr>
          <w:rFonts w:eastAsia="Times New Roman"/>
        </w:rPr>
        <w:fldChar w:fldCharType="separate"/>
      </w:r>
      <w:r w:rsidRPr="00842ACD" w:rsidR="00842ACD">
        <w:rPr>
          <w:rFonts w:eastAsia="Times New Roman"/>
          <w:noProof/>
        </w:rPr>
        <w:t>30</w:t>
      </w:r>
      <w:r w:rsidRPr="00842ACD">
        <w:rPr>
          <w:rFonts w:eastAsia="Times New Roman"/>
        </w:rPr>
        <w:fldChar w:fldCharType="end"/>
      </w:r>
      <w:r w:rsidRPr="00842ACD">
        <w:rPr>
          <w:rFonts w:eastAsia="Times New Roman"/>
        </w:rPr>
        <w:t>.  Dans une société démocratique, où plusieurs religions coexistent au sein d</w:t>
      </w:r>
      <w:r w:rsidRPr="00842ACD" w:rsidR="00842ACD">
        <w:rPr>
          <w:rFonts w:eastAsia="Times New Roman"/>
        </w:rPr>
        <w:t>’</w:t>
      </w:r>
      <w:r w:rsidRPr="00842ACD">
        <w:rPr>
          <w:rFonts w:eastAsia="Times New Roman"/>
        </w:rPr>
        <w:t>une même population, il peut se révéler nécessaire d</w:t>
      </w:r>
      <w:r w:rsidRPr="00842ACD" w:rsidR="00842ACD">
        <w:rPr>
          <w:rFonts w:eastAsia="Times New Roman"/>
        </w:rPr>
        <w:t>’</w:t>
      </w:r>
      <w:r w:rsidRPr="00842ACD">
        <w:rPr>
          <w:rFonts w:eastAsia="Times New Roman"/>
        </w:rPr>
        <w:t>assortir la liberté de manifester sa religion ou ses convictions de limitations propres à concilier les intérêts des divers groupes et à assurer le respect des convictions de chacun (</w:t>
      </w:r>
      <w:r w:rsidRPr="00842ACD">
        <w:rPr>
          <w:i/>
        </w:rPr>
        <w:t>Kokkinakis</w:t>
      </w:r>
      <w:r w:rsidRPr="00842ACD">
        <w:rPr>
          <w:i/>
        </w:rPr>
        <w:t xml:space="preserve"> c. Grèce</w:t>
      </w:r>
      <w:r w:rsidRPr="00842ACD">
        <w:t xml:space="preserve">, 25 mai 1993, </w:t>
      </w:r>
      <w:r w:rsidRPr="00842ACD">
        <w:rPr>
          <w:rFonts w:eastAsia="Times New Roman"/>
        </w:rPr>
        <w:t xml:space="preserve">§ 33 </w:t>
      </w:r>
      <w:r w:rsidRPr="00842ACD">
        <w:rPr>
          <w:rFonts w:eastAsia="Times New Roman"/>
          <w:i/>
        </w:rPr>
        <w:t>in fine</w:t>
      </w:r>
      <w:r w:rsidRPr="00842ACD">
        <w:t>, série A n</w:t>
      </w:r>
      <w:r w:rsidRPr="00842ACD">
        <w:rPr>
          <w:vertAlign w:val="superscript"/>
        </w:rPr>
        <w:t>o</w:t>
      </w:r>
      <w:r w:rsidRPr="00842ACD" w:rsidR="00925AFB">
        <w:t xml:space="preserve"> 260-</w:t>
      </w:r>
      <w:r w:rsidRPr="00842ACD">
        <w:t>A</w:t>
      </w:r>
      <w:r w:rsidRPr="00842ACD">
        <w:rPr>
          <w:rFonts w:eastAsia="Times New Roman"/>
        </w:rPr>
        <w:t>). Cela découle à la fois du paragraphe 2 de l</w:t>
      </w:r>
      <w:r w:rsidRPr="00842ACD" w:rsidR="00842ACD">
        <w:rPr>
          <w:rFonts w:eastAsia="Times New Roman"/>
        </w:rPr>
        <w:t>’</w:t>
      </w:r>
      <w:r w:rsidRPr="00842ACD">
        <w:rPr>
          <w:rFonts w:eastAsia="Times New Roman"/>
        </w:rPr>
        <w:t>article 9 et des obligations positives qui incombent à l</w:t>
      </w:r>
      <w:r w:rsidRPr="00842ACD" w:rsidR="00842ACD">
        <w:rPr>
          <w:rFonts w:eastAsia="Times New Roman"/>
        </w:rPr>
        <w:t>’</w:t>
      </w:r>
      <w:r w:rsidRPr="00842ACD">
        <w:rPr>
          <w:rFonts w:eastAsia="Times New Roman"/>
        </w:rPr>
        <w:t>État au titre de l</w:t>
      </w:r>
      <w:r w:rsidRPr="00842ACD" w:rsidR="00842ACD">
        <w:rPr>
          <w:rFonts w:eastAsia="Times New Roman"/>
        </w:rPr>
        <w:t>’</w:t>
      </w:r>
      <w:r w:rsidRPr="00842ACD">
        <w:rPr>
          <w:rFonts w:eastAsia="Times New Roman"/>
        </w:rPr>
        <w:t>article 1 de la Convention de reconnaître à toute personne relevant de sa juridiction les droits et libertés définis dans celle-ci (</w:t>
      </w:r>
      <w:r w:rsidRPr="00842ACD">
        <w:rPr>
          <w:rFonts w:eastAsia="Times New Roman"/>
          <w:i/>
        </w:rPr>
        <w:t>Leyla</w:t>
      </w:r>
      <w:r w:rsidRPr="00842ACD">
        <w:rPr>
          <w:rFonts w:eastAsia="Times New Roman"/>
          <w:i/>
        </w:rPr>
        <w:t xml:space="preserve"> </w:t>
      </w:r>
      <w:r w:rsidRPr="00842ACD">
        <w:rPr>
          <w:rFonts w:eastAsia="Times New Roman"/>
          <w:i/>
        </w:rPr>
        <w:t>Şahin</w:t>
      </w:r>
      <w:r w:rsidRPr="00842ACD">
        <w:rPr>
          <w:rFonts w:eastAsia="Times New Roman"/>
        </w:rPr>
        <w:t>, précité, § 106).</w:t>
      </w:r>
    </w:p>
    <w:p w:rsidRPr="00842ACD" w:rsidR="001169B9" w:rsidP="00842ACD">
      <w:pPr>
        <w:pStyle w:val="JuPara"/>
        <w:rPr>
          <w:rFonts w:eastAsia="Times New Roman"/>
        </w:rPr>
      </w:pPr>
      <w:r w:rsidRPr="00842ACD">
        <w:rPr>
          <w:rFonts w:eastAsia="Times New Roman"/>
        </w:rPr>
        <w:fldChar w:fldCharType="begin"/>
      </w:r>
      <w:r w:rsidRPr="00842ACD">
        <w:rPr>
          <w:rFonts w:eastAsia="Times New Roman"/>
        </w:rPr>
        <w:instrText xml:space="preserve"> SEQ level0 \*arabic </w:instrText>
      </w:r>
      <w:r w:rsidRPr="00842ACD">
        <w:rPr>
          <w:rFonts w:eastAsia="Times New Roman"/>
        </w:rPr>
        <w:fldChar w:fldCharType="separate"/>
      </w:r>
      <w:r w:rsidRPr="00842ACD" w:rsidR="00842ACD">
        <w:rPr>
          <w:rFonts w:eastAsia="Times New Roman"/>
          <w:noProof/>
        </w:rPr>
        <w:t>31</w:t>
      </w:r>
      <w:r w:rsidRPr="00842ACD">
        <w:rPr>
          <w:rFonts w:eastAsia="Times New Roman"/>
        </w:rPr>
        <w:fldChar w:fldCharType="end"/>
      </w:r>
      <w:r w:rsidRPr="00842ACD">
        <w:rPr>
          <w:rFonts w:eastAsia="Times New Roman"/>
        </w:rPr>
        <w:t>.  Il faut également rappeler le rôle fondamentalement subsidiaire du mécanisme de la Convention. Les autorités nationales jouissent d</w:t>
      </w:r>
      <w:r w:rsidRPr="00842ACD" w:rsidR="00842ACD">
        <w:rPr>
          <w:rFonts w:eastAsia="Times New Roman"/>
        </w:rPr>
        <w:t>’</w:t>
      </w:r>
      <w:r w:rsidRPr="00842ACD">
        <w:rPr>
          <w:rFonts w:eastAsia="Times New Roman"/>
        </w:rPr>
        <w:t>une légitimité démocratique directe et, ainsi que la Cour l</w:t>
      </w:r>
      <w:r w:rsidRPr="00842ACD" w:rsidR="00842ACD">
        <w:rPr>
          <w:rFonts w:eastAsia="Times New Roman"/>
        </w:rPr>
        <w:t>’</w:t>
      </w:r>
      <w:r w:rsidRPr="00842ACD">
        <w:rPr>
          <w:rFonts w:eastAsia="Times New Roman"/>
        </w:rPr>
        <w:t>a affirmé à maintes reprises, se trouvent en principe mieux placées que le juge international pour se prononcer sur les besoins et les contextes locaux. Lorsque des questions de politique générale sont en jeu, sur lesquelles de profondes divergences peuvent raisonnablement exister dans un État démocratique, il y a lieu d</w:t>
      </w:r>
      <w:r w:rsidRPr="00842ACD" w:rsidR="00842ACD">
        <w:rPr>
          <w:rFonts w:eastAsia="Times New Roman"/>
        </w:rPr>
        <w:t>’</w:t>
      </w:r>
      <w:r w:rsidRPr="00842ACD">
        <w:rPr>
          <w:rFonts w:eastAsia="Times New Roman"/>
        </w:rPr>
        <w:t>accorder une importance particulière au rôle du décideur national. S</w:t>
      </w:r>
      <w:r w:rsidRPr="00842ACD" w:rsidR="00842ACD">
        <w:rPr>
          <w:rFonts w:eastAsia="Times New Roman"/>
        </w:rPr>
        <w:t>’</w:t>
      </w:r>
      <w:r w:rsidRPr="00842ACD">
        <w:rPr>
          <w:rFonts w:eastAsia="Times New Roman"/>
        </w:rPr>
        <w:t>agissant de l</w:t>
      </w:r>
      <w:r w:rsidRPr="00842ACD" w:rsidR="00842ACD">
        <w:rPr>
          <w:rFonts w:eastAsia="Times New Roman"/>
        </w:rPr>
        <w:t>’</w:t>
      </w:r>
      <w:r w:rsidRPr="00842ACD">
        <w:rPr>
          <w:rFonts w:eastAsia="Times New Roman"/>
        </w:rPr>
        <w:t>article 9 de la Convention, il convient, en principe, de reconnaître à l</w:t>
      </w:r>
      <w:r w:rsidRPr="00842ACD" w:rsidR="00842ACD">
        <w:rPr>
          <w:rFonts w:eastAsia="Times New Roman"/>
        </w:rPr>
        <w:t>’</w:t>
      </w:r>
      <w:r w:rsidRPr="00842ACD">
        <w:rPr>
          <w:rFonts w:eastAsia="Times New Roman"/>
        </w:rPr>
        <w:t>État une ample marge d</w:t>
      </w:r>
      <w:r w:rsidRPr="00842ACD" w:rsidR="00842ACD">
        <w:rPr>
          <w:rFonts w:eastAsia="Times New Roman"/>
        </w:rPr>
        <w:t>’</w:t>
      </w:r>
      <w:r w:rsidRPr="00842ACD">
        <w:rPr>
          <w:rFonts w:eastAsia="Times New Roman"/>
        </w:rPr>
        <w:t>appréciation pour décider si et dans quelle mesure une restriction au droit de manifester sa religion ou ses convictions est « nécessaire » (</w:t>
      </w:r>
      <w:r w:rsidRPr="00842ACD">
        <w:rPr>
          <w:rFonts w:eastAsia="Times New Roman"/>
          <w:i/>
        </w:rPr>
        <w:t>S.A.S. c. France</w:t>
      </w:r>
      <w:r w:rsidRPr="00842ACD">
        <w:rPr>
          <w:rFonts w:eastAsia="Times New Roman"/>
        </w:rPr>
        <w:t>, précité, § 129). Cela étant, pour déterminer l</w:t>
      </w:r>
      <w:r w:rsidRPr="00842ACD" w:rsidR="00842ACD">
        <w:rPr>
          <w:rFonts w:eastAsia="Times New Roman"/>
        </w:rPr>
        <w:t>’</w:t>
      </w:r>
      <w:r w:rsidRPr="00842ACD">
        <w:rPr>
          <w:rFonts w:eastAsia="Times New Roman"/>
        </w:rPr>
        <w:t>ampleur de la marge d</w:t>
      </w:r>
      <w:r w:rsidRPr="00842ACD" w:rsidR="00842ACD">
        <w:rPr>
          <w:rFonts w:eastAsia="Times New Roman"/>
        </w:rPr>
        <w:t>’</w:t>
      </w:r>
      <w:r w:rsidRPr="00842ACD">
        <w:rPr>
          <w:rFonts w:eastAsia="Times New Roman"/>
        </w:rPr>
        <w:t>appréciation dans une affaire donnée, la Cour doit également tenir compte de l</w:t>
      </w:r>
      <w:r w:rsidRPr="00842ACD" w:rsidR="00842ACD">
        <w:rPr>
          <w:rFonts w:eastAsia="Times New Roman"/>
        </w:rPr>
        <w:t>’</w:t>
      </w:r>
      <w:r w:rsidRPr="00842ACD">
        <w:rPr>
          <w:rFonts w:eastAsia="Times New Roman"/>
        </w:rPr>
        <w:t>enjeu propre à l</w:t>
      </w:r>
      <w:r w:rsidRPr="00842ACD" w:rsidR="00842ACD">
        <w:rPr>
          <w:rFonts w:eastAsia="Times New Roman"/>
        </w:rPr>
        <w:t>’</w:t>
      </w:r>
      <w:r w:rsidRPr="00842ACD">
        <w:rPr>
          <w:rFonts w:eastAsia="Times New Roman"/>
        </w:rPr>
        <w:t xml:space="preserve">espèce (voir, notamment, </w:t>
      </w:r>
      <w:r w:rsidRPr="00842ACD">
        <w:rPr>
          <w:i/>
        </w:rPr>
        <w:t>Manoussakis</w:t>
      </w:r>
      <w:r w:rsidRPr="00842ACD">
        <w:rPr>
          <w:i/>
        </w:rPr>
        <w:t xml:space="preserve"> et autres c.</w:t>
      </w:r>
      <w:r w:rsidRPr="00842ACD" w:rsidR="00925AFB">
        <w:rPr>
          <w:i/>
        </w:rPr>
        <w:t xml:space="preserve"> G</w:t>
      </w:r>
      <w:r w:rsidRPr="00842ACD">
        <w:rPr>
          <w:i/>
        </w:rPr>
        <w:t>rèce</w:t>
      </w:r>
      <w:r w:rsidRPr="00842ACD">
        <w:t>, 26</w:t>
      </w:r>
      <w:r w:rsidRPr="00842ACD" w:rsidR="00925AFB">
        <w:t xml:space="preserve"> </w:t>
      </w:r>
      <w:r w:rsidRPr="00842ACD">
        <w:t>septembre 1996, §</w:t>
      </w:r>
      <w:r w:rsidRPr="00842ACD" w:rsidR="00105497">
        <w:t> </w:t>
      </w:r>
      <w:r w:rsidRPr="00842ACD">
        <w:t xml:space="preserve">44, </w:t>
      </w:r>
      <w:r w:rsidRPr="00842ACD">
        <w:rPr>
          <w:i/>
        </w:rPr>
        <w:t>Recueil</w:t>
      </w:r>
      <w:r w:rsidRPr="00842ACD">
        <w:t xml:space="preserve"> 1996</w:t>
      </w:r>
      <w:r w:rsidRPr="00842ACD">
        <w:noBreakHyphen/>
        <w:t>IV</w:t>
      </w:r>
      <w:r w:rsidRPr="00842ACD">
        <w:rPr>
          <w:rFonts w:eastAsia="Times New Roman"/>
        </w:rPr>
        <w:t xml:space="preserve">, et </w:t>
      </w:r>
      <w:r w:rsidRPr="00842ACD">
        <w:rPr>
          <w:rFonts w:eastAsia="Times New Roman"/>
          <w:i/>
        </w:rPr>
        <w:t>Leyla</w:t>
      </w:r>
      <w:r w:rsidRPr="00842ACD">
        <w:rPr>
          <w:rFonts w:eastAsia="Times New Roman"/>
          <w:i/>
        </w:rPr>
        <w:t xml:space="preserve"> </w:t>
      </w:r>
      <w:r w:rsidRPr="00842ACD">
        <w:rPr>
          <w:rFonts w:eastAsia="Times New Roman"/>
          <w:i/>
        </w:rPr>
        <w:t>Şahin</w:t>
      </w:r>
      <w:r w:rsidRPr="00842ACD" w:rsidR="00925AFB">
        <w:rPr>
          <w:rFonts w:eastAsia="Times New Roman"/>
        </w:rPr>
        <w:t xml:space="preserve">, précité, § </w:t>
      </w:r>
      <w:r w:rsidRPr="00842ACD">
        <w:rPr>
          <w:rFonts w:eastAsia="Times New Roman"/>
        </w:rPr>
        <w:t>110).</w:t>
      </w:r>
    </w:p>
    <w:p w:rsidRPr="00842ACD" w:rsidR="001169B9" w:rsidP="00842ACD">
      <w:pPr>
        <w:pStyle w:val="JuPara"/>
        <w:rPr>
          <w:rFonts w:eastAsia="Times New Roman"/>
        </w:rPr>
      </w:pPr>
      <w:r w:rsidRPr="00842ACD">
        <w:rPr>
          <w:rFonts w:eastAsia="Times New Roman"/>
        </w:rPr>
        <w:fldChar w:fldCharType="begin"/>
      </w:r>
      <w:r w:rsidRPr="00842ACD">
        <w:rPr>
          <w:rFonts w:eastAsia="Times New Roman"/>
        </w:rPr>
        <w:instrText xml:space="preserve"> SEQ level0 \*arabic </w:instrText>
      </w:r>
      <w:r w:rsidRPr="00842ACD">
        <w:rPr>
          <w:rFonts w:eastAsia="Times New Roman"/>
        </w:rPr>
        <w:fldChar w:fldCharType="separate"/>
      </w:r>
      <w:r w:rsidRPr="00842ACD" w:rsidR="00842ACD">
        <w:rPr>
          <w:rFonts w:eastAsia="Times New Roman"/>
          <w:noProof/>
        </w:rPr>
        <w:t>32</w:t>
      </w:r>
      <w:r w:rsidRPr="00842ACD">
        <w:rPr>
          <w:rFonts w:eastAsia="Times New Roman"/>
        </w:rPr>
        <w:fldChar w:fldCharType="end"/>
      </w:r>
      <w:r w:rsidRPr="00842ACD">
        <w:rPr>
          <w:rFonts w:eastAsia="Times New Roman"/>
        </w:rPr>
        <w:t>.  Enfin, si la frontière entre les obligations positives et les obligations négatives de l</w:t>
      </w:r>
      <w:r w:rsidRPr="00842ACD" w:rsidR="00842ACD">
        <w:rPr>
          <w:rFonts w:eastAsia="Times New Roman"/>
        </w:rPr>
        <w:t>’</w:t>
      </w:r>
      <w:r w:rsidRPr="00842ACD">
        <w:rPr>
          <w:rFonts w:eastAsia="Times New Roman"/>
        </w:rPr>
        <w:t>État au regard de la Convention ne se prête pas à une définition précise, les principes applicables n</w:t>
      </w:r>
      <w:r w:rsidRPr="00842ACD" w:rsidR="00842ACD">
        <w:rPr>
          <w:rFonts w:eastAsia="Times New Roman"/>
        </w:rPr>
        <w:t>’</w:t>
      </w:r>
      <w:r w:rsidRPr="00842ACD">
        <w:rPr>
          <w:rFonts w:eastAsia="Times New Roman"/>
        </w:rPr>
        <w:t>en sont pas moins comparables. En particulier, dans les deux cas, il faut prendre en compte le juste équilibre à ménager entre l</w:t>
      </w:r>
      <w:r w:rsidRPr="00842ACD" w:rsidR="00842ACD">
        <w:rPr>
          <w:rFonts w:eastAsia="Times New Roman"/>
        </w:rPr>
        <w:t>’</w:t>
      </w:r>
      <w:r w:rsidRPr="00842ACD">
        <w:rPr>
          <w:rFonts w:eastAsia="Times New Roman"/>
        </w:rPr>
        <w:t>intérêt général et les intérêts de l</w:t>
      </w:r>
      <w:r w:rsidRPr="00842ACD" w:rsidR="00842ACD">
        <w:rPr>
          <w:rFonts w:eastAsia="Times New Roman"/>
        </w:rPr>
        <w:t>’</w:t>
      </w:r>
      <w:r w:rsidRPr="00842ACD">
        <w:rPr>
          <w:rFonts w:eastAsia="Times New Roman"/>
        </w:rPr>
        <w:t>individu, l</w:t>
      </w:r>
      <w:r w:rsidRPr="00842ACD" w:rsidR="00842ACD">
        <w:rPr>
          <w:rFonts w:eastAsia="Times New Roman"/>
        </w:rPr>
        <w:t>’</w:t>
      </w:r>
      <w:r w:rsidRPr="00842ACD">
        <w:rPr>
          <w:rFonts w:eastAsia="Times New Roman"/>
        </w:rPr>
        <w:t>État jouissant en toute hypothèse d</w:t>
      </w:r>
      <w:r w:rsidRPr="00842ACD" w:rsidR="00842ACD">
        <w:rPr>
          <w:rFonts w:eastAsia="Times New Roman"/>
        </w:rPr>
        <w:t>’</w:t>
      </w:r>
      <w:r w:rsidRPr="00842ACD">
        <w:rPr>
          <w:rFonts w:eastAsia="Times New Roman"/>
        </w:rPr>
        <w:t>une marge d</w:t>
      </w:r>
      <w:r w:rsidRPr="00842ACD" w:rsidR="00842ACD">
        <w:rPr>
          <w:rFonts w:eastAsia="Times New Roman"/>
        </w:rPr>
        <w:t>’</w:t>
      </w:r>
      <w:r w:rsidRPr="00842ACD">
        <w:rPr>
          <w:rFonts w:eastAsia="Times New Roman"/>
        </w:rPr>
        <w:t>appréciation (</w:t>
      </w:r>
      <w:r w:rsidRPr="00842ACD">
        <w:rPr>
          <w:i/>
        </w:rPr>
        <w:t>Eweida</w:t>
      </w:r>
      <w:r w:rsidRPr="00842ACD">
        <w:rPr>
          <w:i/>
        </w:rPr>
        <w:t xml:space="preserve"> et</w:t>
      </w:r>
      <w:r w:rsidRPr="00842ACD" w:rsidR="00925AFB">
        <w:rPr>
          <w:i/>
        </w:rPr>
        <w:t xml:space="preserve"> </w:t>
      </w:r>
      <w:r w:rsidRPr="00842ACD">
        <w:rPr>
          <w:i/>
        </w:rPr>
        <w:t>autres c. Royaume-Uni</w:t>
      </w:r>
      <w:r w:rsidRPr="00842ACD">
        <w:t>, n</w:t>
      </w:r>
      <w:r w:rsidRPr="00842ACD">
        <w:rPr>
          <w:vertAlign w:val="superscript"/>
        </w:rPr>
        <w:t>os</w:t>
      </w:r>
      <w:r w:rsidRPr="00842ACD">
        <w:t xml:space="preserve"> 48420/10 et 3 autres, </w:t>
      </w:r>
      <w:r w:rsidRPr="00842ACD">
        <w:rPr>
          <w:snapToGrid w:val="0"/>
        </w:rPr>
        <w:t xml:space="preserve">§ </w:t>
      </w:r>
      <w:r w:rsidRPr="00842ACD">
        <w:rPr>
          <w:rFonts w:eastAsia="Times New Roman"/>
        </w:rPr>
        <w:t xml:space="preserve">84 </w:t>
      </w:r>
      <w:r w:rsidRPr="00842ACD">
        <w:rPr>
          <w:rFonts w:eastAsia="Times New Roman"/>
          <w:i/>
        </w:rPr>
        <w:t>in fine</w:t>
      </w:r>
      <w:r w:rsidRPr="00842ACD">
        <w:rPr>
          <w:snapToGrid w:val="0"/>
        </w:rPr>
        <w:t xml:space="preserve">, </w:t>
      </w:r>
      <w:r w:rsidRPr="00842ACD">
        <w:t>CEDH</w:t>
      </w:r>
      <w:r w:rsidRPr="00842ACD" w:rsidR="009D6F84">
        <w:t> </w:t>
      </w:r>
      <w:r w:rsidRPr="00842ACD">
        <w:t>2013 (extraits))</w:t>
      </w:r>
      <w:r w:rsidRPr="00842ACD">
        <w:rPr>
          <w:rFonts w:eastAsia="Times New Roman"/>
        </w:rPr>
        <w:t>.</w:t>
      </w:r>
    </w:p>
    <w:p w:rsidRPr="00842ACD" w:rsidR="001169B9" w:rsidP="00842ACD">
      <w:pPr>
        <w:pStyle w:val="JuHa0"/>
        <w:rPr>
          <w:rFonts w:eastAsia="Times New Roman"/>
          <w:lang w:val="fr-FR"/>
        </w:rPr>
      </w:pPr>
      <w:r w:rsidRPr="00842ACD">
        <w:rPr>
          <w:rFonts w:eastAsia="Times New Roman"/>
          <w:lang w:val="fr-FR"/>
        </w:rPr>
        <w:t>Application de ces principes en l</w:t>
      </w:r>
      <w:r w:rsidRPr="00842ACD" w:rsidR="00842ACD">
        <w:rPr>
          <w:rFonts w:eastAsia="Times New Roman"/>
          <w:lang w:val="fr-FR"/>
        </w:rPr>
        <w:t>’</w:t>
      </w:r>
      <w:r w:rsidRPr="00842ACD">
        <w:rPr>
          <w:rFonts w:eastAsia="Times New Roman"/>
          <w:lang w:val="fr-FR"/>
        </w:rPr>
        <w:t>espèce</w:t>
      </w:r>
    </w:p>
    <w:bookmarkStart w:name="para32" w:id="24"/>
    <w:p w:rsidRPr="00842ACD" w:rsidR="001169B9" w:rsidP="00842ACD">
      <w:pPr>
        <w:pStyle w:val="JuPara"/>
        <w:rPr>
          <w:rFonts w:eastAsia="Times New Roman"/>
        </w:rPr>
      </w:pPr>
      <w:r w:rsidRPr="00842ACD">
        <w:rPr>
          <w:rFonts w:eastAsia="Times New Roman"/>
        </w:rPr>
        <w:fldChar w:fldCharType="begin"/>
      </w:r>
      <w:r w:rsidRPr="00842ACD">
        <w:rPr>
          <w:rFonts w:eastAsia="Times New Roman"/>
        </w:rPr>
        <w:instrText xml:space="preserve"> SEQ level0 \*arabic </w:instrText>
      </w:r>
      <w:r w:rsidRPr="00842ACD">
        <w:rPr>
          <w:rFonts w:eastAsia="Times New Roman"/>
        </w:rPr>
        <w:fldChar w:fldCharType="separate"/>
      </w:r>
      <w:r w:rsidRPr="00842ACD" w:rsidR="00842ACD">
        <w:rPr>
          <w:rFonts w:eastAsia="Times New Roman"/>
          <w:noProof/>
        </w:rPr>
        <w:t>33</w:t>
      </w:r>
      <w:r w:rsidRPr="00842ACD">
        <w:rPr>
          <w:rFonts w:eastAsia="Times New Roman"/>
        </w:rPr>
        <w:fldChar w:fldCharType="end"/>
      </w:r>
      <w:bookmarkEnd w:id="24"/>
      <w:r w:rsidRPr="00842ACD">
        <w:rPr>
          <w:rFonts w:eastAsia="Times New Roman"/>
        </w:rPr>
        <w:t>.  La Cour estime qu</w:t>
      </w:r>
      <w:r w:rsidRPr="00842ACD" w:rsidR="00842ACD">
        <w:rPr>
          <w:rFonts w:eastAsia="Times New Roman"/>
        </w:rPr>
        <w:t>’</w:t>
      </w:r>
      <w:r w:rsidRPr="00842ACD">
        <w:rPr>
          <w:rFonts w:eastAsia="Times New Roman"/>
        </w:rPr>
        <w:t>il convient d</w:t>
      </w:r>
      <w:r w:rsidRPr="00842ACD" w:rsidR="00842ACD">
        <w:rPr>
          <w:rFonts w:eastAsia="Times New Roman"/>
        </w:rPr>
        <w:t>’</w:t>
      </w:r>
      <w:r w:rsidRPr="00842ACD">
        <w:rPr>
          <w:rFonts w:eastAsia="Times New Roman"/>
        </w:rPr>
        <w:t xml:space="preserve">examiner les griefs des requérants </w:t>
      </w:r>
      <w:r w:rsidRPr="00842ACD">
        <w:rPr>
          <w:rFonts w:eastAsia="Times New Roman" w:cstheme="minorHAnsi"/>
        </w:rPr>
        <w:t>à</w:t>
      </w:r>
      <w:r w:rsidRPr="00842ACD">
        <w:rPr>
          <w:rFonts w:eastAsia="Times New Roman"/>
        </w:rPr>
        <w:t xml:space="preserve"> la lumière des obligations positives qui découlent de l</w:t>
      </w:r>
      <w:r w:rsidRPr="00842ACD" w:rsidR="00842ACD">
        <w:rPr>
          <w:rFonts w:eastAsia="Times New Roman"/>
        </w:rPr>
        <w:t>’</w:t>
      </w:r>
      <w:r w:rsidRPr="00842ACD">
        <w:rPr>
          <w:rFonts w:eastAsia="Times New Roman"/>
        </w:rPr>
        <w:t xml:space="preserve">article 9 de la Convention (voir, </w:t>
      </w:r>
      <w:r w:rsidRPr="00842ACD">
        <w:rPr>
          <w:rFonts w:eastAsia="Times New Roman"/>
          <w:i/>
        </w:rPr>
        <w:t>mutatis mutandis</w:t>
      </w:r>
      <w:r w:rsidRPr="00842ACD">
        <w:rPr>
          <w:rFonts w:eastAsia="Times New Roman"/>
        </w:rPr>
        <w:t>,</w:t>
      </w:r>
      <w:r w:rsidRPr="00842ACD">
        <w:rPr>
          <w:rFonts w:eastAsia="Times New Roman"/>
          <w:i/>
        </w:rPr>
        <w:t xml:space="preserve"> </w:t>
      </w:r>
      <w:r w:rsidRPr="00842ACD">
        <w:rPr>
          <w:rFonts w:eastAsia="Times New Roman"/>
          <w:i/>
        </w:rPr>
        <w:t>Vartic</w:t>
      </w:r>
      <w:r w:rsidRPr="00842ACD">
        <w:rPr>
          <w:rFonts w:eastAsia="Times New Roman"/>
          <w:i/>
        </w:rPr>
        <w:t xml:space="preserve"> (n</w:t>
      </w:r>
      <w:r w:rsidRPr="00842ACD">
        <w:rPr>
          <w:rFonts w:eastAsia="Times New Roman"/>
          <w:i/>
          <w:vertAlign w:val="superscript"/>
        </w:rPr>
        <w:t>o</w:t>
      </w:r>
      <w:r w:rsidRPr="00842ACD">
        <w:rPr>
          <w:rFonts w:eastAsia="Times New Roman"/>
          <w:i/>
        </w:rPr>
        <w:t xml:space="preserve"> 2)</w:t>
      </w:r>
      <w:r w:rsidRPr="00842ACD">
        <w:rPr>
          <w:rFonts w:eastAsia="Times New Roman"/>
        </w:rPr>
        <w:t>, précité, § 44).</w:t>
      </w:r>
    </w:p>
    <w:p w:rsidRPr="00842ACD" w:rsidR="001169B9" w:rsidP="00842ACD">
      <w:pPr>
        <w:pStyle w:val="JuPara"/>
      </w:pPr>
      <w:r w:rsidRPr="00842ACD">
        <w:rPr>
          <w:rFonts w:eastAsia="Times New Roman"/>
        </w:rPr>
        <w:fldChar w:fldCharType="begin"/>
      </w:r>
      <w:r w:rsidRPr="00842ACD">
        <w:rPr>
          <w:rFonts w:eastAsia="Times New Roman"/>
        </w:rPr>
        <w:instrText xml:space="preserve"> SEQ level0 \*arabic </w:instrText>
      </w:r>
      <w:r w:rsidRPr="00842ACD">
        <w:rPr>
          <w:rFonts w:eastAsia="Times New Roman"/>
        </w:rPr>
        <w:fldChar w:fldCharType="separate"/>
      </w:r>
      <w:r w:rsidRPr="00842ACD" w:rsidR="00842ACD">
        <w:rPr>
          <w:rFonts w:eastAsia="Times New Roman"/>
          <w:noProof/>
        </w:rPr>
        <w:t>34</w:t>
      </w:r>
      <w:r w:rsidRPr="00842ACD">
        <w:rPr>
          <w:rFonts w:eastAsia="Times New Roman"/>
        </w:rPr>
        <w:fldChar w:fldCharType="end"/>
      </w:r>
      <w:r w:rsidRPr="00842ACD">
        <w:rPr>
          <w:rFonts w:eastAsia="Times New Roman"/>
        </w:rPr>
        <w:t>.  À cet égard, la Cour observe que l</w:t>
      </w:r>
      <w:r w:rsidRPr="00842ACD" w:rsidR="00842ACD">
        <w:rPr>
          <w:rFonts w:eastAsia="Times New Roman"/>
        </w:rPr>
        <w:t>’</w:t>
      </w:r>
      <w:r w:rsidRPr="00842ACD">
        <w:rPr>
          <w:rFonts w:eastAsia="Times New Roman"/>
        </w:rPr>
        <w:t>État roumain a consacré expressément le droit à la liberté religieuse tant au niveau de la Constitution qu</w:t>
      </w:r>
      <w:r w:rsidRPr="00842ACD" w:rsidR="00842ACD">
        <w:rPr>
          <w:rFonts w:eastAsia="Times New Roman"/>
        </w:rPr>
        <w:t>’</w:t>
      </w:r>
      <w:r w:rsidRPr="00842ACD">
        <w:rPr>
          <w:rFonts w:eastAsia="Times New Roman"/>
        </w:rPr>
        <w:t xml:space="preserve">au niveau législatif et que la religion juive figure parmi les cultes </w:t>
      </w:r>
      <w:r w:rsidRPr="00842ACD">
        <w:rPr>
          <w:rFonts w:eastAsia="Times New Roman"/>
        </w:rPr>
        <w:t xml:space="preserve">officiellement reconnus (paragraphes </w:t>
      </w:r>
      <w:r w:rsidRPr="00842ACD" w:rsidR="00105497">
        <w:rPr>
          <w:rFonts w:eastAsia="Times New Roman"/>
        </w:rPr>
        <w:t>9</w:t>
      </w:r>
      <w:r w:rsidRPr="00842ACD">
        <w:rPr>
          <w:rFonts w:eastAsia="Times New Roman"/>
        </w:rPr>
        <w:t xml:space="preserve"> et </w:t>
      </w:r>
      <w:r w:rsidRPr="00842ACD" w:rsidR="00105497">
        <w:rPr>
          <w:rFonts w:eastAsia="Times New Roman"/>
        </w:rPr>
        <w:t>10</w:t>
      </w:r>
      <w:r w:rsidRPr="00842ACD">
        <w:rPr>
          <w:rFonts w:eastAsia="Times New Roman"/>
        </w:rPr>
        <w:t xml:space="preserve"> ci-dessus). L</w:t>
      </w:r>
      <w:r w:rsidRPr="00842ACD" w:rsidR="00842ACD">
        <w:rPr>
          <w:rFonts w:eastAsia="Times New Roman"/>
        </w:rPr>
        <w:t>’</w:t>
      </w:r>
      <w:r w:rsidRPr="00842ACD">
        <w:rPr>
          <w:rFonts w:eastAsia="Times New Roman"/>
        </w:rPr>
        <w:t>argument des requérants selon lequel l</w:t>
      </w:r>
      <w:r w:rsidRPr="00842ACD" w:rsidR="00842ACD">
        <w:rPr>
          <w:rFonts w:eastAsia="Times New Roman"/>
        </w:rPr>
        <w:t>’</w:t>
      </w:r>
      <w:r w:rsidRPr="00842ACD">
        <w:rPr>
          <w:rFonts w:eastAsia="Times New Roman"/>
        </w:rPr>
        <w:t>État défendeur n</w:t>
      </w:r>
      <w:r w:rsidRPr="00842ACD" w:rsidR="00842ACD">
        <w:rPr>
          <w:rFonts w:eastAsia="Times New Roman"/>
        </w:rPr>
        <w:t>’</w:t>
      </w:r>
      <w:r w:rsidRPr="00842ACD">
        <w:rPr>
          <w:rFonts w:eastAsia="Times New Roman"/>
        </w:rPr>
        <w:t xml:space="preserve">a pas adopté de législation pour reconnaître la religion juive (paragraphe </w:t>
      </w:r>
      <w:r w:rsidRPr="00842ACD" w:rsidR="00105497">
        <w:rPr>
          <w:rFonts w:eastAsia="Times New Roman"/>
        </w:rPr>
        <w:t>26</w:t>
      </w:r>
      <w:r w:rsidRPr="00842ACD">
        <w:rPr>
          <w:rFonts w:eastAsia="Times New Roman"/>
        </w:rPr>
        <w:t xml:space="preserve"> ci-dessus) doit donc être écarté. Pour autant que l</w:t>
      </w:r>
      <w:r w:rsidRPr="00842ACD" w:rsidR="00842ACD">
        <w:rPr>
          <w:rFonts w:eastAsia="Times New Roman"/>
        </w:rPr>
        <w:t>’</w:t>
      </w:r>
      <w:r w:rsidRPr="00842ACD">
        <w:rPr>
          <w:rFonts w:eastAsia="Times New Roman"/>
        </w:rPr>
        <w:t>argument des intéressés consiste à dire que l</w:t>
      </w:r>
      <w:r w:rsidRPr="00842ACD" w:rsidR="00842ACD">
        <w:rPr>
          <w:rFonts w:eastAsia="Times New Roman"/>
        </w:rPr>
        <w:t>’</w:t>
      </w:r>
      <w:r w:rsidRPr="00842ACD">
        <w:rPr>
          <w:rFonts w:eastAsia="Times New Roman"/>
        </w:rPr>
        <w:t>État défendeur n</w:t>
      </w:r>
      <w:r w:rsidRPr="00842ACD" w:rsidR="00842ACD">
        <w:rPr>
          <w:rFonts w:eastAsia="Times New Roman"/>
        </w:rPr>
        <w:t>’</w:t>
      </w:r>
      <w:r w:rsidRPr="00842ACD">
        <w:rPr>
          <w:rFonts w:eastAsia="Times New Roman"/>
        </w:rPr>
        <w:t>a pas adopté de réglementation spécifique relative aux conditions dans lesquelles les détenus de confession juive peuvent se voir attribuer des repas casher lorsqu</w:t>
      </w:r>
      <w:r w:rsidRPr="00842ACD" w:rsidR="00842ACD">
        <w:rPr>
          <w:rFonts w:eastAsia="Times New Roman"/>
        </w:rPr>
        <w:t>’</w:t>
      </w:r>
      <w:r w:rsidRPr="00842ACD">
        <w:rPr>
          <w:rFonts w:eastAsia="Times New Roman"/>
        </w:rPr>
        <w:t>ils purgent une peine d</w:t>
      </w:r>
      <w:r w:rsidRPr="00842ACD" w:rsidR="00842ACD">
        <w:rPr>
          <w:rFonts w:eastAsia="Times New Roman"/>
        </w:rPr>
        <w:t>’</w:t>
      </w:r>
      <w:r w:rsidRPr="00842ACD">
        <w:rPr>
          <w:rFonts w:eastAsia="Times New Roman"/>
        </w:rPr>
        <w:t>emprisonnement, la Cour note que la loi n</w:t>
      </w:r>
      <w:r w:rsidRPr="00842ACD">
        <w:rPr>
          <w:rFonts w:eastAsia="Times New Roman"/>
          <w:vertAlign w:val="superscript"/>
        </w:rPr>
        <w:t>o</w:t>
      </w:r>
      <w:r w:rsidRPr="00842ACD" w:rsidR="00925AFB">
        <w:rPr>
          <w:rFonts w:eastAsia="Times New Roman"/>
          <w:vertAlign w:val="superscript"/>
        </w:rPr>
        <w:t xml:space="preserve"> </w:t>
      </w:r>
      <w:r w:rsidRPr="00842ACD">
        <w:rPr>
          <w:rFonts w:eastAsia="Times New Roman"/>
        </w:rPr>
        <w:t>254/2013 et la réglementation décidée en vue de son application définissent les modalités d</w:t>
      </w:r>
      <w:r w:rsidRPr="00842ACD" w:rsidR="00842ACD">
        <w:rPr>
          <w:rFonts w:eastAsia="Times New Roman"/>
        </w:rPr>
        <w:t>’</w:t>
      </w:r>
      <w:r w:rsidRPr="00842ACD">
        <w:rPr>
          <w:rFonts w:eastAsia="Times New Roman"/>
        </w:rPr>
        <w:t>exercice du droit à la liberté religieuse en détention, y compris en ce qui concerne l</w:t>
      </w:r>
      <w:r w:rsidRPr="00842ACD" w:rsidR="00842ACD">
        <w:rPr>
          <w:rFonts w:eastAsia="Times New Roman"/>
        </w:rPr>
        <w:t>’</w:t>
      </w:r>
      <w:r w:rsidRPr="00842ACD">
        <w:rPr>
          <w:rFonts w:eastAsia="Times New Roman"/>
        </w:rPr>
        <w:t>alimentation requise par l</w:t>
      </w:r>
      <w:r w:rsidRPr="00842ACD" w:rsidR="00842ACD">
        <w:rPr>
          <w:rFonts w:eastAsia="Times New Roman"/>
        </w:rPr>
        <w:t>’</w:t>
      </w:r>
      <w:r w:rsidRPr="00842ACD">
        <w:rPr>
          <w:rFonts w:eastAsia="Times New Roman"/>
        </w:rPr>
        <w:t>observance des préceptes religie</w:t>
      </w:r>
      <w:r w:rsidRPr="00842ACD" w:rsidR="007104B9">
        <w:rPr>
          <w:rFonts w:eastAsia="Times New Roman"/>
        </w:rPr>
        <w:t>u</w:t>
      </w:r>
      <w:r w:rsidRPr="00842ACD">
        <w:rPr>
          <w:rFonts w:eastAsia="Times New Roman"/>
        </w:rPr>
        <w:t xml:space="preserve">x (paragraphes </w:t>
      </w:r>
      <w:r w:rsidRPr="00842ACD" w:rsidR="00105497">
        <w:rPr>
          <w:rFonts w:eastAsia="Times New Roman"/>
        </w:rPr>
        <w:t>11</w:t>
      </w:r>
      <w:r w:rsidRPr="00842ACD" w:rsidR="00925AFB">
        <w:rPr>
          <w:rFonts w:eastAsia="Times New Roman"/>
        </w:rPr>
        <w:t>-</w:t>
      </w:r>
      <w:r w:rsidRPr="00842ACD" w:rsidR="00105497">
        <w:rPr>
          <w:rFonts w:eastAsia="Times New Roman"/>
        </w:rPr>
        <w:t>13</w:t>
      </w:r>
      <w:r w:rsidRPr="00842ACD" w:rsidR="00925AFB">
        <w:rPr>
          <w:rFonts w:eastAsia="Times New Roman"/>
        </w:rPr>
        <w:t xml:space="preserve"> ci-</w:t>
      </w:r>
      <w:r w:rsidRPr="00842ACD">
        <w:rPr>
          <w:rFonts w:eastAsia="Times New Roman"/>
        </w:rPr>
        <w:t>dessus). Elle estime que cette législation pose un cadre normatif général, suffisamment prévisible et détaillé quant à l</w:t>
      </w:r>
      <w:r w:rsidRPr="00842ACD" w:rsidR="00842ACD">
        <w:rPr>
          <w:rFonts w:eastAsia="Times New Roman"/>
        </w:rPr>
        <w:t>’</w:t>
      </w:r>
      <w:r w:rsidRPr="00842ACD">
        <w:rPr>
          <w:rFonts w:eastAsia="Times New Roman"/>
        </w:rPr>
        <w:t>exercice du droit à la liberté de religion en milieu pénitentiaire. En ce qui concerne l</w:t>
      </w:r>
      <w:r w:rsidRPr="00842ACD" w:rsidR="00842ACD">
        <w:rPr>
          <w:rFonts w:eastAsia="Times New Roman"/>
        </w:rPr>
        <w:t>’</w:t>
      </w:r>
      <w:r w:rsidRPr="00842ACD">
        <w:rPr>
          <w:rFonts w:eastAsia="Times New Roman"/>
        </w:rPr>
        <w:t>argument des requérants visant l</w:t>
      </w:r>
      <w:r w:rsidRPr="00842ACD" w:rsidR="00842ACD">
        <w:rPr>
          <w:rFonts w:eastAsia="Times New Roman"/>
        </w:rPr>
        <w:t>’</w:t>
      </w:r>
      <w:r w:rsidRPr="00842ACD">
        <w:rPr>
          <w:rFonts w:eastAsia="Times New Roman"/>
        </w:rPr>
        <w:t>absence alléguée d</w:t>
      </w:r>
      <w:r w:rsidRPr="00842ACD" w:rsidR="00842ACD">
        <w:rPr>
          <w:rFonts w:eastAsia="Times New Roman"/>
        </w:rPr>
        <w:t>’</w:t>
      </w:r>
      <w:r w:rsidRPr="00842ACD">
        <w:rPr>
          <w:rFonts w:eastAsia="Times New Roman"/>
        </w:rPr>
        <w:t>une réglementation spécifique établissant en détail les modalités d</w:t>
      </w:r>
      <w:r w:rsidRPr="00842ACD" w:rsidR="00842ACD">
        <w:rPr>
          <w:rFonts w:eastAsia="Times New Roman"/>
        </w:rPr>
        <w:t>’</w:t>
      </w:r>
      <w:r w:rsidRPr="00842ACD">
        <w:rPr>
          <w:rFonts w:eastAsia="Times New Roman"/>
        </w:rPr>
        <w:t>allocation, de préparation et de distribution des repas casher en milieu carcéral, la Cour considère que le choix d</w:t>
      </w:r>
      <w:r w:rsidRPr="00842ACD" w:rsidR="00842ACD">
        <w:rPr>
          <w:rFonts w:eastAsia="Times New Roman"/>
        </w:rPr>
        <w:t>’</w:t>
      </w:r>
      <w:r w:rsidRPr="00842ACD">
        <w:rPr>
          <w:rFonts w:eastAsia="Times New Roman"/>
        </w:rPr>
        <w:t>adopter ou pas une réglementation détaillée relative aux modalités d</w:t>
      </w:r>
      <w:r w:rsidRPr="00842ACD" w:rsidR="00842ACD">
        <w:rPr>
          <w:rFonts w:eastAsia="Times New Roman"/>
        </w:rPr>
        <w:t>’</w:t>
      </w:r>
      <w:r w:rsidRPr="00842ACD">
        <w:rPr>
          <w:rFonts w:eastAsia="Times New Roman"/>
        </w:rPr>
        <w:t>exercice d</w:t>
      </w:r>
      <w:r w:rsidRPr="00842ACD" w:rsidR="00842ACD">
        <w:rPr>
          <w:rFonts w:eastAsia="Times New Roman"/>
        </w:rPr>
        <w:t>’</w:t>
      </w:r>
      <w:r w:rsidRPr="00842ACD">
        <w:rPr>
          <w:rFonts w:eastAsia="Times New Roman"/>
        </w:rPr>
        <w:t>une religion donnée en milieu pénitentiaire relève plutôt de la marge d</w:t>
      </w:r>
      <w:r w:rsidRPr="00842ACD" w:rsidR="00842ACD">
        <w:rPr>
          <w:rFonts w:eastAsia="Times New Roman"/>
        </w:rPr>
        <w:t>’</w:t>
      </w:r>
      <w:r w:rsidRPr="00842ACD">
        <w:rPr>
          <w:rFonts w:eastAsia="Times New Roman"/>
        </w:rPr>
        <w:t>appréciation des autorités de l</w:t>
      </w:r>
      <w:r w:rsidRPr="00842ACD" w:rsidR="00842ACD">
        <w:rPr>
          <w:rFonts w:eastAsia="Times New Roman"/>
        </w:rPr>
        <w:t>’</w:t>
      </w:r>
      <w:r w:rsidRPr="00842ACD">
        <w:rPr>
          <w:rFonts w:eastAsia="Times New Roman"/>
        </w:rPr>
        <w:t xml:space="preserve">État, qui sont mieux placées pour se prononcer sur les besoins et les contextes locaux (voir, </w:t>
      </w:r>
      <w:r w:rsidRPr="00842ACD">
        <w:rPr>
          <w:rFonts w:eastAsia="Times New Roman"/>
          <w:i/>
        </w:rPr>
        <w:t>mutatis mutandis</w:t>
      </w:r>
      <w:r w:rsidRPr="00842ACD">
        <w:rPr>
          <w:rFonts w:eastAsia="Times New Roman"/>
        </w:rPr>
        <w:t xml:space="preserve">, </w:t>
      </w:r>
      <w:r w:rsidRPr="00842ACD">
        <w:rPr>
          <w:rFonts w:eastAsia="Times New Roman"/>
          <w:i/>
        </w:rPr>
        <w:t>S.A.S. c. France</w:t>
      </w:r>
      <w:r w:rsidRPr="00842ACD">
        <w:rPr>
          <w:rFonts w:eastAsia="Times New Roman"/>
        </w:rPr>
        <w:t>, précité, § 129). À cet égard, la Cour retient que, d</w:t>
      </w:r>
      <w:r w:rsidRPr="00842ACD" w:rsidR="00842ACD">
        <w:rPr>
          <w:rFonts w:eastAsia="Times New Roman"/>
        </w:rPr>
        <w:t>’</w:t>
      </w:r>
      <w:r w:rsidRPr="00842ACD">
        <w:rPr>
          <w:rFonts w:eastAsia="Times New Roman"/>
        </w:rPr>
        <w:t>après les requérants eux</w:t>
      </w:r>
      <w:r w:rsidRPr="00842ACD" w:rsidR="00925AFB">
        <w:rPr>
          <w:rFonts w:eastAsia="Times New Roman"/>
        </w:rPr>
        <w:t>-</w:t>
      </w:r>
      <w:r w:rsidRPr="00842ACD">
        <w:rPr>
          <w:rFonts w:eastAsia="Times New Roman"/>
        </w:rPr>
        <w:t xml:space="preserve">mêmes, au moment des faits, seules huit personnes de confession juive étaient détenues dans les prisons roumaines (paragraphe </w:t>
      </w:r>
      <w:r w:rsidRPr="00842ACD" w:rsidR="00105497">
        <w:rPr>
          <w:rFonts w:eastAsia="Times New Roman"/>
        </w:rPr>
        <w:t>27</w:t>
      </w:r>
      <w:r w:rsidRPr="00842ACD">
        <w:rPr>
          <w:rFonts w:eastAsia="Times New Roman"/>
        </w:rPr>
        <w:t xml:space="preserve"> ci</w:t>
      </w:r>
      <w:r w:rsidRPr="00842ACD" w:rsidR="00925AFB">
        <w:rPr>
          <w:rFonts w:eastAsia="Times New Roman"/>
        </w:rPr>
        <w:t>-</w:t>
      </w:r>
      <w:r w:rsidRPr="00842ACD">
        <w:rPr>
          <w:rFonts w:eastAsia="Times New Roman"/>
        </w:rPr>
        <w:t>dessus).</w:t>
      </w:r>
    </w:p>
    <w:p w:rsidRPr="00842ACD" w:rsidR="001169B9" w:rsidP="00842ACD">
      <w:pPr>
        <w:pStyle w:val="JuPara"/>
        <w:rPr>
          <w:rFonts w:eastAsia="Times New Roman"/>
        </w:rPr>
      </w:pPr>
      <w:r w:rsidRPr="00842ACD">
        <w:rPr>
          <w:rFonts w:eastAsia="Times New Roman"/>
        </w:rPr>
        <w:fldChar w:fldCharType="begin"/>
      </w:r>
      <w:r w:rsidRPr="00842ACD">
        <w:rPr>
          <w:rFonts w:eastAsia="Times New Roman"/>
        </w:rPr>
        <w:instrText xml:space="preserve"> SEQ level0 \*arabic </w:instrText>
      </w:r>
      <w:r w:rsidRPr="00842ACD">
        <w:rPr>
          <w:rFonts w:eastAsia="Times New Roman"/>
        </w:rPr>
        <w:fldChar w:fldCharType="separate"/>
      </w:r>
      <w:r w:rsidRPr="00842ACD" w:rsidR="00842ACD">
        <w:rPr>
          <w:rFonts w:eastAsia="Times New Roman"/>
          <w:noProof/>
        </w:rPr>
        <w:t>35</w:t>
      </w:r>
      <w:r w:rsidRPr="00842ACD">
        <w:rPr>
          <w:rFonts w:eastAsia="Times New Roman"/>
        </w:rPr>
        <w:fldChar w:fldCharType="end"/>
      </w:r>
      <w:r w:rsidRPr="00842ACD">
        <w:rPr>
          <w:rFonts w:eastAsia="Times New Roman"/>
        </w:rPr>
        <w:t>.  De plus, la Cour note que le tribunal de première instance de Bucarest a tranché en faveur d</w:t>
      </w:r>
      <w:r w:rsidRPr="00842ACD" w:rsidR="00842ACD">
        <w:rPr>
          <w:rFonts w:eastAsia="Times New Roman"/>
        </w:rPr>
        <w:t>’</w:t>
      </w:r>
      <w:r w:rsidRPr="00842ACD">
        <w:rPr>
          <w:rFonts w:eastAsia="Times New Roman"/>
        </w:rPr>
        <w:t>une solution sur mesure adaptée aux besoins particuliers des requérants et a permis ainsi de pallier l</w:t>
      </w:r>
      <w:r w:rsidRPr="00842ACD" w:rsidR="00842ACD">
        <w:rPr>
          <w:rFonts w:eastAsia="Times New Roman"/>
        </w:rPr>
        <w:t>’</w:t>
      </w:r>
      <w:r w:rsidRPr="00842ACD">
        <w:rPr>
          <w:rFonts w:eastAsia="Times New Roman"/>
        </w:rPr>
        <w:t>absence d</w:t>
      </w:r>
      <w:r w:rsidRPr="00842ACD" w:rsidR="00842ACD">
        <w:rPr>
          <w:rFonts w:eastAsia="Times New Roman"/>
        </w:rPr>
        <w:t>’</w:t>
      </w:r>
      <w:r w:rsidRPr="00842ACD">
        <w:rPr>
          <w:rFonts w:eastAsia="Times New Roman"/>
        </w:rPr>
        <w:t>un cadre réglementaire spécifique pour les détenus de confession juive et d</w:t>
      </w:r>
      <w:r w:rsidRPr="00842ACD" w:rsidR="00842ACD">
        <w:rPr>
          <w:rFonts w:eastAsia="Times New Roman"/>
        </w:rPr>
        <w:t>’</w:t>
      </w:r>
      <w:r w:rsidRPr="00842ACD">
        <w:rPr>
          <w:rFonts w:eastAsia="Times New Roman"/>
        </w:rPr>
        <w:t xml:space="preserve">offrir une solution applicable sans délai (paragraphe </w:t>
      </w:r>
      <w:r w:rsidRPr="00842ACD" w:rsidR="00105497">
        <w:rPr>
          <w:rFonts w:eastAsia="Times New Roman"/>
        </w:rPr>
        <w:t>5</w:t>
      </w:r>
      <w:r w:rsidRPr="00842ACD">
        <w:rPr>
          <w:rFonts w:eastAsia="Times New Roman"/>
        </w:rPr>
        <w:t xml:space="preserve"> ci</w:t>
      </w:r>
      <w:r w:rsidRPr="00842ACD" w:rsidR="00925AFB">
        <w:rPr>
          <w:rFonts w:eastAsia="Times New Roman"/>
        </w:rPr>
        <w:t>-</w:t>
      </w:r>
      <w:r w:rsidRPr="00842ACD">
        <w:rPr>
          <w:rFonts w:eastAsia="Times New Roman"/>
        </w:rPr>
        <w:t>dessus). La Cour voit les mérites d</w:t>
      </w:r>
      <w:r w:rsidRPr="00842ACD" w:rsidR="00842ACD">
        <w:rPr>
          <w:rFonts w:eastAsia="Times New Roman"/>
        </w:rPr>
        <w:t>’</w:t>
      </w:r>
      <w:r w:rsidRPr="00842ACD">
        <w:rPr>
          <w:rFonts w:eastAsia="Times New Roman"/>
        </w:rPr>
        <w:t>une telle approche, qui cadre bien avec le principe de subsidiarité, dans la mesure où le tribunal de première instance a adopté une solution concrète qui a eu l</w:t>
      </w:r>
      <w:r w:rsidRPr="00842ACD" w:rsidR="00842ACD">
        <w:rPr>
          <w:rFonts w:eastAsia="Times New Roman"/>
        </w:rPr>
        <w:t>’</w:t>
      </w:r>
      <w:r w:rsidRPr="00842ACD">
        <w:rPr>
          <w:rFonts w:eastAsia="Times New Roman"/>
        </w:rPr>
        <w:t xml:space="preserve">avantage de pouvoir être appliquée immédiatement par les autorités pénitentiaires de </w:t>
      </w:r>
      <w:r w:rsidRPr="00842ACD">
        <w:rPr>
          <w:rFonts w:eastAsia="Times New Roman"/>
        </w:rPr>
        <w:t>Rahova</w:t>
      </w:r>
      <w:r w:rsidRPr="00842ACD">
        <w:rPr>
          <w:rFonts w:eastAsia="Times New Roman"/>
        </w:rPr>
        <w:t>.</w:t>
      </w:r>
    </w:p>
    <w:p w:rsidRPr="00842ACD" w:rsidR="001169B9" w:rsidP="00842ACD">
      <w:pPr>
        <w:pStyle w:val="JuPara"/>
        <w:rPr>
          <w:rFonts w:eastAsia="Times New Roman"/>
        </w:rPr>
      </w:pPr>
      <w:r w:rsidRPr="00842ACD">
        <w:rPr>
          <w:rFonts w:eastAsia="Times New Roman"/>
        </w:rPr>
        <w:fldChar w:fldCharType="begin"/>
      </w:r>
      <w:r w:rsidRPr="00842ACD">
        <w:rPr>
          <w:rFonts w:eastAsia="Times New Roman"/>
        </w:rPr>
        <w:instrText xml:space="preserve"> SEQ level0 \*arabic </w:instrText>
      </w:r>
      <w:r w:rsidRPr="00842ACD">
        <w:rPr>
          <w:rFonts w:eastAsia="Times New Roman"/>
        </w:rPr>
        <w:fldChar w:fldCharType="separate"/>
      </w:r>
      <w:r w:rsidRPr="00842ACD" w:rsidR="00842ACD">
        <w:rPr>
          <w:rFonts w:eastAsia="Times New Roman"/>
          <w:noProof/>
        </w:rPr>
        <w:t>36</w:t>
      </w:r>
      <w:r w:rsidRPr="00842ACD">
        <w:rPr>
          <w:rFonts w:eastAsia="Times New Roman"/>
        </w:rPr>
        <w:fldChar w:fldCharType="end"/>
      </w:r>
      <w:r w:rsidRPr="00842ACD">
        <w:rPr>
          <w:rFonts w:eastAsia="Times New Roman"/>
        </w:rPr>
        <w:t>.  Plus concrètement, la Cour relève que le tribunal de première instance a ordonné à l</w:t>
      </w:r>
      <w:r w:rsidRPr="00842ACD" w:rsidR="00842ACD">
        <w:rPr>
          <w:rFonts w:eastAsia="Times New Roman"/>
        </w:rPr>
        <w:t>’</w:t>
      </w:r>
      <w:r w:rsidRPr="00842ACD">
        <w:rPr>
          <w:rFonts w:eastAsia="Times New Roman"/>
        </w:rPr>
        <w:t xml:space="preserve">administration pénitentiaire de </w:t>
      </w:r>
      <w:r w:rsidRPr="00842ACD">
        <w:rPr>
          <w:rFonts w:eastAsia="Times New Roman"/>
        </w:rPr>
        <w:t>Rahova</w:t>
      </w:r>
      <w:r w:rsidRPr="00842ACD">
        <w:rPr>
          <w:rFonts w:eastAsia="Times New Roman"/>
        </w:rPr>
        <w:t xml:space="preserve"> de permettre aux requérants de recevoir quotidiennement des repas casher, en quantité nécessaire pour satisfaire leurs besoins personnels, de pourvoir à la distribution des repas dans les mêmes conditions que celles offertes aux autres personnes détenues, ainsi que d</w:t>
      </w:r>
      <w:r w:rsidRPr="00842ACD" w:rsidR="00842ACD">
        <w:rPr>
          <w:rFonts w:eastAsia="Times New Roman"/>
        </w:rPr>
        <w:t>’</w:t>
      </w:r>
      <w:r w:rsidRPr="00842ACD">
        <w:rPr>
          <w:rFonts w:eastAsia="Times New Roman"/>
        </w:rPr>
        <w:t>assurer les facilités pour la conservation des repas les jours où ceux-ci ne pouvaient pas être livrés (paragraphe</w:t>
      </w:r>
      <w:r w:rsidRPr="00842ACD" w:rsidR="00925AFB">
        <w:rPr>
          <w:rFonts w:eastAsia="Times New Roman"/>
        </w:rPr>
        <w:t> </w:t>
      </w:r>
      <w:r w:rsidRPr="00842ACD" w:rsidR="007F0FEC">
        <w:rPr>
          <w:rFonts w:eastAsia="Times New Roman"/>
        </w:rPr>
        <w:t>5</w:t>
      </w:r>
      <w:r w:rsidRPr="00842ACD">
        <w:rPr>
          <w:rFonts w:eastAsia="Times New Roman"/>
        </w:rPr>
        <w:t xml:space="preserve"> ci-dessus). Elle note que, selon les observations du Gouvernement, non contestées par les requérants, le jugement du tribunal de première instance a été mis en application par les autorités pénitentiaires de </w:t>
      </w:r>
      <w:r w:rsidRPr="00842ACD">
        <w:rPr>
          <w:rFonts w:eastAsia="Times New Roman"/>
        </w:rPr>
        <w:t>Rahova</w:t>
      </w:r>
      <w:r w:rsidRPr="00842ACD">
        <w:rPr>
          <w:rFonts w:eastAsia="Times New Roman"/>
        </w:rPr>
        <w:t xml:space="preserve"> (paragraphe </w:t>
      </w:r>
      <w:r w:rsidRPr="00842ACD" w:rsidR="007F0FEC">
        <w:rPr>
          <w:rFonts w:eastAsia="Times New Roman"/>
        </w:rPr>
        <w:t>24</w:t>
      </w:r>
      <w:r w:rsidRPr="00842ACD">
        <w:rPr>
          <w:rFonts w:eastAsia="Times New Roman"/>
        </w:rPr>
        <w:t xml:space="preserve"> ci-dessus).</w:t>
      </w:r>
      <w:r w:rsidRPr="00842ACD">
        <w:rPr>
          <w:b/>
          <w:sz w:val="22"/>
          <w:szCs w:val="22"/>
        </w:rPr>
        <w:t xml:space="preserve"> </w:t>
      </w:r>
      <w:r w:rsidRPr="00842ACD">
        <w:rPr>
          <w:rFonts w:eastAsia="Times New Roman"/>
        </w:rPr>
        <w:t>Elle écarte donc l</w:t>
      </w:r>
      <w:r w:rsidRPr="00842ACD" w:rsidR="00842ACD">
        <w:rPr>
          <w:rFonts w:eastAsia="Times New Roman"/>
        </w:rPr>
        <w:t>’</w:t>
      </w:r>
      <w:r w:rsidRPr="00842ACD">
        <w:rPr>
          <w:rFonts w:eastAsia="Times New Roman"/>
        </w:rPr>
        <w:t xml:space="preserve">argument des </w:t>
      </w:r>
      <w:r w:rsidRPr="00842ACD">
        <w:rPr>
          <w:rFonts w:eastAsia="Times New Roman"/>
        </w:rPr>
        <w:t xml:space="preserve">requérants selon lequel ils ont dû obtenir une décision judiciaire pour se voir reconnaître le droit de bénéficier de repas conformes aux exigences de leur religion (paragraphe </w:t>
      </w:r>
      <w:r w:rsidRPr="00842ACD" w:rsidR="007F0FEC">
        <w:rPr>
          <w:rFonts w:eastAsia="Times New Roman"/>
        </w:rPr>
        <w:t>27</w:t>
      </w:r>
      <w:r w:rsidRPr="00842ACD">
        <w:rPr>
          <w:rFonts w:eastAsia="Times New Roman"/>
        </w:rPr>
        <w:t xml:space="preserve"> ci-dessus) dans la mesure où il revient aux requérants de saisir dans un premier temps les autorités nationales pour dénoncer une éventuelle atteinte à leurs droits. En l</w:t>
      </w:r>
      <w:r w:rsidRPr="00842ACD" w:rsidR="00842ACD">
        <w:rPr>
          <w:rFonts w:eastAsia="Times New Roman"/>
        </w:rPr>
        <w:t>’</w:t>
      </w:r>
      <w:r w:rsidRPr="00842ACD">
        <w:rPr>
          <w:rFonts w:eastAsia="Times New Roman"/>
        </w:rPr>
        <w:t>espèce, les juridictions nationales ont dûment examiné les demandes des requérants et ont rendu en temps utile une décision judiciaire en leur faveur. La Cour note également qu</w:t>
      </w:r>
      <w:r w:rsidRPr="00842ACD" w:rsidR="00842ACD">
        <w:rPr>
          <w:rFonts w:eastAsia="Times New Roman"/>
        </w:rPr>
        <w:t>’</w:t>
      </w:r>
      <w:r w:rsidRPr="00842ACD">
        <w:rPr>
          <w:rFonts w:eastAsia="Times New Roman"/>
        </w:rPr>
        <w:t>il n</w:t>
      </w:r>
      <w:r w:rsidRPr="00842ACD" w:rsidR="00842ACD">
        <w:rPr>
          <w:rFonts w:eastAsia="Times New Roman"/>
        </w:rPr>
        <w:t>’</w:t>
      </w:r>
      <w:r w:rsidRPr="00842ACD">
        <w:rPr>
          <w:rFonts w:eastAsia="Times New Roman"/>
        </w:rPr>
        <w:t>apparait pas des éléments soumis devant elle par les intéressés qu</w:t>
      </w:r>
      <w:r w:rsidRPr="00842ACD" w:rsidR="00842ACD">
        <w:rPr>
          <w:rFonts w:eastAsia="Times New Roman"/>
        </w:rPr>
        <w:t>’</w:t>
      </w:r>
      <w:r w:rsidRPr="00842ACD">
        <w:rPr>
          <w:rFonts w:eastAsia="Times New Roman"/>
        </w:rPr>
        <w:t>ils aient demandé aux juridictions nationales une réparation pour la période antérieure à la saisine de celles-ci quand ils n</w:t>
      </w:r>
      <w:r w:rsidRPr="00842ACD" w:rsidR="00842ACD">
        <w:rPr>
          <w:rFonts w:eastAsia="Times New Roman"/>
        </w:rPr>
        <w:t>’</w:t>
      </w:r>
      <w:r w:rsidRPr="00842ACD">
        <w:rPr>
          <w:rFonts w:eastAsia="Times New Roman"/>
        </w:rPr>
        <w:t>ont pas bénéficié de repas conformes aux exigences de leur religion.</w:t>
      </w:r>
    </w:p>
    <w:bookmarkStart w:name="par35" w:id="25"/>
    <w:p w:rsidRPr="00842ACD" w:rsidR="001169B9" w:rsidP="00842ACD">
      <w:pPr>
        <w:pStyle w:val="JuPara"/>
      </w:pPr>
      <w:r w:rsidRPr="00842ACD">
        <w:rPr>
          <w:rFonts w:eastAsia="Times New Roman"/>
        </w:rPr>
        <w:fldChar w:fldCharType="begin"/>
      </w:r>
      <w:r w:rsidRPr="00842ACD">
        <w:rPr>
          <w:rFonts w:eastAsia="Times New Roman"/>
        </w:rPr>
        <w:instrText xml:space="preserve"> SEQ level0 \*arabic </w:instrText>
      </w:r>
      <w:r w:rsidRPr="00842ACD">
        <w:rPr>
          <w:rFonts w:eastAsia="Times New Roman"/>
        </w:rPr>
        <w:fldChar w:fldCharType="separate"/>
      </w:r>
      <w:r w:rsidRPr="00842ACD" w:rsidR="00842ACD">
        <w:rPr>
          <w:rFonts w:eastAsia="Times New Roman"/>
          <w:noProof/>
        </w:rPr>
        <w:t>37</w:t>
      </w:r>
      <w:r w:rsidRPr="00842ACD">
        <w:rPr>
          <w:rFonts w:eastAsia="Times New Roman"/>
        </w:rPr>
        <w:fldChar w:fldCharType="end"/>
      </w:r>
      <w:bookmarkEnd w:id="25"/>
      <w:r w:rsidRPr="00842ACD">
        <w:rPr>
          <w:rFonts w:eastAsia="Times New Roman"/>
        </w:rPr>
        <w:t>.  La Cour rappelle avoir déjà dit qu</w:t>
      </w:r>
      <w:r w:rsidRPr="00842ACD" w:rsidR="00842ACD">
        <w:rPr>
          <w:rFonts w:eastAsia="Times New Roman"/>
        </w:rPr>
        <w:t>’</w:t>
      </w:r>
      <w:r w:rsidRPr="00842ACD">
        <w:rPr>
          <w:rFonts w:eastAsia="Times New Roman"/>
        </w:rPr>
        <w:t>elle était prête à accepter que la décision de mettre en place des aménagements spécifiques pour un détenu pouvait avoir des conséquences financières directes pour un établissement pénitentiaire, et donc se répercuter de manière indirecte sur la qualité du traitement des autres détenus, et qu</w:t>
      </w:r>
      <w:r w:rsidRPr="00842ACD" w:rsidR="00842ACD">
        <w:rPr>
          <w:rFonts w:eastAsia="Times New Roman"/>
        </w:rPr>
        <w:t>’</w:t>
      </w:r>
      <w:r w:rsidRPr="00842ACD">
        <w:rPr>
          <w:rFonts w:eastAsia="Times New Roman"/>
        </w:rPr>
        <w:t>elle devait ainsi vérifier si les autorités nationales avaient ménagé un juste équilibre entre les intérêts de l</w:t>
      </w:r>
      <w:r w:rsidRPr="00842ACD" w:rsidR="00842ACD">
        <w:rPr>
          <w:rFonts w:eastAsia="Times New Roman"/>
        </w:rPr>
        <w:t>’</w:t>
      </w:r>
      <w:r w:rsidRPr="00842ACD">
        <w:rPr>
          <w:rFonts w:eastAsia="Times New Roman"/>
        </w:rPr>
        <w:t>établissement, ceux de ces autres prisonniers et les intérêts particuliers du détenu concerné (</w:t>
      </w:r>
      <w:r w:rsidRPr="00842ACD" w:rsidR="00925AFB">
        <w:rPr>
          <w:i/>
        </w:rPr>
        <w:t>Jakóbski</w:t>
      </w:r>
      <w:r w:rsidRPr="00842ACD" w:rsidR="00925AFB">
        <w:rPr>
          <w:i/>
        </w:rPr>
        <w:t xml:space="preserve"> c. </w:t>
      </w:r>
      <w:r w:rsidRPr="00842ACD">
        <w:rPr>
          <w:i/>
        </w:rPr>
        <w:t>Pologne</w:t>
      </w:r>
      <w:r w:rsidRPr="00842ACD">
        <w:t>, n</w:t>
      </w:r>
      <w:r w:rsidRPr="00842ACD">
        <w:rPr>
          <w:vertAlign w:val="superscript"/>
        </w:rPr>
        <w:t>o</w:t>
      </w:r>
      <w:r w:rsidRPr="00842ACD" w:rsidR="00925AFB">
        <w:t xml:space="preserve"> 18429/06, § </w:t>
      </w:r>
      <w:r w:rsidRPr="00842ACD">
        <w:t>50, 7</w:t>
      </w:r>
      <w:r w:rsidRPr="00842ACD" w:rsidR="009D6F84">
        <w:t> </w:t>
      </w:r>
      <w:r w:rsidRPr="00842ACD" w:rsidR="00925AFB">
        <w:t>décembre </w:t>
      </w:r>
      <w:r w:rsidRPr="00842ACD">
        <w:t>2010</w:t>
      </w:r>
      <w:r w:rsidRPr="00842ACD">
        <w:rPr>
          <w:rFonts w:eastAsia="Times New Roman"/>
        </w:rPr>
        <w:t>). À cet égard, elle note que la situation en l</w:t>
      </w:r>
      <w:r w:rsidRPr="00842ACD" w:rsidR="00842ACD">
        <w:rPr>
          <w:rFonts w:eastAsia="Times New Roman"/>
        </w:rPr>
        <w:t>’</w:t>
      </w:r>
      <w:r w:rsidRPr="00842ACD">
        <w:rPr>
          <w:rFonts w:eastAsia="Times New Roman"/>
        </w:rPr>
        <w:t xml:space="preserve">espèce est différente de celle qui prévalait dans les affaires </w:t>
      </w:r>
      <w:r w:rsidRPr="00842ACD">
        <w:rPr>
          <w:rFonts w:eastAsia="Times New Roman"/>
          <w:i/>
        </w:rPr>
        <w:t>Jakóbski</w:t>
      </w:r>
      <w:r w:rsidRPr="00842ACD">
        <w:rPr>
          <w:rFonts w:eastAsia="Times New Roman"/>
        </w:rPr>
        <w:t xml:space="preserve"> et </w:t>
      </w:r>
      <w:r w:rsidRPr="00842ACD">
        <w:rPr>
          <w:rFonts w:eastAsia="Times New Roman"/>
          <w:i/>
        </w:rPr>
        <w:t>Vartic</w:t>
      </w:r>
      <w:r w:rsidRPr="00842ACD">
        <w:rPr>
          <w:rFonts w:eastAsia="Times New Roman"/>
          <w:i/>
        </w:rPr>
        <w:t xml:space="preserve"> (n</w:t>
      </w:r>
      <w:r w:rsidRPr="00842ACD">
        <w:rPr>
          <w:rFonts w:eastAsia="Times New Roman"/>
          <w:i/>
          <w:vertAlign w:val="superscript"/>
        </w:rPr>
        <w:t>o</w:t>
      </w:r>
      <w:r w:rsidRPr="00842ACD" w:rsidR="00925AFB">
        <w:rPr>
          <w:rFonts w:eastAsia="Times New Roman"/>
          <w:i/>
        </w:rPr>
        <w:t> </w:t>
      </w:r>
      <w:r w:rsidRPr="00842ACD">
        <w:rPr>
          <w:rFonts w:eastAsia="Times New Roman"/>
          <w:i/>
        </w:rPr>
        <w:t>2)</w:t>
      </w:r>
      <w:r w:rsidRPr="00842ACD">
        <w:rPr>
          <w:rFonts w:eastAsia="Times New Roman"/>
        </w:rPr>
        <w:t xml:space="preserve"> (précitées, respectivement </w:t>
      </w:r>
      <w:r w:rsidRPr="00842ACD">
        <w:t>§ 52 et § 49),</w:t>
      </w:r>
      <w:r w:rsidRPr="00842ACD">
        <w:rPr>
          <w:rFonts w:eastAsia="Times New Roman"/>
        </w:rPr>
        <w:t xml:space="preserve"> dans lesquelles elle a observé que les requérants demandaient des repas végétariens qui ne nécessitaient pas d</w:t>
      </w:r>
      <w:r w:rsidRPr="00842ACD" w:rsidR="00842ACD">
        <w:rPr>
          <w:rFonts w:eastAsia="Times New Roman"/>
        </w:rPr>
        <w:t>’</w:t>
      </w:r>
      <w:r w:rsidRPr="00842ACD">
        <w:rPr>
          <w:rFonts w:eastAsia="Times New Roman"/>
        </w:rPr>
        <w:t>être préparés, cuits ou servis d</w:t>
      </w:r>
      <w:r w:rsidRPr="00842ACD" w:rsidR="00842ACD">
        <w:rPr>
          <w:rFonts w:eastAsia="Times New Roman"/>
        </w:rPr>
        <w:t>’</w:t>
      </w:r>
      <w:r w:rsidRPr="00842ACD">
        <w:rPr>
          <w:rFonts w:eastAsia="Times New Roman"/>
        </w:rPr>
        <w:t>une manière particulière et que l</w:t>
      </w:r>
      <w:r w:rsidRPr="00842ACD" w:rsidR="00842ACD">
        <w:rPr>
          <w:rFonts w:eastAsia="Times New Roman"/>
        </w:rPr>
        <w:t>’</w:t>
      </w:r>
      <w:r w:rsidRPr="00842ACD">
        <w:rPr>
          <w:rFonts w:eastAsia="Times New Roman"/>
        </w:rPr>
        <w:t>allocation de tels repas n</w:t>
      </w:r>
      <w:r w:rsidRPr="00842ACD" w:rsidR="00842ACD">
        <w:rPr>
          <w:rFonts w:eastAsia="Times New Roman"/>
        </w:rPr>
        <w:t>’</w:t>
      </w:r>
      <w:r w:rsidRPr="00842ACD">
        <w:rPr>
          <w:rFonts w:eastAsia="Times New Roman"/>
        </w:rPr>
        <w:t>avait pas de conséquences négatives pour la gestion des établissements pénitentiaires ou pour la qualité des repas fournis aux autres détenus. En revanche, dans la présente espèce, l</w:t>
      </w:r>
      <w:r w:rsidRPr="00842ACD" w:rsidR="00842ACD">
        <w:rPr>
          <w:rFonts w:eastAsia="Times New Roman"/>
        </w:rPr>
        <w:t>’</w:t>
      </w:r>
      <w:r w:rsidRPr="00842ACD">
        <w:rPr>
          <w:rFonts w:eastAsia="Times New Roman"/>
        </w:rPr>
        <w:t>alimentation demandée par les requérants consistait en des repas casher, qui devaient contenir des ingrédients spécifiques obtenus en suivant des règles très précises et qui devaient être préparés à part, dans des contenants et avec des ustensiles séparés, de manière spéciale et sous la supervision d</w:t>
      </w:r>
      <w:r w:rsidRPr="00842ACD" w:rsidR="00842ACD">
        <w:rPr>
          <w:rFonts w:eastAsia="Times New Roman"/>
        </w:rPr>
        <w:t>’</w:t>
      </w:r>
      <w:r w:rsidRPr="00842ACD">
        <w:rPr>
          <w:rFonts w:eastAsia="Times New Roman"/>
        </w:rPr>
        <w:t>un représentant religieux (</w:t>
      </w:r>
      <w:r w:rsidRPr="00842ACD">
        <w:rPr>
          <w:rFonts w:eastAsia="Times New Roman"/>
          <w:i/>
        </w:rPr>
        <w:t>Cha</w:t>
      </w:r>
      <w:r w:rsidRPr="00842ACD" w:rsidR="00842ACD">
        <w:rPr>
          <w:rFonts w:eastAsia="Times New Roman"/>
          <w:i/>
        </w:rPr>
        <w:t>’</w:t>
      </w:r>
      <w:r w:rsidRPr="00842ACD">
        <w:rPr>
          <w:rFonts w:eastAsia="Times New Roman"/>
          <w:i/>
        </w:rPr>
        <w:t>are</w:t>
      </w:r>
      <w:r w:rsidRPr="00842ACD">
        <w:rPr>
          <w:rFonts w:eastAsia="Times New Roman"/>
          <w:i/>
        </w:rPr>
        <w:t xml:space="preserve"> </w:t>
      </w:r>
      <w:r w:rsidRPr="00842ACD">
        <w:rPr>
          <w:rFonts w:eastAsia="Times New Roman"/>
          <w:i/>
        </w:rPr>
        <w:t>Shalom</w:t>
      </w:r>
      <w:r w:rsidRPr="00842ACD">
        <w:rPr>
          <w:rFonts w:eastAsia="Times New Roman"/>
          <w:i/>
        </w:rPr>
        <w:t xml:space="preserve"> Ve </w:t>
      </w:r>
      <w:r w:rsidRPr="00842ACD">
        <w:rPr>
          <w:rFonts w:eastAsia="Times New Roman"/>
          <w:i/>
        </w:rPr>
        <w:t>Tsedek</w:t>
      </w:r>
      <w:r w:rsidRPr="00842ACD">
        <w:rPr>
          <w:rFonts w:eastAsia="Times New Roman"/>
        </w:rPr>
        <w:t xml:space="preserve">, précité, §§ 13-19 ; voir également les observations des requérants, résumées au paragraphe </w:t>
      </w:r>
      <w:r w:rsidRPr="00842ACD" w:rsidR="007F0FEC">
        <w:rPr>
          <w:rFonts w:eastAsia="Times New Roman"/>
        </w:rPr>
        <w:t>27</w:t>
      </w:r>
      <w:r w:rsidRPr="00842ACD">
        <w:rPr>
          <w:rFonts w:eastAsia="Times New Roman"/>
        </w:rPr>
        <w:t xml:space="preserve"> ci</w:t>
      </w:r>
      <w:r w:rsidRPr="00842ACD">
        <w:rPr>
          <w:rFonts w:eastAsia="Times New Roman"/>
        </w:rPr>
        <w:noBreakHyphen/>
        <w:t xml:space="preserve">dessus). La Cour voit ici une différence importante par rapport aux affaires dont elle a déjà eu à connaître, et elle la prendra en considération pour examiner si les autorités pénitentiaires de </w:t>
      </w:r>
      <w:r w:rsidRPr="00842ACD">
        <w:rPr>
          <w:rFonts w:eastAsia="Times New Roman"/>
        </w:rPr>
        <w:t>Rahova</w:t>
      </w:r>
      <w:r w:rsidRPr="00842ACD">
        <w:rPr>
          <w:rFonts w:eastAsia="Times New Roman"/>
        </w:rPr>
        <w:t xml:space="preserve"> ont agi dans les limites de leur marge d</w:t>
      </w:r>
      <w:r w:rsidRPr="00842ACD" w:rsidR="00842ACD">
        <w:rPr>
          <w:rFonts w:eastAsia="Times New Roman"/>
        </w:rPr>
        <w:t>’</w:t>
      </w:r>
      <w:r w:rsidRPr="00842ACD">
        <w:rPr>
          <w:rFonts w:eastAsia="Times New Roman"/>
        </w:rPr>
        <w:t>appréciation.</w:t>
      </w:r>
    </w:p>
    <w:p w:rsidRPr="00842ACD" w:rsidR="001169B9" w:rsidP="00842ACD">
      <w:pPr>
        <w:pStyle w:val="JuPara"/>
        <w:rPr>
          <w:rFonts w:eastAsia="Times New Roman"/>
        </w:rPr>
      </w:pPr>
      <w:r w:rsidRPr="00842ACD">
        <w:rPr>
          <w:rFonts w:eastAsia="Times New Roman"/>
        </w:rPr>
        <w:fldChar w:fldCharType="begin"/>
      </w:r>
      <w:r w:rsidRPr="00842ACD">
        <w:rPr>
          <w:rFonts w:eastAsia="Times New Roman"/>
        </w:rPr>
        <w:instrText xml:space="preserve"> SEQ level0 \*arabic </w:instrText>
      </w:r>
      <w:r w:rsidRPr="00842ACD">
        <w:rPr>
          <w:rFonts w:eastAsia="Times New Roman"/>
        </w:rPr>
        <w:fldChar w:fldCharType="separate"/>
      </w:r>
      <w:r w:rsidRPr="00842ACD" w:rsidR="00842ACD">
        <w:rPr>
          <w:rFonts w:eastAsia="Times New Roman"/>
          <w:noProof/>
        </w:rPr>
        <w:t>38</w:t>
      </w:r>
      <w:r w:rsidRPr="00842ACD">
        <w:rPr>
          <w:rFonts w:eastAsia="Times New Roman"/>
        </w:rPr>
        <w:fldChar w:fldCharType="end"/>
      </w:r>
      <w:r w:rsidRPr="00842ACD">
        <w:rPr>
          <w:rFonts w:eastAsia="Times New Roman"/>
        </w:rPr>
        <w:t>.  Ainsi, il ressort des observations du Gouvernement, non contestées par les requérants, qu</w:t>
      </w:r>
      <w:r w:rsidRPr="00842ACD" w:rsidR="00842ACD">
        <w:rPr>
          <w:rFonts w:eastAsia="Times New Roman"/>
        </w:rPr>
        <w:t>’</w:t>
      </w:r>
      <w:r w:rsidRPr="00842ACD">
        <w:rPr>
          <w:rFonts w:eastAsia="Times New Roman"/>
        </w:rPr>
        <w:t>un espace séparé a été aménag</w:t>
      </w:r>
      <w:r w:rsidRPr="00842ACD">
        <w:rPr>
          <w:rFonts w:eastAsia="Times New Roman" w:cstheme="minorHAnsi"/>
        </w:rPr>
        <w:t>é</w:t>
      </w:r>
      <w:r w:rsidRPr="00842ACD">
        <w:rPr>
          <w:rFonts w:eastAsia="Times New Roman"/>
        </w:rPr>
        <w:t xml:space="preserve"> dans la cuisine de la prison de </w:t>
      </w:r>
      <w:r w:rsidRPr="00842ACD">
        <w:rPr>
          <w:rFonts w:eastAsia="Times New Roman"/>
        </w:rPr>
        <w:t>Rahova</w:t>
      </w:r>
      <w:r w:rsidRPr="00842ACD">
        <w:rPr>
          <w:rFonts w:eastAsia="Times New Roman"/>
        </w:rPr>
        <w:t xml:space="preserve"> (paragraphe </w:t>
      </w:r>
      <w:r w:rsidRPr="00842ACD" w:rsidR="007F0FEC">
        <w:rPr>
          <w:rFonts w:eastAsia="Times New Roman"/>
        </w:rPr>
        <w:t>24</w:t>
      </w:r>
      <w:r w:rsidRPr="00842ACD">
        <w:rPr>
          <w:rFonts w:eastAsia="Times New Roman"/>
        </w:rPr>
        <w:t xml:space="preserve"> ci-dessus). Il s</w:t>
      </w:r>
      <w:r w:rsidRPr="00842ACD" w:rsidR="00842ACD">
        <w:rPr>
          <w:rFonts w:eastAsia="Times New Roman"/>
        </w:rPr>
        <w:t>’</w:t>
      </w:r>
      <w:r w:rsidRPr="00842ACD">
        <w:rPr>
          <w:rFonts w:eastAsia="Times New Roman"/>
        </w:rPr>
        <w:t>agit, de l</w:t>
      </w:r>
      <w:r w:rsidRPr="00842ACD" w:rsidR="00842ACD">
        <w:rPr>
          <w:rFonts w:eastAsia="Times New Roman"/>
        </w:rPr>
        <w:t>’</w:t>
      </w:r>
      <w:r w:rsidRPr="00842ACD">
        <w:rPr>
          <w:rFonts w:eastAsia="Times New Roman"/>
        </w:rPr>
        <w:t>avis de la Cour, d</w:t>
      </w:r>
      <w:r w:rsidRPr="00842ACD" w:rsidR="00842ACD">
        <w:rPr>
          <w:rFonts w:eastAsia="Times New Roman"/>
        </w:rPr>
        <w:t>’</w:t>
      </w:r>
      <w:r w:rsidRPr="00842ACD">
        <w:rPr>
          <w:rFonts w:eastAsia="Times New Roman"/>
        </w:rPr>
        <w:t>un élément important dans la mesure où les repas casher doivent être préparés dans des conditions spéciales (</w:t>
      </w:r>
      <w:r w:rsidRPr="00842ACD">
        <w:rPr>
          <w:rFonts w:eastAsia="Times New Roman"/>
          <w:i/>
        </w:rPr>
        <w:t>Cha</w:t>
      </w:r>
      <w:r w:rsidRPr="00842ACD" w:rsidR="00842ACD">
        <w:rPr>
          <w:rFonts w:eastAsia="Times New Roman"/>
          <w:i/>
        </w:rPr>
        <w:t>’</w:t>
      </w:r>
      <w:r w:rsidRPr="00842ACD">
        <w:rPr>
          <w:rFonts w:eastAsia="Times New Roman"/>
          <w:i/>
        </w:rPr>
        <w:t>are</w:t>
      </w:r>
      <w:r w:rsidRPr="00842ACD">
        <w:rPr>
          <w:rFonts w:eastAsia="Times New Roman"/>
          <w:i/>
        </w:rPr>
        <w:t xml:space="preserve"> </w:t>
      </w:r>
      <w:r w:rsidRPr="00842ACD">
        <w:rPr>
          <w:rFonts w:eastAsia="Times New Roman"/>
          <w:i/>
        </w:rPr>
        <w:t>Shalom</w:t>
      </w:r>
      <w:r w:rsidRPr="00842ACD">
        <w:rPr>
          <w:rFonts w:eastAsia="Times New Roman"/>
          <w:i/>
        </w:rPr>
        <w:t xml:space="preserve"> Ve </w:t>
      </w:r>
      <w:r w:rsidRPr="00842ACD">
        <w:rPr>
          <w:rFonts w:eastAsia="Times New Roman"/>
          <w:i/>
        </w:rPr>
        <w:t>Tsedek</w:t>
      </w:r>
      <w:r w:rsidRPr="00842ACD">
        <w:rPr>
          <w:rFonts w:eastAsia="Times New Roman"/>
        </w:rPr>
        <w:t>, précité, §§</w:t>
      </w:r>
      <w:r w:rsidRPr="00842ACD" w:rsidR="007F0FEC">
        <w:rPr>
          <w:rFonts w:eastAsia="Times New Roman"/>
        </w:rPr>
        <w:t> </w:t>
      </w:r>
      <w:r w:rsidRPr="00842ACD">
        <w:rPr>
          <w:rFonts w:eastAsia="Times New Roman"/>
        </w:rPr>
        <w:t>13-19). Ces conditions semblent avoir été respectées en l</w:t>
      </w:r>
      <w:r w:rsidRPr="00842ACD" w:rsidR="00842ACD">
        <w:rPr>
          <w:rFonts w:eastAsia="Times New Roman"/>
        </w:rPr>
        <w:t>’</w:t>
      </w:r>
      <w:r w:rsidRPr="00842ACD">
        <w:rPr>
          <w:rFonts w:eastAsia="Times New Roman"/>
        </w:rPr>
        <w:t>espèce puisqu</w:t>
      </w:r>
      <w:r w:rsidRPr="00842ACD" w:rsidR="00842ACD">
        <w:rPr>
          <w:rFonts w:eastAsia="Times New Roman"/>
        </w:rPr>
        <w:t>’</w:t>
      </w:r>
      <w:r w:rsidRPr="00842ACD">
        <w:rPr>
          <w:rFonts w:eastAsia="Times New Roman"/>
        </w:rPr>
        <w:t>elles ont reçu l</w:t>
      </w:r>
      <w:r w:rsidRPr="00842ACD" w:rsidR="00842ACD">
        <w:rPr>
          <w:rFonts w:eastAsia="Times New Roman"/>
        </w:rPr>
        <w:t>’</w:t>
      </w:r>
      <w:r w:rsidRPr="00842ACD">
        <w:rPr>
          <w:rFonts w:eastAsia="Times New Roman"/>
        </w:rPr>
        <w:t>aval d</w:t>
      </w:r>
      <w:r w:rsidRPr="00842ACD" w:rsidR="00842ACD">
        <w:rPr>
          <w:rFonts w:eastAsia="Times New Roman"/>
        </w:rPr>
        <w:t>’</w:t>
      </w:r>
      <w:r w:rsidRPr="00842ACD">
        <w:rPr>
          <w:rFonts w:eastAsia="Times New Roman"/>
        </w:rPr>
        <w:t xml:space="preserve">une fondation religieuse juive. La Cour note </w:t>
      </w:r>
      <w:r w:rsidRPr="00842ACD">
        <w:rPr>
          <w:rFonts w:eastAsia="Times New Roman"/>
        </w:rPr>
        <w:t xml:space="preserve">également que les détenus de confession juive participent </w:t>
      </w:r>
      <w:r w:rsidRPr="00842ACD">
        <w:rPr>
          <w:rFonts w:eastAsia="Times New Roman" w:cstheme="minorHAnsi"/>
        </w:rPr>
        <w:t>à</w:t>
      </w:r>
      <w:r w:rsidRPr="00842ACD">
        <w:rPr>
          <w:rFonts w:eastAsia="Times New Roman"/>
        </w:rPr>
        <w:t xml:space="preserve"> la préparation des repas (paragraphe </w:t>
      </w:r>
      <w:r w:rsidRPr="00842ACD" w:rsidR="007F0FEC">
        <w:rPr>
          <w:rFonts w:eastAsia="Times New Roman"/>
        </w:rPr>
        <w:t>24</w:t>
      </w:r>
      <w:r w:rsidRPr="00842ACD">
        <w:rPr>
          <w:rFonts w:eastAsia="Times New Roman"/>
        </w:rPr>
        <w:t xml:space="preserve"> ci-dessus). Elle relève que les Règles pénitentiaires européennes, telles qu</w:t>
      </w:r>
      <w:r w:rsidRPr="00842ACD" w:rsidR="00842ACD">
        <w:rPr>
          <w:rFonts w:eastAsia="Times New Roman"/>
        </w:rPr>
        <w:t>’</w:t>
      </w:r>
      <w:r w:rsidRPr="00842ACD">
        <w:rPr>
          <w:rFonts w:eastAsia="Times New Roman"/>
        </w:rPr>
        <w:t xml:space="preserve">expliquées dans leur commentaire (paragraphes </w:t>
      </w:r>
      <w:r w:rsidRPr="00842ACD" w:rsidR="007F0FEC">
        <w:rPr>
          <w:rFonts w:eastAsia="Times New Roman"/>
        </w:rPr>
        <w:t>14</w:t>
      </w:r>
      <w:r w:rsidRPr="00842ACD" w:rsidR="00925AFB">
        <w:rPr>
          <w:rFonts w:eastAsia="Times New Roman"/>
        </w:rPr>
        <w:t xml:space="preserve"> et </w:t>
      </w:r>
      <w:r w:rsidRPr="00842ACD" w:rsidR="007F0FEC">
        <w:rPr>
          <w:rFonts w:eastAsia="Times New Roman"/>
        </w:rPr>
        <w:t>15</w:t>
      </w:r>
      <w:r w:rsidRPr="00842ACD">
        <w:rPr>
          <w:rFonts w:eastAsia="Times New Roman"/>
        </w:rPr>
        <w:t xml:space="preserve"> ci-dessus), confirment une telle approche dans le but de permettre aux détenus d</w:t>
      </w:r>
      <w:r w:rsidRPr="00842ACD" w:rsidR="00842ACD">
        <w:rPr>
          <w:rFonts w:eastAsia="Times New Roman"/>
        </w:rPr>
        <w:t>’</w:t>
      </w:r>
      <w:r w:rsidRPr="00842ACD">
        <w:rPr>
          <w:rFonts w:eastAsia="Times New Roman"/>
        </w:rPr>
        <w:t>avoir un aperçu des aspects positifs de la vie en communauté.</w:t>
      </w:r>
    </w:p>
    <w:p w:rsidRPr="00842ACD" w:rsidR="001169B9" w:rsidP="00842ACD">
      <w:pPr>
        <w:pStyle w:val="JuPara"/>
        <w:rPr>
          <w:rFonts w:eastAsia="Times New Roman"/>
        </w:rPr>
      </w:pPr>
      <w:r w:rsidRPr="00842ACD">
        <w:rPr>
          <w:rFonts w:eastAsia="Times New Roman"/>
        </w:rPr>
        <w:fldChar w:fldCharType="begin"/>
      </w:r>
      <w:r w:rsidRPr="00842ACD">
        <w:rPr>
          <w:rFonts w:eastAsia="Times New Roman"/>
        </w:rPr>
        <w:instrText xml:space="preserve"> SEQ level0 \*arabic </w:instrText>
      </w:r>
      <w:r w:rsidRPr="00842ACD">
        <w:rPr>
          <w:rFonts w:eastAsia="Times New Roman"/>
        </w:rPr>
        <w:fldChar w:fldCharType="separate"/>
      </w:r>
      <w:r w:rsidRPr="00842ACD" w:rsidR="00842ACD">
        <w:rPr>
          <w:rFonts w:eastAsia="Times New Roman"/>
          <w:noProof/>
        </w:rPr>
        <w:t>39</w:t>
      </w:r>
      <w:r w:rsidRPr="00842ACD">
        <w:rPr>
          <w:rFonts w:eastAsia="Times New Roman"/>
        </w:rPr>
        <w:fldChar w:fldCharType="end"/>
      </w:r>
      <w:r w:rsidRPr="00842ACD">
        <w:rPr>
          <w:rFonts w:eastAsia="Times New Roman"/>
        </w:rPr>
        <w:t xml:space="preserve">.  La Cour note ensuite que les autorités pénitentiaires de </w:t>
      </w:r>
      <w:r w:rsidRPr="00842ACD">
        <w:rPr>
          <w:rFonts w:eastAsia="Times New Roman"/>
        </w:rPr>
        <w:t>Rahova</w:t>
      </w:r>
      <w:r w:rsidRPr="00842ACD">
        <w:rPr>
          <w:rFonts w:eastAsia="Times New Roman"/>
        </w:rPr>
        <w:t xml:space="preserve"> ont collabor</w:t>
      </w:r>
      <w:r w:rsidRPr="00842ACD">
        <w:rPr>
          <w:rFonts w:eastAsia="Times New Roman" w:cstheme="minorHAnsi"/>
        </w:rPr>
        <w:t>é</w:t>
      </w:r>
      <w:r w:rsidRPr="00842ACD">
        <w:rPr>
          <w:rFonts w:eastAsia="Times New Roman"/>
        </w:rPr>
        <w:t xml:space="preserve"> avec une fondation religieuse juive pour la mise en application du </w:t>
      </w:r>
      <w:r w:rsidRPr="00842ACD">
        <w:t xml:space="preserve">jugement du tribunal de première instance de Bucarest </w:t>
      </w:r>
      <w:r w:rsidRPr="00842ACD">
        <w:rPr>
          <w:rFonts w:eastAsia="Times New Roman"/>
        </w:rPr>
        <w:t xml:space="preserve">(voir, </w:t>
      </w:r>
      <w:r w:rsidRPr="00842ACD">
        <w:rPr>
          <w:rFonts w:eastAsia="Times New Roman"/>
          <w:i/>
        </w:rPr>
        <w:t>a contrario</w:t>
      </w:r>
      <w:r w:rsidRPr="00842ACD">
        <w:rPr>
          <w:rFonts w:eastAsia="Times New Roman"/>
        </w:rPr>
        <w:t xml:space="preserve">, </w:t>
      </w:r>
      <w:r w:rsidRPr="00842ACD">
        <w:rPr>
          <w:rFonts w:eastAsia="Times New Roman"/>
          <w:i/>
        </w:rPr>
        <w:t>Vartic</w:t>
      </w:r>
      <w:r w:rsidRPr="00842ACD">
        <w:rPr>
          <w:rFonts w:eastAsia="Times New Roman"/>
          <w:i/>
        </w:rPr>
        <w:t xml:space="preserve"> (n</w:t>
      </w:r>
      <w:r w:rsidRPr="00842ACD">
        <w:rPr>
          <w:rFonts w:eastAsia="Times New Roman"/>
          <w:i/>
          <w:vertAlign w:val="superscript"/>
        </w:rPr>
        <w:t>o</w:t>
      </w:r>
      <w:r w:rsidRPr="00842ACD">
        <w:rPr>
          <w:rFonts w:eastAsia="Times New Roman"/>
          <w:i/>
        </w:rPr>
        <w:t xml:space="preserve"> 2)</w:t>
      </w:r>
      <w:r w:rsidRPr="00842ACD">
        <w:rPr>
          <w:rFonts w:eastAsia="Times New Roman"/>
        </w:rPr>
        <w:t>, précité, § 47, o</w:t>
      </w:r>
      <w:r w:rsidRPr="00842ACD">
        <w:rPr>
          <w:rFonts w:eastAsia="Times New Roman" w:cstheme="minorHAnsi"/>
        </w:rPr>
        <w:t>ù</w:t>
      </w:r>
      <w:r w:rsidRPr="00842ACD">
        <w:rPr>
          <w:rFonts w:eastAsia="Times New Roman"/>
        </w:rPr>
        <w:t xml:space="preserve"> le Gouvernement n</w:t>
      </w:r>
      <w:r w:rsidRPr="00842ACD" w:rsidR="00842ACD">
        <w:rPr>
          <w:rFonts w:eastAsia="Times New Roman"/>
        </w:rPr>
        <w:t>’</w:t>
      </w:r>
      <w:r w:rsidRPr="00842ACD">
        <w:rPr>
          <w:rFonts w:eastAsia="Times New Roman"/>
        </w:rPr>
        <w:t>avait pas fourni d</w:t>
      </w:r>
      <w:r w:rsidRPr="00842ACD" w:rsidR="00842ACD">
        <w:rPr>
          <w:rFonts w:eastAsia="Times New Roman"/>
        </w:rPr>
        <w:t>’</w:t>
      </w:r>
      <w:r w:rsidRPr="00842ACD">
        <w:rPr>
          <w:rFonts w:eastAsia="Times New Roman"/>
        </w:rPr>
        <w:t xml:space="preserve">informations quant aux résultats obtenus grâce à la prise de contact avec une association religieuse). Cette fondation a ensuite été présente dans la prison lors des fêtes religieuses juives et a fourni aux requérants des aliments spécifiques à ces occasions (paragraphe </w:t>
      </w:r>
      <w:r w:rsidRPr="00842ACD" w:rsidR="007F0FEC">
        <w:rPr>
          <w:rFonts w:eastAsia="Times New Roman"/>
        </w:rPr>
        <w:t>24</w:t>
      </w:r>
      <w:r w:rsidRPr="00842ACD" w:rsidR="00925AFB">
        <w:rPr>
          <w:rFonts w:eastAsia="Times New Roman"/>
        </w:rPr>
        <w:t xml:space="preserve"> ci-</w:t>
      </w:r>
      <w:r w:rsidRPr="00842ACD">
        <w:rPr>
          <w:rFonts w:eastAsia="Times New Roman"/>
        </w:rPr>
        <w:t>dessus). La Cour prend note de l</w:t>
      </w:r>
      <w:r w:rsidRPr="00842ACD" w:rsidR="00842ACD">
        <w:rPr>
          <w:rFonts w:eastAsia="Times New Roman"/>
        </w:rPr>
        <w:t>’</w:t>
      </w:r>
      <w:r w:rsidRPr="00842ACD">
        <w:rPr>
          <w:rFonts w:eastAsia="Times New Roman"/>
        </w:rPr>
        <w:t xml:space="preserve">argument des requérants selon lequel </w:t>
      </w:r>
      <w:r w:rsidRPr="00842ACD">
        <w:t>l</w:t>
      </w:r>
      <w:r w:rsidRPr="00842ACD" w:rsidR="00842ACD">
        <w:t>’</w:t>
      </w:r>
      <w:r w:rsidRPr="00842ACD">
        <w:t>exercice de leur religion relève du quotidien et n</w:t>
      </w:r>
      <w:r w:rsidRPr="00842ACD" w:rsidR="00842ACD">
        <w:t>’</w:t>
      </w:r>
      <w:r w:rsidRPr="00842ACD">
        <w:t>est pas limité aux seules fêtes religieuses (paragraphe</w:t>
      </w:r>
      <w:r w:rsidRPr="00842ACD" w:rsidR="00925AFB">
        <w:t> </w:t>
      </w:r>
      <w:r w:rsidRPr="00842ACD" w:rsidR="007F0FEC">
        <w:t>27</w:t>
      </w:r>
      <w:r w:rsidRPr="00842ACD">
        <w:t xml:space="preserve"> ci-dessus). Elle estime toutefois que l</w:t>
      </w:r>
      <w:r w:rsidRPr="00842ACD" w:rsidR="00842ACD">
        <w:t>’</w:t>
      </w:r>
      <w:r w:rsidRPr="00842ACD">
        <w:t>implication, à l</w:t>
      </w:r>
      <w:r w:rsidRPr="00842ACD" w:rsidR="00842ACD">
        <w:t>’</w:t>
      </w:r>
      <w:r w:rsidRPr="00842ACD">
        <w:t>initiative des autorités pénitentiaires, d</w:t>
      </w:r>
      <w:r w:rsidRPr="00842ACD" w:rsidR="00842ACD">
        <w:t>’</w:t>
      </w:r>
      <w:r w:rsidRPr="00842ACD">
        <w:t>une fondation religieuse en vue de la détermination des modalités d</w:t>
      </w:r>
      <w:r w:rsidRPr="00842ACD" w:rsidR="00842ACD">
        <w:t>’</w:t>
      </w:r>
      <w:r w:rsidRPr="00842ACD">
        <w:t xml:space="preserve">aménagement des conditions dans lesquelles les requérants pouvaient se voir allouer des repas conformes aux préceptes de leur religion, même si non décisive, est un élément important </w:t>
      </w:r>
      <w:r w:rsidRPr="00842ACD">
        <w:rPr>
          <w:rFonts w:cstheme="minorHAnsi"/>
        </w:rPr>
        <w:t>à</w:t>
      </w:r>
      <w:r w:rsidRPr="00842ACD">
        <w:t xml:space="preserve"> prendre en considération pour examiner la manière dont les autorités nationales ont rempli leurs obligations positives découlant de l</w:t>
      </w:r>
      <w:r w:rsidRPr="00842ACD" w:rsidR="00842ACD">
        <w:t>’</w:t>
      </w:r>
      <w:r w:rsidRPr="00842ACD">
        <w:t>article 9 de la Convention.</w:t>
      </w:r>
    </w:p>
    <w:p w:rsidRPr="00842ACD" w:rsidR="001169B9" w:rsidP="00842ACD">
      <w:pPr>
        <w:pStyle w:val="JuPara"/>
        <w:rPr>
          <w:rFonts w:eastAsia="Times New Roman"/>
        </w:rPr>
      </w:pPr>
      <w:r w:rsidRPr="00842ACD">
        <w:rPr>
          <w:rFonts w:eastAsia="Times New Roman"/>
        </w:rPr>
        <w:fldChar w:fldCharType="begin"/>
      </w:r>
      <w:r w:rsidRPr="00842ACD">
        <w:rPr>
          <w:rFonts w:eastAsia="Times New Roman"/>
        </w:rPr>
        <w:instrText xml:space="preserve"> SEQ level0 \*arabic </w:instrText>
      </w:r>
      <w:r w:rsidRPr="00842ACD">
        <w:rPr>
          <w:rFonts w:eastAsia="Times New Roman"/>
        </w:rPr>
        <w:fldChar w:fldCharType="separate"/>
      </w:r>
      <w:r w:rsidRPr="00842ACD" w:rsidR="00842ACD">
        <w:rPr>
          <w:rFonts w:eastAsia="Times New Roman"/>
          <w:noProof/>
        </w:rPr>
        <w:t>40</w:t>
      </w:r>
      <w:r w:rsidRPr="00842ACD">
        <w:rPr>
          <w:rFonts w:eastAsia="Times New Roman"/>
        </w:rPr>
        <w:fldChar w:fldCharType="end"/>
      </w:r>
      <w:r w:rsidRPr="00842ACD">
        <w:rPr>
          <w:rFonts w:eastAsia="Times New Roman"/>
        </w:rPr>
        <w:t>.  La Cour constate de plus que le tribunal de première instance de Bucarest a permis aux requérants de se procurer, par dérogation aux normes en vigueur, des produits qui pouvaient être cuisinés et préparés sur place (paragraphe</w:t>
      </w:r>
      <w:r w:rsidRPr="00842ACD" w:rsidR="00925AFB">
        <w:rPr>
          <w:rFonts w:eastAsia="Times New Roman"/>
        </w:rPr>
        <w:t> </w:t>
      </w:r>
      <w:r w:rsidRPr="00842ACD" w:rsidR="007F0FEC">
        <w:rPr>
          <w:rFonts w:eastAsia="Times New Roman"/>
        </w:rPr>
        <w:t>5</w:t>
      </w:r>
      <w:r w:rsidRPr="00842ACD">
        <w:rPr>
          <w:rFonts w:eastAsia="Times New Roman"/>
        </w:rPr>
        <w:t xml:space="preserve"> ci</w:t>
      </w:r>
      <w:r w:rsidRPr="00842ACD" w:rsidR="00925AFB">
        <w:rPr>
          <w:rFonts w:eastAsia="Times New Roman"/>
        </w:rPr>
        <w:t>-</w:t>
      </w:r>
      <w:r w:rsidRPr="00842ACD">
        <w:rPr>
          <w:rFonts w:eastAsia="Times New Roman"/>
        </w:rPr>
        <w:t>dessus). Elle prend en compte le fait que les requérants se sont procuré par leurs propres moyens ces produits, ce qui constitue d</w:t>
      </w:r>
      <w:r w:rsidRPr="00842ACD" w:rsidR="00842ACD">
        <w:rPr>
          <w:rFonts w:eastAsia="Times New Roman"/>
        </w:rPr>
        <w:t>’</w:t>
      </w:r>
      <w:r w:rsidRPr="00842ACD">
        <w:rPr>
          <w:rFonts w:eastAsia="Times New Roman"/>
        </w:rPr>
        <w:t xml:space="preserve">ailleurs la critique principale formulée par les intéressés dans leurs observations présentées devant elle (paragraphes </w:t>
      </w:r>
      <w:r w:rsidRPr="00842ACD" w:rsidR="007F0FEC">
        <w:rPr>
          <w:rFonts w:eastAsia="Times New Roman"/>
        </w:rPr>
        <w:t>26</w:t>
      </w:r>
      <w:r w:rsidRPr="00842ACD">
        <w:rPr>
          <w:rFonts w:eastAsia="Times New Roman"/>
        </w:rPr>
        <w:t xml:space="preserve"> et </w:t>
      </w:r>
      <w:r w:rsidRPr="00842ACD" w:rsidR="007F0FEC">
        <w:rPr>
          <w:rFonts w:eastAsia="Times New Roman"/>
        </w:rPr>
        <w:t>27</w:t>
      </w:r>
      <w:r w:rsidRPr="00842ACD">
        <w:rPr>
          <w:rFonts w:eastAsia="Times New Roman"/>
        </w:rPr>
        <w:t xml:space="preserve"> ci-dessus). Elle note qu</w:t>
      </w:r>
      <w:r w:rsidRPr="00842ACD" w:rsidR="00842ACD">
        <w:rPr>
          <w:rFonts w:eastAsia="Times New Roman"/>
        </w:rPr>
        <w:t>’</w:t>
      </w:r>
      <w:r w:rsidRPr="00842ACD">
        <w:rPr>
          <w:rFonts w:eastAsia="Times New Roman"/>
        </w:rPr>
        <w:t>un tel arrangement n</w:t>
      </w:r>
      <w:r w:rsidRPr="00842ACD" w:rsidR="00842ACD">
        <w:rPr>
          <w:rFonts w:eastAsia="Times New Roman"/>
        </w:rPr>
        <w:t>’</w:t>
      </w:r>
      <w:r w:rsidRPr="00842ACD">
        <w:rPr>
          <w:rFonts w:eastAsia="Times New Roman"/>
        </w:rPr>
        <w:t>est pas en soi contraire à la règle 22 des Règles pénitentiaires européennes, telles qu</w:t>
      </w:r>
      <w:r w:rsidRPr="00842ACD" w:rsidR="00842ACD">
        <w:rPr>
          <w:rFonts w:eastAsia="Times New Roman"/>
        </w:rPr>
        <w:t>’</w:t>
      </w:r>
      <w:r w:rsidRPr="00842ACD">
        <w:rPr>
          <w:rFonts w:eastAsia="Times New Roman"/>
        </w:rPr>
        <w:t xml:space="preserve">expliquées dans leur commentaire (paragraphes </w:t>
      </w:r>
      <w:r w:rsidRPr="00842ACD" w:rsidR="007F0FEC">
        <w:rPr>
          <w:rFonts w:eastAsia="Times New Roman"/>
        </w:rPr>
        <w:t>14</w:t>
      </w:r>
      <w:r w:rsidRPr="00842ACD">
        <w:rPr>
          <w:rFonts w:eastAsia="Times New Roman"/>
        </w:rPr>
        <w:t xml:space="preserve"> et </w:t>
      </w:r>
      <w:r w:rsidRPr="00842ACD" w:rsidR="007F0FEC">
        <w:rPr>
          <w:rFonts w:eastAsia="Times New Roman"/>
        </w:rPr>
        <w:t>15</w:t>
      </w:r>
      <w:r w:rsidRPr="00842ACD">
        <w:rPr>
          <w:rFonts w:eastAsia="Times New Roman"/>
        </w:rPr>
        <w:t xml:space="preserve"> ci-dessus). Elle rappelle toutefois que le but de la Convention consiste à protéger des droits non pas théoriques ou illusoires, mais concrets et effectifs (voir, pour un rappel de ce principe, </w:t>
      </w:r>
      <w:r w:rsidRPr="00842ACD">
        <w:rPr>
          <w:i/>
        </w:rPr>
        <w:t>İzzettin</w:t>
      </w:r>
      <w:r w:rsidRPr="00842ACD">
        <w:rPr>
          <w:i/>
        </w:rPr>
        <w:t xml:space="preserve"> </w:t>
      </w:r>
      <w:r w:rsidRPr="00842ACD">
        <w:rPr>
          <w:i/>
        </w:rPr>
        <w:t>Doğan</w:t>
      </w:r>
      <w:r w:rsidRPr="00842ACD" w:rsidR="00925AFB">
        <w:rPr>
          <w:i/>
        </w:rPr>
        <w:t xml:space="preserve"> et autres c. </w:t>
      </w:r>
      <w:r w:rsidRPr="00842ACD">
        <w:rPr>
          <w:i/>
        </w:rPr>
        <w:t>Turquie</w:t>
      </w:r>
      <w:r w:rsidRPr="00842ACD">
        <w:t xml:space="preserve"> [GC]</w:t>
      </w:r>
      <w:r w:rsidRPr="00842ACD">
        <w:rPr>
          <w:snapToGrid w:val="0"/>
        </w:rPr>
        <w:t>, n</w:t>
      </w:r>
      <w:r w:rsidRPr="00842ACD">
        <w:rPr>
          <w:snapToGrid w:val="0"/>
          <w:vertAlign w:val="superscript"/>
        </w:rPr>
        <w:t>o</w:t>
      </w:r>
      <w:r w:rsidRPr="00842ACD">
        <w:rPr>
          <w:snapToGrid w:val="0"/>
        </w:rPr>
        <w:t xml:space="preserve"> </w:t>
      </w:r>
      <w:r w:rsidRPr="00842ACD">
        <w:t>62649/10</w:t>
      </w:r>
      <w:r w:rsidRPr="00842ACD" w:rsidR="00925AFB">
        <w:rPr>
          <w:snapToGrid w:val="0"/>
        </w:rPr>
        <w:t>, § 114, 26 avril </w:t>
      </w:r>
      <w:r w:rsidRPr="00842ACD">
        <w:rPr>
          <w:snapToGrid w:val="0"/>
        </w:rPr>
        <w:t xml:space="preserve">2016, et </w:t>
      </w:r>
      <w:r w:rsidRPr="00842ACD">
        <w:rPr>
          <w:i/>
        </w:rPr>
        <w:t>Osmanoğlu</w:t>
      </w:r>
      <w:r w:rsidRPr="00842ACD">
        <w:rPr>
          <w:i/>
        </w:rPr>
        <w:t xml:space="preserve"> et </w:t>
      </w:r>
      <w:r w:rsidRPr="00842ACD">
        <w:rPr>
          <w:i/>
        </w:rPr>
        <w:t>Kocabaş</w:t>
      </w:r>
      <w:r w:rsidRPr="00842ACD">
        <w:rPr>
          <w:i/>
        </w:rPr>
        <w:t xml:space="preserve"> c. Suisse</w:t>
      </w:r>
      <w:r w:rsidRPr="00842ACD">
        <w:t>, n</w:t>
      </w:r>
      <w:r w:rsidRPr="00842ACD">
        <w:rPr>
          <w:vertAlign w:val="superscript"/>
        </w:rPr>
        <w:t>o</w:t>
      </w:r>
      <w:r w:rsidRPr="00842ACD">
        <w:t xml:space="preserve"> </w:t>
      </w:r>
      <w:r w:rsidRPr="00842ACD">
        <w:rPr>
          <w:iCs/>
        </w:rPr>
        <w:t>29086/12</w:t>
      </w:r>
      <w:r w:rsidRPr="00842ACD" w:rsidR="00925AFB">
        <w:t>, § 93, 10 janvier </w:t>
      </w:r>
      <w:r w:rsidRPr="00842ACD">
        <w:t>2017). Dans les circonstances de l</w:t>
      </w:r>
      <w:r w:rsidRPr="00842ACD" w:rsidR="00842ACD">
        <w:t>’</w:t>
      </w:r>
      <w:r w:rsidRPr="00842ACD">
        <w:t xml:space="preserve">espèce, la Cour </w:t>
      </w:r>
      <w:r w:rsidRPr="00842ACD">
        <w:rPr>
          <w:rFonts w:eastAsia="Times New Roman"/>
        </w:rPr>
        <w:t>estime qu</w:t>
      </w:r>
      <w:r w:rsidRPr="00842ACD" w:rsidR="00842ACD">
        <w:rPr>
          <w:rFonts w:eastAsia="Times New Roman"/>
        </w:rPr>
        <w:t>’</w:t>
      </w:r>
      <w:r w:rsidRPr="00842ACD">
        <w:rPr>
          <w:rFonts w:eastAsia="Times New Roman"/>
        </w:rPr>
        <w:t>un arrangement par lequel un détenu est autorisé à se procurer par ses propres moyens les produits alimentaires conformes aux préceptes de sa religion ne doit pas lui imposer une charge qu</w:t>
      </w:r>
      <w:r w:rsidRPr="00842ACD" w:rsidR="00842ACD">
        <w:rPr>
          <w:rFonts w:eastAsia="Times New Roman"/>
        </w:rPr>
        <w:t>’</w:t>
      </w:r>
      <w:r w:rsidRPr="00842ACD">
        <w:rPr>
          <w:rFonts w:eastAsia="Times New Roman"/>
        </w:rPr>
        <w:t>il ne serait pas en mesure d</w:t>
      </w:r>
      <w:r w:rsidRPr="00842ACD" w:rsidR="00842ACD">
        <w:rPr>
          <w:rFonts w:eastAsia="Times New Roman"/>
        </w:rPr>
        <w:t>’</w:t>
      </w:r>
      <w:r w:rsidRPr="00842ACD">
        <w:rPr>
          <w:rFonts w:eastAsia="Times New Roman"/>
        </w:rPr>
        <w:t>assumer pour des raisons financières objectives. À cet égard, elle note que le tribunal de première instance a indiqué aux requérants qu</w:t>
      </w:r>
      <w:r w:rsidRPr="00842ACD" w:rsidR="00842ACD">
        <w:rPr>
          <w:rFonts w:eastAsia="Times New Roman"/>
        </w:rPr>
        <w:t>’</w:t>
      </w:r>
      <w:r w:rsidRPr="00842ACD">
        <w:rPr>
          <w:rFonts w:eastAsia="Times New Roman"/>
        </w:rPr>
        <w:t xml:space="preserve">ils pouvaient demander le </w:t>
      </w:r>
      <w:r w:rsidRPr="00842ACD">
        <w:rPr>
          <w:rFonts w:eastAsia="Times New Roman"/>
        </w:rPr>
        <w:t>remboursement des frais qu</w:t>
      </w:r>
      <w:r w:rsidRPr="00842ACD" w:rsidR="00842ACD">
        <w:rPr>
          <w:rFonts w:eastAsia="Times New Roman"/>
        </w:rPr>
        <w:t>’</w:t>
      </w:r>
      <w:r w:rsidRPr="00842ACD">
        <w:rPr>
          <w:rFonts w:eastAsia="Times New Roman"/>
        </w:rPr>
        <w:t>ils avaient engagés par le biais d</w:t>
      </w:r>
      <w:r w:rsidRPr="00842ACD" w:rsidR="00842ACD">
        <w:rPr>
          <w:rFonts w:eastAsia="Times New Roman"/>
        </w:rPr>
        <w:t>’</w:t>
      </w:r>
      <w:r w:rsidRPr="00842ACD">
        <w:rPr>
          <w:rFonts w:eastAsia="Times New Roman"/>
        </w:rPr>
        <w:t>une action civile séparée et qu</w:t>
      </w:r>
      <w:r w:rsidRPr="00842ACD" w:rsidR="00842ACD">
        <w:rPr>
          <w:rFonts w:eastAsia="Times New Roman"/>
        </w:rPr>
        <w:t>’</w:t>
      </w:r>
      <w:r w:rsidRPr="00842ACD">
        <w:rPr>
          <w:rFonts w:eastAsia="Times New Roman"/>
        </w:rPr>
        <w:t xml:space="preserve">il ne ressort pas du dossier que les intéressés aient saisi les juridictions compétentes en la matière (paragraphe </w:t>
      </w:r>
      <w:r w:rsidRPr="00842ACD" w:rsidR="007F0FEC">
        <w:rPr>
          <w:rFonts w:eastAsia="Times New Roman"/>
        </w:rPr>
        <w:t>7</w:t>
      </w:r>
      <w:r w:rsidRPr="00842ACD">
        <w:rPr>
          <w:rFonts w:eastAsia="Times New Roman"/>
        </w:rPr>
        <w:t xml:space="preserve"> ci-dessus). Les requérants n</w:t>
      </w:r>
      <w:r w:rsidRPr="00842ACD" w:rsidR="00842ACD">
        <w:rPr>
          <w:rFonts w:eastAsia="Times New Roman"/>
        </w:rPr>
        <w:t>’</w:t>
      </w:r>
      <w:r w:rsidRPr="00842ACD">
        <w:rPr>
          <w:rFonts w:eastAsia="Times New Roman"/>
        </w:rPr>
        <w:t>ont pas non plus soutenu devant la Cour que des raisons objectives les avaient empêchés de former une telle action.</w:t>
      </w:r>
    </w:p>
    <w:p w:rsidRPr="00842ACD" w:rsidR="001169B9" w:rsidP="00842ACD">
      <w:pPr>
        <w:pStyle w:val="JuPara"/>
        <w:rPr>
          <w:rFonts w:eastAsia="Times New Roman"/>
        </w:rPr>
      </w:pPr>
      <w:r w:rsidRPr="00842ACD">
        <w:rPr>
          <w:rFonts w:eastAsia="Times New Roman"/>
        </w:rPr>
        <w:fldChar w:fldCharType="begin"/>
      </w:r>
      <w:r w:rsidRPr="00842ACD">
        <w:rPr>
          <w:rFonts w:eastAsia="Times New Roman"/>
        </w:rPr>
        <w:instrText xml:space="preserve"> SEQ level0 \*arabic </w:instrText>
      </w:r>
      <w:r w:rsidRPr="00842ACD">
        <w:rPr>
          <w:rFonts w:eastAsia="Times New Roman"/>
        </w:rPr>
        <w:fldChar w:fldCharType="separate"/>
      </w:r>
      <w:r w:rsidRPr="00842ACD" w:rsidR="00842ACD">
        <w:rPr>
          <w:rFonts w:eastAsia="Times New Roman"/>
          <w:noProof/>
        </w:rPr>
        <w:t>41</w:t>
      </w:r>
      <w:r w:rsidRPr="00842ACD">
        <w:rPr>
          <w:rFonts w:eastAsia="Times New Roman"/>
        </w:rPr>
        <w:fldChar w:fldCharType="end"/>
      </w:r>
      <w:r w:rsidRPr="00842ACD">
        <w:rPr>
          <w:rFonts w:eastAsia="Times New Roman"/>
        </w:rPr>
        <w:t>.  La Cour rappelle que le simple fait de nourrir des doutes quant aux perspectives de succès d</w:t>
      </w:r>
      <w:r w:rsidRPr="00842ACD" w:rsidR="00842ACD">
        <w:rPr>
          <w:rFonts w:eastAsia="Times New Roman"/>
        </w:rPr>
        <w:t>’</w:t>
      </w:r>
      <w:r w:rsidRPr="00842ACD">
        <w:rPr>
          <w:rFonts w:eastAsia="Times New Roman"/>
        </w:rPr>
        <w:t>un recours donné qui n</w:t>
      </w:r>
      <w:r w:rsidRPr="00842ACD" w:rsidR="00842ACD">
        <w:rPr>
          <w:rFonts w:eastAsia="Times New Roman"/>
        </w:rPr>
        <w:t>’</w:t>
      </w:r>
      <w:r w:rsidRPr="00842ACD">
        <w:rPr>
          <w:rFonts w:eastAsia="Times New Roman"/>
        </w:rPr>
        <w:t>est pas de toute évidence voué à l</w:t>
      </w:r>
      <w:r w:rsidRPr="00842ACD" w:rsidR="00842ACD">
        <w:rPr>
          <w:rFonts w:eastAsia="Times New Roman"/>
        </w:rPr>
        <w:t>’</w:t>
      </w:r>
      <w:r w:rsidRPr="00842ACD">
        <w:rPr>
          <w:rFonts w:eastAsia="Times New Roman"/>
        </w:rPr>
        <w:t>échec ne constitue pas une raison propre à justifier la non</w:t>
      </w:r>
      <w:r w:rsidRPr="00842ACD">
        <w:rPr>
          <w:rFonts w:eastAsia="Times New Roman"/>
        </w:rPr>
        <w:noBreakHyphen/>
        <w:t xml:space="preserve">utilisation du recours en question (voir, entre autres, </w:t>
      </w:r>
      <w:r w:rsidRPr="00842ACD">
        <w:rPr>
          <w:i/>
        </w:rPr>
        <w:t>Vučković</w:t>
      </w:r>
      <w:r w:rsidRPr="00842ACD">
        <w:rPr>
          <w:i/>
        </w:rPr>
        <w:t xml:space="preserve"> et autres c.</w:t>
      </w:r>
      <w:r w:rsidRPr="00842ACD" w:rsidR="009D6F84">
        <w:rPr>
          <w:i/>
        </w:rPr>
        <w:t> </w:t>
      </w:r>
      <w:r w:rsidRPr="00842ACD">
        <w:rPr>
          <w:i/>
        </w:rPr>
        <w:t xml:space="preserve">Serbie </w:t>
      </w:r>
      <w:r w:rsidRPr="00842ACD">
        <w:t>(exception préliminaire) [GC], n</w:t>
      </w:r>
      <w:r w:rsidRPr="00842ACD">
        <w:rPr>
          <w:rFonts w:cs="Times New Roman"/>
          <w:vertAlign w:val="superscript"/>
        </w:rPr>
        <w:t>os</w:t>
      </w:r>
      <w:r w:rsidRPr="00842ACD">
        <w:t xml:space="preserve"> 17153/11 et 29 autres, §</w:t>
      </w:r>
      <w:r w:rsidRPr="00842ACD" w:rsidR="007F0FEC">
        <w:t> </w:t>
      </w:r>
      <w:r w:rsidRPr="00842ACD">
        <w:t>74, 25 mars</w:t>
      </w:r>
      <w:r w:rsidRPr="00842ACD" w:rsidR="00925AFB">
        <w:t> </w:t>
      </w:r>
      <w:r w:rsidRPr="00842ACD">
        <w:t>2014)</w:t>
      </w:r>
      <w:r w:rsidRPr="00842ACD">
        <w:rPr>
          <w:rFonts w:eastAsia="Times New Roman"/>
        </w:rPr>
        <w:t>. En l</w:t>
      </w:r>
      <w:r w:rsidRPr="00842ACD" w:rsidR="00842ACD">
        <w:rPr>
          <w:rFonts w:eastAsia="Times New Roman"/>
        </w:rPr>
        <w:t>’</w:t>
      </w:r>
      <w:r w:rsidRPr="00842ACD">
        <w:rPr>
          <w:rFonts w:eastAsia="Times New Roman"/>
        </w:rPr>
        <w:t>espèce, les requérants n</w:t>
      </w:r>
      <w:r w:rsidRPr="00842ACD" w:rsidR="00842ACD">
        <w:rPr>
          <w:rFonts w:eastAsia="Times New Roman"/>
        </w:rPr>
        <w:t>’</w:t>
      </w:r>
      <w:r w:rsidRPr="00842ACD">
        <w:rPr>
          <w:rFonts w:eastAsia="Times New Roman"/>
        </w:rPr>
        <w:t>ont avancé aucun argument permettant de faire douter de l</w:t>
      </w:r>
      <w:r w:rsidRPr="00842ACD" w:rsidR="00842ACD">
        <w:rPr>
          <w:rFonts w:eastAsia="Times New Roman"/>
        </w:rPr>
        <w:t>’</w:t>
      </w:r>
      <w:r w:rsidRPr="00842ACD">
        <w:rPr>
          <w:rFonts w:eastAsia="Times New Roman"/>
        </w:rPr>
        <w:t>effectivité d</w:t>
      </w:r>
      <w:r w:rsidRPr="00842ACD" w:rsidR="00842ACD">
        <w:rPr>
          <w:rFonts w:eastAsia="Times New Roman"/>
        </w:rPr>
        <w:t>’</w:t>
      </w:r>
      <w:r w:rsidRPr="00842ACD">
        <w:rPr>
          <w:rFonts w:eastAsia="Times New Roman"/>
        </w:rPr>
        <w:t>une action civile telle qu</w:t>
      </w:r>
      <w:r w:rsidRPr="00842ACD" w:rsidR="00842ACD">
        <w:rPr>
          <w:rFonts w:eastAsia="Times New Roman"/>
        </w:rPr>
        <w:t>’</w:t>
      </w:r>
      <w:r w:rsidRPr="00842ACD">
        <w:rPr>
          <w:rFonts w:eastAsia="Times New Roman"/>
        </w:rPr>
        <w:t>indiquée par le tribunal de première instance de Bucarest.</w:t>
      </w:r>
    </w:p>
    <w:p w:rsidRPr="00842ACD" w:rsidR="001169B9" w:rsidP="00842ACD">
      <w:pPr>
        <w:pStyle w:val="JuPara"/>
        <w:rPr>
          <w:rFonts w:eastAsia="Times New Roman"/>
        </w:rPr>
      </w:pPr>
      <w:r w:rsidRPr="00842ACD">
        <w:rPr>
          <w:rFonts w:eastAsia="Times New Roman"/>
        </w:rPr>
        <w:fldChar w:fldCharType="begin"/>
      </w:r>
      <w:r w:rsidRPr="00842ACD">
        <w:rPr>
          <w:rFonts w:eastAsia="Times New Roman"/>
        </w:rPr>
        <w:instrText xml:space="preserve"> SEQ level0 \*arabic </w:instrText>
      </w:r>
      <w:r w:rsidRPr="00842ACD">
        <w:rPr>
          <w:rFonts w:eastAsia="Times New Roman"/>
        </w:rPr>
        <w:fldChar w:fldCharType="separate"/>
      </w:r>
      <w:r w:rsidRPr="00842ACD" w:rsidR="00842ACD">
        <w:rPr>
          <w:rFonts w:eastAsia="Times New Roman"/>
          <w:noProof/>
        </w:rPr>
        <w:t>42</w:t>
      </w:r>
      <w:r w:rsidRPr="00842ACD">
        <w:rPr>
          <w:rFonts w:eastAsia="Times New Roman"/>
        </w:rPr>
        <w:fldChar w:fldCharType="end"/>
      </w:r>
      <w:r w:rsidRPr="00842ACD">
        <w:rPr>
          <w:rFonts w:eastAsia="Times New Roman"/>
        </w:rPr>
        <w:t>.  La Cour observe que les requérants n</w:t>
      </w:r>
      <w:r w:rsidRPr="00842ACD" w:rsidR="00842ACD">
        <w:rPr>
          <w:rFonts w:eastAsia="Times New Roman"/>
        </w:rPr>
        <w:t>’</w:t>
      </w:r>
      <w:r w:rsidRPr="00842ACD">
        <w:rPr>
          <w:rFonts w:eastAsia="Times New Roman"/>
        </w:rPr>
        <w:t>ont pas non plus allégué avoir soumis aux autorités pénitentiaires une demande précise et détaillée</w:t>
      </w:r>
      <w:r w:rsidRPr="00842ACD" w:rsidR="00925AFB">
        <w:rPr>
          <w:rFonts w:eastAsia="Times New Roman"/>
        </w:rPr>
        <w:t xml:space="preserve"> pour se voir rembourser les coû</w:t>
      </w:r>
      <w:r w:rsidRPr="00842ACD">
        <w:rPr>
          <w:rFonts w:eastAsia="Times New Roman"/>
        </w:rPr>
        <w:t>ts des aliments qu</w:t>
      </w:r>
      <w:r w:rsidRPr="00842ACD" w:rsidR="00842ACD">
        <w:rPr>
          <w:rFonts w:eastAsia="Times New Roman"/>
        </w:rPr>
        <w:t>’</w:t>
      </w:r>
      <w:r w:rsidRPr="00842ACD">
        <w:rPr>
          <w:rFonts w:eastAsia="Times New Roman"/>
        </w:rPr>
        <w:t>ils se sont procurés par leurs propres moyens et s</w:t>
      </w:r>
      <w:r w:rsidRPr="00842ACD" w:rsidR="00842ACD">
        <w:rPr>
          <w:rFonts w:eastAsia="Times New Roman"/>
        </w:rPr>
        <w:t>’</w:t>
      </w:r>
      <w:r w:rsidRPr="00842ACD">
        <w:rPr>
          <w:rFonts w:eastAsia="Times New Roman"/>
        </w:rPr>
        <w:t>être heurtés à un refus de donner suite à leur demande. Soucieuse de faire respecter le principe de subsidiarité, la Cour ne saurait se livrer à des spéculations sur le montant effectivement dépensé par les requérants pour se procurer des produits alimentaires casher, en l</w:t>
      </w:r>
      <w:r w:rsidRPr="00842ACD" w:rsidR="00842ACD">
        <w:rPr>
          <w:rFonts w:eastAsia="Times New Roman"/>
        </w:rPr>
        <w:t>’</w:t>
      </w:r>
      <w:r w:rsidRPr="00842ACD">
        <w:rPr>
          <w:rFonts w:eastAsia="Times New Roman"/>
        </w:rPr>
        <w:t>absence d</w:t>
      </w:r>
      <w:r w:rsidRPr="00842ACD" w:rsidR="00842ACD">
        <w:rPr>
          <w:rFonts w:eastAsia="Times New Roman"/>
        </w:rPr>
        <w:t>’</w:t>
      </w:r>
      <w:r w:rsidRPr="00842ACD">
        <w:rPr>
          <w:rFonts w:eastAsia="Times New Roman"/>
        </w:rPr>
        <w:t>une décision des autorités nationales à cet égard.</w:t>
      </w:r>
    </w:p>
    <w:p w:rsidRPr="00842ACD" w:rsidR="001169B9" w:rsidP="00842ACD">
      <w:pPr>
        <w:pStyle w:val="JuPara"/>
        <w:rPr>
          <w:rFonts w:eastAsia="Times New Roman"/>
        </w:rPr>
      </w:pPr>
      <w:r w:rsidRPr="00842ACD">
        <w:rPr>
          <w:rFonts w:eastAsia="Times New Roman"/>
        </w:rPr>
        <w:fldChar w:fldCharType="begin"/>
      </w:r>
      <w:r w:rsidRPr="00842ACD">
        <w:rPr>
          <w:rFonts w:eastAsia="Times New Roman"/>
        </w:rPr>
        <w:instrText xml:space="preserve"> SEQ level0 \*arabic </w:instrText>
      </w:r>
      <w:r w:rsidRPr="00842ACD">
        <w:rPr>
          <w:rFonts w:eastAsia="Times New Roman"/>
        </w:rPr>
        <w:fldChar w:fldCharType="separate"/>
      </w:r>
      <w:r w:rsidRPr="00842ACD" w:rsidR="00842ACD">
        <w:rPr>
          <w:rFonts w:eastAsia="Times New Roman"/>
          <w:noProof/>
        </w:rPr>
        <w:t>43</w:t>
      </w:r>
      <w:r w:rsidRPr="00842ACD">
        <w:rPr>
          <w:rFonts w:eastAsia="Times New Roman"/>
        </w:rPr>
        <w:fldChar w:fldCharType="end"/>
      </w:r>
      <w:r w:rsidRPr="00842ACD">
        <w:rPr>
          <w:rFonts w:eastAsia="Times New Roman"/>
        </w:rPr>
        <w:t xml:space="preserve">.  La Cour relève donc que les autorités pénitentiaires de </w:t>
      </w:r>
      <w:r w:rsidRPr="00842ACD">
        <w:rPr>
          <w:rFonts w:eastAsia="Times New Roman"/>
        </w:rPr>
        <w:t>Rahova</w:t>
      </w:r>
      <w:r w:rsidRPr="00842ACD">
        <w:rPr>
          <w:rFonts w:eastAsia="Times New Roman"/>
        </w:rPr>
        <w:t xml:space="preserve"> ont procédé à l</w:t>
      </w:r>
      <w:r w:rsidRPr="00842ACD" w:rsidR="00842ACD">
        <w:rPr>
          <w:rFonts w:eastAsia="Times New Roman"/>
        </w:rPr>
        <w:t>’</w:t>
      </w:r>
      <w:r w:rsidRPr="00842ACD">
        <w:rPr>
          <w:rFonts w:eastAsia="Times New Roman"/>
        </w:rPr>
        <w:t>aménagement d</w:t>
      </w:r>
      <w:r w:rsidRPr="00842ACD" w:rsidR="00842ACD">
        <w:rPr>
          <w:rFonts w:eastAsia="Times New Roman"/>
        </w:rPr>
        <w:t>’</w:t>
      </w:r>
      <w:r w:rsidRPr="00842ACD">
        <w:rPr>
          <w:rFonts w:eastAsia="Times New Roman"/>
        </w:rPr>
        <w:t xml:space="preserve">une cuisine séparée destinée à la confection des repas casher et que les conditions de préparation de ces repas ont été approuvées par une fondation religieuse juive. Cette fondation a été consultée lors du processus et a fourni aux requérants des produits alimentaires spécifiques. En application du jugement du tribunal de première instance de Bucarest, les requérants ont pu se procurer les produits nécessaires à la préparation des repas sur place dans la cuisine de la prison. Un ensemble de mesures ont ainsi été mises en place par les autorités pénitentiaires de </w:t>
      </w:r>
      <w:r w:rsidRPr="00842ACD">
        <w:rPr>
          <w:rFonts w:eastAsia="Times New Roman"/>
        </w:rPr>
        <w:t>Rahova</w:t>
      </w:r>
      <w:r w:rsidRPr="00842ACD">
        <w:rPr>
          <w:rFonts w:eastAsia="Times New Roman"/>
        </w:rPr>
        <w:t>. La Cour ne saurait accepter l</w:t>
      </w:r>
      <w:r w:rsidRPr="00842ACD" w:rsidR="00842ACD">
        <w:rPr>
          <w:rFonts w:eastAsia="Times New Roman"/>
        </w:rPr>
        <w:t>’</w:t>
      </w:r>
      <w:r w:rsidRPr="00842ACD">
        <w:rPr>
          <w:rFonts w:eastAsia="Times New Roman"/>
        </w:rPr>
        <w:t>argument des requérants selon lequel l</w:t>
      </w:r>
      <w:r w:rsidRPr="00842ACD" w:rsidR="00842ACD">
        <w:rPr>
          <w:rFonts w:eastAsia="Times New Roman"/>
        </w:rPr>
        <w:t>’</w:t>
      </w:r>
      <w:r w:rsidRPr="00842ACD">
        <w:rPr>
          <w:rFonts w:eastAsia="Times New Roman"/>
        </w:rPr>
        <w:t xml:space="preserve">obligation qui pèse sur les autorités nationales dans ce cas est une obligation de résultat (paragraphe </w:t>
      </w:r>
      <w:r w:rsidRPr="00842ACD" w:rsidR="007F0FEC">
        <w:rPr>
          <w:rFonts w:eastAsia="Times New Roman"/>
        </w:rPr>
        <w:t>26</w:t>
      </w:r>
      <w:r w:rsidRPr="00842ACD" w:rsidR="00925AFB">
        <w:rPr>
          <w:rFonts w:eastAsia="Times New Roman"/>
        </w:rPr>
        <w:t xml:space="preserve"> ci-</w:t>
      </w:r>
      <w:r w:rsidRPr="00842ACD">
        <w:rPr>
          <w:rFonts w:eastAsia="Times New Roman"/>
        </w:rPr>
        <w:t>dessus). En effet, elle estime que ces mesures ont eu un caractère adéquat et que les autorités nationales ont fait tout ce qui pouvait être raisonnablement exigé d</w:t>
      </w:r>
      <w:r w:rsidRPr="00842ACD" w:rsidR="00842ACD">
        <w:rPr>
          <w:rFonts w:eastAsia="Times New Roman"/>
        </w:rPr>
        <w:t>’</w:t>
      </w:r>
      <w:r w:rsidRPr="00842ACD">
        <w:rPr>
          <w:rFonts w:eastAsia="Times New Roman"/>
        </w:rPr>
        <w:t>elles pour respecter les convictions religieuses des requérants, d</w:t>
      </w:r>
      <w:r w:rsidRPr="00842ACD" w:rsidR="00842ACD">
        <w:rPr>
          <w:rFonts w:eastAsia="Times New Roman"/>
        </w:rPr>
        <w:t>’</w:t>
      </w:r>
      <w:r w:rsidRPr="00842ACD">
        <w:rPr>
          <w:rFonts w:eastAsia="Times New Roman"/>
        </w:rPr>
        <w:t>autant que les repas casher doivent être préparés dans des conditions</w:t>
      </w:r>
      <w:r w:rsidRPr="00842ACD" w:rsidR="00925AFB">
        <w:rPr>
          <w:rFonts w:eastAsia="Times New Roman"/>
        </w:rPr>
        <w:t xml:space="preserve"> spéciales strictes (paragraphe </w:t>
      </w:r>
      <w:r w:rsidRPr="00842ACD" w:rsidR="007F0FEC">
        <w:rPr>
          <w:rFonts w:eastAsia="Times New Roman"/>
        </w:rPr>
        <w:t>37</w:t>
      </w:r>
      <w:r w:rsidRPr="00842ACD">
        <w:rPr>
          <w:rFonts w:eastAsia="Times New Roman"/>
        </w:rPr>
        <w:t xml:space="preserve"> ci-dessus ; voir, </w:t>
      </w:r>
      <w:r w:rsidRPr="00842ACD">
        <w:rPr>
          <w:rFonts w:eastAsia="Times New Roman"/>
          <w:i/>
        </w:rPr>
        <w:t>a contrario</w:t>
      </w:r>
      <w:r w:rsidRPr="00842ACD">
        <w:rPr>
          <w:rFonts w:eastAsia="Times New Roman"/>
        </w:rPr>
        <w:t xml:space="preserve">, </w:t>
      </w:r>
      <w:r w:rsidRPr="00842ACD">
        <w:rPr>
          <w:rFonts w:eastAsia="Times New Roman"/>
          <w:i/>
        </w:rPr>
        <w:t>Vartic</w:t>
      </w:r>
      <w:r w:rsidRPr="00842ACD">
        <w:rPr>
          <w:rFonts w:eastAsia="Times New Roman"/>
          <w:i/>
        </w:rPr>
        <w:t xml:space="preserve"> (n</w:t>
      </w:r>
      <w:r w:rsidRPr="00842ACD">
        <w:rPr>
          <w:rFonts w:eastAsia="Times New Roman"/>
          <w:i/>
          <w:vertAlign w:val="superscript"/>
        </w:rPr>
        <w:t>o</w:t>
      </w:r>
      <w:r w:rsidRPr="00842ACD">
        <w:rPr>
          <w:rFonts w:eastAsia="Times New Roman"/>
          <w:i/>
        </w:rPr>
        <w:t xml:space="preserve"> 2)</w:t>
      </w:r>
      <w:r w:rsidRPr="00842ACD">
        <w:rPr>
          <w:rFonts w:eastAsia="Times New Roman"/>
        </w:rPr>
        <w:t>, précité, §§ 51</w:t>
      </w:r>
      <w:r w:rsidRPr="00842ACD">
        <w:rPr>
          <w:rFonts w:eastAsia="Times New Roman"/>
        </w:rPr>
        <w:noBreakHyphen/>
        <w:t xml:space="preserve">52 ; voir, également, </w:t>
      </w:r>
      <w:r w:rsidRPr="00842ACD">
        <w:rPr>
          <w:rFonts w:eastAsia="Times New Roman"/>
          <w:i/>
        </w:rPr>
        <w:t>X c.</w:t>
      </w:r>
      <w:r w:rsidRPr="00842ACD" w:rsidR="00925AFB">
        <w:rPr>
          <w:rFonts w:eastAsia="Times New Roman"/>
          <w:i/>
        </w:rPr>
        <w:t xml:space="preserve"> </w:t>
      </w:r>
      <w:r w:rsidRPr="00842ACD">
        <w:rPr>
          <w:rFonts w:eastAsia="Times New Roman"/>
          <w:i/>
        </w:rPr>
        <w:t>Royaume-Uni</w:t>
      </w:r>
      <w:r w:rsidRPr="00842ACD">
        <w:rPr>
          <w:rFonts w:eastAsia="Times New Roman"/>
        </w:rPr>
        <w:t>, n</w:t>
      </w:r>
      <w:r w:rsidRPr="00842ACD">
        <w:rPr>
          <w:rFonts w:eastAsia="Times New Roman"/>
          <w:vertAlign w:val="superscript"/>
        </w:rPr>
        <w:t>o</w:t>
      </w:r>
      <w:r w:rsidRPr="00842ACD" w:rsidR="00925AFB">
        <w:rPr>
          <w:rFonts w:eastAsia="Times New Roman"/>
        </w:rPr>
        <w:t xml:space="preserve"> </w:t>
      </w:r>
      <w:r w:rsidRPr="00842ACD">
        <w:rPr>
          <w:rFonts w:eastAsia="Times New Roman"/>
        </w:rPr>
        <w:t>5947/72, décision de la Commission du 5 mars 1976,</w:t>
      </w:r>
      <w:r w:rsidRPr="00842ACD">
        <w:rPr>
          <w:rFonts w:eastAsiaTheme="minorEastAsia"/>
          <w:szCs w:val="22"/>
        </w:rPr>
        <w:t xml:space="preserve"> </w:t>
      </w:r>
      <w:r w:rsidRPr="00842ACD">
        <w:rPr>
          <w:rFonts w:eastAsia="Times New Roman"/>
        </w:rPr>
        <w:t>Décisions et rapports (DR) 5, p. 8, concernant l</w:t>
      </w:r>
      <w:r w:rsidRPr="00842ACD" w:rsidR="00842ACD">
        <w:rPr>
          <w:rFonts w:eastAsia="Times New Roman"/>
        </w:rPr>
        <w:t>’</w:t>
      </w:r>
      <w:r w:rsidRPr="00842ACD">
        <w:rPr>
          <w:rFonts w:eastAsia="Times New Roman"/>
        </w:rPr>
        <w:t>allocation de repas casher à un détenu juif orthodoxe incarcéré dans un établissement pénitentiaire n</w:t>
      </w:r>
      <w:r w:rsidRPr="00842ACD" w:rsidR="00842ACD">
        <w:rPr>
          <w:rFonts w:eastAsia="Times New Roman"/>
        </w:rPr>
        <w:t>’</w:t>
      </w:r>
      <w:r w:rsidRPr="00842ACD">
        <w:rPr>
          <w:rFonts w:eastAsia="Times New Roman"/>
        </w:rPr>
        <w:t>abritant qu</w:t>
      </w:r>
      <w:r w:rsidRPr="00842ACD" w:rsidR="00842ACD">
        <w:rPr>
          <w:rFonts w:eastAsia="Times New Roman"/>
        </w:rPr>
        <w:t>’</w:t>
      </w:r>
      <w:r w:rsidRPr="00842ACD">
        <w:rPr>
          <w:rFonts w:eastAsia="Times New Roman"/>
        </w:rPr>
        <w:t>un petit nombre de détenus de confession juive).</w:t>
      </w:r>
    </w:p>
    <w:bookmarkStart w:name="para45" w:id="26"/>
    <w:bookmarkStart w:name="para43" w:id="27"/>
    <w:p w:rsidRPr="00842ACD" w:rsidR="001169B9" w:rsidP="00842ACD">
      <w:pPr>
        <w:pStyle w:val="JuPara"/>
        <w:rPr>
          <w:rFonts w:eastAsia="Times New Roman"/>
        </w:rPr>
      </w:pPr>
      <w:r w:rsidRPr="00842ACD">
        <w:rPr>
          <w:rFonts w:eastAsia="Times New Roman" w:cstheme="minorHAnsi"/>
        </w:rPr>
        <w:fldChar w:fldCharType="begin"/>
      </w:r>
      <w:r w:rsidRPr="00842ACD">
        <w:rPr>
          <w:rFonts w:eastAsia="Times New Roman" w:cstheme="minorHAnsi"/>
        </w:rPr>
        <w:instrText xml:space="preserve"> SEQ level0 \*arabic </w:instrText>
      </w:r>
      <w:r w:rsidRPr="00842ACD">
        <w:rPr>
          <w:rFonts w:eastAsia="Times New Roman" w:cstheme="minorHAnsi"/>
        </w:rPr>
        <w:fldChar w:fldCharType="separate"/>
      </w:r>
      <w:r w:rsidRPr="00842ACD" w:rsidR="00842ACD">
        <w:rPr>
          <w:rFonts w:eastAsia="Times New Roman" w:cstheme="minorHAnsi"/>
          <w:noProof/>
        </w:rPr>
        <w:t>44</w:t>
      </w:r>
      <w:r w:rsidRPr="00842ACD">
        <w:rPr>
          <w:rFonts w:eastAsia="Times New Roman" w:cstheme="minorHAnsi"/>
        </w:rPr>
        <w:fldChar w:fldCharType="end"/>
      </w:r>
      <w:bookmarkEnd w:id="26"/>
      <w:bookmarkEnd w:id="27"/>
      <w:r w:rsidRPr="00842ACD">
        <w:rPr>
          <w:rFonts w:eastAsia="Times New Roman" w:cstheme="minorHAnsi"/>
        </w:rPr>
        <w:t>.  À</w:t>
      </w:r>
      <w:r w:rsidRPr="00842ACD">
        <w:rPr>
          <w:rFonts w:eastAsia="Times New Roman"/>
        </w:rPr>
        <w:t xml:space="preserve"> la lumière de ce qui précède, et compte tenu de la marge d</w:t>
      </w:r>
      <w:r w:rsidRPr="00842ACD" w:rsidR="00842ACD">
        <w:rPr>
          <w:rFonts w:eastAsia="Times New Roman"/>
        </w:rPr>
        <w:t>’</w:t>
      </w:r>
      <w:r w:rsidRPr="00842ACD">
        <w:rPr>
          <w:rFonts w:eastAsia="Times New Roman"/>
        </w:rPr>
        <w:t>appréciation dont l</w:t>
      </w:r>
      <w:r w:rsidRPr="00842ACD" w:rsidR="00842ACD">
        <w:rPr>
          <w:rFonts w:eastAsia="Times New Roman"/>
        </w:rPr>
        <w:t>’</w:t>
      </w:r>
      <w:r w:rsidRPr="00842ACD">
        <w:rPr>
          <w:rFonts w:eastAsia="Times New Roman" w:cstheme="minorHAnsi"/>
        </w:rPr>
        <w:t>É</w:t>
      </w:r>
      <w:r w:rsidRPr="00842ACD">
        <w:rPr>
          <w:rFonts w:eastAsia="Times New Roman"/>
        </w:rPr>
        <w:t>tat défendeur jouit en la matière, la Cour estime que les autorités nationales ont satisfait, à un degré raisonnable dans les circonstances de l</w:t>
      </w:r>
      <w:r w:rsidRPr="00842ACD" w:rsidR="00842ACD">
        <w:rPr>
          <w:rFonts w:eastAsia="Times New Roman"/>
        </w:rPr>
        <w:t>’</w:t>
      </w:r>
      <w:r w:rsidRPr="00842ACD">
        <w:rPr>
          <w:rFonts w:eastAsia="Times New Roman"/>
        </w:rPr>
        <w:t>espèce, à leur</w:t>
      </w:r>
      <w:r w:rsidRPr="00842ACD" w:rsidR="007B4F56">
        <w:rPr>
          <w:rFonts w:eastAsia="Times New Roman"/>
        </w:rPr>
        <w:t>s</w:t>
      </w:r>
      <w:r w:rsidRPr="00842ACD">
        <w:rPr>
          <w:rFonts w:eastAsia="Times New Roman"/>
        </w:rPr>
        <w:t xml:space="preserve"> obligations positives découlant de l</w:t>
      </w:r>
      <w:r w:rsidRPr="00842ACD" w:rsidR="00842ACD">
        <w:rPr>
          <w:rFonts w:eastAsia="Times New Roman"/>
        </w:rPr>
        <w:t>’</w:t>
      </w:r>
      <w:r w:rsidRPr="00842ACD" w:rsidR="00925AFB">
        <w:rPr>
          <w:rFonts w:eastAsia="Times New Roman"/>
        </w:rPr>
        <w:t>article </w:t>
      </w:r>
      <w:r w:rsidRPr="00842ACD">
        <w:rPr>
          <w:rFonts w:eastAsia="Times New Roman"/>
        </w:rPr>
        <w:t>9 de la Convention.</w:t>
      </w:r>
    </w:p>
    <w:p w:rsidRPr="00842ACD" w:rsidR="001169B9" w:rsidP="00842ACD">
      <w:pPr>
        <w:pStyle w:val="JuPara"/>
      </w:pPr>
      <w:r w:rsidRPr="00842ACD">
        <w:fldChar w:fldCharType="begin"/>
      </w:r>
      <w:r w:rsidRPr="00842ACD">
        <w:instrText xml:space="preserve"> SEQ level0 \*arabic </w:instrText>
      </w:r>
      <w:r w:rsidRPr="00842ACD">
        <w:fldChar w:fldCharType="separate"/>
      </w:r>
      <w:r w:rsidRPr="00842ACD" w:rsidR="00842ACD">
        <w:rPr>
          <w:noProof/>
        </w:rPr>
        <w:t>45</w:t>
      </w:r>
      <w:r w:rsidRPr="00842ACD">
        <w:fldChar w:fldCharType="end"/>
      </w:r>
      <w:r w:rsidRPr="00842ACD">
        <w:t>.  Pour ces raisons, la Cour conclut qu</w:t>
      </w:r>
      <w:r w:rsidRPr="00842ACD" w:rsidR="00842ACD">
        <w:t>’</w:t>
      </w:r>
      <w:r w:rsidRPr="00842ACD">
        <w:t>il n</w:t>
      </w:r>
      <w:r w:rsidRPr="00842ACD" w:rsidR="00842ACD">
        <w:t>’</w:t>
      </w:r>
      <w:r w:rsidRPr="00842ACD">
        <w:t>y a pas eu violation de l</w:t>
      </w:r>
      <w:r w:rsidRPr="00842ACD" w:rsidR="00842ACD">
        <w:t>’</w:t>
      </w:r>
      <w:r w:rsidRPr="00842ACD">
        <w:t>article</w:t>
      </w:r>
      <w:r w:rsidRPr="00842ACD" w:rsidR="00925AFB">
        <w:t> </w:t>
      </w:r>
      <w:r w:rsidRPr="00842ACD">
        <w:t>9 de la Convention.</w:t>
      </w:r>
    </w:p>
    <w:bookmarkEnd w:id="17"/>
    <w:p w:rsidRPr="00842ACD" w:rsidR="001169B9" w:rsidP="00842ACD">
      <w:pPr>
        <w:pStyle w:val="JuHHead"/>
        <w:numPr>
          <w:ilvl w:val="0"/>
          <w:numId w:val="1"/>
        </w:numPr>
        <w:jc w:val="both"/>
        <w:rPr>
          <w:lang w:val="fr-FR"/>
        </w:rPr>
      </w:pPr>
      <w:r w:rsidRPr="00842ACD">
        <w:rPr>
          <w:lang w:val="fr-FR"/>
        </w:rPr>
        <w:t xml:space="preserve">PAR CES MOTIFS, LA COUR, </w:t>
      </w:r>
      <w:r w:rsidRPr="00842ACD">
        <w:rPr>
          <w:caps w:val="0"/>
          <w:lang w:val="fr-FR"/>
        </w:rPr>
        <w:t>À L</w:t>
      </w:r>
      <w:r w:rsidRPr="00842ACD" w:rsidR="00842ACD">
        <w:rPr>
          <w:caps w:val="0"/>
          <w:lang w:val="fr-FR"/>
        </w:rPr>
        <w:t>’</w:t>
      </w:r>
      <w:r w:rsidRPr="00842ACD">
        <w:rPr>
          <w:caps w:val="0"/>
          <w:lang w:val="fr-FR"/>
        </w:rPr>
        <w:t>UNANIMITÉ</w:t>
      </w:r>
      <w:r w:rsidRPr="00842ACD">
        <w:rPr>
          <w:lang w:val="fr-FR"/>
        </w:rPr>
        <w:t>,</w:t>
      </w:r>
    </w:p>
    <w:p w:rsidRPr="00842ACD" w:rsidR="001169B9" w:rsidP="00842ACD">
      <w:pPr>
        <w:pStyle w:val="JuList"/>
        <w:numPr>
          <w:ilvl w:val="0"/>
          <w:numId w:val="2"/>
        </w:numPr>
        <w:ind w:left="0" w:firstLine="0"/>
      </w:pPr>
      <w:r w:rsidRPr="00842ACD">
        <w:rPr>
          <w:i/>
        </w:rPr>
        <w:t>Décide</w:t>
      </w:r>
      <w:r w:rsidRPr="00842ACD">
        <w:t xml:space="preserve"> de joindre les requêtes ;</w:t>
      </w:r>
    </w:p>
    <w:p w:rsidRPr="00842ACD" w:rsidR="001169B9" w:rsidP="00842ACD">
      <w:pPr>
        <w:pStyle w:val="JuList"/>
        <w:numPr>
          <w:ilvl w:val="0"/>
          <w:numId w:val="2"/>
        </w:numPr>
        <w:ind w:left="0" w:firstLine="0"/>
      </w:pPr>
      <w:r w:rsidRPr="00842ACD">
        <w:rPr>
          <w:i/>
        </w:rPr>
        <w:t>Déclare</w:t>
      </w:r>
      <w:r w:rsidRPr="00842ACD">
        <w:t xml:space="preserve"> les requêtes recevables ;</w:t>
      </w:r>
    </w:p>
    <w:p w:rsidRPr="00842ACD" w:rsidR="00842ACD" w:rsidP="00842ACD">
      <w:pPr>
        <w:pStyle w:val="JuList"/>
        <w:numPr>
          <w:ilvl w:val="0"/>
          <w:numId w:val="2"/>
        </w:numPr>
      </w:pPr>
      <w:r w:rsidRPr="00842ACD">
        <w:rPr>
          <w:i/>
        </w:rPr>
        <w:t>Dit</w:t>
      </w:r>
      <w:r w:rsidRPr="00842ACD">
        <w:t xml:space="preserve"> qu’il n’y a pas eu violation de l’article 9 de la Convention.</w:t>
      </w:r>
    </w:p>
    <w:p w:rsidRPr="00842ACD" w:rsidR="00893F30" w:rsidP="00842ACD">
      <w:pPr>
        <w:pStyle w:val="JuParaLast"/>
      </w:pPr>
      <w:r w:rsidRPr="00842ACD">
        <w:t xml:space="preserve">Fait en français, puis communiqué par écrit le </w:t>
      </w:r>
      <w:r w:rsidRPr="00842ACD" w:rsidR="001169B9">
        <w:t>9 juin 2020</w:t>
      </w:r>
      <w:r w:rsidRPr="00842ACD">
        <w:t>, en application de l</w:t>
      </w:r>
      <w:r w:rsidRPr="00842ACD" w:rsidR="00842ACD">
        <w:t>’</w:t>
      </w:r>
      <w:r w:rsidRPr="00842ACD" w:rsidR="00925AFB">
        <w:t xml:space="preserve">article </w:t>
      </w:r>
      <w:r w:rsidRPr="00842ACD">
        <w:t>77</w:t>
      </w:r>
      <w:r w:rsidRPr="00842ACD" w:rsidR="00925AFB">
        <w:t xml:space="preserve"> </w:t>
      </w:r>
      <w:r w:rsidRPr="00842ACD">
        <w:t>§§</w:t>
      </w:r>
      <w:r w:rsidRPr="00842ACD" w:rsidR="00925AFB">
        <w:t xml:space="preserve"> </w:t>
      </w:r>
      <w:r w:rsidRPr="00842ACD">
        <w:t>2 et</w:t>
      </w:r>
      <w:r w:rsidRPr="00842ACD" w:rsidR="00925AFB">
        <w:t xml:space="preserve"> </w:t>
      </w:r>
      <w:r w:rsidRPr="00842ACD">
        <w:t>3 du règlement.</w:t>
      </w:r>
    </w:p>
    <w:p w:rsidRPr="00842ACD" w:rsidR="00876F03" w:rsidP="00842ACD">
      <w:pPr>
        <w:pStyle w:val="JuSigned"/>
      </w:pPr>
      <w:r w:rsidRPr="00842ACD">
        <w:tab/>
        <w:t>Andrea Tamietti</w:t>
      </w:r>
      <w:r w:rsidRPr="00842ACD" w:rsidR="004344E6">
        <w:tab/>
      </w:r>
      <w:r w:rsidRPr="00842ACD" w:rsidR="00585C76">
        <w:t>Yonko</w:t>
      </w:r>
      <w:r w:rsidRPr="00842ACD" w:rsidR="00585C76">
        <w:t xml:space="preserve"> </w:t>
      </w:r>
      <w:r w:rsidRPr="00842ACD" w:rsidR="00585C76">
        <w:t>Grozev</w:t>
      </w:r>
      <w:r w:rsidRPr="00842ACD" w:rsidR="004344E6">
        <w:br/>
      </w:r>
      <w:r w:rsidRPr="00842ACD" w:rsidR="004344E6">
        <w:tab/>
      </w:r>
      <w:r w:rsidRPr="00842ACD">
        <w:t>Greffier</w:t>
      </w:r>
      <w:r w:rsidRPr="00842ACD" w:rsidR="004344E6">
        <w:tab/>
      </w:r>
      <w:r w:rsidRPr="00842ACD">
        <w:t>Président</w:t>
      </w:r>
    </w:p>
    <w:p w:rsidRPr="00842ACD" w:rsidR="00500D54" w:rsidP="00842ACD">
      <w:pPr>
        <w:pStyle w:val="JuPara"/>
      </w:pPr>
    </w:p>
    <w:sectPr>
      <w:headerReference w:type="even" r:id="rId8"/>
      <w:headerReference w:type="default" r:id="rId9"/>
      <w:footerReference w:type="default" r:id="rId10"/>
      <w:footnotePr>
        <w:numRestart w:val="eachSect"/>
      </w:footnotePr>
      <w:pgSz w:w="11906" w:h="16838" w:code="9"/>
      <w:pgMar w:top="2274" w:right="2274" w:bottom="2274" w:left="2274" w:header="1701" w:footer="720" w:gutter="0"/>
      <w:pgNumType w:start="1"/>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19085"/>
      <w:docPartObj>
        <w:docPartGallery w:val="Page Numbers (Bottom of Page)"/>
        <w:docPartUnique/>
      </w:docPartObj>
    </w:sdtPr>
    <w:sdtContent>
      <w:p w:rsidR="006F483E" w:rsidRPr="006F483E">
        <w:pPr>
          <w:pStyle w:val="Footer1"/>
        </w:pPr>
        <w:r>
          <w:tab/>
        </w:r>
        <w:r w:rsidRPr="006F483E">
          <w:rPr>
            <w:noProof/>
            <w:sz w:val="18"/>
          </w:rPr>
          <w:fldChar w:fldCharType="begin"/>
        </w:r>
        <w:r w:rsidRPr="006F483E">
          <w:rPr>
            <w:noProof/>
            <w:sz w:val="18"/>
          </w:rPr>
          <w:instrText xml:space="preserve"> PAGE </w:instrText>
        </w:r>
        <w:r w:rsidRPr="006F483E">
          <w:rPr>
            <w:noProof/>
            <w:sz w:val="18"/>
          </w:rPr>
          <w:fldChar w:fldCharType="separate"/>
        </w:r>
        <w:r w:rsidR="000023F2">
          <w:rPr>
            <w:noProof/>
            <w:sz w:val="18"/>
          </w:rPr>
          <w:t>16</w:t>
        </w:r>
        <w:r w:rsidRPr="006F483E">
          <w:rPr>
            <w:noProof/>
            <w:sz w:val="1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9B9" w:rsidRPr="00150BFA" w:rsidP="0020718E">
    <w:pPr>
      <w:jc w:val="center"/>
    </w:pPr>
    <w:r>
      <w:rPr>
        <w:noProof/>
        <w:lang w:val="en-US"/>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F22D5C" w:rsidRPr="000F1305" w:rsidP="00F27D13">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D5C" w:rsidRPr="00D01935" w:rsidP="00662882">
    <w:pPr>
      <w:pStyle w:val="JuHeader"/>
    </w:pPr>
    <w:r>
      <w:fldChar w:fldCharType="begin"/>
    </w:r>
    <w:r>
      <w:instrText xml:space="preserve"> PAGE </w:instrText>
    </w:r>
    <w:r>
      <w:fldChar w:fldCharType="separate"/>
    </w:r>
    <w:r w:rsidR="000023F2">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9B9" w:rsidRPr="00A45145" w:rsidP="00A45145">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F22D5C" w:rsidRPr="000F1305" w:rsidP="009840A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D5C" w:rsidRPr="00585C76" w:rsidP="00A21624">
    <w:pPr>
      <w:pStyle w:val="JuHeader"/>
    </w:pPr>
    <w:r w:rsidRPr="00585C76">
      <w:t>ARRÊT</w:t>
    </w:r>
    <w:r w:rsidRPr="00585C76" w:rsidR="00256F45">
      <w:t xml:space="preserve"> </w:t>
    </w:r>
    <w:r w:rsidRPr="00585C76" w:rsidR="001169B9">
      <w:t xml:space="preserve">ERLICH </w:t>
    </w:r>
    <w:r w:rsidR="00D82D9B">
      <w:t>ET</w:t>
    </w:r>
    <w:r w:rsidRPr="00585C76" w:rsidR="00585C76">
      <w:rPr>
        <w:noProof/>
      </w:rPr>
      <w:t xml:space="preserve"> KASTRO c. </w:t>
    </w:r>
    <w:r w:rsidR="00585C76">
      <w:rPr>
        <w:noProof/>
      </w:rPr>
      <w:t>ROUMANIE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D5C" w:rsidRPr="002262D1" w:rsidP="00662882">
    <w:pPr>
      <w:pStyle w:val="JuHeader"/>
    </w:pPr>
    <w:r w:rsidRPr="002262D1">
      <w:t>ARRÊT</w:t>
    </w:r>
    <w:r w:rsidRPr="002262D1" w:rsidR="00162967">
      <w:t xml:space="preserve"> </w:t>
    </w:r>
    <w:r w:rsidRPr="002262D1" w:rsidR="001169B9">
      <w:t xml:space="preserve">ERLICH </w:t>
    </w:r>
    <w:r w:rsidR="00D82D9B">
      <w:t>ET</w:t>
    </w:r>
    <w:r w:rsidRPr="002262D1" w:rsidR="002262D1">
      <w:t xml:space="preserve"> KASTRO c. </w:t>
    </w:r>
    <w:r w:rsidR="002262D1">
      <w:t>ROUMANIE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8B2457E6"/>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182"/>
      </w:pPr>
      <w:rPr>
        <w:rFonts w:ascii="Times New Roman" w:hAnsi="Times New Roman" w:cs="Times New Roman" w:hint="default"/>
        <w:color w:val="auto"/>
      </w:rPr>
    </w:lvl>
    <w:lvl w:ilvl="8">
      <w:start w:val="1"/>
      <w:numFmt w:val="bullet"/>
      <w:pStyle w:val="ECHRHeading9"/>
      <w:lvlText w:val="▪"/>
      <w:lvlJc w:val="left"/>
      <w:pPr>
        <w:ind w:left="1644" w:hanging="221"/>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3704F6F0"/>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4CD28D7E"/>
    <w:lvl w:ilvl="0">
      <w:start w:val="1"/>
      <w:numFmt w:val="none"/>
      <w:suff w:val="nothing"/>
      <w:lvlJc w:val="left"/>
      <w:pPr>
        <w:ind w:left="0" w:firstLine="0"/>
      </w:pPr>
      <w:rPr>
        <w:rFonts w:hint="default"/>
      </w:rPr>
    </w:lvl>
    <w:lvl w:ilvl="1">
      <w:start w:val="1"/>
      <w:numFmt w:val="upperRoman"/>
      <w:suff w:val="space"/>
      <w:lvlText w:val="%2."/>
      <w:lvlJc w:val="left"/>
      <w:pPr>
        <w:ind w:left="3476"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3"/>
  </w:num>
  <w:num w:numId="3">
    <w:abstractNumId w:val="9"/>
  </w:num>
  <w:num w:numId="4">
    <w:abstractNumId w:val="14"/>
  </w:num>
  <w:num w:numId="5">
    <w:abstractNumId w:val="11"/>
  </w:num>
  <w:num w:numId="6">
    <w:abstractNumId w:val="10"/>
  </w:num>
  <w:num w:numId="7">
    <w:abstractNumId w:val="15"/>
  </w:num>
  <w:num w:numId="8">
    <w:abstractNumId w:val="12"/>
  </w:num>
  <w:num w:numId="9">
    <w:abstractNumId w:val="16"/>
  </w:num>
  <w:num w:numId="10">
    <w:abstractNumId w:val="18"/>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69B9"/>
    <w:rsid w:val="000023F2"/>
    <w:rsid w:val="000041F8"/>
    <w:rsid w:val="000042A8"/>
    <w:rsid w:val="00004308"/>
    <w:rsid w:val="00005BF0"/>
    <w:rsid w:val="00007154"/>
    <w:rsid w:val="000103AE"/>
    <w:rsid w:val="00011D69"/>
    <w:rsid w:val="00012AD3"/>
    <w:rsid w:val="00015C2D"/>
    <w:rsid w:val="00015F00"/>
    <w:rsid w:val="00022C1D"/>
    <w:rsid w:val="00034987"/>
    <w:rsid w:val="00051015"/>
    <w:rsid w:val="000602DF"/>
    <w:rsid w:val="00061B05"/>
    <w:rsid w:val="000632D5"/>
    <w:rsid w:val="000644EE"/>
    <w:rsid w:val="00080ECE"/>
    <w:rsid w:val="0009057B"/>
    <w:rsid w:val="000925AD"/>
    <w:rsid w:val="000A24EB"/>
    <w:rsid w:val="000B5D17"/>
    <w:rsid w:val="000B6923"/>
    <w:rsid w:val="000C5F3C"/>
    <w:rsid w:val="000C6DCC"/>
    <w:rsid w:val="000D04C2"/>
    <w:rsid w:val="000D47AA"/>
    <w:rsid w:val="000D721F"/>
    <w:rsid w:val="000E069B"/>
    <w:rsid w:val="000E0E82"/>
    <w:rsid w:val="000E1DC5"/>
    <w:rsid w:val="000E223F"/>
    <w:rsid w:val="000E4AC8"/>
    <w:rsid w:val="000E7D45"/>
    <w:rsid w:val="000F1305"/>
    <w:rsid w:val="000F19D8"/>
    <w:rsid w:val="000F7851"/>
    <w:rsid w:val="00104E23"/>
    <w:rsid w:val="00105497"/>
    <w:rsid w:val="00111B0C"/>
    <w:rsid w:val="001169B9"/>
    <w:rsid w:val="00117CD2"/>
    <w:rsid w:val="00120D6C"/>
    <w:rsid w:val="001257EC"/>
    <w:rsid w:val="00132294"/>
    <w:rsid w:val="00133D33"/>
    <w:rsid w:val="00134D64"/>
    <w:rsid w:val="00135A30"/>
    <w:rsid w:val="0013612C"/>
    <w:rsid w:val="00137FF6"/>
    <w:rsid w:val="00141650"/>
    <w:rsid w:val="00150BFA"/>
    <w:rsid w:val="001625AD"/>
    <w:rsid w:val="00162967"/>
    <w:rsid w:val="00162A12"/>
    <w:rsid w:val="00166530"/>
    <w:rsid w:val="00181508"/>
    <w:rsid w:val="001832BD"/>
    <w:rsid w:val="001943B5"/>
    <w:rsid w:val="00194C5B"/>
    <w:rsid w:val="00195134"/>
    <w:rsid w:val="001A145B"/>
    <w:rsid w:val="001A674C"/>
    <w:rsid w:val="001B3B24"/>
    <w:rsid w:val="001C0F98"/>
    <w:rsid w:val="001C2A42"/>
    <w:rsid w:val="001C2B5C"/>
    <w:rsid w:val="001D63ED"/>
    <w:rsid w:val="001D7348"/>
    <w:rsid w:val="001E035B"/>
    <w:rsid w:val="001E0961"/>
    <w:rsid w:val="001E3EAE"/>
    <w:rsid w:val="001E6F32"/>
    <w:rsid w:val="001F2145"/>
    <w:rsid w:val="001F39F4"/>
    <w:rsid w:val="001F6262"/>
    <w:rsid w:val="001F67B0"/>
    <w:rsid w:val="001F7B3D"/>
    <w:rsid w:val="00204F24"/>
    <w:rsid w:val="00205F9F"/>
    <w:rsid w:val="0020718E"/>
    <w:rsid w:val="00210338"/>
    <w:rsid w:val="002115FC"/>
    <w:rsid w:val="00212184"/>
    <w:rsid w:val="0021423C"/>
    <w:rsid w:val="002262D1"/>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1F46"/>
    <w:rsid w:val="0026540E"/>
    <w:rsid w:val="002705D7"/>
    <w:rsid w:val="00275123"/>
    <w:rsid w:val="00282240"/>
    <w:rsid w:val="002948AD"/>
    <w:rsid w:val="0029739C"/>
    <w:rsid w:val="002A01CC"/>
    <w:rsid w:val="002A61B1"/>
    <w:rsid w:val="002A663C"/>
    <w:rsid w:val="002B444B"/>
    <w:rsid w:val="002B5887"/>
    <w:rsid w:val="002B7E83"/>
    <w:rsid w:val="002C0E27"/>
    <w:rsid w:val="002C3040"/>
    <w:rsid w:val="002D022D"/>
    <w:rsid w:val="002D24BB"/>
    <w:rsid w:val="002F29AA"/>
    <w:rsid w:val="002F2AF7"/>
    <w:rsid w:val="002F7E1C"/>
    <w:rsid w:val="00301A75"/>
    <w:rsid w:val="00302F70"/>
    <w:rsid w:val="0030336F"/>
    <w:rsid w:val="0030375E"/>
    <w:rsid w:val="0030660C"/>
    <w:rsid w:val="00312A30"/>
    <w:rsid w:val="00316323"/>
    <w:rsid w:val="00320F72"/>
    <w:rsid w:val="0032463E"/>
    <w:rsid w:val="00326224"/>
    <w:rsid w:val="00337EE4"/>
    <w:rsid w:val="00340FFD"/>
    <w:rsid w:val="003506B1"/>
    <w:rsid w:val="00356AC7"/>
    <w:rsid w:val="003609FA"/>
    <w:rsid w:val="00361D45"/>
    <w:rsid w:val="00367B4F"/>
    <w:rsid w:val="003710C8"/>
    <w:rsid w:val="003722CE"/>
    <w:rsid w:val="00373787"/>
    <w:rsid w:val="003750BE"/>
    <w:rsid w:val="00387B9D"/>
    <w:rsid w:val="0039364F"/>
    <w:rsid w:val="00396686"/>
    <w:rsid w:val="0039778E"/>
    <w:rsid w:val="003A37B8"/>
    <w:rsid w:val="003B4941"/>
    <w:rsid w:val="003B6A2E"/>
    <w:rsid w:val="003C5714"/>
    <w:rsid w:val="003C6B9F"/>
    <w:rsid w:val="003C6E2A"/>
    <w:rsid w:val="003D0299"/>
    <w:rsid w:val="003D1AA9"/>
    <w:rsid w:val="003D32BE"/>
    <w:rsid w:val="003E3FE3"/>
    <w:rsid w:val="003E6D80"/>
    <w:rsid w:val="003E7A9C"/>
    <w:rsid w:val="003F05FA"/>
    <w:rsid w:val="003F244A"/>
    <w:rsid w:val="003F30B8"/>
    <w:rsid w:val="003F4C45"/>
    <w:rsid w:val="003F5F7B"/>
    <w:rsid w:val="003F7D64"/>
    <w:rsid w:val="00401F7D"/>
    <w:rsid w:val="0041177B"/>
    <w:rsid w:val="00414300"/>
    <w:rsid w:val="00425C67"/>
    <w:rsid w:val="00427E7A"/>
    <w:rsid w:val="00431C07"/>
    <w:rsid w:val="004344E6"/>
    <w:rsid w:val="00436C49"/>
    <w:rsid w:val="00445366"/>
    <w:rsid w:val="00447F5B"/>
    <w:rsid w:val="00456549"/>
    <w:rsid w:val="004604A0"/>
    <w:rsid w:val="00461DB0"/>
    <w:rsid w:val="00463926"/>
    <w:rsid w:val="00464C9A"/>
    <w:rsid w:val="00464CAB"/>
    <w:rsid w:val="00474F3D"/>
    <w:rsid w:val="00477E3A"/>
    <w:rsid w:val="00483E5F"/>
    <w:rsid w:val="00485FF9"/>
    <w:rsid w:val="004907F0"/>
    <w:rsid w:val="0049140B"/>
    <w:rsid w:val="004923A5"/>
    <w:rsid w:val="00496197"/>
    <w:rsid w:val="00496BFB"/>
    <w:rsid w:val="004A15C7"/>
    <w:rsid w:val="004B013B"/>
    <w:rsid w:val="004B112B"/>
    <w:rsid w:val="004C01E4"/>
    <w:rsid w:val="004C086C"/>
    <w:rsid w:val="004C1A3F"/>
    <w:rsid w:val="004C1F56"/>
    <w:rsid w:val="004C27BC"/>
    <w:rsid w:val="004D15F3"/>
    <w:rsid w:val="004D5311"/>
    <w:rsid w:val="004D5DCC"/>
    <w:rsid w:val="004E22F1"/>
    <w:rsid w:val="004F10AF"/>
    <w:rsid w:val="004F11A4"/>
    <w:rsid w:val="004F2389"/>
    <w:rsid w:val="004F304D"/>
    <w:rsid w:val="004F61BE"/>
    <w:rsid w:val="004F66B1"/>
    <w:rsid w:val="00500D54"/>
    <w:rsid w:val="00511C07"/>
    <w:rsid w:val="00516B59"/>
    <w:rsid w:val="005173A6"/>
    <w:rsid w:val="00520BAA"/>
    <w:rsid w:val="00522ABA"/>
    <w:rsid w:val="00525208"/>
    <w:rsid w:val="005257A5"/>
    <w:rsid w:val="005264C0"/>
    <w:rsid w:val="00526A8A"/>
    <w:rsid w:val="00531DF2"/>
    <w:rsid w:val="005442EE"/>
    <w:rsid w:val="00547353"/>
    <w:rsid w:val="005474E7"/>
    <w:rsid w:val="005512A3"/>
    <w:rsid w:val="005578CE"/>
    <w:rsid w:val="00562781"/>
    <w:rsid w:val="00566E2B"/>
    <w:rsid w:val="0057271C"/>
    <w:rsid w:val="00572845"/>
    <w:rsid w:val="00576986"/>
    <w:rsid w:val="00585C76"/>
    <w:rsid w:val="00592772"/>
    <w:rsid w:val="00592C8D"/>
    <w:rsid w:val="0059574A"/>
    <w:rsid w:val="005A1B9B"/>
    <w:rsid w:val="005A6751"/>
    <w:rsid w:val="005B092E"/>
    <w:rsid w:val="005B152C"/>
    <w:rsid w:val="005B1EE0"/>
    <w:rsid w:val="005B2B24"/>
    <w:rsid w:val="005B4425"/>
    <w:rsid w:val="005B4B94"/>
    <w:rsid w:val="005C353F"/>
    <w:rsid w:val="005C3EE8"/>
    <w:rsid w:val="005D34F9"/>
    <w:rsid w:val="005D4190"/>
    <w:rsid w:val="005D67A3"/>
    <w:rsid w:val="005E2988"/>
    <w:rsid w:val="005E3085"/>
    <w:rsid w:val="005F51E1"/>
    <w:rsid w:val="00611C80"/>
    <w:rsid w:val="00613B21"/>
    <w:rsid w:val="00620692"/>
    <w:rsid w:val="006242CA"/>
    <w:rsid w:val="00627507"/>
    <w:rsid w:val="00633717"/>
    <w:rsid w:val="006344E1"/>
    <w:rsid w:val="006361FD"/>
    <w:rsid w:val="006545C4"/>
    <w:rsid w:val="00661971"/>
    <w:rsid w:val="00661CE8"/>
    <w:rsid w:val="006623D9"/>
    <w:rsid w:val="00662882"/>
    <w:rsid w:val="0066550C"/>
    <w:rsid w:val="006716F2"/>
    <w:rsid w:val="00682BF2"/>
    <w:rsid w:val="006859CE"/>
    <w:rsid w:val="00687772"/>
    <w:rsid w:val="00691270"/>
    <w:rsid w:val="00694BA8"/>
    <w:rsid w:val="006A037C"/>
    <w:rsid w:val="006A36F4"/>
    <w:rsid w:val="006A406F"/>
    <w:rsid w:val="006A5D3A"/>
    <w:rsid w:val="006C23D4"/>
    <w:rsid w:val="006C475E"/>
    <w:rsid w:val="006C7BB0"/>
    <w:rsid w:val="006D3237"/>
    <w:rsid w:val="006E2E37"/>
    <w:rsid w:val="006E3CF1"/>
    <w:rsid w:val="006E7E80"/>
    <w:rsid w:val="006F483E"/>
    <w:rsid w:val="006F48CA"/>
    <w:rsid w:val="006F64DD"/>
    <w:rsid w:val="007104B9"/>
    <w:rsid w:val="00715127"/>
    <w:rsid w:val="00715E8E"/>
    <w:rsid w:val="007172B0"/>
    <w:rsid w:val="00723580"/>
    <w:rsid w:val="00723755"/>
    <w:rsid w:val="00724AE2"/>
    <w:rsid w:val="0073136C"/>
    <w:rsid w:val="00731F0F"/>
    <w:rsid w:val="00733250"/>
    <w:rsid w:val="00735951"/>
    <w:rsid w:val="00741404"/>
    <w:rsid w:val="007449E5"/>
    <w:rsid w:val="00747FF0"/>
    <w:rsid w:val="007612E2"/>
    <w:rsid w:val="00764D4E"/>
    <w:rsid w:val="00765A1F"/>
    <w:rsid w:val="007713CD"/>
    <w:rsid w:val="00775B6D"/>
    <w:rsid w:val="00776D68"/>
    <w:rsid w:val="007850EE"/>
    <w:rsid w:val="00785B95"/>
    <w:rsid w:val="00790AAD"/>
    <w:rsid w:val="00790E96"/>
    <w:rsid w:val="00793366"/>
    <w:rsid w:val="007971FF"/>
    <w:rsid w:val="007A4070"/>
    <w:rsid w:val="007A716F"/>
    <w:rsid w:val="007B270A"/>
    <w:rsid w:val="007B4F56"/>
    <w:rsid w:val="007C0695"/>
    <w:rsid w:val="007C419A"/>
    <w:rsid w:val="007C4CC8"/>
    <w:rsid w:val="007C5426"/>
    <w:rsid w:val="007C5798"/>
    <w:rsid w:val="007D4832"/>
    <w:rsid w:val="007E21B2"/>
    <w:rsid w:val="007E2C4E"/>
    <w:rsid w:val="007F0FEC"/>
    <w:rsid w:val="007F1905"/>
    <w:rsid w:val="00801300"/>
    <w:rsid w:val="00802C64"/>
    <w:rsid w:val="0080523A"/>
    <w:rsid w:val="00805E52"/>
    <w:rsid w:val="008061D0"/>
    <w:rsid w:val="00810B38"/>
    <w:rsid w:val="008204C7"/>
    <w:rsid w:val="00820992"/>
    <w:rsid w:val="00823602"/>
    <w:rsid w:val="008255F5"/>
    <w:rsid w:val="0083014E"/>
    <w:rsid w:val="0083214A"/>
    <w:rsid w:val="00834220"/>
    <w:rsid w:val="00842ACD"/>
    <w:rsid w:val="0084481A"/>
    <w:rsid w:val="00845723"/>
    <w:rsid w:val="00851EF9"/>
    <w:rsid w:val="008577FD"/>
    <w:rsid w:val="00860B03"/>
    <w:rsid w:val="0086497A"/>
    <w:rsid w:val="008713A1"/>
    <w:rsid w:val="00873D9C"/>
    <w:rsid w:val="008748BE"/>
    <w:rsid w:val="008754AB"/>
    <w:rsid w:val="00876A02"/>
    <w:rsid w:val="00876F03"/>
    <w:rsid w:val="0088060C"/>
    <w:rsid w:val="00891107"/>
    <w:rsid w:val="00893576"/>
    <w:rsid w:val="00893E73"/>
    <w:rsid w:val="00893F30"/>
    <w:rsid w:val="00895F5B"/>
    <w:rsid w:val="008A5834"/>
    <w:rsid w:val="008B02DC"/>
    <w:rsid w:val="008B2698"/>
    <w:rsid w:val="008B57CE"/>
    <w:rsid w:val="008C26DE"/>
    <w:rsid w:val="008D2225"/>
    <w:rsid w:val="008D4752"/>
    <w:rsid w:val="008E271C"/>
    <w:rsid w:val="008E418E"/>
    <w:rsid w:val="008E5BC6"/>
    <w:rsid w:val="008E6A25"/>
    <w:rsid w:val="008E7A1B"/>
    <w:rsid w:val="008F5193"/>
    <w:rsid w:val="009013A7"/>
    <w:rsid w:val="009017FB"/>
    <w:rsid w:val="009017FC"/>
    <w:rsid w:val="009020E3"/>
    <w:rsid w:val="0090506B"/>
    <w:rsid w:val="009050C9"/>
    <w:rsid w:val="009066FC"/>
    <w:rsid w:val="009140A3"/>
    <w:rsid w:val="009144A2"/>
    <w:rsid w:val="0091510C"/>
    <w:rsid w:val="009259AC"/>
    <w:rsid w:val="00925AFB"/>
    <w:rsid w:val="00926F38"/>
    <w:rsid w:val="00934301"/>
    <w:rsid w:val="00936CD1"/>
    <w:rsid w:val="009375A5"/>
    <w:rsid w:val="00941747"/>
    <w:rsid w:val="00941EFB"/>
    <w:rsid w:val="00947AFB"/>
    <w:rsid w:val="00951D7D"/>
    <w:rsid w:val="009630C7"/>
    <w:rsid w:val="00972B55"/>
    <w:rsid w:val="009743B7"/>
    <w:rsid w:val="00975039"/>
    <w:rsid w:val="00977227"/>
    <w:rsid w:val="0098228B"/>
    <w:rsid w:val="009828DA"/>
    <w:rsid w:val="009840A2"/>
    <w:rsid w:val="00985BAB"/>
    <w:rsid w:val="009B1B5F"/>
    <w:rsid w:val="009B6673"/>
    <w:rsid w:val="009C191B"/>
    <w:rsid w:val="009C2BD6"/>
    <w:rsid w:val="009D2F52"/>
    <w:rsid w:val="009D6F84"/>
    <w:rsid w:val="009E16D2"/>
    <w:rsid w:val="009E1F32"/>
    <w:rsid w:val="009E776C"/>
    <w:rsid w:val="00A00672"/>
    <w:rsid w:val="00A132AD"/>
    <w:rsid w:val="00A1726E"/>
    <w:rsid w:val="00A204CF"/>
    <w:rsid w:val="00A21624"/>
    <w:rsid w:val="00A23D49"/>
    <w:rsid w:val="00A27004"/>
    <w:rsid w:val="00A30C29"/>
    <w:rsid w:val="00A34DD6"/>
    <w:rsid w:val="00A36819"/>
    <w:rsid w:val="00A36989"/>
    <w:rsid w:val="00A43628"/>
    <w:rsid w:val="00A43AA3"/>
    <w:rsid w:val="00A45145"/>
    <w:rsid w:val="00A4783F"/>
    <w:rsid w:val="00A54192"/>
    <w:rsid w:val="00A6035E"/>
    <w:rsid w:val="00A6144C"/>
    <w:rsid w:val="00A66617"/>
    <w:rsid w:val="00A671F8"/>
    <w:rsid w:val="00A673A4"/>
    <w:rsid w:val="00A724AE"/>
    <w:rsid w:val="00A73329"/>
    <w:rsid w:val="00A75785"/>
    <w:rsid w:val="00A82359"/>
    <w:rsid w:val="00A825D5"/>
    <w:rsid w:val="00A865D2"/>
    <w:rsid w:val="00A94C20"/>
    <w:rsid w:val="00AA227F"/>
    <w:rsid w:val="00AA3BC7"/>
    <w:rsid w:val="00AA754A"/>
    <w:rsid w:val="00AB099E"/>
    <w:rsid w:val="00AB4328"/>
    <w:rsid w:val="00AB5628"/>
    <w:rsid w:val="00AC00C2"/>
    <w:rsid w:val="00AC5872"/>
    <w:rsid w:val="00AE0A2E"/>
    <w:rsid w:val="00AE354C"/>
    <w:rsid w:val="00AF4B07"/>
    <w:rsid w:val="00AF6186"/>
    <w:rsid w:val="00AF7A3A"/>
    <w:rsid w:val="00B009F4"/>
    <w:rsid w:val="00B160DB"/>
    <w:rsid w:val="00B20836"/>
    <w:rsid w:val="00B235BB"/>
    <w:rsid w:val="00B25320"/>
    <w:rsid w:val="00B25D3B"/>
    <w:rsid w:val="00B27A44"/>
    <w:rsid w:val="00B30BBF"/>
    <w:rsid w:val="00B33C03"/>
    <w:rsid w:val="00B44E56"/>
    <w:rsid w:val="00B46543"/>
    <w:rsid w:val="00B47D33"/>
    <w:rsid w:val="00B52BE0"/>
    <w:rsid w:val="00B54133"/>
    <w:rsid w:val="00B57E2A"/>
    <w:rsid w:val="00B701ED"/>
    <w:rsid w:val="00B73D47"/>
    <w:rsid w:val="00B751F4"/>
    <w:rsid w:val="00B8086C"/>
    <w:rsid w:val="00B840F7"/>
    <w:rsid w:val="00B861B4"/>
    <w:rsid w:val="00B86DFE"/>
    <w:rsid w:val="00B90990"/>
    <w:rsid w:val="00B922FF"/>
    <w:rsid w:val="00B9281E"/>
    <w:rsid w:val="00B93925"/>
    <w:rsid w:val="00B95187"/>
    <w:rsid w:val="00BA2D55"/>
    <w:rsid w:val="00BA71B1"/>
    <w:rsid w:val="00BB0637"/>
    <w:rsid w:val="00BB345F"/>
    <w:rsid w:val="00BB68EA"/>
    <w:rsid w:val="00BC1C27"/>
    <w:rsid w:val="00BC1F03"/>
    <w:rsid w:val="00BC6BBF"/>
    <w:rsid w:val="00BD1572"/>
    <w:rsid w:val="00BE14E3"/>
    <w:rsid w:val="00BE3774"/>
    <w:rsid w:val="00BE41E5"/>
    <w:rsid w:val="00BF4109"/>
    <w:rsid w:val="00BF4CC3"/>
    <w:rsid w:val="00C00E59"/>
    <w:rsid w:val="00C054C7"/>
    <w:rsid w:val="00C057B5"/>
    <w:rsid w:val="00C149F0"/>
    <w:rsid w:val="00C22687"/>
    <w:rsid w:val="00C25983"/>
    <w:rsid w:val="00C32E4D"/>
    <w:rsid w:val="00C333A0"/>
    <w:rsid w:val="00C36408"/>
    <w:rsid w:val="00C36A81"/>
    <w:rsid w:val="00C41974"/>
    <w:rsid w:val="00C45616"/>
    <w:rsid w:val="00C53F4A"/>
    <w:rsid w:val="00C54125"/>
    <w:rsid w:val="00C55B54"/>
    <w:rsid w:val="00C6098E"/>
    <w:rsid w:val="00C6152C"/>
    <w:rsid w:val="00C74810"/>
    <w:rsid w:val="00C81ACF"/>
    <w:rsid w:val="00C90D68"/>
    <w:rsid w:val="00C939FE"/>
    <w:rsid w:val="00CA4BDA"/>
    <w:rsid w:val="00CA7C61"/>
    <w:rsid w:val="00CB1F66"/>
    <w:rsid w:val="00CB2951"/>
    <w:rsid w:val="00CD282B"/>
    <w:rsid w:val="00CD4C35"/>
    <w:rsid w:val="00CD7369"/>
    <w:rsid w:val="00CE0B0E"/>
    <w:rsid w:val="00CE3831"/>
    <w:rsid w:val="00D00ABB"/>
    <w:rsid w:val="00D01935"/>
    <w:rsid w:val="00D02781"/>
    <w:rsid w:val="00D02EEC"/>
    <w:rsid w:val="00D03551"/>
    <w:rsid w:val="00D06A63"/>
    <w:rsid w:val="00D07E0E"/>
    <w:rsid w:val="00D11478"/>
    <w:rsid w:val="00D15ED0"/>
    <w:rsid w:val="00D21B3E"/>
    <w:rsid w:val="00D21C26"/>
    <w:rsid w:val="00D21FED"/>
    <w:rsid w:val="00D24251"/>
    <w:rsid w:val="00D343E2"/>
    <w:rsid w:val="00D361A2"/>
    <w:rsid w:val="00D44C2E"/>
    <w:rsid w:val="00D45414"/>
    <w:rsid w:val="00D54FF1"/>
    <w:rsid w:val="00D55E2C"/>
    <w:rsid w:val="00D566BD"/>
    <w:rsid w:val="00D57A4D"/>
    <w:rsid w:val="00D60AA7"/>
    <w:rsid w:val="00D62A67"/>
    <w:rsid w:val="00D6435F"/>
    <w:rsid w:val="00D75E28"/>
    <w:rsid w:val="00D772C2"/>
    <w:rsid w:val="00D8008E"/>
    <w:rsid w:val="00D82C45"/>
    <w:rsid w:val="00D82D9B"/>
    <w:rsid w:val="00D908A8"/>
    <w:rsid w:val="00D977B6"/>
    <w:rsid w:val="00DA3634"/>
    <w:rsid w:val="00DA4A31"/>
    <w:rsid w:val="00DA7B04"/>
    <w:rsid w:val="00DB36C2"/>
    <w:rsid w:val="00DB5CBD"/>
    <w:rsid w:val="00DC169B"/>
    <w:rsid w:val="00DC2AB9"/>
    <w:rsid w:val="00DC63F0"/>
    <w:rsid w:val="00DD5382"/>
    <w:rsid w:val="00DD6EE5"/>
    <w:rsid w:val="00DE2362"/>
    <w:rsid w:val="00DE386C"/>
    <w:rsid w:val="00DE4D35"/>
    <w:rsid w:val="00DE5530"/>
    <w:rsid w:val="00DF098B"/>
    <w:rsid w:val="00DF11C4"/>
    <w:rsid w:val="00DF210C"/>
    <w:rsid w:val="00DF4B6A"/>
    <w:rsid w:val="00E02C09"/>
    <w:rsid w:val="00E04D59"/>
    <w:rsid w:val="00E07DA1"/>
    <w:rsid w:val="00E123CB"/>
    <w:rsid w:val="00E20E13"/>
    <w:rsid w:val="00E21DBC"/>
    <w:rsid w:val="00E275D7"/>
    <w:rsid w:val="00E27DBE"/>
    <w:rsid w:val="00E32AB1"/>
    <w:rsid w:val="00E36C71"/>
    <w:rsid w:val="00E40404"/>
    <w:rsid w:val="00E459C6"/>
    <w:rsid w:val="00E47589"/>
    <w:rsid w:val="00E64915"/>
    <w:rsid w:val="00E661D4"/>
    <w:rsid w:val="00E70091"/>
    <w:rsid w:val="00E720F5"/>
    <w:rsid w:val="00E76D47"/>
    <w:rsid w:val="00E849F7"/>
    <w:rsid w:val="00E90302"/>
    <w:rsid w:val="00E97396"/>
    <w:rsid w:val="00E974D6"/>
    <w:rsid w:val="00EA185E"/>
    <w:rsid w:val="00EA592A"/>
    <w:rsid w:val="00EB14E4"/>
    <w:rsid w:val="00EB182B"/>
    <w:rsid w:val="00EB32A5"/>
    <w:rsid w:val="00EB34ED"/>
    <w:rsid w:val="00EB4A37"/>
    <w:rsid w:val="00EB7BE0"/>
    <w:rsid w:val="00EC315E"/>
    <w:rsid w:val="00EC58D1"/>
    <w:rsid w:val="00ED077C"/>
    <w:rsid w:val="00ED1190"/>
    <w:rsid w:val="00ED6544"/>
    <w:rsid w:val="00EE0277"/>
    <w:rsid w:val="00EE3E00"/>
    <w:rsid w:val="00EE5DD2"/>
    <w:rsid w:val="00EF111C"/>
    <w:rsid w:val="00F00A79"/>
    <w:rsid w:val="00F00E86"/>
    <w:rsid w:val="00F07C1E"/>
    <w:rsid w:val="00F105DB"/>
    <w:rsid w:val="00F132BC"/>
    <w:rsid w:val="00F13D80"/>
    <w:rsid w:val="00F16AAA"/>
    <w:rsid w:val="00F21161"/>
    <w:rsid w:val="00F218EF"/>
    <w:rsid w:val="00F21BC7"/>
    <w:rsid w:val="00F22D5C"/>
    <w:rsid w:val="00F266A2"/>
    <w:rsid w:val="00F27D13"/>
    <w:rsid w:val="00F32269"/>
    <w:rsid w:val="00F56A6F"/>
    <w:rsid w:val="00F5709C"/>
    <w:rsid w:val="00F626DA"/>
    <w:rsid w:val="00F64EF1"/>
    <w:rsid w:val="00F659F3"/>
    <w:rsid w:val="00F83589"/>
    <w:rsid w:val="00F8765F"/>
    <w:rsid w:val="00F90767"/>
    <w:rsid w:val="00F912E4"/>
    <w:rsid w:val="00F94531"/>
    <w:rsid w:val="00F9588E"/>
    <w:rsid w:val="00FA685B"/>
    <w:rsid w:val="00FB0C01"/>
    <w:rsid w:val="00FC18F2"/>
    <w:rsid w:val="00FC39E5"/>
    <w:rsid w:val="00FC3A78"/>
    <w:rsid w:val="00FD1005"/>
    <w:rsid w:val="00FD61AA"/>
    <w:rsid w:val="00FD6C75"/>
    <w:rsid w:val="00FD7649"/>
    <w:rsid w:val="00FE71B3"/>
    <w:rsid w:val="00FF42C5"/>
    <w:rsid w:val="00FF5ADE"/>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1" w:defUnhideWhenUsed="1" w:defQFormat="0" w:count="267">
    <w:lsdException w:name="Normal" w:semiHidden="0" w:uiPriority="0" w:unhideWhenUsed="0"/>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unhideWhenUsed="0"/>
    <w:lsdException w:name="List Bullet" w:unhideWhenUsed="0"/>
    <w:lsdException w:name="List Number" w:unhideWhenUsed="0"/>
    <w:lsdException w:name="Title" w:semiHidden="0" w:unhideWhenUsed="0" w:qFormat="1"/>
    <w:lsdException w:name="Default Paragraph Font" w:uiPriority="1"/>
    <w:lsdException w:name="List Continue 3" w:unhideWhenUsed="0"/>
    <w:lsdException w:name="List Continue 4" w:unhideWhenUsed="0"/>
    <w:lsdException w:name="List Continue 5" w:unhideWhenUsed="0"/>
    <w:lsdException w:name="Message Header" w:unhideWhenUsed="0"/>
    <w:lsdException w:name="Subtitle"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semiHidden/>
    <w:rsid w:val="00DE5530"/>
    <w:rPr>
      <w:sz w:val="24"/>
      <w:szCs w:val="24"/>
      <w:lang w:val="fr-FR"/>
    </w:rPr>
  </w:style>
  <w:style w:type="paragraph" w:styleId="Heading1">
    <w:name w:val="heading 1"/>
    <w:basedOn w:val="Normal"/>
    <w:next w:val="Normal"/>
    <w:link w:val="Heading1Char"/>
    <w:uiPriority w:val="98"/>
    <w:semiHidden/>
    <w:rsid w:val="00DE5530"/>
    <w:pPr>
      <w:spacing w:before="480"/>
      <w:contextualSpacing/>
      <w:outlineLvl w:val="0"/>
    </w:pPr>
    <w:rPr>
      <w:rFonts w:asciiTheme="majorHAnsi" w:eastAsiaTheme="majorEastAsia" w:hAnsiTheme="majorHAnsi" w:cstheme="majorBidi"/>
      <w:b/>
      <w:bCs/>
      <w:color w:val="333333"/>
      <w:sz w:val="28"/>
      <w:szCs w:val="28"/>
      <w:lang w:val="en-GB"/>
    </w:rPr>
  </w:style>
  <w:style w:type="paragraph" w:styleId="Heading2">
    <w:name w:val="heading 2"/>
    <w:basedOn w:val="Normal"/>
    <w:next w:val="Normal"/>
    <w:link w:val="Heading2Char"/>
    <w:uiPriority w:val="98"/>
    <w:semiHidden/>
    <w:rsid w:val="00DE5530"/>
    <w:pPr>
      <w:spacing w:before="200"/>
      <w:outlineLvl w:val="1"/>
    </w:pPr>
    <w:rPr>
      <w:rFonts w:asciiTheme="majorHAnsi" w:eastAsiaTheme="majorEastAsia" w:hAnsiTheme="majorHAnsi" w:cstheme="majorBidi"/>
      <w:b/>
      <w:bCs/>
      <w:color w:val="4D4D4D"/>
      <w:sz w:val="26"/>
      <w:szCs w:val="26"/>
      <w:lang w:val="en-GB"/>
    </w:rPr>
  </w:style>
  <w:style w:type="paragraph" w:styleId="Heading3">
    <w:name w:val="heading 3"/>
    <w:basedOn w:val="Normal"/>
    <w:next w:val="Normal"/>
    <w:link w:val="Heading3Char"/>
    <w:uiPriority w:val="98"/>
    <w:semiHidden/>
    <w:rsid w:val="00DE5530"/>
    <w:pPr>
      <w:spacing w:before="200" w:line="271" w:lineRule="auto"/>
      <w:outlineLvl w:val="2"/>
    </w:pPr>
    <w:rPr>
      <w:rFonts w:asciiTheme="majorHAnsi" w:eastAsiaTheme="majorEastAsia" w:hAnsiTheme="majorHAnsi" w:cstheme="majorBidi"/>
      <w:b/>
      <w:bCs/>
      <w:color w:val="5F5F5F"/>
      <w:sz w:val="22"/>
      <w:szCs w:val="22"/>
      <w:lang w:val="en-GB"/>
    </w:rPr>
  </w:style>
  <w:style w:type="paragraph" w:styleId="Heading4">
    <w:name w:val="heading 4"/>
    <w:basedOn w:val="Normal"/>
    <w:next w:val="Normal"/>
    <w:link w:val="Heading4Char"/>
    <w:uiPriority w:val="98"/>
    <w:semiHidden/>
    <w:rsid w:val="00DE5530"/>
    <w:pPr>
      <w:spacing w:before="200"/>
      <w:outlineLvl w:val="3"/>
    </w:pPr>
    <w:rPr>
      <w:rFonts w:asciiTheme="majorHAnsi" w:eastAsiaTheme="majorEastAsia" w:hAnsiTheme="majorHAnsi" w:cstheme="majorBidi"/>
      <w:b/>
      <w:bCs/>
      <w:i/>
      <w:iCs/>
      <w:color w:val="777777"/>
      <w:sz w:val="22"/>
      <w:szCs w:val="22"/>
      <w:lang w:val="en-GB"/>
    </w:rPr>
  </w:style>
  <w:style w:type="paragraph" w:styleId="Heading5">
    <w:name w:val="heading 5"/>
    <w:basedOn w:val="Normal"/>
    <w:next w:val="Normal"/>
    <w:link w:val="Heading5Char"/>
    <w:uiPriority w:val="98"/>
    <w:semiHidden/>
    <w:qFormat/>
    <w:rsid w:val="00DE5530"/>
    <w:pPr>
      <w:spacing w:before="200"/>
      <w:outlineLvl w:val="4"/>
    </w:pPr>
    <w:rPr>
      <w:rFonts w:asciiTheme="majorHAnsi" w:eastAsiaTheme="majorEastAsia" w:hAnsiTheme="majorHAnsi" w:cstheme="majorBidi"/>
      <w:b/>
      <w:bCs/>
      <w:color w:val="808080"/>
      <w:sz w:val="22"/>
      <w:szCs w:val="22"/>
      <w:lang w:val="en-GB"/>
    </w:rPr>
  </w:style>
  <w:style w:type="paragraph" w:styleId="Heading6">
    <w:name w:val="heading 6"/>
    <w:basedOn w:val="Normal"/>
    <w:next w:val="Normal"/>
    <w:link w:val="Heading6Char"/>
    <w:uiPriority w:val="98"/>
    <w:semiHidden/>
    <w:rsid w:val="00DE5530"/>
    <w:pPr>
      <w:spacing w:line="271" w:lineRule="auto"/>
      <w:outlineLvl w:val="5"/>
    </w:pPr>
    <w:rPr>
      <w:rFonts w:asciiTheme="majorHAnsi" w:eastAsiaTheme="majorEastAsia" w:hAnsiTheme="majorHAnsi" w:cstheme="majorBidi"/>
      <w:b/>
      <w:bCs/>
      <w:i/>
      <w:iCs/>
      <w:color w:val="7F7F7F" w:themeColor="text1" w:themeTint="80"/>
      <w:sz w:val="22"/>
      <w:szCs w:val="22"/>
      <w:lang w:val="en-GB" w:bidi="en-US"/>
    </w:rPr>
  </w:style>
  <w:style w:type="paragraph" w:styleId="Heading7">
    <w:name w:val="heading 7"/>
    <w:basedOn w:val="Normal"/>
    <w:next w:val="Normal"/>
    <w:link w:val="Heading7Char"/>
    <w:uiPriority w:val="98"/>
    <w:semiHidden/>
    <w:qFormat/>
    <w:rsid w:val="00DE5530"/>
    <w:pPr>
      <w:outlineLvl w:val="6"/>
    </w:pPr>
    <w:rPr>
      <w:rFonts w:asciiTheme="majorHAnsi" w:eastAsiaTheme="majorEastAsia" w:hAnsiTheme="majorHAnsi" w:cstheme="majorBidi"/>
      <w:i/>
      <w:iCs/>
      <w:sz w:val="22"/>
      <w:szCs w:val="22"/>
      <w:lang w:val="en-GB" w:bidi="en-US"/>
    </w:rPr>
  </w:style>
  <w:style w:type="paragraph" w:styleId="Heading8">
    <w:name w:val="heading 8"/>
    <w:basedOn w:val="Normal"/>
    <w:next w:val="Normal"/>
    <w:link w:val="Heading8Char"/>
    <w:uiPriority w:val="98"/>
    <w:semiHidden/>
    <w:qFormat/>
    <w:rsid w:val="00DE5530"/>
    <w:pPr>
      <w:outlineLvl w:val="7"/>
    </w:pPr>
    <w:rPr>
      <w:rFonts w:asciiTheme="majorHAnsi" w:eastAsiaTheme="majorEastAsia" w:hAnsiTheme="majorHAnsi" w:cstheme="majorBidi"/>
      <w:sz w:val="20"/>
      <w:szCs w:val="20"/>
      <w:lang w:val="en-GB" w:bidi="en-US"/>
    </w:rPr>
  </w:style>
  <w:style w:type="paragraph" w:styleId="Heading9">
    <w:name w:val="heading 9"/>
    <w:basedOn w:val="Normal"/>
    <w:next w:val="Normal"/>
    <w:link w:val="Heading9Char"/>
    <w:uiPriority w:val="98"/>
    <w:semiHidden/>
    <w:qFormat/>
    <w:rsid w:val="00DE5530"/>
    <w:pPr>
      <w:outlineLvl w:val="8"/>
    </w:pPr>
    <w:rPr>
      <w:rFonts w:asciiTheme="majorHAnsi" w:eastAsiaTheme="majorEastAsia" w:hAnsiTheme="majorHAnsi" w:cstheme="majorBidi"/>
      <w:i/>
      <w:iCs/>
      <w:spacing w:val="5"/>
      <w:sz w:val="20"/>
      <w:szCs w:val="20"/>
      <w:lang w:val="en-GB"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DE5530"/>
    <w:rPr>
      <w:rFonts w:ascii="Tahoma" w:hAnsi="Tahoma" w:cs="Tahoma"/>
      <w:sz w:val="16"/>
      <w:szCs w:val="16"/>
    </w:rPr>
  </w:style>
  <w:style w:type="character" w:customStyle="1" w:styleId="BalloonTextChar">
    <w:name w:val="Balloon Text Char"/>
    <w:basedOn w:val="DefaultParagraphFont"/>
    <w:link w:val="BalloonText"/>
    <w:uiPriority w:val="98"/>
    <w:semiHidden/>
    <w:rsid w:val="00DE5530"/>
    <w:rPr>
      <w:rFonts w:ascii="Tahoma" w:hAnsi="Tahoma" w:cs="Tahoma"/>
      <w:sz w:val="16"/>
      <w:szCs w:val="16"/>
      <w:lang w:val="fr-FR"/>
    </w:rPr>
  </w:style>
  <w:style w:type="character" w:styleId="BookTitle">
    <w:name w:val="Book Title"/>
    <w:uiPriority w:val="98"/>
    <w:semiHidden/>
    <w:qFormat/>
    <w:rsid w:val="00DE5530"/>
    <w:rPr>
      <w:i/>
      <w:iCs/>
      <w:smallCaps/>
      <w:spacing w:val="5"/>
    </w:rPr>
  </w:style>
  <w:style w:type="paragraph" w:customStyle="1" w:styleId="JuHeader">
    <w:name w:val="Ju_Header"/>
    <w:aliases w:val="_Header"/>
    <w:basedOn w:val="Header0"/>
    <w:uiPriority w:val="29"/>
    <w:qFormat/>
    <w:rsid w:val="00DE5530"/>
    <w:pPr>
      <w:tabs>
        <w:tab w:val="clear" w:pos="4536"/>
        <w:tab w:val="clear" w:pos="9072"/>
      </w:tabs>
      <w:jc w:val="center"/>
    </w:pPr>
    <w:rPr>
      <w:sz w:val="18"/>
    </w:rPr>
  </w:style>
  <w:style w:type="paragraph" w:customStyle="1" w:styleId="DecList">
    <w:name w:val="Dec_List"/>
    <w:aliases w:val="_List"/>
    <w:basedOn w:val="JuList"/>
    <w:uiPriority w:val="22"/>
    <w:rsid w:val="00DE5530"/>
    <w:pPr>
      <w:numPr>
        <w:numId w:val="0"/>
      </w:numPr>
      <w:ind w:left="284"/>
    </w:pPr>
  </w:style>
  <w:style w:type="character" w:styleId="Strong">
    <w:name w:val="Strong"/>
    <w:uiPriority w:val="98"/>
    <w:semiHidden/>
    <w:qFormat/>
    <w:rsid w:val="00DE5530"/>
    <w:rPr>
      <w:b/>
      <w:bCs/>
    </w:rPr>
  </w:style>
  <w:style w:type="paragraph" w:styleId="NoSpacing">
    <w:name w:val="No Spacing"/>
    <w:basedOn w:val="Normal"/>
    <w:link w:val="NoSpacingChar"/>
    <w:uiPriority w:val="98"/>
    <w:semiHidden/>
    <w:qFormat/>
    <w:rsid w:val="00DE5530"/>
  </w:style>
  <w:style w:type="character" w:customStyle="1" w:styleId="NoSpacingChar">
    <w:name w:val="No Spacing Char"/>
    <w:basedOn w:val="DefaultParagraphFont"/>
    <w:link w:val="NoSpacing"/>
    <w:uiPriority w:val="98"/>
    <w:semiHidden/>
    <w:rsid w:val="00DE5530"/>
    <w:rPr>
      <w:sz w:val="24"/>
      <w:szCs w:val="24"/>
      <w:lang w:val="fr-FR"/>
    </w:rPr>
  </w:style>
  <w:style w:type="paragraph" w:customStyle="1" w:styleId="JuQuot">
    <w:name w:val="Ju_Quot"/>
    <w:aliases w:val="_Quote"/>
    <w:basedOn w:val="NormalJustified"/>
    <w:uiPriority w:val="20"/>
    <w:qFormat/>
    <w:rsid w:val="00DE5530"/>
    <w:pPr>
      <w:spacing w:before="120" w:after="120"/>
      <w:ind w:left="425" w:firstLine="142"/>
    </w:pPr>
    <w:rPr>
      <w:sz w:val="20"/>
    </w:rPr>
  </w:style>
  <w:style w:type="paragraph" w:customStyle="1" w:styleId="JuList">
    <w:name w:val="Ju_List"/>
    <w:aliases w:val="_List_1"/>
    <w:basedOn w:val="NormalJustified"/>
    <w:uiPriority w:val="23"/>
    <w:qFormat/>
    <w:rsid w:val="00DE5530"/>
    <w:pPr>
      <w:numPr>
        <w:numId w:val="8"/>
      </w:numPr>
      <w:spacing w:before="280" w:after="60"/>
    </w:pPr>
  </w:style>
  <w:style w:type="paragraph" w:customStyle="1" w:styleId="JuLista">
    <w:name w:val="Ju_List_a"/>
    <w:aliases w:val="_List_2"/>
    <w:basedOn w:val="NormalJustified"/>
    <w:uiPriority w:val="23"/>
    <w:rsid w:val="00DE5530"/>
    <w:pPr>
      <w:numPr>
        <w:ilvl w:val="1"/>
        <w:numId w:val="8"/>
      </w:numPr>
    </w:pPr>
  </w:style>
  <w:style w:type="paragraph" w:customStyle="1" w:styleId="JuListi">
    <w:name w:val="Ju_List_i"/>
    <w:aliases w:val="_List_3"/>
    <w:basedOn w:val="NormalJustified"/>
    <w:uiPriority w:val="23"/>
    <w:rsid w:val="00DE5530"/>
    <w:pPr>
      <w:numPr>
        <w:ilvl w:val="2"/>
        <w:numId w:val="8"/>
      </w:numPr>
    </w:pPr>
  </w:style>
  <w:style w:type="paragraph" w:customStyle="1" w:styleId="DecHTitle">
    <w:name w:val="Dec_H_Title"/>
    <w:aliases w:val="_Title_1"/>
    <w:basedOn w:val="JuPara"/>
    <w:next w:val="JuPara"/>
    <w:uiPriority w:val="38"/>
    <w:qFormat/>
    <w:rsid w:val="00DE5530"/>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DE5530"/>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DE5530"/>
    <w:pPr>
      <w:keepNext/>
      <w:keepLines/>
      <w:tabs>
        <w:tab w:val="right" w:pos="7938"/>
      </w:tabs>
      <w:ind w:firstLine="0"/>
      <w:jc w:val="center"/>
    </w:pPr>
    <w:rPr>
      <w:i/>
    </w:rPr>
  </w:style>
  <w:style w:type="numbering" w:customStyle="1" w:styleId="ECHRA1StyleBulletedSquare">
    <w:name w:val="ECHR_A1_Style_Bulleted_Square"/>
    <w:basedOn w:val="NoList"/>
    <w:rsid w:val="00DE5530"/>
    <w:pPr>
      <w:numPr>
        <w:numId w:val="7"/>
      </w:numPr>
    </w:pPr>
  </w:style>
  <w:style w:type="paragraph" w:customStyle="1" w:styleId="JuHHead">
    <w:name w:val="Ju_H_Head"/>
    <w:aliases w:val="_Head_1"/>
    <w:basedOn w:val="Heading1"/>
    <w:next w:val="JuPara"/>
    <w:uiPriority w:val="17"/>
    <w:qFormat/>
    <w:rsid w:val="00DE5530"/>
    <w:pPr>
      <w:keepNext/>
      <w:keepLines/>
      <w:numPr>
        <w:numId w:val="3"/>
      </w:numPr>
      <w:spacing w:before="100" w:beforeAutospacing="1" w:after="240"/>
      <w:contextualSpacing w:val="0"/>
    </w:pPr>
    <w:rPr>
      <w:b w:val="0"/>
      <w:caps/>
      <w:color w:val="auto"/>
    </w:rPr>
  </w:style>
  <w:style w:type="numbering" w:customStyle="1" w:styleId="ECHRA1StyleList">
    <w:name w:val="ECHR_A1_Style_List"/>
    <w:basedOn w:val="NoList"/>
    <w:uiPriority w:val="99"/>
    <w:rsid w:val="00DE5530"/>
    <w:pPr>
      <w:numPr>
        <w:numId w:val="8"/>
      </w:numPr>
    </w:pPr>
  </w:style>
  <w:style w:type="paragraph" w:customStyle="1" w:styleId="JuSigned">
    <w:name w:val="Ju_Signed"/>
    <w:aliases w:val="_Signature"/>
    <w:basedOn w:val="Normal"/>
    <w:next w:val="JuPara"/>
    <w:uiPriority w:val="31"/>
    <w:qFormat/>
    <w:rsid w:val="00DE5530"/>
    <w:pPr>
      <w:tabs>
        <w:tab w:val="center" w:pos="851"/>
        <w:tab w:val="center" w:pos="6407"/>
      </w:tabs>
      <w:spacing w:before="720"/>
    </w:pPr>
  </w:style>
  <w:style w:type="paragraph" w:styleId="Title">
    <w:name w:val="Title"/>
    <w:basedOn w:val="Normal"/>
    <w:next w:val="Normal"/>
    <w:link w:val="TitleChar"/>
    <w:uiPriority w:val="98"/>
    <w:semiHidden/>
    <w:qFormat/>
    <w:rsid w:val="00DE5530"/>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DE5530"/>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DE5530"/>
    <w:pPr>
      <w:numPr>
        <w:numId w:val="9"/>
      </w:numPr>
    </w:pPr>
  </w:style>
  <w:style w:type="table" w:customStyle="1" w:styleId="ECHRTable2019">
    <w:name w:val="ECHR_Table_2019"/>
    <w:basedOn w:val="TableNormal"/>
    <w:uiPriority w:val="99"/>
    <w:rsid w:val="00DE5530"/>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DE5530"/>
    <w:rPr>
      <w:sz w:val="8"/>
    </w:rPr>
  </w:style>
  <w:style w:type="paragraph" w:customStyle="1" w:styleId="JuCourt">
    <w:name w:val="Ju_Court"/>
    <w:aliases w:val="_Court_Names"/>
    <w:basedOn w:val="Normal"/>
    <w:next w:val="Normal"/>
    <w:uiPriority w:val="32"/>
    <w:qFormat/>
    <w:rsid w:val="00DE5530"/>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1"/>
    <w:qFormat/>
    <w:rsid w:val="00DE5530"/>
    <w:pPr>
      <w:tabs>
        <w:tab w:val="center" w:pos="6407"/>
      </w:tabs>
      <w:spacing w:before="720"/>
      <w:jc w:val="right"/>
    </w:pPr>
  </w:style>
  <w:style w:type="paragraph" w:customStyle="1" w:styleId="JuHIRoman">
    <w:name w:val="Ju_H_I_Roman"/>
    <w:aliases w:val="_Head_2"/>
    <w:basedOn w:val="Heading2"/>
    <w:next w:val="JuPara"/>
    <w:uiPriority w:val="17"/>
    <w:qFormat/>
    <w:rsid w:val="00DE5530"/>
    <w:pPr>
      <w:keepNext/>
      <w:keepLines/>
      <w:numPr>
        <w:ilvl w:val="1"/>
        <w:numId w:val="3"/>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DE5530"/>
    <w:pPr>
      <w:keepNext/>
      <w:keepLines/>
      <w:numPr>
        <w:ilvl w:val="2"/>
        <w:numId w:val="3"/>
      </w:numPr>
      <w:spacing w:before="100" w:beforeAutospacing="1" w:after="240" w:line="240" w:lineRule="auto"/>
    </w:pPr>
    <w:rPr>
      <w:color w:val="auto"/>
      <w:sz w:val="24"/>
    </w:rPr>
  </w:style>
  <w:style w:type="paragraph" w:customStyle="1" w:styleId="JuH1">
    <w:name w:val="Ju_H_1."/>
    <w:aliases w:val="_Head_4"/>
    <w:basedOn w:val="Heading4"/>
    <w:next w:val="JuPara"/>
    <w:uiPriority w:val="17"/>
    <w:rsid w:val="00DE5530"/>
    <w:pPr>
      <w:keepNext/>
      <w:keepLines/>
      <w:numPr>
        <w:ilvl w:val="3"/>
        <w:numId w:val="3"/>
      </w:numPr>
      <w:spacing w:before="100" w:beforeAutospacing="1" w:after="120"/>
    </w:pPr>
    <w:rPr>
      <w:b w:val="0"/>
      <w:color w:val="auto"/>
      <w:sz w:val="24"/>
    </w:rPr>
  </w:style>
  <w:style w:type="paragraph" w:styleId="Header0">
    <w:name w:val="header"/>
    <w:basedOn w:val="Normal"/>
    <w:link w:val="HeaderChar"/>
    <w:uiPriority w:val="98"/>
    <w:semiHidden/>
    <w:rsid w:val="00DE5530"/>
    <w:pPr>
      <w:tabs>
        <w:tab w:val="center" w:pos="4536"/>
        <w:tab w:val="right" w:pos="9072"/>
      </w:tabs>
    </w:pPr>
  </w:style>
  <w:style w:type="character" w:customStyle="1" w:styleId="HeaderChar">
    <w:name w:val="Header Char"/>
    <w:basedOn w:val="DefaultParagraphFont"/>
    <w:link w:val="Header0"/>
    <w:uiPriority w:val="98"/>
    <w:semiHidden/>
    <w:rsid w:val="00DE5530"/>
    <w:rPr>
      <w:sz w:val="24"/>
      <w:szCs w:val="24"/>
      <w:lang w:val="fr-FR"/>
    </w:rPr>
  </w:style>
  <w:style w:type="character" w:customStyle="1" w:styleId="Heading1Char">
    <w:name w:val="Heading 1 Char"/>
    <w:basedOn w:val="DefaultParagraphFont"/>
    <w:link w:val="Heading1"/>
    <w:uiPriority w:val="98"/>
    <w:semiHidden/>
    <w:rsid w:val="00DE5530"/>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DE5530"/>
    <w:pPr>
      <w:keepNext/>
      <w:keepLines/>
      <w:numPr>
        <w:ilvl w:val="4"/>
        <w:numId w:val="3"/>
      </w:numPr>
      <w:spacing w:before="100" w:beforeAutospacing="1" w:after="120"/>
    </w:pPr>
    <w:rPr>
      <w:color w:val="auto"/>
      <w:sz w:val="20"/>
    </w:rPr>
  </w:style>
  <w:style w:type="paragraph" w:customStyle="1" w:styleId="JuHi">
    <w:name w:val="Ju_H_i"/>
    <w:aliases w:val="_Head_6"/>
    <w:basedOn w:val="Heading6"/>
    <w:next w:val="JuPara"/>
    <w:uiPriority w:val="17"/>
    <w:rsid w:val="00DE5530"/>
    <w:pPr>
      <w:keepNext/>
      <w:keepLines/>
      <w:numPr>
        <w:ilvl w:val="5"/>
        <w:numId w:val="3"/>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DE5530"/>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DE5530"/>
    <w:pPr>
      <w:keepNext/>
      <w:keepLines/>
      <w:numPr>
        <w:ilvl w:val="6"/>
        <w:numId w:val="3"/>
      </w:numPr>
      <w:spacing w:before="100" w:beforeAutospacing="1" w:after="120"/>
    </w:pPr>
    <w:rPr>
      <w:i w:val="0"/>
      <w:sz w:val="20"/>
    </w:rPr>
  </w:style>
  <w:style w:type="paragraph" w:customStyle="1" w:styleId="JuH">
    <w:name w:val="Ju_H_–"/>
    <w:aliases w:val="_Head_8"/>
    <w:basedOn w:val="Heading8"/>
    <w:next w:val="JuPara"/>
    <w:uiPriority w:val="17"/>
    <w:rsid w:val="00DE5530"/>
    <w:pPr>
      <w:keepNext/>
      <w:keepLines/>
      <w:numPr>
        <w:ilvl w:val="7"/>
        <w:numId w:val="3"/>
      </w:numPr>
      <w:spacing w:before="100" w:beforeAutospacing="1" w:after="120"/>
    </w:pPr>
    <w:rPr>
      <w:i/>
    </w:rPr>
  </w:style>
  <w:style w:type="character" w:customStyle="1" w:styleId="Heading3Char">
    <w:name w:val="Heading 3 Char"/>
    <w:basedOn w:val="DefaultParagraphFont"/>
    <w:link w:val="Heading3"/>
    <w:uiPriority w:val="98"/>
    <w:semiHidden/>
    <w:rsid w:val="00DE5530"/>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DE5530"/>
    <w:pPr>
      <w:keepNext/>
      <w:keepLines/>
      <w:spacing w:before="240" w:after="240"/>
      <w:ind w:firstLine="284"/>
    </w:pPr>
  </w:style>
  <w:style w:type="paragraph" w:customStyle="1" w:styleId="JuJudges">
    <w:name w:val="Ju_Judges"/>
    <w:aliases w:val="_Judges"/>
    <w:basedOn w:val="Normal"/>
    <w:link w:val="JuJudgesChar"/>
    <w:uiPriority w:val="32"/>
    <w:qFormat/>
    <w:rsid w:val="00DE5530"/>
    <w:pPr>
      <w:tabs>
        <w:tab w:val="left" w:pos="567"/>
        <w:tab w:val="left" w:pos="1134"/>
      </w:tabs>
    </w:pPr>
  </w:style>
  <w:style w:type="character" w:customStyle="1" w:styleId="Heading4Char">
    <w:name w:val="Heading 4 Char"/>
    <w:basedOn w:val="DefaultParagraphFont"/>
    <w:link w:val="Heading4"/>
    <w:uiPriority w:val="98"/>
    <w:semiHidden/>
    <w:rsid w:val="00DE5530"/>
    <w:rPr>
      <w:rFonts w:asciiTheme="majorHAnsi" w:eastAsiaTheme="majorEastAsia" w:hAnsiTheme="majorHAnsi" w:cstheme="majorBidi"/>
      <w:b/>
      <w:bCs/>
      <w:i/>
      <w:iCs/>
      <w:color w:val="777777"/>
      <w:lang w:val="en-GB"/>
    </w:rPr>
  </w:style>
  <w:style w:type="character" w:customStyle="1" w:styleId="JuITMark">
    <w:name w:val="Ju_ITMark"/>
    <w:aliases w:val="_ITMark"/>
    <w:basedOn w:val="DefaultParagraphFont"/>
    <w:uiPriority w:val="43"/>
    <w:qFormat/>
    <w:rsid w:val="00DE5530"/>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8"/>
    <w:semiHidden/>
    <w:rsid w:val="00DE5530"/>
    <w:rPr>
      <w:rFonts w:asciiTheme="majorHAnsi" w:eastAsiaTheme="majorEastAsia" w:hAnsiTheme="majorHAnsi" w:cstheme="majorBidi"/>
      <w:b/>
      <w:bCs/>
      <w:color w:val="808080"/>
      <w:lang w:val="en-GB"/>
    </w:rPr>
  </w:style>
  <w:style w:type="character" w:customStyle="1" w:styleId="JUNAMES">
    <w:name w:val="JU_NAMES"/>
    <w:aliases w:val="_Ju_Names"/>
    <w:uiPriority w:val="33"/>
    <w:qFormat/>
    <w:rsid w:val="00DE5530"/>
    <w:rPr>
      <w:caps w:val="0"/>
      <w:smallCaps/>
    </w:rPr>
  </w:style>
  <w:style w:type="paragraph" w:customStyle="1" w:styleId="NormalJustified">
    <w:name w:val="Normal_Justified"/>
    <w:basedOn w:val="Normal"/>
    <w:semiHidden/>
    <w:rsid w:val="00DE5530"/>
    <w:pPr>
      <w:jc w:val="both"/>
    </w:pPr>
  </w:style>
  <w:style w:type="character" w:styleId="SubtleEmphasis">
    <w:name w:val="Subtle Emphasis"/>
    <w:uiPriority w:val="98"/>
    <w:semiHidden/>
    <w:qFormat/>
    <w:rsid w:val="00DE5530"/>
    <w:rPr>
      <w:i/>
      <w:iCs/>
    </w:rPr>
  </w:style>
  <w:style w:type="table" w:customStyle="1" w:styleId="ECHRTable">
    <w:name w:val="ECHR_Table"/>
    <w:basedOn w:val="TableNormal"/>
    <w:rsid w:val="00DE5530"/>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DE5530"/>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DE5530"/>
    <w:rPr>
      <w:b/>
      <w:bCs/>
      <w:i/>
      <w:iCs/>
      <w:spacing w:val="10"/>
      <w:bdr w:val="none" w:sz="0" w:space="0" w:color="auto"/>
      <w:shd w:val="clear" w:color="auto" w:fill="auto"/>
    </w:rPr>
  </w:style>
  <w:style w:type="paragraph" w:styleId="Footer1">
    <w:name w:val="footer"/>
    <w:basedOn w:val="Normal"/>
    <w:link w:val="FooterChar"/>
    <w:uiPriority w:val="98"/>
    <w:semiHidden/>
    <w:rsid w:val="00DE5530"/>
    <w:pPr>
      <w:tabs>
        <w:tab w:val="center" w:pos="3686"/>
        <w:tab w:val="right" w:pos="7371"/>
      </w:tabs>
    </w:pPr>
  </w:style>
  <w:style w:type="character" w:customStyle="1" w:styleId="FooterChar">
    <w:name w:val="Footer Char"/>
    <w:basedOn w:val="DefaultParagraphFont"/>
    <w:link w:val="Footer1"/>
    <w:uiPriority w:val="98"/>
    <w:semiHidden/>
    <w:rsid w:val="00DE5530"/>
    <w:rPr>
      <w:sz w:val="24"/>
      <w:szCs w:val="24"/>
      <w:lang w:val="fr-FR"/>
    </w:rPr>
  </w:style>
  <w:style w:type="character" w:styleId="FootnoteReference">
    <w:name w:val="footnote reference"/>
    <w:basedOn w:val="DefaultParagraphFont"/>
    <w:uiPriority w:val="98"/>
    <w:semiHidden/>
    <w:rsid w:val="00DE5530"/>
    <w:rPr>
      <w:vertAlign w:val="superscript"/>
    </w:rPr>
  </w:style>
  <w:style w:type="paragraph" w:styleId="FootnoteText">
    <w:name w:val="footnote text"/>
    <w:basedOn w:val="Normal"/>
    <w:link w:val="FootnoteTextChar"/>
    <w:uiPriority w:val="98"/>
    <w:semiHidden/>
    <w:rsid w:val="00DE5530"/>
    <w:rPr>
      <w:sz w:val="20"/>
      <w:szCs w:val="20"/>
    </w:rPr>
  </w:style>
  <w:style w:type="character" w:customStyle="1" w:styleId="FootnoteTextChar">
    <w:name w:val="Footnote Text Char"/>
    <w:basedOn w:val="DefaultParagraphFont"/>
    <w:link w:val="FootnoteText"/>
    <w:uiPriority w:val="98"/>
    <w:semiHidden/>
    <w:rsid w:val="00DE5530"/>
    <w:rPr>
      <w:sz w:val="20"/>
      <w:szCs w:val="20"/>
      <w:lang w:val="fr-FR"/>
    </w:rPr>
  </w:style>
  <w:style w:type="character" w:customStyle="1" w:styleId="Heading6Char">
    <w:name w:val="Heading 6 Char"/>
    <w:basedOn w:val="DefaultParagraphFont"/>
    <w:link w:val="Heading6"/>
    <w:uiPriority w:val="98"/>
    <w:semiHidden/>
    <w:rsid w:val="00DE5530"/>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DE5530"/>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DE5530"/>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DE5530"/>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DE5530"/>
    <w:rPr>
      <w:color w:val="0072BC" w:themeColor="hyperlink"/>
      <w:u w:val="single"/>
    </w:rPr>
  </w:style>
  <w:style w:type="character" w:styleId="IntenseEmphasis">
    <w:name w:val="Intense Emphasis"/>
    <w:uiPriority w:val="98"/>
    <w:semiHidden/>
    <w:qFormat/>
    <w:rsid w:val="00DE5530"/>
    <w:rPr>
      <w:b/>
      <w:bCs/>
    </w:rPr>
  </w:style>
  <w:style w:type="paragraph" w:styleId="IntenseQuote">
    <w:name w:val="Intense Quote"/>
    <w:basedOn w:val="Normal"/>
    <w:next w:val="Normal"/>
    <w:link w:val="IntenseQuoteChar"/>
    <w:uiPriority w:val="98"/>
    <w:semiHidden/>
    <w:qFormat/>
    <w:rsid w:val="00DE5530"/>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DE5530"/>
    <w:rPr>
      <w:b/>
      <w:bCs/>
      <w:i/>
      <w:iCs/>
      <w:sz w:val="24"/>
      <w:szCs w:val="24"/>
      <w:lang w:val="fr-FR" w:bidi="en-US"/>
    </w:rPr>
  </w:style>
  <w:style w:type="character" w:styleId="IntenseReference">
    <w:name w:val="Intense Reference"/>
    <w:uiPriority w:val="98"/>
    <w:semiHidden/>
    <w:qFormat/>
    <w:rsid w:val="00DE5530"/>
    <w:rPr>
      <w:smallCaps/>
      <w:spacing w:val="5"/>
      <w:u w:val="single"/>
    </w:rPr>
  </w:style>
  <w:style w:type="paragraph" w:styleId="ListParagraph">
    <w:name w:val="List Paragraph"/>
    <w:basedOn w:val="Normal"/>
    <w:uiPriority w:val="98"/>
    <w:semiHidden/>
    <w:qFormat/>
    <w:rsid w:val="00DE5530"/>
    <w:pPr>
      <w:ind w:left="720"/>
      <w:contextualSpacing/>
    </w:pPr>
  </w:style>
  <w:style w:type="table" w:customStyle="1" w:styleId="LtrTableAddress">
    <w:name w:val="Ltr_Table_Address"/>
    <w:aliases w:val="ECHR_Ltr_Table_Address"/>
    <w:basedOn w:val="TableNormal"/>
    <w:uiPriority w:val="99"/>
    <w:rsid w:val="00DE5530"/>
    <w:rPr>
      <w:sz w:val="24"/>
      <w:szCs w:val="24"/>
    </w:rPr>
    <w:tblPr>
      <w:tblInd w:w="5103" w:type="dxa"/>
    </w:tblPr>
  </w:style>
  <w:style w:type="paragraph" w:styleId="Quote0">
    <w:name w:val="Quote"/>
    <w:basedOn w:val="Normal"/>
    <w:next w:val="Normal"/>
    <w:link w:val="QuoteChar"/>
    <w:uiPriority w:val="98"/>
    <w:semiHidden/>
    <w:qFormat/>
    <w:rsid w:val="00DE5530"/>
    <w:pPr>
      <w:spacing w:before="200"/>
      <w:ind w:left="360" w:right="360"/>
    </w:pPr>
    <w:rPr>
      <w:i/>
      <w:iCs/>
      <w:lang w:bidi="en-US"/>
    </w:rPr>
  </w:style>
  <w:style w:type="character" w:customStyle="1" w:styleId="QuoteChar">
    <w:name w:val="Quote Char"/>
    <w:basedOn w:val="DefaultParagraphFont"/>
    <w:link w:val="Quote0"/>
    <w:uiPriority w:val="98"/>
    <w:semiHidden/>
    <w:rsid w:val="00DE5530"/>
    <w:rPr>
      <w:i/>
      <w:iCs/>
      <w:sz w:val="24"/>
      <w:szCs w:val="24"/>
      <w:lang w:val="fr-FR" w:bidi="en-US"/>
    </w:rPr>
  </w:style>
  <w:style w:type="character" w:styleId="SubtleReference">
    <w:name w:val="Subtle Reference"/>
    <w:uiPriority w:val="98"/>
    <w:semiHidden/>
    <w:qFormat/>
    <w:rsid w:val="00DE5530"/>
    <w:rPr>
      <w:smallCaps/>
    </w:rPr>
  </w:style>
  <w:style w:type="table" w:styleId="TableGrid">
    <w:name w:val="Table Grid"/>
    <w:basedOn w:val="TableNormal"/>
    <w:uiPriority w:val="59"/>
    <w:semiHidden/>
    <w:rsid w:val="00DE5530"/>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DE5530"/>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DE5530"/>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DE5530"/>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DE5530"/>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DE5530"/>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DE5530"/>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DE5530"/>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DE5530"/>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DE5530"/>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DE5530"/>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DE5530"/>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DE5530"/>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DE5530"/>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DE5530"/>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DE5530"/>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DE5530"/>
    <w:pPr>
      <w:numPr>
        <w:numId w:val="4"/>
      </w:numPr>
    </w:pPr>
  </w:style>
  <w:style w:type="paragraph" w:customStyle="1" w:styleId="JuPara">
    <w:name w:val="Ju_Para"/>
    <w:aliases w:val="_Para"/>
    <w:basedOn w:val="NormalJustified"/>
    <w:link w:val="JuParaChar"/>
    <w:uiPriority w:val="4"/>
    <w:qFormat/>
    <w:rsid w:val="00DE5530"/>
    <w:pPr>
      <w:ind w:firstLine="284"/>
    </w:pPr>
  </w:style>
  <w:style w:type="numbering" w:styleId="1ai">
    <w:name w:val="Outline List 1"/>
    <w:basedOn w:val="NoList"/>
    <w:uiPriority w:val="99"/>
    <w:semiHidden/>
    <w:unhideWhenUsed/>
    <w:rsid w:val="00DE5530"/>
    <w:pPr>
      <w:numPr>
        <w:numId w:val="5"/>
      </w:numPr>
    </w:pPr>
  </w:style>
  <w:style w:type="table" w:customStyle="1" w:styleId="ECHRTableSimpleBox">
    <w:name w:val="ECHR_Table_Simple_Box"/>
    <w:basedOn w:val="TableNormal"/>
    <w:uiPriority w:val="99"/>
    <w:rsid w:val="00DE5530"/>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DE5530"/>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DE5530"/>
    <w:pPr>
      <w:numPr>
        <w:numId w:val="6"/>
      </w:numPr>
    </w:pPr>
  </w:style>
  <w:style w:type="table" w:customStyle="1" w:styleId="ECHRTableForInternalUse">
    <w:name w:val="ECHR_Table_For_Internal_Use"/>
    <w:basedOn w:val="TableNormal"/>
    <w:uiPriority w:val="99"/>
    <w:rsid w:val="00DE5530"/>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DE5530"/>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DE5530"/>
  </w:style>
  <w:style w:type="paragraph" w:styleId="BlockText">
    <w:name w:val="Block Text"/>
    <w:basedOn w:val="Normal"/>
    <w:uiPriority w:val="98"/>
    <w:semiHidden/>
    <w:rsid w:val="00DE5530"/>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DE5530"/>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DE5530"/>
    <w:pPr>
      <w:spacing w:after="120"/>
    </w:pPr>
  </w:style>
  <w:style w:type="character" w:customStyle="1" w:styleId="BodyTextChar">
    <w:name w:val="Body Text Char"/>
    <w:basedOn w:val="DefaultParagraphFont"/>
    <w:link w:val="BodyText"/>
    <w:uiPriority w:val="98"/>
    <w:semiHidden/>
    <w:rsid w:val="00DE5530"/>
    <w:rPr>
      <w:sz w:val="24"/>
      <w:szCs w:val="24"/>
      <w:lang w:val="fr-FR"/>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DE5530"/>
    <w:pPr>
      <w:spacing w:after="120" w:line="480" w:lineRule="auto"/>
    </w:pPr>
  </w:style>
  <w:style w:type="table" w:customStyle="1" w:styleId="ECHRHeaderTableReduced">
    <w:name w:val="ECHR_Header_Table_Reduced"/>
    <w:basedOn w:val="TableNormal"/>
    <w:uiPriority w:val="99"/>
    <w:rsid w:val="00DE5530"/>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DE5530"/>
    <w:pPr>
      <w:ind w:firstLine="284"/>
    </w:pPr>
    <w:rPr>
      <w:b/>
    </w:rPr>
  </w:style>
  <w:style w:type="character" w:styleId="PageNumber">
    <w:name w:val="page number"/>
    <w:uiPriority w:val="98"/>
    <w:semiHidden/>
    <w:rsid w:val="00DE5530"/>
    <w:rPr>
      <w:sz w:val="18"/>
    </w:rPr>
  </w:style>
  <w:style w:type="paragraph" w:styleId="ListBullet2">
    <w:name w:val="List Bullet 2"/>
    <w:basedOn w:val="Normal"/>
    <w:uiPriority w:val="98"/>
    <w:semiHidden/>
    <w:rsid w:val="00DE5530"/>
    <w:pPr>
      <w:numPr>
        <w:numId w:val="11"/>
      </w:numPr>
      <w:contextualSpacing/>
    </w:pPr>
  </w:style>
  <w:style w:type="character" w:customStyle="1" w:styleId="BodyText2Char">
    <w:name w:val="Body Text 2 Char"/>
    <w:basedOn w:val="DefaultParagraphFont"/>
    <w:link w:val="BodyText2"/>
    <w:uiPriority w:val="98"/>
    <w:semiHidden/>
    <w:rsid w:val="00DE5530"/>
    <w:rPr>
      <w:sz w:val="24"/>
      <w:szCs w:val="24"/>
      <w:lang w:val="fr-FR"/>
    </w:rPr>
  </w:style>
  <w:style w:type="paragraph" w:styleId="BodyText3">
    <w:name w:val="Body Text 3"/>
    <w:basedOn w:val="Normal"/>
    <w:link w:val="BodyText3Char"/>
    <w:uiPriority w:val="98"/>
    <w:semiHidden/>
    <w:rsid w:val="00DE5530"/>
    <w:pPr>
      <w:spacing w:after="120"/>
    </w:pPr>
    <w:rPr>
      <w:sz w:val="16"/>
      <w:szCs w:val="16"/>
    </w:rPr>
  </w:style>
  <w:style w:type="character" w:customStyle="1" w:styleId="BodyText3Char">
    <w:name w:val="Body Text 3 Char"/>
    <w:basedOn w:val="DefaultParagraphFont"/>
    <w:link w:val="BodyText3"/>
    <w:uiPriority w:val="98"/>
    <w:semiHidden/>
    <w:rsid w:val="00DE5530"/>
    <w:rPr>
      <w:sz w:val="16"/>
      <w:szCs w:val="16"/>
      <w:lang w:val="fr-FR"/>
    </w:rPr>
  </w:style>
  <w:style w:type="paragraph" w:styleId="BodyTextFirstIndent">
    <w:name w:val="Body Text First Indent"/>
    <w:basedOn w:val="BodyText"/>
    <w:link w:val="BodyTextFirstIndentChar"/>
    <w:uiPriority w:val="98"/>
    <w:semiHidden/>
    <w:rsid w:val="00DE5530"/>
    <w:pPr>
      <w:spacing w:after="0"/>
      <w:ind w:firstLine="360"/>
    </w:pPr>
  </w:style>
  <w:style w:type="character" w:customStyle="1" w:styleId="BodyTextFirstIndentChar">
    <w:name w:val="Body Text First Indent Char"/>
    <w:basedOn w:val="BodyTextChar"/>
    <w:link w:val="BodyTextFirstIndent"/>
    <w:uiPriority w:val="98"/>
    <w:semiHidden/>
    <w:rsid w:val="00DE5530"/>
    <w:rPr>
      <w:sz w:val="24"/>
      <w:szCs w:val="24"/>
      <w:lang w:val="fr-FR"/>
    </w:rPr>
  </w:style>
  <w:style w:type="paragraph" w:styleId="BodyTextIndent">
    <w:name w:val="Body Text Indent"/>
    <w:basedOn w:val="Normal"/>
    <w:link w:val="BodyTextIndentChar"/>
    <w:uiPriority w:val="98"/>
    <w:semiHidden/>
    <w:rsid w:val="00DE5530"/>
    <w:pPr>
      <w:spacing w:after="120"/>
      <w:ind w:left="283"/>
    </w:pPr>
  </w:style>
  <w:style w:type="character" w:customStyle="1" w:styleId="BodyTextIndentChar">
    <w:name w:val="Body Text Indent Char"/>
    <w:basedOn w:val="DefaultParagraphFont"/>
    <w:link w:val="BodyTextIndent"/>
    <w:uiPriority w:val="98"/>
    <w:semiHidden/>
    <w:rsid w:val="00DE5530"/>
    <w:rPr>
      <w:sz w:val="24"/>
      <w:szCs w:val="24"/>
      <w:lang w:val="fr-FR"/>
    </w:rPr>
  </w:style>
  <w:style w:type="paragraph" w:styleId="BodyTextFirstIndent2">
    <w:name w:val="Body Text First Indent 2"/>
    <w:basedOn w:val="BodyTextIndent"/>
    <w:link w:val="BodyTextFirstIndent2Char"/>
    <w:uiPriority w:val="98"/>
    <w:semiHidden/>
    <w:rsid w:val="00DE5530"/>
    <w:pPr>
      <w:spacing w:after="0"/>
      <w:ind w:left="360" w:firstLine="360"/>
    </w:pPr>
  </w:style>
  <w:style w:type="character" w:customStyle="1" w:styleId="BodyTextFirstIndent2Char">
    <w:name w:val="Body Text First Indent 2 Char"/>
    <w:basedOn w:val="BodyTextIndentChar"/>
    <w:link w:val="BodyTextFirstIndent2"/>
    <w:uiPriority w:val="98"/>
    <w:semiHidden/>
    <w:rsid w:val="00DE5530"/>
    <w:rPr>
      <w:sz w:val="24"/>
      <w:szCs w:val="24"/>
      <w:lang w:val="fr-FR"/>
    </w:rPr>
  </w:style>
  <w:style w:type="paragraph" w:styleId="BodyTextIndent2">
    <w:name w:val="Body Text Indent 2"/>
    <w:basedOn w:val="Normal"/>
    <w:link w:val="BodyTextIndent2Char"/>
    <w:uiPriority w:val="98"/>
    <w:semiHidden/>
    <w:rsid w:val="00DE5530"/>
    <w:pPr>
      <w:spacing w:after="120" w:line="480" w:lineRule="auto"/>
      <w:ind w:left="283"/>
    </w:pPr>
  </w:style>
  <w:style w:type="character" w:customStyle="1" w:styleId="BodyTextIndent2Char">
    <w:name w:val="Body Text Indent 2 Char"/>
    <w:basedOn w:val="DefaultParagraphFont"/>
    <w:link w:val="BodyTextIndent2"/>
    <w:uiPriority w:val="98"/>
    <w:semiHidden/>
    <w:rsid w:val="00DE5530"/>
    <w:rPr>
      <w:sz w:val="24"/>
      <w:szCs w:val="24"/>
      <w:lang w:val="fr-FR"/>
    </w:rPr>
  </w:style>
  <w:style w:type="paragraph" w:styleId="BodyTextIndent3">
    <w:name w:val="Body Text Indent 3"/>
    <w:basedOn w:val="Normal"/>
    <w:link w:val="BodyTextIndent3Char"/>
    <w:uiPriority w:val="98"/>
    <w:semiHidden/>
    <w:rsid w:val="00DE5530"/>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DE5530"/>
    <w:rPr>
      <w:sz w:val="16"/>
      <w:szCs w:val="16"/>
      <w:lang w:val="fr-FR"/>
    </w:rPr>
  </w:style>
  <w:style w:type="paragraph" w:styleId="Caption">
    <w:name w:val="caption"/>
    <w:basedOn w:val="Normal"/>
    <w:next w:val="Normal"/>
    <w:uiPriority w:val="98"/>
    <w:semiHidden/>
    <w:qFormat/>
    <w:rsid w:val="00DE5530"/>
    <w:pPr>
      <w:spacing w:after="200"/>
    </w:pPr>
    <w:rPr>
      <w:b/>
      <w:bCs/>
      <w:color w:val="0072BC" w:themeColor="accent1"/>
      <w:sz w:val="18"/>
      <w:szCs w:val="18"/>
    </w:rPr>
  </w:style>
  <w:style w:type="paragraph" w:styleId="Closing">
    <w:name w:val="Closing"/>
    <w:basedOn w:val="Normal"/>
    <w:link w:val="ClosingChar"/>
    <w:uiPriority w:val="98"/>
    <w:semiHidden/>
    <w:rsid w:val="00DE5530"/>
    <w:pPr>
      <w:ind w:left="4252"/>
    </w:pPr>
  </w:style>
  <w:style w:type="character" w:customStyle="1" w:styleId="ClosingChar">
    <w:name w:val="Closing Char"/>
    <w:basedOn w:val="DefaultParagraphFont"/>
    <w:link w:val="Closing"/>
    <w:uiPriority w:val="98"/>
    <w:semiHidden/>
    <w:rsid w:val="00DE5530"/>
    <w:rPr>
      <w:sz w:val="24"/>
      <w:szCs w:val="24"/>
      <w:lang w:val="fr-FR"/>
    </w:rPr>
  </w:style>
  <w:style w:type="table" w:styleId="ColorfulGrid">
    <w:name w:val="Colorful Grid"/>
    <w:basedOn w:val="TableNormal"/>
    <w:uiPriority w:val="73"/>
    <w:semiHidden/>
    <w:rsid w:val="00DE5530"/>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DE5530"/>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DE5530"/>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DE5530"/>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DE5530"/>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DE5530"/>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DE5530"/>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DE5530"/>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DE5530"/>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DE5530"/>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DE5530"/>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DE5530"/>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DE5530"/>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DE5530"/>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DE5530"/>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DE5530"/>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DE5530"/>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DE5530"/>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DE5530"/>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DE5530"/>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DE5530"/>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DE5530"/>
    <w:rPr>
      <w:sz w:val="16"/>
      <w:szCs w:val="16"/>
    </w:rPr>
  </w:style>
  <w:style w:type="paragraph" w:styleId="CommentText">
    <w:name w:val="annotation text"/>
    <w:basedOn w:val="Normal"/>
    <w:link w:val="CommentTextChar"/>
    <w:uiPriority w:val="98"/>
    <w:semiHidden/>
    <w:rsid w:val="00DE5530"/>
    <w:rPr>
      <w:sz w:val="20"/>
      <w:szCs w:val="20"/>
    </w:rPr>
  </w:style>
  <w:style w:type="character" w:customStyle="1" w:styleId="CommentTextChar">
    <w:name w:val="Comment Text Char"/>
    <w:basedOn w:val="DefaultParagraphFont"/>
    <w:link w:val="CommentText"/>
    <w:uiPriority w:val="98"/>
    <w:semiHidden/>
    <w:rsid w:val="00DE5530"/>
    <w:rPr>
      <w:sz w:val="20"/>
      <w:szCs w:val="20"/>
      <w:lang w:val="fr-FR"/>
    </w:rPr>
  </w:style>
  <w:style w:type="paragraph" w:styleId="CommentSubject">
    <w:name w:val="annotation subject"/>
    <w:basedOn w:val="CommentText"/>
    <w:next w:val="CommentText"/>
    <w:link w:val="CommentSubjectChar"/>
    <w:uiPriority w:val="98"/>
    <w:semiHidden/>
    <w:rsid w:val="00DE5530"/>
    <w:rPr>
      <w:b/>
      <w:bCs/>
    </w:rPr>
  </w:style>
  <w:style w:type="character" w:customStyle="1" w:styleId="CommentSubjectChar">
    <w:name w:val="Comment Subject Char"/>
    <w:basedOn w:val="CommentTextChar"/>
    <w:link w:val="CommentSubject"/>
    <w:uiPriority w:val="98"/>
    <w:semiHidden/>
    <w:rsid w:val="00DE5530"/>
    <w:rPr>
      <w:b/>
      <w:bCs/>
      <w:sz w:val="20"/>
      <w:szCs w:val="20"/>
      <w:lang w:val="fr-FR"/>
    </w:rPr>
  </w:style>
  <w:style w:type="table" w:styleId="DarkList">
    <w:name w:val="Dark List"/>
    <w:basedOn w:val="TableNormal"/>
    <w:uiPriority w:val="70"/>
    <w:semiHidden/>
    <w:rsid w:val="00DE5530"/>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DE5530"/>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DE5530"/>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DE5530"/>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DE5530"/>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DE5530"/>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DE5530"/>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DE5530"/>
  </w:style>
  <w:style w:type="character" w:customStyle="1" w:styleId="DateChar">
    <w:name w:val="Date Char"/>
    <w:basedOn w:val="DefaultParagraphFont"/>
    <w:link w:val="Date"/>
    <w:uiPriority w:val="98"/>
    <w:semiHidden/>
    <w:rsid w:val="00DE5530"/>
    <w:rPr>
      <w:sz w:val="24"/>
      <w:szCs w:val="24"/>
      <w:lang w:val="fr-FR"/>
    </w:rPr>
  </w:style>
  <w:style w:type="paragraph" w:styleId="DocumentMap">
    <w:name w:val="Document Map"/>
    <w:basedOn w:val="Normal"/>
    <w:link w:val="DocumentMapChar"/>
    <w:uiPriority w:val="98"/>
    <w:semiHidden/>
    <w:rsid w:val="00DE5530"/>
    <w:rPr>
      <w:rFonts w:ascii="Tahoma" w:hAnsi="Tahoma" w:cs="Tahoma"/>
      <w:sz w:val="16"/>
      <w:szCs w:val="16"/>
    </w:rPr>
  </w:style>
  <w:style w:type="character" w:customStyle="1" w:styleId="DocumentMapChar">
    <w:name w:val="Document Map Char"/>
    <w:basedOn w:val="DefaultParagraphFont"/>
    <w:link w:val="DocumentMap"/>
    <w:uiPriority w:val="98"/>
    <w:semiHidden/>
    <w:rsid w:val="00DE5530"/>
    <w:rPr>
      <w:rFonts w:ascii="Tahoma" w:hAnsi="Tahoma" w:cs="Tahoma"/>
      <w:sz w:val="16"/>
      <w:szCs w:val="16"/>
      <w:lang w:val="fr-FR"/>
    </w:rPr>
  </w:style>
  <w:style w:type="paragraph" w:styleId="E-mailSignature">
    <w:name w:val="E-mail Signature"/>
    <w:basedOn w:val="Normal"/>
    <w:link w:val="E-mailSignatureChar"/>
    <w:uiPriority w:val="98"/>
    <w:semiHidden/>
    <w:rsid w:val="00DE5530"/>
  </w:style>
  <w:style w:type="character" w:customStyle="1" w:styleId="E-mailSignatureChar">
    <w:name w:val="E-mail Signature Char"/>
    <w:basedOn w:val="DefaultParagraphFont"/>
    <w:link w:val="E-mailSignature"/>
    <w:uiPriority w:val="98"/>
    <w:semiHidden/>
    <w:rsid w:val="00DE5530"/>
    <w:rPr>
      <w:sz w:val="24"/>
      <w:szCs w:val="24"/>
      <w:lang w:val="fr-FR"/>
    </w:rPr>
  </w:style>
  <w:style w:type="character" w:styleId="EndnoteReference">
    <w:name w:val="endnote reference"/>
    <w:basedOn w:val="DefaultParagraphFont"/>
    <w:uiPriority w:val="98"/>
    <w:semiHidden/>
    <w:rsid w:val="00DE5530"/>
    <w:rPr>
      <w:vertAlign w:val="superscript"/>
    </w:rPr>
  </w:style>
  <w:style w:type="paragraph" w:styleId="EndnoteText">
    <w:name w:val="endnote text"/>
    <w:basedOn w:val="Normal"/>
    <w:link w:val="EndnoteTextChar"/>
    <w:uiPriority w:val="98"/>
    <w:semiHidden/>
    <w:rsid w:val="00DE5530"/>
    <w:rPr>
      <w:sz w:val="20"/>
      <w:szCs w:val="20"/>
    </w:rPr>
  </w:style>
  <w:style w:type="character" w:customStyle="1" w:styleId="EndnoteTextChar">
    <w:name w:val="Endnote Text Char"/>
    <w:basedOn w:val="DefaultParagraphFont"/>
    <w:link w:val="EndnoteText"/>
    <w:uiPriority w:val="98"/>
    <w:semiHidden/>
    <w:rsid w:val="00DE5530"/>
    <w:rPr>
      <w:sz w:val="20"/>
      <w:szCs w:val="20"/>
      <w:lang w:val="fr-FR"/>
    </w:rPr>
  </w:style>
  <w:style w:type="paragraph" w:styleId="EnvelopeAddress">
    <w:name w:val="envelope address"/>
    <w:basedOn w:val="Normal"/>
    <w:uiPriority w:val="98"/>
    <w:semiHidden/>
    <w:rsid w:val="00DE5530"/>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DE5530"/>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DE5530"/>
    <w:rPr>
      <w:color w:val="7030A0" w:themeColor="followedHyperlink"/>
      <w:u w:val="single"/>
    </w:rPr>
  </w:style>
  <w:style w:type="character" w:styleId="HTMLAcronym">
    <w:name w:val="HTML Acronym"/>
    <w:basedOn w:val="DefaultParagraphFont"/>
    <w:uiPriority w:val="98"/>
    <w:semiHidden/>
    <w:rsid w:val="00DE5530"/>
  </w:style>
  <w:style w:type="paragraph" w:styleId="HTMLAddress">
    <w:name w:val="HTML Address"/>
    <w:basedOn w:val="Normal"/>
    <w:link w:val="HTMLAddressChar"/>
    <w:uiPriority w:val="98"/>
    <w:semiHidden/>
    <w:rsid w:val="00DE5530"/>
    <w:rPr>
      <w:i/>
      <w:iCs/>
    </w:rPr>
  </w:style>
  <w:style w:type="character" w:customStyle="1" w:styleId="HTMLAddressChar">
    <w:name w:val="HTML Address Char"/>
    <w:basedOn w:val="DefaultParagraphFont"/>
    <w:link w:val="HTMLAddress"/>
    <w:uiPriority w:val="98"/>
    <w:semiHidden/>
    <w:rsid w:val="00DE5530"/>
    <w:rPr>
      <w:i/>
      <w:iCs/>
      <w:sz w:val="24"/>
      <w:szCs w:val="24"/>
      <w:lang w:val="fr-FR"/>
    </w:rPr>
  </w:style>
  <w:style w:type="character" w:styleId="HTMLCite">
    <w:name w:val="HTML Cite"/>
    <w:basedOn w:val="DefaultParagraphFont"/>
    <w:uiPriority w:val="98"/>
    <w:semiHidden/>
    <w:rsid w:val="00DE5530"/>
    <w:rPr>
      <w:i/>
      <w:iCs/>
    </w:rPr>
  </w:style>
  <w:style w:type="character" w:styleId="HTMLCode">
    <w:name w:val="HTML Code"/>
    <w:basedOn w:val="DefaultParagraphFont"/>
    <w:uiPriority w:val="98"/>
    <w:semiHidden/>
    <w:rsid w:val="00DE5530"/>
    <w:rPr>
      <w:rFonts w:ascii="Consolas" w:hAnsi="Consolas" w:cs="Consolas"/>
      <w:sz w:val="20"/>
      <w:szCs w:val="20"/>
    </w:rPr>
  </w:style>
  <w:style w:type="character" w:styleId="HTMLDefinition">
    <w:name w:val="HTML Definition"/>
    <w:basedOn w:val="DefaultParagraphFont"/>
    <w:uiPriority w:val="98"/>
    <w:semiHidden/>
    <w:rsid w:val="00DE5530"/>
    <w:rPr>
      <w:i/>
      <w:iCs/>
    </w:rPr>
  </w:style>
  <w:style w:type="character" w:styleId="HTMLKeyboard">
    <w:name w:val="HTML Keyboard"/>
    <w:basedOn w:val="DefaultParagraphFont"/>
    <w:uiPriority w:val="98"/>
    <w:semiHidden/>
    <w:rsid w:val="00DE5530"/>
    <w:rPr>
      <w:rFonts w:ascii="Consolas" w:hAnsi="Consolas" w:cs="Consolas"/>
      <w:sz w:val="20"/>
      <w:szCs w:val="20"/>
    </w:rPr>
  </w:style>
  <w:style w:type="paragraph" w:styleId="HTMLPreformatted">
    <w:name w:val="HTML Preformatted"/>
    <w:basedOn w:val="Normal"/>
    <w:link w:val="HTMLPreformattedChar"/>
    <w:uiPriority w:val="98"/>
    <w:semiHidden/>
    <w:rsid w:val="00DE5530"/>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DE5530"/>
    <w:rPr>
      <w:rFonts w:ascii="Consolas" w:hAnsi="Consolas" w:cs="Consolas"/>
      <w:sz w:val="20"/>
      <w:szCs w:val="20"/>
      <w:lang w:val="fr-FR"/>
    </w:rPr>
  </w:style>
  <w:style w:type="character" w:styleId="HTMLSample">
    <w:name w:val="HTML Sample"/>
    <w:basedOn w:val="DefaultParagraphFont"/>
    <w:uiPriority w:val="98"/>
    <w:semiHidden/>
    <w:rsid w:val="00DE5530"/>
    <w:rPr>
      <w:rFonts w:ascii="Consolas" w:hAnsi="Consolas" w:cs="Consolas"/>
      <w:sz w:val="24"/>
      <w:szCs w:val="24"/>
    </w:rPr>
  </w:style>
  <w:style w:type="character" w:styleId="HTMLTypewriter">
    <w:name w:val="HTML Typewriter"/>
    <w:basedOn w:val="DefaultParagraphFont"/>
    <w:uiPriority w:val="98"/>
    <w:semiHidden/>
    <w:rsid w:val="00DE5530"/>
    <w:rPr>
      <w:rFonts w:ascii="Consolas" w:hAnsi="Consolas" w:cs="Consolas"/>
      <w:sz w:val="20"/>
      <w:szCs w:val="20"/>
    </w:rPr>
  </w:style>
  <w:style w:type="character" w:styleId="HTMLVariable">
    <w:name w:val="HTML Variable"/>
    <w:basedOn w:val="DefaultParagraphFont"/>
    <w:uiPriority w:val="98"/>
    <w:semiHidden/>
    <w:rsid w:val="00DE5530"/>
    <w:rPr>
      <w:i/>
      <w:iCs/>
    </w:rPr>
  </w:style>
  <w:style w:type="paragraph" w:styleId="Index1">
    <w:name w:val="index 1"/>
    <w:basedOn w:val="Normal"/>
    <w:next w:val="Normal"/>
    <w:autoRedefine/>
    <w:uiPriority w:val="98"/>
    <w:semiHidden/>
    <w:rsid w:val="00DE5530"/>
    <w:pPr>
      <w:ind w:left="240" w:hanging="240"/>
    </w:pPr>
  </w:style>
  <w:style w:type="paragraph" w:styleId="Index2">
    <w:name w:val="index 2"/>
    <w:basedOn w:val="Normal"/>
    <w:next w:val="Normal"/>
    <w:autoRedefine/>
    <w:uiPriority w:val="98"/>
    <w:semiHidden/>
    <w:rsid w:val="00DE5530"/>
    <w:pPr>
      <w:ind w:left="480" w:hanging="240"/>
    </w:pPr>
  </w:style>
  <w:style w:type="paragraph" w:styleId="Index3">
    <w:name w:val="index 3"/>
    <w:basedOn w:val="Normal"/>
    <w:next w:val="Normal"/>
    <w:autoRedefine/>
    <w:uiPriority w:val="98"/>
    <w:semiHidden/>
    <w:rsid w:val="00DE5530"/>
    <w:pPr>
      <w:ind w:left="720" w:hanging="240"/>
    </w:pPr>
  </w:style>
  <w:style w:type="paragraph" w:styleId="Index4">
    <w:name w:val="index 4"/>
    <w:basedOn w:val="Normal"/>
    <w:next w:val="Normal"/>
    <w:autoRedefine/>
    <w:uiPriority w:val="98"/>
    <w:semiHidden/>
    <w:rsid w:val="00DE5530"/>
    <w:pPr>
      <w:ind w:left="960" w:hanging="240"/>
    </w:pPr>
  </w:style>
  <w:style w:type="paragraph" w:styleId="Index5">
    <w:name w:val="index 5"/>
    <w:basedOn w:val="Normal"/>
    <w:next w:val="Normal"/>
    <w:autoRedefine/>
    <w:uiPriority w:val="98"/>
    <w:semiHidden/>
    <w:rsid w:val="00DE5530"/>
    <w:pPr>
      <w:ind w:left="1200" w:hanging="240"/>
    </w:pPr>
  </w:style>
  <w:style w:type="paragraph" w:styleId="Index6">
    <w:name w:val="index 6"/>
    <w:basedOn w:val="Normal"/>
    <w:next w:val="Normal"/>
    <w:autoRedefine/>
    <w:uiPriority w:val="98"/>
    <w:semiHidden/>
    <w:rsid w:val="00DE5530"/>
    <w:pPr>
      <w:ind w:left="1440" w:hanging="240"/>
    </w:pPr>
  </w:style>
  <w:style w:type="paragraph" w:styleId="Index7">
    <w:name w:val="index 7"/>
    <w:basedOn w:val="Normal"/>
    <w:next w:val="Normal"/>
    <w:autoRedefine/>
    <w:uiPriority w:val="98"/>
    <w:semiHidden/>
    <w:rsid w:val="00DE5530"/>
    <w:pPr>
      <w:ind w:left="1680" w:hanging="240"/>
    </w:pPr>
  </w:style>
  <w:style w:type="paragraph" w:styleId="Index8">
    <w:name w:val="index 8"/>
    <w:basedOn w:val="Normal"/>
    <w:next w:val="Normal"/>
    <w:autoRedefine/>
    <w:uiPriority w:val="98"/>
    <w:semiHidden/>
    <w:rsid w:val="00DE5530"/>
    <w:pPr>
      <w:ind w:left="1920" w:hanging="240"/>
    </w:pPr>
  </w:style>
  <w:style w:type="paragraph" w:styleId="Index9">
    <w:name w:val="index 9"/>
    <w:basedOn w:val="Normal"/>
    <w:next w:val="Normal"/>
    <w:autoRedefine/>
    <w:uiPriority w:val="98"/>
    <w:semiHidden/>
    <w:rsid w:val="00DE5530"/>
    <w:pPr>
      <w:ind w:left="2160" w:hanging="240"/>
    </w:pPr>
  </w:style>
  <w:style w:type="paragraph" w:styleId="IndexHeading">
    <w:name w:val="index heading"/>
    <w:basedOn w:val="Normal"/>
    <w:next w:val="Index1"/>
    <w:uiPriority w:val="98"/>
    <w:semiHidden/>
    <w:rsid w:val="00DE5530"/>
    <w:rPr>
      <w:rFonts w:asciiTheme="majorHAnsi" w:eastAsiaTheme="majorEastAsia" w:hAnsiTheme="majorHAnsi" w:cstheme="majorBidi"/>
      <w:b/>
      <w:bCs/>
    </w:rPr>
  </w:style>
  <w:style w:type="table" w:styleId="LightGrid">
    <w:name w:val="Light Grid"/>
    <w:basedOn w:val="TableNormal"/>
    <w:uiPriority w:val="62"/>
    <w:semiHidden/>
    <w:rsid w:val="00DE5530"/>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DE5530"/>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DE5530"/>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DE5530"/>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DE5530"/>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DE5530"/>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DE5530"/>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DE5530"/>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DE5530"/>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DE5530"/>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DE5530"/>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DE5530"/>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DE5530"/>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DE5530"/>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DE5530"/>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DE5530"/>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DE5530"/>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DE5530"/>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DE5530"/>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DE5530"/>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DE5530"/>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DE5530"/>
  </w:style>
  <w:style w:type="paragraph" w:styleId="List0">
    <w:name w:val="List"/>
    <w:basedOn w:val="Normal"/>
    <w:uiPriority w:val="98"/>
    <w:semiHidden/>
    <w:rsid w:val="00DE5530"/>
    <w:pPr>
      <w:ind w:left="283" w:hanging="283"/>
      <w:contextualSpacing/>
    </w:pPr>
  </w:style>
  <w:style w:type="paragraph" w:styleId="List20">
    <w:name w:val="List 2"/>
    <w:basedOn w:val="Normal"/>
    <w:uiPriority w:val="98"/>
    <w:semiHidden/>
    <w:rsid w:val="00DE5530"/>
    <w:pPr>
      <w:ind w:left="566" w:hanging="283"/>
      <w:contextualSpacing/>
    </w:pPr>
  </w:style>
  <w:style w:type="paragraph" w:styleId="List30">
    <w:name w:val="List 3"/>
    <w:basedOn w:val="Normal"/>
    <w:uiPriority w:val="98"/>
    <w:semiHidden/>
    <w:rsid w:val="00DE5530"/>
    <w:pPr>
      <w:ind w:left="849" w:hanging="283"/>
      <w:contextualSpacing/>
    </w:pPr>
  </w:style>
  <w:style w:type="paragraph" w:styleId="List4">
    <w:name w:val="List 4"/>
    <w:basedOn w:val="Normal"/>
    <w:uiPriority w:val="98"/>
    <w:semiHidden/>
    <w:rsid w:val="00DE5530"/>
    <w:pPr>
      <w:ind w:left="1132" w:hanging="283"/>
      <w:contextualSpacing/>
    </w:pPr>
  </w:style>
  <w:style w:type="paragraph" w:styleId="List5">
    <w:name w:val="List 5"/>
    <w:basedOn w:val="Normal"/>
    <w:uiPriority w:val="98"/>
    <w:semiHidden/>
    <w:rsid w:val="00DE5530"/>
    <w:pPr>
      <w:ind w:left="1415" w:hanging="283"/>
      <w:contextualSpacing/>
    </w:pPr>
  </w:style>
  <w:style w:type="paragraph" w:styleId="ListBullet">
    <w:name w:val="List Bullet"/>
    <w:basedOn w:val="Normal"/>
    <w:uiPriority w:val="98"/>
    <w:semiHidden/>
    <w:rsid w:val="00DE5530"/>
    <w:pPr>
      <w:numPr>
        <w:numId w:val="10"/>
      </w:numPr>
    </w:pPr>
  </w:style>
  <w:style w:type="paragraph" w:styleId="ListBullet3">
    <w:name w:val="List Bullet 3"/>
    <w:basedOn w:val="Normal"/>
    <w:uiPriority w:val="98"/>
    <w:semiHidden/>
    <w:rsid w:val="00DE5530"/>
    <w:pPr>
      <w:numPr>
        <w:numId w:val="12"/>
      </w:numPr>
      <w:contextualSpacing/>
    </w:pPr>
  </w:style>
  <w:style w:type="paragraph" w:styleId="ListBullet4">
    <w:name w:val="List Bullet 4"/>
    <w:basedOn w:val="Normal"/>
    <w:uiPriority w:val="98"/>
    <w:semiHidden/>
    <w:rsid w:val="00DE5530"/>
    <w:pPr>
      <w:numPr>
        <w:numId w:val="13"/>
      </w:numPr>
      <w:contextualSpacing/>
    </w:pPr>
  </w:style>
  <w:style w:type="paragraph" w:styleId="ListBullet5">
    <w:name w:val="List Bullet 5"/>
    <w:basedOn w:val="Normal"/>
    <w:uiPriority w:val="98"/>
    <w:semiHidden/>
    <w:rsid w:val="00DE5530"/>
    <w:pPr>
      <w:numPr>
        <w:numId w:val="14"/>
      </w:numPr>
      <w:contextualSpacing/>
    </w:pPr>
  </w:style>
  <w:style w:type="paragraph" w:styleId="ListContinue">
    <w:name w:val="List Continue"/>
    <w:basedOn w:val="Normal"/>
    <w:uiPriority w:val="98"/>
    <w:semiHidden/>
    <w:rsid w:val="00DE5530"/>
    <w:pPr>
      <w:spacing w:after="120"/>
      <w:ind w:left="283"/>
      <w:contextualSpacing/>
    </w:pPr>
  </w:style>
  <w:style w:type="paragraph" w:styleId="ListContinue2">
    <w:name w:val="List Continue 2"/>
    <w:basedOn w:val="Normal"/>
    <w:uiPriority w:val="98"/>
    <w:semiHidden/>
    <w:rsid w:val="00DE5530"/>
    <w:pPr>
      <w:spacing w:after="120"/>
      <w:ind w:left="566"/>
      <w:contextualSpacing/>
    </w:pPr>
  </w:style>
  <w:style w:type="paragraph" w:styleId="ListContinue3">
    <w:name w:val="List Continue 3"/>
    <w:basedOn w:val="Normal"/>
    <w:uiPriority w:val="98"/>
    <w:semiHidden/>
    <w:rsid w:val="00DE5530"/>
    <w:pPr>
      <w:spacing w:after="120"/>
      <w:ind w:left="849"/>
      <w:contextualSpacing/>
    </w:pPr>
  </w:style>
  <w:style w:type="paragraph" w:styleId="ListContinue4">
    <w:name w:val="List Continue 4"/>
    <w:basedOn w:val="Normal"/>
    <w:uiPriority w:val="98"/>
    <w:semiHidden/>
    <w:rsid w:val="00DE5530"/>
    <w:pPr>
      <w:spacing w:after="120"/>
      <w:ind w:left="1132"/>
      <w:contextualSpacing/>
    </w:pPr>
  </w:style>
  <w:style w:type="paragraph" w:styleId="ListContinue5">
    <w:name w:val="List Continue 5"/>
    <w:basedOn w:val="Normal"/>
    <w:uiPriority w:val="98"/>
    <w:semiHidden/>
    <w:rsid w:val="00DE5530"/>
    <w:pPr>
      <w:spacing w:after="120"/>
      <w:ind w:left="1415"/>
      <w:contextualSpacing/>
    </w:pPr>
  </w:style>
  <w:style w:type="paragraph" w:styleId="ListNumber">
    <w:name w:val="List Number"/>
    <w:basedOn w:val="Normal"/>
    <w:uiPriority w:val="98"/>
    <w:semiHidden/>
    <w:rsid w:val="00DE5530"/>
    <w:pPr>
      <w:numPr>
        <w:numId w:val="15"/>
      </w:numPr>
      <w:contextualSpacing/>
    </w:pPr>
  </w:style>
  <w:style w:type="paragraph" w:styleId="ListNumber2">
    <w:name w:val="List Number 2"/>
    <w:basedOn w:val="Normal"/>
    <w:uiPriority w:val="98"/>
    <w:semiHidden/>
    <w:rsid w:val="00DE5530"/>
    <w:pPr>
      <w:numPr>
        <w:numId w:val="16"/>
      </w:numPr>
      <w:contextualSpacing/>
    </w:pPr>
  </w:style>
  <w:style w:type="paragraph" w:styleId="ListNumber3">
    <w:name w:val="List Number 3"/>
    <w:basedOn w:val="Normal"/>
    <w:uiPriority w:val="98"/>
    <w:semiHidden/>
    <w:rsid w:val="00DE5530"/>
    <w:pPr>
      <w:numPr>
        <w:numId w:val="17"/>
      </w:numPr>
      <w:contextualSpacing/>
    </w:pPr>
  </w:style>
  <w:style w:type="paragraph" w:styleId="ListNumber4">
    <w:name w:val="List Number 4"/>
    <w:basedOn w:val="Normal"/>
    <w:uiPriority w:val="98"/>
    <w:semiHidden/>
    <w:rsid w:val="00DE5530"/>
    <w:pPr>
      <w:numPr>
        <w:numId w:val="18"/>
      </w:numPr>
      <w:contextualSpacing/>
    </w:pPr>
  </w:style>
  <w:style w:type="paragraph" w:styleId="ListNumber5">
    <w:name w:val="List Number 5"/>
    <w:basedOn w:val="Normal"/>
    <w:uiPriority w:val="98"/>
    <w:semiHidden/>
    <w:rsid w:val="00DE5530"/>
    <w:pPr>
      <w:numPr>
        <w:numId w:val="19"/>
      </w:numPr>
      <w:contextualSpacing/>
    </w:pPr>
  </w:style>
  <w:style w:type="paragraph" w:styleId="Macro">
    <w:name w:val="macro"/>
    <w:link w:val="MacroTextChar"/>
    <w:uiPriority w:val="98"/>
    <w:semiHidden/>
    <w:rsid w:val="00DE553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DE5530"/>
    <w:rPr>
      <w:rFonts w:ascii="Consolas" w:hAnsi="Consolas" w:eastAsiaTheme="minorEastAsia" w:cs="Consolas"/>
      <w:sz w:val="20"/>
      <w:szCs w:val="20"/>
    </w:rPr>
  </w:style>
  <w:style w:type="table" w:styleId="MediumGrid1">
    <w:name w:val="Medium Grid 1"/>
    <w:basedOn w:val="TableNormal"/>
    <w:uiPriority w:val="67"/>
    <w:semiHidden/>
    <w:rsid w:val="00DE5530"/>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DE5530"/>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DE5530"/>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DE5530"/>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DE5530"/>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DE5530"/>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DE5530"/>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DE5530"/>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DE5530"/>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DE5530"/>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DE553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DE5530"/>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DE553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DE5530"/>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DE553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DE553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DE553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DE553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DE553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DE553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DE553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DE5530"/>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DE5530"/>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DE5530"/>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DE5530"/>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DE5530"/>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DE5530"/>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DE5530"/>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DE5530"/>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DE5530"/>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DE5530"/>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DE553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DE5530"/>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DE553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DE5530"/>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DE5530"/>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DE5530"/>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DE5530"/>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DE5530"/>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DE5530"/>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DE5530"/>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DE5530"/>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DE553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DE553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DE553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DE553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DE553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DE553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DE553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DE553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DE5530"/>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DE5530"/>
    <w:rPr>
      <w:rFonts w:ascii="Times New Roman" w:hAnsi="Times New Roman" w:cs="Times New Roman"/>
    </w:rPr>
  </w:style>
  <w:style w:type="paragraph" w:styleId="NormalIndent">
    <w:name w:val="Normal Indent"/>
    <w:basedOn w:val="Normal"/>
    <w:uiPriority w:val="98"/>
    <w:semiHidden/>
    <w:rsid w:val="00DE5530"/>
    <w:pPr>
      <w:ind w:left="720"/>
    </w:pPr>
  </w:style>
  <w:style w:type="paragraph" w:styleId="NoteHeading">
    <w:name w:val="Note Heading"/>
    <w:basedOn w:val="Normal"/>
    <w:next w:val="Normal"/>
    <w:link w:val="NoteHeadingChar"/>
    <w:uiPriority w:val="98"/>
    <w:semiHidden/>
    <w:rsid w:val="00DE5530"/>
  </w:style>
  <w:style w:type="character" w:customStyle="1" w:styleId="NoteHeadingChar">
    <w:name w:val="Note Heading Char"/>
    <w:basedOn w:val="DefaultParagraphFont"/>
    <w:link w:val="NoteHeading"/>
    <w:uiPriority w:val="98"/>
    <w:semiHidden/>
    <w:rsid w:val="00DE5530"/>
    <w:rPr>
      <w:sz w:val="24"/>
      <w:szCs w:val="24"/>
      <w:lang w:val="fr-FR"/>
    </w:rPr>
  </w:style>
  <w:style w:type="character" w:styleId="PlaceholderText">
    <w:name w:val="Placeholder Text"/>
    <w:basedOn w:val="DefaultParagraphFont"/>
    <w:uiPriority w:val="98"/>
    <w:semiHidden/>
    <w:rsid w:val="00DE5530"/>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DE5530"/>
    <w:rPr>
      <w:rFonts w:ascii="Consolas" w:hAnsi="Consolas" w:cs="Consolas"/>
      <w:sz w:val="21"/>
      <w:szCs w:val="21"/>
    </w:rPr>
  </w:style>
  <w:style w:type="character" w:customStyle="1" w:styleId="PlainTextChar">
    <w:name w:val="Plain Text Char"/>
    <w:basedOn w:val="DefaultParagraphFont"/>
    <w:link w:val="PlainText"/>
    <w:uiPriority w:val="98"/>
    <w:semiHidden/>
    <w:rsid w:val="00DE5530"/>
    <w:rPr>
      <w:rFonts w:ascii="Consolas" w:hAnsi="Consolas" w:cs="Consolas"/>
      <w:sz w:val="21"/>
      <w:szCs w:val="21"/>
      <w:lang w:val="fr-FR"/>
    </w:rPr>
  </w:style>
  <w:style w:type="paragraph" w:styleId="Salutation">
    <w:name w:val="Salutation"/>
    <w:basedOn w:val="Normal"/>
    <w:next w:val="Normal"/>
    <w:link w:val="SalutationChar"/>
    <w:uiPriority w:val="98"/>
    <w:semiHidden/>
    <w:rsid w:val="00DE5530"/>
  </w:style>
  <w:style w:type="character" w:customStyle="1" w:styleId="SalutationChar">
    <w:name w:val="Salutation Char"/>
    <w:basedOn w:val="DefaultParagraphFont"/>
    <w:link w:val="Salutation"/>
    <w:uiPriority w:val="98"/>
    <w:semiHidden/>
    <w:rsid w:val="00DE5530"/>
    <w:rPr>
      <w:sz w:val="24"/>
      <w:szCs w:val="24"/>
      <w:lang w:val="fr-FR"/>
    </w:rPr>
  </w:style>
  <w:style w:type="paragraph" w:styleId="Signature0">
    <w:name w:val="Signature"/>
    <w:basedOn w:val="Normal"/>
    <w:link w:val="SignatureChar"/>
    <w:uiPriority w:val="98"/>
    <w:semiHidden/>
    <w:rsid w:val="00DE5530"/>
    <w:pPr>
      <w:ind w:left="4252"/>
    </w:pPr>
  </w:style>
  <w:style w:type="character" w:customStyle="1" w:styleId="SignatureChar">
    <w:name w:val="Signature Char"/>
    <w:basedOn w:val="DefaultParagraphFont"/>
    <w:link w:val="Signature0"/>
    <w:uiPriority w:val="98"/>
    <w:semiHidden/>
    <w:rsid w:val="00DE5530"/>
    <w:rPr>
      <w:sz w:val="24"/>
      <w:szCs w:val="24"/>
      <w:lang w:val="fr-FR"/>
    </w:rPr>
  </w:style>
  <w:style w:type="table" w:styleId="Table3Deffects1">
    <w:name w:val="Table 3D effects 1"/>
    <w:basedOn w:val="TableNormal"/>
    <w:uiPriority w:val="99"/>
    <w:semiHidden/>
    <w:unhideWhenUsed/>
    <w:rsid w:val="00DE5530"/>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E5530"/>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E5530"/>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E5530"/>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E5530"/>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E5530"/>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E5530"/>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E5530"/>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E5530"/>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E5530"/>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E5530"/>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E5530"/>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E5530"/>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E5530"/>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E5530"/>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E5530"/>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E5530"/>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E553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E5530"/>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E5530"/>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E5530"/>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E5530"/>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E5530"/>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E5530"/>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E5530"/>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E5530"/>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E5530"/>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E5530"/>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E5530"/>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E553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E5530"/>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E5530"/>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E5530"/>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DE5530"/>
    <w:pPr>
      <w:ind w:left="240" w:hanging="240"/>
    </w:pPr>
  </w:style>
  <w:style w:type="paragraph" w:styleId="TableofFigures">
    <w:name w:val="table of figures"/>
    <w:basedOn w:val="Normal"/>
    <w:next w:val="Normal"/>
    <w:uiPriority w:val="98"/>
    <w:semiHidden/>
    <w:rsid w:val="00DE5530"/>
  </w:style>
  <w:style w:type="table" w:styleId="TableProfessional">
    <w:name w:val="Table Professional"/>
    <w:basedOn w:val="TableNormal"/>
    <w:uiPriority w:val="99"/>
    <w:semiHidden/>
    <w:unhideWhenUsed/>
    <w:rsid w:val="00DE553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E5530"/>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E5530"/>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E5530"/>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E5530"/>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E5530"/>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E5530"/>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E5530"/>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E5530"/>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E5530"/>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DE5530"/>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DE5530"/>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DE5530"/>
    <w:pPr>
      <w:spacing w:after="100"/>
      <w:ind w:left="1680"/>
    </w:pPr>
  </w:style>
  <w:style w:type="paragraph" w:styleId="TOC9">
    <w:name w:val="toc 9"/>
    <w:basedOn w:val="Normal"/>
    <w:next w:val="Normal"/>
    <w:autoRedefine/>
    <w:uiPriority w:val="98"/>
    <w:semiHidden/>
    <w:rsid w:val="00DE5530"/>
    <w:pPr>
      <w:spacing w:after="100"/>
      <w:ind w:left="1920"/>
    </w:pPr>
  </w:style>
  <w:style w:type="paragraph" w:customStyle="1" w:styleId="ECHRFooter">
    <w:name w:val="ECHR_Footer"/>
    <w:aliases w:val="Footer_ECHR"/>
    <w:basedOn w:val="Footer1"/>
    <w:uiPriority w:val="57"/>
    <w:semiHidden/>
    <w:rsid w:val="00893F30"/>
    <w:rPr>
      <w:sz w:val="8"/>
    </w:rPr>
  </w:style>
  <w:style w:type="paragraph" w:customStyle="1" w:styleId="FooterLine">
    <w:name w:val="_Footer_Line"/>
    <w:aliases w:val="Footer_Line"/>
    <w:basedOn w:val="Normal"/>
    <w:next w:val="Footer"/>
    <w:uiPriority w:val="57"/>
    <w:semiHidden/>
    <w:rsid w:val="00DE5530"/>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DE5530"/>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DE5530"/>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DE5530"/>
    <w:pPr>
      <w:numPr>
        <w:numId w:val="7"/>
      </w:numPr>
      <w:spacing w:before="60" w:after="60"/>
    </w:pPr>
  </w:style>
  <w:style w:type="paragraph" w:customStyle="1" w:styleId="ECHRBullet2">
    <w:name w:val="ECHR_Bullet_2"/>
    <w:aliases w:val="_Bul_2"/>
    <w:basedOn w:val="ECHRBullet1"/>
    <w:uiPriority w:val="23"/>
    <w:semiHidden/>
    <w:rsid w:val="00DE5530"/>
    <w:pPr>
      <w:numPr>
        <w:ilvl w:val="1"/>
      </w:numPr>
    </w:pPr>
  </w:style>
  <w:style w:type="paragraph" w:customStyle="1" w:styleId="ECHRBullet3">
    <w:name w:val="ECHR_Bullet_3"/>
    <w:aliases w:val="_Bul_3"/>
    <w:basedOn w:val="ECHRBullet2"/>
    <w:uiPriority w:val="23"/>
    <w:semiHidden/>
    <w:rsid w:val="00DE5530"/>
    <w:pPr>
      <w:numPr>
        <w:ilvl w:val="2"/>
      </w:numPr>
    </w:pPr>
  </w:style>
  <w:style w:type="paragraph" w:customStyle="1" w:styleId="ECHRBullet4">
    <w:name w:val="ECHR_Bullet_4"/>
    <w:aliases w:val="_Bul_4"/>
    <w:basedOn w:val="ECHRBullet3"/>
    <w:uiPriority w:val="23"/>
    <w:semiHidden/>
    <w:rsid w:val="00DE5530"/>
    <w:pPr>
      <w:numPr>
        <w:ilvl w:val="3"/>
      </w:numPr>
    </w:pPr>
  </w:style>
  <w:style w:type="paragraph" w:customStyle="1" w:styleId="ECHRConfidential">
    <w:name w:val="ECHR_Confidential"/>
    <w:aliases w:val="_Confidential"/>
    <w:basedOn w:val="Normal"/>
    <w:next w:val="Normal"/>
    <w:uiPriority w:val="42"/>
    <w:semiHidden/>
    <w:qFormat/>
    <w:rsid w:val="00DE5530"/>
    <w:pPr>
      <w:jc w:val="right"/>
    </w:pPr>
    <w:rPr>
      <w:color w:val="C00000"/>
      <w:sz w:val="20"/>
    </w:rPr>
  </w:style>
  <w:style w:type="paragraph" w:customStyle="1" w:styleId="ECHRDecisionBody">
    <w:name w:val="ECHR_Decision_Body"/>
    <w:aliases w:val="_Decision_Body"/>
    <w:basedOn w:val="NormalJustified"/>
    <w:uiPriority w:val="54"/>
    <w:semiHidden/>
    <w:rsid w:val="00DE5530"/>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DE5530"/>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DE5530"/>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30"/>
    <w:semiHidden/>
    <w:rsid w:val="00DE5530"/>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DE5530"/>
    <w:pPr>
      <w:jc w:val="right"/>
    </w:pPr>
    <w:rPr>
      <w:sz w:val="20"/>
    </w:rPr>
  </w:style>
  <w:style w:type="paragraph" w:customStyle="1" w:styleId="ECHRHeaderRefIt">
    <w:name w:val="ECHR_Header_Ref_It"/>
    <w:aliases w:val="_Ref_Ital"/>
    <w:basedOn w:val="Normal"/>
    <w:next w:val="ECHRHeaderDate"/>
    <w:uiPriority w:val="43"/>
    <w:qFormat/>
    <w:rsid w:val="00DE5530"/>
    <w:pPr>
      <w:jc w:val="right"/>
    </w:pPr>
    <w:rPr>
      <w:i/>
      <w:sz w:val="20"/>
    </w:rPr>
  </w:style>
  <w:style w:type="paragraph" w:customStyle="1" w:styleId="ECHRHeading9">
    <w:name w:val="ECHR_Heading_9"/>
    <w:aliases w:val="_Head_9"/>
    <w:basedOn w:val="Heading9"/>
    <w:uiPriority w:val="17"/>
    <w:semiHidden/>
    <w:rsid w:val="00DE5530"/>
    <w:pPr>
      <w:keepNext/>
      <w:keepLines/>
      <w:numPr>
        <w:ilvl w:val="8"/>
        <w:numId w:val="3"/>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DE5530"/>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DE5530"/>
    <w:pPr>
      <w:numPr>
        <w:numId w:val="9"/>
      </w:numPr>
      <w:spacing w:before="60" w:after="60"/>
    </w:pPr>
  </w:style>
  <w:style w:type="paragraph" w:customStyle="1" w:styleId="ECHRNumberedList2">
    <w:name w:val="ECHR_Numbered_List_2"/>
    <w:aliases w:val="_Num_2"/>
    <w:basedOn w:val="ECHRNumberedList1"/>
    <w:uiPriority w:val="23"/>
    <w:semiHidden/>
    <w:rsid w:val="00DE5530"/>
    <w:pPr>
      <w:numPr>
        <w:ilvl w:val="1"/>
      </w:numPr>
    </w:pPr>
  </w:style>
  <w:style w:type="paragraph" w:customStyle="1" w:styleId="ECHRNumberedList3">
    <w:name w:val="ECHR_Numbered_List_3"/>
    <w:aliases w:val="_Num_3"/>
    <w:basedOn w:val="ECHRNumberedList2"/>
    <w:uiPriority w:val="23"/>
    <w:semiHidden/>
    <w:rsid w:val="00DE5530"/>
    <w:pPr>
      <w:numPr>
        <w:ilvl w:val="2"/>
      </w:numPr>
    </w:pPr>
  </w:style>
  <w:style w:type="paragraph" w:customStyle="1" w:styleId="ECHRParaHanging">
    <w:name w:val="ECHR_Para_Hanging"/>
    <w:aliases w:val="_Hanging"/>
    <w:basedOn w:val="Normal"/>
    <w:uiPriority w:val="8"/>
    <w:semiHidden/>
    <w:qFormat/>
    <w:rsid w:val="00DE5530"/>
    <w:pPr>
      <w:ind w:left="567" w:hanging="567"/>
      <w:jc w:val="both"/>
    </w:pPr>
  </w:style>
  <w:style w:type="paragraph" w:customStyle="1" w:styleId="ECHRParaIndent">
    <w:name w:val="ECHR_Para_Indent"/>
    <w:aliases w:val="_Indent"/>
    <w:basedOn w:val="Normal"/>
    <w:uiPriority w:val="7"/>
    <w:semiHidden/>
    <w:qFormat/>
    <w:rsid w:val="00DE5530"/>
    <w:pPr>
      <w:spacing w:before="120" w:after="120"/>
      <w:ind w:left="567"/>
      <w:jc w:val="both"/>
    </w:pPr>
  </w:style>
  <w:style w:type="character" w:customStyle="1" w:styleId="ECHRRed">
    <w:name w:val="ECHR_Red"/>
    <w:aliases w:val="_Red"/>
    <w:basedOn w:val="DefaultParagraphFont"/>
    <w:uiPriority w:val="15"/>
    <w:semiHidden/>
    <w:qFormat/>
    <w:rsid w:val="00DE5530"/>
    <w:rPr>
      <w:color w:val="C00000" w:themeColor="accent2"/>
    </w:rPr>
  </w:style>
  <w:style w:type="paragraph" w:customStyle="1" w:styleId="ECHRSpacer">
    <w:name w:val="ECHR_Spacer"/>
    <w:aliases w:val="_Spacer"/>
    <w:basedOn w:val="Normal"/>
    <w:uiPriority w:val="45"/>
    <w:semiHidden/>
    <w:rsid w:val="00DE5530"/>
    <w:rPr>
      <w:sz w:val="4"/>
    </w:rPr>
  </w:style>
  <w:style w:type="table" w:customStyle="1" w:styleId="ECHRTable2">
    <w:name w:val="ECHR_Table_2"/>
    <w:basedOn w:val="TableNormal"/>
    <w:uiPriority w:val="99"/>
    <w:rsid w:val="00DE5530"/>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DE5530"/>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DE5530"/>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DE5530"/>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DE5530"/>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DE5530"/>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DE5530"/>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DE5530"/>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DE5530"/>
    <w:pPr>
      <w:outlineLvl w:val="0"/>
    </w:pPr>
  </w:style>
  <w:style w:type="paragraph" w:customStyle="1" w:styleId="ECHRTitleTOC1">
    <w:name w:val="ECHR_Title_TOC_1"/>
    <w:aliases w:val="_Title_L_TOC"/>
    <w:basedOn w:val="ECHRTitle1"/>
    <w:next w:val="Normal"/>
    <w:uiPriority w:val="27"/>
    <w:semiHidden/>
    <w:qFormat/>
    <w:rsid w:val="00DE5530"/>
    <w:pPr>
      <w:outlineLvl w:val="0"/>
    </w:pPr>
  </w:style>
  <w:style w:type="character" w:customStyle="1" w:styleId="JuParaChar">
    <w:name w:val="Ju_Para Char"/>
    <w:aliases w:val="_Para Char"/>
    <w:link w:val="JuPara"/>
    <w:uiPriority w:val="4"/>
    <w:rsid w:val="001169B9"/>
    <w:rPr>
      <w:sz w:val="24"/>
      <w:szCs w:val="24"/>
      <w:lang w:val="fr-FR"/>
    </w:rPr>
  </w:style>
  <w:style w:type="character" w:customStyle="1" w:styleId="JuNames1">
    <w:name w:val="Ju_Names"/>
    <w:rsid w:val="001169B9"/>
    <w:rPr>
      <w:smallCaps/>
    </w:rPr>
  </w:style>
  <w:style w:type="paragraph" w:customStyle="1" w:styleId="JuList4">
    <w:name w:val="Ju_List_4"/>
    <w:aliases w:val="N_Bul_4"/>
    <w:basedOn w:val="JuListi"/>
    <w:uiPriority w:val="19"/>
    <w:rsid w:val="001169B9"/>
    <w:pPr>
      <w:numPr>
        <w:ilvl w:val="0"/>
        <w:numId w:val="0"/>
      </w:numPr>
      <w:tabs>
        <w:tab w:val="num" w:pos="1701"/>
      </w:tabs>
      <w:spacing w:before="60" w:after="60" w:line="240" w:lineRule="exact"/>
      <w:ind w:left="1703" w:hanging="284"/>
      <w:contextualSpacing/>
    </w:pPr>
    <w:rPr>
      <w:sz w:val="22"/>
      <w:lang w:eastAsia="fr-FR"/>
    </w:rPr>
  </w:style>
  <w:style w:type="character" w:customStyle="1" w:styleId="JuParaCar">
    <w:name w:val="Ju_Para Car"/>
    <w:uiPriority w:val="4"/>
    <w:rsid w:val="001169B9"/>
    <w:rPr>
      <w:sz w:val="24"/>
      <w:szCs w:val="24"/>
      <w:lang w:val="en-GB"/>
    </w:rPr>
  </w:style>
  <w:style w:type="character" w:customStyle="1" w:styleId="JuJudgesChar">
    <w:name w:val="Ju_Judges Char"/>
    <w:link w:val="JuJudges"/>
    <w:uiPriority w:val="32"/>
    <w:rsid w:val="0084481A"/>
    <w:rPr>
      <w:sz w:val="24"/>
      <w:szCs w:val="24"/>
      <w:lang w:val="fr-FR"/>
    </w:rPr>
  </w:style>
  <w:style w:type="paragraph" w:customStyle="1" w:styleId="jupara0">
    <w:name w:val="jupara"/>
    <w:basedOn w:val="Normal"/>
    <w:rsid w:val="000023F2"/>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0023F2"/>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65B9FD-DE46-451D-B9DA-68A0CF353E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6597</Words>
  <Characters>37604</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44113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cp:revision>1</cp:revision>
  <dcterms:created xsi:type="dcterms:W3CDTF">2020-06-04T15:08:00Z</dcterms:created>
  <dcterms:modified xsi:type="dcterms:W3CDTF">2020-09-21T09:58:00Z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1197233</vt:lpwstr>
  </property>
  <property fmtid="{D5CDD505-2E9C-101B-9397-08002B2CF9AE}" pid="3" name="cstLanguage">
    <vt:i4>1036</vt:i4>
  </property>
  <property fmtid="{D5CDD505-2E9C-101B-9397-08002B2CF9AE}" pid="4" name="RegisteredNo">
    <vt:lpwstr>23735/16</vt:lpwstr>
  </property>
</Properties>
</file>