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customXml/item1.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 Id="rId4" Type="http://schemas.openxmlformats.org/officeDocument/2006/relationships/custom-properties" Target="docProps/custom.xml" /></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 Generated by Aspose.Words for .NET 21.6.0 -->
  <w:body>
    <w:p w:rsidRPr="00083DAD" w:rsidR="00CC31BB" w:rsidP="00C94F35">
      <w:pPr>
        <w:pStyle w:val="DecHCase"/>
        <w:spacing w:after="120"/>
      </w:pPr>
    </w:p>
    <w:p w:rsidRPr="00083DAD" w:rsidR="007A4070" w:rsidP="00083DAD">
      <w:pPr>
        <w:pStyle w:val="DecHCase"/>
        <w:keepNext w:val="0"/>
        <w:keepLines w:val="0"/>
      </w:pPr>
      <w:r w:rsidRPr="00083DAD">
        <w:t>QUATRIÈME SECTION</w:t>
      </w:r>
    </w:p>
    <w:p w:rsidRPr="00083DAD" w:rsidR="007A4070" w:rsidP="00C94F35">
      <w:pPr>
        <w:pStyle w:val="JuTitle"/>
        <w:keepNext w:val="0"/>
        <w:keepLines w:val="0"/>
        <w:spacing w:before="720"/>
      </w:pPr>
      <w:r w:rsidRPr="00083DAD">
        <w:t xml:space="preserve">AFFAIRE </w:t>
      </w:r>
      <w:r w:rsidRPr="00083DAD" w:rsidR="00AC4B47">
        <w:t xml:space="preserve">GEORGE-LAVINIU </w:t>
      </w:r>
      <w:r w:rsidRPr="00083DAD" w:rsidR="00CC31BB">
        <w:t>GHIURĂU c. ROUMANIE</w:t>
      </w:r>
    </w:p>
    <w:p w:rsidRPr="00083DAD" w:rsidR="007A4070" w:rsidP="00083DAD">
      <w:pPr>
        <w:pStyle w:val="ECHRCoverTitle4"/>
        <w:keepNext w:val="0"/>
        <w:keepLines w:val="0"/>
      </w:pPr>
      <w:r w:rsidRPr="00083DAD">
        <w:t>(</w:t>
      </w:r>
      <w:r w:rsidRPr="00083DAD" w:rsidR="00CC31BB">
        <w:t>Requête n</w:t>
      </w:r>
      <w:r w:rsidRPr="00083DAD" w:rsidR="00CC31BB">
        <w:rPr>
          <w:vertAlign w:val="superscript"/>
        </w:rPr>
        <w:t>o</w:t>
      </w:r>
      <w:r w:rsidRPr="00083DAD">
        <w:t xml:space="preserve"> </w:t>
      </w:r>
      <w:r w:rsidRPr="00083DAD" w:rsidR="00CC31BB">
        <w:t>15549/16</w:t>
      </w:r>
      <w:r w:rsidRPr="00083DAD">
        <w:t>)</w:t>
      </w:r>
    </w:p>
    <w:p w:rsidRPr="00083DAD" w:rsidR="007A4070" w:rsidP="00C94F35">
      <w:pPr>
        <w:pStyle w:val="DecHCase"/>
        <w:keepNext w:val="0"/>
        <w:keepLines w:val="0"/>
        <w:spacing w:after="240"/>
      </w:pPr>
    </w:p>
    <w:p w:rsidRPr="00083DAD" w:rsidR="007A4070" w:rsidP="00083DAD">
      <w:pPr>
        <w:pStyle w:val="DecHCase"/>
        <w:keepNext w:val="0"/>
        <w:keepLines w:val="0"/>
      </w:pPr>
      <w:r w:rsidRPr="00083DAD">
        <w:t>ARRÊT</w:t>
      </w:r>
    </w:p>
    <w:p w:rsidRPr="00C94F35" w:rsidR="00083DAD" w:rsidP="00C94F35">
      <w:pPr>
        <w:pBdr>
          <w:top w:val="single" w:color="auto" w:sz="4" w:space="1"/>
          <w:left w:val="single" w:color="auto" w:sz="4" w:space="4"/>
          <w:bottom w:val="single" w:color="auto" w:sz="4" w:space="1"/>
          <w:right w:val="single" w:color="auto" w:sz="4" w:space="4"/>
        </w:pBdr>
        <w:jc w:val="both"/>
        <w:rPr>
          <w:sz w:val="20"/>
          <w:szCs w:val="20"/>
        </w:rPr>
      </w:pPr>
      <w:r w:rsidRPr="00C94F35">
        <w:rPr>
          <w:sz w:val="20"/>
          <w:szCs w:val="20"/>
        </w:rPr>
        <w:t>Art 3 (matériel) • Traitement dégradant • Conditions de détention • Surpopulation carcérale durant presque huit mois dans des cellules inférieures à 4 m</w:t>
      </w:r>
      <w:r w:rsidRPr="00C94F35">
        <w:rPr>
          <w:sz w:val="20"/>
          <w:szCs w:val="20"/>
          <w:vertAlign w:val="superscript"/>
        </w:rPr>
        <w:t>2</w:t>
      </w:r>
      <w:r w:rsidRPr="00C94F35">
        <w:rPr>
          <w:sz w:val="20"/>
          <w:szCs w:val="20"/>
        </w:rPr>
        <w:t xml:space="preserve"> • Forte présomption de violation non réfutée</w:t>
      </w:r>
    </w:p>
    <w:p w:rsidRPr="00C94F35" w:rsidR="00083DAD" w:rsidP="00C94F35">
      <w:pPr>
        <w:pBdr>
          <w:top w:val="single" w:color="auto" w:sz="4" w:space="1"/>
          <w:left w:val="single" w:color="auto" w:sz="4" w:space="4"/>
          <w:bottom w:val="single" w:color="auto" w:sz="4" w:space="1"/>
          <w:right w:val="single" w:color="auto" w:sz="4" w:space="4"/>
        </w:pBdr>
        <w:jc w:val="both"/>
        <w:rPr>
          <w:sz w:val="20"/>
          <w:szCs w:val="20"/>
        </w:rPr>
      </w:pPr>
      <w:r w:rsidRPr="00C94F35">
        <w:rPr>
          <w:sz w:val="20"/>
          <w:szCs w:val="20"/>
        </w:rPr>
        <w:t>Art 3 (matériel) • Traitement dégradant • Absence de surpopulation carcérale durant plus de six mois de détention dans un espace de vie supérieure à 4 m</w:t>
      </w:r>
      <w:r w:rsidRPr="00C94F35">
        <w:rPr>
          <w:sz w:val="20"/>
          <w:szCs w:val="20"/>
          <w:vertAlign w:val="superscript"/>
        </w:rPr>
        <w:t xml:space="preserve">2 </w:t>
      </w:r>
      <w:r w:rsidRPr="00C94F35">
        <w:rPr>
          <w:sz w:val="20"/>
          <w:szCs w:val="20"/>
        </w:rPr>
        <w:t xml:space="preserve">• Durée représentant environ la moitié de la détention, activités adéquates en dehors de la cellule et douche quotidienne après le travail • Mauvaises conditions d’hygiène n’entraînant pas à elles seules de </w:t>
      </w:r>
      <w:bookmarkStart w:name="_GoBack" w:id="0"/>
      <w:bookmarkEnd w:id="0"/>
      <w:r w:rsidRPr="00C94F35">
        <w:rPr>
          <w:sz w:val="20"/>
          <w:szCs w:val="20"/>
        </w:rPr>
        <w:t>violation</w:t>
      </w:r>
    </w:p>
    <w:p w:rsidRPr="00C94F35" w:rsidR="00083DAD" w:rsidP="00C94F35">
      <w:pPr>
        <w:pBdr>
          <w:top w:val="single" w:color="auto" w:sz="4" w:space="1"/>
          <w:left w:val="single" w:color="auto" w:sz="4" w:space="4"/>
          <w:bottom w:val="single" w:color="auto" w:sz="4" w:space="1"/>
          <w:right w:val="single" w:color="auto" w:sz="4" w:space="4"/>
        </w:pBdr>
        <w:jc w:val="both"/>
        <w:rPr>
          <w:sz w:val="20"/>
          <w:szCs w:val="20"/>
        </w:rPr>
      </w:pPr>
      <w:r w:rsidRPr="00C94F35">
        <w:rPr>
          <w:sz w:val="20"/>
          <w:szCs w:val="20"/>
        </w:rPr>
        <w:t>Art 6 § 1 (pénal) • Tribunal impartial • Juge siégeant lors de la procédure d’appel malgré sa déclaration d’abstention, rejetée par une décision dûment motivée • Même juge siégeant dans la formation ayant examiné la demande d’abstention puis dans celle s’étant prononcée sur le fond • Doutes non objectivement justifiés</w:t>
      </w:r>
    </w:p>
    <w:p w:rsidRPr="00C94F35" w:rsidR="00C80014" w:rsidP="00C94F35">
      <w:pPr>
        <w:pBdr>
          <w:top w:val="single" w:color="auto" w:sz="4" w:space="1"/>
          <w:left w:val="single" w:color="auto" w:sz="4" w:space="4"/>
          <w:bottom w:val="single" w:color="auto" w:sz="4" w:space="1"/>
          <w:right w:val="single" w:color="auto" w:sz="4" w:space="4"/>
        </w:pBdr>
        <w:jc w:val="both"/>
        <w:rPr>
          <w:sz w:val="20"/>
          <w:szCs w:val="20"/>
        </w:rPr>
      </w:pPr>
      <w:r w:rsidRPr="00C94F35">
        <w:rPr>
          <w:sz w:val="20"/>
          <w:szCs w:val="20"/>
        </w:rPr>
        <w:t>Art 6 § 1 (pénal) et Art 6 § 3 d) • Procès équitable • Interrogation des témoins • Absence d’un témoin lors des débats non justifiée par un motif sérieux • Déposition du témoin non déterminante mais revêtant un poids certain dans la condamnation • Possibilité d’avoir connaissance de la teneur de ses déclarations et de mettre en cause sa crédibilité grâce au test du détecteur de mensonges • Éléments compensateurs suffisants et de nature à contrebalancer les difficultés rencontrées par la défense</w:t>
      </w:r>
    </w:p>
    <w:p w:rsidRPr="00083DAD" w:rsidR="00C80014" w:rsidP="00C94F35">
      <w:pPr>
        <w:pStyle w:val="DecHCase"/>
        <w:keepNext w:val="0"/>
        <w:keepLines w:val="0"/>
        <w:spacing w:after="0"/>
      </w:pPr>
    </w:p>
    <w:p w:rsidRPr="00083DAD" w:rsidR="007A4070" w:rsidP="00C94F35">
      <w:pPr>
        <w:pStyle w:val="DecHCase"/>
        <w:keepNext w:val="0"/>
        <w:keepLines w:val="0"/>
        <w:spacing w:after="120"/>
      </w:pPr>
      <w:r w:rsidRPr="00083DAD">
        <w:t>STRASBOURG</w:t>
      </w:r>
    </w:p>
    <w:p w:rsidRPr="00083DAD" w:rsidR="007A4070" w:rsidP="00C94F35">
      <w:pPr>
        <w:pStyle w:val="DecHCase"/>
        <w:keepNext w:val="0"/>
        <w:keepLines w:val="0"/>
        <w:spacing w:after="120"/>
      </w:pPr>
      <w:r w:rsidRPr="00083DAD">
        <w:t>16 juin 2020</w:t>
      </w:r>
    </w:p>
    <w:p w:rsidRPr="00083DAD" w:rsidR="007A4070" w:rsidP="00C94F35">
      <w:pPr>
        <w:pStyle w:val="DecHCase"/>
        <w:keepNext w:val="0"/>
        <w:keepLines w:val="0"/>
        <w:spacing w:after="120"/>
      </w:pPr>
    </w:p>
    <w:p w:rsidR="00C94F35" w:rsidP="00C94F35">
      <w:pPr>
        <w:pStyle w:val="jucase0"/>
        <w:ind w:firstLine="0"/>
        <w:jc w:val="center"/>
        <w:rPr>
          <w:color w:val="FF0000"/>
          <w:sz w:val="28"/>
          <w:szCs w:val="28"/>
          <w:u w:val="single"/>
          <w:lang w:val="fr-FR"/>
        </w:rPr>
      </w:pPr>
      <w:r w:rsidRPr="00261F46">
        <w:rPr>
          <w:color w:val="FF0000"/>
          <w:sz w:val="28"/>
          <w:szCs w:val="28"/>
          <w:u w:val="single"/>
          <w:lang w:val="fr-FR"/>
        </w:rPr>
        <w:t>DÉFINITIF</w:t>
      </w:r>
    </w:p>
    <w:p w:rsidRPr="00C94F35" w:rsidR="00C94F35" w:rsidP="00C94F35">
      <w:pPr>
        <w:pStyle w:val="jucase0"/>
        <w:ind w:firstLine="0"/>
        <w:jc w:val="center"/>
        <w:rPr>
          <w:b w:val="0"/>
          <w:color w:val="FF0000"/>
          <w:u w:val="single"/>
          <w:lang w:val="fr-FR"/>
        </w:rPr>
      </w:pPr>
    </w:p>
    <w:p w:rsidRPr="00E974D6" w:rsidR="00C94F35" w:rsidP="00C94F35">
      <w:pPr>
        <w:pStyle w:val="jucase0"/>
        <w:ind w:firstLine="0"/>
        <w:jc w:val="center"/>
        <w:rPr>
          <w:b w:val="0"/>
          <w:color w:val="FF0000"/>
          <w:sz w:val="28"/>
          <w:szCs w:val="28"/>
          <w:lang w:val="fr-FR"/>
        </w:rPr>
      </w:pPr>
      <w:r>
        <w:rPr>
          <w:b w:val="0"/>
          <w:color w:val="FF0000"/>
          <w:sz w:val="28"/>
          <w:szCs w:val="28"/>
          <w:lang w:val="fr-FR"/>
        </w:rPr>
        <w:t>16</w:t>
      </w:r>
      <w:r w:rsidRPr="00E974D6">
        <w:rPr>
          <w:b w:val="0"/>
          <w:color w:val="FF0000"/>
          <w:sz w:val="28"/>
          <w:szCs w:val="28"/>
          <w:lang w:val="fr-FR"/>
        </w:rPr>
        <w:t>/09/2020</w:t>
      </w:r>
    </w:p>
    <w:p w:rsidRPr="00261F46" w:rsidR="00C94F35" w:rsidP="00C94F35">
      <w:pPr>
        <w:pStyle w:val="jupara0"/>
        <w:ind w:firstLine="0"/>
        <w:jc w:val="center"/>
        <w:rPr>
          <w:u w:val="single"/>
          <w:lang w:val="fr-FR"/>
        </w:rPr>
      </w:pPr>
    </w:p>
    <w:p w:rsidRPr="00083DAD" w:rsidR="00516B59" w:rsidP="00C94F35">
      <w:pPr>
        <w:rPr>
          <w:rFonts w:ascii="Times New Roman" w:hAnsi="Times New Roman" w:cs="Times New Roman"/>
          <w:i/>
          <w:sz w:val="22"/>
        </w:rPr>
      </w:pPr>
      <w:r w:rsidRPr="00261F46">
        <w:rPr>
          <w:i/>
          <w:iCs/>
          <w:sz w:val="22"/>
          <w:szCs w:val="22"/>
        </w:rPr>
        <w:t>Cet arrêt est devenu définitif en vertu de l’article 44 § 2 de la Convention. Il peut subir des retouches de forme.</w:t>
      </w:r>
    </w:p>
    <w:p w:rsidRPr="00083DAD" w:rsidR="00516B59" w:rsidP="00083DAD">
      <w:pPr>
        <w:ind w:left="720"/>
        <w:rPr>
          <w:rFonts w:ascii="Times New Roman" w:hAnsi="Times New Roman" w:cs="Times New Roman"/>
          <w:sz w:val="22"/>
        </w:rPr>
        <w:sectPr w:rsidSect="00F912E4">
          <w:headerReference w:type="default" r:id="rId5"/>
          <w:footerReference w:type="even" r:id="rId6"/>
          <w:footerReference w:type="default" r:id="rId7"/>
          <w:footnotePr>
            <w:numRestart w:val="eachSect"/>
          </w:footnotePr>
          <w:endnotePr>
            <w:numFmt w:val="decimal"/>
          </w:endnotePr>
          <w:pgSz w:w="11906" w:h="16838" w:code="9"/>
          <w:pgMar w:top="2274" w:right="2274" w:bottom="2274" w:left="2274" w:header="1701" w:footer="720" w:gutter="0"/>
          <w:pgNumType w:start="1"/>
          <w:cols w:space="720"/>
          <w:noEndnote/>
        </w:sectPr>
      </w:pPr>
    </w:p>
    <w:p w:rsidRPr="00083DAD" w:rsidR="004344E6" w:rsidP="00083DAD">
      <w:pPr>
        <w:pStyle w:val="JuCase"/>
      </w:pPr>
      <w:r w:rsidRPr="00083DAD">
        <w:t>En l</w:t>
      </w:r>
      <w:r w:rsidRPr="00083DAD" w:rsidR="00083DAD">
        <w:t>’</w:t>
      </w:r>
      <w:r w:rsidRPr="00083DAD">
        <w:t xml:space="preserve">affaire </w:t>
      </w:r>
      <w:r w:rsidRPr="00083DAD" w:rsidR="00AC4B47">
        <w:t>George-</w:t>
      </w:r>
      <w:r w:rsidRPr="00083DAD" w:rsidR="00AC4B47">
        <w:t>Laviniu</w:t>
      </w:r>
      <w:r w:rsidRPr="00083DAD" w:rsidR="00AC4B47">
        <w:t xml:space="preserve"> </w:t>
      </w:r>
      <w:r w:rsidRPr="00083DAD" w:rsidR="00CC31BB">
        <w:t>Ghiurău</w:t>
      </w:r>
      <w:r w:rsidRPr="00083DAD" w:rsidR="00CC31BB">
        <w:t xml:space="preserve"> c. Roumanie</w:t>
      </w:r>
      <w:r w:rsidRPr="00083DAD">
        <w:t>,</w:t>
      </w:r>
    </w:p>
    <w:p w:rsidRPr="00083DAD" w:rsidR="004344E6" w:rsidP="00083DAD">
      <w:pPr>
        <w:pStyle w:val="JuPara"/>
      </w:pPr>
      <w:r w:rsidRPr="00083DAD">
        <w:t>La Cour européenne des droits de l</w:t>
      </w:r>
      <w:r w:rsidRPr="00083DAD" w:rsidR="00083DAD">
        <w:t>’</w:t>
      </w:r>
      <w:r w:rsidRPr="00083DAD">
        <w:t>homme (</w:t>
      </w:r>
      <w:r w:rsidRPr="00083DAD" w:rsidR="00CC31BB">
        <w:t>quatrième section</w:t>
      </w:r>
      <w:r w:rsidRPr="00083DAD">
        <w:t xml:space="preserve">), siégeant en </w:t>
      </w:r>
      <w:r w:rsidRPr="00083DAD" w:rsidR="00CC31BB">
        <w:rPr>
          <w:color w:val="000000"/>
        </w:rPr>
        <w:t>une</w:t>
      </w:r>
      <w:r w:rsidRPr="00083DAD" w:rsidR="00CC31BB">
        <w:t xml:space="preserve"> Chambre composée</w:t>
      </w:r>
      <w:r w:rsidRPr="00083DAD">
        <w:t xml:space="preserve"> de :</w:t>
      </w:r>
    </w:p>
    <w:p w:rsidRPr="00083DAD" w:rsidR="00086D1F" w:rsidP="00083DAD">
      <w:pPr>
        <w:pStyle w:val="JuJudges"/>
        <w:tabs>
          <w:tab w:val="left" w:pos="4316"/>
        </w:tabs>
        <w:rPr>
          <w:i/>
          <w:lang w:val="it-IT"/>
        </w:rPr>
      </w:pPr>
      <w:r w:rsidRPr="00083DAD">
        <w:tab/>
      </w:r>
      <w:r w:rsidRPr="00083DAD">
        <w:rPr>
          <w:lang w:val="it-IT"/>
        </w:rPr>
        <w:t>Jon</w:t>
      </w:r>
      <w:r w:rsidRPr="00083DAD">
        <w:rPr>
          <w:lang w:val="it-IT"/>
        </w:rPr>
        <w:t xml:space="preserve"> </w:t>
      </w:r>
      <w:r w:rsidRPr="00083DAD">
        <w:rPr>
          <w:lang w:val="it-IT"/>
        </w:rPr>
        <w:t>Fridrik</w:t>
      </w:r>
      <w:r w:rsidRPr="00083DAD">
        <w:rPr>
          <w:lang w:val="it-IT"/>
        </w:rPr>
        <w:t xml:space="preserve"> </w:t>
      </w:r>
      <w:r w:rsidRPr="00083DAD">
        <w:rPr>
          <w:lang w:val="it-IT"/>
        </w:rPr>
        <w:t>Kjølbro</w:t>
      </w:r>
      <w:r w:rsidRPr="00083DAD">
        <w:rPr>
          <w:lang w:val="it-IT"/>
        </w:rPr>
        <w:t>,</w:t>
      </w:r>
      <w:r w:rsidRPr="00083DAD">
        <w:rPr>
          <w:i/>
          <w:lang w:val="it-IT"/>
        </w:rPr>
        <w:t xml:space="preserve"> </w:t>
      </w:r>
      <w:r w:rsidRPr="00083DAD">
        <w:rPr>
          <w:i/>
          <w:lang w:val="it-IT"/>
        </w:rPr>
        <w:t>président</w:t>
      </w:r>
      <w:r w:rsidRPr="00083DAD">
        <w:rPr>
          <w:i/>
          <w:lang w:val="it-IT"/>
        </w:rPr>
        <w:t>,</w:t>
      </w:r>
    </w:p>
    <w:p w:rsidRPr="00083DAD" w:rsidR="00086D1F" w:rsidP="00083DAD">
      <w:pPr>
        <w:pStyle w:val="JuJudges"/>
        <w:tabs>
          <w:tab w:val="left" w:pos="4316"/>
        </w:tabs>
        <w:rPr>
          <w:i/>
          <w:lang w:val="it-IT"/>
        </w:rPr>
      </w:pPr>
      <w:r w:rsidRPr="00083DAD">
        <w:rPr>
          <w:lang w:val="it-IT"/>
        </w:rPr>
        <w:tab/>
      </w:r>
      <w:r w:rsidRPr="00083DAD">
        <w:rPr>
          <w:lang w:val="it-IT"/>
        </w:rPr>
        <w:t>Faris</w:t>
      </w:r>
      <w:r w:rsidRPr="00083DAD">
        <w:rPr>
          <w:lang w:val="it-IT"/>
        </w:rPr>
        <w:t xml:space="preserve"> </w:t>
      </w:r>
      <w:r w:rsidRPr="00083DAD">
        <w:rPr>
          <w:lang w:val="it-IT"/>
        </w:rPr>
        <w:t>Vehabović</w:t>
      </w:r>
      <w:r w:rsidRPr="00083DAD">
        <w:rPr>
          <w:lang w:val="it-IT"/>
        </w:rPr>
        <w:t>,</w:t>
      </w:r>
    </w:p>
    <w:p w:rsidRPr="00083DAD" w:rsidR="00086D1F" w:rsidP="00083DAD">
      <w:pPr>
        <w:pStyle w:val="JuJudges"/>
        <w:tabs>
          <w:tab w:val="left" w:pos="4316"/>
        </w:tabs>
        <w:rPr>
          <w:i/>
          <w:lang w:val="it-IT"/>
        </w:rPr>
      </w:pPr>
      <w:r w:rsidRPr="00083DAD">
        <w:rPr>
          <w:lang w:val="it-IT"/>
        </w:rPr>
        <w:tab/>
        <w:t xml:space="preserve">Iulia </w:t>
      </w:r>
      <w:r w:rsidRPr="00083DAD">
        <w:rPr>
          <w:lang w:val="it-IT"/>
        </w:rPr>
        <w:t>Antoanella</w:t>
      </w:r>
      <w:r w:rsidRPr="00083DAD">
        <w:rPr>
          <w:lang w:val="it-IT"/>
        </w:rPr>
        <w:t xml:space="preserve"> Motoc,</w:t>
      </w:r>
    </w:p>
    <w:p w:rsidRPr="00083DAD" w:rsidR="00086D1F" w:rsidP="00083DAD">
      <w:pPr>
        <w:pStyle w:val="JuJudges"/>
        <w:tabs>
          <w:tab w:val="left" w:pos="4316"/>
        </w:tabs>
        <w:rPr>
          <w:i/>
        </w:rPr>
      </w:pPr>
      <w:r w:rsidRPr="00083DAD">
        <w:rPr>
          <w:lang w:val="it-IT"/>
        </w:rPr>
        <w:tab/>
      </w:r>
      <w:r w:rsidRPr="00083DAD">
        <w:t>Branko</w:t>
      </w:r>
      <w:r w:rsidRPr="00083DAD">
        <w:t xml:space="preserve"> </w:t>
      </w:r>
      <w:r w:rsidRPr="00083DAD">
        <w:t>Lubarda</w:t>
      </w:r>
      <w:r w:rsidRPr="00083DAD">
        <w:t>,</w:t>
      </w:r>
    </w:p>
    <w:p w:rsidRPr="00083DAD" w:rsidR="00086D1F" w:rsidP="00083DAD">
      <w:pPr>
        <w:pStyle w:val="JuJudges"/>
        <w:tabs>
          <w:tab w:val="left" w:pos="4316"/>
        </w:tabs>
        <w:rPr>
          <w:i/>
        </w:rPr>
      </w:pPr>
      <w:r w:rsidRPr="00083DAD">
        <w:tab/>
        <w:t xml:space="preserve">Georges </w:t>
      </w:r>
      <w:r w:rsidRPr="00083DAD">
        <w:t>Ravarani</w:t>
      </w:r>
      <w:r w:rsidRPr="00083DAD">
        <w:t>,</w:t>
      </w:r>
    </w:p>
    <w:p w:rsidRPr="00083DAD" w:rsidR="00086D1F" w:rsidP="00083DAD">
      <w:pPr>
        <w:pStyle w:val="JuJudges"/>
        <w:tabs>
          <w:tab w:val="left" w:pos="4316"/>
        </w:tabs>
        <w:rPr>
          <w:i/>
        </w:rPr>
      </w:pPr>
      <w:r w:rsidRPr="00083DAD">
        <w:tab/>
        <w:t>Jolien Schukking,</w:t>
      </w:r>
    </w:p>
    <w:p w:rsidRPr="00083DAD" w:rsidR="004344E6" w:rsidP="00083DAD">
      <w:pPr>
        <w:pStyle w:val="JuJudges"/>
        <w:tabs>
          <w:tab w:val="left" w:pos="4316"/>
        </w:tabs>
      </w:pPr>
      <w:r w:rsidRPr="00083DAD">
        <w:tab/>
        <w:t xml:space="preserve">Péter </w:t>
      </w:r>
      <w:r w:rsidRPr="00083DAD">
        <w:t>Paczolay</w:t>
      </w:r>
      <w:r w:rsidRPr="00083DAD">
        <w:t>,</w:t>
      </w:r>
      <w:r w:rsidRPr="00083DAD">
        <w:rPr>
          <w:i/>
        </w:rPr>
        <w:t xml:space="preserve"> juges</w:t>
      </w:r>
      <w:r w:rsidRPr="00083DAD">
        <w:rPr>
          <w:i/>
        </w:rPr>
        <w:t>,</w:t>
      </w:r>
      <w:r w:rsidRPr="00083DAD">
        <w:br/>
        <w:t xml:space="preserve">et de </w:t>
      </w:r>
      <w:r w:rsidRPr="00083DAD" w:rsidR="00CC31BB">
        <w:t>Andrea Tamietti</w:t>
      </w:r>
      <w:r w:rsidRPr="00083DAD">
        <w:t xml:space="preserve">, </w:t>
      </w:r>
      <w:r w:rsidRPr="00083DAD" w:rsidR="00CC31BB">
        <w:rPr>
          <w:i/>
        </w:rPr>
        <w:t>greffier</w:t>
      </w:r>
      <w:r w:rsidRPr="00083DAD" w:rsidR="00CC31BB">
        <w:rPr>
          <w:iCs/>
        </w:rPr>
        <w:t xml:space="preserve"> </w:t>
      </w:r>
      <w:r w:rsidRPr="00083DAD" w:rsidR="00CC31BB">
        <w:rPr>
          <w:i/>
          <w:iCs/>
        </w:rPr>
        <w:t>d</w:t>
      </w:r>
      <w:r w:rsidRPr="00083DAD" w:rsidR="00CC31BB">
        <w:rPr>
          <w:i/>
        </w:rPr>
        <w:t>e section</w:t>
      </w:r>
      <w:r w:rsidRPr="00083DAD">
        <w:t>,</w:t>
      </w:r>
    </w:p>
    <w:p w:rsidRPr="00083DAD" w:rsidR="00CC31BB" w:rsidP="00083DAD">
      <w:pPr>
        <w:pStyle w:val="JuPara"/>
      </w:pPr>
      <w:bookmarkStart w:name="ITMARKHavingStart" w:id="1"/>
      <w:bookmarkEnd w:id="1"/>
      <w:r w:rsidRPr="00083DAD">
        <w:t>Vu :</w:t>
      </w:r>
    </w:p>
    <w:p w:rsidRPr="00083DAD" w:rsidR="00CC31BB" w:rsidP="00083DAD">
      <w:pPr>
        <w:pStyle w:val="JuPara"/>
      </w:pPr>
      <w:r w:rsidRPr="00083DAD">
        <w:t>la</w:t>
      </w:r>
      <w:r w:rsidRPr="00083DAD">
        <w:t xml:space="preserve"> requête susmentionnée (n</w:t>
      </w:r>
      <w:r w:rsidRPr="00083DAD">
        <w:rPr>
          <w:vertAlign w:val="superscript"/>
        </w:rPr>
        <w:t>o</w:t>
      </w:r>
      <w:r w:rsidRPr="00083DAD">
        <w:t> 15549/16) dirigée contre la Roumanie et dont un ressortissant de cet État, M. George-</w:t>
      </w:r>
      <w:r w:rsidRPr="00083DAD">
        <w:t>Laviniu</w:t>
      </w:r>
      <w:r w:rsidRPr="00083DAD">
        <w:t xml:space="preserve"> </w:t>
      </w:r>
      <w:r w:rsidRPr="00083DAD">
        <w:t>Ghiurău</w:t>
      </w:r>
      <w:r w:rsidRPr="00083DAD">
        <w:t xml:space="preserve"> (« le requérant ») a saisi la Cour en vertu de l</w:t>
      </w:r>
      <w:r w:rsidRPr="00083DAD" w:rsidR="00083DAD">
        <w:t>’</w:t>
      </w:r>
      <w:r w:rsidRPr="00083DAD">
        <w:t>article 34 de la Convention de sauvegarde des droits de l</w:t>
      </w:r>
      <w:r w:rsidRPr="00083DAD" w:rsidR="00083DAD">
        <w:t>’</w:t>
      </w:r>
      <w:r w:rsidRPr="00083DAD">
        <w:t>homme et des libertés fondamentales (« la Convention ») le 9 mars 2016,</w:t>
      </w:r>
    </w:p>
    <w:p w:rsidRPr="00083DAD" w:rsidR="00CC31BB" w:rsidP="00083DAD">
      <w:pPr>
        <w:pStyle w:val="JuPara"/>
      </w:pPr>
      <w:r w:rsidRPr="00083DAD">
        <w:t>les</w:t>
      </w:r>
      <w:r w:rsidRPr="00083DAD">
        <w:t xml:space="preserve"> observations des parties,</w:t>
      </w:r>
    </w:p>
    <w:p w:rsidRPr="00083DAD" w:rsidR="00CC31BB" w:rsidP="00083DAD">
      <w:pPr>
        <w:pStyle w:val="JuPara"/>
      </w:pPr>
      <w:r w:rsidRPr="00083DAD">
        <w:t>Notant que, le 19 octobre 2017, la requête a été communiquée au Gouvernement,</w:t>
      </w:r>
    </w:p>
    <w:p w:rsidRPr="00083DAD" w:rsidR="004344E6" w:rsidP="00083DAD">
      <w:pPr>
        <w:pStyle w:val="JuPara"/>
      </w:pPr>
      <w:r w:rsidRPr="00083DAD">
        <w:t xml:space="preserve">Après en avoir délibéré en chambre du conseil le </w:t>
      </w:r>
      <w:r w:rsidRPr="00083DAD" w:rsidR="00CC31BB">
        <w:t>15 avril 2020</w:t>
      </w:r>
      <w:r w:rsidRPr="00083DAD">
        <w:t>,</w:t>
      </w:r>
    </w:p>
    <w:p w:rsidRPr="00083DAD" w:rsidR="00876F03" w:rsidP="00083DAD">
      <w:pPr>
        <w:pStyle w:val="JuPara"/>
      </w:pPr>
      <w:r w:rsidRPr="00083DAD">
        <w:t>Rend l</w:t>
      </w:r>
      <w:r w:rsidRPr="00083DAD" w:rsidR="00083DAD">
        <w:t>’</w:t>
      </w:r>
      <w:r w:rsidRPr="00083DAD">
        <w:t>arrêt que voici</w:t>
      </w:r>
      <w:r w:rsidRPr="00083DAD">
        <w:t>, adopté à cette date :</w:t>
      </w:r>
    </w:p>
    <w:p w:rsidRPr="00083DAD" w:rsidR="00CC31BB" w:rsidP="00083DAD">
      <w:pPr>
        <w:pStyle w:val="JuHHead"/>
        <w:rPr>
          <w:lang w:val="fr-FR"/>
        </w:rPr>
      </w:pPr>
      <w:r w:rsidRPr="00083DAD">
        <w:rPr>
          <w:lang w:val="fr-FR"/>
        </w:rPr>
        <w:t>INTRODUCTION</w:t>
      </w:r>
    </w:p>
    <w:p w:rsidRPr="00083DAD" w:rsidR="00CC31BB" w:rsidP="00083DAD">
      <w:pPr>
        <w:pStyle w:val="JuPara"/>
      </w:pPr>
      <w:r w:rsidRPr="00083DAD">
        <w:t>Dans sa requête, le requérant se plaignait, sur le terrain de l</w:t>
      </w:r>
      <w:r w:rsidRPr="00083DAD" w:rsidR="00083DAD">
        <w:t>’</w:t>
      </w:r>
      <w:r w:rsidRPr="00083DAD">
        <w:t>article 6 de la Convention, de la durée et d</w:t>
      </w:r>
      <w:r w:rsidRPr="00083DAD" w:rsidR="00083DAD">
        <w:t>’</w:t>
      </w:r>
      <w:r w:rsidRPr="00083DAD">
        <w:t>un défaut d</w:t>
      </w:r>
      <w:r w:rsidRPr="00083DAD" w:rsidR="00083DAD">
        <w:t>’</w:t>
      </w:r>
      <w:r w:rsidRPr="00083DAD">
        <w:t>équité de la procédure pénale menée contre lui, à raison notamment d</w:t>
      </w:r>
      <w:r w:rsidRPr="00083DAD" w:rsidR="00083DAD">
        <w:t>’</w:t>
      </w:r>
      <w:r w:rsidRPr="00083DAD">
        <w:t>un manque d</w:t>
      </w:r>
      <w:r w:rsidRPr="00083DAD" w:rsidR="00083DAD">
        <w:t>’</w:t>
      </w:r>
      <w:r w:rsidRPr="00083DAD">
        <w:t>impartialité de la juridiction ayant examiné son appel, ainsi que de la non-audition d</w:t>
      </w:r>
      <w:r w:rsidRPr="00083DAD" w:rsidR="00083DAD">
        <w:t>’</w:t>
      </w:r>
      <w:r w:rsidRPr="00083DAD">
        <w:t>un témoin à charge. Invoquant l</w:t>
      </w:r>
      <w:r w:rsidRPr="00083DAD" w:rsidR="00083DAD">
        <w:t>’</w:t>
      </w:r>
      <w:r w:rsidRPr="00083DAD">
        <w:t>article 3 de la Convention, il se plaignait également de ses conditions de détention à la prison d</w:t>
      </w:r>
      <w:r w:rsidRPr="00083DAD" w:rsidR="00083DAD">
        <w:t>’</w:t>
      </w:r>
      <w:r w:rsidRPr="00083DAD">
        <w:t>Oradea.</w:t>
      </w:r>
    </w:p>
    <w:p w:rsidRPr="00083DAD" w:rsidR="00CC31BB" w:rsidP="00083DAD">
      <w:pPr>
        <w:pStyle w:val="JuHHead"/>
        <w:keepNext w:val="0"/>
        <w:keepLines w:val="0"/>
        <w:numPr>
          <w:ilvl w:val="0"/>
          <w:numId w:val="21"/>
        </w:numPr>
        <w:jc w:val="both"/>
        <w:rPr>
          <w:lang w:val="fr-FR"/>
        </w:rPr>
      </w:pPr>
      <w:r w:rsidRPr="00083DAD">
        <w:rPr>
          <w:lang w:val="fr-FR"/>
        </w:rPr>
        <w:t>EN FAIT</w:t>
      </w:r>
    </w:p>
    <w:p w:rsidRPr="00083DAD" w:rsidR="00CC31BB" w:rsidP="00083DAD">
      <w:pPr>
        <w:pStyle w:val="JuPara"/>
      </w:pPr>
      <w:r w:rsidRPr="00083DAD">
        <w:fldChar w:fldCharType="begin"/>
      </w:r>
      <w:r w:rsidRPr="00083DAD">
        <w:instrText xml:space="preserve"> SEQ level0 \*arabic </w:instrText>
      </w:r>
      <w:r w:rsidRPr="00083DAD">
        <w:fldChar w:fldCharType="separate"/>
      </w:r>
      <w:r w:rsidRPr="00083DAD" w:rsidR="00083DAD">
        <w:rPr>
          <w:noProof/>
        </w:rPr>
        <w:t>1</w:t>
      </w:r>
      <w:r w:rsidRPr="00083DAD">
        <w:fldChar w:fldCharType="end"/>
      </w:r>
      <w:r w:rsidRPr="00083DAD">
        <w:t>.  </w:t>
      </w:r>
      <w:r w:rsidRPr="00083DAD">
        <w:t>Le requérant est né en 1987 et réside à Oradea. Il a été représenté par M</w:t>
      </w:r>
      <w:r w:rsidRPr="00083DAD">
        <w:rPr>
          <w:vertAlign w:val="superscript"/>
        </w:rPr>
        <w:t>e</w:t>
      </w:r>
      <w:r w:rsidRPr="00083DAD" w:rsidR="000777C8">
        <w:t> </w:t>
      </w:r>
      <w:r w:rsidRPr="00083DAD" w:rsidR="00C80014">
        <w:t>A. </w:t>
      </w:r>
      <w:r w:rsidRPr="00083DAD">
        <w:t>Stancu</w:t>
      </w:r>
      <w:r w:rsidRPr="00083DAD">
        <w:t>, avocat.</w:t>
      </w:r>
    </w:p>
    <w:p w:rsidRPr="00083DAD" w:rsidR="00CC31BB" w:rsidP="00083DAD">
      <w:pPr>
        <w:pStyle w:val="JuPara"/>
      </w:pPr>
      <w:r w:rsidRPr="00083DAD">
        <w:fldChar w:fldCharType="begin"/>
      </w:r>
      <w:r w:rsidRPr="00083DAD">
        <w:instrText xml:space="preserve"> SEQ level0 \*arabic </w:instrText>
      </w:r>
      <w:r w:rsidRPr="00083DAD">
        <w:fldChar w:fldCharType="separate"/>
      </w:r>
      <w:r w:rsidRPr="00083DAD" w:rsidR="00083DAD">
        <w:rPr>
          <w:noProof/>
        </w:rPr>
        <w:t>2</w:t>
      </w:r>
      <w:r w:rsidRPr="00083DAD">
        <w:fldChar w:fldCharType="end"/>
      </w:r>
      <w:r w:rsidRPr="00083DAD">
        <w:t>.  Le gouvernement roumain (« le Gouvernement ») a été représenté par son agente, M</w:t>
      </w:r>
      <w:r w:rsidRPr="00083DAD">
        <w:rPr>
          <w:vertAlign w:val="superscript"/>
        </w:rPr>
        <w:t>me</w:t>
      </w:r>
      <w:r w:rsidRPr="00083DAD">
        <w:t xml:space="preserve"> C. </w:t>
      </w:r>
      <w:r w:rsidRPr="00083DAD">
        <w:t>Brumar</w:t>
      </w:r>
      <w:r w:rsidRPr="00083DAD">
        <w:t>, représentante de la Roumanie auprès de la Cour européenne des droits de l</w:t>
      </w:r>
      <w:r w:rsidRPr="00083DAD" w:rsidR="00083DAD">
        <w:t>’</w:t>
      </w:r>
      <w:r w:rsidRPr="00083DAD">
        <w:t>homme.</w:t>
      </w:r>
    </w:p>
    <w:p w:rsidRPr="00083DAD" w:rsidR="00CC31BB" w:rsidP="00083DAD">
      <w:pPr>
        <w:pStyle w:val="JuHIRoman"/>
        <w:rPr>
          <w:lang w:val="fr-FR"/>
        </w:rPr>
      </w:pPr>
      <w:r w:rsidRPr="00083DAD">
        <w:rPr>
          <w:lang w:val="fr-FR"/>
        </w:rPr>
        <w:t>LA PROCÉDURE PÉNALE MENÉE CONTRE LE REQUÉRANT</w:t>
      </w:r>
    </w:p>
    <w:bookmarkStart w:name="para_4" w:id="2"/>
    <w:p w:rsidRPr="00083DAD" w:rsidR="00CC31BB" w:rsidP="00083DAD">
      <w:pPr>
        <w:pStyle w:val="JuPara"/>
        <w:keepNext/>
        <w:keepLines/>
      </w:pPr>
      <w:r w:rsidRPr="00083DAD">
        <w:fldChar w:fldCharType="begin"/>
      </w:r>
      <w:r w:rsidRPr="00083DAD">
        <w:instrText xml:space="preserve"> SEQ level0 \*arabic </w:instrText>
      </w:r>
      <w:r w:rsidRPr="00083DAD">
        <w:fldChar w:fldCharType="separate"/>
      </w:r>
      <w:r w:rsidRPr="00083DAD" w:rsidR="00083DAD">
        <w:rPr>
          <w:noProof/>
        </w:rPr>
        <w:t>3</w:t>
      </w:r>
      <w:r w:rsidRPr="00083DAD">
        <w:fldChar w:fldCharType="end"/>
      </w:r>
      <w:bookmarkEnd w:id="2"/>
      <w:r w:rsidRPr="00083DAD">
        <w:t>.  Le 12 août 2010, un certain B.F. déposa une plainte pénale contre le requérant au motif que celui-ci l</w:t>
      </w:r>
      <w:r w:rsidRPr="00083DAD" w:rsidR="00083DAD">
        <w:t>’</w:t>
      </w:r>
      <w:r w:rsidRPr="00083DAD">
        <w:t>avait frappé dans la rue et lui avait causé des blessures.</w:t>
      </w:r>
    </w:p>
    <w:bookmarkStart w:name="par_4" w:id="3"/>
    <w:p w:rsidRPr="00083DAD" w:rsidR="00CC31BB" w:rsidP="00083DAD">
      <w:pPr>
        <w:pStyle w:val="JuPara"/>
      </w:pPr>
      <w:r w:rsidRPr="00083DAD">
        <w:fldChar w:fldCharType="begin"/>
      </w:r>
      <w:r w:rsidRPr="00083DAD">
        <w:instrText xml:space="preserve"> SEQ level0 \*arabic </w:instrText>
      </w:r>
      <w:r w:rsidRPr="00083DAD">
        <w:fldChar w:fldCharType="separate"/>
      </w:r>
      <w:r w:rsidRPr="00083DAD" w:rsidR="00083DAD">
        <w:rPr>
          <w:noProof/>
        </w:rPr>
        <w:t>4</w:t>
      </w:r>
      <w:r w:rsidRPr="00083DAD">
        <w:fldChar w:fldCharType="end"/>
      </w:r>
      <w:bookmarkEnd w:id="3"/>
      <w:r w:rsidRPr="00083DAD">
        <w:t>.  Le requérant fut cité à comparaître en qualité de suspect. Il fut ainsi convoqué à plusieurs reprises, tel qu</w:t>
      </w:r>
      <w:r w:rsidRPr="00083DAD" w:rsidR="00083DAD">
        <w:t>’</w:t>
      </w:r>
      <w:r w:rsidRPr="00083DAD">
        <w:t>il ressort de la copie du dossier du parquet, que le Gouvernement a soumise, qui comporte une citation remise en mains propres le 18 octobre 2010 et deux citations affichées sur la porte de l</w:t>
      </w:r>
      <w:r w:rsidRPr="00083DAD" w:rsidR="00083DAD">
        <w:t>’</w:t>
      </w:r>
      <w:r w:rsidRPr="00083DAD">
        <w:t>immeuble de l</w:t>
      </w:r>
      <w:r w:rsidRPr="00083DAD" w:rsidR="00083DAD">
        <w:t>’</w:t>
      </w:r>
      <w:r w:rsidRPr="00083DAD">
        <w:t>intéressé les 26 octobre 2010 et 10</w:t>
      </w:r>
      <w:r w:rsidRPr="00083DAD" w:rsidR="000777C8">
        <w:t xml:space="preserve"> </w:t>
      </w:r>
      <w:r w:rsidRPr="00083DAD">
        <w:t>mars 2011 ainsi qu</w:t>
      </w:r>
      <w:r w:rsidRPr="00083DAD" w:rsidR="00083DAD">
        <w:t>’</w:t>
      </w:r>
      <w:r w:rsidRPr="00083DAD">
        <w:t>un mandat d</w:t>
      </w:r>
      <w:r w:rsidRPr="00083DAD" w:rsidR="00083DAD">
        <w:t>’</w:t>
      </w:r>
      <w:r w:rsidRPr="00083DAD">
        <w:t>amener en date du 26</w:t>
      </w:r>
      <w:r w:rsidRPr="00083DAD" w:rsidR="000777C8">
        <w:t xml:space="preserve"> </w:t>
      </w:r>
      <w:r w:rsidRPr="00083DAD">
        <w:t>novembre 2010. Aux dires du Gouvernement, non réfutés par le requérant, ce dernier ne se présenta au parquet que le 26</w:t>
      </w:r>
      <w:r w:rsidRPr="00083DAD" w:rsidR="000777C8">
        <w:t xml:space="preserve"> </w:t>
      </w:r>
      <w:r w:rsidRPr="00083DAD">
        <w:t>octobre 2011, pour refuser de faire une déclaration.</w:t>
      </w:r>
    </w:p>
    <w:bookmarkStart w:name="débutprocédure" w:id="4"/>
    <w:p w:rsidRPr="00083DAD" w:rsidR="00CC31BB" w:rsidP="00083DAD">
      <w:pPr>
        <w:pStyle w:val="JuPara"/>
      </w:pPr>
      <w:r w:rsidRPr="00083DAD">
        <w:fldChar w:fldCharType="begin"/>
      </w:r>
      <w:r w:rsidRPr="00083DAD">
        <w:instrText xml:space="preserve"> SEQ level0 \*arabic </w:instrText>
      </w:r>
      <w:r w:rsidRPr="00083DAD">
        <w:fldChar w:fldCharType="separate"/>
      </w:r>
      <w:r w:rsidRPr="00083DAD" w:rsidR="00083DAD">
        <w:rPr>
          <w:noProof/>
        </w:rPr>
        <w:t>5</w:t>
      </w:r>
      <w:r w:rsidRPr="00083DAD">
        <w:fldChar w:fldCharType="end"/>
      </w:r>
      <w:bookmarkEnd w:id="4"/>
      <w:r w:rsidRPr="00083DAD">
        <w:t>.  Entretemps, le 18 novembre 2010, le parquet avait décidé de déclencher des poursuites pénales contre le requérant, ce dont, d</w:t>
      </w:r>
      <w:r w:rsidRPr="00083DAD" w:rsidR="00083DAD">
        <w:t>’</w:t>
      </w:r>
      <w:r w:rsidRPr="00083DAD">
        <w:t>après les indications du Gouvernement, non contestées par l</w:t>
      </w:r>
      <w:r w:rsidRPr="00083DAD" w:rsidR="00083DAD">
        <w:t>’</w:t>
      </w:r>
      <w:r w:rsidRPr="00083DAD">
        <w:t>intéressé, ce dernier prit connaissance le 26 octobre 2011.</w:t>
      </w:r>
    </w:p>
    <w:bookmarkStart w:name="declarKI_parquet" w:id="5"/>
    <w:p w:rsidRPr="00083DAD" w:rsidR="00CC31BB" w:rsidP="00083DAD">
      <w:pPr>
        <w:pStyle w:val="JuPara"/>
      </w:pPr>
      <w:r w:rsidRPr="00083DAD">
        <w:fldChar w:fldCharType="begin"/>
      </w:r>
      <w:r w:rsidRPr="00083DAD">
        <w:instrText xml:space="preserve"> SEQ level0 \*arabic </w:instrText>
      </w:r>
      <w:r w:rsidRPr="00083DAD">
        <w:fldChar w:fldCharType="separate"/>
      </w:r>
      <w:r w:rsidRPr="00083DAD" w:rsidR="00083DAD">
        <w:rPr>
          <w:noProof/>
        </w:rPr>
        <w:t>6</w:t>
      </w:r>
      <w:r w:rsidRPr="00083DAD">
        <w:fldChar w:fldCharType="end"/>
      </w:r>
      <w:bookmarkEnd w:id="5"/>
      <w:r w:rsidRPr="00083DAD">
        <w:t>.  Le parquet procéda à des actes d</w:t>
      </w:r>
      <w:r w:rsidRPr="00083DAD" w:rsidR="00083DAD">
        <w:t>’</w:t>
      </w:r>
      <w:r w:rsidRPr="00083DAD">
        <w:t>enquête. Entre autres, il entendit plusieurs témoins, dont K.I. Celui-ci déclara qu</w:t>
      </w:r>
      <w:r w:rsidRPr="00083DAD" w:rsidR="00083DAD">
        <w:t>’</w:t>
      </w:r>
      <w:r w:rsidRPr="00083DAD">
        <w:t xml:space="preserve">il avait vu le requérant </w:t>
      </w:r>
      <w:r w:rsidRPr="00083DAD">
        <w:t>penché</w:t>
      </w:r>
      <w:r w:rsidRPr="00083DAD">
        <w:t xml:space="preserve"> sur la victime et que celle-ci présentait des traces de violences. À la demande de l</w:t>
      </w:r>
      <w:r w:rsidRPr="00083DAD" w:rsidR="00083DAD">
        <w:t>’</w:t>
      </w:r>
      <w:r w:rsidRPr="00083DAD">
        <w:t>avocat du requérant, K.I. fut soumis à un test du détecteur de mensonges, ainsi qu</w:t>
      </w:r>
      <w:r w:rsidRPr="00083DAD" w:rsidR="00083DAD">
        <w:t>’</w:t>
      </w:r>
      <w:r w:rsidRPr="00083DAD">
        <w:t>à des confrontations avec d</w:t>
      </w:r>
      <w:r w:rsidRPr="00083DAD" w:rsidR="00083DAD">
        <w:t>’</w:t>
      </w:r>
      <w:r w:rsidRPr="00083DAD">
        <w:t>autres témoins, dont le père du requérant. Selon les conclusions dudit test, K.I. n</w:t>
      </w:r>
      <w:r w:rsidRPr="00083DAD" w:rsidR="00083DAD">
        <w:t>’</w:t>
      </w:r>
      <w:r w:rsidRPr="00083DAD">
        <w:t>avait pas fait de déclarations mensongères. Le requérant fut également soumis à un test similaire et, selon les conclusions de celui-ci, il avait fait des déclarations mensongères quand il avait nié avoir frappé la victime.</w:t>
      </w:r>
    </w:p>
    <w:p w:rsidRPr="00083DAD" w:rsidR="00CC31BB" w:rsidP="00083DAD">
      <w:pPr>
        <w:pStyle w:val="JuPara"/>
      </w:pPr>
      <w:r w:rsidRPr="00083DAD">
        <w:fldChar w:fldCharType="begin"/>
      </w:r>
      <w:r w:rsidRPr="00083DAD">
        <w:instrText xml:space="preserve"> SEQ level0 \*arabic </w:instrText>
      </w:r>
      <w:r w:rsidRPr="00083DAD">
        <w:fldChar w:fldCharType="separate"/>
      </w:r>
      <w:r w:rsidRPr="00083DAD" w:rsidR="00083DAD">
        <w:rPr>
          <w:noProof/>
        </w:rPr>
        <w:t>7</w:t>
      </w:r>
      <w:r w:rsidRPr="00083DAD">
        <w:fldChar w:fldCharType="end"/>
      </w:r>
      <w:r w:rsidRPr="00083DAD">
        <w:t>.  Par un réquisitoire du 16 juillet 2013, le requérant fut renvoyé en jugement pour blessures corporelles graves (</w:t>
      </w:r>
      <w:r w:rsidRPr="00083DAD">
        <w:rPr>
          <w:i/>
        </w:rPr>
        <w:t>v</w:t>
      </w:r>
      <w:r w:rsidRPr="00083DAD">
        <w:rPr>
          <w:rFonts w:cstheme="minorHAnsi"/>
          <w:i/>
        </w:rPr>
        <w:t>ă</w:t>
      </w:r>
      <w:r w:rsidRPr="00083DAD">
        <w:rPr>
          <w:i/>
        </w:rPr>
        <w:t>t</w:t>
      </w:r>
      <w:r w:rsidRPr="00083DAD">
        <w:rPr>
          <w:rFonts w:cstheme="minorHAnsi"/>
          <w:i/>
        </w:rPr>
        <w:t>ă</w:t>
      </w:r>
      <w:r w:rsidRPr="00083DAD">
        <w:rPr>
          <w:i/>
        </w:rPr>
        <w:t>mare</w:t>
      </w:r>
      <w:r w:rsidRPr="00083DAD">
        <w:rPr>
          <w:i/>
        </w:rPr>
        <w:t xml:space="preserve"> </w:t>
      </w:r>
      <w:r w:rsidRPr="00083DAD">
        <w:rPr>
          <w:i/>
        </w:rPr>
        <w:t>corporal</w:t>
      </w:r>
      <w:r w:rsidRPr="00083DAD">
        <w:rPr>
          <w:rFonts w:cstheme="minorHAnsi"/>
          <w:i/>
        </w:rPr>
        <w:t>ă</w:t>
      </w:r>
      <w:r w:rsidRPr="00083DAD">
        <w:rPr>
          <w:i/>
        </w:rPr>
        <w:t xml:space="preserve"> </w:t>
      </w:r>
      <w:r w:rsidRPr="00083DAD">
        <w:rPr>
          <w:i/>
        </w:rPr>
        <w:t>grav</w:t>
      </w:r>
      <w:r w:rsidRPr="00083DAD">
        <w:rPr>
          <w:rFonts w:cstheme="minorHAnsi"/>
          <w:i/>
        </w:rPr>
        <w:t>ă</w:t>
      </w:r>
      <w:r w:rsidRPr="00083DAD">
        <w:t>). L</w:t>
      </w:r>
      <w:r w:rsidRPr="00083DAD" w:rsidR="00083DAD">
        <w:t>’</w:t>
      </w:r>
      <w:r w:rsidRPr="00083DAD">
        <w:t>affaire fut enregistrée par le tribunal de première instance d</w:t>
      </w:r>
      <w:r w:rsidRPr="00083DAD" w:rsidR="00083DAD">
        <w:t>’</w:t>
      </w:r>
      <w:r w:rsidRPr="00083DAD">
        <w:t>Oradea (« le tribunal »). Le 7 mars 2014, après l</w:t>
      </w:r>
      <w:r w:rsidRPr="00083DAD" w:rsidR="00083DAD">
        <w:t>’</w:t>
      </w:r>
      <w:r w:rsidRPr="00083DAD">
        <w:t>entrée en vigueur du nouveau code de procédure pénale, l</w:t>
      </w:r>
      <w:r w:rsidRPr="00083DAD" w:rsidR="00083DAD">
        <w:t>’</w:t>
      </w:r>
      <w:r w:rsidRPr="00083DAD">
        <w:t>affaire fut déférée au juge de chambre préliminaire (</w:t>
      </w:r>
      <w:r w:rsidRPr="00083DAD">
        <w:rPr>
          <w:i/>
          <w:iCs/>
        </w:rPr>
        <w:t>judecătorul</w:t>
      </w:r>
      <w:r w:rsidRPr="00083DAD">
        <w:rPr>
          <w:i/>
          <w:iCs/>
        </w:rPr>
        <w:t xml:space="preserve"> de </w:t>
      </w:r>
      <w:r w:rsidRPr="00083DAD">
        <w:rPr>
          <w:i/>
          <w:iCs/>
        </w:rPr>
        <w:t>cameră</w:t>
      </w:r>
      <w:r w:rsidRPr="00083DAD">
        <w:rPr>
          <w:i/>
          <w:iCs/>
        </w:rPr>
        <w:t xml:space="preserve"> </w:t>
      </w:r>
      <w:r w:rsidRPr="00083DAD">
        <w:rPr>
          <w:i/>
          <w:iCs/>
        </w:rPr>
        <w:t>preliminară</w:t>
      </w:r>
      <w:r w:rsidRPr="00083DAD">
        <w:t>) pour vérification de la légalité de la saisine du tribunal.</w:t>
      </w:r>
    </w:p>
    <w:p w:rsidRPr="00083DAD" w:rsidR="00CC31BB" w:rsidP="00083DAD">
      <w:pPr>
        <w:pStyle w:val="JuPara"/>
      </w:pPr>
      <w:r w:rsidRPr="00083DAD">
        <w:fldChar w:fldCharType="begin"/>
      </w:r>
      <w:r w:rsidRPr="00083DAD">
        <w:instrText xml:space="preserve"> SEQ level0 \*arabic </w:instrText>
      </w:r>
      <w:r w:rsidRPr="00083DAD">
        <w:fldChar w:fldCharType="separate"/>
      </w:r>
      <w:r w:rsidRPr="00083DAD" w:rsidR="00083DAD">
        <w:rPr>
          <w:noProof/>
        </w:rPr>
        <w:t>8</w:t>
      </w:r>
      <w:r w:rsidRPr="00083DAD">
        <w:fldChar w:fldCharType="end"/>
      </w:r>
      <w:r w:rsidRPr="00083DAD">
        <w:t>.  Par un jugement avant dire droit du 15 avril 2014, le tribunal constata la légalité de sa saisine par le parquet et décida de procéder à l</w:t>
      </w:r>
      <w:r w:rsidRPr="00083DAD" w:rsidR="00083DAD">
        <w:t>’</w:t>
      </w:r>
      <w:r w:rsidRPr="00083DAD">
        <w:t>examen sur le fond.</w:t>
      </w:r>
    </w:p>
    <w:p w:rsidRPr="00083DAD" w:rsidR="00CC31BB" w:rsidP="00083DAD">
      <w:pPr>
        <w:pStyle w:val="JuPara"/>
      </w:pPr>
      <w:r w:rsidRPr="00083DAD">
        <w:fldChar w:fldCharType="begin"/>
      </w:r>
      <w:r w:rsidRPr="00083DAD">
        <w:instrText xml:space="preserve"> SEQ level0 \*arabic </w:instrText>
      </w:r>
      <w:r w:rsidRPr="00083DAD">
        <w:fldChar w:fldCharType="separate"/>
      </w:r>
      <w:r w:rsidRPr="00083DAD" w:rsidR="00083DAD">
        <w:rPr>
          <w:noProof/>
        </w:rPr>
        <w:t>9</w:t>
      </w:r>
      <w:r w:rsidRPr="00083DAD">
        <w:fldChar w:fldCharType="end"/>
      </w:r>
      <w:r w:rsidRPr="00083DAD">
        <w:t>.  Le 27 juin 2014, le tribunal entendit le requérant. Celui-ci nia les faits qui lui étaient reprochés.</w:t>
      </w:r>
    </w:p>
    <w:p w:rsidRPr="00083DAD" w:rsidR="00CC31BB" w:rsidP="00083DAD">
      <w:pPr>
        <w:pStyle w:val="JuPara"/>
      </w:pPr>
      <w:r w:rsidRPr="00083DAD">
        <w:fldChar w:fldCharType="begin"/>
      </w:r>
      <w:r w:rsidRPr="00083DAD">
        <w:instrText xml:space="preserve"> SEQ level0 \*arabic </w:instrText>
      </w:r>
      <w:r w:rsidRPr="00083DAD">
        <w:fldChar w:fldCharType="separate"/>
      </w:r>
      <w:r w:rsidRPr="00083DAD" w:rsidR="00083DAD">
        <w:rPr>
          <w:noProof/>
        </w:rPr>
        <w:t>10</w:t>
      </w:r>
      <w:r w:rsidRPr="00083DAD">
        <w:fldChar w:fldCharType="end"/>
      </w:r>
      <w:r w:rsidRPr="00083DAD">
        <w:t>.  Le tribunal procéda à l</w:t>
      </w:r>
      <w:r w:rsidRPr="00083DAD" w:rsidR="00083DAD">
        <w:t>’</w:t>
      </w:r>
      <w:r w:rsidRPr="00083DAD">
        <w:t>examen des éléments de preuve et entendit les témoins proposés par les parties. Le témoin B.D.V. déclara qu</w:t>
      </w:r>
      <w:r w:rsidRPr="00083DAD" w:rsidR="00083DAD">
        <w:t>’</w:t>
      </w:r>
      <w:r w:rsidRPr="00083DAD">
        <w:t>il se trouvait dans la cour d</w:t>
      </w:r>
      <w:r w:rsidRPr="00083DAD" w:rsidR="00083DAD">
        <w:t>’</w:t>
      </w:r>
      <w:r w:rsidRPr="00083DAD">
        <w:t>un immeuble au moment des faits, que K.I. l</w:t>
      </w:r>
      <w:r w:rsidRPr="00083DAD" w:rsidR="00083DAD">
        <w:t>’</w:t>
      </w:r>
      <w:r w:rsidRPr="00083DAD">
        <w:t>y avait rejoint pour lui dire que B.F. avait été frappé par le requérant, et qu</w:t>
      </w:r>
      <w:r w:rsidRPr="00083DAD" w:rsidR="00083DAD">
        <w:t>’</w:t>
      </w:r>
      <w:r w:rsidRPr="00083DAD">
        <w:t>il avait lui-même ensuite vu la victime dans la rue être poussée par un jeune homme qui s</w:t>
      </w:r>
      <w:r w:rsidRPr="00083DAD" w:rsidR="00083DAD">
        <w:t>’</w:t>
      </w:r>
      <w:r w:rsidRPr="00083DAD">
        <w:t>était rapidement enfui des lieux. Il ajouta qu</w:t>
      </w:r>
      <w:r w:rsidRPr="00083DAD" w:rsidR="00083DAD">
        <w:t>’</w:t>
      </w:r>
      <w:r w:rsidRPr="00083DAD">
        <w:t>après l</w:t>
      </w:r>
      <w:r w:rsidRPr="00083DAD" w:rsidR="00083DAD">
        <w:t>’</w:t>
      </w:r>
      <w:r w:rsidRPr="00083DAD">
        <w:t xml:space="preserve">incident il avait </w:t>
      </w:r>
      <w:r w:rsidRPr="00083DAD">
        <w:t>vu ce jeune homme à une terrasse en compagnie d</w:t>
      </w:r>
      <w:r w:rsidRPr="00083DAD" w:rsidR="00083DAD">
        <w:t>’</w:t>
      </w:r>
      <w:r w:rsidRPr="00083DAD">
        <w:t>un autre individu, identifié comme étant le père du requérant.</w:t>
      </w:r>
    </w:p>
    <w:bookmarkStart w:name="KI_tribunal" w:id="6"/>
    <w:p w:rsidRPr="00083DAD" w:rsidR="00CC31BB" w:rsidP="00083DAD">
      <w:pPr>
        <w:pStyle w:val="JuPara"/>
      </w:pPr>
      <w:r w:rsidRPr="00083DAD">
        <w:fldChar w:fldCharType="begin"/>
      </w:r>
      <w:r w:rsidRPr="00083DAD">
        <w:instrText xml:space="preserve"> SEQ level0 \*arabic </w:instrText>
      </w:r>
      <w:r w:rsidRPr="00083DAD">
        <w:fldChar w:fldCharType="separate"/>
      </w:r>
      <w:r w:rsidRPr="00083DAD" w:rsidR="00083DAD">
        <w:rPr>
          <w:noProof/>
        </w:rPr>
        <w:t>11</w:t>
      </w:r>
      <w:r w:rsidRPr="00083DAD">
        <w:fldChar w:fldCharType="end"/>
      </w:r>
      <w:bookmarkEnd w:id="6"/>
      <w:r w:rsidRPr="00083DAD">
        <w:t>.  S</w:t>
      </w:r>
      <w:r w:rsidRPr="00083DAD" w:rsidR="00083DAD">
        <w:t>’</w:t>
      </w:r>
      <w:r w:rsidRPr="00083DAD">
        <w:t>agissant notamment du témoin K.I., celui-ci ne se présenta pas, bien que cité à comparaître, et il ne put être localisé malgré la demande d</w:t>
      </w:r>
      <w:r w:rsidRPr="00083DAD" w:rsidR="00083DAD">
        <w:t>’</w:t>
      </w:r>
      <w:r w:rsidRPr="00083DAD">
        <w:t>informations sur son domicile formulée par le tribunal auprès de l</w:t>
      </w:r>
      <w:r w:rsidRPr="00083DAD" w:rsidR="00083DAD">
        <w:t>’</w:t>
      </w:r>
      <w:r w:rsidRPr="00083DAD">
        <w:t>autorité administrative compétente. Des mandats d</w:t>
      </w:r>
      <w:r w:rsidRPr="00083DAD" w:rsidR="00083DAD">
        <w:t>’</w:t>
      </w:r>
      <w:r w:rsidRPr="00083DAD">
        <w:t>amener furent émis contre ce témoin les 6</w:t>
      </w:r>
      <w:r w:rsidRPr="00083DAD" w:rsidR="000777C8">
        <w:t xml:space="preserve"> </w:t>
      </w:r>
      <w:r w:rsidRPr="00083DAD">
        <w:t>octobre, 7</w:t>
      </w:r>
      <w:r w:rsidRPr="00083DAD" w:rsidR="000777C8">
        <w:t xml:space="preserve"> </w:t>
      </w:r>
      <w:r w:rsidRPr="00083DAD">
        <w:t>novembre et 12</w:t>
      </w:r>
      <w:r w:rsidRPr="00083DAD" w:rsidR="000777C8">
        <w:t xml:space="preserve"> </w:t>
      </w:r>
      <w:r w:rsidRPr="00083DAD">
        <w:t>décembre 2014 et 2</w:t>
      </w:r>
      <w:r w:rsidRPr="00083DAD" w:rsidR="000777C8">
        <w:t> </w:t>
      </w:r>
      <w:r w:rsidRPr="00083DAD">
        <w:t>février</w:t>
      </w:r>
      <w:r w:rsidRPr="00083DAD" w:rsidR="000777C8">
        <w:t> </w:t>
      </w:r>
      <w:r w:rsidRPr="00083DAD">
        <w:t>2015, mais celui-ci ne fut trouvé à aucune des adresses indiquées par les parties ou identifiées au cours de la délivrance de ces mandats, les policiers chargés d</w:t>
      </w:r>
      <w:r w:rsidRPr="00083DAD" w:rsidR="00083DAD">
        <w:t>’</w:t>
      </w:r>
      <w:r w:rsidRPr="00083DAD">
        <w:t>en assurer l</w:t>
      </w:r>
      <w:r w:rsidRPr="00083DAD" w:rsidR="00083DAD">
        <w:t>’</w:t>
      </w:r>
      <w:r w:rsidRPr="00083DAD">
        <w:t>exécution ayant constaté que l</w:t>
      </w:r>
      <w:r w:rsidRPr="00083DAD" w:rsidR="00083DAD">
        <w:t>’</w:t>
      </w:r>
      <w:r w:rsidRPr="00083DAD">
        <w:t>intéressé était sans domicile fixe.</w:t>
      </w:r>
    </w:p>
    <w:bookmarkStart w:name="lectureKI_audience_publique" w:id="7"/>
    <w:p w:rsidRPr="00083DAD" w:rsidR="00CC31BB" w:rsidP="00083DAD">
      <w:pPr>
        <w:pStyle w:val="JuPara"/>
      </w:pPr>
      <w:r w:rsidRPr="00083DAD">
        <w:fldChar w:fldCharType="begin"/>
      </w:r>
      <w:r w:rsidRPr="00083DAD">
        <w:instrText xml:space="preserve"> SEQ level0 \*arabic </w:instrText>
      </w:r>
      <w:r w:rsidRPr="00083DAD">
        <w:fldChar w:fldCharType="separate"/>
      </w:r>
      <w:r w:rsidRPr="00083DAD" w:rsidR="00083DAD">
        <w:rPr>
          <w:noProof/>
        </w:rPr>
        <w:t>12</w:t>
      </w:r>
      <w:r w:rsidRPr="00083DAD">
        <w:fldChar w:fldCharType="end"/>
      </w:r>
      <w:bookmarkEnd w:id="7"/>
      <w:r w:rsidRPr="00083DAD">
        <w:t>.  À l</w:t>
      </w:r>
      <w:r w:rsidRPr="00083DAD" w:rsidR="00083DAD">
        <w:t>’</w:t>
      </w:r>
      <w:r w:rsidRPr="00083DAD">
        <w:t>audience du 12 mars 2015, le tribunal constata une impossibilité objective d</w:t>
      </w:r>
      <w:r w:rsidRPr="00083DAD" w:rsidR="00083DAD">
        <w:t>’</w:t>
      </w:r>
      <w:r w:rsidRPr="00083DAD">
        <w:t>entendre le témoin K.I. et il procéda à la lecture des cinq déclarations que celui-ci avait faites au cours des poursuites.</w:t>
      </w:r>
    </w:p>
    <w:p w:rsidRPr="00083DAD" w:rsidR="00CC31BB" w:rsidP="00083DAD">
      <w:pPr>
        <w:pStyle w:val="JuPara"/>
      </w:pPr>
      <w:r w:rsidRPr="00083DAD">
        <w:fldChar w:fldCharType="begin"/>
      </w:r>
      <w:r w:rsidRPr="00083DAD">
        <w:instrText xml:space="preserve"> SEQ level0 \*arabic </w:instrText>
      </w:r>
      <w:r w:rsidRPr="00083DAD">
        <w:fldChar w:fldCharType="separate"/>
      </w:r>
      <w:r w:rsidRPr="00083DAD" w:rsidR="00083DAD">
        <w:rPr>
          <w:noProof/>
        </w:rPr>
        <w:t>13</w:t>
      </w:r>
      <w:r w:rsidRPr="00083DAD">
        <w:fldChar w:fldCharType="end"/>
      </w:r>
      <w:r w:rsidRPr="00083DAD">
        <w:t>.  Tout au long de la procédure devant le tribunal, le requérant fut représenté par un avocat de son choix.</w:t>
      </w:r>
    </w:p>
    <w:bookmarkStart w:name="sentinta_1inst" w:id="8"/>
    <w:p w:rsidRPr="00083DAD" w:rsidR="00CC31BB" w:rsidP="00083DAD">
      <w:pPr>
        <w:pStyle w:val="JuPara"/>
      </w:pPr>
      <w:r w:rsidRPr="00083DAD">
        <w:fldChar w:fldCharType="begin"/>
      </w:r>
      <w:r w:rsidRPr="00083DAD">
        <w:instrText xml:space="preserve"> SEQ level0 \*arabic </w:instrText>
      </w:r>
      <w:r w:rsidRPr="00083DAD">
        <w:fldChar w:fldCharType="separate"/>
      </w:r>
      <w:r w:rsidRPr="00083DAD" w:rsidR="00083DAD">
        <w:rPr>
          <w:noProof/>
        </w:rPr>
        <w:t>14</w:t>
      </w:r>
      <w:r w:rsidRPr="00083DAD">
        <w:fldChar w:fldCharType="end"/>
      </w:r>
      <w:bookmarkEnd w:id="8"/>
      <w:r w:rsidRPr="00083DAD">
        <w:t>.  Par un jugement du 26 mars 2015, le tribunal jugea que le requérant avait frappé la victime et lui avait provoqué des blessures qui avaient nécessité soixante-dix jours de soins médicaux et qui avaient causé à celle</w:t>
      </w:r>
      <w:r w:rsidRPr="00083DAD">
        <w:noBreakHyphen/>
        <w:t>ci une infirmité physique permanente. Pour ce faire, tout d</w:t>
      </w:r>
      <w:r w:rsidRPr="00083DAD" w:rsidR="00083DAD">
        <w:t>’</w:t>
      </w:r>
      <w:r w:rsidRPr="00083DAD">
        <w:t>abord, le tribunal procéda à l</w:t>
      </w:r>
      <w:r w:rsidRPr="00083DAD" w:rsidR="00083DAD">
        <w:t>’</w:t>
      </w:r>
      <w:r w:rsidRPr="00083DAD">
        <w:t>établissement des faits. La partie du jugement y relative était ainsi rédigée :</w:t>
      </w:r>
    </w:p>
    <w:p w:rsidRPr="00083DAD" w:rsidR="00CC31BB" w:rsidP="00083DAD">
      <w:pPr>
        <w:pStyle w:val="JuQuot"/>
        <w:rPr>
          <w:i/>
        </w:rPr>
      </w:pPr>
      <w:r w:rsidRPr="00083DAD">
        <w:t>« La situation de fait présentée ci-dessus résulte de la corroboration, [les uns par les autres], des éléments de preuve suivants : le certificat médicolégal, le rapport d</w:t>
      </w:r>
      <w:r w:rsidRPr="00083DAD" w:rsidR="00083DAD">
        <w:t>’</w:t>
      </w:r>
      <w:r w:rsidRPr="00083DAD">
        <w:t>expertise médicolégale, les déclarations de la partie lésée, B.F., les déclarations des témoins K.I. et B.D.V., les rapports sur le test</w:t>
      </w:r>
      <w:r w:rsidRPr="00083DAD">
        <w:rPr>
          <w:sz w:val="24"/>
        </w:rPr>
        <w:t xml:space="preserve"> </w:t>
      </w:r>
      <w:r w:rsidRPr="00083DAD">
        <w:t>du détecteur de mensonges (</w:t>
      </w:r>
      <w:r w:rsidRPr="00083DAD" w:rsidR="005752B7">
        <w:rPr>
          <w:i/>
        </w:rPr>
        <w:t>rapoartele</w:t>
      </w:r>
      <w:r w:rsidRPr="00083DAD" w:rsidR="005752B7">
        <w:rPr>
          <w:i/>
        </w:rPr>
        <w:t xml:space="preserve"> de </w:t>
      </w:r>
      <w:r w:rsidRPr="00083DAD" w:rsidR="005752B7">
        <w:rPr>
          <w:i/>
        </w:rPr>
        <w:t>constatare</w:t>
      </w:r>
      <w:r w:rsidRPr="00083DAD" w:rsidR="005752B7">
        <w:rPr>
          <w:i/>
        </w:rPr>
        <w:t xml:space="preserve"> </w:t>
      </w:r>
      <w:r w:rsidRPr="00083DAD" w:rsidR="005752B7">
        <w:rPr>
          <w:i/>
        </w:rPr>
        <w:t>tehnico</w:t>
      </w:r>
      <w:r w:rsidRPr="00083DAD" w:rsidR="005752B7">
        <w:rPr>
          <w:i/>
        </w:rPr>
        <w:t>-</w:t>
      </w:r>
      <w:r w:rsidRPr="00083DAD" w:rsidR="005752B7">
        <w:rPr>
          <w:i/>
          <w:lang w:val="ro-RO"/>
        </w:rPr>
        <w:t>științifică asupra comportamentului simulat</w:t>
      </w:r>
      <w:r w:rsidRPr="00083DAD">
        <w:t>) passé par le</w:t>
      </w:r>
      <w:r w:rsidRPr="00083DAD" w:rsidR="005752B7">
        <w:t xml:space="preserve"> </w:t>
      </w:r>
      <w:r w:rsidRPr="00083DAD">
        <w:t>témoin K.I. et par l</w:t>
      </w:r>
      <w:r w:rsidRPr="00083DAD" w:rsidR="00083DAD">
        <w:t>’</w:t>
      </w:r>
      <w:r w:rsidRPr="00083DAD">
        <w:t xml:space="preserve">inculpé </w:t>
      </w:r>
      <w:r w:rsidRPr="00083DAD">
        <w:t>Ghiur</w:t>
      </w:r>
      <w:r w:rsidRPr="00083DAD">
        <w:rPr>
          <w:rFonts w:cstheme="minorHAnsi"/>
        </w:rPr>
        <w:t>ă</w:t>
      </w:r>
      <w:r w:rsidRPr="00083DAD">
        <w:t>u</w:t>
      </w:r>
      <w:r w:rsidRPr="00083DAD">
        <w:t xml:space="preserve"> George-</w:t>
      </w:r>
      <w:r w:rsidRPr="00083DAD">
        <w:t>Laviniu</w:t>
      </w:r>
      <w:r w:rsidRPr="00083DAD">
        <w:t>, le procès-verbal de confrontation entre la personne lésée et l</w:t>
      </w:r>
      <w:r w:rsidRPr="00083DAD" w:rsidR="00083DAD">
        <w:t>’</w:t>
      </w:r>
      <w:r w:rsidRPr="00083DAD">
        <w:t>inculpé. »</w:t>
      </w:r>
    </w:p>
    <w:bookmarkStart w:name="trib_examen_probe" w:id="9"/>
    <w:p w:rsidRPr="00083DAD" w:rsidR="00CC31BB" w:rsidP="00083DAD">
      <w:pPr>
        <w:pStyle w:val="JuPara"/>
      </w:pPr>
      <w:r w:rsidRPr="00083DAD">
        <w:fldChar w:fldCharType="begin"/>
      </w:r>
      <w:r w:rsidRPr="00083DAD">
        <w:instrText xml:space="preserve"> SEQ level0 \*arabic </w:instrText>
      </w:r>
      <w:r w:rsidRPr="00083DAD">
        <w:fldChar w:fldCharType="separate"/>
      </w:r>
      <w:r w:rsidRPr="00083DAD" w:rsidR="00083DAD">
        <w:rPr>
          <w:noProof/>
        </w:rPr>
        <w:t>15</w:t>
      </w:r>
      <w:r w:rsidRPr="00083DAD">
        <w:fldChar w:fldCharType="end"/>
      </w:r>
      <w:bookmarkEnd w:id="9"/>
      <w:r w:rsidRPr="00083DAD">
        <w:t>.  Ensuite, le tribunal écarta l</w:t>
      </w:r>
      <w:r w:rsidRPr="00083DAD" w:rsidR="00083DAD">
        <w:t>’</w:t>
      </w:r>
      <w:r w:rsidRPr="00083DAD">
        <w:t>argument du requérant selon lequel ce dernier n</w:t>
      </w:r>
      <w:r w:rsidRPr="00083DAD" w:rsidR="00083DAD">
        <w:t>’</w:t>
      </w:r>
      <w:r w:rsidRPr="00083DAD">
        <w:t>était pas présent sur les lieux au moment des faits, au motif que cet argument était contredit par les déclarations de la victime et des témoins K.I. et B.D.V. En outre, il se référa aux conclusions du test du détecteur de mensonges subi par le requérant, et il jugea que celles-ci devaient être « interprétées en tant que simple probabilité » (</w:t>
      </w:r>
      <w:r w:rsidRPr="00083DAD">
        <w:rPr>
          <w:i/>
        </w:rPr>
        <w:t xml:space="preserve">vor fi </w:t>
      </w:r>
      <w:r w:rsidRPr="00083DAD">
        <w:rPr>
          <w:i/>
        </w:rPr>
        <w:t>interpretate</w:t>
      </w:r>
      <w:r w:rsidRPr="00083DAD">
        <w:rPr>
          <w:i/>
        </w:rPr>
        <w:t xml:space="preserve"> ca </w:t>
      </w:r>
      <w:r w:rsidRPr="00083DAD">
        <w:rPr>
          <w:rFonts w:cstheme="minorHAnsi"/>
          <w:i/>
        </w:rPr>
        <w:t>ş</w:t>
      </w:r>
      <w:r w:rsidRPr="00083DAD">
        <w:rPr>
          <w:i/>
        </w:rPr>
        <w:t>i</w:t>
      </w:r>
      <w:r w:rsidRPr="00083DAD">
        <w:rPr>
          <w:i/>
        </w:rPr>
        <w:t xml:space="preserve"> </w:t>
      </w:r>
      <w:r w:rsidRPr="00083DAD">
        <w:rPr>
          <w:i/>
        </w:rPr>
        <w:t>probabilitate</w:t>
      </w:r>
      <w:r w:rsidRPr="00083DAD">
        <w:t>) et donc prises en compte avec circonspection, mais qu</w:t>
      </w:r>
      <w:r w:rsidRPr="00083DAD" w:rsidR="00083DAD">
        <w:t>’</w:t>
      </w:r>
      <w:r w:rsidRPr="00083DAD">
        <w:t>elles offraient des indices qui, corroborés avec les preuves examinées en l</w:t>
      </w:r>
      <w:r w:rsidRPr="00083DAD" w:rsidR="00083DAD">
        <w:t>’</w:t>
      </w:r>
      <w:r w:rsidRPr="00083DAD">
        <w:t>affaire, permettaient de conclure que l</w:t>
      </w:r>
      <w:r w:rsidRPr="00083DAD" w:rsidR="00083DAD">
        <w:t>’</w:t>
      </w:r>
      <w:r w:rsidRPr="00083DAD">
        <w:t>intéressé n</w:t>
      </w:r>
      <w:r w:rsidRPr="00083DAD" w:rsidR="00083DAD">
        <w:t>’</w:t>
      </w:r>
      <w:r w:rsidRPr="00083DAD">
        <w:t>avait pas été sincère quand il avait déclaré qu</w:t>
      </w:r>
      <w:r w:rsidRPr="00083DAD" w:rsidR="00083DAD">
        <w:t>’</w:t>
      </w:r>
      <w:r w:rsidRPr="00083DAD">
        <w:t>il n</w:t>
      </w:r>
      <w:r w:rsidRPr="00083DAD" w:rsidR="00083DAD">
        <w:t>’</w:t>
      </w:r>
      <w:r w:rsidRPr="00083DAD">
        <w:t>était pas présent lors de l</w:t>
      </w:r>
      <w:r w:rsidRPr="00083DAD" w:rsidR="00083DAD">
        <w:t>’</w:t>
      </w:r>
      <w:r w:rsidRPr="00083DAD">
        <w:t>incident et qu</w:t>
      </w:r>
      <w:r w:rsidRPr="00083DAD" w:rsidR="00083DAD">
        <w:t>’</w:t>
      </w:r>
      <w:r w:rsidRPr="00083DAD">
        <w:t>il n</w:t>
      </w:r>
      <w:r w:rsidRPr="00083DAD" w:rsidR="00083DAD">
        <w:t>’</w:t>
      </w:r>
      <w:r w:rsidRPr="00083DAD">
        <w:t>avait pas frappé la victime. Le tribunal écarta également le témoignage du père du requérant, qui avait déclaré que la victime avait trébuché et était tombée, au motif que ce témoignage était contredit par les documents médicolégaux et par les dépositions de la victime et des autres témoins entendus en l</w:t>
      </w:r>
      <w:r w:rsidRPr="00083DAD" w:rsidR="00083DAD">
        <w:t>’</w:t>
      </w:r>
      <w:r w:rsidRPr="00083DAD">
        <w:t xml:space="preserve">affaire. Il considéra que la déclaration du père du requérant était subjective. Enfin, </w:t>
      </w:r>
      <w:r w:rsidRPr="00083DAD">
        <w:t>le tribunal écarta la déclaration du témoin B.I.N.C., que le requérant avait proposé en sa défense, au motif que ce témoin n</w:t>
      </w:r>
      <w:r w:rsidRPr="00083DAD" w:rsidR="00083DAD">
        <w:t>’</w:t>
      </w:r>
      <w:r w:rsidRPr="00083DAD">
        <w:t>avait pas assisté à l</w:t>
      </w:r>
      <w:r w:rsidRPr="00083DAD" w:rsidR="00083DAD">
        <w:t>’</w:t>
      </w:r>
      <w:r w:rsidRPr="00083DAD">
        <w:t>incident et qu</w:t>
      </w:r>
      <w:r w:rsidRPr="00083DAD" w:rsidR="00083DAD">
        <w:t>’</w:t>
      </w:r>
      <w:r w:rsidRPr="00083DAD">
        <w:t>il avait présenté la version des faits telle qu</w:t>
      </w:r>
      <w:r w:rsidRPr="00083DAD" w:rsidR="00083DAD">
        <w:t>’</w:t>
      </w:r>
      <w:r w:rsidRPr="00083DAD">
        <w:t>elle lui avait été exposée par le père du requérant.</w:t>
      </w:r>
    </w:p>
    <w:p w:rsidRPr="00083DAD" w:rsidR="00CC31BB" w:rsidP="00083DAD">
      <w:pPr>
        <w:pStyle w:val="JuPara"/>
      </w:pPr>
      <w:r w:rsidRPr="00083DAD">
        <w:fldChar w:fldCharType="begin"/>
      </w:r>
      <w:r w:rsidRPr="00083DAD">
        <w:instrText xml:space="preserve"> SEQ level0 \*arabic </w:instrText>
      </w:r>
      <w:r w:rsidRPr="00083DAD">
        <w:fldChar w:fldCharType="separate"/>
      </w:r>
      <w:r w:rsidRPr="00083DAD" w:rsidR="00083DAD">
        <w:rPr>
          <w:noProof/>
        </w:rPr>
        <w:t>16</w:t>
      </w:r>
      <w:r w:rsidRPr="00083DAD">
        <w:fldChar w:fldCharType="end"/>
      </w:r>
      <w:r w:rsidRPr="00083DAD">
        <w:t>.  Le tribunal condamna le requérant à une peine de deux ans et huit mois d</w:t>
      </w:r>
      <w:r w:rsidRPr="00083DAD" w:rsidR="00083DAD">
        <w:t>’</w:t>
      </w:r>
      <w:r w:rsidRPr="00083DAD">
        <w:t>emprisonnement pour blessures corporelles graves ainsi qu</w:t>
      </w:r>
      <w:r w:rsidRPr="00083DAD" w:rsidR="00083DAD">
        <w:t>’</w:t>
      </w:r>
      <w:r w:rsidRPr="00083DAD">
        <w:t>au paiement de dommages et intérêts à la victime.</w:t>
      </w:r>
    </w:p>
    <w:p w:rsidRPr="00083DAD" w:rsidR="00CC31BB" w:rsidP="00083DAD">
      <w:pPr>
        <w:pStyle w:val="JuPara"/>
      </w:pPr>
      <w:r w:rsidRPr="00083DAD">
        <w:fldChar w:fldCharType="begin"/>
      </w:r>
      <w:r w:rsidRPr="00083DAD">
        <w:instrText xml:space="preserve"> SEQ level0 \*arabic </w:instrText>
      </w:r>
      <w:r w:rsidRPr="00083DAD">
        <w:fldChar w:fldCharType="separate"/>
      </w:r>
      <w:r w:rsidRPr="00083DAD" w:rsidR="00083DAD">
        <w:rPr>
          <w:noProof/>
        </w:rPr>
        <w:t>17</w:t>
      </w:r>
      <w:r w:rsidRPr="00083DAD">
        <w:fldChar w:fldCharType="end"/>
      </w:r>
      <w:r w:rsidRPr="00083DAD">
        <w:t>.  Le requérant interjeta appel contre ce jugement. Son appel fut enregistré par la cour d</w:t>
      </w:r>
      <w:r w:rsidRPr="00083DAD" w:rsidR="00083DAD">
        <w:t>’</w:t>
      </w:r>
      <w:r w:rsidRPr="00083DAD">
        <w:t>appel d</w:t>
      </w:r>
      <w:r w:rsidRPr="00083DAD" w:rsidR="00083DAD">
        <w:t>’</w:t>
      </w:r>
      <w:r w:rsidRPr="00083DAD">
        <w:t>Oradea (« la cour d</w:t>
      </w:r>
      <w:r w:rsidRPr="00083DAD" w:rsidR="00083DAD">
        <w:t>’</w:t>
      </w:r>
      <w:r w:rsidRPr="00083DAD">
        <w:t>appel »). L</w:t>
      </w:r>
      <w:r w:rsidRPr="00083DAD" w:rsidR="00083DAD">
        <w:t>’</w:t>
      </w:r>
      <w:r w:rsidRPr="00083DAD">
        <w:t>affaire fut attribuée à une formation composée des juges S.L. et C.A.</w:t>
      </w:r>
    </w:p>
    <w:bookmarkStart w:name="declar_abstentionSL" w:id="10"/>
    <w:p w:rsidRPr="00083DAD" w:rsidR="00CC31BB" w:rsidP="00083DAD">
      <w:pPr>
        <w:pStyle w:val="JuPara"/>
      </w:pPr>
      <w:r w:rsidRPr="00083DAD">
        <w:fldChar w:fldCharType="begin"/>
      </w:r>
      <w:r w:rsidRPr="00083DAD">
        <w:instrText xml:space="preserve"> SEQ level0 \*arabic </w:instrText>
      </w:r>
      <w:r w:rsidRPr="00083DAD">
        <w:fldChar w:fldCharType="separate"/>
      </w:r>
      <w:r w:rsidRPr="00083DAD" w:rsidR="00083DAD">
        <w:rPr>
          <w:noProof/>
        </w:rPr>
        <w:t>18</w:t>
      </w:r>
      <w:r w:rsidRPr="00083DAD">
        <w:fldChar w:fldCharType="end"/>
      </w:r>
      <w:bookmarkEnd w:id="10"/>
      <w:r w:rsidRPr="00083DAD">
        <w:t>.  Le 27 mai 2015, la juge S.L. fit une déclaration d</w:t>
      </w:r>
      <w:r w:rsidRPr="00083DAD" w:rsidR="00083DAD">
        <w:t>’</w:t>
      </w:r>
      <w:r w:rsidRPr="00083DAD">
        <w:t>abstention motivée par le fait qu</w:t>
      </w:r>
      <w:r w:rsidRPr="00083DAD" w:rsidR="00083DAD">
        <w:t>’</w:t>
      </w:r>
      <w:r w:rsidRPr="00083DAD">
        <w:t>elle connaissait le fils de la partie civile et que l</w:t>
      </w:r>
      <w:r w:rsidRPr="00083DAD" w:rsidR="00083DAD">
        <w:t>’</w:t>
      </w:r>
      <w:r w:rsidRPr="00083DAD">
        <w:t>avocat de cette dernière l</w:t>
      </w:r>
      <w:r w:rsidRPr="00083DAD" w:rsidR="00083DAD">
        <w:t>’</w:t>
      </w:r>
      <w:r w:rsidRPr="00083DAD">
        <w:t>avait représentée dans un procès civil. L</w:t>
      </w:r>
      <w:r w:rsidRPr="00083DAD" w:rsidR="00083DAD">
        <w:t>’</w:t>
      </w:r>
      <w:r w:rsidRPr="00083DAD">
        <w:t>examen de la demande d</w:t>
      </w:r>
      <w:r w:rsidRPr="00083DAD" w:rsidR="00083DAD">
        <w:t>’</w:t>
      </w:r>
      <w:r w:rsidRPr="00083DAD">
        <w:t>abstention fut attribué à une formation de la cour d</w:t>
      </w:r>
      <w:r w:rsidRPr="00083DAD" w:rsidR="00083DAD">
        <w:t>’</w:t>
      </w:r>
      <w:r w:rsidRPr="00083DAD">
        <w:t xml:space="preserve">appel composée des juges C.A. et </w:t>
      </w:r>
      <w:r w:rsidRPr="00083DAD">
        <w:rPr>
          <w:rFonts w:cstheme="minorHAnsi"/>
        </w:rPr>
        <w:t>Ţ</w:t>
      </w:r>
      <w:r w:rsidRPr="00083DAD">
        <w:t>.G. Par un jugement avant dire droit du 28</w:t>
      </w:r>
      <w:r w:rsidRPr="00083DAD" w:rsidR="000777C8">
        <w:t> </w:t>
      </w:r>
      <w:r w:rsidRPr="00083DAD">
        <w:t>mai</w:t>
      </w:r>
      <w:r w:rsidRPr="00083DAD" w:rsidR="00C80014">
        <w:t xml:space="preserve"> </w:t>
      </w:r>
      <w:r w:rsidRPr="00083DAD">
        <w:t>2015, cette formation rejeta la demande d</w:t>
      </w:r>
      <w:r w:rsidRPr="00083DAD" w:rsidR="00083DAD">
        <w:t>’</w:t>
      </w:r>
      <w:r w:rsidRPr="00083DAD">
        <w:t>abstention de la juge S.L. au motif que celle</w:t>
      </w:r>
      <w:r w:rsidRPr="00083DAD" w:rsidR="000777C8">
        <w:t>-</w:t>
      </w:r>
      <w:r w:rsidRPr="00083DAD">
        <w:t>ci ne se trouvait pas dans l</w:t>
      </w:r>
      <w:r w:rsidRPr="00083DAD" w:rsidR="00083DAD">
        <w:t>’</w:t>
      </w:r>
      <w:r w:rsidRPr="00083DAD">
        <w:t>un des cas d</w:t>
      </w:r>
      <w:r w:rsidRPr="00083DAD" w:rsidR="00083DAD">
        <w:t>’</w:t>
      </w:r>
      <w:r w:rsidRPr="00083DAD">
        <w:t>incompatibilité prévus par le code de procédure pénale (« le CPP » ; paragraphe</w:t>
      </w:r>
      <w:r w:rsidRPr="00083DAD" w:rsidR="000777C8">
        <w:t> </w:t>
      </w:r>
      <w:r w:rsidRPr="00083DAD" w:rsidR="00E11B71">
        <w:fldChar w:fldCharType="begin"/>
      </w:r>
      <w:r w:rsidRPr="00083DAD" w:rsidR="00E11B71">
        <w:instrText xml:space="preserve"> REF CPP \h </w:instrText>
      </w:r>
      <w:r w:rsidRPr="00083DAD" w:rsidR="00E11B71">
        <w:fldChar w:fldCharType="separate"/>
      </w:r>
      <w:r w:rsidRPr="00083DAD" w:rsidR="00083DAD">
        <w:rPr>
          <w:noProof/>
        </w:rPr>
        <w:t>27</w:t>
      </w:r>
      <w:r w:rsidRPr="00083DAD" w:rsidR="00E11B71">
        <w:fldChar w:fldCharType="end"/>
      </w:r>
      <w:r w:rsidRPr="00083DAD">
        <w:t xml:space="preserve"> ci</w:t>
      </w:r>
      <w:r w:rsidRPr="00083DAD">
        <w:noBreakHyphen/>
        <w:t>dessous) et qu</w:t>
      </w:r>
      <w:r w:rsidRPr="00083DAD" w:rsidR="00083DAD">
        <w:t>’</w:t>
      </w:r>
      <w:r w:rsidRPr="00083DAD">
        <w:t>il n</w:t>
      </w:r>
      <w:r w:rsidRPr="00083DAD" w:rsidR="00083DAD">
        <w:t>’</w:t>
      </w:r>
      <w:r w:rsidRPr="00083DAD">
        <w:t>avait pas été prouvé qu</w:t>
      </w:r>
      <w:r w:rsidRPr="00083DAD" w:rsidR="00083DAD">
        <w:t>’</w:t>
      </w:r>
      <w:r w:rsidRPr="00083DAD">
        <w:t>elle avait un intérêt en l</w:t>
      </w:r>
      <w:r w:rsidRPr="00083DAD" w:rsidR="00083DAD">
        <w:t>’</w:t>
      </w:r>
      <w:r w:rsidRPr="00083DAD">
        <w:t>espèce.</w:t>
      </w:r>
    </w:p>
    <w:bookmarkStart w:name="para_19" w:id="11"/>
    <w:p w:rsidRPr="00083DAD" w:rsidR="00CC31BB" w:rsidP="00083DAD">
      <w:pPr>
        <w:pStyle w:val="JuPara"/>
      </w:pPr>
      <w:r w:rsidRPr="00083DAD">
        <w:fldChar w:fldCharType="begin"/>
      </w:r>
      <w:r w:rsidRPr="00083DAD">
        <w:instrText xml:space="preserve"> SEQ level0 \*arabic </w:instrText>
      </w:r>
      <w:r w:rsidRPr="00083DAD">
        <w:fldChar w:fldCharType="separate"/>
      </w:r>
      <w:r w:rsidRPr="00083DAD" w:rsidR="00083DAD">
        <w:rPr>
          <w:noProof/>
        </w:rPr>
        <w:t>19</w:t>
      </w:r>
      <w:r w:rsidRPr="00083DAD">
        <w:fldChar w:fldCharType="end"/>
      </w:r>
      <w:bookmarkEnd w:id="11"/>
      <w:r w:rsidRPr="00083DAD">
        <w:t>.  L</w:t>
      </w:r>
      <w:r w:rsidRPr="00083DAD" w:rsidR="00083DAD">
        <w:t>’</w:t>
      </w:r>
      <w:r w:rsidRPr="00083DAD">
        <w:t>affaire fut ensuite examinée par la formation composée des juges S.L., en tant que présidente de la formation de jugement, et C.A.</w:t>
      </w:r>
    </w:p>
    <w:bookmarkStart w:name="KI_appel" w:id="12"/>
    <w:p w:rsidRPr="00083DAD" w:rsidR="00CC31BB" w:rsidP="00083DAD">
      <w:pPr>
        <w:pStyle w:val="JuPara"/>
      </w:pPr>
      <w:r w:rsidRPr="00083DAD">
        <w:fldChar w:fldCharType="begin"/>
      </w:r>
      <w:r w:rsidRPr="00083DAD">
        <w:instrText xml:space="preserve"> SEQ level0 \*arabic </w:instrText>
      </w:r>
      <w:r w:rsidRPr="00083DAD">
        <w:fldChar w:fldCharType="separate"/>
      </w:r>
      <w:r w:rsidRPr="00083DAD" w:rsidR="00083DAD">
        <w:rPr>
          <w:noProof/>
        </w:rPr>
        <w:t>20</w:t>
      </w:r>
      <w:r w:rsidRPr="00083DAD">
        <w:fldChar w:fldCharType="end"/>
      </w:r>
      <w:bookmarkEnd w:id="12"/>
      <w:r w:rsidRPr="00083DAD">
        <w:t>.  Le requérant demanda une nouvelle audition du témoin K.I. Un mandat d</w:t>
      </w:r>
      <w:r w:rsidRPr="00083DAD" w:rsidR="00083DAD">
        <w:t>’</w:t>
      </w:r>
      <w:r w:rsidRPr="00083DAD">
        <w:t>amener fut délivré le 24 juin 2015, mais le témoin ne put être localisé.</w:t>
      </w:r>
    </w:p>
    <w:p w:rsidRPr="00083DAD" w:rsidR="00CC31BB" w:rsidP="00083DAD">
      <w:pPr>
        <w:pStyle w:val="JuPara"/>
      </w:pPr>
      <w:r w:rsidRPr="00083DAD">
        <w:fldChar w:fldCharType="begin"/>
      </w:r>
      <w:r w:rsidRPr="00083DAD">
        <w:instrText xml:space="preserve"> SEQ level0 \*arabic </w:instrText>
      </w:r>
      <w:r w:rsidRPr="00083DAD">
        <w:fldChar w:fldCharType="separate"/>
      </w:r>
      <w:r w:rsidRPr="00083DAD" w:rsidR="00083DAD">
        <w:rPr>
          <w:noProof/>
        </w:rPr>
        <w:t>21</w:t>
      </w:r>
      <w:r w:rsidRPr="00083DAD">
        <w:fldChar w:fldCharType="end"/>
      </w:r>
      <w:r w:rsidRPr="00083DAD">
        <w:t>.  Tout au long de la procédure devant la cour d</w:t>
      </w:r>
      <w:r w:rsidRPr="00083DAD" w:rsidR="00083DAD">
        <w:t>’</w:t>
      </w:r>
      <w:r w:rsidRPr="00083DAD">
        <w:t>appel, le requérant fut représenté par un avocat de son choix.</w:t>
      </w:r>
    </w:p>
    <w:bookmarkStart w:name="arret_def_appel" w:id="13"/>
    <w:p w:rsidRPr="00083DAD" w:rsidR="00CC31BB" w:rsidP="00083DAD">
      <w:pPr>
        <w:pStyle w:val="JuPara"/>
      </w:pPr>
      <w:r w:rsidRPr="00083DAD">
        <w:fldChar w:fldCharType="begin"/>
      </w:r>
      <w:r w:rsidRPr="00083DAD">
        <w:instrText xml:space="preserve"> SEQ level0 \*arabic </w:instrText>
      </w:r>
      <w:r w:rsidRPr="00083DAD">
        <w:fldChar w:fldCharType="separate"/>
      </w:r>
      <w:r w:rsidRPr="00083DAD" w:rsidR="00083DAD">
        <w:rPr>
          <w:noProof/>
        </w:rPr>
        <w:t>22</w:t>
      </w:r>
      <w:r w:rsidRPr="00083DAD">
        <w:fldChar w:fldCharType="end"/>
      </w:r>
      <w:bookmarkEnd w:id="13"/>
      <w:r w:rsidRPr="00083DAD">
        <w:t>.  Par un arrêt du 15 septembre 2015, la cour d</w:t>
      </w:r>
      <w:r w:rsidRPr="00083DAD" w:rsidR="00083DAD">
        <w:t>’</w:t>
      </w:r>
      <w:r w:rsidRPr="00083DAD">
        <w:t>appel fit partiellement droit à l</w:t>
      </w:r>
      <w:r w:rsidRPr="00083DAD" w:rsidR="00083DAD">
        <w:t>’</w:t>
      </w:r>
      <w:r w:rsidRPr="00083DAD">
        <w:t>appel du requérant et réduisit la peine à deux ans d</w:t>
      </w:r>
      <w:r w:rsidRPr="00083DAD" w:rsidR="00083DAD">
        <w:t>’</w:t>
      </w:r>
      <w:r w:rsidRPr="00083DAD">
        <w:t>emprisonnement. Sur le fond, la cour d</w:t>
      </w:r>
      <w:r w:rsidRPr="00083DAD" w:rsidR="00083DAD">
        <w:t>’</w:t>
      </w:r>
      <w:r w:rsidRPr="00083DAD">
        <w:t>appel confirma l</w:t>
      </w:r>
      <w:r w:rsidRPr="00083DAD" w:rsidR="00083DAD">
        <w:t>’</w:t>
      </w:r>
      <w:r w:rsidRPr="00083DAD">
        <w:t>établissement des faits opéré par le tribunal et la responsabilité du requérant.</w:t>
      </w:r>
    </w:p>
    <w:p w:rsidRPr="00083DAD" w:rsidR="00CC31BB" w:rsidP="00083DAD">
      <w:pPr>
        <w:pStyle w:val="JuHIRoman"/>
        <w:rPr>
          <w:b/>
          <w:lang w:val="fr-FR"/>
        </w:rPr>
      </w:pPr>
      <w:r w:rsidRPr="00083DAD">
        <w:rPr>
          <w:lang w:val="fr-FR"/>
        </w:rPr>
        <w:t>Les conditions de détention du requérant</w:t>
      </w:r>
    </w:p>
    <w:bookmarkStart w:name="durée_détention_entout" w:id="14"/>
    <w:p w:rsidRPr="00083DAD" w:rsidR="00CC31BB" w:rsidP="00083DAD">
      <w:pPr>
        <w:pStyle w:val="JuPara"/>
      </w:pPr>
      <w:r w:rsidRPr="00083DAD">
        <w:fldChar w:fldCharType="begin"/>
      </w:r>
      <w:r w:rsidRPr="00083DAD">
        <w:instrText xml:space="preserve"> SEQ level0 \*arabic </w:instrText>
      </w:r>
      <w:r w:rsidRPr="00083DAD">
        <w:fldChar w:fldCharType="separate"/>
      </w:r>
      <w:r w:rsidRPr="00083DAD" w:rsidR="00083DAD">
        <w:rPr>
          <w:noProof/>
        </w:rPr>
        <w:t>23</w:t>
      </w:r>
      <w:r w:rsidRPr="00083DAD">
        <w:fldChar w:fldCharType="end"/>
      </w:r>
      <w:bookmarkEnd w:id="14"/>
      <w:r w:rsidRPr="00083DAD">
        <w:t>.  Le requérant fut détenu à la prison d</w:t>
      </w:r>
      <w:r w:rsidRPr="00083DAD" w:rsidR="00083DAD">
        <w:t>’</w:t>
      </w:r>
      <w:r w:rsidRPr="00083DAD">
        <w:t>Oradea du 16</w:t>
      </w:r>
      <w:r w:rsidRPr="00083DAD" w:rsidR="000777C8">
        <w:t> </w:t>
      </w:r>
      <w:r w:rsidRPr="00083DAD">
        <w:t>septembre</w:t>
      </w:r>
      <w:r w:rsidRPr="00083DAD" w:rsidR="000777C8">
        <w:t> </w:t>
      </w:r>
      <w:r w:rsidRPr="00083DAD">
        <w:t>2015 au 29 novembre 2016.</w:t>
      </w:r>
    </w:p>
    <w:p w:rsidRPr="00083DAD" w:rsidR="00CC31BB" w:rsidP="00083DAD">
      <w:pPr>
        <w:pStyle w:val="JuHA"/>
        <w:keepNext w:val="0"/>
        <w:keepLines w:val="0"/>
        <w:numPr>
          <w:ilvl w:val="2"/>
          <w:numId w:val="21"/>
        </w:numPr>
        <w:jc w:val="both"/>
        <w:rPr>
          <w:lang w:val="fr-FR"/>
        </w:rPr>
      </w:pPr>
      <w:r w:rsidRPr="00083DAD">
        <w:rPr>
          <w:lang w:val="fr-FR"/>
        </w:rPr>
        <w:t xml:space="preserve"> La version du Gouvernement</w:t>
      </w:r>
    </w:p>
    <w:bookmarkStart w:name="suprafete_cellule" w:id="15"/>
    <w:p w:rsidRPr="00083DAD" w:rsidR="00CC31BB" w:rsidP="00083DAD">
      <w:pPr>
        <w:pStyle w:val="JuPara"/>
      </w:pPr>
      <w:r w:rsidRPr="00083DAD">
        <w:fldChar w:fldCharType="begin"/>
      </w:r>
      <w:r w:rsidRPr="00083DAD">
        <w:instrText xml:space="preserve"> SEQ level0 \*arabic </w:instrText>
      </w:r>
      <w:r w:rsidRPr="00083DAD">
        <w:fldChar w:fldCharType="separate"/>
      </w:r>
      <w:r w:rsidRPr="00083DAD" w:rsidR="00083DAD">
        <w:rPr>
          <w:noProof/>
        </w:rPr>
        <w:t>24</w:t>
      </w:r>
      <w:r w:rsidRPr="00083DAD">
        <w:fldChar w:fldCharType="end"/>
      </w:r>
      <w:bookmarkEnd w:id="15"/>
      <w:r w:rsidRPr="00083DAD">
        <w:t>.  Se fondant sur les données communiquées par l</w:t>
      </w:r>
      <w:r w:rsidRPr="00083DAD" w:rsidR="00083DAD">
        <w:t>’</w:t>
      </w:r>
      <w:r w:rsidRPr="00083DAD">
        <w:t>Administration nationale des établissements pénitentiaires, le Gouvernement indique que le requérant a été placé :</w:t>
      </w:r>
    </w:p>
    <w:p w:rsidRPr="00083DAD" w:rsidR="00CC31BB" w:rsidP="00083DAD">
      <w:pPr>
        <w:pStyle w:val="JuPara"/>
      </w:pPr>
      <w:r w:rsidRPr="00083DAD">
        <w:t>- du 16 septembre au 7 octobr</w:t>
      </w:r>
      <w:r w:rsidRPr="00083DAD" w:rsidR="000777C8">
        <w:t>e 2015 dans une cellule de 16,6 </w:t>
      </w:r>
      <w:r w:rsidRPr="00083DAD">
        <w:t>m</w:t>
      </w:r>
      <w:r w:rsidRPr="00083DAD">
        <w:rPr>
          <w:vertAlign w:val="superscript"/>
        </w:rPr>
        <w:t>2</w:t>
      </w:r>
      <w:r w:rsidRPr="00083DAD">
        <w:t xml:space="preserve"> occupée par six détenus ;</w:t>
      </w:r>
    </w:p>
    <w:p w:rsidRPr="00083DAD" w:rsidR="00CC31BB" w:rsidP="00083DAD">
      <w:pPr>
        <w:pStyle w:val="JuPara"/>
      </w:pPr>
      <w:r w:rsidRPr="00083DAD">
        <w:t>- du 7 octobre au 15 octobre 2015 dans une cellule de 28,64</w:t>
      </w:r>
      <w:r w:rsidRPr="00083DAD" w:rsidR="000777C8">
        <w:t> </w:t>
      </w:r>
      <w:r w:rsidRPr="00083DAD">
        <w:t>m</w:t>
      </w:r>
      <w:r w:rsidRPr="00083DAD">
        <w:rPr>
          <w:vertAlign w:val="superscript"/>
        </w:rPr>
        <w:t>2</w:t>
      </w:r>
      <w:r w:rsidRPr="00083DAD">
        <w:t xml:space="preserve"> occupée par quatorze détenus ;</w:t>
      </w:r>
    </w:p>
    <w:p w:rsidRPr="00083DAD" w:rsidR="00CC31BB" w:rsidP="00083DAD">
      <w:pPr>
        <w:pStyle w:val="JuPara"/>
      </w:pPr>
      <w:r w:rsidRPr="00083DAD">
        <w:t>- du 15 octobre au 30 octobre 2015 dans une cellule de 29,29</w:t>
      </w:r>
      <w:r w:rsidRPr="00083DAD" w:rsidR="000777C8">
        <w:t> </w:t>
      </w:r>
      <w:r w:rsidRPr="00083DAD">
        <w:t>m</w:t>
      </w:r>
      <w:r w:rsidRPr="00083DAD">
        <w:rPr>
          <w:vertAlign w:val="superscript"/>
        </w:rPr>
        <w:t>2</w:t>
      </w:r>
      <w:r w:rsidRPr="00083DAD">
        <w:t xml:space="preserve"> occupée par </w:t>
      </w:r>
      <w:r w:rsidRPr="00083DAD" w:rsidR="000777C8">
        <w:t>dix-</w:t>
      </w:r>
      <w:r w:rsidRPr="00083DAD">
        <w:t>sept détenus ;</w:t>
      </w:r>
    </w:p>
    <w:p w:rsidRPr="00083DAD" w:rsidR="00CC31BB" w:rsidP="00083DAD">
      <w:pPr>
        <w:pStyle w:val="JuPara"/>
      </w:pPr>
      <w:r w:rsidRPr="00083DAD">
        <w:t>- du 30 octobre au 6 novembre 2015 dans une cellule de 37,89</w:t>
      </w:r>
      <w:r w:rsidRPr="00083DAD" w:rsidR="000777C8">
        <w:t> </w:t>
      </w:r>
      <w:r w:rsidRPr="00083DAD">
        <w:t>m</w:t>
      </w:r>
      <w:r w:rsidRPr="00083DAD">
        <w:rPr>
          <w:vertAlign w:val="superscript"/>
        </w:rPr>
        <w:t>2</w:t>
      </w:r>
      <w:r w:rsidRPr="00083DAD">
        <w:t xml:space="preserve"> occupée par vingt détenus ;</w:t>
      </w:r>
    </w:p>
    <w:p w:rsidRPr="00083DAD" w:rsidR="00CC31BB" w:rsidP="00083DAD">
      <w:pPr>
        <w:pStyle w:val="JuPara"/>
      </w:pPr>
      <w:r w:rsidRPr="00083DAD">
        <w:t>- du 6 novembre 2015 au 1</w:t>
      </w:r>
      <w:r w:rsidRPr="00083DAD">
        <w:rPr>
          <w:vertAlign w:val="superscript"/>
        </w:rPr>
        <w:t>er</w:t>
      </w:r>
      <w:r w:rsidRPr="00083DAD">
        <w:t xml:space="preserve"> mars 2016 dans une cellule de 8,66</w:t>
      </w:r>
      <w:r w:rsidRPr="00083DAD" w:rsidR="000777C8">
        <w:t> </w:t>
      </w:r>
      <w:r w:rsidRPr="00083DAD">
        <w:t>m</w:t>
      </w:r>
      <w:r w:rsidRPr="00083DAD">
        <w:rPr>
          <w:vertAlign w:val="superscript"/>
        </w:rPr>
        <w:t>2</w:t>
      </w:r>
      <w:r w:rsidRPr="00083DAD">
        <w:t xml:space="preserve"> occupée par deux détenus ;</w:t>
      </w:r>
    </w:p>
    <w:p w:rsidRPr="00083DAD" w:rsidR="00CC31BB" w:rsidP="00083DAD">
      <w:pPr>
        <w:pStyle w:val="JuPara"/>
      </w:pPr>
      <w:r w:rsidRPr="00083DAD">
        <w:t>- du 1</w:t>
      </w:r>
      <w:r w:rsidRPr="00083DAD">
        <w:rPr>
          <w:vertAlign w:val="superscript"/>
        </w:rPr>
        <w:t>er</w:t>
      </w:r>
      <w:r w:rsidRPr="00083DAD">
        <w:t xml:space="preserve"> mars au 1</w:t>
      </w:r>
      <w:r w:rsidRPr="00083DAD">
        <w:rPr>
          <w:vertAlign w:val="superscript"/>
        </w:rPr>
        <w:t>er</w:t>
      </w:r>
      <w:r w:rsidRPr="00083DAD">
        <w:t xml:space="preserve"> septembre 2016 dans une cellule de </w:t>
      </w:r>
      <w:r w:rsidRPr="00083DAD" w:rsidR="000777C8">
        <w:t>37,89 </w:t>
      </w:r>
      <w:r w:rsidRPr="00083DAD">
        <w:t>m</w:t>
      </w:r>
      <w:r w:rsidRPr="00083DAD">
        <w:rPr>
          <w:vertAlign w:val="superscript"/>
        </w:rPr>
        <w:t>2</w:t>
      </w:r>
      <w:r w:rsidRPr="00083DAD">
        <w:t xml:space="preserve"> occupée par dix-neuf détenus ;</w:t>
      </w:r>
    </w:p>
    <w:p w:rsidRPr="00083DAD" w:rsidR="00CC31BB" w:rsidP="00083DAD">
      <w:pPr>
        <w:pStyle w:val="JuPara"/>
      </w:pPr>
      <w:r w:rsidRPr="00083DAD">
        <w:t>- du 1</w:t>
      </w:r>
      <w:r w:rsidRPr="00083DAD">
        <w:rPr>
          <w:vertAlign w:val="superscript"/>
        </w:rPr>
        <w:t>er</w:t>
      </w:r>
      <w:r w:rsidRPr="00083DAD">
        <w:t xml:space="preserve"> septembre au 29 novembre 2016 dans deux cellules de 8,66</w:t>
      </w:r>
      <w:r w:rsidRPr="00083DAD" w:rsidR="000777C8">
        <w:t> </w:t>
      </w:r>
      <w:r w:rsidRPr="00083DAD">
        <w:t>m</w:t>
      </w:r>
      <w:r w:rsidRPr="00083DAD">
        <w:rPr>
          <w:vertAlign w:val="superscript"/>
        </w:rPr>
        <w:t>2</w:t>
      </w:r>
      <w:r w:rsidRPr="00083DAD">
        <w:t xml:space="preserve"> occupées chacune par deux détenus.</w:t>
      </w:r>
    </w:p>
    <w:bookmarkStart w:name="GUV_3_alteconditii" w:id="16"/>
    <w:p w:rsidRPr="00083DAD" w:rsidR="00CC31BB" w:rsidP="00083DAD">
      <w:pPr>
        <w:pStyle w:val="JuPara"/>
      </w:pPr>
      <w:r w:rsidRPr="00083DAD">
        <w:fldChar w:fldCharType="begin"/>
      </w:r>
      <w:r w:rsidRPr="00083DAD">
        <w:instrText xml:space="preserve"> SEQ level0 \*arabic </w:instrText>
      </w:r>
      <w:r w:rsidRPr="00083DAD">
        <w:fldChar w:fldCharType="separate"/>
      </w:r>
      <w:r w:rsidRPr="00083DAD" w:rsidR="00083DAD">
        <w:rPr>
          <w:noProof/>
        </w:rPr>
        <w:t>25</w:t>
      </w:r>
      <w:r w:rsidRPr="00083DAD">
        <w:fldChar w:fldCharType="end"/>
      </w:r>
      <w:bookmarkEnd w:id="16"/>
      <w:r w:rsidRPr="00083DAD">
        <w:t>.  Concernant les conditions de détention du requérant, le Gouvernement indique ce qui suit. Les cellules disposaient toutes d</w:t>
      </w:r>
      <w:r w:rsidRPr="00083DAD" w:rsidR="00083DAD">
        <w:t>’</w:t>
      </w:r>
      <w:r w:rsidRPr="00083DAD">
        <w:t>une salle de bain dotée d</w:t>
      </w:r>
      <w:r w:rsidRPr="00083DAD" w:rsidR="00083DAD">
        <w:t>’</w:t>
      </w:r>
      <w:r w:rsidRPr="00083DAD">
        <w:t>une douche et de toilettes. La prison avait entrepris des travaux de nettoyage et de réparation dans les cellules. L</w:t>
      </w:r>
      <w:r w:rsidRPr="00083DAD" w:rsidR="00083DAD">
        <w:t>’</w:t>
      </w:r>
      <w:r w:rsidRPr="00083DAD">
        <w:t>intéressé avait été sélectionné pour travailler (à l</w:t>
      </w:r>
      <w:r w:rsidRPr="00083DAD" w:rsidR="00083DAD">
        <w:t>’</w:t>
      </w:r>
      <w:r w:rsidRPr="00083DAD">
        <w:t>intérieur et ensuite à l</w:t>
      </w:r>
      <w:r w:rsidRPr="00083DAD" w:rsidR="00083DAD">
        <w:t>’</w:t>
      </w:r>
      <w:r w:rsidRPr="00083DAD">
        <w:t>extérieur de la prison), ce qui lui donnait le droit de prendre une douche quotidienne après sa journée de travail. Son programme de travail était de 8 heures par jour (quand il était en dehors de la cellule) et, de plus, il avait droit à une heure et demie de promenade dans la cour de la prison.</w:t>
      </w:r>
    </w:p>
    <w:p w:rsidRPr="00083DAD" w:rsidR="00CC31BB" w:rsidP="00083DAD">
      <w:pPr>
        <w:pStyle w:val="JuHA"/>
        <w:keepNext w:val="0"/>
        <w:keepLines w:val="0"/>
        <w:numPr>
          <w:ilvl w:val="2"/>
          <w:numId w:val="21"/>
        </w:numPr>
        <w:jc w:val="both"/>
        <w:rPr>
          <w:lang w:val="fr-FR"/>
        </w:rPr>
      </w:pPr>
      <w:r w:rsidRPr="00083DAD">
        <w:rPr>
          <w:lang w:val="fr-FR"/>
        </w:rPr>
        <w:t>La version du requérant</w:t>
      </w:r>
    </w:p>
    <w:bookmarkStart w:name="R3" w:id="17"/>
    <w:p w:rsidRPr="00083DAD" w:rsidR="00CC31BB" w:rsidP="00083DAD">
      <w:pPr>
        <w:pStyle w:val="JuPara"/>
      </w:pPr>
      <w:r w:rsidRPr="00083DAD">
        <w:fldChar w:fldCharType="begin"/>
      </w:r>
      <w:r w:rsidRPr="00083DAD">
        <w:instrText xml:space="preserve"> SEQ level0 \*arabic </w:instrText>
      </w:r>
      <w:r w:rsidRPr="00083DAD">
        <w:fldChar w:fldCharType="separate"/>
      </w:r>
      <w:r w:rsidRPr="00083DAD" w:rsidR="00083DAD">
        <w:rPr>
          <w:noProof/>
        </w:rPr>
        <w:t>26</w:t>
      </w:r>
      <w:r w:rsidRPr="00083DAD">
        <w:fldChar w:fldCharType="end"/>
      </w:r>
      <w:bookmarkEnd w:id="17"/>
      <w:r w:rsidRPr="00083DAD">
        <w:t>.  Le requérant conteste la version du Gouvernement. Il déclare que l</w:t>
      </w:r>
      <w:r w:rsidRPr="00083DAD" w:rsidR="00083DAD">
        <w:t>’</w:t>
      </w:r>
      <w:r w:rsidRPr="00083DAD">
        <w:t>espace de vie dont il a disposé en cellule a rarement dépassé 2,75 m</w:t>
      </w:r>
      <w:r w:rsidRPr="00083DAD">
        <w:rPr>
          <w:vertAlign w:val="superscript"/>
        </w:rPr>
        <w:t>2</w:t>
      </w:r>
      <w:r w:rsidRPr="00083DAD">
        <w:t>, qu</w:t>
      </w:r>
      <w:r w:rsidRPr="00083DAD" w:rsidR="00083DAD">
        <w:t>’</w:t>
      </w:r>
      <w:r w:rsidRPr="00083DAD">
        <w:t>il n</w:t>
      </w:r>
      <w:r w:rsidRPr="00083DAD" w:rsidR="00083DAD">
        <w:t>’</w:t>
      </w:r>
      <w:r w:rsidRPr="00083DAD">
        <w:t>a pu prendre des douches que trois fois par semaine pour une durée de cinq minutes et que, concernant les toilettes, les conditions d</w:t>
      </w:r>
      <w:r w:rsidRPr="00083DAD" w:rsidR="00083DAD">
        <w:t>’</w:t>
      </w:r>
      <w:r w:rsidRPr="00083DAD">
        <w:t>hygiène étaient mauvaises et l</w:t>
      </w:r>
      <w:r w:rsidRPr="00083DAD" w:rsidR="00083DAD">
        <w:t>’</w:t>
      </w:r>
      <w:r w:rsidRPr="00083DAD">
        <w:t>intimité n</w:t>
      </w:r>
      <w:r w:rsidRPr="00083DAD" w:rsidR="00083DAD">
        <w:t>’</w:t>
      </w:r>
      <w:r w:rsidRPr="00083DAD">
        <w:t>était pas préservée. Il soutient ne pas avoir disposé d</w:t>
      </w:r>
      <w:r w:rsidRPr="00083DAD" w:rsidR="00083DAD">
        <w:t>’</w:t>
      </w:r>
      <w:r w:rsidRPr="00083DAD">
        <w:t>un espace de vie supérieur à 4 m</w:t>
      </w:r>
      <w:r w:rsidRPr="00083DAD">
        <w:rPr>
          <w:vertAlign w:val="superscript"/>
        </w:rPr>
        <w:t>2</w:t>
      </w:r>
      <w:r w:rsidRPr="00083DAD">
        <w:t xml:space="preserve"> dans les cellules prévues pour accueillir deux personnes. Il indique en outre qu</w:t>
      </w:r>
      <w:r w:rsidRPr="00083DAD" w:rsidR="00083DAD">
        <w:t>’</w:t>
      </w:r>
      <w:r w:rsidRPr="00083DAD">
        <w:t>il y avait des insectes parasites dans les cellules. Il ne fournit pas d</w:t>
      </w:r>
      <w:r w:rsidRPr="00083DAD" w:rsidR="00083DAD">
        <w:t>’</w:t>
      </w:r>
      <w:r w:rsidRPr="00083DAD">
        <w:t>éléments de preuve à l</w:t>
      </w:r>
      <w:r w:rsidRPr="00083DAD" w:rsidR="00083DAD">
        <w:t>’</w:t>
      </w:r>
      <w:r w:rsidRPr="00083DAD">
        <w:t>appui de ses allégations.</w:t>
      </w:r>
    </w:p>
    <w:p w:rsidRPr="00083DAD" w:rsidR="00CC31BB" w:rsidP="00083DAD">
      <w:pPr>
        <w:pStyle w:val="JuHHead"/>
        <w:keepNext w:val="0"/>
        <w:keepLines w:val="0"/>
        <w:numPr>
          <w:ilvl w:val="0"/>
          <w:numId w:val="21"/>
        </w:numPr>
        <w:jc w:val="both"/>
        <w:rPr>
          <w:lang w:val="fr-FR"/>
        </w:rPr>
      </w:pPr>
      <w:r w:rsidRPr="00083DAD">
        <w:rPr>
          <w:caps w:val="0"/>
          <w:lang w:val="fr-FR"/>
        </w:rPr>
        <w:t>LE CADRE JURIDIQUE ET LA PRATIQUE PERTINENTS</w:t>
      </w:r>
    </w:p>
    <w:bookmarkStart w:name="CPP" w:id="18"/>
    <w:p w:rsidRPr="00083DAD" w:rsidR="00CC31BB" w:rsidP="00083DAD">
      <w:pPr>
        <w:pStyle w:val="JuPara"/>
      </w:pPr>
      <w:r w:rsidRPr="00083DAD">
        <w:fldChar w:fldCharType="begin"/>
      </w:r>
      <w:r w:rsidRPr="00083DAD">
        <w:instrText xml:space="preserve"> SEQ level0 \*arabic </w:instrText>
      </w:r>
      <w:r w:rsidRPr="00083DAD">
        <w:fldChar w:fldCharType="separate"/>
      </w:r>
      <w:r w:rsidRPr="00083DAD" w:rsidR="00083DAD">
        <w:rPr>
          <w:noProof/>
        </w:rPr>
        <w:t>27</w:t>
      </w:r>
      <w:r w:rsidRPr="00083DAD">
        <w:fldChar w:fldCharType="end"/>
      </w:r>
      <w:bookmarkEnd w:id="18"/>
      <w:r w:rsidRPr="00083DAD">
        <w:t>.  Les dispositions pertinentes en l</w:t>
      </w:r>
      <w:r w:rsidRPr="00083DAD" w:rsidR="00083DAD">
        <w:t>’</w:t>
      </w:r>
      <w:r w:rsidRPr="00083DAD">
        <w:t>espèce du code de procédure pénale (« le CPP ») en vigueur au moment des faits sont présentées dans l</w:t>
      </w:r>
      <w:r w:rsidRPr="00083DAD" w:rsidR="00083DAD">
        <w:t>’</w:t>
      </w:r>
      <w:r w:rsidRPr="00083DAD">
        <w:t xml:space="preserve">arrêt </w:t>
      </w:r>
      <w:r w:rsidRPr="00083DAD">
        <w:rPr>
          <w:i/>
        </w:rPr>
        <w:t xml:space="preserve">Alexandru Marian </w:t>
      </w:r>
      <w:r w:rsidRPr="00083DAD">
        <w:rPr>
          <w:i/>
        </w:rPr>
        <w:t>Iancu</w:t>
      </w:r>
      <w:r w:rsidRPr="00083DAD">
        <w:rPr>
          <w:i/>
        </w:rPr>
        <w:t xml:space="preserve"> c.</w:t>
      </w:r>
      <w:r w:rsidRPr="00083DAD" w:rsidR="000777C8">
        <w:rPr>
          <w:i/>
        </w:rPr>
        <w:t xml:space="preserve"> </w:t>
      </w:r>
      <w:r w:rsidRPr="00083DAD">
        <w:rPr>
          <w:i/>
        </w:rPr>
        <w:t>Roumanie</w:t>
      </w:r>
      <w:r w:rsidRPr="00083DAD">
        <w:t xml:space="preserve"> (n</w:t>
      </w:r>
      <w:r w:rsidRPr="00083DAD">
        <w:rPr>
          <w:vertAlign w:val="superscript"/>
        </w:rPr>
        <w:t>o</w:t>
      </w:r>
      <w:r w:rsidRPr="00083DAD" w:rsidR="000777C8">
        <w:t xml:space="preserve"> 60858/15, § </w:t>
      </w:r>
      <w:r w:rsidRPr="00083DAD">
        <w:t>38</w:t>
      </w:r>
      <w:r w:rsidRPr="00083DAD" w:rsidR="000777C8">
        <w:t>, 4 février </w:t>
      </w:r>
      <w:r w:rsidRPr="00083DAD">
        <w:t>2020</w:t>
      </w:r>
      <w:r w:rsidRPr="00083DAD" w:rsidR="004E2B62">
        <w:t>, non définitif</w:t>
      </w:r>
      <w:r w:rsidRPr="00083DAD">
        <w:t>). En particulier, le CPP comporte les dispositions suivantes :</w:t>
      </w:r>
    </w:p>
    <w:p w:rsidRPr="00083DAD" w:rsidR="00CC31BB" w:rsidP="00083DAD">
      <w:pPr>
        <w:pStyle w:val="JuHArticle"/>
        <w:keepLines/>
      </w:pPr>
      <w:r w:rsidRPr="00083DAD">
        <w:t>Article 64 – Incompatibilité concernant le juge</w:t>
      </w:r>
    </w:p>
    <w:p w:rsidRPr="00083DAD" w:rsidR="00CC31BB" w:rsidP="00083DAD">
      <w:pPr>
        <w:pStyle w:val="JuQuot"/>
        <w:keepNext/>
        <w:keepLines/>
      </w:pPr>
      <w:r w:rsidRPr="00083DAD">
        <w:t>« 1. Tout juge est [empêché d</w:t>
      </w:r>
      <w:r w:rsidRPr="00083DAD" w:rsidR="00083DAD">
        <w:t>’</w:t>
      </w:r>
      <w:r w:rsidRPr="00083DAD">
        <w:t>agir] pour des motifs d</w:t>
      </w:r>
      <w:r w:rsidRPr="00083DAD" w:rsidR="00083DAD">
        <w:t>’</w:t>
      </w:r>
      <w:r w:rsidRPr="00083DAD">
        <w:t>incompatibilité [dans les cas suivants] :</w:t>
      </w:r>
    </w:p>
    <w:p w:rsidRPr="00083DAD" w:rsidR="00CC31BB" w:rsidP="00083DAD">
      <w:pPr>
        <w:pStyle w:val="JuQuot"/>
      </w:pPr>
      <w:r w:rsidRPr="00083DAD">
        <w:t>a) il a été le représentant ou l</w:t>
      </w:r>
      <w:r w:rsidRPr="00083DAD" w:rsidR="00083DAD">
        <w:t>’</w:t>
      </w:r>
      <w:r w:rsidRPr="00083DAD">
        <w:t>avocat de l</w:t>
      </w:r>
      <w:r w:rsidRPr="00083DAD" w:rsidR="00083DAD">
        <w:t>’</w:t>
      </w:r>
      <w:r w:rsidRPr="00083DAD">
        <w:t>une des parties ou de l</w:t>
      </w:r>
      <w:r w:rsidRPr="00083DAD" w:rsidR="00083DAD">
        <w:t>’</w:t>
      </w:r>
      <w:r w:rsidRPr="00083DAD">
        <w:t>un des sujets principaux du procès (</w:t>
      </w:r>
      <w:r w:rsidRPr="00083DAD">
        <w:rPr>
          <w:i/>
        </w:rPr>
        <w:t>subiect</w:t>
      </w:r>
      <w:r w:rsidRPr="00083DAD">
        <w:rPr>
          <w:i/>
        </w:rPr>
        <w:t xml:space="preserve"> </w:t>
      </w:r>
      <w:r w:rsidRPr="00083DAD">
        <w:rPr>
          <w:i/>
        </w:rPr>
        <w:t>procesual</w:t>
      </w:r>
      <w:r w:rsidRPr="00083DAD">
        <w:rPr>
          <w:i/>
        </w:rPr>
        <w:t xml:space="preserve"> principal</w:t>
      </w:r>
      <w:r w:rsidRPr="00083DAD">
        <w:t>), même dans une autre affaire ;</w:t>
      </w:r>
    </w:p>
    <w:p w:rsidRPr="00083DAD" w:rsidR="00CC31BB" w:rsidP="00083DAD">
      <w:pPr>
        <w:pStyle w:val="JuQuot"/>
      </w:pPr>
      <w:r w:rsidRPr="00083DAD">
        <w:t>b) il est parent ou allié, jusqu</w:t>
      </w:r>
      <w:r w:rsidRPr="00083DAD" w:rsidR="00083DAD">
        <w:t>’</w:t>
      </w:r>
      <w:r w:rsidRPr="00083DAD">
        <w:t>au quatrième degré y compris, ou il se trouve dans une autre situation prévue par l</w:t>
      </w:r>
      <w:r w:rsidRPr="00083DAD" w:rsidR="00083DAD">
        <w:t>’</w:t>
      </w:r>
      <w:r w:rsidRPr="00083DAD">
        <w:t>article 177 du code pénal, par rapport à l</w:t>
      </w:r>
      <w:r w:rsidRPr="00083DAD" w:rsidR="00083DAD">
        <w:t>’</w:t>
      </w:r>
      <w:r w:rsidRPr="00083DAD">
        <w:t>une des parties, l</w:t>
      </w:r>
      <w:r w:rsidRPr="00083DAD" w:rsidR="00083DAD">
        <w:t>’</w:t>
      </w:r>
      <w:r w:rsidRPr="00083DAD">
        <w:t>un des sujets principaux du procès, l</w:t>
      </w:r>
      <w:r w:rsidRPr="00083DAD" w:rsidR="00083DAD">
        <w:t>’</w:t>
      </w:r>
      <w:r w:rsidRPr="00083DAD">
        <w:t>avocat ou le représentant de ceux-ci ;</w:t>
      </w:r>
    </w:p>
    <w:p w:rsidRPr="00083DAD" w:rsidR="00CC31BB" w:rsidP="00083DAD">
      <w:pPr>
        <w:pStyle w:val="JuQuot"/>
      </w:pPr>
      <w:r w:rsidRPr="00083DAD">
        <w:t>c) il a été expert ou témoin en l</w:t>
      </w:r>
      <w:r w:rsidRPr="00083DAD" w:rsidR="00083DAD">
        <w:t>’</w:t>
      </w:r>
      <w:r w:rsidRPr="00083DAD">
        <w:t>affaire ;</w:t>
      </w:r>
    </w:p>
    <w:p w:rsidRPr="00083DAD" w:rsidR="00CC31BB" w:rsidP="00083DAD">
      <w:pPr>
        <w:pStyle w:val="JuQuot"/>
      </w:pPr>
      <w:r w:rsidRPr="00083DAD">
        <w:t>d) il est le tuteur ou le curateur de l</w:t>
      </w:r>
      <w:r w:rsidRPr="00083DAD" w:rsidR="00083DAD">
        <w:t>’</w:t>
      </w:r>
      <w:r w:rsidRPr="00083DAD">
        <w:t>une des parties ou de l</w:t>
      </w:r>
      <w:r w:rsidRPr="00083DAD" w:rsidR="00083DAD">
        <w:t>’</w:t>
      </w:r>
      <w:r w:rsidRPr="00083DAD">
        <w:t>un des sujets principaux du procès ;</w:t>
      </w:r>
    </w:p>
    <w:p w:rsidRPr="00083DAD" w:rsidR="00CC31BB" w:rsidP="00083DAD">
      <w:pPr>
        <w:pStyle w:val="JuQuot"/>
      </w:pPr>
      <w:r w:rsidRPr="00083DAD">
        <w:t>e) il a effectué, en l</w:t>
      </w:r>
      <w:r w:rsidRPr="00083DAD" w:rsidR="00083DAD">
        <w:t>’</w:t>
      </w:r>
      <w:r w:rsidRPr="00083DAD">
        <w:t>affaire, des actes de poursuites pénales ou a participé, en qualité de procureur, à toute procédure qui a eu lieu devant un juge ou un tribunal ;</w:t>
      </w:r>
    </w:p>
    <w:p w:rsidRPr="00083DAD" w:rsidR="00CC31BB" w:rsidP="00083DAD">
      <w:pPr>
        <w:pStyle w:val="JuQuot"/>
      </w:pPr>
      <w:r w:rsidRPr="00083DAD">
        <w:t>f) il existe une suspicion raisonnable de partialité de sa part. »</w:t>
      </w:r>
    </w:p>
    <w:p w:rsidRPr="00083DAD" w:rsidR="00CC31BB" w:rsidP="00083DAD">
      <w:pPr>
        <w:pStyle w:val="JuHArticle"/>
        <w:keepNext w:val="0"/>
      </w:pPr>
      <w:r w:rsidRPr="00083DAD">
        <w:t>Article 66 – Abstention</w:t>
      </w:r>
    </w:p>
    <w:p w:rsidRPr="00083DAD" w:rsidR="00CC31BB" w:rsidP="00083DAD">
      <w:pPr>
        <w:pStyle w:val="JuQuot"/>
      </w:pPr>
      <w:r w:rsidRPr="00083DAD">
        <w:t>« 1. La personne concernée par une incompatibilité est tenue de déclarer, selon le cas, au président du tribunal, au procureur chargé des poursuites pénales ou au procureur hiérarchiquement supérieur, qu</w:t>
      </w:r>
      <w:r w:rsidRPr="00083DAD" w:rsidR="00083DAD">
        <w:t>’</w:t>
      </w:r>
      <w:r w:rsidRPr="00083DAD">
        <w:t>elle s</w:t>
      </w:r>
      <w:r w:rsidRPr="00083DAD" w:rsidR="00083DAD">
        <w:t>’</w:t>
      </w:r>
      <w:r w:rsidRPr="00083DAD">
        <w:t>abstient de participer au procès pénal, en indiquant le cas d</w:t>
      </w:r>
      <w:r w:rsidRPr="00083DAD" w:rsidR="00083DAD">
        <w:t>’</w:t>
      </w:r>
      <w:r w:rsidRPr="00083DAD">
        <w:t>incompatibilité et les raisons factuelles qui motivent l</w:t>
      </w:r>
      <w:r w:rsidRPr="00083DAD" w:rsidR="00083DAD">
        <w:t>’</w:t>
      </w:r>
      <w:r w:rsidRPr="00083DAD">
        <w:t>abstention.</w:t>
      </w:r>
    </w:p>
    <w:p w:rsidRPr="00083DAD" w:rsidR="00CC31BB" w:rsidP="00083DAD">
      <w:pPr>
        <w:pStyle w:val="JuQuot"/>
      </w:pPr>
      <w:r w:rsidRPr="00083DAD">
        <w:t>2. La déclaration d</w:t>
      </w:r>
      <w:r w:rsidRPr="00083DAD" w:rsidR="00083DAD">
        <w:t>’</w:t>
      </w:r>
      <w:r w:rsidRPr="00083DAD">
        <w:t>abstention se fait aussitôt que la personne visée par l</w:t>
      </w:r>
      <w:r w:rsidRPr="00083DAD" w:rsidR="00083DAD">
        <w:t>’</w:t>
      </w:r>
      <w:r w:rsidRPr="00083DAD">
        <w:t>obligation a pris connaissance de l</w:t>
      </w:r>
      <w:r w:rsidRPr="00083DAD" w:rsidR="00083DAD">
        <w:t>’</w:t>
      </w:r>
      <w:r w:rsidRPr="00083DAD">
        <w:t>existence du cas d</w:t>
      </w:r>
      <w:r w:rsidRPr="00083DAD" w:rsidR="00083DAD">
        <w:t>’</w:t>
      </w:r>
      <w:r w:rsidRPr="00083DAD">
        <w:t>incompatibilité. »</w:t>
      </w:r>
    </w:p>
    <w:p w:rsidRPr="00083DAD" w:rsidR="00CC31BB" w:rsidP="00083DAD">
      <w:pPr>
        <w:pStyle w:val="JuHArticle"/>
        <w:keepNext w:val="0"/>
      </w:pPr>
      <w:r w:rsidRPr="00083DAD">
        <w:t>Article 68 – Procédure d</w:t>
      </w:r>
      <w:r w:rsidRPr="00083DAD" w:rsidR="00083DAD">
        <w:t>’</w:t>
      </w:r>
      <w:r w:rsidRPr="00083DAD">
        <w:t>examen de l</w:t>
      </w:r>
      <w:r w:rsidRPr="00083DAD" w:rsidR="00083DAD">
        <w:t>’</w:t>
      </w:r>
      <w:r w:rsidRPr="00083DAD">
        <w:t>abstention ou de la récusation</w:t>
      </w:r>
    </w:p>
    <w:p w:rsidRPr="00083DAD" w:rsidR="00CC31BB" w:rsidP="00083DAD">
      <w:pPr>
        <w:pStyle w:val="JuQuot"/>
      </w:pPr>
      <w:r w:rsidRPr="00083DAD">
        <w:t>« (...)</w:t>
      </w:r>
    </w:p>
    <w:p w:rsidRPr="00083DAD" w:rsidR="00CC31BB" w:rsidP="00083DAD">
      <w:pPr>
        <w:pStyle w:val="JuQuot"/>
      </w:pPr>
      <w:r w:rsidRPr="00083DAD">
        <w:t>2. L</w:t>
      </w:r>
      <w:r w:rsidRPr="00083DAD" w:rsidR="00083DAD">
        <w:t>’</w:t>
      </w:r>
      <w:r w:rsidRPr="00083DAD">
        <w:t>abstention ou la récusation du juge qui fait partie de la formation de jugement est examinée par une autre formation de jugement.</w:t>
      </w:r>
    </w:p>
    <w:p w:rsidRPr="00083DAD" w:rsidR="00CC31BB" w:rsidP="00083DAD">
      <w:pPr>
        <w:pStyle w:val="JuQuot"/>
      </w:pPr>
      <w:r w:rsidRPr="00083DAD">
        <w:t>(...)</w:t>
      </w:r>
    </w:p>
    <w:p w:rsidRPr="00083DAD" w:rsidR="00CC31BB" w:rsidP="00083DAD">
      <w:pPr>
        <w:pStyle w:val="JuQuot"/>
      </w:pPr>
      <w:r w:rsidRPr="00083DAD">
        <w:t>5. L</w:t>
      </w:r>
      <w:r w:rsidRPr="00083DAD" w:rsidR="00083DAD">
        <w:t>’</w:t>
      </w:r>
      <w:r w:rsidRPr="00083DAD">
        <w:t>examen de l</w:t>
      </w:r>
      <w:r w:rsidRPr="00083DAD" w:rsidR="00083DAD">
        <w:t>’</w:t>
      </w:r>
      <w:r w:rsidRPr="00083DAD">
        <w:t>abstention ou de la récusation se fait, dans les vingt-quatre</w:t>
      </w:r>
      <w:r w:rsidRPr="00083DAD" w:rsidR="000777C8">
        <w:t> </w:t>
      </w:r>
      <w:r w:rsidRPr="00083DAD">
        <w:t>heures au plus tard, en chambre du conseil. Si cela est jugé nécessaire pour l</w:t>
      </w:r>
      <w:r w:rsidRPr="00083DAD" w:rsidR="00083DAD">
        <w:t>’</w:t>
      </w:r>
      <w:r w:rsidRPr="00083DAD">
        <w:t>examen de la demande, le juge ou la formation de jugement, selon le cas, peut procéder à toute vérification et peut entendre le procureur, les sujets principaux du procès, les parties et la personne qui s</w:t>
      </w:r>
      <w:r w:rsidRPr="00083DAD" w:rsidR="00083DAD">
        <w:t>’</w:t>
      </w:r>
      <w:r w:rsidRPr="00083DAD">
        <w:t>abstient ou dont la récusation est demandée.</w:t>
      </w:r>
    </w:p>
    <w:p w:rsidRPr="00083DAD" w:rsidR="00CC31BB" w:rsidP="00083DAD">
      <w:pPr>
        <w:pStyle w:val="JuQuot"/>
      </w:pPr>
      <w:r w:rsidRPr="00083DAD">
        <w:t>(...)</w:t>
      </w:r>
    </w:p>
    <w:p w:rsidRPr="00083DAD" w:rsidR="00CC31BB" w:rsidP="00083DAD">
      <w:pPr>
        <w:pStyle w:val="JuQuot"/>
      </w:pPr>
      <w:r w:rsidRPr="00083DAD">
        <w:t>7. La décision avant dire droit par laquelle est examinée la demande d</w:t>
      </w:r>
      <w:r w:rsidRPr="00083DAD" w:rsidR="00083DAD">
        <w:t>’</w:t>
      </w:r>
      <w:r w:rsidRPr="00083DAD">
        <w:t>abstention ou de récusation n</w:t>
      </w:r>
      <w:r w:rsidRPr="00083DAD" w:rsidR="00083DAD">
        <w:t>’</w:t>
      </w:r>
      <w:r w:rsidRPr="00083DAD">
        <w:t>est susceptible d</w:t>
      </w:r>
      <w:r w:rsidRPr="00083DAD" w:rsidR="00083DAD">
        <w:t>’</w:t>
      </w:r>
      <w:r w:rsidRPr="00083DAD">
        <w:t>aucun recours.</w:t>
      </w:r>
    </w:p>
    <w:p w:rsidRPr="00083DAD" w:rsidR="00CC31BB" w:rsidP="00083DAD">
      <w:pPr>
        <w:pStyle w:val="JuQuot"/>
      </w:pPr>
      <w:r w:rsidRPr="00083DAD">
        <w:t>(...) »</w:t>
      </w:r>
    </w:p>
    <w:bookmarkStart w:name="ROI_tribunaux" w:id="19"/>
    <w:p w:rsidRPr="00083DAD" w:rsidR="00CC31BB" w:rsidP="00083DAD">
      <w:pPr>
        <w:pStyle w:val="JuPara"/>
      </w:pPr>
      <w:r w:rsidRPr="00083DAD">
        <w:fldChar w:fldCharType="begin"/>
      </w:r>
      <w:r w:rsidRPr="00083DAD">
        <w:instrText xml:space="preserve"> SEQ level0 \*arabic </w:instrText>
      </w:r>
      <w:r w:rsidRPr="00083DAD">
        <w:fldChar w:fldCharType="separate"/>
      </w:r>
      <w:r w:rsidRPr="00083DAD" w:rsidR="00083DAD">
        <w:rPr>
          <w:noProof/>
        </w:rPr>
        <w:t>28</w:t>
      </w:r>
      <w:r w:rsidRPr="00083DAD">
        <w:fldChar w:fldCharType="end"/>
      </w:r>
      <w:bookmarkEnd w:id="19"/>
      <w:r w:rsidRPr="00083DAD">
        <w:t>.  Le règlement d</w:t>
      </w:r>
      <w:r w:rsidRPr="00083DAD" w:rsidR="00083DAD">
        <w:t>’</w:t>
      </w:r>
      <w:r w:rsidRPr="00083DAD">
        <w:t>ordre intérieur des tribunaux, adopté par le Conseil supérieur de la magistrature le 22 septembre 2</w:t>
      </w:r>
      <w:r w:rsidRPr="00083DAD" w:rsidR="00C80014">
        <w:t xml:space="preserve">005 et en vigueur du 28 octobre </w:t>
      </w:r>
      <w:r w:rsidRPr="00083DAD">
        <w:t>2005 au 27 décembre 2015, comportait la disposition suivante :</w:t>
      </w:r>
    </w:p>
    <w:p w:rsidRPr="00083DAD" w:rsidR="00CC31BB" w:rsidP="00083DAD">
      <w:pPr>
        <w:pStyle w:val="JuHArticle"/>
        <w:keepLines/>
      </w:pPr>
      <w:r w:rsidRPr="00083DAD">
        <w:t>Article 98</w:t>
      </w:r>
    </w:p>
    <w:p w:rsidRPr="00083DAD" w:rsidR="00CC31BB" w:rsidP="00083DAD">
      <w:pPr>
        <w:pStyle w:val="JuQuot"/>
        <w:keepNext/>
        <w:keepLines/>
      </w:pPr>
      <w:r w:rsidRPr="00083DAD">
        <w:t>« 4. Lorsque les incidents de procédure concernent une partie des membres de la formation de jugement, leur examen sera effectué par une formation dont la composition comprendra le ou les juges indiqués dans le planning de permanence (</w:t>
      </w:r>
      <w:r w:rsidRPr="00083DAD">
        <w:rPr>
          <w:i/>
        </w:rPr>
        <w:t>planificarea</w:t>
      </w:r>
      <w:r w:rsidRPr="00083DAD">
        <w:rPr>
          <w:i/>
        </w:rPr>
        <w:t xml:space="preserve"> de </w:t>
      </w:r>
      <w:r w:rsidRPr="00083DAD">
        <w:rPr>
          <w:i/>
        </w:rPr>
        <w:t>permanenţă</w:t>
      </w:r>
      <w:r w:rsidRPr="00083DAD">
        <w:t>) établi par matières, sur une base au moins semestrielle (...) »</w:t>
      </w:r>
    </w:p>
    <w:p w:rsidRPr="00083DAD" w:rsidR="00CC31BB" w:rsidP="00083DAD">
      <w:pPr>
        <w:pStyle w:val="JuPara"/>
      </w:pPr>
      <w:r w:rsidRPr="00083DAD">
        <w:t>Le règlement d</w:t>
      </w:r>
      <w:r w:rsidRPr="00083DAD" w:rsidR="00083DAD">
        <w:t>’</w:t>
      </w:r>
      <w:r w:rsidRPr="00083DAD">
        <w:t>ordre intérieur adopté par le Conseil supérieur de la magistrature le 17</w:t>
      </w:r>
      <w:r w:rsidRPr="00083DAD" w:rsidR="000777C8">
        <w:t xml:space="preserve"> </w:t>
      </w:r>
      <w:r w:rsidRPr="00083DAD">
        <w:t>décembre 2015 comporte, à l</w:t>
      </w:r>
      <w:r w:rsidRPr="00083DAD" w:rsidR="00083DAD">
        <w:t>’</w:t>
      </w:r>
      <w:r w:rsidRPr="00083DAD">
        <w:t>article 110, une disposition similaire.</w:t>
      </w:r>
    </w:p>
    <w:p w:rsidRPr="00083DAD" w:rsidR="00CC31BB" w:rsidP="00083DAD">
      <w:pPr>
        <w:pStyle w:val="JuPara"/>
      </w:pPr>
      <w:r w:rsidRPr="00083DAD">
        <w:fldChar w:fldCharType="begin"/>
      </w:r>
      <w:r w:rsidRPr="00083DAD">
        <w:instrText xml:space="preserve"> SEQ level0 \*arabic </w:instrText>
      </w:r>
      <w:r w:rsidRPr="00083DAD">
        <w:fldChar w:fldCharType="separate"/>
      </w:r>
      <w:r w:rsidRPr="00083DAD" w:rsidR="00083DAD">
        <w:rPr>
          <w:noProof/>
        </w:rPr>
        <w:t>29</w:t>
      </w:r>
      <w:r w:rsidRPr="00083DAD">
        <w:fldChar w:fldCharType="end"/>
      </w:r>
      <w:r w:rsidRPr="00083DAD">
        <w:t>.  La jurisprudence pertinente en l</w:t>
      </w:r>
      <w:r w:rsidRPr="00083DAD" w:rsidR="00083DAD">
        <w:t>’</w:t>
      </w:r>
      <w:r w:rsidRPr="00083DAD">
        <w:t>espèce de la Haute Cour de cassation et de justice est résumée dans l</w:t>
      </w:r>
      <w:r w:rsidRPr="00083DAD" w:rsidR="00083DAD">
        <w:t>’</w:t>
      </w:r>
      <w:r w:rsidRPr="00083DAD">
        <w:t xml:space="preserve">arrêt </w:t>
      </w:r>
      <w:r w:rsidRPr="00083DAD">
        <w:rPr>
          <w:i/>
        </w:rPr>
        <w:t xml:space="preserve">Alexandru Marian </w:t>
      </w:r>
      <w:r w:rsidRPr="00083DAD">
        <w:rPr>
          <w:i/>
        </w:rPr>
        <w:t>Iancu</w:t>
      </w:r>
      <w:r w:rsidRPr="00083DAD">
        <w:rPr>
          <w:i/>
        </w:rPr>
        <w:t xml:space="preserve"> </w:t>
      </w:r>
      <w:r w:rsidRPr="00083DAD">
        <w:t>(précité, § 39). Sont également résumées dans cet arrêt les conclusions d</w:t>
      </w:r>
      <w:r w:rsidRPr="00083DAD" w:rsidR="00083DAD">
        <w:t>’</w:t>
      </w:r>
      <w:r w:rsidRPr="00083DAD">
        <w:t>un rapport de droit comparé préparé par la Cour (ibid</w:t>
      </w:r>
      <w:r w:rsidRPr="00083DAD" w:rsidR="00D7245A">
        <w:rPr>
          <w:i/>
        </w:rPr>
        <w:t>.</w:t>
      </w:r>
      <w:r w:rsidRPr="00083DAD">
        <w:t>, §§ 40-43).</w:t>
      </w:r>
    </w:p>
    <w:p w:rsidRPr="00083DAD" w:rsidR="00CC31BB" w:rsidP="00083DAD">
      <w:pPr>
        <w:pStyle w:val="JuPara"/>
        <w:rPr>
          <w:i/>
        </w:rPr>
      </w:pPr>
      <w:r w:rsidRPr="00083DAD">
        <w:fldChar w:fldCharType="begin"/>
      </w:r>
      <w:r w:rsidRPr="00083DAD">
        <w:instrText xml:space="preserve"> SEQ level0 \*arabic </w:instrText>
      </w:r>
      <w:r w:rsidRPr="00083DAD">
        <w:fldChar w:fldCharType="separate"/>
      </w:r>
      <w:r w:rsidRPr="00083DAD" w:rsidR="00083DAD">
        <w:rPr>
          <w:noProof/>
        </w:rPr>
        <w:t>30</w:t>
      </w:r>
      <w:r w:rsidRPr="00083DAD">
        <w:fldChar w:fldCharType="end"/>
      </w:r>
      <w:r w:rsidRPr="00083DAD">
        <w:t>.  Des documents internationaux pertinents en l</w:t>
      </w:r>
      <w:r w:rsidRPr="00083DAD" w:rsidR="00083DAD">
        <w:t>’</w:t>
      </w:r>
      <w:r w:rsidRPr="00083DAD">
        <w:t>espèce relatifs à l</w:t>
      </w:r>
      <w:r w:rsidRPr="00083DAD" w:rsidR="00083DAD">
        <w:t>’</w:t>
      </w:r>
      <w:r w:rsidRPr="00083DAD">
        <w:t>impartialité des juges sont détaillés dans l</w:t>
      </w:r>
      <w:r w:rsidRPr="00083DAD" w:rsidR="00083DAD">
        <w:t>’</w:t>
      </w:r>
      <w:r w:rsidRPr="00083DAD">
        <w:t xml:space="preserve">arrêt </w:t>
      </w:r>
      <w:r w:rsidRPr="00083DAD">
        <w:rPr>
          <w:i/>
        </w:rPr>
        <w:t>Harabin</w:t>
      </w:r>
      <w:r w:rsidRPr="00083DAD">
        <w:rPr>
          <w:i/>
        </w:rPr>
        <w:t xml:space="preserve"> c.</w:t>
      </w:r>
      <w:r w:rsidRPr="00083DAD" w:rsidR="000777C8">
        <w:rPr>
          <w:i/>
        </w:rPr>
        <w:t> </w:t>
      </w:r>
      <w:r w:rsidRPr="00083DAD">
        <w:rPr>
          <w:i/>
        </w:rPr>
        <w:t>Slovaquie</w:t>
      </w:r>
      <w:r w:rsidRPr="00083DAD">
        <w:t xml:space="preserve"> (n</w:t>
      </w:r>
      <w:r w:rsidRPr="00083DAD">
        <w:rPr>
          <w:vertAlign w:val="superscript"/>
        </w:rPr>
        <w:t>o</w:t>
      </w:r>
      <w:r w:rsidRPr="00083DAD">
        <w:t> 58688/11</w:t>
      </w:r>
      <w:r w:rsidRPr="00083DAD" w:rsidR="000777C8">
        <w:rPr>
          <w:snapToGrid w:val="0"/>
        </w:rPr>
        <w:t xml:space="preserve">, §§ </w:t>
      </w:r>
      <w:r w:rsidRPr="00083DAD">
        <w:rPr>
          <w:snapToGrid w:val="0"/>
        </w:rPr>
        <w:t xml:space="preserve">104-110, 20 </w:t>
      </w:r>
      <w:r w:rsidRPr="00083DAD">
        <w:t>novembre</w:t>
      </w:r>
      <w:r w:rsidRPr="00083DAD">
        <w:rPr>
          <w:snapToGrid w:val="0"/>
        </w:rPr>
        <w:t xml:space="preserve"> 2012).</w:t>
      </w:r>
    </w:p>
    <w:p w:rsidRPr="00083DAD" w:rsidR="00CC31BB" w:rsidP="00083DAD">
      <w:pPr>
        <w:pStyle w:val="JuHHead"/>
        <w:keepNext w:val="0"/>
        <w:keepLines w:val="0"/>
        <w:numPr>
          <w:ilvl w:val="0"/>
          <w:numId w:val="21"/>
        </w:numPr>
        <w:jc w:val="both"/>
        <w:rPr>
          <w:lang w:val="fr-FR"/>
        </w:rPr>
      </w:pPr>
      <w:r w:rsidRPr="00083DAD">
        <w:rPr>
          <w:caps w:val="0"/>
          <w:lang w:val="fr-FR"/>
        </w:rPr>
        <w:t>EN DROIT</w:t>
      </w:r>
    </w:p>
    <w:p w:rsidRPr="00083DAD" w:rsidR="00CC31BB" w:rsidP="00083DAD">
      <w:pPr>
        <w:pStyle w:val="JuHIRoman"/>
        <w:keepNext w:val="0"/>
        <w:keepLines w:val="0"/>
        <w:numPr>
          <w:ilvl w:val="1"/>
          <w:numId w:val="21"/>
        </w:numPr>
        <w:jc w:val="both"/>
        <w:rPr>
          <w:lang w:val="fr-FR"/>
        </w:rPr>
      </w:pPr>
      <w:r w:rsidRPr="00083DAD">
        <w:rPr>
          <w:lang w:val="fr-FR"/>
        </w:rPr>
        <w:t>SUR LA VIOLATION ALLÉGUÉE DE L</w:t>
      </w:r>
      <w:r w:rsidRPr="00083DAD" w:rsidR="00083DAD">
        <w:rPr>
          <w:lang w:val="fr-FR"/>
        </w:rPr>
        <w:t>’</w:t>
      </w:r>
      <w:r w:rsidRPr="00083DAD">
        <w:rPr>
          <w:lang w:val="fr-FR"/>
        </w:rPr>
        <w:t>ARTICLE 3 DE LA CONVENTION</w:t>
      </w:r>
    </w:p>
    <w:p w:rsidRPr="00083DAD" w:rsidR="00CC31BB" w:rsidP="00083DAD">
      <w:pPr>
        <w:pStyle w:val="JuPara"/>
      </w:pPr>
      <w:r w:rsidRPr="00083DAD">
        <w:fldChar w:fldCharType="begin"/>
      </w:r>
      <w:r w:rsidRPr="00083DAD">
        <w:instrText xml:space="preserve"> SEQ level0 \*arabic </w:instrText>
      </w:r>
      <w:r w:rsidRPr="00083DAD">
        <w:fldChar w:fldCharType="separate"/>
      </w:r>
      <w:r w:rsidRPr="00083DAD" w:rsidR="00083DAD">
        <w:rPr>
          <w:noProof/>
        </w:rPr>
        <w:t>31</w:t>
      </w:r>
      <w:r w:rsidRPr="00083DAD">
        <w:fldChar w:fldCharType="end"/>
      </w:r>
      <w:r w:rsidRPr="00083DAD">
        <w:t>.  Le requérant se plaint que l</w:t>
      </w:r>
      <w:r w:rsidRPr="00083DAD" w:rsidR="00083DAD">
        <w:t>’</w:t>
      </w:r>
      <w:r w:rsidRPr="00083DAD">
        <w:t>espace de vie dont il a disposé à la prison d</w:t>
      </w:r>
      <w:r w:rsidRPr="00083DAD" w:rsidR="00083DAD">
        <w:t>’</w:t>
      </w:r>
      <w:r w:rsidRPr="00083DAD">
        <w:t>Oradea était insuffisant et que ses conditions de détention dans cet établissement étaient mauvaises. Il invoque l</w:t>
      </w:r>
      <w:r w:rsidRPr="00083DAD" w:rsidR="00083DAD">
        <w:t>’</w:t>
      </w:r>
      <w:r w:rsidRPr="00083DAD">
        <w:t>article 3 de la Convention, qui est ainsi libellé :</w:t>
      </w:r>
    </w:p>
    <w:p w:rsidRPr="00083DAD" w:rsidR="00CC31BB" w:rsidP="00083DAD">
      <w:pPr>
        <w:pStyle w:val="JuQuot"/>
      </w:pPr>
      <w:r w:rsidRPr="00083DAD">
        <w:t>« Nul ne peut être soumis à la torture ni à des peines ou traitements inhumains ou dégradants. »</w:t>
      </w:r>
    </w:p>
    <w:p w:rsidRPr="00083DAD" w:rsidR="00CC31BB" w:rsidP="00083DAD">
      <w:pPr>
        <w:pStyle w:val="JuHA"/>
        <w:keepNext w:val="0"/>
        <w:keepLines w:val="0"/>
        <w:numPr>
          <w:ilvl w:val="2"/>
          <w:numId w:val="21"/>
        </w:numPr>
        <w:jc w:val="both"/>
        <w:rPr>
          <w:lang w:val="fr-FR"/>
        </w:rPr>
      </w:pPr>
      <w:r w:rsidRPr="00083DAD">
        <w:rPr>
          <w:lang w:val="fr-FR"/>
        </w:rPr>
        <w:t>Sur la recevabilité</w:t>
      </w:r>
    </w:p>
    <w:p w:rsidRPr="00083DAD" w:rsidR="00CC31BB" w:rsidP="00083DAD">
      <w:pPr>
        <w:pStyle w:val="JuPara"/>
      </w:pPr>
      <w:r w:rsidRPr="00083DAD">
        <w:fldChar w:fldCharType="begin"/>
      </w:r>
      <w:r w:rsidRPr="00083DAD">
        <w:instrText xml:space="preserve"> SEQ level0 \*arabic </w:instrText>
      </w:r>
      <w:r w:rsidRPr="00083DAD">
        <w:fldChar w:fldCharType="separate"/>
      </w:r>
      <w:r w:rsidRPr="00083DAD" w:rsidR="00083DAD">
        <w:rPr>
          <w:noProof/>
        </w:rPr>
        <w:t>32</w:t>
      </w:r>
      <w:r w:rsidRPr="00083DAD">
        <w:fldChar w:fldCharType="end"/>
      </w:r>
      <w:r w:rsidRPr="00083DAD">
        <w:t>.  Constatant que ce grief n</w:t>
      </w:r>
      <w:r w:rsidRPr="00083DAD" w:rsidR="00083DAD">
        <w:t>’</w:t>
      </w:r>
      <w:r w:rsidRPr="00083DAD">
        <w:t>est pas manifestement mal fondé ni irrecevable pour un autre motif visé à l</w:t>
      </w:r>
      <w:r w:rsidRPr="00083DAD" w:rsidR="00083DAD">
        <w:t>’</w:t>
      </w:r>
      <w:r w:rsidRPr="00083DAD">
        <w:t>article</w:t>
      </w:r>
      <w:r w:rsidRPr="00083DAD" w:rsidR="000777C8">
        <w:t xml:space="preserve"> </w:t>
      </w:r>
      <w:r w:rsidRPr="00083DAD">
        <w:t>35 de la Convention, la Cour le déclare recevable.</w:t>
      </w:r>
    </w:p>
    <w:p w:rsidRPr="00083DAD" w:rsidR="00CC31BB" w:rsidP="00083DAD">
      <w:pPr>
        <w:pStyle w:val="JuHA"/>
        <w:keepNext w:val="0"/>
        <w:keepLines w:val="0"/>
        <w:numPr>
          <w:ilvl w:val="2"/>
          <w:numId w:val="21"/>
        </w:numPr>
        <w:jc w:val="both"/>
        <w:rPr>
          <w:lang w:val="fr-FR"/>
        </w:rPr>
      </w:pPr>
      <w:r w:rsidRPr="00083DAD">
        <w:rPr>
          <w:lang w:val="fr-FR"/>
        </w:rPr>
        <w:t>Sur le fond</w:t>
      </w:r>
    </w:p>
    <w:p w:rsidRPr="00083DAD" w:rsidR="00CC31BB" w:rsidP="00083DAD">
      <w:pPr>
        <w:pStyle w:val="JuPara"/>
      </w:pPr>
      <w:r w:rsidRPr="00083DAD">
        <w:fldChar w:fldCharType="begin"/>
      </w:r>
      <w:r w:rsidRPr="00083DAD">
        <w:instrText xml:space="preserve"> SEQ level0 \*arabic </w:instrText>
      </w:r>
      <w:r w:rsidRPr="00083DAD">
        <w:fldChar w:fldCharType="separate"/>
      </w:r>
      <w:r w:rsidRPr="00083DAD" w:rsidR="00083DAD">
        <w:rPr>
          <w:noProof/>
        </w:rPr>
        <w:t>33</w:t>
      </w:r>
      <w:r w:rsidRPr="00083DAD">
        <w:fldChar w:fldCharType="end"/>
      </w:r>
      <w:r w:rsidRPr="00083DAD">
        <w:t>.  Le requérant soutient qu</w:t>
      </w:r>
      <w:r w:rsidRPr="00083DAD" w:rsidR="00083DAD">
        <w:t>’</w:t>
      </w:r>
      <w:r w:rsidRPr="00083DAD">
        <w:t>il a été détenu dans des conditions contraires à l</w:t>
      </w:r>
      <w:r w:rsidRPr="00083DAD" w:rsidR="00083DAD">
        <w:t>’</w:t>
      </w:r>
      <w:r w:rsidRPr="00083DAD">
        <w:t>article 3 de la Convention pendant toute la durée de sa détention.</w:t>
      </w:r>
    </w:p>
    <w:p w:rsidRPr="00083DAD" w:rsidR="00CC31BB" w:rsidP="00083DAD">
      <w:pPr>
        <w:pStyle w:val="JuPara"/>
      </w:pPr>
      <w:r w:rsidRPr="00083DAD">
        <w:fldChar w:fldCharType="begin"/>
      </w:r>
      <w:r w:rsidRPr="00083DAD">
        <w:instrText xml:space="preserve"> SEQ level0 \*arabic </w:instrText>
      </w:r>
      <w:r w:rsidRPr="00083DAD">
        <w:fldChar w:fldCharType="separate"/>
      </w:r>
      <w:r w:rsidRPr="00083DAD" w:rsidR="00083DAD">
        <w:rPr>
          <w:noProof/>
        </w:rPr>
        <w:t>34</w:t>
      </w:r>
      <w:r w:rsidRPr="00083DAD">
        <w:fldChar w:fldCharType="end"/>
      </w:r>
      <w:r w:rsidRPr="00083DAD">
        <w:t>.  Le Gouvernement invite la Cour à ne prendre en considération que la période, d</w:t>
      </w:r>
      <w:r w:rsidRPr="00083DAD" w:rsidR="00083DAD">
        <w:t>’</w:t>
      </w:r>
      <w:r w:rsidRPr="00083DAD">
        <w:t>une durée de sept mois et vingt-et-un jours, au cours de laquelle le requérant a disposé d</w:t>
      </w:r>
      <w:r w:rsidRPr="00083DAD" w:rsidR="00083DAD">
        <w:t>’</w:t>
      </w:r>
      <w:r w:rsidRPr="00083DAD" w:rsidR="000777C8">
        <w:t>un espace de vie inférieur à 4 </w:t>
      </w:r>
      <w:r w:rsidRPr="00083DAD">
        <w:t>m</w:t>
      </w:r>
      <w:r w:rsidRPr="00083DAD">
        <w:rPr>
          <w:vertAlign w:val="superscript"/>
        </w:rPr>
        <w:t>2</w:t>
      </w:r>
      <w:r w:rsidRPr="00083DAD">
        <w:t>. S</w:t>
      </w:r>
      <w:r w:rsidRPr="00083DAD" w:rsidR="00083DAD">
        <w:t>’</w:t>
      </w:r>
      <w:r w:rsidRPr="00083DAD">
        <w:t xml:space="preserve">agissant des </w:t>
      </w:r>
      <w:r w:rsidRPr="00083DAD">
        <w:t>autres périodes, au cours desquelles l</w:t>
      </w:r>
      <w:r w:rsidRPr="00083DAD" w:rsidR="00083DAD">
        <w:t>’</w:t>
      </w:r>
      <w:r w:rsidRPr="00083DAD">
        <w:t xml:space="preserve">intéressé a disposé de plus de </w:t>
      </w:r>
      <w:r w:rsidRPr="00083DAD" w:rsidR="000777C8">
        <w:t>4 </w:t>
      </w:r>
      <w:r w:rsidRPr="00083DAD">
        <w:t>m</w:t>
      </w:r>
      <w:r w:rsidRPr="00083DAD">
        <w:rPr>
          <w:vertAlign w:val="superscript"/>
        </w:rPr>
        <w:t>2</w:t>
      </w:r>
      <w:r w:rsidRPr="00083DAD">
        <w:t>, il expose que les conditions de détention étaient adéquates.</w:t>
      </w:r>
    </w:p>
    <w:p w:rsidRPr="00083DAD" w:rsidR="00CC31BB" w:rsidP="00083DAD">
      <w:pPr>
        <w:pStyle w:val="JuPara"/>
      </w:pPr>
      <w:r w:rsidRPr="00083DAD">
        <w:fldChar w:fldCharType="begin"/>
      </w:r>
      <w:r w:rsidRPr="00083DAD">
        <w:instrText xml:space="preserve"> SEQ level0 \*arabic </w:instrText>
      </w:r>
      <w:r w:rsidRPr="00083DAD">
        <w:fldChar w:fldCharType="separate"/>
      </w:r>
      <w:r w:rsidRPr="00083DAD" w:rsidR="00083DAD">
        <w:rPr>
          <w:noProof/>
        </w:rPr>
        <w:t>35</w:t>
      </w:r>
      <w:r w:rsidRPr="00083DAD">
        <w:fldChar w:fldCharType="end"/>
      </w:r>
      <w:r w:rsidRPr="00083DAD">
        <w:t xml:space="preserve">.  Les principes généraux applicables en la matière ont été résumés dans les arrêts </w:t>
      </w:r>
      <w:r w:rsidRPr="00083DAD">
        <w:rPr>
          <w:i/>
        </w:rPr>
        <w:t>Muršić</w:t>
      </w:r>
      <w:r w:rsidRPr="00083DAD">
        <w:rPr>
          <w:i/>
        </w:rPr>
        <w:t xml:space="preserve"> c. Croatie</w:t>
      </w:r>
      <w:r w:rsidRPr="00083DAD">
        <w:t xml:space="preserve"> ([GC], n</w:t>
      </w:r>
      <w:r w:rsidRPr="00083DAD">
        <w:rPr>
          <w:vertAlign w:val="superscript"/>
        </w:rPr>
        <w:t>o</w:t>
      </w:r>
      <w:r w:rsidRPr="00083DAD" w:rsidR="00C80014">
        <w:t xml:space="preserve"> 7334/13, §§ 96-141, 20 octobre </w:t>
      </w:r>
      <w:r w:rsidRPr="00083DAD">
        <w:t xml:space="preserve">2016) et </w:t>
      </w:r>
      <w:r w:rsidRPr="00083DAD">
        <w:rPr>
          <w:i/>
        </w:rPr>
        <w:t>Rezmiveș</w:t>
      </w:r>
      <w:r w:rsidRPr="00083DAD">
        <w:rPr>
          <w:i/>
        </w:rPr>
        <w:t xml:space="preserve"> et autres c. Roumanie</w:t>
      </w:r>
      <w:r w:rsidRPr="00083DAD">
        <w:t xml:space="preserve"> (n</w:t>
      </w:r>
      <w:r w:rsidRPr="00083DAD">
        <w:rPr>
          <w:vertAlign w:val="superscript"/>
        </w:rPr>
        <w:t>os</w:t>
      </w:r>
      <w:r w:rsidRPr="00083DAD">
        <w:t xml:space="preserve"> 61467/12 et 3 autres, §§ 71-79, 25 avril 2017). En particulier, la Cour s</w:t>
      </w:r>
      <w:r w:rsidRPr="00083DAD" w:rsidR="00083DAD">
        <w:t>’</w:t>
      </w:r>
      <w:r w:rsidRPr="00083DAD">
        <w:t>est prononcée dans l</w:t>
      </w:r>
      <w:r w:rsidRPr="00083DAD" w:rsidR="00083DAD">
        <w:t>’</w:t>
      </w:r>
      <w:r w:rsidRPr="00083DAD">
        <w:t xml:space="preserve">arrêt </w:t>
      </w:r>
      <w:r w:rsidRPr="00083DAD">
        <w:rPr>
          <w:i/>
        </w:rPr>
        <w:t>Muršić</w:t>
      </w:r>
      <w:r w:rsidRPr="00083DAD">
        <w:t xml:space="preserve"> (précité) en ces termes :</w:t>
      </w:r>
    </w:p>
    <w:p w:rsidRPr="00083DAD" w:rsidR="00CC31BB" w:rsidP="00083DAD">
      <w:pPr>
        <w:pStyle w:val="JuQuot"/>
      </w:pPr>
      <w:r w:rsidRPr="00083DAD">
        <w:t>« 137.  Lorsque la surface au sol dont dispose un détenu en cellule collective est inférieure à 3 m², le manque d</w:t>
      </w:r>
      <w:r w:rsidRPr="00083DAD" w:rsidR="00083DAD">
        <w:t>’</w:t>
      </w:r>
      <w:r w:rsidRPr="00083DAD">
        <w:t>espace personnel est considéré comme étant à ce point grave qu</w:t>
      </w:r>
      <w:r w:rsidRPr="00083DAD" w:rsidR="00083DAD">
        <w:t>’</w:t>
      </w:r>
      <w:r w:rsidRPr="00083DAD">
        <w:t>il donne lieu à une forte présomption de violation de l</w:t>
      </w:r>
      <w:r w:rsidRPr="00083DAD" w:rsidR="00083DAD">
        <w:t>’</w:t>
      </w:r>
      <w:r w:rsidRPr="00083DAD">
        <w:t>article 3. La charge de la preuve pèse alors sur le gouvernement défendeur, qui peut toutefois réfuter la présomption en démontrant la présence d</w:t>
      </w:r>
      <w:r w:rsidRPr="00083DAD" w:rsidR="00083DAD">
        <w:t>’</w:t>
      </w:r>
      <w:r w:rsidRPr="00083DAD">
        <w:t>éléments propres à compenser cette circonstance de manière adéquate (...).</w:t>
      </w:r>
    </w:p>
    <w:p w:rsidRPr="00083DAD" w:rsidR="00CC31BB" w:rsidP="00083DAD">
      <w:pPr>
        <w:pStyle w:val="JuQuot"/>
      </w:pPr>
      <w:r w:rsidRPr="00083DAD">
        <w:t>138.  La forte présomption de violation de l</w:t>
      </w:r>
      <w:r w:rsidRPr="00083DAD" w:rsidR="00083DAD">
        <w:t>’</w:t>
      </w:r>
      <w:r w:rsidRPr="00083DAD">
        <w:t>article 3 ne peut normalement être réfutée que si tous les facteurs suivants sont réunis :</w:t>
      </w:r>
    </w:p>
    <w:p w:rsidRPr="00083DAD" w:rsidR="00CC31BB" w:rsidP="00083DAD">
      <w:pPr>
        <w:pStyle w:val="JuQuot"/>
      </w:pPr>
      <w:r w:rsidRPr="00083DAD">
        <w:t>1)  les réductions de l</w:t>
      </w:r>
      <w:r w:rsidRPr="00083DAD" w:rsidR="00083DAD">
        <w:t>’</w:t>
      </w:r>
      <w:r w:rsidRPr="00083DAD">
        <w:t>espace personnel par rapport au minimum requis de 3 m² sont courtes, occasionnelles et mineures (...) ;</w:t>
      </w:r>
    </w:p>
    <w:p w:rsidRPr="00083DAD" w:rsidR="00CC31BB" w:rsidP="00083DAD">
      <w:pPr>
        <w:pStyle w:val="JuQuot"/>
      </w:pPr>
      <w:r w:rsidRPr="00083DAD">
        <w:t>2)  elles s</w:t>
      </w:r>
      <w:r w:rsidRPr="00083DAD" w:rsidR="00083DAD">
        <w:t>’</w:t>
      </w:r>
      <w:r w:rsidRPr="00083DAD">
        <w:t>accompagnent d</w:t>
      </w:r>
      <w:r w:rsidRPr="00083DAD" w:rsidR="00083DAD">
        <w:t>’</w:t>
      </w:r>
      <w:r w:rsidRPr="00083DAD">
        <w:t>une liberté de circulation suffisante hors de la cellule et d</w:t>
      </w:r>
      <w:r w:rsidRPr="00083DAD" w:rsidR="00083DAD">
        <w:t>’</w:t>
      </w:r>
      <w:r w:rsidRPr="00083DAD">
        <w:t>activités hors cellule adéquates (...) ;</w:t>
      </w:r>
    </w:p>
    <w:p w:rsidRPr="00083DAD" w:rsidR="00CC31BB" w:rsidP="00083DAD">
      <w:pPr>
        <w:pStyle w:val="JuQuot"/>
      </w:pPr>
      <w:r w:rsidRPr="00083DAD">
        <w:t>3)  le requérant est incarcéré dans un établissement offrant, de manière générale, des conditions de détention décentes, et il n</w:t>
      </w:r>
      <w:r w:rsidRPr="00083DAD" w:rsidR="00083DAD">
        <w:t>’</w:t>
      </w:r>
      <w:r w:rsidRPr="00083DAD">
        <w:t>est pas soumis à d</w:t>
      </w:r>
      <w:r w:rsidRPr="00083DAD" w:rsidR="00083DAD">
        <w:t>’</w:t>
      </w:r>
      <w:r w:rsidRPr="00083DAD">
        <w:t>autres éléments considérés comme des circonstances aggravantes de mauvaises conditions de détention (...).</w:t>
      </w:r>
    </w:p>
    <w:p w:rsidRPr="00083DAD" w:rsidR="00CC31BB" w:rsidP="00083DAD">
      <w:pPr>
        <w:pStyle w:val="JuQuot"/>
      </w:pPr>
      <w:r w:rsidRPr="00083DAD">
        <w:t>(...)</w:t>
      </w:r>
    </w:p>
    <w:p w:rsidRPr="00083DAD" w:rsidR="00CC31BB" w:rsidP="00083DAD">
      <w:pPr>
        <w:pStyle w:val="JuQuot"/>
      </w:pPr>
      <w:r w:rsidRPr="00083DAD">
        <w:t>140.  La Cour souligne aussi que lorsqu</w:t>
      </w:r>
      <w:r w:rsidRPr="00083DAD" w:rsidR="00083DAD">
        <w:t>’</w:t>
      </w:r>
      <w:r w:rsidRPr="00083DAD">
        <w:t>un détenu dispose de plus de 4 m² d</w:t>
      </w:r>
      <w:r w:rsidRPr="00083DAD" w:rsidR="00083DAD">
        <w:t>’</w:t>
      </w:r>
      <w:r w:rsidRPr="00083DAD">
        <w:t>espace personnel en cellule collective et que cet aspect de ses conditions matérielles de détention ne pose donc pas de problème, les autres aspects indiqués ci-dessus (...) demeurent pertinents aux fins de l</w:t>
      </w:r>
      <w:r w:rsidRPr="00083DAD" w:rsidR="00083DAD">
        <w:t>’</w:t>
      </w:r>
      <w:r w:rsidRPr="00083DAD">
        <w:t>appréciation du caractère adéquat des conditions de détention de l</w:t>
      </w:r>
      <w:r w:rsidRPr="00083DAD" w:rsidR="00083DAD">
        <w:t>’</w:t>
      </w:r>
      <w:r w:rsidRPr="00083DAD">
        <w:t>intéressé au regard de l</w:t>
      </w:r>
      <w:r w:rsidRPr="00083DAD" w:rsidR="00083DAD">
        <w:t>’</w:t>
      </w:r>
      <w:r w:rsidRPr="00083DAD">
        <w:t xml:space="preserve">article 3 de la Convention (voir, par exemple, </w:t>
      </w:r>
      <w:r w:rsidRPr="00083DAD">
        <w:rPr>
          <w:i/>
        </w:rPr>
        <w:t>Story et autres c. Malte</w:t>
      </w:r>
      <w:r w:rsidRPr="00083DAD">
        <w:t>, n</w:t>
      </w:r>
      <w:r w:rsidRPr="00083DAD">
        <w:rPr>
          <w:vertAlign w:val="superscript"/>
        </w:rPr>
        <w:t>os</w:t>
      </w:r>
      <w:r w:rsidRPr="00083DAD">
        <w:t xml:space="preserve"> 56854/13, 57005</w:t>
      </w:r>
      <w:r w:rsidRPr="00083DAD" w:rsidR="000777C8">
        <w:t>/13 et 57043/13, §§ 112-113, 29 </w:t>
      </w:r>
      <w:r w:rsidRPr="00083DAD">
        <w:t>octobre</w:t>
      </w:r>
      <w:r w:rsidRPr="00083DAD" w:rsidR="00C80014">
        <w:t xml:space="preserve"> </w:t>
      </w:r>
      <w:r w:rsidRPr="00083DAD">
        <w:t>2015). »</w:t>
      </w:r>
    </w:p>
    <w:bookmarkStart w:name="par37" w:id="20"/>
    <w:p w:rsidRPr="00083DAD" w:rsidR="00CC31BB" w:rsidP="00083DAD">
      <w:pPr>
        <w:pStyle w:val="JuPara"/>
      </w:pPr>
      <w:r w:rsidRPr="00083DAD">
        <w:fldChar w:fldCharType="begin"/>
      </w:r>
      <w:r w:rsidRPr="00083DAD">
        <w:instrText xml:space="preserve"> SEQ level0 \*arabic </w:instrText>
      </w:r>
      <w:r w:rsidRPr="00083DAD">
        <w:fldChar w:fldCharType="separate"/>
      </w:r>
      <w:r w:rsidRPr="00083DAD" w:rsidR="00083DAD">
        <w:rPr>
          <w:noProof/>
        </w:rPr>
        <w:t>36</w:t>
      </w:r>
      <w:r w:rsidRPr="00083DAD">
        <w:fldChar w:fldCharType="end"/>
      </w:r>
      <w:bookmarkEnd w:id="20"/>
      <w:r w:rsidRPr="00083DAD">
        <w:t>.  Faisant application de ces principes en l</w:t>
      </w:r>
      <w:r w:rsidRPr="00083DAD" w:rsidR="00083DAD">
        <w:t>’</w:t>
      </w:r>
      <w:r w:rsidRPr="00083DAD">
        <w:t>espèce, la Cour note que le Gouvernement concède que du 16 septembre au 6 novembre 2015 et du 1</w:t>
      </w:r>
      <w:r w:rsidRPr="00083DAD">
        <w:rPr>
          <w:vertAlign w:val="superscript"/>
        </w:rPr>
        <w:t>er</w:t>
      </w:r>
      <w:r w:rsidRPr="00083DAD">
        <w:t> mars au 1</w:t>
      </w:r>
      <w:r w:rsidRPr="00083DAD">
        <w:rPr>
          <w:vertAlign w:val="superscript"/>
        </w:rPr>
        <w:t>er</w:t>
      </w:r>
      <w:r w:rsidRPr="00083DAD">
        <w:t xml:space="preserve"> septembre 2016 le requérant a été détenu dans des cellules où il a disposé d</w:t>
      </w:r>
      <w:r w:rsidRPr="00083DAD" w:rsidR="00083DAD">
        <w:t>’</w:t>
      </w:r>
      <w:r w:rsidRPr="00083DAD">
        <w:t>un espace personnel var</w:t>
      </w:r>
      <w:r w:rsidRPr="00083DAD" w:rsidR="000777C8">
        <w:t>iant entre 1,72 </w:t>
      </w:r>
      <w:r w:rsidRPr="00083DAD">
        <w:t>m</w:t>
      </w:r>
      <w:r w:rsidRPr="00083DAD">
        <w:rPr>
          <w:vertAlign w:val="superscript"/>
        </w:rPr>
        <w:t>2</w:t>
      </w:r>
      <w:r w:rsidRPr="00083DAD" w:rsidR="000777C8">
        <w:t xml:space="preserve"> et 2,76 </w:t>
      </w:r>
      <w:r w:rsidRPr="00083DAD">
        <w:t>m</w:t>
      </w:r>
      <w:r w:rsidRPr="00083DAD">
        <w:rPr>
          <w:vertAlign w:val="superscript"/>
        </w:rPr>
        <w:t>2</w:t>
      </w:r>
      <w:r w:rsidRPr="00083DAD">
        <w:t xml:space="preserve"> (paragraphe</w:t>
      </w:r>
      <w:r w:rsidRPr="00083DAD" w:rsidR="000777C8">
        <w:t> </w:t>
      </w:r>
      <w:r w:rsidRPr="00083DAD" w:rsidR="00E11B71">
        <w:fldChar w:fldCharType="begin"/>
      </w:r>
      <w:r w:rsidRPr="00083DAD" w:rsidR="00E11B71">
        <w:instrText xml:space="preserve"> REF suprafete_cellule \h </w:instrText>
      </w:r>
      <w:r w:rsidRPr="00083DAD" w:rsidR="00E11B71">
        <w:fldChar w:fldCharType="separate"/>
      </w:r>
      <w:r w:rsidRPr="00083DAD" w:rsidR="00083DAD">
        <w:rPr>
          <w:noProof/>
        </w:rPr>
        <w:t>24</w:t>
      </w:r>
      <w:r w:rsidRPr="00083DAD" w:rsidR="00E11B71">
        <w:fldChar w:fldCharType="end"/>
      </w:r>
      <w:r w:rsidRPr="00083DAD">
        <w:t xml:space="preserve"> ci</w:t>
      </w:r>
      <w:r w:rsidRPr="00083DAD" w:rsidR="000777C8">
        <w:t>-</w:t>
      </w:r>
      <w:r w:rsidRPr="00083DAD">
        <w:t>dessus). Un tel manque d</w:t>
      </w:r>
      <w:r w:rsidRPr="00083DAD" w:rsidR="00083DAD">
        <w:t>’</w:t>
      </w:r>
      <w:r w:rsidRPr="00083DAD">
        <w:t>espace personnel donne lieu à une forte présomption de violation de l</w:t>
      </w:r>
      <w:r w:rsidRPr="00083DAD" w:rsidR="00083DAD">
        <w:t>’</w:t>
      </w:r>
      <w:r w:rsidRPr="00083DAD">
        <w:t>article 3 de la Convention (</w:t>
      </w:r>
      <w:r w:rsidRPr="00083DAD">
        <w:rPr>
          <w:i/>
        </w:rPr>
        <w:t>Muršić</w:t>
      </w:r>
      <w:r w:rsidRPr="00083DAD">
        <w:t>,</w:t>
      </w:r>
      <w:r w:rsidRPr="00083DAD">
        <w:rPr>
          <w:i/>
        </w:rPr>
        <w:t xml:space="preserve"> </w:t>
      </w:r>
      <w:r w:rsidRPr="00083DAD">
        <w:t>précité, §</w:t>
      </w:r>
      <w:r w:rsidRPr="00083DAD" w:rsidR="000777C8">
        <w:t xml:space="preserve"> </w:t>
      </w:r>
      <w:r w:rsidRPr="00083DAD">
        <w:t>137). La Cour recherchera donc si le Gouvernement a présenté des éléments aptes à réfuter cette présomption.</w:t>
      </w:r>
    </w:p>
    <w:bookmarkStart w:name="par_37" w:id="21"/>
    <w:p w:rsidRPr="00083DAD" w:rsidR="00CC31BB" w:rsidP="00083DAD">
      <w:pPr>
        <w:pStyle w:val="JuPara"/>
      </w:pPr>
      <w:r w:rsidRPr="00083DAD">
        <w:fldChar w:fldCharType="begin"/>
      </w:r>
      <w:r w:rsidRPr="00083DAD">
        <w:instrText xml:space="preserve"> SEQ level0 \*arabic </w:instrText>
      </w:r>
      <w:r w:rsidRPr="00083DAD">
        <w:fldChar w:fldCharType="separate"/>
      </w:r>
      <w:r w:rsidRPr="00083DAD" w:rsidR="00083DAD">
        <w:rPr>
          <w:noProof/>
        </w:rPr>
        <w:t>37</w:t>
      </w:r>
      <w:r w:rsidRPr="00083DAD">
        <w:fldChar w:fldCharType="end"/>
      </w:r>
      <w:bookmarkEnd w:id="21"/>
      <w:r w:rsidRPr="00083DAD">
        <w:t>.  Se référant aux facteurs énoncés dans l</w:t>
      </w:r>
      <w:r w:rsidRPr="00083DAD" w:rsidR="00083DAD">
        <w:t>’</w:t>
      </w:r>
      <w:r w:rsidRPr="00083DAD">
        <w:t xml:space="preserve">arrêt </w:t>
      </w:r>
      <w:r w:rsidRPr="00083DAD">
        <w:rPr>
          <w:i/>
        </w:rPr>
        <w:t>Muršić</w:t>
      </w:r>
      <w:r w:rsidRPr="00083DAD">
        <w:t xml:space="preserve"> (précité</w:t>
      </w:r>
      <w:r w:rsidRPr="00083DAD" w:rsidR="000777C8">
        <w:t>, § </w:t>
      </w:r>
      <w:r w:rsidRPr="00083DAD">
        <w:t>138), la Cour estime qu</w:t>
      </w:r>
      <w:r w:rsidRPr="00083DAD" w:rsidR="00083DAD">
        <w:t>’</w:t>
      </w:r>
      <w:r w:rsidRPr="00083DAD">
        <w:t>un seul de ces trois facteurs cumulatifs est rempli en l</w:t>
      </w:r>
      <w:r w:rsidRPr="00083DAD" w:rsidR="00083DAD">
        <w:t>’</w:t>
      </w:r>
      <w:r w:rsidRPr="00083DAD">
        <w:t>espèce. En effet, il ressort des informations fournies par le Gouvernement, que le requérant n</w:t>
      </w:r>
      <w:r w:rsidRPr="00083DAD" w:rsidR="00083DAD">
        <w:t>’</w:t>
      </w:r>
      <w:r w:rsidRPr="00083DAD">
        <w:t>a pas valablement contestées (paragraphes</w:t>
      </w:r>
      <w:r w:rsidRPr="00083DAD" w:rsidR="0005301B">
        <w:t xml:space="preserve"> </w:t>
      </w:r>
      <w:r w:rsidRPr="00083DAD" w:rsidR="00E04EB3">
        <w:fldChar w:fldCharType="begin"/>
      </w:r>
      <w:r w:rsidRPr="00083DAD" w:rsidR="00E04EB3">
        <w:instrText xml:space="preserve"> REF GUV_3_alteconditii \h </w:instrText>
      </w:r>
      <w:r w:rsidRPr="00083DAD" w:rsidR="00E04EB3">
        <w:fldChar w:fldCharType="separate"/>
      </w:r>
      <w:r w:rsidRPr="00083DAD" w:rsidR="00083DAD">
        <w:rPr>
          <w:noProof/>
        </w:rPr>
        <w:t>25</w:t>
      </w:r>
      <w:r w:rsidRPr="00083DAD" w:rsidR="00E04EB3">
        <w:fldChar w:fldCharType="end"/>
      </w:r>
      <w:r w:rsidRPr="00083DAD" w:rsidR="000777C8">
        <w:t xml:space="preserve"> et </w:t>
      </w:r>
      <w:r w:rsidRPr="00083DAD" w:rsidR="00E04EB3">
        <w:fldChar w:fldCharType="begin"/>
      </w:r>
      <w:r w:rsidRPr="00083DAD" w:rsidR="00E04EB3">
        <w:instrText xml:space="preserve"> REF R3 \h </w:instrText>
      </w:r>
      <w:r w:rsidRPr="00083DAD" w:rsidR="00E04EB3">
        <w:fldChar w:fldCharType="separate"/>
      </w:r>
      <w:r w:rsidRPr="00083DAD" w:rsidR="00083DAD">
        <w:rPr>
          <w:noProof/>
        </w:rPr>
        <w:t>26</w:t>
      </w:r>
      <w:r w:rsidRPr="00083DAD" w:rsidR="00E04EB3">
        <w:fldChar w:fldCharType="end"/>
      </w:r>
      <w:r w:rsidRPr="00083DAD">
        <w:t xml:space="preserve"> ci</w:t>
      </w:r>
      <w:r w:rsidRPr="00083DAD">
        <w:noBreakHyphen/>
        <w:t>dessus), que l</w:t>
      </w:r>
      <w:r w:rsidRPr="00083DAD" w:rsidR="00083DAD">
        <w:t>’</w:t>
      </w:r>
      <w:r w:rsidRPr="00083DAD">
        <w:t>intéressé a pu sortir de sa cellule pour mener à bien son programme de travail et pour se promener dans la cour de la prison et qu</w:t>
      </w:r>
      <w:r w:rsidRPr="00083DAD" w:rsidR="00083DAD">
        <w:t>’</w:t>
      </w:r>
      <w:r w:rsidRPr="00083DAD">
        <w:t xml:space="preserve">il a </w:t>
      </w:r>
      <w:r w:rsidRPr="00083DAD">
        <w:t>ainsi disposé d</w:t>
      </w:r>
      <w:r w:rsidRPr="00083DAD" w:rsidR="00083DAD">
        <w:t>’</w:t>
      </w:r>
      <w:r w:rsidRPr="00083DAD">
        <w:t>une liberté de circulation suffisante hors de la cellule. Toutefois, la durée de sa détention dans de telles conditions ne peut pas être qualifiée de courte, occasionnelle et mineure puisqu</w:t>
      </w:r>
      <w:r w:rsidRPr="00083DAD" w:rsidR="00083DAD">
        <w:t>’</w:t>
      </w:r>
      <w:r w:rsidRPr="00083DAD">
        <w:t>elle s</w:t>
      </w:r>
      <w:r w:rsidRPr="00083DAD" w:rsidR="00083DAD">
        <w:t>’</w:t>
      </w:r>
      <w:r w:rsidRPr="00083DAD">
        <w:t>est étalée sur des périodes dont la durée totale a été de sept mois et vingt-et-un jours. En outre, les allégations du requérant relatives aux mauvaises conditions d</w:t>
      </w:r>
      <w:r w:rsidRPr="00083DAD" w:rsidR="00083DAD">
        <w:t>’</w:t>
      </w:r>
      <w:r w:rsidRPr="00083DAD">
        <w:t>hygiène des toilettes, à l</w:t>
      </w:r>
      <w:r w:rsidRPr="00083DAD" w:rsidR="00083DAD">
        <w:t>’</w:t>
      </w:r>
      <w:r w:rsidRPr="00083DAD">
        <w:t>absence d</w:t>
      </w:r>
      <w:r w:rsidRPr="00083DAD" w:rsidR="00083DAD">
        <w:t>’</w:t>
      </w:r>
      <w:r w:rsidRPr="00083DAD">
        <w:t>intimité aux toilettes et à la présence d</w:t>
      </w:r>
      <w:r w:rsidRPr="00083DAD" w:rsidR="00083DAD">
        <w:t>’</w:t>
      </w:r>
      <w:r w:rsidRPr="00083DAD">
        <w:t>insectes parasites cadrent avec les conclusions de la Cour dans l</w:t>
      </w:r>
      <w:r w:rsidRPr="00083DAD" w:rsidR="00083DAD">
        <w:t>’</w:t>
      </w:r>
      <w:r w:rsidRPr="00083DAD">
        <w:t xml:space="preserve">arrêt </w:t>
      </w:r>
      <w:r w:rsidRPr="00083DAD">
        <w:rPr>
          <w:i/>
        </w:rPr>
        <w:t>Rezmiveș</w:t>
      </w:r>
      <w:r w:rsidRPr="00083DAD">
        <w:rPr>
          <w:i/>
        </w:rPr>
        <w:t xml:space="preserve"> et autres</w:t>
      </w:r>
      <w:r w:rsidRPr="00083DAD">
        <w:t xml:space="preserve"> (précité, § 110), où elle a identifié un problème général qui tirait son origine d</w:t>
      </w:r>
      <w:r w:rsidRPr="00083DAD" w:rsidR="00083DAD">
        <w:t>’</w:t>
      </w:r>
      <w:r w:rsidRPr="00083DAD">
        <w:t>un dysfonctionnement structurel propre au système carcéral roumain.</w:t>
      </w:r>
    </w:p>
    <w:p w:rsidRPr="00083DAD" w:rsidR="00CC31BB" w:rsidP="00083DAD">
      <w:pPr>
        <w:pStyle w:val="JuPara"/>
      </w:pPr>
      <w:r w:rsidRPr="00083DAD">
        <w:fldChar w:fldCharType="begin"/>
      </w:r>
      <w:r w:rsidRPr="00083DAD">
        <w:instrText xml:space="preserve"> SEQ level0 \*arabic </w:instrText>
      </w:r>
      <w:r w:rsidRPr="00083DAD">
        <w:fldChar w:fldCharType="separate"/>
      </w:r>
      <w:r w:rsidRPr="00083DAD" w:rsidR="00083DAD">
        <w:rPr>
          <w:noProof/>
        </w:rPr>
        <w:t>38</w:t>
      </w:r>
      <w:r w:rsidRPr="00083DAD">
        <w:fldChar w:fldCharType="end"/>
      </w:r>
      <w:r w:rsidRPr="00083DAD">
        <w:t>.  Il s</w:t>
      </w:r>
      <w:r w:rsidRPr="00083DAD" w:rsidR="00083DAD">
        <w:t>’</w:t>
      </w:r>
      <w:r w:rsidRPr="00083DAD">
        <w:t>ensuit qu</w:t>
      </w:r>
      <w:r w:rsidRPr="00083DAD" w:rsidR="00083DAD">
        <w:t>’</w:t>
      </w:r>
      <w:r w:rsidRPr="00083DAD">
        <w:t>il y a eu violation de l</w:t>
      </w:r>
      <w:r w:rsidRPr="00083DAD" w:rsidR="00083DAD">
        <w:t>’</w:t>
      </w:r>
      <w:r w:rsidRPr="00083DAD">
        <w:t>article 3 de la Convention en ce qui concerne les conditions de détention du requérant au cours des périodes allant du 16 septembre au 6 novembre 2015 et du 1</w:t>
      </w:r>
      <w:r w:rsidRPr="00083DAD">
        <w:rPr>
          <w:vertAlign w:val="superscript"/>
        </w:rPr>
        <w:t>er</w:t>
      </w:r>
      <w:r w:rsidRPr="00083DAD">
        <w:t> mars au 1</w:t>
      </w:r>
      <w:r w:rsidRPr="00083DAD">
        <w:rPr>
          <w:vertAlign w:val="superscript"/>
        </w:rPr>
        <w:t>er</w:t>
      </w:r>
      <w:r w:rsidRPr="00083DAD" w:rsidR="000777C8">
        <w:rPr>
          <w:vertAlign w:val="superscript"/>
        </w:rPr>
        <w:t> </w:t>
      </w:r>
      <w:r w:rsidRPr="00083DAD" w:rsidR="00C80014">
        <w:t xml:space="preserve">septembre </w:t>
      </w:r>
      <w:r w:rsidRPr="00083DAD">
        <w:t>2016.</w:t>
      </w:r>
    </w:p>
    <w:p w:rsidRPr="00083DAD" w:rsidR="00CC31BB" w:rsidP="00083DAD">
      <w:pPr>
        <w:pStyle w:val="JuPara"/>
      </w:pPr>
      <w:r w:rsidRPr="00083DAD">
        <w:fldChar w:fldCharType="begin"/>
      </w:r>
      <w:r w:rsidRPr="00083DAD">
        <w:instrText xml:space="preserve"> SEQ level0 \*arabic </w:instrText>
      </w:r>
      <w:r w:rsidRPr="00083DAD">
        <w:fldChar w:fldCharType="separate"/>
      </w:r>
      <w:r w:rsidRPr="00083DAD" w:rsidR="00083DAD">
        <w:rPr>
          <w:noProof/>
        </w:rPr>
        <w:t>39</w:t>
      </w:r>
      <w:r w:rsidRPr="00083DAD">
        <w:fldChar w:fldCharType="end"/>
      </w:r>
      <w:r w:rsidRPr="00083DAD">
        <w:t>.  La Cour note ensuite que le Gouvernement a indiqué que, au cours de deux autres périodes, allant du 6 novembre 2015 au 1</w:t>
      </w:r>
      <w:r w:rsidRPr="00083DAD">
        <w:rPr>
          <w:vertAlign w:val="superscript"/>
        </w:rPr>
        <w:t>er</w:t>
      </w:r>
      <w:r w:rsidRPr="00083DAD">
        <w:t xml:space="preserve"> mars 2016 et du 1</w:t>
      </w:r>
      <w:r w:rsidRPr="00083DAD">
        <w:rPr>
          <w:vertAlign w:val="superscript"/>
        </w:rPr>
        <w:t>er</w:t>
      </w:r>
      <w:r w:rsidRPr="00083DAD">
        <w:t> septembre au 29 novembre 2016, le requérant a dis</w:t>
      </w:r>
      <w:r w:rsidRPr="00083DAD" w:rsidR="000777C8">
        <w:t>posé d</w:t>
      </w:r>
      <w:r w:rsidRPr="00083DAD" w:rsidR="00083DAD">
        <w:t>’</w:t>
      </w:r>
      <w:r w:rsidRPr="00083DAD" w:rsidR="000777C8">
        <w:t>un espace de vie de 4,33 </w:t>
      </w:r>
      <w:r w:rsidRPr="00083DAD">
        <w:t>m</w:t>
      </w:r>
      <w:r w:rsidRPr="00083DAD">
        <w:rPr>
          <w:vertAlign w:val="superscript"/>
        </w:rPr>
        <w:t>2</w:t>
      </w:r>
      <w:r w:rsidRPr="00083DAD">
        <w:t xml:space="preserve"> (paragraphe</w:t>
      </w:r>
      <w:r w:rsidRPr="00083DAD" w:rsidR="000777C8">
        <w:t xml:space="preserve"> </w:t>
      </w:r>
      <w:r w:rsidRPr="00083DAD" w:rsidR="00603B65">
        <w:fldChar w:fldCharType="begin"/>
      </w:r>
      <w:r w:rsidRPr="00083DAD" w:rsidR="00603B65">
        <w:instrText xml:space="preserve"> REF suprafete_cellule \h </w:instrText>
      </w:r>
      <w:r w:rsidRPr="00083DAD" w:rsidR="00603B65">
        <w:fldChar w:fldCharType="separate"/>
      </w:r>
      <w:r w:rsidRPr="00083DAD" w:rsidR="00083DAD">
        <w:rPr>
          <w:noProof/>
        </w:rPr>
        <w:t>24</w:t>
      </w:r>
      <w:r w:rsidRPr="00083DAD" w:rsidR="00603B65">
        <w:fldChar w:fldCharType="end"/>
      </w:r>
      <w:r w:rsidRPr="00083DAD">
        <w:t xml:space="preserve"> ci-dessus). Le requérant conteste ces informations, sans toutefois étayer ses dires par des éléments de preuve (paragraphe</w:t>
      </w:r>
      <w:r w:rsidRPr="00083DAD" w:rsidR="000777C8">
        <w:t> </w:t>
      </w:r>
      <w:r w:rsidRPr="00083DAD" w:rsidR="00603B65">
        <w:fldChar w:fldCharType="begin"/>
      </w:r>
      <w:r w:rsidRPr="00083DAD" w:rsidR="00603B65">
        <w:instrText xml:space="preserve"> REF R3 \h </w:instrText>
      </w:r>
      <w:r w:rsidRPr="00083DAD" w:rsidR="00603B65">
        <w:fldChar w:fldCharType="separate"/>
      </w:r>
      <w:r w:rsidRPr="00083DAD" w:rsidR="00083DAD">
        <w:rPr>
          <w:noProof/>
        </w:rPr>
        <w:t>26</w:t>
      </w:r>
      <w:r w:rsidRPr="00083DAD" w:rsidR="00603B65">
        <w:fldChar w:fldCharType="end"/>
      </w:r>
      <w:r w:rsidRPr="00083DAD">
        <w:t xml:space="preserve"> ci-dessus). La Cour constate que les informations présentées par le Gouvernement proviennent de l</w:t>
      </w:r>
      <w:r w:rsidRPr="00083DAD" w:rsidR="00083DAD">
        <w:t>’</w:t>
      </w:r>
      <w:r w:rsidRPr="00083DAD">
        <w:t>Administration nationale des établissements pénitentiaires (paragraphe </w:t>
      </w:r>
      <w:r w:rsidRPr="00083DAD" w:rsidR="00603B65">
        <w:fldChar w:fldCharType="begin"/>
      </w:r>
      <w:r w:rsidRPr="00083DAD" w:rsidR="00603B65">
        <w:instrText xml:space="preserve"> REF suprafete_cellule \h </w:instrText>
      </w:r>
      <w:r w:rsidRPr="00083DAD" w:rsidR="00603B65">
        <w:fldChar w:fldCharType="separate"/>
      </w:r>
      <w:r w:rsidRPr="00083DAD" w:rsidR="00083DAD">
        <w:rPr>
          <w:noProof/>
        </w:rPr>
        <w:t>24</w:t>
      </w:r>
      <w:r w:rsidRPr="00083DAD" w:rsidR="00603B65">
        <w:fldChar w:fldCharType="end"/>
      </w:r>
      <w:r w:rsidRPr="00083DAD">
        <w:t xml:space="preserve"> ci-dessus). Puisque le requérant n</w:t>
      </w:r>
      <w:r w:rsidRPr="00083DAD" w:rsidR="00083DAD">
        <w:t>’</w:t>
      </w:r>
      <w:r w:rsidRPr="00083DAD">
        <w:t>a pas présenté d</w:t>
      </w:r>
      <w:r w:rsidRPr="00083DAD" w:rsidR="00083DAD">
        <w:t>’</w:t>
      </w:r>
      <w:r w:rsidRPr="00083DAD">
        <w:t>éléments permettant de douter de la véracité de ces informations officielles, la Cour admet que, au cours des périodes indiquées par le Gouvernement, l</w:t>
      </w:r>
      <w:r w:rsidRPr="00083DAD" w:rsidR="00083DAD">
        <w:t>’</w:t>
      </w:r>
      <w:r w:rsidRPr="00083DAD">
        <w:t>intéressé a disposé d</w:t>
      </w:r>
      <w:r w:rsidRPr="00083DAD" w:rsidR="00083DAD">
        <w:t>’</w:t>
      </w:r>
      <w:r w:rsidRPr="00083DAD">
        <w:t>un espace de vie supérieur à 4 m</w:t>
      </w:r>
      <w:r w:rsidRPr="00083DAD">
        <w:rPr>
          <w:vertAlign w:val="superscript"/>
        </w:rPr>
        <w:t>2</w:t>
      </w:r>
      <w:r w:rsidRPr="00083DAD">
        <w:t>. Il s</w:t>
      </w:r>
      <w:r w:rsidRPr="00083DAD" w:rsidR="00083DAD">
        <w:t>’</w:t>
      </w:r>
      <w:r w:rsidRPr="00083DAD">
        <w:t>ensuit qu</w:t>
      </w:r>
      <w:r w:rsidRPr="00083DAD" w:rsidR="00083DAD">
        <w:t>’</w:t>
      </w:r>
      <w:r w:rsidRPr="00083DAD">
        <w:t>il n</w:t>
      </w:r>
      <w:r w:rsidRPr="00083DAD" w:rsidR="00083DAD">
        <w:t>’</w:t>
      </w:r>
      <w:r w:rsidRPr="00083DAD">
        <w:t>y a pas eu de situation de surpopulation carcérale pendant ces périodes. La Cour doit donc rechercher si les autres aspects de la détention du requérant sont problématiques au point d</w:t>
      </w:r>
      <w:r w:rsidRPr="00083DAD" w:rsidR="00083DAD">
        <w:t>’</w:t>
      </w:r>
      <w:r w:rsidRPr="00083DAD">
        <w:t>emporter violation de l</w:t>
      </w:r>
      <w:r w:rsidRPr="00083DAD" w:rsidR="00083DAD">
        <w:t>’</w:t>
      </w:r>
      <w:r w:rsidRPr="00083DAD">
        <w:t>article 3 de la Convention (</w:t>
      </w:r>
      <w:r w:rsidRPr="00083DAD">
        <w:rPr>
          <w:i/>
        </w:rPr>
        <w:t>Muršić</w:t>
      </w:r>
      <w:r w:rsidRPr="00083DAD">
        <w:t>,</w:t>
      </w:r>
      <w:r w:rsidRPr="00083DAD">
        <w:rPr>
          <w:i/>
        </w:rPr>
        <w:t xml:space="preserve"> </w:t>
      </w:r>
      <w:r w:rsidRPr="00083DAD">
        <w:t>précité, § 140).</w:t>
      </w:r>
    </w:p>
    <w:p w:rsidRPr="00083DAD" w:rsidR="00CC31BB" w:rsidP="00083DAD">
      <w:pPr>
        <w:pStyle w:val="JuPara"/>
      </w:pPr>
      <w:r w:rsidRPr="00083DAD">
        <w:fldChar w:fldCharType="begin"/>
      </w:r>
      <w:r w:rsidRPr="00083DAD">
        <w:instrText xml:space="preserve"> SEQ level0 \*arabic </w:instrText>
      </w:r>
      <w:r w:rsidRPr="00083DAD">
        <w:fldChar w:fldCharType="separate"/>
      </w:r>
      <w:r w:rsidRPr="00083DAD" w:rsidR="00083DAD">
        <w:rPr>
          <w:noProof/>
        </w:rPr>
        <w:t>40</w:t>
      </w:r>
      <w:r w:rsidRPr="00083DAD">
        <w:fldChar w:fldCharType="end"/>
      </w:r>
      <w:r w:rsidRPr="00083DAD">
        <w:t>.  À cet égard, la Cour note que les deux périodes indiquées par le Gouvernement se sont étalées sur trois mois et vingt-deux jours et deux mois et vingt-neuf jours respectivement (paragraphe</w:t>
      </w:r>
      <w:r w:rsidRPr="00083DAD" w:rsidR="000777C8">
        <w:t xml:space="preserve"> </w:t>
      </w:r>
      <w:r w:rsidRPr="00083DAD" w:rsidR="00692F0F">
        <w:fldChar w:fldCharType="begin"/>
      </w:r>
      <w:r w:rsidRPr="00083DAD" w:rsidR="00692F0F">
        <w:instrText xml:space="preserve"> REF suprafete_cellule \h </w:instrText>
      </w:r>
      <w:r w:rsidRPr="00083DAD" w:rsidR="00692F0F">
        <w:fldChar w:fldCharType="separate"/>
      </w:r>
      <w:r w:rsidRPr="00083DAD" w:rsidR="00083DAD">
        <w:rPr>
          <w:noProof/>
        </w:rPr>
        <w:t>24</w:t>
      </w:r>
      <w:r w:rsidRPr="00083DAD" w:rsidR="00692F0F">
        <w:fldChar w:fldCharType="end"/>
      </w:r>
      <w:r w:rsidRPr="00083DAD">
        <w:t xml:space="preserve"> ci-dessus). Leur durée globale a dépassé six mois et représente un peu moins de la moitié de la durée de la détention du requérant (paragraphe</w:t>
      </w:r>
      <w:r w:rsidRPr="00083DAD" w:rsidR="000777C8">
        <w:t xml:space="preserve"> </w:t>
      </w:r>
      <w:r w:rsidRPr="00083DAD" w:rsidR="00692F0F">
        <w:fldChar w:fldCharType="begin"/>
      </w:r>
      <w:r w:rsidRPr="00083DAD" w:rsidR="00692F0F">
        <w:instrText xml:space="preserve"> REF durée_détention_entout \h </w:instrText>
      </w:r>
      <w:r w:rsidRPr="00083DAD" w:rsidR="00692F0F">
        <w:fldChar w:fldCharType="separate"/>
      </w:r>
      <w:r w:rsidRPr="00083DAD" w:rsidR="00083DAD">
        <w:rPr>
          <w:noProof/>
        </w:rPr>
        <w:t>23</w:t>
      </w:r>
      <w:r w:rsidRPr="00083DAD" w:rsidR="00692F0F">
        <w:fldChar w:fldCharType="end"/>
      </w:r>
      <w:r w:rsidRPr="00083DAD">
        <w:t xml:space="preserve"> ci-dessus). La Cour en déduit que cet aspect de la détention de l</w:t>
      </w:r>
      <w:r w:rsidRPr="00083DAD" w:rsidR="00083DAD">
        <w:t>’</w:t>
      </w:r>
      <w:r w:rsidRPr="00083DAD">
        <w:t>intéressé n</w:t>
      </w:r>
      <w:r w:rsidRPr="00083DAD" w:rsidR="00083DAD">
        <w:t>’</w:t>
      </w:r>
      <w:r w:rsidRPr="00083DAD">
        <w:t>a pas été un incident occasionnel ou de courte durée. Elle note ensuite, comme observé plus haut, que le requérant a pu sortir de sa cellule pendant son programme de travail et lors des promenades autorisées dans la cour de la prison (paragraphe</w:t>
      </w:r>
      <w:r w:rsidRPr="00083DAD" w:rsidR="000777C8">
        <w:t> </w:t>
      </w:r>
      <w:r w:rsidRPr="00083DAD" w:rsidR="00BE486E">
        <w:fldChar w:fldCharType="begin"/>
      </w:r>
      <w:r w:rsidRPr="00083DAD" w:rsidR="00BE486E">
        <w:instrText xml:space="preserve"> REF par_37 \h </w:instrText>
      </w:r>
      <w:r w:rsidRPr="00083DAD" w:rsidR="00BE486E">
        <w:fldChar w:fldCharType="separate"/>
      </w:r>
      <w:r w:rsidRPr="00083DAD" w:rsidR="00083DAD">
        <w:rPr>
          <w:noProof/>
        </w:rPr>
        <w:t>37</w:t>
      </w:r>
      <w:r w:rsidRPr="00083DAD" w:rsidR="00BE486E">
        <w:fldChar w:fldCharType="end"/>
      </w:r>
      <w:r w:rsidRPr="00083DAD">
        <w:t xml:space="preserve"> ci-dessus). En outre, d</w:t>
      </w:r>
      <w:r w:rsidRPr="00083DAD" w:rsidR="00083DAD">
        <w:t>’</w:t>
      </w:r>
      <w:r w:rsidRPr="00083DAD">
        <w:t>après une information fournie par le Gouvernement, que le requérant a contestée sans toutefois présenter d</w:t>
      </w:r>
      <w:r w:rsidRPr="00083DAD" w:rsidR="00083DAD">
        <w:t>’</w:t>
      </w:r>
      <w:r w:rsidRPr="00083DAD">
        <w:t>éléments valables à l</w:t>
      </w:r>
      <w:r w:rsidRPr="00083DAD" w:rsidR="00083DAD">
        <w:t>’</w:t>
      </w:r>
      <w:r w:rsidRPr="00083DAD">
        <w:t>appui de ses dires (paragraphe</w:t>
      </w:r>
      <w:r w:rsidRPr="00083DAD" w:rsidR="000777C8">
        <w:t xml:space="preserve"> </w:t>
      </w:r>
      <w:r w:rsidRPr="00083DAD" w:rsidR="00BE486E">
        <w:fldChar w:fldCharType="begin"/>
      </w:r>
      <w:r w:rsidRPr="00083DAD" w:rsidR="00BE486E">
        <w:instrText xml:space="preserve"> REF R3 \h </w:instrText>
      </w:r>
      <w:r w:rsidRPr="00083DAD" w:rsidR="00BE486E">
        <w:fldChar w:fldCharType="separate"/>
      </w:r>
      <w:r w:rsidRPr="00083DAD" w:rsidR="00083DAD">
        <w:rPr>
          <w:noProof/>
        </w:rPr>
        <w:t>26</w:t>
      </w:r>
      <w:r w:rsidRPr="00083DAD" w:rsidR="00BE486E">
        <w:fldChar w:fldCharType="end"/>
      </w:r>
      <w:r w:rsidRPr="00083DAD">
        <w:t xml:space="preserve"> ci</w:t>
      </w:r>
      <w:r w:rsidRPr="00083DAD">
        <w:noBreakHyphen/>
        <w:t>dessus), l</w:t>
      </w:r>
      <w:r w:rsidRPr="00083DAD" w:rsidR="00083DAD">
        <w:t>’</w:t>
      </w:r>
      <w:r w:rsidRPr="00083DAD">
        <w:t>intéressé avait droit à une douche quotidienne après l</w:t>
      </w:r>
      <w:r w:rsidRPr="00083DAD" w:rsidR="00083DAD">
        <w:t>’</w:t>
      </w:r>
      <w:r w:rsidRPr="00083DAD">
        <w:t>accomplissement des tâches lui incombant dans le cadre de son programme de travail (exécuté à l</w:t>
      </w:r>
      <w:r w:rsidRPr="00083DAD" w:rsidR="00083DAD">
        <w:t>’</w:t>
      </w:r>
      <w:r w:rsidRPr="00083DAD">
        <w:t>intérieur et ensuite à l</w:t>
      </w:r>
      <w:r w:rsidRPr="00083DAD" w:rsidR="00083DAD">
        <w:t>’</w:t>
      </w:r>
      <w:r w:rsidRPr="00083DAD">
        <w:t>extérieur de la prison – paragraphe</w:t>
      </w:r>
      <w:r w:rsidRPr="00083DAD" w:rsidR="000777C8">
        <w:t xml:space="preserve"> </w:t>
      </w:r>
      <w:r w:rsidRPr="00083DAD" w:rsidR="00C10EC9">
        <w:fldChar w:fldCharType="begin"/>
      </w:r>
      <w:r w:rsidRPr="00083DAD" w:rsidR="00C10EC9">
        <w:instrText xml:space="preserve"> REF GUV_3_alteconditii \h </w:instrText>
      </w:r>
      <w:r w:rsidRPr="00083DAD" w:rsidR="00C10EC9">
        <w:fldChar w:fldCharType="separate"/>
      </w:r>
      <w:r w:rsidRPr="00083DAD" w:rsidR="00083DAD">
        <w:rPr>
          <w:noProof/>
        </w:rPr>
        <w:t>25</w:t>
      </w:r>
      <w:r w:rsidRPr="00083DAD" w:rsidR="00C10EC9">
        <w:fldChar w:fldCharType="end"/>
      </w:r>
      <w:r w:rsidRPr="00083DAD">
        <w:t xml:space="preserve"> ci</w:t>
      </w:r>
      <w:r w:rsidRPr="00083DAD" w:rsidR="000777C8">
        <w:t>-</w:t>
      </w:r>
      <w:r w:rsidRPr="00083DAD">
        <w:t xml:space="preserve">dessus). Ainsi, le requérant a pu </w:t>
      </w:r>
      <w:r w:rsidRPr="00083DAD">
        <w:t>mener des activités adéquates en dehors de sa cellule et a bénéficié de certains privilèges en raison de son programme de travail. La Cour a pleinement conscience de l</w:t>
      </w:r>
      <w:r w:rsidRPr="00083DAD" w:rsidR="00083DAD">
        <w:t>’</w:t>
      </w:r>
      <w:r w:rsidRPr="00083DAD">
        <w:t>existence, constatée par elle, d</w:t>
      </w:r>
      <w:r w:rsidRPr="00083DAD" w:rsidR="00083DAD">
        <w:t>’</w:t>
      </w:r>
      <w:r w:rsidRPr="00083DAD">
        <w:t>un problème général dans le système carcéral roumain (paragraphe</w:t>
      </w:r>
      <w:r w:rsidRPr="00083DAD" w:rsidR="000777C8">
        <w:t xml:space="preserve"> </w:t>
      </w:r>
      <w:r w:rsidRPr="00083DAD" w:rsidR="00D227E2">
        <w:fldChar w:fldCharType="begin"/>
      </w:r>
      <w:r w:rsidRPr="00083DAD" w:rsidR="00D227E2">
        <w:instrText xml:space="preserve"> REF par_37 \h </w:instrText>
      </w:r>
      <w:r w:rsidRPr="00083DAD" w:rsidR="00D227E2">
        <w:fldChar w:fldCharType="separate"/>
      </w:r>
      <w:r w:rsidRPr="00083DAD" w:rsidR="00083DAD">
        <w:rPr>
          <w:noProof/>
        </w:rPr>
        <w:t>37</w:t>
      </w:r>
      <w:r w:rsidRPr="00083DAD" w:rsidR="00D227E2">
        <w:fldChar w:fldCharType="end"/>
      </w:r>
      <w:r w:rsidRPr="00083DAD">
        <w:t xml:space="preserve"> ci</w:t>
      </w:r>
      <w:r w:rsidRPr="00083DAD" w:rsidR="000777C8">
        <w:t>-</w:t>
      </w:r>
      <w:r w:rsidRPr="00083DAD">
        <w:t>dessus), mais elle estime que les autres aspects évoqués par le requérant, liés notamment à de mauvaises conditions d</w:t>
      </w:r>
      <w:r w:rsidRPr="00083DAD" w:rsidR="00083DAD">
        <w:t>’</w:t>
      </w:r>
      <w:r w:rsidRPr="00083DAD">
        <w:t>hygiène (paragraphe</w:t>
      </w:r>
      <w:r w:rsidRPr="00083DAD" w:rsidR="000777C8">
        <w:t xml:space="preserve"> </w:t>
      </w:r>
      <w:r w:rsidRPr="00083DAD" w:rsidR="00D227E2">
        <w:fldChar w:fldCharType="begin"/>
      </w:r>
      <w:r w:rsidRPr="00083DAD" w:rsidR="00D227E2">
        <w:instrText xml:space="preserve"> REF R3 \h </w:instrText>
      </w:r>
      <w:r w:rsidRPr="00083DAD" w:rsidR="00D227E2">
        <w:fldChar w:fldCharType="separate"/>
      </w:r>
      <w:r w:rsidRPr="00083DAD" w:rsidR="00083DAD">
        <w:rPr>
          <w:noProof/>
        </w:rPr>
        <w:t>26</w:t>
      </w:r>
      <w:r w:rsidRPr="00083DAD" w:rsidR="00D227E2">
        <w:fldChar w:fldCharType="end"/>
      </w:r>
      <w:r w:rsidRPr="00083DAD">
        <w:t xml:space="preserve"> ci</w:t>
      </w:r>
      <w:r w:rsidRPr="00083DAD" w:rsidR="000777C8">
        <w:t>-</w:t>
      </w:r>
      <w:r w:rsidRPr="00083DAD">
        <w:t>dessus), ne sont pas décisifs en soi et ne peuvent emporter à eux seuls violation de l</w:t>
      </w:r>
      <w:r w:rsidRPr="00083DAD" w:rsidR="00083DAD">
        <w:t>’</w:t>
      </w:r>
      <w:r w:rsidRPr="00083DAD">
        <w:t>article 3 de la Convention en l</w:t>
      </w:r>
      <w:r w:rsidRPr="00083DAD" w:rsidR="00083DAD">
        <w:t>’</w:t>
      </w:r>
      <w:r w:rsidRPr="00083DAD">
        <w:t>espèce dans un contexte d</w:t>
      </w:r>
      <w:r w:rsidRPr="00083DAD" w:rsidR="00083DAD">
        <w:t>’</w:t>
      </w:r>
      <w:r w:rsidRPr="00083DAD">
        <w:t xml:space="preserve">absence de surpopulation carcérale (voir, en ce sens, </w:t>
      </w:r>
      <w:r w:rsidRPr="00083DAD">
        <w:rPr>
          <w:i/>
        </w:rPr>
        <w:t>Muršić</w:t>
      </w:r>
      <w:r w:rsidRPr="00083DAD">
        <w:t>,</w:t>
      </w:r>
      <w:r w:rsidRPr="00083DAD">
        <w:rPr>
          <w:i/>
        </w:rPr>
        <w:t xml:space="preserve"> </w:t>
      </w:r>
      <w:r w:rsidRPr="00083DAD">
        <w:t>précité, §</w:t>
      </w:r>
      <w:r w:rsidRPr="00083DAD" w:rsidR="000777C8">
        <w:t xml:space="preserve"> </w:t>
      </w:r>
      <w:r w:rsidRPr="00083DAD">
        <w:t>140). Pour cela, elle prend en compte le fait que le requérant a pu bénéficier d</w:t>
      </w:r>
      <w:r w:rsidRPr="00083DAD" w:rsidR="00083DAD">
        <w:t>’</w:t>
      </w:r>
      <w:r w:rsidRPr="00083DAD">
        <w:t>une liberté de circulation suffisante et d</w:t>
      </w:r>
      <w:r w:rsidRPr="00083DAD" w:rsidR="00083DAD">
        <w:t>’</w:t>
      </w:r>
      <w:r w:rsidRPr="00083DAD">
        <w:t>activités adéquates à l</w:t>
      </w:r>
      <w:r w:rsidRPr="00083DAD" w:rsidR="00083DAD">
        <w:t>’</w:t>
      </w:r>
      <w:r w:rsidRPr="00083DAD">
        <w:t>intérieur et à l</w:t>
      </w:r>
      <w:r w:rsidRPr="00083DAD" w:rsidR="00083DAD">
        <w:t>’</w:t>
      </w:r>
      <w:r w:rsidRPr="00083DAD">
        <w:t>extérieur de la prison pendant des périodes qui, prises ensemble, représentent à peu près la moitié de sa détention.</w:t>
      </w:r>
    </w:p>
    <w:bookmarkStart w:name="par42" w:id="22"/>
    <w:p w:rsidRPr="00083DAD" w:rsidR="00CC31BB" w:rsidP="00083DAD">
      <w:pPr>
        <w:pStyle w:val="JuPara"/>
      </w:pPr>
      <w:r w:rsidRPr="00083DAD">
        <w:fldChar w:fldCharType="begin"/>
      </w:r>
      <w:r w:rsidRPr="00083DAD">
        <w:instrText xml:space="preserve"> SEQ level0 \*arabic </w:instrText>
      </w:r>
      <w:r w:rsidRPr="00083DAD">
        <w:fldChar w:fldCharType="separate"/>
      </w:r>
      <w:r w:rsidRPr="00083DAD" w:rsidR="00083DAD">
        <w:rPr>
          <w:noProof/>
        </w:rPr>
        <w:t>41</w:t>
      </w:r>
      <w:r w:rsidRPr="00083DAD">
        <w:fldChar w:fldCharType="end"/>
      </w:r>
      <w:bookmarkEnd w:id="22"/>
      <w:r w:rsidRPr="00083DAD">
        <w:t>.  Il s</w:t>
      </w:r>
      <w:r w:rsidRPr="00083DAD" w:rsidR="00083DAD">
        <w:t>’</w:t>
      </w:r>
      <w:r w:rsidRPr="00083DAD">
        <w:t>ensuit qu</w:t>
      </w:r>
      <w:r w:rsidRPr="00083DAD" w:rsidR="00083DAD">
        <w:t>’</w:t>
      </w:r>
      <w:r w:rsidRPr="00083DAD">
        <w:t>il n</w:t>
      </w:r>
      <w:r w:rsidRPr="00083DAD" w:rsidR="00083DAD">
        <w:t>’</w:t>
      </w:r>
      <w:r w:rsidRPr="00083DAD">
        <w:t>y a pas eu violation de l</w:t>
      </w:r>
      <w:r w:rsidRPr="00083DAD" w:rsidR="00083DAD">
        <w:t>’</w:t>
      </w:r>
      <w:r w:rsidRPr="00083DAD">
        <w:t>article 3 de la Convention en ce qui concerne les conditions de détention du requérant au cours des deux périodes susvisées, allant du 6 novembre 2015 au 1</w:t>
      </w:r>
      <w:r w:rsidRPr="00083DAD">
        <w:rPr>
          <w:vertAlign w:val="superscript"/>
        </w:rPr>
        <w:t>er</w:t>
      </w:r>
      <w:r w:rsidRPr="00083DAD">
        <w:t xml:space="preserve"> mars 2016 et du 1</w:t>
      </w:r>
      <w:r w:rsidRPr="00083DAD">
        <w:rPr>
          <w:vertAlign w:val="superscript"/>
        </w:rPr>
        <w:t>er</w:t>
      </w:r>
      <w:r w:rsidRPr="00083DAD">
        <w:t> septembre au 29 novembre 2016.</w:t>
      </w:r>
    </w:p>
    <w:p w:rsidRPr="00083DAD" w:rsidR="00CC31BB" w:rsidP="00083DAD">
      <w:pPr>
        <w:pStyle w:val="JuHIRoman"/>
        <w:keepNext w:val="0"/>
        <w:keepLines w:val="0"/>
        <w:numPr>
          <w:ilvl w:val="1"/>
          <w:numId w:val="21"/>
        </w:numPr>
        <w:jc w:val="both"/>
        <w:rPr>
          <w:lang w:val="fr-FR"/>
        </w:rPr>
      </w:pPr>
      <w:r w:rsidRPr="00083DAD">
        <w:rPr>
          <w:lang w:val="fr-FR"/>
        </w:rPr>
        <w:t>SUR LA VIOLATION ALLÉGUÉE DE L</w:t>
      </w:r>
      <w:r w:rsidRPr="00083DAD" w:rsidR="00083DAD">
        <w:rPr>
          <w:lang w:val="fr-FR"/>
        </w:rPr>
        <w:t>’</w:t>
      </w:r>
      <w:r w:rsidRPr="00083DAD">
        <w:rPr>
          <w:lang w:val="fr-FR"/>
        </w:rPr>
        <w:t>ARTICLE 6 DE LA CONVENTION</w:t>
      </w:r>
    </w:p>
    <w:bookmarkStart w:name="griefs6" w:id="23"/>
    <w:p w:rsidRPr="00083DAD" w:rsidR="00CC31BB" w:rsidP="00083DAD">
      <w:pPr>
        <w:pStyle w:val="JuPara"/>
      </w:pPr>
      <w:r w:rsidRPr="00083DAD">
        <w:fldChar w:fldCharType="begin"/>
      </w:r>
      <w:r w:rsidRPr="00083DAD">
        <w:instrText xml:space="preserve"> SEQ level0 \*arabic </w:instrText>
      </w:r>
      <w:r w:rsidRPr="00083DAD">
        <w:fldChar w:fldCharType="separate"/>
      </w:r>
      <w:r w:rsidRPr="00083DAD" w:rsidR="00083DAD">
        <w:rPr>
          <w:noProof/>
        </w:rPr>
        <w:t>42</w:t>
      </w:r>
      <w:r w:rsidRPr="00083DAD">
        <w:fldChar w:fldCharType="end"/>
      </w:r>
      <w:bookmarkEnd w:id="23"/>
      <w:r w:rsidRPr="00083DAD">
        <w:t>.  Le requérant se plaint de la durée de la procédure pénale menée contre lui, qu</w:t>
      </w:r>
      <w:r w:rsidRPr="00083DAD" w:rsidR="00083DAD">
        <w:t>’</w:t>
      </w:r>
      <w:r w:rsidRPr="00083DAD">
        <w:t>il qualifie d</w:t>
      </w:r>
      <w:r w:rsidRPr="00083DAD" w:rsidR="00083DAD">
        <w:t>’</w:t>
      </w:r>
      <w:r w:rsidRPr="00083DAD">
        <w:t>excessive. Il allègue aussi un défaut d</w:t>
      </w:r>
      <w:r w:rsidRPr="00083DAD" w:rsidR="00083DAD">
        <w:t>’</w:t>
      </w:r>
      <w:r w:rsidRPr="00083DAD">
        <w:t>impartialité de la formation de la cour d</w:t>
      </w:r>
      <w:r w:rsidRPr="00083DAD" w:rsidR="00083DAD">
        <w:t>’</w:t>
      </w:r>
      <w:r w:rsidRPr="00083DAD">
        <w:t>appel, au motif que la déclaration d</w:t>
      </w:r>
      <w:r w:rsidRPr="00083DAD" w:rsidR="00083DAD">
        <w:t>’</w:t>
      </w:r>
      <w:r w:rsidRPr="00083DAD">
        <w:t>abstention faite par la juge S.L. a été examinée par une formation composée, entre autres, de la juge C.A. (paragraphe</w:t>
      </w:r>
      <w:r w:rsidRPr="00083DAD" w:rsidR="000777C8">
        <w:t xml:space="preserve"> </w:t>
      </w:r>
      <w:r w:rsidRPr="00083DAD" w:rsidR="00E90E8F">
        <w:fldChar w:fldCharType="begin"/>
      </w:r>
      <w:r w:rsidRPr="00083DAD" w:rsidR="00E90E8F">
        <w:instrText xml:space="preserve"> REF declar_abstentionSL \h </w:instrText>
      </w:r>
      <w:r w:rsidRPr="00083DAD" w:rsidR="00E90E8F">
        <w:fldChar w:fldCharType="separate"/>
      </w:r>
      <w:r w:rsidRPr="00083DAD" w:rsidR="00083DAD">
        <w:rPr>
          <w:noProof/>
        </w:rPr>
        <w:t>18</w:t>
      </w:r>
      <w:r w:rsidRPr="00083DAD" w:rsidR="00E90E8F">
        <w:fldChar w:fldCharType="end"/>
      </w:r>
      <w:r w:rsidRPr="00083DAD">
        <w:t xml:space="preserve"> ci-dessus), qui a ensuite participé à l</w:t>
      </w:r>
      <w:r w:rsidRPr="00083DAD" w:rsidR="00083DAD">
        <w:t>’</w:t>
      </w:r>
      <w:r w:rsidRPr="00083DAD">
        <w:t>examen sur le fond de son appel (paragraphe</w:t>
      </w:r>
      <w:r w:rsidRPr="00083DAD" w:rsidR="000777C8">
        <w:t xml:space="preserve"> </w:t>
      </w:r>
      <w:r w:rsidRPr="00083DAD" w:rsidR="00E90E8F">
        <w:fldChar w:fldCharType="begin"/>
      </w:r>
      <w:r w:rsidRPr="00083DAD" w:rsidR="00E90E8F">
        <w:instrText xml:space="preserve"> REF para_19 \h </w:instrText>
      </w:r>
      <w:r w:rsidRPr="00083DAD" w:rsidR="00E90E8F">
        <w:fldChar w:fldCharType="separate"/>
      </w:r>
      <w:r w:rsidRPr="00083DAD" w:rsidR="00083DAD">
        <w:rPr>
          <w:noProof/>
        </w:rPr>
        <w:t>19</w:t>
      </w:r>
      <w:r w:rsidRPr="00083DAD" w:rsidR="00E90E8F">
        <w:fldChar w:fldCharType="end"/>
      </w:r>
      <w:r w:rsidRPr="00083DAD">
        <w:t xml:space="preserve"> ci-dessus). Enfin, il reproche aux juridictions saisies en l</w:t>
      </w:r>
      <w:r w:rsidRPr="00083DAD" w:rsidR="00083DAD">
        <w:t>’</w:t>
      </w:r>
      <w:r w:rsidRPr="00083DAD">
        <w:t>espèce de n</w:t>
      </w:r>
      <w:r w:rsidRPr="00083DAD" w:rsidR="00083DAD">
        <w:t>’</w:t>
      </w:r>
      <w:r w:rsidRPr="00083DAD">
        <w:t>avoir jamais entendu le témoin K.I. et de ne pas avoir entrepris les démarches nécessaires pour assurer sa présence en vue de son audition. I</w:t>
      </w:r>
      <w:r w:rsidRPr="00083DAD" w:rsidR="000777C8">
        <w:t>l invoque l</w:t>
      </w:r>
      <w:r w:rsidRPr="00083DAD" w:rsidR="00083DAD">
        <w:t>’</w:t>
      </w:r>
      <w:r w:rsidRPr="00083DAD" w:rsidR="000777C8">
        <w:t>article 6 §§ 1 et 3 </w:t>
      </w:r>
      <w:r w:rsidRPr="00083DAD">
        <w:t>d) de la Convention, qui, en ses parties pertinentes, est ainsi libellé :</w:t>
      </w:r>
    </w:p>
    <w:p w:rsidRPr="00083DAD" w:rsidR="00CC31BB" w:rsidP="00083DAD">
      <w:pPr>
        <w:pStyle w:val="JuQuot"/>
      </w:pPr>
      <w:r w:rsidRPr="00083DAD">
        <w:t>« 1.  Toute personne a droit à ce que sa cause soit entendue équitablement (...) et dans un délai raisonnable, par un tribunal indépendant et impartial, (...) qui décidera (...) du bien-fondé de toute accusation en matière pénale dirigée contre elle. (...).</w:t>
      </w:r>
    </w:p>
    <w:p w:rsidRPr="00083DAD" w:rsidR="00CC31BB" w:rsidP="00083DAD">
      <w:pPr>
        <w:pStyle w:val="JuQuot"/>
      </w:pPr>
      <w:r w:rsidRPr="00083DAD">
        <w:t>(...)</w:t>
      </w:r>
    </w:p>
    <w:p w:rsidRPr="00083DAD" w:rsidR="00CC31BB" w:rsidP="00083DAD">
      <w:pPr>
        <w:pStyle w:val="JuQuot"/>
      </w:pPr>
      <w:r w:rsidRPr="00083DAD">
        <w:t>3.  Tout accusé a droit notamment à :</w:t>
      </w:r>
    </w:p>
    <w:p w:rsidRPr="00083DAD" w:rsidR="00CC31BB" w:rsidP="00083DAD">
      <w:pPr>
        <w:pStyle w:val="JuQuot"/>
      </w:pPr>
      <w:r w:rsidRPr="00083DAD">
        <w:t>(...)</w:t>
      </w:r>
    </w:p>
    <w:p w:rsidRPr="00083DAD" w:rsidR="00CC31BB" w:rsidP="00083DAD">
      <w:pPr>
        <w:pStyle w:val="JuQuot"/>
      </w:pPr>
      <w:r w:rsidRPr="00083DAD">
        <w:t>d)  interroger ou faire interroger les témoins à charge (...) ;</w:t>
      </w:r>
    </w:p>
    <w:p w:rsidRPr="00083DAD" w:rsidR="00CC31BB" w:rsidP="00083DAD">
      <w:pPr>
        <w:pStyle w:val="JuQuot"/>
      </w:pPr>
      <w:r w:rsidRPr="00083DAD">
        <w:t>(...) »</w:t>
      </w:r>
    </w:p>
    <w:p w:rsidRPr="00083DAD" w:rsidR="00CC31BB" w:rsidP="00083DAD">
      <w:pPr>
        <w:pStyle w:val="JuPara"/>
      </w:pPr>
      <w:r w:rsidRPr="00083DAD">
        <w:fldChar w:fldCharType="begin"/>
      </w:r>
      <w:r w:rsidRPr="00083DAD">
        <w:instrText xml:space="preserve"> SEQ level0 \*arabic </w:instrText>
      </w:r>
      <w:r w:rsidRPr="00083DAD">
        <w:fldChar w:fldCharType="separate"/>
      </w:r>
      <w:r w:rsidRPr="00083DAD" w:rsidR="00083DAD">
        <w:rPr>
          <w:noProof/>
        </w:rPr>
        <w:t>43</w:t>
      </w:r>
      <w:r w:rsidRPr="00083DAD">
        <w:fldChar w:fldCharType="end"/>
      </w:r>
      <w:r w:rsidRPr="00083DAD">
        <w:t xml:space="preserve">.  La Cour note que le grief </w:t>
      </w:r>
      <w:r w:rsidRPr="00083DAD">
        <w:t>du requérant</w:t>
      </w:r>
      <w:r w:rsidRPr="00083DAD">
        <w:t xml:space="preserve"> comporte trois branches, qu</w:t>
      </w:r>
      <w:r w:rsidRPr="00083DAD" w:rsidR="00083DAD">
        <w:t>’</w:t>
      </w:r>
      <w:r w:rsidRPr="00083DAD">
        <w:t>il convient d</w:t>
      </w:r>
      <w:r w:rsidRPr="00083DAD" w:rsidR="00083DAD">
        <w:t>’</w:t>
      </w:r>
      <w:r w:rsidRPr="00083DAD">
        <w:t>examiner séparément.</w:t>
      </w:r>
    </w:p>
    <w:p w:rsidRPr="00083DAD" w:rsidR="00CC31BB" w:rsidP="00083DAD">
      <w:pPr>
        <w:pStyle w:val="JuHA"/>
        <w:keepNext w:val="0"/>
        <w:keepLines w:val="0"/>
        <w:numPr>
          <w:ilvl w:val="2"/>
          <w:numId w:val="21"/>
        </w:numPr>
        <w:jc w:val="both"/>
        <w:rPr>
          <w:lang w:val="fr-FR"/>
        </w:rPr>
      </w:pPr>
      <w:r w:rsidRPr="00083DAD">
        <w:rPr>
          <w:lang w:val="fr-FR"/>
        </w:rPr>
        <w:t>Sur la durée de la procédure</w:t>
      </w:r>
    </w:p>
    <w:p w:rsidRPr="00083DAD" w:rsidR="00CC31BB" w:rsidP="00083DAD">
      <w:pPr>
        <w:pStyle w:val="JuPara"/>
      </w:pPr>
      <w:r w:rsidRPr="00083DAD">
        <w:fldChar w:fldCharType="begin"/>
      </w:r>
      <w:r w:rsidRPr="00083DAD">
        <w:instrText xml:space="preserve"> SEQ level0 \*arabic </w:instrText>
      </w:r>
      <w:r w:rsidRPr="00083DAD">
        <w:fldChar w:fldCharType="separate"/>
      </w:r>
      <w:r w:rsidRPr="00083DAD" w:rsidR="00083DAD">
        <w:rPr>
          <w:noProof/>
        </w:rPr>
        <w:t>44</w:t>
      </w:r>
      <w:r w:rsidRPr="00083DAD">
        <w:fldChar w:fldCharType="end"/>
      </w:r>
      <w:r w:rsidRPr="00083DAD">
        <w:t>.  Le requérant considère tout d</w:t>
      </w:r>
      <w:r w:rsidRPr="00083DAD" w:rsidR="00083DAD">
        <w:t>’</w:t>
      </w:r>
      <w:r w:rsidRPr="00083DAD">
        <w:t>abord qu</w:t>
      </w:r>
      <w:r w:rsidRPr="00083DAD" w:rsidR="00083DAD">
        <w:t>’</w:t>
      </w:r>
      <w:r w:rsidRPr="00083DAD">
        <w:t>il y a eu dépassement du « délai raisonnable » de durée de la procédure pénale dirigée contre lui.</w:t>
      </w:r>
    </w:p>
    <w:p w:rsidRPr="00083DAD" w:rsidR="00CC31BB" w:rsidP="00083DAD">
      <w:pPr>
        <w:pStyle w:val="JuH1"/>
        <w:keepNext w:val="0"/>
        <w:keepLines w:val="0"/>
        <w:numPr>
          <w:ilvl w:val="3"/>
          <w:numId w:val="21"/>
        </w:numPr>
        <w:jc w:val="both"/>
        <w:rPr>
          <w:lang w:val="fr-FR"/>
        </w:rPr>
      </w:pPr>
      <w:r w:rsidRPr="00083DAD">
        <w:rPr>
          <w:lang w:val="fr-FR"/>
        </w:rPr>
        <w:t>Thèses des parties</w:t>
      </w:r>
    </w:p>
    <w:bookmarkStart w:name="obsGuv6durata" w:id="24"/>
    <w:p w:rsidRPr="00083DAD" w:rsidR="00CC31BB" w:rsidP="00083DAD">
      <w:pPr>
        <w:pStyle w:val="JuPara"/>
        <w:rPr>
          <w:u w:val="single"/>
        </w:rPr>
      </w:pPr>
      <w:r w:rsidRPr="00083DAD">
        <w:fldChar w:fldCharType="begin"/>
      </w:r>
      <w:r w:rsidRPr="00083DAD">
        <w:instrText xml:space="preserve"> SEQ level0 \*arabic </w:instrText>
      </w:r>
      <w:r w:rsidRPr="00083DAD">
        <w:fldChar w:fldCharType="separate"/>
      </w:r>
      <w:r w:rsidRPr="00083DAD" w:rsidR="00083DAD">
        <w:rPr>
          <w:noProof/>
        </w:rPr>
        <w:t>45</w:t>
      </w:r>
      <w:r w:rsidRPr="00083DAD">
        <w:fldChar w:fldCharType="end"/>
      </w:r>
      <w:bookmarkEnd w:id="24"/>
      <w:r w:rsidRPr="00083DAD">
        <w:t>.  Le Gouvernement expose que le requérant a été informé de l</w:t>
      </w:r>
      <w:r w:rsidRPr="00083DAD" w:rsidR="00083DAD">
        <w:t>’</w:t>
      </w:r>
      <w:r w:rsidRPr="00083DAD">
        <w:t>accusation portée contre lui le 26 octobre 2011 (paragraphe</w:t>
      </w:r>
      <w:r w:rsidRPr="00083DAD" w:rsidR="000777C8">
        <w:t xml:space="preserve"> </w:t>
      </w:r>
      <w:r w:rsidRPr="00083DAD" w:rsidR="00D80B49">
        <w:fldChar w:fldCharType="begin"/>
      </w:r>
      <w:r w:rsidRPr="00083DAD" w:rsidR="00D80B49">
        <w:instrText xml:space="preserve"> REF débutprocédure \h </w:instrText>
      </w:r>
      <w:r w:rsidRPr="00083DAD" w:rsidR="00D80B49">
        <w:fldChar w:fldCharType="separate"/>
      </w:r>
      <w:r w:rsidRPr="00083DAD" w:rsidR="00083DAD">
        <w:rPr>
          <w:noProof/>
        </w:rPr>
        <w:t>5</w:t>
      </w:r>
      <w:r w:rsidRPr="00083DAD" w:rsidR="00D80B49">
        <w:fldChar w:fldCharType="end"/>
      </w:r>
      <w:r w:rsidRPr="00083DAD">
        <w:t xml:space="preserve"> ci-dessus) et que la durée de la procédure à compter de cette date a été de trois ans, dix mois et vingt jours. Il admet que l</w:t>
      </w:r>
      <w:r w:rsidRPr="00083DAD" w:rsidR="00083DAD">
        <w:t>’</w:t>
      </w:r>
      <w:r w:rsidRPr="00083DAD">
        <w:t>affaire ne présentait pas une complexité particulière, mais indique qu</w:t>
      </w:r>
      <w:r w:rsidRPr="00083DAD" w:rsidR="00083DAD">
        <w:t>’</w:t>
      </w:r>
      <w:r w:rsidRPr="00083DAD">
        <w:t>elle a néanmoins nécessité l</w:t>
      </w:r>
      <w:r w:rsidRPr="00083DAD" w:rsidR="00083DAD">
        <w:t>’</w:t>
      </w:r>
      <w:r w:rsidRPr="00083DAD">
        <w:t>examen de nombreux éléments de preuve, dont des tests du détecteur de mensonges et des confrontations entre les témoins. Il considère que les autorités ont agi avec diligence, sans des périodes d</w:t>
      </w:r>
      <w:r w:rsidRPr="00083DAD" w:rsidR="00083DAD">
        <w:t>’</w:t>
      </w:r>
      <w:r w:rsidRPr="00083DAD">
        <w:t>inactivité, et précise que les ajournements accordés visaient à la localisation du témoin K.I. Il ajoute que le requérant a contribué à la durée de la procédure en ne se présentant pas devant les autorités d</w:t>
      </w:r>
      <w:r w:rsidRPr="00083DAD" w:rsidR="00083DAD">
        <w:t>’</w:t>
      </w:r>
      <w:r w:rsidRPr="00083DAD">
        <w:t>enquête malgré les citations délivrées contre lui (paragraphe</w:t>
      </w:r>
      <w:r w:rsidRPr="00083DAD" w:rsidR="000777C8">
        <w:t> </w:t>
      </w:r>
      <w:r w:rsidRPr="00083DAD" w:rsidR="00D80B49">
        <w:fldChar w:fldCharType="begin"/>
      </w:r>
      <w:r w:rsidRPr="00083DAD" w:rsidR="00D80B49">
        <w:instrText xml:space="preserve"> REF par_4 \h </w:instrText>
      </w:r>
      <w:r w:rsidRPr="00083DAD" w:rsidR="00D80B49">
        <w:fldChar w:fldCharType="separate"/>
      </w:r>
      <w:r w:rsidRPr="00083DAD" w:rsidR="00083DAD">
        <w:rPr>
          <w:noProof/>
        </w:rPr>
        <w:t>4</w:t>
      </w:r>
      <w:r w:rsidRPr="00083DAD" w:rsidR="00D80B49">
        <w:fldChar w:fldCharType="end"/>
      </w:r>
      <w:r w:rsidRPr="00083DAD">
        <w:t xml:space="preserve"> ci-dessus), en multipliant les demandes de preuves et en sollicitant des tribunaux des ajournements afin de préparer sa défense.</w:t>
      </w:r>
    </w:p>
    <w:bookmarkStart w:name="obsR6durata" w:id="25"/>
    <w:p w:rsidRPr="00083DAD" w:rsidR="00CC31BB" w:rsidP="00083DAD">
      <w:pPr>
        <w:pStyle w:val="JuPara"/>
      </w:pPr>
      <w:r w:rsidRPr="00083DAD">
        <w:fldChar w:fldCharType="begin"/>
      </w:r>
      <w:r w:rsidRPr="00083DAD">
        <w:instrText xml:space="preserve"> SEQ level0 \*arabic </w:instrText>
      </w:r>
      <w:r w:rsidRPr="00083DAD">
        <w:fldChar w:fldCharType="separate"/>
      </w:r>
      <w:r w:rsidRPr="00083DAD" w:rsidR="00083DAD">
        <w:rPr>
          <w:noProof/>
        </w:rPr>
        <w:t>46</w:t>
      </w:r>
      <w:r w:rsidRPr="00083DAD">
        <w:fldChar w:fldCharType="end"/>
      </w:r>
      <w:bookmarkEnd w:id="25"/>
      <w:r w:rsidRPr="00083DAD">
        <w:t>.  Le requérant estime que le calcul de la durée doit être fait à partir de la date de déclenchement des poursuites (paragraphe</w:t>
      </w:r>
      <w:r w:rsidRPr="00083DAD" w:rsidR="000777C8">
        <w:t xml:space="preserve"> </w:t>
      </w:r>
      <w:r w:rsidRPr="00083DAD" w:rsidR="00220AA2">
        <w:fldChar w:fldCharType="begin"/>
      </w:r>
      <w:r w:rsidRPr="00083DAD" w:rsidR="00220AA2">
        <w:instrText xml:space="preserve"> REF débutprocédure \h </w:instrText>
      </w:r>
      <w:r w:rsidRPr="00083DAD" w:rsidR="00220AA2">
        <w:fldChar w:fldCharType="separate"/>
      </w:r>
      <w:r w:rsidRPr="00083DAD" w:rsidR="00083DAD">
        <w:rPr>
          <w:noProof/>
        </w:rPr>
        <w:t>5</w:t>
      </w:r>
      <w:r w:rsidRPr="00083DAD" w:rsidR="00220AA2">
        <w:fldChar w:fldCharType="end"/>
      </w:r>
      <w:r w:rsidRPr="00083DAD">
        <w:t xml:space="preserve"> ci-dessus), et non pas à compter de la date de notification de l</w:t>
      </w:r>
      <w:r w:rsidRPr="00083DAD" w:rsidR="00083DAD">
        <w:t>’</w:t>
      </w:r>
      <w:r w:rsidRPr="00083DAD">
        <w:t>accusation. Il en déduit que la durée de la procédure a été d</w:t>
      </w:r>
      <w:r w:rsidRPr="00083DAD" w:rsidR="00083DAD">
        <w:t>’</w:t>
      </w:r>
      <w:r w:rsidRPr="00083DAD">
        <w:t>environ cinq ans et considère qu</w:t>
      </w:r>
      <w:r w:rsidRPr="00083DAD" w:rsidR="00083DAD">
        <w:t>’</w:t>
      </w:r>
      <w:r w:rsidRPr="00083DAD">
        <w:t>elle est excessive. Il argue que l</w:t>
      </w:r>
      <w:r w:rsidRPr="00083DAD" w:rsidR="00083DAD">
        <w:t>’</w:t>
      </w:r>
      <w:r w:rsidRPr="00083DAD">
        <w:t>affaire n</w:t>
      </w:r>
      <w:r w:rsidRPr="00083DAD" w:rsidR="00083DAD">
        <w:t>’</w:t>
      </w:r>
      <w:r w:rsidRPr="00083DAD">
        <w:t>était pas complexe et qu</w:t>
      </w:r>
      <w:r w:rsidRPr="00083DAD" w:rsidR="00083DAD">
        <w:t>’</w:t>
      </w:r>
      <w:r w:rsidRPr="00083DAD">
        <w:t>il n</w:t>
      </w:r>
      <w:r w:rsidRPr="00083DAD" w:rsidR="00083DAD">
        <w:t>’</w:t>
      </w:r>
      <w:r w:rsidRPr="00083DAD">
        <w:t>a pas contribué à la durée en cause puisque son comportement aurait été dicté par l</w:t>
      </w:r>
      <w:r w:rsidRPr="00083DAD" w:rsidR="00083DAD">
        <w:t>’</w:t>
      </w:r>
      <w:r w:rsidRPr="00083DAD">
        <w:t>exercice des droits de la défense. Au contraire, à ses dires, la manière dont les autorités d</w:t>
      </w:r>
      <w:r w:rsidRPr="00083DAD" w:rsidR="00083DAD">
        <w:t>’</w:t>
      </w:r>
      <w:r w:rsidRPr="00083DAD">
        <w:t>enquête et, ensuite, celles de jugement ont mené la procédure a été superficielle, notamment au vu des démarches répétées mais selon lui insuffisantes entreprises par les tribunaux en vue de l</w:t>
      </w:r>
      <w:r w:rsidRPr="00083DAD" w:rsidR="00083DAD">
        <w:t>’</w:t>
      </w:r>
      <w:r w:rsidRPr="00083DAD">
        <w:t>audition du témoin K.I.</w:t>
      </w:r>
    </w:p>
    <w:p w:rsidRPr="00083DAD" w:rsidR="00CC31BB" w:rsidP="00083DAD">
      <w:pPr>
        <w:pStyle w:val="JuH1"/>
        <w:keepNext w:val="0"/>
        <w:keepLines w:val="0"/>
        <w:numPr>
          <w:ilvl w:val="3"/>
          <w:numId w:val="21"/>
        </w:numPr>
        <w:jc w:val="both"/>
        <w:rPr>
          <w:lang w:val="fr-FR"/>
        </w:rPr>
      </w:pPr>
      <w:r w:rsidRPr="00083DAD">
        <w:rPr>
          <w:lang w:val="fr-FR"/>
        </w:rPr>
        <w:t>Appréciation de la Cour</w:t>
      </w:r>
    </w:p>
    <w:bookmarkStart w:name="JP6durée" w:id="26"/>
    <w:p w:rsidRPr="00083DAD" w:rsidR="00CC31BB" w:rsidP="00083DAD">
      <w:pPr>
        <w:pStyle w:val="JuPara"/>
      </w:pPr>
      <w:r w:rsidRPr="00083DAD">
        <w:fldChar w:fldCharType="begin"/>
      </w:r>
      <w:r w:rsidRPr="00083DAD">
        <w:instrText xml:space="preserve"> SEQ level0 \*arabic </w:instrText>
      </w:r>
      <w:r w:rsidRPr="00083DAD">
        <w:fldChar w:fldCharType="separate"/>
      </w:r>
      <w:r w:rsidRPr="00083DAD" w:rsidR="00083DAD">
        <w:rPr>
          <w:noProof/>
        </w:rPr>
        <w:t>47</w:t>
      </w:r>
      <w:r w:rsidRPr="00083DAD">
        <w:fldChar w:fldCharType="end"/>
      </w:r>
      <w:bookmarkEnd w:id="26"/>
      <w:r w:rsidRPr="00083DAD">
        <w:t>.  La Cour rappelle que la durée « raisonnable » d</w:t>
      </w:r>
      <w:r w:rsidRPr="00083DAD" w:rsidR="00083DAD">
        <w:t>’</w:t>
      </w:r>
      <w:r w:rsidRPr="00083DAD">
        <w:t>une procédure doit s</w:t>
      </w:r>
      <w:r w:rsidRPr="00083DAD" w:rsidR="00083DAD">
        <w:t>’</w:t>
      </w:r>
      <w:r w:rsidRPr="00083DAD">
        <w:t>apprécier suivant les circonstances de la cause et eu égard aux critères suivants : la complexité de l</w:t>
      </w:r>
      <w:r w:rsidRPr="00083DAD" w:rsidR="00083DAD">
        <w:t>’</w:t>
      </w:r>
      <w:r w:rsidRPr="00083DAD">
        <w:t>affaire, le comportement du requérant et celui des autorités compétentes, ainsi que l</w:t>
      </w:r>
      <w:r w:rsidRPr="00083DAD" w:rsidR="00083DAD">
        <w:t>’</w:t>
      </w:r>
      <w:r w:rsidRPr="00083DAD">
        <w:t>enjeu du litige pour l</w:t>
      </w:r>
      <w:r w:rsidRPr="00083DAD" w:rsidR="00083DAD">
        <w:t>’</w:t>
      </w:r>
      <w:r w:rsidRPr="00083DAD">
        <w:t>intéressé (voir, parmi beaucoup d</w:t>
      </w:r>
      <w:r w:rsidRPr="00083DAD" w:rsidR="00083DAD">
        <w:t>’</w:t>
      </w:r>
      <w:r w:rsidRPr="00083DAD">
        <w:t xml:space="preserve">autres, </w:t>
      </w:r>
      <w:r w:rsidRPr="00083DAD">
        <w:rPr>
          <w:i/>
          <w:iCs/>
        </w:rPr>
        <w:t xml:space="preserve">Pélissier et </w:t>
      </w:r>
      <w:r w:rsidRPr="00083DAD">
        <w:rPr>
          <w:i/>
          <w:iCs/>
        </w:rPr>
        <w:t>Sassi</w:t>
      </w:r>
      <w:r w:rsidRPr="00083DAD">
        <w:rPr>
          <w:i/>
          <w:iCs/>
        </w:rPr>
        <w:t xml:space="preserve"> c. France</w:t>
      </w:r>
      <w:r w:rsidRPr="00083DAD">
        <w:t xml:space="preserve"> [GC], n</w:t>
      </w:r>
      <w:r w:rsidRPr="00083DAD">
        <w:rPr>
          <w:vertAlign w:val="superscript"/>
        </w:rPr>
        <w:t>o</w:t>
      </w:r>
      <w:r w:rsidRPr="00083DAD" w:rsidR="000777C8">
        <w:t> </w:t>
      </w:r>
      <w:r w:rsidRPr="00083DAD">
        <w:t>25444/94, § 67, CEDH 1999</w:t>
      </w:r>
      <w:r w:rsidRPr="00083DAD" w:rsidR="000777C8">
        <w:t>-</w:t>
      </w:r>
      <w:r w:rsidRPr="00083DAD">
        <w:t>II).</w:t>
      </w:r>
    </w:p>
    <w:bookmarkStart w:name="par48" w:id="27"/>
    <w:p w:rsidRPr="00083DAD" w:rsidR="00CC31BB" w:rsidP="00083DAD">
      <w:pPr>
        <w:pStyle w:val="JuPara"/>
      </w:pPr>
      <w:r w:rsidRPr="00083DAD">
        <w:fldChar w:fldCharType="begin"/>
      </w:r>
      <w:r w:rsidRPr="00083DAD">
        <w:instrText xml:space="preserve"> SEQ level0 \*arabic </w:instrText>
      </w:r>
      <w:r w:rsidRPr="00083DAD">
        <w:fldChar w:fldCharType="separate"/>
      </w:r>
      <w:r w:rsidRPr="00083DAD" w:rsidR="00083DAD">
        <w:rPr>
          <w:noProof/>
        </w:rPr>
        <w:t>48</w:t>
      </w:r>
      <w:r w:rsidRPr="00083DAD">
        <w:fldChar w:fldCharType="end"/>
      </w:r>
      <w:bookmarkEnd w:id="27"/>
      <w:r w:rsidRPr="00083DAD">
        <w:t>.  En l</w:t>
      </w:r>
      <w:r w:rsidRPr="00083DAD" w:rsidR="00083DAD">
        <w:t>’</w:t>
      </w:r>
      <w:r w:rsidRPr="00083DAD">
        <w:t>espèce, elle note qu</w:t>
      </w:r>
      <w:r w:rsidRPr="00083DAD" w:rsidR="00083DAD">
        <w:t>’</w:t>
      </w:r>
      <w:r w:rsidRPr="00083DAD">
        <w:t>il y a controverse entre les parties quant à la manière dont il faut calculer la durée de la procédure, notamment quant à la date à laquelle la procédure a commencé pour le requérant (paragraphes</w:t>
      </w:r>
      <w:r w:rsidRPr="00083DAD" w:rsidR="000777C8">
        <w:t> </w:t>
      </w:r>
      <w:r w:rsidRPr="00083DAD" w:rsidR="00105163">
        <w:fldChar w:fldCharType="begin"/>
      </w:r>
      <w:r w:rsidRPr="00083DAD" w:rsidR="00105163">
        <w:instrText xml:space="preserve"> REF obsGuv6durata \h </w:instrText>
      </w:r>
      <w:r w:rsidRPr="00083DAD" w:rsidR="00105163">
        <w:fldChar w:fldCharType="separate"/>
      </w:r>
      <w:r w:rsidRPr="00083DAD" w:rsidR="00083DAD">
        <w:rPr>
          <w:noProof/>
        </w:rPr>
        <w:t>45</w:t>
      </w:r>
      <w:r w:rsidRPr="00083DAD" w:rsidR="00105163">
        <w:fldChar w:fldCharType="end"/>
      </w:r>
      <w:r w:rsidRPr="00083DAD">
        <w:t xml:space="preserve"> et </w:t>
      </w:r>
      <w:r w:rsidRPr="00083DAD" w:rsidR="00105163">
        <w:fldChar w:fldCharType="begin"/>
      </w:r>
      <w:r w:rsidRPr="00083DAD" w:rsidR="00105163">
        <w:instrText xml:space="preserve"> REF obsR6durata \h </w:instrText>
      </w:r>
      <w:r w:rsidRPr="00083DAD" w:rsidR="00105163">
        <w:fldChar w:fldCharType="separate"/>
      </w:r>
      <w:r w:rsidRPr="00083DAD" w:rsidR="00083DAD">
        <w:rPr>
          <w:noProof/>
        </w:rPr>
        <w:t>46</w:t>
      </w:r>
      <w:r w:rsidRPr="00083DAD" w:rsidR="00105163">
        <w:fldChar w:fldCharType="end"/>
      </w:r>
      <w:r w:rsidRPr="00083DAD" w:rsidR="00105163">
        <w:t xml:space="preserve"> </w:t>
      </w:r>
      <w:r w:rsidRPr="00083DAD">
        <w:t>ci-dessus). À cet égard, elle rappelle qu</w:t>
      </w:r>
      <w:r w:rsidRPr="00083DAD" w:rsidR="00083DAD">
        <w:t>’</w:t>
      </w:r>
      <w:r w:rsidRPr="00083DAD">
        <w:t>en matière pénale le « délai raisonnable » de l</w:t>
      </w:r>
      <w:r w:rsidRPr="00083DAD" w:rsidR="00083DAD">
        <w:t>’</w:t>
      </w:r>
      <w:r w:rsidRPr="00083DAD">
        <w:t>article 6 § 1 de la Convention débute dès l</w:t>
      </w:r>
      <w:r w:rsidRPr="00083DAD" w:rsidR="00083DAD">
        <w:t>’</w:t>
      </w:r>
      <w:r w:rsidRPr="00083DAD">
        <w:t xml:space="preserve">instant où une </w:t>
      </w:r>
      <w:r w:rsidRPr="00083DAD">
        <w:t>personne se trouve « accusée ». Il peut s</w:t>
      </w:r>
      <w:r w:rsidRPr="00083DAD" w:rsidR="00083DAD">
        <w:t>’</w:t>
      </w:r>
      <w:r w:rsidRPr="00083DAD">
        <w:t>agir d</w:t>
      </w:r>
      <w:r w:rsidRPr="00083DAD" w:rsidR="00083DAD">
        <w:t>’</w:t>
      </w:r>
      <w:r w:rsidRPr="00083DAD">
        <w:t>une date antérieure à la saisine de la juridiction de jugement, celle notamment de l</w:t>
      </w:r>
      <w:r w:rsidRPr="00083DAD" w:rsidR="00083DAD">
        <w:t>’</w:t>
      </w:r>
      <w:r w:rsidRPr="00083DAD">
        <w:t>arrestation, de l</w:t>
      </w:r>
      <w:r w:rsidRPr="00083DAD" w:rsidR="00083DAD">
        <w:t>’</w:t>
      </w:r>
      <w:r w:rsidRPr="00083DAD">
        <w:t>inculpation et de l</w:t>
      </w:r>
      <w:r w:rsidRPr="00083DAD" w:rsidR="00083DAD">
        <w:t>’</w:t>
      </w:r>
      <w:r w:rsidRPr="00083DAD">
        <w:t>ouverture des enquêtes préliminaires. « L</w:t>
      </w:r>
      <w:r w:rsidRPr="00083DAD" w:rsidR="00083DAD">
        <w:t>’</w:t>
      </w:r>
      <w:r w:rsidRPr="00083DAD">
        <w:t>accusation », au sens de l</w:t>
      </w:r>
      <w:r w:rsidRPr="00083DAD" w:rsidR="00083DAD">
        <w:t>’</w:t>
      </w:r>
      <w:r w:rsidRPr="00083DAD">
        <w:t>article 6 § 1, peut alors se définir « comme la notification officielle, émanant de l</w:t>
      </w:r>
      <w:r w:rsidRPr="00083DAD" w:rsidR="00083DAD">
        <w:t>’</w:t>
      </w:r>
      <w:r w:rsidRPr="00083DAD">
        <w:t>autorité compétente, du reproche d</w:t>
      </w:r>
      <w:r w:rsidRPr="00083DAD" w:rsidR="00083DAD">
        <w:t>’</w:t>
      </w:r>
      <w:r w:rsidRPr="00083DAD">
        <w:t>avoir accompli une infraction pénale », idée qui correspond aussi à la notion de « répercussion importante sur la situation » du suspect (</w:t>
      </w:r>
      <w:r w:rsidRPr="00083DAD">
        <w:rPr>
          <w:i/>
        </w:rPr>
        <w:t>McFarlane</w:t>
      </w:r>
      <w:r w:rsidRPr="00083DAD">
        <w:rPr>
          <w:i/>
        </w:rPr>
        <w:t xml:space="preserve"> c. Irlande</w:t>
      </w:r>
      <w:r w:rsidRPr="00083DAD">
        <w:t xml:space="preserve"> [GC], n</w:t>
      </w:r>
      <w:r w:rsidRPr="00083DAD">
        <w:rPr>
          <w:vertAlign w:val="superscript"/>
        </w:rPr>
        <w:t>o</w:t>
      </w:r>
      <w:r w:rsidRPr="00083DAD">
        <w:t xml:space="preserve"> 31333/06, §§ 142-144, 10 septembre 2010).</w:t>
      </w:r>
    </w:p>
    <w:p w:rsidRPr="00083DAD" w:rsidR="00CC31BB" w:rsidP="00083DAD">
      <w:pPr>
        <w:pStyle w:val="JuPara"/>
      </w:pPr>
      <w:r w:rsidRPr="00083DAD">
        <w:fldChar w:fldCharType="begin"/>
      </w:r>
      <w:r w:rsidRPr="00083DAD">
        <w:instrText xml:space="preserve"> SEQ level0 \*arabic </w:instrText>
      </w:r>
      <w:r w:rsidRPr="00083DAD">
        <w:fldChar w:fldCharType="separate"/>
      </w:r>
      <w:r w:rsidRPr="00083DAD" w:rsidR="00083DAD">
        <w:rPr>
          <w:noProof/>
        </w:rPr>
        <w:t>49</w:t>
      </w:r>
      <w:r w:rsidRPr="00083DAD">
        <w:fldChar w:fldCharType="end"/>
      </w:r>
      <w:r w:rsidRPr="00083DAD">
        <w:t>.  La Cour note en l</w:t>
      </w:r>
      <w:r w:rsidRPr="00083DAD" w:rsidR="00083DAD">
        <w:t>’</w:t>
      </w:r>
      <w:r w:rsidRPr="00083DAD">
        <w:t>occurrence que les poursuites pénales ont été déclenchées contre le requérant le 18 novembre 2010, mais que l</w:t>
      </w:r>
      <w:r w:rsidRPr="00083DAD" w:rsidR="00083DAD">
        <w:t>’</w:t>
      </w:r>
      <w:r w:rsidRPr="00083DAD">
        <w:t>intéressé n</w:t>
      </w:r>
      <w:r w:rsidRPr="00083DAD" w:rsidR="00083DAD">
        <w:t>’</w:t>
      </w:r>
      <w:r w:rsidRPr="00083DAD">
        <w:t>a pris connaissance de l</w:t>
      </w:r>
      <w:r w:rsidRPr="00083DAD" w:rsidR="00083DAD">
        <w:t>’</w:t>
      </w:r>
      <w:r w:rsidRPr="00083DAD">
        <w:t>accusation portée contre lui que le 26</w:t>
      </w:r>
      <w:r w:rsidRPr="00083DAD" w:rsidR="000777C8">
        <w:t> </w:t>
      </w:r>
      <w:r w:rsidRPr="00083DAD">
        <w:t>octobre</w:t>
      </w:r>
      <w:r w:rsidRPr="00083DAD" w:rsidR="00C80014">
        <w:t xml:space="preserve"> </w:t>
      </w:r>
      <w:r w:rsidRPr="00083DAD">
        <w:t>2011 (paragraphe</w:t>
      </w:r>
      <w:r w:rsidRPr="00083DAD" w:rsidR="000777C8">
        <w:t xml:space="preserve"> </w:t>
      </w:r>
      <w:r w:rsidRPr="00083DAD" w:rsidR="000D3BBA">
        <w:fldChar w:fldCharType="begin"/>
      </w:r>
      <w:r w:rsidRPr="00083DAD" w:rsidR="000D3BBA">
        <w:instrText xml:space="preserve"> REF débutprocédure \h </w:instrText>
      </w:r>
      <w:r w:rsidRPr="00083DAD" w:rsidR="000D3BBA">
        <w:fldChar w:fldCharType="separate"/>
      </w:r>
      <w:r w:rsidRPr="00083DAD" w:rsidR="00083DAD">
        <w:rPr>
          <w:noProof/>
        </w:rPr>
        <w:t>5</w:t>
      </w:r>
      <w:r w:rsidRPr="00083DAD" w:rsidR="000D3BBA">
        <w:fldChar w:fldCharType="end"/>
      </w:r>
      <w:r w:rsidRPr="00083DAD" w:rsidR="000D3BBA">
        <w:t xml:space="preserve"> </w:t>
      </w:r>
      <w:r w:rsidRPr="00083DAD">
        <w:t>ci</w:t>
      </w:r>
      <w:r w:rsidRPr="00083DAD" w:rsidR="000777C8">
        <w:t>-</w:t>
      </w:r>
      <w:r w:rsidRPr="00083DAD">
        <w:t>dessus), date à laquelle il convient de fixer le point de départ de la période à prendre en considération. La procédure s</w:t>
      </w:r>
      <w:r w:rsidRPr="00083DAD" w:rsidR="00083DAD">
        <w:t>’</w:t>
      </w:r>
      <w:r w:rsidRPr="00083DAD">
        <w:t>étant terminée le 15 septembre 2015, lorsque la cour d</w:t>
      </w:r>
      <w:r w:rsidRPr="00083DAD" w:rsidR="00083DAD">
        <w:t>’</w:t>
      </w:r>
      <w:r w:rsidRPr="00083DAD">
        <w:t>appel a rendu son arrêt définitif (paragraphe</w:t>
      </w:r>
      <w:r w:rsidRPr="00083DAD" w:rsidR="000777C8">
        <w:t xml:space="preserve"> </w:t>
      </w:r>
      <w:r w:rsidRPr="00083DAD" w:rsidR="000D3BBA">
        <w:fldChar w:fldCharType="begin"/>
      </w:r>
      <w:r w:rsidRPr="00083DAD" w:rsidR="000D3BBA">
        <w:instrText xml:space="preserve"> REF arret_def_appel \h </w:instrText>
      </w:r>
      <w:r w:rsidRPr="00083DAD" w:rsidR="000D3BBA">
        <w:fldChar w:fldCharType="separate"/>
      </w:r>
      <w:r w:rsidRPr="00083DAD" w:rsidR="00083DAD">
        <w:rPr>
          <w:noProof/>
        </w:rPr>
        <w:t>22</w:t>
      </w:r>
      <w:r w:rsidRPr="00083DAD" w:rsidR="000D3BBA">
        <w:fldChar w:fldCharType="end"/>
      </w:r>
      <w:r w:rsidRPr="00083DAD">
        <w:t xml:space="preserve"> ci-dessus), sa durée a été de trois ans, dix mois et vingt jours pour deux degrés de juridiction, ce qui ne semble pas excessif compte tenu des critères déjà énumérés (paragraphe</w:t>
      </w:r>
      <w:r w:rsidRPr="00083DAD" w:rsidR="00594F5A">
        <w:t xml:space="preserve"> </w:t>
      </w:r>
      <w:r w:rsidRPr="00083DAD" w:rsidR="005E3C30">
        <w:fldChar w:fldCharType="begin"/>
      </w:r>
      <w:r w:rsidRPr="00083DAD" w:rsidR="005E3C30">
        <w:instrText xml:space="preserve"> REF JP6durée \h </w:instrText>
      </w:r>
      <w:r w:rsidRPr="00083DAD" w:rsidR="005E3C30">
        <w:fldChar w:fldCharType="separate"/>
      </w:r>
      <w:r w:rsidRPr="00083DAD" w:rsidR="00083DAD">
        <w:rPr>
          <w:noProof/>
        </w:rPr>
        <w:t>47</w:t>
      </w:r>
      <w:r w:rsidRPr="00083DAD" w:rsidR="005E3C30">
        <w:fldChar w:fldCharType="end"/>
      </w:r>
      <w:r w:rsidRPr="00083DAD" w:rsidR="000777C8">
        <w:t xml:space="preserve"> </w:t>
      </w:r>
      <w:r w:rsidRPr="00083DAD">
        <w:t>ci-dessus).</w:t>
      </w:r>
    </w:p>
    <w:p w:rsidRPr="00083DAD" w:rsidR="00CC31BB" w:rsidP="00083DAD">
      <w:pPr>
        <w:pStyle w:val="JuPara"/>
      </w:pPr>
      <w:r w:rsidRPr="00083DAD">
        <w:fldChar w:fldCharType="begin"/>
      </w:r>
      <w:r w:rsidRPr="00083DAD">
        <w:instrText xml:space="preserve"> SEQ level0 \*arabic </w:instrText>
      </w:r>
      <w:r w:rsidRPr="00083DAD">
        <w:fldChar w:fldCharType="separate"/>
      </w:r>
      <w:r w:rsidRPr="00083DAD" w:rsidR="00083DAD">
        <w:rPr>
          <w:noProof/>
        </w:rPr>
        <w:t>50</w:t>
      </w:r>
      <w:r w:rsidRPr="00083DAD">
        <w:fldChar w:fldCharType="end"/>
      </w:r>
      <w:r w:rsidRPr="00083DAD">
        <w:t>.  Par ailleurs, la Cour rappelle que, dans une affaire similaire contre la Roumanie, elle a jugé que l</w:t>
      </w:r>
      <w:r w:rsidRPr="00083DAD" w:rsidR="00083DAD">
        <w:t>’</w:t>
      </w:r>
      <w:r w:rsidRPr="00083DAD">
        <w:t>action en responsabilité civile délictuelle fondée sur le nouveau code civil représentait une voie de recours effective pour dénoncer la durée excessive des procédures pénales et que les requérants étaient tenus d</w:t>
      </w:r>
      <w:r w:rsidRPr="00083DAD" w:rsidR="00083DAD">
        <w:t>’</w:t>
      </w:r>
      <w:r w:rsidRPr="00083DAD">
        <w:t>exercer cette voie de droit à partir du 22</w:t>
      </w:r>
      <w:r w:rsidRPr="00083DAD" w:rsidR="000777C8">
        <w:t xml:space="preserve"> </w:t>
      </w:r>
      <w:r w:rsidRPr="00083DAD">
        <w:t>mars 2015 (</w:t>
      </w:r>
      <w:r w:rsidRPr="00083DAD">
        <w:rPr>
          <w:i/>
          <w:iCs/>
        </w:rPr>
        <w:t>Brudan</w:t>
      </w:r>
      <w:r w:rsidRPr="00083DAD">
        <w:rPr>
          <w:i/>
          <w:iCs/>
        </w:rPr>
        <w:t xml:space="preserve"> c. Roumanie</w:t>
      </w:r>
      <w:r w:rsidRPr="00083DAD">
        <w:rPr>
          <w:lang w:eastAsia="en-GB"/>
        </w:rPr>
        <w:t xml:space="preserve">, </w:t>
      </w:r>
      <w:r w:rsidRPr="00083DAD">
        <w:t>n</w:t>
      </w:r>
      <w:r w:rsidRPr="00083DAD">
        <w:rPr>
          <w:vertAlign w:val="superscript"/>
        </w:rPr>
        <w:t>o</w:t>
      </w:r>
      <w:r w:rsidRPr="00083DAD">
        <w:t xml:space="preserve"> 75717/14</w:t>
      </w:r>
      <w:r w:rsidRPr="00083DAD">
        <w:rPr>
          <w:lang w:eastAsia="en-GB"/>
        </w:rPr>
        <w:t xml:space="preserve">, </w:t>
      </w:r>
      <w:r w:rsidRPr="00083DAD">
        <w:t>§§ 86 et 88, 10 avril 2018). L</w:t>
      </w:r>
      <w:r w:rsidRPr="00083DAD" w:rsidR="00083DAD">
        <w:t>’</w:t>
      </w:r>
      <w:r w:rsidRPr="00083DAD">
        <w:t>arrêt définitif en l</w:t>
      </w:r>
      <w:r w:rsidRPr="00083DAD" w:rsidR="00083DAD">
        <w:t>’</w:t>
      </w:r>
      <w:r w:rsidRPr="00083DAD">
        <w:t>espèce ayant été rendu le 15 septembre 2015, le requérant pouvait saisir les tribunaux internes et faire examiner par eux ses arguments relatifs à la durée de la procédure pénale menée contre lui.</w:t>
      </w:r>
    </w:p>
    <w:bookmarkStart w:name="par51" w:id="28"/>
    <w:p w:rsidRPr="00083DAD" w:rsidR="00CC31BB" w:rsidP="00083DAD">
      <w:pPr>
        <w:pStyle w:val="JuPara"/>
      </w:pPr>
      <w:r w:rsidRPr="00083DAD">
        <w:fldChar w:fldCharType="begin"/>
      </w:r>
      <w:r w:rsidRPr="00083DAD">
        <w:instrText xml:space="preserve"> SEQ level0 \*arabic </w:instrText>
      </w:r>
      <w:r w:rsidRPr="00083DAD">
        <w:fldChar w:fldCharType="separate"/>
      </w:r>
      <w:r w:rsidRPr="00083DAD" w:rsidR="00083DAD">
        <w:rPr>
          <w:noProof/>
        </w:rPr>
        <w:t>51</w:t>
      </w:r>
      <w:r w:rsidRPr="00083DAD">
        <w:fldChar w:fldCharType="end"/>
      </w:r>
      <w:bookmarkEnd w:id="28"/>
      <w:r w:rsidRPr="00083DAD">
        <w:t>.  Il s</w:t>
      </w:r>
      <w:r w:rsidRPr="00083DAD" w:rsidR="00083DAD">
        <w:t>’</w:t>
      </w:r>
      <w:r w:rsidRPr="00083DAD">
        <w:t>ensuit que ce grief est manifestement mal fondé et qu</w:t>
      </w:r>
      <w:r w:rsidRPr="00083DAD" w:rsidR="00083DAD">
        <w:t>’</w:t>
      </w:r>
      <w:r w:rsidRPr="00083DAD">
        <w:t>il doit être rejeté, en application de l</w:t>
      </w:r>
      <w:r w:rsidRPr="00083DAD" w:rsidR="00083DAD">
        <w:t>’</w:t>
      </w:r>
      <w:r w:rsidRPr="00083DAD">
        <w:t>article</w:t>
      </w:r>
      <w:r w:rsidRPr="00083DAD" w:rsidR="000777C8">
        <w:t xml:space="preserve"> </w:t>
      </w:r>
      <w:r w:rsidRPr="00083DAD">
        <w:t>35</w:t>
      </w:r>
      <w:r w:rsidRPr="00083DAD" w:rsidR="000777C8">
        <w:t xml:space="preserve"> </w:t>
      </w:r>
      <w:r w:rsidRPr="00083DAD">
        <w:t>§§</w:t>
      </w:r>
      <w:r w:rsidRPr="00083DAD" w:rsidR="000777C8">
        <w:t xml:space="preserve"> </w:t>
      </w:r>
      <w:r w:rsidRPr="00083DAD">
        <w:t>3 a) et 4 de la Convention.</w:t>
      </w:r>
    </w:p>
    <w:p w:rsidRPr="00083DAD" w:rsidR="00CC31BB" w:rsidP="00083DAD">
      <w:pPr>
        <w:pStyle w:val="JuHA"/>
        <w:keepNext w:val="0"/>
        <w:keepLines w:val="0"/>
        <w:numPr>
          <w:ilvl w:val="2"/>
          <w:numId w:val="21"/>
        </w:numPr>
        <w:jc w:val="both"/>
        <w:rPr>
          <w:lang w:val="fr-FR"/>
        </w:rPr>
      </w:pPr>
      <w:r w:rsidRPr="00083DAD">
        <w:rPr>
          <w:lang w:val="fr-FR"/>
        </w:rPr>
        <w:t>Sur l</w:t>
      </w:r>
      <w:r w:rsidRPr="00083DAD" w:rsidR="00083DAD">
        <w:rPr>
          <w:lang w:val="fr-FR"/>
        </w:rPr>
        <w:t>’</w:t>
      </w:r>
      <w:r w:rsidRPr="00083DAD">
        <w:rPr>
          <w:lang w:val="fr-FR"/>
        </w:rPr>
        <w:t>impartialité de la cour d</w:t>
      </w:r>
      <w:r w:rsidRPr="00083DAD" w:rsidR="00083DAD">
        <w:rPr>
          <w:lang w:val="fr-FR"/>
        </w:rPr>
        <w:t>’</w:t>
      </w:r>
      <w:r w:rsidRPr="00083DAD">
        <w:rPr>
          <w:lang w:val="fr-FR"/>
        </w:rPr>
        <w:t>appel</w:t>
      </w:r>
    </w:p>
    <w:p w:rsidRPr="00083DAD" w:rsidR="00CC31BB" w:rsidP="00083DAD">
      <w:pPr>
        <w:pStyle w:val="JuPara"/>
      </w:pPr>
      <w:r w:rsidRPr="00083DAD">
        <w:fldChar w:fldCharType="begin"/>
      </w:r>
      <w:r w:rsidRPr="00083DAD">
        <w:instrText xml:space="preserve"> SEQ level0 \*arabic </w:instrText>
      </w:r>
      <w:r w:rsidRPr="00083DAD">
        <w:fldChar w:fldCharType="separate"/>
      </w:r>
      <w:r w:rsidRPr="00083DAD" w:rsidR="00083DAD">
        <w:rPr>
          <w:noProof/>
        </w:rPr>
        <w:t>52</w:t>
      </w:r>
      <w:r w:rsidRPr="00083DAD">
        <w:fldChar w:fldCharType="end"/>
      </w:r>
      <w:r w:rsidRPr="00083DAD">
        <w:t>.  Le requérant estime que la cour d</w:t>
      </w:r>
      <w:r w:rsidRPr="00083DAD" w:rsidR="00083DAD">
        <w:t>’</w:t>
      </w:r>
      <w:r w:rsidRPr="00083DAD">
        <w:t>appel d</w:t>
      </w:r>
      <w:r w:rsidRPr="00083DAD" w:rsidR="00083DAD">
        <w:t>’</w:t>
      </w:r>
      <w:r w:rsidRPr="00083DAD">
        <w:t>Oradea n</w:t>
      </w:r>
      <w:r w:rsidRPr="00083DAD" w:rsidR="00083DAD">
        <w:t>’</w:t>
      </w:r>
      <w:r w:rsidRPr="00083DAD">
        <w:t>était pas un « tribunal impartial » au sens de l</w:t>
      </w:r>
      <w:r w:rsidRPr="00083DAD" w:rsidR="00083DAD">
        <w:t>’</w:t>
      </w:r>
      <w:r w:rsidRPr="00083DAD">
        <w:t>article 6 § 1 de la Convention.</w:t>
      </w:r>
    </w:p>
    <w:p w:rsidRPr="00083DAD" w:rsidR="00CC31BB" w:rsidP="00083DAD">
      <w:pPr>
        <w:pStyle w:val="JuH1"/>
        <w:keepNext w:val="0"/>
        <w:keepLines w:val="0"/>
        <w:numPr>
          <w:ilvl w:val="3"/>
          <w:numId w:val="21"/>
        </w:numPr>
        <w:jc w:val="both"/>
        <w:rPr>
          <w:lang w:val="fr-FR"/>
        </w:rPr>
      </w:pPr>
      <w:r w:rsidRPr="00083DAD">
        <w:rPr>
          <w:lang w:val="fr-FR"/>
        </w:rPr>
        <w:t>Sur la recevabilité</w:t>
      </w:r>
    </w:p>
    <w:p w:rsidRPr="00083DAD" w:rsidR="00CC31BB" w:rsidP="00083DAD">
      <w:pPr>
        <w:pStyle w:val="JuPara"/>
      </w:pPr>
      <w:r w:rsidRPr="00083DAD">
        <w:fldChar w:fldCharType="begin"/>
      </w:r>
      <w:r w:rsidRPr="00083DAD">
        <w:instrText xml:space="preserve"> SEQ level0 \*arabic </w:instrText>
      </w:r>
      <w:r w:rsidRPr="00083DAD">
        <w:fldChar w:fldCharType="separate"/>
      </w:r>
      <w:r w:rsidRPr="00083DAD" w:rsidR="00083DAD">
        <w:rPr>
          <w:noProof/>
        </w:rPr>
        <w:t>53</w:t>
      </w:r>
      <w:r w:rsidRPr="00083DAD">
        <w:fldChar w:fldCharType="end"/>
      </w:r>
      <w:r w:rsidRPr="00083DAD">
        <w:t>.  Constatant que cette branche du grief n</w:t>
      </w:r>
      <w:r w:rsidRPr="00083DAD" w:rsidR="00083DAD">
        <w:t>’</w:t>
      </w:r>
      <w:r w:rsidRPr="00083DAD">
        <w:t>est pas manifestement mal fondée au sens de l</w:t>
      </w:r>
      <w:r w:rsidRPr="00083DAD" w:rsidR="00083DAD">
        <w:t>’</w:t>
      </w:r>
      <w:r w:rsidRPr="00083DAD" w:rsidR="000777C8">
        <w:t xml:space="preserve">article </w:t>
      </w:r>
      <w:r w:rsidRPr="00083DAD">
        <w:t>35</w:t>
      </w:r>
      <w:r w:rsidRPr="00083DAD" w:rsidR="000777C8">
        <w:t xml:space="preserve"> </w:t>
      </w:r>
      <w:r w:rsidRPr="00083DAD">
        <w:t>§</w:t>
      </w:r>
      <w:r w:rsidRPr="00083DAD" w:rsidR="000777C8">
        <w:t xml:space="preserve"> </w:t>
      </w:r>
      <w:r w:rsidRPr="00083DAD">
        <w:t>3</w:t>
      </w:r>
      <w:r w:rsidRPr="00083DAD" w:rsidR="000777C8">
        <w:t xml:space="preserve"> </w:t>
      </w:r>
      <w:r w:rsidRPr="00083DAD">
        <w:t>a) de la Convention et qu</w:t>
      </w:r>
      <w:r w:rsidRPr="00083DAD" w:rsidR="00083DAD">
        <w:t>’</w:t>
      </w:r>
      <w:r w:rsidRPr="00083DAD">
        <w:t>elle ne se heurte par ailleurs à aucun autre motif d</w:t>
      </w:r>
      <w:r w:rsidRPr="00083DAD" w:rsidR="00083DAD">
        <w:t>’</w:t>
      </w:r>
      <w:r w:rsidRPr="00083DAD">
        <w:t>irrecevabilité, la Cour la déclare recevable.</w:t>
      </w:r>
    </w:p>
    <w:p w:rsidRPr="00083DAD" w:rsidR="00CC31BB" w:rsidP="00083DAD">
      <w:pPr>
        <w:pStyle w:val="JuH1"/>
        <w:numPr>
          <w:ilvl w:val="3"/>
          <w:numId w:val="21"/>
        </w:numPr>
        <w:jc w:val="both"/>
        <w:rPr>
          <w:lang w:val="fr-FR"/>
        </w:rPr>
      </w:pPr>
      <w:r w:rsidRPr="00083DAD">
        <w:rPr>
          <w:lang w:val="fr-FR"/>
        </w:rPr>
        <w:t>Sur le fond</w:t>
      </w:r>
    </w:p>
    <w:p w:rsidRPr="00083DAD" w:rsidR="00CC31BB" w:rsidP="00083DAD">
      <w:pPr>
        <w:pStyle w:val="JuHa0"/>
        <w:numPr>
          <w:ilvl w:val="4"/>
          <w:numId w:val="21"/>
        </w:numPr>
        <w:jc w:val="both"/>
        <w:rPr>
          <w:lang w:val="fr-FR"/>
        </w:rPr>
      </w:pPr>
      <w:r w:rsidRPr="00083DAD">
        <w:rPr>
          <w:lang w:val="fr-FR"/>
        </w:rPr>
        <w:t>Thèses des parties</w:t>
      </w:r>
    </w:p>
    <w:bookmarkStart w:name="obsR_impartialité" w:id="29"/>
    <w:p w:rsidRPr="00083DAD" w:rsidR="00CC31BB" w:rsidP="00083DAD">
      <w:pPr>
        <w:pStyle w:val="JuPara"/>
        <w:keepNext/>
        <w:keepLines/>
      </w:pPr>
      <w:r w:rsidRPr="00083DAD">
        <w:fldChar w:fldCharType="begin"/>
      </w:r>
      <w:r w:rsidRPr="00083DAD">
        <w:instrText xml:space="preserve"> SEQ level0 \*arabic </w:instrText>
      </w:r>
      <w:r w:rsidRPr="00083DAD">
        <w:fldChar w:fldCharType="separate"/>
      </w:r>
      <w:r w:rsidRPr="00083DAD" w:rsidR="00083DAD">
        <w:rPr>
          <w:noProof/>
        </w:rPr>
        <w:t>54</w:t>
      </w:r>
      <w:r w:rsidRPr="00083DAD">
        <w:fldChar w:fldCharType="end"/>
      </w:r>
      <w:bookmarkEnd w:id="29"/>
      <w:r w:rsidRPr="00083DAD">
        <w:t>.  Le requérant expose que la formation de jugement appelée à examiner la demande d</w:t>
      </w:r>
      <w:r w:rsidRPr="00083DAD" w:rsidR="00083DAD">
        <w:t>’</w:t>
      </w:r>
      <w:r w:rsidRPr="00083DAD">
        <w:t>abstention de la juge S.L. comprenait dans sa composition la juge C.A. et qu</w:t>
      </w:r>
      <w:r w:rsidRPr="00083DAD" w:rsidR="00083DAD">
        <w:t>’</w:t>
      </w:r>
      <w:r w:rsidRPr="00083DAD">
        <w:t>elle n</w:t>
      </w:r>
      <w:r w:rsidRPr="00083DAD" w:rsidR="00083DAD">
        <w:t>’</w:t>
      </w:r>
      <w:r w:rsidRPr="00083DAD">
        <w:t>a ni procédé à ses propres vérifications ni entendu la juge S.L., et que, par conséquent, ladite demande n</w:t>
      </w:r>
      <w:r w:rsidRPr="00083DAD" w:rsidR="00083DAD">
        <w:t>’</w:t>
      </w:r>
      <w:r w:rsidRPr="00083DAD">
        <w:t>a pas été examinée selon les voies légales. Il conteste l</w:t>
      </w:r>
      <w:r w:rsidRPr="00083DAD" w:rsidR="00083DAD">
        <w:t>’</w:t>
      </w:r>
      <w:r w:rsidRPr="00083DAD">
        <w:t>argument du Gouvernement selon lequel la participation de la juge C.A. dans la formation de jugement était légale car décidée en application du règlement d</w:t>
      </w:r>
      <w:r w:rsidRPr="00083DAD" w:rsidR="00083DAD">
        <w:t>’</w:t>
      </w:r>
      <w:r w:rsidRPr="00083DAD">
        <w:t>ordre intérieur des tribunaux : à cet égard, il dit que le CPP exigeait que la demande d</w:t>
      </w:r>
      <w:r w:rsidRPr="00083DAD" w:rsidR="00083DAD">
        <w:t>’</w:t>
      </w:r>
      <w:r w:rsidRPr="00083DAD">
        <w:t>abstention d</w:t>
      </w:r>
      <w:r w:rsidRPr="00083DAD" w:rsidR="00083DAD">
        <w:t>’</w:t>
      </w:r>
      <w:r w:rsidRPr="00083DAD">
        <w:t>un juge membre d</w:t>
      </w:r>
      <w:r w:rsidRPr="00083DAD" w:rsidR="00083DAD">
        <w:t>’</w:t>
      </w:r>
      <w:r w:rsidRPr="00083DAD">
        <w:t>une formation de jugement fût examinée par une autre formation de jugement. Il considère que la juge C.A. était ainsi elle-même devenue visée par un cas d</w:t>
      </w:r>
      <w:r w:rsidRPr="00083DAD" w:rsidR="00083DAD">
        <w:t>’</w:t>
      </w:r>
      <w:r w:rsidRPr="00083DAD">
        <w:t>incompatibilité pour juger son appel. Selon le requérant, la juge S.L. avait mis en avant des motifs sérieux faisant naître une suspicion raisonnable quant à son impartialité. Toujours selon lui, cette juge aurait ensuite jugé son appel de manière superficielle, notamment en ne déployant pas les mesures nécessaires pour localiser le témoin K.I., ce qui démontrerait qu</w:t>
      </w:r>
      <w:r w:rsidRPr="00083DAD" w:rsidR="00083DAD">
        <w:t>’</w:t>
      </w:r>
      <w:r w:rsidRPr="00083DAD">
        <w:t>elle avait un intérêt en l</w:t>
      </w:r>
      <w:r w:rsidRPr="00083DAD" w:rsidR="00083DAD">
        <w:t>’</w:t>
      </w:r>
      <w:r w:rsidRPr="00083DAD">
        <w:t>affaire.</w:t>
      </w:r>
    </w:p>
    <w:bookmarkStart w:name="obsGuvImpar" w:id="30"/>
    <w:p w:rsidRPr="00083DAD" w:rsidR="00CC31BB" w:rsidP="00083DAD">
      <w:pPr>
        <w:pStyle w:val="JuPara"/>
      </w:pPr>
      <w:r w:rsidRPr="00083DAD">
        <w:fldChar w:fldCharType="begin"/>
      </w:r>
      <w:r w:rsidRPr="00083DAD">
        <w:instrText xml:space="preserve"> SEQ level0 \*arabic </w:instrText>
      </w:r>
      <w:r w:rsidRPr="00083DAD">
        <w:fldChar w:fldCharType="separate"/>
      </w:r>
      <w:r w:rsidRPr="00083DAD" w:rsidR="00083DAD">
        <w:rPr>
          <w:noProof/>
        </w:rPr>
        <w:t>55</w:t>
      </w:r>
      <w:r w:rsidRPr="00083DAD">
        <w:fldChar w:fldCharType="end"/>
      </w:r>
      <w:bookmarkEnd w:id="30"/>
      <w:r w:rsidRPr="00083DAD">
        <w:t>.  </w:t>
      </w:r>
      <w:r w:rsidRPr="00083DAD">
        <w:t>Le Gouvernement réplique qu</w:t>
      </w:r>
      <w:r w:rsidRPr="00083DAD" w:rsidR="00083DAD">
        <w:t>’</w:t>
      </w:r>
      <w:r w:rsidRPr="00083DAD">
        <w:t>en droit roumain une demande d</w:t>
      </w:r>
      <w:r w:rsidRPr="00083DAD" w:rsidR="00083DAD">
        <w:t>’</w:t>
      </w:r>
      <w:r w:rsidRPr="00083DAD">
        <w:t>abstention doit être examinée par les pairs du juge en cause. En effet, accueillir une abstention de manière automatique créerait un droit pour le juge concerné de choisir les affaires dans lesquelles il siégerait. Le CPP réglerait la matière, mais ne donnerait pas une liste exhaustive de motifs justifiant l</w:t>
      </w:r>
      <w:r w:rsidRPr="00083DAD" w:rsidR="00083DAD">
        <w:t>’</w:t>
      </w:r>
      <w:r w:rsidRPr="00083DAD">
        <w:t>abstention ou la récusation, et ce afin de couvrir les situations susceptibles d</w:t>
      </w:r>
      <w:r w:rsidRPr="00083DAD" w:rsidR="00083DAD">
        <w:t>’</w:t>
      </w:r>
      <w:r w:rsidRPr="00083DAD">
        <w:t>émerger en pratique. Le Gouvernement indique qu</w:t>
      </w:r>
      <w:r w:rsidRPr="00083DAD" w:rsidR="00083DAD">
        <w:t>’</w:t>
      </w:r>
      <w:r w:rsidRPr="00083DAD">
        <w:t>en l</w:t>
      </w:r>
      <w:r w:rsidRPr="00083DAD" w:rsidR="00083DAD">
        <w:t>’</w:t>
      </w:r>
      <w:r w:rsidRPr="00083DAD">
        <w:t>occurrence la demande de la juge S.L. a été examinée par ses collègues et que la composition de la formation de deux juges amenée à procéder à cet examen a été décidée conformément aux dispositions applicables. Il ajoute que la demande d</w:t>
      </w:r>
      <w:r w:rsidRPr="00083DAD" w:rsidR="00083DAD">
        <w:t>’</w:t>
      </w:r>
      <w:r w:rsidRPr="00083DAD">
        <w:t>abstention a été déclarée mal fondée au motif que les circonstances relatées par la juge ne justifiaient pas de l</w:t>
      </w:r>
      <w:r w:rsidRPr="00083DAD" w:rsidR="00083DAD">
        <w:t>’</w:t>
      </w:r>
      <w:r w:rsidRPr="00083DAD">
        <w:t>accueillir. Il précise que la juge S.L. n</w:t>
      </w:r>
      <w:r w:rsidRPr="00083DAD" w:rsidR="00083DAD">
        <w:t>’</w:t>
      </w:r>
      <w:r w:rsidRPr="00083DAD">
        <w:t>avait pas soutenu avoir une relation proche et solide avec le fils de la partie civile, mais juste un certain degré de connaissance, que la procédure civile dans laquelle elle avait été représentée par l</w:t>
      </w:r>
      <w:r w:rsidRPr="00083DAD" w:rsidR="00083DAD">
        <w:t>’</w:t>
      </w:r>
      <w:r w:rsidRPr="00083DAD">
        <w:t>avocat de la partie civile avait été finalisée et que l</w:t>
      </w:r>
      <w:r w:rsidRPr="00083DAD" w:rsidR="00083DAD">
        <w:t>’</w:t>
      </w:r>
      <w:r w:rsidRPr="00083DAD">
        <w:t>intéressée n</w:t>
      </w:r>
      <w:r w:rsidRPr="00083DAD" w:rsidR="00083DAD">
        <w:t>’</w:t>
      </w:r>
      <w:r w:rsidRPr="00083DAD">
        <w:t>avait plus aucun lien professionnel avec ledit avocat. Il considère ainsi que la juge S.L. a fait sa demande d</w:t>
      </w:r>
      <w:r w:rsidRPr="00083DAD" w:rsidR="00083DAD">
        <w:t>’</w:t>
      </w:r>
      <w:r w:rsidRPr="00083DAD">
        <w:t>abstention pour dissiper tout doute à l</w:t>
      </w:r>
      <w:r w:rsidRPr="00083DAD" w:rsidR="00083DAD">
        <w:t>’</w:t>
      </w:r>
      <w:r w:rsidRPr="00083DAD">
        <w:t>égard de la manière dont elle s</w:t>
      </w:r>
      <w:r w:rsidRPr="00083DAD" w:rsidR="00083DAD">
        <w:t>’</w:t>
      </w:r>
      <w:r w:rsidRPr="00083DAD">
        <w:t>occuperait de l</w:t>
      </w:r>
      <w:r w:rsidRPr="00083DAD" w:rsidR="00083DAD">
        <w:t>’</w:t>
      </w:r>
      <w:r w:rsidRPr="00083DAD">
        <w:t>affaire du requérant, et que son impartialité subjective ne fait aucun doute. Il indique en outre que l</w:t>
      </w:r>
      <w:r w:rsidRPr="00083DAD" w:rsidR="00083DAD">
        <w:t>’</w:t>
      </w:r>
      <w:r w:rsidRPr="00083DAD">
        <w:t>appel du requérant a été dûment examiné, qu</w:t>
      </w:r>
      <w:r w:rsidRPr="00083DAD" w:rsidR="00083DAD">
        <w:t>’</w:t>
      </w:r>
      <w:r w:rsidRPr="00083DAD">
        <w:t>il a même été partiellement accueilli et qu</w:t>
      </w:r>
      <w:r w:rsidRPr="00083DAD" w:rsidR="00083DAD">
        <w:t>’</w:t>
      </w:r>
      <w:r w:rsidRPr="00083DAD">
        <w:t>il n</w:t>
      </w:r>
      <w:r w:rsidRPr="00083DAD" w:rsidR="00083DAD">
        <w:t>’</w:t>
      </w:r>
      <w:r w:rsidRPr="00083DAD">
        <w:t>y a eu aucune manifestation de l</w:t>
      </w:r>
      <w:r w:rsidRPr="00083DAD" w:rsidR="00083DAD">
        <w:t>’</w:t>
      </w:r>
      <w:r w:rsidRPr="00083DAD">
        <w:t>existence d</w:t>
      </w:r>
      <w:r w:rsidRPr="00083DAD" w:rsidR="00083DAD">
        <w:t>’</w:t>
      </w:r>
      <w:r w:rsidRPr="00083DAD">
        <w:t>un intérêt de la juge S.L. en l</w:t>
      </w:r>
      <w:r w:rsidRPr="00083DAD" w:rsidR="00083DAD">
        <w:t>’</w:t>
      </w:r>
      <w:r w:rsidRPr="00083DAD">
        <w:t>affaire ou de l</w:t>
      </w:r>
      <w:r w:rsidRPr="00083DAD" w:rsidR="00083DAD">
        <w:t>’</w:t>
      </w:r>
      <w:r w:rsidRPr="00083DAD">
        <w:t>exercice par elle d</w:t>
      </w:r>
      <w:r w:rsidRPr="00083DAD" w:rsidR="00083DAD">
        <w:t>’</w:t>
      </w:r>
      <w:r w:rsidRPr="00083DAD">
        <w:t>une influence sur l</w:t>
      </w:r>
      <w:r w:rsidRPr="00083DAD" w:rsidR="00083DAD">
        <w:t>’</w:t>
      </w:r>
      <w:r w:rsidRPr="00083DAD">
        <w:t>autre membre de la formation de jugement.</w:t>
      </w:r>
    </w:p>
    <w:p w:rsidRPr="00083DAD" w:rsidR="00CC31BB" w:rsidP="00083DAD">
      <w:pPr>
        <w:pStyle w:val="JuPara"/>
      </w:pPr>
      <w:r w:rsidRPr="00083DAD">
        <w:fldChar w:fldCharType="begin"/>
      </w:r>
      <w:r w:rsidRPr="00083DAD">
        <w:instrText xml:space="preserve"> SEQ level0 \*arabic </w:instrText>
      </w:r>
      <w:r w:rsidRPr="00083DAD">
        <w:fldChar w:fldCharType="separate"/>
      </w:r>
      <w:r w:rsidRPr="00083DAD" w:rsidR="00083DAD">
        <w:rPr>
          <w:noProof/>
        </w:rPr>
        <w:t>56</w:t>
      </w:r>
      <w:r w:rsidRPr="00083DAD">
        <w:fldChar w:fldCharType="end"/>
      </w:r>
      <w:r w:rsidRPr="00083DAD">
        <w:t>.  Dans ses observations supplémentaires, le Gouvernement indique que le règlement d</w:t>
      </w:r>
      <w:r w:rsidRPr="00083DAD" w:rsidR="00083DAD">
        <w:t>’</w:t>
      </w:r>
      <w:r w:rsidRPr="00083DAD">
        <w:t>ordre intérieur des tribunaux (paragraphe</w:t>
      </w:r>
      <w:r w:rsidRPr="00083DAD" w:rsidR="000777C8">
        <w:t xml:space="preserve"> </w:t>
      </w:r>
      <w:r w:rsidRPr="00083DAD" w:rsidR="00A23C90">
        <w:fldChar w:fldCharType="begin"/>
      </w:r>
      <w:r w:rsidRPr="00083DAD" w:rsidR="00A23C90">
        <w:instrText xml:space="preserve"> REF ROI_tribunaux \h </w:instrText>
      </w:r>
      <w:r w:rsidRPr="00083DAD" w:rsidR="00A23C90">
        <w:fldChar w:fldCharType="separate"/>
      </w:r>
      <w:r w:rsidRPr="00083DAD" w:rsidR="00083DAD">
        <w:rPr>
          <w:noProof/>
        </w:rPr>
        <w:t>28</w:t>
      </w:r>
      <w:r w:rsidRPr="00083DAD" w:rsidR="00A23C90">
        <w:fldChar w:fldCharType="end"/>
      </w:r>
      <w:r w:rsidRPr="00083DAD">
        <w:t xml:space="preserve"> ci-dessus) complète de manière cohérente le CPP en établissant des règles concrètes de composition des formations de jugement. Il dit qu</w:t>
      </w:r>
      <w:r w:rsidRPr="00083DAD" w:rsidR="00083DAD">
        <w:t>’</w:t>
      </w:r>
      <w:r w:rsidRPr="00083DAD">
        <w:t>en l</w:t>
      </w:r>
      <w:r w:rsidRPr="00083DAD" w:rsidR="00083DAD">
        <w:t>’</w:t>
      </w:r>
      <w:r w:rsidRPr="00083DAD">
        <w:t>espèce la formation ayant examiné la demande d</w:t>
      </w:r>
      <w:r w:rsidRPr="00083DAD" w:rsidR="00083DAD">
        <w:t>’</w:t>
      </w:r>
      <w:r w:rsidRPr="00083DAD">
        <w:t>abstention de la juge S.L. a été constituée conformément à ces deux actes normatifs.</w:t>
      </w:r>
    </w:p>
    <w:p w:rsidRPr="00083DAD" w:rsidR="00CC31BB" w:rsidP="00083DAD">
      <w:pPr>
        <w:pStyle w:val="JuHa0"/>
        <w:keepNext w:val="0"/>
        <w:keepLines w:val="0"/>
        <w:numPr>
          <w:ilvl w:val="4"/>
          <w:numId w:val="21"/>
        </w:numPr>
        <w:jc w:val="both"/>
        <w:rPr>
          <w:lang w:val="fr-FR"/>
        </w:rPr>
      </w:pPr>
      <w:r w:rsidRPr="00083DAD">
        <w:rPr>
          <w:lang w:val="fr-FR"/>
        </w:rPr>
        <w:t>Appréciation de la Cour</w:t>
      </w:r>
    </w:p>
    <w:p w:rsidRPr="00083DAD" w:rsidR="00CC31BB" w:rsidP="00083DAD">
      <w:pPr>
        <w:pStyle w:val="JuHi"/>
        <w:keepNext w:val="0"/>
        <w:keepLines w:val="0"/>
        <w:numPr>
          <w:ilvl w:val="5"/>
          <w:numId w:val="21"/>
        </w:numPr>
        <w:spacing w:line="240" w:lineRule="auto"/>
        <w:jc w:val="both"/>
        <w:rPr>
          <w:lang w:val="fr-FR"/>
        </w:rPr>
      </w:pPr>
      <w:r w:rsidRPr="00083DAD">
        <w:rPr>
          <w:lang w:val="fr-FR"/>
        </w:rPr>
        <w:t>Principes généraux</w:t>
      </w:r>
    </w:p>
    <w:p w:rsidRPr="00083DAD" w:rsidR="00CC31BB" w:rsidP="00083DAD">
      <w:pPr>
        <w:pStyle w:val="JuPara"/>
        <w:rPr>
          <w:i/>
        </w:rPr>
      </w:pPr>
      <w:r w:rsidRPr="00083DAD">
        <w:fldChar w:fldCharType="begin"/>
      </w:r>
      <w:r w:rsidRPr="00083DAD">
        <w:instrText xml:space="preserve"> SEQ level0 \*arabic </w:instrText>
      </w:r>
      <w:r w:rsidRPr="00083DAD">
        <w:fldChar w:fldCharType="separate"/>
      </w:r>
      <w:r w:rsidRPr="00083DAD" w:rsidR="00083DAD">
        <w:rPr>
          <w:noProof/>
        </w:rPr>
        <w:t>57</w:t>
      </w:r>
      <w:r w:rsidRPr="00083DAD">
        <w:fldChar w:fldCharType="end"/>
      </w:r>
      <w:r w:rsidRPr="00083DAD">
        <w:t>.  La Cour rappelle que l</w:t>
      </w:r>
      <w:r w:rsidRPr="00083DAD" w:rsidR="00083DAD">
        <w:t>’</w:t>
      </w:r>
      <w:r w:rsidRPr="00083DAD">
        <w:t>impartialité se définit d</w:t>
      </w:r>
      <w:r w:rsidRPr="00083DAD" w:rsidR="00083DAD">
        <w:t>’</w:t>
      </w:r>
      <w:r w:rsidRPr="00083DAD">
        <w:t>ordinaire par l</w:t>
      </w:r>
      <w:r w:rsidRPr="00083DAD" w:rsidR="00083DAD">
        <w:t>’</w:t>
      </w:r>
      <w:r w:rsidRPr="00083DAD">
        <w:t>absence de préjugé ou de parti pris et peut s</w:t>
      </w:r>
      <w:r w:rsidRPr="00083DAD" w:rsidR="00083DAD">
        <w:t>’</w:t>
      </w:r>
      <w:r w:rsidRPr="00083DAD">
        <w:t>apprécier de diverses manières. Selon la jurisprudence constante de la Cour, aux fins de l</w:t>
      </w:r>
      <w:r w:rsidRPr="00083DAD" w:rsidR="00083DAD">
        <w:t>’</w:t>
      </w:r>
      <w:r w:rsidRPr="00083DAD">
        <w:t>article 6 § 1 de la Convention, l</w:t>
      </w:r>
      <w:r w:rsidRPr="00083DAD" w:rsidR="00083DAD">
        <w:t>’</w:t>
      </w:r>
      <w:r w:rsidRPr="00083DAD">
        <w:t>impartialité doit s</w:t>
      </w:r>
      <w:r w:rsidRPr="00083DAD" w:rsidR="00083DAD">
        <w:t>’</w:t>
      </w:r>
      <w:r w:rsidRPr="00083DAD">
        <w:t>apprécier selon une démarche subjective, en tenant compte de la conviction personnelle et du comportement du juge, c</w:t>
      </w:r>
      <w:r w:rsidRPr="00083DAD" w:rsidR="00083DAD">
        <w:t>’</w:t>
      </w:r>
      <w:r w:rsidRPr="00083DAD">
        <w:t>est-à-dire en recherchant si celui-ci a fait preuve de parti pris ou de préjugé personnel dans le cas d</w:t>
      </w:r>
      <w:r w:rsidRPr="00083DAD" w:rsidR="00083DAD">
        <w:t>’</w:t>
      </w:r>
      <w:r w:rsidRPr="00083DAD">
        <w:t>espèce, ainsi que selon une démarche objective consistant à déterminer si le tribunal offrait, notamment à travers sa composition, des garanties suffisantes pour exclure tout doute légitime quant à son impartialité (</w:t>
      </w:r>
      <w:r w:rsidRPr="00083DAD">
        <w:rPr>
          <w:i/>
        </w:rPr>
        <w:t>Morice</w:t>
      </w:r>
      <w:r w:rsidRPr="00083DAD">
        <w:rPr>
          <w:i/>
        </w:rPr>
        <w:t xml:space="preserve"> c. France</w:t>
      </w:r>
      <w:r w:rsidRPr="00083DAD">
        <w:t xml:space="preserve"> [GC], n</w:t>
      </w:r>
      <w:r w:rsidRPr="00083DAD">
        <w:rPr>
          <w:vertAlign w:val="superscript"/>
        </w:rPr>
        <w:t>o</w:t>
      </w:r>
      <w:r w:rsidRPr="00083DAD">
        <w:t> 29369/10</w:t>
      </w:r>
      <w:r w:rsidRPr="00083DAD" w:rsidR="000777C8">
        <w:rPr>
          <w:snapToGrid w:val="0"/>
        </w:rPr>
        <w:t xml:space="preserve">, § </w:t>
      </w:r>
      <w:r w:rsidRPr="00083DAD">
        <w:rPr>
          <w:snapToGrid w:val="0"/>
        </w:rPr>
        <w:t xml:space="preserve">73, </w:t>
      </w:r>
      <w:r w:rsidRPr="00083DAD">
        <w:t>CEDH 2015).</w:t>
      </w:r>
    </w:p>
    <w:p w:rsidRPr="00083DAD" w:rsidR="00CC31BB" w:rsidP="00083DAD">
      <w:pPr>
        <w:pStyle w:val="JuPara"/>
      </w:pPr>
      <w:r w:rsidRPr="00083DAD">
        <w:fldChar w:fldCharType="begin"/>
      </w:r>
      <w:r w:rsidRPr="00083DAD">
        <w:instrText xml:space="preserve"> SEQ level0 \*arabic </w:instrText>
      </w:r>
      <w:r w:rsidRPr="00083DAD">
        <w:fldChar w:fldCharType="separate"/>
      </w:r>
      <w:r w:rsidRPr="00083DAD" w:rsidR="00083DAD">
        <w:rPr>
          <w:noProof/>
        </w:rPr>
        <w:t>58</w:t>
      </w:r>
      <w:r w:rsidRPr="00083DAD">
        <w:fldChar w:fldCharType="end"/>
      </w:r>
      <w:r w:rsidRPr="00083DAD">
        <w:t>.  Pour ce qui est de la démarche subjective, le principe selon lequel un tribunal doit être présumé exempt de préjugé ou de partialité est depuis longtemps établi dans la jurisprudence de la Cour (</w:t>
      </w:r>
      <w:r w:rsidRPr="00083DAD">
        <w:rPr>
          <w:i/>
        </w:rPr>
        <w:t xml:space="preserve">Kyprianou </w:t>
      </w:r>
      <w:r w:rsidRPr="00083DAD">
        <w:rPr>
          <w:i/>
        </w:rPr>
        <w:t>c.Chypre</w:t>
      </w:r>
      <w:r w:rsidRPr="00083DAD">
        <w:t xml:space="preserve"> [GC], n</w:t>
      </w:r>
      <w:r w:rsidRPr="00083DAD">
        <w:rPr>
          <w:vertAlign w:val="superscript"/>
        </w:rPr>
        <w:t>o</w:t>
      </w:r>
      <w:r w:rsidRPr="00083DAD">
        <w:t xml:space="preserve"> 73797/01, § 119, CEDH 2005</w:t>
      </w:r>
      <w:r w:rsidRPr="00083DAD">
        <w:noBreakHyphen/>
        <w:t xml:space="preserve">XIII, et </w:t>
      </w:r>
      <w:r w:rsidRPr="00083DAD">
        <w:rPr>
          <w:i/>
        </w:rPr>
        <w:t>Micallef</w:t>
      </w:r>
      <w:r w:rsidRPr="00083DAD">
        <w:rPr>
          <w:i/>
        </w:rPr>
        <w:t xml:space="preserve"> c. Malte</w:t>
      </w:r>
      <w:r w:rsidRPr="00083DAD">
        <w:t xml:space="preserve"> [GC], n</w:t>
      </w:r>
      <w:r w:rsidRPr="00083DAD">
        <w:rPr>
          <w:vertAlign w:val="superscript"/>
        </w:rPr>
        <w:t>o</w:t>
      </w:r>
      <w:r w:rsidRPr="00083DAD">
        <w:t> 17056/06, § 94, CEDH 2009). L</w:t>
      </w:r>
      <w:r w:rsidRPr="00083DAD" w:rsidR="00083DAD">
        <w:t>’</w:t>
      </w:r>
      <w:r w:rsidRPr="00083DAD">
        <w:t>impartialité personnelle d</w:t>
      </w:r>
      <w:r w:rsidRPr="00083DAD" w:rsidR="00083DAD">
        <w:t>’</w:t>
      </w:r>
      <w:r w:rsidRPr="00083DAD">
        <w:t>un magistrat se présume jusqu</w:t>
      </w:r>
      <w:r w:rsidRPr="00083DAD" w:rsidR="00083DAD">
        <w:t>’</w:t>
      </w:r>
      <w:r w:rsidRPr="00083DAD">
        <w:t>à preuve du contraire (</w:t>
      </w:r>
      <w:r w:rsidRPr="00083DAD">
        <w:rPr>
          <w:i/>
        </w:rPr>
        <w:t>Hauschildt</w:t>
      </w:r>
      <w:r w:rsidRPr="00083DAD">
        <w:rPr>
          <w:i/>
        </w:rPr>
        <w:t xml:space="preserve"> c.</w:t>
      </w:r>
      <w:r w:rsidRPr="00083DAD" w:rsidR="000777C8">
        <w:rPr>
          <w:i/>
        </w:rPr>
        <w:t> </w:t>
      </w:r>
      <w:r w:rsidRPr="00083DAD">
        <w:rPr>
          <w:i/>
        </w:rPr>
        <w:t>Danemark</w:t>
      </w:r>
      <w:r w:rsidRPr="00083DAD">
        <w:t>, 24</w:t>
      </w:r>
      <w:r w:rsidRPr="00083DAD" w:rsidR="000777C8">
        <w:t> </w:t>
      </w:r>
      <w:r w:rsidRPr="00083DAD">
        <w:t>mai</w:t>
      </w:r>
      <w:r w:rsidRPr="00083DAD" w:rsidR="00C80014">
        <w:t xml:space="preserve"> </w:t>
      </w:r>
      <w:r w:rsidRPr="00083DAD">
        <w:t>1989, § 47, série A n</w:t>
      </w:r>
      <w:r w:rsidRPr="00083DAD">
        <w:rPr>
          <w:vertAlign w:val="superscript"/>
        </w:rPr>
        <w:t>o</w:t>
      </w:r>
      <w:r w:rsidRPr="00083DAD">
        <w:t xml:space="preserve"> 154). Quant au type de preuve exigé, la Cour s</w:t>
      </w:r>
      <w:r w:rsidRPr="00083DAD" w:rsidR="00083DAD">
        <w:t>’</w:t>
      </w:r>
      <w:r w:rsidRPr="00083DAD">
        <w:t>est par exemple efforcée de vérifier si un juge avait fait montre d</w:t>
      </w:r>
      <w:r w:rsidRPr="00083DAD" w:rsidR="00083DAD">
        <w:t>’</w:t>
      </w:r>
      <w:r w:rsidRPr="00083DAD">
        <w:t>hostilité ou de malveillance pour des raisons personnelles (</w:t>
      </w:r>
      <w:r w:rsidRPr="00083DAD" w:rsidR="000777C8">
        <w:rPr>
          <w:i/>
        </w:rPr>
        <w:t>De Cubber c. </w:t>
      </w:r>
      <w:r w:rsidRPr="00083DAD">
        <w:rPr>
          <w:i/>
        </w:rPr>
        <w:t>Belgique</w:t>
      </w:r>
      <w:r w:rsidRPr="00083DAD">
        <w:t>, 26 </w:t>
      </w:r>
      <w:r w:rsidRPr="00083DAD" w:rsidR="00C80014">
        <w:t xml:space="preserve">octobre </w:t>
      </w:r>
      <w:r w:rsidRPr="00083DAD">
        <w:t>1984, § 25, série A n</w:t>
      </w:r>
      <w:r w:rsidRPr="00083DAD">
        <w:rPr>
          <w:vertAlign w:val="superscript"/>
        </w:rPr>
        <w:t>o</w:t>
      </w:r>
      <w:r w:rsidRPr="00083DAD">
        <w:t xml:space="preserve"> 86).</w:t>
      </w:r>
    </w:p>
    <w:p w:rsidRPr="00083DAD" w:rsidR="00CC31BB" w:rsidP="00083DAD">
      <w:pPr>
        <w:pStyle w:val="JuPara"/>
      </w:pPr>
      <w:r w:rsidRPr="00083DAD">
        <w:fldChar w:fldCharType="begin"/>
      </w:r>
      <w:r w:rsidRPr="00083DAD">
        <w:instrText xml:space="preserve"> SEQ level0 \*arabic </w:instrText>
      </w:r>
      <w:r w:rsidRPr="00083DAD">
        <w:fldChar w:fldCharType="separate"/>
      </w:r>
      <w:r w:rsidRPr="00083DAD" w:rsidR="00083DAD">
        <w:rPr>
          <w:noProof/>
        </w:rPr>
        <w:t>59</w:t>
      </w:r>
      <w:r w:rsidRPr="00083DAD">
        <w:fldChar w:fldCharType="end"/>
      </w:r>
      <w:r w:rsidRPr="00083DAD">
        <w:t>.  Dans la très grande majorité des affaires soulevant des questions relatives à l</w:t>
      </w:r>
      <w:r w:rsidRPr="00083DAD" w:rsidR="00083DAD">
        <w:t>’</w:t>
      </w:r>
      <w:r w:rsidRPr="00083DAD">
        <w:t>impartialité, la Cour a eu recours à la démarche objective (</w:t>
      </w:r>
      <w:r w:rsidRPr="00083DAD">
        <w:rPr>
          <w:i/>
        </w:rPr>
        <w:t>Micallef</w:t>
      </w:r>
      <w:r w:rsidRPr="00083DAD">
        <w:t>, précité, § 95). La frontière entre l</w:t>
      </w:r>
      <w:r w:rsidRPr="00083DAD" w:rsidR="00083DAD">
        <w:t>’</w:t>
      </w:r>
      <w:r w:rsidRPr="00083DAD">
        <w:t>impartialité subjective et l</w:t>
      </w:r>
      <w:r w:rsidRPr="00083DAD" w:rsidR="00083DAD">
        <w:t>’</w:t>
      </w:r>
      <w:r w:rsidRPr="00083DAD">
        <w:t>impartialité objective n</w:t>
      </w:r>
      <w:r w:rsidRPr="00083DAD" w:rsidR="00083DAD">
        <w:t>’</w:t>
      </w:r>
      <w:r w:rsidRPr="00083DAD">
        <w:t>est cependant pas hermétique car non seulement la conduite même d</w:t>
      </w:r>
      <w:r w:rsidRPr="00083DAD" w:rsidR="00083DAD">
        <w:t>’</w:t>
      </w:r>
      <w:r w:rsidRPr="00083DAD">
        <w:t>un juge peut, du point de vue d</w:t>
      </w:r>
      <w:r w:rsidRPr="00083DAD" w:rsidR="00083DAD">
        <w:t>’</w:t>
      </w:r>
      <w:r w:rsidRPr="00083DAD">
        <w:t>un observateur extérieur, entraîner des doutes objectivement justifiés quant à son impartialité (démarche objective), mais elle peut également toucher à la question de sa conviction personnelle (démarche subjective) (</w:t>
      </w:r>
      <w:r w:rsidRPr="00083DAD">
        <w:rPr>
          <w:i/>
        </w:rPr>
        <w:t>Kyprianou</w:t>
      </w:r>
      <w:r w:rsidRPr="00083DAD" w:rsidR="000777C8">
        <w:t>, précité, § </w:t>
      </w:r>
      <w:r w:rsidRPr="00083DAD">
        <w:t xml:space="preserve">119 </w:t>
      </w:r>
      <w:r w:rsidRPr="00083DAD" w:rsidR="000777C8">
        <w:rPr>
          <w:i/>
        </w:rPr>
        <w:t>in </w:t>
      </w:r>
      <w:r w:rsidRPr="00083DAD">
        <w:rPr>
          <w:i/>
        </w:rPr>
        <w:t>fine</w:t>
      </w:r>
      <w:r w:rsidRPr="00083DAD">
        <w:t>). Ainsi, dans des cas où il peut être difficile de fournir des preuves permettant de réfuter la présomption d</w:t>
      </w:r>
      <w:r w:rsidRPr="00083DAD" w:rsidR="00083DAD">
        <w:t>’</w:t>
      </w:r>
      <w:r w:rsidRPr="00083DAD">
        <w:t>impartialité subjective du juge, la condition d</w:t>
      </w:r>
      <w:r w:rsidRPr="00083DAD" w:rsidR="00083DAD">
        <w:t>’</w:t>
      </w:r>
      <w:r w:rsidRPr="00083DAD">
        <w:t>impartialité objective fournit une garantie importante supplémentaire (</w:t>
      </w:r>
      <w:r w:rsidRPr="00083DAD">
        <w:rPr>
          <w:i/>
        </w:rPr>
        <w:t>Pullar</w:t>
      </w:r>
      <w:r w:rsidRPr="00083DAD">
        <w:rPr>
          <w:i/>
        </w:rPr>
        <w:t xml:space="preserve"> c. Royaume-Uni</w:t>
      </w:r>
      <w:r w:rsidRPr="00083DAD">
        <w:t xml:space="preserve">, 10 juin 1996, § 32 </w:t>
      </w:r>
      <w:r w:rsidRPr="00083DAD">
        <w:rPr>
          <w:i/>
        </w:rPr>
        <w:t>in fine</w:t>
      </w:r>
      <w:r w:rsidRPr="00083DAD">
        <w:t xml:space="preserve">, </w:t>
      </w:r>
      <w:r w:rsidRPr="00083DAD">
        <w:rPr>
          <w:i/>
        </w:rPr>
        <w:t>Recueil</w:t>
      </w:r>
      <w:r w:rsidRPr="00083DAD">
        <w:t xml:space="preserve"> 1996</w:t>
      </w:r>
      <w:r w:rsidRPr="00083DAD">
        <w:noBreakHyphen/>
        <w:t>III).</w:t>
      </w:r>
    </w:p>
    <w:p w:rsidRPr="00083DAD" w:rsidR="00CC31BB" w:rsidP="00083DAD">
      <w:pPr>
        <w:pStyle w:val="JuPara"/>
      </w:pPr>
      <w:r w:rsidRPr="00083DAD">
        <w:fldChar w:fldCharType="begin"/>
      </w:r>
      <w:r w:rsidRPr="00083DAD">
        <w:instrText xml:space="preserve"> SEQ level0 \*arabic </w:instrText>
      </w:r>
      <w:r w:rsidRPr="00083DAD">
        <w:fldChar w:fldCharType="separate"/>
      </w:r>
      <w:r w:rsidRPr="00083DAD" w:rsidR="00083DAD">
        <w:rPr>
          <w:noProof/>
        </w:rPr>
        <w:t>60</w:t>
      </w:r>
      <w:r w:rsidRPr="00083DAD">
        <w:fldChar w:fldCharType="end"/>
      </w:r>
      <w:r w:rsidRPr="00083DAD">
        <w:t>.  Pour ce qui est de l</w:t>
      </w:r>
      <w:r w:rsidRPr="00083DAD" w:rsidR="00083DAD">
        <w:t>’</w:t>
      </w:r>
      <w:r w:rsidRPr="00083DAD">
        <w:t>appréciation objective, elle consiste à se demander si, indépendamment de la conduite personnelle du juge, certains faits vérifiables autorisent à suspecter l</w:t>
      </w:r>
      <w:r w:rsidRPr="00083DAD" w:rsidR="00083DAD">
        <w:t>’</w:t>
      </w:r>
      <w:r w:rsidRPr="00083DAD">
        <w:t>impartialité de ce dernier. Il en résulte que, pour se prononcer sur l</w:t>
      </w:r>
      <w:r w:rsidRPr="00083DAD" w:rsidR="00083DAD">
        <w:t>’</w:t>
      </w:r>
      <w:r w:rsidRPr="00083DAD">
        <w:t>existence, dans une affaire donnée, d</w:t>
      </w:r>
      <w:r w:rsidRPr="00083DAD" w:rsidR="00083DAD">
        <w:t>’</w:t>
      </w:r>
      <w:r w:rsidRPr="00083DAD">
        <w:t>une raison légitime de redouter d</w:t>
      </w:r>
      <w:r w:rsidRPr="00083DAD" w:rsidR="00083DAD">
        <w:t>’</w:t>
      </w:r>
      <w:r w:rsidRPr="00083DAD">
        <w:t>un juge ou d</w:t>
      </w:r>
      <w:r w:rsidRPr="00083DAD" w:rsidR="00083DAD">
        <w:t>’</w:t>
      </w:r>
      <w:r w:rsidRPr="00083DAD">
        <w:t>une juridiction collégiale un défaut d</w:t>
      </w:r>
      <w:r w:rsidRPr="00083DAD" w:rsidR="00083DAD">
        <w:t>’</w:t>
      </w:r>
      <w:r w:rsidRPr="00083DAD">
        <w:t>impartialité, l</w:t>
      </w:r>
      <w:r w:rsidRPr="00083DAD" w:rsidR="00083DAD">
        <w:t>’</w:t>
      </w:r>
      <w:r w:rsidRPr="00083DAD">
        <w:t>optique de la personne concernée entre en ligne de compte mais ne joue pas un rôle décisif. L</w:t>
      </w:r>
      <w:r w:rsidRPr="00083DAD" w:rsidR="00083DAD">
        <w:t>’</w:t>
      </w:r>
      <w:r w:rsidRPr="00083DAD">
        <w:t>élément déterminant consiste à savoir si l</w:t>
      </w:r>
      <w:r w:rsidRPr="00083DAD" w:rsidR="00083DAD">
        <w:t>’</w:t>
      </w:r>
      <w:r w:rsidRPr="00083DAD">
        <w:t>on peut considérer les appréhensions de l</w:t>
      </w:r>
      <w:r w:rsidRPr="00083DAD" w:rsidR="00083DAD">
        <w:t>’</w:t>
      </w:r>
      <w:r w:rsidRPr="00083DAD">
        <w:t>intéressé comme objectivement justifiées (</w:t>
      </w:r>
      <w:r w:rsidRPr="00083DAD">
        <w:rPr>
          <w:i/>
        </w:rPr>
        <w:t>Morice</w:t>
      </w:r>
      <w:r w:rsidRPr="00083DAD">
        <w:t>, précité, § 76, et</w:t>
      </w:r>
      <w:r w:rsidRPr="00083DAD">
        <w:rPr>
          <w:i/>
        </w:rPr>
        <w:t xml:space="preserve"> </w:t>
      </w:r>
      <w:r w:rsidRPr="00083DAD">
        <w:rPr>
          <w:i/>
        </w:rPr>
        <w:t>Micallef</w:t>
      </w:r>
      <w:r w:rsidRPr="00083DAD">
        <w:t>, précité, § 96).</w:t>
      </w:r>
    </w:p>
    <w:p w:rsidRPr="00083DAD" w:rsidR="00CC31BB" w:rsidP="00083DAD">
      <w:pPr>
        <w:pStyle w:val="JuPara"/>
      </w:pPr>
      <w:r w:rsidRPr="00083DAD">
        <w:fldChar w:fldCharType="begin"/>
      </w:r>
      <w:r w:rsidRPr="00083DAD">
        <w:instrText xml:space="preserve"> SEQ level0 \*arabic </w:instrText>
      </w:r>
      <w:r w:rsidRPr="00083DAD">
        <w:fldChar w:fldCharType="separate"/>
      </w:r>
      <w:r w:rsidRPr="00083DAD" w:rsidR="00083DAD">
        <w:rPr>
          <w:noProof/>
        </w:rPr>
        <w:t>61</w:t>
      </w:r>
      <w:r w:rsidRPr="00083DAD">
        <w:fldChar w:fldCharType="end"/>
      </w:r>
      <w:r w:rsidRPr="00083DAD">
        <w:t>.  L</w:t>
      </w:r>
      <w:r w:rsidRPr="00083DAD" w:rsidR="00083DAD">
        <w:t>’</w:t>
      </w:r>
      <w:r w:rsidRPr="00083DAD">
        <w:t>appréciation objective porte essentiellement sur les liens hiérarchiques ou autres entre le juge et d</w:t>
      </w:r>
      <w:r w:rsidRPr="00083DAD" w:rsidR="00083DAD">
        <w:t>’</w:t>
      </w:r>
      <w:r w:rsidRPr="00083DAD">
        <w:t>autres acteurs de la procédure (</w:t>
      </w:r>
      <w:r w:rsidRPr="00083DAD">
        <w:rPr>
          <w:i/>
        </w:rPr>
        <w:t>Micallef</w:t>
      </w:r>
      <w:r w:rsidRPr="00083DAD">
        <w:t>, précité, § 97). Il faut en conséquence décider dans chaque cas d</w:t>
      </w:r>
      <w:r w:rsidRPr="00083DAD" w:rsidR="00083DAD">
        <w:t>’</w:t>
      </w:r>
      <w:r w:rsidRPr="00083DAD">
        <w:t>espèce si la nature et le degré du lien en question sont tels qu</w:t>
      </w:r>
      <w:r w:rsidRPr="00083DAD" w:rsidR="00083DAD">
        <w:t>’</w:t>
      </w:r>
      <w:r w:rsidRPr="00083DAD">
        <w:t>ils dénotent un manque d</w:t>
      </w:r>
      <w:r w:rsidRPr="00083DAD" w:rsidR="00083DAD">
        <w:t>’</w:t>
      </w:r>
      <w:r w:rsidRPr="00083DAD">
        <w:t>impartialité de la part du tribunal (</w:t>
      </w:r>
      <w:r w:rsidRPr="00083DAD">
        <w:rPr>
          <w:i/>
        </w:rPr>
        <w:t>Morice</w:t>
      </w:r>
      <w:r w:rsidRPr="00083DAD">
        <w:t xml:space="preserve">, précité, § 77, et </w:t>
      </w:r>
      <w:r w:rsidRPr="00083DAD">
        <w:rPr>
          <w:i/>
        </w:rPr>
        <w:t>Pullar</w:t>
      </w:r>
      <w:r w:rsidRPr="00083DAD">
        <w:t>, précité, § 38).</w:t>
      </w:r>
    </w:p>
    <w:p w:rsidRPr="00083DAD" w:rsidR="00CC31BB" w:rsidP="00083DAD">
      <w:pPr>
        <w:pStyle w:val="JuPara"/>
      </w:pPr>
      <w:r w:rsidRPr="00083DAD">
        <w:fldChar w:fldCharType="begin"/>
      </w:r>
      <w:r w:rsidRPr="00083DAD">
        <w:instrText xml:space="preserve"> SEQ level0 \*arabic </w:instrText>
      </w:r>
      <w:r w:rsidRPr="00083DAD">
        <w:fldChar w:fldCharType="separate"/>
      </w:r>
      <w:r w:rsidRPr="00083DAD" w:rsidR="00083DAD">
        <w:rPr>
          <w:noProof/>
        </w:rPr>
        <w:t>62</w:t>
      </w:r>
      <w:r w:rsidRPr="00083DAD">
        <w:fldChar w:fldCharType="end"/>
      </w:r>
      <w:r w:rsidRPr="00083DAD">
        <w:t>.  En la matière, même les apparences peuvent revêtir de l</w:t>
      </w:r>
      <w:r w:rsidRPr="00083DAD" w:rsidR="00083DAD">
        <w:t>’</w:t>
      </w:r>
      <w:r w:rsidRPr="00083DAD">
        <w:t>importance ou, comme le dit un adage anglais, « </w:t>
      </w:r>
      <w:r w:rsidRPr="00083DAD">
        <w:rPr>
          <w:i/>
        </w:rPr>
        <w:t xml:space="preserve">justice must not </w:t>
      </w:r>
      <w:r w:rsidRPr="00083DAD">
        <w:rPr>
          <w:i/>
        </w:rPr>
        <w:t>only</w:t>
      </w:r>
      <w:r w:rsidRPr="00083DAD">
        <w:rPr>
          <w:i/>
        </w:rPr>
        <w:t xml:space="preserve"> </w:t>
      </w:r>
      <w:r w:rsidRPr="00083DAD">
        <w:rPr>
          <w:i/>
        </w:rPr>
        <w:t>be</w:t>
      </w:r>
      <w:r w:rsidRPr="00083DAD">
        <w:rPr>
          <w:i/>
        </w:rPr>
        <w:t xml:space="preserve"> </w:t>
      </w:r>
      <w:r w:rsidRPr="00083DAD">
        <w:rPr>
          <w:i/>
        </w:rPr>
        <w:t>done</w:t>
      </w:r>
      <w:r w:rsidRPr="00083DAD">
        <w:rPr>
          <w:i/>
        </w:rPr>
        <w:t xml:space="preserve">, </w:t>
      </w:r>
      <w:r w:rsidRPr="00083DAD">
        <w:rPr>
          <w:i/>
        </w:rPr>
        <w:t>it</w:t>
      </w:r>
      <w:r w:rsidRPr="00083DAD">
        <w:rPr>
          <w:i/>
        </w:rPr>
        <w:t xml:space="preserve"> must </w:t>
      </w:r>
      <w:r w:rsidRPr="00083DAD">
        <w:rPr>
          <w:i/>
        </w:rPr>
        <w:t>also</w:t>
      </w:r>
      <w:r w:rsidRPr="00083DAD">
        <w:rPr>
          <w:i/>
        </w:rPr>
        <w:t xml:space="preserve"> </w:t>
      </w:r>
      <w:r w:rsidRPr="00083DAD">
        <w:rPr>
          <w:i/>
        </w:rPr>
        <w:t>be</w:t>
      </w:r>
      <w:r w:rsidRPr="00083DAD">
        <w:rPr>
          <w:i/>
        </w:rPr>
        <w:t xml:space="preserve"> </w:t>
      </w:r>
      <w:r w:rsidRPr="00083DAD">
        <w:rPr>
          <w:i/>
        </w:rPr>
        <w:t>seen</w:t>
      </w:r>
      <w:r w:rsidRPr="00083DAD">
        <w:rPr>
          <w:i/>
        </w:rPr>
        <w:t xml:space="preserve"> to </w:t>
      </w:r>
      <w:r w:rsidRPr="00083DAD">
        <w:rPr>
          <w:i/>
        </w:rPr>
        <w:t>be</w:t>
      </w:r>
      <w:r w:rsidRPr="00083DAD">
        <w:rPr>
          <w:i/>
        </w:rPr>
        <w:t xml:space="preserve"> </w:t>
      </w:r>
      <w:r w:rsidRPr="00083DAD">
        <w:rPr>
          <w:i/>
        </w:rPr>
        <w:t>done</w:t>
      </w:r>
      <w:r w:rsidRPr="00083DAD">
        <w:t> » (il faut non seulement que justice soit faite, mais aussi qu</w:t>
      </w:r>
      <w:r w:rsidRPr="00083DAD" w:rsidR="00083DAD">
        <w:t>’</w:t>
      </w:r>
      <w:r w:rsidRPr="00083DAD">
        <w:t>elle le soit au vu et au su de tous) (</w:t>
      </w:r>
      <w:r w:rsidRPr="00083DAD">
        <w:rPr>
          <w:i/>
        </w:rPr>
        <w:t>De Cubber</w:t>
      </w:r>
      <w:r w:rsidRPr="00083DAD">
        <w:t>, précité, § 26). Il y va de la confiance que les tribunaux d</w:t>
      </w:r>
      <w:r w:rsidRPr="00083DAD" w:rsidR="00083DAD">
        <w:t>’</w:t>
      </w:r>
      <w:r w:rsidRPr="00083DAD">
        <w:t>une société démocratique se doivent d</w:t>
      </w:r>
      <w:r w:rsidRPr="00083DAD" w:rsidR="00083DAD">
        <w:t>’</w:t>
      </w:r>
      <w:r w:rsidRPr="00083DAD">
        <w:t>inspirer aux justiciables. Tout juge dont on peut légitimement craindre un manque d</w:t>
      </w:r>
      <w:r w:rsidRPr="00083DAD" w:rsidR="00083DAD">
        <w:t>’</w:t>
      </w:r>
      <w:r w:rsidRPr="00083DAD">
        <w:t>impartialité doit donc se déporter (</w:t>
      </w:r>
      <w:r w:rsidRPr="00083DAD">
        <w:rPr>
          <w:i/>
        </w:rPr>
        <w:t>Morice</w:t>
      </w:r>
      <w:r w:rsidRPr="00083DAD" w:rsidR="000777C8">
        <w:t>, précité, § </w:t>
      </w:r>
      <w:r w:rsidRPr="00083DAD">
        <w:t xml:space="preserve">77 ; </w:t>
      </w:r>
      <w:r w:rsidRPr="00083DAD">
        <w:rPr>
          <w:i/>
        </w:rPr>
        <w:t>Micallef</w:t>
      </w:r>
      <w:r w:rsidRPr="00083DAD">
        <w:t xml:space="preserve">, précité, § 98 ; et </w:t>
      </w:r>
      <w:r w:rsidRPr="00083DAD">
        <w:rPr>
          <w:i/>
        </w:rPr>
        <w:t xml:space="preserve">Castillo </w:t>
      </w:r>
      <w:r w:rsidRPr="00083DAD">
        <w:rPr>
          <w:i/>
        </w:rPr>
        <w:t>Algar</w:t>
      </w:r>
      <w:r w:rsidRPr="00083DAD">
        <w:rPr>
          <w:i/>
        </w:rPr>
        <w:t xml:space="preserve"> c. Espagne</w:t>
      </w:r>
      <w:r w:rsidRPr="00083DAD">
        <w:t>, 28</w:t>
      </w:r>
      <w:r w:rsidRPr="00083DAD" w:rsidR="000777C8">
        <w:t xml:space="preserve"> </w:t>
      </w:r>
      <w:r w:rsidRPr="00083DAD">
        <w:t>octobre 1998, §</w:t>
      </w:r>
      <w:r w:rsidRPr="00083DAD" w:rsidR="000777C8">
        <w:t> </w:t>
      </w:r>
      <w:r w:rsidRPr="00083DAD">
        <w:t xml:space="preserve">45, </w:t>
      </w:r>
      <w:r w:rsidRPr="00083DAD">
        <w:rPr>
          <w:i/>
        </w:rPr>
        <w:t>Recueil</w:t>
      </w:r>
      <w:r w:rsidRPr="00083DAD">
        <w:t xml:space="preserve"> 1998</w:t>
      </w:r>
      <w:r w:rsidRPr="00083DAD">
        <w:noBreakHyphen/>
        <w:t>VIII).</w:t>
      </w:r>
    </w:p>
    <w:p w:rsidRPr="00083DAD" w:rsidR="00CC31BB" w:rsidP="00083DAD">
      <w:pPr>
        <w:pStyle w:val="JuHi"/>
        <w:keepNext w:val="0"/>
        <w:keepLines w:val="0"/>
        <w:numPr>
          <w:ilvl w:val="5"/>
          <w:numId w:val="21"/>
        </w:numPr>
        <w:spacing w:line="240" w:lineRule="auto"/>
        <w:jc w:val="both"/>
        <w:rPr>
          <w:lang w:val="fr-FR"/>
        </w:rPr>
      </w:pPr>
      <w:r w:rsidRPr="00083DAD">
        <w:rPr>
          <w:lang w:val="fr-FR"/>
        </w:rPr>
        <w:t>Application au cas d</w:t>
      </w:r>
      <w:r w:rsidRPr="00083DAD" w:rsidR="00083DAD">
        <w:rPr>
          <w:lang w:val="fr-FR"/>
        </w:rPr>
        <w:t>’</w:t>
      </w:r>
      <w:r w:rsidRPr="00083DAD">
        <w:rPr>
          <w:lang w:val="fr-FR"/>
        </w:rPr>
        <w:t>espèce</w:t>
      </w:r>
    </w:p>
    <w:bookmarkStart w:name="par62" w:id="31"/>
    <w:p w:rsidRPr="00083DAD" w:rsidR="00CC31BB" w:rsidP="00083DAD">
      <w:pPr>
        <w:pStyle w:val="JuPara"/>
      </w:pPr>
      <w:r w:rsidRPr="00083DAD">
        <w:fldChar w:fldCharType="begin"/>
      </w:r>
      <w:r w:rsidRPr="00083DAD">
        <w:instrText xml:space="preserve"> SEQ level0 \*arabic </w:instrText>
      </w:r>
      <w:r w:rsidRPr="00083DAD">
        <w:fldChar w:fldCharType="separate"/>
      </w:r>
      <w:r w:rsidRPr="00083DAD" w:rsidR="00083DAD">
        <w:rPr>
          <w:noProof/>
        </w:rPr>
        <w:t>63</w:t>
      </w:r>
      <w:r w:rsidRPr="00083DAD">
        <w:fldChar w:fldCharType="end"/>
      </w:r>
      <w:bookmarkEnd w:id="31"/>
      <w:r w:rsidRPr="00083DAD">
        <w:t>.  Se tournant vers les faits de l</w:t>
      </w:r>
      <w:r w:rsidRPr="00083DAD" w:rsidR="00083DAD">
        <w:t>’</w:t>
      </w:r>
      <w:r w:rsidRPr="00083DAD">
        <w:t>espèce, la Cour note que, par son grief, le requérant se plaint d</w:t>
      </w:r>
      <w:r w:rsidRPr="00083DAD" w:rsidR="00083DAD">
        <w:t>’</w:t>
      </w:r>
      <w:r w:rsidRPr="00083DAD">
        <w:t>un défaut d</w:t>
      </w:r>
      <w:r w:rsidRPr="00083DAD" w:rsidR="00083DAD">
        <w:t>’</w:t>
      </w:r>
      <w:r w:rsidRPr="00083DAD">
        <w:t>impartialité de la formation de la cour d</w:t>
      </w:r>
      <w:r w:rsidRPr="00083DAD" w:rsidR="00083DAD">
        <w:t>’</w:t>
      </w:r>
      <w:r w:rsidRPr="00083DAD">
        <w:t>appel qui a examiné son cas en dernier ressort, à raison de la déclaration d</w:t>
      </w:r>
      <w:r w:rsidRPr="00083DAD" w:rsidR="00083DAD">
        <w:t>’</w:t>
      </w:r>
      <w:r w:rsidRPr="00083DAD">
        <w:t>abstention faite par la juge S.L., mais aussi de la manière dont cette déclaration a été examinée par une formation composée, entre autres, de la juge C.A., laquelle a ensuite participé à l</w:t>
      </w:r>
      <w:r w:rsidRPr="00083DAD" w:rsidR="00083DAD">
        <w:t>’</w:t>
      </w:r>
      <w:r w:rsidRPr="00083DAD">
        <w:t>examen sur le fond (paragraphe </w:t>
      </w:r>
      <w:r w:rsidRPr="00083DAD" w:rsidR="00C40F33">
        <w:fldChar w:fldCharType="begin"/>
      </w:r>
      <w:r w:rsidRPr="00083DAD" w:rsidR="00C40F33">
        <w:instrText xml:space="preserve"> REF griefs6 \h </w:instrText>
      </w:r>
      <w:r w:rsidRPr="00083DAD" w:rsidR="00C40F33">
        <w:fldChar w:fldCharType="separate"/>
      </w:r>
      <w:r w:rsidRPr="00083DAD" w:rsidR="00083DAD">
        <w:rPr>
          <w:noProof/>
        </w:rPr>
        <w:t>42</w:t>
      </w:r>
      <w:r w:rsidRPr="00083DAD" w:rsidR="00C40F33">
        <w:fldChar w:fldCharType="end"/>
      </w:r>
      <w:r w:rsidRPr="00083DAD">
        <w:t xml:space="preserve"> ci</w:t>
      </w:r>
      <w:r w:rsidRPr="00083DAD">
        <w:noBreakHyphen/>
        <w:t>dessus). La Cour observe que le requérant met en cause l</w:t>
      </w:r>
      <w:r w:rsidRPr="00083DAD" w:rsidR="00083DAD">
        <w:t>’</w:t>
      </w:r>
      <w:r w:rsidRPr="00083DAD">
        <w:t>impartialité de la juge S.L., et qu</w:t>
      </w:r>
      <w:r w:rsidRPr="00083DAD" w:rsidR="00083DAD">
        <w:t>’</w:t>
      </w:r>
      <w:r w:rsidRPr="00083DAD">
        <w:t>en contestant la procédure par laquelle cette question a été vérifiée, il met également en cause l</w:t>
      </w:r>
      <w:r w:rsidRPr="00083DAD" w:rsidR="00083DAD">
        <w:t>’</w:t>
      </w:r>
      <w:r w:rsidRPr="00083DAD">
        <w:t>impartialité de la juge C.A. (paragraphe</w:t>
      </w:r>
      <w:r w:rsidRPr="00083DAD" w:rsidR="0005301B">
        <w:t> </w:t>
      </w:r>
      <w:r w:rsidRPr="00083DAD" w:rsidR="00C40F33">
        <w:fldChar w:fldCharType="begin"/>
      </w:r>
      <w:r w:rsidRPr="00083DAD" w:rsidR="00C40F33">
        <w:instrText xml:space="preserve"> REF obsR_impartialité \h </w:instrText>
      </w:r>
      <w:r w:rsidRPr="00083DAD" w:rsidR="00C40F33">
        <w:fldChar w:fldCharType="separate"/>
      </w:r>
      <w:r w:rsidRPr="00083DAD" w:rsidR="00083DAD">
        <w:rPr>
          <w:noProof/>
        </w:rPr>
        <w:t>54</w:t>
      </w:r>
      <w:r w:rsidRPr="00083DAD" w:rsidR="00C40F33">
        <w:fldChar w:fldCharType="end"/>
      </w:r>
      <w:r w:rsidRPr="00083DAD">
        <w:t xml:space="preserve"> ci</w:t>
      </w:r>
      <w:r w:rsidRPr="00083DAD" w:rsidR="0005301B">
        <w:t>-</w:t>
      </w:r>
      <w:r w:rsidRPr="00083DAD">
        <w:t>dessus).</w:t>
      </w:r>
    </w:p>
    <w:p w:rsidRPr="00083DAD" w:rsidR="00CC31BB" w:rsidP="00083DAD">
      <w:pPr>
        <w:pStyle w:val="JuPara"/>
      </w:pPr>
      <w:r w:rsidRPr="00083DAD">
        <w:fldChar w:fldCharType="begin"/>
      </w:r>
      <w:r w:rsidRPr="00083DAD">
        <w:instrText xml:space="preserve"> SEQ level0 \*arabic </w:instrText>
      </w:r>
      <w:r w:rsidRPr="00083DAD">
        <w:fldChar w:fldCharType="separate"/>
      </w:r>
      <w:r w:rsidRPr="00083DAD" w:rsidR="00083DAD">
        <w:rPr>
          <w:noProof/>
        </w:rPr>
        <w:t>64</w:t>
      </w:r>
      <w:r w:rsidRPr="00083DAD">
        <w:fldChar w:fldCharType="end"/>
      </w:r>
      <w:r w:rsidRPr="00083DAD">
        <w:t>.  La Cour ne discerne aucun élément permettant de conclure à un défaut d</w:t>
      </w:r>
      <w:r w:rsidRPr="00083DAD" w:rsidR="00083DAD">
        <w:t>’</w:t>
      </w:r>
      <w:r w:rsidRPr="00083DAD">
        <w:t>impartialité subjective des deux juges. En effet, rien n</w:t>
      </w:r>
      <w:r w:rsidRPr="00083DAD" w:rsidR="00083DAD">
        <w:t>’</w:t>
      </w:r>
      <w:r w:rsidRPr="00083DAD">
        <w:t>indique que celles-ci aient fait preuve d</w:t>
      </w:r>
      <w:r w:rsidRPr="00083DAD" w:rsidR="00083DAD">
        <w:t>’</w:t>
      </w:r>
      <w:r w:rsidRPr="00083DAD">
        <w:t>hostilité ou de malveillance pour des raisons personnelles envers le requérant. À cet égard, la Cour prend note, comme le Gouvernement l</w:t>
      </w:r>
      <w:r w:rsidRPr="00083DAD" w:rsidR="00083DAD">
        <w:t>’</w:t>
      </w:r>
      <w:r w:rsidRPr="00083DAD">
        <w:t>invite à le faire (paragraphe</w:t>
      </w:r>
      <w:r w:rsidRPr="00083DAD" w:rsidR="0005301B">
        <w:t xml:space="preserve"> </w:t>
      </w:r>
      <w:r w:rsidRPr="00083DAD" w:rsidR="006059E7">
        <w:fldChar w:fldCharType="begin"/>
      </w:r>
      <w:r w:rsidRPr="00083DAD" w:rsidR="006059E7">
        <w:instrText xml:space="preserve"> REF obsGuvImpar \h </w:instrText>
      </w:r>
      <w:r w:rsidRPr="00083DAD" w:rsidR="006059E7">
        <w:fldChar w:fldCharType="separate"/>
      </w:r>
      <w:r w:rsidRPr="00083DAD" w:rsidR="00083DAD">
        <w:rPr>
          <w:noProof/>
        </w:rPr>
        <w:t>55</w:t>
      </w:r>
      <w:r w:rsidRPr="00083DAD" w:rsidR="006059E7">
        <w:fldChar w:fldCharType="end"/>
      </w:r>
      <w:r w:rsidRPr="00083DAD" w:rsidR="006059E7">
        <w:t xml:space="preserve"> </w:t>
      </w:r>
      <w:r w:rsidRPr="00083DAD">
        <w:t>ci-dessus), du fait que les deux juges ont partiellement accueilli l</w:t>
      </w:r>
      <w:r w:rsidRPr="00083DAD" w:rsidR="00083DAD">
        <w:t>’</w:t>
      </w:r>
      <w:r w:rsidRPr="00083DAD">
        <w:t>appel du requérant et ont réduit sa peine d</w:t>
      </w:r>
      <w:r w:rsidRPr="00083DAD" w:rsidR="00083DAD">
        <w:t>’</w:t>
      </w:r>
      <w:r w:rsidRPr="00083DAD">
        <w:t>emprisonnement (paragraphe</w:t>
      </w:r>
      <w:r w:rsidRPr="00083DAD" w:rsidR="0005301B">
        <w:t xml:space="preserve"> </w:t>
      </w:r>
      <w:r w:rsidRPr="00083DAD" w:rsidR="00336F4B">
        <w:fldChar w:fldCharType="begin"/>
      </w:r>
      <w:r w:rsidRPr="00083DAD" w:rsidR="00336F4B">
        <w:instrText xml:space="preserve"> REF arret_def_appel \h </w:instrText>
      </w:r>
      <w:r w:rsidRPr="00083DAD" w:rsidR="00336F4B">
        <w:fldChar w:fldCharType="separate"/>
      </w:r>
      <w:r w:rsidRPr="00083DAD" w:rsidR="00083DAD">
        <w:rPr>
          <w:noProof/>
        </w:rPr>
        <w:t>22</w:t>
      </w:r>
      <w:r w:rsidRPr="00083DAD" w:rsidR="00336F4B">
        <w:fldChar w:fldCharType="end"/>
      </w:r>
      <w:r w:rsidRPr="00083DAD">
        <w:t xml:space="preserve"> ci-dessus). Elle estime qu</w:t>
      </w:r>
      <w:r w:rsidRPr="00083DAD" w:rsidR="00083DAD">
        <w:t>’</w:t>
      </w:r>
      <w:r w:rsidRPr="00083DAD">
        <w:t>il convient plutôt d</w:t>
      </w:r>
      <w:r w:rsidRPr="00083DAD" w:rsidR="00083DAD">
        <w:t>’</w:t>
      </w:r>
      <w:r w:rsidRPr="00083DAD">
        <w:t xml:space="preserve">examiner le grief du requérant selon une démarche </w:t>
      </w:r>
      <w:r w:rsidRPr="00083DAD">
        <w:t>objective et de rechercher si les doutes de l</w:t>
      </w:r>
      <w:r w:rsidRPr="00083DAD" w:rsidR="00083DAD">
        <w:t>’</w:t>
      </w:r>
      <w:r w:rsidRPr="00083DAD">
        <w:t>intéressé étaient objectivement justifiés compte tenu des circonstances de l</w:t>
      </w:r>
      <w:r w:rsidRPr="00083DAD" w:rsidR="00083DAD">
        <w:t>’</w:t>
      </w:r>
      <w:r w:rsidRPr="00083DAD">
        <w:t>espèce.</w:t>
      </w:r>
    </w:p>
    <w:p w:rsidRPr="00083DAD" w:rsidR="00CC31BB" w:rsidP="00083DAD">
      <w:pPr>
        <w:pStyle w:val="JuPara"/>
      </w:pPr>
      <w:r w:rsidRPr="00083DAD">
        <w:fldChar w:fldCharType="begin"/>
      </w:r>
      <w:r w:rsidRPr="00083DAD">
        <w:instrText xml:space="preserve"> SEQ level0 \*arabic </w:instrText>
      </w:r>
      <w:r w:rsidRPr="00083DAD">
        <w:fldChar w:fldCharType="separate"/>
      </w:r>
      <w:r w:rsidRPr="00083DAD" w:rsidR="00083DAD">
        <w:rPr>
          <w:noProof/>
        </w:rPr>
        <w:t>65</w:t>
      </w:r>
      <w:r w:rsidRPr="00083DAD">
        <w:fldChar w:fldCharType="end"/>
      </w:r>
      <w:r w:rsidRPr="00083DAD">
        <w:t>.  S</w:t>
      </w:r>
      <w:r w:rsidRPr="00083DAD" w:rsidR="00083DAD">
        <w:t>’</w:t>
      </w:r>
      <w:r w:rsidRPr="00083DAD">
        <w:t>agissant de la juge S.L., la Cour note que sa déclaration d</w:t>
      </w:r>
      <w:r w:rsidRPr="00083DAD" w:rsidR="00083DAD">
        <w:t>’</w:t>
      </w:r>
      <w:r w:rsidRPr="00083DAD">
        <w:t>abstention était motivée par le fait qu</w:t>
      </w:r>
      <w:r w:rsidRPr="00083DAD" w:rsidR="00083DAD">
        <w:t>’</w:t>
      </w:r>
      <w:r w:rsidRPr="00083DAD">
        <w:t>elle connaissait le fils de la partie civile et que l</w:t>
      </w:r>
      <w:r w:rsidRPr="00083DAD" w:rsidR="00083DAD">
        <w:t>’</w:t>
      </w:r>
      <w:r w:rsidRPr="00083DAD">
        <w:t>avocat de cette dernière l</w:t>
      </w:r>
      <w:r w:rsidRPr="00083DAD" w:rsidR="00083DAD">
        <w:t>’</w:t>
      </w:r>
      <w:r w:rsidRPr="00083DAD">
        <w:t>avait représentée dans un procès civil (paragraphe</w:t>
      </w:r>
      <w:r w:rsidRPr="00083DAD" w:rsidR="0005301B">
        <w:t xml:space="preserve"> </w:t>
      </w:r>
      <w:r w:rsidRPr="00083DAD" w:rsidR="00F96CA7">
        <w:fldChar w:fldCharType="begin"/>
      </w:r>
      <w:r w:rsidRPr="00083DAD" w:rsidR="00F96CA7">
        <w:instrText xml:space="preserve"> REF declar_abstentionSL \h </w:instrText>
      </w:r>
      <w:r w:rsidRPr="00083DAD" w:rsidR="00F96CA7">
        <w:fldChar w:fldCharType="separate"/>
      </w:r>
      <w:r w:rsidRPr="00083DAD" w:rsidR="00083DAD">
        <w:rPr>
          <w:noProof/>
        </w:rPr>
        <w:t>18</w:t>
      </w:r>
      <w:r w:rsidRPr="00083DAD" w:rsidR="00F96CA7">
        <w:fldChar w:fldCharType="end"/>
      </w:r>
      <w:r w:rsidRPr="00083DAD">
        <w:t xml:space="preserve"> ci-dessus). Elle observe que les motifs indiqués par la juge S.L. ne font pas partie des cas d</w:t>
      </w:r>
      <w:r w:rsidRPr="00083DAD" w:rsidR="00083DAD">
        <w:t>’</w:t>
      </w:r>
      <w:r w:rsidRPr="00083DAD">
        <w:t>incompatibilité expressément prévus par l</w:t>
      </w:r>
      <w:r w:rsidRPr="00083DAD" w:rsidR="00083DAD">
        <w:t>’</w:t>
      </w:r>
      <w:r w:rsidRPr="00083DAD">
        <w:t>article 64 § 1 du CPP (paragraphe</w:t>
      </w:r>
      <w:r w:rsidRPr="00083DAD" w:rsidR="0005301B">
        <w:t xml:space="preserve"> </w:t>
      </w:r>
      <w:r w:rsidRPr="00083DAD" w:rsidR="00702AF6">
        <w:fldChar w:fldCharType="begin"/>
      </w:r>
      <w:r w:rsidRPr="00083DAD" w:rsidR="00702AF6">
        <w:instrText xml:space="preserve"> REF CPP \h </w:instrText>
      </w:r>
      <w:r w:rsidRPr="00083DAD" w:rsidR="00702AF6">
        <w:fldChar w:fldCharType="separate"/>
      </w:r>
      <w:r w:rsidRPr="00083DAD" w:rsidR="00083DAD">
        <w:rPr>
          <w:noProof/>
        </w:rPr>
        <w:t>27</w:t>
      </w:r>
      <w:r w:rsidRPr="00083DAD" w:rsidR="00702AF6">
        <w:fldChar w:fldCharType="end"/>
      </w:r>
      <w:r w:rsidRPr="00083DAD">
        <w:t xml:space="preserve"> ci-dessus). Elle prend également note de l</w:t>
      </w:r>
      <w:r w:rsidRPr="00083DAD" w:rsidR="00083DAD">
        <w:t>’</w:t>
      </w:r>
      <w:r w:rsidRPr="00083DAD">
        <w:t>argument du Gouvernement selon lequel la juge S.L. n</w:t>
      </w:r>
      <w:r w:rsidRPr="00083DAD" w:rsidR="00083DAD">
        <w:t>’</w:t>
      </w:r>
      <w:r w:rsidRPr="00083DAD">
        <w:t>avait pas fait état d</w:t>
      </w:r>
      <w:r w:rsidRPr="00083DAD" w:rsidR="00083DAD">
        <w:t>’</w:t>
      </w:r>
      <w:r w:rsidRPr="00083DAD">
        <w:t>un lien personnel ou professionnel direct et fort avec le fils de la partie civile ou avec l</w:t>
      </w:r>
      <w:r w:rsidRPr="00083DAD" w:rsidR="00083DAD">
        <w:t>’</w:t>
      </w:r>
      <w:r w:rsidRPr="00083DAD">
        <w:t>avocat de celle-ci (paragraphe</w:t>
      </w:r>
      <w:r w:rsidRPr="00083DAD" w:rsidR="0005301B">
        <w:t xml:space="preserve"> </w:t>
      </w:r>
      <w:r w:rsidRPr="00083DAD" w:rsidR="00FC1C77">
        <w:fldChar w:fldCharType="begin"/>
      </w:r>
      <w:r w:rsidRPr="00083DAD" w:rsidR="00FC1C77">
        <w:instrText xml:space="preserve"> REF obsGuvImpar \h </w:instrText>
      </w:r>
      <w:r w:rsidRPr="00083DAD" w:rsidR="00FC1C77">
        <w:fldChar w:fldCharType="separate"/>
      </w:r>
      <w:r w:rsidRPr="00083DAD" w:rsidR="00083DAD">
        <w:rPr>
          <w:noProof/>
        </w:rPr>
        <w:t>55</w:t>
      </w:r>
      <w:r w:rsidRPr="00083DAD" w:rsidR="00FC1C77">
        <w:fldChar w:fldCharType="end"/>
      </w:r>
      <w:r w:rsidRPr="00083DAD">
        <w:t xml:space="preserve"> ci-dessus). Elle en déduit que la juge S.L. avait plutôt fait sa demande par souci de précaution (voir, </w:t>
      </w:r>
      <w:r w:rsidRPr="00083DAD">
        <w:rPr>
          <w:i/>
        </w:rPr>
        <w:t>a contrario</w:t>
      </w:r>
      <w:r w:rsidRPr="00083DAD">
        <w:t xml:space="preserve">, </w:t>
      </w:r>
      <w:r w:rsidRPr="00083DAD">
        <w:rPr>
          <w:i/>
        </w:rPr>
        <w:t>Rudnichenko</w:t>
      </w:r>
      <w:r w:rsidRPr="00083DAD">
        <w:rPr>
          <w:i/>
        </w:rPr>
        <w:t xml:space="preserve"> c. Ukraine</w:t>
      </w:r>
      <w:r w:rsidRPr="00083DAD">
        <w:rPr>
          <w:snapToGrid w:val="0"/>
        </w:rPr>
        <w:t>, n</w:t>
      </w:r>
      <w:r w:rsidRPr="00083DAD">
        <w:rPr>
          <w:snapToGrid w:val="0"/>
          <w:vertAlign w:val="superscript"/>
        </w:rPr>
        <w:t>o</w:t>
      </w:r>
      <w:r w:rsidRPr="00083DAD">
        <w:rPr>
          <w:snapToGrid w:val="0"/>
        </w:rPr>
        <w:t xml:space="preserve"> 2775/07, §§ 36 et 116-117, 11 juillet</w:t>
      </w:r>
      <w:r w:rsidRPr="00083DAD" w:rsidR="00C80014">
        <w:rPr>
          <w:snapToGrid w:val="0"/>
        </w:rPr>
        <w:t xml:space="preserve"> </w:t>
      </w:r>
      <w:r w:rsidRPr="00083DAD">
        <w:rPr>
          <w:snapToGrid w:val="0"/>
        </w:rPr>
        <w:t>2013,</w:t>
      </w:r>
      <w:r w:rsidRPr="00083DAD">
        <w:t xml:space="preserve"> où le juge en cause avait motivé sa déclaration d</w:t>
      </w:r>
      <w:r w:rsidRPr="00083DAD" w:rsidR="00083DAD">
        <w:t>’</w:t>
      </w:r>
      <w:r w:rsidRPr="00083DAD">
        <w:t>abstention par le fait d</w:t>
      </w:r>
      <w:r w:rsidRPr="00083DAD" w:rsidR="00083DAD">
        <w:t>’</w:t>
      </w:r>
      <w:r w:rsidRPr="00083DAD">
        <w:t>avoir déjà exprimé son opinion sur l</w:t>
      </w:r>
      <w:r w:rsidRPr="00083DAD" w:rsidR="00083DAD">
        <w:t>’</w:t>
      </w:r>
      <w:r w:rsidRPr="00083DAD">
        <w:t>incident dans lequel le requérant avait été impliqué).</w:t>
      </w:r>
    </w:p>
    <w:p w:rsidRPr="00083DAD" w:rsidR="00CC31BB" w:rsidP="00083DAD">
      <w:pPr>
        <w:pStyle w:val="JuPara"/>
      </w:pPr>
      <w:r w:rsidRPr="00083DAD">
        <w:fldChar w:fldCharType="begin"/>
      </w:r>
      <w:r w:rsidRPr="00083DAD">
        <w:instrText xml:space="preserve"> SEQ level0 \*arabic </w:instrText>
      </w:r>
      <w:r w:rsidRPr="00083DAD">
        <w:fldChar w:fldCharType="separate"/>
      </w:r>
      <w:r w:rsidRPr="00083DAD" w:rsidR="00083DAD">
        <w:rPr>
          <w:noProof/>
        </w:rPr>
        <w:t>66</w:t>
      </w:r>
      <w:r w:rsidRPr="00083DAD">
        <w:fldChar w:fldCharType="end"/>
      </w:r>
      <w:r w:rsidRPr="00083DAD">
        <w:t>.  La Cour note ensuite que la demande d</w:t>
      </w:r>
      <w:r w:rsidRPr="00083DAD" w:rsidR="00083DAD">
        <w:t>’</w:t>
      </w:r>
      <w:r w:rsidRPr="00083DAD">
        <w:t>abstention a été examinée par une formation de deux juges de la cour d</w:t>
      </w:r>
      <w:r w:rsidRPr="00083DAD" w:rsidR="00083DAD">
        <w:t>’</w:t>
      </w:r>
      <w:r w:rsidRPr="00083DAD">
        <w:t>appel, qui l</w:t>
      </w:r>
      <w:r w:rsidRPr="00083DAD" w:rsidR="00083DAD">
        <w:t>’</w:t>
      </w:r>
      <w:r w:rsidRPr="00083DAD">
        <w:t>a rejetée au motif que la juge S.L. ne se trouvait pas dans l</w:t>
      </w:r>
      <w:r w:rsidRPr="00083DAD" w:rsidR="00083DAD">
        <w:t>’</w:t>
      </w:r>
      <w:r w:rsidRPr="00083DAD">
        <w:t>un des cas d</w:t>
      </w:r>
      <w:r w:rsidRPr="00083DAD" w:rsidR="00083DAD">
        <w:t>’</w:t>
      </w:r>
      <w:r w:rsidRPr="00083DAD">
        <w:t>incompatibilité prévus par le CPP et qu</w:t>
      </w:r>
      <w:r w:rsidRPr="00083DAD" w:rsidR="00083DAD">
        <w:t>’</w:t>
      </w:r>
      <w:r w:rsidRPr="00083DAD">
        <w:t>il n</w:t>
      </w:r>
      <w:r w:rsidRPr="00083DAD" w:rsidR="00083DAD">
        <w:t>’</w:t>
      </w:r>
      <w:r w:rsidRPr="00083DAD">
        <w:t>avait pas été prouvé qu</w:t>
      </w:r>
      <w:r w:rsidRPr="00083DAD" w:rsidR="00083DAD">
        <w:t>’</w:t>
      </w:r>
      <w:r w:rsidRPr="00083DAD">
        <w:t>elle avait un intérêt en l</w:t>
      </w:r>
      <w:r w:rsidRPr="00083DAD" w:rsidR="00083DAD">
        <w:t>’</w:t>
      </w:r>
      <w:r w:rsidRPr="00083DAD">
        <w:t>espèce (paragraphe</w:t>
      </w:r>
      <w:r w:rsidRPr="00083DAD" w:rsidR="0005301B">
        <w:t> </w:t>
      </w:r>
      <w:r w:rsidRPr="00083DAD" w:rsidR="009843E9">
        <w:fldChar w:fldCharType="begin"/>
      </w:r>
      <w:r w:rsidRPr="00083DAD" w:rsidR="009843E9">
        <w:instrText xml:space="preserve"> REF declar_abstentionSL \h </w:instrText>
      </w:r>
      <w:r w:rsidRPr="00083DAD" w:rsidR="009843E9">
        <w:fldChar w:fldCharType="separate"/>
      </w:r>
      <w:r w:rsidRPr="00083DAD" w:rsidR="00083DAD">
        <w:rPr>
          <w:noProof/>
        </w:rPr>
        <w:t>18</w:t>
      </w:r>
      <w:r w:rsidRPr="00083DAD" w:rsidR="009843E9">
        <w:fldChar w:fldCharType="end"/>
      </w:r>
      <w:r w:rsidRPr="00083DAD" w:rsidR="009843E9">
        <w:t xml:space="preserve"> </w:t>
      </w:r>
      <w:r w:rsidRPr="00083DAD">
        <w:t xml:space="preserve">ci-dessus). Elle ne voit pas de raison de remettre en cause ces constats (voir, </w:t>
      </w:r>
      <w:r w:rsidRPr="00083DAD">
        <w:rPr>
          <w:i/>
        </w:rPr>
        <w:t>mutatis mutandis</w:t>
      </w:r>
      <w:r w:rsidRPr="00083DAD">
        <w:t xml:space="preserve">, </w:t>
      </w:r>
      <w:r w:rsidRPr="00083DAD">
        <w:rPr>
          <w:i/>
        </w:rPr>
        <w:t>Ilie c. Roumanie</w:t>
      </w:r>
      <w:r w:rsidRPr="00083DAD">
        <w:t>, (déc.) [Comité], n</w:t>
      </w:r>
      <w:r w:rsidRPr="00083DAD">
        <w:rPr>
          <w:vertAlign w:val="superscript"/>
        </w:rPr>
        <w:t>o</w:t>
      </w:r>
      <w:r w:rsidRPr="00083DAD">
        <w:t> 26220/10, § 45, 3 septembre 2019</w:t>
      </w:r>
      <w:r w:rsidRPr="00083DAD" w:rsidR="00594F5A">
        <w:t>,</w:t>
      </w:r>
      <w:r w:rsidRPr="00083DAD">
        <w:t xml:space="preserve"> et </w:t>
      </w:r>
      <w:r w:rsidRPr="00083DAD">
        <w:rPr>
          <w:i/>
        </w:rPr>
        <w:t>Gogan</w:t>
      </w:r>
      <w:r w:rsidRPr="00083DAD">
        <w:rPr>
          <w:i/>
        </w:rPr>
        <w:t xml:space="preserve"> c. Roumanie</w:t>
      </w:r>
      <w:r w:rsidRPr="00083DAD">
        <w:t>, (déc.) [Comité], n</w:t>
      </w:r>
      <w:r w:rsidRPr="00083DAD">
        <w:rPr>
          <w:vertAlign w:val="superscript"/>
        </w:rPr>
        <w:t>o</w:t>
      </w:r>
      <w:r w:rsidRPr="00083DAD">
        <w:t xml:space="preserve"> 41059/11, §§ 36-38, 1</w:t>
      </w:r>
      <w:r w:rsidRPr="00083DAD">
        <w:rPr>
          <w:vertAlign w:val="superscript"/>
        </w:rPr>
        <w:t>er</w:t>
      </w:r>
      <w:r w:rsidRPr="00083DAD">
        <w:t xml:space="preserve"> octobre 2019, s</w:t>
      </w:r>
      <w:r w:rsidRPr="00083DAD" w:rsidR="00083DAD">
        <w:t>’</w:t>
      </w:r>
      <w:r w:rsidRPr="00083DAD">
        <w:t>agissant d</w:t>
      </w:r>
      <w:r w:rsidRPr="00083DAD" w:rsidR="00083DAD">
        <w:t>’</w:t>
      </w:r>
      <w:r w:rsidRPr="00083DAD">
        <w:t>un prétendu défaut d</w:t>
      </w:r>
      <w:r w:rsidRPr="00083DAD" w:rsidR="00083DAD">
        <w:t>’</w:t>
      </w:r>
      <w:r w:rsidRPr="00083DAD">
        <w:t>impartialité dans le cadre de procédures civiles). La Cour prend note de l</w:t>
      </w:r>
      <w:r w:rsidRPr="00083DAD" w:rsidR="00083DAD">
        <w:t>’</w:t>
      </w:r>
      <w:r w:rsidRPr="00083DAD">
        <w:t>argument du requérant selon lequel cette formation n</w:t>
      </w:r>
      <w:r w:rsidRPr="00083DAD" w:rsidR="00083DAD">
        <w:t>’</w:t>
      </w:r>
      <w:r w:rsidRPr="00083DAD">
        <w:t>a pas procédé à ses propres vérifications et n</w:t>
      </w:r>
      <w:r w:rsidRPr="00083DAD" w:rsidR="00083DAD">
        <w:t>’</w:t>
      </w:r>
      <w:r w:rsidRPr="00083DAD">
        <w:t>a pas entendu la juge S.L. (paragraphe</w:t>
      </w:r>
      <w:r w:rsidRPr="00083DAD" w:rsidR="0005301B">
        <w:t> </w:t>
      </w:r>
      <w:r w:rsidRPr="00083DAD" w:rsidR="00FC1C77">
        <w:fldChar w:fldCharType="begin"/>
      </w:r>
      <w:r w:rsidRPr="00083DAD" w:rsidR="00FC1C77">
        <w:instrText xml:space="preserve"> REF obsR_impartialité \h </w:instrText>
      </w:r>
      <w:r w:rsidRPr="00083DAD" w:rsidR="00FC1C77">
        <w:fldChar w:fldCharType="separate"/>
      </w:r>
      <w:r w:rsidRPr="00083DAD" w:rsidR="00083DAD">
        <w:rPr>
          <w:noProof/>
        </w:rPr>
        <w:t>54</w:t>
      </w:r>
      <w:r w:rsidRPr="00083DAD" w:rsidR="00FC1C77">
        <w:fldChar w:fldCharType="end"/>
      </w:r>
      <w:r w:rsidRPr="00083DAD">
        <w:t xml:space="preserve"> ci-dessus). Toutefois, elle observe que l</w:t>
      </w:r>
      <w:r w:rsidRPr="00083DAD" w:rsidR="00083DAD">
        <w:t>’</w:t>
      </w:r>
      <w:r w:rsidRPr="00083DAD">
        <w:t>article 68 du CPP donne la possibilité à la formation de jugement de procéder à des vérifications supplémentaires lorsqu</w:t>
      </w:r>
      <w:r w:rsidRPr="00083DAD" w:rsidR="00083DAD">
        <w:t>’</w:t>
      </w:r>
      <w:r w:rsidRPr="00083DAD">
        <w:t>elle estime qu</w:t>
      </w:r>
      <w:r w:rsidRPr="00083DAD" w:rsidR="00083DAD">
        <w:t>’</w:t>
      </w:r>
      <w:r w:rsidRPr="00083DAD">
        <w:t>elles sont nécessaires (paragraphe</w:t>
      </w:r>
      <w:r w:rsidRPr="00083DAD" w:rsidR="0005301B">
        <w:t> </w:t>
      </w:r>
      <w:r w:rsidRPr="00083DAD" w:rsidR="00FC1C77">
        <w:fldChar w:fldCharType="begin"/>
      </w:r>
      <w:r w:rsidRPr="00083DAD" w:rsidR="00FC1C77">
        <w:instrText xml:space="preserve"> REF CPP \h </w:instrText>
      </w:r>
      <w:r w:rsidRPr="00083DAD" w:rsidR="00FC1C77">
        <w:fldChar w:fldCharType="separate"/>
      </w:r>
      <w:r w:rsidRPr="00083DAD" w:rsidR="00083DAD">
        <w:rPr>
          <w:noProof/>
        </w:rPr>
        <w:t>27</w:t>
      </w:r>
      <w:r w:rsidRPr="00083DAD" w:rsidR="00FC1C77">
        <w:fldChar w:fldCharType="end"/>
      </w:r>
      <w:r w:rsidRPr="00083DAD">
        <w:t xml:space="preserve"> ci-dessus). En l</w:t>
      </w:r>
      <w:r w:rsidRPr="00083DAD" w:rsidR="00083DAD">
        <w:t>’</w:t>
      </w:r>
      <w:r w:rsidRPr="00083DAD">
        <w:t>espèce, la formation de jugement n</w:t>
      </w:r>
      <w:r w:rsidRPr="00083DAD" w:rsidR="00083DAD">
        <w:t>’</w:t>
      </w:r>
      <w:r w:rsidRPr="00083DAD">
        <w:t xml:space="preserve">a pas estimé que de telles vérifications </w:t>
      </w:r>
      <w:r w:rsidRPr="00083DAD">
        <w:t>étaient</w:t>
      </w:r>
      <w:r w:rsidRPr="00083DAD">
        <w:t xml:space="preserve"> nécessaires, et la Cour ne dispose pas d</w:t>
      </w:r>
      <w:r w:rsidRPr="00083DAD" w:rsidR="00083DAD">
        <w:t>’</w:t>
      </w:r>
      <w:r w:rsidRPr="00083DAD">
        <w:t>éléments pour censurer cette décision. D</w:t>
      </w:r>
      <w:r w:rsidRPr="00083DAD" w:rsidR="00083DAD">
        <w:t>’</w:t>
      </w:r>
      <w:r w:rsidRPr="00083DAD">
        <w:t>ailleurs, le requérant n</w:t>
      </w:r>
      <w:r w:rsidRPr="00083DAD" w:rsidR="00083DAD">
        <w:t>’</w:t>
      </w:r>
      <w:r w:rsidRPr="00083DAD">
        <w:t>a pas établi quelles vérifications auraient pu être nécessaires en l</w:t>
      </w:r>
      <w:r w:rsidRPr="00083DAD" w:rsidR="00083DAD">
        <w:t>’</w:t>
      </w:r>
      <w:r w:rsidRPr="00083DAD">
        <w:t>espèce et quels éléments supplémentaires celles-ci auraient pu apporter à la lumière de la nature des motifs invoqués par la juge S.L., et notamment eu égard au fait que cette dernière n</w:t>
      </w:r>
      <w:r w:rsidRPr="00083DAD" w:rsidR="00083DAD">
        <w:t>’</w:t>
      </w:r>
      <w:r w:rsidRPr="00083DAD">
        <w:t>a pas soutenu qu</w:t>
      </w:r>
      <w:r w:rsidRPr="00083DAD" w:rsidR="00083DAD">
        <w:t>’</w:t>
      </w:r>
      <w:r w:rsidRPr="00083DAD">
        <w:t>elle avait des liens personnels ou professionnels directs et forts avec le fils de la partie civile et avec l</w:t>
      </w:r>
      <w:r w:rsidRPr="00083DAD" w:rsidR="00083DAD">
        <w:t>’</w:t>
      </w:r>
      <w:r w:rsidRPr="00083DAD">
        <w:t>avocat de celle-ci.</w:t>
      </w:r>
    </w:p>
    <w:p w:rsidRPr="00083DAD" w:rsidR="00CC31BB" w:rsidP="00083DAD">
      <w:pPr>
        <w:pStyle w:val="JuPara"/>
      </w:pPr>
      <w:r w:rsidRPr="00083DAD">
        <w:fldChar w:fldCharType="begin"/>
      </w:r>
      <w:r w:rsidRPr="00083DAD">
        <w:instrText xml:space="preserve"> SEQ level0 \*arabic </w:instrText>
      </w:r>
      <w:r w:rsidRPr="00083DAD">
        <w:fldChar w:fldCharType="separate"/>
      </w:r>
      <w:r w:rsidRPr="00083DAD" w:rsidR="00083DAD">
        <w:rPr>
          <w:noProof/>
        </w:rPr>
        <w:t>67</w:t>
      </w:r>
      <w:r w:rsidRPr="00083DAD">
        <w:fldChar w:fldCharType="end"/>
      </w:r>
      <w:r w:rsidRPr="00083DAD">
        <w:t>.  Enfin, s</w:t>
      </w:r>
      <w:r w:rsidRPr="00083DAD" w:rsidR="00083DAD">
        <w:t>’</w:t>
      </w:r>
      <w:r w:rsidRPr="00083DAD">
        <w:t>agissant de l</w:t>
      </w:r>
      <w:r w:rsidRPr="00083DAD" w:rsidR="00083DAD">
        <w:t>’</w:t>
      </w:r>
      <w:r w:rsidRPr="00083DAD">
        <w:t>impartialité objective de la juge C.A., qui a fait partie de la formation de jugement ayant examiné la demande d</w:t>
      </w:r>
      <w:r w:rsidRPr="00083DAD" w:rsidR="00083DAD">
        <w:t>’</w:t>
      </w:r>
      <w:r w:rsidRPr="00083DAD">
        <w:t>abstention de la juge S.L. et qui s</w:t>
      </w:r>
      <w:r w:rsidRPr="00083DAD" w:rsidR="00083DAD">
        <w:t>’</w:t>
      </w:r>
      <w:r w:rsidRPr="00083DAD">
        <w:t>est ensuite prononcée sur le fond en l</w:t>
      </w:r>
      <w:r w:rsidRPr="00083DAD" w:rsidR="00083DAD">
        <w:t>’</w:t>
      </w:r>
      <w:r w:rsidRPr="00083DAD">
        <w:t>affaire, la Cour ne peut pas retenir l</w:t>
      </w:r>
      <w:r w:rsidRPr="00083DAD" w:rsidR="00083DAD">
        <w:t>’</w:t>
      </w:r>
      <w:r w:rsidRPr="00083DAD">
        <w:t>argument du requérant selon lequel la demande d</w:t>
      </w:r>
      <w:r w:rsidRPr="00083DAD" w:rsidR="00083DAD">
        <w:t>’</w:t>
      </w:r>
      <w:r w:rsidRPr="00083DAD">
        <w:t xml:space="preserve">abstention a été examinée en méconnaissance des dispositions légales </w:t>
      </w:r>
      <w:r w:rsidRPr="00083DAD">
        <w:t>(paragraphe</w:t>
      </w:r>
      <w:r w:rsidRPr="00083DAD" w:rsidR="0005301B">
        <w:t> </w:t>
      </w:r>
      <w:r w:rsidRPr="00083DAD" w:rsidR="000B76DD">
        <w:fldChar w:fldCharType="begin"/>
      </w:r>
      <w:r w:rsidRPr="00083DAD" w:rsidR="000B76DD">
        <w:instrText xml:space="preserve"> REF obsR_impartialité \h </w:instrText>
      </w:r>
      <w:r w:rsidRPr="00083DAD" w:rsidR="000B76DD">
        <w:fldChar w:fldCharType="separate"/>
      </w:r>
      <w:r w:rsidRPr="00083DAD" w:rsidR="00083DAD">
        <w:rPr>
          <w:noProof/>
        </w:rPr>
        <w:t>54</w:t>
      </w:r>
      <w:r w:rsidRPr="00083DAD" w:rsidR="000B76DD">
        <w:fldChar w:fldCharType="end"/>
      </w:r>
      <w:r w:rsidRPr="00083DAD">
        <w:t xml:space="preserve"> ci-dessus). En effet, elle observe que la juge C.A. a siégé en application des dispositions du CPP et du règlement d</w:t>
      </w:r>
      <w:r w:rsidRPr="00083DAD" w:rsidR="00083DAD">
        <w:t>’</w:t>
      </w:r>
      <w:r w:rsidRPr="00083DAD">
        <w:t>ordre intérieur des tribunaux qui prévoient que la demande d</w:t>
      </w:r>
      <w:r w:rsidRPr="00083DAD" w:rsidR="00083DAD">
        <w:t>’</w:t>
      </w:r>
      <w:r w:rsidRPr="00083DAD">
        <w:t>abstention est examinée par une autre formation de jugement comprenant dans sa composition le ou les juges indiqués dans le planning de permanence (paragraphes</w:t>
      </w:r>
      <w:r w:rsidRPr="00083DAD" w:rsidR="0005301B">
        <w:t xml:space="preserve"> </w:t>
      </w:r>
      <w:r w:rsidRPr="00083DAD" w:rsidR="000B76DD">
        <w:fldChar w:fldCharType="begin"/>
      </w:r>
      <w:r w:rsidRPr="00083DAD" w:rsidR="000B76DD">
        <w:instrText xml:space="preserve"> REF CPP \h </w:instrText>
      </w:r>
      <w:r w:rsidRPr="00083DAD" w:rsidR="000B76DD">
        <w:fldChar w:fldCharType="separate"/>
      </w:r>
      <w:r w:rsidRPr="00083DAD" w:rsidR="00083DAD">
        <w:rPr>
          <w:noProof/>
        </w:rPr>
        <w:t>27</w:t>
      </w:r>
      <w:r w:rsidRPr="00083DAD" w:rsidR="000B76DD">
        <w:fldChar w:fldCharType="end"/>
      </w:r>
      <w:r w:rsidRPr="00083DAD" w:rsidR="0005301B">
        <w:t xml:space="preserve"> et </w:t>
      </w:r>
      <w:r w:rsidRPr="00083DAD" w:rsidR="000B76DD">
        <w:fldChar w:fldCharType="begin"/>
      </w:r>
      <w:r w:rsidRPr="00083DAD" w:rsidR="000B76DD">
        <w:instrText xml:space="preserve"> REF ROI_tribunaux \h </w:instrText>
      </w:r>
      <w:r w:rsidRPr="00083DAD" w:rsidR="000B76DD">
        <w:fldChar w:fldCharType="separate"/>
      </w:r>
      <w:r w:rsidRPr="00083DAD" w:rsidR="00083DAD">
        <w:rPr>
          <w:noProof/>
        </w:rPr>
        <w:t>28</w:t>
      </w:r>
      <w:r w:rsidRPr="00083DAD" w:rsidR="000B76DD">
        <w:fldChar w:fldCharType="end"/>
      </w:r>
      <w:r w:rsidRPr="00083DAD">
        <w:t xml:space="preserve"> ci</w:t>
      </w:r>
      <w:r w:rsidRPr="00083DAD" w:rsidR="0005301B">
        <w:t>-</w:t>
      </w:r>
      <w:r w:rsidRPr="00083DAD">
        <w:t>dessus). La Cour ne saurait retenir non plus, comme le requérant semble l</w:t>
      </w:r>
      <w:r w:rsidRPr="00083DAD" w:rsidR="00083DAD">
        <w:t>’</w:t>
      </w:r>
      <w:r w:rsidRPr="00083DAD">
        <w:t>y inviter (paragraphe</w:t>
      </w:r>
      <w:r w:rsidRPr="00083DAD" w:rsidR="0005301B">
        <w:t> </w:t>
      </w:r>
      <w:r w:rsidRPr="00083DAD" w:rsidR="000B76DD">
        <w:fldChar w:fldCharType="begin"/>
      </w:r>
      <w:r w:rsidRPr="00083DAD" w:rsidR="000B76DD">
        <w:instrText xml:space="preserve"> REF obsR_impartialité \h </w:instrText>
      </w:r>
      <w:r w:rsidRPr="00083DAD" w:rsidR="000B76DD">
        <w:fldChar w:fldCharType="separate"/>
      </w:r>
      <w:r w:rsidRPr="00083DAD" w:rsidR="00083DAD">
        <w:rPr>
          <w:noProof/>
        </w:rPr>
        <w:t>54</w:t>
      </w:r>
      <w:r w:rsidRPr="00083DAD" w:rsidR="000B76DD">
        <w:fldChar w:fldCharType="end"/>
      </w:r>
      <w:r w:rsidRPr="00083DAD" w:rsidR="009843E9">
        <w:t xml:space="preserve"> </w:t>
      </w:r>
      <w:r w:rsidRPr="00083DAD">
        <w:t>ci</w:t>
      </w:r>
      <w:r w:rsidRPr="00083DAD" w:rsidR="0005301B">
        <w:t>-</w:t>
      </w:r>
      <w:r w:rsidRPr="00083DAD">
        <w:t>dessus), que la simple circonstance que la juge C.A. devait ensuite examiner le fond des accusations portées contre l</w:t>
      </w:r>
      <w:r w:rsidRPr="00083DAD" w:rsidR="00083DAD">
        <w:t>’</w:t>
      </w:r>
      <w:r w:rsidRPr="00083DAD">
        <w:t>intéressé créait, dans son chef, un intérêt en l</w:t>
      </w:r>
      <w:r w:rsidRPr="00083DAD" w:rsidR="00083DAD">
        <w:t>’</w:t>
      </w:r>
      <w:r w:rsidRPr="00083DAD">
        <w:t>affaire justifiant, de manière objective, de remettre en cause son impartialité.</w:t>
      </w:r>
    </w:p>
    <w:p w:rsidRPr="00083DAD" w:rsidR="00CC31BB" w:rsidP="00083DAD">
      <w:pPr>
        <w:pStyle w:val="JuPara"/>
      </w:pPr>
      <w:r w:rsidRPr="00083DAD">
        <w:fldChar w:fldCharType="begin"/>
      </w:r>
      <w:r w:rsidRPr="00083DAD">
        <w:instrText xml:space="preserve"> SEQ level0 \*arabic </w:instrText>
      </w:r>
      <w:r w:rsidRPr="00083DAD">
        <w:fldChar w:fldCharType="separate"/>
      </w:r>
      <w:r w:rsidRPr="00083DAD" w:rsidR="00083DAD">
        <w:rPr>
          <w:noProof/>
        </w:rPr>
        <w:t>68</w:t>
      </w:r>
      <w:r w:rsidRPr="00083DAD">
        <w:fldChar w:fldCharType="end"/>
      </w:r>
      <w:r w:rsidRPr="00083DAD">
        <w:t>.  Compte tenu de ces éléments, la Cour conclut que les doutes que le requérant pouvait entretenir quant à l</w:t>
      </w:r>
      <w:r w:rsidRPr="00083DAD" w:rsidR="00083DAD">
        <w:t>’</w:t>
      </w:r>
      <w:r w:rsidRPr="00083DAD">
        <w:t>impartialité de la formation de jugement en appel ne sont pas objectivement justifiés.</w:t>
      </w:r>
    </w:p>
    <w:bookmarkStart w:name="par68" w:id="32"/>
    <w:p w:rsidRPr="00083DAD" w:rsidR="00CC31BB" w:rsidP="00083DAD">
      <w:pPr>
        <w:pStyle w:val="JuPara"/>
      </w:pPr>
      <w:r w:rsidRPr="00083DAD">
        <w:fldChar w:fldCharType="begin"/>
      </w:r>
      <w:r w:rsidRPr="00083DAD">
        <w:instrText xml:space="preserve"> SEQ level0 \*arabic </w:instrText>
      </w:r>
      <w:r w:rsidRPr="00083DAD">
        <w:fldChar w:fldCharType="separate"/>
      </w:r>
      <w:r w:rsidRPr="00083DAD" w:rsidR="00083DAD">
        <w:rPr>
          <w:noProof/>
        </w:rPr>
        <w:t>69</w:t>
      </w:r>
      <w:r w:rsidRPr="00083DAD">
        <w:fldChar w:fldCharType="end"/>
      </w:r>
      <w:bookmarkEnd w:id="32"/>
      <w:r w:rsidRPr="00083DAD">
        <w:t>.  Partant, il n</w:t>
      </w:r>
      <w:r w:rsidRPr="00083DAD" w:rsidR="00083DAD">
        <w:t>’</w:t>
      </w:r>
      <w:r w:rsidRPr="00083DAD">
        <w:t>y a pas eu violation de l</w:t>
      </w:r>
      <w:r w:rsidRPr="00083DAD" w:rsidR="00083DAD">
        <w:t>’</w:t>
      </w:r>
      <w:r w:rsidRPr="00083DAD">
        <w:t>article 6 § 1 de la Convention.</w:t>
      </w:r>
    </w:p>
    <w:p w:rsidRPr="00083DAD" w:rsidR="00CC31BB" w:rsidP="00083DAD">
      <w:pPr>
        <w:pStyle w:val="JuHA"/>
        <w:keepNext w:val="0"/>
        <w:keepLines w:val="0"/>
        <w:numPr>
          <w:ilvl w:val="2"/>
          <w:numId w:val="21"/>
        </w:numPr>
        <w:jc w:val="both"/>
        <w:rPr>
          <w:lang w:val="fr-FR"/>
        </w:rPr>
      </w:pPr>
      <w:r w:rsidRPr="00083DAD">
        <w:rPr>
          <w:lang w:val="fr-FR"/>
        </w:rPr>
        <w:t>Sur le défaut d</w:t>
      </w:r>
      <w:r w:rsidRPr="00083DAD" w:rsidR="00083DAD">
        <w:rPr>
          <w:lang w:val="fr-FR"/>
        </w:rPr>
        <w:t>’</w:t>
      </w:r>
      <w:r w:rsidRPr="00083DAD">
        <w:rPr>
          <w:lang w:val="fr-FR"/>
        </w:rPr>
        <w:t>audition du témoin K.I.</w:t>
      </w:r>
    </w:p>
    <w:p w:rsidRPr="00083DAD" w:rsidR="00CC31BB" w:rsidP="00083DAD">
      <w:pPr>
        <w:pStyle w:val="JuPara"/>
      </w:pPr>
      <w:r w:rsidRPr="00083DAD">
        <w:fldChar w:fldCharType="begin"/>
      </w:r>
      <w:r w:rsidRPr="00083DAD">
        <w:instrText xml:space="preserve"> SEQ level0 \*arabic </w:instrText>
      </w:r>
      <w:r w:rsidRPr="00083DAD">
        <w:fldChar w:fldCharType="separate"/>
      </w:r>
      <w:r w:rsidRPr="00083DAD" w:rsidR="00083DAD">
        <w:rPr>
          <w:noProof/>
        </w:rPr>
        <w:t>70</w:t>
      </w:r>
      <w:r w:rsidRPr="00083DAD">
        <w:fldChar w:fldCharType="end"/>
      </w:r>
      <w:r w:rsidRPr="00083DAD">
        <w:t>.  Le requérant considère que l</w:t>
      </w:r>
      <w:r w:rsidRPr="00083DAD" w:rsidR="00083DAD">
        <w:t>’</w:t>
      </w:r>
      <w:r w:rsidRPr="00083DAD">
        <w:t>impossibilité d</w:t>
      </w:r>
      <w:r w:rsidRPr="00083DAD" w:rsidR="00083DAD">
        <w:t>’</w:t>
      </w:r>
      <w:r w:rsidRPr="00083DAD">
        <w:t>examiner le témoin K.I. lors des débats a rendu inéquitable son procès.</w:t>
      </w:r>
    </w:p>
    <w:p w:rsidRPr="00083DAD" w:rsidR="00CC31BB" w:rsidP="00083DAD">
      <w:pPr>
        <w:pStyle w:val="JuH1"/>
        <w:keepNext w:val="0"/>
        <w:keepLines w:val="0"/>
        <w:numPr>
          <w:ilvl w:val="3"/>
          <w:numId w:val="21"/>
        </w:numPr>
        <w:jc w:val="both"/>
        <w:rPr>
          <w:lang w:val="fr-FR"/>
        </w:rPr>
      </w:pPr>
      <w:r w:rsidRPr="00083DAD">
        <w:rPr>
          <w:lang w:val="fr-FR"/>
        </w:rPr>
        <w:t>Sur la recevabilité</w:t>
      </w:r>
    </w:p>
    <w:p w:rsidRPr="00083DAD" w:rsidR="00CC31BB" w:rsidP="00083DAD">
      <w:pPr>
        <w:pStyle w:val="JuPara"/>
      </w:pPr>
      <w:r w:rsidRPr="00083DAD">
        <w:fldChar w:fldCharType="begin"/>
      </w:r>
      <w:r w:rsidRPr="00083DAD">
        <w:instrText xml:space="preserve"> SEQ level0 \*arabic </w:instrText>
      </w:r>
      <w:r w:rsidRPr="00083DAD">
        <w:fldChar w:fldCharType="separate"/>
      </w:r>
      <w:r w:rsidRPr="00083DAD" w:rsidR="00083DAD">
        <w:rPr>
          <w:noProof/>
        </w:rPr>
        <w:t>71</w:t>
      </w:r>
      <w:r w:rsidRPr="00083DAD">
        <w:fldChar w:fldCharType="end"/>
      </w:r>
      <w:r w:rsidRPr="00083DAD">
        <w:t>.  Constatant que cette branche du grief n</w:t>
      </w:r>
      <w:r w:rsidRPr="00083DAD" w:rsidR="00083DAD">
        <w:t>’</w:t>
      </w:r>
      <w:r w:rsidRPr="00083DAD">
        <w:t>est pas manifestement mal fondée au sens de l</w:t>
      </w:r>
      <w:r w:rsidRPr="00083DAD" w:rsidR="00083DAD">
        <w:t>’</w:t>
      </w:r>
      <w:r w:rsidRPr="00083DAD">
        <w:t>article</w:t>
      </w:r>
      <w:r w:rsidRPr="00083DAD" w:rsidR="0005301B">
        <w:t xml:space="preserve"> </w:t>
      </w:r>
      <w:r w:rsidRPr="00083DAD">
        <w:t>35</w:t>
      </w:r>
      <w:r w:rsidRPr="00083DAD" w:rsidR="0005301B">
        <w:t xml:space="preserve"> </w:t>
      </w:r>
      <w:r w:rsidRPr="00083DAD">
        <w:t>§</w:t>
      </w:r>
      <w:r w:rsidRPr="00083DAD" w:rsidR="0005301B">
        <w:t xml:space="preserve"> </w:t>
      </w:r>
      <w:r w:rsidRPr="00083DAD">
        <w:t>3</w:t>
      </w:r>
      <w:r w:rsidRPr="00083DAD" w:rsidR="0005301B">
        <w:t xml:space="preserve"> </w:t>
      </w:r>
      <w:r w:rsidRPr="00083DAD">
        <w:t>a) de la Convention et qu</w:t>
      </w:r>
      <w:r w:rsidRPr="00083DAD" w:rsidR="00083DAD">
        <w:t>’</w:t>
      </w:r>
      <w:r w:rsidRPr="00083DAD">
        <w:t>elle ne se heurte par ailleurs à aucun autre motif d</w:t>
      </w:r>
      <w:r w:rsidRPr="00083DAD" w:rsidR="00083DAD">
        <w:t>’</w:t>
      </w:r>
      <w:r w:rsidRPr="00083DAD">
        <w:t>irrecevabilité, la Cour la déclare recevable.</w:t>
      </w:r>
    </w:p>
    <w:p w:rsidRPr="00083DAD" w:rsidR="00CC31BB" w:rsidP="00083DAD">
      <w:pPr>
        <w:pStyle w:val="JuH1"/>
        <w:keepNext w:val="0"/>
        <w:keepLines w:val="0"/>
        <w:numPr>
          <w:ilvl w:val="3"/>
          <w:numId w:val="21"/>
        </w:numPr>
        <w:jc w:val="both"/>
        <w:rPr>
          <w:lang w:val="fr-FR"/>
        </w:rPr>
      </w:pPr>
      <w:r w:rsidRPr="00083DAD">
        <w:rPr>
          <w:lang w:val="fr-FR"/>
        </w:rPr>
        <w:t>Sur le fond</w:t>
      </w:r>
    </w:p>
    <w:p w:rsidRPr="00083DAD" w:rsidR="00CC31BB" w:rsidP="00083DAD">
      <w:pPr>
        <w:pStyle w:val="JuHa0"/>
        <w:keepNext w:val="0"/>
        <w:keepLines w:val="0"/>
        <w:numPr>
          <w:ilvl w:val="4"/>
          <w:numId w:val="21"/>
        </w:numPr>
        <w:jc w:val="both"/>
        <w:rPr>
          <w:lang w:val="fr-FR"/>
        </w:rPr>
      </w:pPr>
      <w:r w:rsidRPr="00083DAD">
        <w:rPr>
          <w:lang w:val="fr-FR"/>
        </w:rPr>
        <w:t>Thèses des parties</w:t>
      </w:r>
    </w:p>
    <w:bookmarkStart w:name="obsR_témoin" w:id="33"/>
    <w:p w:rsidRPr="00083DAD" w:rsidR="00CC31BB" w:rsidP="00083DAD">
      <w:pPr>
        <w:pStyle w:val="JuPara"/>
      </w:pPr>
      <w:r w:rsidRPr="00083DAD">
        <w:fldChar w:fldCharType="begin"/>
      </w:r>
      <w:r w:rsidRPr="00083DAD">
        <w:instrText xml:space="preserve"> SEQ level0 \*arabic </w:instrText>
      </w:r>
      <w:r w:rsidRPr="00083DAD">
        <w:fldChar w:fldCharType="separate"/>
      </w:r>
      <w:r w:rsidRPr="00083DAD" w:rsidR="00083DAD">
        <w:rPr>
          <w:noProof/>
        </w:rPr>
        <w:t>72</w:t>
      </w:r>
      <w:r w:rsidRPr="00083DAD">
        <w:fldChar w:fldCharType="end"/>
      </w:r>
      <w:bookmarkEnd w:id="33"/>
      <w:r w:rsidRPr="00083DAD">
        <w:t>.  Le requérant soutient que les tribunaux n</w:t>
      </w:r>
      <w:r w:rsidRPr="00083DAD" w:rsidR="00083DAD">
        <w:t>’</w:t>
      </w:r>
      <w:r w:rsidRPr="00083DAD">
        <w:t>ont pas entrepris les démarches nécessaires pour localiser le témoin K.I. et qu</w:t>
      </w:r>
      <w:r w:rsidRPr="00083DAD" w:rsidR="00083DAD">
        <w:t>’</w:t>
      </w:r>
      <w:r w:rsidRPr="00083DAD">
        <w:t>ils se sont contentés de lire en audience publique ses déclarations. Il indique que, bien que le témoin ait été entendu cinq fois au cours de l</w:t>
      </w:r>
      <w:r w:rsidRPr="00083DAD" w:rsidR="00083DAD">
        <w:t>’</w:t>
      </w:r>
      <w:r w:rsidRPr="00083DAD">
        <w:t>enquête, ni lui ni son avocat n</w:t>
      </w:r>
      <w:r w:rsidRPr="00083DAD" w:rsidR="00083DAD">
        <w:t>’</w:t>
      </w:r>
      <w:r w:rsidRPr="00083DAD">
        <w:t xml:space="preserve">étaient </w:t>
      </w:r>
      <w:r w:rsidRPr="00083DAD">
        <w:t>présents</w:t>
      </w:r>
      <w:r w:rsidRPr="00083DAD">
        <w:t xml:space="preserve"> lors de ses auditions. Il dit aussi que les mandats d</w:t>
      </w:r>
      <w:r w:rsidRPr="00083DAD" w:rsidR="00083DAD">
        <w:t>’</w:t>
      </w:r>
      <w:r w:rsidRPr="00083DAD">
        <w:t>amener délivrés contre ce témoin ont été exécutés de manière superficielle et que les autorités n</w:t>
      </w:r>
      <w:r w:rsidRPr="00083DAD" w:rsidR="00083DAD">
        <w:t>’</w:t>
      </w:r>
      <w:r w:rsidRPr="00083DAD">
        <w:t>ont pas procédé aux diligences nécessaires pour identifier l</w:t>
      </w:r>
      <w:r w:rsidRPr="00083DAD" w:rsidR="00083DAD">
        <w:t>’</w:t>
      </w:r>
      <w:r w:rsidRPr="00083DAD">
        <w:t>adresse de ce dernier. Il ajoute que les déclarations de K.I. ont été décisives pour justifier sa condamnation. Il précise que la juridiction d</w:t>
      </w:r>
      <w:r w:rsidRPr="00083DAD" w:rsidR="00083DAD">
        <w:t>’</w:t>
      </w:r>
      <w:r w:rsidRPr="00083DAD">
        <w:t>appel n</w:t>
      </w:r>
      <w:r w:rsidRPr="00083DAD" w:rsidR="00083DAD">
        <w:t>’</w:t>
      </w:r>
      <w:r w:rsidRPr="00083DAD">
        <w:t>a pas corrigé les carences de la juridiction du fond, qu</w:t>
      </w:r>
      <w:r w:rsidRPr="00083DAD" w:rsidR="00083DAD">
        <w:t>’</w:t>
      </w:r>
      <w:r w:rsidRPr="00083DAD">
        <w:t>elle n</w:t>
      </w:r>
      <w:r w:rsidRPr="00083DAD" w:rsidR="00083DAD">
        <w:t>’</w:t>
      </w:r>
      <w:r w:rsidRPr="00083DAD">
        <w:t>a pas entrepris de démarches pour entendre directement ce témoin et qu</w:t>
      </w:r>
      <w:r w:rsidRPr="00083DAD" w:rsidR="00083DAD">
        <w:t>’</w:t>
      </w:r>
      <w:r w:rsidRPr="00083DAD">
        <w:t>elle a justifié sa condamnation en se fondant principalement sur la déclaration de K.I. Le requérant conclut qu</w:t>
      </w:r>
      <w:r w:rsidRPr="00083DAD" w:rsidR="00083DAD">
        <w:t>’</w:t>
      </w:r>
      <w:r w:rsidRPr="00083DAD">
        <w:t>il n</w:t>
      </w:r>
      <w:r w:rsidRPr="00083DAD" w:rsidR="00083DAD">
        <w:t>’</w:t>
      </w:r>
      <w:r w:rsidRPr="00083DAD">
        <w:t>a pas bénéficié des garanties procédurales adéquates.</w:t>
      </w:r>
    </w:p>
    <w:p w:rsidRPr="00083DAD" w:rsidR="00CC31BB" w:rsidP="00083DAD">
      <w:pPr>
        <w:pStyle w:val="JuPara"/>
        <w:rPr>
          <w:u w:val="single"/>
        </w:rPr>
      </w:pPr>
      <w:r w:rsidRPr="00083DAD">
        <w:fldChar w:fldCharType="begin"/>
      </w:r>
      <w:r w:rsidRPr="00083DAD">
        <w:instrText xml:space="preserve"> SEQ level0 \*arabic </w:instrText>
      </w:r>
      <w:r w:rsidRPr="00083DAD">
        <w:fldChar w:fldCharType="separate"/>
      </w:r>
      <w:r w:rsidRPr="00083DAD" w:rsidR="00083DAD">
        <w:rPr>
          <w:noProof/>
        </w:rPr>
        <w:t>73</w:t>
      </w:r>
      <w:r w:rsidRPr="00083DAD">
        <w:fldChar w:fldCharType="end"/>
      </w:r>
      <w:r w:rsidRPr="00083DAD">
        <w:t>.  Le Gouvernement</w:t>
      </w:r>
      <w:r w:rsidRPr="00083DAD">
        <w:rPr>
          <w:b/>
        </w:rPr>
        <w:t xml:space="preserve"> </w:t>
      </w:r>
      <w:r w:rsidRPr="00083DAD">
        <w:t>expose ce qui suit : le tribunal a cité le témoin K.I. à comparaître et a délivré des mandats d</w:t>
      </w:r>
      <w:r w:rsidRPr="00083DAD" w:rsidR="00083DAD">
        <w:t>’</w:t>
      </w:r>
      <w:r w:rsidRPr="00083DAD">
        <w:t>amener contre lui ; la police a effectué les diligences nécessaires mais n</w:t>
      </w:r>
      <w:r w:rsidRPr="00083DAD" w:rsidR="00083DAD">
        <w:t>’</w:t>
      </w:r>
      <w:r w:rsidRPr="00083DAD">
        <w:t>a pu trouver ce témoin ni à l</w:t>
      </w:r>
      <w:r w:rsidRPr="00083DAD" w:rsidR="00083DAD">
        <w:t>’</w:t>
      </w:r>
      <w:r w:rsidRPr="00083DAD">
        <w:t>adresse indiquée par le tribunal, ni à l</w:t>
      </w:r>
      <w:r w:rsidRPr="00083DAD" w:rsidR="00083DAD">
        <w:t>’</w:t>
      </w:r>
      <w:r w:rsidRPr="00083DAD">
        <w:t>adresse figurant dans la base de données de l</w:t>
      </w:r>
      <w:r w:rsidRPr="00083DAD" w:rsidR="00083DAD">
        <w:t>’</w:t>
      </w:r>
      <w:r w:rsidRPr="00083DAD">
        <w:t>autorité compétente, ni à l</w:t>
      </w:r>
      <w:r w:rsidRPr="00083DAD" w:rsidR="00083DAD">
        <w:t>’</w:t>
      </w:r>
      <w:r w:rsidRPr="00083DAD">
        <w:t>adresse mentionnée par les parties ; les possibilités de retrouver le témoin ayant toutes été épuisées, le tribunal a procédé, en application des règles procédurales, à la lecture en audience publique de ses déclarations faites au cours des poursuites. Le Gouvernement dit ensuite que la déposition de K.I. n</w:t>
      </w:r>
      <w:r w:rsidRPr="00083DAD" w:rsidR="00083DAD">
        <w:t>’</w:t>
      </w:r>
      <w:r w:rsidRPr="00083DAD">
        <w:t>a pas été décisive et que la condamnation du requérant reposait sur plusieurs éléments de preuve. Il précise que la cour d</w:t>
      </w:r>
      <w:r w:rsidRPr="00083DAD" w:rsidR="00083DAD">
        <w:t>’</w:t>
      </w:r>
      <w:r w:rsidRPr="00083DAD">
        <w:t>appel a essayé, en vain, de localiser K.I., qu</w:t>
      </w:r>
      <w:r w:rsidRPr="00083DAD" w:rsidR="00083DAD">
        <w:t>’</w:t>
      </w:r>
      <w:r w:rsidRPr="00083DAD">
        <w:t>elle s</w:t>
      </w:r>
      <w:r w:rsidRPr="00083DAD" w:rsidR="00083DAD">
        <w:t>’</w:t>
      </w:r>
      <w:r w:rsidRPr="00083DAD">
        <w:t>est livrée à un nouvel examen des éléments de preuve et qu</w:t>
      </w:r>
      <w:r w:rsidRPr="00083DAD" w:rsidR="00083DAD">
        <w:t>’</w:t>
      </w:r>
      <w:r w:rsidRPr="00083DAD">
        <w:t>elle ne s</w:t>
      </w:r>
      <w:r w:rsidRPr="00083DAD" w:rsidR="00083DAD">
        <w:t>’</w:t>
      </w:r>
      <w:r w:rsidRPr="00083DAD">
        <w:t>est pas appuyée uniquement sur la déclaration de K.I. Il estime qu</w:t>
      </w:r>
      <w:r w:rsidRPr="00083DAD" w:rsidR="00083DAD">
        <w:t>’</w:t>
      </w:r>
      <w:r w:rsidRPr="00083DAD">
        <w:t>aucun autre effort raisonnable n</w:t>
      </w:r>
      <w:r w:rsidRPr="00083DAD" w:rsidR="00083DAD">
        <w:t>’</w:t>
      </w:r>
      <w:r w:rsidRPr="00083DAD">
        <w:t>aurait pu être fait pour localiser K.I. Le Gouvernement conclut que la procédure, prise globalement, a été équitable.</w:t>
      </w:r>
    </w:p>
    <w:p w:rsidRPr="00083DAD" w:rsidR="00CC31BB" w:rsidP="00083DAD">
      <w:pPr>
        <w:pStyle w:val="JuHa0"/>
        <w:keepNext w:val="0"/>
        <w:keepLines w:val="0"/>
        <w:numPr>
          <w:ilvl w:val="4"/>
          <w:numId w:val="21"/>
        </w:numPr>
        <w:jc w:val="both"/>
        <w:rPr>
          <w:lang w:val="fr-FR"/>
        </w:rPr>
      </w:pPr>
      <w:r w:rsidRPr="00083DAD">
        <w:rPr>
          <w:lang w:val="fr-FR"/>
        </w:rPr>
        <w:t>Appréciation de la Cour</w:t>
      </w:r>
    </w:p>
    <w:p w:rsidRPr="00083DAD" w:rsidR="00CC31BB" w:rsidP="00083DAD">
      <w:pPr>
        <w:pStyle w:val="JuHi"/>
        <w:keepNext w:val="0"/>
        <w:keepLines w:val="0"/>
        <w:numPr>
          <w:ilvl w:val="5"/>
          <w:numId w:val="21"/>
        </w:numPr>
        <w:spacing w:line="240" w:lineRule="auto"/>
        <w:jc w:val="both"/>
        <w:rPr>
          <w:lang w:val="fr-FR"/>
        </w:rPr>
      </w:pPr>
      <w:r w:rsidRPr="00083DAD">
        <w:rPr>
          <w:lang w:val="fr-FR"/>
        </w:rPr>
        <w:t>Principes généraux</w:t>
      </w:r>
    </w:p>
    <w:p w:rsidRPr="00083DAD" w:rsidR="00CC31BB" w:rsidP="00083DAD">
      <w:pPr>
        <w:pStyle w:val="JuPara"/>
        <w:rPr>
          <w:i/>
        </w:rPr>
      </w:pPr>
      <w:r w:rsidRPr="00083DAD">
        <w:fldChar w:fldCharType="begin"/>
      </w:r>
      <w:r w:rsidRPr="00083DAD">
        <w:instrText xml:space="preserve"> SEQ level0 \*arabic </w:instrText>
      </w:r>
      <w:r w:rsidRPr="00083DAD">
        <w:fldChar w:fldCharType="separate"/>
      </w:r>
      <w:r w:rsidRPr="00083DAD" w:rsidR="00083DAD">
        <w:rPr>
          <w:noProof/>
        </w:rPr>
        <w:t>74</w:t>
      </w:r>
      <w:r w:rsidRPr="00083DAD">
        <w:fldChar w:fldCharType="end"/>
      </w:r>
      <w:r w:rsidRPr="00083DAD">
        <w:t>.  La Cour se réfère aux principes pertinents en la matière concernant les critères d</w:t>
      </w:r>
      <w:r w:rsidRPr="00083DAD" w:rsidR="00083DAD">
        <w:t>’</w:t>
      </w:r>
      <w:r w:rsidRPr="00083DAD">
        <w:t>appréciation des griefs formulés sur le terrain de l</w:t>
      </w:r>
      <w:r w:rsidRPr="00083DAD" w:rsidR="00083DAD">
        <w:t>’</w:t>
      </w:r>
      <w:r w:rsidRPr="00083DAD" w:rsidR="00C80014">
        <w:t xml:space="preserve">article 6 </w:t>
      </w:r>
      <w:r w:rsidRPr="00083DAD">
        <w:t>§§ 1 et 3 d) de la Convention en ce qui concerne l</w:t>
      </w:r>
      <w:r w:rsidRPr="00083DAD" w:rsidR="00083DAD">
        <w:t>’</w:t>
      </w:r>
      <w:r w:rsidRPr="00083DAD">
        <w:t>absence des témoins à l</w:t>
      </w:r>
      <w:r w:rsidRPr="00083DAD" w:rsidR="00083DAD">
        <w:t>’</w:t>
      </w:r>
      <w:r w:rsidRPr="00083DAD">
        <w:t>audience, tels qu</w:t>
      </w:r>
      <w:r w:rsidRPr="00083DAD" w:rsidR="00083DAD">
        <w:t>’</w:t>
      </w:r>
      <w:r w:rsidRPr="00083DAD">
        <w:t xml:space="preserve">exposés dans les arrêts </w:t>
      </w:r>
      <w:r w:rsidRPr="00083DAD">
        <w:rPr>
          <w:i/>
        </w:rPr>
        <w:t>Al-</w:t>
      </w:r>
      <w:r w:rsidRPr="00083DAD">
        <w:rPr>
          <w:i/>
        </w:rPr>
        <w:t>Khawaja</w:t>
      </w:r>
      <w:r w:rsidRPr="00083DAD">
        <w:rPr>
          <w:i/>
        </w:rPr>
        <w:t xml:space="preserve"> et </w:t>
      </w:r>
      <w:r w:rsidRPr="00083DAD">
        <w:rPr>
          <w:i/>
        </w:rPr>
        <w:t>Tahery</w:t>
      </w:r>
      <w:r w:rsidRPr="00083DAD">
        <w:rPr>
          <w:i/>
        </w:rPr>
        <w:t xml:space="preserve"> c. Royaume-Uni</w:t>
      </w:r>
      <w:r w:rsidRPr="00083DAD">
        <w:t xml:space="preserve"> ([GC], n</w:t>
      </w:r>
      <w:r w:rsidRPr="00083DAD">
        <w:rPr>
          <w:vertAlign w:val="superscript"/>
        </w:rPr>
        <w:t>os</w:t>
      </w:r>
      <w:r w:rsidRPr="00083DAD" w:rsidR="0005301B">
        <w:t xml:space="preserve"> </w:t>
      </w:r>
      <w:r w:rsidRPr="00083DAD">
        <w:t>26766/05 et 22228/06, §§ 118-147, CEDH</w:t>
      </w:r>
      <w:r w:rsidRPr="00083DAD" w:rsidR="0005301B">
        <w:t> </w:t>
      </w:r>
      <w:r w:rsidRPr="00083DAD">
        <w:t xml:space="preserve">2011) et </w:t>
      </w:r>
      <w:r w:rsidRPr="00083DAD">
        <w:rPr>
          <w:i/>
        </w:rPr>
        <w:t>Schatschaschwili</w:t>
      </w:r>
      <w:r w:rsidRPr="00083DAD">
        <w:rPr>
          <w:i/>
        </w:rPr>
        <w:t xml:space="preserve"> c.</w:t>
      </w:r>
      <w:r w:rsidRPr="00083DAD" w:rsidR="0005301B">
        <w:rPr>
          <w:i/>
        </w:rPr>
        <w:t xml:space="preserve"> </w:t>
      </w:r>
      <w:r w:rsidRPr="00083DAD">
        <w:rPr>
          <w:i/>
        </w:rPr>
        <w:t>Allemagne</w:t>
      </w:r>
      <w:r w:rsidRPr="00083DAD">
        <w:t xml:space="preserve"> ([GC], n</w:t>
      </w:r>
      <w:r w:rsidRPr="00083DAD">
        <w:rPr>
          <w:vertAlign w:val="superscript"/>
        </w:rPr>
        <w:t>o</w:t>
      </w:r>
      <w:r w:rsidRPr="00083DAD">
        <w:t xml:space="preserve"> 9154/10, §§</w:t>
      </w:r>
      <w:r w:rsidRPr="00083DAD" w:rsidR="0005301B">
        <w:t> </w:t>
      </w:r>
      <w:r w:rsidRPr="00083DAD">
        <w:t>100-131</w:t>
      </w:r>
      <w:r w:rsidRPr="00083DAD" w:rsidR="0005301B">
        <w:t>, CEDH </w:t>
      </w:r>
      <w:r w:rsidRPr="00083DAD">
        <w:t>2015).</w:t>
      </w:r>
    </w:p>
    <w:p w:rsidRPr="00083DAD" w:rsidR="00CC31BB" w:rsidP="00083DAD">
      <w:pPr>
        <w:pStyle w:val="JuPara"/>
      </w:pPr>
      <w:r w:rsidRPr="00083DAD">
        <w:fldChar w:fldCharType="begin"/>
      </w:r>
      <w:r w:rsidRPr="00083DAD">
        <w:instrText xml:space="preserve"> SEQ level0 \*arabic </w:instrText>
      </w:r>
      <w:r w:rsidRPr="00083DAD">
        <w:fldChar w:fldCharType="separate"/>
      </w:r>
      <w:r w:rsidRPr="00083DAD" w:rsidR="00083DAD">
        <w:rPr>
          <w:noProof/>
        </w:rPr>
        <w:t>75</w:t>
      </w:r>
      <w:r w:rsidRPr="00083DAD">
        <w:fldChar w:fldCharType="end"/>
      </w:r>
      <w:r w:rsidRPr="00083DAD">
        <w:t xml:space="preserve">.  Dans son arrêt </w:t>
      </w:r>
      <w:r w:rsidRPr="00083DAD">
        <w:rPr>
          <w:i/>
        </w:rPr>
        <w:t>Schatschaschwili</w:t>
      </w:r>
      <w:r w:rsidRPr="00083DAD">
        <w:t>, la Cour a rappelé que, selon les principes dégagés dans l</w:t>
      </w:r>
      <w:r w:rsidRPr="00083DAD" w:rsidR="00083DAD">
        <w:t>’</w:t>
      </w:r>
      <w:r w:rsidRPr="00083DAD">
        <w:t xml:space="preserve">arrêt </w:t>
      </w:r>
      <w:r w:rsidRPr="00083DAD">
        <w:rPr>
          <w:i/>
        </w:rPr>
        <w:t>Al-</w:t>
      </w:r>
      <w:r w:rsidRPr="00083DAD">
        <w:rPr>
          <w:i/>
        </w:rPr>
        <w:t>Khawaja</w:t>
      </w:r>
      <w:r w:rsidRPr="00083DAD">
        <w:rPr>
          <w:i/>
        </w:rPr>
        <w:t xml:space="preserve"> et </w:t>
      </w:r>
      <w:r w:rsidRPr="00083DAD">
        <w:rPr>
          <w:i/>
        </w:rPr>
        <w:t>Tahery</w:t>
      </w:r>
      <w:r w:rsidRPr="00083DAD">
        <w:t xml:space="preserve"> (précité), l</w:t>
      </w:r>
      <w:r w:rsidRPr="00083DAD" w:rsidR="00083DAD">
        <w:t>’</w:t>
      </w:r>
      <w:r w:rsidRPr="00083DAD">
        <w:t>examen de la compatibilité avec l</w:t>
      </w:r>
      <w:r w:rsidRPr="00083DAD" w:rsidR="00083DAD">
        <w:t>’</w:t>
      </w:r>
      <w:r w:rsidRPr="00083DAD">
        <w:t>article 6 §§ 1 et 3 d) de la Convention d</w:t>
      </w:r>
      <w:r w:rsidRPr="00083DAD" w:rsidR="00083DAD">
        <w:t>’</w:t>
      </w:r>
      <w:r w:rsidRPr="00083DAD">
        <w:t>une procédure dans laquelle les déclarations d</w:t>
      </w:r>
      <w:r w:rsidRPr="00083DAD" w:rsidR="00083DAD">
        <w:t>’</w:t>
      </w:r>
      <w:r w:rsidRPr="00083DAD">
        <w:t>un témoin qui n</w:t>
      </w:r>
      <w:r w:rsidRPr="00083DAD" w:rsidR="00083DAD">
        <w:t>’</w:t>
      </w:r>
      <w:r w:rsidRPr="00083DAD">
        <w:t>a pas comparu et n</w:t>
      </w:r>
      <w:r w:rsidRPr="00083DAD" w:rsidR="00083DAD">
        <w:t>’</w:t>
      </w:r>
      <w:r w:rsidRPr="00083DAD">
        <w:t>a pas été interrogé pendant le procès sont utilisées à titre de preuves comporte trois étapes (</w:t>
      </w:r>
      <w:r w:rsidRPr="00083DAD">
        <w:rPr>
          <w:i/>
        </w:rPr>
        <w:t>Schatschaschwili</w:t>
      </w:r>
      <w:r w:rsidRPr="00083DAD">
        <w:t>, précité, § 107). Ainsi, la Cour doit rechercher :</w:t>
      </w:r>
    </w:p>
    <w:p w:rsidRPr="00083DAD" w:rsidR="00CC31BB" w:rsidP="00083DAD">
      <w:pPr>
        <w:pStyle w:val="JuPara"/>
      </w:pPr>
      <w:r w:rsidRPr="00083DAD">
        <w:t>i.</w:t>
      </w:r>
      <w:r w:rsidRPr="00083DAD" w:rsidR="00C80014">
        <w:t>  </w:t>
      </w:r>
      <w:r w:rsidRPr="00083DAD">
        <w:t>s</w:t>
      </w:r>
      <w:r w:rsidRPr="00083DAD" w:rsidR="00083DAD">
        <w:t>’</w:t>
      </w:r>
      <w:r w:rsidRPr="00083DAD">
        <w:t>il existait un motif sérieux justifiant la non-comparution du témoin et, en conséquence, l</w:t>
      </w:r>
      <w:r w:rsidRPr="00083DAD" w:rsidR="00083DAD">
        <w:t>’</w:t>
      </w:r>
      <w:r w:rsidRPr="00083DAD">
        <w:t>admission à titre de preuve de sa déposition (ibid., §§ 119-122) ;</w:t>
      </w:r>
    </w:p>
    <w:p w:rsidRPr="00083DAD" w:rsidR="00CC31BB" w:rsidP="00083DAD">
      <w:pPr>
        <w:pStyle w:val="JuPara"/>
      </w:pPr>
      <w:r w:rsidRPr="00083DAD">
        <w:t>ii.</w:t>
      </w:r>
      <w:r w:rsidRPr="00083DAD" w:rsidR="00C80014">
        <w:t>  </w:t>
      </w:r>
      <w:r w:rsidRPr="00083DAD">
        <w:t>si la déposition du témoin absent a constitué le fondement unique ou déterminant de la condamnation (ibid., §§ 123-124) ; et</w:t>
      </w:r>
    </w:p>
    <w:p w:rsidRPr="00083DAD" w:rsidR="00CC31BB" w:rsidP="00083DAD">
      <w:pPr>
        <w:pStyle w:val="JuPara"/>
      </w:pPr>
      <w:r w:rsidRPr="00083DAD">
        <w:t>iii.</w:t>
      </w:r>
      <w:r w:rsidRPr="00083DAD" w:rsidR="00C80014">
        <w:t>  </w:t>
      </w:r>
      <w:r w:rsidRPr="00083DAD">
        <w:t>s</w:t>
      </w:r>
      <w:r w:rsidRPr="00083DAD" w:rsidR="00083DAD">
        <w:t>’</w:t>
      </w:r>
      <w:r w:rsidRPr="00083DAD">
        <w:t>il existait des éléments compensateurs, notamment des garanties procédurales solides, suffisants pour contrebalancer les difficultés causées à la défense en conséquence de l</w:t>
      </w:r>
      <w:r w:rsidRPr="00083DAD" w:rsidR="00083DAD">
        <w:t>’</w:t>
      </w:r>
      <w:r w:rsidRPr="00083DAD">
        <w:t>admission d</w:t>
      </w:r>
      <w:r w:rsidRPr="00083DAD" w:rsidR="00083DAD">
        <w:t>’</w:t>
      </w:r>
      <w:r w:rsidRPr="00083DAD">
        <w:t>une telle preuve et pour assurer l</w:t>
      </w:r>
      <w:r w:rsidRPr="00083DAD" w:rsidR="00083DAD">
        <w:t>’</w:t>
      </w:r>
      <w:r w:rsidRPr="00083DAD">
        <w:t>équité de la procédure dans son ensemble (ibid., §§ 125-131).</w:t>
      </w:r>
    </w:p>
    <w:bookmarkStart w:name="para77" w:id="34"/>
    <w:p w:rsidRPr="00083DAD" w:rsidR="00CC31BB" w:rsidP="00083DAD">
      <w:pPr>
        <w:pStyle w:val="JuPara"/>
      </w:pPr>
      <w:r w:rsidRPr="00083DAD">
        <w:fldChar w:fldCharType="begin"/>
      </w:r>
      <w:r w:rsidRPr="00083DAD">
        <w:instrText xml:space="preserve"> SEQ level0 \*arabic </w:instrText>
      </w:r>
      <w:r w:rsidRPr="00083DAD">
        <w:fldChar w:fldCharType="separate"/>
      </w:r>
      <w:r w:rsidRPr="00083DAD" w:rsidR="00083DAD">
        <w:rPr>
          <w:noProof/>
        </w:rPr>
        <w:t>76</w:t>
      </w:r>
      <w:r w:rsidRPr="00083DAD">
        <w:fldChar w:fldCharType="end"/>
      </w:r>
      <w:bookmarkEnd w:id="34"/>
      <w:r w:rsidRPr="00083DAD">
        <w:t>.  Il y a lieu d</w:t>
      </w:r>
      <w:r w:rsidRPr="00083DAD" w:rsidR="00083DAD">
        <w:t>’</w:t>
      </w:r>
      <w:r w:rsidRPr="00083DAD">
        <w:t>insister sur le fait que l</w:t>
      </w:r>
      <w:r w:rsidRPr="00083DAD" w:rsidR="00083DAD">
        <w:t>’</w:t>
      </w:r>
      <w:r w:rsidRPr="00083DAD">
        <w:t>absence de motif sérieux justifiant la non</w:t>
      </w:r>
      <w:r w:rsidRPr="00083DAD">
        <w:noBreakHyphen/>
        <w:t>comparution d</w:t>
      </w:r>
      <w:r w:rsidRPr="00083DAD" w:rsidR="00083DAD">
        <w:t>’</w:t>
      </w:r>
      <w:r w:rsidRPr="00083DAD">
        <w:t xml:space="preserve">un témoin ne peut en soi rendre un procès </w:t>
      </w:r>
      <w:r w:rsidRPr="00083DAD">
        <w:t>inéquitable. Cela étant, le manque de tels motifs constitue un élément de poids s</w:t>
      </w:r>
      <w:r w:rsidRPr="00083DAD" w:rsidR="00083DAD">
        <w:t>’</w:t>
      </w:r>
      <w:r w:rsidRPr="00083DAD">
        <w:t>agissant de l</w:t>
      </w:r>
      <w:r w:rsidRPr="00083DAD" w:rsidR="00083DAD">
        <w:t>’</w:t>
      </w:r>
      <w:r w:rsidRPr="00083DAD">
        <w:t>appréciation de l</w:t>
      </w:r>
      <w:r w:rsidRPr="00083DAD" w:rsidR="00083DAD">
        <w:t>’</w:t>
      </w:r>
      <w:r w:rsidRPr="00083DAD">
        <w:t>équité globale d</w:t>
      </w:r>
      <w:r w:rsidRPr="00083DAD" w:rsidR="00083DAD">
        <w:t>’</w:t>
      </w:r>
      <w:r w:rsidRPr="00083DAD">
        <w:t>un procès : pareil élément est susceptible de faire pencher la balance en faveur d</w:t>
      </w:r>
      <w:r w:rsidRPr="00083DAD" w:rsidR="00083DAD">
        <w:t>’</w:t>
      </w:r>
      <w:r w:rsidRPr="00083DAD">
        <w:t>un constat de violation de l</w:t>
      </w:r>
      <w:r w:rsidRPr="00083DAD" w:rsidR="00083DAD">
        <w:t>’</w:t>
      </w:r>
      <w:r w:rsidRPr="00083DAD">
        <w:t xml:space="preserve">article 6 §§ 1 et 3 d) de la Convention (ibid., § 113 </w:t>
      </w:r>
      <w:r w:rsidRPr="00083DAD">
        <w:rPr>
          <w:i/>
        </w:rPr>
        <w:t>in</w:t>
      </w:r>
      <w:r w:rsidRPr="00083DAD" w:rsidR="0005301B">
        <w:rPr>
          <w:i/>
        </w:rPr>
        <w:t> </w:t>
      </w:r>
      <w:r w:rsidRPr="00083DAD">
        <w:rPr>
          <w:i/>
        </w:rPr>
        <w:t>fine</w:t>
      </w:r>
      <w:r w:rsidRPr="00083DAD">
        <w:t>). De plus, le souci de la Cour étant de s</w:t>
      </w:r>
      <w:r w:rsidRPr="00083DAD" w:rsidR="00083DAD">
        <w:t>’</w:t>
      </w:r>
      <w:r w:rsidRPr="00083DAD">
        <w:t>assurer que la procédure dans son ensemble était équitable, elle doit vérifier s</w:t>
      </w:r>
      <w:r w:rsidRPr="00083DAD" w:rsidR="00083DAD">
        <w:t>’</w:t>
      </w:r>
      <w:r w:rsidRPr="00083DAD">
        <w:t>il existait des éléments compensateurs suffisants non seulement dans les affaires où les déclarations d</w:t>
      </w:r>
      <w:r w:rsidRPr="00083DAD" w:rsidR="00083DAD">
        <w:t>’</w:t>
      </w:r>
      <w:r w:rsidRPr="00083DAD">
        <w:t>un témoin absent constituaient le fondement unique ou déterminant de la condamnation de l</w:t>
      </w:r>
      <w:r w:rsidRPr="00083DAD" w:rsidR="00083DAD">
        <w:t>’</w:t>
      </w:r>
      <w:r w:rsidRPr="00083DAD">
        <w:t>accusé, mais aussi dans celles où elle juge difficile de discerner si ces éléments constituaient la preuve unique ou déterminante mais est néanmoins convaincue qu</w:t>
      </w:r>
      <w:r w:rsidRPr="00083DAD" w:rsidR="00083DAD">
        <w:t>’</w:t>
      </w:r>
      <w:r w:rsidRPr="00083DAD">
        <w:t>ils revêtaient un poids certain et que leur admission pouvait avoir causé des difficultés à la défense. La portée des facteurs compensateurs nécessaires pour que le procès soit considéré comme équitable dépendra de l</w:t>
      </w:r>
      <w:r w:rsidRPr="00083DAD" w:rsidR="00083DAD">
        <w:t>’</w:t>
      </w:r>
      <w:r w:rsidRPr="00083DAD">
        <w:t>importance que revêtent les déclarations du témoin absent. Plus cette importance est grande, plus les éléments compensateurs devront être solides afin que la procédure dans son ensemble soit considérée comme équitable (</w:t>
      </w:r>
      <w:r w:rsidRPr="00083DAD">
        <w:rPr>
          <w:i/>
        </w:rPr>
        <w:t>Seton</w:t>
      </w:r>
      <w:r w:rsidRPr="00083DAD">
        <w:rPr>
          <w:i/>
        </w:rPr>
        <w:t xml:space="preserve"> c. Royaume-Uni</w:t>
      </w:r>
      <w:r w:rsidRPr="00083DAD">
        <w:t>, n</w:t>
      </w:r>
      <w:r w:rsidRPr="00083DAD">
        <w:rPr>
          <w:vertAlign w:val="superscript"/>
        </w:rPr>
        <w:t>o</w:t>
      </w:r>
      <w:r w:rsidRPr="00083DAD">
        <w:t xml:space="preserve"> 55287/10</w:t>
      </w:r>
      <w:r w:rsidRPr="00083DAD" w:rsidR="0005301B">
        <w:t>, § </w:t>
      </w:r>
      <w:r w:rsidRPr="00083DAD">
        <w:t>59, 31</w:t>
      </w:r>
      <w:r w:rsidRPr="00083DAD" w:rsidR="0005301B">
        <w:t> </w:t>
      </w:r>
      <w:r w:rsidRPr="00083DAD">
        <w:t>mars</w:t>
      </w:r>
      <w:r w:rsidRPr="00083DAD" w:rsidR="00C80014">
        <w:t xml:space="preserve"> </w:t>
      </w:r>
      <w:r w:rsidRPr="00083DAD">
        <w:t>2016).</w:t>
      </w:r>
    </w:p>
    <w:p w:rsidRPr="00083DAD" w:rsidR="00CC31BB" w:rsidP="00083DAD">
      <w:pPr>
        <w:pStyle w:val="JuPara"/>
      </w:pPr>
      <w:r w:rsidRPr="00083DAD">
        <w:fldChar w:fldCharType="begin"/>
      </w:r>
      <w:r w:rsidRPr="00083DAD">
        <w:instrText xml:space="preserve"> SEQ level0 \*arabic </w:instrText>
      </w:r>
      <w:r w:rsidRPr="00083DAD">
        <w:fldChar w:fldCharType="separate"/>
      </w:r>
      <w:r w:rsidRPr="00083DAD" w:rsidR="00083DAD">
        <w:rPr>
          <w:noProof/>
        </w:rPr>
        <w:t>77</w:t>
      </w:r>
      <w:r w:rsidRPr="00083DAD">
        <w:fldChar w:fldCharType="end"/>
      </w:r>
      <w:r w:rsidRPr="00083DAD">
        <w:t xml:space="preserve">.  La Cour doit donc vérifier les trois étapes du critère </w:t>
      </w:r>
      <w:r w:rsidRPr="00083DAD">
        <w:rPr>
          <w:i/>
        </w:rPr>
        <w:t>Al</w:t>
      </w:r>
      <w:r w:rsidRPr="00083DAD" w:rsidR="0005301B">
        <w:rPr>
          <w:i/>
        </w:rPr>
        <w:t>-</w:t>
      </w:r>
      <w:r w:rsidRPr="00083DAD" w:rsidR="0005301B">
        <w:rPr>
          <w:i/>
        </w:rPr>
        <w:t>Khawaja</w:t>
      </w:r>
      <w:r w:rsidRPr="00083DAD" w:rsidR="0005301B">
        <w:rPr>
          <w:i/>
        </w:rPr>
        <w:t xml:space="preserve"> et </w:t>
      </w:r>
      <w:r w:rsidRPr="00083DAD">
        <w:rPr>
          <w:i/>
        </w:rPr>
        <w:t>Tahery</w:t>
      </w:r>
      <w:r w:rsidRPr="00083DAD">
        <w:t xml:space="preserve"> – dans l</w:t>
      </w:r>
      <w:r w:rsidRPr="00083DAD" w:rsidR="00083DAD">
        <w:t>’</w:t>
      </w:r>
      <w:r w:rsidRPr="00083DAD">
        <w:t>ordre défini dans cet arrêt –, tout en gardant à l</w:t>
      </w:r>
      <w:r w:rsidRPr="00083DAD" w:rsidR="00083DAD">
        <w:t>’</w:t>
      </w:r>
      <w:r w:rsidRPr="00083DAD">
        <w:t>esprit que ces étapes sont interdépendantes et, prises ensemble, servent à établir si la procédure pénale dans le cas d</w:t>
      </w:r>
      <w:r w:rsidRPr="00083DAD" w:rsidR="00083DAD">
        <w:t>’</w:t>
      </w:r>
      <w:r w:rsidRPr="00083DAD">
        <w:t>espèce a été globalement équitable (</w:t>
      </w:r>
      <w:r w:rsidRPr="00083DAD">
        <w:rPr>
          <w:i/>
        </w:rPr>
        <w:t>Schatschaschwili</w:t>
      </w:r>
      <w:r w:rsidRPr="00083DAD" w:rsidR="0005301B">
        <w:t xml:space="preserve">, précité, § </w:t>
      </w:r>
      <w:r w:rsidRPr="00083DAD">
        <w:t>118).</w:t>
      </w:r>
    </w:p>
    <w:p w:rsidRPr="00083DAD" w:rsidR="00CC31BB" w:rsidP="00083DAD">
      <w:pPr>
        <w:pStyle w:val="JuHi"/>
        <w:keepNext w:val="0"/>
        <w:keepLines w:val="0"/>
        <w:numPr>
          <w:ilvl w:val="5"/>
          <w:numId w:val="21"/>
        </w:numPr>
        <w:spacing w:line="240" w:lineRule="auto"/>
        <w:jc w:val="both"/>
        <w:rPr>
          <w:lang w:val="fr-FR"/>
        </w:rPr>
      </w:pPr>
      <w:r w:rsidRPr="00083DAD">
        <w:rPr>
          <w:lang w:val="fr-FR"/>
        </w:rPr>
        <w:t>Application au cas d</w:t>
      </w:r>
      <w:r w:rsidRPr="00083DAD" w:rsidR="00083DAD">
        <w:rPr>
          <w:lang w:val="fr-FR"/>
        </w:rPr>
        <w:t>’</w:t>
      </w:r>
      <w:r w:rsidRPr="00083DAD">
        <w:rPr>
          <w:lang w:val="fr-FR"/>
        </w:rPr>
        <w:t>espèce</w:t>
      </w:r>
    </w:p>
    <w:bookmarkStart w:name="par76" w:id="35"/>
    <w:bookmarkStart w:name="par79" w:id="36"/>
    <w:bookmarkStart w:name="par78" w:id="37"/>
    <w:p w:rsidRPr="00083DAD" w:rsidR="00CC31BB" w:rsidP="00083DAD">
      <w:pPr>
        <w:pStyle w:val="JuPara"/>
        <w:rPr>
          <w:i/>
        </w:rPr>
      </w:pPr>
      <w:r w:rsidRPr="00083DAD">
        <w:fldChar w:fldCharType="begin"/>
      </w:r>
      <w:r w:rsidRPr="00083DAD">
        <w:instrText xml:space="preserve"> SEQ level0 \*arabic </w:instrText>
      </w:r>
      <w:r w:rsidRPr="00083DAD">
        <w:fldChar w:fldCharType="separate"/>
      </w:r>
      <w:r w:rsidRPr="00083DAD" w:rsidR="00083DAD">
        <w:rPr>
          <w:noProof/>
        </w:rPr>
        <w:t>78</w:t>
      </w:r>
      <w:r w:rsidRPr="00083DAD">
        <w:fldChar w:fldCharType="end"/>
      </w:r>
      <w:bookmarkEnd w:id="35"/>
      <w:bookmarkEnd w:id="36"/>
      <w:bookmarkEnd w:id="37"/>
      <w:r w:rsidRPr="00083DAD">
        <w:t>.  S</w:t>
      </w:r>
      <w:r w:rsidRPr="00083DAD" w:rsidR="00083DAD">
        <w:t>’</w:t>
      </w:r>
      <w:r w:rsidRPr="00083DAD">
        <w:t>agissant de la question de savoir si l</w:t>
      </w:r>
      <w:r w:rsidRPr="00083DAD" w:rsidR="00083DAD">
        <w:t>’</w:t>
      </w:r>
      <w:r w:rsidRPr="00083DAD">
        <w:t>absence du témoin K.I. était justifiée par un motif sérieux, la Cour note que tant le tribunal que la cour d</w:t>
      </w:r>
      <w:r w:rsidRPr="00083DAD" w:rsidR="00083DAD">
        <w:t>’</w:t>
      </w:r>
      <w:r w:rsidRPr="00083DAD">
        <w:t>appel ont cité ce témoin à comparaître, mais que celui-ci ne s</w:t>
      </w:r>
      <w:r w:rsidRPr="00083DAD" w:rsidR="00083DAD">
        <w:t>’</w:t>
      </w:r>
      <w:r w:rsidRPr="00083DAD">
        <w:t>est pas présenté devant les juridictions internes, malgré les mandats d</w:t>
      </w:r>
      <w:r w:rsidRPr="00083DAD" w:rsidR="00083DAD">
        <w:t>’</w:t>
      </w:r>
      <w:r w:rsidRPr="00083DAD">
        <w:t>amener délivrés contre lui (paragraphes</w:t>
      </w:r>
      <w:r w:rsidRPr="00083DAD" w:rsidR="000777C8">
        <w:t xml:space="preserve"> </w:t>
      </w:r>
      <w:r w:rsidRPr="00083DAD" w:rsidR="007535C5">
        <w:fldChar w:fldCharType="begin"/>
      </w:r>
      <w:r w:rsidRPr="00083DAD" w:rsidR="007535C5">
        <w:instrText xml:space="preserve"> REF KI_tribunal \h </w:instrText>
      </w:r>
      <w:r w:rsidRPr="00083DAD" w:rsidR="007535C5">
        <w:fldChar w:fldCharType="separate"/>
      </w:r>
      <w:r w:rsidRPr="00083DAD" w:rsidR="00083DAD">
        <w:rPr>
          <w:noProof/>
        </w:rPr>
        <w:t>11</w:t>
      </w:r>
      <w:r w:rsidRPr="00083DAD" w:rsidR="007535C5">
        <w:fldChar w:fldCharType="end"/>
      </w:r>
      <w:r w:rsidRPr="00083DAD" w:rsidR="000777C8">
        <w:t xml:space="preserve"> et </w:t>
      </w:r>
      <w:r w:rsidRPr="00083DAD" w:rsidR="007535C5">
        <w:fldChar w:fldCharType="begin"/>
      </w:r>
      <w:r w:rsidRPr="00083DAD" w:rsidR="007535C5">
        <w:instrText xml:space="preserve"> REF KI_appel \h </w:instrText>
      </w:r>
      <w:r w:rsidRPr="00083DAD" w:rsidR="007535C5">
        <w:fldChar w:fldCharType="separate"/>
      </w:r>
      <w:r w:rsidRPr="00083DAD" w:rsidR="00083DAD">
        <w:rPr>
          <w:noProof/>
        </w:rPr>
        <w:t>20</w:t>
      </w:r>
      <w:r w:rsidRPr="00083DAD" w:rsidR="007535C5">
        <w:fldChar w:fldCharType="end"/>
      </w:r>
      <w:r w:rsidRPr="00083DAD">
        <w:t xml:space="preserve"> ci-dessus). Il ressort des éléments présentés devant la Cour que ce témoin n</w:t>
      </w:r>
      <w:r w:rsidRPr="00083DAD" w:rsidR="00083DAD">
        <w:t>’</w:t>
      </w:r>
      <w:r w:rsidRPr="00083DAD">
        <w:t>a pas pu être trouvé aux adresses indiquées par les parties ou identifiées au cours de la procédure (paragraphe </w:t>
      </w:r>
      <w:r w:rsidRPr="00083DAD" w:rsidR="007535C5">
        <w:fldChar w:fldCharType="begin"/>
      </w:r>
      <w:r w:rsidRPr="00083DAD" w:rsidR="007535C5">
        <w:instrText xml:space="preserve"> REF KI_tribunal \h </w:instrText>
      </w:r>
      <w:r w:rsidRPr="00083DAD" w:rsidR="007535C5">
        <w:fldChar w:fldCharType="separate"/>
      </w:r>
      <w:r w:rsidRPr="00083DAD" w:rsidR="00083DAD">
        <w:rPr>
          <w:noProof/>
        </w:rPr>
        <w:t>11</w:t>
      </w:r>
      <w:r w:rsidRPr="00083DAD" w:rsidR="007535C5">
        <w:fldChar w:fldCharType="end"/>
      </w:r>
      <w:r w:rsidRPr="00083DAD">
        <w:t xml:space="preserve"> ci-dessus). Toutefois, la Cour doute que les juridictions internes aient entrepris des démarches suffisantes afin de localiser ce témoin. En effet, si le tribunal a demandé à l</w:t>
      </w:r>
      <w:r w:rsidRPr="00083DAD" w:rsidR="00083DAD">
        <w:t>’</w:t>
      </w:r>
      <w:r w:rsidRPr="00083DAD">
        <w:t>autorité administrative compétente des informations sur le domicile dudit témoin et si les policiers ont été chargés d</w:t>
      </w:r>
      <w:r w:rsidRPr="00083DAD" w:rsidR="00083DAD">
        <w:t>’</w:t>
      </w:r>
      <w:r w:rsidRPr="00083DAD">
        <w:t>exécuter les mandats d</w:t>
      </w:r>
      <w:r w:rsidRPr="00083DAD" w:rsidR="00083DAD">
        <w:t>’</w:t>
      </w:r>
      <w:r w:rsidRPr="00083DAD">
        <w:t>amener, force est de constater que ces démarches n</w:t>
      </w:r>
      <w:r w:rsidRPr="00083DAD" w:rsidR="00083DAD">
        <w:t>’</w:t>
      </w:r>
      <w:r w:rsidRPr="00083DAD">
        <w:t>ont pas abouti – l</w:t>
      </w:r>
      <w:r w:rsidRPr="00083DAD" w:rsidR="00083DAD">
        <w:t>’</w:t>
      </w:r>
      <w:r w:rsidRPr="00083DAD">
        <w:t>intéressé ayant été déclaré sans domicile fixe par les policiers (paragraphe</w:t>
      </w:r>
      <w:r w:rsidRPr="00083DAD" w:rsidR="000777C8">
        <w:t xml:space="preserve"> </w:t>
      </w:r>
      <w:r w:rsidRPr="00083DAD" w:rsidR="007535C5">
        <w:fldChar w:fldCharType="begin"/>
      </w:r>
      <w:r w:rsidRPr="00083DAD" w:rsidR="007535C5">
        <w:instrText xml:space="preserve"> REF KI_tribunal \h </w:instrText>
      </w:r>
      <w:r w:rsidRPr="00083DAD" w:rsidR="007535C5">
        <w:fldChar w:fldCharType="separate"/>
      </w:r>
      <w:r w:rsidRPr="00083DAD" w:rsidR="00083DAD">
        <w:rPr>
          <w:noProof/>
        </w:rPr>
        <w:t>11</w:t>
      </w:r>
      <w:r w:rsidRPr="00083DAD" w:rsidR="007535C5">
        <w:fldChar w:fldCharType="end"/>
      </w:r>
      <w:r w:rsidRPr="00083DAD">
        <w:t xml:space="preserve"> ci-dessus) et les éléments obtenus n</w:t>
      </w:r>
      <w:r w:rsidRPr="00083DAD" w:rsidR="00083DAD">
        <w:t>’</w:t>
      </w:r>
      <w:r w:rsidRPr="00083DAD">
        <w:t>ayant pas permis de le localiser – , alors que ce témoin avait été entendu pas moins de cinq fois au cours de l</w:t>
      </w:r>
      <w:r w:rsidRPr="00083DAD" w:rsidR="00083DAD">
        <w:t>’</w:t>
      </w:r>
      <w:r w:rsidRPr="00083DAD">
        <w:t>enquête pénale (paragraphe</w:t>
      </w:r>
      <w:r w:rsidRPr="00083DAD" w:rsidR="000777C8">
        <w:t> </w:t>
      </w:r>
      <w:r w:rsidRPr="00083DAD" w:rsidR="007535C5">
        <w:fldChar w:fldCharType="begin"/>
      </w:r>
      <w:r w:rsidRPr="00083DAD" w:rsidR="007535C5">
        <w:instrText xml:space="preserve"> REF lectureKI_audience_publique \h </w:instrText>
      </w:r>
      <w:r w:rsidRPr="00083DAD" w:rsidR="007535C5">
        <w:fldChar w:fldCharType="separate"/>
      </w:r>
      <w:r w:rsidRPr="00083DAD" w:rsidR="00083DAD">
        <w:rPr>
          <w:noProof/>
        </w:rPr>
        <w:t>12</w:t>
      </w:r>
      <w:r w:rsidRPr="00083DAD" w:rsidR="007535C5">
        <w:fldChar w:fldCharType="end"/>
      </w:r>
      <w:r w:rsidRPr="00083DAD">
        <w:t xml:space="preserve"> ci</w:t>
      </w:r>
      <w:r w:rsidRPr="00083DAD">
        <w:noBreakHyphen/>
        <w:t>dessus). Dans ces circonstances, la Cour a des doutes quant à la question de savoir si les juridictions roumaines ont déployé tous les efforts que l</w:t>
      </w:r>
      <w:r w:rsidRPr="00083DAD" w:rsidR="00083DAD">
        <w:t>’</w:t>
      </w:r>
      <w:r w:rsidRPr="00083DAD">
        <w:t xml:space="preserve">on </w:t>
      </w:r>
      <w:r w:rsidRPr="00083DAD">
        <w:t>pouvait raisonnablement attendre d</w:t>
      </w:r>
      <w:r w:rsidRPr="00083DAD" w:rsidR="00083DAD">
        <w:t>’</w:t>
      </w:r>
      <w:r w:rsidRPr="00083DAD">
        <w:t>elles pour assurer la comparution de K.I.</w:t>
      </w:r>
    </w:p>
    <w:bookmarkStart w:name="para79" w:id="38"/>
    <w:p w:rsidRPr="00083DAD" w:rsidR="00CC31BB" w:rsidP="00083DAD">
      <w:pPr>
        <w:pStyle w:val="JuPara"/>
      </w:pPr>
      <w:r w:rsidRPr="00083DAD">
        <w:fldChar w:fldCharType="begin"/>
      </w:r>
      <w:r w:rsidRPr="00083DAD">
        <w:instrText xml:space="preserve"> SEQ level0 \*arabic </w:instrText>
      </w:r>
      <w:r w:rsidRPr="00083DAD">
        <w:fldChar w:fldCharType="separate"/>
      </w:r>
      <w:r w:rsidRPr="00083DAD" w:rsidR="00083DAD">
        <w:rPr>
          <w:noProof/>
        </w:rPr>
        <w:t>79</w:t>
      </w:r>
      <w:r w:rsidRPr="00083DAD">
        <w:fldChar w:fldCharType="end"/>
      </w:r>
      <w:bookmarkEnd w:id="38"/>
      <w:r w:rsidRPr="00083DAD">
        <w:t>.  S</w:t>
      </w:r>
      <w:r w:rsidRPr="00083DAD" w:rsidR="00083DAD">
        <w:t>’</w:t>
      </w:r>
      <w:r w:rsidRPr="00083DAD">
        <w:t>agissant ensuite du poids qu</w:t>
      </w:r>
      <w:r w:rsidRPr="00083DAD" w:rsidR="00083DAD">
        <w:t>’</w:t>
      </w:r>
      <w:r w:rsidRPr="00083DAD">
        <w:t>a revêtu la déposition de K.I. dans la condamnation du requérant, la Cour note que le tribunal, dans son jugement du 26 mars 2015, a jugé que les faits étaient établis par un ensemble d</w:t>
      </w:r>
      <w:r w:rsidRPr="00083DAD" w:rsidR="00083DAD">
        <w:t>’</w:t>
      </w:r>
      <w:r w:rsidRPr="00083DAD">
        <w:t>éléments de preuve, dont des documents médicolégaux, les déclarations de la partie lésée et de deux témoins (parmi lesquels K.I.), les rapports sur le test du détecteur de mensonges passé par K.I. et par le requérant, ainsi que le procès</w:t>
      </w:r>
      <w:r w:rsidRPr="00083DAD" w:rsidR="000777C8">
        <w:t>-</w:t>
      </w:r>
      <w:r w:rsidRPr="00083DAD">
        <w:t>verbal de confrontation entre la personne lésée et l</w:t>
      </w:r>
      <w:r w:rsidRPr="00083DAD" w:rsidR="00083DAD">
        <w:t>’</w:t>
      </w:r>
      <w:r w:rsidRPr="00083DAD">
        <w:t>inculpé (paragraphe</w:t>
      </w:r>
      <w:r w:rsidRPr="00083DAD" w:rsidR="000777C8">
        <w:t> </w:t>
      </w:r>
      <w:r w:rsidRPr="00083DAD" w:rsidR="00571E46">
        <w:fldChar w:fldCharType="begin"/>
      </w:r>
      <w:r w:rsidRPr="00083DAD" w:rsidR="00571E46">
        <w:instrText xml:space="preserve"> REF sentinta_1inst \h </w:instrText>
      </w:r>
      <w:r w:rsidRPr="00083DAD" w:rsidR="00571E46">
        <w:fldChar w:fldCharType="separate"/>
      </w:r>
      <w:r w:rsidRPr="00083DAD" w:rsidR="00083DAD">
        <w:rPr>
          <w:noProof/>
        </w:rPr>
        <w:t>14</w:t>
      </w:r>
      <w:r w:rsidRPr="00083DAD" w:rsidR="00571E46">
        <w:fldChar w:fldCharType="end"/>
      </w:r>
      <w:r w:rsidRPr="00083DAD">
        <w:t xml:space="preserve"> ci-dessus). La Cour en déduit que la déposition du témoin K.I. n</w:t>
      </w:r>
      <w:r w:rsidRPr="00083DAD" w:rsidR="00083DAD">
        <w:t>’</w:t>
      </w:r>
      <w:r w:rsidRPr="00083DAD">
        <w:t>a été ni le fondement unique ni l</w:t>
      </w:r>
      <w:r w:rsidRPr="00083DAD" w:rsidR="00083DAD">
        <w:t>’</w:t>
      </w:r>
      <w:r w:rsidRPr="00083DAD">
        <w:t>élément déterminant pour décider la condamnation du requérant. Elle note toutefois que, devant le parquet, le témoin K.I. avait déclaré qu</w:t>
      </w:r>
      <w:r w:rsidRPr="00083DAD" w:rsidR="00083DAD">
        <w:t>’</w:t>
      </w:r>
      <w:r w:rsidRPr="00083DAD">
        <w:t xml:space="preserve">il avait vu le requérant </w:t>
      </w:r>
      <w:r w:rsidRPr="00083DAD">
        <w:t>penché</w:t>
      </w:r>
      <w:r w:rsidRPr="00083DAD">
        <w:t xml:space="preserve"> sur la victime et que celle-ci présentait des traces de violences (paragraphe</w:t>
      </w:r>
      <w:r w:rsidRPr="00083DAD" w:rsidR="000777C8">
        <w:t xml:space="preserve"> </w:t>
      </w:r>
      <w:r w:rsidRPr="00083DAD" w:rsidR="00571E46">
        <w:fldChar w:fldCharType="begin"/>
      </w:r>
      <w:r w:rsidRPr="00083DAD" w:rsidR="00571E46">
        <w:instrText xml:space="preserve"> REF declarKI_parquet \h </w:instrText>
      </w:r>
      <w:r w:rsidRPr="00083DAD" w:rsidR="00571E46">
        <w:fldChar w:fldCharType="separate"/>
      </w:r>
      <w:r w:rsidRPr="00083DAD" w:rsidR="00083DAD">
        <w:rPr>
          <w:noProof/>
        </w:rPr>
        <w:t>6</w:t>
      </w:r>
      <w:r w:rsidRPr="00083DAD" w:rsidR="00571E46">
        <w:fldChar w:fldCharType="end"/>
      </w:r>
      <w:r w:rsidRPr="00083DAD">
        <w:t xml:space="preserve"> ci</w:t>
      </w:r>
      <w:r w:rsidRPr="00083DAD" w:rsidR="000777C8">
        <w:t>-</w:t>
      </w:r>
      <w:r w:rsidRPr="00083DAD">
        <w:t>dessus). Dans ces conditions, la Cour est prête à admettre que, sans forcément constituer le fondement unique ou déterminant de la condamnation du requérant, la déposition de K.I. revêtait un poids certain</w:t>
      </w:r>
      <w:r w:rsidRPr="00083DAD">
        <w:t xml:space="preserve"> </w:t>
      </w:r>
      <w:r w:rsidRPr="00083DAD">
        <w:t xml:space="preserve">et que son administration a causé des difficultés à la défense (voir, </w:t>
      </w:r>
      <w:r w:rsidRPr="00083DAD">
        <w:rPr>
          <w:i/>
        </w:rPr>
        <w:t>mutatis mutandis</w:t>
      </w:r>
      <w:r w:rsidRPr="00083DAD">
        <w:t xml:space="preserve">, </w:t>
      </w:r>
      <w:r w:rsidRPr="00083DAD">
        <w:rPr>
          <w:i/>
        </w:rPr>
        <w:t>Valdhuter</w:t>
      </w:r>
      <w:r w:rsidRPr="00083DAD">
        <w:rPr>
          <w:i/>
        </w:rPr>
        <w:t xml:space="preserve"> c.</w:t>
      </w:r>
      <w:r w:rsidRPr="00083DAD" w:rsidR="000777C8">
        <w:rPr>
          <w:i/>
        </w:rPr>
        <w:t xml:space="preserve"> </w:t>
      </w:r>
      <w:r w:rsidRPr="00083DAD">
        <w:rPr>
          <w:i/>
        </w:rPr>
        <w:t>Roumanie</w:t>
      </w:r>
      <w:r w:rsidRPr="00083DAD">
        <w:t>, n</w:t>
      </w:r>
      <w:r w:rsidRPr="00083DAD">
        <w:rPr>
          <w:vertAlign w:val="superscript"/>
        </w:rPr>
        <w:t>o</w:t>
      </w:r>
      <w:r w:rsidRPr="00083DAD" w:rsidR="000777C8">
        <w:t xml:space="preserve"> </w:t>
      </w:r>
      <w:r w:rsidRPr="00083DAD">
        <w:t>70792/10, § 49, 27 juin 2017).</w:t>
      </w:r>
    </w:p>
    <w:bookmarkStart w:name="para81" w:id="39"/>
    <w:bookmarkStart w:name="para80" w:id="40"/>
    <w:p w:rsidRPr="00083DAD" w:rsidR="00CC31BB" w:rsidP="00083DAD">
      <w:pPr>
        <w:pStyle w:val="JuPara"/>
      </w:pPr>
      <w:r w:rsidRPr="00083DAD">
        <w:fldChar w:fldCharType="begin"/>
      </w:r>
      <w:r w:rsidRPr="00083DAD">
        <w:instrText xml:space="preserve"> SEQ level0 \*arabic </w:instrText>
      </w:r>
      <w:r w:rsidRPr="00083DAD">
        <w:fldChar w:fldCharType="separate"/>
      </w:r>
      <w:r w:rsidRPr="00083DAD" w:rsidR="00083DAD">
        <w:rPr>
          <w:noProof/>
        </w:rPr>
        <w:t>80</w:t>
      </w:r>
      <w:r w:rsidRPr="00083DAD">
        <w:fldChar w:fldCharType="end"/>
      </w:r>
      <w:bookmarkEnd w:id="39"/>
      <w:bookmarkEnd w:id="40"/>
      <w:r w:rsidRPr="00083DAD">
        <w:t>.  La Cour doit ensuite examiner s</w:t>
      </w:r>
      <w:r w:rsidRPr="00083DAD" w:rsidR="00083DAD">
        <w:t>’</w:t>
      </w:r>
      <w:r w:rsidRPr="00083DAD">
        <w:t>il existait des éléments compensateurs suffisants pour contrebalancer les difficultés causées à la défense par l</w:t>
      </w:r>
      <w:r w:rsidRPr="00083DAD" w:rsidR="00083DAD">
        <w:t>’</w:t>
      </w:r>
      <w:r w:rsidRPr="00083DAD">
        <w:t>impossibilité de contre-interroger K.I. À cet égard, elle prend note de l</w:t>
      </w:r>
      <w:r w:rsidRPr="00083DAD" w:rsidR="00083DAD">
        <w:t>’</w:t>
      </w:r>
      <w:r w:rsidRPr="00083DAD">
        <w:t>argument du requérant selon lequel ni lui ni son avocat n</w:t>
      </w:r>
      <w:r w:rsidRPr="00083DAD" w:rsidR="00083DAD">
        <w:t>’</w:t>
      </w:r>
      <w:r w:rsidRPr="00083DAD">
        <w:t>étaient présents lors des auditions de ce témoin au cours de l</w:t>
      </w:r>
      <w:r w:rsidRPr="00083DAD" w:rsidR="00083DAD">
        <w:t>’</w:t>
      </w:r>
      <w:r w:rsidRPr="00083DAD">
        <w:t>enquête pénale (paragraphe</w:t>
      </w:r>
      <w:r w:rsidRPr="00083DAD" w:rsidR="000777C8">
        <w:t> </w:t>
      </w:r>
      <w:r w:rsidRPr="00083DAD" w:rsidR="00571E46">
        <w:fldChar w:fldCharType="begin"/>
      </w:r>
      <w:r w:rsidRPr="00083DAD" w:rsidR="00571E46">
        <w:instrText xml:space="preserve"> REF obsR_témoin \h </w:instrText>
      </w:r>
      <w:r w:rsidRPr="00083DAD" w:rsidR="00571E46">
        <w:fldChar w:fldCharType="separate"/>
      </w:r>
      <w:r w:rsidRPr="00083DAD" w:rsidR="00083DAD">
        <w:rPr>
          <w:noProof/>
        </w:rPr>
        <w:t>72</w:t>
      </w:r>
      <w:r w:rsidRPr="00083DAD" w:rsidR="00571E46">
        <w:fldChar w:fldCharType="end"/>
      </w:r>
      <w:r w:rsidRPr="00083DAD">
        <w:t xml:space="preserve"> ci-dessus). Cela étant, elle observe que le requérant a demandé la soumission du témoin K.I. à un test du détecteur de mensonges, ainsi qu</w:t>
      </w:r>
      <w:r w:rsidRPr="00083DAD" w:rsidR="00083DAD">
        <w:t>’</w:t>
      </w:r>
      <w:r w:rsidRPr="00083DAD">
        <w:t>à des confrontations avec d</w:t>
      </w:r>
      <w:r w:rsidRPr="00083DAD" w:rsidR="00083DAD">
        <w:t>’</w:t>
      </w:r>
      <w:r w:rsidRPr="00083DAD">
        <w:t>autres témoins, dont son père, et que ses demandes ont été accueillies pendant l</w:t>
      </w:r>
      <w:r w:rsidRPr="00083DAD" w:rsidR="00083DAD">
        <w:t>’</w:t>
      </w:r>
      <w:r w:rsidRPr="00083DAD">
        <w:t>enquête pénale (paragraphe</w:t>
      </w:r>
      <w:r w:rsidRPr="00083DAD" w:rsidR="000777C8">
        <w:t> </w:t>
      </w:r>
      <w:r w:rsidRPr="00083DAD" w:rsidR="00571E46">
        <w:fldChar w:fldCharType="begin"/>
      </w:r>
      <w:r w:rsidRPr="00083DAD" w:rsidR="00571E46">
        <w:instrText xml:space="preserve"> REF declarKI_parquet \h </w:instrText>
      </w:r>
      <w:r w:rsidRPr="00083DAD" w:rsidR="00571E46">
        <w:fldChar w:fldCharType="separate"/>
      </w:r>
      <w:r w:rsidRPr="00083DAD" w:rsidR="00083DAD">
        <w:rPr>
          <w:noProof/>
        </w:rPr>
        <w:t>6</w:t>
      </w:r>
      <w:r w:rsidRPr="00083DAD" w:rsidR="00571E46">
        <w:fldChar w:fldCharType="end"/>
      </w:r>
      <w:r w:rsidRPr="00083DAD">
        <w:t xml:space="preserve"> ci</w:t>
      </w:r>
      <w:r w:rsidRPr="00083DAD">
        <w:noBreakHyphen/>
        <w:t>dessus). Elle en déduit que, même s</w:t>
      </w:r>
      <w:r w:rsidRPr="00083DAD" w:rsidR="00083DAD">
        <w:t>’</w:t>
      </w:r>
      <w:r w:rsidRPr="00083DAD">
        <w:t>il n</w:t>
      </w:r>
      <w:r w:rsidRPr="00083DAD" w:rsidR="00083DAD">
        <w:t>’</w:t>
      </w:r>
      <w:r w:rsidRPr="00083DAD">
        <w:t>était pas présent au moment des auditions du témoin, le requérant a pu avoir connaissance de la teneur des déclarations de K.I. et qu</w:t>
      </w:r>
      <w:r w:rsidRPr="00083DAD" w:rsidR="00083DAD">
        <w:t>’</w:t>
      </w:r>
      <w:r w:rsidRPr="00083DAD">
        <w:t>il s</w:t>
      </w:r>
      <w:r w:rsidRPr="00083DAD" w:rsidR="00083DAD">
        <w:t>’</w:t>
      </w:r>
      <w:r w:rsidRPr="00083DAD">
        <w:t>est vu offrir une occasion de mettre en cause la crédibilité de celui</w:t>
      </w:r>
      <w:r w:rsidRPr="00083DAD" w:rsidR="000777C8">
        <w:t>-</w:t>
      </w:r>
      <w:r w:rsidRPr="00083DAD">
        <w:t>ci par un moyen tel que le test du détecteur de mensonges.</w:t>
      </w:r>
    </w:p>
    <w:p w:rsidRPr="00083DAD" w:rsidR="00CC31BB" w:rsidP="00083DAD">
      <w:pPr>
        <w:pStyle w:val="JuPara"/>
      </w:pPr>
      <w:r w:rsidRPr="00083DAD">
        <w:fldChar w:fldCharType="begin"/>
      </w:r>
      <w:r w:rsidRPr="00083DAD">
        <w:instrText xml:space="preserve"> SEQ level0 \*arabic </w:instrText>
      </w:r>
      <w:r w:rsidRPr="00083DAD">
        <w:fldChar w:fldCharType="separate"/>
      </w:r>
      <w:r w:rsidRPr="00083DAD" w:rsidR="00083DAD">
        <w:rPr>
          <w:noProof/>
        </w:rPr>
        <w:t>81</w:t>
      </w:r>
      <w:r w:rsidRPr="00083DAD">
        <w:fldChar w:fldCharType="end"/>
      </w:r>
      <w:r w:rsidRPr="00083DAD">
        <w:t>.  La Cour relève aussi que, si les juridictions internes n</w:t>
      </w:r>
      <w:r w:rsidRPr="00083DAD" w:rsidR="00083DAD">
        <w:t>’</w:t>
      </w:r>
      <w:r w:rsidRPr="00083DAD">
        <w:t>ont pas entendu le témoin K.I., le tribunal a procédé à la lecture en audience publique des déclarations que celui-ci avait faites pendant l</w:t>
      </w:r>
      <w:r w:rsidRPr="00083DAD" w:rsidR="00083DAD">
        <w:t>’</w:t>
      </w:r>
      <w:r w:rsidRPr="00083DAD">
        <w:t>enquête (paragraphe</w:t>
      </w:r>
      <w:r w:rsidRPr="00083DAD" w:rsidR="000777C8">
        <w:t> </w:t>
      </w:r>
      <w:r w:rsidRPr="00083DAD" w:rsidR="00571E46">
        <w:fldChar w:fldCharType="begin"/>
      </w:r>
      <w:r w:rsidRPr="00083DAD" w:rsidR="00571E46">
        <w:instrText xml:space="preserve"> REF lectureKI_audience_publique \h </w:instrText>
      </w:r>
      <w:r w:rsidRPr="00083DAD" w:rsidR="00571E46">
        <w:fldChar w:fldCharType="separate"/>
      </w:r>
      <w:r w:rsidRPr="00083DAD" w:rsidR="00083DAD">
        <w:rPr>
          <w:noProof/>
        </w:rPr>
        <w:t>12</w:t>
      </w:r>
      <w:r w:rsidRPr="00083DAD" w:rsidR="00571E46">
        <w:fldChar w:fldCharType="end"/>
      </w:r>
      <w:r w:rsidRPr="00083DAD">
        <w:t xml:space="preserve"> ci</w:t>
      </w:r>
      <w:r w:rsidRPr="00083DAD" w:rsidR="000777C8">
        <w:t>-</w:t>
      </w:r>
      <w:r w:rsidRPr="00083DAD">
        <w:t>dessus). Elle estime qu</w:t>
      </w:r>
      <w:r w:rsidRPr="00083DAD" w:rsidR="00083DAD">
        <w:t>’</w:t>
      </w:r>
      <w:r w:rsidRPr="00083DAD">
        <w:t>il s</w:t>
      </w:r>
      <w:r w:rsidRPr="00083DAD" w:rsidR="00083DAD">
        <w:t>’</w:t>
      </w:r>
      <w:r w:rsidRPr="00083DAD">
        <w:t>agit d</w:t>
      </w:r>
      <w:r w:rsidRPr="00083DAD" w:rsidR="00083DAD">
        <w:t>’</w:t>
      </w:r>
      <w:r w:rsidRPr="00083DAD">
        <w:t>un élément à prendre également en considération.</w:t>
      </w:r>
    </w:p>
    <w:p w:rsidRPr="00083DAD" w:rsidR="00CC31BB" w:rsidP="00083DAD">
      <w:pPr>
        <w:pStyle w:val="JuPara"/>
      </w:pPr>
      <w:r w:rsidRPr="00083DAD">
        <w:fldChar w:fldCharType="begin"/>
      </w:r>
      <w:r w:rsidRPr="00083DAD">
        <w:instrText xml:space="preserve"> SEQ level0 \*arabic </w:instrText>
      </w:r>
      <w:r w:rsidRPr="00083DAD">
        <w:fldChar w:fldCharType="separate"/>
      </w:r>
      <w:r w:rsidRPr="00083DAD" w:rsidR="00083DAD">
        <w:rPr>
          <w:noProof/>
        </w:rPr>
        <w:t>82</w:t>
      </w:r>
      <w:r w:rsidRPr="00083DAD">
        <w:fldChar w:fldCharType="end"/>
      </w:r>
      <w:r w:rsidRPr="00083DAD">
        <w:t>.  La Cour observe de plus que les juridictions internes ont procédé à un examen rigoureux des éléments de preuve (paragraphes</w:t>
      </w:r>
      <w:r w:rsidRPr="00083DAD" w:rsidR="000777C8">
        <w:t xml:space="preserve"> </w:t>
      </w:r>
      <w:r w:rsidRPr="00083DAD" w:rsidR="00571E46">
        <w:fldChar w:fldCharType="begin"/>
      </w:r>
      <w:r w:rsidRPr="00083DAD" w:rsidR="00571E46">
        <w:instrText xml:space="preserve"> REF sentinta_1inst \h </w:instrText>
      </w:r>
      <w:r w:rsidRPr="00083DAD" w:rsidR="00571E46">
        <w:fldChar w:fldCharType="separate"/>
      </w:r>
      <w:r w:rsidRPr="00083DAD" w:rsidR="00083DAD">
        <w:rPr>
          <w:noProof/>
        </w:rPr>
        <w:t>14</w:t>
      </w:r>
      <w:r w:rsidRPr="00083DAD" w:rsidR="00571E46">
        <w:fldChar w:fldCharType="end"/>
      </w:r>
      <w:r w:rsidRPr="00083DAD" w:rsidR="000777C8">
        <w:t xml:space="preserve">, </w:t>
      </w:r>
      <w:r w:rsidRPr="00083DAD" w:rsidR="00571E46">
        <w:fldChar w:fldCharType="begin"/>
      </w:r>
      <w:r w:rsidRPr="00083DAD" w:rsidR="00571E46">
        <w:instrText xml:space="preserve"> REF trib_examen_probe \h </w:instrText>
      </w:r>
      <w:r w:rsidRPr="00083DAD" w:rsidR="00571E46">
        <w:fldChar w:fldCharType="separate"/>
      </w:r>
      <w:r w:rsidRPr="00083DAD" w:rsidR="00083DAD">
        <w:rPr>
          <w:noProof/>
        </w:rPr>
        <w:t>15</w:t>
      </w:r>
      <w:r w:rsidRPr="00083DAD" w:rsidR="00571E46">
        <w:fldChar w:fldCharType="end"/>
      </w:r>
      <w:r w:rsidRPr="00083DAD" w:rsidR="000777C8">
        <w:t xml:space="preserve"> et </w:t>
      </w:r>
      <w:r w:rsidRPr="00083DAD" w:rsidR="00571E46">
        <w:fldChar w:fldCharType="begin"/>
      </w:r>
      <w:r w:rsidRPr="00083DAD" w:rsidR="00571E46">
        <w:instrText xml:space="preserve"> REF arret_def_appel \h </w:instrText>
      </w:r>
      <w:r w:rsidRPr="00083DAD" w:rsidR="00571E46">
        <w:fldChar w:fldCharType="separate"/>
      </w:r>
      <w:r w:rsidRPr="00083DAD" w:rsidR="00083DAD">
        <w:rPr>
          <w:noProof/>
        </w:rPr>
        <w:t>22</w:t>
      </w:r>
      <w:r w:rsidRPr="00083DAD" w:rsidR="00571E46">
        <w:fldChar w:fldCharType="end"/>
      </w:r>
      <w:r w:rsidRPr="00083DAD" w:rsidR="000777C8">
        <w:t xml:space="preserve"> </w:t>
      </w:r>
      <w:r w:rsidRPr="00083DAD">
        <w:t>ci</w:t>
      </w:r>
      <w:r w:rsidRPr="00083DAD">
        <w:noBreakHyphen/>
        <w:t>dessus). Le tribunal a notamment procédé à une analyse équilibrée de tous les éléments de preuve, a examiné leur valeur probante avec soin et a jugé que les faits étaient établis par l</w:t>
      </w:r>
      <w:r w:rsidRPr="00083DAD" w:rsidR="00083DAD">
        <w:t>’</w:t>
      </w:r>
      <w:r w:rsidRPr="00083DAD">
        <w:t>ensemble des éléments de preuve, corroborés les uns par les autres (paragraphes</w:t>
      </w:r>
      <w:r w:rsidRPr="00083DAD" w:rsidR="000777C8">
        <w:t xml:space="preserve"> </w:t>
      </w:r>
      <w:r w:rsidRPr="00083DAD" w:rsidR="005A492C">
        <w:fldChar w:fldCharType="begin"/>
      </w:r>
      <w:r w:rsidRPr="00083DAD" w:rsidR="005A492C">
        <w:instrText xml:space="preserve"> REF sentinta_1inst \h </w:instrText>
      </w:r>
      <w:r w:rsidRPr="00083DAD" w:rsidR="005A492C">
        <w:fldChar w:fldCharType="separate"/>
      </w:r>
      <w:r w:rsidRPr="00083DAD" w:rsidR="00083DAD">
        <w:rPr>
          <w:noProof/>
        </w:rPr>
        <w:t>14</w:t>
      </w:r>
      <w:r w:rsidRPr="00083DAD" w:rsidR="005A492C">
        <w:fldChar w:fldCharType="end"/>
      </w:r>
      <w:r w:rsidRPr="00083DAD" w:rsidR="000777C8">
        <w:t xml:space="preserve"> et </w:t>
      </w:r>
      <w:r w:rsidRPr="00083DAD" w:rsidR="005A492C">
        <w:fldChar w:fldCharType="begin"/>
      </w:r>
      <w:r w:rsidRPr="00083DAD" w:rsidR="005A492C">
        <w:instrText xml:space="preserve"> REF trib_examen_probe \h </w:instrText>
      </w:r>
      <w:r w:rsidRPr="00083DAD" w:rsidR="005A492C">
        <w:fldChar w:fldCharType="separate"/>
      </w:r>
      <w:r w:rsidRPr="00083DAD" w:rsidR="00083DAD">
        <w:rPr>
          <w:noProof/>
        </w:rPr>
        <w:t>15</w:t>
      </w:r>
      <w:r w:rsidRPr="00083DAD" w:rsidR="005A492C">
        <w:fldChar w:fldCharType="end"/>
      </w:r>
      <w:r w:rsidRPr="00083DAD">
        <w:t xml:space="preserve"> ci-dessus). En outre, </w:t>
      </w:r>
      <w:r w:rsidRPr="00083DAD">
        <w:t>le tribunal a donné des réponses détaillées à tous les arguments présentés par le requérant en sa défense et il a écarté les éléments de preuve proposés par celui-ci de manière motivée (paragraphe</w:t>
      </w:r>
      <w:r w:rsidRPr="00083DAD" w:rsidR="000777C8">
        <w:t xml:space="preserve"> </w:t>
      </w:r>
      <w:r w:rsidRPr="00083DAD" w:rsidR="005A492C">
        <w:fldChar w:fldCharType="begin"/>
      </w:r>
      <w:r w:rsidRPr="00083DAD" w:rsidR="005A492C">
        <w:instrText xml:space="preserve"> REF trib_examen_probe \h </w:instrText>
      </w:r>
      <w:r w:rsidRPr="00083DAD" w:rsidR="005A492C">
        <w:fldChar w:fldCharType="separate"/>
      </w:r>
      <w:r w:rsidRPr="00083DAD" w:rsidR="00083DAD">
        <w:rPr>
          <w:noProof/>
        </w:rPr>
        <w:t>15</w:t>
      </w:r>
      <w:r w:rsidRPr="00083DAD" w:rsidR="005A492C">
        <w:fldChar w:fldCharType="end"/>
      </w:r>
      <w:r w:rsidRPr="00083DAD">
        <w:t xml:space="preserve"> ci-dessus)</w:t>
      </w:r>
    </w:p>
    <w:p w:rsidRPr="00083DAD" w:rsidR="00CC31BB" w:rsidP="00083DAD">
      <w:pPr>
        <w:pStyle w:val="JuPara"/>
      </w:pPr>
      <w:r w:rsidRPr="00083DAD">
        <w:fldChar w:fldCharType="begin"/>
      </w:r>
      <w:r w:rsidRPr="00083DAD">
        <w:instrText xml:space="preserve"> SEQ level0 \*arabic </w:instrText>
      </w:r>
      <w:r w:rsidRPr="00083DAD">
        <w:fldChar w:fldCharType="separate"/>
      </w:r>
      <w:r w:rsidRPr="00083DAD" w:rsidR="00083DAD">
        <w:rPr>
          <w:noProof/>
        </w:rPr>
        <w:t>83</w:t>
      </w:r>
      <w:r w:rsidRPr="00083DAD">
        <w:fldChar w:fldCharType="end"/>
      </w:r>
      <w:r w:rsidRPr="00083DAD">
        <w:t>.  La Cour observe par ailleurs que le requérant n</w:t>
      </w:r>
      <w:r w:rsidRPr="00083DAD" w:rsidR="00083DAD">
        <w:t>’</w:t>
      </w:r>
      <w:r w:rsidRPr="00083DAD">
        <w:t>a pas allégué s</w:t>
      </w:r>
      <w:r w:rsidRPr="00083DAD" w:rsidR="00083DAD">
        <w:t>’</w:t>
      </w:r>
      <w:r w:rsidRPr="00083DAD">
        <w:t>être trouvé dans l</w:t>
      </w:r>
      <w:r w:rsidRPr="00083DAD" w:rsidR="00083DAD">
        <w:t>’</w:t>
      </w:r>
      <w:r w:rsidRPr="00083DAD">
        <w:t>impossibilité de proposer d</w:t>
      </w:r>
      <w:r w:rsidRPr="00083DAD" w:rsidR="00083DAD">
        <w:t>’</w:t>
      </w:r>
      <w:r w:rsidRPr="00083DAD">
        <w:t>autres éléments de preuve pour sa défense. En réalité, l</w:t>
      </w:r>
      <w:r w:rsidRPr="00083DAD" w:rsidR="00083DAD">
        <w:t>’</w:t>
      </w:r>
      <w:r w:rsidRPr="00083DAD">
        <w:t>intéressé a eu la possibilité de donner sa propre version des faits et de mettre en doute la crédibilité du témoin absent K.I., en particulier en soulignant toute incohérence ou contradiction (</w:t>
      </w:r>
      <w:r w:rsidRPr="00083DAD">
        <w:rPr>
          <w:i/>
        </w:rPr>
        <w:t>Schatschaschwili</w:t>
      </w:r>
      <w:r w:rsidRPr="00083DAD">
        <w:t>, précité, § 131).</w:t>
      </w:r>
    </w:p>
    <w:bookmarkStart w:name="elem_compansateurs_fin" w:id="41"/>
    <w:p w:rsidRPr="00083DAD" w:rsidR="00CC31BB" w:rsidP="00083DAD">
      <w:pPr>
        <w:pStyle w:val="JuPara"/>
      </w:pPr>
      <w:r w:rsidRPr="00083DAD">
        <w:fldChar w:fldCharType="begin"/>
      </w:r>
      <w:r w:rsidRPr="00083DAD">
        <w:instrText xml:space="preserve"> SEQ level0 \*arabic </w:instrText>
      </w:r>
      <w:r w:rsidRPr="00083DAD">
        <w:fldChar w:fldCharType="separate"/>
      </w:r>
      <w:r w:rsidRPr="00083DAD" w:rsidR="00083DAD">
        <w:rPr>
          <w:noProof/>
        </w:rPr>
        <w:t>84</w:t>
      </w:r>
      <w:r w:rsidRPr="00083DAD">
        <w:fldChar w:fldCharType="end"/>
      </w:r>
      <w:bookmarkEnd w:id="41"/>
      <w:r w:rsidRPr="00083DAD">
        <w:t>.  La Cour constate donc que le requérant a pu bénéficier d</w:t>
      </w:r>
      <w:r w:rsidRPr="00083DAD" w:rsidR="00083DAD">
        <w:t>’</w:t>
      </w:r>
      <w:r w:rsidRPr="00083DAD">
        <w:t>un nombre important d</w:t>
      </w:r>
      <w:r w:rsidRPr="00083DAD" w:rsidR="00083DAD">
        <w:t>’</w:t>
      </w:r>
      <w:r w:rsidRPr="00083DAD">
        <w:t>éléments compensateurs.</w:t>
      </w:r>
    </w:p>
    <w:p w:rsidRPr="00083DAD" w:rsidR="00CC31BB" w:rsidP="00083DAD">
      <w:pPr>
        <w:pStyle w:val="JuPara"/>
      </w:pPr>
      <w:r w:rsidRPr="00083DAD">
        <w:fldChar w:fldCharType="begin"/>
      </w:r>
      <w:r w:rsidRPr="00083DAD">
        <w:instrText xml:space="preserve"> SEQ level0 \*arabic </w:instrText>
      </w:r>
      <w:r w:rsidRPr="00083DAD">
        <w:fldChar w:fldCharType="separate"/>
      </w:r>
      <w:r w:rsidRPr="00083DAD" w:rsidR="00083DAD">
        <w:rPr>
          <w:noProof/>
        </w:rPr>
        <w:t>85</w:t>
      </w:r>
      <w:r w:rsidRPr="00083DAD">
        <w:fldChar w:fldCharType="end"/>
      </w:r>
      <w:r w:rsidRPr="00083DAD">
        <w:t>.  Pour conclure, la Cour note qu</w:t>
      </w:r>
      <w:r w:rsidRPr="00083DAD" w:rsidR="00083DAD">
        <w:t>’</w:t>
      </w:r>
      <w:r w:rsidRPr="00083DAD">
        <w:t>il n</w:t>
      </w:r>
      <w:r w:rsidRPr="00083DAD" w:rsidR="00083DAD">
        <w:t>’</w:t>
      </w:r>
      <w:r w:rsidRPr="00083DAD">
        <w:t>a pas été valablement démontré que l</w:t>
      </w:r>
      <w:r w:rsidRPr="00083DAD" w:rsidR="00083DAD">
        <w:t>’</w:t>
      </w:r>
      <w:r w:rsidRPr="00083DAD">
        <w:t>absence du témoin K.I. était justifiée par un motif sérieux (paragraphe</w:t>
      </w:r>
      <w:r w:rsidRPr="00083DAD" w:rsidR="000777C8">
        <w:t> </w:t>
      </w:r>
      <w:r w:rsidRPr="00083DAD" w:rsidR="005A492C">
        <w:fldChar w:fldCharType="begin"/>
      </w:r>
      <w:r w:rsidRPr="00083DAD" w:rsidR="005A492C">
        <w:instrText xml:space="preserve"> REF par78 \h </w:instrText>
      </w:r>
      <w:r w:rsidRPr="00083DAD" w:rsidR="005A492C">
        <w:fldChar w:fldCharType="separate"/>
      </w:r>
      <w:r w:rsidRPr="00083DAD" w:rsidR="00083DAD">
        <w:rPr>
          <w:noProof/>
        </w:rPr>
        <w:t>78</w:t>
      </w:r>
      <w:r w:rsidRPr="00083DAD" w:rsidR="005A492C">
        <w:fldChar w:fldCharType="end"/>
      </w:r>
      <w:r w:rsidRPr="00083DAD">
        <w:t xml:space="preserve"> ci-dessus). Elle rappelle que, même si cela constitue un élément de poids pour apprécier l</w:t>
      </w:r>
      <w:r w:rsidRPr="00083DAD" w:rsidR="00083DAD">
        <w:t>’</w:t>
      </w:r>
      <w:r w:rsidRPr="00083DAD">
        <w:t>équité globale du procès, un défaut d</w:t>
      </w:r>
      <w:r w:rsidRPr="00083DAD" w:rsidR="00083DAD">
        <w:t>’</w:t>
      </w:r>
      <w:r w:rsidRPr="00083DAD">
        <w:t xml:space="preserve">observation de la première étape du critère </w:t>
      </w:r>
      <w:r w:rsidRPr="00083DAD">
        <w:rPr>
          <w:i/>
        </w:rPr>
        <w:t>Al</w:t>
      </w:r>
      <w:r w:rsidRPr="00083DAD" w:rsidR="000777C8">
        <w:rPr>
          <w:i/>
        </w:rPr>
        <w:t>-</w:t>
      </w:r>
      <w:r w:rsidRPr="00083DAD">
        <w:rPr>
          <w:i/>
        </w:rPr>
        <w:t>Khawaja</w:t>
      </w:r>
      <w:r w:rsidRPr="00083DAD">
        <w:rPr>
          <w:i/>
        </w:rPr>
        <w:t xml:space="preserve"> et</w:t>
      </w:r>
      <w:r w:rsidRPr="00083DAD" w:rsidR="000777C8">
        <w:rPr>
          <w:i/>
        </w:rPr>
        <w:t xml:space="preserve"> </w:t>
      </w:r>
      <w:r w:rsidRPr="00083DAD">
        <w:rPr>
          <w:i/>
        </w:rPr>
        <w:t>Tahery</w:t>
      </w:r>
      <w:r w:rsidRPr="00083DAD">
        <w:t>, plus précisément l</w:t>
      </w:r>
      <w:r w:rsidRPr="00083DAD" w:rsidR="00083DAD">
        <w:t>’</w:t>
      </w:r>
      <w:r w:rsidRPr="00083DAD">
        <w:t>absence de motif sérieux justifiant la non</w:t>
      </w:r>
      <w:r w:rsidRPr="00083DAD" w:rsidR="000777C8">
        <w:t>-</w:t>
      </w:r>
      <w:r w:rsidRPr="00083DAD">
        <w:t>comparution d</w:t>
      </w:r>
      <w:r w:rsidRPr="00083DAD" w:rsidR="00083DAD">
        <w:t>’</w:t>
      </w:r>
      <w:r w:rsidRPr="00083DAD">
        <w:t>un témoin, n</w:t>
      </w:r>
      <w:r w:rsidRPr="00083DAD" w:rsidR="00083DAD">
        <w:t>’</w:t>
      </w:r>
      <w:r w:rsidRPr="00083DAD">
        <w:t>est pas en soi décisif (voir la jurisprudence citée au paragraphe</w:t>
      </w:r>
      <w:r w:rsidRPr="00083DAD" w:rsidR="000777C8">
        <w:t> </w:t>
      </w:r>
      <w:r w:rsidRPr="00083DAD" w:rsidR="005A492C">
        <w:fldChar w:fldCharType="begin"/>
      </w:r>
      <w:r w:rsidRPr="00083DAD" w:rsidR="005A492C">
        <w:instrText xml:space="preserve"> REF para77 \h </w:instrText>
      </w:r>
      <w:r w:rsidRPr="00083DAD" w:rsidR="005A492C">
        <w:fldChar w:fldCharType="separate"/>
      </w:r>
      <w:r w:rsidRPr="00083DAD" w:rsidR="00083DAD">
        <w:rPr>
          <w:noProof/>
        </w:rPr>
        <w:t>76</w:t>
      </w:r>
      <w:r w:rsidRPr="00083DAD" w:rsidR="005A492C">
        <w:fldChar w:fldCharType="end"/>
      </w:r>
      <w:r w:rsidRPr="00083DAD">
        <w:t xml:space="preserve"> ci-dessus, ainsi que, </w:t>
      </w:r>
      <w:r w:rsidRPr="00083DAD">
        <w:rPr>
          <w:i/>
          <w:iCs/>
        </w:rPr>
        <w:t>mutatis mutandis</w:t>
      </w:r>
      <w:r w:rsidRPr="00083DAD">
        <w:t xml:space="preserve">, </w:t>
      </w:r>
      <w:r w:rsidRPr="00083DAD">
        <w:rPr>
          <w:i/>
          <w:iCs/>
        </w:rPr>
        <w:t xml:space="preserve">Ben </w:t>
      </w:r>
      <w:r w:rsidRPr="00083DAD">
        <w:rPr>
          <w:i/>
          <w:iCs/>
        </w:rPr>
        <w:t>Moumen</w:t>
      </w:r>
      <w:r w:rsidRPr="00083DAD">
        <w:t xml:space="preserve"> </w:t>
      </w:r>
      <w:r w:rsidRPr="00083DAD">
        <w:rPr>
          <w:i/>
          <w:iCs/>
        </w:rPr>
        <w:t>c. Italie</w:t>
      </w:r>
      <w:r w:rsidRPr="00083DAD">
        <w:t>, n</w:t>
      </w:r>
      <w:r w:rsidRPr="00083DAD">
        <w:rPr>
          <w:vertAlign w:val="superscript"/>
        </w:rPr>
        <w:t>o</w:t>
      </w:r>
      <w:r w:rsidRPr="00083DAD">
        <w:t xml:space="preserve"> 3977/13, § 52, 23 juin 2016, et </w:t>
      </w:r>
      <w:r w:rsidRPr="00083DAD">
        <w:rPr>
          <w:i/>
        </w:rPr>
        <w:t xml:space="preserve">Virgil Dan </w:t>
      </w:r>
      <w:r w:rsidRPr="00083DAD">
        <w:rPr>
          <w:i/>
        </w:rPr>
        <w:t>Vasile</w:t>
      </w:r>
      <w:r w:rsidRPr="00083DAD">
        <w:rPr>
          <w:i/>
        </w:rPr>
        <w:t xml:space="preserve"> c. Roumanie</w:t>
      </w:r>
      <w:r w:rsidRPr="00083DAD">
        <w:t>, n</w:t>
      </w:r>
      <w:r w:rsidRPr="00083DAD">
        <w:rPr>
          <w:vertAlign w:val="superscript"/>
        </w:rPr>
        <w:t>o</w:t>
      </w:r>
      <w:r w:rsidRPr="00083DAD" w:rsidR="000777C8">
        <w:t xml:space="preserve"> </w:t>
      </w:r>
      <w:r w:rsidRPr="00083DAD">
        <w:t>35517/11, §</w:t>
      </w:r>
      <w:r w:rsidRPr="00083DAD" w:rsidR="00C80014">
        <w:t xml:space="preserve"> 67, 15 mai </w:t>
      </w:r>
      <w:r w:rsidRPr="00083DAD">
        <w:t>2018). S</w:t>
      </w:r>
      <w:r w:rsidRPr="00083DAD" w:rsidR="00083DAD">
        <w:t>’</w:t>
      </w:r>
      <w:r w:rsidRPr="00083DAD">
        <w:t>agissant des deux autres étapes du critère, il convient d</w:t>
      </w:r>
      <w:r w:rsidRPr="00083DAD" w:rsidR="00083DAD">
        <w:t>’</w:t>
      </w:r>
      <w:r w:rsidRPr="00083DAD">
        <w:t>avoir égard aux éléments compensateurs présents en l</w:t>
      </w:r>
      <w:r w:rsidRPr="00083DAD" w:rsidR="00083DAD">
        <w:t>’</w:t>
      </w:r>
      <w:r w:rsidRPr="00083DAD">
        <w:t>espèce (paragraphes</w:t>
      </w:r>
      <w:r w:rsidRPr="00083DAD" w:rsidR="00306AF6">
        <w:t xml:space="preserve"> </w:t>
      </w:r>
      <w:r w:rsidRPr="00083DAD" w:rsidR="00306AF6">
        <w:fldChar w:fldCharType="begin"/>
      </w:r>
      <w:r w:rsidRPr="00083DAD" w:rsidR="00306AF6">
        <w:instrText xml:space="preserve"> REF para80 \h </w:instrText>
      </w:r>
      <w:r w:rsidRPr="00083DAD" w:rsidR="00306AF6">
        <w:fldChar w:fldCharType="separate"/>
      </w:r>
      <w:r w:rsidRPr="00083DAD" w:rsidR="00083DAD">
        <w:rPr>
          <w:noProof/>
        </w:rPr>
        <w:t>80</w:t>
      </w:r>
      <w:r w:rsidRPr="00083DAD" w:rsidR="00306AF6">
        <w:fldChar w:fldCharType="end"/>
      </w:r>
      <w:r w:rsidRPr="00083DAD" w:rsidR="00306AF6">
        <w:t>-</w:t>
      </w:r>
      <w:r w:rsidRPr="00083DAD" w:rsidR="000777C8">
        <w:t> </w:t>
      </w:r>
      <w:r w:rsidRPr="00083DAD" w:rsidR="005A492C">
        <w:fldChar w:fldCharType="begin"/>
      </w:r>
      <w:r w:rsidRPr="00083DAD" w:rsidR="005A492C">
        <w:instrText xml:space="preserve"> REF elem_compansateurs_fin \h </w:instrText>
      </w:r>
      <w:r w:rsidRPr="00083DAD" w:rsidR="005A492C">
        <w:fldChar w:fldCharType="separate"/>
      </w:r>
      <w:r w:rsidRPr="00083DAD" w:rsidR="00083DAD">
        <w:rPr>
          <w:noProof/>
        </w:rPr>
        <w:t>84</w:t>
      </w:r>
      <w:r w:rsidRPr="00083DAD" w:rsidR="005A492C">
        <w:fldChar w:fldCharType="end"/>
      </w:r>
      <w:r w:rsidRPr="00083DAD">
        <w:t xml:space="preserve"> ci-dessus), considérés dans leur globalité à la lumière de la conclusion de la Cour selon laquelle la déposition de K.I. n</w:t>
      </w:r>
      <w:r w:rsidRPr="00083DAD" w:rsidR="00083DAD">
        <w:t>’</w:t>
      </w:r>
      <w:r w:rsidRPr="00083DAD">
        <w:t>a pas été déterminante pour la condamnation du requérant, mais a revêtu un poids certain à cette fin (paragraphe</w:t>
      </w:r>
      <w:r w:rsidRPr="00083DAD" w:rsidR="000777C8">
        <w:t xml:space="preserve"> </w:t>
      </w:r>
      <w:r w:rsidRPr="00083DAD" w:rsidR="00306AF6">
        <w:fldChar w:fldCharType="begin"/>
      </w:r>
      <w:r w:rsidRPr="00083DAD" w:rsidR="00306AF6">
        <w:instrText xml:space="preserve"> REF para79 \h </w:instrText>
      </w:r>
      <w:r w:rsidRPr="00083DAD" w:rsidR="00306AF6">
        <w:fldChar w:fldCharType="separate"/>
      </w:r>
      <w:r w:rsidRPr="00083DAD" w:rsidR="00083DAD">
        <w:rPr>
          <w:noProof/>
        </w:rPr>
        <w:t>79</w:t>
      </w:r>
      <w:r w:rsidRPr="00083DAD" w:rsidR="00306AF6">
        <w:fldChar w:fldCharType="end"/>
      </w:r>
      <w:r w:rsidRPr="00083DAD" w:rsidR="00306AF6">
        <w:t xml:space="preserve"> </w:t>
      </w:r>
      <w:r w:rsidRPr="00083DAD">
        <w:t>ci</w:t>
      </w:r>
      <w:r w:rsidRPr="00083DAD" w:rsidR="000777C8">
        <w:t>-</w:t>
      </w:r>
      <w:r w:rsidRPr="00083DAD">
        <w:t>dessus). Compte tenu de la procédure prise dans son ensemble, la Cour estime que les éléments compensateurs dont a bénéficié le requérant étaient suffisants et de nature à contrebalancer les difficultés rencontrées par la défense.</w:t>
      </w:r>
    </w:p>
    <w:bookmarkStart w:name="par85" w:id="42"/>
    <w:p w:rsidRPr="00083DAD" w:rsidR="00CC31BB" w:rsidP="00083DAD">
      <w:pPr>
        <w:pStyle w:val="JuPara"/>
      </w:pPr>
      <w:r w:rsidRPr="00083DAD">
        <w:fldChar w:fldCharType="begin"/>
      </w:r>
      <w:r w:rsidRPr="00083DAD">
        <w:instrText xml:space="preserve"> SEQ level0 \*arabic </w:instrText>
      </w:r>
      <w:r w:rsidRPr="00083DAD">
        <w:fldChar w:fldCharType="separate"/>
      </w:r>
      <w:r w:rsidRPr="00083DAD" w:rsidR="00083DAD">
        <w:rPr>
          <w:noProof/>
        </w:rPr>
        <w:t>86</w:t>
      </w:r>
      <w:r w:rsidRPr="00083DAD">
        <w:fldChar w:fldCharType="end"/>
      </w:r>
      <w:bookmarkEnd w:id="42"/>
      <w:r w:rsidRPr="00083DAD">
        <w:t>.  Partant, il n</w:t>
      </w:r>
      <w:r w:rsidRPr="00083DAD" w:rsidR="00083DAD">
        <w:t>’</w:t>
      </w:r>
      <w:r w:rsidRPr="00083DAD">
        <w:t>y a pas eu violation de l</w:t>
      </w:r>
      <w:r w:rsidRPr="00083DAD" w:rsidR="00083DAD">
        <w:t>’</w:t>
      </w:r>
      <w:r w:rsidRPr="00083DAD">
        <w:t>article 6 §§ 1 et 3 d) de la Convention.</w:t>
      </w:r>
    </w:p>
    <w:p w:rsidRPr="00083DAD" w:rsidR="00CC31BB" w:rsidP="00083DAD">
      <w:pPr>
        <w:pStyle w:val="JuHIRoman"/>
        <w:keepNext w:val="0"/>
        <w:keepLines w:val="0"/>
        <w:numPr>
          <w:ilvl w:val="1"/>
          <w:numId w:val="21"/>
        </w:numPr>
        <w:jc w:val="both"/>
        <w:rPr>
          <w:lang w:val="fr-FR"/>
        </w:rPr>
      </w:pPr>
      <w:r w:rsidRPr="00083DAD">
        <w:rPr>
          <w:caps w:val="0"/>
          <w:lang w:val="fr-FR"/>
        </w:rPr>
        <w:t>SUR L</w:t>
      </w:r>
      <w:r w:rsidRPr="00083DAD" w:rsidR="00083DAD">
        <w:rPr>
          <w:caps w:val="0"/>
          <w:lang w:val="fr-FR"/>
        </w:rPr>
        <w:t>’</w:t>
      </w:r>
      <w:r w:rsidRPr="00083DAD">
        <w:rPr>
          <w:caps w:val="0"/>
          <w:lang w:val="fr-FR"/>
        </w:rPr>
        <w:t>APPLICATION DE L</w:t>
      </w:r>
      <w:r w:rsidRPr="00083DAD" w:rsidR="00083DAD">
        <w:rPr>
          <w:caps w:val="0"/>
          <w:lang w:val="fr-FR"/>
        </w:rPr>
        <w:t>’</w:t>
      </w:r>
      <w:r w:rsidRPr="00083DAD">
        <w:rPr>
          <w:caps w:val="0"/>
          <w:lang w:val="fr-FR"/>
        </w:rPr>
        <w:t xml:space="preserve">ARTICLE </w:t>
      </w:r>
      <w:r w:rsidRPr="00083DAD">
        <w:rPr>
          <w:caps w:val="0"/>
          <w:lang w:val="fr-FR"/>
        </w:rPr>
        <w:t>41 DE LA CONVENTION</w:t>
      </w:r>
    </w:p>
    <w:p w:rsidRPr="00083DAD" w:rsidR="00CC31BB" w:rsidP="00083DAD">
      <w:pPr>
        <w:pStyle w:val="JuPara"/>
      </w:pPr>
      <w:r w:rsidRPr="00083DAD">
        <w:fldChar w:fldCharType="begin"/>
      </w:r>
      <w:r w:rsidRPr="00083DAD">
        <w:instrText xml:space="preserve"> SEQ level0 \*arabic </w:instrText>
      </w:r>
      <w:r w:rsidRPr="00083DAD">
        <w:fldChar w:fldCharType="separate"/>
      </w:r>
      <w:r w:rsidRPr="00083DAD" w:rsidR="00083DAD">
        <w:rPr>
          <w:noProof/>
        </w:rPr>
        <w:t>87</w:t>
      </w:r>
      <w:r w:rsidRPr="00083DAD">
        <w:fldChar w:fldCharType="end"/>
      </w:r>
      <w:r w:rsidRPr="00083DAD">
        <w:t>.  Aux termes de l</w:t>
      </w:r>
      <w:r w:rsidRPr="00083DAD" w:rsidR="00083DAD">
        <w:t>’</w:t>
      </w:r>
      <w:r w:rsidRPr="00083DAD">
        <w:t>article 41 de la Convention :</w:t>
      </w:r>
    </w:p>
    <w:p w:rsidRPr="00083DAD" w:rsidR="00CC31BB" w:rsidP="00083DAD">
      <w:pPr>
        <w:pStyle w:val="JuQuot"/>
      </w:pPr>
      <w:r w:rsidRPr="00083DAD">
        <w:t>« Si la Cour déclare qu</w:t>
      </w:r>
      <w:r w:rsidRPr="00083DAD" w:rsidR="00083DAD">
        <w:t>’</w:t>
      </w:r>
      <w:r w:rsidRPr="00083DAD">
        <w:t>il y a eu violation de la Convention ou de ses Protocoles, et si le droit interne de la Haute Partie contractante ne permet d</w:t>
      </w:r>
      <w:r w:rsidRPr="00083DAD" w:rsidR="00083DAD">
        <w:t>’</w:t>
      </w:r>
      <w:r w:rsidRPr="00083DAD">
        <w:t>effacer qu</w:t>
      </w:r>
      <w:r w:rsidRPr="00083DAD" w:rsidR="00083DAD">
        <w:t>’</w:t>
      </w:r>
      <w:r w:rsidRPr="00083DAD">
        <w:t>imparfaitement les conséquences de cette violation, la Cour accorde à la partie lésée, s</w:t>
      </w:r>
      <w:r w:rsidRPr="00083DAD" w:rsidR="00083DAD">
        <w:t>’</w:t>
      </w:r>
      <w:r w:rsidRPr="00083DAD">
        <w:t>il y a lieu, une satisfaction équitable. »</w:t>
      </w:r>
    </w:p>
    <w:p w:rsidRPr="00083DAD" w:rsidR="00CC31BB" w:rsidP="00083DAD">
      <w:pPr>
        <w:pStyle w:val="JuHA"/>
        <w:numPr>
          <w:ilvl w:val="2"/>
          <w:numId w:val="21"/>
        </w:numPr>
        <w:jc w:val="both"/>
        <w:rPr>
          <w:lang w:val="fr-FR"/>
        </w:rPr>
      </w:pPr>
      <w:r w:rsidRPr="00083DAD">
        <w:rPr>
          <w:lang w:val="fr-FR"/>
        </w:rPr>
        <w:t>Dommage</w:t>
      </w:r>
    </w:p>
    <w:p w:rsidRPr="00083DAD" w:rsidR="00CC31BB" w:rsidP="00083DAD">
      <w:pPr>
        <w:pStyle w:val="JuPara"/>
        <w:keepNext/>
        <w:keepLines/>
      </w:pPr>
      <w:r w:rsidRPr="00083DAD">
        <w:fldChar w:fldCharType="begin"/>
      </w:r>
      <w:r w:rsidRPr="00083DAD">
        <w:instrText xml:space="preserve"> SEQ level0 \*arabic </w:instrText>
      </w:r>
      <w:r w:rsidRPr="00083DAD">
        <w:fldChar w:fldCharType="separate"/>
      </w:r>
      <w:r w:rsidRPr="00083DAD" w:rsidR="00083DAD">
        <w:rPr>
          <w:noProof/>
        </w:rPr>
        <w:t>88</w:t>
      </w:r>
      <w:r w:rsidRPr="00083DAD">
        <w:fldChar w:fldCharType="end"/>
      </w:r>
      <w:r w:rsidRPr="00083DAD">
        <w:t>.  </w:t>
      </w:r>
      <w:r w:rsidRPr="00083DAD">
        <w:t>Le requérant</w:t>
      </w:r>
      <w:r w:rsidRPr="00083DAD">
        <w:t xml:space="preserve"> demande 100 000 euros (EUR) au titre du dommage moral qu</w:t>
      </w:r>
      <w:r w:rsidRPr="00083DAD" w:rsidR="00083DAD">
        <w:t>’</w:t>
      </w:r>
      <w:r w:rsidRPr="00083DAD">
        <w:t>il estime avoir subi.</w:t>
      </w:r>
    </w:p>
    <w:p w:rsidRPr="00083DAD" w:rsidR="00CC31BB" w:rsidP="00083DAD">
      <w:pPr>
        <w:pStyle w:val="JuPara"/>
      </w:pPr>
      <w:r w:rsidRPr="00083DAD">
        <w:fldChar w:fldCharType="begin"/>
      </w:r>
      <w:r w:rsidRPr="00083DAD">
        <w:instrText xml:space="preserve"> SEQ level0 \*arabic </w:instrText>
      </w:r>
      <w:r w:rsidRPr="00083DAD">
        <w:fldChar w:fldCharType="separate"/>
      </w:r>
      <w:r w:rsidRPr="00083DAD" w:rsidR="00083DAD">
        <w:rPr>
          <w:noProof/>
        </w:rPr>
        <w:t>89</w:t>
      </w:r>
      <w:r w:rsidRPr="00083DAD">
        <w:fldChar w:fldCharType="end"/>
      </w:r>
      <w:r w:rsidRPr="00083DAD">
        <w:t>.  Le Gouvernement considère que la somme réclamée pour dommage moral est excessive.</w:t>
      </w:r>
    </w:p>
    <w:bookmarkStart w:name="par89" w:id="43"/>
    <w:p w:rsidRPr="00083DAD" w:rsidR="00CC31BB" w:rsidP="00083DAD">
      <w:pPr>
        <w:pStyle w:val="JuPara"/>
      </w:pPr>
      <w:r w:rsidRPr="00083DAD">
        <w:fldChar w:fldCharType="begin"/>
      </w:r>
      <w:r w:rsidRPr="00083DAD">
        <w:instrText xml:space="preserve"> SEQ level0 \*arabic </w:instrText>
      </w:r>
      <w:r w:rsidRPr="00083DAD">
        <w:fldChar w:fldCharType="separate"/>
      </w:r>
      <w:r w:rsidRPr="00083DAD" w:rsidR="00083DAD">
        <w:rPr>
          <w:noProof/>
        </w:rPr>
        <w:t>90</w:t>
      </w:r>
      <w:r w:rsidRPr="00083DAD">
        <w:fldChar w:fldCharType="end"/>
      </w:r>
      <w:bookmarkEnd w:id="43"/>
      <w:r w:rsidRPr="00083DAD">
        <w:t>.  La Cour rappelle avoir conclu uniquement à la violation de l</w:t>
      </w:r>
      <w:r w:rsidRPr="00083DAD" w:rsidR="00083DAD">
        <w:t>’</w:t>
      </w:r>
      <w:r w:rsidRPr="00083DAD">
        <w:t>article 3 de la Convention pour les mauvaises conditions de détention subies par le requérant au cours des périodes allant du 16 septembre au 6 </w:t>
      </w:r>
      <w:r w:rsidRPr="00083DAD" w:rsidR="00C80014">
        <w:t xml:space="preserve">novembre </w:t>
      </w:r>
      <w:r w:rsidRPr="00083DAD">
        <w:t>2015 et du 1</w:t>
      </w:r>
      <w:r w:rsidRPr="00083DAD">
        <w:rPr>
          <w:vertAlign w:val="superscript"/>
        </w:rPr>
        <w:t>er</w:t>
      </w:r>
      <w:r w:rsidRPr="00083DAD" w:rsidR="000777C8">
        <w:t xml:space="preserve"> </w:t>
      </w:r>
      <w:r w:rsidRPr="00083DAD">
        <w:t>mars au 1</w:t>
      </w:r>
      <w:r w:rsidRPr="00083DAD">
        <w:rPr>
          <w:vertAlign w:val="superscript"/>
        </w:rPr>
        <w:t>er</w:t>
      </w:r>
      <w:r w:rsidRPr="00083DAD">
        <w:t xml:space="preserve"> septembre 2016. Compte tenu des circonstances de l</w:t>
      </w:r>
      <w:r w:rsidRPr="00083DAD" w:rsidR="00083DAD">
        <w:t>’</w:t>
      </w:r>
      <w:r w:rsidRPr="00083DAD">
        <w:t>affaire et statuant en équité, elle octroie au requérant 1 000 EUR pour le dommage moral subi de ce chef.</w:t>
      </w:r>
    </w:p>
    <w:p w:rsidRPr="00083DAD" w:rsidR="00CC31BB" w:rsidP="00083DAD">
      <w:pPr>
        <w:pStyle w:val="JuHA"/>
        <w:keepNext w:val="0"/>
        <w:keepLines w:val="0"/>
        <w:numPr>
          <w:ilvl w:val="2"/>
          <w:numId w:val="21"/>
        </w:numPr>
        <w:jc w:val="both"/>
        <w:rPr>
          <w:lang w:val="fr-FR"/>
        </w:rPr>
      </w:pPr>
      <w:r w:rsidRPr="00083DAD">
        <w:rPr>
          <w:lang w:val="fr-FR"/>
        </w:rPr>
        <w:t>Frais et dépens</w:t>
      </w:r>
    </w:p>
    <w:p w:rsidRPr="00083DAD" w:rsidR="00CC31BB" w:rsidP="00083DAD">
      <w:pPr>
        <w:pStyle w:val="JuPara"/>
      </w:pPr>
      <w:r w:rsidRPr="00083DAD">
        <w:fldChar w:fldCharType="begin"/>
      </w:r>
      <w:r w:rsidRPr="00083DAD">
        <w:instrText xml:space="preserve"> SEQ level0 \*arabic </w:instrText>
      </w:r>
      <w:r w:rsidRPr="00083DAD">
        <w:fldChar w:fldCharType="separate"/>
      </w:r>
      <w:r w:rsidRPr="00083DAD" w:rsidR="00083DAD">
        <w:rPr>
          <w:noProof/>
        </w:rPr>
        <w:t>91</w:t>
      </w:r>
      <w:r w:rsidRPr="00083DAD">
        <w:fldChar w:fldCharType="end"/>
      </w:r>
      <w:r w:rsidRPr="00083DAD">
        <w:t>.  Le requérant réclame les sommes suivantes au titre des frais et dépens qu</w:t>
      </w:r>
      <w:r w:rsidRPr="00083DAD" w:rsidR="00083DAD">
        <w:t>’</w:t>
      </w:r>
      <w:r w:rsidRPr="00083DAD">
        <w:t>il a dit avoir engagés dans le cadre de la procédure menée devant la Cour :</w:t>
      </w:r>
    </w:p>
    <w:p w:rsidRPr="00083DAD" w:rsidR="00CC31BB" w:rsidP="00083DAD">
      <w:pPr>
        <w:pStyle w:val="JuPara"/>
      </w:pPr>
      <w:r w:rsidRPr="00083DAD">
        <w:t>- 1 500 EUR pour les honoraires de l</w:t>
      </w:r>
      <w:r w:rsidRPr="00083DAD" w:rsidR="00083DAD">
        <w:t>’</w:t>
      </w:r>
      <w:r w:rsidRPr="00083DAD">
        <w:t>avocat l</w:t>
      </w:r>
      <w:r w:rsidRPr="00083DAD" w:rsidR="00083DAD">
        <w:t>’</w:t>
      </w:r>
      <w:r w:rsidRPr="00083DAD">
        <w:t>ayant représenté ;</w:t>
      </w:r>
    </w:p>
    <w:p w:rsidRPr="00083DAD" w:rsidR="00CC31BB" w:rsidP="00083DAD">
      <w:pPr>
        <w:pStyle w:val="JuPara"/>
      </w:pPr>
      <w:r w:rsidRPr="00083DAD">
        <w:t>- 220 EUR pour les frais de traduction du français et de l</w:t>
      </w:r>
      <w:r w:rsidRPr="00083DAD" w:rsidR="00083DAD">
        <w:t>’</w:t>
      </w:r>
      <w:r w:rsidRPr="00083DAD">
        <w:t>anglais vers le roumain</w:t>
      </w:r>
      <w:r w:rsidRPr="00083DAD">
        <w:rPr>
          <w:rFonts w:eastAsiaTheme="minorEastAsia"/>
          <w:szCs w:val="22"/>
        </w:rPr>
        <w:t xml:space="preserve"> </w:t>
      </w:r>
      <w:r w:rsidRPr="00083DAD">
        <w:t>des documents envoyés par la Cour ;</w:t>
      </w:r>
    </w:p>
    <w:p w:rsidRPr="00083DAD" w:rsidR="00CC31BB" w:rsidP="00083DAD">
      <w:pPr>
        <w:pStyle w:val="JuPara"/>
      </w:pPr>
      <w:r w:rsidRPr="00083DAD">
        <w:t>- 229 EUR pour les frais de traduction du roumain vers l</w:t>
      </w:r>
      <w:r w:rsidRPr="00083DAD" w:rsidR="00083DAD">
        <w:t>’</w:t>
      </w:r>
      <w:r w:rsidRPr="00083DAD">
        <w:t>anglais</w:t>
      </w:r>
      <w:r w:rsidRPr="00083DAD">
        <w:rPr>
          <w:rFonts w:eastAsiaTheme="minorEastAsia"/>
          <w:szCs w:val="22"/>
        </w:rPr>
        <w:t xml:space="preserve"> </w:t>
      </w:r>
      <w:r w:rsidRPr="00083DAD">
        <w:t>des documents envoyés à la Cour.</w:t>
      </w:r>
    </w:p>
    <w:p w:rsidRPr="00083DAD" w:rsidR="00CC31BB" w:rsidP="00083DAD">
      <w:pPr>
        <w:pStyle w:val="JuPara"/>
      </w:pPr>
      <w:r w:rsidRPr="00083DAD">
        <w:t>À titre de justificatifs, il fournit une copie du contrat d</w:t>
      </w:r>
      <w:r w:rsidRPr="00083DAD" w:rsidR="00083DAD">
        <w:t>’</w:t>
      </w:r>
      <w:r w:rsidRPr="00083DAD">
        <w:t>assistance juridique conclu avec son avocat et de la facture délivrée par celui-ci, ainsi que des factures relatives aux traductions.</w:t>
      </w:r>
    </w:p>
    <w:p w:rsidRPr="00083DAD" w:rsidR="00CC31BB" w:rsidP="00083DAD">
      <w:pPr>
        <w:pStyle w:val="JuPara"/>
      </w:pPr>
      <w:r w:rsidRPr="00083DAD">
        <w:fldChar w:fldCharType="begin"/>
      </w:r>
      <w:r w:rsidRPr="00083DAD">
        <w:instrText xml:space="preserve"> SEQ level0 \*arabic </w:instrText>
      </w:r>
      <w:r w:rsidRPr="00083DAD">
        <w:fldChar w:fldCharType="separate"/>
      </w:r>
      <w:r w:rsidRPr="00083DAD" w:rsidR="00083DAD">
        <w:rPr>
          <w:noProof/>
        </w:rPr>
        <w:t>92</w:t>
      </w:r>
      <w:r w:rsidRPr="00083DAD">
        <w:fldChar w:fldCharType="end"/>
      </w:r>
      <w:r w:rsidRPr="00083DAD">
        <w:t>.  Le Gouvernement indique que la demande du requérant n</w:t>
      </w:r>
      <w:r w:rsidRPr="00083DAD" w:rsidR="00083DAD">
        <w:t>’</w:t>
      </w:r>
      <w:r w:rsidRPr="00083DAD">
        <w:t>est pas accompagnée d</w:t>
      </w:r>
      <w:r w:rsidRPr="00083DAD" w:rsidR="00083DAD">
        <w:t>’</w:t>
      </w:r>
      <w:r w:rsidRPr="00083DAD">
        <w:t>un récapitulatif des heures de travail prestées par l</w:t>
      </w:r>
      <w:r w:rsidRPr="00083DAD" w:rsidR="00083DAD">
        <w:t>’</w:t>
      </w:r>
      <w:r w:rsidRPr="00083DAD">
        <w:t>avocat. De plus, il considère que la traduction de tous les documents soumis à la Cour n</w:t>
      </w:r>
      <w:r w:rsidRPr="00083DAD" w:rsidR="00083DAD">
        <w:t>’</w:t>
      </w:r>
      <w:r w:rsidRPr="00083DAD">
        <w:t>était pas vraiment nécessaire et il émet des doutes à cet égard.</w:t>
      </w:r>
    </w:p>
    <w:bookmarkStart w:name="par92" w:id="44"/>
    <w:p w:rsidRPr="00083DAD" w:rsidR="00CC31BB" w:rsidP="00083DAD">
      <w:pPr>
        <w:pStyle w:val="JuPara"/>
      </w:pPr>
      <w:r w:rsidRPr="00083DAD">
        <w:fldChar w:fldCharType="begin"/>
      </w:r>
      <w:r w:rsidRPr="00083DAD">
        <w:instrText xml:space="preserve"> SEQ level0 \*arabic </w:instrText>
      </w:r>
      <w:r w:rsidRPr="00083DAD">
        <w:fldChar w:fldCharType="separate"/>
      </w:r>
      <w:r w:rsidRPr="00083DAD" w:rsidR="00083DAD">
        <w:rPr>
          <w:noProof/>
        </w:rPr>
        <w:t>93</w:t>
      </w:r>
      <w:r w:rsidRPr="00083DAD">
        <w:fldChar w:fldCharType="end"/>
      </w:r>
      <w:bookmarkEnd w:id="44"/>
      <w:r w:rsidRPr="00083DAD">
        <w:t>.  Selon la jurisprudence de la Cour, un requérant ne peut obtenir le remboursement de ses frais et dépens que dans la mesure où se trouvent établis leur réalité, leur nécessité et le caractère raisonnable de leur taux. En outre, les frais de justice ne sont recouvrables que dans la mesure où ils se rapportent à la violation constatée (</w:t>
      </w:r>
      <w:r w:rsidRPr="00083DAD">
        <w:rPr>
          <w:i/>
        </w:rPr>
        <w:t>Murray c. Pays-Bas</w:t>
      </w:r>
      <w:r w:rsidRPr="00083DAD">
        <w:t xml:space="preserve"> [GC]</w:t>
      </w:r>
      <w:r w:rsidRPr="00083DAD">
        <w:rPr>
          <w:snapToGrid w:val="0"/>
        </w:rPr>
        <w:t>, n</w:t>
      </w:r>
      <w:r w:rsidRPr="00083DAD">
        <w:rPr>
          <w:snapToGrid w:val="0"/>
          <w:vertAlign w:val="superscript"/>
        </w:rPr>
        <w:t>o</w:t>
      </w:r>
      <w:r w:rsidRPr="00083DAD" w:rsidR="000777C8">
        <w:rPr>
          <w:snapToGrid w:val="0"/>
        </w:rPr>
        <w:t> </w:t>
      </w:r>
      <w:r w:rsidRPr="00083DAD">
        <w:t>10511/10</w:t>
      </w:r>
      <w:r w:rsidRPr="00083DAD" w:rsidR="000777C8">
        <w:rPr>
          <w:snapToGrid w:val="0"/>
        </w:rPr>
        <w:t>, § </w:t>
      </w:r>
      <w:r w:rsidRPr="00083DAD">
        <w:rPr>
          <w:snapToGrid w:val="0"/>
        </w:rPr>
        <w:t xml:space="preserve">134, 26 avril 2016). </w:t>
      </w:r>
      <w:r w:rsidRPr="00083DAD">
        <w:t>En l</w:t>
      </w:r>
      <w:r w:rsidRPr="00083DAD" w:rsidR="00083DAD">
        <w:t>’</w:t>
      </w:r>
      <w:r w:rsidRPr="00083DAD">
        <w:t>espèce, la Cour note que le requérant n</w:t>
      </w:r>
      <w:r w:rsidRPr="00083DAD" w:rsidR="00083DAD">
        <w:t>’</w:t>
      </w:r>
      <w:r w:rsidRPr="00083DAD">
        <w:t>a obtenu gain de cause devant elle que pour une partie de son grief</w:t>
      </w:r>
      <w:r w:rsidRPr="00083DAD" w:rsidR="000777C8">
        <w:t xml:space="preserve"> tiré de l</w:t>
      </w:r>
      <w:r w:rsidRPr="00083DAD" w:rsidR="00083DAD">
        <w:t>’</w:t>
      </w:r>
      <w:r w:rsidRPr="00083DAD" w:rsidR="000777C8">
        <w:t>article </w:t>
      </w:r>
      <w:r w:rsidRPr="00083DAD">
        <w:t>3 de la Convention, et qu</w:t>
      </w:r>
      <w:r w:rsidRPr="00083DAD" w:rsidR="00083DAD">
        <w:t>’</w:t>
      </w:r>
      <w:r w:rsidRPr="00083DAD">
        <w:t>une bonne partie des observations de celui-ci étaient consacrées au volet de la requête déclaré irrecevable ou aux doléances pour lesquelles la Cour a conclu à la non-violation des droits conventionnels de l</w:t>
      </w:r>
      <w:r w:rsidRPr="00083DAD" w:rsidR="00083DAD">
        <w:t>’</w:t>
      </w:r>
      <w:r w:rsidRPr="00083DAD">
        <w:t>intéressé. En de telles circonstances, elle peut juger approprié de réduire le montant à octroyer au titre des frais et dépens (</w:t>
      </w:r>
      <w:r w:rsidRPr="00083DAD">
        <w:rPr>
          <w:i/>
          <w:iCs/>
        </w:rPr>
        <w:t>Denisov</w:t>
      </w:r>
      <w:r w:rsidRPr="00083DAD">
        <w:rPr>
          <w:i/>
          <w:iCs/>
        </w:rPr>
        <w:t xml:space="preserve"> c. Ukraine</w:t>
      </w:r>
      <w:r w:rsidRPr="00083DAD">
        <w:rPr>
          <w:iCs/>
        </w:rPr>
        <w:t xml:space="preserve"> [GC]</w:t>
      </w:r>
      <w:r w:rsidRPr="00083DAD">
        <w:t>,</w:t>
      </w:r>
      <w:r w:rsidRPr="00083DAD">
        <w:rPr>
          <w:lang w:eastAsia="en-GB"/>
        </w:rPr>
        <w:t xml:space="preserve"> n</w:t>
      </w:r>
      <w:r w:rsidRPr="00083DAD">
        <w:rPr>
          <w:vertAlign w:val="superscript"/>
          <w:lang w:eastAsia="en-GB"/>
        </w:rPr>
        <w:t>o</w:t>
      </w:r>
      <w:r w:rsidRPr="00083DAD">
        <w:rPr>
          <w:lang w:eastAsia="en-GB"/>
        </w:rPr>
        <w:t> </w:t>
      </w:r>
      <w:r w:rsidRPr="00083DAD">
        <w:t xml:space="preserve">76639/11, § 146, 25 septembre 2018). Dès lors, compte tenu des documents dont elle dispose et des critères susmentionnés, la Cour juge </w:t>
      </w:r>
      <w:r w:rsidRPr="00083DAD">
        <w:t>raisonnable d</w:t>
      </w:r>
      <w:r w:rsidRPr="00083DAD" w:rsidR="00083DAD">
        <w:t>’</w:t>
      </w:r>
      <w:r w:rsidRPr="00083DAD">
        <w:t>allouer au requérant la somme de 650 EUR pour la procédure menée devant elle.</w:t>
      </w:r>
    </w:p>
    <w:p w:rsidRPr="00083DAD" w:rsidR="00CC31BB" w:rsidP="00083DAD">
      <w:pPr>
        <w:pStyle w:val="JuHA"/>
        <w:keepNext w:val="0"/>
        <w:keepLines w:val="0"/>
        <w:numPr>
          <w:ilvl w:val="2"/>
          <w:numId w:val="21"/>
        </w:numPr>
        <w:jc w:val="both"/>
        <w:rPr>
          <w:lang w:val="fr-FR"/>
        </w:rPr>
      </w:pPr>
      <w:r w:rsidRPr="00083DAD">
        <w:rPr>
          <w:lang w:val="fr-FR"/>
        </w:rPr>
        <w:t>Intérêts moratoires</w:t>
      </w:r>
    </w:p>
    <w:p w:rsidRPr="00083DAD" w:rsidR="00CC31BB" w:rsidP="00083DAD">
      <w:pPr>
        <w:pStyle w:val="JuPara"/>
      </w:pPr>
      <w:r w:rsidRPr="00083DAD">
        <w:fldChar w:fldCharType="begin"/>
      </w:r>
      <w:r w:rsidRPr="00083DAD">
        <w:instrText xml:space="preserve"> SEQ level0 \*arabic </w:instrText>
      </w:r>
      <w:r w:rsidRPr="00083DAD">
        <w:fldChar w:fldCharType="separate"/>
      </w:r>
      <w:r w:rsidRPr="00083DAD" w:rsidR="00083DAD">
        <w:rPr>
          <w:noProof/>
        </w:rPr>
        <w:t>94</w:t>
      </w:r>
      <w:r w:rsidRPr="00083DAD">
        <w:fldChar w:fldCharType="end"/>
      </w:r>
      <w:r w:rsidRPr="00083DAD">
        <w:t>.  La Cour juge approprié de calquer le taux des intérêts moratoires sur le taux d</w:t>
      </w:r>
      <w:r w:rsidRPr="00083DAD" w:rsidR="00083DAD">
        <w:t>’</w:t>
      </w:r>
      <w:r w:rsidRPr="00083DAD">
        <w:t>intérêt de la facilité de prêt marginal de la Banque centrale européenne majoré de trois points de pourcentage.</w:t>
      </w:r>
    </w:p>
    <w:p w:rsidRPr="00083DAD" w:rsidR="00CC31BB" w:rsidP="00083DAD">
      <w:pPr>
        <w:pStyle w:val="JuHHead"/>
        <w:keepNext w:val="0"/>
        <w:keepLines w:val="0"/>
        <w:numPr>
          <w:ilvl w:val="0"/>
          <w:numId w:val="21"/>
        </w:numPr>
        <w:jc w:val="both"/>
        <w:rPr>
          <w:lang w:val="fr-FR"/>
        </w:rPr>
      </w:pPr>
      <w:r w:rsidRPr="00083DAD">
        <w:rPr>
          <w:lang w:val="fr-FR"/>
        </w:rPr>
        <w:t xml:space="preserve">PAR CES MOTIFS, LA COUR, </w:t>
      </w:r>
      <w:r w:rsidRPr="00083DAD">
        <w:rPr>
          <w:caps w:val="0"/>
          <w:lang w:val="fr-FR"/>
        </w:rPr>
        <w:t>À L</w:t>
      </w:r>
      <w:r w:rsidRPr="00083DAD" w:rsidR="00083DAD">
        <w:rPr>
          <w:caps w:val="0"/>
          <w:lang w:val="fr-FR"/>
        </w:rPr>
        <w:t>’</w:t>
      </w:r>
      <w:r w:rsidRPr="00083DAD">
        <w:rPr>
          <w:caps w:val="0"/>
          <w:lang w:val="fr-FR"/>
        </w:rPr>
        <w:t>UNANIMITÉ</w:t>
      </w:r>
      <w:r w:rsidRPr="00083DAD">
        <w:rPr>
          <w:lang w:val="fr-FR"/>
        </w:rPr>
        <w:t>,</w:t>
      </w:r>
    </w:p>
    <w:p w:rsidRPr="00083DAD" w:rsidR="00CC31BB" w:rsidP="00083DAD">
      <w:pPr>
        <w:pStyle w:val="JuList"/>
        <w:numPr>
          <w:ilvl w:val="0"/>
          <w:numId w:val="22"/>
        </w:numPr>
      </w:pPr>
      <w:r w:rsidRPr="00083DAD">
        <w:rPr>
          <w:i/>
        </w:rPr>
        <w:t>Déclare</w:t>
      </w:r>
      <w:r w:rsidRPr="00083DAD">
        <w:t xml:space="preserve"> les griefs concernant les conditions de détention du requérant à la prison d</w:t>
      </w:r>
      <w:r w:rsidRPr="00083DAD" w:rsidR="00083DAD">
        <w:t>’</w:t>
      </w:r>
      <w:r w:rsidRPr="00083DAD">
        <w:t>Oradea, l</w:t>
      </w:r>
      <w:r w:rsidRPr="00083DAD" w:rsidR="00083DAD">
        <w:t>’</w:t>
      </w:r>
      <w:r w:rsidRPr="00083DAD">
        <w:t>impartialité de la cour d</w:t>
      </w:r>
      <w:r w:rsidRPr="00083DAD" w:rsidR="00083DAD">
        <w:t>’</w:t>
      </w:r>
      <w:r w:rsidRPr="00083DAD">
        <w:t>appel et le défaut d</w:t>
      </w:r>
      <w:r w:rsidRPr="00083DAD" w:rsidR="00083DAD">
        <w:t>’</w:t>
      </w:r>
      <w:r w:rsidRPr="00083DAD">
        <w:t>audition par les tribunaux du témoin K.I. recevables, et le surplus de la requête irrecevable ;</w:t>
      </w:r>
    </w:p>
    <w:p w:rsidRPr="00083DAD" w:rsidR="00CC31BB" w:rsidP="00083DAD">
      <w:pPr>
        <w:pStyle w:val="JuList"/>
        <w:numPr>
          <w:ilvl w:val="0"/>
          <w:numId w:val="22"/>
        </w:numPr>
      </w:pPr>
      <w:r w:rsidRPr="00083DAD">
        <w:rPr>
          <w:i/>
        </w:rPr>
        <w:t>Dit</w:t>
      </w:r>
      <w:r w:rsidRPr="00083DAD">
        <w:t xml:space="preserve"> qu</w:t>
      </w:r>
      <w:r w:rsidRPr="00083DAD" w:rsidR="00083DAD">
        <w:t>’</w:t>
      </w:r>
      <w:r w:rsidRPr="00083DAD">
        <w:t>il y a eu violation de l</w:t>
      </w:r>
      <w:r w:rsidRPr="00083DAD" w:rsidR="00083DAD">
        <w:t>’</w:t>
      </w:r>
      <w:r w:rsidRPr="00083DAD">
        <w:t>article 3 de la Convention à raison des conditions de détention du requérant à la prison d</w:t>
      </w:r>
      <w:r w:rsidRPr="00083DAD" w:rsidR="00083DAD">
        <w:t>’</w:t>
      </w:r>
      <w:r w:rsidRPr="00083DAD">
        <w:t>Oradea du 16</w:t>
      </w:r>
      <w:r w:rsidRPr="00083DAD" w:rsidR="000777C8">
        <w:t> </w:t>
      </w:r>
      <w:r w:rsidRPr="00083DAD">
        <w:t>septembre au 6 novembre 2015 et du 1</w:t>
      </w:r>
      <w:r w:rsidRPr="00083DAD">
        <w:rPr>
          <w:vertAlign w:val="superscript"/>
        </w:rPr>
        <w:t>er</w:t>
      </w:r>
      <w:r w:rsidRPr="00083DAD">
        <w:t xml:space="preserve"> mars au 1</w:t>
      </w:r>
      <w:r w:rsidRPr="00083DAD">
        <w:rPr>
          <w:vertAlign w:val="superscript"/>
        </w:rPr>
        <w:t>er</w:t>
      </w:r>
      <w:r w:rsidRPr="00083DAD">
        <w:t xml:space="preserve"> septembre 2016 ;</w:t>
      </w:r>
    </w:p>
    <w:p w:rsidRPr="00083DAD" w:rsidR="00CC31BB" w:rsidP="00083DAD">
      <w:pPr>
        <w:pStyle w:val="JuList"/>
        <w:numPr>
          <w:ilvl w:val="0"/>
          <w:numId w:val="22"/>
        </w:numPr>
      </w:pPr>
      <w:r w:rsidRPr="00083DAD">
        <w:rPr>
          <w:i/>
        </w:rPr>
        <w:t>Dit</w:t>
      </w:r>
      <w:r w:rsidRPr="00083DAD">
        <w:t xml:space="preserve"> qu</w:t>
      </w:r>
      <w:r w:rsidRPr="00083DAD" w:rsidR="00083DAD">
        <w:t>’</w:t>
      </w:r>
      <w:r w:rsidRPr="00083DAD">
        <w:t>il n</w:t>
      </w:r>
      <w:r w:rsidRPr="00083DAD" w:rsidR="00083DAD">
        <w:t>’</w:t>
      </w:r>
      <w:r w:rsidRPr="00083DAD">
        <w:t>y a pas eu violation de l</w:t>
      </w:r>
      <w:r w:rsidRPr="00083DAD" w:rsidR="00083DAD">
        <w:t>’</w:t>
      </w:r>
      <w:r w:rsidRPr="00083DAD">
        <w:t>article 3 de la Convention s</w:t>
      </w:r>
      <w:r w:rsidRPr="00083DAD" w:rsidR="00083DAD">
        <w:t>’</w:t>
      </w:r>
      <w:r w:rsidRPr="00083DAD">
        <w:t>agissant des conditions de détention du requérant à la prison d</w:t>
      </w:r>
      <w:r w:rsidRPr="00083DAD" w:rsidR="00083DAD">
        <w:t>’</w:t>
      </w:r>
      <w:r w:rsidRPr="00083DAD">
        <w:t xml:space="preserve">Oradea </w:t>
      </w:r>
      <w:r w:rsidRPr="00083DAD" w:rsidR="000777C8">
        <w:t>du 6 </w:t>
      </w:r>
      <w:r w:rsidRPr="00083DAD">
        <w:t>novembre 2015 au 1</w:t>
      </w:r>
      <w:r w:rsidRPr="00083DAD">
        <w:rPr>
          <w:vertAlign w:val="superscript"/>
        </w:rPr>
        <w:t>er</w:t>
      </w:r>
      <w:r w:rsidRPr="00083DAD">
        <w:t xml:space="preserve"> mars 2016 et du 1</w:t>
      </w:r>
      <w:r w:rsidRPr="00083DAD">
        <w:rPr>
          <w:vertAlign w:val="superscript"/>
        </w:rPr>
        <w:t>er</w:t>
      </w:r>
      <w:r w:rsidRPr="00083DAD">
        <w:t> septembre au 29</w:t>
      </w:r>
      <w:r w:rsidRPr="00083DAD" w:rsidR="000777C8">
        <w:t> novembre </w:t>
      </w:r>
      <w:r w:rsidRPr="00083DAD">
        <w:t>2016 ;</w:t>
      </w:r>
    </w:p>
    <w:p w:rsidRPr="00083DAD" w:rsidR="00CC31BB" w:rsidP="00083DAD">
      <w:pPr>
        <w:pStyle w:val="JuList"/>
        <w:numPr>
          <w:ilvl w:val="0"/>
          <w:numId w:val="22"/>
        </w:numPr>
      </w:pPr>
      <w:r w:rsidRPr="00083DAD">
        <w:rPr>
          <w:i/>
        </w:rPr>
        <w:t>Dit</w:t>
      </w:r>
      <w:r w:rsidRPr="00083DAD">
        <w:t xml:space="preserve"> qu</w:t>
      </w:r>
      <w:r w:rsidRPr="00083DAD" w:rsidR="00083DAD">
        <w:t>’</w:t>
      </w:r>
      <w:r w:rsidRPr="00083DAD">
        <w:t>il n</w:t>
      </w:r>
      <w:r w:rsidRPr="00083DAD" w:rsidR="00083DAD">
        <w:t>’</w:t>
      </w:r>
      <w:r w:rsidRPr="00083DAD">
        <w:t>y a pas eu violation de l</w:t>
      </w:r>
      <w:r w:rsidRPr="00083DAD" w:rsidR="00083DAD">
        <w:t>’</w:t>
      </w:r>
      <w:r w:rsidRPr="00083DAD">
        <w:t>article 6 § 1 de la Convention en ce qui concerne l</w:t>
      </w:r>
      <w:r w:rsidRPr="00083DAD" w:rsidR="00083DAD">
        <w:t>’</w:t>
      </w:r>
      <w:r w:rsidRPr="00083DAD">
        <w:t>impartialité de la cour d</w:t>
      </w:r>
      <w:r w:rsidRPr="00083DAD" w:rsidR="00083DAD">
        <w:t>’</w:t>
      </w:r>
      <w:r w:rsidRPr="00083DAD">
        <w:t>appel ;</w:t>
      </w:r>
    </w:p>
    <w:p w:rsidRPr="00083DAD" w:rsidR="00CC31BB" w:rsidP="00083DAD">
      <w:pPr>
        <w:pStyle w:val="JuList"/>
        <w:numPr>
          <w:ilvl w:val="0"/>
          <w:numId w:val="22"/>
        </w:numPr>
      </w:pPr>
      <w:r w:rsidRPr="00083DAD">
        <w:rPr>
          <w:i/>
        </w:rPr>
        <w:t>Dit</w:t>
      </w:r>
      <w:r w:rsidRPr="00083DAD">
        <w:t xml:space="preserve"> qu</w:t>
      </w:r>
      <w:r w:rsidRPr="00083DAD" w:rsidR="00083DAD">
        <w:t>’</w:t>
      </w:r>
      <w:r w:rsidRPr="00083DAD">
        <w:t>il n</w:t>
      </w:r>
      <w:r w:rsidRPr="00083DAD" w:rsidR="00083DAD">
        <w:t>’</w:t>
      </w:r>
      <w:r w:rsidRPr="00083DAD">
        <w:t>y a pas eu violation de l</w:t>
      </w:r>
      <w:r w:rsidRPr="00083DAD" w:rsidR="00083DAD">
        <w:t>’</w:t>
      </w:r>
      <w:r w:rsidRPr="00083DAD">
        <w:t>article 6 §§ 1 et 3 d) de la Convention en ce qui concerne l</w:t>
      </w:r>
      <w:r w:rsidRPr="00083DAD" w:rsidR="00083DAD">
        <w:t>’</w:t>
      </w:r>
      <w:r w:rsidRPr="00083DAD">
        <w:t>impossibilité d</w:t>
      </w:r>
      <w:r w:rsidRPr="00083DAD" w:rsidR="00083DAD">
        <w:t>’</w:t>
      </w:r>
      <w:r w:rsidRPr="00083DAD">
        <w:t>examiner le témoin K.I. aux débats ;</w:t>
      </w:r>
    </w:p>
    <w:p w:rsidRPr="00083DAD" w:rsidR="00CC31BB" w:rsidP="00083DAD">
      <w:pPr>
        <w:pStyle w:val="JuList"/>
        <w:numPr>
          <w:ilvl w:val="0"/>
          <w:numId w:val="22"/>
        </w:numPr>
      </w:pPr>
      <w:r w:rsidRPr="00083DAD">
        <w:rPr>
          <w:i/>
        </w:rPr>
        <w:t>Dit</w:t>
      </w:r>
    </w:p>
    <w:p w:rsidRPr="00083DAD" w:rsidR="00CC31BB" w:rsidP="00083DAD">
      <w:pPr>
        <w:pStyle w:val="JuLista"/>
        <w:numPr>
          <w:ilvl w:val="1"/>
          <w:numId w:val="22"/>
        </w:numPr>
      </w:pPr>
      <w:r w:rsidRPr="00083DAD">
        <w:t>que l</w:t>
      </w:r>
      <w:r w:rsidRPr="00083DAD" w:rsidR="00083DAD">
        <w:t>’</w:t>
      </w:r>
      <w:r w:rsidRPr="00083DAD">
        <w:t>État défendeur doit verser au requérant, dans un délai de trois mois</w:t>
      </w:r>
      <w:r w:rsidRPr="00083DAD" w:rsidR="000777C8">
        <w:t xml:space="preserve"> à compter de la date à laquelle l</w:t>
      </w:r>
      <w:r w:rsidRPr="00083DAD" w:rsidR="00083DAD">
        <w:t>’</w:t>
      </w:r>
      <w:r w:rsidRPr="00083DAD" w:rsidR="000777C8">
        <w:t>arrêt sera devenu définitif conformément à l</w:t>
      </w:r>
      <w:r w:rsidRPr="00083DAD" w:rsidR="00083DAD">
        <w:t>’</w:t>
      </w:r>
      <w:r w:rsidRPr="00083DAD" w:rsidR="000777C8">
        <w:t xml:space="preserve">article 44 § 2 de la Convention, </w:t>
      </w:r>
      <w:r w:rsidRPr="00083DAD">
        <w:t>les sommes suivantes, à convertir dans la monnaie de l</w:t>
      </w:r>
      <w:r w:rsidRPr="00083DAD" w:rsidR="00083DAD">
        <w:t>’</w:t>
      </w:r>
      <w:r w:rsidRPr="00083DAD">
        <w:t>État défendeur au taux applicable à la date du règlement :</w:t>
      </w:r>
    </w:p>
    <w:p w:rsidRPr="00083DAD" w:rsidR="00CC31BB" w:rsidP="00083DAD">
      <w:pPr>
        <w:pStyle w:val="JuListi"/>
      </w:pPr>
      <w:r w:rsidRPr="00083DAD">
        <w:t>1 000 EUR (mille euros), plus tout montant pouvant être dû sur cette somme à titre d</w:t>
      </w:r>
      <w:r w:rsidRPr="00083DAD" w:rsidR="00083DAD">
        <w:t>’</w:t>
      </w:r>
      <w:r w:rsidRPr="00083DAD">
        <w:t>impôt, pour dommage moral,</w:t>
      </w:r>
    </w:p>
    <w:p w:rsidRPr="00083DAD" w:rsidR="00CC31BB" w:rsidP="00083DAD">
      <w:pPr>
        <w:pStyle w:val="JuListi"/>
      </w:pPr>
      <w:r w:rsidRPr="00083DAD">
        <w:t>650 EUR (six cent cinquante euros), plus tout montant pouvant être dû sur cette somme par le requérant à titre d</w:t>
      </w:r>
      <w:r w:rsidRPr="00083DAD" w:rsidR="00083DAD">
        <w:t>’</w:t>
      </w:r>
      <w:r w:rsidRPr="00083DAD">
        <w:t>impôt, pour frais et dépens ;</w:t>
      </w:r>
    </w:p>
    <w:p w:rsidRPr="00083DAD" w:rsidR="00CC31BB" w:rsidP="00083DAD">
      <w:pPr>
        <w:pStyle w:val="JuLista"/>
        <w:numPr>
          <w:ilvl w:val="1"/>
          <w:numId w:val="22"/>
        </w:numPr>
      </w:pPr>
      <w:r w:rsidRPr="00083DAD">
        <w:t>qu</w:t>
      </w:r>
      <w:r w:rsidRPr="00083DAD" w:rsidR="00083DAD">
        <w:t>’</w:t>
      </w:r>
      <w:r w:rsidRPr="00083DAD">
        <w:t>à compter de l</w:t>
      </w:r>
      <w:r w:rsidRPr="00083DAD" w:rsidR="00083DAD">
        <w:t>’</w:t>
      </w:r>
      <w:r w:rsidRPr="00083DAD">
        <w:t>expiration dudit délai et jusqu</w:t>
      </w:r>
      <w:r w:rsidRPr="00083DAD" w:rsidR="00083DAD">
        <w:t>’</w:t>
      </w:r>
      <w:r w:rsidRPr="00083DAD">
        <w:t>au versement, ces montants seront à majorer d</w:t>
      </w:r>
      <w:r w:rsidRPr="00083DAD" w:rsidR="00083DAD">
        <w:t>’</w:t>
      </w:r>
      <w:r w:rsidRPr="00083DAD">
        <w:t>un intérêt simple à un taux égal à celui de la facilité de prêt marginal de la Banque centrale européenne applicable pendant cette période, augmenté de trois points de pourcentage ;</w:t>
      </w:r>
    </w:p>
    <w:p w:rsidRPr="00083DAD" w:rsidR="00876F03" w:rsidP="00083DAD">
      <w:pPr>
        <w:pStyle w:val="JuList"/>
      </w:pPr>
      <w:r w:rsidRPr="00083DAD">
        <w:rPr>
          <w:i/>
        </w:rPr>
        <w:t>Rejette</w:t>
      </w:r>
      <w:r w:rsidRPr="00083DAD" w:rsidR="000777C8">
        <w:rPr>
          <w:i/>
        </w:rPr>
        <w:t xml:space="preserve"> </w:t>
      </w:r>
      <w:r w:rsidRPr="00083DAD">
        <w:t>la demande de satisfaction équitable pour le surplus.</w:t>
      </w:r>
    </w:p>
    <w:p w:rsidRPr="00083DAD" w:rsidR="00CC31BB" w:rsidP="00083DAD">
      <w:pPr>
        <w:pStyle w:val="JuParaLast"/>
        <w:keepNext w:val="0"/>
        <w:keepLines w:val="0"/>
        <w:rPr>
          <w:color w:val="F8F8F8" w:themeColor="background2"/>
        </w:rPr>
      </w:pPr>
      <w:r w:rsidRPr="00083DAD">
        <w:t xml:space="preserve">Fait en français, puis communiqué par écrit le </w:t>
      </w:r>
      <w:r w:rsidRPr="00083DAD" w:rsidR="00A44DD3">
        <w:t>16 juin 2020</w:t>
      </w:r>
      <w:r w:rsidRPr="00083DAD">
        <w:t>, en application de l</w:t>
      </w:r>
      <w:r w:rsidRPr="00083DAD" w:rsidR="00083DAD">
        <w:t>’</w:t>
      </w:r>
      <w:r w:rsidRPr="00083DAD">
        <w:t>article 77 §§ 2 et 3 du règlement.</w:t>
      </w:r>
      <w:r w:rsidRPr="00083DAD" w:rsidR="00F94531">
        <w:rPr>
          <w:color w:val="F8F8F8" w:themeColor="background2"/>
        </w:rPr>
        <w:t>ature_p_2}</w:t>
      </w:r>
    </w:p>
    <w:p w:rsidRPr="00083DAD" w:rsidR="00876F03" w:rsidP="00083DAD">
      <w:pPr>
        <w:pStyle w:val="JuSigned"/>
      </w:pPr>
      <w:r w:rsidRPr="00083DAD">
        <w:tab/>
        <w:t>Andrea Tamietti</w:t>
      </w:r>
      <w:r w:rsidRPr="00083DAD" w:rsidR="004344E6">
        <w:tab/>
      </w:r>
      <w:r w:rsidRPr="00083DAD">
        <w:t xml:space="preserve">Jon </w:t>
      </w:r>
      <w:r w:rsidRPr="00083DAD">
        <w:t>Fridrik</w:t>
      </w:r>
      <w:r w:rsidRPr="00083DAD">
        <w:t xml:space="preserve"> </w:t>
      </w:r>
      <w:r w:rsidRPr="00083DAD">
        <w:t>Kjølbro</w:t>
      </w:r>
      <w:r w:rsidRPr="00083DAD" w:rsidR="004344E6">
        <w:br/>
      </w:r>
      <w:r w:rsidRPr="00083DAD" w:rsidR="004344E6">
        <w:tab/>
      </w:r>
      <w:r w:rsidRPr="00083DAD">
        <w:t>Greffier</w:t>
      </w:r>
      <w:r w:rsidRPr="00083DAD" w:rsidR="004344E6">
        <w:tab/>
      </w:r>
      <w:r w:rsidRPr="00083DAD">
        <w:t>Président</w:t>
      </w:r>
    </w:p>
    <w:sectPr>
      <w:headerReference w:type="even" r:id="rId8"/>
      <w:headerReference w:type="default" r:id="rId9"/>
      <w:footerReference w:type="default" r:id="rId10"/>
      <w:footnotePr>
        <w:numRestart w:val="eachSect"/>
      </w:footnotePr>
      <w:pgSz w:w="11906" w:h="16838" w:code="9"/>
      <w:pgMar w:top="2274" w:right="2274" w:bottom="2274" w:left="2274" w:header="1701" w:footer="720" w:gutter="0"/>
      <w:pgNumType w:start="1"/>
      <w:cols w:space="720"/>
      <w:noEndnote/>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20002A87" w:usb1="00000000" w:usb2="00000000" w:usb3="00000000" w:csb0="000001FF" w:csb1="00000000"/>
  </w:font>
  <w:font w:name="Wingdings">
    <w:panose1 w:val="05000000000000000000"/>
    <w:charset w:val="02"/>
    <w:family w:val="auto"/>
    <w:pitch w:val="variable"/>
    <w:sig w:usb0="00000000" w:usb1="10000000" w:usb2="00000000" w:usb3="00000000" w:csb0="80000000" w:csb1="00000000"/>
  </w:font>
  <w:font w:name="Courier New">
    <w:panose1 w:val="02070309020205020404"/>
    <w:charset w:val="00"/>
    <w:family w:val="modern"/>
    <w:pitch w:val="fixed"/>
    <w:sig w:usb0="E0002AFF" w:usb1="C0007843" w:usb2="00000009" w:usb3="00000000" w:csb0="000001FF" w:csb1="00000000"/>
  </w:font>
  <w:font w:name="Calibri">
    <w:panose1 w:val="020F0502020204030204"/>
    <w:charset w:val="00"/>
    <w:family w:val="swiss"/>
    <w:pitch w:val="variable"/>
    <w:sig w:usb0="E00002FF" w:usb1="4000ACFF" w:usb2="00000001" w:usb3="00000000" w:csb0="0000019F" w:csb1="00000000"/>
  </w:font>
  <w:font w:name="Tahoma">
    <w:panose1 w:val="020B0604030504040204"/>
    <w:charset w:val="00"/>
    <w:family w:val="swiss"/>
    <w:pitch w:val="variable"/>
    <w:sig w:usb0="E1002EFF" w:usb1="C000605B" w:usb2="00000029" w:usb3="00000000" w:csb0="000101FF" w:csb1="00000000"/>
  </w:font>
  <w:font w:name="Verdana">
    <w:panose1 w:val="020B0604030504040204"/>
    <w:charset w:val="00"/>
    <w:family w:val="swiss"/>
    <w:pitch w:val="variable"/>
    <w:sig w:usb0="A10006FF" w:usb1="4000205B" w:usb2="00000010" w:usb3="00000000" w:csb0="0000019F" w:csb1="00000000"/>
  </w:font>
  <w:font w:name="Consolas">
    <w:panose1 w:val="020B0609020204030204"/>
    <w:charset w:val="00"/>
    <w:family w:val="modern"/>
    <w:pitch w:val="fixed"/>
    <w:sig w:usb0="E10002FF" w:usb1="4000FCFF" w:usb2="00000009" w:usb3="00000000" w:csb0="0000019F" w:csb1="00000000"/>
  </w:font>
  <w:font w:name="Arial">
    <w:panose1 w:val="020B0604020202020204"/>
    <w:charset w:val="00"/>
    <w:family w:val="swiss"/>
    <w:pitch w:val="variable"/>
    <w:sig w:usb0="20002A87" w:usb1="00000000" w:usb2="00000000"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C80014" w:rsidRPr="00086D1F" w:rsidP="00086D1F">
    <w:pPr>
      <w:pStyle w:val="JuHeader"/>
    </w:pPr>
    <w:r w:rsidRPr="00086D1F">
      <w:fldChar w:fldCharType="begin"/>
    </w:r>
    <w:r w:rsidRPr="00086D1F">
      <w:instrText xml:space="preserve"> PAGE </w:instrText>
    </w:r>
    <w:r w:rsidRPr="00086D1F">
      <w:fldChar w:fldCharType="separate"/>
    </w:r>
    <w:r w:rsidR="00C94F35">
      <w:rPr>
        <w:noProof/>
      </w:rPr>
      <w:t>2</w:t>
    </w:r>
    <w:r w:rsidRPr="00086D1F">
      <w:fldChar w:fldCharType="end"/>
    </w: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C80014" w:rsidRPr="00150BFA" w:rsidP="00C80014">
    <w:pPr>
      <w:jc w:val="center"/>
    </w:pPr>
    <w:r>
      <w:rPr>
        <w:noProof/>
        <w:lang w:val="en-US"/>
      </w:rPr>
      <w:drawing>
        <wp:inline distT="0" distB="0" distL="0" distR="0">
          <wp:extent cx="771525" cy="619125"/>
          <wp:effectExtent l="0" t="0" r="9525" b="9525"/>
          <wp:docPr id="3" name="Picture 3" descr="R:\1_Graphics&amp;Web\Court_Graphic_Charter\2013\ECHR_Stationery\Documents_and_Letters\Cover_Pages_And_Docs\White_600_dpi\ECHR_CoverpageCS61_ECHR_Coverpage_Footer_COE_Black.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 name="Picture 2" descr="R:\1_Graphics&amp;Web\Court_Graphic_Charter\2013\ECHR_Stationery\Documents_and_Letters\Cover_Pages_And_Docs\White_600_dpi\ECHR_CoverpageCS61_ECHR_Coverpage_Footer_COE_Black.png"/>
                  <pic:cNvPicPr>
                    <a:picLocks noChangeAspect="1" noChangeArrowheads="1"/>
                  </pic:cNvPicPr>
                </pic:nvPicPr>
                <pic:blipFill>
                  <a:blip xmlns:r="http://schemas.openxmlformats.org/officeDocument/2006/relationships" r:embed="rId1">
                    <a:extLst>
                      <a:ext xmlns:a="http://schemas.openxmlformats.org/drawingml/2006/main" uri="{28A0092B-C50C-407E-A947-70E740481C1C}">
                        <a14:useLocalDpi xmlns:a14="http://schemas.microsoft.com/office/drawing/2010/main" val="0"/>
                      </a:ext>
                    </a:extLst>
                  </a:blip>
                  <a:stretch>
                    <a:fillRect/>
                  </a:stretch>
                </pic:blipFill>
                <pic:spPr bwMode="auto">
                  <a:xfrm>
                    <a:off x="0" y="0"/>
                    <a:ext cx="771525" cy="619125"/>
                  </a:xfrm>
                  <a:prstGeom prst="rect">
                    <a:avLst/>
                  </a:prstGeom>
                  <a:noFill/>
                  <a:ln>
                    <a:noFill/>
                  </a:ln>
                </pic:spPr>
              </pic:pic>
            </a:graphicData>
          </a:graphic>
        </wp:inline>
      </w:drawing>
    </w:r>
  </w:p>
  <w:p w:rsidR="00C80014" w:rsidRPr="003722CE" w:rsidP="00F27D13">
    <w:pPr>
      <w:pStyle w:val="Footer1"/>
      <w:jc w:val="center"/>
      <w:rPr>
        <w:sz w:val="4"/>
        <w:szCs w:val="4"/>
      </w:rP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C80014" w:rsidRPr="00D01935" w:rsidP="00662882">
    <w:pPr>
      <w:pStyle w:val="JuHeader"/>
    </w:pPr>
    <w:r>
      <w:fldChar w:fldCharType="begin"/>
    </w:r>
    <w:r>
      <w:instrText xml:space="preserve"> PAGE </w:instrText>
    </w:r>
    <w:r>
      <w:fldChar w:fldCharType="separate"/>
    </w:r>
    <w:r w:rsidR="00C94F35">
      <w:rPr>
        <w:noProof/>
      </w:rPr>
      <w:t>1</w:t>
    </w:r>
    <w:r>
      <w:fldChar w:fldCharType="end"/>
    </w:r>
  </w:p>
</w:ftr>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C80014" w:rsidRPr="00A45145" w:rsidP="00C80014">
    <w:pPr>
      <w:jc w:val="center"/>
    </w:pPr>
    <w:r>
      <w:rPr>
        <w:noProof/>
        <w:lang w:val="en-US"/>
      </w:rPr>
      <w:drawing>
        <wp:inline distT="0" distB="0" distL="0" distR="0">
          <wp:extent cx="2962275" cy="1219200"/>
          <wp:effectExtent l="0" t="0" r="9525" b="0"/>
          <wp:docPr id="8" name="Picture 8" descr="R:\1_Graphics&amp;Web\Court_Graphic_Charter\2013\ECHR_Stationery\Documents_and_Letters\Cover_Pages_And_Docs\White_600_dpi\ECHR_CoverpageCS61_ECHR_Coverpage_Header_Black.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8" name="Picture 1" descr="R:\1_Graphics&amp;Web\Court_Graphic_Charter\2013\ECHR_Stationery\Documents_and_Letters\Cover_Pages_And_Docs\White_600_dpi\ECHR_CoverpageCS61_ECHR_Coverpage_Header_Black.png"/>
                  <pic:cNvPicPr>
                    <a:picLocks noChangeAspect="1" noChangeArrowheads="1"/>
                  </pic:cNvPicPr>
                </pic:nvPicPr>
                <pic:blipFill>
                  <a:blip xmlns:r="http://schemas.openxmlformats.org/officeDocument/2006/relationships" r:embed="rId1">
                    <a:extLst>
                      <a:ext xmlns:a="http://schemas.openxmlformats.org/drawingml/2006/main" uri="{28A0092B-C50C-407E-A947-70E740481C1C}">
                        <a14:useLocalDpi xmlns:a14="http://schemas.microsoft.com/office/drawing/2010/main" val="0"/>
                      </a:ext>
                    </a:extLst>
                  </a:blip>
                  <a:stretch>
                    <a:fillRect/>
                  </a:stretch>
                </pic:blipFill>
                <pic:spPr bwMode="auto">
                  <a:xfrm>
                    <a:off x="0" y="0"/>
                    <a:ext cx="2962275" cy="1219200"/>
                  </a:xfrm>
                  <a:prstGeom prst="rect">
                    <a:avLst/>
                  </a:prstGeom>
                  <a:noFill/>
                  <a:ln>
                    <a:noFill/>
                  </a:ln>
                </pic:spPr>
              </pic:pic>
            </a:graphicData>
          </a:graphic>
        </wp:inline>
      </w:drawing>
    </w:r>
  </w:p>
  <w:p w:rsidR="00C80014" w:rsidRPr="003722CE" w:rsidP="00C80014"/>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C80014" w:rsidRPr="00592C8D" w:rsidP="00A21624">
    <w:pPr>
      <w:pStyle w:val="JuHeader"/>
      <w:rPr>
        <w:lang w:val="en-US"/>
      </w:rPr>
    </w:pPr>
    <w:r w:rsidRPr="00592C8D">
      <w:rPr>
        <w:lang w:val="en-US"/>
      </w:rPr>
      <w:t xml:space="preserve">ARRÊT </w:t>
    </w:r>
    <w:r>
      <w:rPr>
        <w:lang w:val="en-US"/>
      </w:rPr>
      <w:t>GEORGE-LAVINIU GHIURĂU c. ROUMANIE</w:t>
    </w: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C80014" w:rsidRPr="00662882" w:rsidP="00662882">
    <w:pPr>
      <w:pStyle w:val="JuHeader"/>
    </w:pPr>
    <w:r w:rsidRPr="00592C8D">
      <w:rPr>
        <w:lang w:val="en-US"/>
      </w:rPr>
      <w:t xml:space="preserve">ARRÊT </w:t>
    </w:r>
    <w:r>
      <w:rPr>
        <w:lang w:val="en-US"/>
      </w:rPr>
      <w:t>GEORGE-LAVINIU GHIURĂU c. ROUMANIE</w:t>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abstractNum w:abstractNumId="0">
    <w:nsid w:val="FFFFFF7C"/>
    <w:multiLevelType w:val="singleLevel"/>
    <w:tmpl w:val="D6701916"/>
    <w:lvl w:ilvl="0">
      <w:start w:val="1"/>
      <w:numFmt w:val="decimal"/>
      <w:pStyle w:val="ListNumber5"/>
      <w:lvlText w:val="%1."/>
      <w:lvlJc w:val="left"/>
      <w:pPr>
        <w:tabs>
          <w:tab w:val="num" w:pos="1492"/>
        </w:tabs>
        <w:ind w:left="1492" w:hanging="360"/>
      </w:pPr>
    </w:lvl>
  </w:abstractNum>
  <w:abstractNum w:abstractNumId="1">
    <w:nsid w:val="FFFFFF7D"/>
    <w:multiLevelType w:val="singleLevel"/>
    <w:tmpl w:val="23283F32"/>
    <w:lvl w:ilvl="0">
      <w:start w:val="1"/>
      <w:numFmt w:val="decimal"/>
      <w:pStyle w:val="ListNumber4"/>
      <w:lvlText w:val="%1."/>
      <w:lvlJc w:val="left"/>
      <w:pPr>
        <w:tabs>
          <w:tab w:val="num" w:pos="1209"/>
        </w:tabs>
        <w:ind w:left="1209" w:hanging="360"/>
      </w:pPr>
    </w:lvl>
  </w:abstractNum>
  <w:abstractNum w:abstractNumId="2">
    <w:nsid w:val="FFFFFF7E"/>
    <w:multiLevelType w:val="singleLevel"/>
    <w:tmpl w:val="2F369A7C"/>
    <w:lvl w:ilvl="0">
      <w:start w:val="1"/>
      <w:numFmt w:val="decimal"/>
      <w:pStyle w:val="ListNumber3"/>
      <w:lvlText w:val="%1."/>
      <w:lvlJc w:val="left"/>
      <w:pPr>
        <w:tabs>
          <w:tab w:val="num" w:pos="926"/>
        </w:tabs>
        <w:ind w:left="926" w:hanging="360"/>
      </w:pPr>
    </w:lvl>
  </w:abstractNum>
  <w:abstractNum w:abstractNumId="3">
    <w:nsid w:val="FFFFFF7F"/>
    <w:multiLevelType w:val="singleLevel"/>
    <w:tmpl w:val="3346880A"/>
    <w:lvl w:ilvl="0">
      <w:start w:val="1"/>
      <w:numFmt w:val="decimal"/>
      <w:pStyle w:val="ListNumber2"/>
      <w:lvlText w:val="%1."/>
      <w:lvlJc w:val="left"/>
      <w:pPr>
        <w:tabs>
          <w:tab w:val="num" w:pos="643"/>
        </w:tabs>
        <w:ind w:left="643" w:hanging="360"/>
      </w:pPr>
    </w:lvl>
  </w:abstractNum>
  <w:abstractNum w:abstractNumId="4">
    <w:nsid w:val="FFFFFF80"/>
    <w:multiLevelType w:val="singleLevel"/>
    <w:tmpl w:val="552A83EC"/>
    <w:lvl w:ilvl="0">
      <w:start w:val="1"/>
      <w:numFmt w:val="bullet"/>
      <w:pStyle w:val="ListBullet5"/>
      <w:lvlText w:val=""/>
      <w:lvlJc w:val="left"/>
      <w:pPr>
        <w:tabs>
          <w:tab w:val="num" w:pos="1492"/>
        </w:tabs>
        <w:ind w:left="1492" w:hanging="360"/>
      </w:pPr>
      <w:rPr>
        <w:rFonts w:ascii="Symbol" w:hAnsi="Symbol" w:hint="default"/>
      </w:rPr>
    </w:lvl>
  </w:abstractNum>
  <w:abstractNum w:abstractNumId="5">
    <w:nsid w:val="FFFFFF81"/>
    <w:multiLevelType w:val="singleLevel"/>
    <w:tmpl w:val="085AC83C"/>
    <w:lvl w:ilvl="0">
      <w:start w:val="1"/>
      <w:numFmt w:val="bullet"/>
      <w:pStyle w:val="ListBullet4"/>
      <w:lvlText w:val=""/>
      <w:lvlJc w:val="left"/>
      <w:pPr>
        <w:tabs>
          <w:tab w:val="num" w:pos="1209"/>
        </w:tabs>
        <w:ind w:left="1209" w:hanging="360"/>
      </w:pPr>
      <w:rPr>
        <w:rFonts w:ascii="Symbol" w:hAnsi="Symbol" w:hint="default"/>
      </w:rPr>
    </w:lvl>
  </w:abstractNum>
  <w:abstractNum w:abstractNumId="6">
    <w:nsid w:val="FFFFFF82"/>
    <w:multiLevelType w:val="singleLevel"/>
    <w:tmpl w:val="87486FE2"/>
    <w:lvl w:ilvl="0">
      <w:start w:val="1"/>
      <w:numFmt w:val="bullet"/>
      <w:pStyle w:val="ListBullet3"/>
      <w:lvlText w:val=""/>
      <w:lvlJc w:val="left"/>
      <w:pPr>
        <w:tabs>
          <w:tab w:val="num" w:pos="1080"/>
        </w:tabs>
        <w:ind w:left="1080" w:hanging="360"/>
      </w:pPr>
      <w:rPr>
        <w:rFonts w:ascii="Symbol" w:hAnsi="Symbol" w:hint="default"/>
      </w:rPr>
    </w:lvl>
  </w:abstractNum>
  <w:abstractNum w:abstractNumId="7">
    <w:nsid w:val="FFFFFF83"/>
    <w:multiLevelType w:val="singleLevel"/>
    <w:tmpl w:val="4A528BA6"/>
    <w:lvl w:ilvl="0">
      <w:start w:val="1"/>
      <w:numFmt w:val="bullet"/>
      <w:pStyle w:val="ListBullet2"/>
      <w:lvlText w:val=""/>
      <w:lvlJc w:val="left"/>
      <w:pPr>
        <w:tabs>
          <w:tab w:val="num" w:pos="643"/>
        </w:tabs>
        <w:ind w:left="643" w:hanging="360"/>
      </w:pPr>
      <w:rPr>
        <w:rFonts w:ascii="Symbol" w:hAnsi="Symbol" w:hint="default"/>
      </w:rPr>
    </w:lvl>
  </w:abstractNum>
  <w:abstractNum w:abstractNumId="8">
    <w:nsid w:val="FFFFFF88"/>
    <w:multiLevelType w:val="singleLevel"/>
    <w:tmpl w:val="366C20B0"/>
    <w:lvl w:ilvl="0">
      <w:start w:val="1"/>
      <w:numFmt w:val="decimal"/>
      <w:pStyle w:val="ListNumber"/>
      <w:lvlText w:val="%1."/>
      <w:lvlJc w:val="left"/>
      <w:pPr>
        <w:tabs>
          <w:tab w:val="num" w:pos="360"/>
        </w:tabs>
        <w:ind w:left="360" w:hanging="360"/>
      </w:pPr>
    </w:lvl>
  </w:abstractNum>
  <w:abstractNum w:abstractNumId="9">
    <w:nsid w:val="0C0F5BFC"/>
    <w:multiLevelType w:val="multilevel"/>
    <w:tmpl w:val="9290290C"/>
    <w:lvl w:ilvl="0">
      <w:start w:val="1"/>
      <w:numFmt w:val="none"/>
      <w:pStyle w:val="JuHHead"/>
      <w:suff w:val="nothing"/>
      <w:lvlText w:val="%1"/>
      <w:lvlJc w:val="left"/>
      <w:pPr>
        <w:ind w:left="0" w:firstLine="0"/>
      </w:pPr>
      <w:rPr>
        <w:rFonts w:hint="default"/>
      </w:rPr>
    </w:lvl>
    <w:lvl w:ilvl="1">
      <w:start w:val="1"/>
      <w:numFmt w:val="upperRoman"/>
      <w:pStyle w:val="JuHIRoman"/>
      <w:suff w:val="space"/>
      <w:lvlText w:val="%2."/>
      <w:lvlJc w:val="left"/>
      <w:pPr>
        <w:ind w:left="357" w:hanging="357"/>
      </w:pPr>
      <w:rPr>
        <w:rFonts w:hint="default"/>
        <w:b w:val="0"/>
      </w:rPr>
    </w:lvl>
    <w:lvl w:ilvl="2">
      <w:start w:val="1"/>
      <w:numFmt w:val="upperLetter"/>
      <w:pStyle w:val="JuHA"/>
      <w:lvlText w:val="%3."/>
      <w:lvlJc w:val="left"/>
      <w:pPr>
        <w:ind w:left="584" w:hanging="352"/>
      </w:pPr>
      <w:rPr>
        <w:rFonts w:hint="default"/>
      </w:rPr>
    </w:lvl>
    <w:lvl w:ilvl="3">
      <w:start w:val="1"/>
      <w:numFmt w:val="decimal"/>
      <w:pStyle w:val="JuH1"/>
      <w:lvlText w:val="%4."/>
      <w:lvlJc w:val="left"/>
      <w:pPr>
        <w:ind w:left="731" w:hanging="300"/>
      </w:pPr>
      <w:rPr>
        <w:rFonts w:hint="default"/>
      </w:rPr>
    </w:lvl>
    <w:lvl w:ilvl="4">
      <w:start w:val="1"/>
      <w:numFmt w:val="lowerLetter"/>
      <w:pStyle w:val="JuHa0"/>
      <w:lvlText w:val="(%5)"/>
      <w:lvlJc w:val="left"/>
      <w:pPr>
        <w:ind w:left="975" w:hanging="340"/>
      </w:pPr>
      <w:rPr>
        <w:rFonts w:hint="default"/>
      </w:rPr>
    </w:lvl>
    <w:lvl w:ilvl="5">
      <w:start w:val="1"/>
      <w:numFmt w:val="lowerRoman"/>
      <w:pStyle w:val="JuHi"/>
      <w:suff w:val="space"/>
      <w:lvlText w:val="(%6)"/>
      <w:lvlJc w:val="left"/>
      <w:pPr>
        <w:ind w:left="1191" w:hanging="358"/>
      </w:pPr>
      <w:rPr>
        <w:rFonts w:hint="default"/>
      </w:rPr>
    </w:lvl>
    <w:lvl w:ilvl="6">
      <w:start w:val="1"/>
      <mc:AlternateContent>
        <mc:Choice Requires="w14">
          <w:numFmt w:val="custom" w:format="α, β, γ, ..."/>
        </mc:Choice>
        <mc:Fallback>
          <w:numFmt w:val="decimal"/>
        </mc:Fallback>
      </mc:AlternateContent>
      <w:pStyle w:val="JuHalpha"/>
      <w:lvlText w:val="(%7)"/>
      <w:lvlJc w:val="left"/>
      <w:pPr>
        <w:ind w:left="1372" w:hanging="334"/>
      </w:pPr>
      <w:rPr>
        <w:rFonts w:hint="default"/>
      </w:rPr>
    </w:lvl>
    <w:lvl w:ilvl="7">
      <w:start w:val="1"/>
      <w:numFmt w:val="bullet"/>
      <w:pStyle w:val="JuH"/>
      <w:lvlText w:val="‒"/>
      <w:lvlJc w:val="left"/>
      <w:pPr>
        <w:ind w:left="1418" w:hanging="227"/>
      </w:pPr>
      <w:rPr>
        <w:rFonts w:ascii="Times New Roman" w:hAnsi="Times New Roman" w:cs="Times New Roman" w:hint="default"/>
        <w:color w:val="auto"/>
      </w:rPr>
    </w:lvl>
    <w:lvl w:ilvl="8">
      <w:start w:val="1"/>
      <w:numFmt w:val="bullet"/>
      <w:pStyle w:val="ECHRHeading9"/>
      <w:lvlText w:val="▪"/>
      <w:lvlJc w:val="left"/>
      <w:pPr>
        <w:ind w:left="1644" w:hanging="226"/>
      </w:pPr>
      <w:rPr>
        <w:rFonts w:ascii="Times New Roman" w:hAnsi="Times New Roman" w:cs="Times New Roman" w:hint="default"/>
        <w:color w:val="auto"/>
      </w:rPr>
    </w:lvl>
  </w:abstractNum>
  <w:abstractNum w:abstractNumId="10">
    <w:nsid w:val="1AA96CEA"/>
    <w:multiLevelType w:val="multilevel"/>
    <w:tmpl w:val="040C0023"/>
    <w:styleLink w:val="ArticleSection"/>
    <w:lvl w:ilvl="0">
      <w:start w:val="1"/>
      <w:numFmt w:val="upperRoman"/>
      <w:lvlText w:val="Article %1."/>
      <w:lvlJc w:val="left"/>
      <w:pPr>
        <w:ind w:left="0" w:firstLine="0"/>
      </w:pPr>
    </w:lvl>
    <w:lvl w:ilvl="1">
      <w:start w:val="1"/>
      <w:numFmt w:val="decimalZero"/>
      <w:isLgl/>
      <w:lvlText w:val="Section %1.%2"/>
      <w:lvlJc w:val="left"/>
      <w:pPr>
        <w:ind w:left="0" w:firstLine="0"/>
      </w:pPr>
    </w:lvl>
    <w:lvl w:ilvl="2">
      <w:start w:val="1"/>
      <w:numFmt w:val="lowerLetter"/>
      <w:lvlText w:val="(%3)"/>
      <w:lvlJc w:val="left"/>
      <w:pPr>
        <w:ind w:left="720" w:hanging="432"/>
      </w:pPr>
    </w:lvl>
    <w:lvl w:ilvl="3">
      <w:start w:val="1"/>
      <w:numFmt w:val="lowerRoman"/>
      <w:lvlText w:val="(%4)"/>
      <w:lvlJc w:val="right"/>
      <w:pPr>
        <w:ind w:left="864" w:hanging="144"/>
      </w:pPr>
    </w:lvl>
    <w:lvl w:ilvl="4">
      <w:start w:val="1"/>
      <w:numFmt w:val="decimal"/>
      <w:lvlText w:val="%5)"/>
      <w:lvlJc w:val="left"/>
      <w:pPr>
        <w:ind w:left="1008" w:hanging="432"/>
      </w:pPr>
    </w:lvl>
    <w:lvl w:ilvl="5">
      <w:start w:val="1"/>
      <w:numFmt w:val="lowerLetter"/>
      <w:lvlText w:val="%6)"/>
      <w:lvlJc w:val="left"/>
      <w:pPr>
        <w:ind w:left="1152" w:hanging="432"/>
      </w:pPr>
    </w:lvl>
    <w:lvl w:ilvl="6">
      <w:start w:val="1"/>
      <w:numFmt w:val="lowerRoman"/>
      <w:lvlText w:val="%7)"/>
      <w:lvlJc w:val="right"/>
      <w:pPr>
        <w:ind w:left="1296" w:hanging="288"/>
      </w:pPr>
    </w:lvl>
    <w:lvl w:ilvl="7">
      <w:start w:val="1"/>
      <w:numFmt w:val="lowerLetter"/>
      <w:lvlText w:val="%8."/>
      <w:lvlJc w:val="left"/>
      <w:pPr>
        <w:ind w:left="1440" w:hanging="432"/>
      </w:pPr>
    </w:lvl>
    <w:lvl w:ilvl="8">
      <w:start w:val="1"/>
      <w:numFmt w:val="lowerRoman"/>
      <w:lvlText w:val="%9."/>
      <w:lvlJc w:val="right"/>
      <w:pPr>
        <w:ind w:left="1584" w:hanging="144"/>
      </w:pPr>
    </w:lvl>
  </w:abstractNum>
  <w:abstractNum w:abstractNumId="11">
    <w:nsid w:val="1D27094A"/>
    <w:multiLevelType w:val="multilevel"/>
    <w:tmpl w:val="040C001D"/>
    <w:styleLink w:val="1ai"/>
    <w:lvl w:ilvl="0">
      <w:start w:val="1"/>
      <w:numFmt w:val="decimal"/>
      <w:lvlText w:val="%1)"/>
      <w:lvlJc w:val="left"/>
      <w:pPr>
        <w:ind w:left="360" w:hanging="360"/>
      </w:pPr>
    </w:lvl>
    <w:lvl w:ilvl="1">
      <w:start w:val="1"/>
      <w:numFmt w:val="lowerLetter"/>
      <w:lvlText w:val="%2)"/>
      <w:lvlJc w:val="left"/>
      <w:pPr>
        <w:ind w:left="720" w:hanging="360"/>
      </w:pPr>
    </w:lvl>
    <w:lvl w:ilvl="2">
      <w:start w:val="1"/>
      <w:numFmt w:val="lowerRoman"/>
      <w:lvlText w:val="%3)"/>
      <w:lvlJc w:val="left"/>
      <w:pPr>
        <w:ind w:left="1080" w:hanging="360"/>
      </w:pPr>
    </w:lvl>
    <w:lvl w:ilvl="3">
      <w:start w:val="1"/>
      <w:numFmt w:val="decimal"/>
      <w:lvlText w:val="(%4)"/>
      <w:lvlJc w:val="left"/>
      <w:pPr>
        <w:ind w:left="1440" w:hanging="360"/>
      </w:pPr>
    </w:lvl>
    <w:lvl w:ilvl="4">
      <w:start w:val="1"/>
      <w:numFmt w:val="lowerLetter"/>
      <w:lvlText w:val="(%5)"/>
      <w:lvlJc w:val="left"/>
      <w:pPr>
        <w:ind w:left="1800" w:hanging="360"/>
      </w:pPr>
    </w:lvl>
    <w:lvl w:ilvl="5">
      <w:start w:val="1"/>
      <w:numFmt w:val="lowerRoman"/>
      <w:lvlText w:val="(%6)"/>
      <w:lvlJc w:val="left"/>
      <w:pPr>
        <w:ind w:left="2160" w:hanging="360"/>
      </w:pPr>
    </w:lvl>
    <w:lvl w:ilvl="6">
      <w:start w:val="1"/>
      <w:numFmt w:val="decimal"/>
      <w:lvlText w:val="%7."/>
      <w:lvlJc w:val="left"/>
      <w:pPr>
        <w:ind w:left="2520" w:hanging="360"/>
      </w:pPr>
    </w:lvl>
    <w:lvl w:ilvl="7">
      <w:start w:val="1"/>
      <w:numFmt w:val="lowerLetter"/>
      <w:lvlText w:val="%8."/>
      <w:lvlJc w:val="left"/>
      <w:pPr>
        <w:ind w:left="2880" w:hanging="360"/>
      </w:pPr>
    </w:lvl>
    <w:lvl w:ilvl="8">
      <w:start w:val="1"/>
      <w:numFmt w:val="lowerRoman"/>
      <w:lvlText w:val="%9."/>
      <w:lvlJc w:val="left"/>
      <w:pPr>
        <w:ind w:left="3240" w:hanging="360"/>
      </w:pPr>
    </w:lvl>
  </w:abstractNum>
  <w:abstractNum w:abstractNumId="12">
    <w:nsid w:val="27D5546B"/>
    <w:multiLevelType w:val="multilevel"/>
    <w:tmpl w:val="7222064C"/>
    <w:styleLink w:val="ECHRA1StyleList"/>
    <w:lvl w:ilvl="0">
      <w:start w:val="1"/>
      <w:numFmt w:val="decimal"/>
      <w:lvlText w:val="%1."/>
      <w:lvlJc w:val="left"/>
      <w:pPr>
        <w:tabs>
          <w:tab w:val="num" w:pos="340"/>
        </w:tabs>
        <w:ind w:left="340" w:hanging="340"/>
      </w:pPr>
      <w:rPr>
        <w:rFonts w:hint="default"/>
      </w:rPr>
    </w:lvl>
    <w:lvl w:ilvl="1">
      <w:start w:val="1"/>
      <w:numFmt w:val="lowerLetter"/>
      <w:lvlText w:val="%2)"/>
      <w:lvlJc w:val="left"/>
      <w:pPr>
        <w:tabs>
          <w:tab w:val="num" w:pos="680"/>
        </w:tabs>
        <w:ind w:left="680" w:hanging="340"/>
      </w:pPr>
      <w:rPr>
        <w:rFonts w:hint="default"/>
      </w:rPr>
    </w:lvl>
    <w:lvl w:ilvl="2">
      <w:start w:val="1"/>
      <w:numFmt w:val="lowerRoman"/>
      <w:suff w:val="space"/>
      <w:lvlText w:val="%3."/>
      <w:lvlJc w:val="left"/>
      <w:pPr>
        <w:ind w:left="907" w:hanging="227"/>
      </w:pPr>
      <w:rPr>
        <w:rFonts w:hint="default"/>
      </w:rPr>
    </w:lvl>
    <w:lvl w:ilvl="3">
      <w:start w:val="1"/>
      <w:numFmt w:val="decimal"/>
      <w:lvlText w:val="(%4)"/>
      <w:lvlJc w:val="left"/>
      <w:pPr>
        <w:ind w:left="1440" w:hanging="360"/>
      </w:pPr>
      <w:rPr>
        <w:rFonts w:hint="default"/>
      </w:rPr>
    </w:lvl>
    <w:lvl w:ilvl="4">
      <w:start w:val="1"/>
      <w:numFmt w:val="lowerLetter"/>
      <w:lvlText w:val="(%5)"/>
      <w:lvlJc w:val="left"/>
      <w:pPr>
        <w:ind w:left="1800" w:hanging="360"/>
      </w:pPr>
      <w:rPr>
        <w:rFonts w:hint="default"/>
      </w:rPr>
    </w:lvl>
    <w:lvl w:ilvl="5">
      <w:start w:val="1"/>
      <w:numFmt w:val="lowerRoman"/>
      <w:lvlText w:val="(%6)"/>
      <w:lvlJc w:val="left"/>
      <w:pPr>
        <w:ind w:left="2160" w:hanging="360"/>
      </w:pPr>
      <w:rPr>
        <w:rFonts w:hint="default"/>
      </w:rPr>
    </w:lvl>
    <w:lvl w:ilvl="6">
      <w:start w:val="1"/>
      <w:numFmt w:val="decimal"/>
      <w:lvlText w:val="%7."/>
      <w:lvlJc w:val="left"/>
      <w:pPr>
        <w:ind w:left="2520" w:hanging="360"/>
      </w:pPr>
      <w:rPr>
        <w:rFonts w:hint="default"/>
      </w:rPr>
    </w:lvl>
    <w:lvl w:ilvl="7">
      <w:start w:val="1"/>
      <w:numFmt w:val="lowerLetter"/>
      <w:lvlText w:val="%8."/>
      <w:lvlJc w:val="left"/>
      <w:pPr>
        <w:ind w:left="2880" w:hanging="360"/>
      </w:pPr>
      <w:rPr>
        <w:rFonts w:hint="default"/>
      </w:rPr>
    </w:lvl>
    <w:lvl w:ilvl="8">
      <w:start w:val="1"/>
      <w:numFmt w:val="lowerRoman"/>
      <w:lvlText w:val="%9."/>
      <w:lvlJc w:val="left"/>
      <w:pPr>
        <w:ind w:left="3240" w:hanging="360"/>
      </w:pPr>
      <w:rPr>
        <w:rFonts w:hint="default"/>
      </w:rPr>
    </w:lvl>
  </w:abstractNum>
  <w:abstractNum w:abstractNumId="13">
    <w:nsid w:val="285E6A40"/>
    <w:multiLevelType w:val="multilevel"/>
    <w:tmpl w:val="3704F6F0"/>
    <w:lvl w:ilvl="0">
      <w:start w:val="1"/>
      <w:numFmt w:val="decimal"/>
      <w:lvlText w:val="%1."/>
      <w:lvlJc w:val="left"/>
      <w:pPr>
        <w:tabs>
          <w:tab w:val="num" w:pos="340"/>
        </w:tabs>
        <w:ind w:left="340" w:hanging="340"/>
      </w:pPr>
      <w:rPr>
        <w:rFonts w:hint="default"/>
      </w:rPr>
    </w:lvl>
    <w:lvl w:ilvl="1">
      <w:start w:val="1"/>
      <w:numFmt w:val="lowerLetter"/>
      <w:lvlText w:val="%2)"/>
      <w:lvlJc w:val="left"/>
      <w:pPr>
        <w:tabs>
          <w:tab w:val="num" w:pos="680"/>
        </w:tabs>
        <w:ind w:left="680" w:hanging="340"/>
      </w:pPr>
      <w:rPr>
        <w:rFonts w:hint="default"/>
      </w:rPr>
    </w:lvl>
    <w:lvl w:ilvl="2">
      <w:start w:val="1"/>
      <w:numFmt w:val="lowerRoman"/>
      <w:lvlText w:val="%3."/>
      <w:lvlJc w:val="left"/>
      <w:pPr>
        <w:tabs>
          <w:tab w:val="num" w:pos="1134"/>
        </w:tabs>
        <w:ind w:left="1134" w:hanging="454"/>
      </w:pPr>
      <w:rPr>
        <w:rFonts w:hint="default"/>
      </w:rPr>
    </w:lvl>
    <w:lvl w:ilvl="3">
      <w:start w:val="1"/>
      <w:numFmt w:val="decimal"/>
      <w:lvlText w:val="(%4)"/>
      <w:lvlJc w:val="left"/>
      <w:pPr>
        <w:ind w:left="1440" w:hanging="360"/>
      </w:pPr>
      <w:rPr>
        <w:rFonts w:hint="default"/>
      </w:rPr>
    </w:lvl>
    <w:lvl w:ilvl="4">
      <w:start w:val="1"/>
      <w:numFmt w:val="lowerLetter"/>
      <w:lvlText w:val="(%5)"/>
      <w:lvlJc w:val="left"/>
      <w:pPr>
        <w:ind w:left="1800" w:hanging="360"/>
      </w:pPr>
      <w:rPr>
        <w:rFonts w:hint="default"/>
      </w:rPr>
    </w:lvl>
    <w:lvl w:ilvl="5">
      <w:start w:val="1"/>
      <w:numFmt w:val="lowerRoman"/>
      <w:lvlText w:val="(%6)"/>
      <w:lvlJc w:val="left"/>
      <w:pPr>
        <w:ind w:left="2160" w:hanging="360"/>
      </w:pPr>
      <w:rPr>
        <w:rFonts w:hint="default"/>
      </w:rPr>
    </w:lvl>
    <w:lvl w:ilvl="6">
      <w:start w:val="1"/>
      <w:numFmt w:val="none"/>
      <w:lvlJc w:val="left"/>
      <w:pPr>
        <w:ind w:left="2517" w:hanging="345"/>
      </w:pPr>
      <w:rPr>
        <w:rFonts w:ascii="Symbol" w:hAnsi="Symbol" w:hint="default"/>
        <w:sz w:val="20"/>
      </w:rPr>
    </w:lvl>
    <w:lvl w:ilvl="7">
      <w:start w:val="1"/>
      <w:numFmt w:val="lowerLetter"/>
      <w:lvlText w:val="%8."/>
      <w:lvlJc w:val="left"/>
      <w:pPr>
        <w:ind w:left="2880" w:hanging="360"/>
      </w:pPr>
      <w:rPr>
        <w:rFonts w:hint="default"/>
      </w:rPr>
    </w:lvl>
    <w:lvl w:ilvl="8">
      <w:start w:val="1"/>
      <w:numFmt w:val="lowerRoman"/>
      <w:lvlText w:val="%9."/>
      <w:lvlJc w:val="left"/>
      <w:pPr>
        <w:ind w:left="3240" w:hanging="360"/>
      </w:pPr>
      <w:rPr>
        <w:rFonts w:hint="default"/>
      </w:rPr>
    </w:lvl>
  </w:abstractNum>
  <w:abstractNum w:abstractNumId="14">
    <w:nsid w:val="40B939E1"/>
    <w:multiLevelType w:val="multilevel"/>
    <w:tmpl w:val="040C001F"/>
    <w:styleLink w:val="111111"/>
    <w:lvl w:ilvl="0">
      <w:start w:val="1"/>
      <w:numFmt w:val="decimal"/>
      <w:lvlText w:val="%1."/>
      <w:lvlJc w:val="left"/>
      <w:pPr>
        <w:ind w:left="360" w:hanging="360"/>
      </w:p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15">
    <w:nsid w:val="4989571C"/>
    <w:multiLevelType w:val="multilevel"/>
    <w:tmpl w:val="EFC26858"/>
    <w:styleLink w:val="ECHRA1StyleBulletedSquare"/>
    <w:lvl w:ilvl="0">
      <w:start w:val="1"/>
      <w:numFmt w:val="bullet"/>
      <w:pStyle w:val="ECHRBullet1"/>
      <w:lvlText w:val=""/>
      <w:lvlJc w:val="left"/>
      <w:pPr>
        <w:tabs>
          <w:tab w:val="num" w:pos="851"/>
        </w:tabs>
        <w:ind w:left="851" w:hanging="284"/>
      </w:pPr>
      <w:rPr>
        <w:rFonts w:ascii="Wingdings" w:hAnsi="Wingdings" w:hint="default"/>
        <w:color w:val="0072BC" w:themeColor="background1"/>
      </w:rPr>
    </w:lvl>
    <w:lvl w:ilvl="1">
      <w:start w:val="1"/>
      <w:numFmt w:val="bullet"/>
      <w:pStyle w:val="ECHRBullet2"/>
      <w:lvlText w:val=""/>
      <w:lvlJc w:val="left"/>
      <w:pPr>
        <w:tabs>
          <w:tab w:val="num" w:pos="1134"/>
        </w:tabs>
        <w:ind w:left="1135" w:hanging="284"/>
      </w:pPr>
      <w:rPr>
        <w:rFonts w:ascii="Wingdings" w:hAnsi="Wingdings" w:hint="default"/>
        <w:color w:val="0072BC" w:themeColor="background1"/>
      </w:rPr>
    </w:lvl>
    <w:lvl w:ilvl="2">
      <w:start w:val="1"/>
      <w:numFmt w:val="bullet"/>
      <w:pStyle w:val="ECHRBullet3"/>
      <w:lvlText w:val=""/>
      <w:lvlJc w:val="left"/>
      <w:pPr>
        <w:tabs>
          <w:tab w:val="num" w:pos="1418"/>
        </w:tabs>
        <w:ind w:left="1419" w:hanging="284"/>
      </w:pPr>
      <w:rPr>
        <w:rFonts w:ascii="Wingdings" w:hAnsi="Wingdings" w:hint="default"/>
        <w:color w:val="7F7F7F" w:themeColor="text1" w:themeTint="80"/>
      </w:rPr>
    </w:lvl>
    <w:lvl w:ilvl="3">
      <w:start w:val="1"/>
      <w:numFmt w:val="bullet"/>
      <w:pStyle w:val="ECHRBullet4"/>
      <w:lvlText w:val=""/>
      <w:lvlJc w:val="left"/>
      <w:pPr>
        <w:tabs>
          <w:tab w:val="num" w:pos="1701"/>
        </w:tabs>
        <w:ind w:left="1703" w:hanging="284"/>
      </w:pPr>
      <w:rPr>
        <w:rFonts w:ascii="Wingdings" w:hAnsi="Wingdings" w:hint="default"/>
        <w:color w:val="7F7F7F" w:themeColor="text1" w:themeTint="80"/>
      </w:rPr>
    </w:lvl>
    <w:lvl w:ilvl="4">
      <w:start w:val="1"/>
      <w:numFmt w:val="bullet"/>
      <w:lvlText w:val=""/>
      <w:lvlJc w:val="left"/>
      <w:pPr>
        <w:tabs>
          <w:tab w:val="num" w:pos="1760"/>
        </w:tabs>
        <w:ind w:left="1987" w:hanging="284"/>
      </w:pPr>
      <w:rPr>
        <w:rFonts w:ascii="Wingdings" w:hAnsi="Wingdings" w:hint="default"/>
        <w:color w:val="0072BC" w:themeColor="background1"/>
      </w:rPr>
    </w:lvl>
    <w:lvl w:ilvl="5">
      <w:start w:val="1"/>
      <w:numFmt w:val="bullet"/>
      <w:lvlText w:val=""/>
      <w:lvlJc w:val="left"/>
      <w:pPr>
        <w:tabs>
          <w:tab w:val="num" w:pos="2044"/>
        </w:tabs>
        <w:ind w:left="2271" w:hanging="284"/>
      </w:pPr>
      <w:rPr>
        <w:rFonts w:ascii="Wingdings" w:hAnsi="Wingdings" w:hint="default"/>
        <w:color w:val="5F5F5F" w:themeColor="accent5"/>
      </w:rPr>
    </w:lvl>
    <w:lvl w:ilvl="6">
      <w:start w:val="1"/>
      <w:numFmt w:val="bullet"/>
      <w:lvlText w:val=""/>
      <w:lvlJc w:val="left"/>
      <w:pPr>
        <w:tabs>
          <w:tab w:val="num" w:pos="2328"/>
        </w:tabs>
        <w:ind w:left="2555" w:hanging="284"/>
      </w:pPr>
      <w:rPr>
        <w:rFonts w:ascii="Symbol" w:hAnsi="Symbol" w:hint="default"/>
      </w:rPr>
    </w:lvl>
    <w:lvl w:ilvl="7">
      <w:start w:val="1"/>
      <w:numFmt w:val="bullet"/>
      <w:lvlText w:val="o"/>
      <w:lvlJc w:val="left"/>
      <w:pPr>
        <w:tabs>
          <w:tab w:val="num" w:pos="2612"/>
        </w:tabs>
        <w:ind w:left="2839" w:hanging="284"/>
      </w:pPr>
      <w:rPr>
        <w:rFonts w:ascii="Courier New" w:hAnsi="Courier New" w:hint="default"/>
      </w:rPr>
    </w:lvl>
    <w:lvl w:ilvl="8">
      <w:start w:val="1"/>
      <w:numFmt w:val="bullet"/>
      <w:lvlText w:val=""/>
      <w:lvlJc w:val="left"/>
      <w:pPr>
        <w:tabs>
          <w:tab w:val="num" w:pos="2896"/>
        </w:tabs>
        <w:ind w:left="3123" w:hanging="284"/>
      </w:pPr>
      <w:rPr>
        <w:rFonts w:ascii="Wingdings" w:hAnsi="Wingdings" w:hint="default"/>
      </w:rPr>
    </w:lvl>
  </w:abstractNum>
  <w:abstractNum w:abstractNumId="16">
    <w:nsid w:val="5032512D"/>
    <w:multiLevelType w:val="multilevel"/>
    <w:tmpl w:val="9B34AC6C"/>
    <w:styleLink w:val="ECHRA1StyleNumberedList"/>
    <w:lvl w:ilvl="0">
      <w:start w:val="1"/>
      <w:numFmt w:val="decimal"/>
      <w:pStyle w:val="ECHRNumberedList1"/>
      <w:lvlText w:val="%1."/>
      <w:lvlJc w:val="left"/>
      <w:pPr>
        <w:tabs>
          <w:tab w:val="num" w:pos="964"/>
        </w:tabs>
        <w:ind w:left="964" w:hanging="397"/>
      </w:pPr>
      <w:rPr>
        <w:rFonts w:hint="default"/>
      </w:rPr>
    </w:lvl>
    <w:lvl w:ilvl="1">
      <w:start w:val="1"/>
      <w:numFmt w:val="lowerLetter"/>
      <w:pStyle w:val="ECHRNumberedList2"/>
      <w:lvlText w:val="%2."/>
      <w:lvlJc w:val="left"/>
      <w:pPr>
        <w:tabs>
          <w:tab w:val="num" w:pos="1361"/>
        </w:tabs>
        <w:ind w:left="1361" w:hanging="397"/>
      </w:pPr>
      <w:rPr>
        <w:rFonts w:hint="default"/>
      </w:rPr>
    </w:lvl>
    <w:lvl w:ilvl="2">
      <w:start w:val="1"/>
      <w:numFmt w:val="lowerRoman"/>
      <w:pStyle w:val="ECHRNumberedList3"/>
      <w:lvlText w:val="%3."/>
      <w:lvlJc w:val="left"/>
      <w:pPr>
        <w:tabs>
          <w:tab w:val="num" w:pos="1758"/>
        </w:tabs>
        <w:ind w:left="1758" w:hanging="397"/>
      </w:pPr>
      <w:rPr>
        <w:rFonts w:hint="default"/>
      </w:rPr>
    </w:lvl>
    <w:lvl w:ilvl="3">
      <w:start w:val="1"/>
      <w:numFmt w:val="decimal"/>
      <w:lvlText w:val="(%4)"/>
      <w:lvlJc w:val="left"/>
      <w:pPr>
        <w:tabs>
          <w:tab w:val="num" w:pos="1703"/>
        </w:tabs>
        <w:ind w:left="1703" w:hanging="284"/>
      </w:pPr>
      <w:rPr>
        <w:rFonts w:hint="default"/>
      </w:rPr>
    </w:lvl>
    <w:lvl w:ilvl="4">
      <w:start w:val="1"/>
      <w:numFmt w:val="lowerLetter"/>
      <w:lvlText w:val="(%5)"/>
      <w:lvlJc w:val="left"/>
      <w:pPr>
        <w:tabs>
          <w:tab w:val="num" w:pos="1987"/>
        </w:tabs>
        <w:ind w:left="1987" w:hanging="284"/>
      </w:pPr>
      <w:rPr>
        <w:rFonts w:hint="default"/>
      </w:rPr>
    </w:lvl>
    <w:lvl w:ilvl="5">
      <w:start w:val="1"/>
      <w:numFmt w:val="lowerRoman"/>
      <w:lvlText w:val="(%6)"/>
      <w:lvlJc w:val="left"/>
      <w:pPr>
        <w:tabs>
          <w:tab w:val="num" w:pos="2271"/>
        </w:tabs>
        <w:ind w:left="2271" w:hanging="284"/>
      </w:pPr>
      <w:rPr>
        <w:rFonts w:hint="default"/>
      </w:rPr>
    </w:lvl>
    <w:lvl w:ilvl="6">
      <w:start w:val="1"/>
      <w:numFmt w:val="decimal"/>
      <w:lvlText w:val="%7."/>
      <w:lvlJc w:val="left"/>
      <w:pPr>
        <w:tabs>
          <w:tab w:val="num" w:pos="2555"/>
        </w:tabs>
        <w:ind w:left="2555" w:hanging="284"/>
      </w:pPr>
      <w:rPr>
        <w:rFonts w:hint="default"/>
      </w:rPr>
    </w:lvl>
    <w:lvl w:ilvl="7">
      <w:start w:val="1"/>
      <w:numFmt w:val="lowerLetter"/>
      <w:lvlText w:val="%8."/>
      <w:lvlJc w:val="left"/>
      <w:pPr>
        <w:tabs>
          <w:tab w:val="num" w:pos="2839"/>
        </w:tabs>
        <w:ind w:left="2839" w:hanging="284"/>
      </w:pPr>
      <w:rPr>
        <w:rFonts w:hint="default"/>
      </w:rPr>
    </w:lvl>
    <w:lvl w:ilvl="8">
      <w:start w:val="1"/>
      <w:numFmt w:val="lowerRoman"/>
      <w:lvlText w:val="%9."/>
      <w:lvlJc w:val="left"/>
      <w:pPr>
        <w:tabs>
          <w:tab w:val="num" w:pos="3123"/>
        </w:tabs>
        <w:ind w:left="3123" w:hanging="284"/>
      </w:pPr>
      <w:rPr>
        <w:rFonts w:hint="default"/>
      </w:rPr>
    </w:lvl>
  </w:abstractNum>
  <w:abstractNum w:abstractNumId="17">
    <w:nsid w:val="56B9429C"/>
    <w:multiLevelType w:val="multilevel"/>
    <w:tmpl w:val="4CD28D7E"/>
    <w:lvl w:ilvl="0">
      <w:start w:val="1"/>
      <w:numFmt w:val="none"/>
      <w:suff w:val="nothing"/>
      <w:lvlJc w:val="left"/>
      <w:pPr>
        <w:ind w:left="0" w:firstLine="0"/>
      </w:pPr>
      <w:rPr>
        <w:rFonts w:hint="default"/>
      </w:rPr>
    </w:lvl>
    <w:lvl w:ilvl="1">
      <w:start w:val="1"/>
      <w:numFmt w:val="upperRoman"/>
      <w:suff w:val="space"/>
      <w:lvlText w:val="%2."/>
      <w:lvlJc w:val="left"/>
      <w:pPr>
        <w:ind w:left="357" w:hanging="357"/>
      </w:pPr>
      <w:rPr>
        <w:rFonts w:hint="default"/>
        <w:sz w:val="24"/>
      </w:rPr>
    </w:lvl>
    <w:lvl w:ilvl="2">
      <w:start w:val="1"/>
      <w:numFmt w:val="upperLetter"/>
      <w:lvlText w:val="%3."/>
      <w:lvlJc w:val="left"/>
      <w:pPr>
        <w:ind w:left="584" w:hanging="352"/>
      </w:pPr>
      <w:rPr>
        <w:rFonts w:hint="default"/>
      </w:rPr>
    </w:lvl>
    <w:lvl w:ilvl="3">
      <w:start w:val="1"/>
      <w:numFmt w:val="decimal"/>
      <w:lvlText w:val="%4."/>
      <w:lvlJc w:val="left"/>
      <w:pPr>
        <w:ind w:left="731" w:hanging="300"/>
      </w:pPr>
      <w:rPr>
        <w:rFonts w:hint="default"/>
      </w:rPr>
    </w:lvl>
    <w:lvl w:ilvl="4">
      <w:start w:val="1"/>
      <w:numFmt w:val="lowerLetter"/>
      <w:lvlText w:val="%5)"/>
      <w:lvlJc w:val="left"/>
      <w:pPr>
        <w:ind w:left="975" w:hanging="340"/>
      </w:pPr>
      <w:rPr>
        <w:rFonts w:hint="default"/>
      </w:rPr>
    </w:lvl>
    <w:lvl w:ilvl="5">
      <w:start w:val="1"/>
      <w:numFmt w:val="lowerRoman"/>
      <w:suff w:val="space"/>
      <w:lvlText w:val="%6."/>
      <w:lvlJc w:val="left"/>
      <w:pPr>
        <w:ind w:left="1191" w:hanging="358"/>
      </w:pPr>
      <w:rPr>
        <w:rFonts w:hint="default"/>
      </w:rPr>
    </w:lvl>
    <w:lvl w:ilvl="6">
      <w:start w:val="1"/>
      <w:numFmt w:val="lowerLetter"/>
      <w:lvlText w:val="%7)"/>
      <w:lvlJc w:val="left"/>
      <w:pPr>
        <w:ind w:left="1372" w:hanging="334"/>
      </w:pPr>
      <w:rPr>
        <w:rFonts w:ascii="Symbol" w:hAnsi="Symbol" w:hint="default"/>
        <w:sz w:val="20"/>
      </w:rPr>
    </w:lvl>
    <w:lvl w:ilvl="7">
      <w:start w:val="1"/>
      <w:numFmt w:val="bullet"/>
      <w:lvlText w:val="‒"/>
      <w:lvlJc w:val="left"/>
      <w:pPr>
        <w:ind w:left="1304" w:hanging="68"/>
      </w:pPr>
      <w:rPr>
        <w:rFonts w:ascii="Calibri" w:hAnsi="Calibri" w:hint="default"/>
        <w:color w:val="auto"/>
      </w:rPr>
    </w:lvl>
    <w:lvl w:ilvl="8">
      <w:start w:val="1"/>
      <w:numFmt w:val="none"/>
      <w:lvlText w:val="%9"/>
      <w:lvlJc w:val="right"/>
      <w:pPr>
        <w:ind w:left="7313" w:hanging="180"/>
      </w:pPr>
      <w:rPr>
        <w:rFonts w:hint="default"/>
      </w:rPr>
    </w:lvl>
  </w:abstractNum>
  <w:abstractNum w:abstractNumId="18">
    <w:nsid w:val="67FD1241"/>
    <w:multiLevelType w:val="hybridMultilevel"/>
    <w:tmpl w:val="F6D86CC2"/>
    <w:lvl w:ilvl="0">
      <w:start w:val="1"/>
      <w:numFmt w:val="bullet"/>
      <w:pStyle w:val="ListBullet"/>
      <w:lvlText w:val=""/>
      <w:lvlJc w:val="left"/>
      <w:pPr>
        <w:tabs>
          <w:tab w:val="num" w:pos="851"/>
        </w:tabs>
        <w:ind w:left="568" w:firstLine="0"/>
      </w:pPr>
      <w:rPr>
        <w:rFonts w:ascii="Wingdings" w:hAnsi="Wingdings" w:hint="default"/>
        <w:color w:val="808080"/>
        <w:sz w:val="16"/>
      </w:rPr>
    </w:lvl>
    <w:lvl w:ilvl="1" w:tentative="1">
      <w:start w:val="1"/>
      <w:numFmt w:val="bullet"/>
      <w:lvlText w:val="o"/>
      <w:lvlJc w:val="left"/>
      <w:pPr>
        <w:tabs>
          <w:tab w:val="num" w:pos="1724"/>
        </w:tabs>
        <w:ind w:left="1724" w:hanging="360"/>
      </w:pPr>
      <w:rPr>
        <w:rFonts w:ascii="Courier New" w:hAnsi="Courier New" w:cs="Courier New" w:hint="default"/>
      </w:rPr>
    </w:lvl>
    <w:lvl w:ilvl="2" w:tentative="1">
      <w:start w:val="1"/>
      <w:numFmt w:val="bullet"/>
      <w:lvlText w:val=""/>
      <w:lvlJc w:val="left"/>
      <w:pPr>
        <w:tabs>
          <w:tab w:val="num" w:pos="2444"/>
        </w:tabs>
        <w:ind w:left="2444" w:hanging="360"/>
      </w:pPr>
      <w:rPr>
        <w:rFonts w:ascii="Wingdings" w:hAnsi="Wingdings" w:hint="default"/>
      </w:rPr>
    </w:lvl>
    <w:lvl w:ilvl="3" w:tentative="1">
      <w:start w:val="1"/>
      <w:numFmt w:val="bullet"/>
      <w:lvlText w:val=""/>
      <w:lvlJc w:val="left"/>
      <w:pPr>
        <w:tabs>
          <w:tab w:val="num" w:pos="3164"/>
        </w:tabs>
        <w:ind w:left="3164" w:hanging="360"/>
      </w:pPr>
      <w:rPr>
        <w:rFonts w:ascii="Symbol" w:hAnsi="Symbol" w:hint="default"/>
      </w:rPr>
    </w:lvl>
    <w:lvl w:ilvl="4" w:tentative="1">
      <w:start w:val="1"/>
      <w:numFmt w:val="bullet"/>
      <w:lvlText w:val="o"/>
      <w:lvlJc w:val="left"/>
      <w:pPr>
        <w:tabs>
          <w:tab w:val="num" w:pos="3884"/>
        </w:tabs>
        <w:ind w:left="3884" w:hanging="360"/>
      </w:pPr>
      <w:rPr>
        <w:rFonts w:ascii="Courier New" w:hAnsi="Courier New" w:cs="Courier New" w:hint="default"/>
      </w:rPr>
    </w:lvl>
    <w:lvl w:ilvl="5" w:tentative="1">
      <w:start w:val="1"/>
      <w:numFmt w:val="bullet"/>
      <w:lvlText w:val=""/>
      <w:lvlJc w:val="left"/>
      <w:pPr>
        <w:tabs>
          <w:tab w:val="num" w:pos="4604"/>
        </w:tabs>
        <w:ind w:left="4604" w:hanging="360"/>
      </w:pPr>
      <w:rPr>
        <w:rFonts w:ascii="Wingdings" w:hAnsi="Wingdings" w:hint="default"/>
      </w:rPr>
    </w:lvl>
    <w:lvl w:ilvl="6" w:tentative="1">
      <w:start w:val="1"/>
      <w:numFmt w:val="bullet"/>
      <w:lvlText w:val=""/>
      <w:lvlJc w:val="left"/>
      <w:pPr>
        <w:tabs>
          <w:tab w:val="num" w:pos="5324"/>
        </w:tabs>
        <w:ind w:left="5324" w:hanging="360"/>
      </w:pPr>
      <w:rPr>
        <w:rFonts w:ascii="Symbol" w:hAnsi="Symbol" w:hint="default"/>
      </w:rPr>
    </w:lvl>
    <w:lvl w:ilvl="7" w:tentative="1">
      <w:start w:val="1"/>
      <w:numFmt w:val="bullet"/>
      <w:lvlText w:val="o"/>
      <w:lvlJc w:val="left"/>
      <w:pPr>
        <w:tabs>
          <w:tab w:val="num" w:pos="6044"/>
        </w:tabs>
        <w:ind w:left="6044" w:hanging="360"/>
      </w:pPr>
      <w:rPr>
        <w:rFonts w:ascii="Courier New" w:hAnsi="Courier New" w:cs="Courier New" w:hint="default"/>
      </w:rPr>
    </w:lvl>
    <w:lvl w:ilvl="8" w:tentative="1">
      <w:start w:val="1"/>
      <w:numFmt w:val="bullet"/>
      <w:lvlText w:val=""/>
      <w:lvlJc w:val="left"/>
      <w:pPr>
        <w:tabs>
          <w:tab w:val="num" w:pos="6764"/>
        </w:tabs>
        <w:ind w:left="6764" w:hanging="360"/>
      </w:pPr>
      <w:rPr>
        <w:rFonts w:ascii="Wingdings" w:hAnsi="Wingdings" w:hint="default"/>
      </w:rPr>
    </w:lvl>
  </w:abstractNum>
  <w:abstractNum w:abstractNumId="19">
    <w:nsid w:val="718C54F2"/>
    <w:multiLevelType w:val="multilevel"/>
    <w:tmpl w:val="078A8CEC"/>
    <w:lvl w:ilvl="0">
      <w:start w:val="7"/>
      <w:numFmt w:val="decimal"/>
      <w:pStyle w:val="JuList"/>
      <w:lvlText w:val="%1."/>
      <w:lvlJc w:val="left"/>
      <w:pPr>
        <w:tabs>
          <w:tab w:val="num" w:pos="340"/>
        </w:tabs>
        <w:ind w:left="340" w:hanging="340"/>
      </w:pPr>
      <w:rPr>
        <w:rFonts w:hint="default"/>
      </w:rPr>
    </w:lvl>
    <w:lvl w:ilvl="1">
      <w:start w:val="1"/>
      <w:numFmt w:val="lowerLetter"/>
      <w:pStyle w:val="JuLista"/>
      <w:lvlText w:val="%2)"/>
      <w:lvlJc w:val="left"/>
      <w:pPr>
        <w:tabs>
          <w:tab w:val="num" w:pos="680"/>
        </w:tabs>
        <w:ind w:left="680" w:hanging="340"/>
      </w:pPr>
      <w:rPr>
        <w:rFonts w:hint="default"/>
      </w:rPr>
    </w:lvl>
    <w:lvl w:ilvl="2">
      <w:start w:val="1"/>
      <w:numFmt w:val="lowerRoman"/>
      <w:pStyle w:val="JuListi"/>
      <w:suff w:val="space"/>
      <w:lvlText w:val="%3."/>
      <w:lvlJc w:val="left"/>
      <w:pPr>
        <w:ind w:left="907" w:hanging="227"/>
      </w:pPr>
      <w:rPr>
        <w:rFonts w:hint="default"/>
      </w:rPr>
    </w:lvl>
    <w:lvl w:ilvl="3">
      <w:start w:val="1"/>
      <w:numFmt w:val="decimal"/>
      <w:lvlText w:val="(%4)"/>
      <w:lvlJc w:val="left"/>
      <w:pPr>
        <w:ind w:left="1440" w:hanging="360"/>
      </w:pPr>
      <w:rPr>
        <w:rFonts w:hint="default"/>
      </w:rPr>
    </w:lvl>
    <w:lvl w:ilvl="4">
      <w:start w:val="1"/>
      <w:numFmt w:val="lowerLetter"/>
      <w:lvlText w:val="(%5)"/>
      <w:lvlJc w:val="left"/>
      <w:pPr>
        <w:ind w:left="1800" w:hanging="360"/>
      </w:pPr>
      <w:rPr>
        <w:rFonts w:hint="default"/>
      </w:rPr>
    </w:lvl>
    <w:lvl w:ilvl="5">
      <w:start w:val="1"/>
      <w:numFmt w:val="lowerRoman"/>
      <w:lvlText w:val="(%6)"/>
      <w:lvlJc w:val="left"/>
      <w:pPr>
        <w:ind w:left="2160" w:hanging="360"/>
      </w:pPr>
      <w:rPr>
        <w:rFonts w:hint="default"/>
      </w:rPr>
    </w:lvl>
    <w:lvl w:ilvl="6">
      <w:start w:val="1"/>
      <w:numFmt w:val="decimal"/>
      <w:lvlText w:val="%7."/>
      <w:lvlJc w:val="left"/>
      <w:pPr>
        <w:ind w:left="2520" w:hanging="360"/>
      </w:pPr>
      <w:rPr>
        <w:rFonts w:hint="default"/>
      </w:rPr>
    </w:lvl>
    <w:lvl w:ilvl="7">
      <w:start w:val="1"/>
      <w:numFmt w:val="lowerLetter"/>
      <w:lvlText w:val="%8."/>
      <w:lvlJc w:val="left"/>
      <w:pPr>
        <w:ind w:left="2880" w:hanging="360"/>
      </w:pPr>
      <w:rPr>
        <w:rFonts w:hint="default"/>
      </w:rPr>
    </w:lvl>
    <w:lvl w:ilvl="8">
      <w:start w:val="1"/>
      <w:numFmt w:val="lowerRoman"/>
      <w:lvlText w:val="%9."/>
      <w:lvlJc w:val="left"/>
      <w:pPr>
        <w:ind w:left="3240" w:hanging="360"/>
      </w:pPr>
      <w:rPr>
        <w:rFonts w:hint="default"/>
      </w:rPr>
    </w:lvl>
  </w:abstractNum>
  <w:num w:numId="1">
    <w:abstractNumId w:val="14"/>
  </w:num>
  <w:num w:numId="2">
    <w:abstractNumId w:val="11"/>
  </w:num>
  <w:num w:numId="3">
    <w:abstractNumId w:val="10"/>
  </w:num>
  <w:num w:numId="4">
    <w:abstractNumId w:val="15"/>
  </w:num>
  <w:num w:numId="5">
    <w:abstractNumId w:val="12"/>
  </w:num>
  <w:num w:numId="6">
    <w:abstractNumId w:val="16"/>
  </w:num>
  <w:num w:numId="7">
    <w:abstractNumId w:val="15"/>
  </w:num>
  <w:num w:numId="8">
    <w:abstractNumId w:val="16"/>
  </w:num>
  <w:num w:numId="9">
    <w:abstractNumId w:val="9"/>
  </w:num>
  <w:num w:numId="10">
    <w:abstractNumId w:val="19"/>
  </w:num>
  <w:num w:numId="11">
    <w:abstractNumId w:val="18"/>
  </w:num>
  <w:num w:numId="12">
    <w:abstractNumId w:val="7"/>
  </w:num>
  <w:num w:numId="13">
    <w:abstractNumId w:val="6"/>
  </w:num>
  <w:num w:numId="14">
    <w:abstractNumId w:val="5"/>
  </w:num>
  <w:num w:numId="15">
    <w:abstractNumId w:val="4"/>
  </w:num>
  <w:num w:numId="16">
    <w:abstractNumId w:val="8"/>
  </w:num>
  <w:num w:numId="17">
    <w:abstractNumId w:val="3"/>
  </w:num>
  <w:num w:numId="18">
    <w:abstractNumId w:val="2"/>
  </w:num>
  <w:num w:numId="19">
    <w:abstractNumId w:val="1"/>
  </w:num>
  <w:num w:numId="20">
    <w:abstractNumId w:val="0"/>
  </w:num>
  <w:num w:numId="21">
    <w:abstractNumId w:val="17"/>
  </w:num>
  <w:num w:numId="22">
    <w:abstractNumId w:val="13"/>
  </w:num>
  <w:numIdMacAtCleanup w:val="20"/>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removePersonalInformation/>
  <w:proofState w:spelling="clean" w:grammar="clean"/>
  <w:stylePaneFormatFilter w:val="9004" w:allStyles="0" w:alternateStyleNames="1" w:clearFormatting="1" w:customStyles="0" w:directFormattingOnNumbering="0" w:directFormattingOnParagraphs="0" w:directFormattingOnRuns="0" w:directFormattingOnTables="0" w:headingStyles="0" w:latentStyles="1" w:numberingStyles="0" w:stylesInUse="0" w:tableStyles="0" w:top3HeadingStyles="0" w:visibleStyles="0"/>
  <w:defaultTabStop w:val="720"/>
  <w:hyphenationZone w:val="425"/>
  <w:evenAndOddHeaders/>
  <w:drawingGridHorizontalSpacing w:val="110"/>
  <w:displayHorizontalDrawingGridEvery w:val="2"/>
  <w:displayVerticalDrawingGridEvery w:val="2"/>
  <w:characterSpacingControl w:val="doNotCompress"/>
  <w:footnotePr>
    <w:numRestart w:val="eachSect"/>
  </w:footnotePr>
  <w:endnotePr>
    <w:numFmt w:val="decimal"/>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CC31BB"/>
    <w:rsid w:val="000041F8"/>
    <w:rsid w:val="000042A8"/>
    <w:rsid w:val="00004308"/>
    <w:rsid w:val="00005BF0"/>
    <w:rsid w:val="00007154"/>
    <w:rsid w:val="000103AE"/>
    <w:rsid w:val="00011D69"/>
    <w:rsid w:val="00012AD3"/>
    <w:rsid w:val="00015C2D"/>
    <w:rsid w:val="00015F00"/>
    <w:rsid w:val="00022C1D"/>
    <w:rsid w:val="00034987"/>
    <w:rsid w:val="00051015"/>
    <w:rsid w:val="0005301B"/>
    <w:rsid w:val="000602DF"/>
    <w:rsid w:val="00061B05"/>
    <w:rsid w:val="000632D5"/>
    <w:rsid w:val="000644EE"/>
    <w:rsid w:val="000777C8"/>
    <w:rsid w:val="00080ECE"/>
    <w:rsid w:val="00083DAD"/>
    <w:rsid w:val="00086D1F"/>
    <w:rsid w:val="0009057B"/>
    <w:rsid w:val="000925AD"/>
    <w:rsid w:val="000A24EB"/>
    <w:rsid w:val="000B5D17"/>
    <w:rsid w:val="000B6923"/>
    <w:rsid w:val="000B76DD"/>
    <w:rsid w:val="000C5F3C"/>
    <w:rsid w:val="000C6DCC"/>
    <w:rsid w:val="000D04C2"/>
    <w:rsid w:val="000D3BBA"/>
    <w:rsid w:val="000D47AA"/>
    <w:rsid w:val="000D721F"/>
    <w:rsid w:val="000E069B"/>
    <w:rsid w:val="000E0E82"/>
    <w:rsid w:val="000E1DC5"/>
    <w:rsid w:val="000E223F"/>
    <w:rsid w:val="000E4AC8"/>
    <w:rsid w:val="000E7D45"/>
    <w:rsid w:val="000F19D8"/>
    <w:rsid w:val="000F7851"/>
    <w:rsid w:val="00104E23"/>
    <w:rsid w:val="00105163"/>
    <w:rsid w:val="00111B0C"/>
    <w:rsid w:val="00117CD2"/>
    <w:rsid w:val="00120D6C"/>
    <w:rsid w:val="001257EC"/>
    <w:rsid w:val="00133D33"/>
    <w:rsid w:val="00134D64"/>
    <w:rsid w:val="00135A30"/>
    <w:rsid w:val="0013612C"/>
    <w:rsid w:val="00137FF6"/>
    <w:rsid w:val="00141650"/>
    <w:rsid w:val="00150BFA"/>
    <w:rsid w:val="001625AD"/>
    <w:rsid w:val="00162967"/>
    <w:rsid w:val="00162A12"/>
    <w:rsid w:val="00166530"/>
    <w:rsid w:val="00181508"/>
    <w:rsid w:val="001832BD"/>
    <w:rsid w:val="001943B5"/>
    <w:rsid w:val="00194C5B"/>
    <w:rsid w:val="00195134"/>
    <w:rsid w:val="001A145B"/>
    <w:rsid w:val="001A674C"/>
    <w:rsid w:val="001B3B24"/>
    <w:rsid w:val="001C0F98"/>
    <w:rsid w:val="001C2A42"/>
    <w:rsid w:val="001C2B5C"/>
    <w:rsid w:val="001D63ED"/>
    <w:rsid w:val="001D7348"/>
    <w:rsid w:val="001E035B"/>
    <w:rsid w:val="001E0961"/>
    <w:rsid w:val="001E3EAE"/>
    <w:rsid w:val="001E6F32"/>
    <w:rsid w:val="001F2145"/>
    <w:rsid w:val="001F39F4"/>
    <w:rsid w:val="001F6262"/>
    <w:rsid w:val="001F67B0"/>
    <w:rsid w:val="001F7B3D"/>
    <w:rsid w:val="00203E75"/>
    <w:rsid w:val="00204F24"/>
    <w:rsid w:val="00205F9F"/>
    <w:rsid w:val="00210338"/>
    <w:rsid w:val="002115FC"/>
    <w:rsid w:val="00212184"/>
    <w:rsid w:val="0021423C"/>
    <w:rsid w:val="00220AA2"/>
    <w:rsid w:val="00230D00"/>
    <w:rsid w:val="00231364"/>
    <w:rsid w:val="00231DF7"/>
    <w:rsid w:val="00231FD1"/>
    <w:rsid w:val="002339E0"/>
    <w:rsid w:val="00233CF8"/>
    <w:rsid w:val="0023575D"/>
    <w:rsid w:val="00237148"/>
    <w:rsid w:val="0024222D"/>
    <w:rsid w:val="00244B0E"/>
    <w:rsid w:val="00244F6C"/>
    <w:rsid w:val="002532C5"/>
    <w:rsid w:val="002546AE"/>
    <w:rsid w:val="00256F45"/>
    <w:rsid w:val="00260C03"/>
    <w:rsid w:val="00261F46"/>
    <w:rsid w:val="0026540E"/>
    <w:rsid w:val="00275123"/>
    <w:rsid w:val="00282240"/>
    <w:rsid w:val="002948AD"/>
    <w:rsid w:val="0029739C"/>
    <w:rsid w:val="002A01CC"/>
    <w:rsid w:val="002A61B1"/>
    <w:rsid w:val="002A663C"/>
    <w:rsid w:val="002B444B"/>
    <w:rsid w:val="002B5887"/>
    <w:rsid w:val="002B7E83"/>
    <w:rsid w:val="002C0E27"/>
    <w:rsid w:val="002C3040"/>
    <w:rsid w:val="002D022D"/>
    <w:rsid w:val="002D24BB"/>
    <w:rsid w:val="002F29AA"/>
    <w:rsid w:val="002F2AF7"/>
    <w:rsid w:val="002F7E1C"/>
    <w:rsid w:val="00301A75"/>
    <w:rsid w:val="00302F70"/>
    <w:rsid w:val="0030336F"/>
    <w:rsid w:val="0030375E"/>
    <w:rsid w:val="0030660C"/>
    <w:rsid w:val="00306AF6"/>
    <w:rsid w:val="00312A30"/>
    <w:rsid w:val="00316323"/>
    <w:rsid w:val="00320F72"/>
    <w:rsid w:val="0032463E"/>
    <w:rsid w:val="00326224"/>
    <w:rsid w:val="00336F4B"/>
    <w:rsid w:val="00337EE4"/>
    <w:rsid w:val="00340FFD"/>
    <w:rsid w:val="003506B1"/>
    <w:rsid w:val="00356AC7"/>
    <w:rsid w:val="003609FA"/>
    <w:rsid w:val="00361D45"/>
    <w:rsid w:val="00367B4F"/>
    <w:rsid w:val="003710C8"/>
    <w:rsid w:val="003722CE"/>
    <w:rsid w:val="003750BE"/>
    <w:rsid w:val="00387B9D"/>
    <w:rsid w:val="0039364F"/>
    <w:rsid w:val="00396686"/>
    <w:rsid w:val="0039778E"/>
    <w:rsid w:val="003A37B8"/>
    <w:rsid w:val="003B4941"/>
    <w:rsid w:val="003B6A2E"/>
    <w:rsid w:val="003C5714"/>
    <w:rsid w:val="003C6B9F"/>
    <w:rsid w:val="003C6E2A"/>
    <w:rsid w:val="003D0299"/>
    <w:rsid w:val="003D32BE"/>
    <w:rsid w:val="003E3FE3"/>
    <w:rsid w:val="003E6D80"/>
    <w:rsid w:val="003E7A9C"/>
    <w:rsid w:val="003F05FA"/>
    <w:rsid w:val="003F244A"/>
    <w:rsid w:val="003F30B8"/>
    <w:rsid w:val="003F4C45"/>
    <w:rsid w:val="003F539B"/>
    <w:rsid w:val="003F5F7B"/>
    <w:rsid w:val="003F7D64"/>
    <w:rsid w:val="00401F7D"/>
    <w:rsid w:val="0041177B"/>
    <w:rsid w:val="00414300"/>
    <w:rsid w:val="00425C67"/>
    <w:rsid w:val="00427E7A"/>
    <w:rsid w:val="00431C07"/>
    <w:rsid w:val="004344E6"/>
    <w:rsid w:val="00436C49"/>
    <w:rsid w:val="00445366"/>
    <w:rsid w:val="00447F5B"/>
    <w:rsid w:val="00456549"/>
    <w:rsid w:val="004604A0"/>
    <w:rsid w:val="00461DB0"/>
    <w:rsid w:val="00463926"/>
    <w:rsid w:val="00464C9A"/>
    <w:rsid w:val="00474F3D"/>
    <w:rsid w:val="00477E3A"/>
    <w:rsid w:val="00483E5F"/>
    <w:rsid w:val="00485FF9"/>
    <w:rsid w:val="004907F0"/>
    <w:rsid w:val="0049140B"/>
    <w:rsid w:val="004923A5"/>
    <w:rsid w:val="00496197"/>
    <w:rsid w:val="00496BFB"/>
    <w:rsid w:val="004A15C7"/>
    <w:rsid w:val="004B013B"/>
    <w:rsid w:val="004B112B"/>
    <w:rsid w:val="004C01E4"/>
    <w:rsid w:val="004C086C"/>
    <w:rsid w:val="004C1A3F"/>
    <w:rsid w:val="004C1F56"/>
    <w:rsid w:val="004C27BC"/>
    <w:rsid w:val="004D15F3"/>
    <w:rsid w:val="004D5311"/>
    <w:rsid w:val="004D5DCC"/>
    <w:rsid w:val="004E22F1"/>
    <w:rsid w:val="004E2B62"/>
    <w:rsid w:val="004F10AF"/>
    <w:rsid w:val="004F11A4"/>
    <w:rsid w:val="004F2389"/>
    <w:rsid w:val="004F304D"/>
    <w:rsid w:val="004F61BE"/>
    <w:rsid w:val="004F66B1"/>
    <w:rsid w:val="00511C07"/>
    <w:rsid w:val="00516B59"/>
    <w:rsid w:val="005173A6"/>
    <w:rsid w:val="00520BAA"/>
    <w:rsid w:val="00522ABA"/>
    <w:rsid w:val="00525208"/>
    <w:rsid w:val="005257A5"/>
    <w:rsid w:val="005264C0"/>
    <w:rsid w:val="00526A8A"/>
    <w:rsid w:val="00531DF2"/>
    <w:rsid w:val="005442EE"/>
    <w:rsid w:val="00547353"/>
    <w:rsid w:val="005474E7"/>
    <w:rsid w:val="005512A3"/>
    <w:rsid w:val="005578CE"/>
    <w:rsid w:val="00562781"/>
    <w:rsid w:val="00566E2B"/>
    <w:rsid w:val="00571E46"/>
    <w:rsid w:val="0057271C"/>
    <w:rsid w:val="00572845"/>
    <w:rsid w:val="005752B7"/>
    <w:rsid w:val="00576986"/>
    <w:rsid w:val="00592772"/>
    <w:rsid w:val="00592C8D"/>
    <w:rsid w:val="00594F5A"/>
    <w:rsid w:val="0059574A"/>
    <w:rsid w:val="005A12A1"/>
    <w:rsid w:val="005A1B9B"/>
    <w:rsid w:val="005A492C"/>
    <w:rsid w:val="005A6751"/>
    <w:rsid w:val="005B092E"/>
    <w:rsid w:val="005B152C"/>
    <w:rsid w:val="005B1EE0"/>
    <w:rsid w:val="005B2B24"/>
    <w:rsid w:val="005B4425"/>
    <w:rsid w:val="005B4B94"/>
    <w:rsid w:val="005C353F"/>
    <w:rsid w:val="005C3EE8"/>
    <w:rsid w:val="005D34F9"/>
    <w:rsid w:val="005D4190"/>
    <w:rsid w:val="005D67A3"/>
    <w:rsid w:val="005E2988"/>
    <w:rsid w:val="005E3085"/>
    <w:rsid w:val="005E3C30"/>
    <w:rsid w:val="005F51E1"/>
    <w:rsid w:val="00603B65"/>
    <w:rsid w:val="006059E7"/>
    <w:rsid w:val="00611C80"/>
    <w:rsid w:val="00613B21"/>
    <w:rsid w:val="00620692"/>
    <w:rsid w:val="006242CA"/>
    <w:rsid w:val="00627507"/>
    <w:rsid w:val="00633717"/>
    <w:rsid w:val="006344E1"/>
    <w:rsid w:val="006361FD"/>
    <w:rsid w:val="006545C4"/>
    <w:rsid w:val="00661971"/>
    <w:rsid w:val="00661CE8"/>
    <w:rsid w:val="006623D9"/>
    <w:rsid w:val="00662882"/>
    <w:rsid w:val="0066550C"/>
    <w:rsid w:val="006716F2"/>
    <w:rsid w:val="00682BF2"/>
    <w:rsid w:val="006859CE"/>
    <w:rsid w:val="00691270"/>
    <w:rsid w:val="00692F0F"/>
    <w:rsid w:val="00694BA8"/>
    <w:rsid w:val="006A037C"/>
    <w:rsid w:val="006A36F4"/>
    <w:rsid w:val="006A406F"/>
    <w:rsid w:val="006A5D3A"/>
    <w:rsid w:val="006C23D4"/>
    <w:rsid w:val="006C475E"/>
    <w:rsid w:val="006C7BB0"/>
    <w:rsid w:val="006C7F51"/>
    <w:rsid w:val="006D3237"/>
    <w:rsid w:val="006E2E37"/>
    <w:rsid w:val="006E3CF1"/>
    <w:rsid w:val="006E7E80"/>
    <w:rsid w:val="006F48CA"/>
    <w:rsid w:val="006F64DD"/>
    <w:rsid w:val="00702AF6"/>
    <w:rsid w:val="00715127"/>
    <w:rsid w:val="00715E8E"/>
    <w:rsid w:val="007172B0"/>
    <w:rsid w:val="00723580"/>
    <w:rsid w:val="00723755"/>
    <w:rsid w:val="00724AE2"/>
    <w:rsid w:val="0073136C"/>
    <w:rsid w:val="00731F0F"/>
    <w:rsid w:val="00733250"/>
    <w:rsid w:val="00735951"/>
    <w:rsid w:val="00741404"/>
    <w:rsid w:val="007449E5"/>
    <w:rsid w:val="00747FF0"/>
    <w:rsid w:val="007535C5"/>
    <w:rsid w:val="007612E2"/>
    <w:rsid w:val="00764D4E"/>
    <w:rsid w:val="00765A1F"/>
    <w:rsid w:val="00775B6D"/>
    <w:rsid w:val="00776D68"/>
    <w:rsid w:val="007850EE"/>
    <w:rsid w:val="00785B95"/>
    <w:rsid w:val="00790AAD"/>
    <w:rsid w:val="00790E96"/>
    <w:rsid w:val="00793366"/>
    <w:rsid w:val="007971FF"/>
    <w:rsid w:val="007A4070"/>
    <w:rsid w:val="007A716F"/>
    <w:rsid w:val="007B270A"/>
    <w:rsid w:val="007C0695"/>
    <w:rsid w:val="007C419A"/>
    <w:rsid w:val="007C4CC8"/>
    <w:rsid w:val="007C5426"/>
    <w:rsid w:val="007C5798"/>
    <w:rsid w:val="007D4832"/>
    <w:rsid w:val="007E21B2"/>
    <w:rsid w:val="007E2C4E"/>
    <w:rsid w:val="007F1905"/>
    <w:rsid w:val="00801300"/>
    <w:rsid w:val="00802C64"/>
    <w:rsid w:val="0080523A"/>
    <w:rsid w:val="00805E52"/>
    <w:rsid w:val="008061D0"/>
    <w:rsid w:val="00810B38"/>
    <w:rsid w:val="008204C7"/>
    <w:rsid w:val="00820992"/>
    <w:rsid w:val="00823602"/>
    <w:rsid w:val="008255F5"/>
    <w:rsid w:val="0083014E"/>
    <w:rsid w:val="0083214A"/>
    <w:rsid w:val="00834220"/>
    <w:rsid w:val="00845723"/>
    <w:rsid w:val="00851EF9"/>
    <w:rsid w:val="008577FD"/>
    <w:rsid w:val="00860B03"/>
    <w:rsid w:val="0086497A"/>
    <w:rsid w:val="008713A1"/>
    <w:rsid w:val="00873D9C"/>
    <w:rsid w:val="008748BE"/>
    <w:rsid w:val="008754AB"/>
    <w:rsid w:val="00876A02"/>
    <w:rsid w:val="00876F03"/>
    <w:rsid w:val="0088060C"/>
    <w:rsid w:val="00891107"/>
    <w:rsid w:val="00893576"/>
    <w:rsid w:val="00893E73"/>
    <w:rsid w:val="00893F30"/>
    <w:rsid w:val="00895F5B"/>
    <w:rsid w:val="008B02DC"/>
    <w:rsid w:val="008B2698"/>
    <w:rsid w:val="008B57CE"/>
    <w:rsid w:val="008C26DE"/>
    <w:rsid w:val="008D2225"/>
    <w:rsid w:val="008D4752"/>
    <w:rsid w:val="008E271C"/>
    <w:rsid w:val="008E418E"/>
    <w:rsid w:val="008E5BC6"/>
    <w:rsid w:val="008E6A25"/>
    <w:rsid w:val="008E7A1B"/>
    <w:rsid w:val="008F5193"/>
    <w:rsid w:val="009013A7"/>
    <w:rsid w:val="009017FB"/>
    <w:rsid w:val="009017FC"/>
    <w:rsid w:val="009020E3"/>
    <w:rsid w:val="0090506B"/>
    <w:rsid w:val="009050C9"/>
    <w:rsid w:val="009066FC"/>
    <w:rsid w:val="009140A3"/>
    <w:rsid w:val="009144A2"/>
    <w:rsid w:val="0091510C"/>
    <w:rsid w:val="009259AC"/>
    <w:rsid w:val="00926F38"/>
    <w:rsid w:val="00934301"/>
    <w:rsid w:val="00936CD1"/>
    <w:rsid w:val="009375A5"/>
    <w:rsid w:val="00941747"/>
    <w:rsid w:val="00941EFB"/>
    <w:rsid w:val="00947AFB"/>
    <w:rsid w:val="00951D7D"/>
    <w:rsid w:val="009630C7"/>
    <w:rsid w:val="00972B55"/>
    <w:rsid w:val="009743B7"/>
    <w:rsid w:val="00975039"/>
    <w:rsid w:val="00977227"/>
    <w:rsid w:val="0098228B"/>
    <w:rsid w:val="009828DA"/>
    <w:rsid w:val="009843E9"/>
    <w:rsid w:val="00985BAB"/>
    <w:rsid w:val="009B1B5F"/>
    <w:rsid w:val="009B6673"/>
    <w:rsid w:val="009C191B"/>
    <w:rsid w:val="009C2BD6"/>
    <w:rsid w:val="009D2F52"/>
    <w:rsid w:val="009D32ED"/>
    <w:rsid w:val="009E16D2"/>
    <w:rsid w:val="009E1F32"/>
    <w:rsid w:val="009E776C"/>
    <w:rsid w:val="00A00672"/>
    <w:rsid w:val="00A132AD"/>
    <w:rsid w:val="00A1726E"/>
    <w:rsid w:val="00A204CF"/>
    <w:rsid w:val="00A21624"/>
    <w:rsid w:val="00A23C90"/>
    <w:rsid w:val="00A23D49"/>
    <w:rsid w:val="00A27004"/>
    <w:rsid w:val="00A30C29"/>
    <w:rsid w:val="00A34DD6"/>
    <w:rsid w:val="00A36819"/>
    <w:rsid w:val="00A36989"/>
    <w:rsid w:val="00A43628"/>
    <w:rsid w:val="00A43AA3"/>
    <w:rsid w:val="00A44DD3"/>
    <w:rsid w:val="00A45145"/>
    <w:rsid w:val="00A4783F"/>
    <w:rsid w:val="00A54192"/>
    <w:rsid w:val="00A6035E"/>
    <w:rsid w:val="00A6144C"/>
    <w:rsid w:val="00A66617"/>
    <w:rsid w:val="00A671F8"/>
    <w:rsid w:val="00A673A4"/>
    <w:rsid w:val="00A724AE"/>
    <w:rsid w:val="00A73329"/>
    <w:rsid w:val="00A75785"/>
    <w:rsid w:val="00A82359"/>
    <w:rsid w:val="00A865D2"/>
    <w:rsid w:val="00A94C20"/>
    <w:rsid w:val="00AA227F"/>
    <w:rsid w:val="00AA3BC7"/>
    <w:rsid w:val="00AA754A"/>
    <w:rsid w:val="00AB099E"/>
    <w:rsid w:val="00AB4328"/>
    <w:rsid w:val="00AB5628"/>
    <w:rsid w:val="00AC00C2"/>
    <w:rsid w:val="00AC4B47"/>
    <w:rsid w:val="00AC5872"/>
    <w:rsid w:val="00AD1DCC"/>
    <w:rsid w:val="00AE0A2E"/>
    <w:rsid w:val="00AE354C"/>
    <w:rsid w:val="00AF4B07"/>
    <w:rsid w:val="00AF6186"/>
    <w:rsid w:val="00AF7A3A"/>
    <w:rsid w:val="00B009F4"/>
    <w:rsid w:val="00B160DB"/>
    <w:rsid w:val="00B20836"/>
    <w:rsid w:val="00B23569"/>
    <w:rsid w:val="00B235BB"/>
    <w:rsid w:val="00B25320"/>
    <w:rsid w:val="00B25D3B"/>
    <w:rsid w:val="00B27A44"/>
    <w:rsid w:val="00B30BBF"/>
    <w:rsid w:val="00B33C03"/>
    <w:rsid w:val="00B44E56"/>
    <w:rsid w:val="00B46543"/>
    <w:rsid w:val="00B47D33"/>
    <w:rsid w:val="00B52BE0"/>
    <w:rsid w:val="00B54133"/>
    <w:rsid w:val="00B701ED"/>
    <w:rsid w:val="00B751F4"/>
    <w:rsid w:val="00B8086C"/>
    <w:rsid w:val="00B840F7"/>
    <w:rsid w:val="00B861B4"/>
    <w:rsid w:val="00B86DFE"/>
    <w:rsid w:val="00B90990"/>
    <w:rsid w:val="00B922FF"/>
    <w:rsid w:val="00B9281E"/>
    <w:rsid w:val="00B93925"/>
    <w:rsid w:val="00B95187"/>
    <w:rsid w:val="00BA2D55"/>
    <w:rsid w:val="00BA71B1"/>
    <w:rsid w:val="00BB0637"/>
    <w:rsid w:val="00BB345F"/>
    <w:rsid w:val="00BB68EA"/>
    <w:rsid w:val="00BC1C27"/>
    <w:rsid w:val="00BC1F03"/>
    <w:rsid w:val="00BC6BBF"/>
    <w:rsid w:val="00BD1572"/>
    <w:rsid w:val="00BE14E3"/>
    <w:rsid w:val="00BE3774"/>
    <w:rsid w:val="00BE41E5"/>
    <w:rsid w:val="00BE486E"/>
    <w:rsid w:val="00BF4109"/>
    <w:rsid w:val="00BF4CC3"/>
    <w:rsid w:val="00C00E59"/>
    <w:rsid w:val="00C054C7"/>
    <w:rsid w:val="00C057B5"/>
    <w:rsid w:val="00C10EC9"/>
    <w:rsid w:val="00C149F0"/>
    <w:rsid w:val="00C22687"/>
    <w:rsid w:val="00C24744"/>
    <w:rsid w:val="00C25983"/>
    <w:rsid w:val="00C32E4D"/>
    <w:rsid w:val="00C333A0"/>
    <w:rsid w:val="00C36408"/>
    <w:rsid w:val="00C36A81"/>
    <w:rsid w:val="00C40F33"/>
    <w:rsid w:val="00C41974"/>
    <w:rsid w:val="00C45616"/>
    <w:rsid w:val="00C53F4A"/>
    <w:rsid w:val="00C54125"/>
    <w:rsid w:val="00C55B54"/>
    <w:rsid w:val="00C6098E"/>
    <w:rsid w:val="00C6152C"/>
    <w:rsid w:val="00C74810"/>
    <w:rsid w:val="00C80014"/>
    <w:rsid w:val="00C81ACF"/>
    <w:rsid w:val="00C90D68"/>
    <w:rsid w:val="00C939FE"/>
    <w:rsid w:val="00C94F35"/>
    <w:rsid w:val="00CA4BDA"/>
    <w:rsid w:val="00CA7C61"/>
    <w:rsid w:val="00CB1F66"/>
    <w:rsid w:val="00CB2951"/>
    <w:rsid w:val="00CC31BB"/>
    <w:rsid w:val="00CD282B"/>
    <w:rsid w:val="00CD4C35"/>
    <w:rsid w:val="00CD7369"/>
    <w:rsid w:val="00CE0B0E"/>
    <w:rsid w:val="00CE3831"/>
    <w:rsid w:val="00D00ABB"/>
    <w:rsid w:val="00D01935"/>
    <w:rsid w:val="00D02781"/>
    <w:rsid w:val="00D02EEC"/>
    <w:rsid w:val="00D03551"/>
    <w:rsid w:val="00D06A63"/>
    <w:rsid w:val="00D07E0E"/>
    <w:rsid w:val="00D11478"/>
    <w:rsid w:val="00D15ED0"/>
    <w:rsid w:val="00D21B3E"/>
    <w:rsid w:val="00D21C26"/>
    <w:rsid w:val="00D21FED"/>
    <w:rsid w:val="00D227E2"/>
    <w:rsid w:val="00D24251"/>
    <w:rsid w:val="00D343E2"/>
    <w:rsid w:val="00D361A2"/>
    <w:rsid w:val="00D44C2E"/>
    <w:rsid w:val="00D45414"/>
    <w:rsid w:val="00D54FF1"/>
    <w:rsid w:val="00D566BD"/>
    <w:rsid w:val="00D57A4D"/>
    <w:rsid w:val="00D60AA7"/>
    <w:rsid w:val="00D62A67"/>
    <w:rsid w:val="00D6435F"/>
    <w:rsid w:val="00D7245A"/>
    <w:rsid w:val="00D75E28"/>
    <w:rsid w:val="00D772C2"/>
    <w:rsid w:val="00D8008E"/>
    <w:rsid w:val="00D80B49"/>
    <w:rsid w:val="00D82C45"/>
    <w:rsid w:val="00D908A8"/>
    <w:rsid w:val="00D977B6"/>
    <w:rsid w:val="00DA3634"/>
    <w:rsid w:val="00DA4A31"/>
    <w:rsid w:val="00DA7B04"/>
    <w:rsid w:val="00DB36C2"/>
    <w:rsid w:val="00DB5CBD"/>
    <w:rsid w:val="00DC169B"/>
    <w:rsid w:val="00DC2AB9"/>
    <w:rsid w:val="00DC63F0"/>
    <w:rsid w:val="00DD5382"/>
    <w:rsid w:val="00DD6EE5"/>
    <w:rsid w:val="00DE2362"/>
    <w:rsid w:val="00DE386C"/>
    <w:rsid w:val="00DE4D35"/>
    <w:rsid w:val="00DF098B"/>
    <w:rsid w:val="00DF11C4"/>
    <w:rsid w:val="00DF210C"/>
    <w:rsid w:val="00DF4B6A"/>
    <w:rsid w:val="00E02C09"/>
    <w:rsid w:val="00E04D59"/>
    <w:rsid w:val="00E04EB3"/>
    <w:rsid w:val="00E07DA1"/>
    <w:rsid w:val="00E11B71"/>
    <w:rsid w:val="00E123CB"/>
    <w:rsid w:val="00E20E13"/>
    <w:rsid w:val="00E21DBC"/>
    <w:rsid w:val="00E275D7"/>
    <w:rsid w:val="00E27DBE"/>
    <w:rsid w:val="00E32AB1"/>
    <w:rsid w:val="00E36C71"/>
    <w:rsid w:val="00E40404"/>
    <w:rsid w:val="00E459C6"/>
    <w:rsid w:val="00E47589"/>
    <w:rsid w:val="00E64915"/>
    <w:rsid w:val="00E661D4"/>
    <w:rsid w:val="00E70091"/>
    <w:rsid w:val="00E720F5"/>
    <w:rsid w:val="00E76D47"/>
    <w:rsid w:val="00E849F7"/>
    <w:rsid w:val="00E90302"/>
    <w:rsid w:val="00E90E8F"/>
    <w:rsid w:val="00E97396"/>
    <w:rsid w:val="00E974D6"/>
    <w:rsid w:val="00EA185E"/>
    <w:rsid w:val="00EA592A"/>
    <w:rsid w:val="00EB14E4"/>
    <w:rsid w:val="00EB182B"/>
    <w:rsid w:val="00EB32A5"/>
    <w:rsid w:val="00EB34ED"/>
    <w:rsid w:val="00EB4A37"/>
    <w:rsid w:val="00EB7BE0"/>
    <w:rsid w:val="00EC315E"/>
    <w:rsid w:val="00EC58D1"/>
    <w:rsid w:val="00ED077C"/>
    <w:rsid w:val="00ED1190"/>
    <w:rsid w:val="00ED6544"/>
    <w:rsid w:val="00EE0277"/>
    <w:rsid w:val="00EE3E00"/>
    <w:rsid w:val="00EE5DD2"/>
    <w:rsid w:val="00F00A79"/>
    <w:rsid w:val="00F00E86"/>
    <w:rsid w:val="00F07C1E"/>
    <w:rsid w:val="00F105DB"/>
    <w:rsid w:val="00F132BC"/>
    <w:rsid w:val="00F13D80"/>
    <w:rsid w:val="00F16AAA"/>
    <w:rsid w:val="00F21161"/>
    <w:rsid w:val="00F218EF"/>
    <w:rsid w:val="00F21BC7"/>
    <w:rsid w:val="00F266A2"/>
    <w:rsid w:val="00F27D13"/>
    <w:rsid w:val="00F32269"/>
    <w:rsid w:val="00F56A6F"/>
    <w:rsid w:val="00F5709C"/>
    <w:rsid w:val="00F626DA"/>
    <w:rsid w:val="00F64EF1"/>
    <w:rsid w:val="00F659F3"/>
    <w:rsid w:val="00F83589"/>
    <w:rsid w:val="00F8765F"/>
    <w:rsid w:val="00F90767"/>
    <w:rsid w:val="00F912E4"/>
    <w:rsid w:val="00F94531"/>
    <w:rsid w:val="00F9588E"/>
    <w:rsid w:val="00F96CA7"/>
    <w:rsid w:val="00FA685B"/>
    <w:rsid w:val="00FB0C01"/>
    <w:rsid w:val="00FC18F2"/>
    <w:rsid w:val="00FC1C77"/>
    <w:rsid w:val="00FC39E5"/>
    <w:rsid w:val="00FC3A78"/>
    <w:rsid w:val="00FD1005"/>
    <w:rsid w:val="00FD61AA"/>
    <w:rsid w:val="00FD6C75"/>
    <w:rsid w:val="00FD7649"/>
    <w:rsid w:val="00FE71B3"/>
    <w:rsid w:val="00FF42C5"/>
    <w:rsid w:val="00FF5ADE"/>
  </w:rsids>
  <w:docVars>
    <w:docVar w:name="ApplicationsApp" w:val="1"/>
    <w:docVar w:name="EMM" w:val="0"/>
    <w:docVar w:name="NBEMMDOC" w:val="0"/>
  </w:docVars>
  <m:mathPr>
    <m:mathFont m:val="Cambria Math"/>
  </m:mathPr>
  <w:themeFontLang w:val="en-US"/>
  <w:clrSchemeMapping w:bg1="light1" w:t1="dark1" w:bg2="light2" w:t2="dark2" w:accent1="accent1" w:accent2="accent2" w:accent3="accent3" w:accent4="accent4" w:accent5="accent5" w:accent6="accent6" w:hyperlink="hyperlink" w:followedHyperlink="followedHyperlink"/>
  <w:doNotAutoCompressPictures/>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HAnsi" w:hAnsiTheme="minorHAnsi" w:cstheme="minorBidi"/>
        <w:sz w:val="22"/>
        <w:szCs w:val="22"/>
        <w:lang w:val="en-US" w:eastAsia="en-US" w:bidi="ar-SA"/>
      </w:rPr>
    </w:rPrDefault>
    <w:pPrDefault/>
  </w:docDefaults>
  <w:latentStyles w:defLockedState="0" w:defUIPriority="99" w:defSemiHidden="1" w:defUnhideWhenUsed="1" w:defQFormat="0" w:count="267">
    <w:lsdException w:name="Normal" w:semiHidden="0" w:uiPriority="0" w:unhideWhenUsed="0"/>
    <w:lsdException w:name="heading 1" w:semiHidden="0" w:unhideWhenUsed="0" w:qFormat="1"/>
    <w:lsdException w:name="heading 2" w:qFormat="1"/>
    <w:lsdException w:name="heading 3" w:qFormat="1"/>
    <w:lsdException w:name="heading 4" w:qFormat="1"/>
    <w:lsdException w:name="heading 5" w:qFormat="1"/>
    <w:lsdException w:name="heading 6" w:qFormat="1"/>
    <w:lsdException w:name="heading 7" w:qFormat="1"/>
    <w:lsdException w:name="heading 8" w:qFormat="1"/>
    <w:lsdException w:name="heading 9" w:qFormat="1"/>
    <w:lsdException w:name="annotation text" w:uiPriority="0"/>
    <w:lsdException w:name="header" w:uiPriority="57"/>
    <w:lsdException w:name="footer" w:uiPriority="57"/>
    <w:lsdException w:name="caption" w:qFormat="1"/>
    <w:lsdException w:name="macro" w:unhideWhenUsed="0"/>
    <w:lsdException w:name="List Bullet" w:unhideWhenUsed="0"/>
    <w:lsdException w:name="List Number" w:unhideWhenUsed="0"/>
    <w:lsdException w:name="Title" w:semiHidden="0" w:unhideWhenUsed="0" w:qFormat="1"/>
    <w:lsdException w:name="Default Paragraph Font" w:uiPriority="1"/>
    <w:lsdException w:name="List Continue 3" w:unhideWhenUsed="0"/>
    <w:lsdException w:name="List Continue 4" w:unhideWhenUsed="0"/>
    <w:lsdException w:name="List Continue 5" w:unhideWhenUsed="0"/>
    <w:lsdException w:name="Message Header" w:unhideWhenUsed="0"/>
    <w:lsdException w:name="Subtitle" w:semiHidden="0" w:unhideWhenUsed="0" w:qFormat="1"/>
    <w:lsdException w:name="Strong" w:semiHidden="0" w:unhideWhenUsed="0" w:qFormat="1"/>
    <w:lsdException w:name="Emphasis" w:semiHidden="0" w:unhideWhenUsed="0" w:qFormat="1"/>
    <w:lsdException w:name="Normal Table" w:semiHidden="0" w:unhideWhenUsed="0"/>
    <w:lsdException w:name="Table Web 2" w:semiHidden="0" w:unhideWhenUsed="0"/>
    <w:lsdException w:name="Table Grid" w:semiHidden="0" w:uiPriority="59" w:unhideWhenUsed="0"/>
    <w:lsdException w:name="Table Theme" w:semiHidden="0" w:unhideWhenUsed="0"/>
    <w:lsdException w:name="Placeholder Text" w:unhideWhenUsed="0"/>
    <w:lsdException w:name="No Spacing" w:semiHidden="0" w:uiPriority="0"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nhideWhenUsed="0" w:qFormat="1"/>
    <w:lsdException w:name="Quote" w:semiHidden="0" w:unhideWhenUsed="0" w:qFormat="1"/>
    <w:lsdException w:name="Intense Quote" w:semiHidden="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nhideWhenUsed="0" w:qFormat="1"/>
    <w:lsdException w:name="Intense Emphasis" w:semiHidden="0" w:unhideWhenUsed="0" w:qFormat="1"/>
    <w:lsdException w:name="Subtle Reference" w:semiHidden="0" w:unhideWhenUsed="0" w:qFormat="1"/>
    <w:lsdException w:name="Intense Reference" w:semiHidden="0" w:unhideWhenUsed="0" w:qFormat="1"/>
    <w:lsdException w:name="Book Title" w:semiHidden="0" w:unhideWhenUsed="0" w:qFormat="1"/>
    <w:lsdException w:name="TOC Heading" w:qFormat="1"/>
  </w:latentStyles>
  <w:style w:type="paragraph" w:default="1" w:styleId="Normal">
    <w:name w:val="Normal"/>
    <w:semiHidden/>
    <w:rsid w:val="00083DAD"/>
    <w:rPr>
      <w:sz w:val="24"/>
      <w:szCs w:val="24"/>
      <w:lang w:val="fr-FR"/>
    </w:rPr>
  </w:style>
  <w:style w:type="paragraph" w:styleId="Heading1">
    <w:name w:val="heading 1"/>
    <w:basedOn w:val="Normal"/>
    <w:next w:val="Normal"/>
    <w:link w:val="Heading1Char"/>
    <w:uiPriority w:val="99"/>
    <w:semiHidden/>
    <w:rsid w:val="00A00672"/>
    <w:pPr>
      <w:spacing w:before="480"/>
      <w:contextualSpacing/>
      <w:outlineLvl w:val="0"/>
    </w:pPr>
    <w:rPr>
      <w:rFonts w:asciiTheme="majorHAnsi" w:eastAsiaTheme="majorEastAsia" w:hAnsiTheme="majorHAnsi" w:cstheme="majorBidi"/>
      <w:b/>
      <w:bCs/>
      <w:color w:val="333333"/>
      <w:sz w:val="28"/>
      <w:szCs w:val="28"/>
      <w:lang w:val="en-GB"/>
    </w:rPr>
  </w:style>
  <w:style w:type="paragraph" w:styleId="Heading2">
    <w:name w:val="heading 2"/>
    <w:basedOn w:val="Normal"/>
    <w:next w:val="Normal"/>
    <w:link w:val="Heading2Char"/>
    <w:uiPriority w:val="99"/>
    <w:semiHidden/>
    <w:rsid w:val="00A00672"/>
    <w:pPr>
      <w:spacing w:before="200"/>
      <w:outlineLvl w:val="1"/>
    </w:pPr>
    <w:rPr>
      <w:rFonts w:asciiTheme="majorHAnsi" w:eastAsiaTheme="majorEastAsia" w:hAnsiTheme="majorHAnsi" w:cstheme="majorBidi"/>
      <w:b/>
      <w:bCs/>
      <w:color w:val="4D4D4D"/>
      <w:sz w:val="26"/>
      <w:szCs w:val="26"/>
      <w:lang w:val="en-GB"/>
    </w:rPr>
  </w:style>
  <w:style w:type="paragraph" w:styleId="Heading3">
    <w:name w:val="heading 3"/>
    <w:basedOn w:val="Normal"/>
    <w:next w:val="Normal"/>
    <w:link w:val="Heading3Char"/>
    <w:uiPriority w:val="99"/>
    <w:semiHidden/>
    <w:rsid w:val="00A00672"/>
    <w:pPr>
      <w:spacing w:before="200" w:line="271" w:lineRule="auto"/>
      <w:outlineLvl w:val="2"/>
    </w:pPr>
    <w:rPr>
      <w:rFonts w:asciiTheme="majorHAnsi" w:eastAsiaTheme="majorEastAsia" w:hAnsiTheme="majorHAnsi" w:cstheme="majorBidi"/>
      <w:b/>
      <w:bCs/>
      <w:color w:val="5F5F5F"/>
      <w:sz w:val="22"/>
      <w:szCs w:val="22"/>
      <w:lang w:val="en-GB"/>
    </w:rPr>
  </w:style>
  <w:style w:type="paragraph" w:styleId="Heading4">
    <w:name w:val="heading 4"/>
    <w:basedOn w:val="Normal"/>
    <w:next w:val="Normal"/>
    <w:link w:val="Heading4Char"/>
    <w:uiPriority w:val="99"/>
    <w:semiHidden/>
    <w:rsid w:val="00A00672"/>
    <w:pPr>
      <w:spacing w:before="200"/>
      <w:outlineLvl w:val="3"/>
    </w:pPr>
    <w:rPr>
      <w:rFonts w:asciiTheme="majorHAnsi" w:eastAsiaTheme="majorEastAsia" w:hAnsiTheme="majorHAnsi" w:cstheme="majorBidi"/>
      <w:b/>
      <w:bCs/>
      <w:i/>
      <w:iCs/>
      <w:color w:val="777777"/>
      <w:sz w:val="22"/>
      <w:szCs w:val="22"/>
      <w:lang w:val="en-GB"/>
    </w:rPr>
  </w:style>
  <w:style w:type="paragraph" w:styleId="Heading5">
    <w:name w:val="heading 5"/>
    <w:basedOn w:val="Normal"/>
    <w:next w:val="Normal"/>
    <w:link w:val="Heading5Char"/>
    <w:uiPriority w:val="99"/>
    <w:semiHidden/>
    <w:qFormat/>
    <w:rsid w:val="00A00672"/>
    <w:pPr>
      <w:spacing w:before="200"/>
      <w:outlineLvl w:val="4"/>
    </w:pPr>
    <w:rPr>
      <w:rFonts w:asciiTheme="majorHAnsi" w:eastAsiaTheme="majorEastAsia" w:hAnsiTheme="majorHAnsi" w:cstheme="majorBidi"/>
      <w:b/>
      <w:bCs/>
      <w:color w:val="808080"/>
      <w:sz w:val="22"/>
      <w:szCs w:val="22"/>
      <w:lang w:val="en-GB"/>
    </w:rPr>
  </w:style>
  <w:style w:type="paragraph" w:styleId="Heading6">
    <w:name w:val="heading 6"/>
    <w:basedOn w:val="Normal"/>
    <w:next w:val="Normal"/>
    <w:link w:val="Heading6Char"/>
    <w:uiPriority w:val="99"/>
    <w:semiHidden/>
    <w:rsid w:val="00A00672"/>
    <w:pPr>
      <w:spacing w:line="271" w:lineRule="auto"/>
      <w:outlineLvl w:val="5"/>
    </w:pPr>
    <w:rPr>
      <w:rFonts w:asciiTheme="majorHAnsi" w:eastAsiaTheme="majorEastAsia" w:hAnsiTheme="majorHAnsi" w:cstheme="majorBidi"/>
      <w:b/>
      <w:bCs/>
      <w:i/>
      <w:iCs/>
      <w:color w:val="7F7F7F" w:themeColor="text1" w:themeTint="80"/>
      <w:sz w:val="22"/>
      <w:szCs w:val="22"/>
      <w:lang w:val="en-GB" w:bidi="en-US"/>
    </w:rPr>
  </w:style>
  <w:style w:type="paragraph" w:styleId="Heading7">
    <w:name w:val="heading 7"/>
    <w:basedOn w:val="Normal"/>
    <w:next w:val="Normal"/>
    <w:link w:val="Heading7Char"/>
    <w:uiPriority w:val="99"/>
    <w:semiHidden/>
    <w:qFormat/>
    <w:rsid w:val="00A00672"/>
    <w:pPr>
      <w:outlineLvl w:val="6"/>
    </w:pPr>
    <w:rPr>
      <w:rFonts w:asciiTheme="majorHAnsi" w:eastAsiaTheme="majorEastAsia" w:hAnsiTheme="majorHAnsi" w:cstheme="majorBidi"/>
      <w:i/>
      <w:iCs/>
      <w:sz w:val="22"/>
      <w:szCs w:val="22"/>
      <w:lang w:val="en-GB" w:bidi="en-US"/>
    </w:rPr>
  </w:style>
  <w:style w:type="paragraph" w:styleId="Heading8">
    <w:name w:val="heading 8"/>
    <w:basedOn w:val="Normal"/>
    <w:next w:val="Normal"/>
    <w:link w:val="Heading8Char"/>
    <w:uiPriority w:val="99"/>
    <w:semiHidden/>
    <w:qFormat/>
    <w:rsid w:val="00A00672"/>
    <w:pPr>
      <w:outlineLvl w:val="7"/>
    </w:pPr>
    <w:rPr>
      <w:rFonts w:asciiTheme="majorHAnsi" w:eastAsiaTheme="majorEastAsia" w:hAnsiTheme="majorHAnsi" w:cstheme="majorBidi"/>
      <w:sz w:val="20"/>
      <w:szCs w:val="20"/>
      <w:lang w:val="en-GB" w:bidi="en-US"/>
    </w:rPr>
  </w:style>
  <w:style w:type="paragraph" w:styleId="Heading9">
    <w:name w:val="heading 9"/>
    <w:basedOn w:val="Normal"/>
    <w:next w:val="Normal"/>
    <w:link w:val="Heading9Char"/>
    <w:uiPriority w:val="99"/>
    <w:semiHidden/>
    <w:qFormat/>
    <w:rsid w:val="00A00672"/>
    <w:pPr>
      <w:outlineLvl w:val="8"/>
    </w:pPr>
    <w:rPr>
      <w:rFonts w:asciiTheme="majorHAnsi" w:eastAsiaTheme="majorEastAsia" w:hAnsiTheme="majorHAnsi" w:cstheme="majorBidi"/>
      <w:i/>
      <w:iCs/>
      <w:spacing w:val="5"/>
      <w:sz w:val="20"/>
      <w:szCs w:val="20"/>
      <w:lang w:val="en-GB" w:bidi="en-US"/>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BalloonText">
    <w:name w:val="Balloon Text"/>
    <w:basedOn w:val="Normal"/>
    <w:link w:val="BalloonTextChar"/>
    <w:uiPriority w:val="99"/>
    <w:semiHidden/>
    <w:rsid w:val="00A00672"/>
    <w:rPr>
      <w:rFonts w:ascii="Tahoma" w:hAnsi="Tahoma" w:cs="Tahoma"/>
      <w:sz w:val="16"/>
      <w:szCs w:val="16"/>
    </w:rPr>
  </w:style>
  <w:style w:type="character" w:customStyle="1" w:styleId="BalloonTextChar">
    <w:name w:val="Balloon Text Char"/>
    <w:basedOn w:val="DefaultParagraphFont"/>
    <w:link w:val="BalloonText"/>
    <w:uiPriority w:val="99"/>
    <w:semiHidden/>
    <w:rsid w:val="00A00672"/>
    <w:rPr>
      <w:rFonts w:ascii="Tahoma" w:hAnsi="Tahoma" w:cs="Tahoma"/>
      <w:sz w:val="16"/>
      <w:szCs w:val="16"/>
      <w:lang w:val="fr-FR"/>
    </w:rPr>
  </w:style>
  <w:style w:type="character" w:styleId="BookTitle">
    <w:name w:val="Book Title"/>
    <w:uiPriority w:val="99"/>
    <w:semiHidden/>
    <w:qFormat/>
    <w:rsid w:val="00A00672"/>
    <w:rPr>
      <w:i/>
      <w:iCs/>
      <w:smallCaps/>
      <w:spacing w:val="5"/>
    </w:rPr>
  </w:style>
  <w:style w:type="paragraph" w:customStyle="1" w:styleId="JuHeader">
    <w:name w:val="Ju_Header"/>
    <w:aliases w:val="_Header"/>
    <w:basedOn w:val="Header0"/>
    <w:uiPriority w:val="29"/>
    <w:qFormat/>
    <w:rsid w:val="00A00672"/>
    <w:pPr>
      <w:tabs>
        <w:tab w:val="clear" w:pos="4536"/>
        <w:tab w:val="clear" w:pos="9072"/>
      </w:tabs>
      <w:jc w:val="center"/>
    </w:pPr>
    <w:rPr>
      <w:sz w:val="18"/>
    </w:rPr>
  </w:style>
  <w:style w:type="paragraph" w:customStyle="1" w:styleId="DecList">
    <w:name w:val="Dec_List"/>
    <w:aliases w:val="_List"/>
    <w:basedOn w:val="JuList"/>
    <w:uiPriority w:val="22"/>
    <w:rsid w:val="00A00672"/>
    <w:pPr>
      <w:numPr>
        <w:numId w:val="0"/>
      </w:numPr>
      <w:ind w:left="284"/>
    </w:pPr>
  </w:style>
  <w:style w:type="character" w:styleId="Strong">
    <w:name w:val="Strong"/>
    <w:uiPriority w:val="99"/>
    <w:semiHidden/>
    <w:qFormat/>
    <w:rsid w:val="00A00672"/>
    <w:rPr>
      <w:b/>
      <w:bCs/>
    </w:rPr>
  </w:style>
  <w:style w:type="paragraph" w:styleId="NoSpacing">
    <w:name w:val="No Spacing"/>
    <w:basedOn w:val="Normal"/>
    <w:link w:val="NoSpacingChar"/>
    <w:semiHidden/>
    <w:qFormat/>
    <w:rsid w:val="00A00672"/>
  </w:style>
  <w:style w:type="character" w:customStyle="1" w:styleId="NoSpacingChar">
    <w:name w:val="No Spacing Char"/>
    <w:basedOn w:val="DefaultParagraphFont"/>
    <w:link w:val="NoSpacing"/>
    <w:semiHidden/>
    <w:rsid w:val="00A00672"/>
    <w:rPr>
      <w:sz w:val="24"/>
      <w:szCs w:val="24"/>
      <w:lang w:val="fr-FR"/>
    </w:rPr>
  </w:style>
  <w:style w:type="paragraph" w:customStyle="1" w:styleId="JuQuot">
    <w:name w:val="Ju_Quot"/>
    <w:aliases w:val="_Quote"/>
    <w:basedOn w:val="NormalJustified"/>
    <w:qFormat/>
    <w:rsid w:val="00A00672"/>
    <w:pPr>
      <w:spacing w:before="120" w:after="120"/>
      <w:ind w:left="425" w:firstLine="142"/>
    </w:pPr>
    <w:rPr>
      <w:sz w:val="20"/>
    </w:rPr>
  </w:style>
  <w:style w:type="paragraph" w:customStyle="1" w:styleId="JuList">
    <w:name w:val="Ju_List"/>
    <w:aliases w:val="_List_1"/>
    <w:basedOn w:val="NormalJustified"/>
    <w:uiPriority w:val="23"/>
    <w:qFormat/>
    <w:rsid w:val="00A00672"/>
    <w:pPr>
      <w:numPr>
        <w:numId w:val="10"/>
      </w:numPr>
      <w:spacing w:before="280" w:after="60"/>
    </w:pPr>
  </w:style>
  <w:style w:type="paragraph" w:customStyle="1" w:styleId="JuLista">
    <w:name w:val="Ju_List_a"/>
    <w:aliases w:val="_List_2"/>
    <w:basedOn w:val="NormalJustified"/>
    <w:uiPriority w:val="23"/>
    <w:rsid w:val="00A00672"/>
    <w:pPr>
      <w:numPr>
        <w:ilvl w:val="1"/>
        <w:numId w:val="10"/>
      </w:numPr>
    </w:pPr>
  </w:style>
  <w:style w:type="paragraph" w:customStyle="1" w:styleId="JuListi">
    <w:name w:val="Ju_List_i"/>
    <w:aliases w:val="_List_3"/>
    <w:basedOn w:val="NormalJustified"/>
    <w:uiPriority w:val="23"/>
    <w:rsid w:val="00A00672"/>
    <w:pPr>
      <w:numPr>
        <w:ilvl w:val="2"/>
        <w:numId w:val="10"/>
      </w:numPr>
    </w:pPr>
  </w:style>
  <w:style w:type="paragraph" w:customStyle="1" w:styleId="DecHTitle">
    <w:name w:val="Dec_H_Title"/>
    <w:aliases w:val="_Title_1"/>
    <w:basedOn w:val="JuPara"/>
    <w:next w:val="JuPara"/>
    <w:uiPriority w:val="35"/>
    <w:qFormat/>
    <w:rsid w:val="00A00672"/>
    <w:pPr>
      <w:keepNext/>
      <w:keepLines/>
      <w:spacing w:after="240"/>
      <w:ind w:firstLine="0"/>
      <w:jc w:val="center"/>
      <w:outlineLvl w:val="0"/>
    </w:pPr>
    <w:rPr>
      <w:rFonts w:asciiTheme="majorHAnsi" w:hAnsiTheme="majorHAnsi"/>
      <w:sz w:val="28"/>
    </w:rPr>
  </w:style>
  <w:style w:type="paragraph" w:customStyle="1" w:styleId="JuHArticle">
    <w:name w:val="Ju_H_Article"/>
    <w:aliases w:val="_Title_Quote"/>
    <w:basedOn w:val="Normal"/>
    <w:next w:val="JuQuot"/>
    <w:uiPriority w:val="20"/>
    <w:qFormat/>
    <w:rsid w:val="00A00672"/>
    <w:pPr>
      <w:keepNext/>
      <w:spacing w:before="100" w:beforeAutospacing="1" w:after="120"/>
      <w:contextualSpacing/>
      <w:jc w:val="center"/>
    </w:pPr>
    <w:rPr>
      <w:b/>
      <w:sz w:val="20"/>
    </w:rPr>
  </w:style>
  <w:style w:type="paragraph" w:customStyle="1" w:styleId="ECHRCoverTitle4">
    <w:name w:val="ECHR_Cover_Title_4"/>
    <w:aliases w:val="_Title_4"/>
    <w:basedOn w:val="JuPara"/>
    <w:next w:val="JuPara"/>
    <w:uiPriority w:val="35"/>
    <w:qFormat/>
    <w:rsid w:val="00A00672"/>
    <w:pPr>
      <w:keepNext/>
      <w:keepLines/>
      <w:tabs>
        <w:tab w:val="right" w:pos="7938"/>
      </w:tabs>
      <w:ind w:firstLine="0"/>
      <w:jc w:val="center"/>
    </w:pPr>
    <w:rPr>
      <w:i/>
    </w:rPr>
  </w:style>
  <w:style w:type="numbering" w:customStyle="1" w:styleId="ECHRA1StyleBulletedSquare">
    <w:name w:val="ECHR_A1_Style_Bulleted_Square"/>
    <w:basedOn w:val="NoList"/>
    <w:rsid w:val="00A00672"/>
    <w:pPr>
      <w:numPr>
        <w:numId w:val="4"/>
      </w:numPr>
    </w:pPr>
  </w:style>
  <w:style w:type="paragraph" w:customStyle="1" w:styleId="JuHHead">
    <w:name w:val="Ju_H_Head"/>
    <w:aliases w:val="_Head_1"/>
    <w:basedOn w:val="Heading1"/>
    <w:next w:val="JuPara"/>
    <w:uiPriority w:val="19"/>
    <w:qFormat/>
    <w:rsid w:val="00A00672"/>
    <w:pPr>
      <w:keepNext/>
      <w:keepLines/>
      <w:numPr>
        <w:numId w:val="9"/>
      </w:numPr>
      <w:spacing w:before="100" w:beforeAutospacing="1" w:after="240"/>
      <w:contextualSpacing w:val="0"/>
    </w:pPr>
    <w:rPr>
      <w:b w:val="0"/>
      <w:caps/>
      <w:color w:val="auto"/>
    </w:rPr>
  </w:style>
  <w:style w:type="numbering" w:customStyle="1" w:styleId="ECHRA1StyleList">
    <w:name w:val="ECHR_A1_Style_List"/>
    <w:basedOn w:val="NoList"/>
    <w:uiPriority w:val="99"/>
    <w:rsid w:val="00A00672"/>
    <w:pPr>
      <w:numPr>
        <w:numId w:val="5"/>
      </w:numPr>
    </w:pPr>
  </w:style>
  <w:style w:type="paragraph" w:customStyle="1" w:styleId="JuSigned">
    <w:name w:val="Ju_Signed"/>
    <w:aliases w:val="_Signature"/>
    <w:basedOn w:val="Normal"/>
    <w:next w:val="JuPara"/>
    <w:uiPriority w:val="30"/>
    <w:qFormat/>
    <w:rsid w:val="00A00672"/>
    <w:pPr>
      <w:tabs>
        <w:tab w:val="center" w:pos="851"/>
        <w:tab w:val="center" w:pos="6407"/>
      </w:tabs>
      <w:spacing w:before="720"/>
    </w:pPr>
  </w:style>
  <w:style w:type="paragraph" w:styleId="Title">
    <w:name w:val="Title"/>
    <w:basedOn w:val="Normal"/>
    <w:next w:val="Normal"/>
    <w:link w:val="TitleChar"/>
    <w:uiPriority w:val="99"/>
    <w:semiHidden/>
    <w:qFormat/>
    <w:rsid w:val="00A00672"/>
    <w:pPr>
      <w:pBdr>
        <w:bottom w:val="single" w:sz="4" w:space="1" w:color="auto"/>
      </w:pBdr>
      <w:contextualSpacing/>
    </w:pPr>
    <w:rPr>
      <w:rFonts w:asciiTheme="majorHAnsi" w:eastAsiaTheme="majorEastAsia" w:hAnsiTheme="majorHAnsi" w:cstheme="majorBidi"/>
      <w:spacing w:val="5"/>
      <w:sz w:val="52"/>
      <w:szCs w:val="52"/>
      <w:lang w:bidi="en-US"/>
    </w:rPr>
  </w:style>
  <w:style w:type="character" w:customStyle="1" w:styleId="TitleChar">
    <w:name w:val="Title Char"/>
    <w:basedOn w:val="DefaultParagraphFont"/>
    <w:link w:val="Title"/>
    <w:uiPriority w:val="99"/>
    <w:semiHidden/>
    <w:rsid w:val="00A00672"/>
    <w:rPr>
      <w:rFonts w:asciiTheme="majorHAnsi" w:eastAsiaTheme="majorEastAsia" w:hAnsiTheme="majorHAnsi" w:cstheme="majorBidi"/>
      <w:spacing w:val="5"/>
      <w:sz w:val="52"/>
      <w:szCs w:val="52"/>
      <w:lang w:val="fr-FR" w:bidi="en-US"/>
    </w:rPr>
  </w:style>
  <w:style w:type="numbering" w:customStyle="1" w:styleId="ECHRA1StyleNumberedList">
    <w:name w:val="ECHR_A1_Style_Numbered_List"/>
    <w:basedOn w:val="NoList"/>
    <w:rsid w:val="00A00672"/>
    <w:pPr>
      <w:numPr>
        <w:numId w:val="6"/>
      </w:numPr>
    </w:pPr>
  </w:style>
  <w:style w:type="table" w:customStyle="1" w:styleId="ECHRTable2019">
    <w:name w:val="ECHR_Table_2019"/>
    <w:basedOn w:val="TableNormal"/>
    <w:uiPriority w:val="99"/>
    <w:rsid w:val="00A00672"/>
    <w:rPr>
      <w:sz w:val="24"/>
      <w:szCs w:val="24"/>
    </w:rPr>
    <w:tblPr>
      <w:tblStyleRowBandSize w:val="1"/>
      <w:tblStyleColBandSize w:val="1"/>
      <w:jc w:val="center"/>
      <w:tblBorders>
        <w:top w:val="single" w:sz="4" w:space="0" w:color="5F5F5F" w:themeColor="accent3"/>
        <w:left w:val="single" w:sz="4" w:space="0" w:color="5F5F5F" w:themeColor="accent3"/>
        <w:bottom w:val="single" w:sz="4" w:space="0" w:color="5F5F5F" w:themeColor="accent3"/>
        <w:right w:val="single" w:sz="4" w:space="0" w:color="5F5F5F" w:themeColor="accent3"/>
        <w:insideH w:val="single" w:sz="4" w:space="0" w:color="5F5F5F" w:themeColor="accent3"/>
        <w:insideV w:val="single" w:sz="4" w:space="0" w:color="5F5F5F" w:themeColor="accent3"/>
      </w:tblBorders>
    </w:tblPr>
    <w:trPr>
      <w:jc w:val="center"/>
    </w:trPr>
    <w:tblStylePr w:type="firstRow">
      <w:rPr>
        <w:rFonts w:asciiTheme="majorHAnsi" w:hAnsiTheme="majorHAnsi"/>
        <w:b/>
        <w:i w:val="0"/>
        <w:color w:val="auto"/>
        <w:sz w:val="22"/>
      </w:rPr>
      <w:tblPr/>
      <w:tcPr>
        <w:shd w:val="clear" w:color="auto" w:fill="DFDFDF" w:themeFill="accent3" w:themeFillTint="33"/>
      </w:tcPr>
    </w:tblStylePr>
    <w:tblStylePr w:type="lastRow">
      <w:rPr>
        <w:b/>
        <w:i w:val="0"/>
      </w:rPr>
      <w:tblPr/>
      <w:tcPr>
        <w:tcBorders>
          <w:top w:val="single" w:sz="8" w:space="0" w:color="5F5F5F" w:themeColor="accent3"/>
          <w:left w:val="single" w:sz="4" w:space="0" w:color="5F5F5F" w:themeColor="accent3"/>
          <w:bottom w:val="single" w:sz="8" w:space="0" w:color="5F5F5F" w:themeColor="accent3"/>
          <w:right w:val="single" w:sz="4" w:space="0" w:color="5F5F5F" w:themeColor="accent3"/>
          <w:insideH w:val="nil"/>
          <w:insideV w:val="single" w:sz="4" w:space="0" w:color="5F5F5F" w:themeColor="accent3"/>
          <w:tl2br w:val="nil"/>
          <w:tr2bl w:val="nil"/>
        </w:tcBorders>
      </w:tcPr>
    </w:tblStylePr>
    <w:tblStylePr w:type="firstCol">
      <w:rPr>
        <w:rFonts w:asciiTheme="majorHAnsi" w:hAnsiTheme="majorHAnsi"/>
        <w:b/>
        <w:i w:val="0"/>
        <w:color w:val="3E3E3E" w:themeColor="background2" w:themeShade="40"/>
        <w:sz w:val="22"/>
      </w:rPr>
      <w:tblPr/>
      <w:tcPr>
        <w:tcBorders>
          <w:top w:val="single" w:sz="4" w:space="0" w:color="5F5F5F" w:themeColor="accent3"/>
          <w:left w:val="single" w:sz="4" w:space="0" w:color="5F5F5F" w:themeColor="accent3"/>
          <w:bottom w:val="single" w:sz="4" w:space="0" w:color="5F5F5F" w:themeColor="accent3"/>
          <w:right w:val="single" w:sz="4" w:space="0" w:color="5F5F5F" w:themeColor="accent3"/>
          <w:insideH w:val="nil"/>
          <w:insideV w:val="nil"/>
          <w:tl2br w:val="nil"/>
          <w:tr2bl w:val="nil"/>
        </w:tcBorders>
        <w:shd w:val="clear" w:color="auto" w:fill="F3F3F3" w:themeFill="text2" w:themeFillTint="33"/>
      </w:tcPr>
    </w:tblStylePr>
    <w:tblStylePr w:type="lastCol">
      <w:rPr>
        <w:b/>
        <w:i w:val="0"/>
      </w:rPr>
    </w:tblStylePr>
    <w:tblStylePr w:type="band2Vert">
      <w:tblPr/>
      <w:tcPr>
        <w:tcBorders>
          <w:top w:val="single" w:sz="4" w:space="0" w:color="5F5F5F" w:themeColor="accent3"/>
          <w:left w:val="single" w:sz="4" w:space="0" w:color="5F5F5F" w:themeColor="accent3"/>
          <w:bottom w:val="single" w:sz="4" w:space="0" w:color="5F5F5F" w:themeColor="accent3"/>
          <w:right w:val="single" w:sz="4" w:space="0" w:color="5F5F5F" w:themeColor="accent3"/>
          <w:insideH w:val="nil"/>
          <w:insideV w:val="nil"/>
          <w:tl2br w:val="nil"/>
          <w:tr2bl w:val="nil"/>
        </w:tcBorders>
        <w:shd w:val="clear" w:color="auto" w:fill="F3F3F3" w:themeFill="text2" w:themeFillTint="33"/>
      </w:tcPr>
    </w:tblStylePr>
    <w:tblStylePr w:type="band2Horz">
      <w:tblPr/>
      <w:tcPr>
        <w:tcBorders>
          <w:top w:val="single" w:sz="4" w:space="0" w:color="5F5F5F" w:themeColor="accent3"/>
          <w:left w:val="single" w:sz="4" w:space="0" w:color="5F5F5F" w:themeColor="accent3"/>
          <w:bottom w:val="single" w:sz="4" w:space="0" w:color="5F5F5F" w:themeColor="accent3"/>
          <w:right w:val="single" w:sz="4" w:space="0" w:color="5F5F5F" w:themeColor="accent3"/>
          <w:insideH w:val="single" w:sz="4" w:space="0" w:color="5F5F5F" w:themeColor="accent3"/>
          <w:insideV w:val="single" w:sz="4" w:space="0" w:color="5F5F5F" w:themeColor="accent3"/>
          <w:tl2br w:val="nil"/>
          <w:tr2bl w:val="nil"/>
        </w:tcBorders>
        <w:shd w:val="clear" w:color="auto" w:fill="F3F3F3" w:themeFill="text2" w:themeFillTint="33"/>
      </w:tcPr>
    </w:tblStylePr>
  </w:style>
  <w:style w:type="paragraph" w:customStyle="1" w:styleId="Footer">
    <w:name w:val="_Footer"/>
    <w:aliases w:val="Footer_"/>
    <w:basedOn w:val="Footer1"/>
    <w:uiPriority w:val="57"/>
    <w:semiHidden/>
    <w:rsid w:val="00A00672"/>
    <w:rPr>
      <w:sz w:val="8"/>
    </w:rPr>
  </w:style>
  <w:style w:type="paragraph" w:customStyle="1" w:styleId="JuCourt">
    <w:name w:val="Ju_Court"/>
    <w:aliases w:val="_Court_Names"/>
    <w:basedOn w:val="Normal"/>
    <w:next w:val="Normal"/>
    <w:uiPriority w:val="31"/>
    <w:qFormat/>
    <w:rsid w:val="00A00672"/>
    <w:pPr>
      <w:tabs>
        <w:tab w:val="left" w:pos="907"/>
        <w:tab w:val="left" w:pos="1701"/>
        <w:tab w:val="right" w:pos="7371"/>
      </w:tabs>
      <w:spacing w:before="240"/>
      <w:ind w:left="397" w:hanging="397"/>
    </w:pPr>
    <w:rPr>
      <w:lang w:bidi="en-US"/>
    </w:rPr>
  </w:style>
  <w:style w:type="paragraph" w:customStyle="1" w:styleId="JuInitialled">
    <w:name w:val="Ju_Initialled"/>
    <w:aliases w:val="_Right"/>
    <w:basedOn w:val="Normal"/>
    <w:uiPriority w:val="30"/>
    <w:qFormat/>
    <w:rsid w:val="00A00672"/>
    <w:pPr>
      <w:tabs>
        <w:tab w:val="center" w:pos="6407"/>
      </w:tabs>
      <w:spacing w:before="720"/>
      <w:jc w:val="right"/>
    </w:pPr>
  </w:style>
  <w:style w:type="paragraph" w:customStyle="1" w:styleId="JuHIRoman">
    <w:name w:val="Ju_H_I_Roman"/>
    <w:aliases w:val="_Head_2"/>
    <w:basedOn w:val="Heading2"/>
    <w:next w:val="JuPara"/>
    <w:uiPriority w:val="19"/>
    <w:qFormat/>
    <w:rsid w:val="00A00672"/>
    <w:pPr>
      <w:keepNext/>
      <w:keepLines/>
      <w:numPr>
        <w:ilvl w:val="1"/>
        <w:numId w:val="9"/>
      </w:numPr>
      <w:spacing w:before="100" w:beforeAutospacing="1" w:after="240"/>
    </w:pPr>
    <w:rPr>
      <w:b w:val="0"/>
      <w:caps/>
      <w:color w:val="auto"/>
      <w:sz w:val="24"/>
    </w:rPr>
  </w:style>
  <w:style w:type="paragraph" w:customStyle="1" w:styleId="JuHA">
    <w:name w:val="Ju_H_A"/>
    <w:aliases w:val="_Head_3"/>
    <w:basedOn w:val="Heading3"/>
    <w:next w:val="JuPara"/>
    <w:uiPriority w:val="19"/>
    <w:qFormat/>
    <w:rsid w:val="00A00672"/>
    <w:pPr>
      <w:keepNext/>
      <w:keepLines/>
      <w:numPr>
        <w:ilvl w:val="2"/>
        <w:numId w:val="9"/>
      </w:numPr>
      <w:spacing w:before="100" w:beforeAutospacing="1" w:after="240" w:line="240" w:lineRule="auto"/>
    </w:pPr>
    <w:rPr>
      <w:color w:val="auto"/>
      <w:sz w:val="24"/>
    </w:rPr>
  </w:style>
  <w:style w:type="paragraph" w:customStyle="1" w:styleId="JuH1">
    <w:name w:val="Ju_H_1."/>
    <w:aliases w:val="_Head_4"/>
    <w:basedOn w:val="Heading4"/>
    <w:next w:val="JuPara"/>
    <w:uiPriority w:val="19"/>
    <w:rsid w:val="00A00672"/>
    <w:pPr>
      <w:keepNext/>
      <w:keepLines/>
      <w:numPr>
        <w:ilvl w:val="3"/>
        <w:numId w:val="9"/>
      </w:numPr>
      <w:spacing w:before="100" w:beforeAutospacing="1" w:after="120"/>
    </w:pPr>
    <w:rPr>
      <w:b w:val="0"/>
      <w:color w:val="auto"/>
      <w:sz w:val="24"/>
    </w:rPr>
  </w:style>
  <w:style w:type="paragraph" w:styleId="Header0">
    <w:name w:val="header"/>
    <w:basedOn w:val="Normal"/>
    <w:link w:val="HeaderChar"/>
    <w:uiPriority w:val="57"/>
    <w:semiHidden/>
    <w:rsid w:val="00A00672"/>
    <w:pPr>
      <w:tabs>
        <w:tab w:val="center" w:pos="4536"/>
        <w:tab w:val="right" w:pos="9072"/>
      </w:tabs>
    </w:pPr>
  </w:style>
  <w:style w:type="character" w:customStyle="1" w:styleId="HeaderChar">
    <w:name w:val="Header Char"/>
    <w:basedOn w:val="DefaultParagraphFont"/>
    <w:link w:val="Header0"/>
    <w:uiPriority w:val="57"/>
    <w:semiHidden/>
    <w:rsid w:val="00A00672"/>
    <w:rPr>
      <w:sz w:val="24"/>
      <w:szCs w:val="24"/>
      <w:lang w:val="fr-FR"/>
    </w:rPr>
  </w:style>
  <w:style w:type="character" w:customStyle="1" w:styleId="Heading1Char">
    <w:name w:val="Heading 1 Char"/>
    <w:basedOn w:val="DefaultParagraphFont"/>
    <w:link w:val="Heading1"/>
    <w:uiPriority w:val="99"/>
    <w:semiHidden/>
    <w:rsid w:val="00A00672"/>
    <w:rPr>
      <w:rFonts w:asciiTheme="majorHAnsi" w:eastAsiaTheme="majorEastAsia" w:hAnsiTheme="majorHAnsi" w:cstheme="majorBidi"/>
      <w:b/>
      <w:bCs/>
      <w:color w:val="333333"/>
      <w:sz w:val="28"/>
      <w:szCs w:val="28"/>
      <w:lang w:val="en-GB"/>
    </w:rPr>
  </w:style>
  <w:style w:type="paragraph" w:customStyle="1" w:styleId="JuHa0">
    <w:name w:val="Ju_H_a"/>
    <w:aliases w:val="_Head_5"/>
    <w:basedOn w:val="Heading5"/>
    <w:next w:val="JuPara"/>
    <w:uiPriority w:val="19"/>
    <w:rsid w:val="00A00672"/>
    <w:pPr>
      <w:keepNext/>
      <w:keepLines/>
      <w:numPr>
        <w:ilvl w:val="4"/>
        <w:numId w:val="9"/>
      </w:numPr>
      <w:spacing w:before="100" w:beforeAutospacing="1" w:after="120"/>
    </w:pPr>
    <w:rPr>
      <w:color w:val="auto"/>
      <w:sz w:val="20"/>
    </w:rPr>
  </w:style>
  <w:style w:type="paragraph" w:customStyle="1" w:styleId="JuHi">
    <w:name w:val="Ju_H_i"/>
    <w:aliases w:val="_Head_6"/>
    <w:basedOn w:val="Heading6"/>
    <w:next w:val="JuPara"/>
    <w:uiPriority w:val="19"/>
    <w:rsid w:val="00A00672"/>
    <w:pPr>
      <w:keepNext/>
      <w:keepLines/>
      <w:numPr>
        <w:ilvl w:val="5"/>
        <w:numId w:val="9"/>
      </w:numPr>
      <w:spacing w:before="100" w:beforeAutospacing="1" w:after="120"/>
    </w:pPr>
    <w:rPr>
      <w:b w:val="0"/>
      <w:color w:val="auto"/>
      <w:sz w:val="20"/>
    </w:rPr>
  </w:style>
  <w:style w:type="character" w:customStyle="1" w:styleId="Heading2Char">
    <w:name w:val="Heading 2 Char"/>
    <w:basedOn w:val="DefaultParagraphFont"/>
    <w:link w:val="Heading2"/>
    <w:uiPriority w:val="99"/>
    <w:semiHidden/>
    <w:rsid w:val="00A00672"/>
    <w:rPr>
      <w:rFonts w:asciiTheme="majorHAnsi" w:eastAsiaTheme="majorEastAsia" w:hAnsiTheme="majorHAnsi" w:cstheme="majorBidi"/>
      <w:b/>
      <w:bCs/>
      <w:color w:val="4D4D4D"/>
      <w:sz w:val="26"/>
      <w:szCs w:val="26"/>
      <w:lang w:val="en-GB"/>
    </w:rPr>
  </w:style>
  <w:style w:type="paragraph" w:customStyle="1" w:styleId="JuHalpha">
    <w:name w:val="Ju_H_alpha"/>
    <w:aliases w:val="_Head_7"/>
    <w:basedOn w:val="Heading7"/>
    <w:next w:val="JuPara"/>
    <w:uiPriority w:val="19"/>
    <w:rsid w:val="00A00672"/>
    <w:pPr>
      <w:keepNext/>
      <w:keepLines/>
      <w:numPr>
        <w:ilvl w:val="6"/>
        <w:numId w:val="9"/>
      </w:numPr>
      <w:spacing w:before="100" w:beforeAutospacing="1" w:after="120"/>
    </w:pPr>
    <w:rPr>
      <w:i w:val="0"/>
      <w:sz w:val="20"/>
    </w:rPr>
  </w:style>
  <w:style w:type="paragraph" w:customStyle="1" w:styleId="JuH">
    <w:name w:val="Ju_H_–"/>
    <w:aliases w:val="_Head_8"/>
    <w:basedOn w:val="Heading8"/>
    <w:next w:val="JuPara"/>
    <w:uiPriority w:val="19"/>
    <w:rsid w:val="00A00672"/>
    <w:pPr>
      <w:keepNext/>
      <w:keepLines/>
      <w:numPr>
        <w:ilvl w:val="7"/>
        <w:numId w:val="9"/>
      </w:numPr>
      <w:spacing w:before="100" w:beforeAutospacing="1" w:after="120"/>
    </w:pPr>
    <w:rPr>
      <w:i/>
    </w:rPr>
  </w:style>
  <w:style w:type="character" w:customStyle="1" w:styleId="Heading3Char">
    <w:name w:val="Heading 3 Char"/>
    <w:basedOn w:val="DefaultParagraphFont"/>
    <w:link w:val="Heading3"/>
    <w:uiPriority w:val="99"/>
    <w:semiHidden/>
    <w:rsid w:val="00A00672"/>
    <w:rPr>
      <w:rFonts w:asciiTheme="majorHAnsi" w:eastAsiaTheme="majorEastAsia" w:hAnsiTheme="majorHAnsi" w:cstheme="majorBidi"/>
      <w:b/>
      <w:bCs/>
      <w:color w:val="5F5F5F"/>
      <w:lang w:val="en-GB"/>
    </w:rPr>
  </w:style>
  <w:style w:type="paragraph" w:customStyle="1" w:styleId="JuParaLast">
    <w:name w:val="Ju_Para_Last"/>
    <w:aliases w:val="_Para_Spaced"/>
    <w:basedOn w:val="NormalJustified"/>
    <w:uiPriority w:val="9"/>
    <w:qFormat/>
    <w:rsid w:val="00A00672"/>
    <w:pPr>
      <w:keepNext/>
      <w:keepLines/>
      <w:spacing w:before="240" w:after="240"/>
      <w:ind w:firstLine="284"/>
    </w:pPr>
  </w:style>
  <w:style w:type="paragraph" w:customStyle="1" w:styleId="JuJudges">
    <w:name w:val="Ju_Judges"/>
    <w:aliases w:val="_Judges"/>
    <w:basedOn w:val="Normal"/>
    <w:uiPriority w:val="31"/>
    <w:qFormat/>
    <w:rsid w:val="00A00672"/>
    <w:pPr>
      <w:tabs>
        <w:tab w:val="left" w:pos="567"/>
        <w:tab w:val="left" w:pos="1134"/>
      </w:tabs>
    </w:pPr>
  </w:style>
  <w:style w:type="character" w:customStyle="1" w:styleId="Heading4Char">
    <w:name w:val="Heading 4 Char"/>
    <w:basedOn w:val="DefaultParagraphFont"/>
    <w:link w:val="Heading4"/>
    <w:uiPriority w:val="99"/>
    <w:semiHidden/>
    <w:rsid w:val="00A00672"/>
    <w:rPr>
      <w:rFonts w:asciiTheme="majorHAnsi" w:eastAsiaTheme="majorEastAsia" w:hAnsiTheme="majorHAnsi" w:cstheme="majorBidi"/>
      <w:b/>
      <w:bCs/>
      <w:i/>
      <w:iCs/>
      <w:color w:val="777777"/>
      <w:lang w:val="en-GB"/>
    </w:rPr>
  </w:style>
  <w:style w:type="character" w:customStyle="1" w:styleId="JuITMark">
    <w:name w:val="Ju_ITMark"/>
    <w:aliases w:val="_ITMark"/>
    <w:basedOn w:val="DefaultParagraphFont"/>
    <w:uiPriority w:val="38"/>
    <w:qFormat/>
    <w:rsid w:val="00A00672"/>
    <w:rPr>
      <w:vanish w:val="0"/>
      <w:color w:val="auto"/>
      <w:sz w:val="14"/>
      <w:bdr w:val="none" w:sz="0" w:space="0" w:color="auto"/>
      <w:shd w:val="clear" w:color="auto" w:fill="BEE5FF" w:themeFill="background1" w:themeFillTint="33"/>
    </w:rPr>
  </w:style>
  <w:style w:type="character" w:customStyle="1" w:styleId="Heading5Char">
    <w:name w:val="Heading 5 Char"/>
    <w:basedOn w:val="DefaultParagraphFont"/>
    <w:link w:val="Heading5"/>
    <w:uiPriority w:val="99"/>
    <w:semiHidden/>
    <w:rsid w:val="00A00672"/>
    <w:rPr>
      <w:rFonts w:asciiTheme="majorHAnsi" w:eastAsiaTheme="majorEastAsia" w:hAnsiTheme="majorHAnsi" w:cstheme="majorBidi"/>
      <w:b/>
      <w:bCs/>
      <w:color w:val="808080"/>
      <w:lang w:val="en-GB"/>
    </w:rPr>
  </w:style>
  <w:style w:type="character" w:customStyle="1" w:styleId="JUNAMES">
    <w:name w:val="JU_NAMES"/>
    <w:aliases w:val="_Ju_Names"/>
    <w:uiPriority w:val="34"/>
    <w:qFormat/>
    <w:rsid w:val="00A00672"/>
    <w:rPr>
      <w:caps w:val="0"/>
      <w:smallCaps/>
    </w:rPr>
  </w:style>
  <w:style w:type="paragraph" w:customStyle="1" w:styleId="NormalJustified">
    <w:name w:val="Normal_Justified"/>
    <w:basedOn w:val="Normal"/>
    <w:semiHidden/>
    <w:rsid w:val="00A00672"/>
    <w:pPr>
      <w:jc w:val="both"/>
    </w:pPr>
  </w:style>
  <w:style w:type="character" w:styleId="SubtleEmphasis">
    <w:name w:val="Subtle Emphasis"/>
    <w:uiPriority w:val="99"/>
    <w:semiHidden/>
    <w:qFormat/>
    <w:rsid w:val="00A00672"/>
    <w:rPr>
      <w:i/>
      <w:iCs/>
    </w:rPr>
  </w:style>
  <w:style w:type="table" w:customStyle="1" w:styleId="ECHRTable">
    <w:name w:val="ECHR_Table"/>
    <w:basedOn w:val="TableNormal"/>
    <w:rsid w:val="00A00672"/>
    <w:rPr>
      <w:rFonts w:eastAsia="Times New Roman" w:cs="Times New Roman"/>
      <w:sz w:val="20"/>
      <w:szCs w:val="20"/>
      <w:lang w:val="en-GB"/>
    </w:rPr>
    <w:tblPr>
      <w:tblStyleRowBandSize w:val="1"/>
      <w:tblStyleColBandSize w:val="1"/>
      <w:tblBorders>
        <w:top w:val="single" w:sz="4" w:space="0" w:color="949494" w:themeColor="text2" w:themeShade="BF"/>
        <w:left w:val="single" w:sz="4" w:space="0" w:color="949494" w:themeColor="text2" w:themeShade="BF"/>
        <w:bottom w:val="single" w:sz="4" w:space="0" w:color="949494" w:themeColor="text2" w:themeShade="BF"/>
        <w:right w:val="single" w:sz="4" w:space="0" w:color="949494" w:themeColor="text2" w:themeShade="BF"/>
        <w:insideH w:val="single" w:sz="4" w:space="0" w:color="949494" w:themeColor="text2" w:themeShade="BF"/>
        <w:insideV w:val="single" w:sz="4" w:space="0" w:color="949494" w:themeColor="text2" w:themeShade="BF"/>
      </w:tblBorders>
      <w:tblCellMar>
        <w:top w:w="28" w:type="dxa"/>
        <w:bottom w:w="28" w:type="dxa"/>
      </w:tblCellMar>
    </w:tblPr>
    <w:tblStylePr w:type="firstRow">
      <w:rPr>
        <w:rFonts w:asciiTheme="majorHAnsi" w:hAnsiTheme="majorHAnsi"/>
        <w:b/>
        <w:i w:val="0"/>
        <w:color w:val="474747" w:themeColor="accent3" w:themeShade="BF"/>
        <w:sz w:val="22"/>
      </w:rPr>
      <w:tblPr/>
      <w:tcPr>
        <w:tcBorders>
          <w:top w:val="single" w:sz="4" w:space="0" w:color="949494" w:themeColor="text2" w:themeShade="BF"/>
          <w:left w:val="single" w:sz="4" w:space="0" w:color="949494" w:themeColor="text2" w:themeShade="BF"/>
          <w:bottom w:val="single" w:sz="4" w:space="0" w:color="949494" w:themeColor="text2" w:themeShade="BF"/>
          <w:right w:val="single" w:sz="4" w:space="0" w:color="949494" w:themeColor="text2" w:themeShade="BF"/>
          <w:insideH w:val="single" w:sz="4" w:space="0" w:color="949494" w:themeColor="text2" w:themeShade="BF"/>
          <w:insideV w:val="single" w:sz="4" w:space="0" w:color="949494" w:themeColor="text2" w:themeShade="BF"/>
          <w:tl2br w:val="nil"/>
          <w:tr2bl w:val="nil"/>
        </w:tcBorders>
        <w:shd w:val="clear" w:color="auto" w:fill="DFDFDF" w:themeFill="background2" w:themeFillShade="E6"/>
      </w:tcPr>
    </w:tblStylePr>
    <w:tblStylePr w:type="firstCol">
      <w:rPr>
        <w:b/>
      </w:rPr>
    </w:tblStylePr>
    <w:tblStylePr w:type="band2Vert">
      <w:tblPr/>
      <w:tcPr>
        <w:tcBorders>
          <w:top w:val="nil"/>
          <w:left w:val="nil"/>
          <w:bottom w:val="nil"/>
          <w:right w:val="nil"/>
          <w:insideH w:val="nil"/>
          <w:insideV w:val="nil"/>
          <w:tl2br w:val="nil"/>
          <w:tr2bl w:val="nil"/>
        </w:tcBorders>
        <w:shd w:val="clear" w:color="auto" w:fill="DFDFDF" w:themeFill="background2" w:themeFillShade="E6"/>
      </w:tcPr>
    </w:tblStylePr>
    <w:tblStylePr w:type="band2Horz">
      <w:tblPr/>
      <w:tcPr>
        <w:tcBorders>
          <w:top w:val="single" w:sz="4" w:space="0" w:color="949494" w:themeColor="text2" w:themeShade="BF"/>
          <w:left w:val="single" w:sz="4" w:space="0" w:color="949494" w:themeColor="text2" w:themeShade="BF"/>
          <w:bottom w:val="single" w:sz="4" w:space="0" w:color="949494" w:themeColor="text2" w:themeShade="BF"/>
          <w:right w:val="single" w:sz="4" w:space="0" w:color="949494" w:themeColor="text2" w:themeShade="BF"/>
          <w:insideH w:val="single" w:sz="4" w:space="0" w:color="949494" w:themeColor="text2" w:themeShade="BF"/>
          <w:insideV w:val="single" w:sz="4" w:space="0" w:color="949494" w:themeColor="text2" w:themeShade="BF"/>
          <w:tl2br w:val="nil"/>
          <w:tr2bl w:val="nil"/>
        </w:tcBorders>
        <w:shd w:val="clear" w:color="auto" w:fill="DFDFDF" w:themeFill="background2" w:themeFillShade="E6"/>
      </w:tcPr>
    </w:tblStylePr>
  </w:style>
  <w:style w:type="table" w:customStyle="1" w:styleId="ECHRTableBoxHeader">
    <w:name w:val="ECHR_Table_Box_Header"/>
    <w:basedOn w:val="TableNormal"/>
    <w:rsid w:val="00A00672"/>
    <w:rPr>
      <w:rFonts w:ascii="Verdana" w:eastAsia="Times New Roman" w:hAnsi="Verdana" w:cs="Times New Roman"/>
      <w:sz w:val="20"/>
      <w:szCs w:val="20"/>
      <w:lang w:val="en-GB"/>
    </w:rPr>
    <w:tblPr>
      <w:tblCellMar>
        <w:top w:w="57" w:type="dxa"/>
        <w:left w:w="57" w:type="dxa"/>
        <w:bottom w:w="57" w:type="dxa"/>
        <w:right w:w="57" w:type="dxa"/>
      </w:tblCellMar>
    </w:tblPr>
    <w:tcPr>
      <w:shd w:val="clear" w:color="auto" w:fill="F8F8F8" w:themeFill="background2"/>
    </w:tcPr>
    <w:tblStylePr w:type="firstCol">
      <w:rPr>
        <w:b/>
        <w:color w:val="5F5F5F" w:themeColor="accent3"/>
      </w:rPr>
    </w:tblStylePr>
  </w:style>
  <w:style w:type="character" w:styleId="Emphasis">
    <w:name w:val="Emphasis"/>
    <w:uiPriority w:val="99"/>
    <w:semiHidden/>
    <w:qFormat/>
    <w:rsid w:val="00A00672"/>
    <w:rPr>
      <w:b/>
      <w:bCs/>
      <w:i/>
      <w:iCs/>
      <w:spacing w:val="10"/>
      <w:bdr w:val="none" w:sz="0" w:space="0" w:color="auto"/>
      <w:shd w:val="clear" w:color="auto" w:fill="auto"/>
    </w:rPr>
  </w:style>
  <w:style w:type="paragraph" w:styleId="Footer1">
    <w:name w:val="footer"/>
    <w:basedOn w:val="Normal"/>
    <w:link w:val="FooterChar"/>
    <w:uiPriority w:val="57"/>
    <w:semiHidden/>
    <w:rsid w:val="00A00672"/>
    <w:pPr>
      <w:tabs>
        <w:tab w:val="center" w:pos="3686"/>
        <w:tab w:val="right" w:pos="7371"/>
      </w:tabs>
    </w:pPr>
  </w:style>
  <w:style w:type="character" w:customStyle="1" w:styleId="FooterChar">
    <w:name w:val="Footer Char"/>
    <w:basedOn w:val="DefaultParagraphFont"/>
    <w:link w:val="Footer1"/>
    <w:uiPriority w:val="57"/>
    <w:semiHidden/>
    <w:rsid w:val="00A00672"/>
    <w:rPr>
      <w:sz w:val="24"/>
      <w:szCs w:val="24"/>
      <w:lang w:val="fr-FR"/>
    </w:rPr>
  </w:style>
  <w:style w:type="character" w:styleId="FootnoteReference">
    <w:name w:val="footnote reference"/>
    <w:basedOn w:val="DefaultParagraphFont"/>
    <w:uiPriority w:val="99"/>
    <w:semiHidden/>
    <w:rsid w:val="00A00672"/>
    <w:rPr>
      <w:vertAlign w:val="superscript"/>
    </w:rPr>
  </w:style>
  <w:style w:type="paragraph" w:styleId="FootnoteText">
    <w:name w:val="footnote text"/>
    <w:basedOn w:val="Normal"/>
    <w:link w:val="FootnoteTextChar"/>
    <w:uiPriority w:val="99"/>
    <w:semiHidden/>
    <w:rsid w:val="00A00672"/>
    <w:rPr>
      <w:sz w:val="20"/>
      <w:szCs w:val="20"/>
    </w:rPr>
  </w:style>
  <w:style w:type="character" w:customStyle="1" w:styleId="FootnoteTextChar">
    <w:name w:val="Footnote Text Char"/>
    <w:basedOn w:val="DefaultParagraphFont"/>
    <w:link w:val="FootnoteText"/>
    <w:uiPriority w:val="99"/>
    <w:semiHidden/>
    <w:rsid w:val="00A00672"/>
    <w:rPr>
      <w:sz w:val="20"/>
      <w:szCs w:val="20"/>
      <w:lang w:val="fr-FR"/>
    </w:rPr>
  </w:style>
  <w:style w:type="character" w:customStyle="1" w:styleId="Heading6Char">
    <w:name w:val="Heading 6 Char"/>
    <w:basedOn w:val="DefaultParagraphFont"/>
    <w:link w:val="Heading6"/>
    <w:uiPriority w:val="99"/>
    <w:semiHidden/>
    <w:rsid w:val="00A00672"/>
    <w:rPr>
      <w:rFonts w:asciiTheme="majorHAnsi" w:eastAsiaTheme="majorEastAsia" w:hAnsiTheme="majorHAnsi" w:cstheme="majorBidi"/>
      <w:b/>
      <w:bCs/>
      <w:i/>
      <w:iCs/>
      <w:color w:val="7F7F7F" w:themeColor="text1" w:themeTint="80"/>
      <w:lang w:val="en-GB" w:bidi="en-US"/>
    </w:rPr>
  </w:style>
  <w:style w:type="character" w:customStyle="1" w:styleId="Heading7Char">
    <w:name w:val="Heading 7 Char"/>
    <w:basedOn w:val="DefaultParagraphFont"/>
    <w:link w:val="Heading7"/>
    <w:uiPriority w:val="99"/>
    <w:semiHidden/>
    <w:rsid w:val="00A00672"/>
    <w:rPr>
      <w:rFonts w:asciiTheme="majorHAnsi" w:eastAsiaTheme="majorEastAsia" w:hAnsiTheme="majorHAnsi" w:cstheme="majorBidi"/>
      <w:i/>
      <w:iCs/>
      <w:lang w:val="en-GB" w:bidi="en-US"/>
    </w:rPr>
  </w:style>
  <w:style w:type="character" w:customStyle="1" w:styleId="Heading8Char">
    <w:name w:val="Heading 8 Char"/>
    <w:basedOn w:val="DefaultParagraphFont"/>
    <w:link w:val="Heading8"/>
    <w:uiPriority w:val="99"/>
    <w:semiHidden/>
    <w:rsid w:val="00A00672"/>
    <w:rPr>
      <w:rFonts w:asciiTheme="majorHAnsi" w:eastAsiaTheme="majorEastAsia" w:hAnsiTheme="majorHAnsi" w:cstheme="majorBidi"/>
      <w:sz w:val="20"/>
      <w:szCs w:val="20"/>
      <w:lang w:val="en-GB" w:bidi="en-US"/>
    </w:rPr>
  </w:style>
  <w:style w:type="character" w:customStyle="1" w:styleId="Heading9Char">
    <w:name w:val="Heading 9 Char"/>
    <w:basedOn w:val="DefaultParagraphFont"/>
    <w:link w:val="Heading9"/>
    <w:uiPriority w:val="99"/>
    <w:semiHidden/>
    <w:rsid w:val="00A00672"/>
    <w:rPr>
      <w:rFonts w:asciiTheme="majorHAnsi" w:eastAsiaTheme="majorEastAsia" w:hAnsiTheme="majorHAnsi" w:cstheme="majorBidi"/>
      <w:i/>
      <w:iCs/>
      <w:spacing w:val="5"/>
      <w:sz w:val="20"/>
      <w:szCs w:val="20"/>
      <w:lang w:val="en-GB" w:bidi="en-US"/>
    </w:rPr>
  </w:style>
  <w:style w:type="character" w:styleId="Hyperlink">
    <w:name w:val="Hyperlink"/>
    <w:basedOn w:val="DefaultParagraphFont"/>
    <w:uiPriority w:val="99"/>
    <w:semiHidden/>
    <w:rsid w:val="00A00672"/>
    <w:rPr>
      <w:color w:val="0072BC" w:themeColor="hyperlink"/>
      <w:u w:val="single"/>
    </w:rPr>
  </w:style>
  <w:style w:type="character" w:styleId="IntenseEmphasis">
    <w:name w:val="Intense Emphasis"/>
    <w:uiPriority w:val="99"/>
    <w:semiHidden/>
    <w:qFormat/>
    <w:rsid w:val="00A00672"/>
    <w:rPr>
      <w:b/>
      <w:bCs/>
    </w:rPr>
  </w:style>
  <w:style w:type="paragraph" w:styleId="IntenseQuote">
    <w:name w:val="Intense Quote"/>
    <w:basedOn w:val="Normal"/>
    <w:next w:val="Normal"/>
    <w:link w:val="IntenseQuoteChar"/>
    <w:uiPriority w:val="99"/>
    <w:semiHidden/>
    <w:qFormat/>
    <w:rsid w:val="00A00672"/>
    <w:pPr>
      <w:pBdr>
        <w:bottom w:val="single" w:sz="4" w:space="1" w:color="auto"/>
      </w:pBdr>
      <w:spacing w:before="200" w:after="280"/>
      <w:ind w:left="1008" w:right="1152"/>
    </w:pPr>
    <w:rPr>
      <w:b/>
      <w:bCs/>
      <w:i/>
      <w:iCs/>
      <w:lang w:bidi="en-US"/>
    </w:rPr>
  </w:style>
  <w:style w:type="character" w:customStyle="1" w:styleId="IntenseQuoteChar">
    <w:name w:val="Intense Quote Char"/>
    <w:basedOn w:val="DefaultParagraphFont"/>
    <w:link w:val="IntenseQuote"/>
    <w:uiPriority w:val="99"/>
    <w:semiHidden/>
    <w:rsid w:val="00A00672"/>
    <w:rPr>
      <w:b/>
      <w:bCs/>
      <w:i/>
      <w:iCs/>
      <w:sz w:val="24"/>
      <w:szCs w:val="24"/>
      <w:lang w:val="fr-FR" w:bidi="en-US"/>
    </w:rPr>
  </w:style>
  <w:style w:type="character" w:styleId="IntenseReference">
    <w:name w:val="Intense Reference"/>
    <w:uiPriority w:val="99"/>
    <w:semiHidden/>
    <w:qFormat/>
    <w:rsid w:val="00A00672"/>
    <w:rPr>
      <w:smallCaps/>
      <w:spacing w:val="5"/>
      <w:u w:val="single"/>
    </w:rPr>
  </w:style>
  <w:style w:type="paragraph" w:styleId="ListParagraph">
    <w:name w:val="List Paragraph"/>
    <w:basedOn w:val="Normal"/>
    <w:uiPriority w:val="99"/>
    <w:semiHidden/>
    <w:qFormat/>
    <w:rsid w:val="00A00672"/>
    <w:pPr>
      <w:ind w:left="720"/>
      <w:contextualSpacing/>
    </w:pPr>
  </w:style>
  <w:style w:type="table" w:customStyle="1" w:styleId="LtrTableAddress">
    <w:name w:val="Ltr_Table_Address"/>
    <w:aliases w:val="ECHR_Ltr_Table_Address"/>
    <w:basedOn w:val="TableNormal"/>
    <w:uiPriority w:val="99"/>
    <w:rsid w:val="00A00672"/>
    <w:rPr>
      <w:sz w:val="24"/>
      <w:szCs w:val="24"/>
    </w:rPr>
    <w:tblPr>
      <w:tblInd w:w="5103" w:type="dxa"/>
    </w:tblPr>
  </w:style>
  <w:style w:type="paragraph" w:styleId="Quote0">
    <w:name w:val="Quote"/>
    <w:basedOn w:val="Normal"/>
    <w:next w:val="Normal"/>
    <w:link w:val="QuoteChar"/>
    <w:uiPriority w:val="99"/>
    <w:semiHidden/>
    <w:qFormat/>
    <w:rsid w:val="00A00672"/>
    <w:pPr>
      <w:spacing w:before="200"/>
      <w:ind w:left="360" w:right="360"/>
    </w:pPr>
    <w:rPr>
      <w:i/>
      <w:iCs/>
      <w:lang w:bidi="en-US"/>
    </w:rPr>
  </w:style>
  <w:style w:type="character" w:customStyle="1" w:styleId="QuoteChar">
    <w:name w:val="Quote Char"/>
    <w:basedOn w:val="DefaultParagraphFont"/>
    <w:link w:val="Quote0"/>
    <w:uiPriority w:val="99"/>
    <w:semiHidden/>
    <w:rsid w:val="00A00672"/>
    <w:rPr>
      <w:i/>
      <w:iCs/>
      <w:sz w:val="24"/>
      <w:szCs w:val="24"/>
      <w:lang w:val="fr-FR" w:bidi="en-US"/>
    </w:rPr>
  </w:style>
  <w:style w:type="character" w:styleId="SubtleReference">
    <w:name w:val="Subtle Reference"/>
    <w:uiPriority w:val="99"/>
    <w:semiHidden/>
    <w:qFormat/>
    <w:rsid w:val="00A00672"/>
    <w:rPr>
      <w:smallCaps/>
    </w:rPr>
  </w:style>
  <w:style w:type="table" w:styleId="TableGrid">
    <w:name w:val="Table Grid"/>
    <w:basedOn w:val="TableNormal"/>
    <w:uiPriority w:val="59"/>
    <w:semiHidden/>
    <w:rsid w:val="00A00672"/>
    <w:rPr>
      <w:rFonts w:eastAsiaTheme="minorEastAsia"/>
      <w:sz w:val="24"/>
      <w:szCs w:val="24"/>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TOC1">
    <w:name w:val="toc 1"/>
    <w:basedOn w:val="Normal"/>
    <w:next w:val="Normal"/>
    <w:autoRedefine/>
    <w:uiPriority w:val="99"/>
    <w:semiHidden/>
    <w:rsid w:val="00A00672"/>
    <w:pPr>
      <w:keepNext/>
      <w:tabs>
        <w:tab w:val="right" w:leader="dot" w:pos="7371"/>
      </w:tabs>
      <w:spacing w:before="160" w:after="60" w:line="240" w:lineRule="exact"/>
      <w:ind w:left="340" w:right="567" w:hanging="340"/>
    </w:pPr>
    <w:rPr>
      <w:b/>
      <w:sz w:val="22"/>
    </w:rPr>
  </w:style>
  <w:style w:type="paragraph" w:styleId="TOC2">
    <w:name w:val="toc 2"/>
    <w:basedOn w:val="Normal"/>
    <w:next w:val="Normal"/>
    <w:autoRedefine/>
    <w:uiPriority w:val="99"/>
    <w:semiHidden/>
    <w:rsid w:val="00A00672"/>
    <w:pPr>
      <w:keepNext/>
      <w:tabs>
        <w:tab w:val="right" w:leader="dot" w:pos="7371"/>
      </w:tabs>
      <w:spacing w:after="60" w:line="240" w:lineRule="exact"/>
      <w:ind w:left="680" w:right="567" w:hanging="340"/>
    </w:pPr>
    <w:rPr>
      <w:sz w:val="22"/>
    </w:rPr>
  </w:style>
  <w:style w:type="paragraph" w:styleId="TOC3">
    <w:name w:val="toc 3"/>
    <w:basedOn w:val="Normal"/>
    <w:next w:val="Normal"/>
    <w:autoRedefine/>
    <w:uiPriority w:val="99"/>
    <w:semiHidden/>
    <w:rsid w:val="00A00672"/>
    <w:pPr>
      <w:keepNext/>
      <w:tabs>
        <w:tab w:val="right" w:leader="dot" w:pos="7371"/>
      </w:tabs>
      <w:spacing w:after="60" w:line="240" w:lineRule="exact"/>
      <w:ind w:left="1020" w:right="567" w:hanging="340"/>
    </w:pPr>
    <w:rPr>
      <w:sz w:val="20"/>
    </w:rPr>
  </w:style>
  <w:style w:type="paragraph" w:styleId="TOC4">
    <w:name w:val="toc 4"/>
    <w:basedOn w:val="Normal"/>
    <w:next w:val="Normal"/>
    <w:autoRedefine/>
    <w:uiPriority w:val="99"/>
    <w:semiHidden/>
    <w:rsid w:val="00A00672"/>
    <w:pPr>
      <w:tabs>
        <w:tab w:val="right" w:leader="dot" w:pos="7371"/>
      </w:tabs>
      <w:spacing w:after="60" w:line="240" w:lineRule="exact"/>
      <w:ind w:left="1361" w:right="567" w:hanging="340"/>
    </w:pPr>
    <w:rPr>
      <w:sz w:val="20"/>
    </w:rPr>
  </w:style>
  <w:style w:type="paragraph" w:styleId="TOC5">
    <w:name w:val="toc 5"/>
    <w:basedOn w:val="Normal"/>
    <w:next w:val="Normal"/>
    <w:autoRedefine/>
    <w:uiPriority w:val="99"/>
    <w:semiHidden/>
    <w:rsid w:val="00A00672"/>
    <w:pPr>
      <w:tabs>
        <w:tab w:val="right" w:leader="dot" w:pos="7371"/>
      </w:tabs>
      <w:spacing w:after="60" w:line="240" w:lineRule="exact"/>
      <w:ind w:left="1701" w:right="567" w:hanging="340"/>
    </w:pPr>
    <w:rPr>
      <w:sz w:val="20"/>
    </w:rPr>
  </w:style>
  <w:style w:type="paragraph" w:styleId="TOCHeading">
    <w:name w:val="TOC Heading"/>
    <w:basedOn w:val="Normal"/>
    <w:next w:val="Normal"/>
    <w:uiPriority w:val="99"/>
    <w:semiHidden/>
    <w:qFormat/>
    <w:rsid w:val="00A00672"/>
    <w:pPr>
      <w:keepNext/>
      <w:keepLines/>
      <w:spacing w:before="240"/>
      <w:contextualSpacing/>
      <w:jc w:val="center"/>
    </w:pPr>
    <w:rPr>
      <w:rFonts w:asciiTheme="majorHAnsi" w:hAnsiTheme="majorHAnsi"/>
      <w:b/>
      <w:color w:val="474747" w:themeColor="accent3" w:themeShade="BF"/>
      <w:sz w:val="28"/>
    </w:rPr>
  </w:style>
  <w:style w:type="table" w:customStyle="1" w:styleId="UGTable">
    <w:name w:val="UG_Table"/>
    <w:aliases w:val="ECHR_UG_Table"/>
    <w:basedOn w:val="TableNormal"/>
    <w:uiPriority w:val="99"/>
    <w:rsid w:val="00A00672"/>
    <w:rPr>
      <w:rFonts w:eastAsiaTheme="minorEastAsia"/>
      <w:sz w:val="20"/>
      <w:szCs w:val="24"/>
      <w:lang w:val="en-GB" w:eastAsia="en-GB"/>
    </w:rPr>
    <w:tblPr>
      <w:tblInd w:w="-1191" w:type="dxa"/>
      <w:tblCellMar>
        <w:top w:w="57" w:type="dxa"/>
        <w:left w:w="0" w:type="dxa"/>
        <w:right w:w="0" w:type="dxa"/>
      </w:tblCellMar>
    </w:tblPr>
    <w:tblStylePr w:type="swCell">
      <w:tblPr/>
      <w:tcPr>
        <w:tcBorders>
          <w:top w:val="nil"/>
          <w:left w:val="nil"/>
          <w:bottom w:val="nil"/>
          <w:right w:val="nil"/>
          <w:insideH w:val="nil"/>
          <w:insideV w:val="nil"/>
          <w:tl2br w:val="nil"/>
          <w:tr2bl w:val="nil"/>
        </w:tcBorders>
        <w:shd w:val="clear" w:color="auto" w:fill="EAEAEA"/>
      </w:tcPr>
    </w:tblStylePr>
  </w:style>
  <w:style w:type="table" w:customStyle="1" w:styleId="UGTableWhiteBox">
    <w:name w:val="UG_Table_White_Box"/>
    <w:aliases w:val="ECHR_UG_Table_White_Box"/>
    <w:basedOn w:val="TableNormal"/>
    <w:uiPriority w:val="99"/>
    <w:rsid w:val="00A00672"/>
    <w:rPr>
      <w:rFonts w:eastAsiaTheme="minorEastAsia"/>
      <w:sz w:val="24"/>
      <w:szCs w:val="24"/>
      <w:lang w:val="en-GB" w:eastAsia="en-GB"/>
    </w:rPr>
    <w:tblPr>
      <w:tblBorders>
        <w:top w:val="single" w:sz="4" w:space="0" w:color="B9B9B9" w:themeColor="background2" w:themeShade="BF"/>
        <w:left w:val="single" w:sz="4" w:space="0" w:color="B9B9B9" w:themeColor="background2" w:themeShade="BF"/>
        <w:bottom w:val="single" w:sz="4" w:space="0" w:color="B9B9B9" w:themeColor="background2" w:themeShade="BF"/>
        <w:right w:val="single" w:sz="4" w:space="0" w:color="B9B9B9" w:themeColor="background2" w:themeShade="BF"/>
      </w:tblBorders>
      <w:tblCellMar>
        <w:top w:w="113" w:type="dxa"/>
        <w:left w:w="113" w:type="dxa"/>
        <w:bottom w:w="113" w:type="dxa"/>
        <w:right w:w="113" w:type="dxa"/>
      </w:tblCellMar>
    </w:tblPr>
    <w:tcPr>
      <w:shd w:val="clear" w:color="auto" w:fill="FFFFFF"/>
    </w:tcPr>
  </w:style>
  <w:style w:type="table" w:customStyle="1" w:styleId="PCFTableStyle">
    <w:name w:val="PCF_Table_Style"/>
    <w:aliases w:val="ECHR_PCF_Table_Style"/>
    <w:basedOn w:val="TableNormal"/>
    <w:uiPriority w:val="99"/>
    <w:rsid w:val="00A00672"/>
    <w:rPr>
      <w:color w:val="000000" w:themeColor="text1"/>
      <w:sz w:val="18"/>
      <w:szCs w:val="24"/>
    </w:rPr>
    <w:tblPr>
      <w:tblBorders>
        <w:top w:val="single" w:sz="8" w:space="0" w:color="9F9F9F" w:themeColor="accent3" w:themeTint="99"/>
        <w:left w:val="single" w:sz="8" w:space="0" w:color="9F9F9F" w:themeColor="accent3" w:themeTint="99"/>
        <w:bottom w:val="single" w:sz="8" w:space="0" w:color="9F9F9F" w:themeColor="accent3" w:themeTint="99"/>
        <w:right w:val="single" w:sz="8" w:space="0" w:color="9F9F9F" w:themeColor="accent3" w:themeTint="99"/>
        <w:insideH w:val="single" w:sz="8" w:space="0" w:color="9F9F9F" w:themeColor="accent3" w:themeTint="99"/>
        <w:insideV w:val="single" w:sz="8" w:space="0" w:color="9F9F9F" w:themeColor="accent3" w:themeTint="99"/>
      </w:tblBorders>
    </w:tblPr>
    <w:tblStylePr w:type="firstRow">
      <w:pPr>
        <w:wordWrap/>
        <w:spacing w:before="120" w:beforeLines="0" w:beforeAutospacing="0" w:after="120" w:afterLines="0" w:afterAutospacing="0" w:line="240" w:lineRule="auto"/>
        <w:contextualSpacing/>
        <w:jc w:val="center"/>
      </w:pPr>
      <w:rPr>
        <w:b/>
        <w:i w:val="0"/>
        <w:color w:val="FFFFFF"/>
        <w:sz w:val="20"/>
      </w:rPr>
      <w:tblPr/>
      <w:tcPr>
        <w:tcBorders>
          <w:top w:val="nil"/>
          <w:left w:val="nil"/>
          <w:bottom w:val="nil"/>
          <w:right w:val="nil"/>
          <w:insideH w:val="nil"/>
          <w:insideV w:val="nil"/>
          <w:tl2br w:val="nil"/>
          <w:tr2bl w:val="nil"/>
        </w:tcBorders>
        <w:shd w:val="clear" w:color="auto" w:fill="0072BC" w:themeFill="accent1"/>
        <w:vAlign w:val="center"/>
      </w:tcPr>
    </w:tblStylePr>
    <w:tblStylePr w:type="firstCol">
      <w:pPr>
        <w:jc w:val="left"/>
      </w:pPr>
      <w:tblPr/>
      <w:tcPr>
        <w:vAlign w:val="center"/>
      </w:tcPr>
    </w:tblStylePr>
  </w:style>
  <w:style w:type="table" w:customStyle="1" w:styleId="ECHRTableFax">
    <w:name w:val="ECHR_Table_Fax"/>
    <w:basedOn w:val="TableNormal"/>
    <w:uiPriority w:val="99"/>
    <w:rsid w:val="00A00672"/>
    <w:rPr>
      <w:color w:val="000000" w:themeColor="text1"/>
      <w:sz w:val="24"/>
      <w:szCs w:val="24"/>
    </w:rPr>
    <w:tblPr>
      <w:tblInd w:w="-680" w:type="dxa"/>
      <w:tblBorders>
        <w:insideH w:val="single" w:sz="4" w:space="0" w:color="C6C6C6" w:themeColor="text2"/>
        <w:insideV w:val="single" w:sz="4" w:space="0" w:color="C6C6C6" w:themeColor="text2"/>
      </w:tblBorders>
      <w:tblCellMar>
        <w:top w:w="142" w:type="dxa"/>
        <w:bottom w:w="142" w:type="dxa"/>
      </w:tblCellMar>
    </w:tblPr>
    <w:trPr>
      <w:cantSplit/>
    </w:trPr>
  </w:style>
  <w:style w:type="table" w:customStyle="1" w:styleId="ECHRTableMemo">
    <w:name w:val="ECHR_Table_Memo"/>
    <w:basedOn w:val="TableNormal"/>
    <w:uiPriority w:val="99"/>
    <w:rsid w:val="00A00672"/>
    <w:rPr>
      <w:sz w:val="24"/>
      <w:szCs w:val="24"/>
    </w:rPr>
    <w:tblPr>
      <w:jc w:val="center"/>
      <w:tblCellMar>
        <w:top w:w="113" w:type="dxa"/>
        <w:left w:w="0" w:type="dxa"/>
        <w:bottom w:w="113" w:type="dxa"/>
        <w:right w:w="0" w:type="dxa"/>
      </w:tblCellMar>
    </w:tblPr>
    <w:trPr>
      <w:jc w:val="center"/>
    </w:trPr>
    <w:tblStylePr w:type="lastRow">
      <w:tblPr/>
      <w:tcPr>
        <w:tcBorders>
          <w:top w:val="nil"/>
          <w:left w:val="nil"/>
          <w:bottom w:val="single" w:sz="4" w:space="0" w:color="949494" w:themeColor="text2" w:themeShade="BF"/>
          <w:right w:val="nil"/>
          <w:insideH w:val="nil"/>
          <w:insideV w:val="nil"/>
          <w:tl2br w:val="nil"/>
          <w:tr2bl w:val="nil"/>
        </w:tcBorders>
      </w:tcPr>
    </w:tblStylePr>
  </w:style>
  <w:style w:type="table" w:customStyle="1" w:styleId="ECHRDNTable">
    <w:name w:val="ECHR_DN_Table"/>
    <w:aliases w:val="DN_Table"/>
    <w:basedOn w:val="TableNormal"/>
    <w:uiPriority w:val="99"/>
    <w:rsid w:val="00A00672"/>
    <w:rPr>
      <w:sz w:val="24"/>
      <w:szCs w:val="24"/>
    </w:rPr>
    <w:tblPr>
      <w:jc w:val="center"/>
      <w:tblBorders>
        <w:left w:val="single" w:sz="4" w:space="0" w:color="949494" w:themeColor="text2" w:themeShade="BF"/>
        <w:bottom w:val="single" w:sz="4" w:space="0" w:color="949494" w:themeColor="text2" w:themeShade="BF"/>
        <w:right w:val="single" w:sz="4" w:space="0" w:color="949494" w:themeColor="text2" w:themeShade="BF"/>
        <w:insideH w:val="single" w:sz="4" w:space="0" w:color="949494" w:themeColor="text2" w:themeShade="BF"/>
        <w:insideV w:val="single" w:sz="4" w:space="0" w:color="949494" w:themeColor="text2" w:themeShade="BF"/>
      </w:tblBorders>
      <w:tblCellMar>
        <w:top w:w="57" w:type="dxa"/>
        <w:bottom w:w="57" w:type="dxa"/>
      </w:tblCellMar>
    </w:tblPr>
    <w:trPr>
      <w:jc w:val="center"/>
    </w:trPr>
    <w:tcPr>
      <w:vAlign w:val="center"/>
    </w:tcPr>
    <w:tblStylePr w:type="firstRow">
      <w:pPr>
        <w:wordWrap/>
        <w:spacing w:beforeLines="0"/>
        <w:ind w:left="0" w:leftChars="0"/>
      </w:pPr>
      <w:rPr>
        <w:rFonts w:asciiTheme="majorHAnsi" w:hAnsiTheme="majorHAnsi"/>
        <w:b/>
        <w:i w:val="0"/>
        <w:color w:val="474747" w:themeColor="accent3" w:themeShade="BF"/>
        <w:sz w:val="24"/>
      </w:rPr>
      <w:tblPr/>
      <w:tcPr>
        <w:tcBorders>
          <w:top w:val="single" w:sz="4" w:space="0" w:color="949494" w:themeColor="text2" w:themeShade="BF"/>
          <w:left w:val="single" w:sz="4" w:space="0" w:color="949494" w:themeColor="text2" w:themeShade="BF"/>
          <w:bottom w:val="nil"/>
          <w:right w:val="single" w:sz="4" w:space="0" w:color="949494" w:themeColor="text2" w:themeShade="BF"/>
          <w:insideH w:val="nil"/>
          <w:insideV w:val="nil"/>
          <w:tl2br w:val="nil"/>
          <w:tr2bl w:val="nil"/>
        </w:tcBorders>
        <w:shd w:val="clear" w:color="auto" w:fill="DFDFDF" w:themeFill="background2" w:themeFillShade="E6"/>
      </w:tcPr>
    </w:tblStylePr>
  </w:style>
  <w:style w:type="paragraph" w:styleId="TOAHeading">
    <w:name w:val="toa heading"/>
    <w:basedOn w:val="Normal"/>
    <w:next w:val="Normal"/>
    <w:uiPriority w:val="99"/>
    <w:semiHidden/>
    <w:rsid w:val="00A00672"/>
    <w:pPr>
      <w:keepNext/>
      <w:keepLines/>
      <w:spacing w:before="240"/>
      <w:contextualSpacing/>
      <w:jc w:val="center"/>
    </w:pPr>
    <w:rPr>
      <w:rFonts w:asciiTheme="majorHAnsi" w:eastAsiaTheme="majorEastAsia" w:hAnsiTheme="majorHAnsi" w:cstheme="majorBidi"/>
      <w:b/>
      <w:bCs/>
      <w:color w:val="474747" w:themeColor="accent3" w:themeShade="BF"/>
      <w:sz w:val="28"/>
    </w:rPr>
  </w:style>
  <w:style w:type="paragraph" w:styleId="Subtitle">
    <w:name w:val="Subtitle"/>
    <w:basedOn w:val="Normal"/>
    <w:next w:val="Normal"/>
    <w:link w:val="SubtitleChar"/>
    <w:uiPriority w:val="99"/>
    <w:semiHidden/>
    <w:qFormat/>
    <w:rsid w:val="00A00672"/>
    <w:pPr>
      <w:spacing w:after="600"/>
    </w:pPr>
    <w:rPr>
      <w:rFonts w:asciiTheme="majorHAnsi" w:eastAsiaTheme="majorEastAsia" w:hAnsiTheme="majorHAnsi" w:cstheme="majorBidi"/>
      <w:i/>
      <w:iCs/>
      <w:spacing w:val="13"/>
      <w:lang w:bidi="en-US"/>
    </w:rPr>
  </w:style>
  <w:style w:type="character" w:customStyle="1" w:styleId="SubtitleChar">
    <w:name w:val="Subtitle Char"/>
    <w:basedOn w:val="DefaultParagraphFont"/>
    <w:link w:val="Subtitle"/>
    <w:uiPriority w:val="99"/>
    <w:semiHidden/>
    <w:rsid w:val="00A00672"/>
    <w:rPr>
      <w:rFonts w:asciiTheme="majorHAnsi" w:eastAsiaTheme="majorEastAsia" w:hAnsiTheme="majorHAnsi" w:cstheme="majorBidi"/>
      <w:i/>
      <w:iCs/>
      <w:spacing w:val="13"/>
      <w:sz w:val="24"/>
      <w:szCs w:val="24"/>
      <w:lang w:val="fr-FR" w:bidi="en-US"/>
    </w:rPr>
  </w:style>
  <w:style w:type="numbering" w:styleId="111111">
    <w:name w:val="Outline List 2"/>
    <w:basedOn w:val="NoList"/>
    <w:uiPriority w:val="99"/>
    <w:semiHidden/>
    <w:unhideWhenUsed/>
    <w:rsid w:val="00A00672"/>
    <w:pPr>
      <w:numPr>
        <w:numId w:val="1"/>
      </w:numPr>
    </w:pPr>
  </w:style>
  <w:style w:type="paragraph" w:customStyle="1" w:styleId="JuPara">
    <w:name w:val="Ju_Para"/>
    <w:aliases w:val="_Para"/>
    <w:basedOn w:val="NormalJustified"/>
    <w:link w:val="JuParaChar"/>
    <w:uiPriority w:val="8"/>
    <w:qFormat/>
    <w:rsid w:val="00A00672"/>
    <w:pPr>
      <w:ind w:firstLine="284"/>
    </w:pPr>
  </w:style>
  <w:style w:type="numbering" w:styleId="1ai">
    <w:name w:val="Outline List 1"/>
    <w:basedOn w:val="NoList"/>
    <w:uiPriority w:val="99"/>
    <w:semiHidden/>
    <w:unhideWhenUsed/>
    <w:rsid w:val="00A00672"/>
    <w:pPr>
      <w:numPr>
        <w:numId w:val="2"/>
      </w:numPr>
    </w:pPr>
  </w:style>
  <w:style w:type="table" w:customStyle="1" w:styleId="ECHRTableSimpleBox">
    <w:name w:val="ECHR_Table_Simple_Box"/>
    <w:basedOn w:val="TableNormal"/>
    <w:uiPriority w:val="99"/>
    <w:rsid w:val="00A00672"/>
    <w:rPr>
      <w:sz w:val="24"/>
      <w:szCs w:val="24"/>
    </w:rPr>
    <w:tblPr>
      <w:tblBorders>
        <w:top w:val="single" w:sz="4" w:space="0" w:color="9F9F9F" w:themeColor="accent3" w:themeTint="99"/>
        <w:left w:val="single" w:sz="4" w:space="0" w:color="9F9F9F" w:themeColor="accent3" w:themeTint="99"/>
        <w:bottom w:val="single" w:sz="4" w:space="0" w:color="9F9F9F" w:themeColor="accent3" w:themeTint="99"/>
        <w:right w:val="single" w:sz="4" w:space="0" w:color="9F9F9F" w:themeColor="accent3" w:themeTint="99"/>
      </w:tblBorders>
      <w:tblCellMar>
        <w:top w:w="113" w:type="dxa"/>
        <w:bottom w:w="113" w:type="dxa"/>
      </w:tblCellMar>
    </w:tblPr>
  </w:style>
  <w:style w:type="table" w:customStyle="1" w:styleId="ECHRTableNoLines">
    <w:name w:val="ECHR_Table_No_Lines"/>
    <w:basedOn w:val="TableNormal"/>
    <w:uiPriority w:val="99"/>
    <w:rsid w:val="00A00672"/>
    <w:rPr>
      <w:sz w:val="24"/>
      <w:szCs w:val="24"/>
    </w:rPr>
    <w:tblPr>
      <w:tblCellMar>
        <w:top w:w="85" w:type="dxa"/>
        <w:left w:w="142" w:type="dxa"/>
        <w:bottom w:w="28" w:type="dxa"/>
        <w:right w:w="142" w:type="dxa"/>
      </w:tblCellMar>
    </w:tblPr>
    <w:tblStylePr w:type="firstRow">
      <w:rPr>
        <w:rFonts w:asciiTheme="majorHAnsi" w:hAnsiTheme="majorHAnsi"/>
        <w:b/>
        <w:i w:val="0"/>
        <w:color w:val="474747" w:themeColor="accent3" w:themeShade="BF"/>
        <w:sz w:val="24"/>
      </w:rPr>
      <w:tblPr/>
      <w:tcPr>
        <w:tcBorders>
          <w:top w:val="single" w:sz="4" w:space="0" w:color="949494" w:themeColor="text2" w:themeShade="BF"/>
          <w:left w:val="single" w:sz="4" w:space="0" w:color="949494" w:themeColor="text2" w:themeShade="BF"/>
          <w:bottom w:val="single" w:sz="4" w:space="0" w:color="949494" w:themeColor="text2" w:themeShade="BF"/>
          <w:right w:val="single" w:sz="4" w:space="0" w:color="949494" w:themeColor="text2" w:themeShade="BF"/>
          <w:insideH w:val="nil"/>
          <w:insideV w:val="nil"/>
          <w:tl2br w:val="nil"/>
          <w:tr2bl w:val="nil"/>
        </w:tcBorders>
        <w:shd w:val="clear" w:color="auto" w:fill="DFDFDF" w:themeFill="background2" w:themeFillShade="E6"/>
      </w:tcPr>
    </w:tblStylePr>
    <w:tblStylePr w:type="firstCol">
      <w:tblPr/>
      <w:tcPr>
        <w:tcBorders>
          <w:top w:val="single" w:sz="4" w:space="0" w:color="949494" w:themeColor="text2" w:themeShade="BF"/>
          <w:left w:val="single" w:sz="4" w:space="0" w:color="949494" w:themeColor="text2" w:themeShade="BF"/>
          <w:bottom w:val="single" w:sz="4" w:space="0" w:color="949494" w:themeColor="text2" w:themeShade="BF"/>
          <w:right w:val="single" w:sz="4" w:space="0" w:color="949494" w:themeColor="text2" w:themeShade="BF"/>
          <w:insideH w:val="single" w:sz="4" w:space="0" w:color="949494" w:themeColor="text2" w:themeShade="BF"/>
          <w:insideV w:val="single" w:sz="4" w:space="0" w:color="949494" w:themeColor="text2" w:themeShade="BF"/>
        </w:tcBorders>
      </w:tcPr>
    </w:tblStylePr>
  </w:style>
  <w:style w:type="numbering" w:styleId="ArticleSection">
    <w:name w:val="Outline List 3"/>
    <w:basedOn w:val="NoList"/>
    <w:uiPriority w:val="99"/>
    <w:semiHidden/>
    <w:unhideWhenUsed/>
    <w:rsid w:val="00A00672"/>
    <w:pPr>
      <w:numPr>
        <w:numId w:val="3"/>
      </w:numPr>
    </w:pPr>
  </w:style>
  <w:style w:type="table" w:customStyle="1" w:styleId="ECHRTableForInternalUse">
    <w:name w:val="ECHR_Table_For_Internal_Use"/>
    <w:basedOn w:val="TableNormal"/>
    <w:uiPriority w:val="99"/>
    <w:rsid w:val="00A00672"/>
    <w:rPr>
      <w:color w:val="636363" w:themeColor="text2" w:themeShade="80"/>
      <w:sz w:val="18"/>
      <w:szCs w:val="24"/>
    </w:rPr>
    <w:tblPr>
      <w:tblStyleColBandSize w:val="1"/>
      <w:jc w:val="right"/>
      <w:tblCellMar>
        <w:top w:w="113" w:type="dxa"/>
        <w:bottom w:w="28" w:type="dxa"/>
      </w:tblCellMar>
    </w:tblPr>
    <w:trPr>
      <w:jc w:val="right"/>
    </w:trPr>
    <w:tblStylePr w:type="firstRow">
      <w:rPr>
        <w:b/>
      </w:rPr>
    </w:tblStylePr>
    <w:tblStylePr w:type="lastCol">
      <w:pPr>
        <w:jc w:val="right"/>
      </w:pPr>
      <w:tblPr/>
      <w:tcPr>
        <w:tcBorders>
          <w:top w:val="single" w:sz="4" w:space="0" w:color="949494" w:themeColor="text2" w:themeShade="BF"/>
          <w:left w:val="single" w:sz="4" w:space="0" w:color="949494" w:themeColor="text2" w:themeShade="BF"/>
          <w:bottom w:val="single" w:sz="4" w:space="0" w:color="949494" w:themeColor="text2" w:themeShade="BF"/>
          <w:right w:val="single" w:sz="4" w:space="0" w:color="949494" w:themeColor="text2" w:themeShade="BF"/>
          <w:insideH w:val="single" w:sz="4" w:space="0" w:color="949494" w:themeColor="text2" w:themeShade="BF"/>
          <w:insideV w:val="single" w:sz="4" w:space="0" w:color="949494" w:themeColor="text2" w:themeShade="BF"/>
          <w:tl2br w:val="nil"/>
          <w:tr2bl w:val="nil"/>
        </w:tcBorders>
      </w:tcPr>
    </w:tblStylePr>
    <w:tblStylePr w:type="band1Vert">
      <w:tblPr/>
      <w:tcPr>
        <w:tcBorders>
          <w:top w:val="single" w:sz="4" w:space="0" w:color="949494" w:themeColor="text2" w:themeShade="BF"/>
          <w:left w:val="single" w:sz="4" w:space="0" w:color="949494" w:themeColor="text2" w:themeShade="BF"/>
          <w:bottom w:val="single" w:sz="4" w:space="0" w:color="949494" w:themeColor="text2" w:themeShade="BF"/>
          <w:right w:val="single" w:sz="4" w:space="0" w:color="949494" w:themeColor="text2" w:themeShade="BF"/>
          <w:insideH w:val="single" w:sz="4" w:space="0" w:color="949494" w:themeColor="text2" w:themeShade="BF"/>
          <w:insideV w:val="single" w:sz="4" w:space="0" w:color="949494" w:themeColor="text2" w:themeShade="BF"/>
          <w:tl2br w:val="nil"/>
          <w:tr2bl w:val="nil"/>
        </w:tcBorders>
      </w:tcPr>
    </w:tblStylePr>
  </w:style>
  <w:style w:type="table" w:customStyle="1" w:styleId="ECHRListTable">
    <w:name w:val="ECHR_List_Table"/>
    <w:basedOn w:val="TableNormal"/>
    <w:uiPriority w:val="99"/>
    <w:rsid w:val="00A00672"/>
    <w:rPr>
      <w:sz w:val="24"/>
      <w:szCs w:val="24"/>
    </w:rPr>
    <w:tblPr>
      <w:tblBorders>
        <w:top w:val="single" w:sz="4" w:space="0" w:color="949494" w:themeColor="text2" w:themeShade="BF"/>
        <w:left w:val="single" w:sz="4" w:space="0" w:color="949494" w:themeColor="text2" w:themeShade="BF"/>
        <w:bottom w:val="single" w:sz="4" w:space="0" w:color="949494" w:themeColor="text2" w:themeShade="BF"/>
        <w:right w:val="single" w:sz="4" w:space="0" w:color="949494" w:themeColor="text2" w:themeShade="BF"/>
        <w:insideH w:val="single" w:sz="4" w:space="0" w:color="949494" w:themeColor="text2" w:themeShade="BF"/>
        <w:insideV w:val="single" w:sz="4" w:space="0" w:color="949494" w:themeColor="text2" w:themeShade="BF"/>
      </w:tblBorders>
      <w:tblCellMar>
        <w:top w:w="28" w:type="dxa"/>
        <w:bottom w:w="28" w:type="dxa"/>
      </w:tblCellMar>
    </w:tblPr>
    <w:tblStylePr w:type="firstRow">
      <w:rPr>
        <w:b/>
        <w:color w:val="474747" w:themeColor="accent3" w:themeShade="BF"/>
      </w:rPr>
      <w:tblPr/>
      <w:trPr>
        <w:tblHeader/>
      </w:trPr>
      <w:tcPr>
        <w:tcBorders>
          <w:top w:val="single" w:sz="4" w:space="0" w:color="949494" w:themeColor="text2" w:themeShade="BF"/>
          <w:left w:val="single" w:sz="4" w:space="0" w:color="949494" w:themeColor="text2" w:themeShade="BF"/>
          <w:bottom w:val="single" w:sz="4" w:space="0" w:color="949494" w:themeColor="text2" w:themeShade="BF"/>
          <w:right w:val="single" w:sz="4" w:space="0" w:color="949494" w:themeColor="text2" w:themeShade="BF"/>
          <w:insideH w:val="single" w:sz="4" w:space="0" w:color="949494" w:themeColor="text2" w:themeShade="BF"/>
          <w:insideV w:val="single" w:sz="4" w:space="0" w:color="949494" w:themeColor="text2" w:themeShade="BF"/>
        </w:tcBorders>
        <w:shd w:val="clear" w:color="auto" w:fill="DFDFDF" w:themeFill="background2" w:themeFillShade="E6"/>
      </w:tcPr>
    </w:tblStylePr>
  </w:style>
  <w:style w:type="paragraph" w:styleId="Bibliography">
    <w:name w:val="Bibliography"/>
    <w:basedOn w:val="Normal"/>
    <w:next w:val="Normal"/>
    <w:uiPriority w:val="99"/>
    <w:semiHidden/>
    <w:rsid w:val="00A00672"/>
  </w:style>
  <w:style w:type="paragraph" w:styleId="BlockText">
    <w:name w:val="Block Text"/>
    <w:basedOn w:val="Normal"/>
    <w:uiPriority w:val="99"/>
    <w:semiHidden/>
    <w:rsid w:val="00A00672"/>
    <w:pPr>
      <w:pBdr>
        <w:top w:val="single" w:sz="2" w:space="10" w:color="0072BC" w:themeColor="accent1" w:shadow="1" w:frame="1"/>
        <w:left w:val="single" w:sz="2" w:space="10" w:color="0072BC" w:themeColor="accent1" w:shadow="1" w:frame="1"/>
        <w:bottom w:val="single" w:sz="2" w:space="10" w:color="0072BC" w:themeColor="accent1" w:shadow="1" w:frame="1"/>
        <w:right w:val="single" w:sz="2" w:space="10" w:color="0072BC" w:themeColor="accent1" w:shadow="1" w:frame="1"/>
      </w:pBdr>
      <w:ind w:left="1152" w:right="1152"/>
    </w:pPr>
    <w:rPr>
      <w:i/>
      <w:iCs/>
      <w:color w:val="0072BC" w:themeColor="accent1"/>
    </w:rPr>
  </w:style>
  <w:style w:type="table" w:customStyle="1" w:styleId="ECHRHeaderTable">
    <w:name w:val="ECHR_Header_Table"/>
    <w:basedOn w:val="TableNormal"/>
    <w:uiPriority w:val="99"/>
    <w:rsid w:val="00A00672"/>
    <w:rPr>
      <w:sz w:val="24"/>
      <w:szCs w:val="24"/>
    </w:rPr>
    <w:tblPr>
      <w:tblInd w:w="-1474" w:type="dxa"/>
      <w:tblBorders>
        <w:bottom w:val="single" w:sz="6" w:space="0" w:color="949494" w:themeColor="text2" w:themeShade="BF"/>
      </w:tblBorders>
      <w:tblCellMar>
        <w:left w:w="0" w:type="dxa"/>
        <w:bottom w:w="28" w:type="dxa"/>
        <w:right w:w="0" w:type="dxa"/>
      </w:tblCellMar>
    </w:tblPr>
    <w:tcPr>
      <w:vAlign w:val="bottom"/>
    </w:tcPr>
    <w:tblStylePr w:type="lastCol">
      <w:pPr>
        <w:wordWrap/>
        <w:jc w:val="both"/>
      </w:pPr>
    </w:tblStylePr>
  </w:style>
  <w:style w:type="paragraph" w:styleId="BodyText">
    <w:name w:val="Body Text"/>
    <w:basedOn w:val="Normal"/>
    <w:link w:val="BodyTextChar"/>
    <w:uiPriority w:val="99"/>
    <w:semiHidden/>
    <w:rsid w:val="00A00672"/>
    <w:pPr>
      <w:spacing w:after="120"/>
    </w:pPr>
  </w:style>
  <w:style w:type="character" w:customStyle="1" w:styleId="BodyTextChar">
    <w:name w:val="Body Text Char"/>
    <w:basedOn w:val="DefaultParagraphFont"/>
    <w:link w:val="BodyText"/>
    <w:uiPriority w:val="99"/>
    <w:semiHidden/>
    <w:rsid w:val="00A00672"/>
    <w:rPr>
      <w:sz w:val="24"/>
      <w:szCs w:val="24"/>
      <w:lang w:val="fr-FR"/>
    </w:rPr>
  </w:style>
  <w:style w:type="table" w:customStyle="1" w:styleId="ECHRTableOddBanded">
    <w:name w:val="ECHR_Table_Odd_Banded"/>
    <w:basedOn w:val="TableNormal"/>
    <w:uiPriority w:val="99"/>
    <w:rsid w:val="00860B03"/>
    <w:tblPr>
      <w:tblStyleRowBandSize w:val="1"/>
      <w:tblStyleColBandSize w:val="1"/>
      <w:tblBorders>
        <w:top w:val="single" w:sz="4" w:space="0" w:color="949494" w:themeColor="text2" w:themeShade="BF"/>
        <w:left w:val="single" w:sz="4" w:space="0" w:color="949494" w:themeColor="text2" w:themeShade="BF"/>
        <w:bottom w:val="single" w:sz="4" w:space="0" w:color="949494" w:themeColor="text2" w:themeShade="BF"/>
        <w:right w:val="single" w:sz="4" w:space="0" w:color="949494" w:themeColor="text2" w:themeShade="BF"/>
        <w:insideH w:val="single" w:sz="4" w:space="0" w:color="949494" w:themeColor="text2" w:themeShade="BF"/>
        <w:insideV w:val="single" w:sz="4" w:space="0" w:color="949494" w:themeColor="text2" w:themeShade="BF"/>
      </w:tblBorders>
      <w:tblCellMar>
        <w:top w:w="28" w:type="dxa"/>
        <w:bottom w:w="28" w:type="dxa"/>
      </w:tblCellMar>
    </w:tblPr>
    <w:tblStylePr w:type="firstRow">
      <w:rPr>
        <w:rFonts w:asciiTheme="majorHAnsi" w:hAnsiTheme="majorHAnsi"/>
        <w:b/>
        <w:i w:val="0"/>
        <w:color w:val="474747" w:themeColor="accent3" w:themeShade="BF"/>
        <w:sz w:val="22"/>
      </w:rPr>
      <w:tblPr/>
      <w:tcPr>
        <w:tcBorders>
          <w:top w:val="single" w:sz="4" w:space="0" w:color="949494" w:themeColor="text2" w:themeShade="BF"/>
          <w:left w:val="single" w:sz="4" w:space="0" w:color="949494" w:themeColor="text2" w:themeShade="BF"/>
          <w:bottom w:val="single" w:sz="4" w:space="0" w:color="949494" w:themeColor="text2" w:themeShade="BF"/>
          <w:right w:val="single" w:sz="4" w:space="0" w:color="949494" w:themeColor="text2" w:themeShade="BF"/>
          <w:insideH w:val="nil"/>
          <w:insideV w:val="single" w:sz="4" w:space="0" w:color="949494" w:themeColor="text2" w:themeShade="BF"/>
          <w:tl2br w:val="nil"/>
          <w:tr2bl w:val="nil"/>
        </w:tcBorders>
        <w:shd w:val="clear" w:color="auto" w:fill="DFDFDF" w:themeFill="background2" w:themeFillShade="E6"/>
      </w:tcPr>
    </w:tblStylePr>
    <w:tblStylePr w:type="band1Vert">
      <w:tblPr/>
      <w:tcPr>
        <w:tcBorders>
          <w:top w:val="nil"/>
          <w:left w:val="nil"/>
          <w:bottom w:val="nil"/>
          <w:right w:val="nil"/>
          <w:insideH w:val="nil"/>
          <w:insideV w:val="nil"/>
          <w:tl2br w:val="nil"/>
          <w:tr2bl w:val="nil"/>
        </w:tcBorders>
        <w:shd w:val="clear" w:color="auto" w:fill="DFDFDF" w:themeFill="background2" w:themeFillShade="E6"/>
      </w:tcPr>
    </w:tblStylePr>
    <w:tblStylePr w:type="band1Horz">
      <w:rPr>
        <w:b/>
      </w:rPr>
      <w:tblPr/>
      <w:tcPr>
        <w:shd w:val="clear" w:color="auto" w:fill="DFDFDF" w:themeFill="background2" w:themeFillShade="E6"/>
      </w:tcPr>
    </w:tblStylePr>
  </w:style>
  <w:style w:type="paragraph" w:styleId="BodyText2">
    <w:name w:val="Body Text 2"/>
    <w:basedOn w:val="Normal"/>
    <w:link w:val="BodyText2Char"/>
    <w:uiPriority w:val="99"/>
    <w:semiHidden/>
    <w:rsid w:val="00A00672"/>
    <w:pPr>
      <w:spacing w:after="120" w:line="480" w:lineRule="auto"/>
    </w:pPr>
  </w:style>
  <w:style w:type="table" w:customStyle="1" w:styleId="ECHRHeaderTableReduced">
    <w:name w:val="ECHR_Header_Table_Reduced"/>
    <w:basedOn w:val="TableNormal"/>
    <w:uiPriority w:val="99"/>
    <w:rsid w:val="00A00672"/>
    <w:rPr>
      <w:sz w:val="24"/>
      <w:szCs w:val="24"/>
    </w:rPr>
    <w:tblPr>
      <w:tblInd w:w="-1474" w:type="dxa"/>
      <w:tblCellMar>
        <w:left w:w="0" w:type="dxa"/>
        <w:right w:w="0" w:type="dxa"/>
      </w:tblCellMar>
    </w:tblPr>
    <w:tcPr>
      <w:vAlign w:val="bottom"/>
    </w:tcPr>
    <w:tblStylePr w:type="firstRow">
      <w:tblPr/>
      <w:tcPr>
        <w:tcBorders>
          <w:top w:val="nil"/>
          <w:left w:val="nil"/>
          <w:bottom w:val="single" w:sz="6" w:space="0" w:color="949494" w:themeColor="text2" w:themeShade="BF"/>
          <w:right w:val="nil"/>
          <w:insideH w:val="nil"/>
          <w:insideV w:val="nil"/>
          <w:tl2br w:val="nil"/>
          <w:tr2bl w:val="nil"/>
        </w:tcBorders>
      </w:tcPr>
    </w:tblStylePr>
    <w:tblStylePr w:type="lastRow">
      <w:pPr>
        <w:jc w:val="right"/>
      </w:pPr>
      <w:tblPr/>
      <w:tcPr>
        <w:tcBorders>
          <w:top w:val="single" w:sz="6" w:space="0" w:color="949494" w:themeColor="text2" w:themeShade="BF"/>
          <w:left w:val="nil"/>
          <w:bottom w:val="nil"/>
          <w:right w:val="nil"/>
          <w:insideH w:val="nil"/>
          <w:insideV w:val="nil"/>
          <w:tl2br w:val="nil"/>
          <w:tr2bl w:val="nil"/>
        </w:tcBorders>
      </w:tcPr>
    </w:tblStylePr>
  </w:style>
  <w:style w:type="paragraph" w:customStyle="1" w:styleId="JuCase">
    <w:name w:val="Ju_Case"/>
    <w:aliases w:val="_Case_Name"/>
    <w:basedOn w:val="Normal"/>
    <w:next w:val="JuPara"/>
    <w:uiPriority w:val="31"/>
    <w:rsid w:val="00A00672"/>
    <w:pPr>
      <w:ind w:firstLine="284"/>
    </w:pPr>
    <w:rPr>
      <w:b/>
    </w:rPr>
  </w:style>
  <w:style w:type="character" w:styleId="PageNumber">
    <w:name w:val="page number"/>
    <w:uiPriority w:val="99"/>
    <w:semiHidden/>
    <w:rsid w:val="00A00672"/>
    <w:rPr>
      <w:sz w:val="18"/>
    </w:rPr>
  </w:style>
  <w:style w:type="paragraph" w:styleId="ListBullet2">
    <w:name w:val="List Bullet 2"/>
    <w:basedOn w:val="Normal"/>
    <w:uiPriority w:val="99"/>
    <w:semiHidden/>
    <w:rsid w:val="00A00672"/>
    <w:pPr>
      <w:numPr>
        <w:numId w:val="12"/>
      </w:numPr>
      <w:contextualSpacing/>
    </w:pPr>
  </w:style>
  <w:style w:type="character" w:customStyle="1" w:styleId="BodyText2Char">
    <w:name w:val="Body Text 2 Char"/>
    <w:basedOn w:val="DefaultParagraphFont"/>
    <w:link w:val="BodyText2"/>
    <w:uiPriority w:val="99"/>
    <w:semiHidden/>
    <w:rsid w:val="00A00672"/>
    <w:rPr>
      <w:sz w:val="24"/>
      <w:szCs w:val="24"/>
      <w:lang w:val="fr-FR"/>
    </w:rPr>
  </w:style>
  <w:style w:type="paragraph" w:styleId="BodyText3">
    <w:name w:val="Body Text 3"/>
    <w:basedOn w:val="Normal"/>
    <w:link w:val="BodyText3Char"/>
    <w:uiPriority w:val="99"/>
    <w:semiHidden/>
    <w:rsid w:val="00A00672"/>
    <w:pPr>
      <w:spacing w:after="120"/>
    </w:pPr>
    <w:rPr>
      <w:sz w:val="16"/>
      <w:szCs w:val="16"/>
    </w:rPr>
  </w:style>
  <w:style w:type="character" w:customStyle="1" w:styleId="BodyText3Char">
    <w:name w:val="Body Text 3 Char"/>
    <w:basedOn w:val="DefaultParagraphFont"/>
    <w:link w:val="BodyText3"/>
    <w:uiPriority w:val="99"/>
    <w:semiHidden/>
    <w:rsid w:val="00A00672"/>
    <w:rPr>
      <w:sz w:val="16"/>
      <w:szCs w:val="16"/>
      <w:lang w:val="fr-FR"/>
    </w:rPr>
  </w:style>
  <w:style w:type="paragraph" w:styleId="BodyTextFirstIndent">
    <w:name w:val="Body Text First Indent"/>
    <w:basedOn w:val="BodyText"/>
    <w:link w:val="BodyTextFirstIndentChar"/>
    <w:uiPriority w:val="99"/>
    <w:semiHidden/>
    <w:rsid w:val="00A00672"/>
    <w:pPr>
      <w:spacing w:after="0"/>
      <w:ind w:firstLine="360"/>
    </w:pPr>
  </w:style>
  <w:style w:type="character" w:customStyle="1" w:styleId="BodyTextFirstIndentChar">
    <w:name w:val="Body Text First Indent Char"/>
    <w:basedOn w:val="BodyTextChar"/>
    <w:link w:val="BodyTextFirstIndent"/>
    <w:uiPriority w:val="99"/>
    <w:semiHidden/>
    <w:rsid w:val="00A00672"/>
    <w:rPr>
      <w:sz w:val="24"/>
      <w:szCs w:val="24"/>
      <w:lang w:val="fr-FR"/>
    </w:rPr>
  </w:style>
  <w:style w:type="paragraph" w:styleId="BodyTextIndent">
    <w:name w:val="Body Text Indent"/>
    <w:basedOn w:val="Normal"/>
    <w:link w:val="BodyTextIndentChar"/>
    <w:uiPriority w:val="99"/>
    <w:semiHidden/>
    <w:rsid w:val="00A00672"/>
    <w:pPr>
      <w:spacing w:after="120"/>
      <w:ind w:left="283"/>
    </w:pPr>
  </w:style>
  <w:style w:type="character" w:customStyle="1" w:styleId="BodyTextIndentChar">
    <w:name w:val="Body Text Indent Char"/>
    <w:basedOn w:val="DefaultParagraphFont"/>
    <w:link w:val="BodyTextIndent"/>
    <w:uiPriority w:val="99"/>
    <w:semiHidden/>
    <w:rsid w:val="00A00672"/>
    <w:rPr>
      <w:sz w:val="24"/>
      <w:szCs w:val="24"/>
      <w:lang w:val="fr-FR"/>
    </w:rPr>
  </w:style>
  <w:style w:type="paragraph" w:styleId="BodyTextFirstIndent2">
    <w:name w:val="Body Text First Indent 2"/>
    <w:basedOn w:val="BodyTextIndent"/>
    <w:link w:val="BodyTextFirstIndent2Char"/>
    <w:uiPriority w:val="99"/>
    <w:semiHidden/>
    <w:rsid w:val="00A00672"/>
    <w:pPr>
      <w:spacing w:after="0"/>
      <w:ind w:left="360" w:firstLine="360"/>
    </w:pPr>
  </w:style>
  <w:style w:type="character" w:customStyle="1" w:styleId="BodyTextFirstIndent2Char">
    <w:name w:val="Body Text First Indent 2 Char"/>
    <w:basedOn w:val="BodyTextIndentChar"/>
    <w:link w:val="BodyTextFirstIndent2"/>
    <w:uiPriority w:val="99"/>
    <w:semiHidden/>
    <w:rsid w:val="00A00672"/>
    <w:rPr>
      <w:sz w:val="24"/>
      <w:szCs w:val="24"/>
      <w:lang w:val="fr-FR"/>
    </w:rPr>
  </w:style>
  <w:style w:type="paragraph" w:styleId="BodyTextIndent2">
    <w:name w:val="Body Text Indent 2"/>
    <w:basedOn w:val="Normal"/>
    <w:link w:val="BodyTextIndent2Char"/>
    <w:uiPriority w:val="99"/>
    <w:semiHidden/>
    <w:rsid w:val="00A00672"/>
    <w:pPr>
      <w:spacing w:after="120" w:line="480" w:lineRule="auto"/>
      <w:ind w:left="283"/>
    </w:pPr>
  </w:style>
  <w:style w:type="character" w:customStyle="1" w:styleId="BodyTextIndent2Char">
    <w:name w:val="Body Text Indent 2 Char"/>
    <w:basedOn w:val="DefaultParagraphFont"/>
    <w:link w:val="BodyTextIndent2"/>
    <w:uiPriority w:val="99"/>
    <w:semiHidden/>
    <w:rsid w:val="00A00672"/>
    <w:rPr>
      <w:sz w:val="24"/>
      <w:szCs w:val="24"/>
      <w:lang w:val="fr-FR"/>
    </w:rPr>
  </w:style>
  <w:style w:type="paragraph" w:styleId="BodyTextIndent3">
    <w:name w:val="Body Text Indent 3"/>
    <w:basedOn w:val="Normal"/>
    <w:link w:val="BodyTextIndent3Char"/>
    <w:uiPriority w:val="99"/>
    <w:semiHidden/>
    <w:rsid w:val="00A00672"/>
    <w:pPr>
      <w:spacing w:after="120"/>
      <w:ind w:left="283"/>
    </w:pPr>
    <w:rPr>
      <w:sz w:val="16"/>
      <w:szCs w:val="16"/>
    </w:rPr>
  </w:style>
  <w:style w:type="character" w:customStyle="1" w:styleId="BodyTextIndent3Char">
    <w:name w:val="Body Text Indent 3 Char"/>
    <w:basedOn w:val="DefaultParagraphFont"/>
    <w:link w:val="BodyTextIndent3"/>
    <w:uiPriority w:val="99"/>
    <w:semiHidden/>
    <w:rsid w:val="00A00672"/>
    <w:rPr>
      <w:sz w:val="16"/>
      <w:szCs w:val="16"/>
      <w:lang w:val="fr-FR"/>
    </w:rPr>
  </w:style>
  <w:style w:type="paragraph" w:styleId="Caption">
    <w:name w:val="caption"/>
    <w:basedOn w:val="Normal"/>
    <w:next w:val="Normal"/>
    <w:uiPriority w:val="99"/>
    <w:semiHidden/>
    <w:qFormat/>
    <w:rsid w:val="00A00672"/>
    <w:pPr>
      <w:spacing w:after="200"/>
    </w:pPr>
    <w:rPr>
      <w:b/>
      <w:bCs/>
      <w:color w:val="0072BC" w:themeColor="accent1"/>
      <w:sz w:val="18"/>
      <w:szCs w:val="18"/>
    </w:rPr>
  </w:style>
  <w:style w:type="paragraph" w:styleId="Closing">
    <w:name w:val="Closing"/>
    <w:basedOn w:val="Normal"/>
    <w:link w:val="ClosingChar"/>
    <w:uiPriority w:val="99"/>
    <w:semiHidden/>
    <w:rsid w:val="00A00672"/>
    <w:pPr>
      <w:ind w:left="4252"/>
    </w:pPr>
  </w:style>
  <w:style w:type="character" w:customStyle="1" w:styleId="ClosingChar">
    <w:name w:val="Closing Char"/>
    <w:basedOn w:val="DefaultParagraphFont"/>
    <w:link w:val="Closing"/>
    <w:uiPriority w:val="99"/>
    <w:semiHidden/>
    <w:rsid w:val="00A00672"/>
    <w:rPr>
      <w:sz w:val="24"/>
      <w:szCs w:val="24"/>
      <w:lang w:val="fr-FR"/>
    </w:rPr>
  </w:style>
  <w:style w:type="table" w:styleId="ColorfulGrid">
    <w:name w:val="Colorful Grid"/>
    <w:basedOn w:val="TableNormal"/>
    <w:uiPriority w:val="73"/>
    <w:semiHidden/>
    <w:rsid w:val="00A00672"/>
    <w:rPr>
      <w:color w:val="000000" w:themeColor="text1"/>
      <w:sz w:val="24"/>
      <w:szCs w:val="24"/>
    </w:rPr>
    <w:tblPr>
      <w:tblStyleRowBandSize w:val="1"/>
      <w:tblStyleColBandSize w:val="1"/>
      <w:tblBorders>
        <w:insideH w:val="single" w:sz="4" w:space="0" w:color="0072BC" w:themeColor="background1"/>
      </w:tblBorders>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0072BC" w:themeColor="background1"/>
      </w:rPr>
      <w:tblPr/>
      <w:tcPr>
        <w:shd w:val="clear" w:color="auto" w:fill="000000" w:themeFill="text1" w:themeFillShade="BF"/>
      </w:tcPr>
    </w:tblStylePr>
    <w:tblStylePr w:type="lastCol">
      <w:rPr>
        <w:color w:val="0072BC"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semiHidden/>
    <w:rsid w:val="00A00672"/>
    <w:rPr>
      <w:color w:val="000000" w:themeColor="text1"/>
      <w:sz w:val="24"/>
      <w:szCs w:val="24"/>
    </w:rPr>
    <w:tblPr>
      <w:tblStyleRowBandSize w:val="1"/>
      <w:tblStyleColBandSize w:val="1"/>
      <w:tblBorders>
        <w:insideH w:val="single" w:sz="4" w:space="0" w:color="0072BC" w:themeColor="background1"/>
      </w:tblBorders>
    </w:tblPr>
    <w:tcPr>
      <w:shd w:val="clear" w:color="auto" w:fill="BEE5FF" w:themeFill="accent1" w:themeFillTint="33"/>
    </w:tcPr>
    <w:tblStylePr w:type="firstRow">
      <w:rPr>
        <w:b/>
        <w:bCs/>
      </w:rPr>
      <w:tblPr/>
      <w:tcPr>
        <w:shd w:val="clear" w:color="auto" w:fill="7ECBFF" w:themeFill="accent1" w:themeFillTint="66"/>
      </w:tcPr>
    </w:tblStylePr>
    <w:tblStylePr w:type="lastRow">
      <w:rPr>
        <w:b/>
        <w:bCs/>
        <w:color w:val="000000" w:themeColor="text1"/>
      </w:rPr>
      <w:tblPr/>
      <w:tcPr>
        <w:shd w:val="clear" w:color="auto" w:fill="7ECBFF" w:themeFill="accent1" w:themeFillTint="66"/>
      </w:tcPr>
    </w:tblStylePr>
    <w:tblStylePr w:type="firstCol">
      <w:rPr>
        <w:color w:val="0072BC" w:themeColor="background1"/>
      </w:rPr>
      <w:tblPr/>
      <w:tcPr>
        <w:shd w:val="clear" w:color="auto" w:fill="00548C" w:themeFill="accent1" w:themeFillShade="BF"/>
      </w:tcPr>
    </w:tblStylePr>
    <w:tblStylePr w:type="lastCol">
      <w:rPr>
        <w:color w:val="0072BC" w:themeColor="background1"/>
      </w:rPr>
      <w:tblPr/>
      <w:tcPr>
        <w:shd w:val="clear" w:color="auto" w:fill="00548C" w:themeFill="accent1" w:themeFillShade="BF"/>
      </w:tcPr>
    </w:tblStylePr>
    <w:tblStylePr w:type="band1Vert">
      <w:tblPr/>
      <w:tcPr>
        <w:shd w:val="clear" w:color="auto" w:fill="5EBFFF" w:themeFill="accent1" w:themeFillTint="7F"/>
      </w:tcPr>
    </w:tblStylePr>
    <w:tblStylePr w:type="band1Horz">
      <w:tblPr/>
      <w:tcPr>
        <w:shd w:val="clear" w:color="auto" w:fill="5EBFFF" w:themeFill="accent1" w:themeFillTint="7F"/>
      </w:tcPr>
    </w:tblStylePr>
  </w:style>
  <w:style w:type="table" w:styleId="ColorfulGridAccent2">
    <w:name w:val="Colorful Grid Accent 2"/>
    <w:basedOn w:val="TableNormal"/>
    <w:uiPriority w:val="73"/>
    <w:semiHidden/>
    <w:rsid w:val="00A00672"/>
    <w:rPr>
      <w:color w:val="000000" w:themeColor="text1"/>
      <w:sz w:val="24"/>
      <w:szCs w:val="24"/>
    </w:rPr>
    <w:tblPr>
      <w:tblStyleRowBandSize w:val="1"/>
      <w:tblStyleColBandSize w:val="1"/>
      <w:tblBorders>
        <w:insideH w:val="single" w:sz="4" w:space="0" w:color="0072BC" w:themeColor="background1"/>
      </w:tblBorders>
    </w:tblPr>
    <w:tcPr>
      <w:shd w:val="clear" w:color="auto" w:fill="FFBFBF" w:themeFill="accent2" w:themeFillTint="33"/>
    </w:tcPr>
    <w:tblStylePr w:type="firstRow">
      <w:rPr>
        <w:b/>
        <w:bCs/>
      </w:rPr>
      <w:tblPr/>
      <w:tcPr>
        <w:shd w:val="clear" w:color="auto" w:fill="FF7F7F" w:themeFill="accent2" w:themeFillTint="66"/>
      </w:tcPr>
    </w:tblStylePr>
    <w:tblStylePr w:type="lastRow">
      <w:rPr>
        <w:b/>
        <w:bCs/>
        <w:color w:val="000000" w:themeColor="text1"/>
      </w:rPr>
      <w:tblPr/>
      <w:tcPr>
        <w:shd w:val="clear" w:color="auto" w:fill="FF7F7F" w:themeFill="accent2" w:themeFillTint="66"/>
      </w:tcPr>
    </w:tblStylePr>
    <w:tblStylePr w:type="firstCol">
      <w:rPr>
        <w:color w:val="0072BC" w:themeColor="background1"/>
      </w:rPr>
      <w:tblPr/>
      <w:tcPr>
        <w:shd w:val="clear" w:color="auto" w:fill="8F0000" w:themeFill="accent2" w:themeFillShade="BF"/>
      </w:tcPr>
    </w:tblStylePr>
    <w:tblStylePr w:type="lastCol">
      <w:rPr>
        <w:color w:val="0072BC" w:themeColor="background1"/>
      </w:rPr>
      <w:tblPr/>
      <w:tcPr>
        <w:shd w:val="clear" w:color="auto" w:fill="8F0000" w:themeFill="accent2" w:themeFillShade="BF"/>
      </w:tcPr>
    </w:tblStylePr>
    <w:tblStylePr w:type="band1Vert">
      <w:tblPr/>
      <w:tcPr>
        <w:shd w:val="clear" w:color="auto" w:fill="FF6060" w:themeFill="accent2" w:themeFillTint="7F"/>
      </w:tcPr>
    </w:tblStylePr>
    <w:tblStylePr w:type="band1Horz">
      <w:tblPr/>
      <w:tcPr>
        <w:shd w:val="clear" w:color="auto" w:fill="FF6060" w:themeFill="accent2" w:themeFillTint="7F"/>
      </w:tcPr>
    </w:tblStylePr>
  </w:style>
  <w:style w:type="table" w:styleId="ColorfulGridAccent3">
    <w:name w:val="Colorful Grid Accent 3"/>
    <w:basedOn w:val="TableNormal"/>
    <w:uiPriority w:val="73"/>
    <w:semiHidden/>
    <w:rsid w:val="00A00672"/>
    <w:rPr>
      <w:color w:val="000000" w:themeColor="text1"/>
      <w:sz w:val="24"/>
      <w:szCs w:val="24"/>
    </w:rPr>
    <w:tblPr>
      <w:tblStyleRowBandSize w:val="1"/>
      <w:tblStyleColBandSize w:val="1"/>
      <w:tblBorders>
        <w:insideH w:val="single" w:sz="4" w:space="0" w:color="0072BC" w:themeColor="background1"/>
      </w:tblBorders>
    </w:tblPr>
    <w:tcPr>
      <w:shd w:val="clear" w:color="auto" w:fill="DFDFDF" w:themeFill="accent3" w:themeFillTint="33"/>
    </w:tcPr>
    <w:tblStylePr w:type="firstRow">
      <w:rPr>
        <w:b/>
        <w:bCs/>
      </w:rPr>
      <w:tblPr/>
      <w:tcPr>
        <w:shd w:val="clear" w:color="auto" w:fill="BFBFBF" w:themeFill="accent3" w:themeFillTint="66"/>
      </w:tcPr>
    </w:tblStylePr>
    <w:tblStylePr w:type="lastRow">
      <w:rPr>
        <w:b/>
        <w:bCs/>
        <w:color w:val="000000" w:themeColor="text1"/>
      </w:rPr>
      <w:tblPr/>
      <w:tcPr>
        <w:shd w:val="clear" w:color="auto" w:fill="BFBFBF" w:themeFill="accent3" w:themeFillTint="66"/>
      </w:tcPr>
    </w:tblStylePr>
    <w:tblStylePr w:type="firstCol">
      <w:rPr>
        <w:color w:val="0072BC" w:themeColor="background1"/>
      </w:rPr>
      <w:tblPr/>
      <w:tcPr>
        <w:shd w:val="clear" w:color="auto" w:fill="474747" w:themeFill="accent3" w:themeFillShade="BF"/>
      </w:tcPr>
    </w:tblStylePr>
    <w:tblStylePr w:type="lastCol">
      <w:rPr>
        <w:color w:val="0072BC" w:themeColor="background1"/>
      </w:rPr>
      <w:tblPr/>
      <w:tcPr>
        <w:shd w:val="clear" w:color="auto" w:fill="474747" w:themeFill="accent3" w:themeFillShade="BF"/>
      </w:tcPr>
    </w:tblStylePr>
    <w:tblStylePr w:type="band1Vert">
      <w:tblPr/>
      <w:tcPr>
        <w:shd w:val="clear" w:color="auto" w:fill="AFAFAF" w:themeFill="accent3" w:themeFillTint="7F"/>
      </w:tcPr>
    </w:tblStylePr>
    <w:tblStylePr w:type="band1Horz">
      <w:tblPr/>
      <w:tcPr>
        <w:shd w:val="clear" w:color="auto" w:fill="AFAFAF" w:themeFill="accent3" w:themeFillTint="7F"/>
      </w:tcPr>
    </w:tblStylePr>
  </w:style>
  <w:style w:type="table" w:styleId="ColorfulGridAccent4">
    <w:name w:val="Colorful Grid Accent 4"/>
    <w:basedOn w:val="TableNormal"/>
    <w:uiPriority w:val="73"/>
    <w:semiHidden/>
    <w:rsid w:val="00A00672"/>
    <w:rPr>
      <w:color w:val="000000" w:themeColor="text1"/>
      <w:sz w:val="24"/>
      <w:szCs w:val="24"/>
    </w:rPr>
    <w:tblPr>
      <w:tblStyleRowBandSize w:val="1"/>
      <w:tblStyleColBandSize w:val="1"/>
      <w:tblBorders>
        <w:insideH w:val="single" w:sz="4" w:space="0" w:color="0072BC" w:themeColor="background1"/>
      </w:tblBorders>
    </w:tblPr>
    <w:tcPr>
      <w:shd w:val="clear" w:color="auto" w:fill="EAEAEA" w:themeFill="accent4" w:themeFillTint="33"/>
    </w:tcPr>
    <w:tblStylePr w:type="firstRow">
      <w:rPr>
        <w:b/>
        <w:bCs/>
      </w:rPr>
      <w:tblPr/>
      <w:tcPr>
        <w:shd w:val="clear" w:color="auto" w:fill="D5D5D5" w:themeFill="accent4" w:themeFillTint="66"/>
      </w:tcPr>
    </w:tblStylePr>
    <w:tblStylePr w:type="lastRow">
      <w:rPr>
        <w:b/>
        <w:bCs/>
        <w:color w:val="000000" w:themeColor="text1"/>
      </w:rPr>
      <w:tblPr/>
      <w:tcPr>
        <w:shd w:val="clear" w:color="auto" w:fill="D5D5D5" w:themeFill="accent4" w:themeFillTint="66"/>
      </w:tcPr>
    </w:tblStylePr>
    <w:tblStylePr w:type="firstCol">
      <w:rPr>
        <w:color w:val="0072BC" w:themeColor="background1"/>
      </w:rPr>
      <w:tblPr/>
      <w:tcPr>
        <w:shd w:val="clear" w:color="auto" w:fill="707070" w:themeFill="accent4" w:themeFillShade="BF"/>
      </w:tcPr>
    </w:tblStylePr>
    <w:tblStylePr w:type="lastCol">
      <w:rPr>
        <w:color w:val="0072BC" w:themeColor="background1"/>
      </w:rPr>
      <w:tblPr/>
      <w:tcPr>
        <w:shd w:val="clear" w:color="auto" w:fill="707070" w:themeFill="accent4" w:themeFillShade="BF"/>
      </w:tcPr>
    </w:tblStylePr>
    <w:tblStylePr w:type="band1Vert">
      <w:tblPr/>
      <w:tcPr>
        <w:shd w:val="clear" w:color="auto" w:fill="CACACA" w:themeFill="accent4" w:themeFillTint="7F"/>
      </w:tcPr>
    </w:tblStylePr>
    <w:tblStylePr w:type="band1Horz">
      <w:tblPr/>
      <w:tcPr>
        <w:shd w:val="clear" w:color="auto" w:fill="CACACA" w:themeFill="accent4" w:themeFillTint="7F"/>
      </w:tcPr>
    </w:tblStylePr>
  </w:style>
  <w:style w:type="table" w:styleId="ColorfulGridAccent5">
    <w:name w:val="Colorful Grid Accent 5"/>
    <w:basedOn w:val="TableNormal"/>
    <w:uiPriority w:val="73"/>
    <w:semiHidden/>
    <w:rsid w:val="00A00672"/>
    <w:rPr>
      <w:color w:val="000000" w:themeColor="text1"/>
      <w:sz w:val="24"/>
      <w:szCs w:val="24"/>
    </w:rPr>
    <w:tblPr>
      <w:tblStyleRowBandSize w:val="1"/>
      <w:tblStyleColBandSize w:val="1"/>
      <w:tblBorders>
        <w:insideH w:val="single" w:sz="4" w:space="0" w:color="0072BC" w:themeColor="background1"/>
      </w:tblBorders>
    </w:tblPr>
    <w:tcPr>
      <w:shd w:val="clear" w:color="auto" w:fill="DFDFDF" w:themeFill="accent5" w:themeFillTint="33"/>
    </w:tcPr>
    <w:tblStylePr w:type="firstRow">
      <w:rPr>
        <w:b/>
        <w:bCs/>
      </w:rPr>
      <w:tblPr/>
      <w:tcPr>
        <w:shd w:val="clear" w:color="auto" w:fill="BFBFBF" w:themeFill="accent5" w:themeFillTint="66"/>
      </w:tcPr>
    </w:tblStylePr>
    <w:tblStylePr w:type="lastRow">
      <w:rPr>
        <w:b/>
        <w:bCs/>
        <w:color w:val="000000" w:themeColor="text1"/>
      </w:rPr>
      <w:tblPr/>
      <w:tcPr>
        <w:shd w:val="clear" w:color="auto" w:fill="BFBFBF" w:themeFill="accent5" w:themeFillTint="66"/>
      </w:tcPr>
    </w:tblStylePr>
    <w:tblStylePr w:type="firstCol">
      <w:rPr>
        <w:color w:val="0072BC" w:themeColor="background1"/>
      </w:rPr>
      <w:tblPr/>
      <w:tcPr>
        <w:shd w:val="clear" w:color="auto" w:fill="474747" w:themeFill="accent5" w:themeFillShade="BF"/>
      </w:tcPr>
    </w:tblStylePr>
    <w:tblStylePr w:type="lastCol">
      <w:rPr>
        <w:color w:val="0072BC" w:themeColor="background1"/>
      </w:rPr>
      <w:tblPr/>
      <w:tcPr>
        <w:shd w:val="clear" w:color="auto" w:fill="474747" w:themeFill="accent5" w:themeFillShade="BF"/>
      </w:tcPr>
    </w:tblStylePr>
    <w:tblStylePr w:type="band1Vert">
      <w:tblPr/>
      <w:tcPr>
        <w:shd w:val="clear" w:color="auto" w:fill="AFAFAF" w:themeFill="accent5" w:themeFillTint="7F"/>
      </w:tcPr>
    </w:tblStylePr>
    <w:tblStylePr w:type="band1Horz">
      <w:tblPr/>
      <w:tcPr>
        <w:shd w:val="clear" w:color="auto" w:fill="AFAFAF" w:themeFill="accent5" w:themeFillTint="7F"/>
      </w:tcPr>
    </w:tblStylePr>
  </w:style>
  <w:style w:type="table" w:styleId="ColorfulGridAccent6">
    <w:name w:val="Colorful Grid Accent 6"/>
    <w:basedOn w:val="TableNormal"/>
    <w:uiPriority w:val="73"/>
    <w:semiHidden/>
    <w:rsid w:val="00A00672"/>
    <w:rPr>
      <w:color w:val="000000" w:themeColor="text1"/>
      <w:sz w:val="24"/>
      <w:szCs w:val="24"/>
    </w:rPr>
    <w:tblPr>
      <w:tblStyleRowBandSize w:val="1"/>
      <w:tblStyleColBandSize w:val="1"/>
      <w:tblBorders>
        <w:insideH w:val="single" w:sz="4" w:space="0" w:color="0072BC" w:themeColor="background1"/>
      </w:tblBorders>
    </w:tblPr>
    <w:tcPr>
      <w:shd w:val="clear" w:color="auto" w:fill="DBDBDB" w:themeFill="accent6" w:themeFillTint="33"/>
    </w:tcPr>
    <w:tblStylePr w:type="firstRow">
      <w:rPr>
        <w:b/>
        <w:bCs/>
      </w:rPr>
      <w:tblPr/>
      <w:tcPr>
        <w:shd w:val="clear" w:color="auto" w:fill="B7B7B7" w:themeFill="accent6" w:themeFillTint="66"/>
      </w:tcPr>
    </w:tblStylePr>
    <w:tblStylePr w:type="lastRow">
      <w:rPr>
        <w:b/>
        <w:bCs/>
        <w:color w:val="000000" w:themeColor="text1"/>
      </w:rPr>
      <w:tblPr/>
      <w:tcPr>
        <w:shd w:val="clear" w:color="auto" w:fill="B7B7B7" w:themeFill="accent6" w:themeFillTint="66"/>
      </w:tcPr>
    </w:tblStylePr>
    <w:tblStylePr w:type="firstCol">
      <w:rPr>
        <w:color w:val="0072BC" w:themeColor="background1"/>
      </w:rPr>
      <w:tblPr/>
      <w:tcPr>
        <w:shd w:val="clear" w:color="auto" w:fill="393939" w:themeFill="accent6" w:themeFillShade="BF"/>
      </w:tcPr>
    </w:tblStylePr>
    <w:tblStylePr w:type="lastCol">
      <w:rPr>
        <w:color w:val="0072BC" w:themeColor="background1"/>
      </w:rPr>
      <w:tblPr/>
      <w:tcPr>
        <w:shd w:val="clear" w:color="auto" w:fill="393939" w:themeFill="accent6" w:themeFillShade="BF"/>
      </w:tcPr>
    </w:tblStylePr>
    <w:tblStylePr w:type="band1Vert">
      <w:tblPr/>
      <w:tcPr>
        <w:shd w:val="clear" w:color="auto" w:fill="A6A6A6" w:themeFill="accent6" w:themeFillTint="7F"/>
      </w:tcPr>
    </w:tblStylePr>
    <w:tblStylePr w:type="band1Horz">
      <w:tblPr/>
      <w:tcPr>
        <w:shd w:val="clear" w:color="auto" w:fill="A6A6A6" w:themeFill="accent6" w:themeFillTint="7F"/>
      </w:tcPr>
    </w:tblStylePr>
  </w:style>
  <w:style w:type="table" w:styleId="ColorfulList">
    <w:name w:val="Colorful List"/>
    <w:basedOn w:val="TableNormal"/>
    <w:uiPriority w:val="72"/>
    <w:semiHidden/>
    <w:rsid w:val="00A00672"/>
    <w:rPr>
      <w:color w:val="000000" w:themeColor="text1"/>
      <w:sz w:val="24"/>
      <w:szCs w:val="24"/>
    </w:rPr>
    <w:tblPr>
      <w:tblStyleRowBandSize w:val="1"/>
      <w:tblStyleColBandSize w:val="1"/>
    </w:tblPr>
    <w:tcPr>
      <w:shd w:val="clear" w:color="auto" w:fill="E6E6E6" w:themeFill="text1" w:themeFillTint="19"/>
    </w:tcPr>
    <w:tblStylePr w:type="firstRow">
      <w:rPr>
        <w:b/>
        <w:bCs/>
        <w:color w:val="0072BC" w:themeColor="background1"/>
      </w:rPr>
      <w:tblPr/>
      <w:tcPr>
        <w:tcBorders>
          <w:bottom w:val="single" w:sz="12" w:space="0" w:color="0072BC" w:themeColor="background1"/>
        </w:tcBorders>
        <w:shd w:val="clear" w:color="auto" w:fill="990000" w:themeFill="accent2" w:themeFillShade="CC"/>
      </w:tcPr>
    </w:tblStylePr>
    <w:tblStylePr w:type="lastRow">
      <w:rPr>
        <w:b/>
        <w:bCs/>
        <w:color w:val="990000" w:themeColor="accent2" w:themeShade="CC"/>
      </w:rPr>
      <w:tblPr/>
      <w:tcPr>
        <w:tcBorders>
          <w:top w:val="single" w:sz="12" w:space="0" w:color="000000" w:themeColor="text1"/>
        </w:tcBorders>
        <w:shd w:val="clear" w:color="auto" w:fill="0072BC"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semiHidden/>
    <w:rsid w:val="00A00672"/>
    <w:rPr>
      <w:color w:val="000000" w:themeColor="text1"/>
      <w:sz w:val="24"/>
      <w:szCs w:val="24"/>
    </w:rPr>
    <w:tblPr>
      <w:tblStyleRowBandSize w:val="1"/>
      <w:tblStyleColBandSize w:val="1"/>
    </w:tblPr>
    <w:tcPr>
      <w:shd w:val="clear" w:color="auto" w:fill="DFF2FF" w:themeFill="accent1" w:themeFillTint="19"/>
    </w:tcPr>
    <w:tblStylePr w:type="firstRow">
      <w:rPr>
        <w:b/>
        <w:bCs/>
        <w:color w:val="0072BC" w:themeColor="background1"/>
      </w:rPr>
      <w:tblPr/>
      <w:tcPr>
        <w:tcBorders>
          <w:bottom w:val="single" w:sz="12" w:space="0" w:color="0072BC" w:themeColor="background1"/>
        </w:tcBorders>
        <w:shd w:val="clear" w:color="auto" w:fill="990000" w:themeFill="accent2" w:themeFillShade="CC"/>
      </w:tcPr>
    </w:tblStylePr>
    <w:tblStylePr w:type="lastRow">
      <w:rPr>
        <w:b/>
        <w:bCs/>
        <w:color w:val="990000" w:themeColor="accent2" w:themeShade="CC"/>
      </w:rPr>
      <w:tblPr/>
      <w:tcPr>
        <w:tcBorders>
          <w:top w:val="single" w:sz="12" w:space="0" w:color="000000" w:themeColor="text1"/>
        </w:tcBorders>
        <w:shd w:val="clear" w:color="auto" w:fill="0072BC"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AFDFFF" w:themeFill="accent1" w:themeFillTint="3F"/>
      </w:tcPr>
    </w:tblStylePr>
    <w:tblStylePr w:type="band1Horz">
      <w:tblPr/>
      <w:tcPr>
        <w:shd w:val="clear" w:color="auto" w:fill="BEE5FF" w:themeFill="accent1" w:themeFillTint="33"/>
      </w:tcPr>
    </w:tblStylePr>
  </w:style>
  <w:style w:type="table" w:styleId="ColorfulListAccent2">
    <w:name w:val="Colorful List Accent 2"/>
    <w:basedOn w:val="TableNormal"/>
    <w:uiPriority w:val="72"/>
    <w:semiHidden/>
    <w:rsid w:val="00A00672"/>
    <w:rPr>
      <w:color w:val="000000" w:themeColor="text1"/>
      <w:sz w:val="24"/>
      <w:szCs w:val="24"/>
    </w:rPr>
    <w:tblPr>
      <w:tblStyleRowBandSize w:val="1"/>
      <w:tblStyleColBandSize w:val="1"/>
    </w:tblPr>
    <w:tcPr>
      <w:shd w:val="clear" w:color="auto" w:fill="FFDFDF" w:themeFill="accent2" w:themeFillTint="19"/>
    </w:tcPr>
    <w:tblStylePr w:type="firstRow">
      <w:rPr>
        <w:b/>
        <w:bCs/>
        <w:color w:val="0072BC" w:themeColor="background1"/>
      </w:rPr>
      <w:tblPr/>
      <w:tcPr>
        <w:tcBorders>
          <w:bottom w:val="single" w:sz="12" w:space="0" w:color="0072BC" w:themeColor="background1"/>
        </w:tcBorders>
        <w:shd w:val="clear" w:color="auto" w:fill="990000" w:themeFill="accent2" w:themeFillShade="CC"/>
      </w:tcPr>
    </w:tblStylePr>
    <w:tblStylePr w:type="lastRow">
      <w:rPr>
        <w:b/>
        <w:bCs/>
        <w:color w:val="990000" w:themeColor="accent2" w:themeShade="CC"/>
      </w:rPr>
      <w:tblPr/>
      <w:tcPr>
        <w:tcBorders>
          <w:top w:val="single" w:sz="12" w:space="0" w:color="000000" w:themeColor="text1"/>
        </w:tcBorders>
        <w:shd w:val="clear" w:color="auto" w:fill="0072BC"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FB0B0" w:themeFill="accent2" w:themeFillTint="3F"/>
      </w:tcPr>
    </w:tblStylePr>
    <w:tblStylePr w:type="band1Horz">
      <w:tblPr/>
      <w:tcPr>
        <w:shd w:val="clear" w:color="auto" w:fill="FFBFBF" w:themeFill="accent2" w:themeFillTint="33"/>
      </w:tcPr>
    </w:tblStylePr>
  </w:style>
  <w:style w:type="table" w:styleId="ColorfulListAccent3">
    <w:name w:val="Colorful List Accent 3"/>
    <w:basedOn w:val="TableNormal"/>
    <w:uiPriority w:val="72"/>
    <w:semiHidden/>
    <w:rsid w:val="00A00672"/>
    <w:rPr>
      <w:color w:val="000000" w:themeColor="text1"/>
      <w:sz w:val="24"/>
      <w:szCs w:val="24"/>
    </w:rPr>
    <w:tblPr>
      <w:tblStyleRowBandSize w:val="1"/>
      <w:tblStyleColBandSize w:val="1"/>
    </w:tblPr>
    <w:tcPr>
      <w:shd w:val="clear" w:color="auto" w:fill="EFEFEF" w:themeFill="accent3" w:themeFillTint="19"/>
    </w:tcPr>
    <w:tblStylePr w:type="firstRow">
      <w:rPr>
        <w:b/>
        <w:bCs/>
        <w:color w:val="0072BC" w:themeColor="background1"/>
      </w:rPr>
      <w:tblPr/>
      <w:tcPr>
        <w:tcBorders>
          <w:bottom w:val="single" w:sz="12" w:space="0" w:color="0072BC" w:themeColor="background1"/>
        </w:tcBorders>
        <w:shd w:val="clear" w:color="auto" w:fill="787878" w:themeFill="accent4" w:themeFillShade="CC"/>
      </w:tcPr>
    </w:tblStylePr>
    <w:tblStylePr w:type="lastRow">
      <w:rPr>
        <w:b/>
        <w:bCs/>
        <w:color w:val="787878" w:themeColor="accent4" w:themeShade="CC"/>
      </w:rPr>
      <w:tblPr/>
      <w:tcPr>
        <w:tcBorders>
          <w:top w:val="single" w:sz="12" w:space="0" w:color="000000" w:themeColor="text1"/>
        </w:tcBorders>
        <w:shd w:val="clear" w:color="auto" w:fill="0072BC"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7D7D7" w:themeFill="accent3" w:themeFillTint="3F"/>
      </w:tcPr>
    </w:tblStylePr>
    <w:tblStylePr w:type="band1Horz">
      <w:tblPr/>
      <w:tcPr>
        <w:shd w:val="clear" w:color="auto" w:fill="DFDFDF" w:themeFill="accent3" w:themeFillTint="33"/>
      </w:tcPr>
    </w:tblStylePr>
  </w:style>
  <w:style w:type="table" w:styleId="ColorfulListAccent4">
    <w:name w:val="Colorful List Accent 4"/>
    <w:basedOn w:val="TableNormal"/>
    <w:uiPriority w:val="72"/>
    <w:semiHidden/>
    <w:rsid w:val="00A00672"/>
    <w:rPr>
      <w:color w:val="000000" w:themeColor="text1"/>
      <w:sz w:val="24"/>
      <w:szCs w:val="24"/>
    </w:rPr>
    <w:tblPr>
      <w:tblStyleRowBandSize w:val="1"/>
      <w:tblStyleColBandSize w:val="1"/>
    </w:tblPr>
    <w:tcPr>
      <w:shd w:val="clear" w:color="auto" w:fill="F4F4F4" w:themeFill="accent4" w:themeFillTint="19"/>
    </w:tcPr>
    <w:tblStylePr w:type="firstRow">
      <w:rPr>
        <w:b/>
        <w:bCs/>
        <w:color w:val="0072BC" w:themeColor="background1"/>
      </w:rPr>
      <w:tblPr/>
      <w:tcPr>
        <w:tcBorders>
          <w:bottom w:val="single" w:sz="12" w:space="0" w:color="0072BC" w:themeColor="background1"/>
        </w:tcBorders>
        <w:shd w:val="clear" w:color="auto" w:fill="4C4C4C" w:themeFill="accent3" w:themeFillShade="CC"/>
      </w:tcPr>
    </w:tblStylePr>
    <w:tblStylePr w:type="lastRow">
      <w:rPr>
        <w:b/>
        <w:bCs/>
        <w:color w:val="4C4C4C" w:themeColor="accent3" w:themeShade="CC"/>
      </w:rPr>
      <w:tblPr/>
      <w:tcPr>
        <w:tcBorders>
          <w:top w:val="single" w:sz="12" w:space="0" w:color="000000" w:themeColor="text1"/>
        </w:tcBorders>
        <w:shd w:val="clear" w:color="auto" w:fill="0072BC"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5E5E5" w:themeFill="accent4" w:themeFillTint="3F"/>
      </w:tcPr>
    </w:tblStylePr>
    <w:tblStylePr w:type="band1Horz">
      <w:tblPr/>
      <w:tcPr>
        <w:shd w:val="clear" w:color="auto" w:fill="EAEAEA" w:themeFill="accent4" w:themeFillTint="33"/>
      </w:tcPr>
    </w:tblStylePr>
  </w:style>
  <w:style w:type="table" w:styleId="ColorfulListAccent5">
    <w:name w:val="Colorful List Accent 5"/>
    <w:basedOn w:val="TableNormal"/>
    <w:uiPriority w:val="72"/>
    <w:semiHidden/>
    <w:rsid w:val="00A00672"/>
    <w:rPr>
      <w:color w:val="000000" w:themeColor="text1"/>
      <w:sz w:val="24"/>
      <w:szCs w:val="24"/>
    </w:rPr>
    <w:tblPr>
      <w:tblStyleRowBandSize w:val="1"/>
      <w:tblStyleColBandSize w:val="1"/>
    </w:tblPr>
    <w:tcPr>
      <w:shd w:val="clear" w:color="auto" w:fill="EFEFEF" w:themeFill="accent5" w:themeFillTint="19"/>
    </w:tcPr>
    <w:tblStylePr w:type="firstRow">
      <w:rPr>
        <w:b/>
        <w:bCs/>
        <w:color w:val="0072BC" w:themeColor="background1"/>
      </w:rPr>
      <w:tblPr/>
      <w:tcPr>
        <w:tcBorders>
          <w:bottom w:val="single" w:sz="12" w:space="0" w:color="0072BC" w:themeColor="background1"/>
        </w:tcBorders>
        <w:shd w:val="clear" w:color="auto" w:fill="3D3D3D" w:themeFill="accent6" w:themeFillShade="CC"/>
      </w:tcPr>
    </w:tblStylePr>
    <w:tblStylePr w:type="lastRow">
      <w:rPr>
        <w:b/>
        <w:bCs/>
        <w:color w:val="3D3D3D" w:themeColor="accent6" w:themeShade="CC"/>
      </w:rPr>
      <w:tblPr/>
      <w:tcPr>
        <w:tcBorders>
          <w:top w:val="single" w:sz="12" w:space="0" w:color="000000" w:themeColor="text1"/>
        </w:tcBorders>
        <w:shd w:val="clear" w:color="auto" w:fill="0072BC"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7D7D7" w:themeFill="accent5" w:themeFillTint="3F"/>
      </w:tcPr>
    </w:tblStylePr>
    <w:tblStylePr w:type="band1Horz">
      <w:tblPr/>
      <w:tcPr>
        <w:shd w:val="clear" w:color="auto" w:fill="DFDFDF" w:themeFill="accent5" w:themeFillTint="33"/>
      </w:tcPr>
    </w:tblStylePr>
  </w:style>
  <w:style w:type="table" w:styleId="ColorfulListAccent6">
    <w:name w:val="Colorful List Accent 6"/>
    <w:basedOn w:val="TableNormal"/>
    <w:uiPriority w:val="72"/>
    <w:semiHidden/>
    <w:rsid w:val="00A00672"/>
    <w:rPr>
      <w:color w:val="000000" w:themeColor="text1"/>
      <w:sz w:val="24"/>
      <w:szCs w:val="24"/>
    </w:rPr>
    <w:tblPr>
      <w:tblStyleRowBandSize w:val="1"/>
      <w:tblStyleColBandSize w:val="1"/>
    </w:tblPr>
    <w:tcPr>
      <w:shd w:val="clear" w:color="auto" w:fill="EDEDED" w:themeFill="accent6" w:themeFillTint="19"/>
    </w:tcPr>
    <w:tblStylePr w:type="firstRow">
      <w:rPr>
        <w:b/>
        <w:bCs/>
        <w:color w:val="0072BC" w:themeColor="background1"/>
      </w:rPr>
      <w:tblPr/>
      <w:tcPr>
        <w:tcBorders>
          <w:bottom w:val="single" w:sz="12" w:space="0" w:color="0072BC" w:themeColor="background1"/>
        </w:tcBorders>
        <w:shd w:val="clear" w:color="auto" w:fill="4C4C4C" w:themeFill="accent5" w:themeFillShade="CC"/>
      </w:tcPr>
    </w:tblStylePr>
    <w:tblStylePr w:type="lastRow">
      <w:rPr>
        <w:b/>
        <w:bCs/>
        <w:color w:val="4C4C4C" w:themeColor="accent5" w:themeShade="CC"/>
      </w:rPr>
      <w:tblPr/>
      <w:tcPr>
        <w:tcBorders>
          <w:top w:val="single" w:sz="12" w:space="0" w:color="000000" w:themeColor="text1"/>
        </w:tcBorders>
        <w:shd w:val="clear" w:color="auto" w:fill="0072BC"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3D3" w:themeFill="accent6" w:themeFillTint="3F"/>
      </w:tcPr>
    </w:tblStylePr>
    <w:tblStylePr w:type="band1Horz">
      <w:tblPr/>
      <w:tcPr>
        <w:shd w:val="clear" w:color="auto" w:fill="DBDBDB" w:themeFill="accent6" w:themeFillTint="33"/>
      </w:tcPr>
    </w:tblStylePr>
  </w:style>
  <w:style w:type="table" w:styleId="ColorfulShading">
    <w:name w:val="Colorful Shading"/>
    <w:basedOn w:val="TableNormal"/>
    <w:uiPriority w:val="71"/>
    <w:semiHidden/>
    <w:rsid w:val="00A00672"/>
    <w:rPr>
      <w:color w:val="000000" w:themeColor="text1"/>
      <w:sz w:val="24"/>
      <w:szCs w:val="24"/>
    </w:rPr>
    <w:tblPr>
      <w:tblStyleRowBandSize w:val="1"/>
      <w:tblStyleColBandSize w:val="1"/>
      <w:tblBorders>
        <w:top w:val="single" w:sz="24" w:space="0" w:color="C00000" w:themeColor="accent2"/>
        <w:left w:val="single" w:sz="4" w:space="0" w:color="000000" w:themeColor="text1"/>
        <w:bottom w:val="single" w:sz="4" w:space="0" w:color="000000" w:themeColor="text1"/>
        <w:right w:val="single" w:sz="4" w:space="0" w:color="000000" w:themeColor="text1"/>
        <w:insideH w:val="single" w:sz="4" w:space="0" w:color="0072BC" w:themeColor="background1"/>
        <w:insideV w:val="single" w:sz="4" w:space="0" w:color="0072BC" w:themeColor="background1"/>
      </w:tblBorders>
    </w:tblPr>
    <w:tcPr>
      <w:shd w:val="clear" w:color="auto" w:fill="E6E6E6" w:themeFill="text1" w:themeFillTint="19"/>
    </w:tcPr>
    <w:tblStylePr w:type="firstRow">
      <w:rPr>
        <w:b/>
        <w:bCs/>
      </w:rPr>
      <w:tblPr/>
      <w:tcPr>
        <w:tcBorders>
          <w:top w:val="nil"/>
          <w:left w:val="nil"/>
          <w:bottom w:val="single" w:sz="24" w:space="0" w:color="C00000" w:themeColor="accent2"/>
          <w:right w:val="nil"/>
          <w:insideH w:val="nil"/>
          <w:insideV w:val="nil"/>
        </w:tcBorders>
        <w:shd w:val="clear" w:color="auto" w:fill="0072BC" w:themeFill="background1"/>
      </w:tcPr>
    </w:tblStylePr>
    <w:tblStylePr w:type="lastRow">
      <w:rPr>
        <w:b/>
        <w:bCs/>
        <w:color w:val="0072BC" w:themeColor="background1"/>
      </w:rPr>
      <w:tblPr/>
      <w:tcPr>
        <w:tcBorders>
          <w:top w:val="single" w:sz="6" w:space="0" w:color="0072BC" w:themeColor="background1"/>
        </w:tcBorders>
        <w:shd w:val="clear" w:color="auto" w:fill="000000" w:themeFill="text1" w:themeFillShade="99"/>
      </w:tcPr>
    </w:tblStylePr>
    <w:tblStylePr w:type="firstCol">
      <w:rPr>
        <w:color w:val="0072BC"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0072BC"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semiHidden/>
    <w:rsid w:val="00A00672"/>
    <w:rPr>
      <w:color w:val="000000" w:themeColor="text1"/>
      <w:sz w:val="24"/>
      <w:szCs w:val="24"/>
    </w:rPr>
    <w:tblPr>
      <w:tblStyleRowBandSize w:val="1"/>
      <w:tblStyleColBandSize w:val="1"/>
      <w:tblBorders>
        <w:top w:val="single" w:sz="24" w:space="0" w:color="C00000" w:themeColor="accent2"/>
        <w:left w:val="single" w:sz="4" w:space="0" w:color="0072BC" w:themeColor="accent1"/>
        <w:bottom w:val="single" w:sz="4" w:space="0" w:color="0072BC" w:themeColor="accent1"/>
        <w:right w:val="single" w:sz="4" w:space="0" w:color="0072BC" w:themeColor="accent1"/>
        <w:insideH w:val="single" w:sz="4" w:space="0" w:color="0072BC" w:themeColor="background1"/>
        <w:insideV w:val="single" w:sz="4" w:space="0" w:color="0072BC" w:themeColor="background1"/>
      </w:tblBorders>
    </w:tblPr>
    <w:tcPr>
      <w:shd w:val="clear" w:color="auto" w:fill="DFF2FF" w:themeFill="accent1" w:themeFillTint="19"/>
    </w:tcPr>
    <w:tblStylePr w:type="firstRow">
      <w:rPr>
        <w:b/>
        <w:bCs/>
      </w:rPr>
      <w:tblPr/>
      <w:tcPr>
        <w:tcBorders>
          <w:top w:val="nil"/>
          <w:left w:val="nil"/>
          <w:bottom w:val="single" w:sz="24" w:space="0" w:color="C00000" w:themeColor="accent2"/>
          <w:right w:val="nil"/>
          <w:insideH w:val="nil"/>
          <w:insideV w:val="nil"/>
        </w:tcBorders>
        <w:shd w:val="clear" w:color="auto" w:fill="0072BC" w:themeFill="background1"/>
      </w:tcPr>
    </w:tblStylePr>
    <w:tblStylePr w:type="lastRow">
      <w:rPr>
        <w:b/>
        <w:bCs/>
        <w:color w:val="0072BC" w:themeColor="background1"/>
      </w:rPr>
      <w:tblPr/>
      <w:tcPr>
        <w:tcBorders>
          <w:top w:val="single" w:sz="6" w:space="0" w:color="0072BC" w:themeColor="background1"/>
        </w:tcBorders>
        <w:shd w:val="clear" w:color="auto" w:fill="004470" w:themeFill="accent1" w:themeFillShade="99"/>
      </w:tcPr>
    </w:tblStylePr>
    <w:tblStylePr w:type="firstCol">
      <w:rPr>
        <w:color w:val="0072BC" w:themeColor="background1"/>
      </w:rPr>
      <w:tblPr/>
      <w:tcPr>
        <w:tcBorders>
          <w:top w:val="nil"/>
          <w:left w:val="nil"/>
          <w:bottom w:val="nil"/>
          <w:right w:val="nil"/>
          <w:insideH w:val="single" w:sz="4" w:space="0" w:color="004470" w:themeColor="accent1" w:themeShade="99"/>
          <w:insideV w:val="nil"/>
        </w:tcBorders>
        <w:shd w:val="clear" w:color="auto" w:fill="004470" w:themeFill="accent1" w:themeFillShade="99"/>
      </w:tcPr>
    </w:tblStylePr>
    <w:tblStylePr w:type="lastCol">
      <w:rPr>
        <w:color w:val="0072BC" w:themeColor="background1"/>
      </w:rPr>
      <w:tblPr/>
      <w:tcPr>
        <w:tcBorders>
          <w:top w:val="nil"/>
          <w:left w:val="nil"/>
          <w:bottom w:val="nil"/>
          <w:right w:val="nil"/>
          <w:insideH w:val="nil"/>
          <w:insideV w:val="nil"/>
        </w:tcBorders>
        <w:shd w:val="clear" w:color="auto" w:fill="004470" w:themeFill="accent1" w:themeFillShade="99"/>
      </w:tcPr>
    </w:tblStylePr>
    <w:tblStylePr w:type="band1Vert">
      <w:tblPr/>
      <w:tcPr>
        <w:shd w:val="clear" w:color="auto" w:fill="7ECBFF" w:themeFill="accent1" w:themeFillTint="66"/>
      </w:tcPr>
    </w:tblStylePr>
    <w:tblStylePr w:type="band1Horz">
      <w:tblPr/>
      <w:tcPr>
        <w:shd w:val="clear" w:color="auto" w:fill="5EBFFF"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semiHidden/>
    <w:rsid w:val="00A00672"/>
    <w:rPr>
      <w:color w:val="000000" w:themeColor="text1"/>
      <w:sz w:val="24"/>
      <w:szCs w:val="24"/>
    </w:rPr>
    <w:tblPr>
      <w:tblStyleRowBandSize w:val="1"/>
      <w:tblStyleColBandSize w:val="1"/>
      <w:tblBorders>
        <w:top w:val="single" w:sz="24" w:space="0" w:color="C00000" w:themeColor="accent2"/>
        <w:left w:val="single" w:sz="4" w:space="0" w:color="C00000" w:themeColor="accent2"/>
        <w:bottom w:val="single" w:sz="4" w:space="0" w:color="C00000" w:themeColor="accent2"/>
        <w:right w:val="single" w:sz="4" w:space="0" w:color="C00000" w:themeColor="accent2"/>
        <w:insideH w:val="single" w:sz="4" w:space="0" w:color="0072BC" w:themeColor="background1"/>
        <w:insideV w:val="single" w:sz="4" w:space="0" w:color="0072BC" w:themeColor="background1"/>
      </w:tblBorders>
    </w:tblPr>
    <w:tcPr>
      <w:shd w:val="clear" w:color="auto" w:fill="FFDFDF" w:themeFill="accent2" w:themeFillTint="19"/>
    </w:tcPr>
    <w:tblStylePr w:type="firstRow">
      <w:rPr>
        <w:b/>
        <w:bCs/>
      </w:rPr>
      <w:tblPr/>
      <w:tcPr>
        <w:tcBorders>
          <w:top w:val="nil"/>
          <w:left w:val="nil"/>
          <w:bottom w:val="single" w:sz="24" w:space="0" w:color="C00000" w:themeColor="accent2"/>
          <w:right w:val="nil"/>
          <w:insideH w:val="nil"/>
          <w:insideV w:val="nil"/>
        </w:tcBorders>
        <w:shd w:val="clear" w:color="auto" w:fill="0072BC" w:themeFill="background1"/>
      </w:tcPr>
    </w:tblStylePr>
    <w:tblStylePr w:type="lastRow">
      <w:rPr>
        <w:b/>
        <w:bCs/>
        <w:color w:val="0072BC" w:themeColor="background1"/>
      </w:rPr>
      <w:tblPr/>
      <w:tcPr>
        <w:tcBorders>
          <w:top w:val="single" w:sz="6" w:space="0" w:color="0072BC" w:themeColor="background1"/>
        </w:tcBorders>
        <w:shd w:val="clear" w:color="auto" w:fill="730000" w:themeFill="accent2" w:themeFillShade="99"/>
      </w:tcPr>
    </w:tblStylePr>
    <w:tblStylePr w:type="firstCol">
      <w:rPr>
        <w:color w:val="0072BC" w:themeColor="background1"/>
      </w:rPr>
      <w:tblPr/>
      <w:tcPr>
        <w:tcBorders>
          <w:top w:val="nil"/>
          <w:left w:val="nil"/>
          <w:bottom w:val="nil"/>
          <w:right w:val="nil"/>
          <w:insideH w:val="single" w:sz="4" w:space="0" w:color="730000" w:themeColor="accent2" w:themeShade="99"/>
          <w:insideV w:val="nil"/>
        </w:tcBorders>
        <w:shd w:val="clear" w:color="auto" w:fill="730000" w:themeFill="accent2" w:themeFillShade="99"/>
      </w:tcPr>
    </w:tblStylePr>
    <w:tblStylePr w:type="lastCol">
      <w:rPr>
        <w:color w:val="0072BC" w:themeColor="background1"/>
      </w:rPr>
      <w:tblPr/>
      <w:tcPr>
        <w:tcBorders>
          <w:top w:val="nil"/>
          <w:left w:val="nil"/>
          <w:bottom w:val="nil"/>
          <w:right w:val="nil"/>
          <w:insideH w:val="nil"/>
          <w:insideV w:val="nil"/>
        </w:tcBorders>
        <w:shd w:val="clear" w:color="auto" w:fill="730000" w:themeFill="accent2" w:themeFillShade="99"/>
      </w:tcPr>
    </w:tblStylePr>
    <w:tblStylePr w:type="band1Vert">
      <w:tblPr/>
      <w:tcPr>
        <w:shd w:val="clear" w:color="auto" w:fill="FF7F7F" w:themeFill="accent2" w:themeFillTint="66"/>
      </w:tcPr>
    </w:tblStylePr>
    <w:tblStylePr w:type="band1Horz">
      <w:tblPr/>
      <w:tcPr>
        <w:shd w:val="clear" w:color="auto" w:fill="FF6060"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semiHidden/>
    <w:rsid w:val="00A00672"/>
    <w:rPr>
      <w:color w:val="000000" w:themeColor="text1"/>
      <w:sz w:val="24"/>
      <w:szCs w:val="24"/>
    </w:rPr>
    <w:tblPr>
      <w:tblStyleRowBandSize w:val="1"/>
      <w:tblStyleColBandSize w:val="1"/>
      <w:tblBorders>
        <w:top w:val="single" w:sz="24" w:space="0" w:color="969696" w:themeColor="accent4"/>
        <w:left w:val="single" w:sz="4" w:space="0" w:color="5F5F5F" w:themeColor="accent3"/>
        <w:bottom w:val="single" w:sz="4" w:space="0" w:color="5F5F5F" w:themeColor="accent3"/>
        <w:right w:val="single" w:sz="4" w:space="0" w:color="5F5F5F" w:themeColor="accent3"/>
        <w:insideH w:val="single" w:sz="4" w:space="0" w:color="0072BC" w:themeColor="background1"/>
        <w:insideV w:val="single" w:sz="4" w:space="0" w:color="0072BC" w:themeColor="background1"/>
      </w:tblBorders>
    </w:tblPr>
    <w:tcPr>
      <w:shd w:val="clear" w:color="auto" w:fill="EFEFEF" w:themeFill="accent3" w:themeFillTint="19"/>
    </w:tcPr>
    <w:tblStylePr w:type="firstRow">
      <w:rPr>
        <w:b/>
        <w:bCs/>
      </w:rPr>
      <w:tblPr/>
      <w:tcPr>
        <w:tcBorders>
          <w:top w:val="nil"/>
          <w:left w:val="nil"/>
          <w:bottom w:val="single" w:sz="24" w:space="0" w:color="969696" w:themeColor="accent4"/>
          <w:right w:val="nil"/>
          <w:insideH w:val="nil"/>
          <w:insideV w:val="nil"/>
        </w:tcBorders>
        <w:shd w:val="clear" w:color="auto" w:fill="0072BC" w:themeFill="background1"/>
      </w:tcPr>
    </w:tblStylePr>
    <w:tblStylePr w:type="lastRow">
      <w:rPr>
        <w:b/>
        <w:bCs/>
        <w:color w:val="0072BC" w:themeColor="background1"/>
      </w:rPr>
      <w:tblPr/>
      <w:tcPr>
        <w:tcBorders>
          <w:top w:val="single" w:sz="6" w:space="0" w:color="0072BC" w:themeColor="background1"/>
        </w:tcBorders>
        <w:shd w:val="clear" w:color="auto" w:fill="393939" w:themeFill="accent3" w:themeFillShade="99"/>
      </w:tcPr>
    </w:tblStylePr>
    <w:tblStylePr w:type="firstCol">
      <w:rPr>
        <w:color w:val="0072BC" w:themeColor="background1"/>
      </w:rPr>
      <w:tblPr/>
      <w:tcPr>
        <w:tcBorders>
          <w:top w:val="nil"/>
          <w:left w:val="nil"/>
          <w:bottom w:val="nil"/>
          <w:right w:val="nil"/>
          <w:insideH w:val="single" w:sz="4" w:space="0" w:color="393939" w:themeColor="accent3" w:themeShade="99"/>
          <w:insideV w:val="nil"/>
        </w:tcBorders>
        <w:shd w:val="clear" w:color="auto" w:fill="393939" w:themeFill="accent3" w:themeFillShade="99"/>
      </w:tcPr>
    </w:tblStylePr>
    <w:tblStylePr w:type="lastCol">
      <w:rPr>
        <w:color w:val="0072BC" w:themeColor="background1"/>
      </w:rPr>
      <w:tblPr/>
      <w:tcPr>
        <w:tcBorders>
          <w:top w:val="nil"/>
          <w:left w:val="nil"/>
          <w:bottom w:val="nil"/>
          <w:right w:val="nil"/>
          <w:insideH w:val="nil"/>
          <w:insideV w:val="nil"/>
        </w:tcBorders>
        <w:shd w:val="clear" w:color="auto" w:fill="393939" w:themeFill="accent3" w:themeFillShade="99"/>
      </w:tcPr>
    </w:tblStylePr>
    <w:tblStylePr w:type="band1Vert">
      <w:tblPr/>
      <w:tcPr>
        <w:shd w:val="clear" w:color="auto" w:fill="BFBFBF" w:themeFill="accent3" w:themeFillTint="66"/>
      </w:tcPr>
    </w:tblStylePr>
    <w:tblStylePr w:type="band1Horz">
      <w:tblPr/>
      <w:tcPr>
        <w:shd w:val="clear" w:color="auto" w:fill="AFAFAF" w:themeFill="accent3" w:themeFillTint="7F"/>
      </w:tcPr>
    </w:tblStylePr>
  </w:style>
  <w:style w:type="table" w:styleId="ColorfulShadingAccent4">
    <w:name w:val="Colorful Shading Accent 4"/>
    <w:basedOn w:val="TableNormal"/>
    <w:uiPriority w:val="71"/>
    <w:semiHidden/>
    <w:rsid w:val="00A00672"/>
    <w:rPr>
      <w:color w:val="000000" w:themeColor="text1"/>
      <w:sz w:val="24"/>
      <w:szCs w:val="24"/>
    </w:rPr>
    <w:tblPr>
      <w:tblStyleRowBandSize w:val="1"/>
      <w:tblStyleColBandSize w:val="1"/>
      <w:tblBorders>
        <w:top w:val="single" w:sz="24" w:space="0" w:color="5F5F5F" w:themeColor="accent3"/>
        <w:left w:val="single" w:sz="4" w:space="0" w:color="969696" w:themeColor="accent4"/>
        <w:bottom w:val="single" w:sz="4" w:space="0" w:color="969696" w:themeColor="accent4"/>
        <w:right w:val="single" w:sz="4" w:space="0" w:color="969696" w:themeColor="accent4"/>
        <w:insideH w:val="single" w:sz="4" w:space="0" w:color="0072BC" w:themeColor="background1"/>
        <w:insideV w:val="single" w:sz="4" w:space="0" w:color="0072BC" w:themeColor="background1"/>
      </w:tblBorders>
    </w:tblPr>
    <w:tcPr>
      <w:shd w:val="clear" w:color="auto" w:fill="F4F4F4" w:themeFill="accent4" w:themeFillTint="19"/>
    </w:tcPr>
    <w:tblStylePr w:type="firstRow">
      <w:rPr>
        <w:b/>
        <w:bCs/>
      </w:rPr>
      <w:tblPr/>
      <w:tcPr>
        <w:tcBorders>
          <w:top w:val="nil"/>
          <w:left w:val="nil"/>
          <w:bottom w:val="single" w:sz="24" w:space="0" w:color="5F5F5F" w:themeColor="accent3"/>
          <w:right w:val="nil"/>
          <w:insideH w:val="nil"/>
          <w:insideV w:val="nil"/>
        </w:tcBorders>
        <w:shd w:val="clear" w:color="auto" w:fill="0072BC" w:themeFill="background1"/>
      </w:tcPr>
    </w:tblStylePr>
    <w:tblStylePr w:type="lastRow">
      <w:rPr>
        <w:b/>
        <w:bCs/>
        <w:color w:val="0072BC" w:themeColor="background1"/>
      </w:rPr>
      <w:tblPr/>
      <w:tcPr>
        <w:tcBorders>
          <w:top w:val="single" w:sz="6" w:space="0" w:color="0072BC" w:themeColor="background1"/>
        </w:tcBorders>
        <w:shd w:val="clear" w:color="auto" w:fill="5A5A5A" w:themeFill="accent4" w:themeFillShade="99"/>
      </w:tcPr>
    </w:tblStylePr>
    <w:tblStylePr w:type="firstCol">
      <w:rPr>
        <w:color w:val="0072BC" w:themeColor="background1"/>
      </w:rPr>
      <w:tblPr/>
      <w:tcPr>
        <w:tcBorders>
          <w:top w:val="nil"/>
          <w:left w:val="nil"/>
          <w:bottom w:val="nil"/>
          <w:right w:val="nil"/>
          <w:insideH w:val="single" w:sz="4" w:space="0" w:color="5A5A5A" w:themeColor="accent4" w:themeShade="99"/>
          <w:insideV w:val="nil"/>
        </w:tcBorders>
        <w:shd w:val="clear" w:color="auto" w:fill="5A5A5A" w:themeFill="accent4" w:themeFillShade="99"/>
      </w:tcPr>
    </w:tblStylePr>
    <w:tblStylePr w:type="lastCol">
      <w:rPr>
        <w:color w:val="0072BC" w:themeColor="background1"/>
      </w:rPr>
      <w:tblPr/>
      <w:tcPr>
        <w:tcBorders>
          <w:top w:val="nil"/>
          <w:left w:val="nil"/>
          <w:bottom w:val="nil"/>
          <w:right w:val="nil"/>
          <w:insideH w:val="nil"/>
          <w:insideV w:val="nil"/>
        </w:tcBorders>
        <w:shd w:val="clear" w:color="auto" w:fill="5A5A5A" w:themeFill="accent4" w:themeFillShade="99"/>
      </w:tcPr>
    </w:tblStylePr>
    <w:tblStylePr w:type="band1Vert">
      <w:tblPr/>
      <w:tcPr>
        <w:shd w:val="clear" w:color="auto" w:fill="D5D5D5" w:themeFill="accent4" w:themeFillTint="66"/>
      </w:tcPr>
    </w:tblStylePr>
    <w:tblStylePr w:type="band1Horz">
      <w:tblPr/>
      <w:tcPr>
        <w:shd w:val="clear" w:color="auto" w:fill="CACACA"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semiHidden/>
    <w:rsid w:val="00A00672"/>
    <w:rPr>
      <w:color w:val="000000" w:themeColor="text1"/>
      <w:sz w:val="24"/>
      <w:szCs w:val="24"/>
    </w:rPr>
    <w:tblPr>
      <w:tblStyleRowBandSize w:val="1"/>
      <w:tblStyleColBandSize w:val="1"/>
      <w:tblBorders>
        <w:top w:val="single" w:sz="24" w:space="0" w:color="4D4D4D" w:themeColor="accent6"/>
        <w:left w:val="single" w:sz="4" w:space="0" w:color="5F5F5F" w:themeColor="accent5"/>
        <w:bottom w:val="single" w:sz="4" w:space="0" w:color="5F5F5F" w:themeColor="accent5"/>
        <w:right w:val="single" w:sz="4" w:space="0" w:color="5F5F5F" w:themeColor="accent5"/>
        <w:insideH w:val="single" w:sz="4" w:space="0" w:color="0072BC" w:themeColor="background1"/>
        <w:insideV w:val="single" w:sz="4" w:space="0" w:color="0072BC" w:themeColor="background1"/>
      </w:tblBorders>
    </w:tblPr>
    <w:tcPr>
      <w:shd w:val="clear" w:color="auto" w:fill="EFEFEF" w:themeFill="accent5" w:themeFillTint="19"/>
    </w:tcPr>
    <w:tblStylePr w:type="firstRow">
      <w:rPr>
        <w:b/>
        <w:bCs/>
      </w:rPr>
      <w:tblPr/>
      <w:tcPr>
        <w:tcBorders>
          <w:top w:val="nil"/>
          <w:left w:val="nil"/>
          <w:bottom w:val="single" w:sz="24" w:space="0" w:color="4D4D4D" w:themeColor="accent6"/>
          <w:right w:val="nil"/>
          <w:insideH w:val="nil"/>
          <w:insideV w:val="nil"/>
        </w:tcBorders>
        <w:shd w:val="clear" w:color="auto" w:fill="0072BC" w:themeFill="background1"/>
      </w:tcPr>
    </w:tblStylePr>
    <w:tblStylePr w:type="lastRow">
      <w:rPr>
        <w:b/>
        <w:bCs/>
        <w:color w:val="0072BC" w:themeColor="background1"/>
      </w:rPr>
      <w:tblPr/>
      <w:tcPr>
        <w:tcBorders>
          <w:top w:val="single" w:sz="6" w:space="0" w:color="0072BC" w:themeColor="background1"/>
        </w:tcBorders>
        <w:shd w:val="clear" w:color="auto" w:fill="393939" w:themeFill="accent5" w:themeFillShade="99"/>
      </w:tcPr>
    </w:tblStylePr>
    <w:tblStylePr w:type="firstCol">
      <w:rPr>
        <w:color w:val="0072BC" w:themeColor="background1"/>
      </w:rPr>
      <w:tblPr/>
      <w:tcPr>
        <w:tcBorders>
          <w:top w:val="nil"/>
          <w:left w:val="nil"/>
          <w:bottom w:val="nil"/>
          <w:right w:val="nil"/>
          <w:insideH w:val="single" w:sz="4" w:space="0" w:color="393939" w:themeColor="accent5" w:themeShade="99"/>
          <w:insideV w:val="nil"/>
        </w:tcBorders>
        <w:shd w:val="clear" w:color="auto" w:fill="393939" w:themeFill="accent5" w:themeFillShade="99"/>
      </w:tcPr>
    </w:tblStylePr>
    <w:tblStylePr w:type="lastCol">
      <w:rPr>
        <w:color w:val="0072BC" w:themeColor="background1"/>
      </w:rPr>
      <w:tblPr/>
      <w:tcPr>
        <w:tcBorders>
          <w:top w:val="nil"/>
          <w:left w:val="nil"/>
          <w:bottom w:val="nil"/>
          <w:right w:val="nil"/>
          <w:insideH w:val="nil"/>
          <w:insideV w:val="nil"/>
        </w:tcBorders>
        <w:shd w:val="clear" w:color="auto" w:fill="393939" w:themeFill="accent5" w:themeFillShade="99"/>
      </w:tcPr>
    </w:tblStylePr>
    <w:tblStylePr w:type="band1Vert">
      <w:tblPr/>
      <w:tcPr>
        <w:shd w:val="clear" w:color="auto" w:fill="BFBFBF" w:themeFill="accent5" w:themeFillTint="66"/>
      </w:tcPr>
    </w:tblStylePr>
    <w:tblStylePr w:type="band1Horz">
      <w:tblPr/>
      <w:tcPr>
        <w:shd w:val="clear" w:color="auto" w:fill="AFAFAF"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semiHidden/>
    <w:rsid w:val="00A00672"/>
    <w:rPr>
      <w:color w:val="000000" w:themeColor="text1"/>
      <w:sz w:val="24"/>
      <w:szCs w:val="24"/>
    </w:rPr>
    <w:tblPr>
      <w:tblStyleRowBandSize w:val="1"/>
      <w:tblStyleColBandSize w:val="1"/>
      <w:tblBorders>
        <w:top w:val="single" w:sz="24" w:space="0" w:color="5F5F5F" w:themeColor="accent5"/>
        <w:left w:val="single" w:sz="4" w:space="0" w:color="4D4D4D" w:themeColor="accent6"/>
        <w:bottom w:val="single" w:sz="4" w:space="0" w:color="4D4D4D" w:themeColor="accent6"/>
        <w:right w:val="single" w:sz="4" w:space="0" w:color="4D4D4D" w:themeColor="accent6"/>
        <w:insideH w:val="single" w:sz="4" w:space="0" w:color="0072BC" w:themeColor="background1"/>
        <w:insideV w:val="single" w:sz="4" w:space="0" w:color="0072BC" w:themeColor="background1"/>
      </w:tblBorders>
    </w:tblPr>
    <w:tcPr>
      <w:shd w:val="clear" w:color="auto" w:fill="EDEDED" w:themeFill="accent6" w:themeFillTint="19"/>
    </w:tcPr>
    <w:tblStylePr w:type="firstRow">
      <w:rPr>
        <w:b/>
        <w:bCs/>
      </w:rPr>
      <w:tblPr/>
      <w:tcPr>
        <w:tcBorders>
          <w:top w:val="nil"/>
          <w:left w:val="nil"/>
          <w:bottom w:val="single" w:sz="24" w:space="0" w:color="5F5F5F" w:themeColor="accent5"/>
          <w:right w:val="nil"/>
          <w:insideH w:val="nil"/>
          <w:insideV w:val="nil"/>
        </w:tcBorders>
        <w:shd w:val="clear" w:color="auto" w:fill="0072BC" w:themeFill="background1"/>
      </w:tcPr>
    </w:tblStylePr>
    <w:tblStylePr w:type="lastRow">
      <w:rPr>
        <w:b/>
        <w:bCs/>
        <w:color w:val="0072BC" w:themeColor="background1"/>
      </w:rPr>
      <w:tblPr/>
      <w:tcPr>
        <w:tcBorders>
          <w:top w:val="single" w:sz="6" w:space="0" w:color="0072BC" w:themeColor="background1"/>
        </w:tcBorders>
        <w:shd w:val="clear" w:color="auto" w:fill="2E2E2E" w:themeFill="accent6" w:themeFillShade="99"/>
      </w:tcPr>
    </w:tblStylePr>
    <w:tblStylePr w:type="firstCol">
      <w:rPr>
        <w:color w:val="0072BC" w:themeColor="background1"/>
      </w:rPr>
      <w:tblPr/>
      <w:tcPr>
        <w:tcBorders>
          <w:top w:val="nil"/>
          <w:left w:val="nil"/>
          <w:bottom w:val="nil"/>
          <w:right w:val="nil"/>
          <w:insideH w:val="single" w:sz="4" w:space="0" w:color="2E2E2E" w:themeColor="accent6" w:themeShade="99"/>
          <w:insideV w:val="nil"/>
        </w:tcBorders>
        <w:shd w:val="clear" w:color="auto" w:fill="2E2E2E" w:themeFill="accent6" w:themeFillShade="99"/>
      </w:tcPr>
    </w:tblStylePr>
    <w:tblStylePr w:type="lastCol">
      <w:rPr>
        <w:color w:val="0072BC" w:themeColor="background1"/>
      </w:rPr>
      <w:tblPr/>
      <w:tcPr>
        <w:tcBorders>
          <w:top w:val="nil"/>
          <w:left w:val="nil"/>
          <w:bottom w:val="nil"/>
          <w:right w:val="nil"/>
          <w:insideH w:val="nil"/>
          <w:insideV w:val="nil"/>
        </w:tcBorders>
        <w:shd w:val="clear" w:color="auto" w:fill="2E2E2E" w:themeFill="accent6" w:themeFillShade="99"/>
      </w:tcPr>
    </w:tblStylePr>
    <w:tblStylePr w:type="band1Vert">
      <w:tblPr/>
      <w:tcPr>
        <w:shd w:val="clear" w:color="auto" w:fill="B7B7B7" w:themeFill="accent6" w:themeFillTint="66"/>
      </w:tcPr>
    </w:tblStylePr>
    <w:tblStylePr w:type="band1Horz">
      <w:tblPr/>
      <w:tcPr>
        <w:shd w:val="clear" w:color="auto" w:fill="A6A6A6" w:themeFill="accent6" w:themeFillTint="7F"/>
      </w:tcPr>
    </w:tblStylePr>
    <w:tblStylePr w:type="neCell">
      <w:rPr>
        <w:color w:val="000000" w:themeColor="text1"/>
      </w:rPr>
    </w:tblStylePr>
    <w:tblStylePr w:type="nwCell">
      <w:rPr>
        <w:color w:val="000000" w:themeColor="text1"/>
      </w:rPr>
    </w:tblStylePr>
  </w:style>
  <w:style w:type="character" w:styleId="CommentReference">
    <w:name w:val="annotation reference"/>
    <w:basedOn w:val="DefaultParagraphFont"/>
    <w:uiPriority w:val="99"/>
    <w:semiHidden/>
    <w:rsid w:val="00A00672"/>
    <w:rPr>
      <w:sz w:val="16"/>
      <w:szCs w:val="16"/>
    </w:rPr>
  </w:style>
  <w:style w:type="paragraph" w:styleId="CommentText">
    <w:name w:val="annotation text"/>
    <w:basedOn w:val="Normal"/>
    <w:link w:val="CommentTextChar"/>
    <w:semiHidden/>
    <w:rsid w:val="00A00672"/>
    <w:rPr>
      <w:sz w:val="20"/>
      <w:szCs w:val="20"/>
    </w:rPr>
  </w:style>
  <w:style w:type="character" w:customStyle="1" w:styleId="CommentTextChar">
    <w:name w:val="Comment Text Char"/>
    <w:basedOn w:val="DefaultParagraphFont"/>
    <w:link w:val="CommentText"/>
    <w:semiHidden/>
    <w:rsid w:val="00A00672"/>
    <w:rPr>
      <w:sz w:val="20"/>
      <w:szCs w:val="20"/>
      <w:lang w:val="fr-FR"/>
    </w:rPr>
  </w:style>
  <w:style w:type="paragraph" w:styleId="CommentSubject">
    <w:name w:val="annotation subject"/>
    <w:basedOn w:val="CommentText"/>
    <w:next w:val="CommentText"/>
    <w:link w:val="CommentSubjectChar"/>
    <w:uiPriority w:val="99"/>
    <w:semiHidden/>
    <w:rsid w:val="00A00672"/>
    <w:rPr>
      <w:b/>
      <w:bCs/>
    </w:rPr>
  </w:style>
  <w:style w:type="character" w:customStyle="1" w:styleId="CommentSubjectChar">
    <w:name w:val="Comment Subject Char"/>
    <w:basedOn w:val="CommentTextChar"/>
    <w:link w:val="CommentSubject"/>
    <w:uiPriority w:val="99"/>
    <w:semiHidden/>
    <w:rsid w:val="00A00672"/>
    <w:rPr>
      <w:b/>
      <w:bCs/>
      <w:sz w:val="20"/>
      <w:szCs w:val="20"/>
      <w:lang w:val="fr-FR"/>
    </w:rPr>
  </w:style>
  <w:style w:type="table" w:styleId="DarkList">
    <w:name w:val="Dark List"/>
    <w:basedOn w:val="TableNormal"/>
    <w:uiPriority w:val="70"/>
    <w:semiHidden/>
    <w:rsid w:val="00A00672"/>
    <w:rPr>
      <w:color w:val="0072BC" w:themeColor="background1"/>
      <w:sz w:val="24"/>
      <w:szCs w:val="24"/>
    </w:rPr>
    <w:tblPr>
      <w:tblStyleRowBandSize w:val="1"/>
      <w:tblStyleColBandSize w:val="1"/>
    </w:tblPr>
    <w:tcPr>
      <w:shd w:val="clear" w:color="auto" w:fill="000000" w:themeFill="text1"/>
    </w:tcPr>
    <w:tblStylePr w:type="firstRow">
      <w:rPr>
        <w:b/>
        <w:bCs/>
      </w:rPr>
      <w:tblPr/>
      <w:tcPr>
        <w:tcBorders>
          <w:top w:val="nil"/>
          <w:left w:val="nil"/>
          <w:bottom w:val="single" w:sz="18" w:space="0" w:color="0072BC" w:themeColor="background1"/>
          <w:right w:val="nil"/>
          <w:insideH w:val="nil"/>
          <w:insideV w:val="nil"/>
        </w:tcBorders>
        <w:shd w:val="clear" w:color="auto" w:fill="000000" w:themeFill="text1"/>
      </w:tcPr>
    </w:tblStylePr>
    <w:tblStylePr w:type="lastRow">
      <w:tblPr/>
      <w:tcPr>
        <w:tcBorders>
          <w:top w:val="single" w:sz="18" w:space="0" w:color="0072BC"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0072BC" w:themeColor="background1"/>
          <w:insideH w:val="nil"/>
          <w:insideV w:val="nil"/>
        </w:tcBorders>
        <w:shd w:val="clear" w:color="auto" w:fill="000000" w:themeFill="text1" w:themeFillShade="BF"/>
      </w:tcPr>
    </w:tblStylePr>
    <w:tblStylePr w:type="lastCol">
      <w:tblPr/>
      <w:tcPr>
        <w:tcBorders>
          <w:top w:val="nil"/>
          <w:left w:val="single" w:sz="18" w:space="0" w:color="0072BC"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semiHidden/>
    <w:rsid w:val="00A00672"/>
    <w:rPr>
      <w:color w:val="0072BC" w:themeColor="background1"/>
      <w:sz w:val="24"/>
      <w:szCs w:val="24"/>
    </w:rPr>
    <w:tblPr>
      <w:tblStyleRowBandSize w:val="1"/>
      <w:tblStyleColBandSize w:val="1"/>
    </w:tblPr>
    <w:tcPr>
      <w:shd w:val="clear" w:color="auto" w:fill="0072BC" w:themeFill="accent1"/>
    </w:tcPr>
    <w:tblStylePr w:type="firstRow">
      <w:rPr>
        <w:b/>
        <w:bCs/>
      </w:rPr>
      <w:tblPr/>
      <w:tcPr>
        <w:tcBorders>
          <w:top w:val="nil"/>
          <w:left w:val="nil"/>
          <w:bottom w:val="single" w:sz="18" w:space="0" w:color="0072BC" w:themeColor="background1"/>
          <w:right w:val="nil"/>
          <w:insideH w:val="nil"/>
          <w:insideV w:val="nil"/>
        </w:tcBorders>
        <w:shd w:val="clear" w:color="auto" w:fill="000000" w:themeFill="text1"/>
      </w:tcPr>
    </w:tblStylePr>
    <w:tblStylePr w:type="lastRow">
      <w:tblPr/>
      <w:tcPr>
        <w:tcBorders>
          <w:top w:val="single" w:sz="18" w:space="0" w:color="0072BC" w:themeColor="background1"/>
          <w:left w:val="nil"/>
          <w:bottom w:val="nil"/>
          <w:right w:val="nil"/>
          <w:insideH w:val="nil"/>
          <w:insideV w:val="nil"/>
        </w:tcBorders>
        <w:shd w:val="clear" w:color="auto" w:fill="00385D" w:themeFill="accent1" w:themeFillShade="7F"/>
      </w:tcPr>
    </w:tblStylePr>
    <w:tblStylePr w:type="firstCol">
      <w:tblPr/>
      <w:tcPr>
        <w:tcBorders>
          <w:top w:val="nil"/>
          <w:left w:val="nil"/>
          <w:bottom w:val="nil"/>
          <w:right w:val="single" w:sz="18" w:space="0" w:color="0072BC" w:themeColor="background1"/>
          <w:insideH w:val="nil"/>
          <w:insideV w:val="nil"/>
        </w:tcBorders>
        <w:shd w:val="clear" w:color="auto" w:fill="00548C" w:themeFill="accent1" w:themeFillShade="BF"/>
      </w:tcPr>
    </w:tblStylePr>
    <w:tblStylePr w:type="lastCol">
      <w:tblPr/>
      <w:tcPr>
        <w:tcBorders>
          <w:top w:val="nil"/>
          <w:left w:val="single" w:sz="18" w:space="0" w:color="0072BC" w:themeColor="background1"/>
          <w:bottom w:val="nil"/>
          <w:right w:val="nil"/>
          <w:insideH w:val="nil"/>
          <w:insideV w:val="nil"/>
        </w:tcBorders>
        <w:shd w:val="clear" w:color="auto" w:fill="00548C" w:themeFill="accent1" w:themeFillShade="BF"/>
      </w:tcPr>
    </w:tblStylePr>
    <w:tblStylePr w:type="band1Vert">
      <w:tblPr/>
      <w:tcPr>
        <w:tcBorders>
          <w:top w:val="nil"/>
          <w:left w:val="nil"/>
          <w:bottom w:val="nil"/>
          <w:right w:val="nil"/>
          <w:insideH w:val="nil"/>
          <w:insideV w:val="nil"/>
        </w:tcBorders>
        <w:shd w:val="clear" w:color="auto" w:fill="00548C" w:themeFill="accent1" w:themeFillShade="BF"/>
      </w:tcPr>
    </w:tblStylePr>
    <w:tblStylePr w:type="band1Horz">
      <w:tblPr/>
      <w:tcPr>
        <w:tcBorders>
          <w:top w:val="nil"/>
          <w:left w:val="nil"/>
          <w:bottom w:val="nil"/>
          <w:right w:val="nil"/>
          <w:insideH w:val="nil"/>
          <w:insideV w:val="nil"/>
        </w:tcBorders>
        <w:shd w:val="clear" w:color="auto" w:fill="00548C" w:themeFill="accent1" w:themeFillShade="BF"/>
      </w:tcPr>
    </w:tblStylePr>
  </w:style>
  <w:style w:type="table" w:styleId="DarkListAccent2">
    <w:name w:val="Dark List Accent 2"/>
    <w:basedOn w:val="TableNormal"/>
    <w:uiPriority w:val="70"/>
    <w:semiHidden/>
    <w:rsid w:val="00A00672"/>
    <w:rPr>
      <w:color w:val="0072BC" w:themeColor="background1"/>
      <w:sz w:val="24"/>
      <w:szCs w:val="24"/>
    </w:rPr>
    <w:tblPr>
      <w:tblStyleRowBandSize w:val="1"/>
      <w:tblStyleColBandSize w:val="1"/>
    </w:tblPr>
    <w:tcPr>
      <w:shd w:val="clear" w:color="auto" w:fill="C00000" w:themeFill="accent2"/>
    </w:tcPr>
    <w:tblStylePr w:type="firstRow">
      <w:rPr>
        <w:b/>
        <w:bCs/>
      </w:rPr>
      <w:tblPr/>
      <w:tcPr>
        <w:tcBorders>
          <w:top w:val="nil"/>
          <w:left w:val="nil"/>
          <w:bottom w:val="single" w:sz="18" w:space="0" w:color="0072BC" w:themeColor="background1"/>
          <w:right w:val="nil"/>
          <w:insideH w:val="nil"/>
          <w:insideV w:val="nil"/>
        </w:tcBorders>
        <w:shd w:val="clear" w:color="auto" w:fill="000000" w:themeFill="text1"/>
      </w:tcPr>
    </w:tblStylePr>
    <w:tblStylePr w:type="lastRow">
      <w:tblPr/>
      <w:tcPr>
        <w:tcBorders>
          <w:top w:val="single" w:sz="18" w:space="0" w:color="0072BC" w:themeColor="background1"/>
          <w:left w:val="nil"/>
          <w:bottom w:val="nil"/>
          <w:right w:val="nil"/>
          <w:insideH w:val="nil"/>
          <w:insideV w:val="nil"/>
        </w:tcBorders>
        <w:shd w:val="clear" w:color="auto" w:fill="5F0000" w:themeFill="accent2" w:themeFillShade="7F"/>
      </w:tcPr>
    </w:tblStylePr>
    <w:tblStylePr w:type="firstCol">
      <w:tblPr/>
      <w:tcPr>
        <w:tcBorders>
          <w:top w:val="nil"/>
          <w:left w:val="nil"/>
          <w:bottom w:val="nil"/>
          <w:right w:val="single" w:sz="18" w:space="0" w:color="0072BC" w:themeColor="background1"/>
          <w:insideH w:val="nil"/>
          <w:insideV w:val="nil"/>
        </w:tcBorders>
        <w:shd w:val="clear" w:color="auto" w:fill="8F0000" w:themeFill="accent2" w:themeFillShade="BF"/>
      </w:tcPr>
    </w:tblStylePr>
    <w:tblStylePr w:type="lastCol">
      <w:tblPr/>
      <w:tcPr>
        <w:tcBorders>
          <w:top w:val="nil"/>
          <w:left w:val="single" w:sz="18" w:space="0" w:color="0072BC" w:themeColor="background1"/>
          <w:bottom w:val="nil"/>
          <w:right w:val="nil"/>
          <w:insideH w:val="nil"/>
          <w:insideV w:val="nil"/>
        </w:tcBorders>
        <w:shd w:val="clear" w:color="auto" w:fill="8F0000" w:themeFill="accent2" w:themeFillShade="BF"/>
      </w:tcPr>
    </w:tblStylePr>
    <w:tblStylePr w:type="band1Vert">
      <w:tblPr/>
      <w:tcPr>
        <w:tcBorders>
          <w:top w:val="nil"/>
          <w:left w:val="nil"/>
          <w:bottom w:val="nil"/>
          <w:right w:val="nil"/>
          <w:insideH w:val="nil"/>
          <w:insideV w:val="nil"/>
        </w:tcBorders>
        <w:shd w:val="clear" w:color="auto" w:fill="8F0000" w:themeFill="accent2" w:themeFillShade="BF"/>
      </w:tcPr>
    </w:tblStylePr>
    <w:tblStylePr w:type="band1Horz">
      <w:tblPr/>
      <w:tcPr>
        <w:tcBorders>
          <w:top w:val="nil"/>
          <w:left w:val="nil"/>
          <w:bottom w:val="nil"/>
          <w:right w:val="nil"/>
          <w:insideH w:val="nil"/>
          <w:insideV w:val="nil"/>
        </w:tcBorders>
        <w:shd w:val="clear" w:color="auto" w:fill="8F0000" w:themeFill="accent2" w:themeFillShade="BF"/>
      </w:tcPr>
    </w:tblStylePr>
  </w:style>
  <w:style w:type="table" w:styleId="DarkListAccent3">
    <w:name w:val="Dark List Accent 3"/>
    <w:basedOn w:val="TableNormal"/>
    <w:uiPriority w:val="70"/>
    <w:semiHidden/>
    <w:rsid w:val="00A00672"/>
    <w:rPr>
      <w:color w:val="0072BC" w:themeColor="background1"/>
      <w:sz w:val="24"/>
      <w:szCs w:val="24"/>
    </w:rPr>
    <w:tblPr>
      <w:tblStyleRowBandSize w:val="1"/>
      <w:tblStyleColBandSize w:val="1"/>
    </w:tblPr>
    <w:tcPr>
      <w:shd w:val="clear" w:color="auto" w:fill="5F5F5F" w:themeFill="accent3"/>
    </w:tcPr>
    <w:tblStylePr w:type="firstRow">
      <w:rPr>
        <w:b/>
        <w:bCs/>
      </w:rPr>
      <w:tblPr/>
      <w:tcPr>
        <w:tcBorders>
          <w:top w:val="nil"/>
          <w:left w:val="nil"/>
          <w:bottom w:val="single" w:sz="18" w:space="0" w:color="0072BC" w:themeColor="background1"/>
          <w:right w:val="nil"/>
          <w:insideH w:val="nil"/>
          <w:insideV w:val="nil"/>
        </w:tcBorders>
        <w:shd w:val="clear" w:color="auto" w:fill="000000" w:themeFill="text1"/>
      </w:tcPr>
    </w:tblStylePr>
    <w:tblStylePr w:type="lastRow">
      <w:tblPr/>
      <w:tcPr>
        <w:tcBorders>
          <w:top w:val="single" w:sz="18" w:space="0" w:color="0072BC" w:themeColor="background1"/>
          <w:left w:val="nil"/>
          <w:bottom w:val="nil"/>
          <w:right w:val="nil"/>
          <w:insideH w:val="nil"/>
          <w:insideV w:val="nil"/>
        </w:tcBorders>
        <w:shd w:val="clear" w:color="auto" w:fill="2F2F2F" w:themeFill="accent3" w:themeFillShade="7F"/>
      </w:tcPr>
    </w:tblStylePr>
    <w:tblStylePr w:type="firstCol">
      <w:tblPr/>
      <w:tcPr>
        <w:tcBorders>
          <w:top w:val="nil"/>
          <w:left w:val="nil"/>
          <w:bottom w:val="nil"/>
          <w:right w:val="single" w:sz="18" w:space="0" w:color="0072BC" w:themeColor="background1"/>
          <w:insideH w:val="nil"/>
          <w:insideV w:val="nil"/>
        </w:tcBorders>
        <w:shd w:val="clear" w:color="auto" w:fill="474747" w:themeFill="accent3" w:themeFillShade="BF"/>
      </w:tcPr>
    </w:tblStylePr>
    <w:tblStylePr w:type="lastCol">
      <w:tblPr/>
      <w:tcPr>
        <w:tcBorders>
          <w:top w:val="nil"/>
          <w:left w:val="single" w:sz="18" w:space="0" w:color="0072BC" w:themeColor="background1"/>
          <w:bottom w:val="nil"/>
          <w:right w:val="nil"/>
          <w:insideH w:val="nil"/>
          <w:insideV w:val="nil"/>
        </w:tcBorders>
        <w:shd w:val="clear" w:color="auto" w:fill="474747" w:themeFill="accent3" w:themeFillShade="BF"/>
      </w:tcPr>
    </w:tblStylePr>
    <w:tblStylePr w:type="band1Vert">
      <w:tblPr/>
      <w:tcPr>
        <w:tcBorders>
          <w:top w:val="nil"/>
          <w:left w:val="nil"/>
          <w:bottom w:val="nil"/>
          <w:right w:val="nil"/>
          <w:insideH w:val="nil"/>
          <w:insideV w:val="nil"/>
        </w:tcBorders>
        <w:shd w:val="clear" w:color="auto" w:fill="474747" w:themeFill="accent3" w:themeFillShade="BF"/>
      </w:tcPr>
    </w:tblStylePr>
    <w:tblStylePr w:type="band1Horz">
      <w:tblPr/>
      <w:tcPr>
        <w:tcBorders>
          <w:top w:val="nil"/>
          <w:left w:val="nil"/>
          <w:bottom w:val="nil"/>
          <w:right w:val="nil"/>
          <w:insideH w:val="nil"/>
          <w:insideV w:val="nil"/>
        </w:tcBorders>
        <w:shd w:val="clear" w:color="auto" w:fill="474747" w:themeFill="accent3" w:themeFillShade="BF"/>
      </w:tcPr>
    </w:tblStylePr>
  </w:style>
  <w:style w:type="table" w:styleId="DarkListAccent4">
    <w:name w:val="Dark List Accent 4"/>
    <w:basedOn w:val="TableNormal"/>
    <w:uiPriority w:val="70"/>
    <w:semiHidden/>
    <w:rsid w:val="00A00672"/>
    <w:rPr>
      <w:color w:val="0072BC" w:themeColor="background1"/>
      <w:sz w:val="24"/>
      <w:szCs w:val="24"/>
    </w:rPr>
    <w:tblPr>
      <w:tblStyleRowBandSize w:val="1"/>
      <w:tblStyleColBandSize w:val="1"/>
    </w:tblPr>
    <w:tcPr>
      <w:shd w:val="clear" w:color="auto" w:fill="969696" w:themeFill="accent4"/>
    </w:tcPr>
    <w:tblStylePr w:type="firstRow">
      <w:rPr>
        <w:b/>
        <w:bCs/>
      </w:rPr>
      <w:tblPr/>
      <w:tcPr>
        <w:tcBorders>
          <w:top w:val="nil"/>
          <w:left w:val="nil"/>
          <w:bottom w:val="single" w:sz="18" w:space="0" w:color="0072BC" w:themeColor="background1"/>
          <w:right w:val="nil"/>
          <w:insideH w:val="nil"/>
          <w:insideV w:val="nil"/>
        </w:tcBorders>
        <w:shd w:val="clear" w:color="auto" w:fill="000000" w:themeFill="text1"/>
      </w:tcPr>
    </w:tblStylePr>
    <w:tblStylePr w:type="lastRow">
      <w:tblPr/>
      <w:tcPr>
        <w:tcBorders>
          <w:top w:val="single" w:sz="18" w:space="0" w:color="0072BC" w:themeColor="background1"/>
          <w:left w:val="nil"/>
          <w:bottom w:val="nil"/>
          <w:right w:val="nil"/>
          <w:insideH w:val="nil"/>
          <w:insideV w:val="nil"/>
        </w:tcBorders>
        <w:shd w:val="clear" w:color="auto" w:fill="4A4A4A" w:themeFill="accent4" w:themeFillShade="7F"/>
      </w:tcPr>
    </w:tblStylePr>
    <w:tblStylePr w:type="firstCol">
      <w:tblPr/>
      <w:tcPr>
        <w:tcBorders>
          <w:top w:val="nil"/>
          <w:left w:val="nil"/>
          <w:bottom w:val="nil"/>
          <w:right w:val="single" w:sz="18" w:space="0" w:color="0072BC" w:themeColor="background1"/>
          <w:insideH w:val="nil"/>
          <w:insideV w:val="nil"/>
        </w:tcBorders>
        <w:shd w:val="clear" w:color="auto" w:fill="707070" w:themeFill="accent4" w:themeFillShade="BF"/>
      </w:tcPr>
    </w:tblStylePr>
    <w:tblStylePr w:type="lastCol">
      <w:tblPr/>
      <w:tcPr>
        <w:tcBorders>
          <w:top w:val="nil"/>
          <w:left w:val="single" w:sz="18" w:space="0" w:color="0072BC" w:themeColor="background1"/>
          <w:bottom w:val="nil"/>
          <w:right w:val="nil"/>
          <w:insideH w:val="nil"/>
          <w:insideV w:val="nil"/>
        </w:tcBorders>
        <w:shd w:val="clear" w:color="auto" w:fill="707070" w:themeFill="accent4" w:themeFillShade="BF"/>
      </w:tcPr>
    </w:tblStylePr>
    <w:tblStylePr w:type="band1Vert">
      <w:tblPr/>
      <w:tcPr>
        <w:tcBorders>
          <w:top w:val="nil"/>
          <w:left w:val="nil"/>
          <w:bottom w:val="nil"/>
          <w:right w:val="nil"/>
          <w:insideH w:val="nil"/>
          <w:insideV w:val="nil"/>
        </w:tcBorders>
        <w:shd w:val="clear" w:color="auto" w:fill="707070" w:themeFill="accent4" w:themeFillShade="BF"/>
      </w:tcPr>
    </w:tblStylePr>
    <w:tblStylePr w:type="band1Horz">
      <w:tblPr/>
      <w:tcPr>
        <w:tcBorders>
          <w:top w:val="nil"/>
          <w:left w:val="nil"/>
          <w:bottom w:val="nil"/>
          <w:right w:val="nil"/>
          <w:insideH w:val="nil"/>
          <w:insideV w:val="nil"/>
        </w:tcBorders>
        <w:shd w:val="clear" w:color="auto" w:fill="707070" w:themeFill="accent4" w:themeFillShade="BF"/>
      </w:tcPr>
    </w:tblStylePr>
  </w:style>
  <w:style w:type="table" w:styleId="DarkListAccent5">
    <w:name w:val="Dark List Accent 5"/>
    <w:basedOn w:val="TableNormal"/>
    <w:uiPriority w:val="70"/>
    <w:semiHidden/>
    <w:rsid w:val="00A00672"/>
    <w:rPr>
      <w:color w:val="0072BC" w:themeColor="background1"/>
      <w:sz w:val="24"/>
      <w:szCs w:val="24"/>
    </w:rPr>
    <w:tblPr>
      <w:tblStyleRowBandSize w:val="1"/>
      <w:tblStyleColBandSize w:val="1"/>
    </w:tblPr>
    <w:tcPr>
      <w:shd w:val="clear" w:color="auto" w:fill="5F5F5F" w:themeFill="accent5"/>
    </w:tcPr>
    <w:tblStylePr w:type="firstRow">
      <w:rPr>
        <w:b/>
        <w:bCs/>
      </w:rPr>
      <w:tblPr/>
      <w:tcPr>
        <w:tcBorders>
          <w:top w:val="nil"/>
          <w:left w:val="nil"/>
          <w:bottom w:val="single" w:sz="18" w:space="0" w:color="0072BC" w:themeColor="background1"/>
          <w:right w:val="nil"/>
          <w:insideH w:val="nil"/>
          <w:insideV w:val="nil"/>
        </w:tcBorders>
        <w:shd w:val="clear" w:color="auto" w:fill="000000" w:themeFill="text1"/>
      </w:tcPr>
    </w:tblStylePr>
    <w:tblStylePr w:type="lastRow">
      <w:tblPr/>
      <w:tcPr>
        <w:tcBorders>
          <w:top w:val="single" w:sz="18" w:space="0" w:color="0072BC" w:themeColor="background1"/>
          <w:left w:val="nil"/>
          <w:bottom w:val="nil"/>
          <w:right w:val="nil"/>
          <w:insideH w:val="nil"/>
          <w:insideV w:val="nil"/>
        </w:tcBorders>
        <w:shd w:val="clear" w:color="auto" w:fill="2F2F2F" w:themeFill="accent5" w:themeFillShade="7F"/>
      </w:tcPr>
    </w:tblStylePr>
    <w:tblStylePr w:type="firstCol">
      <w:tblPr/>
      <w:tcPr>
        <w:tcBorders>
          <w:top w:val="nil"/>
          <w:left w:val="nil"/>
          <w:bottom w:val="nil"/>
          <w:right w:val="single" w:sz="18" w:space="0" w:color="0072BC" w:themeColor="background1"/>
          <w:insideH w:val="nil"/>
          <w:insideV w:val="nil"/>
        </w:tcBorders>
        <w:shd w:val="clear" w:color="auto" w:fill="474747" w:themeFill="accent5" w:themeFillShade="BF"/>
      </w:tcPr>
    </w:tblStylePr>
    <w:tblStylePr w:type="lastCol">
      <w:tblPr/>
      <w:tcPr>
        <w:tcBorders>
          <w:top w:val="nil"/>
          <w:left w:val="single" w:sz="18" w:space="0" w:color="0072BC" w:themeColor="background1"/>
          <w:bottom w:val="nil"/>
          <w:right w:val="nil"/>
          <w:insideH w:val="nil"/>
          <w:insideV w:val="nil"/>
        </w:tcBorders>
        <w:shd w:val="clear" w:color="auto" w:fill="474747" w:themeFill="accent5" w:themeFillShade="BF"/>
      </w:tcPr>
    </w:tblStylePr>
    <w:tblStylePr w:type="band1Vert">
      <w:tblPr/>
      <w:tcPr>
        <w:tcBorders>
          <w:top w:val="nil"/>
          <w:left w:val="nil"/>
          <w:bottom w:val="nil"/>
          <w:right w:val="nil"/>
          <w:insideH w:val="nil"/>
          <w:insideV w:val="nil"/>
        </w:tcBorders>
        <w:shd w:val="clear" w:color="auto" w:fill="474747" w:themeFill="accent5" w:themeFillShade="BF"/>
      </w:tcPr>
    </w:tblStylePr>
    <w:tblStylePr w:type="band1Horz">
      <w:tblPr/>
      <w:tcPr>
        <w:tcBorders>
          <w:top w:val="nil"/>
          <w:left w:val="nil"/>
          <w:bottom w:val="nil"/>
          <w:right w:val="nil"/>
          <w:insideH w:val="nil"/>
          <w:insideV w:val="nil"/>
        </w:tcBorders>
        <w:shd w:val="clear" w:color="auto" w:fill="474747" w:themeFill="accent5" w:themeFillShade="BF"/>
      </w:tcPr>
    </w:tblStylePr>
  </w:style>
  <w:style w:type="table" w:styleId="DarkListAccent6">
    <w:name w:val="Dark List Accent 6"/>
    <w:basedOn w:val="TableNormal"/>
    <w:uiPriority w:val="70"/>
    <w:semiHidden/>
    <w:rsid w:val="00A00672"/>
    <w:rPr>
      <w:color w:val="0072BC" w:themeColor="background1"/>
      <w:sz w:val="24"/>
      <w:szCs w:val="24"/>
    </w:rPr>
    <w:tblPr>
      <w:tblStyleRowBandSize w:val="1"/>
      <w:tblStyleColBandSize w:val="1"/>
    </w:tblPr>
    <w:tcPr>
      <w:shd w:val="clear" w:color="auto" w:fill="4D4D4D" w:themeFill="accent6"/>
    </w:tcPr>
    <w:tblStylePr w:type="firstRow">
      <w:rPr>
        <w:b/>
        <w:bCs/>
      </w:rPr>
      <w:tblPr/>
      <w:tcPr>
        <w:tcBorders>
          <w:top w:val="nil"/>
          <w:left w:val="nil"/>
          <w:bottom w:val="single" w:sz="18" w:space="0" w:color="0072BC" w:themeColor="background1"/>
          <w:right w:val="nil"/>
          <w:insideH w:val="nil"/>
          <w:insideV w:val="nil"/>
        </w:tcBorders>
        <w:shd w:val="clear" w:color="auto" w:fill="000000" w:themeFill="text1"/>
      </w:tcPr>
    </w:tblStylePr>
    <w:tblStylePr w:type="lastRow">
      <w:tblPr/>
      <w:tcPr>
        <w:tcBorders>
          <w:top w:val="single" w:sz="18" w:space="0" w:color="0072BC" w:themeColor="background1"/>
          <w:left w:val="nil"/>
          <w:bottom w:val="nil"/>
          <w:right w:val="nil"/>
          <w:insideH w:val="nil"/>
          <w:insideV w:val="nil"/>
        </w:tcBorders>
        <w:shd w:val="clear" w:color="auto" w:fill="262626" w:themeFill="accent6" w:themeFillShade="7F"/>
      </w:tcPr>
    </w:tblStylePr>
    <w:tblStylePr w:type="firstCol">
      <w:tblPr/>
      <w:tcPr>
        <w:tcBorders>
          <w:top w:val="nil"/>
          <w:left w:val="nil"/>
          <w:bottom w:val="nil"/>
          <w:right w:val="single" w:sz="18" w:space="0" w:color="0072BC" w:themeColor="background1"/>
          <w:insideH w:val="nil"/>
          <w:insideV w:val="nil"/>
        </w:tcBorders>
        <w:shd w:val="clear" w:color="auto" w:fill="393939" w:themeFill="accent6" w:themeFillShade="BF"/>
      </w:tcPr>
    </w:tblStylePr>
    <w:tblStylePr w:type="lastCol">
      <w:tblPr/>
      <w:tcPr>
        <w:tcBorders>
          <w:top w:val="nil"/>
          <w:left w:val="single" w:sz="18" w:space="0" w:color="0072BC" w:themeColor="background1"/>
          <w:bottom w:val="nil"/>
          <w:right w:val="nil"/>
          <w:insideH w:val="nil"/>
          <w:insideV w:val="nil"/>
        </w:tcBorders>
        <w:shd w:val="clear" w:color="auto" w:fill="393939" w:themeFill="accent6" w:themeFillShade="BF"/>
      </w:tcPr>
    </w:tblStylePr>
    <w:tblStylePr w:type="band1Vert">
      <w:tblPr/>
      <w:tcPr>
        <w:tcBorders>
          <w:top w:val="nil"/>
          <w:left w:val="nil"/>
          <w:bottom w:val="nil"/>
          <w:right w:val="nil"/>
          <w:insideH w:val="nil"/>
          <w:insideV w:val="nil"/>
        </w:tcBorders>
        <w:shd w:val="clear" w:color="auto" w:fill="393939" w:themeFill="accent6" w:themeFillShade="BF"/>
      </w:tcPr>
    </w:tblStylePr>
    <w:tblStylePr w:type="band1Horz">
      <w:tblPr/>
      <w:tcPr>
        <w:tcBorders>
          <w:top w:val="nil"/>
          <w:left w:val="nil"/>
          <w:bottom w:val="nil"/>
          <w:right w:val="nil"/>
          <w:insideH w:val="nil"/>
          <w:insideV w:val="nil"/>
        </w:tcBorders>
        <w:shd w:val="clear" w:color="auto" w:fill="393939" w:themeFill="accent6" w:themeFillShade="BF"/>
      </w:tcPr>
    </w:tblStylePr>
  </w:style>
  <w:style w:type="paragraph" w:styleId="Date">
    <w:name w:val="Date"/>
    <w:basedOn w:val="Normal"/>
    <w:next w:val="Normal"/>
    <w:link w:val="DateChar"/>
    <w:uiPriority w:val="99"/>
    <w:semiHidden/>
    <w:rsid w:val="00A00672"/>
  </w:style>
  <w:style w:type="character" w:customStyle="1" w:styleId="DateChar">
    <w:name w:val="Date Char"/>
    <w:basedOn w:val="DefaultParagraphFont"/>
    <w:link w:val="Date"/>
    <w:uiPriority w:val="99"/>
    <w:semiHidden/>
    <w:rsid w:val="00A00672"/>
    <w:rPr>
      <w:sz w:val="24"/>
      <w:szCs w:val="24"/>
      <w:lang w:val="fr-FR"/>
    </w:rPr>
  </w:style>
  <w:style w:type="paragraph" w:styleId="DocumentMap">
    <w:name w:val="Document Map"/>
    <w:basedOn w:val="Normal"/>
    <w:link w:val="DocumentMapChar"/>
    <w:uiPriority w:val="99"/>
    <w:semiHidden/>
    <w:rsid w:val="00A00672"/>
    <w:rPr>
      <w:rFonts w:ascii="Tahoma" w:hAnsi="Tahoma" w:cs="Tahoma"/>
      <w:sz w:val="16"/>
      <w:szCs w:val="16"/>
    </w:rPr>
  </w:style>
  <w:style w:type="character" w:customStyle="1" w:styleId="DocumentMapChar">
    <w:name w:val="Document Map Char"/>
    <w:basedOn w:val="DefaultParagraphFont"/>
    <w:link w:val="DocumentMap"/>
    <w:uiPriority w:val="99"/>
    <w:semiHidden/>
    <w:rsid w:val="00A00672"/>
    <w:rPr>
      <w:rFonts w:ascii="Tahoma" w:hAnsi="Tahoma" w:cs="Tahoma"/>
      <w:sz w:val="16"/>
      <w:szCs w:val="16"/>
      <w:lang w:val="fr-FR"/>
    </w:rPr>
  </w:style>
  <w:style w:type="paragraph" w:styleId="E-mailSignature">
    <w:name w:val="E-mail Signature"/>
    <w:basedOn w:val="Normal"/>
    <w:link w:val="E-mailSignatureChar"/>
    <w:uiPriority w:val="99"/>
    <w:semiHidden/>
    <w:rsid w:val="00A00672"/>
  </w:style>
  <w:style w:type="character" w:customStyle="1" w:styleId="E-mailSignatureChar">
    <w:name w:val="E-mail Signature Char"/>
    <w:basedOn w:val="DefaultParagraphFont"/>
    <w:link w:val="E-mailSignature"/>
    <w:uiPriority w:val="99"/>
    <w:semiHidden/>
    <w:rsid w:val="00A00672"/>
    <w:rPr>
      <w:sz w:val="24"/>
      <w:szCs w:val="24"/>
      <w:lang w:val="fr-FR"/>
    </w:rPr>
  </w:style>
  <w:style w:type="character" w:styleId="EndnoteReference">
    <w:name w:val="endnote reference"/>
    <w:basedOn w:val="DefaultParagraphFont"/>
    <w:uiPriority w:val="99"/>
    <w:semiHidden/>
    <w:rsid w:val="00A00672"/>
    <w:rPr>
      <w:vertAlign w:val="superscript"/>
    </w:rPr>
  </w:style>
  <w:style w:type="paragraph" w:styleId="EndnoteText">
    <w:name w:val="endnote text"/>
    <w:basedOn w:val="Normal"/>
    <w:link w:val="EndnoteTextChar"/>
    <w:uiPriority w:val="99"/>
    <w:semiHidden/>
    <w:rsid w:val="00A00672"/>
    <w:rPr>
      <w:sz w:val="20"/>
      <w:szCs w:val="20"/>
    </w:rPr>
  </w:style>
  <w:style w:type="character" w:customStyle="1" w:styleId="EndnoteTextChar">
    <w:name w:val="Endnote Text Char"/>
    <w:basedOn w:val="DefaultParagraphFont"/>
    <w:link w:val="EndnoteText"/>
    <w:uiPriority w:val="99"/>
    <w:semiHidden/>
    <w:rsid w:val="00A00672"/>
    <w:rPr>
      <w:sz w:val="20"/>
      <w:szCs w:val="20"/>
      <w:lang w:val="fr-FR"/>
    </w:rPr>
  </w:style>
  <w:style w:type="paragraph" w:styleId="EnvelopeAddress">
    <w:name w:val="envelope address"/>
    <w:basedOn w:val="Normal"/>
    <w:uiPriority w:val="99"/>
    <w:semiHidden/>
    <w:rsid w:val="00A00672"/>
    <w:pPr>
      <w:framePr w:w="7938" w:h="1985" w:hRule="exact" w:hSpace="141" w:wrap="auto" w:hAnchor="page" w:xAlign="center" w:yAlign="bottom"/>
      <w:ind w:left="2835"/>
    </w:pPr>
    <w:rPr>
      <w:rFonts w:asciiTheme="majorHAnsi" w:eastAsiaTheme="majorEastAsia" w:hAnsiTheme="majorHAnsi" w:cstheme="majorBidi"/>
    </w:rPr>
  </w:style>
  <w:style w:type="paragraph" w:styleId="EnvelopeReturn">
    <w:name w:val="envelope return"/>
    <w:basedOn w:val="Normal"/>
    <w:uiPriority w:val="99"/>
    <w:semiHidden/>
    <w:rsid w:val="00A00672"/>
    <w:rPr>
      <w:rFonts w:asciiTheme="majorHAnsi" w:eastAsiaTheme="majorEastAsia" w:hAnsiTheme="majorHAnsi" w:cstheme="majorBidi"/>
      <w:sz w:val="20"/>
      <w:szCs w:val="20"/>
    </w:rPr>
  </w:style>
  <w:style w:type="character" w:styleId="FollowedHyperlink">
    <w:name w:val="FollowedHyperlink"/>
    <w:basedOn w:val="DefaultParagraphFont"/>
    <w:uiPriority w:val="99"/>
    <w:semiHidden/>
    <w:rsid w:val="00A00672"/>
    <w:rPr>
      <w:color w:val="7030A0" w:themeColor="followedHyperlink"/>
      <w:u w:val="single"/>
    </w:rPr>
  </w:style>
  <w:style w:type="character" w:styleId="HTMLAcronym">
    <w:name w:val="HTML Acronym"/>
    <w:basedOn w:val="DefaultParagraphFont"/>
    <w:uiPriority w:val="99"/>
    <w:semiHidden/>
    <w:rsid w:val="00A00672"/>
  </w:style>
  <w:style w:type="paragraph" w:styleId="HTMLAddress">
    <w:name w:val="HTML Address"/>
    <w:basedOn w:val="Normal"/>
    <w:link w:val="HTMLAddressChar"/>
    <w:uiPriority w:val="99"/>
    <w:semiHidden/>
    <w:rsid w:val="00A00672"/>
    <w:rPr>
      <w:i/>
      <w:iCs/>
    </w:rPr>
  </w:style>
  <w:style w:type="character" w:customStyle="1" w:styleId="HTMLAddressChar">
    <w:name w:val="HTML Address Char"/>
    <w:basedOn w:val="DefaultParagraphFont"/>
    <w:link w:val="HTMLAddress"/>
    <w:uiPriority w:val="99"/>
    <w:semiHidden/>
    <w:rsid w:val="00A00672"/>
    <w:rPr>
      <w:i/>
      <w:iCs/>
      <w:sz w:val="24"/>
      <w:szCs w:val="24"/>
      <w:lang w:val="fr-FR"/>
    </w:rPr>
  </w:style>
  <w:style w:type="character" w:styleId="HTMLCite">
    <w:name w:val="HTML Cite"/>
    <w:basedOn w:val="DefaultParagraphFont"/>
    <w:uiPriority w:val="99"/>
    <w:semiHidden/>
    <w:rsid w:val="00A00672"/>
    <w:rPr>
      <w:i/>
      <w:iCs/>
    </w:rPr>
  </w:style>
  <w:style w:type="character" w:styleId="HTMLCode">
    <w:name w:val="HTML Code"/>
    <w:basedOn w:val="DefaultParagraphFont"/>
    <w:uiPriority w:val="99"/>
    <w:semiHidden/>
    <w:rsid w:val="00A00672"/>
    <w:rPr>
      <w:rFonts w:ascii="Consolas" w:hAnsi="Consolas" w:cs="Consolas"/>
      <w:sz w:val="20"/>
      <w:szCs w:val="20"/>
    </w:rPr>
  </w:style>
  <w:style w:type="character" w:styleId="HTMLDefinition">
    <w:name w:val="HTML Definition"/>
    <w:basedOn w:val="DefaultParagraphFont"/>
    <w:uiPriority w:val="99"/>
    <w:semiHidden/>
    <w:rsid w:val="00A00672"/>
    <w:rPr>
      <w:i/>
      <w:iCs/>
    </w:rPr>
  </w:style>
  <w:style w:type="character" w:styleId="HTMLKeyboard">
    <w:name w:val="HTML Keyboard"/>
    <w:basedOn w:val="DefaultParagraphFont"/>
    <w:uiPriority w:val="99"/>
    <w:semiHidden/>
    <w:rsid w:val="00A00672"/>
    <w:rPr>
      <w:rFonts w:ascii="Consolas" w:hAnsi="Consolas" w:cs="Consolas"/>
      <w:sz w:val="20"/>
      <w:szCs w:val="20"/>
    </w:rPr>
  </w:style>
  <w:style w:type="paragraph" w:styleId="HTMLPreformatted">
    <w:name w:val="HTML Preformatted"/>
    <w:basedOn w:val="Normal"/>
    <w:link w:val="HTMLPreformattedChar"/>
    <w:uiPriority w:val="99"/>
    <w:semiHidden/>
    <w:rsid w:val="00A00672"/>
    <w:rPr>
      <w:rFonts w:ascii="Consolas" w:hAnsi="Consolas" w:cs="Consolas"/>
      <w:sz w:val="20"/>
      <w:szCs w:val="20"/>
    </w:rPr>
  </w:style>
  <w:style w:type="character" w:customStyle="1" w:styleId="HTMLPreformattedChar">
    <w:name w:val="HTML Preformatted Char"/>
    <w:basedOn w:val="DefaultParagraphFont"/>
    <w:link w:val="HTMLPreformatted"/>
    <w:uiPriority w:val="99"/>
    <w:semiHidden/>
    <w:rsid w:val="00A00672"/>
    <w:rPr>
      <w:rFonts w:ascii="Consolas" w:hAnsi="Consolas" w:cs="Consolas"/>
      <w:sz w:val="20"/>
      <w:szCs w:val="20"/>
      <w:lang w:val="fr-FR"/>
    </w:rPr>
  </w:style>
  <w:style w:type="character" w:styleId="HTMLSample">
    <w:name w:val="HTML Sample"/>
    <w:basedOn w:val="DefaultParagraphFont"/>
    <w:uiPriority w:val="99"/>
    <w:semiHidden/>
    <w:rsid w:val="00A00672"/>
    <w:rPr>
      <w:rFonts w:ascii="Consolas" w:hAnsi="Consolas" w:cs="Consolas"/>
      <w:sz w:val="24"/>
      <w:szCs w:val="24"/>
    </w:rPr>
  </w:style>
  <w:style w:type="character" w:styleId="HTMLTypewriter">
    <w:name w:val="HTML Typewriter"/>
    <w:basedOn w:val="DefaultParagraphFont"/>
    <w:uiPriority w:val="99"/>
    <w:semiHidden/>
    <w:rsid w:val="00A00672"/>
    <w:rPr>
      <w:rFonts w:ascii="Consolas" w:hAnsi="Consolas" w:cs="Consolas"/>
      <w:sz w:val="20"/>
      <w:szCs w:val="20"/>
    </w:rPr>
  </w:style>
  <w:style w:type="character" w:styleId="HTMLVariable">
    <w:name w:val="HTML Variable"/>
    <w:basedOn w:val="DefaultParagraphFont"/>
    <w:uiPriority w:val="99"/>
    <w:semiHidden/>
    <w:rsid w:val="00A00672"/>
    <w:rPr>
      <w:i/>
      <w:iCs/>
    </w:rPr>
  </w:style>
  <w:style w:type="paragraph" w:styleId="Index1">
    <w:name w:val="index 1"/>
    <w:basedOn w:val="Normal"/>
    <w:next w:val="Normal"/>
    <w:autoRedefine/>
    <w:uiPriority w:val="99"/>
    <w:semiHidden/>
    <w:rsid w:val="00A00672"/>
    <w:pPr>
      <w:ind w:left="240" w:hanging="240"/>
    </w:pPr>
  </w:style>
  <w:style w:type="paragraph" w:styleId="Index2">
    <w:name w:val="index 2"/>
    <w:basedOn w:val="Normal"/>
    <w:next w:val="Normal"/>
    <w:autoRedefine/>
    <w:uiPriority w:val="99"/>
    <w:semiHidden/>
    <w:rsid w:val="00A00672"/>
    <w:pPr>
      <w:ind w:left="480" w:hanging="240"/>
    </w:pPr>
  </w:style>
  <w:style w:type="paragraph" w:styleId="Index3">
    <w:name w:val="index 3"/>
    <w:basedOn w:val="Normal"/>
    <w:next w:val="Normal"/>
    <w:autoRedefine/>
    <w:uiPriority w:val="99"/>
    <w:semiHidden/>
    <w:rsid w:val="00A00672"/>
    <w:pPr>
      <w:ind w:left="720" w:hanging="240"/>
    </w:pPr>
  </w:style>
  <w:style w:type="paragraph" w:styleId="Index4">
    <w:name w:val="index 4"/>
    <w:basedOn w:val="Normal"/>
    <w:next w:val="Normal"/>
    <w:autoRedefine/>
    <w:uiPriority w:val="99"/>
    <w:semiHidden/>
    <w:rsid w:val="00A00672"/>
    <w:pPr>
      <w:ind w:left="960" w:hanging="240"/>
    </w:pPr>
  </w:style>
  <w:style w:type="paragraph" w:styleId="Index5">
    <w:name w:val="index 5"/>
    <w:basedOn w:val="Normal"/>
    <w:next w:val="Normal"/>
    <w:autoRedefine/>
    <w:uiPriority w:val="99"/>
    <w:semiHidden/>
    <w:rsid w:val="00A00672"/>
    <w:pPr>
      <w:ind w:left="1200" w:hanging="240"/>
    </w:pPr>
  </w:style>
  <w:style w:type="paragraph" w:styleId="Index6">
    <w:name w:val="index 6"/>
    <w:basedOn w:val="Normal"/>
    <w:next w:val="Normal"/>
    <w:autoRedefine/>
    <w:uiPriority w:val="99"/>
    <w:semiHidden/>
    <w:rsid w:val="00A00672"/>
    <w:pPr>
      <w:ind w:left="1440" w:hanging="240"/>
    </w:pPr>
  </w:style>
  <w:style w:type="paragraph" w:styleId="Index7">
    <w:name w:val="index 7"/>
    <w:basedOn w:val="Normal"/>
    <w:next w:val="Normal"/>
    <w:autoRedefine/>
    <w:uiPriority w:val="99"/>
    <w:semiHidden/>
    <w:rsid w:val="00A00672"/>
    <w:pPr>
      <w:ind w:left="1680" w:hanging="240"/>
    </w:pPr>
  </w:style>
  <w:style w:type="paragraph" w:styleId="Index8">
    <w:name w:val="index 8"/>
    <w:basedOn w:val="Normal"/>
    <w:next w:val="Normal"/>
    <w:autoRedefine/>
    <w:uiPriority w:val="99"/>
    <w:semiHidden/>
    <w:rsid w:val="00A00672"/>
    <w:pPr>
      <w:ind w:left="1920" w:hanging="240"/>
    </w:pPr>
  </w:style>
  <w:style w:type="paragraph" w:styleId="Index9">
    <w:name w:val="index 9"/>
    <w:basedOn w:val="Normal"/>
    <w:next w:val="Normal"/>
    <w:autoRedefine/>
    <w:uiPriority w:val="99"/>
    <w:semiHidden/>
    <w:rsid w:val="00A00672"/>
    <w:pPr>
      <w:ind w:left="2160" w:hanging="240"/>
    </w:pPr>
  </w:style>
  <w:style w:type="paragraph" w:styleId="IndexHeading">
    <w:name w:val="index heading"/>
    <w:basedOn w:val="Normal"/>
    <w:next w:val="Index1"/>
    <w:uiPriority w:val="99"/>
    <w:semiHidden/>
    <w:rsid w:val="00A00672"/>
    <w:rPr>
      <w:rFonts w:asciiTheme="majorHAnsi" w:eastAsiaTheme="majorEastAsia" w:hAnsiTheme="majorHAnsi" w:cstheme="majorBidi"/>
      <w:b/>
      <w:bCs/>
    </w:rPr>
  </w:style>
  <w:style w:type="table" w:styleId="LightGrid">
    <w:name w:val="Light Grid"/>
    <w:basedOn w:val="TableNormal"/>
    <w:uiPriority w:val="62"/>
    <w:semiHidden/>
    <w:rsid w:val="00A00672"/>
    <w:rPr>
      <w:sz w:val="24"/>
      <w:szCs w:val="24"/>
    </w:r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semiHidden/>
    <w:rsid w:val="00A00672"/>
    <w:rPr>
      <w:sz w:val="24"/>
      <w:szCs w:val="24"/>
    </w:rPr>
    <w:tblPr>
      <w:tblStyleRowBandSize w:val="1"/>
      <w:tblStyleColBandSize w:val="1"/>
      <w:tblBorders>
        <w:top w:val="single" w:sz="8" w:space="0" w:color="0072BC" w:themeColor="accent1"/>
        <w:left w:val="single" w:sz="8" w:space="0" w:color="0072BC" w:themeColor="accent1"/>
        <w:bottom w:val="single" w:sz="8" w:space="0" w:color="0072BC" w:themeColor="accent1"/>
        <w:right w:val="single" w:sz="8" w:space="0" w:color="0072BC" w:themeColor="accent1"/>
        <w:insideH w:val="single" w:sz="8" w:space="0" w:color="0072BC" w:themeColor="accent1"/>
        <w:insideV w:val="single" w:sz="8" w:space="0" w:color="0072BC" w:themeColor="accent1"/>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0072BC" w:themeColor="accent1"/>
          <w:left w:val="single" w:sz="8" w:space="0" w:color="0072BC" w:themeColor="accent1"/>
          <w:bottom w:val="single" w:sz="18" w:space="0" w:color="0072BC" w:themeColor="accent1"/>
          <w:right w:val="single" w:sz="8" w:space="0" w:color="0072BC" w:themeColor="accent1"/>
          <w:insideH w:val="nil"/>
          <w:insideV w:val="single" w:sz="8" w:space="0" w:color="0072BC"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72BC" w:themeColor="accent1"/>
          <w:left w:val="single" w:sz="8" w:space="0" w:color="0072BC" w:themeColor="accent1"/>
          <w:bottom w:val="single" w:sz="8" w:space="0" w:color="0072BC" w:themeColor="accent1"/>
          <w:right w:val="single" w:sz="8" w:space="0" w:color="0072BC" w:themeColor="accent1"/>
          <w:insideH w:val="nil"/>
          <w:insideV w:val="single" w:sz="8" w:space="0" w:color="0072BC"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72BC" w:themeColor="accent1"/>
          <w:left w:val="single" w:sz="8" w:space="0" w:color="0072BC" w:themeColor="accent1"/>
          <w:bottom w:val="single" w:sz="8" w:space="0" w:color="0072BC" w:themeColor="accent1"/>
          <w:right w:val="single" w:sz="8" w:space="0" w:color="0072BC" w:themeColor="accent1"/>
        </w:tcBorders>
      </w:tcPr>
    </w:tblStylePr>
    <w:tblStylePr w:type="band1Vert">
      <w:tblPr/>
      <w:tcPr>
        <w:tcBorders>
          <w:top w:val="single" w:sz="8" w:space="0" w:color="0072BC" w:themeColor="accent1"/>
          <w:left w:val="single" w:sz="8" w:space="0" w:color="0072BC" w:themeColor="accent1"/>
          <w:bottom w:val="single" w:sz="8" w:space="0" w:color="0072BC" w:themeColor="accent1"/>
          <w:right w:val="single" w:sz="8" w:space="0" w:color="0072BC" w:themeColor="accent1"/>
        </w:tcBorders>
        <w:shd w:val="clear" w:color="auto" w:fill="AFDFFF" w:themeFill="accent1" w:themeFillTint="3F"/>
      </w:tcPr>
    </w:tblStylePr>
    <w:tblStylePr w:type="band1Horz">
      <w:tblPr/>
      <w:tcPr>
        <w:tcBorders>
          <w:top w:val="single" w:sz="8" w:space="0" w:color="0072BC" w:themeColor="accent1"/>
          <w:left w:val="single" w:sz="8" w:space="0" w:color="0072BC" w:themeColor="accent1"/>
          <w:bottom w:val="single" w:sz="8" w:space="0" w:color="0072BC" w:themeColor="accent1"/>
          <w:right w:val="single" w:sz="8" w:space="0" w:color="0072BC" w:themeColor="accent1"/>
          <w:insideV w:val="single" w:sz="8" w:space="0" w:color="0072BC" w:themeColor="accent1"/>
        </w:tcBorders>
        <w:shd w:val="clear" w:color="auto" w:fill="AFDFFF" w:themeFill="accent1" w:themeFillTint="3F"/>
      </w:tcPr>
    </w:tblStylePr>
    <w:tblStylePr w:type="band2Horz">
      <w:tblPr/>
      <w:tcPr>
        <w:tcBorders>
          <w:top w:val="single" w:sz="8" w:space="0" w:color="0072BC" w:themeColor="accent1"/>
          <w:left w:val="single" w:sz="8" w:space="0" w:color="0072BC" w:themeColor="accent1"/>
          <w:bottom w:val="single" w:sz="8" w:space="0" w:color="0072BC" w:themeColor="accent1"/>
          <w:right w:val="single" w:sz="8" w:space="0" w:color="0072BC" w:themeColor="accent1"/>
          <w:insideV w:val="single" w:sz="8" w:space="0" w:color="0072BC" w:themeColor="accent1"/>
        </w:tcBorders>
      </w:tcPr>
    </w:tblStylePr>
  </w:style>
  <w:style w:type="table" w:styleId="LightGridAccent2">
    <w:name w:val="Light Grid Accent 2"/>
    <w:basedOn w:val="TableNormal"/>
    <w:uiPriority w:val="62"/>
    <w:semiHidden/>
    <w:rsid w:val="00A00672"/>
    <w:rPr>
      <w:sz w:val="24"/>
      <w:szCs w:val="24"/>
    </w:rPr>
    <w:tblPr>
      <w:tblStyleRowBandSize w:val="1"/>
      <w:tblStyleColBandSize w:val="1"/>
      <w:tblBorders>
        <w:top w:val="single" w:sz="8" w:space="0" w:color="C00000" w:themeColor="accent2"/>
        <w:left w:val="single" w:sz="8" w:space="0" w:color="C00000" w:themeColor="accent2"/>
        <w:bottom w:val="single" w:sz="8" w:space="0" w:color="C00000" w:themeColor="accent2"/>
        <w:right w:val="single" w:sz="8" w:space="0" w:color="C00000" w:themeColor="accent2"/>
        <w:insideH w:val="single" w:sz="8" w:space="0" w:color="C00000" w:themeColor="accent2"/>
        <w:insideV w:val="single" w:sz="8" w:space="0" w:color="C00000" w:themeColor="accent2"/>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C00000" w:themeColor="accent2"/>
          <w:left w:val="single" w:sz="8" w:space="0" w:color="C00000" w:themeColor="accent2"/>
          <w:bottom w:val="single" w:sz="18" w:space="0" w:color="C00000" w:themeColor="accent2"/>
          <w:right w:val="single" w:sz="8" w:space="0" w:color="C00000" w:themeColor="accent2"/>
          <w:insideH w:val="nil"/>
          <w:insideV w:val="single" w:sz="8" w:space="0" w:color="C00000"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0000" w:themeColor="accent2"/>
          <w:left w:val="single" w:sz="8" w:space="0" w:color="C00000" w:themeColor="accent2"/>
          <w:bottom w:val="single" w:sz="8" w:space="0" w:color="C00000" w:themeColor="accent2"/>
          <w:right w:val="single" w:sz="8" w:space="0" w:color="C00000" w:themeColor="accent2"/>
          <w:insideH w:val="nil"/>
          <w:insideV w:val="single" w:sz="8" w:space="0" w:color="C00000"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0000" w:themeColor="accent2"/>
          <w:left w:val="single" w:sz="8" w:space="0" w:color="C00000" w:themeColor="accent2"/>
          <w:bottom w:val="single" w:sz="8" w:space="0" w:color="C00000" w:themeColor="accent2"/>
          <w:right w:val="single" w:sz="8" w:space="0" w:color="C00000" w:themeColor="accent2"/>
        </w:tcBorders>
      </w:tcPr>
    </w:tblStylePr>
    <w:tblStylePr w:type="band1Vert">
      <w:tblPr/>
      <w:tcPr>
        <w:tcBorders>
          <w:top w:val="single" w:sz="8" w:space="0" w:color="C00000" w:themeColor="accent2"/>
          <w:left w:val="single" w:sz="8" w:space="0" w:color="C00000" w:themeColor="accent2"/>
          <w:bottom w:val="single" w:sz="8" w:space="0" w:color="C00000" w:themeColor="accent2"/>
          <w:right w:val="single" w:sz="8" w:space="0" w:color="C00000" w:themeColor="accent2"/>
        </w:tcBorders>
        <w:shd w:val="clear" w:color="auto" w:fill="FFB0B0" w:themeFill="accent2" w:themeFillTint="3F"/>
      </w:tcPr>
    </w:tblStylePr>
    <w:tblStylePr w:type="band1Horz">
      <w:tblPr/>
      <w:tcPr>
        <w:tcBorders>
          <w:top w:val="single" w:sz="8" w:space="0" w:color="C00000" w:themeColor="accent2"/>
          <w:left w:val="single" w:sz="8" w:space="0" w:color="C00000" w:themeColor="accent2"/>
          <w:bottom w:val="single" w:sz="8" w:space="0" w:color="C00000" w:themeColor="accent2"/>
          <w:right w:val="single" w:sz="8" w:space="0" w:color="C00000" w:themeColor="accent2"/>
          <w:insideV w:val="single" w:sz="8" w:space="0" w:color="C00000" w:themeColor="accent2"/>
        </w:tcBorders>
        <w:shd w:val="clear" w:color="auto" w:fill="FFB0B0" w:themeFill="accent2" w:themeFillTint="3F"/>
      </w:tcPr>
    </w:tblStylePr>
    <w:tblStylePr w:type="band2Horz">
      <w:tblPr/>
      <w:tcPr>
        <w:tcBorders>
          <w:top w:val="single" w:sz="8" w:space="0" w:color="C00000" w:themeColor="accent2"/>
          <w:left w:val="single" w:sz="8" w:space="0" w:color="C00000" w:themeColor="accent2"/>
          <w:bottom w:val="single" w:sz="8" w:space="0" w:color="C00000" w:themeColor="accent2"/>
          <w:right w:val="single" w:sz="8" w:space="0" w:color="C00000" w:themeColor="accent2"/>
          <w:insideV w:val="single" w:sz="8" w:space="0" w:color="C00000" w:themeColor="accent2"/>
        </w:tcBorders>
      </w:tcPr>
    </w:tblStylePr>
  </w:style>
  <w:style w:type="table" w:styleId="LightGridAccent3">
    <w:name w:val="Light Grid Accent 3"/>
    <w:basedOn w:val="TableNormal"/>
    <w:uiPriority w:val="62"/>
    <w:semiHidden/>
    <w:rsid w:val="00A00672"/>
    <w:rPr>
      <w:sz w:val="24"/>
      <w:szCs w:val="24"/>
    </w:rPr>
    <w:tblPr>
      <w:tblStyleRowBandSize w:val="1"/>
      <w:tblStyleColBandSize w:val="1"/>
      <w:tblBorders>
        <w:top w:val="single" w:sz="8" w:space="0" w:color="5F5F5F" w:themeColor="accent3"/>
        <w:left w:val="single" w:sz="8" w:space="0" w:color="5F5F5F" w:themeColor="accent3"/>
        <w:bottom w:val="single" w:sz="8" w:space="0" w:color="5F5F5F" w:themeColor="accent3"/>
        <w:right w:val="single" w:sz="8" w:space="0" w:color="5F5F5F" w:themeColor="accent3"/>
        <w:insideH w:val="single" w:sz="8" w:space="0" w:color="5F5F5F" w:themeColor="accent3"/>
        <w:insideV w:val="single" w:sz="8" w:space="0" w:color="5F5F5F" w:themeColor="accent3"/>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5F5F5F" w:themeColor="accent3"/>
          <w:left w:val="single" w:sz="8" w:space="0" w:color="5F5F5F" w:themeColor="accent3"/>
          <w:bottom w:val="single" w:sz="18" w:space="0" w:color="5F5F5F" w:themeColor="accent3"/>
          <w:right w:val="single" w:sz="8" w:space="0" w:color="5F5F5F" w:themeColor="accent3"/>
          <w:insideH w:val="nil"/>
          <w:insideV w:val="single" w:sz="8" w:space="0" w:color="5F5F5F"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5F5F5F" w:themeColor="accent3"/>
          <w:left w:val="single" w:sz="8" w:space="0" w:color="5F5F5F" w:themeColor="accent3"/>
          <w:bottom w:val="single" w:sz="8" w:space="0" w:color="5F5F5F" w:themeColor="accent3"/>
          <w:right w:val="single" w:sz="8" w:space="0" w:color="5F5F5F" w:themeColor="accent3"/>
          <w:insideH w:val="nil"/>
          <w:insideV w:val="single" w:sz="8" w:space="0" w:color="5F5F5F"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5F5F5F" w:themeColor="accent3"/>
          <w:left w:val="single" w:sz="8" w:space="0" w:color="5F5F5F" w:themeColor="accent3"/>
          <w:bottom w:val="single" w:sz="8" w:space="0" w:color="5F5F5F" w:themeColor="accent3"/>
          <w:right w:val="single" w:sz="8" w:space="0" w:color="5F5F5F" w:themeColor="accent3"/>
        </w:tcBorders>
      </w:tcPr>
    </w:tblStylePr>
    <w:tblStylePr w:type="band1Vert">
      <w:tblPr/>
      <w:tcPr>
        <w:tcBorders>
          <w:top w:val="single" w:sz="8" w:space="0" w:color="5F5F5F" w:themeColor="accent3"/>
          <w:left w:val="single" w:sz="8" w:space="0" w:color="5F5F5F" w:themeColor="accent3"/>
          <w:bottom w:val="single" w:sz="8" w:space="0" w:color="5F5F5F" w:themeColor="accent3"/>
          <w:right w:val="single" w:sz="8" w:space="0" w:color="5F5F5F" w:themeColor="accent3"/>
        </w:tcBorders>
        <w:shd w:val="clear" w:color="auto" w:fill="D7D7D7" w:themeFill="accent3" w:themeFillTint="3F"/>
      </w:tcPr>
    </w:tblStylePr>
    <w:tblStylePr w:type="band1Horz">
      <w:tblPr/>
      <w:tcPr>
        <w:tcBorders>
          <w:top w:val="single" w:sz="8" w:space="0" w:color="5F5F5F" w:themeColor="accent3"/>
          <w:left w:val="single" w:sz="8" w:space="0" w:color="5F5F5F" w:themeColor="accent3"/>
          <w:bottom w:val="single" w:sz="8" w:space="0" w:color="5F5F5F" w:themeColor="accent3"/>
          <w:right w:val="single" w:sz="8" w:space="0" w:color="5F5F5F" w:themeColor="accent3"/>
          <w:insideV w:val="single" w:sz="8" w:space="0" w:color="5F5F5F" w:themeColor="accent3"/>
        </w:tcBorders>
        <w:shd w:val="clear" w:color="auto" w:fill="D7D7D7" w:themeFill="accent3" w:themeFillTint="3F"/>
      </w:tcPr>
    </w:tblStylePr>
    <w:tblStylePr w:type="band2Horz">
      <w:tblPr/>
      <w:tcPr>
        <w:tcBorders>
          <w:top w:val="single" w:sz="8" w:space="0" w:color="5F5F5F" w:themeColor="accent3"/>
          <w:left w:val="single" w:sz="8" w:space="0" w:color="5F5F5F" w:themeColor="accent3"/>
          <w:bottom w:val="single" w:sz="8" w:space="0" w:color="5F5F5F" w:themeColor="accent3"/>
          <w:right w:val="single" w:sz="8" w:space="0" w:color="5F5F5F" w:themeColor="accent3"/>
          <w:insideV w:val="single" w:sz="8" w:space="0" w:color="5F5F5F" w:themeColor="accent3"/>
        </w:tcBorders>
      </w:tcPr>
    </w:tblStylePr>
  </w:style>
  <w:style w:type="table" w:styleId="LightGridAccent4">
    <w:name w:val="Light Grid Accent 4"/>
    <w:basedOn w:val="TableNormal"/>
    <w:uiPriority w:val="62"/>
    <w:semiHidden/>
    <w:rsid w:val="00A00672"/>
    <w:rPr>
      <w:sz w:val="24"/>
      <w:szCs w:val="24"/>
    </w:rPr>
    <w:tblPr>
      <w:tblStyleRowBandSize w:val="1"/>
      <w:tblStyleColBandSize w:val="1"/>
      <w:tblBorders>
        <w:top w:val="single" w:sz="8" w:space="0" w:color="969696" w:themeColor="accent4"/>
        <w:left w:val="single" w:sz="8" w:space="0" w:color="969696" w:themeColor="accent4"/>
        <w:bottom w:val="single" w:sz="8" w:space="0" w:color="969696" w:themeColor="accent4"/>
        <w:right w:val="single" w:sz="8" w:space="0" w:color="969696" w:themeColor="accent4"/>
        <w:insideH w:val="single" w:sz="8" w:space="0" w:color="969696" w:themeColor="accent4"/>
        <w:insideV w:val="single" w:sz="8" w:space="0" w:color="969696" w:themeColor="accent4"/>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969696" w:themeColor="accent4"/>
          <w:left w:val="single" w:sz="8" w:space="0" w:color="969696" w:themeColor="accent4"/>
          <w:bottom w:val="single" w:sz="18" w:space="0" w:color="969696" w:themeColor="accent4"/>
          <w:right w:val="single" w:sz="8" w:space="0" w:color="969696" w:themeColor="accent4"/>
          <w:insideH w:val="nil"/>
          <w:insideV w:val="single" w:sz="8" w:space="0" w:color="969696"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69696" w:themeColor="accent4"/>
          <w:left w:val="single" w:sz="8" w:space="0" w:color="969696" w:themeColor="accent4"/>
          <w:bottom w:val="single" w:sz="8" w:space="0" w:color="969696" w:themeColor="accent4"/>
          <w:right w:val="single" w:sz="8" w:space="0" w:color="969696" w:themeColor="accent4"/>
          <w:insideH w:val="nil"/>
          <w:insideV w:val="single" w:sz="8" w:space="0" w:color="969696"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69696" w:themeColor="accent4"/>
          <w:left w:val="single" w:sz="8" w:space="0" w:color="969696" w:themeColor="accent4"/>
          <w:bottom w:val="single" w:sz="8" w:space="0" w:color="969696" w:themeColor="accent4"/>
          <w:right w:val="single" w:sz="8" w:space="0" w:color="969696" w:themeColor="accent4"/>
        </w:tcBorders>
      </w:tcPr>
    </w:tblStylePr>
    <w:tblStylePr w:type="band1Vert">
      <w:tblPr/>
      <w:tcPr>
        <w:tcBorders>
          <w:top w:val="single" w:sz="8" w:space="0" w:color="969696" w:themeColor="accent4"/>
          <w:left w:val="single" w:sz="8" w:space="0" w:color="969696" w:themeColor="accent4"/>
          <w:bottom w:val="single" w:sz="8" w:space="0" w:color="969696" w:themeColor="accent4"/>
          <w:right w:val="single" w:sz="8" w:space="0" w:color="969696" w:themeColor="accent4"/>
        </w:tcBorders>
        <w:shd w:val="clear" w:color="auto" w:fill="E5E5E5" w:themeFill="accent4" w:themeFillTint="3F"/>
      </w:tcPr>
    </w:tblStylePr>
    <w:tblStylePr w:type="band1Horz">
      <w:tblPr/>
      <w:tcPr>
        <w:tcBorders>
          <w:top w:val="single" w:sz="8" w:space="0" w:color="969696" w:themeColor="accent4"/>
          <w:left w:val="single" w:sz="8" w:space="0" w:color="969696" w:themeColor="accent4"/>
          <w:bottom w:val="single" w:sz="8" w:space="0" w:color="969696" w:themeColor="accent4"/>
          <w:right w:val="single" w:sz="8" w:space="0" w:color="969696" w:themeColor="accent4"/>
          <w:insideV w:val="single" w:sz="8" w:space="0" w:color="969696" w:themeColor="accent4"/>
        </w:tcBorders>
        <w:shd w:val="clear" w:color="auto" w:fill="E5E5E5" w:themeFill="accent4" w:themeFillTint="3F"/>
      </w:tcPr>
    </w:tblStylePr>
    <w:tblStylePr w:type="band2Horz">
      <w:tblPr/>
      <w:tcPr>
        <w:tcBorders>
          <w:top w:val="single" w:sz="8" w:space="0" w:color="969696" w:themeColor="accent4"/>
          <w:left w:val="single" w:sz="8" w:space="0" w:color="969696" w:themeColor="accent4"/>
          <w:bottom w:val="single" w:sz="8" w:space="0" w:color="969696" w:themeColor="accent4"/>
          <w:right w:val="single" w:sz="8" w:space="0" w:color="969696" w:themeColor="accent4"/>
          <w:insideV w:val="single" w:sz="8" w:space="0" w:color="969696" w:themeColor="accent4"/>
        </w:tcBorders>
      </w:tcPr>
    </w:tblStylePr>
  </w:style>
  <w:style w:type="table" w:styleId="LightGridAccent5">
    <w:name w:val="Light Grid Accent 5"/>
    <w:basedOn w:val="TableNormal"/>
    <w:uiPriority w:val="62"/>
    <w:semiHidden/>
    <w:rsid w:val="00A00672"/>
    <w:rPr>
      <w:sz w:val="24"/>
      <w:szCs w:val="24"/>
    </w:rPr>
    <w:tblPr>
      <w:tblStyleRowBandSize w:val="1"/>
      <w:tblStyleColBandSize w:val="1"/>
      <w:tblBorders>
        <w:top w:val="single" w:sz="8" w:space="0" w:color="5F5F5F" w:themeColor="accent5"/>
        <w:left w:val="single" w:sz="8" w:space="0" w:color="5F5F5F" w:themeColor="accent5"/>
        <w:bottom w:val="single" w:sz="8" w:space="0" w:color="5F5F5F" w:themeColor="accent5"/>
        <w:right w:val="single" w:sz="8" w:space="0" w:color="5F5F5F" w:themeColor="accent5"/>
        <w:insideH w:val="single" w:sz="8" w:space="0" w:color="5F5F5F" w:themeColor="accent5"/>
        <w:insideV w:val="single" w:sz="8" w:space="0" w:color="5F5F5F" w:themeColor="accent5"/>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5F5F5F" w:themeColor="accent5"/>
          <w:left w:val="single" w:sz="8" w:space="0" w:color="5F5F5F" w:themeColor="accent5"/>
          <w:bottom w:val="single" w:sz="18" w:space="0" w:color="5F5F5F" w:themeColor="accent5"/>
          <w:right w:val="single" w:sz="8" w:space="0" w:color="5F5F5F" w:themeColor="accent5"/>
          <w:insideH w:val="nil"/>
          <w:insideV w:val="single" w:sz="8" w:space="0" w:color="5F5F5F"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5F5F5F" w:themeColor="accent5"/>
          <w:left w:val="single" w:sz="8" w:space="0" w:color="5F5F5F" w:themeColor="accent5"/>
          <w:bottom w:val="single" w:sz="8" w:space="0" w:color="5F5F5F" w:themeColor="accent5"/>
          <w:right w:val="single" w:sz="8" w:space="0" w:color="5F5F5F" w:themeColor="accent5"/>
          <w:insideH w:val="nil"/>
          <w:insideV w:val="single" w:sz="8" w:space="0" w:color="5F5F5F"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5F5F5F" w:themeColor="accent5"/>
          <w:left w:val="single" w:sz="8" w:space="0" w:color="5F5F5F" w:themeColor="accent5"/>
          <w:bottom w:val="single" w:sz="8" w:space="0" w:color="5F5F5F" w:themeColor="accent5"/>
          <w:right w:val="single" w:sz="8" w:space="0" w:color="5F5F5F" w:themeColor="accent5"/>
        </w:tcBorders>
      </w:tcPr>
    </w:tblStylePr>
    <w:tblStylePr w:type="band1Vert">
      <w:tblPr/>
      <w:tcPr>
        <w:tcBorders>
          <w:top w:val="single" w:sz="8" w:space="0" w:color="5F5F5F" w:themeColor="accent5"/>
          <w:left w:val="single" w:sz="8" w:space="0" w:color="5F5F5F" w:themeColor="accent5"/>
          <w:bottom w:val="single" w:sz="8" w:space="0" w:color="5F5F5F" w:themeColor="accent5"/>
          <w:right w:val="single" w:sz="8" w:space="0" w:color="5F5F5F" w:themeColor="accent5"/>
        </w:tcBorders>
        <w:shd w:val="clear" w:color="auto" w:fill="D7D7D7" w:themeFill="accent5" w:themeFillTint="3F"/>
      </w:tcPr>
    </w:tblStylePr>
    <w:tblStylePr w:type="band1Horz">
      <w:tblPr/>
      <w:tcPr>
        <w:tcBorders>
          <w:top w:val="single" w:sz="8" w:space="0" w:color="5F5F5F" w:themeColor="accent5"/>
          <w:left w:val="single" w:sz="8" w:space="0" w:color="5F5F5F" w:themeColor="accent5"/>
          <w:bottom w:val="single" w:sz="8" w:space="0" w:color="5F5F5F" w:themeColor="accent5"/>
          <w:right w:val="single" w:sz="8" w:space="0" w:color="5F5F5F" w:themeColor="accent5"/>
          <w:insideV w:val="single" w:sz="8" w:space="0" w:color="5F5F5F" w:themeColor="accent5"/>
        </w:tcBorders>
        <w:shd w:val="clear" w:color="auto" w:fill="D7D7D7" w:themeFill="accent5" w:themeFillTint="3F"/>
      </w:tcPr>
    </w:tblStylePr>
    <w:tblStylePr w:type="band2Horz">
      <w:tblPr/>
      <w:tcPr>
        <w:tcBorders>
          <w:top w:val="single" w:sz="8" w:space="0" w:color="5F5F5F" w:themeColor="accent5"/>
          <w:left w:val="single" w:sz="8" w:space="0" w:color="5F5F5F" w:themeColor="accent5"/>
          <w:bottom w:val="single" w:sz="8" w:space="0" w:color="5F5F5F" w:themeColor="accent5"/>
          <w:right w:val="single" w:sz="8" w:space="0" w:color="5F5F5F" w:themeColor="accent5"/>
          <w:insideV w:val="single" w:sz="8" w:space="0" w:color="5F5F5F" w:themeColor="accent5"/>
        </w:tcBorders>
      </w:tcPr>
    </w:tblStylePr>
  </w:style>
  <w:style w:type="table" w:styleId="LightGridAccent6">
    <w:name w:val="Light Grid Accent 6"/>
    <w:basedOn w:val="TableNormal"/>
    <w:uiPriority w:val="62"/>
    <w:semiHidden/>
    <w:rsid w:val="00A00672"/>
    <w:rPr>
      <w:sz w:val="24"/>
      <w:szCs w:val="24"/>
    </w:rPr>
    <w:tblPr>
      <w:tblStyleRowBandSize w:val="1"/>
      <w:tblStyleColBandSize w:val="1"/>
      <w:tblBorders>
        <w:top w:val="single" w:sz="8" w:space="0" w:color="4D4D4D" w:themeColor="accent6"/>
        <w:left w:val="single" w:sz="8" w:space="0" w:color="4D4D4D" w:themeColor="accent6"/>
        <w:bottom w:val="single" w:sz="8" w:space="0" w:color="4D4D4D" w:themeColor="accent6"/>
        <w:right w:val="single" w:sz="8" w:space="0" w:color="4D4D4D" w:themeColor="accent6"/>
        <w:insideH w:val="single" w:sz="8" w:space="0" w:color="4D4D4D" w:themeColor="accent6"/>
        <w:insideV w:val="single" w:sz="8" w:space="0" w:color="4D4D4D" w:themeColor="accent6"/>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4D4D4D" w:themeColor="accent6"/>
          <w:left w:val="single" w:sz="8" w:space="0" w:color="4D4D4D" w:themeColor="accent6"/>
          <w:bottom w:val="single" w:sz="18" w:space="0" w:color="4D4D4D" w:themeColor="accent6"/>
          <w:right w:val="single" w:sz="8" w:space="0" w:color="4D4D4D" w:themeColor="accent6"/>
          <w:insideH w:val="nil"/>
          <w:insideV w:val="single" w:sz="8" w:space="0" w:color="4D4D4D"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D4D4D" w:themeColor="accent6"/>
          <w:left w:val="single" w:sz="8" w:space="0" w:color="4D4D4D" w:themeColor="accent6"/>
          <w:bottom w:val="single" w:sz="8" w:space="0" w:color="4D4D4D" w:themeColor="accent6"/>
          <w:right w:val="single" w:sz="8" w:space="0" w:color="4D4D4D" w:themeColor="accent6"/>
          <w:insideH w:val="nil"/>
          <w:insideV w:val="single" w:sz="8" w:space="0" w:color="4D4D4D"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D4D4D" w:themeColor="accent6"/>
          <w:left w:val="single" w:sz="8" w:space="0" w:color="4D4D4D" w:themeColor="accent6"/>
          <w:bottom w:val="single" w:sz="8" w:space="0" w:color="4D4D4D" w:themeColor="accent6"/>
          <w:right w:val="single" w:sz="8" w:space="0" w:color="4D4D4D" w:themeColor="accent6"/>
        </w:tcBorders>
      </w:tcPr>
    </w:tblStylePr>
    <w:tblStylePr w:type="band1Vert">
      <w:tblPr/>
      <w:tcPr>
        <w:tcBorders>
          <w:top w:val="single" w:sz="8" w:space="0" w:color="4D4D4D" w:themeColor="accent6"/>
          <w:left w:val="single" w:sz="8" w:space="0" w:color="4D4D4D" w:themeColor="accent6"/>
          <w:bottom w:val="single" w:sz="8" w:space="0" w:color="4D4D4D" w:themeColor="accent6"/>
          <w:right w:val="single" w:sz="8" w:space="0" w:color="4D4D4D" w:themeColor="accent6"/>
        </w:tcBorders>
        <w:shd w:val="clear" w:color="auto" w:fill="D3D3D3" w:themeFill="accent6" w:themeFillTint="3F"/>
      </w:tcPr>
    </w:tblStylePr>
    <w:tblStylePr w:type="band1Horz">
      <w:tblPr/>
      <w:tcPr>
        <w:tcBorders>
          <w:top w:val="single" w:sz="8" w:space="0" w:color="4D4D4D" w:themeColor="accent6"/>
          <w:left w:val="single" w:sz="8" w:space="0" w:color="4D4D4D" w:themeColor="accent6"/>
          <w:bottom w:val="single" w:sz="8" w:space="0" w:color="4D4D4D" w:themeColor="accent6"/>
          <w:right w:val="single" w:sz="8" w:space="0" w:color="4D4D4D" w:themeColor="accent6"/>
          <w:insideV w:val="single" w:sz="8" w:space="0" w:color="4D4D4D" w:themeColor="accent6"/>
        </w:tcBorders>
        <w:shd w:val="clear" w:color="auto" w:fill="D3D3D3" w:themeFill="accent6" w:themeFillTint="3F"/>
      </w:tcPr>
    </w:tblStylePr>
    <w:tblStylePr w:type="band2Horz">
      <w:tblPr/>
      <w:tcPr>
        <w:tcBorders>
          <w:top w:val="single" w:sz="8" w:space="0" w:color="4D4D4D" w:themeColor="accent6"/>
          <w:left w:val="single" w:sz="8" w:space="0" w:color="4D4D4D" w:themeColor="accent6"/>
          <w:bottom w:val="single" w:sz="8" w:space="0" w:color="4D4D4D" w:themeColor="accent6"/>
          <w:right w:val="single" w:sz="8" w:space="0" w:color="4D4D4D" w:themeColor="accent6"/>
          <w:insideV w:val="single" w:sz="8" w:space="0" w:color="4D4D4D" w:themeColor="accent6"/>
        </w:tcBorders>
      </w:tcPr>
    </w:tblStylePr>
  </w:style>
  <w:style w:type="table" w:styleId="LightList">
    <w:name w:val="Light List"/>
    <w:basedOn w:val="TableNormal"/>
    <w:uiPriority w:val="61"/>
    <w:semiHidden/>
    <w:rsid w:val="00A00672"/>
    <w:rPr>
      <w:sz w:val="24"/>
      <w:szCs w:val="24"/>
    </w:r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tblBorders>
    </w:tblPr>
    <w:tblStylePr w:type="firstRow">
      <w:pPr>
        <w:spacing w:before="0" w:after="0" w:line="240" w:lineRule="auto"/>
      </w:pPr>
      <w:rPr>
        <w:b/>
        <w:bCs/>
        <w:color w:val="0072BC"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semiHidden/>
    <w:rsid w:val="00A00672"/>
    <w:rPr>
      <w:sz w:val="24"/>
      <w:szCs w:val="24"/>
    </w:rPr>
    <w:tblPr>
      <w:tblStyleRowBandSize w:val="1"/>
      <w:tblStyleColBandSize w:val="1"/>
      <w:tblBorders>
        <w:top w:val="single" w:sz="8" w:space="0" w:color="0072BC" w:themeColor="accent1"/>
        <w:left w:val="single" w:sz="8" w:space="0" w:color="0072BC" w:themeColor="accent1"/>
        <w:bottom w:val="single" w:sz="8" w:space="0" w:color="0072BC" w:themeColor="accent1"/>
        <w:right w:val="single" w:sz="8" w:space="0" w:color="0072BC" w:themeColor="accent1"/>
      </w:tblBorders>
    </w:tblPr>
    <w:tblStylePr w:type="firstRow">
      <w:pPr>
        <w:spacing w:before="0" w:after="0" w:line="240" w:lineRule="auto"/>
      </w:pPr>
      <w:rPr>
        <w:b/>
        <w:bCs/>
        <w:color w:val="0072BC" w:themeColor="background1"/>
      </w:rPr>
      <w:tblPr/>
      <w:tcPr>
        <w:shd w:val="clear" w:color="auto" w:fill="0072BC" w:themeFill="accent1"/>
      </w:tcPr>
    </w:tblStylePr>
    <w:tblStylePr w:type="lastRow">
      <w:pPr>
        <w:spacing w:before="0" w:after="0" w:line="240" w:lineRule="auto"/>
      </w:pPr>
      <w:rPr>
        <w:b/>
        <w:bCs/>
      </w:rPr>
      <w:tblPr/>
      <w:tcPr>
        <w:tcBorders>
          <w:top w:val="double" w:sz="6" w:space="0" w:color="0072BC" w:themeColor="accent1"/>
          <w:left w:val="single" w:sz="8" w:space="0" w:color="0072BC" w:themeColor="accent1"/>
          <w:bottom w:val="single" w:sz="8" w:space="0" w:color="0072BC" w:themeColor="accent1"/>
          <w:right w:val="single" w:sz="8" w:space="0" w:color="0072BC" w:themeColor="accent1"/>
        </w:tcBorders>
      </w:tcPr>
    </w:tblStylePr>
    <w:tblStylePr w:type="firstCol">
      <w:rPr>
        <w:b/>
        <w:bCs/>
      </w:rPr>
    </w:tblStylePr>
    <w:tblStylePr w:type="lastCol">
      <w:rPr>
        <w:b/>
        <w:bCs/>
      </w:rPr>
    </w:tblStylePr>
    <w:tblStylePr w:type="band1Vert">
      <w:tblPr/>
      <w:tcPr>
        <w:tcBorders>
          <w:top w:val="single" w:sz="8" w:space="0" w:color="0072BC" w:themeColor="accent1"/>
          <w:left w:val="single" w:sz="8" w:space="0" w:color="0072BC" w:themeColor="accent1"/>
          <w:bottom w:val="single" w:sz="8" w:space="0" w:color="0072BC" w:themeColor="accent1"/>
          <w:right w:val="single" w:sz="8" w:space="0" w:color="0072BC" w:themeColor="accent1"/>
        </w:tcBorders>
      </w:tcPr>
    </w:tblStylePr>
    <w:tblStylePr w:type="band1Horz">
      <w:tblPr/>
      <w:tcPr>
        <w:tcBorders>
          <w:top w:val="single" w:sz="8" w:space="0" w:color="0072BC" w:themeColor="accent1"/>
          <w:left w:val="single" w:sz="8" w:space="0" w:color="0072BC" w:themeColor="accent1"/>
          <w:bottom w:val="single" w:sz="8" w:space="0" w:color="0072BC" w:themeColor="accent1"/>
          <w:right w:val="single" w:sz="8" w:space="0" w:color="0072BC" w:themeColor="accent1"/>
        </w:tcBorders>
      </w:tcPr>
    </w:tblStylePr>
  </w:style>
  <w:style w:type="table" w:styleId="LightListAccent2">
    <w:name w:val="Light List Accent 2"/>
    <w:basedOn w:val="TableNormal"/>
    <w:uiPriority w:val="61"/>
    <w:semiHidden/>
    <w:rsid w:val="00A00672"/>
    <w:rPr>
      <w:sz w:val="24"/>
      <w:szCs w:val="24"/>
    </w:rPr>
    <w:tblPr>
      <w:tblStyleRowBandSize w:val="1"/>
      <w:tblStyleColBandSize w:val="1"/>
      <w:tblBorders>
        <w:top w:val="single" w:sz="8" w:space="0" w:color="C00000" w:themeColor="accent2"/>
        <w:left w:val="single" w:sz="8" w:space="0" w:color="C00000" w:themeColor="accent2"/>
        <w:bottom w:val="single" w:sz="8" w:space="0" w:color="C00000" w:themeColor="accent2"/>
        <w:right w:val="single" w:sz="8" w:space="0" w:color="C00000" w:themeColor="accent2"/>
      </w:tblBorders>
    </w:tblPr>
    <w:tblStylePr w:type="firstRow">
      <w:pPr>
        <w:spacing w:before="0" w:after="0" w:line="240" w:lineRule="auto"/>
      </w:pPr>
      <w:rPr>
        <w:b/>
        <w:bCs/>
        <w:color w:val="0072BC" w:themeColor="background1"/>
      </w:rPr>
      <w:tblPr/>
      <w:tcPr>
        <w:shd w:val="clear" w:color="auto" w:fill="C00000" w:themeFill="accent2"/>
      </w:tcPr>
    </w:tblStylePr>
    <w:tblStylePr w:type="lastRow">
      <w:pPr>
        <w:spacing w:before="0" w:after="0" w:line="240" w:lineRule="auto"/>
      </w:pPr>
      <w:rPr>
        <w:b/>
        <w:bCs/>
      </w:rPr>
      <w:tblPr/>
      <w:tcPr>
        <w:tcBorders>
          <w:top w:val="double" w:sz="6" w:space="0" w:color="C00000" w:themeColor="accent2"/>
          <w:left w:val="single" w:sz="8" w:space="0" w:color="C00000" w:themeColor="accent2"/>
          <w:bottom w:val="single" w:sz="8" w:space="0" w:color="C00000" w:themeColor="accent2"/>
          <w:right w:val="single" w:sz="8" w:space="0" w:color="C00000" w:themeColor="accent2"/>
        </w:tcBorders>
      </w:tcPr>
    </w:tblStylePr>
    <w:tblStylePr w:type="firstCol">
      <w:rPr>
        <w:b/>
        <w:bCs/>
      </w:rPr>
    </w:tblStylePr>
    <w:tblStylePr w:type="lastCol">
      <w:rPr>
        <w:b/>
        <w:bCs/>
      </w:rPr>
    </w:tblStylePr>
    <w:tblStylePr w:type="band1Vert">
      <w:tblPr/>
      <w:tcPr>
        <w:tcBorders>
          <w:top w:val="single" w:sz="8" w:space="0" w:color="C00000" w:themeColor="accent2"/>
          <w:left w:val="single" w:sz="8" w:space="0" w:color="C00000" w:themeColor="accent2"/>
          <w:bottom w:val="single" w:sz="8" w:space="0" w:color="C00000" w:themeColor="accent2"/>
          <w:right w:val="single" w:sz="8" w:space="0" w:color="C00000" w:themeColor="accent2"/>
        </w:tcBorders>
      </w:tcPr>
    </w:tblStylePr>
    <w:tblStylePr w:type="band1Horz">
      <w:tblPr/>
      <w:tcPr>
        <w:tcBorders>
          <w:top w:val="single" w:sz="8" w:space="0" w:color="C00000" w:themeColor="accent2"/>
          <w:left w:val="single" w:sz="8" w:space="0" w:color="C00000" w:themeColor="accent2"/>
          <w:bottom w:val="single" w:sz="8" w:space="0" w:color="C00000" w:themeColor="accent2"/>
          <w:right w:val="single" w:sz="8" w:space="0" w:color="C00000" w:themeColor="accent2"/>
        </w:tcBorders>
      </w:tcPr>
    </w:tblStylePr>
  </w:style>
  <w:style w:type="table" w:styleId="LightListAccent3">
    <w:name w:val="Light List Accent 3"/>
    <w:basedOn w:val="TableNormal"/>
    <w:uiPriority w:val="61"/>
    <w:semiHidden/>
    <w:rsid w:val="00A00672"/>
    <w:rPr>
      <w:sz w:val="24"/>
      <w:szCs w:val="24"/>
    </w:rPr>
    <w:tblPr>
      <w:tblStyleRowBandSize w:val="1"/>
      <w:tblStyleColBandSize w:val="1"/>
      <w:tblBorders>
        <w:top w:val="single" w:sz="8" w:space="0" w:color="5F5F5F" w:themeColor="accent3"/>
        <w:left w:val="single" w:sz="8" w:space="0" w:color="5F5F5F" w:themeColor="accent3"/>
        <w:bottom w:val="single" w:sz="8" w:space="0" w:color="5F5F5F" w:themeColor="accent3"/>
        <w:right w:val="single" w:sz="8" w:space="0" w:color="5F5F5F" w:themeColor="accent3"/>
      </w:tblBorders>
    </w:tblPr>
    <w:tblStylePr w:type="firstRow">
      <w:pPr>
        <w:spacing w:before="0" w:after="0" w:line="240" w:lineRule="auto"/>
      </w:pPr>
      <w:rPr>
        <w:b/>
        <w:bCs/>
        <w:color w:val="0072BC" w:themeColor="background1"/>
      </w:rPr>
      <w:tblPr/>
      <w:tcPr>
        <w:shd w:val="clear" w:color="auto" w:fill="5F5F5F" w:themeFill="accent3"/>
      </w:tcPr>
    </w:tblStylePr>
    <w:tblStylePr w:type="lastRow">
      <w:pPr>
        <w:spacing w:before="0" w:after="0" w:line="240" w:lineRule="auto"/>
      </w:pPr>
      <w:rPr>
        <w:b/>
        <w:bCs/>
      </w:rPr>
      <w:tblPr/>
      <w:tcPr>
        <w:tcBorders>
          <w:top w:val="double" w:sz="6" w:space="0" w:color="5F5F5F" w:themeColor="accent3"/>
          <w:left w:val="single" w:sz="8" w:space="0" w:color="5F5F5F" w:themeColor="accent3"/>
          <w:bottom w:val="single" w:sz="8" w:space="0" w:color="5F5F5F" w:themeColor="accent3"/>
          <w:right w:val="single" w:sz="8" w:space="0" w:color="5F5F5F" w:themeColor="accent3"/>
        </w:tcBorders>
      </w:tcPr>
    </w:tblStylePr>
    <w:tblStylePr w:type="firstCol">
      <w:rPr>
        <w:b/>
        <w:bCs/>
      </w:rPr>
    </w:tblStylePr>
    <w:tblStylePr w:type="lastCol">
      <w:rPr>
        <w:b/>
        <w:bCs/>
      </w:rPr>
    </w:tblStylePr>
    <w:tblStylePr w:type="band1Vert">
      <w:tblPr/>
      <w:tcPr>
        <w:tcBorders>
          <w:top w:val="single" w:sz="8" w:space="0" w:color="5F5F5F" w:themeColor="accent3"/>
          <w:left w:val="single" w:sz="8" w:space="0" w:color="5F5F5F" w:themeColor="accent3"/>
          <w:bottom w:val="single" w:sz="8" w:space="0" w:color="5F5F5F" w:themeColor="accent3"/>
          <w:right w:val="single" w:sz="8" w:space="0" w:color="5F5F5F" w:themeColor="accent3"/>
        </w:tcBorders>
      </w:tcPr>
    </w:tblStylePr>
    <w:tblStylePr w:type="band1Horz">
      <w:tblPr/>
      <w:tcPr>
        <w:tcBorders>
          <w:top w:val="single" w:sz="8" w:space="0" w:color="5F5F5F" w:themeColor="accent3"/>
          <w:left w:val="single" w:sz="8" w:space="0" w:color="5F5F5F" w:themeColor="accent3"/>
          <w:bottom w:val="single" w:sz="8" w:space="0" w:color="5F5F5F" w:themeColor="accent3"/>
          <w:right w:val="single" w:sz="8" w:space="0" w:color="5F5F5F" w:themeColor="accent3"/>
        </w:tcBorders>
      </w:tcPr>
    </w:tblStylePr>
  </w:style>
  <w:style w:type="table" w:styleId="LightListAccent4">
    <w:name w:val="Light List Accent 4"/>
    <w:basedOn w:val="TableNormal"/>
    <w:uiPriority w:val="61"/>
    <w:semiHidden/>
    <w:rsid w:val="00A00672"/>
    <w:rPr>
      <w:sz w:val="24"/>
      <w:szCs w:val="24"/>
    </w:rPr>
    <w:tblPr>
      <w:tblStyleRowBandSize w:val="1"/>
      <w:tblStyleColBandSize w:val="1"/>
      <w:tblBorders>
        <w:top w:val="single" w:sz="8" w:space="0" w:color="969696" w:themeColor="accent4"/>
        <w:left w:val="single" w:sz="8" w:space="0" w:color="969696" w:themeColor="accent4"/>
        <w:bottom w:val="single" w:sz="8" w:space="0" w:color="969696" w:themeColor="accent4"/>
        <w:right w:val="single" w:sz="8" w:space="0" w:color="969696" w:themeColor="accent4"/>
      </w:tblBorders>
    </w:tblPr>
    <w:tblStylePr w:type="firstRow">
      <w:pPr>
        <w:spacing w:before="0" w:after="0" w:line="240" w:lineRule="auto"/>
      </w:pPr>
      <w:rPr>
        <w:b/>
        <w:bCs/>
        <w:color w:val="0072BC" w:themeColor="background1"/>
      </w:rPr>
      <w:tblPr/>
      <w:tcPr>
        <w:shd w:val="clear" w:color="auto" w:fill="969696" w:themeFill="accent4"/>
      </w:tcPr>
    </w:tblStylePr>
    <w:tblStylePr w:type="lastRow">
      <w:pPr>
        <w:spacing w:before="0" w:after="0" w:line="240" w:lineRule="auto"/>
      </w:pPr>
      <w:rPr>
        <w:b/>
        <w:bCs/>
      </w:rPr>
      <w:tblPr/>
      <w:tcPr>
        <w:tcBorders>
          <w:top w:val="double" w:sz="6" w:space="0" w:color="969696" w:themeColor="accent4"/>
          <w:left w:val="single" w:sz="8" w:space="0" w:color="969696" w:themeColor="accent4"/>
          <w:bottom w:val="single" w:sz="8" w:space="0" w:color="969696" w:themeColor="accent4"/>
          <w:right w:val="single" w:sz="8" w:space="0" w:color="969696" w:themeColor="accent4"/>
        </w:tcBorders>
      </w:tcPr>
    </w:tblStylePr>
    <w:tblStylePr w:type="firstCol">
      <w:rPr>
        <w:b/>
        <w:bCs/>
      </w:rPr>
    </w:tblStylePr>
    <w:tblStylePr w:type="lastCol">
      <w:rPr>
        <w:b/>
        <w:bCs/>
      </w:rPr>
    </w:tblStylePr>
    <w:tblStylePr w:type="band1Vert">
      <w:tblPr/>
      <w:tcPr>
        <w:tcBorders>
          <w:top w:val="single" w:sz="8" w:space="0" w:color="969696" w:themeColor="accent4"/>
          <w:left w:val="single" w:sz="8" w:space="0" w:color="969696" w:themeColor="accent4"/>
          <w:bottom w:val="single" w:sz="8" w:space="0" w:color="969696" w:themeColor="accent4"/>
          <w:right w:val="single" w:sz="8" w:space="0" w:color="969696" w:themeColor="accent4"/>
        </w:tcBorders>
      </w:tcPr>
    </w:tblStylePr>
    <w:tblStylePr w:type="band1Horz">
      <w:tblPr/>
      <w:tcPr>
        <w:tcBorders>
          <w:top w:val="single" w:sz="8" w:space="0" w:color="969696" w:themeColor="accent4"/>
          <w:left w:val="single" w:sz="8" w:space="0" w:color="969696" w:themeColor="accent4"/>
          <w:bottom w:val="single" w:sz="8" w:space="0" w:color="969696" w:themeColor="accent4"/>
          <w:right w:val="single" w:sz="8" w:space="0" w:color="969696" w:themeColor="accent4"/>
        </w:tcBorders>
      </w:tcPr>
    </w:tblStylePr>
  </w:style>
  <w:style w:type="table" w:styleId="LightListAccent5">
    <w:name w:val="Light List Accent 5"/>
    <w:basedOn w:val="TableNormal"/>
    <w:uiPriority w:val="61"/>
    <w:semiHidden/>
    <w:rsid w:val="00A00672"/>
    <w:rPr>
      <w:sz w:val="24"/>
      <w:szCs w:val="24"/>
    </w:rPr>
    <w:tblPr>
      <w:tblStyleRowBandSize w:val="1"/>
      <w:tblStyleColBandSize w:val="1"/>
      <w:tblBorders>
        <w:top w:val="single" w:sz="8" w:space="0" w:color="5F5F5F" w:themeColor="accent5"/>
        <w:left w:val="single" w:sz="8" w:space="0" w:color="5F5F5F" w:themeColor="accent5"/>
        <w:bottom w:val="single" w:sz="8" w:space="0" w:color="5F5F5F" w:themeColor="accent5"/>
        <w:right w:val="single" w:sz="8" w:space="0" w:color="5F5F5F" w:themeColor="accent5"/>
      </w:tblBorders>
    </w:tblPr>
    <w:tblStylePr w:type="firstRow">
      <w:pPr>
        <w:spacing w:before="0" w:after="0" w:line="240" w:lineRule="auto"/>
      </w:pPr>
      <w:rPr>
        <w:b/>
        <w:bCs/>
        <w:color w:val="0072BC" w:themeColor="background1"/>
      </w:rPr>
      <w:tblPr/>
      <w:tcPr>
        <w:shd w:val="clear" w:color="auto" w:fill="5F5F5F" w:themeFill="accent5"/>
      </w:tcPr>
    </w:tblStylePr>
    <w:tblStylePr w:type="lastRow">
      <w:pPr>
        <w:spacing w:before="0" w:after="0" w:line="240" w:lineRule="auto"/>
      </w:pPr>
      <w:rPr>
        <w:b/>
        <w:bCs/>
      </w:rPr>
      <w:tblPr/>
      <w:tcPr>
        <w:tcBorders>
          <w:top w:val="double" w:sz="6" w:space="0" w:color="5F5F5F" w:themeColor="accent5"/>
          <w:left w:val="single" w:sz="8" w:space="0" w:color="5F5F5F" w:themeColor="accent5"/>
          <w:bottom w:val="single" w:sz="8" w:space="0" w:color="5F5F5F" w:themeColor="accent5"/>
          <w:right w:val="single" w:sz="8" w:space="0" w:color="5F5F5F" w:themeColor="accent5"/>
        </w:tcBorders>
      </w:tcPr>
    </w:tblStylePr>
    <w:tblStylePr w:type="firstCol">
      <w:rPr>
        <w:b/>
        <w:bCs/>
      </w:rPr>
    </w:tblStylePr>
    <w:tblStylePr w:type="lastCol">
      <w:rPr>
        <w:b/>
        <w:bCs/>
      </w:rPr>
    </w:tblStylePr>
    <w:tblStylePr w:type="band1Vert">
      <w:tblPr/>
      <w:tcPr>
        <w:tcBorders>
          <w:top w:val="single" w:sz="8" w:space="0" w:color="5F5F5F" w:themeColor="accent5"/>
          <w:left w:val="single" w:sz="8" w:space="0" w:color="5F5F5F" w:themeColor="accent5"/>
          <w:bottom w:val="single" w:sz="8" w:space="0" w:color="5F5F5F" w:themeColor="accent5"/>
          <w:right w:val="single" w:sz="8" w:space="0" w:color="5F5F5F" w:themeColor="accent5"/>
        </w:tcBorders>
      </w:tcPr>
    </w:tblStylePr>
    <w:tblStylePr w:type="band1Horz">
      <w:tblPr/>
      <w:tcPr>
        <w:tcBorders>
          <w:top w:val="single" w:sz="8" w:space="0" w:color="5F5F5F" w:themeColor="accent5"/>
          <w:left w:val="single" w:sz="8" w:space="0" w:color="5F5F5F" w:themeColor="accent5"/>
          <w:bottom w:val="single" w:sz="8" w:space="0" w:color="5F5F5F" w:themeColor="accent5"/>
          <w:right w:val="single" w:sz="8" w:space="0" w:color="5F5F5F" w:themeColor="accent5"/>
        </w:tcBorders>
      </w:tcPr>
    </w:tblStylePr>
  </w:style>
  <w:style w:type="table" w:styleId="LightListAccent6">
    <w:name w:val="Light List Accent 6"/>
    <w:basedOn w:val="TableNormal"/>
    <w:uiPriority w:val="61"/>
    <w:semiHidden/>
    <w:rsid w:val="00A00672"/>
    <w:rPr>
      <w:sz w:val="24"/>
      <w:szCs w:val="24"/>
    </w:rPr>
    <w:tblPr>
      <w:tblStyleRowBandSize w:val="1"/>
      <w:tblStyleColBandSize w:val="1"/>
      <w:tblBorders>
        <w:top w:val="single" w:sz="8" w:space="0" w:color="4D4D4D" w:themeColor="accent6"/>
        <w:left w:val="single" w:sz="8" w:space="0" w:color="4D4D4D" w:themeColor="accent6"/>
        <w:bottom w:val="single" w:sz="8" w:space="0" w:color="4D4D4D" w:themeColor="accent6"/>
        <w:right w:val="single" w:sz="8" w:space="0" w:color="4D4D4D" w:themeColor="accent6"/>
      </w:tblBorders>
    </w:tblPr>
    <w:tblStylePr w:type="firstRow">
      <w:pPr>
        <w:spacing w:before="0" w:after="0" w:line="240" w:lineRule="auto"/>
      </w:pPr>
      <w:rPr>
        <w:b/>
        <w:bCs/>
        <w:color w:val="0072BC" w:themeColor="background1"/>
      </w:rPr>
      <w:tblPr/>
      <w:tcPr>
        <w:shd w:val="clear" w:color="auto" w:fill="4D4D4D" w:themeFill="accent6"/>
      </w:tcPr>
    </w:tblStylePr>
    <w:tblStylePr w:type="lastRow">
      <w:pPr>
        <w:spacing w:before="0" w:after="0" w:line="240" w:lineRule="auto"/>
      </w:pPr>
      <w:rPr>
        <w:b/>
        <w:bCs/>
      </w:rPr>
      <w:tblPr/>
      <w:tcPr>
        <w:tcBorders>
          <w:top w:val="double" w:sz="6" w:space="0" w:color="4D4D4D" w:themeColor="accent6"/>
          <w:left w:val="single" w:sz="8" w:space="0" w:color="4D4D4D" w:themeColor="accent6"/>
          <w:bottom w:val="single" w:sz="8" w:space="0" w:color="4D4D4D" w:themeColor="accent6"/>
          <w:right w:val="single" w:sz="8" w:space="0" w:color="4D4D4D" w:themeColor="accent6"/>
        </w:tcBorders>
      </w:tcPr>
    </w:tblStylePr>
    <w:tblStylePr w:type="firstCol">
      <w:rPr>
        <w:b/>
        <w:bCs/>
      </w:rPr>
    </w:tblStylePr>
    <w:tblStylePr w:type="lastCol">
      <w:rPr>
        <w:b/>
        <w:bCs/>
      </w:rPr>
    </w:tblStylePr>
    <w:tblStylePr w:type="band1Vert">
      <w:tblPr/>
      <w:tcPr>
        <w:tcBorders>
          <w:top w:val="single" w:sz="8" w:space="0" w:color="4D4D4D" w:themeColor="accent6"/>
          <w:left w:val="single" w:sz="8" w:space="0" w:color="4D4D4D" w:themeColor="accent6"/>
          <w:bottom w:val="single" w:sz="8" w:space="0" w:color="4D4D4D" w:themeColor="accent6"/>
          <w:right w:val="single" w:sz="8" w:space="0" w:color="4D4D4D" w:themeColor="accent6"/>
        </w:tcBorders>
      </w:tcPr>
    </w:tblStylePr>
    <w:tblStylePr w:type="band1Horz">
      <w:tblPr/>
      <w:tcPr>
        <w:tcBorders>
          <w:top w:val="single" w:sz="8" w:space="0" w:color="4D4D4D" w:themeColor="accent6"/>
          <w:left w:val="single" w:sz="8" w:space="0" w:color="4D4D4D" w:themeColor="accent6"/>
          <w:bottom w:val="single" w:sz="8" w:space="0" w:color="4D4D4D" w:themeColor="accent6"/>
          <w:right w:val="single" w:sz="8" w:space="0" w:color="4D4D4D" w:themeColor="accent6"/>
        </w:tcBorders>
      </w:tcPr>
    </w:tblStylePr>
  </w:style>
  <w:style w:type="table" w:styleId="LightShading">
    <w:name w:val="Light Shading"/>
    <w:basedOn w:val="TableNormal"/>
    <w:uiPriority w:val="60"/>
    <w:semiHidden/>
    <w:rsid w:val="00A00672"/>
    <w:rPr>
      <w:color w:val="000000" w:themeColor="text1" w:themeShade="BF"/>
      <w:sz w:val="24"/>
      <w:szCs w:val="24"/>
    </w:rPr>
    <w:tblPr>
      <w:tblStyleRowBandSize w:val="1"/>
      <w:tblStyleColBandSize w:val="1"/>
      <w:tblBorders>
        <w:top w:val="single" w:sz="8" w:space="0" w:color="000000" w:themeColor="text1"/>
        <w:bottom w:val="single" w:sz="8" w:space="0" w:color="000000" w:themeColor="text1"/>
      </w:tblBorders>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semiHidden/>
    <w:rsid w:val="00A00672"/>
    <w:rPr>
      <w:color w:val="00548C" w:themeColor="accent1" w:themeShade="BF"/>
      <w:sz w:val="24"/>
      <w:szCs w:val="24"/>
    </w:rPr>
    <w:tblPr>
      <w:tblStyleRowBandSize w:val="1"/>
      <w:tblStyleColBandSize w:val="1"/>
      <w:tblBorders>
        <w:top w:val="single" w:sz="8" w:space="0" w:color="0072BC" w:themeColor="accent1"/>
        <w:bottom w:val="single" w:sz="8" w:space="0" w:color="0072BC" w:themeColor="accent1"/>
      </w:tblBorders>
    </w:tblPr>
    <w:tblStylePr w:type="firstRow">
      <w:pPr>
        <w:spacing w:before="0" w:after="0" w:line="240" w:lineRule="auto"/>
      </w:pPr>
      <w:rPr>
        <w:b/>
        <w:bCs/>
      </w:rPr>
      <w:tblPr/>
      <w:tcPr>
        <w:tcBorders>
          <w:top w:val="single" w:sz="8" w:space="0" w:color="0072BC" w:themeColor="accent1"/>
          <w:left w:val="nil"/>
          <w:bottom w:val="single" w:sz="8" w:space="0" w:color="0072BC" w:themeColor="accent1"/>
          <w:right w:val="nil"/>
          <w:insideH w:val="nil"/>
          <w:insideV w:val="nil"/>
        </w:tcBorders>
      </w:tcPr>
    </w:tblStylePr>
    <w:tblStylePr w:type="lastRow">
      <w:pPr>
        <w:spacing w:before="0" w:after="0" w:line="240" w:lineRule="auto"/>
      </w:pPr>
      <w:rPr>
        <w:b/>
        <w:bCs/>
      </w:rPr>
      <w:tblPr/>
      <w:tcPr>
        <w:tcBorders>
          <w:top w:val="single" w:sz="8" w:space="0" w:color="0072BC" w:themeColor="accent1"/>
          <w:left w:val="nil"/>
          <w:bottom w:val="single" w:sz="8" w:space="0" w:color="0072BC"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AFDFFF" w:themeFill="accent1" w:themeFillTint="3F"/>
      </w:tcPr>
    </w:tblStylePr>
    <w:tblStylePr w:type="band1Horz">
      <w:tblPr/>
      <w:tcPr>
        <w:tcBorders>
          <w:left w:val="nil"/>
          <w:right w:val="nil"/>
          <w:insideH w:val="nil"/>
          <w:insideV w:val="nil"/>
        </w:tcBorders>
        <w:shd w:val="clear" w:color="auto" w:fill="AFDFFF" w:themeFill="accent1" w:themeFillTint="3F"/>
      </w:tcPr>
    </w:tblStylePr>
  </w:style>
  <w:style w:type="table" w:styleId="LightShadingAccent2">
    <w:name w:val="Light Shading Accent 2"/>
    <w:basedOn w:val="TableNormal"/>
    <w:uiPriority w:val="60"/>
    <w:semiHidden/>
    <w:rsid w:val="00A00672"/>
    <w:rPr>
      <w:color w:val="8F0000" w:themeColor="accent2" w:themeShade="BF"/>
      <w:sz w:val="24"/>
      <w:szCs w:val="24"/>
    </w:rPr>
    <w:tblPr>
      <w:tblStyleRowBandSize w:val="1"/>
      <w:tblStyleColBandSize w:val="1"/>
      <w:tblBorders>
        <w:top w:val="single" w:sz="8" w:space="0" w:color="C00000" w:themeColor="accent2"/>
        <w:bottom w:val="single" w:sz="8" w:space="0" w:color="C00000" w:themeColor="accent2"/>
      </w:tblBorders>
    </w:tblPr>
    <w:tblStylePr w:type="firstRow">
      <w:pPr>
        <w:spacing w:before="0" w:after="0" w:line="240" w:lineRule="auto"/>
      </w:pPr>
      <w:rPr>
        <w:b/>
        <w:bCs/>
      </w:rPr>
      <w:tblPr/>
      <w:tcPr>
        <w:tcBorders>
          <w:top w:val="single" w:sz="8" w:space="0" w:color="C00000" w:themeColor="accent2"/>
          <w:left w:val="nil"/>
          <w:bottom w:val="single" w:sz="8" w:space="0" w:color="C00000" w:themeColor="accent2"/>
          <w:right w:val="nil"/>
          <w:insideH w:val="nil"/>
          <w:insideV w:val="nil"/>
        </w:tcBorders>
      </w:tcPr>
    </w:tblStylePr>
    <w:tblStylePr w:type="lastRow">
      <w:pPr>
        <w:spacing w:before="0" w:after="0" w:line="240" w:lineRule="auto"/>
      </w:pPr>
      <w:rPr>
        <w:b/>
        <w:bCs/>
      </w:rPr>
      <w:tblPr/>
      <w:tcPr>
        <w:tcBorders>
          <w:top w:val="single" w:sz="8" w:space="0" w:color="C00000" w:themeColor="accent2"/>
          <w:left w:val="nil"/>
          <w:bottom w:val="single" w:sz="8" w:space="0" w:color="C00000"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FB0B0" w:themeFill="accent2" w:themeFillTint="3F"/>
      </w:tcPr>
    </w:tblStylePr>
    <w:tblStylePr w:type="band1Horz">
      <w:tblPr/>
      <w:tcPr>
        <w:tcBorders>
          <w:left w:val="nil"/>
          <w:right w:val="nil"/>
          <w:insideH w:val="nil"/>
          <w:insideV w:val="nil"/>
        </w:tcBorders>
        <w:shd w:val="clear" w:color="auto" w:fill="FFB0B0" w:themeFill="accent2" w:themeFillTint="3F"/>
      </w:tcPr>
    </w:tblStylePr>
  </w:style>
  <w:style w:type="table" w:styleId="LightShadingAccent3">
    <w:name w:val="Light Shading Accent 3"/>
    <w:basedOn w:val="TableNormal"/>
    <w:uiPriority w:val="60"/>
    <w:semiHidden/>
    <w:rsid w:val="00A00672"/>
    <w:rPr>
      <w:color w:val="474747" w:themeColor="accent3" w:themeShade="BF"/>
      <w:sz w:val="24"/>
      <w:szCs w:val="24"/>
    </w:rPr>
    <w:tblPr>
      <w:tblStyleRowBandSize w:val="1"/>
      <w:tblStyleColBandSize w:val="1"/>
      <w:tblBorders>
        <w:top w:val="single" w:sz="8" w:space="0" w:color="5F5F5F" w:themeColor="accent3"/>
        <w:bottom w:val="single" w:sz="8" w:space="0" w:color="5F5F5F" w:themeColor="accent3"/>
      </w:tblBorders>
    </w:tblPr>
    <w:tblStylePr w:type="firstRow">
      <w:pPr>
        <w:spacing w:before="0" w:after="0" w:line="240" w:lineRule="auto"/>
      </w:pPr>
      <w:rPr>
        <w:b/>
        <w:bCs/>
      </w:rPr>
      <w:tblPr/>
      <w:tcPr>
        <w:tcBorders>
          <w:top w:val="single" w:sz="8" w:space="0" w:color="5F5F5F" w:themeColor="accent3"/>
          <w:left w:val="nil"/>
          <w:bottom w:val="single" w:sz="8" w:space="0" w:color="5F5F5F" w:themeColor="accent3"/>
          <w:right w:val="nil"/>
          <w:insideH w:val="nil"/>
          <w:insideV w:val="nil"/>
        </w:tcBorders>
      </w:tcPr>
    </w:tblStylePr>
    <w:tblStylePr w:type="lastRow">
      <w:pPr>
        <w:spacing w:before="0" w:after="0" w:line="240" w:lineRule="auto"/>
      </w:pPr>
      <w:rPr>
        <w:b/>
        <w:bCs/>
      </w:rPr>
      <w:tblPr/>
      <w:tcPr>
        <w:tcBorders>
          <w:top w:val="single" w:sz="8" w:space="0" w:color="5F5F5F" w:themeColor="accent3"/>
          <w:left w:val="nil"/>
          <w:bottom w:val="single" w:sz="8" w:space="0" w:color="5F5F5F"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7D7D7" w:themeFill="accent3" w:themeFillTint="3F"/>
      </w:tcPr>
    </w:tblStylePr>
    <w:tblStylePr w:type="band1Horz">
      <w:tblPr/>
      <w:tcPr>
        <w:tcBorders>
          <w:left w:val="nil"/>
          <w:right w:val="nil"/>
          <w:insideH w:val="nil"/>
          <w:insideV w:val="nil"/>
        </w:tcBorders>
        <w:shd w:val="clear" w:color="auto" w:fill="D7D7D7" w:themeFill="accent3" w:themeFillTint="3F"/>
      </w:tcPr>
    </w:tblStylePr>
  </w:style>
  <w:style w:type="table" w:styleId="LightShadingAccent4">
    <w:name w:val="Light Shading Accent 4"/>
    <w:basedOn w:val="TableNormal"/>
    <w:uiPriority w:val="60"/>
    <w:semiHidden/>
    <w:rsid w:val="00A00672"/>
    <w:rPr>
      <w:color w:val="707070" w:themeColor="accent4" w:themeShade="BF"/>
      <w:sz w:val="24"/>
      <w:szCs w:val="24"/>
    </w:rPr>
    <w:tblPr>
      <w:tblStyleRowBandSize w:val="1"/>
      <w:tblStyleColBandSize w:val="1"/>
      <w:tblBorders>
        <w:top w:val="single" w:sz="8" w:space="0" w:color="969696" w:themeColor="accent4"/>
        <w:bottom w:val="single" w:sz="8" w:space="0" w:color="969696" w:themeColor="accent4"/>
      </w:tblBorders>
    </w:tblPr>
    <w:tblStylePr w:type="firstRow">
      <w:pPr>
        <w:spacing w:before="0" w:after="0" w:line="240" w:lineRule="auto"/>
      </w:pPr>
      <w:rPr>
        <w:b/>
        <w:bCs/>
      </w:rPr>
      <w:tblPr/>
      <w:tcPr>
        <w:tcBorders>
          <w:top w:val="single" w:sz="8" w:space="0" w:color="969696" w:themeColor="accent4"/>
          <w:left w:val="nil"/>
          <w:bottom w:val="single" w:sz="8" w:space="0" w:color="969696" w:themeColor="accent4"/>
          <w:right w:val="nil"/>
          <w:insideH w:val="nil"/>
          <w:insideV w:val="nil"/>
        </w:tcBorders>
      </w:tcPr>
    </w:tblStylePr>
    <w:tblStylePr w:type="lastRow">
      <w:pPr>
        <w:spacing w:before="0" w:after="0" w:line="240" w:lineRule="auto"/>
      </w:pPr>
      <w:rPr>
        <w:b/>
        <w:bCs/>
      </w:rPr>
      <w:tblPr/>
      <w:tcPr>
        <w:tcBorders>
          <w:top w:val="single" w:sz="8" w:space="0" w:color="969696" w:themeColor="accent4"/>
          <w:left w:val="nil"/>
          <w:bottom w:val="single" w:sz="8" w:space="0" w:color="969696"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5E5E5" w:themeFill="accent4" w:themeFillTint="3F"/>
      </w:tcPr>
    </w:tblStylePr>
    <w:tblStylePr w:type="band1Horz">
      <w:tblPr/>
      <w:tcPr>
        <w:tcBorders>
          <w:left w:val="nil"/>
          <w:right w:val="nil"/>
          <w:insideH w:val="nil"/>
          <w:insideV w:val="nil"/>
        </w:tcBorders>
        <w:shd w:val="clear" w:color="auto" w:fill="E5E5E5" w:themeFill="accent4" w:themeFillTint="3F"/>
      </w:tcPr>
    </w:tblStylePr>
  </w:style>
  <w:style w:type="table" w:styleId="LightShadingAccent5">
    <w:name w:val="Light Shading Accent 5"/>
    <w:basedOn w:val="TableNormal"/>
    <w:uiPriority w:val="60"/>
    <w:semiHidden/>
    <w:rsid w:val="00A00672"/>
    <w:rPr>
      <w:color w:val="474747" w:themeColor="accent5" w:themeShade="BF"/>
      <w:sz w:val="24"/>
      <w:szCs w:val="24"/>
    </w:rPr>
    <w:tblPr>
      <w:tblStyleRowBandSize w:val="1"/>
      <w:tblStyleColBandSize w:val="1"/>
      <w:tblBorders>
        <w:top w:val="single" w:sz="8" w:space="0" w:color="5F5F5F" w:themeColor="accent5"/>
        <w:bottom w:val="single" w:sz="8" w:space="0" w:color="5F5F5F" w:themeColor="accent5"/>
      </w:tblBorders>
    </w:tblPr>
    <w:tblStylePr w:type="firstRow">
      <w:pPr>
        <w:spacing w:before="0" w:after="0" w:line="240" w:lineRule="auto"/>
      </w:pPr>
      <w:rPr>
        <w:b/>
        <w:bCs/>
      </w:rPr>
      <w:tblPr/>
      <w:tcPr>
        <w:tcBorders>
          <w:top w:val="single" w:sz="8" w:space="0" w:color="5F5F5F" w:themeColor="accent5"/>
          <w:left w:val="nil"/>
          <w:bottom w:val="single" w:sz="8" w:space="0" w:color="5F5F5F" w:themeColor="accent5"/>
          <w:right w:val="nil"/>
          <w:insideH w:val="nil"/>
          <w:insideV w:val="nil"/>
        </w:tcBorders>
      </w:tcPr>
    </w:tblStylePr>
    <w:tblStylePr w:type="lastRow">
      <w:pPr>
        <w:spacing w:before="0" w:after="0" w:line="240" w:lineRule="auto"/>
      </w:pPr>
      <w:rPr>
        <w:b/>
        <w:bCs/>
      </w:rPr>
      <w:tblPr/>
      <w:tcPr>
        <w:tcBorders>
          <w:top w:val="single" w:sz="8" w:space="0" w:color="5F5F5F" w:themeColor="accent5"/>
          <w:left w:val="nil"/>
          <w:bottom w:val="single" w:sz="8" w:space="0" w:color="5F5F5F"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7D7D7" w:themeFill="accent5" w:themeFillTint="3F"/>
      </w:tcPr>
    </w:tblStylePr>
    <w:tblStylePr w:type="band1Horz">
      <w:tblPr/>
      <w:tcPr>
        <w:tcBorders>
          <w:left w:val="nil"/>
          <w:right w:val="nil"/>
          <w:insideH w:val="nil"/>
          <w:insideV w:val="nil"/>
        </w:tcBorders>
        <w:shd w:val="clear" w:color="auto" w:fill="D7D7D7" w:themeFill="accent5" w:themeFillTint="3F"/>
      </w:tcPr>
    </w:tblStylePr>
  </w:style>
  <w:style w:type="table" w:styleId="LightShadingAccent6">
    <w:name w:val="Light Shading Accent 6"/>
    <w:basedOn w:val="TableNormal"/>
    <w:uiPriority w:val="60"/>
    <w:semiHidden/>
    <w:rsid w:val="00A00672"/>
    <w:rPr>
      <w:color w:val="393939" w:themeColor="accent6" w:themeShade="BF"/>
      <w:sz w:val="24"/>
      <w:szCs w:val="24"/>
    </w:rPr>
    <w:tblPr>
      <w:tblStyleRowBandSize w:val="1"/>
      <w:tblStyleColBandSize w:val="1"/>
      <w:tblBorders>
        <w:top w:val="single" w:sz="8" w:space="0" w:color="4D4D4D" w:themeColor="accent6"/>
        <w:bottom w:val="single" w:sz="8" w:space="0" w:color="4D4D4D" w:themeColor="accent6"/>
      </w:tblBorders>
    </w:tblPr>
    <w:tblStylePr w:type="firstRow">
      <w:pPr>
        <w:spacing w:before="0" w:after="0" w:line="240" w:lineRule="auto"/>
      </w:pPr>
      <w:rPr>
        <w:b/>
        <w:bCs/>
      </w:rPr>
      <w:tblPr/>
      <w:tcPr>
        <w:tcBorders>
          <w:top w:val="single" w:sz="8" w:space="0" w:color="4D4D4D" w:themeColor="accent6"/>
          <w:left w:val="nil"/>
          <w:bottom w:val="single" w:sz="8" w:space="0" w:color="4D4D4D" w:themeColor="accent6"/>
          <w:right w:val="nil"/>
          <w:insideH w:val="nil"/>
          <w:insideV w:val="nil"/>
        </w:tcBorders>
      </w:tcPr>
    </w:tblStylePr>
    <w:tblStylePr w:type="lastRow">
      <w:pPr>
        <w:spacing w:before="0" w:after="0" w:line="240" w:lineRule="auto"/>
      </w:pPr>
      <w:rPr>
        <w:b/>
        <w:bCs/>
      </w:rPr>
      <w:tblPr/>
      <w:tcPr>
        <w:tcBorders>
          <w:top w:val="single" w:sz="8" w:space="0" w:color="4D4D4D" w:themeColor="accent6"/>
          <w:left w:val="nil"/>
          <w:bottom w:val="single" w:sz="8" w:space="0" w:color="4D4D4D"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3D3" w:themeFill="accent6" w:themeFillTint="3F"/>
      </w:tcPr>
    </w:tblStylePr>
    <w:tblStylePr w:type="band1Horz">
      <w:tblPr/>
      <w:tcPr>
        <w:tcBorders>
          <w:left w:val="nil"/>
          <w:right w:val="nil"/>
          <w:insideH w:val="nil"/>
          <w:insideV w:val="nil"/>
        </w:tcBorders>
        <w:shd w:val="clear" w:color="auto" w:fill="D3D3D3" w:themeFill="accent6" w:themeFillTint="3F"/>
      </w:tcPr>
    </w:tblStylePr>
  </w:style>
  <w:style w:type="character" w:styleId="LineNumber">
    <w:name w:val="line number"/>
    <w:basedOn w:val="DefaultParagraphFont"/>
    <w:uiPriority w:val="99"/>
    <w:semiHidden/>
    <w:rsid w:val="00A00672"/>
  </w:style>
  <w:style w:type="paragraph" w:styleId="List0">
    <w:name w:val="List"/>
    <w:basedOn w:val="Normal"/>
    <w:uiPriority w:val="99"/>
    <w:semiHidden/>
    <w:rsid w:val="00A00672"/>
    <w:pPr>
      <w:ind w:left="283" w:hanging="283"/>
      <w:contextualSpacing/>
    </w:pPr>
  </w:style>
  <w:style w:type="paragraph" w:styleId="List20">
    <w:name w:val="List 2"/>
    <w:basedOn w:val="Normal"/>
    <w:uiPriority w:val="99"/>
    <w:semiHidden/>
    <w:rsid w:val="00A00672"/>
    <w:pPr>
      <w:ind w:left="566" w:hanging="283"/>
      <w:contextualSpacing/>
    </w:pPr>
  </w:style>
  <w:style w:type="paragraph" w:styleId="List30">
    <w:name w:val="List 3"/>
    <w:basedOn w:val="Normal"/>
    <w:uiPriority w:val="99"/>
    <w:semiHidden/>
    <w:rsid w:val="00A00672"/>
    <w:pPr>
      <w:ind w:left="849" w:hanging="283"/>
      <w:contextualSpacing/>
    </w:pPr>
  </w:style>
  <w:style w:type="paragraph" w:styleId="List4">
    <w:name w:val="List 4"/>
    <w:basedOn w:val="Normal"/>
    <w:uiPriority w:val="99"/>
    <w:semiHidden/>
    <w:rsid w:val="00A00672"/>
    <w:pPr>
      <w:ind w:left="1132" w:hanging="283"/>
      <w:contextualSpacing/>
    </w:pPr>
  </w:style>
  <w:style w:type="paragraph" w:styleId="List5">
    <w:name w:val="List 5"/>
    <w:basedOn w:val="Normal"/>
    <w:uiPriority w:val="99"/>
    <w:semiHidden/>
    <w:rsid w:val="00A00672"/>
    <w:pPr>
      <w:ind w:left="1415" w:hanging="283"/>
      <w:contextualSpacing/>
    </w:pPr>
  </w:style>
  <w:style w:type="paragraph" w:styleId="ListBullet">
    <w:name w:val="List Bullet"/>
    <w:basedOn w:val="Normal"/>
    <w:uiPriority w:val="99"/>
    <w:semiHidden/>
    <w:rsid w:val="00A00672"/>
    <w:pPr>
      <w:numPr>
        <w:numId w:val="11"/>
      </w:numPr>
    </w:pPr>
  </w:style>
  <w:style w:type="paragraph" w:styleId="ListBullet3">
    <w:name w:val="List Bullet 3"/>
    <w:basedOn w:val="Normal"/>
    <w:uiPriority w:val="99"/>
    <w:semiHidden/>
    <w:rsid w:val="00A00672"/>
    <w:pPr>
      <w:numPr>
        <w:numId w:val="13"/>
      </w:numPr>
      <w:contextualSpacing/>
    </w:pPr>
  </w:style>
  <w:style w:type="paragraph" w:styleId="ListBullet4">
    <w:name w:val="List Bullet 4"/>
    <w:basedOn w:val="Normal"/>
    <w:uiPriority w:val="99"/>
    <w:semiHidden/>
    <w:rsid w:val="00A00672"/>
    <w:pPr>
      <w:numPr>
        <w:numId w:val="14"/>
      </w:numPr>
      <w:contextualSpacing/>
    </w:pPr>
  </w:style>
  <w:style w:type="paragraph" w:styleId="ListBullet5">
    <w:name w:val="List Bullet 5"/>
    <w:basedOn w:val="Normal"/>
    <w:uiPriority w:val="99"/>
    <w:semiHidden/>
    <w:rsid w:val="00A00672"/>
    <w:pPr>
      <w:numPr>
        <w:numId w:val="15"/>
      </w:numPr>
      <w:contextualSpacing/>
    </w:pPr>
  </w:style>
  <w:style w:type="paragraph" w:styleId="ListContinue">
    <w:name w:val="List Continue"/>
    <w:basedOn w:val="Normal"/>
    <w:uiPriority w:val="99"/>
    <w:semiHidden/>
    <w:rsid w:val="00A00672"/>
    <w:pPr>
      <w:spacing w:after="120"/>
      <w:ind w:left="283"/>
      <w:contextualSpacing/>
    </w:pPr>
  </w:style>
  <w:style w:type="paragraph" w:styleId="ListContinue2">
    <w:name w:val="List Continue 2"/>
    <w:basedOn w:val="Normal"/>
    <w:uiPriority w:val="99"/>
    <w:semiHidden/>
    <w:rsid w:val="00A00672"/>
    <w:pPr>
      <w:spacing w:after="120"/>
      <w:ind w:left="566"/>
      <w:contextualSpacing/>
    </w:pPr>
  </w:style>
  <w:style w:type="paragraph" w:styleId="ListContinue3">
    <w:name w:val="List Continue 3"/>
    <w:basedOn w:val="Normal"/>
    <w:uiPriority w:val="99"/>
    <w:semiHidden/>
    <w:rsid w:val="00A00672"/>
    <w:pPr>
      <w:spacing w:after="120"/>
      <w:ind w:left="849"/>
      <w:contextualSpacing/>
    </w:pPr>
  </w:style>
  <w:style w:type="paragraph" w:styleId="ListContinue4">
    <w:name w:val="List Continue 4"/>
    <w:basedOn w:val="Normal"/>
    <w:uiPriority w:val="99"/>
    <w:semiHidden/>
    <w:rsid w:val="00A00672"/>
    <w:pPr>
      <w:spacing w:after="120"/>
      <w:ind w:left="1132"/>
      <w:contextualSpacing/>
    </w:pPr>
  </w:style>
  <w:style w:type="paragraph" w:styleId="ListContinue5">
    <w:name w:val="List Continue 5"/>
    <w:basedOn w:val="Normal"/>
    <w:uiPriority w:val="99"/>
    <w:semiHidden/>
    <w:rsid w:val="00A00672"/>
    <w:pPr>
      <w:spacing w:after="120"/>
      <w:ind w:left="1415"/>
      <w:contextualSpacing/>
    </w:pPr>
  </w:style>
  <w:style w:type="paragraph" w:styleId="ListNumber">
    <w:name w:val="List Number"/>
    <w:basedOn w:val="Normal"/>
    <w:uiPriority w:val="99"/>
    <w:semiHidden/>
    <w:rsid w:val="00A00672"/>
    <w:pPr>
      <w:numPr>
        <w:numId w:val="16"/>
      </w:numPr>
      <w:contextualSpacing/>
    </w:pPr>
  </w:style>
  <w:style w:type="paragraph" w:styleId="ListNumber2">
    <w:name w:val="List Number 2"/>
    <w:basedOn w:val="Normal"/>
    <w:uiPriority w:val="99"/>
    <w:semiHidden/>
    <w:rsid w:val="00A00672"/>
    <w:pPr>
      <w:numPr>
        <w:numId w:val="17"/>
      </w:numPr>
      <w:contextualSpacing/>
    </w:pPr>
  </w:style>
  <w:style w:type="paragraph" w:styleId="ListNumber3">
    <w:name w:val="List Number 3"/>
    <w:basedOn w:val="Normal"/>
    <w:uiPriority w:val="99"/>
    <w:semiHidden/>
    <w:rsid w:val="00A00672"/>
    <w:pPr>
      <w:numPr>
        <w:numId w:val="18"/>
      </w:numPr>
      <w:contextualSpacing/>
    </w:pPr>
  </w:style>
  <w:style w:type="paragraph" w:styleId="ListNumber4">
    <w:name w:val="List Number 4"/>
    <w:basedOn w:val="Normal"/>
    <w:uiPriority w:val="99"/>
    <w:semiHidden/>
    <w:rsid w:val="00A00672"/>
    <w:pPr>
      <w:numPr>
        <w:numId w:val="19"/>
      </w:numPr>
      <w:contextualSpacing/>
    </w:pPr>
  </w:style>
  <w:style w:type="paragraph" w:styleId="ListNumber5">
    <w:name w:val="List Number 5"/>
    <w:basedOn w:val="Normal"/>
    <w:uiPriority w:val="99"/>
    <w:semiHidden/>
    <w:rsid w:val="00A00672"/>
    <w:pPr>
      <w:numPr>
        <w:numId w:val="20"/>
      </w:numPr>
      <w:contextualSpacing/>
    </w:pPr>
  </w:style>
  <w:style w:type="paragraph" w:styleId="Macro">
    <w:name w:val="macro"/>
    <w:link w:val="MacroTextChar"/>
    <w:uiPriority w:val="99"/>
    <w:semiHidden/>
    <w:rsid w:val="00A00672"/>
    <w:pPr>
      <w:tabs>
        <w:tab w:val="left" w:pos="480"/>
        <w:tab w:val="left" w:pos="960"/>
        <w:tab w:val="left" w:pos="1440"/>
        <w:tab w:val="left" w:pos="1920"/>
        <w:tab w:val="left" w:pos="2400"/>
        <w:tab w:val="left" w:pos="2880"/>
        <w:tab w:val="left" w:pos="3360"/>
        <w:tab w:val="left" w:pos="3840"/>
        <w:tab w:val="left" w:pos="4320"/>
      </w:tabs>
      <w:jc w:val="both"/>
    </w:pPr>
    <w:rPr>
      <w:rFonts w:ascii="Consolas" w:hAnsi="Consolas" w:eastAsiaTheme="minorEastAsia" w:cs="Consolas"/>
      <w:sz w:val="20"/>
      <w:szCs w:val="20"/>
    </w:rPr>
  </w:style>
  <w:style w:type="character" w:customStyle="1" w:styleId="MacroTextChar">
    <w:name w:val="Macro Text Char"/>
    <w:basedOn w:val="DefaultParagraphFont"/>
    <w:link w:val="Macro"/>
    <w:uiPriority w:val="99"/>
    <w:semiHidden/>
    <w:rsid w:val="00A00672"/>
    <w:rPr>
      <w:rFonts w:ascii="Consolas" w:hAnsi="Consolas" w:eastAsiaTheme="minorEastAsia" w:cs="Consolas"/>
      <w:sz w:val="20"/>
      <w:szCs w:val="20"/>
    </w:rPr>
  </w:style>
  <w:style w:type="table" w:styleId="MediumGrid1">
    <w:name w:val="Medium Grid 1"/>
    <w:basedOn w:val="TableNormal"/>
    <w:uiPriority w:val="67"/>
    <w:semiHidden/>
    <w:rsid w:val="00A00672"/>
    <w:rPr>
      <w:sz w:val="24"/>
      <w:szCs w:val="24"/>
    </w:rPr>
    <w:tblPr>
      <w:tblStyleRowBandSize w:val="1"/>
      <w:tblStyleColBandSize w:val="1"/>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semiHidden/>
    <w:rsid w:val="00A00672"/>
    <w:rPr>
      <w:sz w:val="24"/>
      <w:szCs w:val="24"/>
    </w:rPr>
    <w:tblPr>
      <w:tblStyleRowBandSize w:val="1"/>
      <w:tblStyleColBandSize w:val="1"/>
      <w:tblBorders>
        <w:top w:val="single" w:sz="8" w:space="0" w:color="0D9FFF" w:themeColor="accent1" w:themeTint="BF"/>
        <w:left w:val="single" w:sz="8" w:space="0" w:color="0D9FFF" w:themeColor="accent1" w:themeTint="BF"/>
        <w:bottom w:val="single" w:sz="8" w:space="0" w:color="0D9FFF" w:themeColor="accent1" w:themeTint="BF"/>
        <w:right w:val="single" w:sz="8" w:space="0" w:color="0D9FFF" w:themeColor="accent1" w:themeTint="BF"/>
        <w:insideH w:val="single" w:sz="8" w:space="0" w:color="0D9FFF" w:themeColor="accent1" w:themeTint="BF"/>
        <w:insideV w:val="single" w:sz="8" w:space="0" w:color="0D9FFF" w:themeColor="accent1" w:themeTint="BF"/>
      </w:tblBorders>
    </w:tblPr>
    <w:tcPr>
      <w:shd w:val="clear" w:color="auto" w:fill="AFDFFF" w:themeFill="accent1" w:themeFillTint="3F"/>
    </w:tcPr>
    <w:tblStylePr w:type="firstRow">
      <w:rPr>
        <w:b/>
        <w:bCs/>
      </w:rPr>
    </w:tblStylePr>
    <w:tblStylePr w:type="lastRow">
      <w:rPr>
        <w:b/>
        <w:bCs/>
      </w:rPr>
      <w:tblPr/>
      <w:tcPr>
        <w:tcBorders>
          <w:top w:val="single" w:sz="18" w:space="0" w:color="0D9FFF" w:themeColor="accent1" w:themeTint="BF"/>
        </w:tcBorders>
      </w:tcPr>
    </w:tblStylePr>
    <w:tblStylePr w:type="firstCol">
      <w:rPr>
        <w:b/>
        <w:bCs/>
      </w:rPr>
    </w:tblStylePr>
    <w:tblStylePr w:type="lastCol">
      <w:rPr>
        <w:b/>
        <w:bCs/>
      </w:rPr>
    </w:tblStylePr>
    <w:tblStylePr w:type="band1Vert">
      <w:tblPr/>
      <w:tcPr>
        <w:shd w:val="clear" w:color="auto" w:fill="5EBFFF" w:themeFill="accent1" w:themeFillTint="7F"/>
      </w:tcPr>
    </w:tblStylePr>
    <w:tblStylePr w:type="band1Horz">
      <w:tblPr/>
      <w:tcPr>
        <w:shd w:val="clear" w:color="auto" w:fill="5EBFFF" w:themeFill="accent1" w:themeFillTint="7F"/>
      </w:tcPr>
    </w:tblStylePr>
  </w:style>
  <w:style w:type="table" w:styleId="MediumGrid1Accent2">
    <w:name w:val="Medium Grid 1 Accent 2"/>
    <w:basedOn w:val="TableNormal"/>
    <w:uiPriority w:val="67"/>
    <w:semiHidden/>
    <w:rsid w:val="00A00672"/>
    <w:rPr>
      <w:sz w:val="24"/>
      <w:szCs w:val="24"/>
    </w:rPr>
    <w:tblPr>
      <w:tblStyleRowBandSize w:val="1"/>
      <w:tblStyleColBandSize w:val="1"/>
      <w:tblBorders>
        <w:top w:val="single" w:sz="8" w:space="0" w:color="FF1010" w:themeColor="accent2" w:themeTint="BF"/>
        <w:left w:val="single" w:sz="8" w:space="0" w:color="FF1010" w:themeColor="accent2" w:themeTint="BF"/>
        <w:bottom w:val="single" w:sz="8" w:space="0" w:color="FF1010" w:themeColor="accent2" w:themeTint="BF"/>
        <w:right w:val="single" w:sz="8" w:space="0" w:color="FF1010" w:themeColor="accent2" w:themeTint="BF"/>
        <w:insideH w:val="single" w:sz="8" w:space="0" w:color="FF1010" w:themeColor="accent2" w:themeTint="BF"/>
        <w:insideV w:val="single" w:sz="8" w:space="0" w:color="FF1010" w:themeColor="accent2" w:themeTint="BF"/>
      </w:tblBorders>
    </w:tblPr>
    <w:tcPr>
      <w:shd w:val="clear" w:color="auto" w:fill="FFB0B0" w:themeFill="accent2" w:themeFillTint="3F"/>
    </w:tcPr>
    <w:tblStylePr w:type="firstRow">
      <w:rPr>
        <w:b/>
        <w:bCs/>
      </w:rPr>
    </w:tblStylePr>
    <w:tblStylePr w:type="lastRow">
      <w:rPr>
        <w:b/>
        <w:bCs/>
      </w:rPr>
      <w:tblPr/>
      <w:tcPr>
        <w:tcBorders>
          <w:top w:val="single" w:sz="18" w:space="0" w:color="FF1010" w:themeColor="accent2" w:themeTint="BF"/>
        </w:tcBorders>
      </w:tcPr>
    </w:tblStylePr>
    <w:tblStylePr w:type="firstCol">
      <w:rPr>
        <w:b/>
        <w:bCs/>
      </w:rPr>
    </w:tblStylePr>
    <w:tblStylePr w:type="lastCol">
      <w:rPr>
        <w:b/>
        <w:bCs/>
      </w:rPr>
    </w:tblStylePr>
    <w:tblStylePr w:type="band1Vert">
      <w:tblPr/>
      <w:tcPr>
        <w:shd w:val="clear" w:color="auto" w:fill="FF6060" w:themeFill="accent2" w:themeFillTint="7F"/>
      </w:tcPr>
    </w:tblStylePr>
    <w:tblStylePr w:type="band1Horz">
      <w:tblPr/>
      <w:tcPr>
        <w:shd w:val="clear" w:color="auto" w:fill="FF6060" w:themeFill="accent2" w:themeFillTint="7F"/>
      </w:tcPr>
    </w:tblStylePr>
  </w:style>
  <w:style w:type="table" w:styleId="MediumGrid1Accent3">
    <w:name w:val="Medium Grid 1 Accent 3"/>
    <w:basedOn w:val="TableNormal"/>
    <w:uiPriority w:val="67"/>
    <w:semiHidden/>
    <w:rsid w:val="00A00672"/>
    <w:rPr>
      <w:sz w:val="24"/>
      <w:szCs w:val="24"/>
    </w:rPr>
    <w:tblPr>
      <w:tblStyleRowBandSize w:val="1"/>
      <w:tblStyleColBandSize w:val="1"/>
      <w:tblBorders>
        <w:top w:val="single" w:sz="8" w:space="0" w:color="878787" w:themeColor="accent3" w:themeTint="BF"/>
        <w:left w:val="single" w:sz="8" w:space="0" w:color="878787" w:themeColor="accent3" w:themeTint="BF"/>
        <w:bottom w:val="single" w:sz="8" w:space="0" w:color="878787" w:themeColor="accent3" w:themeTint="BF"/>
        <w:right w:val="single" w:sz="8" w:space="0" w:color="878787" w:themeColor="accent3" w:themeTint="BF"/>
        <w:insideH w:val="single" w:sz="8" w:space="0" w:color="878787" w:themeColor="accent3" w:themeTint="BF"/>
        <w:insideV w:val="single" w:sz="8" w:space="0" w:color="878787" w:themeColor="accent3" w:themeTint="BF"/>
      </w:tblBorders>
    </w:tblPr>
    <w:tcPr>
      <w:shd w:val="clear" w:color="auto" w:fill="D7D7D7" w:themeFill="accent3" w:themeFillTint="3F"/>
    </w:tcPr>
    <w:tblStylePr w:type="firstRow">
      <w:rPr>
        <w:b/>
        <w:bCs/>
      </w:rPr>
    </w:tblStylePr>
    <w:tblStylePr w:type="lastRow">
      <w:rPr>
        <w:b/>
        <w:bCs/>
      </w:rPr>
      <w:tblPr/>
      <w:tcPr>
        <w:tcBorders>
          <w:top w:val="single" w:sz="18" w:space="0" w:color="878787" w:themeColor="accent3" w:themeTint="BF"/>
        </w:tcBorders>
      </w:tcPr>
    </w:tblStylePr>
    <w:tblStylePr w:type="firstCol">
      <w:rPr>
        <w:b/>
        <w:bCs/>
      </w:rPr>
    </w:tblStylePr>
    <w:tblStylePr w:type="lastCol">
      <w:rPr>
        <w:b/>
        <w:bCs/>
      </w:rPr>
    </w:tblStylePr>
    <w:tblStylePr w:type="band1Vert">
      <w:tblPr/>
      <w:tcPr>
        <w:shd w:val="clear" w:color="auto" w:fill="AFAFAF" w:themeFill="accent3" w:themeFillTint="7F"/>
      </w:tcPr>
    </w:tblStylePr>
    <w:tblStylePr w:type="band1Horz">
      <w:tblPr/>
      <w:tcPr>
        <w:shd w:val="clear" w:color="auto" w:fill="AFAFAF" w:themeFill="accent3" w:themeFillTint="7F"/>
      </w:tcPr>
    </w:tblStylePr>
  </w:style>
  <w:style w:type="table" w:styleId="MediumGrid1Accent4">
    <w:name w:val="Medium Grid 1 Accent 4"/>
    <w:basedOn w:val="TableNormal"/>
    <w:uiPriority w:val="67"/>
    <w:semiHidden/>
    <w:rsid w:val="00A00672"/>
    <w:rPr>
      <w:sz w:val="24"/>
      <w:szCs w:val="24"/>
    </w:rPr>
    <w:tblPr>
      <w:tblStyleRowBandSize w:val="1"/>
      <w:tblStyleColBandSize w:val="1"/>
      <w:tblBorders>
        <w:top w:val="single" w:sz="8" w:space="0" w:color="B0B0B0" w:themeColor="accent4" w:themeTint="BF"/>
        <w:left w:val="single" w:sz="8" w:space="0" w:color="B0B0B0" w:themeColor="accent4" w:themeTint="BF"/>
        <w:bottom w:val="single" w:sz="8" w:space="0" w:color="B0B0B0" w:themeColor="accent4" w:themeTint="BF"/>
        <w:right w:val="single" w:sz="8" w:space="0" w:color="B0B0B0" w:themeColor="accent4" w:themeTint="BF"/>
        <w:insideH w:val="single" w:sz="8" w:space="0" w:color="B0B0B0" w:themeColor="accent4" w:themeTint="BF"/>
        <w:insideV w:val="single" w:sz="8" w:space="0" w:color="B0B0B0" w:themeColor="accent4" w:themeTint="BF"/>
      </w:tblBorders>
    </w:tblPr>
    <w:tcPr>
      <w:shd w:val="clear" w:color="auto" w:fill="E5E5E5" w:themeFill="accent4" w:themeFillTint="3F"/>
    </w:tcPr>
    <w:tblStylePr w:type="firstRow">
      <w:rPr>
        <w:b/>
        <w:bCs/>
      </w:rPr>
    </w:tblStylePr>
    <w:tblStylePr w:type="lastRow">
      <w:rPr>
        <w:b/>
        <w:bCs/>
      </w:rPr>
      <w:tblPr/>
      <w:tcPr>
        <w:tcBorders>
          <w:top w:val="single" w:sz="18" w:space="0" w:color="B0B0B0" w:themeColor="accent4" w:themeTint="BF"/>
        </w:tcBorders>
      </w:tcPr>
    </w:tblStylePr>
    <w:tblStylePr w:type="firstCol">
      <w:rPr>
        <w:b/>
        <w:bCs/>
      </w:rPr>
    </w:tblStylePr>
    <w:tblStylePr w:type="lastCol">
      <w:rPr>
        <w:b/>
        <w:bCs/>
      </w:rPr>
    </w:tblStylePr>
    <w:tblStylePr w:type="band1Vert">
      <w:tblPr/>
      <w:tcPr>
        <w:shd w:val="clear" w:color="auto" w:fill="CACACA" w:themeFill="accent4" w:themeFillTint="7F"/>
      </w:tcPr>
    </w:tblStylePr>
    <w:tblStylePr w:type="band1Horz">
      <w:tblPr/>
      <w:tcPr>
        <w:shd w:val="clear" w:color="auto" w:fill="CACACA" w:themeFill="accent4" w:themeFillTint="7F"/>
      </w:tcPr>
    </w:tblStylePr>
  </w:style>
  <w:style w:type="table" w:styleId="MediumGrid1Accent5">
    <w:name w:val="Medium Grid 1 Accent 5"/>
    <w:basedOn w:val="TableNormal"/>
    <w:uiPriority w:val="67"/>
    <w:semiHidden/>
    <w:rsid w:val="00A00672"/>
    <w:rPr>
      <w:sz w:val="24"/>
      <w:szCs w:val="24"/>
    </w:rPr>
    <w:tblPr>
      <w:tblStyleRowBandSize w:val="1"/>
      <w:tblStyleColBandSize w:val="1"/>
      <w:tblBorders>
        <w:top w:val="single" w:sz="8" w:space="0" w:color="878787" w:themeColor="accent5" w:themeTint="BF"/>
        <w:left w:val="single" w:sz="8" w:space="0" w:color="878787" w:themeColor="accent5" w:themeTint="BF"/>
        <w:bottom w:val="single" w:sz="8" w:space="0" w:color="878787" w:themeColor="accent5" w:themeTint="BF"/>
        <w:right w:val="single" w:sz="8" w:space="0" w:color="878787" w:themeColor="accent5" w:themeTint="BF"/>
        <w:insideH w:val="single" w:sz="8" w:space="0" w:color="878787" w:themeColor="accent5" w:themeTint="BF"/>
        <w:insideV w:val="single" w:sz="8" w:space="0" w:color="878787" w:themeColor="accent5" w:themeTint="BF"/>
      </w:tblBorders>
    </w:tblPr>
    <w:tcPr>
      <w:shd w:val="clear" w:color="auto" w:fill="D7D7D7" w:themeFill="accent5" w:themeFillTint="3F"/>
    </w:tcPr>
    <w:tblStylePr w:type="firstRow">
      <w:rPr>
        <w:b/>
        <w:bCs/>
      </w:rPr>
    </w:tblStylePr>
    <w:tblStylePr w:type="lastRow">
      <w:rPr>
        <w:b/>
        <w:bCs/>
      </w:rPr>
      <w:tblPr/>
      <w:tcPr>
        <w:tcBorders>
          <w:top w:val="single" w:sz="18" w:space="0" w:color="878787" w:themeColor="accent5" w:themeTint="BF"/>
        </w:tcBorders>
      </w:tcPr>
    </w:tblStylePr>
    <w:tblStylePr w:type="firstCol">
      <w:rPr>
        <w:b/>
        <w:bCs/>
      </w:rPr>
    </w:tblStylePr>
    <w:tblStylePr w:type="lastCol">
      <w:rPr>
        <w:b/>
        <w:bCs/>
      </w:rPr>
    </w:tblStylePr>
    <w:tblStylePr w:type="band1Vert">
      <w:tblPr/>
      <w:tcPr>
        <w:shd w:val="clear" w:color="auto" w:fill="AFAFAF" w:themeFill="accent5" w:themeFillTint="7F"/>
      </w:tcPr>
    </w:tblStylePr>
    <w:tblStylePr w:type="band1Horz">
      <w:tblPr/>
      <w:tcPr>
        <w:shd w:val="clear" w:color="auto" w:fill="AFAFAF" w:themeFill="accent5" w:themeFillTint="7F"/>
      </w:tcPr>
    </w:tblStylePr>
  </w:style>
  <w:style w:type="table" w:styleId="MediumGrid1Accent6">
    <w:name w:val="Medium Grid 1 Accent 6"/>
    <w:basedOn w:val="TableNormal"/>
    <w:uiPriority w:val="67"/>
    <w:semiHidden/>
    <w:rsid w:val="00A00672"/>
    <w:rPr>
      <w:sz w:val="24"/>
      <w:szCs w:val="24"/>
    </w:rPr>
    <w:tblPr>
      <w:tblStyleRowBandSize w:val="1"/>
      <w:tblStyleColBandSize w:val="1"/>
      <w:tblBorders>
        <w:top w:val="single" w:sz="8" w:space="0" w:color="797979" w:themeColor="accent6" w:themeTint="BF"/>
        <w:left w:val="single" w:sz="8" w:space="0" w:color="797979" w:themeColor="accent6" w:themeTint="BF"/>
        <w:bottom w:val="single" w:sz="8" w:space="0" w:color="797979" w:themeColor="accent6" w:themeTint="BF"/>
        <w:right w:val="single" w:sz="8" w:space="0" w:color="797979" w:themeColor="accent6" w:themeTint="BF"/>
        <w:insideH w:val="single" w:sz="8" w:space="0" w:color="797979" w:themeColor="accent6" w:themeTint="BF"/>
        <w:insideV w:val="single" w:sz="8" w:space="0" w:color="797979" w:themeColor="accent6" w:themeTint="BF"/>
      </w:tblBorders>
    </w:tblPr>
    <w:tcPr>
      <w:shd w:val="clear" w:color="auto" w:fill="D3D3D3" w:themeFill="accent6" w:themeFillTint="3F"/>
    </w:tcPr>
    <w:tblStylePr w:type="firstRow">
      <w:rPr>
        <w:b/>
        <w:bCs/>
      </w:rPr>
    </w:tblStylePr>
    <w:tblStylePr w:type="lastRow">
      <w:rPr>
        <w:b/>
        <w:bCs/>
      </w:rPr>
      <w:tblPr/>
      <w:tcPr>
        <w:tcBorders>
          <w:top w:val="single" w:sz="18" w:space="0" w:color="797979" w:themeColor="accent6" w:themeTint="BF"/>
        </w:tcBorders>
      </w:tcPr>
    </w:tblStylePr>
    <w:tblStylePr w:type="firstCol">
      <w:rPr>
        <w:b/>
        <w:bCs/>
      </w:rPr>
    </w:tblStylePr>
    <w:tblStylePr w:type="lastCol">
      <w:rPr>
        <w:b/>
        <w:bCs/>
      </w:rPr>
    </w:tblStylePr>
    <w:tblStylePr w:type="band1Vert">
      <w:tblPr/>
      <w:tcPr>
        <w:shd w:val="clear" w:color="auto" w:fill="A6A6A6" w:themeFill="accent6" w:themeFillTint="7F"/>
      </w:tcPr>
    </w:tblStylePr>
    <w:tblStylePr w:type="band1Horz">
      <w:tblPr/>
      <w:tcPr>
        <w:shd w:val="clear" w:color="auto" w:fill="A6A6A6" w:themeFill="accent6" w:themeFillTint="7F"/>
      </w:tcPr>
    </w:tblStylePr>
  </w:style>
  <w:style w:type="table" w:styleId="MediumGrid2">
    <w:name w:val="Medium Grid 2"/>
    <w:basedOn w:val="TableNormal"/>
    <w:uiPriority w:val="68"/>
    <w:semiHidden/>
    <w:rsid w:val="00A00672"/>
    <w:rPr>
      <w:rFonts w:asciiTheme="majorHAnsi" w:eastAsiaTheme="majorEastAsia" w:hAnsiTheme="majorHAnsi" w:cstheme="majorBidi"/>
      <w:color w:val="000000" w:themeColor="text1"/>
      <w:sz w:val="24"/>
      <w:szCs w:val="24"/>
    </w:r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0072BC" w:themeFill="background1"/>
      </w:tcPr>
    </w:tblStylePr>
    <w:tblStylePr w:type="firstCol">
      <w:rPr>
        <w:b/>
        <w:bCs/>
        <w:color w:val="000000" w:themeColor="text1"/>
      </w:rPr>
      <w:tblPr/>
      <w:tcPr>
        <w:tcBorders>
          <w:top w:val="nil"/>
          <w:left w:val="nil"/>
          <w:bottom w:val="nil"/>
          <w:right w:val="nil"/>
          <w:insideH w:val="nil"/>
          <w:insideV w:val="nil"/>
        </w:tcBorders>
        <w:shd w:val="clear" w:color="auto" w:fill="0072BC"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0072BC" w:themeFill="background1"/>
      </w:tcPr>
    </w:tblStylePr>
  </w:style>
  <w:style w:type="table" w:styleId="MediumGrid2Accent1">
    <w:name w:val="Medium Grid 2 Accent 1"/>
    <w:basedOn w:val="TableNormal"/>
    <w:uiPriority w:val="68"/>
    <w:semiHidden/>
    <w:rsid w:val="00A00672"/>
    <w:rPr>
      <w:rFonts w:asciiTheme="majorHAnsi" w:eastAsiaTheme="majorEastAsia" w:hAnsiTheme="majorHAnsi" w:cstheme="majorBidi"/>
      <w:color w:val="000000" w:themeColor="text1"/>
      <w:sz w:val="24"/>
      <w:szCs w:val="24"/>
    </w:rPr>
    <w:tblPr>
      <w:tblStyleRowBandSize w:val="1"/>
      <w:tblStyleColBandSize w:val="1"/>
      <w:tblBorders>
        <w:top w:val="single" w:sz="8" w:space="0" w:color="0072BC" w:themeColor="accent1"/>
        <w:left w:val="single" w:sz="8" w:space="0" w:color="0072BC" w:themeColor="accent1"/>
        <w:bottom w:val="single" w:sz="8" w:space="0" w:color="0072BC" w:themeColor="accent1"/>
        <w:right w:val="single" w:sz="8" w:space="0" w:color="0072BC" w:themeColor="accent1"/>
        <w:insideH w:val="single" w:sz="8" w:space="0" w:color="0072BC" w:themeColor="accent1"/>
        <w:insideV w:val="single" w:sz="8" w:space="0" w:color="0072BC" w:themeColor="accent1"/>
      </w:tblBorders>
    </w:tblPr>
    <w:tcPr>
      <w:shd w:val="clear" w:color="auto" w:fill="AFDFFF" w:themeFill="accent1" w:themeFillTint="3F"/>
    </w:tcPr>
    <w:tblStylePr w:type="firstRow">
      <w:rPr>
        <w:b/>
        <w:bCs/>
        <w:color w:val="000000" w:themeColor="text1"/>
      </w:rPr>
      <w:tblPr/>
      <w:tcPr>
        <w:shd w:val="clear" w:color="auto" w:fill="DFF2FF"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0072BC" w:themeFill="background1"/>
      </w:tcPr>
    </w:tblStylePr>
    <w:tblStylePr w:type="firstCol">
      <w:rPr>
        <w:b/>
        <w:bCs/>
        <w:color w:val="000000" w:themeColor="text1"/>
      </w:rPr>
      <w:tblPr/>
      <w:tcPr>
        <w:tcBorders>
          <w:top w:val="nil"/>
          <w:left w:val="nil"/>
          <w:bottom w:val="nil"/>
          <w:right w:val="nil"/>
          <w:insideH w:val="nil"/>
          <w:insideV w:val="nil"/>
        </w:tcBorders>
        <w:shd w:val="clear" w:color="auto" w:fill="0072BC"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BEE5FF" w:themeFill="accent1" w:themeFillTint="33"/>
      </w:tcPr>
    </w:tblStylePr>
    <w:tblStylePr w:type="band1Vert">
      <w:tblPr/>
      <w:tcPr>
        <w:shd w:val="clear" w:color="auto" w:fill="5EBFFF" w:themeFill="accent1" w:themeFillTint="7F"/>
      </w:tcPr>
    </w:tblStylePr>
    <w:tblStylePr w:type="band1Horz">
      <w:tblPr/>
      <w:tcPr>
        <w:tcBorders>
          <w:insideH w:val="single" w:sz="6" w:space="0" w:color="0072BC" w:themeColor="accent1"/>
          <w:insideV w:val="single" w:sz="6" w:space="0" w:color="0072BC" w:themeColor="accent1"/>
        </w:tcBorders>
        <w:shd w:val="clear" w:color="auto" w:fill="5EBFFF" w:themeFill="accent1" w:themeFillTint="7F"/>
      </w:tcPr>
    </w:tblStylePr>
    <w:tblStylePr w:type="nwCell">
      <w:tblPr/>
      <w:tcPr>
        <w:shd w:val="clear" w:color="auto" w:fill="0072BC" w:themeFill="background1"/>
      </w:tcPr>
    </w:tblStylePr>
  </w:style>
  <w:style w:type="table" w:styleId="MediumGrid2Accent2">
    <w:name w:val="Medium Grid 2 Accent 2"/>
    <w:basedOn w:val="TableNormal"/>
    <w:uiPriority w:val="68"/>
    <w:semiHidden/>
    <w:rsid w:val="00A00672"/>
    <w:rPr>
      <w:rFonts w:asciiTheme="majorHAnsi" w:eastAsiaTheme="majorEastAsia" w:hAnsiTheme="majorHAnsi" w:cstheme="majorBidi"/>
      <w:color w:val="000000" w:themeColor="text1"/>
      <w:sz w:val="24"/>
      <w:szCs w:val="24"/>
    </w:rPr>
    <w:tblPr>
      <w:tblStyleRowBandSize w:val="1"/>
      <w:tblStyleColBandSize w:val="1"/>
      <w:tblBorders>
        <w:top w:val="single" w:sz="8" w:space="0" w:color="C00000" w:themeColor="accent2"/>
        <w:left w:val="single" w:sz="8" w:space="0" w:color="C00000" w:themeColor="accent2"/>
        <w:bottom w:val="single" w:sz="8" w:space="0" w:color="C00000" w:themeColor="accent2"/>
        <w:right w:val="single" w:sz="8" w:space="0" w:color="C00000" w:themeColor="accent2"/>
        <w:insideH w:val="single" w:sz="8" w:space="0" w:color="C00000" w:themeColor="accent2"/>
        <w:insideV w:val="single" w:sz="8" w:space="0" w:color="C00000" w:themeColor="accent2"/>
      </w:tblBorders>
    </w:tblPr>
    <w:tcPr>
      <w:shd w:val="clear" w:color="auto" w:fill="FFB0B0" w:themeFill="accent2" w:themeFillTint="3F"/>
    </w:tcPr>
    <w:tblStylePr w:type="firstRow">
      <w:rPr>
        <w:b/>
        <w:bCs/>
        <w:color w:val="000000" w:themeColor="text1"/>
      </w:rPr>
      <w:tblPr/>
      <w:tcPr>
        <w:shd w:val="clear" w:color="auto" w:fill="FFDFDF"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0072BC" w:themeFill="background1"/>
      </w:tcPr>
    </w:tblStylePr>
    <w:tblStylePr w:type="firstCol">
      <w:rPr>
        <w:b/>
        <w:bCs/>
        <w:color w:val="000000" w:themeColor="text1"/>
      </w:rPr>
      <w:tblPr/>
      <w:tcPr>
        <w:tcBorders>
          <w:top w:val="nil"/>
          <w:left w:val="nil"/>
          <w:bottom w:val="nil"/>
          <w:right w:val="nil"/>
          <w:insideH w:val="nil"/>
          <w:insideV w:val="nil"/>
        </w:tcBorders>
        <w:shd w:val="clear" w:color="auto" w:fill="0072BC"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FBFBF" w:themeFill="accent2" w:themeFillTint="33"/>
      </w:tcPr>
    </w:tblStylePr>
    <w:tblStylePr w:type="band1Vert">
      <w:tblPr/>
      <w:tcPr>
        <w:shd w:val="clear" w:color="auto" w:fill="FF6060" w:themeFill="accent2" w:themeFillTint="7F"/>
      </w:tcPr>
    </w:tblStylePr>
    <w:tblStylePr w:type="band1Horz">
      <w:tblPr/>
      <w:tcPr>
        <w:tcBorders>
          <w:insideH w:val="single" w:sz="6" w:space="0" w:color="C00000" w:themeColor="accent2"/>
          <w:insideV w:val="single" w:sz="6" w:space="0" w:color="C00000" w:themeColor="accent2"/>
        </w:tcBorders>
        <w:shd w:val="clear" w:color="auto" w:fill="FF6060" w:themeFill="accent2" w:themeFillTint="7F"/>
      </w:tcPr>
    </w:tblStylePr>
    <w:tblStylePr w:type="nwCell">
      <w:tblPr/>
      <w:tcPr>
        <w:shd w:val="clear" w:color="auto" w:fill="0072BC" w:themeFill="background1"/>
      </w:tcPr>
    </w:tblStylePr>
  </w:style>
  <w:style w:type="table" w:styleId="MediumGrid2Accent3">
    <w:name w:val="Medium Grid 2 Accent 3"/>
    <w:basedOn w:val="TableNormal"/>
    <w:uiPriority w:val="68"/>
    <w:semiHidden/>
    <w:rsid w:val="00A00672"/>
    <w:rPr>
      <w:rFonts w:asciiTheme="majorHAnsi" w:eastAsiaTheme="majorEastAsia" w:hAnsiTheme="majorHAnsi" w:cstheme="majorBidi"/>
      <w:color w:val="000000" w:themeColor="text1"/>
      <w:sz w:val="24"/>
      <w:szCs w:val="24"/>
    </w:rPr>
    <w:tblPr>
      <w:tblStyleRowBandSize w:val="1"/>
      <w:tblStyleColBandSize w:val="1"/>
      <w:tblBorders>
        <w:top w:val="single" w:sz="8" w:space="0" w:color="5F5F5F" w:themeColor="accent3"/>
        <w:left w:val="single" w:sz="8" w:space="0" w:color="5F5F5F" w:themeColor="accent3"/>
        <w:bottom w:val="single" w:sz="8" w:space="0" w:color="5F5F5F" w:themeColor="accent3"/>
        <w:right w:val="single" w:sz="8" w:space="0" w:color="5F5F5F" w:themeColor="accent3"/>
        <w:insideH w:val="single" w:sz="8" w:space="0" w:color="5F5F5F" w:themeColor="accent3"/>
        <w:insideV w:val="single" w:sz="8" w:space="0" w:color="5F5F5F" w:themeColor="accent3"/>
      </w:tblBorders>
    </w:tblPr>
    <w:tcPr>
      <w:shd w:val="clear" w:color="auto" w:fill="D7D7D7" w:themeFill="accent3" w:themeFillTint="3F"/>
    </w:tcPr>
    <w:tblStylePr w:type="firstRow">
      <w:rPr>
        <w:b/>
        <w:bCs/>
        <w:color w:val="000000" w:themeColor="text1"/>
      </w:rPr>
      <w:tblPr/>
      <w:tcPr>
        <w:shd w:val="clear" w:color="auto" w:fill="EFEFEF"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0072BC" w:themeFill="background1"/>
      </w:tcPr>
    </w:tblStylePr>
    <w:tblStylePr w:type="firstCol">
      <w:rPr>
        <w:b/>
        <w:bCs/>
        <w:color w:val="000000" w:themeColor="text1"/>
      </w:rPr>
      <w:tblPr/>
      <w:tcPr>
        <w:tcBorders>
          <w:top w:val="nil"/>
          <w:left w:val="nil"/>
          <w:bottom w:val="nil"/>
          <w:right w:val="nil"/>
          <w:insideH w:val="nil"/>
          <w:insideV w:val="nil"/>
        </w:tcBorders>
        <w:shd w:val="clear" w:color="auto" w:fill="0072BC"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FDFDF" w:themeFill="accent3" w:themeFillTint="33"/>
      </w:tcPr>
    </w:tblStylePr>
    <w:tblStylePr w:type="band1Vert">
      <w:tblPr/>
      <w:tcPr>
        <w:shd w:val="clear" w:color="auto" w:fill="AFAFAF" w:themeFill="accent3" w:themeFillTint="7F"/>
      </w:tcPr>
    </w:tblStylePr>
    <w:tblStylePr w:type="band1Horz">
      <w:tblPr/>
      <w:tcPr>
        <w:tcBorders>
          <w:insideH w:val="single" w:sz="6" w:space="0" w:color="5F5F5F" w:themeColor="accent3"/>
          <w:insideV w:val="single" w:sz="6" w:space="0" w:color="5F5F5F" w:themeColor="accent3"/>
        </w:tcBorders>
        <w:shd w:val="clear" w:color="auto" w:fill="AFAFAF" w:themeFill="accent3" w:themeFillTint="7F"/>
      </w:tcPr>
    </w:tblStylePr>
    <w:tblStylePr w:type="nwCell">
      <w:tblPr/>
      <w:tcPr>
        <w:shd w:val="clear" w:color="auto" w:fill="0072BC" w:themeFill="background1"/>
      </w:tcPr>
    </w:tblStylePr>
  </w:style>
  <w:style w:type="table" w:styleId="MediumGrid2Accent4">
    <w:name w:val="Medium Grid 2 Accent 4"/>
    <w:basedOn w:val="TableNormal"/>
    <w:uiPriority w:val="68"/>
    <w:semiHidden/>
    <w:rsid w:val="00A00672"/>
    <w:rPr>
      <w:rFonts w:asciiTheme="majorHAnsi" w:eastAsiaTheme="majorEastAsia" w:hAnsiTheme="majorHAnsi" w:cstheme="majorBidi"/>
      <w:color w:val="000000" w:themeColor="text1"/>
      <w:sz w:val="24"/>
      <w:szCs w:val="24"/>
    </w:rPr>
    <w:tblPr>
      <w:tblStyleRowBandSize w:val="1"/>
      <w:tblStyleColBandSize w:val="1"/>
      <w:tblBorders>
        <w:top w:val="single" w:sz="8" w:space="0" w:color="969696" w:themeColor="accent4"/>
        <w:left w:val="single" w:sz="8" w:space="0" w:color="969696" w:themeColor="accent4"/>
        <w:bottom w:val="single" w:sz="8" w:space="0" w:color="969696" w:themeColor="accent4"/>
        <w:right w:val="single" w:sz="8" w:space="0" w:color="969696" w:themeColor="accent4"/>
        <w:insideH w:val="single" w:sz="8" w:space="0" w:color="969696" w:themeColor="accent4"/>
        <w:insideV w:val="single" w:sz="8" w:space="0" w:color="969696" w:themeColor="accent4"/>
      </w:tblBorders>
    </w:tblPr>
    <w:tcPr>
      <w:shd w:val="clear" w:color="auto" w:fill="E5E5E5" w:themeFill="accent4" w:themeFillTint="3F"/>
    </w:tcPr>
    <w:tblStylePr w:type="firstRow">
      <w:rPr>
        <w:b/>
        <w:bCs/>
        <w:color w:val="000000" w:themeColor="text1"/>
      </w:rPr>
      <w:tblPr/>
      <w:tcPr>
        <w:shd w:val="clear" w:color="auto" w:fill="F4F4F4"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0072BC" w:themeFill="background1"/>
      </w:tcPr>
    </w:tblStylePr>
    <w:tblStylePr w:type="firstCol">
      <w:rPr>
        <w:b/>
        <w:bCs/>
        <w:color w:val="000000" w:themeColor="text1"/>
      </w:rPr>
      <w:tblPr/>
      <w:tcPr>
        <w:tcBorders>
          <w:top w:val="nil"/>
          <w:left w:val="nil"/>
          <w:bottom w:val="nil"/>
          <w:right w:val="nil"/>
          <w:insideH w:val="nil"/>
          <w:insideV w:val="nil"/>
        </w:tcBorders>
        <w:shd w:val="clear" w:color="auto" w:fill="0072BC"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EAEA" w:themeFill="accent4" w:themeFillTint="33"/>
      </w:tcPr>
    </w:tblStylePr>
    <w:tblStylePr w:type="band1Vert">
      <w:tblPr/>
      <w:tcPr>
        <w:shd w:val="clear" w:color="auto" w:fill="CACACA" w:themeFill="accent4" w:themeFillTint="7F"/>
      </w:tcPr>
    </w:tblStylePr>
    <w:tblStylePr w:type="band1Horz">
      <w:tblPr/>
      <w:tcPr>
        <w:tcBorders>
          <w:insideH w:val="single" w:sz="6" w:space="0" w:color="969696" w:themeColor="accent4"/>
          <w:insideV w:val="single" w:sz="6" w:space="0" w:color="969696" w:themeColor="accent4"/>
        </w:tcBorders>
        <w:shd w:val="clear" w:color="auto" w:fill="CACACA" w:themeFill="accent4" w:themeFillTint="7F"/>
      </w:tcPr>
    </w:tblStylePr>
    <w:tblStylePr w:type="nwCell">
      <w:tblPr/>
      <w:tcPr>
        <w:shd w:val="clear" w:color="auto" w:fill="0072BC" w:themeFill="background1"/>
      </w:tcPr>
    </w:tblStylePr>
  </w:style>
  <w:style w:type="table" w:styleId="MediumGrid2Accent5">
    <w:name w:val="Medium Grid 2 Accent 5"/>
    <w:basedOn w:val="TableNormal"/>
    <w:uiPriority w:val="68"/>
    <w:semiHidden/>
    <w:rsid w:val="00A00672"/>
    <w:rPr>
      <w:rFonts w:asciiTheme="majorHAnsi" w:eastAsiaTheme="majorEastAsia" w:hAnsiTheme="majorHAnsi" w:cstheme="majorBidi"/>
      <w:color w:val="000000" w:themeColor="text1"/>
      <w:sz w:val="24"/>
      <w:szCs w:val="24"/>
    </w:rPr>
    <w:tblPr>
      <w:tblStyleRowBandSize w:val="1"/>
      <w:tblStyleColBandSize w:val="1"/>
      <w:tblBorders>
        <w:top w:val="single" w:sz="8" w:space="0" w:color="5F5F5F" w:themeColor="accent5"/>
        <w:left w:val="single" w:sz="8" w:space="0" w:color="5F5F5F" w:themeColor="accent5"/>
        <w:bottom w:val="single" w:sz="8" w:space="0" w:color="5F5F5F" w:themeColor="accent5"/>
        <w:right w:val="single" w:sz="8" w:space="0" w:color="5F5F5F" w:themeColor="accent5"/>
        <w:insideH w:val="single" w:sz="8" w:space="0" w:color="5F5F5F" w:themeColor="accent5"/>
        <w:insideV w:val="single" w:sz="8" w:space="0" w:color="5F5F5F" w:themeColor="accent5"/>
      </w:tblBorders>
    </w:tblPr>
    <w:tcPr>
      <w:shd w:val="clear" w:color="auto" w:fill="D7D7D7" w:themeFill="accent5" w:themeFillTint="3F"/>
    </w:tcPr>
    <w:tblStylePr w:type="firstRow">
      <w:rPr>
        <w:b/>
        <w:bCs/>
        <w:color w:val="000000" w:themeColor="text1"/>
      </w:rPr>
      <w:tblPr/>
      <w:tcPr>
        <w:shd w:val="clear" w:color="auto" w:fill="EFEFEF"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0072BC" w:themeFill="background1"/>
      </w:tcPr>
    </w:tblStylePr>
    <w:tblStylePr w:type="firstCol">
      <w:rPr>
        <w:b/>
        <w:bCs/>
        <w:color w:val="000000" w:themeColor="text1"/>
      </w:rPr>
      <w:tblPr/>
      <w:tcPr>
        <w:tcBorders>
          <w:top w:val="nil"/>
          <w:left w:val="nil"/>
          <w:bottom w:val="nil"/>
          <w:right w:val="nil"/>
          <w:insideH w:val="nil"/>
          <w:insideV w:val="nil"/>
        </w:tcBorders>
        <w:shd w:val="clear" w:color="auto" w:fill="0072BC"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FDFDF" w:themeFill="accent5" w:themeFillTint="33"/>
      </w:tcPr>
    </w:tblStylePr>
    <w:tblStylePr w:type="band1Vert">
      <w:tblPr/>
      <w:tcPr>
        <w:shd w:val="clear" w:color="auto" w:fill="AFAFAF" w:themeFill="accent5" w:themeFillTint="7F"/>
      </w:tcPr>
    </w:tblStylePr>
    <w:tblStylePr w:type="band1Horz">
      <w:tblPr/>
      <w:tcPr>
        <w:tcBorders>
          <w:insideH w:val="single" w:sz="6" w:space="0" w:color="5F5F5F" w:themeColor="accent5"/>
          <w:insideV w:val="single" w:sz="6" w:space="0" w:color="5F5F5F" w:themeColor="accent5"/>
        </w:tcBorders>
        <w:shd w:val="clear" w:color="auto" w:fill="AFAFAF" w:themeFill="accent5" w:themeFillTint="7F"/>
      </w:tcPr>
    </w:tblStylePr>
    <w:tblStylePr w:type="nwCell">
      <w:tblPr/>
      <w:tcPr>
        <w:shd w:val="clear" w:color="auto" w:fill="0072BC" w:themeFill="background1"/>
      </w:tcPr>
    </w:tblStylePr>
  </w:style>
  <w:style w:type="table" w:styleId="MediumGrid2Accent6">
    <w:name w:val="Medium Grid 2 Accent 6"/>
    <w:basedOn w:val="TableNormal"/>
    <w:uiPriority w:val="68"/>
    <w:semiHidden/>
    <w:rsid w:val="00A00672"/>
    <w:rPr>
      <w:rFonts w:asciiTheme="majorHAnsi" w:eastAsiaTheme="majorEastAsia" w:hAnsiTheme="majorHAnsi" w:cstheme="majorBidi"/>
      <w:color w:val="000000" w:themeColor="text1"/>
      <w:sz w:val="24"/>
      <w:szCs w:val="24"/>
    </w:rPr>
    <w:tblPr>
      <w:tblStyleRowBandSize w:val="1"/>
      <w:tblStyleColBandSize w:val="1"/>
      <w:tblBorders>
        <w:top w:val="single" w:sz="8" w:space="0" w:color="4D4D4D" w:themeColor="accent6"/>
        <w:left w:val="single" w:sz="8" w:space="0" w:color="4D4D4D" w:themeColor="accent6"/>
        <w:bottom w:val="single" w:sz="8" w:space="0" w:color="4D4D4D" w:themeColor="accent6"/>
        <w:right w:val="single" w:sz="8" w:space="0" w:color="4D4D4D" w:themeColor="accent6"/>
        <w:insideH w:val="single" w:sz="8" w:space="0" w:color="4D4D4D" w:themeColor="accent6"/>
        <w:insideV w:val="single" w:sz="8" w:space="0" w:color="4D4D4D" w:themeColor="accent6"/>
      </w:tblBorders>
    </w:tblPr>
    <w:tcPr>
      <w:shd w:val="clear" w:color="auto" w:fill="D3D3D3" w:themeFill="accent6" w:themeFillTint="3F"/>
    </w:tcPr>
    <w:tblStylePr w:type="firstRow">
      <w:rPr>
        <w:b/>
        <w:bCs/>
        <w:color w:val="000000" w:themeColor="text1"/>
      </w:rPr>
      <w:tblPr/>
      <w:tcPr>
        <w:shd w:val="clear" w:color="auto" w:fill="EDEDED"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0072BC" w:themeFill="background1"/>
      </w:tcPr>
    </w:tblStylePr>
    <w:tblStylePr w:type="firstCol">
      <w:rPr>
        <w:b/>
        <w:bCs/>
        <w:color w:val="000000" w:themeColor="text1"/>
      </w:rPr>
      <w:tblPr/>
      <w:tcPr>
        <w:tcBorders>
          <w:top w:val="nil"/>
          <w:left w:val="nil"/>
          <w:bottom w:val="nil"/>
          <w:right w:val="nil"/>
          <w:insideH w:val="nil"/>
          <w:insideV w:val="nil"/>
        </w:tcBorders>
        <w:shd w:val="clear" w:color="auto" w:fill="0072BC"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DBDB" w:themeFill="accent6" w:themeFillTint="33"/>
      </w:tcPr>
    </w:tblStylePr>
    <w:tblStylePr w:type="band1Vert">
      <w:tblPr/>
      <w:tcPr>
        <w:shd w:val="clear" w:color="auto" w:fill="A6A6A6" w:themeFill="accent6" w:themeFillTint="7F"/>
      </w:tcPr>
    </w:tblStylePr>
    <w:tblStylePr w:type="band1Horz">
      <w:tblPr/>
      <w:tcPr>
        <w:tcBorders>
          <w:insideH w:val="single" w:sz="6" w:space="0" w:color="4D4D4D" w:themeColor="accent6"/>
          <w:insideV w:val="single" w:sz="6" w:space="0" w:color="4D4D4D" w:themeColor="accent6"/>
        </w:tcBorders>
        <w:shd w:val="clear" w:color="auto" w:fill="A6A6A6" w:themeFill="accent6" w:themeFillTint="7F"/>
      </w:tcPr>
    </w:tblStylePr>
    <w:tblStylePr w:type="nwCell">
      <w:tblPr/>
      <w:tcPr>
        <w:shd w:val="clear" w:color="auto" w:fill="0072BC" w:themeFill="background1"/>
      </w:tcPr>
    </w:tblStylePr>
  </w:style>
  <w:style w:type="table" w:styleId="MediumGrid3">
    <w:name w:val="Medium Grid 3"/>
    <w:basedOn w:val="TableNormal"/>
    <w:uiPriority w:val="69"/>
    <w:semiHidden/>
    <w:rsid w:val="00A00672"/>
    <w:rPr>
      <w:sz w:val="24"/>
      <w:szCs w:val="24"/>
    </w:rPr>
    <w:tblPr>
      <w:tblStyleRowBandSize w:val="1"/>
      <w:tblStyleColBandSize w:val="1"/>
      <w:tblBorders>
        <w:top w:val="single" w:sz="8" w:space="0" w:color="0072BC" w:themeColor="background1"/>
        <w:left w:val="single" w:sz="8" w:space="0" w:color="0072BC" w:themeColor="background1"/>
        <w:bottom w:val="single" w:sz="8" w:space="0" w:color="0072BC" w:themeColor="background1"/>
        <w:right w:val="single" w:sz="8" w:space="0" w:color="0072BC" w:themeColor="background1"/>
        <w:insideH w:val="single" w:sz="6" w:space="0" w:color="0072BC" w:themeColor="background1"/>
        <w:insideV w:val="single" w:sz="6" w:space="0" w:color="0072BC" w:themeColor="background1"/>
      </w:tblBorders>
    </w:tblPr>
    <w:tcPr>
      <w:shd w:val="clear" w:color="auto" w:fill="C0C0C0" w:themeFill="text1" w:themeFillTint="3F"/>
    </w:tcPr>
    <w:tblStylePr w:type="firstRow">
      <w:rPr>
        <w:b/>
        <w:bCs/>
        <w:i w:val="0"/>
        <w:iCs w:val="0"/>
        <w:color w:val="0072BC" w:themeColor="background1"/>
      </w:rPr>
      <w:tblPr/>
      <w:tcPr>
        <w:tcBorders>
          <w:top w:val="single" w:sz="8" w:space="0" w:color="0072BC" w:themeColor="background1"/>
          <w:left w:val="single" w:sz="8" w:space="0" w:color="0072BC" w:themeColor="background1"/>
          <w:bottom w:val="single" w:sz="24" w:space="0" w:color="0072BC" w:themeColor="background1"/>
          <w:right w:val="single" w:sz="8" w:space="0" w:color="0072BC" w:themeColor="background1"/>
          <w:insideH w:val="nil"/>
          <w:insideV w:val="single" w:sz="8" w:space="0" w:color="0072BC" w:themeColor="background1"/>
        </w:tcBorders>
        <w:shd w:val="clear" w:color="auto" w:fill="000000" w:themeFill="text1"/>
      </w:tcPr>
    </w:tblStylePr>
    <w:tblStylePr w:type="lastRow">
      <w:rPr>
        <w:b/>
        <w:bCs/>
        <w:i w:val="0"/>
        <w:iCs w:val="0"/>
        <w:color w:val="0072BC" w:themeColor="background1"/>
      </w:rPr>
      <w:tblPr/>
      <w:tcPr>
        <w:tcBorders>
          <w:top w:val="single" w:sz="24" w:space="0" w:color="0072BC" w:themeColor="background1"/>
          <w:left w:val="single" w:sz="8" w:space="0" w:color="0072BC" w:themeColor="background1"/>
          <w:bottom w:val="single" w:sz="8" w:space="0" w:color="0072BC" w:themeColor="background1"/>
          <w:right w:val="single" w:sz="8" w:space="0" w:color="0072BC" w:themeColor="background1"/>
          <w:insideH w:val="nil"/>
          <w:insideV w:val="single" w:sz="8" w:space="0" w:color="0072BC" w:themeColor="background1"/>
        </w:tcBorders>
        <w:shd w:val="clear" w:color="auto" w:fill="000000" w:themeFill="text1"/>
      </w:tcPr>
    </w:tblStylePr>
    <w:tblStylePr w:type="firstCol">
      <w:rPr>
        <w:b/>
        <w:bCs/>
        <w:i w:val="0"/>
        <w:iCs w:val="0"/>
        <w:color w:val="0072BC" w:themeColor="background1"/>
      </w:rPr>
      <w:tblPr/>
      <w:tcPr>
        <w:tcBorders>
          <w:left w:val="single" w:sz="8" w:space="0" w:color="0072BC" w:themeColor="background1"/>
          <w:right w:val="single" w:sz="24" w:space="0" w:color="0072BC" w:themeColor="background1"/>
          <w:insideH w:val="nil"/>
          <w:insideV w:val="nil"/>
        </w:tcBorders>
        <w:shd w:val="clear" w:color="auto" w:fill="000000" w:themeFill="text1"/>
      </w:tcPr>
    </w:tblStylePr>
    <w:tblStylePr w:type="lastCol">
      <w:rPr>
        <w:b/>
        <w:bCs/>
        <w:i w:val="0"/>
        <w:iCs w:val="0"/>
        <w:color w:val="0072BC" w:themeColor="background1"/>
      </w:rPr>
      <w:tblPr/>
      <w:tcPr>
        <w:tcBorders>
          <w:top w:val="nil"/>
          <w:left w:val="single" w:sz="24" w:space="0" w:color="0072BC" w:themeColor="background1"/>
          <w:bottom w:val="nil"/>
          <w:right w:val="nil"/>
          <w:insideH w:val="nil"/>
          <w:insideV w:val="nil"/>
        </w:tcBorders>
        <w:shd w:val="clear" w:color="auto" w:fill="000000" w:themeFill="text1"/>
      </w:tcPr>
    </w:tblStylePr>
    <w:tblStylePr w:type="band1Vert">
      <w:tblPr/>
      <w:tcPr>
        <w:tcBorders>
          <w:top w:val="single" w:sz="8" w:space="0" w:color="0072BC" w:themeColor="background1"/>
          <w:left w:val="single" w:sz="8" w:space="0" w:color="0072BC" w:themeColor="background1"/>
          <w:bottom w:val="single" w:sz="8" w:space="0" w:color="0072BC" w:themeColor="background1"/>
          <w:right w:val="single" w:sz="8" w:space="0" w:color="0072BC" w:themeColor="background1"/>
          <w:insideH w:val="nil"/>
          <w:insideV w:val="nil"/>
        </w:tcBorders>
        <w:shd w:val="clear" w:color="auto" w:fill="808080" w:themeFill="text1" w:themeFillTint="7F"/>
      </w:tcPr>
    </w:tblStylePr>
    <w:tblStylePr w:type="band1Horz">
      <w:tblPr/>
      <w:tcPr>
        <w:tcBorders>
          <w:top w:val="single" w:sz="8" w:space="0" w:color="0072BC" w:themeColor="background1"/>
          <w:left w:val="single" w:sz="8" w:space="0" w:color="0072BC" w:themeColor="background1"/>
          <w:bottom w:val="single" w:sz="8" w:space="0" w:color="0072BC" w:themeColor="background1"/>
          <w:right w:val="single" w:sz="8" w:space="0" w:color="0072BC" w:themeColor="background1"/>
          <w:insideH w:val="single" w:sz="8" w:space="0" w:color="0072BC" w:themeColor="background1"/>
          <w:insideV w:val="single" w:sz="8" w:space="0" w:color="0072BC" w:themeColor="background1"/>
        </w:tcBorders>
        <w:shd w:val="clear" w:color="auto" w:fill="808080" w:themeFill="text1" w:themeFillTint="7F"/>
      </w:tcPr>
    </w:tblStylePr>
  </w:style>
  <w:style w:type="table" w:styleId="MediumGrid3Accent1">
    <w:name w:val="Medium Grid 3 Accent 1"/>
    <w:basedOn w:val="TableNormal"/>
    <w:uiPriority w:val="69"/>
    <w:semiHidden/>
    <w:rsid w:val="00A00672"/>
    <w:rPr>
      <w:sz w:val="24"/>
      <w:szCs w:val="24"/>
    </w:rPr>
    <w:tblPr>
      <w:tblStyleRowBandSize w:val="1"/>
      <w:tblStyleColBandSize w:val="1"/>
      <w:tblBorders>
        <w:top w:val="single" w:sz="8" w:space="0" w:color="0072BC" w:themeColor="background1"/>
        <w:left w:val="single" w:sz="8" w:space="0" w:color="0072BC" w:themeColor="background1"/>
        <w:bottom w:val="single" w:sz="8" w:space="0" w:color="0072BC" w:themeColor="background1"/>
        <w:right w:val="single" w:sz="8" w:space="0" w:color="0072BC" w:themeColor="background1"/>
        <w:insideH w:val="single" w:sz="6" w:space="0" w:color="0072BC" w:themeColor="background1"/>
        <w:insideV w:val="single" w:sz="6" w:space="0" w:color="0072BC" w:themeColor="background1"/>
      </w:tblBorders>
    </w:tblPr>
    <w:tcPr>
      <w:shd w:val="clear" w:color="auto" w:fill="AFDFFF" w:themeFill="accent1" w:themeFillTint="3F"/>
    </w:tcPr>
    <w:tblStylePr w:type="firstRow">
      <w:rPr>
        <w:b/>
        <w:bCs/>
        <w:i w:val="0"/>
        <w:iCs w:val="0"/>
        <w:color w:val="0072BC" w:themeColor="background1"/>
      </w:rPr>
      <w:tblPr/>
      <w:tcPr>
        <w:tcBorders>
          <w:top w:val="single" w:sz="8" w:space="0" w:color="0072BC" w:themeColor="background1"/>
          <w:left w:val="single" w:sz="8" w:space="0" w:color="0072BC" w:themeColor="background1"/>
          <w:bottom w:val="single" w:sz="24" w:space="0" w:color="0072BC" w:themeColor="background1"/>
          <w:right w:val="single" w:sz="8" w:space="0" w:color="0072BC" w:themeColor="background1"/>
          <w:insideH w:val="nil"/>
          <w:insideV w:val="single" w:sz="8" w:space="0" w:color="0072BC" w:themeColor="background1"/>
        </w:tcBorders>
        <w:shd w:val="clear" w:color="auto" w:fill="0072BC" w:themeFill="accent1"/>
      </w:tcPr>
    </w:tblStylePr>
    <w:tblStylePr w:type="lastRow">
      <w:rPr>
        <w:b/>
        <w:bCs/>
        <w:i w:val="0"/>
        <w:iCs w:val="0"/>
        <w:color w:val="0072BC" w:themeColor="background1"/>
      </w:rPr>
      <w:tblPr/>
      <w:tcPr>
        <w:tcBorders>
          <w:top w:val="single" w:sz="24" w:space="0" w:color="0072BC" w:themeColor="background1"/>
          <w:left w:val="single" w:sz="8" w:space="0" w:color="0072BC" w:themeColor="background1"/>
          <w:bottom w:val="single" w:sz="8" w:space="0" w:color="0072BC" w:themeColor="background1"/>
          <w:right w:val="single" w:sz="8" w:space="0" w:color="0072BC" w:themeColor="background1"/>
          <w:insideH w:val="nil"/>
          <w:insideV w:val="single" w:sz="8" w:space="0" w:color="0072BC" w:themeColor="background1"/>
        </w:tcBorders>
        <w:shd w:val="clear" w:color="auto" w:fill="0072BC" w:themeFill="accent1"/>
      </w:tcPr>
    </w:tblStylePr>
    <w:tblStylePr w:type="firstCol">
      <w:rPr>
        <w:b/>
        <w:bCs/>
        <w:i w:val="0"/>
        <w:iCs w:val="0"/>
        <w:color w:val="0072BC" w:themeColor="background1"/>
      </w:rPr>
      <w:tblPr/>
      <w:tcPr>
        <w:tcBorders>
          <w:left w:val="single" w:sz="8" w:space="0" w:color="0072BC" w:themeColor="background1"/>
          <w:right w:val="single" w:sz="24" w:space="0" w:color="0072BC" w:themeColor="background1"/>
          <w:insideH w:val="nil"/>
          <w:insideV w:val="nil"/>
        </w:tcBorders>
        <w:shd w:val="clear" w:color="auto" w:fill="0072BC" w:themeFill="accent1"/>
      </w:tcPr>
    </w:tblStylePr>
    <w:tblStylePr w:type="lastCol">
      <w:rPr>
        <w:b/>
        <w:bCs/>
        <w:i w:val="0"/>
        <w:iCs w:val="0"/>
        <w:color w:val="0072BC" w:themeColor="background1"/>
      </w:rPr>
      <w:tblPr/>
      <w:tcPr>
        <w:tcBorders>
          <w:top w:val="nil"/>
          <w:left w:val="single" w:sz="24" w:space="0" w:color="0072BC" w:themeColor="background1"/>
          <w:bottom w:val="nil"/>
          <w:right w:val="nil"/>
          <w:insideH w:val="nil"/>
          <w:insideV w:val="nil"/>
        </w:tcBorders>
        <w:shd w:val="clear" w:color="auto" w:fill="0072BC" w:themeFill="accent1"/>
      </w:tcPr>
    </w:tblStylePr>
    <w:tblStylePr w:type="band1Vert">
      <w:tblPr/>
      <w:tcPr>
        <w:tcBorders>
          <w:top w:val="single" w:sz="8" w:space="0" w:color="0072BC" w:themeColor="background1"/>
          <w:left w:val="single" w:sz="8" w:space="0" w:color="0072BC" w:themeColor="background1"/>
          <w:bottom w:val="single" w:sz="8" w:space="0" w:color="0072BC" w:themeColor="background1"/>
          <w:right w:val="single" w:sz="8" w:space="0" w:color="0072BC" w:themeColor="background1"/>
          <w:insideH w:val="nil"/>
          <w:insideV w:val="nil"/>
        </w:tcBorders>
        <w:shd w:val="clear" w:color="auto" w:fill="5EBFFF" w:themeFill="accent1" w:themeFillTint="7F"/>
      </w:tcPr>
    </w:tblStylePr>
    <w:tblStylePr w:type="band1Horz">
      <w:tblPr/>
      <w:tcPr>
        <w:tcBorders>
          <w:top w:val="single" w:sz="8" w:space="0" w:color="0072BC" w:themeColor="background1"/>
          <w:left w:val="single" w:sz="8" w:space="0" w:color="0072BC" w:themeColor="background1"/>
          <w:bottom w:val="single" w:sz="8" w:space="0" w:color="0072BC" w:themeColor="background1"/>
          <w:right w:val="single" w:sz="8" w:space="0" w:color="0072BC" w:themeColor="background1"/>
          <w:insideH w:val="single" w:sz="8" w:space="0" w:color="0072BC" w:themeColor="background1"/>
          <w:insideV w:val="single" w:sz="8" w:space="0" w:color="0072BC" w:themeColor="background1"/>
        </w:tcBorders>
        <w:shd w:val="clear" w:color="auto" w:fill="5EBFFF" w:themeFill="accent1" w:themeFillTint="7F"/>
      </w:tcPr>
    </w:tblStylePr>
  </w:style>
  <w:style w:type="table" w:styleId="MediumGrid3Accent2">
    <w:name w:val="Medium Grid 3 Accent 2"/>
    <w:basedOn w:val="TableNormal"/>
    <w:uiPriority w:val="69"/>
    <w:semiHidden/>
    <w:rsid w:val="00A00672"/>
    <w:rPr>
      <w:sz w:val="24"/>
      <w:szCs w:val="24"/>
    </w:rPr>
    <w:tblPr>
      <w:tblStyleRowBandSize w:val="1"/>
      <w:tblStyleColBandSize w:val="1"/>
      <w:tblBorders>
        <w:top w:val="single" w:sz="8" w:space="0" w:color="0072BC" w:themeColor="background1"/>
        <w:left w:val="single" w:sz="8" w:space="0" w:color="0072BC" w:themeColor="background1"/>
        <w:bottom w:val="single" w:sz="8" w:space="0" w:color="0072BC" w:themeColor="background1"/>
        <w:right w:val="single" w:sz="8" w:space="0" w:color="0072BC" w:themeColor="background1"/>
        <w:insideH w:val="single" w:sz="6" w:space="0" w:color="0072BC" w:themeColor="background1"/>
        <w:insideV w:val="single" w:sz="6" w:space="0" w:color="0072BC" w:themeColor="background1"/>
      </w:tblBorders>
    </w:tblPr>
    <w:tcPr>
      <w:shd w:val="clear" w:color="auto" w:fill="FFB0B0" w:themeFill="accent2" w:themeFillTint="3F"/>
    </w:tcPr>
    <w:tblStylePr w:type="firstRow">
      <w:rPr>
        <w:b/>
        <w:bCs/>
        <w:i w:val="0"/>
        <w:iCs w:val="0"/>
        <w:color w:val="0072BC" w:themeColor="background1"/>
      </w:rPr>
      <w:tblPr/>
      <w:tcPr>
        <w:tcBorders>
          <w:top w:val="single" w:sz="8" w:space="0" w:color="0072BC" w:themeColor="background1"/>
          <w:left w:val="single" w:sz="8" w:space="0" w:color="0072BC" w:themeColor="background1"/>
          <w:bottom w:val="single" w:sz="24" w:space="0" w:color="0072BC" w:themeColor="background1"/>
          <w:right w:val="single" w:sz="8" w:space="0" w:color="0072BC" w:themeColor="background1"/>
          <w:insideH w:val="nil"/>
          <w:insideV w:val="single" w:sz="8" w:space="0" w:color="0072BC" w:themeColor="background1"/>
        </w:tcBorders>
        <w:shd w:val="clear" w:color="auto" w:fill="C00000" w:themeFill="accent2"/>
      </w:tcPr>
    </w:tblStylePr>
    <w:tblStylePr w:type="lastRow">
      <w:rPr>
        <w:b/>
        <w:bCs/>
        <w:i w:val="0"/>
        <w:iCs w:val="0"/>
        <w:color w:val="0072BC" w:themeColor="background1"/>
      </w:rPr>
      <w:tblPr/>
      <w:tcPr>
        <w:tcBorders>
          <w:top w:val="single" w:sz="24" w:space="0" w:color="0072BC" w:themeColor="background1"/>
          <w:left w:val="single" w:sz="8" w:space="0" w:color="0072BC" w:themeColor="background1"/>
          <w:bottom w:val="single" w:sz="8" w:space="0" w:color="0072BC" w:themeColor="background1"/>
          <w:right w:val="single" w:sz="8" w:space="0" w:color="0072BC" w:themeColor="background1"/>
          <w:insideH w:val="nil"/>
          <w:insideV w:val="single" w:sz="8" w:space="0" w:color="0072BC" w:themeColor="background1"/>
        </w:tcBorders>
        <w:shd w:val="clear" w:color="auto" w:fill="C00000" w:themeFill="accent2"/>
      </w:tcPr>
    </w:tblStylePr>
    <w:tblStylePr w:type="firstCol">
      <w:rPr>
        <w:b/>
        <w:bCs/>
        <w:i w:val="0"/>
        <w:iCs w:val="0"/>
        <w:color w:val="0072BC" w:themeColor="background1"/>
      </w:rPr>
      <w:tblPr/>
      <w:tcPr>
        <w:tcBorders>
          <w:left w:val="single" w:sz="8" w:space="0" w:color="0072BC" w:themeColor="background1"/>
          <w:right w:val="single" w:sz="24" w:space="0" w:color="0072BC" w:themeColor="background1"/>
          <w:insideH w:val="nil"/>
          <w:insideV w:val="nil"/>
        </w:tcBorders>
        <w:shd w:val="clear" w:color="auto" w:fill="C00000" w:themeFill="accent2"/>
      </w:tcPr>
    </w:tblStylePr>
    <w:tblStylePr w:type="lastCol">
      <w:rPr>
        <w:b/>
        <w:bCs/>
        <w:i w:val="0"/>
        <w:iCs w:val="0"/>
        <w:color w:val="0072BC" w:themeColor="background1"/>
      </w:rPr>
      <w:tblPr/>
      <w:tcPr>
        <w:tcBorders>
          <w:top w:val="nil"/>
          <w:left w:val="single" w:sz="24" w:space="0" w:color="0072BC" w:themeColor="background1"/>
          <w:bottom w:val="nil"/>
          <w:right w:val="nil"/>
          <w:insideH w:val="nil"/>
          <w:insideV w:val="nil"/>
        </w:tcBorders>
        <w:shd w:val="clear" w:color="auto" w:fill="C00000" w:themeFill="accent2"/>
      </w:tcPr>
    </w:tblStylePr>
    <w:tblStylePr w:type="band1Vert">
      <w:tblPr/>
      <w:tcPr>
        <w:tcBorders>
          <w:top w:val="single" w:sz="8" w:space="0" w:color="0072BC" w:themeColor="background1"/>
          <w:left w:val="single" w:sz="8" w:space="0" w:color="0072BC" w:themeColor="background1"/>
          <w:bottom w:val="single" w:sz="8" w:space="0" w:color="0072BC" w:themeColor="background1"/>
          <w:right w:val="single" w:sz="8" w:space="0" w:color="0072BC" w:themeColor="background1"/>
          <w:insideH w:val="nil"/>
          <w:insideV w:val="nil"/>
        </w:tcBorders>
        <w:shd w:val="clear" w:color="auto" w:fill="FF6060" w:themeFill="accent2" w:themeFillTint="7F"/>
      </w:tcPr>
    </w:tblStylePr>
    <w:tblStylePr w:type="band1Horz">
      <w:tblPr/>
      <w:tcPr>
        <w:tcBorders>
          <w:top w:val="single" w:sz="8" w:space="0" w:color="0072BC" w:themeColor="background1"/>
          <w:left w:val="single" w:sz="8" w:space="0" w:color="0072BC" w:themeColor="background1"/>
          <w:bottom w:val="single" w:sz="8" w:space="0" w:color="0072BC" w:themeColor="background1"/>
          <w:right w:val="single" w:sz="8" w:space="0" w:color="0072BC" w:themeColor="background1"/>
          <w:insideH w:val="single" w:sz="8" w:space="0" w:color="0072BC" w:themeColor="background1"/>
          <w:insideV w:val="single" w:sz="8" w:space="0" w:color="0072BC" w:themeColor="background1"/>
        </w:tcBorders>
        <w:shd w:val="clear" w:color="auto" w:fill="FF6060" w:themeFill="accent2" w:themeFillTint="7F"/>
      </w:tcPr>
    </w:tblStylePr>
  </w:style>
  <w:style w:type="table" w:styleId="MediumGrid3Accent3">
    <w:name w:val="Medium Grid 3 Accent 3"/>
    <w:basedOn w:val="TableNormal"/>
    <w:uiPriority w:val="69"/>
    <w:semiHidden/>
    <w:rsid w:val="00A00672"/>
    <w:rPr>
      <w:sz w:val="24"/>
      <w:szCs w:val="24"/>
    </w:rPr>
    <w:tblPr>
      <w:tblStyleRowBandSize w:val="1"/>
      <w:tblStyleColBandSize w:val="1"/>
      <w:tblBorders>
        <w:top w:val="single" w:sz="8" w:space="0" w:color="0072BC" w:themeColor="background1"/>
        <w:left w:val="single" w:sz="8" w:space="0" w:color="0072BC" w:themeColor="background1"/>
        <w:bottom w:val="single" w:sz="8" w:space="0" w:color="0072BC" w:themeColor="background1"/>
        <w:right w:val="single" w:sz="8" w:space="0" w:color="0072BC" w:themeColor="background1"/>
        <w:insideH w:val="single" w:sz="6" w:space="0" w:color="0072BC" w:themeColor="background1"/>
        <w:insideV w:val="single" w:sz="6" w:space="0" w:color="0072BC" w:themeColor="background1"/>
      </w:tblBorders>
    </w:tblPr>
    <w:tcPr>
      <w:shd w:val="clear" w:color="auto" w:fill="D7D7D7" w:themeFill="accent3" w:themeFillTint="3F"/>
    </w:tcPr>
    <w:tblStylePr w:type="firstRow">
      <w:rPr>
        <w:b/>
        <w:bCs/>
        <w:i w:val="0"/>
        <w:iCs w:val="0"/>
        <w:color w:val="0072BC" w:themeColor="background1"/>
      </w:rPr>
      <w:tblPr/>
      <w:tcPr>
        <w:tcBorders>
          <w:top w:val="single" w:sz="8" w:space="0" w:color="0072BC" w:themeColor="background1"/>
          <w:left w:val="single" w:sz="8" w:space="0" w:color="0072BC" w:themeColor="background1"/>
          <w:bottom w:val="single" w:sz="24" w:space="0" w:color="0072BC" w:themeColor="background1"/>
          <w:right w:val="single" w:sz="8" w:space="0" w:color="0072BC" w:themeColor="background1"/>
          <w:insideH w:val="nil"/>
          <w:insideV w:val="single" w:sz="8" w:space="0" w:color="0072BC" w:themeColor="background1"/>
        </w:tcBorders>
        <w:shd w:val="clear" w:color="auto" w:fill="5F5F5F" w:themeFill="accent3"/>
      </w:tcPr>
    </w:tblStylePr>
    <w:tblStylePr w:type="lastRow">
      <w:rPr>
        <w:b/>
        <w:bCs/>
        <w:i w:val="0"/>
        <w:iCs w:val="0"/>
        <w:color w:val="0072BC" w:themeColor="background1"/>
      </w:rPr>
      <w:tblPr/>
      <w:tcPr>
        <w:tcBorders>
          <w:top w:val="single" w:sz="24" w:space="0" w:color="0072BC" w:themeColor="background1"/>
          <w:left w:val="single" w:sz="8" w:space="0" w:color="0072BC" w:themeColor="background1"/>
          <w:bottom w:val="single" w:sz="8" w:space="0" w:color="0072BC" w:themeColor="background1"/>
          <w:right w:val="single" w:sz="8" w:space="0" w:color="0072BC" w:themeColor="background1"/>
          <w:insideH w:val="nil"/>
          <w:insideV w:val="single" w:sz="8" w:space="0" w:color="0072BC" w:themeColor="background1"/>
        </w:tcBorders>
        <w:shd w:val="clear" w:color="auto" w:fill="5F5F5F" w:themeFill="accent3"/>
      </w:tcPr>
    </w:tblStylePr>
    <w:tblStylePr w:type="firstCol">
      <w:rPr>
        <w:b/>
        <w:bCs/>
        <w:i w:val="0"/>
        <w:iCs w:val="0"/>
        <w:color w:val="0072BC" w:themeColor="background1"/>
      </w:rPr>
      <w:tblPr/>
      <w:tcPr>
        <w:tcBorders>
          <w:left w:val="single" w:sz="8" w:space="0" w:color="0072BC" w:themeColor="background1"/>
          <w:right w:val="single" w:sz="24" w:space="0" w:color="0072BC" w:themeColor="background1"/>
          <w:insideH w:val="nil"/>
          <w:insideV w:val="nil"/>
        </w:tcBorders>
        <w:shd w:val="clear" w:color="auto" w:fill="5F5F5F" w:themeFill="accent3"/>
      </w:tcPr>
    </w:tblStylePr>
    <w:tblStylePr w:type="lastCol">
      <w:rPr>
        <w:b/>
        <w:bCs/>
        <w:i w:val="0"/>
        <w:iCs w:val="0"/>
        <w:color w:val="0072BC" w:themeColor="background1"/>
      </w:rPr>
      <w:tblPr/>
      <w:tcPr>
        <w:tcBorders>
          <w:top w:val="nil"/>
          <w:left w:val="single" w:sz="24" w:space="0" w:color="0072BC" w:themeColor="background1"/>
          <w:bottom w:val="nil"/>
          <w:right w:val="nil"/>
          <w:insideH w:val="nil"/>
          <w:insideV w:val="nil"/>
        </w:tcBorders>
        <w:shd w:val="clear" w:color="auto" w:fill="5F5F5F" w:themeFill="accent3"/>
      </w:tcPr>
    </w:tblStylePr>
    <w:tblStylePr w:type="band1Vert">
      <w:tblPr/>
      <w:tcPr>
        <w:tcBorders>
          <w:top w:val="single" w:sz="8" w:space="0" w:color="0072BC" w:themeColor="background1"/>
          <w:left w:val="single" w:sz="8" w:space="0" w:color="0072BC" w:themeColor="background1"/>
          <w:bottom w:val="single" w:sz="8" w:space="0" w:color="0072BC" w:themeColor="background1"/>
          <w:right w:val="single" w:sz="8" w:space="0" w:color="0072BC" w:themeColor="background1"/>
          <w:insideH w:val="nil"/>
          <w:insideV w:val="nil"/>
        </w:tcBorders>
        <w:shd w:val="clear" w:color="auto" w:fill="AFAFAF" w:themeFill="accent3" w:themeFillTint="7F"/>
      </w:tcPr>
    </w:tblStylePr>
    <w:tblStylePr w:type="band1Horz">
      <w:tblPr/>
      <w:tcPr>
        <w:tcBorders>
          <w:top w:val="single" w:sz="8" w:space="0" w:color="0072BC" w:themeColor="background1"/>
          <w:left w:val="single" w:sz="8" w:space="0" w:color="0072BC" w:themeColor="background1"/>
          <w:bottom w:val="single" w:sz="8" w:space="0" w:color="0072BC" w:themeColor="background1"/>
          <w:right w:val="single" w:sz="8" w:space="0" w:color="0072BC" w:themeColor="background1"/>
          <w:insideH w:val="single" w:sz="8" w:space="0" w:color="0072BC" w:themeColor="background1"/>
          <w:insideV w:val="single" w:sz="8" w:space="0" w:color="0072BC" w:themeColor="background1"/>
        </w:tcBorders>
        <w:shd w:val="clear" w:color="auto" w:fill="AFAFAF" w:themeFill="accent3" w:themeFillTint="7F"/>
      </w:tcPr>
    </w:tblStylePr>
  </w:style>
  <w:style w:type="table" w:styleId="MediumGrid3Accent4">
    <w:name w:val="Medium Grid 3 Accent 4"/>
    <w:basedOn w:val="TableNormal"/>
    <w:uiPriority w:val="69"/>
    <w:semiHidden/>
    <w:rsid w:val="00A00672"/>
    <w:rPr>
      <w:sz w:val="24"/>
      <w:szCs w:val="24"/>
    </w:rPr>
    <w:tblPr>
      <w:tblStyleRowBandSize w:val="1"/>
      <w:tblStyleColBandSize w:val="1"/>
      <w:tblBorders>
        <w:top w:val="single" w:sz="8" w:space="0" w:color="0072BC" w:themeColor="background1"/>
        <w:left w:val="single" w:sz="8" w:space="0" w:color="0072BC" w:themeColor="background1"/>
        <w:bottom w:val="single" w:sz="8" w:space="0" w:color="0072BC" w:themeColor="background1"/>
        <w:right w:val="single" w:sz="8" w:space="0" w:color="0072BC" w:themeColor="background1"/>
        <w:insideH w:val="single" w:sz="6" w:space="0" w:color="0072BC" w:themeColor="background1"/>
        <w:insideV w:val="single" w:sz="6" w:space="0" w:color="0072BC" w:themeColor="background1"/>
      </w:tblBorders>
    </w:tblPr>
    <w:tcPr>
      <w:shd w:val="clear" w:color="auto" w:fill="E5E5E5" w:themeFill="accent4" w:themeFillTint="3F"/>
    </w:tcPr>
    <w:tblStylePr w:type="firstRow">
      <w:rPr>
        <w:b/>
        <w:bCs/>
        <w:i w:val="0"/>
        <w:iCs w:val="0"/>
        <w:color w:val="0072BC" w:themeColor="background1"/>
      </w:rPr>
      <w:tblPr/>
      <w:tcPr>
        <w:tcBorders>
          <w:top w:val="single" w:sz="8" w:space="0" w:color="0072BC" w:themeColor="background1"/>
          <w:left w:val="single" w:sz="8" w:space="0" w:color="0072BC" w:themeColor="background1"/>
          <w:bottom w:val="single" w:sz="24" w:space="0" w:color="0072BC" w:themeColor="background1"/>
          <w:right w:val="single" w:sz="8" w:space="0" w:color="0072BC" w:themeColor="background1"/>
          <w:insideH w:val="nil"/>
          <w:insideV w:val="single" w:sz="8" w:space="0" w:color="0072BC" w:themeColor="background1"/>
        </w:tcBorders>
        <w:shd w:val="clear" w:color="auto" w:fill="969696" w:themeFill="accent4"/>
      </w:tcPr>
    </w:tblStylePr>
    <w:tblStylePr w:type="lastRow">
      <w:rPr>
        <w:b/>
        <w:bCs/>
        <w:i w:val="0"/>
        <w:iCs w:val="0"/>
        <w:color w:val="0072BC" w:themeColor="background1"/>
      </w:rPr>
      <w:tblPr/>
      <w:tcPr>
        <w:tcBorders>
          <w:top w:val="single" w:sz="24" w:space="0" w:color="0072BC" w:themeColor="background1"/>
          <w:left w:val="single" w:sz="8" w:space="0" w:color="0072BC" w:themeColor="background1"/>
          <w:bottom w:val="single" w:sz="8" w:space="0" w:color="0072BC" w:themeColor="background1"/>
          <w:right w:val="single" w:sz="8" w:space="0" w:color="0072BC" w:themeColor="background1"/>
          <w:insideH w:val="nil"/>
          <w:insideV w:val="single" w:sz="8" w:space="0" w:color="0072BC" w:themeColor="background1"/>
        </w:tcBorders>
        <w:shd w:val="clear" w:color="auto" w:fill="969696" w:themeFill="accent4"/>
      </w:tcPr>
    </w:tblStylePr>
    <w:tblStylePr w:type="firstCol">
      <w:rPr>
        <w:b/>
        <w:bCs/>
        <w:i w:val="0"/>
        <w:iCs w:val="0"/>
        <w:color w:val="0072BC" w:themeColor="background1"/>
      </w:rPr>
      <w:tblPr/>
      <w:tcPr>
        <w:tcBorders>
          <w:left w:val="single" w:sz="8" w:space="0" w:color="0072BC" w:themeColor="background1"/>
          <w:right w:val="single" w:sz="24" w:space="0" w:color="0072BC" w:themeColor="background1"/>
          <w:insideH w:val="nil"/>
          <w:insideV w:val="nil"/>
        </w:tcBorders>
        <w:shd w:val="clear" w:color="auto" w:fill="969696" w:themeFill="accent4"/>
      </w:tcPr>
    </w:tblStylePr>
    <w:tblStylePr w:type="lastCol">
      <w:rPr>
        <w:b/>
        <w:bCs/>
        <w:i w:val="0"/>
        <w:iCs w:val="0"/>
        <w:color w:val="0072BC" w:themeColor="background1"/>
      </w:rPr>
      <w:tblPr/>
      <w:tcPr>
        <w:tcBorders>
          <w:top w:val="nil"/>
          <w:left w:val="single" w:sz="24" w:space="0" w:color="0072BC" w:themeColor="background1"/>
          <w:bottom w:val="nil"/>
          <w:right w:val="nil"/>
          <w:insideH w:val="nil"/>
          <w:insideV w:val="nil"/>
        </w:tcBorders>
        <w:shd w:val="clear" w:color="auto" w:fill="969696" w:themeFill="accent4"/>
      </w:tcPr>
    </w:tblStylePr>
    <w:tblStylePr w:type="band1Vert">
      <w:tblPr/>
      <w:tcPr>
        <w:tcBorders>
          <w:top w:val="single" w:sz="8" w:space="0" w:color="0072BC" w:themeColor="background1"/>
          <w:left w:val="single" w:sz="8" w:space="0" w:color="0072BC" w:themeColor="background1"/>
          <w:bottom w:val="single" w:sz="8" w:space="0" w:color="0072BC" w:themeColor="background1"/>
          <w:right w:val="single" w:sz="8" w:space="0" w:color="0072BC" w:themeColor="background1"/>
          <w:insideH w:val="nil"/>
          <w:insideV w:val="nil"/>
        </w:tcBorders>
        <w:shd w:val="clear" w:color="auto" w:fill="CACACA" w:themeFill="accent4" w:themeFillTint="7F"/>
      </w:tcPr>
    </w:tblStylePr>
    <w:tblStylePr w:type="band1Horz">
      <w:tblPr/>
      <w:tcPr>
        <w:tcBorders>
          <w:top w:val="single" w:sz="8" w:space="0" w:color="0072BC" w:themeColor="background1"/>
          <w:left w:val="single" w:sz="8" w:space="0" w:color="0072BC" w:themeColor="background1"/>
          <w:bottom w:val="single" w:sz="8" w:space="0" w:color="0072BC" w:themeColor="background1"/>
          <w:right w:val="single" w:sz="8" w:space="0" w:color="0072BC" w:themeColor="background1"/>
          <w:insideH w:val="single" w:sz="8" w:space="0" w:color="0072BC" w:themeColor="background1"/>
          <w:insideV w:val="single" w:sz="8" w:space="0" w:color="0072BC" w:themeColor="background1"/>
        </w:tcBorders>
        <w:shd w:val="clear" w:color="auto" w:fill="CACACA" w:themeFill="accent4" w:themeFillTint="7F"/>
      </w:tcPr>
    </w:tblStylePr>
  </w:style>
  <w:style w:type="table" w:styleId="MediumGrid3Accent5">
    <w:name w:val="Medium Grid 3 Accent 5"/>
    <w:basedOn w:val="TableNormal"/>
    <w:uiPriority w:val="69"/>
    <w:semiHidden/>
    <w:rsid w:val="00A00672"/>
    <w:rPr>
      <w:sz w:val="24"/>
      <w:szCs w:val="24"/>
    </w:rPr>
    <w:tblPr>
      <w:tblStyleRowBandSize w:val="1"/>
      <w:tblStyleColBandSize w:val="1"/>
      <w:tblBorders>
        <w:top w:val="single" w:sz="8" w:space="0" w:color="0072BC" w:themeColor="background1"/>
        <w:left w:val="single" w:sz="8" w:space="0" w:color="0072BC" w:themeColor="background1"/>
        <w:bottom w:val="single" w:sz="8" w:space="0" w:color="0072BC" w:themeColor="background1"/>
        <w:right w:val="single" w:sz="8" w:space="0" w:color="0072BC" w:themeColor="background1"/>
        <w:insideH w:val="single" w:sz="6" w:space="0" w:color="0072BC" w:themeColor="background1"/>
        <w:insideV w:val="single" w:sz="6" w:space="0" w:color="0072BC" w:themeColor="background1"/>
      </w:tblBorders>
    </w:tblPr>
    <w:tcPr>
      <w:shd w:val="clear" w:color="auto" w:fill="D7D7D7" w:themeFill="accent5" w:themeFillTint="3F"/>
    </w:tcPr>
    <w:tblStylePr w:type="firstRow">
      <w:rPr>
        <w:b/>
        <w:bCs/>
        <w:i w:val="0"/>
        <w:iCs w:val="0"/>
        <w:color w:val="0072BC" w:themeColor="background1"/>
      </w:rPr>
      <w:tblPr/>
      <w:tcPr>
        <w:tcBorders>
          <w:top w:val="single" w:sz="8" w:space="0" w:color="0072BC" w:themeColor="background1"/>
          <w:left w:val="single" w:sz="8" w:space="0" w:color="0072BC" w:themeColor="background1"/>
          <w:bottom w:val="single" w:sz="24" w:space="0" w:color="0072BC" w:themeColor="background1"/>
          <w:right w:val="single" w:sz="8" w:space="0" w:color="0072BC" w:themeColor="background1"/>
          <w:insideH w:val="nil"/>
          <w:insideV w:val="single" w:sz="8" w:space="0" w:color="0072BC" w:themeColor="background1"/>
        </w:tcBorders>
        <w:shd w:val="clear" w:color="auto" w:fill="5F5F5F" w:themeFill="accent5"/>
      </w:tcPr>
    </w:tblStylePr>
    <w:tblStylePr w:type="lastRow">
      <w:rPr>
        <w:b/>
        <w:bCs/>
        <w:i w:val="0"/>
        <w:iCs w:val="0"/>
        <w:color w:val="0072BC" w:themeColor="background1"/>
      </w:rPr>
      <w:tblPr/>
      <w:tcPr>
        <w:tcBorders>
          <w:top w:val="single" w:sz="24" w:space="0" w:color="0072BC" w:themeColor="background1"/>
          <w:left w:val="single" w:sz="8" w:space="0" w:color="0072BC" w:themeColor="background1"/>
          <w:bottom w:val="single" w:sz="8" w:space="0" w:color="0072BC" w:themeColor="background1"/>
          <w:right w:val="single" w:sz="8" w:space="0" w:color="0072BC" w:themeColor="background1"/>
          <w:insideH w:val="nil"/>
          <w:insideV w:val="single" w:sz="8" w:space="0" w:color="0072BC" w:themeColor="background1"/>
        </w:tcBorders>
        <w:shd w:val="clear" w:color="auto" w:fill="5F5F5F" w:themeFill="accent5"/>
      </w:tcPr>
    </w:tblStylePr>
    <w:tblStylePr w:type="firstCol">
      <w:rPr>
        <w:b/>
        <w:bCs/>
        <w:i w:val="0"/>
        <w:iCs w:val="0"/>
        <w:color w:val="0072BC" w:themeColor="background1"/>
      </w:rPr>
      <w:tblPr/>
      <w:tcPr>
        <w:tcBorders>
          <w:left w:val="single" w:sz="8" w:space="0" w:color="0072BC" w:themeColor="background1"/>
          <w:right w:val="single" w:sz="24" w:space="0" w:color="0072BC" w:themeColor="background1"/>
          <w:insideH w:val="nil"/>
          <w:insideV w:val="nil"/>
        </w:tcBorders>
        <w:shd w:val="clear" w:color="auto" w:fill="5F5F5F" w:themeFill="accent5"/>
      </w:tcPr>
    </w:tblStylePr>
    <w:tblStylePr w:type="lastCol">
      <w:rPr>
        <w:b/>
        <w:bCs/>
        <w:i w:val="0"/>
        <w:iCs w:val="0"/>
        <w:color w:val="0072BC" w:themeColor="background1"/>
      </w:rPr>
      <w:tblPr/>
      <w:tcPr>
        <w:tcBorders>
          <w:top w:val="nil"/>
          <w:left w:val="single" w:sz="24" w:space="0" w:color="0072BC" w:themeColor="background1"/>
          <w:bottom w:val="nil"/>
          <w:right w:val="nil"/>
          <w:insideH w:val="nil"/>
          <w:insideV w:val="nil"/>
        </w:tcBorders>
        <w:shd w:val="clear" w:color="auto" w:fill="5F5F5F" w:themeFill="accent5"/>
      </w:tcPr>
    </w:tblStylePr>
    <w:tblStylePr w:type="band1Vert">
      <w:tblPr/>
      <w:tcPr>
        <w:tcBorders>
          <w:top w:val="single" w:sz="8" w:space="0" w:color="0072BC" w:themeColor="background1"/>
          <w:left w:val="single" w:sz="8" w:space="0" w:color="0072BC" w:themeColor="background1"/>
          <w:bottom w:val="single" w:sz="8" w:space="0" w:color="0072BC" w:themeColor="background1"/>
          <w:right w:val="single" w:sz="8" w:space="0" w:color="0072BC" w:themeColor="background1"/>
          <w:insideH w:val="nil"/>
          <w:insideV w:val="nil"/>
        </w:tcBorders>
        <w:shd w:val="clear" w:color="auto" w:fill="AFAFAF" w:themeFill="accent5" w:themeFillTint="7F"/>
      </w:tcPr>
    </w:tblStylePr>
    <w:tblStylePr w:type="band1Horz">
      <w:tblPr/>
      <w:tcPr>
        <w:tcBorders>
          <w:top w:val="single" w:sz="8" w:space="0" w:color="0072BC" w:themeColor="background1"/>
          <w:left w:val="single" w:sz="8" w:space="0" w:color="0072BC" w:themeColor="background1"/>
          <w:bottom w:val="single" w:sz="8" w:space="0" w:color="0072BC" w:themeColor="background1"/>
          <w:right w:val="single" w:sz="8" w:space="0" w:color="0072BC" w:themeColor="background1"/>
          <w:insideH w:val="single" w:sz="8" w:space="0" w:color="0072BC" w:themeColor="background1"/>
          <w:insideV w:val="single" w:sz="8" w:space="0" w:color="0072BC" w:themeColor="background1"/>
        </w:tcBorders>
        <w:shd w:val="clear" w:color="auto" w:fill="AFAFAF" w:themeFill="accent5" w:themeFillTint="7F"/>
      </w:tcPr>
    </w:tblStylePr>
  </w:style>
  <w:style w:type="table" w:styleId="MediumGrid3Accent6">
    <w:name w:val="Medium Grid 3 Accent 6"/>
    <w:basedOn w:val="TableNormal"/>
    <w:uiPriority w:val="69"/>
    <w:semiHidden/>
    <w:rsid w:val="00A00672"/>
    <w:rPr>
      <w:sz w:val="24"/>
      <w:szCs w:val="24"/>
    </w:rPr>
    <w:tblPr>
      <w:tblStyleRowBandSize w:val="1"/>
      <w:tblStyleColBandSize w:val="1"/>
      <w:tblBorders>
        <w:top w:val="single" w:sz="8" w:space="0" w:color="0072BC" w:themeColor="background1"/>
        <w:left w:val="single" w:sz="8" w:space="0" w:color="0072BC" w:themeColor="background1"/>
        <w:bottom w:val="single" w:sz="8" w:space="0" w:color="0072BC" w:themeColor="background1"/>
        <w:right w:val="single" w:sz="8" w:space="0" w:color="0072BC" w:themeColor="background1"/>
        <w:insideH w:val="single" w:sz="6" w:space="0" w:color="0072BC" w:themeColor="background1"/>
        <w:insideV w:val="single" w:sz="6" w:space="0" w:color="0072BC" w:themeColor="background1"/>
      </w:tblBorders>
    </w:tblPr>
    <w:tcPr>
      <w:shd w:val="clear" w:color="auto" w:fill="D3D3D3" w:themeFill="accent6" w:themeFillTint="3F"/>
    </w:tcPr>
    <w:tblStylePr w:type="firstRow">
      <w:rPr>
        <w:b/>
        <w:bCs/>
        <w:i w:val="0"/>
        <w:iCs w:val="0"/>
        <w:color w:val="0072BC" w:themeColor="background1"/>
      </w:rPr>
      <w:tblPr/>
      <w:tcPr>
        <w:tcBorders>
          <w:top w:val="single" w:sz="8" w:space="0" w:color="0072BC" w:themeColor="background1"/>
          <w:left w:val="single" w:sz="8" w:space="0" w:color="0072BC" w:themeColor="background1"/>
          <w:bottom w:val="single" w:sz="24" w:space="0" w:color="0072BC" w:themeColor="background1"/>
          <w:right w:val="single" w:sz="8" w:space="0" w:color="0072BC" w:themeColor="background1"/>
          <w:insideH w:val="nil"/>
          <w:insideV w:val="single" w:sz="8" w:space="0" w:color="0072BC" w:themeColor="background1"/>
        </w:tcBorders>
        <w:shd w:val="clear" w:color="auto" w:fill="4D4D4D" w:themeFill="accent6"/>
      </w:tcPr>
    </w:tblStylePr>
    <w:tblStylePr w:type="lastRow">
      <w:rPr>
        <w:b/>
        <w:bCs/>
        <w:i w:val="0"/>
        <w:iCs w:val="0"/>
        <w:color w:val="0072BC" w:themeColor="background1"/>
      </w:rPr>
      <w:tblPr/>
      <w:tcPr>
        <w:tcBorders>
          <w:top w:val="single" w:sz="24" w:space="0" w:color="0072BC" w:themeColor="background1"/>
          <w:left w:val="single" w:sz="8" w:space="0" w:color="0072BC" w:themeColor="background1"/>
          <w:bottom w:val="single" w:sz="8" w:space="0" w:color="0072BC" w:themeColor="background1"/>
          <w:right w:val="single" w:sz="8" w:space="0" w:color="0072BC" w:themeColor="background1"/>
          <w:insideH w:val="nil"/>
          <w:insideV w:val="single" w:sz="8" w:space="0" w:color="0072BC" w:themeColor="background1"/>
        </w:tcBorders>
        <w:shd w:val="clear" w:color="auto" w:fill="4D4D4D" w:themeFill="accent6"/>
      </w:tcPr>
    </w:tblStylePr>
    <w:tblStylePr w:type="firstCol">
      <w:rPr>
        <w:b/>
        <w:bCs/>
        <w:i w:val="0"/>
        <w:iCs w:val="0"/>
        <w:color w:val="0072BC" w:themeColor="background1"/>
      </w:rPr>
      <w:tblPr/>
      <w:tcPr>
        <w:tcBorders>
          <w:left w:val="single" w:sz="8" w:space="0" w:color="0072BC" w:themeColor="background1"/>
          <w:right w:val="single" w:sz="24" w:space="0" w:color="0072BC" w:themeColor="background1"/>
          <w:insideH w:val="nil"/>
          <w:insideV w:val="nil"/>
        </w:tcBorders>
        <w:shd w:val="clear" w:color="auto" w:fill="4D4D4D" w:themeFill="accent6"/>
      </w:tcPr>
    </w:tblStylePr>
    <w:tblStylePr w:type="lastCol">
      <w:rPr>
        <w:b/>
        <w:bCs/>
        <w:i w:val="0"/>
        <w:iCs w:val="0"/>
        <w:color w:val="0072BC" w:themeColor="background1"/>
      </w:rPr>
      <w:tblPr/>
      <w:tcPr>
        <w:tcBorders>
          <w:top w:val="nil"/>
          <w:left w:val="single" w:sz="24" w:space="0" w:color="0072BC" w:themeColor="background1"/>
          <w:bottom w:val="nil"/>
          <w:right w:val="nil"/>
          <w:insideH w:val="nil"/>
          <w:insideV w:val="nil"/>
        </w:tcBorders>
        <w:shd w:val="clear" w:color="auto" w:fill="4D4D4D" w:themeFill="accent6"/>
      </w:tcPr>
    </w:tblStylePr>
    <w:tblStylePr w:type="band1Vert">
      <w:tblPr/>
      <w:tcPr>
        <w:tcBorders>
          <w:top w:val="single" w:sz="8" w:space="0" w:color="0072BC" w:themeColor="background1"/>
          <w:left w:val="single" w:sz="8" w:space="0" w:color="0072BC" w:themeColor="background1"/>
          <w:bottom w:val="single" w:sz="8" w:space="0" w:color="0072BC" w:themeColor="background1"/>
          <w:right w:val="single" w:sz="8" w:space="0" w:color="0072BC" w:themeColor="background1"/>
          <w:insideH w:val="nil"/>
          <w:insideV w:val="nil"/>
        </w:tcBorders>
        <w:shd w:val="clear" w:color="auto" w:fill="A6A6A6" w:themeFill="accent6" w:themeFillTint="7F"/>
      </w:tcPr>
    </w:tblStylePr>
    <w:tblStylePr w:type="band1Horz">
      <w:tblPr/>
      <w:tcPr>
        <w:tcBorders>
          <w:top w:val="single" w:sz="8" w:space="0" w:color="0072BC" w:themeColor="background1"/>
          <w:left w:val="single" w:sz="8" w:space="0" w:color="0072BC" w:themeColor="background1"/>
          <w:bottom w:val="single" w:sz="8" w:space="0" w:color="0072BC" w:themeColor="background1"/>
          <w:right w:val="single" w:sz="8" w:space="0" w:color="0072BC" w:themeColor="background1"/>
          <w:insideH w:val="single" w:sz="8" w:space="0" w:color="0072BC" w:themeColor="background1"/>
          <w:insideV w:val="single" w:sz="8" w:space="0" w:color="0072BC" w:themeColor="background1"/>
        </w:tcBorders>
        <w:shd w:val="clear" w:color="auto" w:fill="A6A6A6" w:themeFill="accent6" w:themeFillTint="7F"/>
      </w:tcPr>
    </w:tblStylePr>
  </w:style>
  <w:style w:type="table" w:styleId="MediumList1">
    <w:name w:val="Medium List 1"/>
    <w:basedOn w:val="TableNormal"/>
    <w:uiPriority w:val="65"/>
    <w:semiHidden/>
    <w:rsid w:val="00A00672"/>
    <w:rPr>
      <w:color w:val="000000" w:themeColor="text1"/>
      <w:sz w:val="24"/>
      <w:szCs w:val="24"/>
    </w:rPr>
    <w:tblPr>
      <w:tblStyleRowBandSize w:val="1"/>
      <w:tblStyleColBandSize w:val="1"/>
      <w:tblBorders>
        <w:top w:val="single" w:sz="8" w:space="0" w:color="000000" w:themeColor="text1"/>
        <w:bottom w:val="single" w:sz="8" w:space="0" w:color="000000" w:themeColor="text1"/>
      </w:tblBorders>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C6C6C6"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semiHidden/>
    <w:rsid w:val="00A00672"/>
    <w:rPr>
      <w:color w:val="000000" w:themeColor="text1"/>
      <w:sz w:val="24"/>
      <w:szCs w:val="24"/>
    </w:rPr>
    <w:tblPr>
      <w:tblStyleRowBandSize w:val="1"/>
      <w:tblStyleColBandSize w:val="1"/>
      <w:tblBorders>
        <w:top w:val="single" w:sz="8" w:space="0" w:color="0072BC" w:themeColor="accent1"/>
        <w:bottom w:val="single" w:sz="8" w:space="0" w:color="0072BC" w:themeColor="accent1"/>
      </w:tblBorders>
    </w:tblPr>
    <w:tblStylePr w:type="firstRow">
      <w:rPr>
        <w:rFonts w:asciiTheme="majorHAnsi" w:eastAsiaTheme="majorEastAsia" w:hAnsiTheme="majorHAnsi" w:cstheme="majorBidi"/>
      </w:rPr>
      <w:tblPr/>
      <w:tcPr>
        <w:tcBorders>
          <w:top w:val="nil"/>
          <w:bottom w:val="single" w:sz="8" w:space="0" w:color="0072BC" w:themeColor="accent1"/>
        </w:tcBorders>
      </w:tcPr>
    </w:tblStylePr>
    <w:tblStylePr w:type="lastRow">
      <w:rPr>
        <w:b/>
        <w:bCs/>
        <w:color w:val="C6C6C6" w:themeColor="text2"/>
      </w:rPr>
      <w:tblPr/>
      <w:tcPr>
        <w:tcBorders>
          <w:top w:val="single" w:sz="8" w:space="0" w:color="0072BC" w:themeColor="accent1"/>
          <w:bottom w:val="single" w:sz="8" w:space="0" w:color="0072BC" w:themeColor="accent1"/>
        </w:tcBorders>
      </w:tcPr>
    </w:tblStylePr>
    <w:tblStylePr w:type="firstCol">
      <w:rPr>
        <w:b/>
        <w:bCs/>
      </w:rPr>
    </w:tblStylePr>
    <w:tblStylePr w:type="lastCol">
      <w:rPr>
        <w:b/>
        <w:bCs/>
      </w:rPr>
      <w:tblPr/>
      <w:tcPr>
        <w:tcBorders>
          <w:top w:val="single" w:sz="8" w:space="0" w:color="0072BC" w:themeColor="accent1"/>
          <w:bottom w:val="single" w:sz="8" w:space="0" w:color="0072BC" w:themeColor="accent1"/>
        </w:tcBorders>
      </w:tcPr>
    </w:tblStylePr>
    <w:tblStylePr w:type="band1Vert">
      <w:tblPr/>
      <w:tcPr>
        <w:shd w:val="clear" w:color="auto" w:fill="AFDFFF" w:themeFill="accent1" w:themeFillTint="3F"/>
      </w:tcPr>
    </w:tblStylePr>
    <w:tblStylePr w:type="band1Horz">
      <w:tblPr/>
      <w:tcPr>
        <w:shd w:val="clear" w:color="auto" w:fill="AFDFFF" w:themeFill="accent1" w:themeFillTint="3F"/>
      </w:tcPr>
    </w:tblStylePr>
  </w:style>
  <w:style w:type="table" w:styleId="MediumList1Accent2">
    <w:name w:val="Medium List 1 Accent 2"/>
    <w:basedOn w:val="TableNormal"/>
    <w:uiPriority w:val="65"/>
    <w:semiHidden/>
    <w:rsid w:val="00A00672"/>
    <w:rPr>
      <w:color w:val="000000" w:themeColor="text1"/>
      <w:sz w:val="24"/>
      <w:szCs w:val="24"/>
    </w:rPr>
    <w:tblPr>
      <w:tblStyleRowBandSize w:val="1"/>
      <w:tblStyleColBandSize w:val="1"/>
      <w:tblBorders>
        <w:top w:val="single" w:sz="8" w:space="0" w:color="C00000" w:themeColor="accent2"/>
        <w:bottom w:val="single" w:sz="8" w:space="0" w:color="C00000" w:themeColor="accent2"/>
      </w:tblBorders>
    </w:tblPr>
    <w:tblStylePr w:type="firstRow">
      <w:rPr>
        <w:rFonts w:asciiTheme="majorHAnsi" w:eastAsiaTheme="majorEastAsia" w:hAnsiTheme="majorHAnsi" w:cstheme="majorBidi"/>
      </w:rPr>
      <w:tblPr/>
      <w:tcPr>
        <w:tcBorders>
          <w:top w:val="nil"/>
          <w:bottom w:val="single" w:sz="8" w:space="0" w:color="C00000" w:themeColor="accent2"/>
        </w:tcBorders>
      </w:tcPr>
    </w:tblStylePr>
    <w:tblStylePr w:type="lastRow">
      <w:rPr>
        <w:b/>
        <w:bCs/>
        <w:color w:val="C6C6C6" w:themeColor="text2"/>
      </w:rPr>
      <w:tblPr/>
      <w:tcPr>
        <w:tcBorders>
          <w:top w:val="single" w:sz="8" w:space="0" w:color="C00000" w:themeColor="accent2"/>
          <w:bottom w:val="single" w:sz="8" w:space="0" w:color="C00000" w:themeColor="accent2"/>
        </w:tcBorders>
      </w:tcPr>
    </w:tblStylePr>
    <w:tblStylePr w:type="firstCol">
      <w:rPr>
        <w:b/>
        <w:bCs/>
      </w:rPr>
    </w:tblStylePr>
    <w:tblStylePr w:type="lastCol">
      <w:rPr>
        <w:b/>
        <w:bCs/>
      </w:rPr>
      <w:tblPr/>
      <w:tcPr>
        <w:tcBorders>
          <w:top w:val="single" w:sz="8" w:space="0" w:color="C00000" w:themeColor="accent2"/>
          <w:bottom w:val="single" w:sz="8" w:space="0" w:color="C00000" w:themeColor="accent2"/>
        </w:tcBorders>
      </w:tcPr>
    </w:tblStylePr>
    <w:tblStylePr w:type="band1Vert">
      <w:tblPr/>
      <w:tcPr>
        <w:shd w:val="clear" w:color="auto" w:fill="FFB0B0" w:themeFill="accent2" w:themeFillTint="3F"/>
      </w:tcPr>
    </w:tblStylePr>
    <w:tblStylePr w:type="band1Horz">
      <w:tblPr/>
      <w:tcPr>
        <w:shd w:val="clear" w:color="auto" w:fill="FFB0B0" w:themeFill="accent2" w:themeFillTint="3F"/>
      </w:tcPr>
    </w:tblStylePr>
  </w:style>
  <w:style w:type="table" w:styleId="MediumList1Accent3">
    <w:name w:val="Medium List 1 Accent 3"/>
    <w:basedOn w:val="TableNormal"/>
    <w:uiPriority w:val="65"/>
    <w:semiHidden/>
    <w:rsid w:val="00A00672"/>
    <w:rPr>
      <w:color w:val="000000" w:themeColor="text1"/>
      <w:sz w:val="24"/>
      <w:szCs w:val="24"/>
    </w:rPr>
    <w:tblPr>
      <w:tblStyleRowBandSize w:val="1"/>
      <w:tblStyleColBandSize w:val="1"/>
      <w:tblBorders>
        <w:top w:val="single" w:sz="8" w:space="0" w:color="5F5F5F" w:themeColor="accent3"/>
        <w:bottom w:val="single" w:sz="8" w:space="0" w:color="5F5F5F" w:themeColor="accent3"/>
      </w:tblBorders>
    </w:tblPr>
    <w:tblStylePr w:type="firstRow">
      <w:rPr>
        <w:rFonts w:asciiTheme="majorHAnsi" w:eastAsiaTheme="majorEastAsia" w:hAnsiTheme="majorHAnsi" w:cstheme="majorBidi"/>
      </w:rPr>
      <w:tblPr/>
      <w:tcPr>
        <w:tcBorders>
          <w:top w:val="nil"/>
          <w:bottom w:val="single" w:sz="8" w:space="0" w:color="5F5F5F" w:themeColor="accent3"/>
        </w:tcBorders>
      </w:tcPr>
    </w:tblStylePr>
    <w:tblStylePr w:type="lastRow">
      <w:rPr>
        <w:b/>
        <w:bCs/>
        <w:color w:val="C6C6C6" w:themeColor="text2"/>
      </w:rPr>
      <w:tblPr/>
      <w:tcPr>
        <w:tcBorders>
          <w:top w:val="single" w:sz="8" w:space="0" w:color="5F5F5F" w:themeColor="accent3"/>
          <w:bottom w:val="single" w:sz="8" w:space="0" w:color="5F5F5F" w:themeColor="accent3"/>
        </w:tcBorders>
      </w:tcPr>
    </w:tblStylePr>
    <w:tblStylePr w:type="firstCol">
      <w:rPr>
        <w:b/>
        <w:bCs/>
      </w:rPr>
    </w:tblStylePr>
    <w:tblStylePr w:type="lastCol">
      <w:rPr>
        <w:b/>
        <w:bCs/>
      </w:rPr>
      <w:tblPr/>
      <w:tcPr>
        <w:tcBorders>
          <w:top w:val="single" w:sz="8" w:space="0" w:color="5F5F5F" w:themeColor="accent3"/>
          <w:bottom w:val="single" w:sz="8" w:space="0" w:color="5F5F5F" w:themeColor="accent3"/>
        </w:tcBorders>
      </w:tcPr>
    </w:tblStylePr>
    <w:tblStylePr w:type="band1Vert">
      <w:tblPr/>
      <w:tcPr>
        <w:shd w:val="clear" w:color="auto" w:fill="D7D7D7" w:themeFill="accent3" w:themeFillTint="3F"/>
      </w:tcPr>
    </w:tblStylePr>
    <w:tblStylePr w:type="band1Horz">
      <w:tblPr/>
      <w:tcPr>
        <w:shd w:val="clear" w:color="auto" w:fill="D7D7D7" w:themeFill="accent3" w:themeFillTint="3F"/>
      </w:tcPr>
    </w:tblStylePr>
  </w:style>
  <w:style w:type="table" w:styleId="MediumList1Accent4">
    <w:name w:val="Medium List 1 Accent 4"/>
    <w:basedOn w:val="TableNormal"/>
    <w:uiPriority w:val="65"/>
    <w:semiHidden/>
    <w:rsid w:val="00A00672"/>
    <w:rPr>
      <w:color w:val="000000" w:themeColor="text1"/>
      <w:sz w:val="24"/>
      <w:szCs w:val="24"/>
    </w:rPr>
    <w:tblPr>
      <w:tblStyleRowBandSize w:val="1"/>
      <w:tblStyleColBandSize w:val="1"/>
      <w:tblBorders>
        <w:top w:val="single" w:sz="8" w:space="0" w:color="969696" w:themeColor="accent4"/>
        <w:bottom w:val="single" w:sz="8" w:space="0" w:color="969696" w:themeColor="accent4"/>
      </w:tblBorders>
    </w:tblPr>
    <w:tblStylePr w:type="firstRow">
      <w:rPr>
        <w:rFonts w:asciiTheme="majorHAnsi" w:eastAsiaTheme="majorEastAsia" w:hAnsiTheme="majorHAnsi" w:cstheme="majorBidi"/>
      </w:rPr>
      <w:tblPr/>
      <w:tcPr>
        <w:tcBorders>
          <w:top w:val="nil"/>
          <w:bottom w:val="single" w:sz="8" w:space="0" w:color="969696" w:themeColor="accent4"/>
        </w:tcBorders>
      </w:tcPr>
    </w:tblStylePr>
    <w:tblStylePr w:type="lastRow">
      <w:rPr>
        <w:b/>
        <w:bCs/>
        <w:color w:val="C6C6C6" w:themeColor="text2"/>
      </w:rPr>
      <w:tblPr/>
      <w:tcPr>
        <w:tcBorders>
          <w:top w:val="single" w:sz="8" w:space="0" w:color="969696" w:themeColor="accent4"/>
          <w:bottom w:val="single" w:sz="8" w:space="0" w:color="969696" w:themeColor="accent4"/>
        </w:tcBorders>
      </w:tcPr>
    </w:tblStylePr>
    <w:tblStylePr w:type="firstCol">
      <w:rPr>
        <w:b/>
        <w:bCs/>
      </w:rPr>
    </w:tblStylePr>
    <w:tblStylePr w:type="lastCol">
      <w:rPr>
        <w:b/>
        <w:bCs/>
      </w:rPr>
      <w:tblPr/>
      <w:tcPr>
        <w:tcBorders>
          <w:top w:val="single" w:sz="8" w:space="0" w:color="969696" w:themeColor="accent4"/>
          <w:bottom w:val="single" w:sz="8" w:space="0" w:color="969696" w:themeColor="accent4"/>
        </w:tcBorders>
      </w:tcPr>
    </w:tblStylePr>
    <w:tblStylePr w:type="band1Vert">
      <w:tblPr/>
      <w:tcPr>
        <w:shd w:val="clear" w:color="auto" w:fill="E5E5E5" w:themeFill="accent4" w:themeFillTint="3F"/>
      </w:tcPr>
    </w:tblStylePr>
    <w:tblStylePr w:type="band1Horz">
      <w:tblPr/>
      <w:tcPr>
        <w:shd w:val="clear" w:color="auto" w:fill="E5E5E5" w:themeFill="accent4" w:themeFillTint="3F"/>
      </w:tcPr>
    </w:tblStylePr>
  </w:style>
  <w:style w:type="table" w:styleId="MediumList1Accent5">
    <w:name w:val="Medium List 1 Accent 5"/>
    <w:basedOn w:val="TableNormal"/>
    <w:uiPriority w:val="65"/>
    <w:semiHidden/>
    <w:rsid w:val="00A00672"/>
    <w:rPr>
      <w:color w:val="000000" w:themeColor="text1"/>
      <w:sz w:val="24"/>
      <w:szCs w:val="24"/>
    </w:rPr>
    <w:tblPr>
      <w:tblStyleRowBandSize w:val="1"/>
      <w:tblStyleColBandSize w:val="1"/>
      <w:tblBorders>
        <w:top w:val="single" w:sz="8" w:space="0" w:color="5F5F5F" w:themeColor="accent5"/>
        <w:bottom w:val="single" w:sz="8" w:space="0" w:color="5F5F5F" w:themeColor="accent5"/>
      </w:tblBorders>
    </w:tblPr>
    <w:tblStylePr w:type="firstRow">
      <w:rPr>
        <w:rFonts w:asciiTheme="majorHAnsi" w:eastAsiaTheme="majorEastAsia" w:hAnsiTheme="majorHAnsi" w:cstheme="majorBidi"/>
      </w:rPr>
      <w:tblPr/>
      <w:tcPr>
        <w:tcBorders>
          <w:top w:val="nil"/>
          <w:bottom w:val="single" w:sz="8" w:space="0" w:color="5F5F5F" w:themeColor="accent5"/>
        </w:tcBorders>
      </w:tcPr>
    </w:tblStylePr>
    <w:tblStylePr w:type="lastRow">
      <w:rPr>
        <w:b/>
        <w:bCs/>
        <w:color w:val="C6C6C6" w:themeColor="text2"/>
      </w:rPr>
      <w:tblPr/>
      <w:tcPr>
        <w:tcBorders>
          <w:top w:val="single" w:sz="8" w:space="0" w:color="5F5F5F" w:themeColor="accent5"/>
          <w:bottom w:val="single" w:sz="8" w:space="0" w:color="5F5F5F" w:themeColor="accent5"/>
        </w:tcBorders>
      </w:tcPr>
    </w:tblStylePr>
    <w:tblStylePr w:type="firstCol">
      <w:rPr>
        <w:b/>
        <w:bCs/>
      </w:rPr>
    </w:tblStylePr>
    <w:tblStylePr w:type="lastCol">
      <w:rPr>
        <w:b/>
        <w:bCs/>
      </w:rPr>
      <w:tblPr/>
      <w:tcPr>
        <w:tcBorders>
          <w:top w:val="single" w:sz="8" w:space="0" w:color="5F5F5F" w:themeColor="accent5"/>
          <w:bottom w:val="single" w:sz="8" w:space="0" w:color="5F5F5F" w:themeColor="accent5"/>
        </w:tcBorders>
      </w:tcPr>
    </w:tblStylePr>
    <w:tblStylePr w:type="band1Vert">
      <w:tblPr/>
      <w:tcPr>
        <w:shd w:val="clear" w:color="auto" w:fill="D7D7D7" w:themeFill="accent5" w:themeFillTint="3F"/>
      </w:tcPr>
    </w:tblStylePr>
    <w:tblStylePr w:type="band1Horz">
      <w:tblPr/>
      <w:tcPr>
        <w:shd w:val="clear" w:color="auto" w:fill="D7D7D7" w:themeFill="accent5" w:themeFillTint="3F"/>
      </w:tcPr>
    </w:tblStylePr>
  </w:style>
  <w:style w:type="table" w:styleId="MediumList1Accent6">
    <w:name w:val="Medium List 1 Accent 6"/>
    <w:basedOn w:val="TableNormal"/>
    <w:uiPriority w:val="65"/>
    <w:semiHidden/>
    <w:rsid w:val="00A00672"/>
    <w:rPr>
      <w:color w:val="000000" w:themeColor="text1"/>
      <w:sz w:val="24"/>
      <w:szCs w:val="24"/>
    </w:rPr>
    <w:tblPr>
      <w:tblStyleRowBandSize w:val="1"/>
      <w:tblStyleColBandSize w:val="1"/>
      <w:tblBorders>
        <w:top w:val="single" w:sz="8" w:space="0" w:color="4D4D4D" w:themeColor="accent6"/>
        <w:bottom w:val="single" w:sz="8" w:space="0" w:color="4D4D4D" w:themeColor="accent6"/>
      </w:tblBorders>
    </w:tblPr>
    <w:tblStylePr w:type="firstRow">
      <w:rPr>
        <w:rFonts w:asciiTheme="majorHAnsi" w:eastAsiaTheme="majorEastAsia" w:hAnsiTheme="majorHAnsi" w:cstheme="majorBidi"/>
      </w:rPr>
      <w:tblPr/>
      <w:tcPr>
        <w:tcBorders>
          <w:top w:val="nil"/>
          <w:bottom w:val="single" w:sz="8" w:space="0" w:color="4D4D4D" w:themeColor="accent6"/>
        </w:tcBorders>
      </w:tcPr>
    </w:tblStylePr>
    <w:tblStylePr w:type="lastRow">
      <w:rPr>
        <w:b/>
        <w:bCs/>
        <w:color w:val="C6C6C6" w:themeColor="text2"/>
      </w:rPr>
      <w:tblPr/>
      <w:tcPr>
        <w:tcBorders>
          <w:top w:val="single" w:sz="8" w:space="0" w:color="4D4D4D" w:themeColor="accent6"/>
          <w:bottom w:val="single" w:sz="8" w:space="0" w:color="4D4D4D" w:themeColor="accent6"/>
        </w:tcBorders>
      </w:tcPr>
    </w:tblStylePr>
    <w:tblStylePr w:type="firstCol">
      <w:rPr>
        <w:b/>
        <w:bCs/>
      </w:rPr>
    </w:tblStylePr>
    <w:tblStylePr w:type="lastCol">
      <w:rPr>
        <w:b/>
        <w:bCs/>
      </w:rPr>
      <w:tblPr/>
      <w:tcPr>
        <w:tcBorders>
          <w:top w:val="single" w:sz="8" w:space="0" w:color="4D4D4D" w:themeColor="accent6"/>
          <w:bottom w:val="single" w:sz="8" w:space="0" w:color="4D4D4D" w:themeColor="accent6"/>
        </w:tcBorders>
      </w:tcPr>
    </w:tblStylePr>
    <w:tblStylePr w:type="band1Vert">
      <w:tblPr/>
      <w:tcPr>
        <w:shd w:val="clear" w:color="auto" w:fill="D3D3D3" w:themeFill="accent6" w:themeFillTint="3F"/>
      </w:tcPr>
    </w:tblStylePr>
    <w:tblStylePr w:type="band1Horz">
      <w:tblPr/>
      <w:tcPr>
        <w:shd w:val="clear" w:color="auto" w:fill="D3D3D3" w:themeFill="accent6" w:themeFillTint="3F"/>
      </w:tcPr>
    </w:tblStylePr>
  </w:style>
  <w:style w:type="table" w:styleId="MediumList2">
    <w:name w:val="Medium List 2"/>
    <w:basedOn w:val="TableNormal"/>
    <w:uiPriority w:val="66"/>
    <w:semiHidden/>
    <w:rsid w:val="00A00672"/>
    <w:rPr>
      <w:rFonts w:asciiTheme="majorHAnsi" w:eastAsiaTheme="majorEastAsia" w:hAnsiTheme="majorHAnsi" w:cstheme="majorBidi"/>
      <w:color w:val="000000" w:themeColor="text1"/>
      <w:sz w:val="24"/>
      <w:szCs w:val="24"/>
    </w:r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tblBorders>
    </w:tblPr>
    <w:tblStylePr w:type="firstRow">
      <w:rPr>
        <w:sz w:val="24"/>
        <w:szCs w:val="24"/>
      </w:rPr>
      <w:tblPr/>
      <w:tcPr>
        <w:tcBorders>
          <w:top w:val="nil"/>
          <w:left w:val="nil"/>
          <w:bottom w:val="single" w:sz="24" w:space="0" w:color="000000" w:themeColor="text1"/>
          <w:right w:val="nil"/>
          <w:insideH w:val="nil"/>
          <w:insideV w:val="nil"/>
        </w:tcBorders>
        <w:shd w:val="clear" w:color="auto" w:fill="0072BC" w:themeFill="background1"/>
      </w:tcPr>
    </w:tblStylePr>
    <w:tblStylePr w:type="lastRow">
      <w:tblPr/>
      <w:tcPr>
        <w:tcBorders>
          <w:top w:val="single" w:sz="8" w:space="0" w:color="000000" w:themeColor="text1"/>
          <w:left w:val="nil"/>
          <w:bottom w:val="nil"/>
          <w:right w:val="nil"/>
          <w:insideH w:val="nil"/>
          <w:insideV w:val="nil"/>
        </w:tcBorders>
        <w:shd w:val="clear" w:color="auto" w:fill="0072BC" w:themeFill="background1"/>
      </w:tcPr>
    </w:tblStylePr>
    <w:tblStylePr w:type="firstCol">
      <w:tblPr/>
      <w:tcPr>
        <w:tcBorders>
          <w:top w:val="nil"/>
          <w:left w:val="nil"/>
          <w:bottom w:val="nil"/>
          <w:right w:val="single" w:sz="8" w:space="0" w:color="000000" w:themeColor="text1"/>
          <w:insideH w:val="nil"/>
          <w:insideV w:val="nil"/>
        </w:tcBorders>
        <w:shd w:val="clear" w:color="auto" w:fill="0072BC" w:themeFill="background1"/>
      </w:tcPr>
    </w:tblStylePr>
    <w:tblStylePr w:type="lastCol">
      <w:tblPr/>
      <w:tcPr>
        <w:tcBorders>
          <w:top w:val="nil"/>
          <w:left w:val="single" w:sz="8" w:space="0" w:color="000000" w:themeColor="text1"/>
          <w:bottom w:val="nil"/>
          <w:right w:val="nil"/>
          <w:insideH w:val="nil"/>
          <w:insideV w:val="nil"/>
        </w:tcBorders>
        <w:shd w:val="clear" w:color="auto" w:fill="0072BC"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0072BC" w:themeFill="background1"/>
      </w:tcPr>
    </w:tblStylePr>
    <w:tblStylePr w:type="swCell">
      <w:tblPr/>
      <w:tcPr>
        <w:tcBorders>
          <w:top w:val="nil"/>
        </w:tcBorders>
      </w:tcPr>
    </w:tblStylePr>
  </w:style>
  <w:style w:type="table" w:styleId="MediumList2Accent1">
    <w:name w:val="Medium List 2 Accent 1"/>
    <w:basedOn w:val="TableNormal"/>
    <w:uiPriority w:val="66"/>
    <w:semiHidden/>
    <w:rsid w:val="00A00672"/>
    <w:rPr>
      <w:rFonts w:asciiTheme="majorHAnsi" w:eastAsiaTheme="majorEastAsia" w:hAnsiTheme="majorHAnsi" w:cstheme="majorBidi"/>
      <w:color w:val="000000" w:themeColor="text1"/>
      <w:sz w:val="24"/>
      <w:szCs w:val="24"/>
    </w:rPr>
    <w:tblPr>
      <w:tblStyleRowBandSize w:val="1"/>
      <w:tblStyleColBandSize w:val="1"/>
      <w:tblBorders>
        <w:top w:val="single" w:sz="8" w:space="0" w:color="0072BC" w:themeColor="accent1"/>
        <w:left w:val="single" w:sz="8" w:space="0" w:color="0072BC" w:themeColor="accent1"/>
        <w:bottom w:val="single" w:sz="8" w:space="0" w:color="0072BC" w:themeColor="accent1"/>
        <w:right w:val="single" w:sz="8" w:space="0" w:color="0072BC" w:themeColor="accent1"/>
      </w:tblBorders>
    </w:tblPr>
    <w:tblStylePr w:type="firstRow">
      <w:rPr>
        <w:sz w:val="24"/>
        <w:szCs w:val="24"/>
      </w:rPr>
      <w:tblPr/>
      <w:tcPr>
        <w:tcBorders>
          <w:top w:val="nil"/>
          <w:left w:val="nil"/>
          <w:bottom w:val="single" w:sz="24" w:space="0" w:color="0072BC" w:themeColor="accent1"/>
          <w:right w:val="nil"/>
          <w:insideH w:val="nil"/>
          <w:insideV w:val="nil"/>
        </w:tcBorders>
        <w:shd w:val="clear" w:color="auto" w:fill="0072BC" w:themeFill="background1"/>
      </w:tcPr>
    </w:tblStylePr>
    <w:tblStylePr w:type="lastRow">
      <w:tblPr/>
      <w:tcPr>
        <w:tcBorders>
          <w:top w:val="single" w:sz="8" w:space="0" w:color="0072BC" w:themeColor="accent1"/>
          <w:left w:val="nil"/>
          <w:bottom w:val="nil"/>
          <w:right w:val="nil"/>
          <w:insideH w:val="nil"/>
          <w:insideV w:val="nil"/>
        </w:tcBorders>
        <w:shd w:val="clear" w:color="auto" w:fill="0072BC" w:themeFill="background1"/>
      </w:tcPr>
    </w:tblStylePr>
    <w:tblStylePr w:type="firstCol">
      <w:tblPr/>
      <w:tcPr>
        <w:tcBorders>
          <w:top w:val="nil"/>
          <w:left w:val="nil"/>
          <w:bottom w:val="nil"/>
          <w:right w:val="single" w:sz="8" w:space="0" w:color="0072BC" w:themeColor="accent1"/>
          <w:insideH w:val="nil"/>
          <w:insideV w:val="nil"/>
        </w:tcBorders>
        <w:shd w:val="clear" w:color="auto" w:fill="0072BC" w:themeFill="background1"/>
      </w:tcPr>
    </w:tblStylePr>
    <w:tblStylePr w:type="lastCol">
      <w:tblPr/>
      <w:tcPr>
        <w:tcBorders>
          <w:top w:val="nil"/>
          <w:left w:val="single" w:sz="8" w:space="0" w:color="0072BC" w:themeColor="accent1"/>
          <w:bottom w:val="nil"/>
          <w:right w:val="nil"/>
          <w:insideH w:val="nil"/>
          <w:insideV w:val="nil"/>
        </w:tcBorders>
        <w:shd w:val="clear" w:color="auto" w:fill="0072BC" w:themeFill="background1"/>
      </w:tcPr>
    </w:tblStylePr>
    <w:tblStylePr w:type="band1Vert">
      <w:tblPr/>
      <w:tcPr>
        <w:tcBorders>
          <w:left w:val="nil"/>
          <w:right w:val="nil"/>
          <w:insideH w:val="nil"/>
          <w:insideV w:val="nil"/>
        </w:tcBorders>
        <w:shd w:val="clear" w:color="auto" w:fill="AFDFFF" w:themeFill="accent1" w:themeFillTint="3F"/>
      </w:tcPr>
    </w:tblStylePr>
    <w:tblStylePr w:type="band1Horz">
      <w:tblPr/>
      <w:tcPr>
        <w:tcBorders>
          <w:top w:val="nil"/>
          <w:bottom w:val="nil"/>
          <w:insideH w:val="nil"/>
          <w:insideV w:val="nil"/>
        </w:tcBorders>
        <w:shd w:val="clear" w:color="auto" w:fill="AFDFFF" w:themeFill="accent1" w:themeFillTint="3F"/>
      </w:tcPr>
    </w:tblStylePr>
    <w:tblStylePr w:type="nwCell">
      <w:tblPr/>
      <w:tcPr>
        <w:shd w:val="clear" w:color="auto" w:fill="0072BC" w:themeFill="background1"/>
      </w:tcPr>
    </w:tblStylePr>
    <w:tblStylePr w:type="swCell">
      <w:tblPr/>
      <w:tcPr>
        <w:tcBorders>
          <w:top w:val="nil"/>
        </w:tcBorders>
      </w:tcPr>
    </w:tblStylePr>
  </w:style>
  <w:style w:type="table" w:styleId="MediumList2Accent2">
    <w:name w:val="Medium List 2 Accent 2"/>
    <w:basedOn w:val="TableNormal"/>
    <w:uiPriority w:val="66"/>
    <w:semiHidden/>
    <w:rsid w:val="00A00672"/>
    <w:rPr>
      <w:rFonts w:asciiTheme="majorHAnsi" w:eastAsiaTheme="majorEastAsia" w:hAnsiTheme="majorHAnsi" w:cstheme="majorBidi"/>
      <w:color w:val="000000" w:themeColor="text1"/>
      <w:sz w:val="24"/>
      <w:szCs w:val="24"/>
    </w:rPr>
    <w:tblPr>
      <w:tblStyleRowBandSize w:val="1"/>
      <w:tblStyleColBandSize w:val="1"/>
      <w:tblBorders>
        <w:top w:val="single" w:sz="8" w:space="0" w:color="C00000" w:themeColor="accent2"/>
        <w:left w:val="single" w:sz="8" w:space="0" w:color="C00000" w:themeColor="accent2"/>
        <w:bottom w:val="single" w:sz="8" w:space="0" w:color="C00000" w:themeColor="accent2"/>
        <w:right w:val="single" w:sz="8" w:space="0" w:color="C00000" w:themeColor="accent2"/>
      </w:tblBorders>
    </w:tblPr>
    <w:tblStylePr w:type="firstRow">
      <w:rPr>
        <w:sz w:val="24"/>
        <w:szCs w:val="24"/>
      </w:rPr>
      <w:tblPr/>
      <w:tcPr>
        <w:tcBorders>
          <w:top w:val="nil"/>
          <w:left w:val="nil"/>
          <w:bottom w:val="single" w:sz="24" w:space="0" w:color="C00000" w:themeColor="accent2"/>
          <w:right w:val="nil"/>
          <w:insideH w:val="nil"/>
          <w:insideV w:val="nil"/>
        </w:tcBorders>
        <w:shd w:val="clear" w:color="auto" w:fill="0072BC" w:themeFill="background1"/>
      </w:tcPr>
    </w:tblStylePr>
    <w:tblStylePr w:type="lastRow">
      <w:tblPr/>
      <w:tcPr>
        <w:tcBorders>
          <w:top w:val="single" w:sz="8" w:space="0" w:color="C00000" w:themeColor="accent2"/>
          <w:left w:val="nil"/>
          <w:bottom w:val="nil"/>
          <w:right w:val="nil"/>
          <w:insideH w:val="nil"/>
          <w:insideV w:val="nil"/>
        </w:tcBorders>
        <w:shd w:val="clear" w:color="auto" w:fill="0072BC" w:themeFill="background1"/>
      </w:tcPr>
    </w:tblStylePr>
    <w:tblStylePr w:type="firstCol">
      <w:tblPr/>
      <w:tcPr>
        <w:tcBorders>
          <w:top w:val="nil"/>
          <w:left w:val="nil"/>
          <w:bottom w:val="nil"/>
          <w:right w:val="single" w:sz="8" w:space="0" w:color="C00000" w:themeColor="accent2"/>
          <w:insideH w:val="nil"/>
          <w:insideV w:val="nil"/>
        </w:tcBorders>
        <w:shd w:val="clear" w:color="auto" w:fill="0072BC" w:themeFill="background1"/>
      </w:tcPr>
    </w:tblStylePr>
    <w:tblStylePr w:type="lastCol">
      <w:tblPr/>
      <w:tcPr>
        <w:tcBorders>
          <w:top w:val="nil"/>
          <w:left w:val="single" w:sz="8" w:space="0" w:color="C00000" w:themeColor="accent2"/>
          <w:bottom w:val="nil"/>
          <w:right w:val="nil"/>
          <w:insideH w:val="nil"/>
          <w:insideV w:val="nil"/>
        </w:tcBorders>
        <w:shd w:val="clear" w:color="auto" w:fill="0072BC" w:themeFill="background1"/>
      </w:tcPr>
    </w:tblStylePr>
    <w:tblStylePr w:type="band1Vert">
      <w:tblPr/>
      <w:tcPr>
        <w:tcBorders>
          <w:left w:val="nil"/>
          <w:right w:val="nil"/>
          <w:insideH w:val="nil"/>
          <w:insideV w:val="nil"/>
        </w:tcBorders>
        <w:shd w:val="clear" w:color="auto" w:fill="FFB0B0" w:themeFill="accent2" w:themeFillTint="3F"/>
      </w:tcPr>
    </w:tblStylePr>
    <w:tblStylePr w:type="band1Horz">
      <w:tblPr/>
      <w:tcPr>
        <w:tcBorders>
          <w:top w:val="nil"/>
          <w:bottom w:val="nil"/>
          <w:insideH w:val="nil"/>
          <w:insideV w:val="nil"/>
        </w:tcBorders>
        <w:shd w:val="clear" w:color="auto" w:fill="FFB0B0" w:themeFill="accent2" w:themeFillTint="3F"/>
      </w:tcPr>
    </w:tblStylePr>
    <w:tblStylePr w:type="nwCell">
      <w:tblPr/>
      <w:tcPr>
        <w:shd w:val="clear" w:color="auto" w:fill="0072BC" w:themeFill="background1"/>
      </w:tcPr>
    </w:tblStylePr>
    <w:tblStylePr w:type="swCell">
      <w:tblPr/>
      <w:tcPr>
        <w:tcBorders>
          <w:top w:val="nil"/>
        </w:tcBorders>
      </w:tcPr>
    </w:tblStylePr>
  </w:style>
  <w:style w:type="table" w:styleId="MediumList2Accent3">
    <w:name w:val="Medium List 2 Accent 3"/>
    <w:basedOn w:val="TableNormal"/>
    <w:uiPriority w:val="66"/>
    <w:semiHidden/>
    <w:rsid w:val="00A00672"/>
    <w:rPr>
      <w:rFonts w:asciiTheme="majorHAnsi" w:eastAsiaTheme="majorEastAsia" w:hAnsiTheme="majorHAnsi" w:cstheme="majorBidi"/>
      <w:color w:val="000000" w:themeColor="text1"/>
      <w:sz w:val="24"/>
      <w:szCs w:val="24"/>
    </w:rPr>
    <w:tblPr>
      <w:tblStyleRowBandSize w:val="1"/>
      <w:tblStyleColBandSize w:val="1"/>
      <w:tblBorders>
        <w:top w:val="single" w:sz="8" w:space="0" w:color="5F5F5F" w:themeColor="accent3"/>
        <w:left w:val="single" w:sz="8" w:space="0" w:color="5F5F5F" w:themeColor="accent3"/>
        <w:bottom w:val="single" w:sz="8" w:space="0" w:color="5F5F5F" w:themeColor="accent3"/>
        <w:right w:val="single" w:sz="8" w:space="0" w:color="5F5F5F" w:themeColor="accent3"/>
      </w:tblBorders>
    </w:tblPr>
    <w:tblStylePr w:type="firstRow">
      <w:rPr>
        <w:sz w:val="24"/>
        <w:szCs w:val="24"/>
      </w:rPr>
      <w:tblPr/>
      <w:tcPr>
        <w:tcBorders>
          <w:top w:val="nil"/>
          <w:left w:val="nil"/>
          <w:bottom w:val="single" w:sz="24" w:space="0" w:color="5F5F5F" w:themeColor="accent3"/>
          <w:right w:val="nil"/>
          <w:insideH w:val="nil"/>
          <w:insideV w:val="nil"/>
        </w:tcBorders>
        <w:shd w:val="clear" w:color="auto" w:fill="0072BC" w:themeFill="background1"/>
      </w:tcPr>
    </w:tblStylePr>
    <w:tblStylePr w:type="lastRow">
      <w:tblPr/>
      <w:tcPr>
        <w:tcBorders>
          <w:top w:val="single" w:sz="8" w:space="0" w:color="5F5F5F" w:themeColor="accent3"/>
          <w:left w:val="nil"/>
          <w:bottom w:val="nil"/>
          <w:right w:val="nil"/>
          <w:insideH w:val="nil"/>
          <w:insideV w:val="nil"/>
        </w:tcBorders>
        <w:shd w:val="clear" w:color="auto" w:fill="0072BC" w:themeFill="background1"/>
      </w:tcPr>
    </w:tblStylePr>
    <w:tblStylePr w:type="firstCol">
      <w:tblPr/>
      <w:tcPr>
        <w:tcBorders>
          <w:top w:val="nil"/>
          <w:left w:val="nil"/>
          <w:bottom w:val="nil"/>
          <w:right w:val="single" w:sz="8" w:space="0" w:color="5F5F5F" w:themeColor="accent3"/>
          <w:insideH w:val="nil"/>
          <w:insideV w:val="nil"/>
        </w:tcBorders>
        <w:shd w:val="clear" w:color="auto" w:fill="0072BC" w:themeFill="background1"/>
      </w:tcPr>
    </w:tblStylePr>
    <w:tblStylePr w:type="lastCol">
      <w:tblPr/>
      <w:tcPr>
        <w:tcBorders>
          <w:top w:val="nil"/>
          <w:left w:val="single" w:sz="8" w:space="0" w:color="5F5F5F" w:themeColor="accent3"/>
          <w:bottom w:val="nil"/>
          <w:right w:val="nil"/>
          <w:insideH w:val="nil"/>
          <w:insideV w:val="nil"/>
        </w:tcBorders>
        <w:shd w:val="clear" w:color="auto" w:fill="0072BC" w:themeFill="background1"/>
      </w:tcPr>
    </w:tblStylePr>
    <w:tblStylePr w:type="band1Vert">
      <w:tblPr/>
      <w:tcPr>
        <w:tcBorders>
          <w:left w:val="nil"/>
          <w:right w:val="nil"/>
          <w:insideH w:val="nil"/>
          <w:insideV w:val="nil"/>
        </w:tcBorders>
        <w:shd w:val="clear" w:color="auto" w:fill="D7D7D7" w:themeFill="accent3" w:themeFillTint="3F"/>
      </w:tcPr>
    </w:tblStylePr>
    <w:tblStylePr w:type="band1Horz">
      <w:tblPr/>
      <w:tcPr>
        <w:tcBorders>
          <w:top w:val="nil"/>
          <w:bottom w:val="nil"/>
          <w:insideH w:val="nil"/>
          <w:insideV w:val="nil"/>
        </w:tcBorders>
        <w:shd w:val="clear" w:color="auto" w:fill="D7D7D7" w:themeFill="accent3" w:themeFillTint="3F"/>
      </w:tcPr>
    </w:tblStylePr>
    <w:tblStylePr w:type="nwCell">
      <w:tblPr/>
      <w:tcPr>
        <w:shd w:val="clear" w:color="auto" w:fill="0072BC" w:themeFill="background1"/>
      </w:tcPr>
    </w:tblStylePr>
    <w:tblStylePr w:type="swCell">
      <w:tblPr/>
      <w:tcPr>
        <w:tcBorders>
          <w:top w:val="nil"/>
        </w:tcBorders>
      </w:tcPr>
    </w:tblStylePr>
  </w:style>
  <w:style w:type="table" w:styleId="MediumList2Accent4">
    <w:name w:val="Medium List 2 Accent 4"/>
    <w:basedOn w:val="TableNormal"/>
    <w:uiPriority w:val="66"/>
    <w:semiHidden/>
    <w:rsid w:val="00A00672"/>
    <w:rPr>
      <w:rFonts w:asciiTheme="majorHAnsi" w:eastAsiaTheme="majorEastAsia" w:hAnsiTheme="majorHAnsi" w:cstheme="majorBidi"/>
      <w:color w:val="000000" w:themeColor="text1"/>
      <w:sz w:val="24"/>
      <w:szCs w:val="24"/>
    </w:rPr>
    <w:tblPr>
      <w:tblStyleRowBandSize w:val="1"/>
      <w:tblStyleColBandSize w:val="1"/>
      <w:tblBorders>
        <w:top w:val="single" w:sz="8" w:space="0" w:color="969696" w:themeColor="accent4"/>
        <w:left w:val="single" w:sz="8" w:space="0" w:color="969696" w:themeColor="accent4"/>
        <w:bottom w:val="single" w:sz="8" w:space="0" w:color="969696" w:themeColor="accent4"/>
        <w:right w:val="single" w:sz="8" w:space="0" w:color="969696" w:themeColor="accent4"/>
      </w:tblBorders>
    </w:tblPr>
    <w:tblStylePr w:type="firstRow">
      <w:rPr>
        <w:sz w:val="24"/>
        <w:szCs w:val="24"/>
      </w:rPr>
      <w:tblPr/>
      <w:tcPr>
        <w:tcBorders>
          <w:top w:val="nil"/>
          <w:left w:val="nil"/>
          <w:bottom w:val="single" w:sz="24" w:space="0" w:color="969696" w:themeColor="accent4"/>
          <w:right w:val="nil"/>
          <w:insideH w:val="nil"/>
          <w:insideV w:val="nil"/>
        </w:tcBorders>
        <w:shd w:val="clear" w:color="auto" w:fill="0072BC" w:themeFill="background1"/>
      </w:tcPr>
    </w:tblStylePr>
    <w:tblStylePr w:type="lastRow">
      <w:tblPr/>
      <w:tcPr>
        <w:tcBorders>
          <w:top w:val="single" w:sz="8" w:space="0" w:color="969696" w:themeColor="accent4"/>
          <w:left w:val="nil"/>
          <w:bottom w:val="nil"/>
          <w:right w:val="nil"/>
          <w:insideH w:val="nil"/>
          <w:insideV w:val="nil"/>
        </w:tcBorders>
        <w:shd w:val="clear" w:color="auto" w:fill="0072BC" w:themeFill="background1"/>
      </w:tcPr>
    </w:tblStylePr>
    <w:tblStylePr w:type="firstCol">
      <w:tblPr/>
      <w:tcPr>
        <w:tcBorders>
          <w:top w:val="nil"/>
          <w:left w:val="nil"/>
          <w:bottom w:val="nil"/>
          <w:right w:val="single" w:sz="8" w:space="0" w:color="969696" w:themeColor="accent4"/>
          <w:insideH w:val="nil"/>
          <w:insideV w:val="nil"/>
        </w:tcBorders>
        <w:shd w:val="clear" w:color="auto" w:fill="0072BC" w:themeFill="background1"/>
      </w:tcPr>
    </w:tblStylePr>
    <w:tblStylePr w:type="lastCol">
      <w:tblPr/>
      <w:tcPr>
        <w:tcBorders>
          <w:top w:val="nil"/>
          <w:left w:val="single" w:sz="8" w:space="0" w:color="969696" w:themeColor="accent4"/>
          <w:bottom w:val="nil"/>
          <w:right w:val="nil"/>
          <w:insideH w:val="nil"/>
          <w:insideV w:val="nil"/>
        </w:tcBorders>
        <w:shd w:val="clear" w:color="auto" w:fill="0072BC" w:themeFill="background1"/>
      </w:tcPr>
    </w:tblStylePr>
    <w:tblStylePr w:type="band1Vert">
      <w:tblPr/>
      <w:tcPr>
        <w:tcBorders>
          <w:left w:val="nil"/>
          <w:right w:val="nil"/>
          <w:insideH w:val="nil"/>
          <w:insideV w:val="nil"/>
        </w:tcBorders>
        <w:shd w:val="clear" w:color="auto" w:fill="E5E5E5" w:themeFill="accent4" w:themeFillTint="3F"/>
      </w:tcPr>
    </w:tblStylePr>
    <w:tblStylePr w:type="band1Horz">
      <w:tblPr/>
      <w:tcPr>
        <w:tcBorders>
          <w:top w:val="nil"/>
          <w:bottom w:val="nil"/>
          <w:insideH w:val="nil"/>
          <w:insideV w:val="nil"/>
        </w:tcBorders>
        <w:shd w:val="clear" w:color="auto" w:fill="E5E5E5" w:themeFill="accent4" w:themeFillTint="3F"/>
      </w:tcPr>
    </w:tblStylePr>
    <w:tblStylePr w:type="nwCell">
      <w:tblPr/>
      <w:tcPr>
        <w:shd w:val="clear" w:color="auto" w:fill="0072BC" w:themeFill="background1"/>
      </w:tcPr>
    </w:tblStylePr>
    <w:tblStylePr w:type="swCell">
      <w:tblPr/>
      <w:tcPr>
        <w:tcBorders>
          <w:top w:val="nil"/>
        </w:tcBorders>
      </w:tcPr>
    </w:tblStylePr>
  </w:style>
  <w:style w:type="table" w:styleId="MediumList2Accent5">
    <w:name w:val="Medium List 2 Accent 5"/>
    <w:basedOn w:val="TableNormal"/>
    <w:uiPriority w:val="66"/>
    <w:semiHidden/>
    <w:rsid w:val="00A00672"/>
    <w:rPr>
      <w:rFonts w:asciiTheme="majorHAnsi" w:eastAsiaTheme="majorEastAsia" w:hAnsiTheme="majorHAnsi" w:cstheme="majorBidi"/>
      <w:color w:val="000000" w:themeColor="text1"/>
      <w:sz w:val="24"/>
      <w:szCs w:val="24"/>
    </w:rPr>
    <w:tblPr>
      <w:tblStyleRowBandSize w:val="1"/>
      <w:tblStyleColBandSize w:val="1"/>
      <w:tblBorders>
        <w:top w:val="single" w:sz="8" w:space="0" w:color="5F5F5F" w:themeColor="accent5"/>
        <w:left w:val="single" w:sz="8" w:space="0" w:color="5F5F5F" w:themeColor="accent5"/>
        <w:bottom w:val="single" w:sz="8" w:space="0" w:color="5F5F5F" w:themeColor="accent5"/>
        <w:right w:val="single" w:sz="8" w:space="0" w:color="5F5F5F" w:themeColor="accent5"/>
      </w:tblBorders>
    </w:tblPr>
    <w:tblStylePr w:type="firstRow">
      <w:rPr>
        <w:sz w:val="24"/>
        <w:szCs w:val="24"/>
      </w:rPr>
      <w:tblPr/>
      <w:tcPr>
        <w:tcBorders>
          <w:top w:val="nil"/>
          <w:left w:val="nil"/>
          <w:bottom w:val="single" w:sz="24" w:space="0" w:color="5F5F5F" w:themeColor="accent5"/>
          <w:right w:val="nil"/>
          <w:insideH w:val="nil"/>
          <w:insideV w:val="nil"/>
        </w:tcBorders>
        <w:shd w:val="clear" w:color="auto" w:fill="0072BC" w:themeFill="background1"/>
      </w:tcPr>
    </w:tblStylePr>
    <w:tblStylePr w:type="lastRow">
      <w:tblPr/>
      <w:tcPr>
        <w:tcBorders>
          <w:top w:val="single" w:sz="8" w:space="0" w:color="5F5F5F" w:themeColor="accent5"/>
          <w:left w:val="nil"/>
          <w:bottom w:val="nil"/>
          <w:right w:val="nil"/>
          <w:insideH w:val="nil"/>
          <w:insideV w:val="nil"/>
        </w:tcBorders>
        <w:shd w:val="clear" w:color="auto" w:fill="0072BC" w:themeFill="background1"/>
      </w:tcPr>
    </w:tblStylePr>
    <w:tblStylePr w:type="firstCol">
      <w:tblPr/>
      <w:tcPr>
        <w:tcBorders>
          <w:top w:val="nil"/>
          <w:left w:val="nil"/>
          <w:bottom w:val="nil"/>
          <w:right w:val="single" w:sz="8" w:space="0" w:color="5F5F5F" w:themeColor="accent5"/>
          <w:insideH w:val="nil"/>
          <w:insideV w:val="nil"/>
        </w:tcBorders>
        <w:shd w:val="clear" w:color="auto" w:fill="0072BC" w:themeFill="background1"/>
      </w:tcPr>
    </w:tblStylePr>
    <w:tblStylePr w:type="lastCol">
      <w:tblPr/>
      <w:tcPr>
        <w:tcBorders>
          <w:top w:val="nil"/>
          <w:left w:val="single" w:sz="8" w:space="0" w:color="5F5F5F" w:themeColor="accent5"/>
          <w:bottom w:val="nil"/>
          <w:right w:val="nil"/>
          <w:insideH w:val="nil"/>
          <w:insideV w:val="nil"/>
        </w:tcBorders>
        <w:shd w:val="clear" w:color="auto" w:fill="0072BC" w:themeFill="background1"/>
      </w:tcPr>
    </w:tblStylePr>
    <w:tblStylePr w:type="band1Vert">
      <w:tblPr/>
      <w:tcPr>
        <w:tcBorders>
          <w:left w:val="nil"/>
          <w:right w:val="nil"/>
          <w:insideH w:val="nil"/>
          <w:insideV w:val="nil"/>
        </w:tcBorders>
        <w:shd w:val="clear" w:color="auto" w:fill="D7D7D7" w:themeFill="accent5" w:themeFillTint="3F"/>
      </w:tcPr>
    </w:tblStylePr>
    <w:tblStylePr w:type="band1Horz">
      <w:tblPr/>
      <w:tcPr>
        <w:tcBorders>
          <w:top w:val="nil"/>
          <w:bottom w:val="nil"/>
          <w:insideH w:val="nil"/>
          <w:insideV w:val="nil"/>
        </w:tcBorders>
        <w:shd w:val="clear" w:color="auto" w:fill="D7D7D7" w:themeFill="accent5" w:themeFillTint="3F"/>
      </w:tcPr>
    </w:tblStylePr>
    <w:tblStylePr w:type="nwCell">
      <w:tblPr/>
      <w:tcPr>
        <w:shd w:val="clear" w:color="auto" w:fill="0072BC" w:themeFill="background1"/>
      </w:tcPr>
    </w:tblStylePr>
    <w:tblStylePr w:type="swCell">
      <w:tblPr/>
      <w:tcPr>
        <w:tcBorders>
          <w:top w:val="nil"/>
        </w:tcBorders>
      </w:tcPr>
    </w:tblStylePr>
  </w:style>
  <w:style w:type="table" w:styleId="MediumList2Accent6">
    <w:name w:val="Medium List 2 Accent 6"/>
    <w:basedOn w:val="TableNormal"/>
    <w:uiPriority w:val="66"/>
    <w:semiHidden/>
    <w:rsid w:val="00A00672"/>
    <w:rPr>
      <w:rFonts w:asciiTheme="majorHAnsi" w:eastAsiaTheme="majorEastAsia" w:hAnsiTheme="majorHAnsi" w:cstheme="majorBidi"/>
      <w:color w:val="000000" w:themeColor="text1"/>
      <w:sz w:val="24"/>
      <w:szCs w:val="24"/>
    </w:rPr>
    <w:tblPr>
      <w:tblStyleRowBandSize w:val="1"/>
      <w:tblStyleColBandSize w:val="1"/>
      <w:tblBorders>
        <w:top w:val="single" w:sz="8" w:space="0" w:color="4D4D4D" w:themeColor="accent6"/>
        <w:left w:val="single" w:sz="8" w:space="0" w:color="4D4D4D" w:themeColor="accent6"/>
        <w:bottom w:val="single" w:sz="8" w:space="0" w:color="4D4D4D" w:themeColor="accent6"/>
        <w:right w:val="single" w:sz="8" w:space="0" w:color="4D4D4D" w:themeColor="accent6"/>
      </w:tblBorders>
    </w:tblPr>
    <w:tblStylePr w:type="firstRow">
      <w:rPr>
        <w:sz w:val="24"/>
        <w:szCs w:val="24"/>
      </w:rPr>
      <w:tblPr/>
      <w:tcPr>
        <w:tcBorders>
          <w:top w:val="nil"/>
          <w:left w:val="nil"/>
          <w:bottom w:val="single" w:sz="24" w:space="0" w:color="4D4D4D" w:themeColor="accent6"/>
          <w:right w:val="nil"/>
          <w:insideH w:val="nil"/>
          <w:insideV w:val="nil"/>
        </w:tcBorders>
        <w:shd w:val="clear" w:color="auto" w:fill="0072BC" w:themeFill="background1"/>
      </w:tcPr>
    </w:tblStylePr>
    <w:tblStylePr w:type="lastRow">
      <w:tblPr/>
      <w:tcPr>
        <w:tcBorders>
          <w:top w:val="single" w:sz="8" w:space="0" w:color="4D4D4D" w:themeColor="accent6"/>
          <w:left w:val="nil"/>
          <w:bottom w:val="nil"/>
          <w:right w:val="nil"/>
          <w:insideH w:val="nil"/>
          <w:insideV w:val="nil"/>
        </w:tcBorders>
        <w:shd w:val="clear" w:color="auto" w:fill="0072BC" w:themeFill="background1"/>
      </w:tcPr>
    </w:tblStylePr>
    <w:tblStylePr w:type="firstCol">
      <w:tblPr/>
      <w:tcPr>
        <w:tcBorders>
          <w:top w:val="nil"/>
          <w:left w:val="nil"/>
          <w:bottom w:val="nil"/>
          <w:right w:val="single" w:sz="8" w:space="0" w:color="4D4D4D" w:themeColor="accent6"/>
          <w:insideH w:val="nil"/>
          <w:insideV w:val="nil"/>
        </w:tcBorders>
        <w:shd w:val="clear" w:color="auto" w:fill="0072BC" w:themeFill="background1"/>
      </w:tcPr>
    </w:tblStylePr>
    <w:tblStylePr w:type="lastCol">
      <w:tblPr/>
      <w:tcPr>
        <w:tcBorders>
          <w:top w:val="nil"/>
          <w:left w:val="single" w:sz="8" w:space="0" w:color="4D4D4D" w:themeColor="accent6"/>
          <w:bottom w:val="nil"/>
          <w:right w:val="nil"/>
          <w:insideH w:val="nil"/>
          <w:insideV w:val="nil"/>
        </w:tcBorders>
        <w:shd w:val="clear" w:color="auto" w:fill="0072BC" w:themeFill="background1"/>
      </w:tcPr>
    </w:tblStylePr>
    <w:tblStylePr w:type="band1Vert">
      <w:tblPr/>
      <w:tcPr>
        <w:tcBorders>
          <w:left w:val="nil"/>
          <w:right w:val="nil"/>
          <w:insideH w:val="nil"/>
          <w:insideV w:val="nil"/>
        </w:tcBorders>
        <w:shd w:val="clear" w:color="auto" w:fill="D3D3D3" w:themeFill="accent6" w:themeFillTint="3F"/>
      </w:tcPr>
    </w:tblStylePr>
    <w:tblStylePr w:type="band1Horz">
      <w:tblPr/>
      <w:tcPr>
        <w:tcBorders>
          <w:top w:val="nil"/>
          <w:bottom w:val="nil"/>
          <w:insideH w:val="nil"/>
          <w:insideV w:val="nil"/>
        </w:tcBorders>
        <w:shd w:val="clear" w:color="auto" w:fill="D3D3D3" w:themeFill="accent6" w:themeFillTint="3F"/>
      </w:tcPr>
    </w:tblStylePr>
    <w:tblStylePr w:type="nwCell">
      <w:tblPr/>
      <w:tcPr>
        <w:shd w:val="clear" w:color="auto" w:fill="0072BC" w:themeFill="background1"/>
      </w:tcPr>
    </w:tblStylePr>
    <w:tblStylePr w:type="swCell">
      <w:tblPr/>
      <w:tcPr>
        <w:tcBorders>
          <w:top w:val="nil"/>
        </w:tcBorders>
      </w:tcPr>
    </w:tblStylePr>
  </w:style>
  <w:style w:type="table" w:styleId="MediumShading1">
    <w:name w:val="Medium Shading 1"/>
    <w:basedOn w:val="TableNormal"/>
    <w:uiPriority w:val="63"/>
    <w:semiHidden/>
    <w:rsid w:val="00A00672"/>
    <w:rPr>
      <w:sz w:val="24"/>
      <w:szCs w:val="24"/>
    </w:rPr>
    <w:tblPr>
      <w:tblStyleRowBandSize w:val="1"/>
      <w:tblStyleColBandSize w:val="1"/>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Pr>
    <w:tblStylePr w:type="firstRow">
      <w:pPr>
        <w:spacing w:before="0" w:after="0" w:line="240" w:lineRule="auto"/>
      </w:pPr>
      <w:rPr>
        <w:b/>
        <w:bCs/>
        <w:color w:val="0072BC"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semiHidden/>
    <w:rsid w:val="00A00672"/>
    <w:rPr>
      <w:sz w:val="24"/>
      <w:szCs w:val="24"/>
    </w:rPr>
    <w:tblPr>
      <w:tblStyleRowBandSize w:val="1"/>
      <w:tblStyleColBandSize w:val="1"/>
      <w:tblBorders>
        <w:top w:val="single" w:sz="8" w:space="0" w:color="0D9FFF" w:themeColor="accent1" w:themeTint="BF"/>
        <w:left w:val="single" w:sz="8" w:space="0" w:color="0D9FFF" w:themeColor="accent1" w:themeTint="BF"/>
        <w:bottom w:val="single" w:sz="8" w:space="0" w:color="0D9FFF" w:themeColor="accent1" w:themeTint="BF"/>
        <w:right w:val="single" w:sz="8" w:space="0" w:color="0D9FFF" w:themeColor="accent1" w:themeTint="BF"/>
        <w:insideH w:val="single" w:sz="8" w:space="0" w:color="0D9FFF" w:themeColor="accent1" w:themeTint="BF"/>
      </w:tblBorders>
    </w:tblPr>
    <w:tblStylePr w:type="firstRow">
      <w:pPr>
        <w:spacing w:before="0" w:after="0" w:line="240" w:lineRule="auto"/>
      </w:pPr>
      <w:rPr>
        <w:b/>
        <w:bCs/>
        <w:color w:val="0072BC" w:themeColor="background1"/>
      </w:rPr>
      <w:tblPr/>
      <w:tcPr>
        <w:tcBorders>
          <w:top w:val="single" w:sz="8" w:space="0" w:color="0D9FFF" w:themeColor="accent1" w:themeTint="BF"/>
          <w:left w:val="single" w:sz="8" w:space="0" w:color="0D9FFF" w:themeColor="accent1" w:themeTint="BF"/>
          <w:bottom w:val="single" w:sz="8" w:space="0" w:color="0D9FFF" w:themeColor="accent1" w:themeTint="BF"/>
          <w:right w:val="single" w:sz="8" w:space="0" w:color="0D9FFF" w:themeColor="accent1" w:themeTint="BF"/>
          <w:insideH w:val="nil"/>
          <w:insideV w:val="nil"/>
        </w:tcBorders>
        <w:shd w:val="clear" w:color="auto" w:fill="0072BC" w:themeFill="accent1"/>
      </w:tcPr>
    </w:tblStylePr>
    <w:tblStylePr w:type="lastRow">
      <w:pPr>
        <w:spacing w:before="0" w:after="0" w:line="240" w:lineRule="auto"/>
      </w:pPr>
      <w:rPr>
        <w:b/>
        <w:bCs/>
      </w:rPr>
      <w:tblPr/>
      <w:tcPr>
        <w:tcBorders>
          <w:top w:val="double" w:sz="6" w:space="0" w:color="0D9FFF" w:themeColor="accent1" w:themeTint="BF"/>
          <w:left w:val="single" w:sz="8" w:space="0" w:color="0D9FFF" w:themeColor="accent1" w:themeTint="BF"/>
          <w:bottom w:val="single" w:sz="8" w:space="0" w:color="0D9FFF" w:themeColor="accent1" w:themeTint="BF"/>
          <w:right w:val="single" w:sz="8" w:space="0" w:color="0D9FFF" w:themeColor="accent1" w:themeTint="BF"/>
          <w:insideH w:val="nil"/>
          <w:insideV w:val="nil"/>
        </w:tcBorders>
      </w:tcPr>
    </w:tblStylePr>
    <w:tblStylePr w:type="firstCol">
      <w:rPr>
        <w:b/>
        <w:bCs/>
      </w:rPr>
    </w:tblStylePr>
    <w:tblStylePr w:type="lastCol">
      <w:rPr>
        <w:b/>
        <w:bCs/>
      </w:rPr>
    </w:tblStylePr>
    <w:tblStylePr w:type="band1Vert">
      <w:tblPr/>
      <w:tcPr>
        <w:shd w:val="clear" w:color="auto" w:fill="AFDFFF" w:themeFill="accent1" w:themeFillTint="3F"/>
      </w:tcPr>
    </w:tblStylePr>
    <w:tblStylePr w:type="band1Horz">
      <w:tblPr/>
      <w:tcPr>
        <w:tcBorders>
          <w:insideH w:val="nil"/>
          <w:insideV w:val="nil"/>
        </w:tcBorders>
        <w:shd w:val="clear" w:color="auto" w:fill="AFDFFF"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semiHidden/>
    <w:rsid w:val="00A00672"/>
    <w:rPr>
      <w:sz w:val="24"/>
      <w:szCs w:val="24"/>
    </w:rPr>
    <w:tblPr>
      <w:tblStyleRowBandSize w:val="1"/>
      <w:tblStyleColBandSize w:val="1"/>
      <w:tblBorders>
        <w:top w:val="single" w:sz="8" w:space="0" w:color="FF1010" w:themeColor="accent2" w:themeTint="BF"/>
        <w:left w:val="single" w:sz="8" w:space="0" w:color="FF1010" w:themeColor="accent2" w:themeTint="BF"/>
        <w:bottom w:val="single" w:sz="8" w:space="0" w:color="FF1010" w:themeColor="accent2" w:themeTint="BF"/>
        <w:right w:val="single" w:sz="8" w:space="0" w:color="FF1010" w:themeColor="accent2" w:themeTint="BF"/>
        <w:insideH w:val="single" w:sz="8" w:space="0" w:color="FF1010" w:themeColor="accent2" w:themeTint="BF"/>
      </w:tblBorders>
    </w:tblPr>
    <w:tblStylePr w:type="firstRow">
      <w:pPr>
        <w:spacing w:before="0" w:after="0" w:line="240" w:lineRule="auto"/>
      </w:pPr>
      <w:rPr>
        <w:b/>
        <w:bCs/>
        <w:color w:val="0072BC" w:themeColor="background1"/>
      </w:rPr>
      <w:tblPr/>
      <w:tcPr>
        <w:tcBorders>
          <w:top w:val="single" w:sz="8" w:space="0" w:color="FF1010" w:themeColor="accent2" w:themeTint="BF"/>
          <w:left w:val="single" w:sz="8" w:space="0" w:color="FF1010" w:themeColor="accent2" w:themeTint="BF"/>
          <w:bottom w:val="single" w:sz="8" w:space="0" w:color="FF1010" w:themeColor="accent2" w:themeTint="BF"/>
          <w:right w:val="single" w:sz="8" w:space="0" w:color="FF1010" w:themeColor="accent2" w:themeTint="BF"/>
          <w:insideH w:val="nil"/>
          <w:insideV w:val="nil"/>
        </w:tcBorders>
        <w:shd w:val="clear" w:color="auto" w:fill="C00000" w:themeFill="accent2"/>
      </w:tcPr>
    </w:tblStylePr>
    <w:tblStylePr w:type="lastRow">
      <w:pPr>
        <w:spacing w:before="0" w:after="0" w:line="240" w:lineRule="auto"/>
      </w:pPr>
      <w:rPr>
        <w:b/>
        <w:bCs/>
      </w:rPr>
      <w:tblPr/>
      <w:tcPr>
        <w:tcBorders>
          <w:top w:val="double" w:sz="6" w:space="0" w:color="FF1010" w:themeColor="accent2" w:themeTint="BF"/>
          <w:left w:val="single" w:sz="8" w:space="0" w:color="FF1010" w:themeColor="accent2" w:themeTint="BF"/>
          <w:bottom w:val="single" w:sz="8" w:space="0" w:color="FF1010" w:themeColor="accent2" w:themeTint="BF"/>
          <w:right w:val="single" w:sz="8" w:space="0" w:color="FF1010" w:themeColor="accent2" w:themeTint="BF"/>
          <w:insideH w:val="nil"/>
          <w:insideV w:val="nil"/>
        </w:tcBorders>
      </w:tcPr>
    </w:tblStylePr>
    <w:tblStylePr w:type="firstCol">
      <w:rPr>
        <w:b/>
        <w:bCs/>
      </w:rPr>
    </w:tblStylePr>
    <w:tblStylePr w:type="lastCol">
      <w:rPr>
        <w:b/>
        <w:bCs/>
      </w:rPr>
    </w:tblStylePr>
    <w:tblStylePr w:type="band1Vert">
      <w:tblPr/>
      <w:tcPr>
        <w:shd w:val="clear" w:color="auto" w:fill="FFB0B0" w:themeFill="accent2" w:themeFillTint="3F"/>
      </w:tcPr>
    </w:tblStylePr>
    <w:tblStylePr w:type="band1Horz">
      <w:tblPr/>
      <w:tcPr>
        <w:tcBorders>
          <w:insideH w:val="nil"/>
          <w:insideV w:val="nil"/>
        </w:tcBorders>
        <w:shd w:val="clear" w:color="auto" w:fill="FFB0B0"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semiHidden/>
    <w:rsid w:val="00A00672"/>
    <w:rPr>
      <w:sz w:val="24"/>
      <w:szCs w:val="24"/>
    </w:rPr>
    <w:tblPr>
      <w:tblStyleRowBandSize w:val="1"/>
      <w:tblStyleColBandSize w:val="1"/>
      <w:tblBorders>
        <w:top w:val="single" w:sz="8" w:space="0" w:color="878787" w:themeColor="accent3" w:themeTint="BF"/>
        <w:left w:val="single" w:sz="8" w:space="0" w:color="878787" w:themeColor="accent3" w:themeTint="BF"/>
        <w:bottom w:val="single" w:sz="8" w:space="0" w:color="878787" w:themeColor="accent3" w:themeTint="BF"/>
        <w:right w:val="single" w:sz="8" w:space="0" w:color="878787" w:themeColor="accent3" w:themeTint="BF"/>
        <w:insideH w:val="single" w:sz="8" w:space="0" w:color="878787" w:themeColor="accent3" w:themeTint="BF"/>
      </w:tblBorders>
    </w:tblPr>
    <w:tblStylePr w:type="firstRow">
      <w:pPr>
        <w:spacing w:before="0" w:after="0" w:line="240" w:lineRule="auto"/>
      </w:pPr>
      <w:rPr>
        <w:b/>
        <w:bCs/>
        <w:color w:val="0072BC" w:themeColor="background1"/>
      </w:rPr>
      <w:tblPr/>
      <w:tcPr>
        <w:tcBorders>
          <w:top w:val="single" w:sz="8" w:space="0" w:color="878787" w:themeColor="accent3" w:themeTint="BF"/>
          <w:left w:val="single" w:sz="8" w:space="0" w:color="878787" w:themeColor="accent3" w:themeTint="BF"/>
          <w:bottom w:val="single" w:sz="8" w:space="0" w:color="878787" w:themeColor="accent3" w:themeTint="BF"/>
          <w:right w:val="single" w:sz="8" w:space="0" w:color="878787" w:themeColor="accent3" w:themeTint="BF"/>
          <w:insideH w:val="nil"/>
          <w:insideV w:val="nil"/>
        </w:tcBorders>
        <w:shd w:val="clear" w:color="auto" w:fill="5F5F5F" w:themeFill="accent3"/>
      </w:tcPr>
    </w:tblStylePr>
    <w:tblStylePr w:type="lastRow">
      <w:pPr>
        <w:spacing w:before="0" w:after="0" w:line="240" w:lineRule="auto"/>
      </w:pPr>
      <w:rPr>
        <w:b/>
        <w:bCs/>
      </w:rPr>
      <w:tblPr/>
      <w:tcPr>
        <w:tcBorders>
          <w:top w:val="double" w:sz="6" w:space="0" w:color="878787" w:themeColor="accent3" w:themeTint="BF"/>
          <w:left w:val="single" w:sz="8" w:space="0" w:color="878787" w:themeColor="accent3" w:themeTint="BF"/>
          <w:bottom w:val="single" w:sz="8" w:space="0" w:color="878787" w:themeColor="accent3" w:themeTint="BF"/>
          <w:right w:val="single" w:sz="8" w:space="0" w:color="878787" w:themeColor="accent3" w:themeTint="BF"/>
          <w:insideH w:val="nil"/>
          <w:insideV w:val="nil"/>
        </w:tcBorders>
      </w:tcPr>
    </w:tblStylePr>
    <w:tblStylePr w:type="firstCol">
      <w:rPr>
        <w:b/>
        <w:bCs/>
      </w:rPr>
    </w:tblStylePr>
    <w:tblStylePr w:type="lastCol">
      <w:rPr>
        <w:b/>
        <w:bCs/>
      </w:rPr>
    </w:tblStylePr>
    <w:tblStylePr w:type="band1Vert">
      <w:tblPr/>
      <w:tcPr>
        <w:shd w:val="clear" w:color="auto" w:fill="D7D7D7" w:themeFill="accent3" w:themeFillTint="3F"/>
      </w:tcPr>
    </w:tblStylePr>
    <w:tblStylePr w:type="band1Horz">
      <w:tblPr/>
      <w:tcPr>
        <w:tcBorders>
          <w:insideH w:val="nil"/>
          <w:insideV w:val="nil"/>
        </w:tcBorders>
        <w:shd w:val="clear" w:color="auto" w:fill="D7D7D7"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semiHidden/>
    <w:rsid w:val="00A00672"/>
    <w:rPr>
      <w:sz w:val="24"/>
      <w:szCs w:val="24"/>
    </w:rPr>
    <w:tblPr>
      <w:tblStyleRowBandSize w:val="1"/>
      <w:tblStyleColBandSize w:val="1"/>
      <w:tblBorders>
        <w:top w:val="single" w:sz="8" w:space="0" w:color="B0B0B0" w:themeColor="accent4" w:themeTint="BF"/>
        <w:left w:val="single" w:sz="8" w:space="0" w:color="B0B0B0" w:themeColor="accent4" w:themeTint="BF"/>
        <w:bottom w:val="single" w:sz="8" w:space="0" w:color="B0B0B0" w:themeColor="accent4" w:themeTint="BF"/>
        <w:right w:val="single" w:sz="8" w:space="0" w:color="B0B0B0" w:themeColor="accent4" w:themeTint="BF"/>
        <w:insideH w:val="single" w:sz="8" w:space="0" w:color="B0B0B0" w:themeColor="accent4" w:themeTint="BF"/>
      </w:tblBorders>
    </w:tblPr>
    <w:tblStylePr w:type="firstRow">
      <w:pPr>
        <w:spacing w:before="0" w:after="0" w:line="240" w:lineRule="auto"/>
      </w:pPr>
      <w:rPr>
        <w:b/>
        <w:bCs/>
        <w:color w:val="0072BC" w:themeColor="background1"/>
      </w:rPr>
      <w:tblPr/>
      <w:tcPr>
        <w:tcBorders>
          <w:top w:val="single" w:sz="8" w:space="0" w:color="B0B0B0" w:themeColor="accent4" w:themeTint="BF"/>
          <w:left w:val="single" w:sz="8" w:space="0" w:color="B0B0B0" w:themeColor="accent4" w:themeTint="BF"/>
          <w:bottom w:val="single" w:sz="8" w:space="0" w:color="B0B0B0" w:themeColor="accent4" w:themeTint="BF"/>
          <w:right w:val="single" w:sz="8" w:space="0" w:color="B0B0B0" w:themeColor="accent4" w:themeTint="BF"/>
          <w:insideH w:val="nil"/>
          <w:insideV w:val="nil"/>
        </w:tcBorders>
        <w:shd w:val="clear" w:color="auto" w:fill="969696" w:themeFill="accent4"/>
      </w:tcPr>
    </w:tblStylePr>
    <w:tblStylePr w:type="lastRow">
      <w:pPr>
        <w:spacing w:before="0" w:after="0" w:line="240" w:lineRule="auto"/>
      </w:pPr>
      <w:rPr>
        <w:b/>
        <w:bCs/>
      </w:rPr>
      <w:tblPr/>
      <w:tcPr>
        <w:tcBorders>
          <w:top w:val="double" w:sz="6" w:space="0" w:color="B0B0B0" w:themeColor="accent4" w:themeTint="BF"/>
          <w:left w:val="single" w:sz="8" w:space="0" w:color="B0B0B0" w:themeColor="accent4" w:themeTint="BF"/>
          <w:bottom w:val="single" w:sz="8" w:space="0" w:color="B0B0B0" w:themeColor="accent4" w:themeTint="BF"/>
          <w:right w:val="single" w:sz="8" w:space="0" w:color="B0B0B0" w:themeColor="accent4" w:themeTint="BF"/>
          <w:insideH w:val="nil"/>
          <w:insideV w:val="nil"/>
        </w:tcBorders>
      </w:tcPr>
    </w:tblStylePr>
    <w:tblStylePr w:type="firstCol">
      <w:rPr>
        <w:b/>
        <w:bCs/>
      </w:rPr>
    </w:tblStylePr>
    <w:tblStylePr w:type="lastCol">
      <w:rPr>
        <w:b/>
        <w:bCs/>
      </w:rPr>
    </w:tblStylePr>
    <w:tblStylePr w:type="band1Vert">
      <w:tblPr/>
      <w:tcPr>
        <w:shd w:val="clear" w:color="auto" w:fill="E5E5E5" w:themeFill="accent4" w:themeFillTint="3F"/>
      </w:tcPr>
    </w:tblStylePr>
    <w:tblStylePr w:type="band1Horz">
      <w:tblPr/>
      <w:tcPr>
        <w:tcBorders>
          <w:insideH w:val="nil"/>
          <w:insideV w:val="nil"/>
        </w:tcBorders>
        <w:shd w:val="clear" w:color="auto" w:fill="E5E5E5"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semiHidden/>
    <w:rsid w:val="00A00672"/>
    <w:rPr>
      <w:sz w:val="24"/>
      <w:szCs w:val="24"/>
    </w:rPr>
    <w:tblPr>
      <w:tblStyleRowBandSize w:val="1"/>
      <w:tblStyleColBandSize w:val="1"/>
      <w:tblBorders>
        <w:top w:val="single" w:sz="8" w:space="0" w:color="878787" w:themeColor="accent5" w:themeTint="BF"/>
        <w:left w:val="single" w:sz="8" w:space="0" w:color="878787" w:themeColor="accent5" w:themeTint="BF"/>
        <w:bottom w:val="single" w:sz="8" w:space="0" w:color="878787" w:themeColor="accent5" w:themeTint="BF"/>
        <w:right w:val="single" w:sz="8" w:space="0" w:color="878787" w:themeColor="accent5" w:themeTint="BF"/>
        <w:insideH w:val="single" w:sz="8" w:space="0" w:color="878787" w:themeColor="accent5" w:themeTint="BF"/>
      </w:tblBorders>
    </w:tblPr>
    <w:tblStylePr w:type="firstRow">
      <w:pPr>
        <w:spacing w:before="0" w:after="0" w:line="240" w:lineRule="auto"/>
      </w:pPr>
      <w:rPr>
        <w:b/>
        <w:bCs/>
        <w:color w:val="0072BC" w:themeColor="background1"/>
      </w:rPr>
      <w:tblPr/>
      <w:tcPr>
        <w:tcBorders>
          <w:top w:val="single" w:sz="8" w:space="0" w:color="878787" w:themeColor="accent5" w:themeTint="BF"/>
          <w:left w:val="single" w:sz="8" w:space="0" w:color="878787" w:themeColor="accent5" w:themeTint="BF"/>
          <w:bottom w:val="single" w:sz="8" w:space="0" w:color="878787" w:themeColor="accent5" w:themeTint="BF"/>
          <w:right w:val="single" w:sz="8" w:space="0" w:color="878787" w:themeColor="accent5" w:themeTint="BF"/>
          <w:insideH w:val="nil"/>
          <w:insideV w:val="nil"/>
        </w:tcBorders>
        <w:shd w:val="clear" w:color="auto" w:fill="5F5F5F" w:themeFill="accent5"/>
      </w:tcPr>
    </w:tblStylePr>
    <w:tblStylePr w:type="lastRow">
      <w:pPr>
        <w:spacing w:before="0" w:after="0" w:line="240" w:lineRule="auto"/>
      </w:pPr>
      <w:rPr>
        <w:b/>
        <w:bCs/>
      </w:rPr>
      <w:tblPr/>
      <w:tcPr>
        <w:tcBorders>
          <w:top w:val="double" w:sz="6" w:space="0" w:color="878787" w:themeColor="accent5" w:themeTint="BF"/>
          <w:left w:val="single" w:sz="8" w:space="0" w:color="878787" w:themeColor="accent5" w:themeTint="BF"/>
          <w:bottom w:val="single" w:sz="8" w:space="0" w:color="878787" w:themeColor="accent5" w:themeTint="BF"/>
          <w:right w:val="single" w:sz="8" w:space="0" w:color="878787" w:themeColor="accent5" w:themeTint="BF"/>
          <w:insideH w:val="nil"/>
          <w:insideV w:val="nil"/>
        </w:tcBorders>
      </w:tcPr>
    </w:tblStylePr>
    <w:tblStylePr w:type="firstCol">
      <w:rPr>
        <w:b/>
        <w:bCs/>
      </w:rPr>
    </w:tblStylePr>
    <w:tblStylePr w:type="lastCol">
      <w:rPr>
        <w:b/>
        <w:bCs/>
      </w:rPr>
    </w:tblStylePr>
    <w:tblStylePr w:type="band1Vert">
      <w:tblPr/>
      <w:tcPr>
        <w:shd w:val="clear" w:color="auto" w:fill="D7D7D7" w:themeFill="accent5" w:themeFillTint="3F"/>
      </w:tcPr>
    </w:tblStylePr>
    <w:tblStylePr w:type="band1Horz">
      <w:tblPr/>
      <w:tcPr>
        <w:tcBorders>
          <w:insideH w:val="nil"/>
          <w:insideV w:val="nil"/>
        </w:tcBorders>
        <w:shd w:val="clear" w:color="auto" w:fill="D7D7D7"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semiHidden/>
    <w:rsid w:val="00A00672"/>
    <w:rPr>
      <w:sz w:val="24"/>
      <w:szCs w:val="24"/>
    </w:rPr>
    <w:tblPr>
      <w:tblStyleRowBandSize w:val="1"/>
      <w:tblStyleColBandSize w:val="1"/>
      <w:tblBorders>
        <w:top w:val="single" w:sz="8" w:space="0" w:color="797979" w:themeColor="accent6" w:themeTint="BF"/>
        <w:left w:val="single" w:sz="8" w:space="0" w:color="797979" w:themeColor="accent6" w:themeTint="BF"/>
        <w:bottom w:val="single" w:sz="8" w:space="0" w:color="797979" w:themeColor="accent6" w:themeTint="BF"/>
        <w:right w:val="single" w:sz="8" w:space="0" w:color="797979" w:themeColor="accent6" w:themeTint="BF"/>
        <w:insideH w:val="single" w:sz="8" w:space="0" w:color="797979" w:themeColor="accent6" w:themeTint="BF"/>
      </w:tblBorders>
    </w:tblPr>
    <w:tblStylePr w:type="firstRow">
      <w:pPr>
        <w:spacing w:before="0" w:after="0" w:line="240" w:lineRule="auto"/>
      </w:pPr>
      <w:rPr>
        <w:b/>
        <w:bCs/>
        <w:color w:val="0072BC" w:themeColor="background1"/>
      </w:rPr>
      <w:tblPr/>
      <w:tcPr>
        <w:tcBorders>
          <w:top w:val="single" w:sz="8" w:space="0" w:color="797979" w:themeColor="accent6" w:themeTint="BF"/>
          <w:left w:val="single" w:sz="8" w:space="0" w:color="797979" w:themeColor="accent6" w:themeTint="BF"/>
          <w:bottom w:val="single" w:sz="8" w:space="0" w:color="797979" w:themeColor="accent6" w:themeTint="BF"/>
          <w:right w:val="single" w:sz="8" w:space="0" w:color="797979" w:themeColor="accent6" w:themeTint="BF"/>
          <w:insideH w:val="nil"/>
          <w:insideV w:val="nil"/>
        </w:tcBorders>
        <w:shd w:val="clear" w:color="auto" w:fill="4D4D4D" w:themeFill="accent6"/>
      </w:tcPr>
    </w:tblStylePr>
    <w:tblStylePr w:type="lastRow">
      <w:pPr>
        <w:spacing w:before="0" w:after="0" w:line="240" w:lineRule="auto"/>
      </w:pPr>
      <w:rPr>
        <w:b/>
        <w:bCs/>
      </w:rPr>
      <w:tblPr/>
      <w:tcPr>
        <w:tcBorders>
          <w:top w:val="double" w:sz="6" w:space="0" w:color="797979" w:themeColor="accent6" w:themeTint="BF"/>
          <w:left w:val="single" w:sz="8" w:space="0" w:color="797979" w:themeColor="accent6" w:themeTint="BF"/>
          <w:bottom w:val="single" w:sz="8" w:space="0" w:color="797979" w:themeColor="accent6" w:themeTint="BF"/>
          <w:right w:val="single" w:sz="8" w:space="0" w:color="797979" w:themeColor="accent6" w:themeTint="BF"/>
          <w:insideH w:val="nil"/>
          <w:insideV w:val="nil"/>
        </w:tcBorders>
      </w:tcPr>
    </w:tblStylePr>
    <w:tblStylePr w:type="firstCol">
      <w:rPr>
        <w:b/>
        <w:bCs/>
      </w:rPr>
    </w:tblStylePr>
    <w:tblStylePr w:type="lastCol">
      <w:rPr>
        <w:b/>
        <w:bCs/>
      </w:rPr>
    </w:tblStylePr>
    <w:tblStylePr w:type="band1Vert">
      <w:tblPr/>
      <w:tcPr>
        <w:shd w:val="clear" w:color="auto" w:fill="D3D3D3" w:themeFill="accent6" w:themeFillTint="3F"/>
      </w:tcPr>
    </w:tblStylePr>
    <w:tblStylePr w:type="band1Horz">
      <w:tblPr/>
      <w:tcPr>
        <w:tcBorders>
          <w:insideH w:val="nil"/>
          <w:insideV w:val="nil"/>
        </w:tcBorders>
        <w:shd w:val="clear" w:color="auto" w:fill="D3D3D3"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semiHidden/>
    <w:rsid w:val="00A00672"/>
    <w:rPr>
      <w:sz w:val="24"/>
      <w:szCs w:val="24"/>
    </w:r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0072BC"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0072BC" w:themeFill="background1"/>
      </w:tcPr>
    </w:tblStylePr>
    <w:tblStylePr w:type="firstCol">
      <w:rPr>
        <w:b/>
        <w:bCs/>
        <w:color w:val="0072BC"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0072BC"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00609F" w:themeFill="background1" w:themeFillShade="D8"/>
      </w:tcPr>
    </w:tblStylePr>
    <w:tblStylePr w:type="band1Horz">
      <w:tblPr/>
      <w:tcPr>
        <w:shd w:val="clear" w:color="auto" w:fill="00609F"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0072BC"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semiHidden/>
    <w:rsid w:val="00A00672"/>
    <w:rPr>
      <w:sz w:val="24"/>
      <w:szCs w:val="24"/>
    </w:r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0072BC" w:themeColor="background1"/>
      </w:rPr>
      <w:tblPr/>
      <w:tcPr>
        <w:tcBorders>
          <w:top w:val="single" w:sz="18" w:space="0" w:color="auto"/>
          <w:left w:val="nil"/>
          <w:bottom w:val="single" w:sz="18" w:space="0" w:color="auto"/>
          <w:right w:val="nil"/>
          <w:insideH w:val="nil"/>
          <w:insideV w:val="nil"/>
        </w:tcBorders>
        <w:shd w:val="clear" w:color="auto" w:fill="0072BC"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0072BC" w:themeFill="background1"/>
      </w:tcPr>
    </w:tblStylePr>
    <w:tblStylePr w:type="firstCol">
      <w:rPr>
        <w:b/>
        <w:bCs/>
        <w:color w:val="0072BC" w:themeColor="background1"/>
      </w:rPr>
      <w:tblPr/>
      <w:tcPr>
        <w:tcBorders>
          <w:top w:val="nil"/>
          <w:left w:val="nil"/>
          <w:bottom w:val="single" w:sz="18" w:space="0" w:color="auto"/>
          <w:right w:val="nil"/>
          <w:insideH w:val="nil"/>
          <w:insideV w:val="nil"/>
        </w:tcBorders>
        <w:shd w:val="clear" w:color="auto" w:fill="0072BC" w:themeFill="accent1"/>
      </w:tcPr>
    </w:tblStylePr>
    <w:tblStylePr w:type="lastCol">
      <w:rPr>
        <w:b/>
        <w:bCs/>
        <w:color w:val="0072BC" w:themeColor="background1"/>
      </w:rPr>
      <w:tblPr/>
      <w:tcPr>
        <w:tcBorders>
          <w:left w:val="nil"/>
          <w:right w:val="nil"/>
          <w:insideH w:val="nil"/>
          <w:insideV w:val="nil"/>
        </w:tcBorders>
        <w:shd w:val="clear" w:color="auto" w:fill="0072BC" w:themeFill="accent1"/>
      </w:tcPr>
    </w:tblStylePr>
    <w:tblStylePr w:type="band1Vert">
      <w:tblPr/>
      <w:tcPr>
        <w:tcBorders>
          <w:left w:val="nil"/>
          <w:right w:val="nil"/>
          <w:insideH w:val="nil"/>
          <w:insideV w:val="nil"/>
        </w:tcBorders>
        <w:shd w:val="clear" w:color="auto" w:fill="00609F" w:themeFill="background1" w:themeFillShade="D8"/>
      </w:tcPr>
    </w:tblStylePr>
    <w:tblStylePr w:type="band1Horz">
      <w:tblPr/>
      <w:tcPr>
        <w:shd w:val="clear" w:color="auto" w:fill="00609F"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0072BC"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semiHidden/>
    <w:rsid w:val="00A00672"/>
    <w:rPr>
      <w:sz w:val="24"/>
      <w:szCs w:val="24"/>
    </w:r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0072BC" w:themeColor="background1"/>
      </w:rPr>
      <w:tblPr/>
      <w:tcPr>
        <w:tcBorders>
          <w:top w:val="single" w:sz="18" w:space="0" w:color="auto"/>
          <w:left w:val="nil"/>
          <w:bottom w:val="single" w:sz="18" w:space="0" w:color="auto"/>
          <w:right w:val="nil"/>
          <w:insideH w:val="nil"/>
          <w:insideV w:val="nil"/>
        </w:tcBorders>
        <w:shd w:val="clear" w:color="auto" w:fill="C00000"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0072BC" w:themeFill="background1"/>
      </w:tcPr>
    </w:tblStylePr>
    <w:tblStylePr w:type="firstCol">
      <w:rPr>
        <w:b/>
        <w:bCs/>
        <w:color w:val="0072BC" w:themeColor="background1"/>
      </w:rPr>
      <w:tblPr/>
      <w:tcPr>
        <w:tcBorders>
          <w:top w:val="nil"/>
          <w:left w:val="nil"/>
          <w:bottom w:val="single" w:sz="18" w:space="0" w:color="auto"/>
          <w:right w:val="nil"/>
          <w:insideH w:val="nil"/>
          <w:insideV w:val="nil"/>
        </w:tcBorders>
        <w:shd w:val="clear" w:color="auto" w:fill="C00000" w:themeFill="accent2"/>
      </w:tcPr>
    </w:tblStylePr>
    <w:tblStylePr w:type="lastCol">
      <w:rPr>
        <w:b/>
        <w:bCs/>
        <w:color w:val="0072BC" w:themeColor="background1"/>
      </w:rPr>
      <w:tblPr/>
      <w:tcPr>
        <w:tcBorders>
          <w:left w:val="nil"/>
          <w:right w:val="nil"/>
          <w:insideH w:val="nil"/>
          <w:insideV w:val="nil"/>
        </w:tcBorders>
        <w:shd w:val="clear" w:color="auto" w:fill="C00000" w:themeFill="accent2"/>
      </w:tcPr>
    </w:tblStylePr>
    <w:tblStylePr w:type="band1Vert">
      <w:tblPr/>
      <w:tcPr>
        <w:tcBorders>
          <w:left w:val="nil"/>
          <w:right w:val="nil"/>
          <w:insideH w:val="nil"/>
          <w:insideV w:val="nil"/>
        </w:tcBorders>
        <w:shd w:val="clear" w:color="auto" w:fill="00609F" w:themeFill="background1" w:themeFillShade="D8"/>
      </w:tcPr>
    </w:tblStylePr>
    <w:tblStylePr w:type="band1Horz">
      <w:tblPr/>
      <w:tcPr>
        <w:shd w:val="clear" w:color="auto" w:fill="00609F"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0072BC"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semiHidden/>
    <w:rsid w:val="00A00672"/>
    <w:rPr>
      <w:sz w:val="24"/>
      <w:szCs w:val="24"/>
    </w:r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0072BC" w:themeColor="background1"/>
      </w:rPr>
      <w:tblPr/>
      <w:tcPr>
        <w:tcBorders>
          <w:top w:val="single" w:sz="18" w:space="0" w:color="auto"/>
          <w:left w:val="nil"/>
          <w:bottom w:val="single" w:sz="18" w:space="0" w:color="auto"/>
          <w:right w:val="nil"/>
          <w:insideH w:val="nil"/>
          <w:insideV w:val="nil"/>
        </w:tcBorders>
        <w:shd w:val="clear" w:color="auto" w:fill="5F5F5F"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0072BC" w:themeFill="background1"/>
      </w:tcPr>
    </w:tblStylePr>
    <w:tblStylePr w:type="firstCol">
      <w:rPr>
        <w:b/>
        <w:bCs/>
        <w:color w:val="0072BC" w:themeColor="background1"/>
      </w:rPr>
      <w:tblPr/>
      <w:tcPr>
        <w:tcBorders>
          <w:top w:val="nil"/>
          <w:left w:val="nil"/>
          <w:bottom w:val="single" w:sz="18" w:space="0" w:color="auto"/>
          <w:right w:val="nil"/>
          <w:insideH w:val="nil"/>
          <w:insideV w:val="nil"/>
        </w:tcBorders>
        <w:shd w:val="clear" w:color="auto" w:fill="5F5F5F" w:themeFill="accent3"/>
      </w:tcPr>
    </w:tblStylePr>
    <w:tblStylePr w:type="lastCol">
      <w:rPr>
        <w:b/>
        <w:bCs/>
        <w:color w:val="0072BC" w:themeColor="background1"/>
      </w:rPr>
      <w:tblPr/>
      <w:tcPr>
        <w:tcBorders>
          <w:left w:val="nil"/>
          <w:right w:val="nil"/>
          <w:insideH w:val="nil"/>
          <w:insideV w:val="nil"/>
        </w:tcBorders>
        <w:shd w:val="clear" w:color="auto" w:fill="5F5F5F" w:themeFill="accent3"/>
      </w:tcPr>
    </w:tblStylePr>
    <w:tblStylePr w:type="band1Vert">
      <w:tblPr/>
      <w:tcPr>
        <w:tcBorders>
          <w:left w:val="nil"/>
          <w:right w:val="nil"/>
          <w:insideH w:val="nil"/>
          <w:insideV w:val="nil"/>
        </w:tcBorders>
        <w:shd w:val="clear" w:color="auto" w:fill="00609F" w:themeFill="background1" w:themeFillShade="D8"/>
      </w:tcPr>
    </w:tblStylePr>
    <w:tblStylePr w:type="band1Horz">
      <w:tblPr/>
      <w:tcPr>
        <w:shd w:val="clear" w:color="auto" w:fill="00609F"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0072BC"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semiHidden/>
    <w:rsid w:val="00A00672"/>
    <w:rPr>
      <w:sz w:val="24"/>
      <w:szCs w:val="24"/>
    </w:r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0072BC" w:themeColor="background1"/>
      </w:rPr>
      <w:tblPr/>
      <w:tcPr>
        <w:tcBorders>
          <w:top w:val="single" w:sz="18" w:space="0" w:color="auto"/>
          <w:left w:val="nil"/>
          <w:bottom w:val="single" w:sz="18" w:space="0" w:color="auto"/>
          <w:right w:val="nil"/>
          <w:insideH w:val="nil"/>
          <w:insideV w:val="nil"/>
        </w:tcBorders>
        <w:shd w:val="clear" w:color="auto" w:fill="969696"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0072BC" w:themeFill="background1"/>
      </w:tcPr>
    </w:tblStylePr>
    <w:tblStylePr w:type="firstCol">
      <w:rPr>
        <w:b/>
        <w:bCs/>
        <w:color w:val="0072BC" w:themeColor="background1"/>
      </w:rPr>
      <w:tblPr/>
      <w:tcPr>
        <w:tcBorders>
          <w:top w:val="nil"/>
          <w:left w:val="nil"/>
          <w:bottom w:val="single" w:sz="18" w:space="0" w:color="auto"/>
          <w:right w:val="nil"/>
          <w:insideH w:val="nil"/>
          <w:insideV w:val="nil"/>
        </w:tcBorders>
        <w:shd w:val="clear" w:color="auto" w:fill="969696" w:themeFill="accent4"/>
      </w:tcPr>
    </w:tblStylePr>
    <w:tblStylePr w:type="lastCol">
      <w:rPr>
        <w:b/>
        <w:bCs/>
        <w:color w:val="0072BC" w:themeColor="background1"/>
      </w:rPr>
      <w:tblPr/>
      <w:tcPr>
        <w:tcBorders>
          <w:left w:val="nil"/>
          <w:right w:val="nil"/>
          <w:insideH w:val="nil"/>
          <w:insideV w:val="nil"/>
        </w:tcBorders>
        <w:shd w:val="clear" w:color="auto" w:fill="969696" w:themeFill="accent4"/>
      </w:tcPr>
    </w:tblStylePr>
    <w:tblStylePr w:type="band1Vert">
      <w:tblPr/>
      <w:tcPr>
        <w:tcBorders>
          <w:left w:val="nil"/>
          <w:right w:val="nil"/>
          <w:insideH w:val="nil"/>
          <w:insideV w:val="nil"/>
        </w:tcBorders>
        <w:shd w:val="clear" w:color="auto" w:fill="00609F" w:themeFill="background1" w:themeFillShade="D8"/>
      </w:tcPr>
    </w:tblStylePr>
    <w:tblStylePr w:type="band1Horz">
      <w:tblPr/>
      <w:tcPr>
        <w:shd w:val="clear" w:color="auto" w:fill="00609F"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0072BC"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semiHidden/>
    <w:rsid w:val="00A00672"/>
    <w:rPr>
      <w:sz w:val="24"/>
      <w:szCs w:val="24"/>
    </w:r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0072BC" w:themeColor="background1"/>
      </w:rPr>
      <w:tblPr/>
      <w:tcPr>
        <w:tcBorders>
          <w:top w:val="single" w:sz="18" w:space="0" w:color="auto"/>
          <w:left w:val="nil"/>
          <w:bottom w:val="single" w:sz="18" w:space="0" w:color="auto"/>
          <w:right w:val="nil"/>
          <w:insideH w:val="nil"/>
          <w:insideV w:val="nil"/>
        </w:tcBorders>
        <w:shd w:val="clear" w:color="auto" w:fill="5F5F5F"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0072BC" w:themeFill="background1"/>
      </w:tcPr>
    </w:tblStylePr>
    <w:tblStylePr w:type="firstCol">
      <w:rPr>
        <w:b/>
        <w:bCs/>
        <w:color w:val="0072BC" w:themeColor="background1"/>
      </w:rPr>
      <w:tblPr/>
      <w:tcPr>
        <w:tcBorders>
          <w:top w:val="nil"/>
          <w:left w:val="nil"/>
          <w:bottom w:val="single" w:sz="18" w:space="0" w:color="auto"/>
          <w:right w:val="nil"/>
          <w:insideH w:val="nil"/>
          <w:insideV w:val="nil"/>
        </w:tcBorders>
        <w:shd w:val="clear" w:color="auto" w:fill="5F5F5F" w:themeFill="accent5"/>
      </w:tcPr>
    </w:tblStylePr>
    <w:tblStylePr w:type="lastCol">
      <w:rPr>
        <w:b/>
        <w:bCs/>
        <w:color w:val="0072BC" w:themeColor="background1"/>
      </w:rPr>
      <w:tblPr/>
      <w:tcPr>
        <w:tcBorders>
          <w:left w:val="nil"/>
          <w:right w:val="nil"/>
          <w:insideH w:val="nil"/>
          <w:insideV w:val="nil"/>
        </w:tcBorders>
        <w:shd w:val="clear" w:color="auto" w:fill="5F5F5F" w:themeFill="accent5"/>
      </w:tcPr>
    </w:tblStylePr>
    <w:tblStylePr w:type="band1Vert">
      <w:tblPr/>
      <w:tcPr>
        <w:tcBorders>
          <w:left w:val="nil"/>
          <w:right w:val="nil"/>
          <w:insideH w:val="nil"/>
          <w:insideV w:val="nil"/>
        </w:tcBorders>
        <w:shd w:val="clear" w:color="auto" w:fill="00609F" w:themeFill="background1" w:themeFillShade="D8"/>
      </w:tcPr>
    </w:tblStylePr>
    <w:tblStylePr w:type="band1Horz">
      <w:tblPr/>
      <w:tcPr>
        <w:shd w:val="clear" w:color="auto" w:fill="00609F"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0072BC"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semiHidden/>
    <w:rsid w:val="00A00672"/>
    <w:rPr>
      <w:sz w:val="24"/>
      <w:szCs w:val="24"/>
    </w:r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0072BC" w:themeColor="background1"/>
      </w:rPr>
      <w:tblPr/>
      <w:tcPr>
        <w:tcBorders>
          <w:top w:val="single" w:sz="18" w:space="0" w:color="auto"/>
          <w:left w:val="nil"/>
          <w:bottom w:val="single" w:sz="18" w:space="0" w:color="auto"/>
          <w:right w:val="nil"/>
          <w:insideH w:val="nil"/>
          <w:insideV w:val="nil"/>
        </w:tcBorders>
        <w:shd w:val="clear" w:color="auto" w:fill="4D4D4D"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0072BC" w:themeFill="background1"/>
      </w:tcPr>
    </w:tblStylePr>
    <w:tblStylePr w:type="firstCol">
      <w:rPr>
        <w:b/>
        <w:bCs/>
        <w:color w:val="0072BC" w:themeColor="background1"/>
      </w:rPr>
      <w:tblPr/>
      <w:tcPr>
        <w:tcBorders>
          <w:top w:val="nil"/>
          <w:left w:val="nil"/>
          <w:bottom w:val="single" w:sz="18" w:space="0" w:color="auto"/>
          <w:right w:val="nil"/>
          <w:insideH w:val="nil"/>
          <w:insideV w:val="nil"/>
        </w:tcBorders>
        <w:shd w:val="clear" w:color="auto" w:fill="4D4D4D" w:themeFill="accent6"/>
      </w:tcPr>
    </w:tblStylePr>
    <w:tblStylePr w:type="lastCol">
      <w:rPr>
        <w:b/>
        <w:bCs/>
        <w:color w:val="0072BC" w:themeColor="background1"/>
      </w:rPr>
      <w:tblPr/>
      <w:tcPr>
        <w:tcBorders>
          <w:left w:val="nil"/>
          <w:right w:val="nil"/>
          <w:insideH w:val="nil"/>
          <w:insideV w:val="nil"/>
        </w:tcBorders>
        <w:shd w:val="clear" w:color="auto" w:fill="4D4D4D" w:themeFill="accent6"/>
      </w:tcPr>
    </w:tblStylePr>
    <w:tblStylePr w:type="band1Vert">
      <w:tblPr/>
      <w:tcPr>
        <w:tcBorders>
          <w:left w:val="nil"/>
          <w:right w:val="nil"/>
          <w:insideH w:val="nil"/>
          <w:insideV w:val="nil"/>
        </w:tcBorders>
        <w:shd w:val="clear" w:color="auto" w:fill="00609F" w:themeFill="background1" w:themeFillShade="D8"/>
      </w:tcPr>
    </w:tblStylePr>
    <w:tblStylePr w:type="band1Horz">
      <w:tblPr/>
      <w:tcPr>
        <w:shd w:val="clear" w:color="auto" w:fill="00609F"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0072BC" w:themeColor="background1"/>
      </w:rPr>
      <w:tblPr/>
      <w:tcPr>
        <w:tcBorders>
          <w:top w:val="single" w:sz="18" w:space="0" w:color="auto"/>
          <w:left w:val="nil"/>
          <w:bottom w:val="single" w:sz="18" w:space="0" w:color="auto"/>
          <w:right w:val="nil"/>
          <w:insideH w:val="nil"/>
          <w:insideV w:val="nil"/>
        </w:tcBorders>
      </w:tcPr>
    </w:tblStylePr>
  </w:style>
  <w:style w:type="paragraph" w:styleId="MessageHeader">
    <w:name w:val="Message Header"/>
    <w:basedOn w:val="Normal"/>
    <w:link w:val="MessageHeaderChar"/>
    <w:uiPriority w:val="99"/>
    <w:semiHidden/>
    <w:rsid w:val="00A00672"/>
    <w:pPr>
      <w:pBdr>
        <w:top w:val="single" w:sz="6" w:space="1" w:color="auto"/>
        <w:left w:val="single" w:sz="6" w:space="1" w:color="auto"/>
        <w:bottom w:val="single" w:sz="6" w:space="1" w:color="auto"/>
        <w:right w:val="single" w:sz="6" w:space="1" w:color="auto"/>
      </w:pBdr>
      <w:shd w:val="pct20" w:color="auto" w:fill="auto"/>
      <w:ind w:left="1134" w:hanging="1134"/>
    </w:pPr>
    <w:rPr>
      <w:rFonts w:asciiTheme="majorHAnsi" w:eastAsiaTheme="majorEastAsia" w:hAnsiTheme="majorHAnsi" w:cstheme="majorBidi"/>
    </w:rPr>
  </w:style>
  <w:style w:type="character" w:customStyle="1" w:styleId="MessageHeaderChar">
    <w:name w:val="Message Header Char"/>
    <w:basedOn w:val="DefaultParagraphFont"/>
    <w:link w:val="MessageHeader"/>
    <w:uiPriority w:val="99"/>
    <w:semiHidden/>
    <w:rsid w:val="00A00672"/>
    <w:rPr>
      <w:rFonts w:asciiTheme="majorHAnsi" w:eastAsiaTheme="majorEastAsia" w:hAnsiTheme="majorHAnsi" w:cstheme="majorBidi"/>
      <w:sz w:val="24"/>
      <w:szCs w:val="24"/>
      <w:shd w:val="pct20" w:color="auto" w:fill="auto"/>
      <w:lang w:val="fr-FR"/>
    </w:rPr>
  </w:style>
  <w:style w:type="paragraph" w:styleId="NormalWeb">
    <w:name w:val="Normal (Web)"/>
    <w:basedOn w:val="Normal"/>
    <w:uiPriority w:val="99"/>
    <w:semiHidden/>
    <w:rsid w:val="00A00672"/>
    <w:rPr>
      <w:rFonts w:ascii="Times New Roman" w:hAnsi="Times New Roman" w:cs="Times New Roman"/>
    </w:rPr>
  </w:style>
  <w:style w:type="paragraph" w:styleId="NormalIndent">
    <w:name w:val="Normal Indent"/>
    <w:basedOn w:val="Normal"/>
    <w:uiPriority w:val="99"/>
    <w:semiHidden/>
    <w:rsid w:val="00A00672"/>
    <w:pPr>
      <w:ind w:left="720"/>
    </w:pPr>
  </w:style>
  <w:style w:type="paragraph" w:styleId="NoteHeading">
    <w:name w:val="Note Heading"/>
    <w:basedOn w:val="Normal"/>
    <w:next w:val="Normal"/>
    <w:link w:val="NoteHeadingChar"/>
    <w:uiPriority w:val="99"/>
    <w:semiHidden/>
    <w:rsid w:val="00A00672"/>
  </w:style>
  <w:style w:type="character" w:customStyle="1" w:styleId="NoteHeadingChar">
    <w:name w:val="Note Heading Char"/>
    <w:basedOn w:val="DefaultParagraphFont"/>
    <w:link w:val="NoteHeading"/>
    <w:uiPriority w:val="99"/>
    <w:semiHidden/>
    <w:rsid w:val="00A00672"/>
    <w:rPr>
      <w:sz w:val="24"/>
      <w:szCs w:val="24"/>
      <w:lang w:val="fr-FR"/>
    </w:rPr>
  </w:style>
  <w:style w:type="character" w:styleId="PlaceholderText">
    <w:name w:val="Placeholder Text"/>
    <w:basedOn w:val="DefaultParagraphFont"/>
    <w:uiPriority w:val="99"/>
    <w:semiHidden/>
    <w:rsid w:val="00A00672"/>
    <w:rPr>
      <w:color w:val="auto"/>
      <w:bdr w:val="none" w:sz="0" w:space="0" w:color="auto"/>
      <w:shd w:val="clear" w:color="auto" w:fill="DFDFDF" w:themeFill="background2" w:themeFillShade="E6"/>
    </w:rPr>
  </w:style>
  <w:style w:type="paragraph" w:styleId="PlainText">
    <w:name w:val="Plain Text"/>
    <w:basedOn w:val="Normal"/>
    <w:link w:val="PlainTextChar"/>
    <w:uiPriority w:val="99"/>
    <w:semiHidden/>
    <w:rsid w:val="00A00672"/>
    <w:rPr>
      <w:rFonts w:ascii="Consolas" w:hAnsi="Consolas" w:cs="Consolas"/>
      <w:sz w:val="21"/>
      <w:szCs w:val="21"/>
    </w:rPr>
  </w:style>
  <w:style w:type="character" w:customStyle="1" w:styleId="PlainTextChar">
    <w:name w:val="Plain Text Char"/>
    <w:basedOn w:val="DefaultParagraphFont"/>
    <w:link w:val="PlainText"/>
    <w:uiPriority w:val="99"/>
    <w:semiHidden/>
    <w:rsid w:val="00A00672"/>
    <w:rPr>
      <w:rFonts w:ascii="Consolas" w:hAnsi="Consolas" w:cs="Consolas"/>
      <w:sz w:val="21"/>
      <w:szCs w:val="21"/>
      <w:lang w:val="fr-FR"/>
    </w:rPr>
  </w:style>
  <w:style w:type="paragraph" w:styleId="Salutation">
    <w:name w:val="Salutation"/>
    <w:basedOn w:val="Normal"/>
    <w:next w:val="Normal"/>
    <w:link w:val="SalutationChar"/>
    <w:uiPriority w:val="99"/>
    <w:semiHidden/>
    <w:rsid w:val="00A00672"/>
  </w:style>
  <w:style w:type="character" w:customStyle="1" w:styleId="SalutationChar">
    <w:name w:val="Salutation Char"/>
    <w:basedOn w:val="DefaultParagraphFont"/>
    <w:link w:val="Salutation"/>
    <w:uiPriority w:val="99"/>
    <w:semiHidden/>
    <w:rsid w:val="00A00672"/>
    <w:rPr>
      <w:sz w:val="24"/>
      <w:szCs w:val="24"/>
      <w:lang w:val="fr-FR"/>
    </w:rPr>
  </w:style>
  <w:style w:type="paragraph" w:styleId="Signature0">
    <w:name w:val="Signature"/>
    <w:basedOn w:val="Normal"/>
    <w:link w:val="SignatureChar"/>
    <w:uiPriority w:val="99"/>
    <w:semiHidden/>
    <w:rsid w:val="00A00672"/>
    <w:pPr>
      <w:ind w:left="4252"/>
    </w:pPr>
  </w:style>
  <w:style w:type="character" w:customStyle="1" w:styleId="SignatureChar">
    <w:name w:val="Signature Char"/>
    <w:basedOn w:val="DefaultParagraphFont"/>
    <w:link w:val="Signature0"/>
    <w:uiPriority w:val="99"/>
    <w:semiHidden/>
    <w:rsid w:val="00A00672"/>
    <w:rPr>
      <w:sz w:val="24"/>
      <w:szCs w:val="24"/>
      <w:lang w:val="fr-FR"/>
    </w:rPr>
  </w:style>
  <w:style w:type="table" w:styleId="Table3Deffects1">
    <w:name w:val="Table 3D effects 1"/>
    <w:basedOn w:val="TableNormal"/>
    <w:uiPriority w:val="99"/>
    <w:semiHidden/>
    <w:unhideWhenUsed/>
    <w:rsid w:val="00A00672"/>
    <w:pPr>
      <w:jc w:val="both"/>
    </w:pPr>
    <w:rPr>
      <w:sz w:val="24"/>
      <w:szCs w:val="24"/>
    </w:rPr>
    <w:tblPr/>
    <w:tcPr>
      <w:shd w:val="solid" w:color="C0C0C0" w:fill="FFFFFF"/>
    </w:tcPr>
    <w:tblStylePr w:type="firstRow">
      <w:rPr>
        <w:b/>
        <w:bCs/>
        <w:color w:val="800080"/>
      </w:rPr>
      <w:tblPr/>
      <w:tcPr>
        <w:tcBorders>
          <w:bottom w:val="single" w:sz="6" w:space="0" w:color="808080"/>
          <w:tl2br w:val="none" w:sz="0" w:space="0" w:color="auto"/>
          <w:tr2bl w:val="none" w:sz="0" w:space="0" w:color="auto"/>
        </w:tcBorders>
      </w:tcPr>
    </w:tblStylePr>
    <w:tblStylePr w:type="lastRow">
      <w:tblPr/>
      <w:tcPr>
        <w:tcBorders>
          <w:top w:val="single" w:sz="6" w:space="0" w:color="FFFFFF"/>
          <w:tl2br w:val="none" w:sz="0" w:space="0" w:color="auto"/>
          <w:tr2bl w:val="none" w:sz="0" w:space="0" w:color="auto"/>
        </w:tcBorders>
      </w:tcPr>
    </w:tblStylePr>
    <w:tblStylePr w:type="firstCol">
      <w:rPr>
        <w:b/>
        <w:bCs/>
      </w:rPr>
      <w:tblPr/>
      <w:tcPr>
        <w:tcBorders>
          <w:right w:val="single" w:sz="6" w:space="0" w:color="808080"/>
          <w:tl2br w:val="none" w:sz="0" w:space="0" w:color="auto"/>
          <w:tr2bl w:val="none" w:sz="0" w:space="0" w:color="auto"/>
        </w:tcBorders>
      </w:tcPr>
    </w:tblStylePr>
    <w:tblStylePr w:type="lastCol">
      <w:tblPr/>
      <w:tcPr>
        <w:tcBorders>
          <w:left w:val="single" w:sz="6" w:space="0" w:color="FFFFFF"/>
          <w:tl2br w:val="none" w:sz="0" w:space="0" w:color="auto"/>
          <w:tr2bl w:val="none" w:sz="0" w:space="0" w:color="auto"/>
        </w:tcBorders>
      </w:tcPr>
    </w:tblStylePr>
    <w:tblStylePr w:type="neCell">
      <w:tblPr/>
      <w:tcPr>
        <w:tcBorders>
          <w:left w:val="none" w:sz="0" w:space="0" w:color="auto"/>
          <w:bottom w:val="none" w:sz="0" w:space="0" w:color="auto"/>
          <w:tl2br w:val="none" w:sz="0" w:space="0" w:color="auto"/>
          <w:tr2bl w:val="none" w:sz="0" w:space="0" w:color="auto"/>
        </w:tcBorders>
      </w:tcPr>
    </w:tblStylePr>
    <w:tblStylePr w:type="nwCell">
      <w:tblPr/>
      <w:tcPr>
        <w:tcBorders>
          <w:bottom w:val="none" w:sz="0" w:space="0" w:color="auto"/>
          <w:right w:val="none" w:sz="0" w:space="0" w:color="auto"/>
          <w:tl2br w:val="none" w:sz="0" w:space="0" w:color="auto"/>
          <w:tr2bl w:val="none" w:sz="0" w:space="0" w:color="auto"/>
        </w:tcBorders>
      </w:tcPr>
    </w:tblStylePr>
    <w:tblStylePr w:type="seCell">
      <w:tblPr/>
      <w:tcPr>
        <w:tcBorders>
          <w:top w:val="none" w:sz="0" w:space="0" w:color="auto"/>
          <w:left w:val="none" w:sz="0" w:space="0" w:color="auto"/>
          <w:tl2br w:val="none" w:sz="0" w:space="0" w:color="auto"/>
          <w:tr2bl w:val="none" w:sz="0" w:space="0" w:color="auto"/>
        </w:tcBorders>
      </w:tcPr>
    </w:tblStylePr>
    <w:tblStylePr w:type="swCell">
      <w:rPr>
        <w:color w:val="000080"/>
      </w:rPr>
      <w:tblPr/>
      <w:tcPr>
        <w:tcBorders>
          <w:top w:val="none" w:sz="0" w:space="0" w:color="auto"/>
          <w:right w:val="none" w:sz="0" w:space="0" w:color="auto"/>
          <w:tl2br w:val="none" w:sz="0" w:space="0" w:color="auto"/>
          <w:tr2bl w:val="none" w:sz="0" w:space="0" w:color="auto"/>
        </w:tcBorders>
      </w:tcPr>
    </w:tblStylePr>
  </w:style>
  <w:style w:type="table" w:styleId="Table3Deffects2">
    <w:name w:val="Table 3D effects 2"/>
    <w:basedOn w:val="TableNormal"/>
    <w:uiPriority w:val="99"/>
    <w:semiHidden/>
    <w:unhideWhenUsed/>
    <w:rsid w:val="00A00672"/>
    <w:pPr>
      <w:jc w:val="both"/>
    </w:pPr>
    <w:rPr>
      <w:sz w:val="24"/>
      <w:szCs w:val="24"/>
    </w:rPr>
    <w:tblPr>
      <w:tblStyleRowBandSize w:val="1"/>
    </w:tblPr>
    <w:tcPr>
      <w:shd w:val="solid" w:color="C0C0C0" w:fill="FFFFFF"/>
    </w:tcPr>
    <w:tblStylePr w:type="firstRow">
      <w:rPr>
        <w:b/>
        <w:bCs/>
      </w:rPr>
      <w:tblPr/>
      <w:tcPr>
        <w:tcBorders>
          <w:tl2br w:val="none" w:sz="0" w:space="0" w:color="auto"/>
          <w:tr2bl w:val="none" w:sz="0" w:space="0" w:color="auto"/>
        </w:tcBorders>
      </w:tcPr>
    </w:tblStylePr>
    <w:tblStylePr w:type="firstCol">
      <w:tblPr/>
      <w:tcPr>
        <w:tcBorders>
          <w:top w:val="none" w:sz="0" w:space="0" w:color="auto"/>
          <w:bottom w:val="none" w:sz="0" w:space="0" w:color="auto"/>
          <w:right w:val="single" w:sz="6" w:space="0" w:color="808080"/>
          <w:tl2br w:val="none" w:sz="0" w:space="0" w:color="auto"/>
          <w:tr2bl w:val="none" w:sz="0" w:space="0" w:color="auto"/>
        </w:tcBorders>
      </w:tcPr>
    </w:tblStylePr>
    <w:tblStylePr w:type="lastCol">
      <w:tblPr/>
      <w:tcPr>
        <w:tcBorders>
          <w:right w:val="single" w:sz="6" w:space="0" w:color="FFFFFF"/>
          <w:tl2br w:val="none" w:sz="0" w:space="0" w:color="auto"/>
          <w:tr2bl w:val="none" w:sz="0" w:space="0" w:color="auto"/>
        </w:tcBorders>
      </w:tcPr>
    </w:tblStylePr>
    <w:tblStylePr w:type="band1Horz">
      <w:tblPr/>
      <w:tcPr>
        <w:tcBorders>
          <w:top w:val="single" w:sz="6" w:space="0" w:color="808080"/>
          <w:bottom w:val="single" w:sz="6" w:space="0" w:color="FFFFFF"/>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3Deffects3">
    <w:name w:val="Table 3D effects 3"/>
    <w:basedOn w:val="TableNormal"/>
    <w:uiPriority w:val="99"/>
    <w:semiHidden/>
    <w:unhideWhenUsed/>
    <w:rsid w:val="00A00672"/>
    <w:pPr>
      <w:jc w:val="both"/>
    </w:pPr>
    <w:rPr>
      <w:sz w:val="24"/>
      <w:szCs w:val="24"/>
    </w:rPr>
    <w:tblPr>
      <w:tblStyleRowBandSize w:val="1"/>
      <w:tblStyleColBandSize w:val="1"/>
    </w:tblPr>
    <w:tblStylePr w:type="firstRow">
      <w:rPr>
        <w:b/>
        <w:bCs/>
      </w:rPr>
      <w:tblPr/>
      <w:tcPr>
        <w:tcBorders>
          <w:tl2br w:val="none" w:sz="0" w:space="0" w:color="auto"/>
          <w:tr2bl w:val="none" w:sz="0" w:space="0" w:color="auto"/>
        </w:tcBorders>
      </w:tcPr>
    </w:tblStylePr>
    <w:tblStylePr w:type="firstCol">
      <w:tblPr/>
      <w:tcPr>
        <w:tcBorders>
          <w:top w:val="none" w:sz="0" w:space="0" w:color="auto"/>
          <w:bottom w:val="none" w:sz="0" w:space="0" w:color="auto"/>
          <w:right w:val="single" w:sz="6" w:space="0" w:color="808080"/>
          <w:tl2br w:val="none" w:sz="0" w:space="0" w:color="auto"/>
          <w:tr2bl w:val="none" w:sz="0" w:space="0" w:color="auto"/>
        </w:tcBorders>
      </w:tcPr>
    </w:tblStylePr>
    <w:tblStylePr w:type="lastCol">
      <w:tblPr/>
      <w:tcPr>
        <w:tcBorders>
          <w:right w:val="single" w:sz="6" w:space="0" w:color="FFFFFF"/>
          <w:tl2br w:val="none" w:sz="0" w:space="0" w:color="auto"/>
          <w:tr2bl w:val="none" w:sz="0" w:space="0" w:color="auto"/>
        </w:tcBorders>
      </w:tcPr>
    </w:tblStylePr>
    <w:tblStylePr w:type="band1Vert">
      <w:rPr>
        <w:color w:val="auto"/>
      </w:rPr>
      <w:tblPr/>
      <w:tcPr>
        <w:shd w:val="solid" w:color="C0C0C0" w:fill="FFFFFF"/>
      </w:tcPr>
    </w:tblStylePr>
    <w:tblStylePr w:type="band2Vert">
      <w:rPr>
        <w:color w:val="auto"/>
      </w:rPr>
      <w:tblPr/>
      <w:tcPr>
        <w:shd w:val="pct50" w:color="C0C0C0" w:fill="FFFFFF"/>
      </w:tcPr>
    </w:tblStylePr>
    <w:tblStylePr w:type="band1Horz">
      <w:tblPr/>
      <w:tcPr>
        <w:tcBorders>
          <w:top w:val="single" w:sz="6" w:space="0" w:color="808080"/>
          <w:bottom w:val="single" w:sz="6" w:space="0" w:color="FFFFFF"/>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Classic1">
    <w:name w:val="Table Classic 1"/>
    <w:basedOn w:val="TableNormal"/>
    <w:uiPriority w:val="99"/>
    <w:semiHidden/>
    <w:unhideWhenUsed/>
    <w:rsid w:val="00A00672"/>
    <w:pPr>
      <w:jc w:val="both"/>
    </w:pPr>
    <w:rPr>
      <w:sz w:val="24"/>
      <w:szCs w:val="24"/>
    </w:rPr>
    <w:tblPr>
      <w:tblBorders>
        <w:top w:val="single" w:sz="12" w:space="0" w:color="000000"/>
        <w:bottom w:val="single" w:sz="12" w:space="0" w:color="000000"/>
      </w:tblBorders>
    </w:tblPr>
    <w:tcPr>
      <w:shd w:val="clear" w:color="auto" w:fill="auto"/>
    </w:tcPr>
    <w:tblStylePr w:type="firstRow">
      <w:rPr>
        <w:i/>
        <w:iCs/>
      </w:rPr>
      <w:tblPr/>
      <w:tcPr>
        <w:tcBorders>
          <w:bottom w:val="single" w:sz="6" w:space="0" w:color="000000"/>
          <w:tl2br w:val="none" w:sz="0" w:space="0" w:color="auto"/>
          <w:tr2bl w:val="none" w:sz="0" w:space="0" w:color="auto"/>
        </w:tcBorders>
      </w:tcPr>
    </w:tblStylePr>
    <w:tblStylePr w:type="lastRow">
      <w:rPr>
        <w:color w:val="auto"/>
      </w:rPr>
      <w:tblPr/>
      <w:tcPr>
        <w:tcBorders>
          <w:top w:val="single" w:sz="6" w:space="0" w:color="000000"/>
          <w:tl2br w:val="none" w:sz="0" w:space="0" w:color="auto"/>
          <w:tr2bl w:val="none" w:sz="0" w:space="0" w:color="auto"/>
        </w:tcBorders>
      </w:tcPr>
    </w:tblStylePr>
    <w:tblStylePr w:type="firstCol">
      <w:tblPr/>
      <w:tcPr>
        <w:tcBorders>
          <w:right w:val="single" w:sz="6" w:space="0" w:color="000000"/>
          <w:tl2br w:val="none" w:sz="0" w:space="0" w:color="auto"/>
          <w:tr2bl w:val="none" w:sz="0" w:space="0" w:color="auto"/>
        </w:tcBorders>
      </w:tcPr>
    </w:tblStylePr>
    <w:tblStylePr w:type="neCell">
      <w:rPr>
        <w:b/>
        <w:bCs/>
        <w:i w:val="0"/>
        <w:iCs w:val="0"/>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Classic2">
    <w:name w:val="Table Classic 2"/>
    <w:basedOn w:val="TableNormal"/>
    <w:uiPriority w:val="99"/>
    <w:semiHidden/>
    <w:unhideWhenUsed/>
    <w:rsid w:val="00A00672"/>
    <w:pPr>
      <w:jc w:val="both"/>
    </w:pPr>
    <w:rPr>
      <w:sz w:val="24"/>
      <w:szCs w:val="24"/>
    </w:rPr>
    <w:tblPr>
      <w:tblBorders>
        <w:top w:val="single" w:sz="12" w:space="0" w:color="000000"/>
        <w:bottom w:val="single" w:sz="12" w:space="0" w:color="000000"/>
      </w:tblBorders>
    </w:tblPr>
    <w:tcPr>
      <w:shd w:val="clear" w:color="auto" w:fill="auto"/>
    </w:tcPr>
    <w:tblStylePr w:type="firstRow">
      <w:rPr>
        <w:color w:val="FFFFFF"/>
      </w:rPr>
      <w:tblPr/>
      <w:tcPr>
        <w:tcBorders>
          <w:bottom w:val="single" w:sz="6" w:space="0" w:color="000000"/>
          <w:tl2br w:val="none" w:sz="0" w:space="0" w:color="auto"/>
          <w:tr2bl w:val="none" w:sz="0" w:space="0" w:color="auto"/>
        </w:tcBorders>
        <w:shd w:val="solid" w:color="800080" w:fill="FFFFFF"/>
      </w:tcPr>
    </w:tblStylePr>
    <w:tblStylePr w:type="lastRow">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shd w:val="solid" w:color="C0C0C0" w:fill="FFFFFF"/>
      </w:tcPr>
    </w:tblStylePr>
    <w:tblStylePr w:type="neCell">
      <w:rPr>
        <w:b/>
        <w:bCs/>
      </w:rPr>
      <w:tblPr/>
      <w:tcPr>
        <w:tcBorders>
          <w:tl2br w:val="none" w:sz="0" w:space="0" w:color="auto"/>
          <w:tr2bl w:val="none" w:sz="0" w:space="0" w:color="auto"/>
        </w:tcBorders>
      </w:tcPr>
    </w:tblStylePr>
    <w:tblStylePr w:type="nwCell">
      <w:tblPr/>
      <w:tcPr>
        <w:tcBorders>
          <w:tl2br w:val="none" w:sz="0" w:space="0" w:color="auto"/>
          <w:tr2bl w:val="none" w:sz="0" w:space="0" w:color="auto"/>
        </w:tcBorders>
        <w:shd w:val="solid" w:color="800080" w:fill="FFFFFF"/>
      </w:tcPr>
    </w:tblStylePr>
    <w:tblStylePr w:type="swCell">
      <w:rPr>
        <w:color w:val="000080"/>
      </w:rPr>
      <w:tblPr/>
      <w:tcPr>
        <w:tcBorders>
          <w:tl2br w:val="none" w:sz="0" w:space="0" w:color="auto"/>
          <w:tr2bl w:val="none" w:sz="0" w:space="0" w:color="auto"/>
        </w:tcBorders>
      </w:tcPr>
    </w:tblStylePr>
  </w:style>
  <w:style w:type="table" w:styleId="TableClassic3">
    <w:name w:val="Table Classic 3"/>
    <w:basedOn w:val="TableNormal"/>
    <w:uiPriority w:val="99"/>
    <w:semiHidden/>
    <w:unhideWhenUsed/>
    <w:rsid w:val="00A00672"/>
    <w:pPr>
      <w:jc w:val="both"/>
    </w:pPr>
    <w:rPr>
      <w:color w:val="000080"/>
      <w:sz w:val="24"/>
      <w:szCs w:val="24"/>
    </w:rPr>
    <w:tblPr>
      <w:tblBorders>
        <w:top w:val="single" w:sz="12" w:space="0" w:color="000000"/>
        <w:left w:val="single" w:sz="12" w:space="0" w:color="000000"/>
        <w:bottom w:val="single" w:sz="12" w:space="0" w:color="000000"/>
        <w:right w:val="single" w:sz="12" w:space="0" w:color="000000"/>
      </w:tblBorders>
    </w:tblPr>
    <w:tcPr>
      <w:shd w:val="solid" w:color="C0C0C0" w:fill="FFFFFF"/>
    </w:tcPr>
    <w:tblStylePr w:type="firstRow">
      <w:rPr>
        <w:b/>
        <w:bCs/>
        <w:i/>
        <w:iCs/>
        <w:color w:val="FFFFFF"/>
      </w:rPr>
      <w:tblPr/>
      <w:tcPr>
        <w:tcBorders>
          <w:bottom w:val="single" w:sz="6" w:space="0" w:color="000000"/>
          <w:tl2br w:val="none" w:sz="0" w:space="0" w:color="auto"/>
          <w:tr2bl w:val="none" w:sz="0" w:space="0" w:color="auto"/>
        </w:tcBorders>
        <w:shd w:val="solid" w:color="000080" w:fill="FFFFFF"/>
      </w:tcPr>
    </w:tblStylePr>
    <w:tblStylePr w:type="lastRow">
      <w:rPr>
        <w:color w:val="000080"/>
      </w:rPr>
      <w:tblPr/>
      <w:tcPr>
        <w:tcBorders>
          <w:top w:val="single" w:sz="12" w:space="0" w:color="000000"/>
          <w:tl2br w:val="none" w:sz="0" w:space="0" w:color="auto"/>
          <w:tr2bl w:val="none" w:sz="0" w:space="0" w:color="auto"/>
        </w:tcBorders>
        <w:shd w:val="solid" w:color="FFFFFF" w:fill="FFFFFF"/>
      </w:tcPr>
    </w:tblStylePr>
    <w:tblStylePr w:type="firstCol">
      <w:rPr>
        <w:b/>
        <w:bCs/>
        <w:color w:val="000000"/>
      </w:rPr>
      <w:tblPr/>
      <w:tcPr>
        <w:tcBorders>
          <w:tl2br w:val="none" w:sz="0" w:space="0" w:color="auto"/>
          <w:tr2bl w:val="none" w:sz="0" w:space="0" w:color="auto"/>
        </w:tcBorders>
      </w:tcPr>
    </w:tblStylePr>
  </w:style>
  <w:style w:type="table" w:styleId="TableClassic4">
    <w:name w:val="Table Classic 4"/>
    <w:basedOn w:val="TableNormal"/>
    <w:uiPriority w:val="99"/>
    <w:semiHidden/>
    <w:unhideWhenUsed/>
    <w:rsid w:val="00A00672"/>
    <w:pPr>
      <w:jc w:val="both"/>
    </w:pPr>
    <w:rPr>
      <w:sz w:val="24"/>
      <w:szCs w:val="24"/>
    </w:rPr>
    <w:tblPr>
      <w:tblBorders>
        <w:top w:val="single" w:sz="12" w:space="0" w:color="000000"/>
        <w:left w:val="single" w:sz="6" w:space="0" w:color="000000"/>
        <w:bottom w:val="single" w:sz="12" w:space="0" w:color="000000"/>
        <w:right w:val="single" w:sz="6" w:space="0" w:color="000000"/>
      </w:tblBorders>
    </w:tblPr>
    <w:tcPr>
      <w:shd w:val="clear" w:color="auto" w:fill="auto"/>
    </w:tcPr>
    <w:tblStylePr w:type="firstRow">
      <w:rPr>
        <w:b/>
        <w:bCs/>
        <w:i/>
        <w:iCs/>
        <w:color w:val="FFFFFF"/>
      </w:rPr>
      <w:tblPr/>
      <w:tcPr>
        <w:tcBorders>
          <w:bottom w:val="single" w:sz="6" w:space="0" w:color="000000"/>
          <w:tl2br w:val="none" w:sz="0" w:space="0" w:color="auto"/>
          <w:tr2bl w:val="none" w:sz="0" w:space="0" w:color="auto"/>
        </w:tcBorders>
        <w:shd w:val="pct50" w:color="000080" w:fill="FFFFFF"/>
      </w:tcPr>
    </w:tblStylePr>
    <w:tblStylePr w:type="lastRow">
      <w:rPr>
        <w:color w:val="000080"/>
      </w:rPr>
      <w:tblPr/>
      <w:tcPr>
        <w:tcBorders>
          <w:bottom w:val="single" w:sz="6" w:space="0" w:color="000000"/>
          <w:tl2br w:val="none" w:sz="0" w:space="0" w:color="auto"/>
          <w:tr2bl w:val="none" w:sz="0" w:space="0" w:color="auto"/>
        </w:tcBorders>
        <w:shd w:val="pct50" w:color="000000" w:fill="FFFFFF"/>
      </w:tcPr>
    </w:tblStylePr>
    <w:tblStylePr w:type="firstCol">
      <w:rPr>
        <w:b/>
        <w:bCs/>
      </w:rPr>
      <w:tblPr/>
      <w:tcPr>
        <w:tcBorders>
          <w:tl2br w:val="none" w:sz="0" w:space="0" w:color="auto"/>
          <w:tr2bl w:val="none" w:sz="0" w:space="0" w:color="auto"/>
        </w:tcBorders>
      </w:tcPr>
    </w:tblStylePr>
    <w:tblStylePr w:type="nwCell">
      <w:rPr>
        <w:b/>
        <w:bCs/>
      </w:rPr>
      <w:tblPr/>
      <w:tcPr>
        <w:tcBorders>
          <w:tl2br w:val="none" w:sz="0" w:space="0" w:color="auto"/>
          <w:tr2bl w:val="none" w:sz="0" w:space="0" w:color="auto"/>
        </w:tcBorders>
      </w:tcPr>
    </w:tblStylePr>
    <w:tblStylePr w:type="swCell">
      <w:rPr>
        <w:color w:val="000080"/>
      </w:rPr>
      <w:tblPr/>
      <w:tcPr>
        <w:tcBorders>
          <w:tl2br w:val="none" w:sz="0" w:space="0" w:color="auto"/>
          <w:tr2bl w:val="none" w:sz="0" w:space="0" w:color="auto"/>
        </w:tcBorders>
      </w:tcPr>
    </w:tblStylePr>
  </w:style>
  <w:style w:type="table" w:styleId="TableColorful1">
    <w:name w:val="Table Colorful 1"/>
    <w:basedOn w:val="TableNormal"/>
    <w:uiPriority w:val="99"/>
    <w:semiHidden/>
    <w:unhideWhenUsed/>
    <w:rsid w:val="00A00672"/>
    <w:pPr>
      <w:jc w:val="both"/>
    </w:pPr>
    <w:rPr>
      <w:color w:val="FFFFFF"/>
      <w:sz w:val="24"/>
      <w:szCs w:val="24"/>
    </w:rPr>
    <w:tblPr>
      <w:tblBorders>
        <w:top w:val="single" w:sz="12" w:space="0" w:color="008080"/>
        <w:left w:val="single" w:sz="12" w:space="0" w:color="008080"/>
        <w:bottom w:val="single" w:sz="12" w:space="0" w:color="008080"/>
        <w:right w:val="single" w:sz="12" w:space="0" w:color="008080"/>
        <w:insideH w:val="single" w:sz="6" w:space="0" w:color="00FFFF"/>
      </w:tblBorders>
    </w:tblPr>
    <w:tcPr>
      <w:shd w:val="solid" w:color="008080" w:fill="FFFFFF"/>
    </w:tcPr>
    <w:tblStylePr w:type="firstRow">
      <w:rPr>
        <w:b/>
        <w:bCs/>
        <w:i/>
        <w:iCs/>
      </w:rPr>
      <w:tblPr/>
      <w:tcPr>
        <w:tcBorders>
          <w:tl2br w:val="none" w:sz="0" w:space="0" w:color="auto"/>
          <w:tr2bl w:val="none" w:sz="0" w:space="0" w:color="auto"/>
        </w:tcBorders>
        <w:shd w:val="solid" w:color="000000" w:fill="FFFFFF"/>
      </w:tcPr>
    </w:tblStylePr>
    <w:tblStylePr w:type="firstCol">
      <w:rPr>
        <w:b/>
        <w:bCs/>
        <w:i/>
        <w:iCs/>
      </w:rPr>
      <w:tblPr/>
      <w:tcPr>
        <w:tcBorders>
          <w:tl2br w:val="none" w:sz="0" w:space="0" w:color="auto"/>
          <w:tr2bl w:val="none" w:sz="0" w:space="0" w:color="auto"/>
        </w:tcBorders>
        <w:shd w:val="solid" w:color="000080" w:fill="FFFFFF"/>
      </w:tcPr>
    </w:tblStylePr>
    <w:tblStylePr w:type="nwCell">
      <w:tblPr/>
      <w:tcPr>
        <w:tcBorders>
          <w:tl2br w:val="none" w:sz="0" w:space="0" w:color="auto"/>
          <w:tr2bl w:val="none" w:sz="0" w:space="0" w:color="auto"/>
        </w:tcBorders>
        <w:shd w:val="solid" w:color="000000" w:fill="FFFFFF"/>
      </w:tcPr>
    </w:tblStylePr>
    <w:tblStylePr w:type="swCell">
      <w:rPr>
        <w:b/>
        <w:bCs/>
        <w:i w:val="0"/>
        <w:iCs w:val="0"/>
      </w:rPr>
      <w:tblPr/>
      <w:tcPr>
        <w:tcBorders>
          <w:tl2br w:val="none" w:sz="0" w:space="0" w:color="auto"/>
          <w:tr2bl w:val="none" w:sz="0" w:space="0" w:color="auto"/>
        </w:tcBorders>
      </w:tcPr>
    </w:tblStylePr>
  </w:style>
  <w:style w:type="table" w:styleId="TableColorful2">
    <w:name w:val="Table Colorful 2"/>
    <w:basedOn w:val="TableNormal"/>
    <w:uiPriority w:val="99"/>
    <w:semiHidden/>
    <w:unhideWhenUsed/>
    <w:rsid w:val="00A00672"/>
    <w:pPr>
      <w:jc w:val="both"/>
    </w:pPr>
    <w:rPr>
      <w:sz w:val="24"/>
      <w:szCs w:val="24"/>
    </w:rPr>
    <w:tblPr>
      <w:tblBorders>
        <w:bottom w:val="single" w:sz="12" w:space="0" w:color="000000"/>
      </w:tblBorders>
    </w:tblPr>
    <w:tcPr>
      <w:shd w:val="pct20" w:color="FFFF00" w:fill="FFFFFF"/>
    </w:tcPr>
    <w:tblStylePr w:type="firstRow">
      <w:rPr>
        <w:b/>
        <w:bCs/>
        <w:i/>
        <w:iCs/>
        <w:color w:val="FFFFFF"/>
      </w:rPr>
      <w:tblPr/>
      <w:tcPr>
        <w:tcBorders>
          <w:bottom w:val="single" w:sz="12" w:space="0" w:color="000000"/>
          <w:tl2br w:val="none" w:sz="0" w:space="0" w:color="auto"/>
          <w:tr2bl w:val="none" w:sz="0" w:space="0" w:color="auto"/>
        </w:tcBorders>
        <w:shd w:val="solid" w:color="800000" w:fill="FFFFFF"/>
      </w:tcPr>
    </w:tblStylePr>
    <w:tblStylePr w:type="firstCol">
      <w:rPr>
        <w:b/>
        <w:bCs/>
        <w:i/>
        <w:iCs/>
      </w:rPr>
      <w:tblPr/>
      <w:tcPr>
        <w:tcBorders>
          <w:tl2br w:val="none" w:sz="0" w:space="0" w:color="auto"/>
          <w:tr2bl w:val="none" w:sz="0" w:space="0" w:color="auto"/>
        </w:tcBorders>
      </w:tcPr>
    </w:tblStylePr>
    <w:tblStylePr w:type="lastCol">
      <w:tblPr/>
      <w:tcPr>
        <w:tcBorders>
          <w:tl2br w:val="none" w:sz="0" w:space="0" w:color="auto"/>
          <w:tr2bl w:val="none" w:sz="0" w:space="0" w:color="auto"/>
        </w:tcBorders>
        <w:shd w:val="solid" w:color="C0C0C0" w:fill="FFFFFF"/>
      </w:tcPr>
    </w:tblStylePr>
    <w:tblStylePr w:type="swCell">
      <w:rPr>
        <w:b/>
        <w:bCs/>
        <w:i w:val="0"/>
        <w:iCs w:val="0"/>
      </w:rPr>
      <w:tblPr/>
      <w:tcPr>
        <w:tcBorders>
          <w:tl2br w:val="none" w:sz="0" w:space="0" w:color="auto"/>
          <w:tr2bl w:val="none" w:sz="0" w:space="0" w:color="auto"/>
        </w:tcBorders>
      </w:tcPr>
    </w:tblStylePr>
  </w:style>
  <w:style w:type="table" w:styleId="TableColorful3">
    <w:name w:val="Table Colorful 3"/>
    <w:basedOn w:val="TableNormal"/>
    <w:uiPriority w:val="99"/>
    <w:semiHidden/>
    <w:unhideWhenUsed/>
    <w:rsid w:val="00A00672"/>
    <w:pPr>
      <w:jc w:val="both"/>
    </w:pPr>
    <w:rPr>
      <w:sz w:val="24"/>
      <w:szCs w:val="24"/>
    </w:rPr>
    <w:tblPr>
      <w:tblBorders>
        <w:top w:val="single" w:sz="18" w:space="0" w:color="000000"/>
        <w:left w:val="single" w:sz="18" w:space="0" w:color="000000"/>
        <w:bottom w:val="single" w:sz="18" w:space="0" w:color="000000"/>
        <w:right w:val="single" w:sz="18" w:space="0" w:color="000000"/>
        <w:insideH w:val="single" w:sz="6" w:space="0" w:color="C0C0C0"/>
      </w:tblBorders>
    </w:tblPr>
    <w:tcPr>
      <w:shd w:val="pct25" w:color="008080" w:fill="FFFFFF"/>
    </w:tcPr>
    <w:tblStylePr w:type="firstRow">
      <w:tblPr/>
      <w:tcPr>
        <w:tcBorders>
          <w:bottom w:val="single" w:sz="6" w:space="0" w:color="000000"/>
          <w:tl2br w:val="none" w:sz="0" w:space="0" w:color="auto"/>
          <w:tr2bl w:val="none" w:sz="0" w:space="0" w:color="auto"/>
        </w:tcBorders>
        <w:shd w:val="solid" w:color="008080" w:fill="FFFFFF"/>
      </w:tcPr>
    </w:tblStylePr>
    <w:tblStylePr w:type="firstCol">
      <w:tblPr/>
      <w:tcPr>
        <w:tcBorders>
          <w:left w:val="single" w:sz="36" w:space="0" w:color="000000"/>
          <w:right w:val="single" w:sz="6" w:space="0" w:color="000000"/>
          <w:tl2br w:val="none" w:sz="0" w:space="0" w:color="auto"/>
          <w:tr2bl w:val="none" w:sz="0" w:space="0" w:color="auto"/>
        </w:tcBorders>
        <w:shd w:val="solid" w:color="008080" w:fill="FFFFFF"/>
      </w:tcPr>
    </w:tblStylePr>
    <w:tblStylePr w:type="nwCell">
      <w:rPr>
        <w:b/>
        <w:bCs/>
        <w:color w:val="FFFFFF"/>
      </w:rPr>
      <w:tblPr/>
      <w:tcPr>
        <w:tcBorders>
          <w:tl2br w:val="none" w:sz="0" w:space="0" w:color="auto"/>
          <w:tr2bl w:val="none" w:sz="0" w:space="0" w:color="auto"/>
        </w:tcBorders>
        <w:shd w:val="solid" w:color="000000" w:fill="FFFFFF"/>
      </w:tcPr>
    </w:tblStylePr>
  </w:style>
  <w:style w:type="table" w:styleId="TableColumns1">
    <w:name w:val="Table Columns 1"/>
    <w:basedOn w:val="TableNormal"/>
    <w:uiPriority w:val="99"/>
    <w:semiHidden/>
    <w:unhideWhenUsed/>
    <w:rsid w:val="00A00672"/>
    <w:pPr>
      <w:jc w:val="both"/>
    </w:pPr>
    <w:rPr>
      <w:b/>
      <w:bCs/>
      <w:sz w:val="24"/>
      <w:szCs w:val="24"/>
    </w:rPr>
    <w:tblPr>
      <w:tblStyleColBandSize w:val="1"/>
      <w:tblBorders>
        <w:top w:val="single" w:sz="12" w:space="0" w:color="000000"/>
        <w:left w:val="single" w:sz="12" w:space="0" w:color="000000"/>
        <w:bottom w:val="single" w:sz="12" w:space="0" w:color="000000"/>
        <w:right w:val="single" w:sz="12" w:space="0" w:color="000000"/>
      </w:tblBorders>
    </w:tblPr>
    <w:tblStylePr w:type="firstRow">
      <w:rPr>
        <w:b w:val="0"/>
        <w:bCs w:val="0"/>
      </w:rPr>
      <w:tblPr/>
      <w:tcPr>
        <w:tcBorders>
          <w:bottom w:val="double" w:sz="6" w:space="0" w:color="000000"/>
          <w:tl2br w:val="none" w:sz="0" w:space="0" w:color="auto"/>
          <w:tr2bl w:val="none" w:sz="0" w:space="0" w:color="auto"/>
        </w:tcBorders>
      </w:tcPr>
    </w:tblStylePr>
    <w:tblStylePr w:type="lastRow">
      <w:rPr>
        <w:b w:val="0"/>
        <w:bCs w:val="0"/>
      </w:rPr>
      <w:tblPr/>
      <w:tcPr>
        <w:tcBorders>
          <w:tl2br w:val="none" w:sz="0" w:space="0" w:color="auto"/>
          <w:tr2bl w:val="none" w:sz="0" w:space="0" w:color="auto"/>
        </w:tcBorders>
      </w:tcPr>
    </w:tblStylePr>
    <w:tblStylePr w:type="firstCol">
      <w:rPr>
        <w:b w:val="0"/>
        <w:bCs w:val="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band1Vert">
      <w:rPr>
        <w:color w:val="auto"/>
      </w:rPr>
      <w:tblPr/>
      <w:tcPr>
        <w:shd w:val="pct25" w:color="000000" w:fill="FFFFFF"/>
      </w:tcPr>
    </w:tblStylePr>
    <w:tblStylePr w:type="band2Vert">
      <w:rPr>
        <w:color w:val="auto"/>
      </w:rPr>
      <w:tblPr/>
      <w:tcPr>
        <w:shd w:val="pct25" w:color="FFFF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Columns2">
    <w:name w:val="Table Columns 2"/>
    <w:basedOn w:val="TableNormal"/>
    <w:uiPriority w:val="99"/>
    <w:semiHidden/>
    <w:unhideWhenUsed/>
    <w:rsid w:val="00A00672"/>
    <w:pPr>
      <w:jc w:val="both"/>
    </w:pPr>
    <w:rPr>
      <w:b/>
      <w:bCs/>
      <w:sz w:val="24"/>
      <w:szCs w:val="24"/>
    </w:rPr>
    <w:tblPr>
      <w:tblStyleColBandSize w:val="1"/>
    </w:tblPr>
    <w:tblStylePr w:type="firstRow">
      <w:rPr>
        <w:color w:val="FFFFFF"/>
      </w:rPr>
      <w:tblPr/>
      <w:tcPr>
        <w:tcBorders>
          <w:tl2br w:val="none" w:sz="0" w:space="0" w:color="auto"/>
          <w:tr2bl w:val="none" w:sz="0" w:space="0" w:color="auto"/>
        </w:tcBorders>
        <w:shd w:val="solid" w:color="000080" w:fill="FFFFFF"/>
      </w:tcPr>
    </w:tblStylePr>
    <w:tblStylePr w:type="lastRow">
      <w:rPr>
        <w:b w:val="0"/>
        <w:bCs w:val="0"/>
      </w:rPr>
      <w:tblPr/>
      <w:tcPr>
        <w:tcBorders>
          <w:tl2br w:val="none" w:sz="0" w:space="0" w:color="auto"/>
          <w:tr2bl w:val="none" w:sz="0" w:space="0" w:color="auto"/>
        </w:tcBorders>
      </w:tcPr>
    </w:tblStylePr>
    <w:tblStylePr w:type="firstCol">
      <w:rPr>
        <w:b w:val="0"/>
        <w:bCs w:val="0"/>
        <w:color w:val="00000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band1Vert">
      <w:rPr>
        <w:color w:val="auto"/>
      </w:rPr>
      <w:tblPr/>
      <w:tcPr>
        <w:shd w:val="pct30" w:color="000000" w:fill="FFFFFF"/>
      </w:tcPr>
    </w:tblStylePr>
    <w:tblStylePr w:type="band2Vert">
      <w:rPr>
        <w:color w:val="auto"/>
      </w:rPr>
      <w:tblPr/>
      <w:tcPr>
        <w:shd w:val="pct25" w:color="00FF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Columns3">
    <w:name w:val="Table Columns 3"/>
    <w:basedOn w:val="TableNormal"/>
    <w:uiPriority w:val="99"/>
    <w:semiHidden/>
    <w:unhideWhenUsed/>
    <w:rsid w:val="00A00672"/>
    <w:pPr>
      <w:jc w:val="both"/>
    </w:pPr>
    <w:rPr>
      <w:b/>
      <w:bCs/>
      <w:sz w:val="24"/>
      <w:szCs w:val="24"/>
    </w:rPr>
    <w:tblPr>
      <w:tblStyleColBandSize w:val="1"/>
      <w:tblBorders>
        <w:top w:val="single" w:sz="6" w:space="0" w:color="000080"/>
        <w:left w:val="single" w:sz="6" w:space="0" w:color="000080"/>
        <w:bottom w:val="single" w:sz="6" w:space="0" w:color="000080"/>
        <w:right w:val="single" w:sz="6" w:space="0" w:color="000080"/>
        <w:insideV w:val="single" w:sz="6" w:space="0" w:color="000080"/>
      </w:tblBorders>
    </w:tblPr>
    <w:tblStylePr w:type="firstRow">
      <w:rPr>
        <w:color w:val="FFFFFF"/>
      </w:rPr>
      <w:tblPr/>
      <w:tcPr>
        <w:tcBorders>
          <w:tl2br w:val="none" w:sz="0" w:space="0" w:color="auto"/>
          <w:tr2bl w:val="none" w:sz="0" w:space="0" w:color="auto"/>
        </w:tcBorders>
        <w:shd w:val="solid" w:color="000080" w:fill="FFFFFF"/>
      </w:tcPr>
    </w:tblStylePr>
    <w:tblStylePr w:type="lastRow">
      <w:rPr>
        <w:b w:val="0"/>
        <w:bCs w:val="0"/>
      </w:rPr>
      <w:tblPr/>
      <w:tcPr>
        <w:tcBorders>
          <w:top w:val="single" w:sz="6" w:space="0" w:color="000080"/>
          <w:tl2br w:val="none" w:sz="0" w:space="0" w:color="auto"/>
          <w:tr2bl w:val="none" w:sz="0" w:space="0" w:color="auto"/>
        </w:tcBorders>
      </w:tcPr>
    </w:tblStylePr>
    <w:tblStylePr w:type="firstCol">
      <w:rPr>
        <w:b w:val="0"/>
        <w:bCs w:val="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band1Vert">
      <w:rPr>
        <w:color w:val="auto"/>
      </w:rPr>
      <w:tblPr/>
      <w:tcPr>
        <w:shd w:val="solid" w:color="C0C0C0" w:fill="FFFFFF"/>
      </w:tcPr>
    </w:tblStylePr>
    <w:tblStylePr w:type="band2Vert">
      <w:rPr>
        <w:color w:val="auto"/>
      </w:rPr>
      <w:tblPr/>
      <w:tcPr>
        <w:shd w:val="pct10" w:color="000000" w:fill="FFFFFF"/>
      </w:tcPr>
    </w:tblStylePr>
    <w:tblStylePr w:type="neCell">
      <w:rPr>
        <w:b/>
        <w:bCs/>
      </w:rPr>
      <w:tblPr/>
      <w:tcPr>
        <w:tcBorders>
          <w:tl2br w:val="none" w:sz="0" w:space="0" w:color="auto"/>
          <w:tr2bl w:val="none" w:sz="0" w:space="0" w:color="auto"/>
        </w:tcBorders>
      </w:tcPr>
    </w:tblStylePr>
  </w:style>
  <w:style w:type="table" w:styleId="TableColumns4">
    <w:name w:val="Table Columns 4"/>
    <w:basedOn w:val="TableNormal"/>
    <w:uiPriority w:val="99"/>
    <w:semiHidden/>
    <w:unhideWhenUsed/>
    <w:rsid w:val="00A00672"/>
    <w:pPr>
      <w:jc w:val="both"/>
    </w:pPr>
    <w:rPr>
      <w:sz w:val="24"/>
      <w:szCs w:val="24"/>
    </w:rPr>
    <w:tblPr>
      <w:tblStyleColBandSize w:val="1"/>
    </w:tblPr>
    <w:tblStylePr w:type="firstRow">
      <w:rPr>
        <w:color w:val="FFFFFF"/>
      </w:rPr>
      <w:tblPr/>
      <w:tcPr>
        <w:tcBorders>
          <w:tl2br w:val="none" w:sz="0" w:space="0" w:color="auto"/>
          <w:tr2bl w:val="none" w:sz="0" w:space="0" w:color="auto"/>
        </w:tcBorders>
        <w:shd w:val="solid" w:color="000000" w:fill="FFFFFF"/>
      </w:tcPr>
    </w:tblStylePr>
    <w:tblStylePr w:type="lastRow">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Vert">
      <w:rPr>
        <w:color w:val="auto"/>
      </w:rPr>
      <w:tblPr/>
      <w:tcPr>
        <w:shd w:val="pct50" w:color="008080" w:fill="FFFFFF"/>
      </w:tcPr>
    </w:tblStylePr>
    <w:tblStylePr w:type="band2Vert">
      <w:rPr>
        <w:color w:val="auto"/>
      </w:rPr>
      <w:tblPr/>
      <w:tcPr>
        <w:shd w:val="pct10" w:color="000000" w:fill="FFFFFF"/>
      </w:tcPr>
    </w:tblStylePr>
  </w:style>
  <w:style w:type="table" w:styleId="TableColumns5">
    <w:name w:val="Table Columns 5"/>
    <w:basedOn w:val="TableNormal"/>
    <w:uiPriority w:val="99"/>
    <w:semiHidden/>
    <w:unhideWhenUsed/>
    <w:rsid w:val="00A00672"/>
    <w:pPr>
      <w:jc w:val="both"/>
    </w:pPr>
    <w:rPr>
      <w:sz w:val="24"/>
      <w:szCs w:val="24"/>
    </w:rPr>
    <w:tblPr>
      <w:tblStyleColBandSize w:val="1"/>
      <w:tblBorders>
        <w:top w:val="single" w:sz="12" w:space="0" w:color="808080"/>
        <w:left w:val="single" w:sz="12" w:space="0" w:color="808080"/>
        <w:bottom w:val="single" w:sz="12" w:space="0" w:color="808080"/>
        <w:right w:val="single" w:sz="12" w:space="0" w:color="808080"/>
        <w:insideV w:val="single" w:sz="6" w:space="0" w:color="C0C0C0"/>
      </w:tblBorders>
    </w:tblPr>
    <w:tblStylePr w:type="firstRow">
      <w:rPr>
        <w:b/>
        <w:bCs/>
        <w:i/>
        <w:iCs/>
      </w:rPr>
      <w:tblPr/>
      <w:tcPr>
        <w:tcBorders>
          <w:bottom w:val="single" w:sz="6" w:space="0" w:color="808080"/>
          <w:tl2br w:val="none" w:sz="0" w:space="0" w:color="auto"/>
          <w:tr2bl w:val="none" w:sz="0" w:space="0" w:color="auto"/>
        </w:tcBorders>
      </w:tcPr>
    </w:tblStylePr>
    <w:tblStylePr w:type="lastRow">
      <w:rPr>
        <w:b/>
        <w:bCs/>
      </w:rPr>
      <w:tblPr/>
      <w:tcPr>
        <w:tcBorders>
          <w:top w:val="single" w:sz="6" w:space="0" w:color="80808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Vert">
      <w:rPr>
        <w:color w:val="auto"/>
      </w:rPr>
      <w:tblPr/>
      <w:tcPr>
        <w:shd w:val="solid" w:color="C0C0C0" w:fill="FFFFFF"/>
      </w:tcPr>
    </w:tblStylePr>
    <w:tblStylePr w:type="band2Vert">
      <w:rPr>
        <w:color w:val="auto"/>
      </w:rPr>
    </w:tblStylePr>
  </w:style>
  <w:style w:type="table" w:styleId="TableContemporary">
    <w:name w:val="Table Contemporary"/>
    <w:basedOn w:val="TableNormal"/>
    <w:uiPriority w:val="99"/>
    <w:semiHidden/>
    <w:unhideWhenUsed/>
    <w:rsid w:val="00A00672"/>
    <w:pPr>
      <w:jc w:val="both"/>
    </w:pPr>
    <w:rPr>
      <w:sz w:val="24"/>
      <w:szCs w:val="24"/>
    </w:rPr>
    <w:tblPr>
      <w:tblStyleRowBandSize w:val="1"/>
      <w:tblBorders>
        <w:insideH w:val="single" w:sz="18" w:space="0" w:color="FFFFFF"/>
        <w:insideV w:val="single" w:sz="18" w:space="0" w:color="FFFFFF"/>
      </w:tblBorders>
    </w:tblPr>
    <w:tblStylePr w:type="firstRow">
      <w:rPr>
        <w:b/>
        <w:bCs/>
        <w:color w:val="auto"/>
      </w:rPr>
      <w:tblPr/>
      <w:tcPr>
        <w:tcBorders>
          <w:tl2br w:val="none" w:sz="0" w:space="0" w:color="auto"/>
          <w:tr2bl w:val="none" w:sz="0" w:space="0" w:color="auto"/>
        </w:tcBorders>
        <w:shd w:val="pct20" w:color="000000" w:fill="FFFFFF"/>
      </w:tcPr>
    </w:tblStylePr>
    <w:tblStylePr w:type="band1Horz">
      <w:rPr>
        <w:color w:val="auto"/>
      </w:rPr>
      <w:tblPr/>
      <w:tcPr>
        <w:tcBorders>
          <w:tl2br w:val="none" w:sz="0" w:space="0" w:color="auto"/>
          <w:tr2bl w:val="none" w:sz="0" w:space="0" w:color="auto"/>
        </w:tcBorders>
        <w:shd w:val="pct5" w:color="000000" w:fill="FFFFFF"/>
      </w:tcPr>
    </w:tblStylePr>
    <w:tblStylePr w:type="band2Horz">
      <w:rPr>
        <w:color w:val="auto"/>
      </w:rPr>
      <w:tblPr/>
      <w:tcPr>
        <w:tcBorders>
          <w:tl2br w:val="none" w:sz="0" w:space="0" w:color="auto"/>
          <w:tr2bl w:val="none" w:sz="0" w:space="0" w:color="auto"/>
        </w:tcBorders>
        <w:shd w:val="pct20" w:color="000000" w:fill="FFFFFF"/>
      </w:tcPr>
    </w:tblStylePr>
  </w:style>
  <w:style w:type="table" w:styleId="TableElegant">
    <w:name w:val="Table Elegant"/>
    <w:basedOn w:val="TableNormal"/>
    <w:uiPriority w:val="99"/>
    <w:semiHidden/>
    <w:unhideWhenUsed/>
    <w:rsid w:val="00A00672"/>
    <w:pPr>
      <w:jc w:val="both"/>
    </w:pPr>
    <w:rPr>
      <w:sz w:val="24"/>
      <w:szCs w:val="24"/>
    </w:rPr>
    <w:tblPr>
      <w:tblBorders>
        <w:top w:val="double" w:sz="6" w:space="0" w:color="000000"/>
        <w:left w:val="double" w:sz="6" w:space="0" w:color="000000"/>
        <w:bottom w:val="double" w:sz="6" w:space="0" w:color="000000"/>
        <w:right w:val="double" w:sz="6" w:space="0" w:color="000000"/>
        <w:insideH w:val="single" w:sz="6" w:space="0" w:color="000000"/>
        <w:insideV w:val="single" w:sz="6" w:space="0" w:color="000000"/>
      </w:tblBorders>
    </w:tblPr>
    <w:tcPr>
      <w:shd w:val="clear" w:color="auto" w:fill="auto"/>
    </w:tcPr>
    <w:tblStylePr w:type="firstRow">
      <w:rPr>
        <w:caps/>
        <w:color w:val="auto"/>
      </w:rPr>
      <w:tblPr/>
      <w:tcPr>
        <w:tcBorders>
          <w:tl2br w:val="none" w:sz="0" w:space="0" w:color="auto"/>
          <w:tr2bl w:val="none" w:sz="0" w:space="0" w:color="auto"/>
        </w:tcBorders>
      </w:tcPr>
    </w:tblStylePr>
  </w:style>
  <w:style w:type="table" w:styleId="TableGrid1">
    <w:name w:val="Table Grid 1"/>
    <w:basedOn w:val="TableNormal"/>
    <w:uiPriority w:val="99"/>
    <w:semiHidden/>
    <w:unhideWhenUsed/>
    <w:rsid w:val="00A00672"/>
    <w:pPr>
      <w:jc w:val="both"/>
    </w:pPr>
    <w:rPr>
      <w:sz w:val="24"/>
      <w:szCs w:val="24"/>
    </w:rPr>
    <w:tblPr>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Pr>
    <w:tcPr>
      <w:shd w:val="clear" w:color="auto" w:fill="auto"/>
    </w:tcPr>
    <w:tblStylePr w:type="lastRow">
      <w:rPr>
        <w:i/>
        <w:iCs/>
      </w:rPr>
      <w:tblPr/>
      <w:tcPr>
        <w:tcBorders>
          <w:tl2br w:val="none" w:sz="0" w:space="0" w:color="auto"/>
          <w:tr2bl w:val="none" w:sz="0" w:space="0" w:color="auto"/>
        </w:tcBorders>
      </w:tcPr>
    </w:tblStylePr>
    <w:tblStylePr w:type="lastCol">
      <w:rPr>
        <w:i/>
        <w:iCs/>
      </w:rPr>
      <w:tblPr/>
      <w:tcPr>
        <w:tcBorders>
          <w:tl2br w:val="none" w:sz="0" w:space="0" w:color="auto"/>
          <w:tr2bl w:val="none" w:sz="0" w:space="0" w:color="auto"/>
        </w:tcBorders>
      </w:tcPr>
    </w:tblStylePr>
  </w:style>
  <w:style w:type="table" w:styleId="TableGrid2">
    <w:name w:val="Table Grid 2"/>
    <w:basedOn w:val="TableNormal"/>
    <w:uiPriority w:val="99"/>
    <w:semiHidden/>
    <w:unhideWhenUsed/>
    <w:rsid w:val="00A00672"/>
    <w:pPr>
      <w:jc w:val="both"/>
    </w:pPr>
    <w:rPr>
      <w:sz w:val="24"/>
      <w:szCs w:val="24"/>
    </w:rPr>
    <w:tblPr>
      <w:tblBorders>
        <w:insideH w:val="single" w:sz="6" w:space="0" w:color="000000"/>
        <w:insideV w:val="single" w:sz="6" w:space="0" w:color="000000"/>
      </w:tblBorders>
    </w:tblPr>
    <w:tcPr>
      <w:shd w:val="clear" w:color="auto" w:fill="auto"/>
    </w:tcPr>
    <w:tblStylePr w:type="firstRow">
      <w:rPr>
        <w:b/>
        <w:bCs/>
      </w:rPr>
      <w:tblPr/>
      <w:tcPr>
        <w:tcBorders>
          <w:tl2br w:val="none" w:sz="0" w:space="0" w:color="auto"/>
          <w:tr2bl w:val="none" w:sz="0" w:space="0" w:color="auto"/>
        </w:tcBorders>
      </w:tcPr>
    </w:tblStylePr>
    <w:tblStylePr w:type="lastRow">
      <w:rPr>
        <w:b/>
        <w:bCs/>
      </w:rPr>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style>
  <w:style w:type="table" w:styleId="TableGrid3">
    <w:name w:val="Table Grid 3"/>
    <w:basedOn w:val="TableNormal"/>
    <w:uiPriority w:val="99"/>
    <w:semiHidden/>
    <w:unhideWhenUsed/>
    <w:rsid w:val="00A00672"/>
    <w:pPr>
      <w:jc w:val="both"/>
    </w:pPr>
    <w:rPr>
      <w:sz w:val="24"/>
      <w:szCs w:val="24"/>
    </w:rPr>
    <w:tblPr>
      <w:tblBorders>
        <w:top w:val="single" w:sz="6" w:space="0" w:color="000000"/>
        <w:left w:val="single" w:sz="12" w:space="0" w:color="000000"/>
        <w:bottom w:val="single" w:sz="6" w:space="0" w:color="000000"/>
        <w:right w:val="single" w:sz="12" w:space="0" w:color="000000"/>
        <w:insideV w:val="single" w:sz="6" w:space="0" w:color="000000"/>
      </w:tblBorders>
    </w:tblPr>
    <w:tcPr>
      <w:shd w:val="clear" w:color="auto" w:fill="auto"/>
    </w:tcPr>
    <w:tblStylePr w:type="firstRow">
      <w:tblPr/>
      <w:tcPr>
        <w:tcBorders>
          <w:bottom w:val="single" w:sz="6" w:space="0" w:color="000000"/>
          <w:tl2br w:val="none" w:sz="0" w:space="0" w:color="auto"/>
          <w:tr2bl w:val="none" w:sz="0" w:space="0" w:color="auto"/>
        </w:tcBorders>
        <w:shd w:val="pct30" w:color="FFFF00" w:fill="FFFFFF"/>
      </w:tcPr>
    </w:tblStylePr>
    <w:tblStylePr w:type="lastRow">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style>
  <w:style w:type="table" w:styleId="TableGrid4">
    <w:name w:val="Table Grid 4"/>
    <w:basedOn w:val="TableNormal"/>
    <w:uiPriority w:val="99"/>
    <w:semiHidden/>
    <w:unhideWhenUsed/>
    <w:rsid w:val="00A00672"/>
    <w:pPr>
      <w:jc w:val="both"/>
    </w:pPr>
    <w:rPr>
      <w:sz w:val="24"/>
      <w:szCs w:val="24"/>
    </w:rPr>
    <w:tblPr>
      <w:tblBorders>
        <w:left w:val="single" w:sz="12" w:space="0" w:color="000000"/>
        <w:right w:val="single" w:sz="12" w:space="0" w:color="000000"/>
        <w:insideH w:val="single" w:sz="6" w:space="0" w:color="000000"/>
        <w:insideV w:val="single" w:sz="6" w:space="0" w:color="000000"/>
      </w:tblBorders>
    </w:tblPr>
    <w:tcPr>
      <w:shd w:val="clear" w:color="auto" w:fill="auto"/>
    </w:tcPr>
    <w:tblStylePr w:type="firstRow">
      <w:rPr>
        <w:color w:val="auto"/>
      </w:rPr>
      <w:tblPr/>
      <w:tcPr>
        <w:tcBorders>
          <w:bottom w:val="single" w:sz="6" w:space="0" w:color="000000"/>
          <w:tl2br w:val="none" w:sz="0" w:space="0" w:color="auto"/>
          <w:tr2bl w:val="none" w:sz="0" w:space="0" w:color="auto"/>
        </w:tcBorders>
        <w:shd w:val="pct30" w:color="FFFF00" w:fill="FFFFFF"/>
      </w:tcPr>
    </w:tblStylePr>
    <w:tblStylePr w:type="lastRow">
      <w:rPr>
        <w:b/>
        <w:bCs/>
        <w:color w:val="auto"/>
      </w:rPr>
      <w:tblPr/>
      <w:tcPr>
        <w:tcBorders>
          <w:top w:val="single" w:sz="6" w:space="0" w:color="000000"/>
          <w:tl2br w:val="none" w:sz="0" w:space="0" w:color="auto"/>
          <w:tr2bl w:val="none" w:sz="0" w:space="0" w:color="auto"/>
        </w:tcBorders>
        <w:shd w:val="pct30" w:color="FFFF00" w:fill="FFFFFF"/>
      </w:tcPr>
    </w:tblStylePr>
    <w:tblStylePr w:type="lastCol">
      <w:rPr>
        <w:b/>
        <w:bCs/>
        <w:color w:val="auto"/>
      </w:rPr>
      <w:tblPr/>
      <w:tcPr>
        <w:tcBorders>
          <w:tl2br w:val="none" w:sz="0" w:space="0" w:color="auto"/>
          <w:tr2bl w:val="none" w:sz="0" w:space="0" w:color="auto"/>
        </w:tcBorders>
      </w:tcPr>
    </w:tblStylePr>
  </w:style>
  <w:style w:type="table" w:styleId="TableGrid5">
    <w:name w:val="Table Grid 5"/>
    <w:basedOn w:val="TableNormal"/>
    <w:uiPriority w:val="99"/>
    <w:semiHidden/>
    <w:unhideWhenUsed/>
    <w:rsid w:val="00A00672"/>
    <w:pPr>
      <w:jc w:val="both"/>
    </w:pPr>
    <w:rPr>
      <w:sz w:val="24"/>
      <w:szCs w:val="24"/>
    </w:rPr>
    <w:tblPr>
      <w:tblBorders>
        <w:top w:val="single" w:sz="12" w:space="0" w:color="000000"/>
        <w:left w:val="single" w:sz="12" w:space="0" w:color="000000"/>
        <w:bottom w:val="single" w:sz="12" w:space="0" w:color="000000"/>
        <w:right w:val="single" w:sz="12" w:space="0" w:color="000000"/>
        <w:insideH w:val="single" w:sz="6" w:space="0" w:color="000000"/>
        <w:insideV w:val="single" w:sz="6" w:space="0" w:color="000000"/>
      </w:tblBorders>
    </w:tblPr>
    <w:tcPr>
      <w:shd w:val="clear" w:color="auto" w:fill="auto"/>
    </w:tcPr>
    <w:tblStylePr w:type="firstRow">
      <w:tblPr/>
      <w:tcPr>
        <w:tcBorders>
          <w:bottom w:val="single" w:sz="12" w:space="0" w:color="000000"/>
          <w:tl2br w:val="none" w:sz="0" w:space="0" w:color="auto"/>
          <w:tr2bl w:val="none" w:sz="0" w:space="0" w:color="auto"/>
        </w:tcBorders>
      </w:tcPr>
    </w:tblStylePr>
    <w:tblStylePr w:type="lastRow">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nwCell">
      <w:tblPr/>
      <w:tcPr>
        <w:tcBorders>
          <w:tl2br w:val="single" w:sz="6" w:space="0" w:color="000000"/>
          <w:tr2bl w:val="none" w:sz="0" w:space="0" w:color="auto"/>
        </w:tcBorders>
      </w:tcPr>
    </w:tblStylePr>
  </w:style>
  <w:style w:type="table" w:styleId="TableGrid6">
    <w:name w:val="Table Grid 6"/>
    <w:basedOn w:val="TableNormal"/>
    <w:uiPriority w:val="99"/>
    <w:semiHidden/>
    <w:unhideWhenUsed/>
    <w:rsid w:val="00A00672"/>
    <w:pPr>
      <w:jc w:val="both"/>
    </w:pPr>
    <w:rPr>
      <w:sz w:val="24"/>
      <w:szCs w:val="24"/>
    </w:rPr>
    <w:tblPr>
      <w:tblBorders>
        <w:top w:val="single" w:sz="12" w:space="0" w:color="000000"/>
        <w:left w:val="single" w:sz="12" w:space="0" w:color="000000"/>
        <w:bottom w:val="single" w:sz="12" w:space="0" w:color="000000"/>
        <w:right w:val="single" w:sz="12" w:space="0" w:color="000000"/>
        <w:insideV w:val="single" w:sz="6" w:space="0" w:color="000000"/>
      </w:tblBorders>
    </w:tblPr>
    <w:tcPr>
      <w:shd w:val="clear" w:color="auto" w:fill="auto"/>
    </w:tcPr>
    <w:tblStylePr w:type="firstRow">
      <w:rPr>
        <w:b/>
        <w:bCs/>
      </w:rPr>
      <w:tblPr/>
      <w:tcPr>
        <w:tcBorders>
          <w:bottom w:val="single" w:sz="6" w:space="0" w:color="000000"/>
          <w:tl2br w:val="none" w:sz="0" w:space="0" w:color="auto"/>
          <w:tr2bl w:val="none" w:sz="0" w:space="0" w:color="auto"/>
        </w:tcBorders>
      </w:tcPr>
    </w:tblStylePr>
    <w:tblStylePr w:type="lastRow">
      <w:rPr>
        <w:color w:val="auto"/>
      </w:rPr>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nwCell">
      <w:tblPr/>
      <w:tcPr>
        <w:tcBorders>
          <w:tl2br w:val="single" w:sz="6" w:space="0" w:color="000000"/>
          <w:tr2bl w:val="none" w:sz="0" w:space="0" w:color="auto"/>
        </w:tcBorders>
      </w:tcPr>
    </w:tblStylePr>
  </w:style>
  <w:style w:type="table" w:styleId="TableGrid7">
    <w:name w:val="Table Grid 7"/>
    <w:basedOn w:val="TableNormal"/>
    <w:uiPriority w:val="99"/>
    <w:semiHidden/>
    <w:unhideWhenUsed/>
    <w:rsid w:val="00A00672"/>
    <w:pPr>
      <w:jc w:val="both"/>
    </w:pPr>
    <w:rPr>
      <w:b/>
      <w:bCs/>
      <w:sz w:val="24"/>
      <w:szCs w:val="24"/>
    </w:rPr>
    <w:tblPr>
      <w:tblBorders>
        <w:top w:val="single" w:sz="12" w:space="0" w:color="000000"/>
        <w:left w:val="single" w:sz="12" w:space="0" w:color="000000"/>
        <w:bottom w:val="single" w:sz="12" w:space="0" w:color="000000"/>
        <w:right w:val="single" w:sz="12" w:space="0" w:color="000000"/>
        <w:insideH w:val="single" w:sz="6" w:space="0" w:color="000000"/>
        <w:insideV w:val="single" w:sz="6" w:space="0" w:color="000000"/>
      </w:tblBorders>
    </w:tblPr>
    <w:tcPr>
      <w:shd w:val="clear" w:color="auto" w:fill="auto"/>
    </w:tcPr>
    <w:tblStylePr w:type="firstRow">
      <w:rPr>
        <w:b w:val="0"/>
        <w:bCs w:val="0"/>
      </w:rPr>
      <w:tblPr/>
      <w:tcPr>
        <w:tcBorders>
          <w:bottom w:val="single" w:sz="12" w:space="0" w:color="000000"/>
          <w:tl2br w:val="none" w:sz="0" w:space="0" w:color="auto"/>
          <w:tr2bl w:val="none" w:sz="0" w:space="0" w:color="auto"/>
        </w:tcBorders>
      </w:tcPr>
    </w:tblStylePr>
    <w:tblStylePr w:type="lastRow">
      <w:rPr>
        <w:b w:val="0"/>
        <w:bCs w:val="0"/>
      </w:rPr>
      <w:tblPr/>
      <w:tcPr>
        <w:tcBorders>
          <w:top w:val="single" w:sz="6" w:space="0" w:color="000000"/>
          <w:tl2br w:val="none" w:sz="0" w:space="0" w:color="auto"/>
          <w:tr2bl w:val="none" w:sz="0" w:space="0" w:color="auto"/>
        </w:tcBorders>
      </w:tcPr>
    </w:tblStylePr>
    <w:tblStylePr w:type="firstCol">
      <w:rPr>
        <w:b w:val="0"/>
        <w:bCs w:val="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nwCell">
      <w:tblPr/>
      <w:tcPr>
        <w:tcBorders>
          <w:tl2br w:val="single" w:sz="6" w:space="0" w:color="000000"/>
          <w:tr2bl w:val="none" w:sz="0" w:space="0" w:color="auto"/>
        </w:tcBorders>
      </w:tcPr>
    </w:tblStylePr>
  </w:style>
  <w:style w:type="table" w:styleId="TableGrid8">
    <w:name w:val="Table Grid 8"/>
    <w:basedOn w:val="TableNormal"/>
    <w:uiPriority w:val="99"/>
    <w:semiHidden/>
    <w:unhideWhenUsed/>
    <w:rsid w:val="00A00672"/>
    <w:pPr>
      <w:jc w:val="both"/>
    </w:pPr>
    <w:rPr>
      <w:sz w:val="24"/>
      <w:szCs w:val="24"/>
    </w:rPr>
    <w:tblPr>
      <w:tblBorders>
        <w:top w:val="single" w:sz="6" w:space="0" w:color="000080"/>
        <w:left w:val="single" w:sz="6" w:space="0" w:color="000080"/>
        <w:bottom w:val="single" w:sz="6" w:space="0" w:color="000080"/>
        <w:right w:val="single" w:sz="6" w:space="0" w:color="000080"/>
        <w:insideH w:val="single" w:sz="6" w:space="0" w:color="000080"/>
        <w:insideV w:val="single" w:sz="6" w:space="0" w:color="000080"/>
      </w:tblBorders>
    </w:tblPr>
    <w:tcPr>
      <w:shd w:val="clear" w:color="auto" w:fill="auto"/>
    </w:tcPr>
    <w:tblStylePr w:type="firstRow">
      <w:rPr>
        <w:b/>
        <w:bCs/>
        <w:color w:val="FFFFFF"/>
      </w:rPr>
      <w:tblPr/>
      <w:tcPr>
        <w:tcBorders>
          <w:tl2br w:val="none" w:sz="0" w:space="0" w:color="auto"/>
          <w:tr2bl w:val="none" w:sz="0" w:space="0" w:color="auto"/>
        </w:tcBorders>
        <w:shd w:val="solid" w:color="000080" w:fill="FFFFFF"/>
      </w:tcPr>
    </w:tblStylePr>
    <w:tblStylePr w:type="lastRow">
      <w:rPr>
        <w:b/>
        <w:bCs/>
        <w:color w:val="auto"/>
      </w:rPr>
      <w:tblPr/>
      <w:tcPr>
        <w:tcBorders>
          <w:tl2br w:val="none" w:sz="0" w:space="0" w:color="auto"/>
          <w:tr2bl w:val="none" w:sz="0" w:space="0" w:color="auto"/>
        </w:tcBorders>
      </w:tcPr>
    </w:tblStylePr>
    <w:tblStylePr w:type="lastCol">
      <w:rPr>
        <w:b/>
        <w:bCs/>
        <w:color w:val="auto"/>
      </w:rPr>
      <w:tblPr/>
      <w:tcPr>
        <w:tcBorders>
          <w:tl2br w:val="none" w:sz="0" w:space="0" w:color="auto"/>
          <w:tr2bl w:val="none" w:sz="0" w:space="0" w:color="auto"/>
        </w:tcBorders>
      </w:tcPr>
    </w:tblStylePr>
  </w:style>
  <w:style w:type="table" w:styleId="TableList1">
    <w:name w:val="Table List 1"/>
    <w:basedOn w:val="TableNormal"/>
    <w:uiPriority w:val="99"/>
    <w:semiHidden/>
    <w:unhideWhenUsed/>
    <w:rsid w:val="00A00672"/>
    <w:pPr>
      <w:jc w:val="both"/>
    </w:pPr>
    <w:rPr>
      <w:sz w:val="24"/>
      <w:szCs w:val="24"/>
    </w:rPr>
    <w:tblPr>
      <w:tblStyleRowBandSize w:val="1"/>
      <w:tblBorders>
        <w:top w:val="single" w:sz="12" w:space="0" w:color="008080"/>
        <w:left w:val="single" w:sz="6" w:space="0" w:color="008080"/>
        <w:bottom w:val="single" w:sz="12" w:space="0" w:color="008080"/>
        <w:right w:val="single" w:sz="6" w:space="0" w:color="008080"/>
      </w:tblBorders>
    </w:tblPr>
    <w:tblStylePr w:type="firstRow">
      <w:rPr>
        <w:b/>
        <w:bCs/>
        <w:i/>
        <w:iCs/>
        <w:color w:val="800000"/>
      </w:rPr>
      <w:tblPr/>
      <w:tcPr>
        <w:tcBorders>
          <w:bottom w:val="single" w:sz="6" w:space="0" w:color="000000"/>
          <w:tl2br w:val="none" w:sz="0" w:space="0" w:color="auto"/>
          <w:tr2bl w:val="none" w:sz="0" w:space="0" w:color="auto"/>
        </w:tcBorders>
        <w:shd w:val="solid" w:color="C0C0C0" w:fill="FFFFFF"/>
      </w:tcPr>
    </w:tblStylePr>
    <w:tblStylePr w:type="lastRow">
      <w:tblPr/>
      <w:tcPr>
        <w:tcBorders>
          <w:top w:val="single" w:sz="6" w:space="0" w:color="000000"/>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solid" w:color="C0C0C0" w:fill="FFFFFF"/>
      </w:tcPr>
    </w:tblStylePr>
    <w:tblStylePr w:type="band2Horz">
      <w:rPr>
        <w:color w:val="auto"/>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List2">
    <w:name w:val="Table List 2"/>
    <w:basedOn w:val="TableNormal"/>
    <w:uiPriority w:val="99"/>
    <w:semiHidden/>
    <w:unhideWhenUsed/>
    <w:rsid w:val="00A00672"/>
    <w:pPr>
      <w:jc w:val="both"/>
    </w:pPr>
    <w:rPr>
      <w:sz w:val="24"/>
      <w:szCs w:val="24"/>
    </w:rPr>
    <w:tblPr>
      <w:tblStyleRowBandSize w:val="2"/>
      <w:tblBorders>
        <w:bottom w:val="single" w:sz="12" w:space="0" w:color="808080"/>
      </w:tblBorders>
    </w:tblPr>
    <w:tblStylePr w:type="firstRow">
      <w:rPr>
        <w:b/>
        <w:bCs/>
        <w:color w:val="FFFFFF"/>
      </w:rPr>
      <w:tblPr/>
      <w:tcPr>
        <w:tcBorders>
          <w:bottom w:val="single" w:sz="6" w:space="0" w:color="000000"/>
          <w:tl2br w:val="none" w:sz="0" w:space="0" w:color="auto"/>
          <w:tr2bl w:val="none" w:sz="0" w:space="0" w:color="auto"/>
        </w:tcBorders>
        <w:shd w:val="pct75" w:color="008080" w:fill="008000"/>
      </w:tcPr>
    </w:tblStylePr>
    <w:tblStylePr w:type="lastRow">
      <w:tblPr/>
      <w:tcPr>
        <w:tcBorders>
          <w:top w:val="single" w:sz="6" w:space="0" w:color="000000"/>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pct20" w:color="00FF00" w:fill="FFFFFF"/>
      </w:tcPr>
    </w:tblStylePr>
    <w:tblStylePr w:type="band2Horz">
      <w:rPr>
        <w:color w:val="auto"/>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List3">
    <w:name w:val="Table List 3"/>
    <w:basedOn w:val="TableNormal"/>
    <w:uiPriority w:val="99"/>
    <w:semiHidden/>
    <w:unhideWhenUsed/>
    <w:rsid w:val="00A00672"/>
    <w:pPr>
      <w:jc w:val="both"/>
    </w:pPr>
    <w:rPr>
      <w:sz w:val="24"/>
      <w:szCs w:val="24"/>
    </w:rPr>
    <w:tblPr>
      <w:tblBorders>
        <w:top w:val="single" w:sz="12" w:space="0" w:color="000000"/>
        <w:bottom w:val="single" w:sz="12" w:space="0" w:color="000000"/>
        <w:insideH w:val="single" w:sz="6" w:space="0" w:color="000000"/>
      </w:tblBorders>
    </w:tblPr>
    <w:tcPr>
      <w:shd w:val="clear" w:color="auto" w:fill="auto"/>
    </w:tcPr>
    <w:tblStylePr w:type="firstRow">
      <w:rPr>
        <w:b/>
        <w:bCs/>
        <w:color w:val="000080"/>
      </w:rPr>
      <w:tblPr/>
      <w:tcPr>
        <w:tcBorders>
          <w:bottom w:val="single" w:sz="12" w:space="0" w:color="000000"/>
          <w:tl2br w:val="none" w:sz="0" w:space="0" w:color="auto"/>
          <w:tr2bl w:val="none" w:sz="0" w:space="0" w:color="auto"/>
        </w:tcBorders>
      </w:tcPr>
    </w:tblStylePr>
    <w:tblStylePr w:type="lastRow">
      <w:tblPr/>
      <w:tcPr>
        <w:tcBorders>
          <w:top w:val="single" w:sz="12" w:space="0" w:color="000000"/>
          <w:tl2br w:val="none" w:sz="0" w:space="0" w:color="auto"/>
          <w:tr2bl w:val="none" w:sz="0" w:space="0" w:color="auto"/>
        </w:tcBorders>
      </w:tcPr>
    </w:tblStylePr>
    <w:tblStylePr w:type="swCell">
      <w:rPr>
        <w:i/>
        <w:iCs/>
        <w:color w:val="000080"/>
      </w:rPr>
      <w:tblPr/>
      <w:tcPr>
        <w:tcBorders>
          <w:tl2br w:val="none" w:sz="0" w:space="0" w:color="auto"/>
          <w:tr2bl w:val="none" w:sz="0" w:space="0" w:color="auto"/>
        </w:tcBorders>
      </w:tcPr>
    </w:tblStylePr>
  </w:style>
  <w:style w:type="table" w:styleId="TableList4">
    <w:name w:val="Table List 4"/>
    <w:basedOn w:val="TableNormal"/>
    <w:uiPriority w:val="99"/>
    <w:semiHidden/>
    <w:unhideWhenUsed/>
    <w:rsid w:val="00A00672"/>
    <w:pPr>
      <w:jc w:val="both"/>
    </w:pPr>
    <w:rPr>
      <w:sz w:val="24"/>
      <w:szCs w:val="24"/>
    </w:rPr>
    <w:tblPr>
      <w:tblBorders>
        <w:top w:val="single" w:sz="12" w:space="0" w:color="000000"/>
        <w:left w:val="single" w:sz="12" w:space="0" w:color="000000"/>
        <w:bottom w:val="single" w:sz="12" w:space="0" w:color="000000"/>
        <w:right w:val="single" w:sz="12" w:space="0" w:color="000000"/>
        <w:insideH w:val="single" w:sz="6" w:space="0" w:color="000000"/>
      </w:tblBorders>
    </w:tblPr>
    <w:tcPr>
      <w:shd w:val="clear" w:color="auto" w:fill="auto"/>
    </w:tcPr>
    <w:tblStylePr w:type="firstRow">
      <w:rPr>
        <w:b/>
        <w:bCs/>
        <w:color w:val="FFFFFF"/>
      </w:rPr>
      <w:tblPr/>
      <w:tcPr>
        <w:tcBorders>
          <w:bottom w:val="single" w:sz="12" w:space="0" w:color="000000"/>
          <w:tl2br w:val="none" w:sz="0" w:space="0" w:color="auto"/>
          <w:tr2bl w:val="none" w:sz="0" w:space="0" w:color="auto"/>
        </w:tcBorders>
        <w:shd w:val="solid" w:color="808080" w:fill="FFFFFF"/>
      </w:tcPr>
    </w:tblStylePr>
  </w:style>
  <w:style w:type="table" w:styleId="TableList5">
    <w:name w:val="Table List 5"/>
    <w:basedOn w:val="TableNormal"/>
    <w:uiPriority w:val="99"/>
    <w:semiHidden/>
    <w:unhideWhenUsed/>
    <w:rsid w:val="00A00672"/>
    <w:pPr>
      <w:jc w:val="both"/>
    </w:pPr>
    <w:rPr>
      <w:sz w:val="24"/>
      <w:szCs w:val="24"/>
    </w:rPr>
    <w:tblPr>
      <w:tblBorders>
        <w:top w:val="single" w:sz="6" w:space="0" w:color="000000"/>
        <w:left w:val="single" w:sz="6" w:space="0" w:color="000000"/>
        <w:bottom w:val="single" w:sz="6" w:space="0" w:color="000000"/>
        <w:right w:val="single" w:sz="6" w:space="0" w:color="000000"/>
        <w:insideH w:val="single" w:sz="6" w:space="0" w:color="000000"/>
      </w:tblBorders>
    </w:tblPr>
    <w:tcPr>
      <w:shd w:val="clear" w:color="auto" w:fill="auto"/>
    </w:tcPr>
    <w:tblStylePr w:type="firstRow">
      <w:rPr>
        <w:b/>
        <w:bCs/>
      </w:rPr>
      <w:tblPr/>
      <w:tcPr>
        <w:tcBorders>
          <w:bottom w:val="single" w:sz="12"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style>
  <w:style w:type="table" w:styleId="TableList6">
    <w:name w:val="Table List 6"/>
    <w:basedOn w:val="TableNormal"/>
    <w:uiPriority w:val="99"/>
    <w:semiHidden/>
    <w:unhideWhenUsed/>
    <w:rsid w:val="00A00672"/>
    <w:pPr>
      <w:jc w:val="both"/>
    </w:pPr>
    <w:rPr>
      <w:sz w:val="24"/>
      <w:szCs w:val="24"/>
    </w:rPr>
    <w:tblPr>
      <w:tblStyleRowBandSize w:val="1"/>
      <w:tblBorders>
        <w:top w:val="single" w:sz="6" w:space="0" w:color="000000"/>
        <w:left w:val="single" w:sz="6" w:space="0" w:color="000000"/>
        <w:bottom w:val="single" w:sz="6" w:space="0" w:color="000000"/>
        <w:right w:val="single" w:sz="6" w:space="0" w:color="000000"/>
      </w:tblBorders>
    </w:tblPr>
    <w:tcPr>
      <w:shd w:val="pct50" w:color="000000" w:fill="FFFFFF"/>
    </w:tcPr>
    <w:tblStylePr w:type="firstRow">
      <w:rPr>
        <w:b/>
        <w:bCs/>
      </w:rPr>
      <w:tblPr/>
      <w:tcPr>
        <w:tcBorders>
          <w:bottom w:val="single" w:sz="12" w:space="0" w:color="000000"/>
          <w:tl2br w:val="none" w:sz="0" w:space="0" w:color="auto"/>
          <w:tr2bl w:val="none" w:sz="0" w:space="0" w:color="auto"/>
        </w:tcBorders>
      </w:tcPr>
    </w:tblStylePr>
    <w:tblStylePr w:type="firstCol">
      <w:rPr>
        <w:b/>
        <w:bCs/>
      </w:rPr>
      <w:tblPr/>
      <w:tcPr>
        <w:tcBorders>
          <w:right w:val="single" w:sz="12" w:space="0" w:color="000000"/>
          <w:tl2br w:val="none" w:sz="0" w:space="0" w:color="auto"/>
          <w:tr2bl w:val="none" w:sz="0" w:space="0" w:color="auto"/>
        </w:tcBorders>
      </w:tcPr>
    </w:tblStylePr>
    <w:tblStylePr w:type="band1Horz">
      <w:tblPr/>
      <w:tcPr>
        <w:tcBorders>
          <w:tl2br w:val="none" w:sz="0" w:space="0" w:color="auto"/>
          <w:tr2bl w:val="none" w:sz="0" w:space="0" w:color="auto"/>
        </w:tcBorders>
        <w:shd w:val="pct25" w:color="000000" w:fill="FFFFFF"/>
      </w:tcPr>
    </w:tblStylePr>
  </w:style>
  <w:style w:type="table" w:styleId="TableList7">
    <w:name w:val="Table List 7"/>
    <w:basedOn w:val="TableNormal"/>
    <w:uiPriority w:val="99"/>
    <w:semiHidden/>
    <w:unhideWhenUsed/>
    <w:rsid w:val="00A00672"/>
    <w:pPr>
      <w:jc w:val="both"/>
    </w:pPr>
    <w:rPr>
      <w:sz w:val="24"/>
      <w:szCs w:val="24"/>
    </w:rPr>
    <w:tblPr>
      <w:tblStyleRowBandSize w:val="1"/>
      <w:tblBorders>
        <w:top w:val="single" w:sz="12" w:space="0" w:color="008000"/>
        <w:left w:val="single" w:sz="6" w:space="0" w:color="008000"/>
        <w:bottom w:val="single" w:sz="12" w:space="0" w:color="008000"/>
        <w:right w:val="single" w:sz="6" w:space="0" w:color="008000"/>
        <w:insideH w:val="single" w:sz="6" w:space="0" w:color="000000"/>
      </w:tblBorders>
    </w:tblPr>
    <w:tblStylePr w:type="firstRow">
      <w:rPr>
        <w:b/>
        <w:bCs/>
      </w:rPr>
      <w:tblPr/>
      <w:tcPr>
        <w:tcBorders>
          <w:bottom w:val="single" w:sz="12" w:space="0" w:color="008000"/>
          <w:tl2br w:val="none" w:sz="0" w:space="0" w:color="auto"/>
          <w:tr2bl w:val="none" w:sz="0" w:space="0" w:color="auto"/>
        </w:tcBorders>
        <w:shd w:val="solid" w:color="C0C0C0" w:fill="FFFFFF"/>
      </w:tcPr>
    </w:tblStylePr>
    <w:tblStylePr w:type="lastRow">
      <w:rPr>
        <w:b/>
        <w:bCs/>
      </w:rPr>
      <w:tblPr/>
      <w:tcPr>
        <w:tcBorders>
          <w:top w:val="single" w:sz="12" w:space="0" w:color="008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pct20" w:color="000000" w:fill="FFFFFF"/>
      </w:tcPr>
    </w:tblStylePr>
    <w:tblStylePr w:type="band2Horz">
      <w:tblPr/>
      <w:tcPr>
        <w:tcBorders>
          <w:tl2br w:val="none" w:sz="0" w:space="0" w:color="auto"/>
          <w:tr2bl w:val="none" w:sz="0" w:space="0" w:color="auto"/>
        </w:tcBorders>
        <w:shd w:val="pct25" w:color="FFFF00" w:fill="FFFFFF"/>
      </w:tcPr>
    </w:tblStylePr>
  </w:style>
  <w:style w:type="table" w:styleId="TableList8">
    <w:name w:val="Table List 8"/>
    <w:basedOn w:val="TableNormal"/>
    <w:uiPriority w:val="99"/>
    <w:semiHidden/>
    <w:unhideWhenUsed/>
    <w:rsid w:val="00A00672"/>
    <w:pPr>
      <w:jc w:val="both"/>
    </w:pPr>
    <w:rPr>
      <w:sz w:val="24"/>
      <w:szCs w:val="24"/>
    </w:rPr>
    <w:tblPr>
      <w:tblStyleRowBandSize w:val="1"/>
      <w:tblBorders>
        <w:top w:val="single" w:sz="6" w:space="0" w:color="000000"/>
        <w:left w:val="single" w:sz="6" w:space="0" w:color="000000"/>
        <w:bottom w:val="single" w:sz="6" w:space="0" w:color="000000"/>
        <w:right w:val="single" w:sz="6" w:space="0" w:color="000000"/>
        <w:insideV w:val="single" w:sz="6" w:space="0" w:color="000000"/>
      </w:tblBorders>
    </w:tblPr>
    <w:tblStylePr w:type="firstRow">
      <w:rPr>
        <w:b/>
        <w:bCs/>
        <w:i/>
        <w:iCs/>
      </w:rPr>
      <w:tblPr/>
      <w:tcPr>
        <w:tcBorders>
          <w:bottom w:val="single" w:sz="6" w:space="0" w:color="000000"/>
          <w:tl2br w:val="none" w:sz="0" w:space="0" w:color="auto"/>
          <w:tr2bl w:val="none" w:sz="0" w:space="0" w:color="auto"/>
        </w:tcBorders>
        <w:shd w:val="solid" w:color="FFFF00" w:fill="FFFFFF"/>
      </w:tcPr>
    </w:tblStylePr>
    <w:tblStylePr w:type="lastRow">
      <w:rPr>
        <w:b/>
        <w:bCs/>
      </w:rPr>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pct25" w:color="FFFF00" w:fill="FFFFFF"/>
      </w:tcPr>
    </w:tblStylePr>
    <w:tblStylePr w:type="band2Horz">
      <w:tblPr/>
      <w:tcPr>
        <w:tcBorders>
          <w:tl2br w:val="none" w:sz="0" w:space="0" w:color="auto"/>
          <w:tr2bl w:val="none" w:sz="0" w:space="0" w:color="auto"/>
        </w:tcBorders>
        <w:shd w:val="pct50" w:color="FF0000" w:fill="FFFFFF"/>
      </w:tcPr>
    </w:tblStylePr>
  </w:style>
  <w:style w:type="paragraph" w:styleId="TableofAuthorities">
    <w:name w:val="table of authorities"/>
    <w:basedOn w:val="Normal"/>
    <w:next w:val="Normal"/>
    <w:uiPriority w:val="99"/>
    <w:semiHidden/>
    <w:rsid w:val="00A00672"/>
    <w:pPr>
      <w:ind w:left="240" w:hanging="240"/>
    </w:pPr>
  </w:style>
  <w:style w:type="paragraph" w:styleId="TableofFigures">
    <w:name w:val="table of figures"/>
    <w:basedOn w:val="Normal"/>
    <w:next w:val="Normal"/>
    <w:uiPriority w:val="99"/>
    <w:semiHidden/>
    <w:rsid w:val="00A00672"/>
  </w:style>
  <w:style w:type="table" w:styleId="TableProfessional">
    <w:name w:val="Table Professional"/>
    <w:basedOn w:val="TableNormal"/>
    <w:uiPriority w:val="99"/>
    <w:semiHidden/>
    <w:unhideWhenUsed/>
    <w:rsid w:val="00A00672"/>
    <w:pPr>
      <w:jc w:val="both"/>
    </w:pPr>
    <w:rPr>
      <w:sz w:val="24"/>
      <w:szCs w:val="24"/>
    </w:rPr>
    <w:tblPr>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Pr>
    <w:tcPr>
      <w:shd w:val="clear" w:color="auto" w:fill="auto"/>
    </w:tcPr>
    <w:tblStylePr w:type="firstRow">
      <w:rPr>
        <w:b/>
        <w:bCs/>
        <w:color w:val="auto"/>
      </w:rPr>
      <w:tblPr/>
      <w:tcPr>
        <w:tcBorders>
          <w:tl2br w:val="none" w:sz="0" w:space="0" w:color="auto"/>
          <w:tr2bl w:val="none" w:sz="0" w:space="0" w:color="auto"/>
        </w:tcBorders>
        <w:shd w:val="solid" w:color="000000" w:fill="FFFFFF"/>
      </w:tcPr>
    </w:tblStylePr>
  </w:style>
  <w:style w:type="table" w:styleId="TableSimple1">
    <w:name w:val="Table Simple 1"/>
    <w:basedOn w:val="TableNormal"/>
    <w:uiPriority w:val="99"/>
    <w:semiHidden/>
    <w:unhideWhenUsed/>
    <w:rsid w:val="00A00672"/>
    <w:pPr>
      <w:jc w:val="both"/>
    </w:pPr>
    <w:rPr>
      <w:sz w:val="24"/>
      <w:szCs w:val="24"/>
    </w:rPr>
    <w:tblPr>
      <w:tblBorders>
        <w:top w:val="single" w:sz="12" w:space="0" w:color="008000"/>
        <w:bottom w:val="single" w:sz="12" w:space="0" w:color="008000"/>
      </w:tblBorders>
    </w:tblPr>
    <w:tcPr>
      <w:shd w:val="clear" w:color="auto" w:fill="auto"/>
    </w:tcPr>
    <w:tblStylePr w:type="firstRow">
      <w:tblPr/>
      <w:tcPr>
        <w:tcBorders>
          <w:bottom w:val="single" w:sz="6" w:space="0" w:color="008000"/>
          <w:tl2br w:val="none" w:sz="0" w:space="0" w:color="auto"/>
          <w:tr2bl w:val="none" w:sz="0" w:space="0" w:color="auto"/>
        </w:tcBorders>
      </w:tcPr>
    </w:tblStylePr>
    <w:tblStylePr w:type="lastRow">
      <w:tblPr/>
      <w:tcPr>
        <w:tcBorders>
          <w:top w:val="single" w:sz="6" w:space="0" w:color="008000"/>
          <w:tl2br w:val="none" w:sz="0" w:space="0" w:color="auto"/>
          <w:tr2bl w:val="none" w:sz="0" w:space="0" w:color="auto"/>
        </w:tcBorders>
      </w:tcPr>
    </w:tblStylePr>
  </w:style>
  <w:style w:type="table" w:styleId="TableSimple2">
    <w:name w:val="Table Simple 2"/>
    <w:basedOn w:val="TableNormal"/>
    <w:uiPriority w:val="99"/>
    <w:semiHidden/>
    <w:unhideWhenUsed/>
    <w:rsid w:val="00A00672"/>
    <w:pPr>
      <w:jc w:val="both"/>
    </w:pPr>
    <w:rPr>
      <w:sz w:val="24"/>
      <w:szCs w:val="24"/>
    </w:rPr>
    <w:tblPr/>
    <w:tblStylePr w:type="firstRow">
      <w:rPr>
        <w:b/>
        <w:bCs/>
      </w:rPr>
      <w:tblPr/>
      <w:tcPr>
        <w:tcBorders>
          <w:bottom w:val="single" w:sz="12" w:space="0" w:color="000000"/>
          <w:tl2br w:val="none" w:sz="0" w:space="0" w:color="auto"/>
          <w:tr2bl w:val="none" w:sz="0" w:space="0" w:color="auto"/>
        </w:tcBorders>
      </w:tcPr>
    </w:tblStylePr>
    <w:tblStylePr w:type="lastRow">
      <w:rPr>
        <w:b/>
        <w:bCs/>
        <w:color w:val="auto"/>
      </w:rPr>
      <w:tblPr/>
      <w:tcPr>
        <w:tcBorders>
          <w:top w:val="single" w:sz="6" w:space="0" w:color="000000"/>
          <w:tl2br w:val="none" w:sz="0" w:space="0" w:color="auto"/>
          <w:tr2bl w:val="none" w:sz="0" w:space="0" w:color="auto"/>
        </w:tcBorders>
      </w:tcPr>
    </w:tblStylePr>
    <w:tblStylePr w:type="firstCol">
      <w:rPr>
        <w:b/>
        <w:bCs/>
      </w:rPr>
      <w:tblPr/>
      <w:tcPr>
        <w:tcBorders>
          <w:right w:val="single" w:sz="12" w:space="0" w:color="000000"/>
          <w:tl2br w:val="none" w:sz="0" w:space="0" w:color="auto"/>
          <w:tr2bl w:val="none" w:sz="0" w:space="0" w:color="auto"/>
        </w:tcBorders>
      </w:tcPr>
    </w:tblStylePr>
    <w:tblStylePr w:type="lastCol">
      <w:rPr>
        <w:b/>
        <w:bCs/>
      </w:rPr>
      <w:tblPr/>
      <w:tcPr>
        <w:tcBorders>
          <w:left w:val="single" w:sz="6" w:space="0" w:color="000000"/>
          <w:tl2br w:val="none" w:sz="0" w:space="0" w:color="auto"/>
          <w:tr2bl w:val="none" w:sz="0" w:space="0" w:color="auto"/>
        </w:tcBorders>
      </w:tcPr>
    </w:tblStylePr>
    <w:tblStylePr w:type="neCell">
      <w:rPr>
        <w:b/>
        <w:bCs/>
      </w:rPr>
      <w:tblPr/>
      <w:tcPr>
        <w:tcBorders>
          <w:left w:val="none" w:sz="0" w:space="0" w:color="auto"/>
          <w:tl2br w:val="none" w:sz="0" w:space="0" w:color="auto"/>
          <w:tr2bl w:val="none" w:sz="0" w:space="0" w:color="auto"/>
        </w:tcBorders>
      </w:tcPr>
    </w:tblStylePr>
    <w:tblStylePr w:type="swCell">
      <w:rPr>
        <w:b/>
        <w:bCs/>
      </w:rPr>
      <w:tblPr/>
      <w:tcPr>
        <w:tcBorders>
          <w:top w:val="none" w:sz="0" w:space="0" w:color="auto"/>
          <w:tl2br w:val="none" w:sz="0" w:space="0" w:color="auto"/>
          <w:tr2bl w:val="none" w:sz="0" w:space="0" w:color="auto"/>
        </w:tcBorders>
      </w:tcPr>
    </w:tblStylePr>
  </w:style>
  <w:style w:type="table" w:styleId="TableSimple3">
    <w:name w:val="Table Simple 3"/>
    <w:basedOn w:val="TableNormal"/>
    <w:uiPriority w:val="99"/>
    <w:semiHidden/>
    <w:unhideWhenUsed/>
    <w:rsid w:val="00A00672"/>
    <w:pPr>
      <w:jc w:val="both"/>
    </w:pPr>
    <w:rPr>
      <w:sz w:val="24"/>
      <w:szCs w:val="24"/>
    </w:rPr>
    <w:tblPr>
      <w:tblBorders>
        <w:top w:val="single" w:sz="12" w:space="0" w:color="000000"/>
        <w:left w:val="single" w:sz="12" w:space="0" w:color="000000"/>
        <w:bottom w:val="single" w:sz="12" w:space="0" w:color="000000"/>
        <w:right w:val="single" w:sz="12" w:space="0" w:color="000000"/>
      </w:tblBorders>
    </w:tblPr>
    <w:tcPr>
      <w:shd w:val="clear" w:color="auto" w:fill="auto"/>
    </w:tcPr>
    <w:tblStylePr w:type="firstRow">
      <w:rPr>
        <w:b/>
        <w:bCs/>
        <w:color w:val="FFFFFF"/>
      </w:rPr>
      <w:tblPr/>
      <w:tcPr>
        <w:tcBorders>
          <w:tl2br w:val="none" w:sz="0" w:space="0" w:color="auto"/>
          <w:tr2bl w:val="none" w:sz="0" w:space="0" w:color="auto"/>
        </w:tcBorders>
        <w:shd w:val="solid" w:color="000000" w:fill="FFFFFF"/>
      </w:tcPr>
    </w:tblStylePr>
  </w:style>
  <w:style w:type="table" w:styleId="TableSubtle1">
    <w:name w:val="Table Subtle 1"/>
    <w:basedOn w:val="TableNormal"/>
    <w:uiPriority w:val="99"/>
    <w:semiHidden/>
    <w:unhideWhenUsed/>
    <w:rsid w:val="00A00672"/>
    <w:pPr>
      <w:jc w:val="both"/>
    </w:pPr>
    <w:rPr>
      <w:sz w:val="24"/>
      <w:szCs w:val="24"/>
    </w:rPr>
    <w:tblPr>
      <w:tblStyleRowBandSize w:val="1"/>
    </w:tblPr>
    <w:tblStylePr w:type="firstRow">
      <w:tblPr/>
      <w:tcPr>
        <w:tcBorders>
          <w:top w:val="single" w:sz="6" w:space="0" w:color="000000"/>
          <w:bottom w:val="single" w:sz="12" w:space="0" w:color="000000"/>
          <w:tl2br w:val="none" w:sz="0" w:space="0" w:color="auto"/>
          <w:tr2bl w:val="none" w:sz="0" w:space="0" w:color="auto"/>
        </w:tcBorders>
      </w:tcPr>
    </w:tblStylePr>
    <w:tblStylePr w:type="lastRow">
      <w:tblPr/>
      <w:tcPr>
        <w:tcBorders>
          <w:top w:val="single" w:sz="12" w:space="0" w:color="000000"/>
          <w:tl2br w:val="none" w:sz="0" w:space="0" w:color="auto"/>
          <w:tr2bl w:val="none" w:sz="0" w:space="0" w:color="auto"/>
        </w:tcBorders>
        <w:shd w:val="pct25" w:color="800080" w:fill="FFFFFF"/>
      </w:tcPr>
    </w:tblStylePr>
    <w:tblStylePr w:type="firstCol">
      <w:tblPr/>
      <w:tcPr>
        <w:tcBorders>
          <w:right w:val="single" w:sz="12" w:space="0" w:color="000000"/>
          <w:tl2br w:val="none" w:sz="0" w:space="0" w:color="auto"/>
          <w:tr2bl w:val="none" w:sz="0" w:space="0" w:color="auto"/>
        </w:tcBorders>
      </w:tcPr>
    </w:tblStylePr>
    <w:tblStylePr w:type="lastCol">
      <w:tblPr/>
      <w:tcPr>
        <w:tcBorders>
          <w:left w:val="single" w:sz="12" w:space="0" w:color="000000"/>
          <w:tl2br w:val="none" w:sz="0" w:space="0" w:color="auto"/>
          <w:tr2bl w:val="none" w:sz="0" w:space="0" w:color="auto"/>
        </w:tcBorders>
      </w:tcPr>
    </w:tblStylePr>
    <w:tblStylePr w:type="band1Horz">
      <w:tblPr/>
      <w:tcPr>
        <w:tcBorders>
          <w:bottom w:val="single" w:sz="6" w:space="0" w:color="000000"/>
          <w:tl2br w:val="none" w:sz="0" w:space="0" w:color="auto"/>
          <w:tr2bl w:val="none" w:sz="0" w:space="0" w:color="auto"/>
        </w:tcBorders>
        <w:shd w:val="pct25" w:color="8080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Subtle2">
    <w:name w:val="Table Subtle 2"/>
    <w:basedOn w:val="TableNormal"/>
    <w:uiPriority w:val="99"/>
    <w:semiHidden/>
    <w:unhideWhenUsed/>
    <w:rsid w:val="00A00672"/>
    <w:pPr>
      <w:jc w:val="both"/>
    </w:pPr>
    <w:rPr>
      <w:sz w:val="24"/>
      <w:szCs w:val="24"/>
    </w:rPr>
    <w:tblPr>
      <w:tblBorders>
        <w:left w:val="single" w:sz="6" w:space="0" w:color="000000"/>
        <w:right w:val="single" w:sz="6" w:space="0" w:color="000000"/>
      </w:tblBorders>
    </w:tblPr>
    <w:tblStylePr w:type="firstRow">
      <w:tblPr/>
      <w:tcPr>
        <w:tcBorders>
          <w:bottom w:val="single" w:sz="12" w:space="0" w:color="000000"/>
          <w:tl2br w:val="none" w:sz="0" w:space="0" w:color="auto"/>
          <w:tr2bl w:val="none" w:sz="0" w:space="0" w:color="auto"/>
        </w:tcBorders>
      </w:tcPr>
    </w:tblStylePr>
    <w:tblStylePr w:type="lastRow">
      <w:tblPr/>
      <w:tcPr>
        <w:tcBorders>
          <w:top w:val="single" w:sz="12" w:space="0" w:color="000000"/>
          <w:tl2br w:val="none" w:sz="0" w:space="0" w:color="auto"/>
          <w:tr2bl w:val="none" w:sz="0" w:space="0" w:color="auto"/>
        </w:tcBorders>
      </w:tcPr>
    </w:tblStylePr>
    <w:tblStylePr w:type="firstCol">
      <w:tblPr/>
      <w:tcPr>
        <w:tcBorders>
          <w:right w:val="single" w:sz="12" w:space="0" w:color="000000"/>
          <w:tl2br w:val="none" w:sz="0" w:space="0" w:color="auto"/>
          <w:tr2bl w:val="none" w:sz="0" w:space="0" w:color="auto"/>
        </w:tcBorders>
        <w:shd w:val="pct25" w:color="008000" w:fill="FFFFFF"/>
      </w:tcPr>
    </w:tblStylePr>
    <w:tblStylePr w:type="lastCol">
      <w:tblPr/>
      <w:tcPr>
        <w:tcBorders>
          <w:left w:val="single" w:sz="12" w:space="0" w:color="000000"/>
          <w:tl2br w:val="none" w:sz="0" w:space="0" w:color="auto"/>
          <w:tr2bl w:val="none" w:sz="0" w:space="0" w:color="auto"/>
        </w:tcBorders>
        <w:shd w:val="pct25" w:color="8080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Theme">
    <w:name w:val="Table Theme"/>
    <w:basedOn w:val="TableNormal"/>
    <w:uiPriority w:val="99"/>
    <w:semiHidden/>
    <w:unhideWhenUsed/>
    <w:rsid w:val="00A00672"/>
    <w:pPr>
      <w:jc w:val="both"/>
    </w:pPr>
    <w:rPr>
      <w:sz w:val="24"/>
      <w:szCs w:val="24"/>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styleId="TableWeb1">
    <w:name w:val="Table Web 1"/>
    <w:basedOn w:val="TableNormal"/>
    <w:uiPriority w:val="99"/>
    <w:semiHidden/>
    <w:unhideWhenUsed/>
    <w:rsid w:val="00A00672"/>
    <w:pPr>
      <w:jc w:val="both"/>
    </w:pPr>
    <w:rPr>
      <w:sz w:val="24"/>
      <w:szCs w:val="24"/>
    </w:rPr>
    <w:tblPr>
      <w:tblCellSpacing w:w="20" w:type="dxa"/>
      <w:tblBorders>
        <w:top w:val="outset" w:sz="6" w:space="0" w:color="auto"/>
        <w:left w:val="outset" w:sz="6" w:space="0" w:color="auto"/>
        <w:bottom w:val="outset" w:sz="6" w:space="0" w:color="auto"/>
        <w:right w:val="outset" w:sz="6" w:space="0" w:color="auto"/>
        <w:insideH w:val="outset" w:sz="6" w:space="0" w:color="auto"/>
        <w:insideV w:val="outset" w:sz="6" w:space="0" w:color="auto"/>
      </w:tblBorders>
    </w:tblPr>
    <w:trPr>
      <w:tblCellSpacing w:w="20" w:type="dxa"/>
    </w:trPr>
    <w:tcPr>
      <w:shd w:val="clear" w:color="auto" w:fill="auto"/>
    </w:tcPr>
    <w:tblStylePr w:type="firstRow">
      <w:rPr>
        <w:color w:val="auto"/>
      </w:rPr>
      <w:tblPr/>
      <w:tcPr>
        <w:tcBorders>
          <w:tl2br w:val="none" w:sz="0" w:space="0" w:color="auto"/>
          <w:tr2bl w:val="none" w:sz="0" w:space="0" w:color="auto"/>
        </w:tcBorders>
      </w:tcPr>
    </w:tblStylePr>
  </w:style>
  <w:style w:type="table" w:styleId="TableWeb2">
    <w:name w:val="Table Web 2"/>
    <w:basedOn w:val="TableNormal"/>
    <w:uiPriority w:val="99"/>
    <w:semiHidden/>
    <w:unhideWhenUsed/>
    <w:rsid w:val="00A00672"/>
    <w:pPr>
      <w:jc w:val="both"/>
    </w:pPr>
    <w:rPr>
      <w:sz w:val="24"/>
      <w:szCs w:val="24"/>
    </w:rPr>
    <w:tblPr>
      <w:tblCellSpacing w:w="20" w:type="dxa"/>
      <w:tblBorders>
        <w:top w:val="inset" w:sz="6" w:space="0" w:color="auto"/>
        <w:left w:val="inset" w:sz="6" w:space="0" w:color="auto"/>
        <w:bottom w:val="inset" w:sz="6" w:space="0" w:color="auto"/>
        <w:right w:val="inset" w:sz="6" w:space="0" w:color="auto"/>
        <w:insideH w:val="inset" w:sz="6" w:space="0" w:color="auto"/>
        <w:insideV w:val="inset" w:sz="6" w:space="0" w:color="auto"/>
      </w:tblBorders>
    </w:tblPr>
    <w:trPr>
      <w:tblCellSpacing w:w="20" w:type="dxa"/>
    </w:trPr>
    <w:tcPr>
      <w:shd w:val="clear" w:color="auto" w:fill="auto"/>
    </w:tcPr>
    <w:tblStylePr w:type="firstRow">
      <w:rPr>
        <w:color w:val="auto"/>
      </w:rPr>
      <w:tblPr/>
      <w:tcPr>
        <w:tcBorders>
          <w:tl2br w:val="none" w:sz="0" w:space="0" w:color="auto"/>
          <w:tr2bl w:val="none" w:sz="0" w:space="0" w:color="auto"/>
        </w:tcBorders>
      </w:tcPr>
    </w:tblStylePr>
  </w:style>
  <w:style w:type="table" w:styleId="TableWeb3">
    <w:name w:val="Table Web 3"/>
    <w:basedOn w:val="TableNormal"/>
    <w:uiPriority w:val="99"/>
    <w:semiHidden/>
    <w:unhideWhenUsed/>
    <w:rsid w:val="00A00672"/>
    <w:pPr>
      <w:jc w:val="both"/>
    </w:pPr>
    <w:rPr>
      <w:sz w:val="24"/>
      <w:szCs w:val="24"/>
    </w:rPr>
    <w:tblPr>
      <w:tblCellSpacing w:w="20" w:type="dxa"/>
      <w:tblBorders>
        <w:top w:val="outset" w:sz="24" w:space="0" w:color="auto"/>
        <w:left w:val="outset" w:sz="24" w:space="0" w:color="auto"/>
        <w:bottom w:val="outset" w:sz="24" w:space="0" w:color="auto"/>
        <w:right w:val="outset" w:sz="24" w:space="0" w:color="auto"/>
        <w:insideH w:val="outset" w:sz="6" w:space="0" w:color="auto"/>
        <w:insideV w:val="outset" w:sz="6" w:space="0" w:color="auto"/>
      </w:tblBorders>
    </w:tblPr>
    <w:trPr>
      <w:tblCellSpacing w:w="20" w:type="dxa"/>
    </w:trPr>
    <w:tcPr>
      <w:shd w:val="clear" w:color="auto" w:fill="auto"/>
    </w:tcPr>
    <w:tblStylePr w:type="firstRow">
      <w:rPr>
        <w:color w:val="auto"/>
      </w:rPr>
      <w:tblPr/>
      <w:tcPr>
        <w:tcBorders>
          <w:tl2br w:val="none" w:sz="0" w:space="0" w:color="auto"/>
          <w:tr2bl w:val="none" w:sz="0" w:space="0" w:color="auto"/>
        </w:tcBorders>
      </w:tcPr>
    </w:tblStylePr>
  </w:style>
  <w:style w:type="paragraph" w:styleId="TOC6">
    <w:name w:val="toc 6"/>
    <w:basedOn w:val="Normal"/>
    <w:next w:val="Normal"/>
    <w:autoRedefine/>
    <w:uiPriority w:val="99"/>
    <w:semiHidden/>
    <w:rsid w:val="00A00672"/>
    <w:pPr>
      <w:tabs>
        <w:tab w:val="right" w:leader="dot" w:pos="7371"/>
      </w:tabs>
      <w:spacing w:after="60" w:line="240" w:lineRule="exact"/>
      <w:ind w:left="2041" w:right="567" w:hanging="340"/>
    </w:pPr>
    <w:rPr>
      <w:sz w:val="20"/>
    </w:rPr>
  </w:style>
  <w:style w:type="paragraph" w:styleId="TOC7">
    <w:name w:val="toc 7"/>
    <w:basedOn w:val="Normal"/>
    <w:next w:val="Normal"/>
    <w:autoRedefine/>
    <w:uiPriority w:val="99"/>
    <w:semiHidden/>
    <w:rsid w:val="00A00672"/>
    <w:pPr>
      <w:tabs>
        <w:tab w:val="right" w:leader="dot" w:pos="7371"/>
      </w:tabs>
      <w:spacing w:after="60" w:line="240" w:lineRule="exact"/>
      <w:ind w:left="2381" w:right="567" w:hanging="340"/>
    </w:pPr>
    <w:rPr>
      <w:sz w:val="20"/>
    </w:rPr>
  </w:style>
  <w:style w:type="paragraph" w:styleId="TOC8">
    <w:name w:val="toc 8"/>
    <w:basedOn w:val="Normal"/>
    <w:next w:val="Normal"/>
    <w:autoRedefine/>
    <w:uiPriority w:val="99"/>
    <w:semiHidden/>
    <w:rsid w:val="00A00672"/>
    <w:pPr>
      <w:spacing w:after="100"/>
      <w:ind w:left="1680"/>
    </w:pPr>
  </w:style>
  <w:style w:type="paragraph" w:styleId="TOC9">
    <w:name w:val="toc 9"/>
    <w:basedOn w:val="Normal"/>
    <w:next w:val="Normal"/>
    <w:autoRedefine/>
    <w:uiPriority w:val="99"/>
    <w:semiHidden/>
    <w:rsid w:val="00A00672"/>
    <w:pPr>
      <w:spacing w:after="100"/>
      <w:ind w:left="1920"/>
    </w:pPr>
  </w:style>
  <w:style w:type="paragraph" w:customStyle="1" w:styleId="ECHRFooter">
    <w:name w:val="ECHR_Footer"/>
    <w:aliases w:val="Footer_ECHR"/>
    <w:basedOn w:val="Footer1"/>
    <w:uiPriority w:val="57"/>
    <w:semiHidden/>
    <w:rsid w:val="00893F30"/>
    <w:rPr>
      <w:sz w:val="8"/>
    </w:rPr>
  </w:style>
  <w:style w:type="paragraph" w:customStyle="1" w:styleId="FooterLine">
    <w:name w:val="_Footer_Line"/>
    <w:aliases w:val="Footer_Line"/>
    <w:basedOn w:val="Normal"/>
    <w:next w:val="Footer"/>
    <w:uiPriority w:val="57"/>
    <w:semiHidden/>
    <w:rsid w:val="00A00672"/>
    <w:pPr>
      <w:pBdr>
        <w:top w:val="single" w:sz="6" w:space="1" w:color="5F5F5F"/>
      </w:pBdr>
      <w:tabs>
        <w:tab w:val="center" w:pos="3686"/>
        <w:tab w:val="right" w:pos="7371"/>
      </w:tabs>
      <w:ind w:left="-1474" w:right="-1474"/>
    </w:pPr>
    <w:rPr>
      <w:color w:val="5F5F5F"/>
    </w:rPr>
  </w:style>
  <w:style w:type="paragraph" w:customStyle="1" w:styleId="DecHCase">
    <w:name w:val="Dec_H_Case"/>
    <w:aliases w:val="_Title_3"/>
    <w:basedOn w:val="JuPara"/>
    <w:next w:val="JuPara"/>
    <w:uiPriority w:val="35"/>
    <w:qFormat/>
    <w:rsid w:val="00A00672"/>
    <w:pPr>
      <w:keepNext/>
      <w:keepLines/>
      <w:spacing w:after="280"/>
      <w:ind w:firstLine="0"/>
      <w:jc w:val="center"/>
    </w:pPr>
    <w:rPr>
      <w:rFonts w:asciiTheme="majorHAnsi" w:hAnsiTheme="majorHAnsi"/>
    </w:rPr>
  </w:style>
  <w:style w:type="paragraph" w:customStyle="1" w:styleId="JuTitle">
    <w:name w:val="Ju_Title"/>
    <w:aliases w:val="_Title_2"/>
    <w:basedOn w:val="Normal"/>
    <w:next w:val="JuPara"/>
    <w:uiPriority w:val="35"/>
    <w:qFormat/>
    <w:rsid w:val="00A00672"/>
    <w:pPr>
      <w:keepNext/>
      <w:keepLines/>
      <w:spacing w:before="1320" w:after="280"/>
      <w:contextualSpacing/>
      <w:jc w:val="center"/>
    </w:pPr>
    <w:rPr>
      <w:b/>
    </w:rPr>
  </w:style>
  <w:style w:type="paragraph" w:customStyle="1" w:styleId="ECHRBullet1">
    <w:name w:val="ECHR_Bullet_1"/>
    <w:aliases w:val="_Bul_1"/>
    <w:basedOn w:val="NormalJustified"/>
    <w:uiPriority w:val="23"/>
    <w:semiHidden/>
    <w:qFormat/>
    <w:rsid w:val="00A00672"/>
    <w:pPr>
      <w:numPr>
        <w:numId w:val="7"/>
      </w:numPr>
      <w:spacing w:before="60" w:after="60"/>
    </w:pPr>
  </w:style>
  <w:style w:type="paragraph" w:customStyle="1" w:styleId="ECHRBullet2">
    <w:name w:val="ECHR_Bullet_2"/>
    <w:aliases w:val="_Bul_2"/>
    <w:basedOn w:val="ECHRBullet1"/>
    <w:uiPriority w:val="23"/>
    <w:semiHidden/>
    <w:rsid w:val="00A00672"/>
    <w:pPr>
      <w:numPr>
        <w:ilvl w:val="1"/>
      </w:numPr>
    </w:pPr>
  </w:style>
  <w:style w:type="paragraph" w:customStyle="1" w:styleId="ECHRBullet3">
    <w:name w:val="ECHR_Bullet_3"/>
    <w:aliases w:val="_Bul_3"/>
    <w:basedOn w:val="ECHRBullet2"/>
    <w:uiPriority w:val="23"/>
    <w:semiHidden/>
    <w:rsid w:val="00A00672"/>
    <w:pPr>
      <w:numPr>
        <w:ilvl w:val="2"/>
      </w:numPr>
    </w:pPr>
  </w:style>
  <w:style w:type="paragraph" w:customStyle="1" w:styleId="ECHRBullet4">
    <w:name w:val="ECHR_Bullet_4"/>
    <w:aliases w:val="_Bul_4"/>
    <w:basedOn w:val="ECHRBullet3"/>
    <w:uiPriority w:val="23"/>
    <w:semiHidden/>
    <w:rsid w:val="00A00672"/>
    <w:pPr>
      <w:numPr>
        <w:ilvl w:val="3"/>
      </w:numPr>
    </w:pPr>
  </w:style>
  <w:style w:type="paragraph" w:customStyle="1" w:styleId="ECHRConfidential">
    <w:name w:val="ECHR_Confidential"/>
    <w:aliases w:val="_Confidential"/>
    <w:basedOn w:val="Normal"/>
    <w:next w:val="Normal"/>
    <w:uiPriority w:val="42"/>
    <w:semiHidden/>
    <w:qFormat/>
    <w:rsid w:val="00A00672"/>
    <w:pPr>
      <w:jc w:val="right"/>
    </w:pPr>
    <w:rPr>
      <w:color w:val="C00000"/>
      <w:sz w:val="20"/>
    </w:rPr>
  </w:style>
  <w:style w:type="paragraph" w:customStyle="1" w:styleId="ECHRDecisionBody">
    <w:name w:val="ECHR_Decision_Body"/>
    <w:aliases w:val="_Decision_Body"/>
    <w:basedOn w:val="NormalJustified"/>
    <w:uiPriority w:val="54"/>
    <w:semiHidden/>
    <w:rsid w:val="00A00672"/>
    <w:pPr>
      <w:tabs>
        <w:tab w:val="left" w:pos="567"/>
        <w:tab w:val="left" w:pos="1134"/>
      </w:tabs>
      <w:spacing w:line="240" w:lineRule="exact"/>
      <w:jc w:val="left"/>
    </w:pPr>
  </w:style>
  <w:style w:type="paragraph" w:customStyle="1" w:styleId="ECHRDivisionName">
    <w:name w:val="ECHR_DivisionName"/>
    <w:aliases w:val="_Div_Name"/>
    <w:basedOn w:val="Normal"/>
    <w:link w:val="ECHRDivisionNameChar"/>
    <w:uiPriority w:val="41"/>
    <w:semiHidden/>
    <w:qFormat/>
    <w:rsid w:val="00A00672"/>
    <w:pPr>
      <w:contextualSpacing/>
      <w:jc w:val="center"/>
    </w:pPr>
    <w:rPr>
      <w:rFonts w:ascii="Arial" w:hAnsi="Arial"/>
      <w:i/>
      <w:color w:val="0072BC" w:themeColor="accent1"/>
      <w:sz w:val="32"/>
    </w:rPr>
  </w:style>
  <w:style w:type="character" w:customStyle="1" w:styleId="ECHRDivisionNameChar">
    <w:name w:val="ECHR_DivisionName Char"/>
    <w:aliases w:val="_Div_Name Char"/>
    <w:basedOn w:val="DefaultParagraphFont"/>
    <w:link w:val="ECHRDivisionName"/>
    <w:uiPriority w:val="41"/>
    <w:semiHidden/>
    <w:rsid w:val="00A00672"/>
    <w:rPr>
      <w:rFonts w:ascii="Arial" w:hAnsi="Arial"/>
      <w:i/>
      <w:color w:val="0072BC" w:themeColor="accent1"/>
      <w:sz w:val="32"/>
      <w:szCs w:val="24"/>
      <w:lang w:val="fr-FR"/>
    </w:rPr>
  </w:style>
  <w:style w:type="paragraph" w:customStyle="1" w:styleId="ECHRFooterLineLandscape">
    <w:name w:val="ECHR_Footer_Line_Landscape"/>
    <w:aliases w:val="_Footer_Line_Landscape"/>
    <w:basedOn w:val="Normal"/>
    <w:uiPriority w:val="30"/>
    <w:semiHidden/>
    <w:rsid w:val="00A00672"/>
    <w:pPr>
      <w:pBdr>
        <w:top w:val="single" w:sz="8" w:space="1" w:color="7F7F7F" w:themeColor="text1" w:themeTint="80"/>
      </w:pBdr>
      <w:tabs>
        <w:tab w:val="center" w:pos="6146"/>
        <w:tab w:val="right" w:pos="12293"/>
      </w:tabs>
      <w:ind w:left="-1474" w:right="-1474"/>
    </w:pPr>
    <w:rPr>
      <w:color w:val="474747" w:themeColor="accent3" w:themeShade="BF"/>
      <w:sz w:val="22"/>
    </w:rPr>
  </w:style>
  <w:style w:type="paragraph" w:customStyle="1" w:styleId="ECHRHeaderDate">
    <w:name w:val="ECHR_Header_Date"/>
    <w:aliases w:val="_Ref_Date"/>
    <w:basedOn w:val="Normal"/>
    <w:uiPriority w:val="44"/>
    <w:semiHidden/>
    <w:qFormat/>
    <w:rsid w:val="00A00672"/>
    <w:pPr>
      <w:jc w:val="right"/>
    </w:pPr>
    <w:rPr>
      <w:sz w:val="20"/>
    </w:rPr>
  </w:style>
  <w:style w:type="paragraph" w:customStyle="1" w:styleId="ECHRHeaderRefIt">
    <w:name w:val="ECHR_Header_Ref_It"/>
    <w:aliases w:val="Ref_Ital,_Ref_Ital"/>
    <w:basedOn w:val="Normal"/>
    <w:next w:val="ECHRHeaderDate"/>
    <w:uiPriority w:val="38"/>
    <w:qFormat/>
    <w:rsid w:val="00A00672"/>
    <w:pPr>
      <w:jc w:val="right"/>
    </w:pPr>
    <w:rPr>
      <w:i/>
      <w:sz w:val="20"/>
    </w:rPr>
  </w:style>
  <w:style w:type="paragraph" w:customStyle="1" w:styleId="ECHRHeading9">
    <w:name w:val="ECHR_Heading_9"/>
    <w:aliases w:val="_Head_9"/>
    <w:basedOn w:val="Heading9"/>
    <w:uiPriority w:val="17"/>
    <w:semiHidden/>
    <w:rsid w:val="00A00672"/>
    <w:pPr>
      <w:keepNext/>
      <w:keepLines/>
      <w:numPr>
        <w:ilvl w:val="8"/>
        <w:numId w:val="9"/>
      </w:numPr>
      <w:spacing w:before="100" w:beforeAutospacing="1"/>
      <w:contextualSpacing/>
    </w:pPr>
    <w:rPr>
      <w:i w:val="0"/>
      <w:sz w:val="18"/>
    </w:rPr>
  </w:style>
  <w:style w:type="paragraph" w:customStyle="1" w:styleId="ECHRLine">
    <w:name w:val="ECHR_Line"/>
    <w:aliases w:val="_Line"/>
    <w:basedOn w:val="NormalJustified"/>
    <w:next w:val="Normal"/>
    <w:uiPriority w:val="46"/>
    <w:semiHidden/>
    <w:rsid w:val="00A00672"/>
    <w:pPr>
      <w:pBdr>
        <w:bottom w:val="single" w:sz="12" w:space="1" w:color="949494" w:themeColor="text2" w:themeShade="BF"/>
      </w:pBdr>
      <w:spacing w:after="120"/>
    </w:pPr>
    <w:rPr>
      <w:sz w:val="12"/>
    </w:rPr>
  </w:style>
  <w:style w:type="paragraph" w:customStyle="1" w:styleId="ECHRNumberedList1">
    <w:name w:val="ECHR_Numbered_List_1"/>
    <w:aliases w:val="_Num_1"/>
    <w:basedOn w:val="Normal"/>
    <w:uiPriority w:val="23"/>
    <w:semiHidden/>
    <w:qFormat/>
    <w:rsid w:val="00A00672"/>
    <w:pPr>
      <w:numPr>
        <w:numId w:val="8"/>
      </w:numPr>
      <w:spacing w:before="60" w:after="60"/>
    </w:pPr>
  </w:style>
  <w:style w:type="paragraph" w:customStyle="1" w:styleId="ECHRNumberedList2">
    <w:name w:val="ECHR_Numbered_List_2"/>
    <w:aliases w:val="_Num_2"/>
    <w:basedOn w:val="ECHRNumberedList1"/>
    <w:uiPriority w:val="23"/>
    <w:semiHidden/>
    <w:rsid w:val="00A00672"/>
    <w:pPr>
      <w:numPr>
        <w:ilvl w:val="1"/>
      </w:numPr>
    </w:pPr>
  </w:style>
  <w:style w:type="paragraph" w:customStyle="1" w:styleId="ECHRNumberedList3">
    <w:name w:val="ECHR_Numbered_List_3"/>
    <w:aliases w:val="_Num_3"/>
    <w:basedOn w:val="ECHRNumberedList2"/>
    <w:uiPriority w:val="23"/>
    <w:semiHidden/>
    <w:rsid w:val="00A00672"/>
    <w:pPr>
      <w:numPr>
        <w:ilvl w:val="2"/>
      </w:numPr>
    </w:pPr>
  </w:style>
  <w:style w:type="paragraph" w:customStyle="1" w:styleId="ECHRParaHanging">
    <w:name w:val="ECHR_Para_Hanging"/>
    <w:aliases w:val="_Hanging"/>
    <w:basedOn w:val="Normal"/>
    <w:uiPriority w:val="8"/>
    <w:semiHidden/>
    <w:qFormat/>
    <w:rsid w:val="00A00672"/>
    <w:pPr>
      <w:ind w:left="567" w:hanging="567"/>
      <w:jc w:val="both"/>
    </w:pPr>
  </w:style>
  <w:style w:type="paragraph" w:customStyle="1" w:styleId="ECHRParaIndent">
    <w:name w:val="ECHR_Para_Indent"/>
    <w:aliases w:val="_Indent"/>
    <w:basedOn w:val="Normal"/>
    <w:uiPriority w:val="7"/>
    <w:semiHidden/>
    <w:qFormat/>
    <w:rsid w:val="00A00672"/>
    <w:pPr>
      <w:spacing w:before="120" w:after="120"/>
      <w:ind w:left="567"/>
      <w:jc w:val="both"/>
    </w:pPr>
  </w:style>
  <w:style w:type="character" w:customStyle="1" w:styleId="ECHRRed">
    <w:name w:val="ECHR_Red"/>
    <w:aliases w:val="_Red"/>
    <w:basedOn w:val="DefaultParagraphFont"/>
    <w:uiPriority w:val="15"/>
    <w:semiHidden/>
    <w:qFormat/>
    <w:rsid w:val="00A00672"/>
    <w:rPr>
      <w:color w:val="C00000" w:themeColor="accent2"/>
    </w:rPr>
  </w:style>
  <w:style w:type="paragraph" w:customStyle="1" w:styleId="ECHRSpacer">
    <w:name w:val="ECHR_Spacer"/>
    <w:aliases w:val="_Spacer"/>
    <w:basedOn w:val="Normal"/>
    <w:uiPriority w:val="45"/>
    <w:semiHidden/>
    <w:rsid w:val="00A00672"/>
    <w:rPr>
      <w:sz w:val="4"/>
    </w:rPr>
  </w:style>
  <w:style w:type="table" w:customStyle="1" w:styleId="ECHRTable2">
    <w:name w:val="ECHR_Table_2"/>
    <w:basedOn w:val="TableNormal"/>
    <w:uiPriority w:val="99"/>
    <w:rsid w:val="00A00672"/>
    <w:pPr>
      <w:tabs>
        <w:tab w:val="left" w:pos="567"/>
        <w:tab w:val="left" w:pos="851"/>
        <w:tab w:val="right" w:pos="5273"/>
      </w:tabs>
    </w:pPr>
    <w:rPr>
      <w:color w:val="262626" w:themeColor="text1" w:themeTint="D9"/>
      <w:sz w:val="24"/>
      <w:szCs w:val="24"/>
    </w:rPr>
    <w:tblPr>
      <w:tblStyleRowBandSize w:val="1"/>
      <w:tblStyleColBandSize w:val="1"/>
      <w:tblCellSpacing w:w="28" w:type="dxa"/>
      <w:tblInd w:w="-964" w:type="dxa"/>
      <w:tblCellMar>
        <w:top w:w="85" w:type="dxa"/>
        <w:left w:w="113" w:type="dxa"/>
        <w:bottom w:w="85" w:type="dxa"/>
        <w:right w:w="113" w:type="dxa"/>
      </w:tblCellMar>
    </w:tblPr>
    <w:trPr>
      <w:tblCellSpacing w:w="28" w:type="dxa"/>
    </w:trPr>
    <w:tblStylePr w:type="firstRow">
      <w:pPr>
        <w:jc w:val="center"/>
      </w:pPr>
      <w:rPr>
        <w:b/>
        <w:sz w:val="24"/>
      </w:rPr>
      <w:tblPr/>
      <w:tcPr>
        <w:tcBorders>
          <w:top w:val="nil"/>
          <w:left w:val="nil"/>
          <w:bottom w:val="nil"/>
          <w:right w:val="nil"/>
          <w:insideH w:val="nil"/>
          <w:insideV w:val="nil"/>
          <w:tl2br w:val="nil"/>
          <w:tr2bl w:val="nil"/>
        </w:tcBorders>
        <w:shd w:val="clear" w:color="auto" w:fill="DFDFDF" w:themeFill="background2" w:themeFillShade="E6"/>
      </w:tcPr>
    </w:tblStylePr>
    <w:tblStylePr w:type="lastRow">
      <w:rPr>
        <w:b/>
      </w:rPr>
      <w:tblPr/>
      <w:tcPr>
        <w:tcBorders>
          <w:top w:val="nil"/>
          <w:left w:val="nil"/>
          <w:bottom w:val="nil"/>
          <w:right w:val="nil"/>
          <w:insideH w:val="nil"/>
          <w:insideV w:val="nil"/>
          <w:tl2br w:val="nil"/>
          <w:tr2bl w:val="nil"/>
        </w:tcBorders>
        <w:shd w:val="clear" w:color="auto" w:fill="ECECEC"/>
      </w:tcPr>
    </w:tblStylePr>
    <w:tblStylePr w:type="firstCol">
      <w:tblPr/>
      <w:tcPr>
        <w:tcBorders>
          <w:top w:val="nil"/>
          <w:left w:val="nil"/>
          <w:bottom w:val="nil"/>
          <w:right w:val="nil"/>
          <w:insideH w:val="nil"/>
          <w:insideV w:val="nil"/>
          <w:tl2br w:val="nil"/>
          <w:tr2bl w:val="nil"/>
        </w:tcBorders>
        <w:shd w:val="clear" w:color="auto" w:fill="EFF8FF"/>
      </w:tcPr>
    </w:tblStylePr>
    <w:tblStylePr w:type="lastCol">
      <w:tblPr/>
      <w:tcPr>
        <w:tcBorders>
          <w:top w:val="nil"/>
          <w:left w:val="nil"/>
          <w:bottom w:val="nil"/>
          <w:right w:val="nil"/>
          <w:insideH w:val="nil"/>
          <w:insideV w:val="nil"/>
          <w:tl2br w:val="nil"/>
          <w:tr2bl w:val="nil"/>
        </w:tcBorders>
        <w:shd w:val="clear" w:color="auto" w:fill="F3FCE8"/>
      </w:tcPr>
    </w:tblStylePr>
    <w:tblStylePr w:type="band1Vert">
      <w:pPr>
        <w:jc w:val="center"/>
      </w:pPr>
      <w:rPr>
        <w:b/>
        <w:sz w:val="28"/>
      </w:rPr>
      <w:tblPr/>
      <w:tcPr>
        <w:tcBorders>
          <w:top w:val="nil"/>
          <w:left w:val="nil"/>
          <w:bottom w:val="nil"/>
          <w:right w:val="nil"/>
          <w:insideH w:val="nil"/>
          <w:insideV w:val="nil"/>
          <w:tl2br w:val="nil"/>
          <w:tr2bl w:val="nil"/>
        </w:tcBorders>
        <w:shd w:val="clear" w:color="auto" w:fill="A7DBFF"/>
      </w:tcPr>
    </w:tblStylePr>
    <w:tblStylePr w:type="band2Vert">
      <w:pPr>
        <w:jc w:val="center"/>
      </w:pPr>
      <w:rPr>
        <w:b/>
        <w:sz w:val="28"/>
      </w:rPr>
      <w:tblPr/>
      <w:tcPr>
        <w:tcBorders>
          <w:top w:val="nil"/>
          <w:left w:val="nil"/>
          <w:bottom w:val="nil"/>
          <w:right w:val="nil"/>
          <w:insideH w:val="nil"/>
          <w:insideV w:val="nil"/>
          <w:tl2br w:val="nil"/>
          <w:tr2bl w:val="nil"/>
        </w:tcBorders>
        <w:shd w:val="clear" w:color="auto" w:fill="C6F094"/>
      </w:tcPr>
    </w:tblStylePr>
    <w:tblStylePr w:type="band1Horz">
      <w:tblPr/>
      <w:tcPr>
        <w:tcBorders>
          <w:top w:val="nil"/>
          <w:left w:val="nil"/>
          <w:bottom w:val="nil"/>
          <w:right w:val="nil"/>
          <w:insideH w:val="nil"/>
          <w:insideV w:val="nil"/>
          <w:tl2br w:val="nil"/>
          <w:tr2bl w:val="nil"/>
        </w:tcBorders>
      </w:tcPr>
    </w:tblStylePr>
    <w:tblStylePr w:type="band2Horz">
      <w:tblPr/>
      <w:tcPr>
        <w:tcBorders>
          <w:top w:val="nil"/>
          <w:left w:val="nil"/>
          <w:bottom w:val="nil"/>
          <w:right w:val="nil"/>
          <w:insideH w:val="nil"/>
          <w:insideV w:val="nil"/>
          <w:tl2br w:val="nil"/>
          <w:tr2bl w:val="nil"/>
        </w:tcBorders>
        <w:shd w:val="clear" w:color="auto" w:fill="F8F8F8" w:themeFill="background2"/>
      </w:tcPr>
    </w:tblStylePr>
    <w:tblStylePr w:type="neCell">
      <w:pPr>
        <w:jc w:val="center"/>
      </w:pPr>
      <w:rPr>
        <w:b/>
      </w:rPr>
      <w:tblPr/>
      <w:tcPr>
        <w:tcBorders>
          <w:top w:val="nil"/>
          <w:left w:val="nil"/>
          <w:bottom w:val="nil"/>
          <w:right w:val="nil"/>
          <w:insideH w:val="nil"/>
          <w:insideV w:val="nil"/>
          <w:tl2br w:val="nil"/>
          <w:tr2bl w:val="nil"/>
        </w:tcBorders>
        <w:shd w:val="clear" w:color="auto" w:fill="DCF6BC"/>
      </w:tcPr>
    </w:tblStylePr>
    <w:tblStylePr w:type="nwCell">
      <w:pPr>
        <w:jc w:val="center"/>
      </w:pPr>
      <w:rPr>
        <w:b/>
      </w:rPr>
      <w:tblPr/>
      <w:tcPr>
        <w:tcBorders>
          <w:top w:val="nil"/>
          <w:left w:val="nil"/>
          <w:bottom w:val="nil"/>
          <w:right w:val="nil"/>
          <w:insideH w:val="nil"/>
          <w:insideV w:val="nil"/>
          <w:tl2br w:val="nil"/>
          <w:tr2bl w:val="nil"/>
        </w:tcBorders>
        <w:shd w:val="clear" w:color="auto" w:fill="CDEBFF"/>
      </w:tcPr>
    </w:tblStylePr>
    <w:tblStylePr w:type="seCell">
      <w:tblPr/>
      <w:tcPr>
        <w:tcBorders>
          <w:top w:val="nil"/>
          <w:left w:val="nil"/>
          <w:bottom w:val="nil"/>
          <w:right w:val="nil"/>
          <w:insideH w:val="nil"/>
          <w:insideV w:val="nil"/>
          <w:tl2br w:val="nil"/>
          <w:tr2bl w:val="nil"/>
        </w:tcBorders>
        <w:shd w:val="clear" w:color="auto" w:fill="C6F094"/>
      </w:tcPr>
    </w:tblStylePr>
    <w:tblStylePr w:type="swCell">
      <w:tblPr/>
      <w:tcPr>
        <w:tcBorders>
          <w:top w:val="nil"/>
          <w:left w:val="nil"/>
          <w:bottom w:val="nil"/>
          <w:right w:val="nil"/>
          <w:insideH w:val="nil"/>
          <w:insideV w:val="nil"/>
          <w:tl2br w:val="nil"/>
          <w:tr2bl w:val="nil"/>
        </w:tcBorders>
        <w:shd w:val="clear" w:color="auto" w:fill="A7DBFF"/>
      </w:tcPr>
    </w:tblStylePr>
  </w:style>
  <w:style w:type="table" w:customStyle="1" w:styleId="ECHRTable2016">
    <w:name w:val="ECHR_Table_2016"/>
    <w:basedOn w:val="TableNormal"/>
    <w:uiPriority w:val="99"/>
    <w:rsid w:val="00A00672"/>
    <w:rPr>
      <w:sz w:val="24"/>
      <w:szCs w:val="24"/>
    </w:rPr>
    <w:tblPr>
      <w:tblStyleRowBandSize w:val="1"/>
      <w:tblStyleColBandSize w:val="1"/>
      <w:jc w:val="center"/>
      <w:tblBorders>
        <w:top w:val="single" w:sz="4" w:space="0" w:color="5F5F5F" w:themeColor="accent3"/>
        <w:left w:val="single" w:sz="4" w:space="0" w:color="5F5F5F" w:themeColor="accent3"/>
        <w:bottom w:val="single" w:sz="4" w:space="0" w:color="5F5F5F" w:themeColor="accent3"/>
        <w:right w:val="single" w:sz="4" w:space="0" w:color="5F5F5F" w:themeColor="accent3"/>
        <w:insideH w:val="single" w:sz="4" w:space="0" w:color="5F5F5F" w:themeColor="accent3"/>
        <w:insideV w:val="single" w:sz="4" w:space="0" w:color="5F5F5F" w:themeColor="accent3"/>
      </w:tblBorders>
    </w:tblPr>
    <w:trPr>
      <w:jc w:val="center"/>
    </w:trPr>
    <w:tblStylePr w:type="firstRow">
      <w:rPr>
        <w:rFonts w:asciiTheme="majorHAnsi" w:hAnsiTheme="majorHAnsi"/>
        <w:b/>
        <w:i w:val="0"/>
        <w:color w:val="F8F8F8" w:themeColor="background2"/>
        <w:sz w:val="22"/>
      </w:rPr>
      <w:tblPr/>
      <w:trPr>
        <w:tblHeader/>
      </w:trPr>
      <w:tcPr>
        <w:tcBorders>
          <w:top w:val="single" w:sz="4" w:space="0" w:color="5F5F5F" w:themeColor="accent3"/>
          <w:left w:val="single" w:sz="4" w:space="0" w:color="5F5F5F" w:themeColor="accent3"/>
          <w:bottom w:val="single" w:sz="4" w:space="0" w:color="5F5F5F" w:themeColor="accent3"/>
          <w:right w:val="single" w:sz="4" w:space="0" w:color="5F5F5F" w:themeColor="accent3"/>
          <w:insideH w:val="single" w:sz="4" w:space="0" w:color="5F5F5F" w:themeColor="accent3"/>
          <w:insideV w:val="single" w:sz="4" w:space="0" w:color="F8F8F8" w:themeColor="background2"/>
          <w:tl2br w:val="nil"/>
          <w:tr2bl w:val="nil"/>
        </w:tcBorders>
        <w:shd w:val="clear" w:color="auto" w:fill="5F5F5F" w:themeFill="accent3"/>
      </w:tcPr>
    </w:tblStylePr>
    <w:tblStylePr w:type="lastRow">
      <w:rPr>
        <w:b/>
        <w:i w:val="0"/>
      </w:rPr>
      <w:tblPr/>
      <w:tcPr>
        <w:tcBorders>
          <w:top w:val="single" w:sz="8" w:space="0" w:color="5F5F5F" w:themeColor="accent3"/>
          <w:left w:val="single" w:sz="4" w:space="0" w:color="5F5F5F" w:themeColor="accent3"/>
          <w:bottom w:val="single" w:sz="8" w:space="0" w:color="5F5F5F" w:themeColor="accent3"/>
          <w:right w:val="single" w:sz="4" w:space="0" w:color="5F5F5F" w:themeColor="accent3"/>
          <w:insideH w:val="nil"/>
          <w:insideV w:val="single" w:sz="4" w:space="0" w:color="5F5F5F" w:themeColor="accent3"/>
          <w:tl2br w:val="nil"/>
          <w:tr2bl w:val="nil"/>
        </w:tcBorders>
      </w:tcPr>
    </w:tblStylePr>
    <w:tblStylePr w:type="firstCol">
      <w:rPr>
        <w:rFonts w:asciiTheme="majorHAnsi" w:hAnsiTheme="majorHAnsi"/>
        <w:b/>
        <w:i w:val="0"/>
        <w:color w:val="3E3E3E" w:themeColor="background2" w:themeShade="40"/>
        <w:sz w:val="22"/>
      </w:rPr>
      <w:tblPr/>
      <w:tcPr>
        <w:tcBorders>
          <w:top w:val="single" w:sz="4" w:space="0" w:color="5F5F5F" w:themeColor="accent3"/>
          <w:left w:val="single" w:sz="4" w:space="0" w:color="5F5F5F" w:themeColor="accent3"/>
          <w:bottom w:val="single" w:sz="4" w:space="0" w:color="5F5F5F" w:themeColor="accent3"/>
          <w:right w:val="single" w:sz="4" w:space="0" w:color="5F5F5F" w:themeColor="accent3"/>
          <w:insideH w:val="nil"/>
          <w:insideV w:val="nil"/>
          <w:tl2br w:val="nil"/>
          <w:tr2bl w:val="nil"/>
        </w:tcBorders>
        <w:shd w:val="clear" w:color="auto" w:fill="E8E8E8" w:themeFill="text2" w:themeFillTint="66"/>
      </w:tcPr>
    </w:tblStylePr>
    <w:tblStylePr w:type="lastCol">
      <w:rPr>
        <w:b/>
        <w:i w:val="0"/>
      </w:rPr>
    </w:tblStylePr>
    <w:tblStylePr w:type="band2Vert">
      <w:tblPr/>
      <w:tcPr>
        <w:tcBorders>
          <w:top w:val="single" w:sz="4" w:space="0" w:color="5F5F5F" w:themeColor="accent3"/>
          <w:left w:val="single" w:sz="4" w:space="0" w:color="5F5F5F" w:themeColor="accent3"/>
          <w:bottom w:val="single" w:sz="4" w:space="0" w:color="5F5F5F" w:themeColor="accent3"/>
          <w:right w:val="single" w:sz="4" w:space="0" w:color="5F5F5F" w:themeColor="accent3"/>
          <w:insideH w:val="nil"/>
          <w:insideV w:val="nil"/>
          <w:tl2br w:val="nil"/>
          <w:tr2bl w:val="nil"/>
        </w:tcBorders>
        <w:shd w:val="clear" w:color="auto" w:fill="E8E8E8" w:themeFill="text2" w:themeFillTint="66"/>
      </w:tcPr>
    </w:tblStylePr>
    <w:tblStylePr w:type="band2Horz">
      <w:tblPr/>
      <w:tcPr>
        <w:tcBorders>
          <w:top w:val="single" w:sz="4" w:space="0" w:color="0072BC" w:themeColor="accent1"/>
          <w:left w:val="single" w:sz="4" w:space="0" w:color="0072BC" w:themeColor="accent1"/>
          <w:bottom w:val="single" w:sz="4" w:space="0" w:color="0072BC" w:themeColor="accent1"/>
          <w:right w:val="single" w:sz="4" w:space="0" w:color="0072BC" w:themeColor="accent1"/>
          <w:insideH w:val="single" w:sz="4" w:space="0" w:color="0072BC" w:themeColor="accent1"/>
          <w:insideV w:val="single" w:sz="4" w:space="0" w:color="0072BC" w:themeColor="accent1"/>
          <w:tl2br w:val="nil"/>
          <w:tr2bl w:val="nil"/>
        </w:tcBorders>
        <w:shd w:val="clear" w:color="auto" w:fill="E8E8E8" w:themeFill="text2" w:themeFillTint="66"/>
      </w:tcPr>
    </w:tblStylePr>
  </w:style>
  <w:style w:type="paragraph" w:customStyle="1" w:styleId="ECHRTitle1">
    <w:name w:val="ECHR_Title_1"/>
    <w:aliases w:val="_Title_L_1"/>
    <w:basedOn w:val="Normal"/>
    <w:next w:val="Normal"/>
    <w:uiPriority w:val="28"/>
    <w:semiHidden/>
    <w:qFormat/>
    <w:rsid w:val="00A00672"/>
    <w:pPr>
      <w:keepNext/>
      <w:keepLines/>
      <w:spacing w:before="240"/>
      <w:contextualSpacing/>
    </w:pPr>
    <w:rPr>
      <w:rFonts w:asciiTheme="majorHAnsi" w:hAnsiTheme="majorHAnsi"/>
      <w:b/>
      <w:color w:val="2F2F2F" w:themeColor="accent3" w:themeShade="80"/>
      <w:sz w:val="32"/>
    </w:rPr>
  </w:style>
  <w:style w:type="paragraph" w:customStyle="1" w:styleId="ECHRTitle2">
    <w:name w:val="ECHR_Title_2"/>
    <w:aliases w:val="_Title_L_2"/>
    <w:basedOn w:val="Normal"/>
    <w:next w:val="Normal"/>
    <w:uiPriority w:val="28"/>
    <w:semiHidden/>
    <w:qFormat/>
    <w:rsid w:val="00A00672"/>
    <w:pPr>
      <w:keepNext/>
      <w:keepLines/>
      <w:spacing w:before="240"/>
      <w:contextualSpacing/>
    </w:pPr>
    <w:rPr>
      <w:rFonts w:asciiTheme="majorHAnsi" w:hAnsiTheme="majorHAnsi"/>
      <w:b/>
      <w:color w:val="474747" w:themeColor="accent3" w:themeShade="BF"/>
      <w:sz w:val="28"/>
    </w:rPr>
  </w:style>
  <w:style w:type="paragraph" w:customStyle="1" w:styleId="ECHRTitle3">
    <w:name w:val="ECHR_Title_3"/>
    <w:aliases w:val="_Title_L_3"/>
    <w:basedOn w:val="Normal"/>
    <w:next w:val="Normal"/>
    <w:uiPriority w:val="28"/>
    <w:semiHidden/>
    <w:qFormat/>
    <w:rsid w:val="00A00672"/>
    <w:pPr>
      <w:keepNext/>
      <w:keepLines/>
      <w:spacing w:before="240"/>
      <w:contextualSpacing/>
    </w:pPr>
    <w:rPr>
      <w:rFonts w:asciiTheme="majorHAnsi" w:hAnsiTheme="majorHAnsi"/>
      <w:b/>
      <w:color w:val="474747" w:themeColor="accent3" w:themeShade="BF"/>
    </w:rPr>
  </w:style>
  <w:style w:type="paragraph" w:customStyle="1" w:styleId="ECHRTitleCentre1">
    <w:name w:val="ECHR_Title_Centre_1"/>
    <w:aliases w:val="_Title_C_1"/>
    <w:basedOn w:val="Normal"/>
    <w:next w:val="Normal"/>
    <w:uiPriority w:val="26"/>
    <w:semiHidden/>
    <w:qFormat/>
    <w:rsid w:val="00A00672"/>
    <w:pPr>
      <w:keepNext/>
      <w:keepLines/>
      <w:spacing w:before="240"/>
      <w:contextualSpacing/>
      <w:jc w:val="center"/>
    </w:pPr>
    <w:rPr>
      <w:rFonts w:asciiTheme="majorHAnsi" w:hAnsiTheme="majorHAnsi"/>
      <w:b/>
      <w:color w:val="2F2F2F" w:themeColor="accent3" w:themeShade="80"/>
      <w:sz w:val="32"/>
    </w:rPr>
  </w:style>
  <w:style w:type="paragraph" w:customStyle="1" w:styleId="ECHRTitleCentre2">
    <w:name w:val="ECHR_Title_Centre_2"/>
    <w:aliases w:val="_Title_C_2"/>
    <w:basedOn w:val="Normal"/>
    <w:next w:val="Normal"/>
    <w:uiPriority w:val="26"/>
    <w:semiHidden/>
    <w:qFormat/>
    <w:rsid w:val="00A00672"/>
    <w:pPr>
      <w:keepNext/>
      <w:keepLines/>
      <w:spacing w:before="240"/>
      <w:contextualSpacing/>
      <w:jc w:val="center"/>
    </w:pPr>
    <w:rPr>
      <w:rFonts w:asciiTheme="majorHAnsi" w:hAnsiTheme="majorHAnsi"/>
      <w:b/>
      <w:color w:val="474747" w:themeColor="accent3" w:themeShade="BF"/>
      <w:sz w:val="28"/>
    </w:rPr>
  </w:style>
  <w:style w:type="paragraph" w:customStyle="1" w:styleId="ECHRTitleCentre3">
    <w:name w:val="ECHR_Title_Centre_3"/>
    <w:aliases w:val="_Title_C_3"/>
    <w:basedOn w:val="Normal"/>
    <w:next w:val="Normal"/>
    <w:uiPriority w:val="26"/>
    <w:semiHidden/>
    <w:qFormat/>
    <w:rsid w:val="00A00672"/>
    <w:pPr>
      <w:keepNext/>
      <w:keepLines/>
      <w:spacing w:before="240"/>
      <w:contextualSpacing/>
      <w:jc w:val="center"/>
    </w:pPr>
    <w:rPr>
      <w:rFonts w:asciiTheme="majorHAnsi" w:hAnsiTheme="majorHAnsi"/>
      <w:b/>
      <w:color w:val="474747" w:themeColor="accent3" w:themeShade="BF"/>
    </w:rPr>
  </w:style>
  <w:style w:type="paragraph" w:customStyle="1" w:styleId="ECHRTitleCentreTOC1">
    <w:name w:val="ECHR_Title_Centre_TOC_1"/>
    <w:aliases w:val="_Title_C_TOC"/>
    <w:basedOn w:val="ECHRTitleCentre1"/>
    <w:next w:val="Normal"/>
    <w:uiPriority w:val="25"/>
    <w:semiHidden/>
    <w:qFormat/>
    <w:rsid w:val="00A00672"/>
    <w:pPr>
      <w:outlineLvl w:val="0"/>
    </w:pPr>
  </w:style>
  <w:style w:type="paragraph" w:customStyle="1" w:styleId="ECHRTitleTOC1">
    <w:name w:val="ECHR_Title_TOC_1"/>
    <w:aliases w:val="_Title_L_TOC"/>
    <w:basedOn w:val="ECHRTitle1"/>
    <w:next w:val="Normal"/>
    <w:uiPriority w:val="27"/>
    <w:semiHidden/>
    <w:qFormat/>
    <w:rsid w:val="00A00672"/>
    <w:pPr>
      <w:outlineLvl w:val="0"/>
    </w:pPr>
  </w:style>
  <w:style w:type="character" w:customStyle="1" w:styleId="JuParaChar">
    <w:name w:val="Ju_Para Char"/>
    <w:aliases w:val="_Para Char"/>
    <w:link w:val="JuPara"/>
    <w:uiPriority w:val="8"/>
    <w:rsid w:val="00CC31BB"/>
    <w:rPr>
      <w:sz w:val="24"/>
      <w:szCs w:val="24"/>
      <w:lang w:val="fr-FR"/>
    </w:rPr>
  </w:style>
  <w:style w:type="paragraph" w:customStyle="1" w:styleId="JuHeaderLandscape">
    <w:name w:val="Ju_Header_Landscape"/>
    <w:aliases w:val="_Header_Landscape"/>
    <w:basedOn w:val="JuHeader"/>
    <w:uiPriority w:val="30"/>
    <w:qFormat/>
    <w:rsid w:val="00CC31BB"/>
    <w:pPr>
      <w:tabs>
        <w:tab w:val="center" w:pos="6146"/>
        <w:tab w:val="right" w:pos="12293"/>
      </w:tabs>
      <w:jc w:val="left"/>
    </w:pPr>
    <w:rPr>
      <w:szCs w:val="22"/>
    </w:rPr>
  </w:style>
  <w:style w:type="character" w:customStyle="1" w:styleId="JuNames1">
    <w:name w:val="Ju_Names"/>
    <w:rsid w:val="00CC31BB"/>
    <w:rPr>
      <w:smallCaps/>
    </w:rPr>
  </w:style>
  <w:style w:type="paragraph" w:customStyle="1" w:styleId="JuList4">
    <w:name w:val="Ju_List_4"/>
    <w:aliases w:val="N_Bul_4"/>
    <w:basedOn w:val="JuListi"/>
    <w:uiPriority w:val="19"/>
    <w:rsid w:val="00CC31BB"/>
    <w:pPr>
      <w:numPr>
        <w:ilvl w:val="0"/>
        <w:numId w:val="0"/>
      </w:numPr>
      <w:tabs>
        <w:tab w:val="num" w:pos="1701"/>
      </w:tabs>
      <w:spacing w:before="60" w:after="60" w:line="240" w:lineRule="exact"/>
      <w:ind w:left="1703" w:hanging="284"/>
      <w:contextualSpacing/>
    </w:pPr>
    <w:rPr>
      <w:rFonts w:eastAsiaTheme="minorEastAsia"/>
      <w:sz w:val="22"/>
      <w:szCs w:val="22"/>
      <w:lang w:eastAsia="fr-FR"/>
    </w:rPr>
  </w:style>
  <w:style w:type="character" w:customStyle="1" w:styleId="JuParaCar">
    <w:name w:val="Ju_Para Car"/>
    <w:uiPriority w:val="12"/>
    <w:rsid w:val="00CC31BB"/>
    <w:rPr>
      <w:rFonts w:eastAsiaTheme="minorEastAsia"/>
    </w:rPr>
  </w:style>
  <w:style w:type="paragraph" w:customStyle="1" w:styleId="jupara0">
    <w:name w:val="jupara"/>
    <w:basedOn w:val="Normal"/>
    <w:rsid w:val="00C94F35"/>
    <w:pPr>
      <w:ind w:firstLine="284"/>
      <w:jc w:val="both"/>
    </w:pPr>
    <w:rPr>
      <w:rFonts w:ascii="Times New Roman" w:eastAsia="Times New Roman" w:hAnsi="Times New Roman" w:cs="Times New Roman"/>
      <w:lang w:val="en-GB" w:eastAsia="en-GB"/>
    </w:rPr>
  </w:style>
  <w:style w:type="paragraph" w:customStyle="1" w:styleId="jucase0">
    <w:name w:val="jucase"/>
    <w:basedOn w:val="Normal"/>
    <w:rsid w:val="00C94F35"/>
    <w:pPr>
      <w:ind w:firstLine="284"/>
      <w:jc w:val="both"/>
    </w:pPr>
    <w:rPr>
      <w:rFonts w:ascii="Times New Roman" w:eastAsia="Times New Roman" w:hAnsi="Times New Roman" w:cs="Times New Roman"/>
      <w:b/>
      <w:bCs/>
      <w:lang w:val="en-GB" w:eastAsia="en-GB"/>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optimizeForBrowser/>
  <w:allowPNG/>
</w:webSettings>
</file>

<file path=word/_rels/document.xml.rels><?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footer" Target="footer3.xml" /><Relationship Id="rId11" Type="http://schemas.openxmlformats.org/officeDocument/2006/relationships/theme" Target="theme/theme1.xml" /><Relationship Id="rId12" Type="http://schemas.openxmlformats.org/officeDocument/2006/relationships/numbering" Target="numbering.xml" /><Relationship Id="rId13"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customXml" Target="../customXml/item1.xml" /><Relationship Id="rId5" Type="http://schemas.openxmlformats.org/officeDocument/2006/relationships/header" Target="header1.xml" /><Relationship Id="rId6" Type="http://schemas.openxmlformats.org/officeDocument/2006/relationships/footer" Target="footer1.xml" /><Relationship Id="rId7" Type="http://schemas.openxmlformats.org/officeDocument/2006/relationships/footer" Target="footer2.xml" /><Relationship Id="rId8" Type="http://schemas.openxmlformats.org/officeDocument/2006/relationships/header" Target="header2.xml" /><Relationship Id="rId9" Type="http://schemas.openxmlformats.org/officeDocument/2006/relationships/header" Target="header3.xml" /></Relationships>
</file>

<file path=word/_rels/footer2.xml.rels><?xml version="1.0" encoding="utf-8" standalone="yes"?><Relationships xmlns="http://schemas.openxmlformats.org/package/2006/relationships"><Relationship Id="rId1" Type="http://schemas.openxmlformats.org/officeDocument/2006/relationships/image" Target="media/image2.png" /></Relationships>
</file>

<file path=word/_rels/header1.xml.rels><?xml version="1.0" encoding="utf-8" standalone="yes"?><Relationships xmlns="http://schemas.openxmlformats.org/package/2006/relationships"><Relationship Id="rId1" Type="http://schemas.openxmlformats.org/officeDocument/2006/relationships/image" Target="media/image1.png" /></Relationships>
</file>

<file path=word/theme/theme1.xml><?xml version="1.0" encoding="utf-8"?>
<a:theme xmlns:a="http://schemas.openxmlformats.org/drawingml/2006/main" name="ECHR_Theme_Judgments_Decisions_Reports">
  <a:themeElements>
    <a:clrScheme name="ECHR_grey">
      <a:dk1>
        <a:sysClr val="windowText" lastClr="000000"/>
      </a:dk1>
      <a:lt1>
        <a:srgbClr val="0072BC"/>
      </a:lt1>
      <a:dk2>
        <a:srgbClr val="C6C6C6"/>
      </a:dk2>
      <a:lt2>
        <a:srgbClr val="F8F8F8"/>
      </a:lt2>
      <a:accent1>
        <a:srgbClr val="0072BC"/>
      </a:accent1>
      <a:accent2>
        <a:srgbClr val="C00000"/>
      </a:accent2>
      <a:accent3>
        <a:srgbClr val="5F5F5F"/>
      </a:accent3>
      <a:accent4>
        <a:srgbClr val="969696"/>
      </a:accent4>
      <a:accent5>
        <a:srgbClr val="5F5F5F"/>
      </a:accent5>
      <a:accent6>
        <a:srgbClr val="4D4D4D"/>
      </a:accent6>
      <a:hlink>
        <a:srgbClr val="0072BC"/>
      </a:hlink>
      <a:folHlink>
        <a:srgbClr val="7030A0"/>
      </a:folHlink>
    </a:clrScheme>
    <a:fontScheme name="ECHR_Judgments_Reports_Decisions">
      <a:majorFont>
        <a:latin typeface="Times New Roman"/>
        <a:ea typeface=""/>
        <a:cs typeface=""/>
      </a:majorFont>
      <a:minorFont>
        <a:latin typeface="Times New Roman"/>
        <a:ea typeface=""/>
        <a:cs typeface=""/>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shade val="50000"/>
                <a:satMod val="155000"/>
              </a:schemeClr>
            </a:gs>
            <a:gs pos="35000">
              <a:schemeClr val="phClr">
                <a:shade val="75000"/>
                <a:satMod val="155000"/>
              </a:schemeClr>
            </a:gs>
            <a:gs pos="100000">
              <a:schemeClr val="phClr">
                <a:tint val="80000"/>
                <a:satMod val="255000"/>
              </a:schemeClr>
            </a:gs>
          </a:gsLst>
          <a:lin ang="16200000" scaled="0"/>
        </a:gradFill>
        <a:gradFill rotWithShape="1">
          <a:gsLst>
            <a:gs pos="0">
              <a:schemeClr val="phClr">
                <a:tint val="80000"/>
                <a:satMod val="300000"/>
              </a:schemeClr>
            </a:gs>
            <a:gs pos="100000">
              <a:schemeClr val="phClr">
                <a:shade val="30000"/>
                <a:satMod val="200000"/>
              </a:schemeClr>
            </a:gs>
          </a:gsLst>
          <a:path path="circle">
            <a:fillToRect l="100000" t="100000" r="100000" b="100000"/>
          </a:path>
        </a:gradFill>
      </a:bgFillStyleLst>
    </a:fmtScheme>
  </a:themeElements>
  <a:objectDefaults/>
  <a:extraClrSchemeLst/>
</a:theme>
</file>

<file path=customXml/_rels/item1.xml.rels><?xml version="1.0" encoding="utf-8" standalone="yes"?><Relationships xmlns="http://schemas.openxmlformats.org/package/2006/relationships"><Relationship Id="rId1" Type="http://schemas.openxmlformats.org/officeDocument/2006/relationships/customXmlProps" Target="itemProps1.xml" /></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103E534F-D9A7-4021-B217-FDF5E9A8B4DF}">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26</Pages>
  <Words>9922</Words>
  <Characters>56556</Characters>
  <Application>Microsoft Office Word</Application>
  <DocSecurity>0</DocSecurity>
  <Lines>471</Lines>
  <Paragraphs>132</Paragraphs>
  <ScaleCrop>false</ScaleCrop>
  <HeadingPairs>
    <vt:vector size="2" baseType="variant">
      <vt:variant>
        <vt:lpstr>Title</vt:lpstr>
      </vt:variant>
      <vt:variant>
        <vt:i4>1</vt:i4>
      </vt:variant>
    </vt:vector>
  </HeadingPairs>
  <TitlesOfParts>
    <vt:vector size="1" baseType="lpstr">
      <vt:lpstr>ECHR</vt:lpstr>
    </vt:vector>
  </TitlesOfParts>
  <Company/>
  <LinksUpToDate>false</LinksUpToDate>
  <CharactersWithSpaces>66346</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ECHR</dc:title>
  <dc:subject>JUDF</dc:subject>
  <cp:revision>1</cp:revision>
  <dcterms:created xsi:type="dcterms:W3CDTF">2020-06-10T07:58:00Z</dcterms:created>
  <dcterms:modified xsi:type="dcterms:W3CDTF">2020-09-23T09:16:00Z</dcterms:modified>
  <cp:category>ECHR Template</cp:category>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ASEID">
    <vt:lpwstr>1189047</vt:lpwstr>
  </property>
  <property fmtid="{D5CDD505-2E9C-101B-9397-08002B2CF9AE}" pid="3" name="cstLanguage">
    <vt:i4>1036</vt:i4>
  </property>
  <property fmtid="{D5CDD505-2E9C-101B-9397-08002B2CF9AE}" pid="4" name="RegisteredNo">
    <vt:lpwstr>15549/16</vt:lpwstr>
  </property>
</Properties>
</file>