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67FE" w:rsidR="00787E12" w:rsidP="00BA67FE" w:rsidRDefault="006172EB">
      <w:pPr>
        <w:jc w:val="center"/>
      </w:pPr>
      <w:bookmarkStart w:name="_GoBack" w:id="0"/>
      <w:bookmarkEnd w:id="0"/>
    </w:p>
    <w:p w:rsidRPr="00BA67FE" w:rsidR="00787E12" w:rsidP="00BA67FE" w:rsidRDefault="006172EB">
      <w:pPr>
        <w:jc w:val="center"/>
      </w:pPr>
    </w:p>
    <w:p w:rsidRPr="00BA67FE" w:rsidR="00787E12" w:rsidP="00BA67FE" w:rsidRDefault="006172EB">
      <w:pPr>
        <w:jc w:val="center"/>
      </w:pPr>
    </w:p>
    <w:p w:rsidRPr="00BA67FE" w:rsidR="00787E12" w:rsidP="00BA67FE" w:rsidRDefault="00DD256E">
      <w:pPr>
        <w:pStyle w:val="DecHCase"/>
      </w:pPr>
      <w:r w:rsidRPr="00BA67FE">
        <w:t>FIFTH SECTION</w:t>
      </w:r>
    </w:p>
    <w:p w:rsidRPr="00BA67FE" w:rsidR="00BA67FE" w:rsidP="00BA67FE" w:rsidRDefault="00BA67FE">
      <w:pPr>
        <w:pStyle w:val="JuPara"/>
      </w:pPr>
    </w:p>
    <w:p w:rsidRPr="00BA67FE" w:rsidR="00787E12" w:rsidP="00BA67FE" w:rsidRDefault="0048584C">
      <w:pPr>
        <w:pStyle w:val="JuTitle"/>
      </w:pPr>
      <w:r w:rsidRPr="00BA67FE">
        <w:t xml:space="preserve">CASE OF </w:t>
      </w:r>
      <w:r w:rsidRPr="00BA67FE" w:rsidR="00DD256E">
        <w:t xml:space="preserve">MAMMADOV </w:t>
      </w:r>
      <w:r w:rsidRPr="00BA67FE" w:rsidR="00F801DA">
        <w:t xml:space="preserve">AND OTHERS </w:t>
      </w:r>
      <w:r w:rsidRPr="00BA67FE" w:rsidR="00DD256E">
        <w:t>v. AZERBAIJAN</w:t>
      </w:r>
    </w:p>
    <w:p w:rsidRPr="00BA67FE" w:rsidR="00787E12" w:rsidP="00BA67FE" w:rsidRDefault="0048584C">
      <w:pPr>
        <w:pStyle w:val="ECHRCoverTitle4"/>
      </w:pPr>
      <w:r w:rsidRPr="00BA67FE">
        <w:t>(</w:t>
      </w:r>
      <w:r w:rsidRPr="00BA67FE" w:rsidR="00DD256E">
        <w:t>Application no. 52158/13 and 2 others -</w:t>
      </w:r>
      <w:r w:rsidRPr="00BA67FE" w:rsidR="00672403">
        <w:t xml:space="preserve"> </w:t>
      </w:r>
      <w:r w:rsidRPr="00BA67FE" w:rsidR="00DD256E">
        <w:rPr>
          <w:iCs/>
        </w:rPr>
        <w:t>see appended list</w:t>
      </w:r>
      <w:r w:rsidRPr="00BA67FE">
        <w:t>)</w:t>
      </w:r>
    </w:p>
    <w:p w:rsidRPr="00BA67FE" w:rsidR="00787E12" w:rsidP="00BA67FE" w:rsidRDefault="006172EB">
      <w:pPr>
        <w:pStyle w:val="DecHCase"/>
      </w:pPr>
    </w:p>
    <w:p w:rsidRPr="00BA67FE" w:rsidR="00787E12" w:rsidP="00BA67FE" w:rsidRDefault="006172EB">
      <w:pPr>
        <w:pStyle w:val="DecHCase"/>
      </w:pPr>
    </w:p>
    <w:p w:rsidRPr="00BA67FE" w:rsidR="00787E12" w:rsidP="00BA67FE" w:rsidRDefault="006172EB">
      <w:pPr>
        <w:pStyle w:val="DecHCase"/>
      </w:pPr>
    </w:p>
    <w:p w:rsidRPr="00BA67FE" w:rsidR="00787E12" w:rsidP="00BA67FE" w:rsidRDefault="006172EB">
      <w:pPr>
        <w:pStyle w:val="DecHCase"/>
      </w:pPr>
    </w:p>
    <w:p w:rsidRPr="00BA67FE" w:rsidR="00A062B9" w:rsidP="00BA67FE" w:rsidRDefault="006172EB">
      <w:pPr>
        <w:pStyle w:val="DecHCase"/>
      </w:pPr>
    </w:p>
    <w:p w:rsidRPr="00BA67FE" w:rsidR="00787E12" w:rsidP="00BA67FE" w:rsidRDefault="0048584C">
      <w:pPr>
        <w:pStyle w:val="DecHCase"/>
      </w:pPr>
      <w:r w:rsidRPr="00BA67FE">
        <w:t>JUDGMENT</w:t>
      </w:r>
    </w:p>
    <w:p w:rsidRPr="00BA67FE" w:rsidR="00787E12" w:rsidP="00BA67FE" w:rsidRDefault="006172EB">
      <w:pPr>
        <w:jc w:val="center"/>
        <w:rPr>
          <w:i/>
        </w:rPr>
      </w:pPr>
    </w:p>
    <w:p w:rsidRPr="00BA67FE" w:rsidR="00787E12" w:rsidP="00BA67FE" w:rsidRDefault="0048584C">
      <w:pPr>
        <w:pStyle w:val="DecHCase"/>
      </w:pPr>
      <w:r w:rsidRPr="00BA67FE">
        <w:t>STRASBOURG</w:t>
      </w:r>
    </w:p>
    <w:p w:rsidRPr="00BA67FE" w:rsidR="00787E12" w:rsidP="00BA67FE" w:rsidRDefault="00DD256E">
      <w:pPr>
        <w:pStyle w:val="DecHCase"/>
      </w:pPr>
      <w:r w:rsidRPr="00BA67FE">
        <w:t>4 June 2020</w:t>
      </w:r>
    </w:p>
    <w:p w:rsidRPr="00BA67FE" w:rsidR="00787E12" w:rsidP="00BA67FE" w:rsidRDefault="006172EB">
      <w:pPr>
        <w:jc w:val="center"/>
      </w:pPr>
    </w:p>
    <w:p w:rsidRPr="00BA67FE" w:rsidR="00BA67FE" w:rsidP="00BA67FE" w:rsidRDefault="00BA67FE">
      <w:pPr>
        <w:jc w:val="center"/>
      </w:pPr>
    </w:p>
    <w:p w:rsidRPr="00BA67FE" w:rsidR="00BA67FE" w:rsidP="00BA67FE" w:rsidRDefault="00BA67FE">
      <w:pPr>
        <w:jc w:val="center"/>
      </w:pPr>
    </w:p>
    <w:p w:rsidRPr="00BA67FE" w:rsidR="00BA67FE" w:rsidP="00BA67FE" w:rsidRDefault="00BA67FE">
      <w:pPr>
        <w:jc w:val="center"/>
      </w:pPr>
    </w:p>
    <w:p w:rsidRPr="00BA67FE" w:rsidR="00787E12" w:rsidP="00BA67FE" w:rsidRDefault="0048584C">
      <w:pPr>
        <w:jc w:val="center"/>
        <w:rPr>
          <w:sz w:val="2"/>
          <w:szCs w:val="2"/>
        </w:rPr>
      </w:pPr>
      <w:r w:rsidRPr="00BA67FE">
        <w:rPr>
          <w:i/>
        </w:rPr>
        <w:t>This judgment is final but it may be subject to editorial revision.</w:t>
      </w:r>
    </w:p>
    <w:p w:rsidRPr="00BA67FE" w:rsidR="00787E12" w:rsidP="00BA67FE" w:rsidRDefault="006172EB">
      <w:pPr>
        <w:pStyle w:val="JuCase"/>
      </w:pPr>
    </w:p>
    <w:p w:rsidRPr="00BA67FE" w:rsidR="00BA67FE" w:rsidP="00BA67FE" w:rsidRDefault="00BA67FE">
      <w:pPr>
        <w:pStyle w:val="JuPara"/>
        <w:sectPr w:rsidRPr="00BA67FE" w:rsidR="00BA67FE"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A67FE" w:rsidR="00787E12" w:rsidP="00BA67FE" w:rsidRDefault="0048584C">
      <w:pPr>
        <w:pStyle w:val="JuCase"/>
        <w:rPr>
          <w:bCs/>
        </w:rPr>
      </w:pPr>
      <w:r w:rsidRPr="00BA67FE">
        <w:t xml:space="preserve">In the case of </w:t>
      </w:r>
      <w:r w:rsidRPr="00BA67FE" w:rsidR="00DD256E">
        <w:t xml:space="preserve">Mammadov </w:t>
      </w:r>
      <w:r w:rsidRPr="00BA67FE" w:rsidR="00F801DA">
        <w:t xml:space="preserve">and Others </w:t>
      </w:r>
      <w:r w:rsidRPr="00BA67FE" w:rsidR="00DD256E">
        <w:t>v. Azerbaijan</w:t>
      </w:r>
      <w:r w:rsidRPr="00BA67FE">
        <w:t>,</w:t>
      </w:r>
    </w:p>
    <w:p w:rsidRPr="00BA67FE" w:rsidR="00787E12" w:rsidP="00BA67FE" w:rsidRDefault="0048584C">
      <w:pPr>
        <w:pStyle w:val="JuPara"/>
      </w:pPr>
      <w:r w:rsidRPr="00BA67FE">
        <w:t>The European Court of Human Rights (</w:t>
      </w:r>
      <w:r w:rsidRPr="00BA67FE" w:rsidR="00DD256E">
        <w:t>Fifth Section</w:t>
      </w:r>
      <w:r w:rsidRPr="00BA67FE">
        <w:t>), sitting as a Committee composed of:</w:t>
      </w:r>
    </w:p>
    <w:p w:rsidRPr="00BA67FE" w:rsidR="00787E12" w:rsidP="00BA67FE" w:rsidRDefault="007A13EA">
      <w:pPr>
        <w:pStyle w:val="JuJudges"/>
      </w:pPr>
      <w:r w:rsidRPr="00BA67FE">
        <w:tab/>
        <w:t xml:space="preserve">Gabriele </w:t>
      </w:r>
      <w:proofErr w:type="spellStart"/>
      <w:r w:rsidRPr="00BA67FE">
        <w:t>Kucsko-Stadlmayer</w:t>
      </w:r>
      <w:proofErr w:type="spellEnd"/>
      <w:r w:rsidRPr="00BA67FE">
        <w:t>,</w:t>
      </w:r>
      <w:r w:rsidRPr="00BA67FE">
        <w:rPr>
          <w:i/>
        </w:rPr>
        <w:t xml:space="preserve"> President,</w:t>
      </w:r>
      <w:r w:rsidRPr="00BA67FE">
        <w:rPr>
          <w:i/>
        </w:rPr>
        <w:br/>
      </w:r>
      <w:r w:rsidRPr="00BA67FE">
        <w:tab/>
      </w:r>
      <w:proofErr w:type="spellStart"/>
      <w:r w:rsidRPr="00BA67FE">
        <w:t>Mārtiņš</w:t>
      </w:r>
      <w:proofErr w:type="spellEnd"/>
      <w:r w:rsidRPr="00BA67FE">
        <w:t xml:space="preserve"> Mits,</w:t>
      </w:r>
      <w:r w:rsidRPr="00BA67FE">
        <w:rPr>
          <w:i/>
        </w:rPr>
        <w:br/>
      </w:r>
      <w:r w:rsidRPr="00BA67FE">
        <w:tab/>
      </w:r>
      <w:proofErr w:type="spellStart"/>
      <w:r w:rsidRPr="00BA67FE">
        <w:t>Lәtif</w:t>
      </w:r>
      <w:proofErr w:type="spellEnd"/>
      <w:r w:rsidRPr="00BA67FE">
        <w:t xml:space="preserve"> </w:t>
      </w:r>
      <w:proofErr w:type="spellStart"/>
      <w:r w:rsidRPr="00BA67FE">
        <w:t>Hüseynov</w:t>
      </w:r>
      <w:proofErr w:type="spellEnd"/>
      <w:r w:rsidRPr="00BA67FE">
        <w:t>,</w:t>
      </w:r>
      <w:r w:rsidRPr="00BA67FE">
        <w:rPr>
          <w:i/>
        </w:rPr>
        <w:t xml:space="preserve"> judges,</w:t>
      </w:r>
      <w:r w:rsidRPr="00BA67FE" w:rsidR="0048584C">
        <w:br/>
        <w:t xml:space="preserve">and </w:t>
      </w:r>
      <w:r w:rsidRPr="00BA67FE" w:rsidR="00DD256E">
        <w:t>Liv</w:t>
      </w:r>
      <w:r w:rsidRPr="00BA67FE" w:rsidR="0048584C">
        <w:t xml:space="preserve"> </w:t>
      </w:r>
      <w:r w:rsidRPr="00BA67FE" w:rsidR="00DD256E">
        <w:t>Tigerstedt</w:t>
      </w:r>
      <w:r w:rsidRPr="00BA67FE" w:rsidR="00555A1D">
        <w:t>,</w:t>
      </w:r>
      <w:r w:rsidRPr="00BA67FE" w:rsidR="0048584C">
        <w:t xml:space="preserve"> </w:t>
      </w:r>
      <w:r w:rsidRPr="00BA67FE" w:rsidR="00AD6359">
        <w:rPr>
          <w:i/>
        </w:rPr>
        <w:t>Acting</w:t>
      </w:r>
      <w:r w:rsidRPr="00BA67FE" w:rsidR="0048584C">
        <w:t xml:space="preserve"> </w:t>
      </w:r>
      <w:r w:rsidRPr="00BA67FE" w:rsidR="0048584C">
        <w:rPr>
          <w:rFonts w:cstheme="minorHAnsi"/>
          <w:i/>
        </w:rPr>
        <w:t>Deputy Section Registrar</w:t>
      </w:r>
      <w:r w:rsidRPr="00BA67FE" w:rsidR="0048584C">
        <w:rPr>
          <w:i/>
        </w:rPr>
        <w:t>,</w:t>
      </w:r>
    </w:p>
    <w:p w:rsidRPr="00BA67FE" w:rsidR="00787E12" w:rsidP="00BA67FE" w:rsidRDefault="0048584C">
      <w:pPr>
        <w:pStyle w:val="JuPara"/>
      </w:pPr>
      <w:r w:rsidRPr="00BA67FE">
        <w:t xml:space="preserve">Having deliberated in private on </w:t>
      </w:r>
      <w:r w:rsidRPr="00BA67FE" w:rsidR="007A13EA">
        <w:t>14 May 2020</w:t>
      </w:r>
      <w:r w:rsidRPr="00BA67FE">
        <w:t>,</w:t>
      </w:r>
    </w:p>
    <w:p w:rsidRPr="00BA67FE" w:rsidR="006372F5" w:rsidP="00BA67FE" w:rsidRDefault="0048584C">
      <w:pPr>
        <w:pStyle w:val="JuPara"/>
      </w:pPr>
      <w:r w:rsidRPr="00BA67FE">
        <w:t>Delivers the following judgment, which was adopted on that date:</w:t>
      </w:r>
    </w:p>
    <w:p w:rsidRPr="00BA67FE" w:rsidR="00DD256E" w:rsidP="00BA67FE" w:rsidRDefault="00DD256E">
      <w:pPr>
        <w:pStyle w:val="JuHHead"/>
        <w:jc w:val="left"/>
      </w:pPr>
      <w:bookmarkStart w:name="ITMARKStartJudgment" w:id="1"/>
      <w:bookmarkEnd w:id="1"/>
      <w:r w:rsidRPr="00BA67FE">
        <w:t>PROCEDURE</w:t>
      </w:r>
    </w:p>
    <w:p w:rsidRPr="00BA67FE" w:rsidR="00DD256E" w:rsidP="00BA67FE" w:rsidRDefault="00DD256E">
      <w:pPr>
        <w:pStyle w:val="JuPara"/>
      </w:pPr>
      <w:r w:rsidRPr="00BA67FE">
        <w:rPr>
          <w:rFonts w:cs="Times New Roman"/>
        </w:rPr>
        <w:fldChar w:fldCharType="begin"/>
      </w:r>
      <w:r w:rsidRPr="00BA67FE">
        <w:rPr>
          <w:rFonts w:cs="Times New Roman"/>
        </w:rPr>
        <w:instrText xml:space="preserve"> SEQ level0 \*arabic </w:instrText>
      </w:r>
      <w:r w:rsidRPr="00BA67FE">
        <w:rPr>
          <w:rFonts w:cs="Times New Roman"/>
        </w:rPr>
        <w:fldChar w:fldCharType="separate"/>
      </w:r>
      <w:r w:rsidRPr="00BA67FE" w:rsidR="00BA67FE">
        <w:rPr>
          <w:rFonts w:cs="Times New Roman"/>
          <w:noProof/>
        </w:rPr>
        <w:t>1</w:t>
      </w:r>
      <w:r w:rsidRPr="00BA67FE">
        <w:rPr>
          <w:rFonts w:cs="Times New Roman"/>
        </w:rPr>
        <w:fldChar w:fldCharType="end"/>
      </w:r>
      <w:r w:rsidRPr="00BA67FE">
        <w:rPr>
          <w:rFonts w:cs="Times New Roman"/>
        </w:rPr>
        <w:t xml:space="preserve">.  The case originated in applications against Azerbaijan lodged with the Court under Article 34 of the Convention for the Protection of Human Rights and Fundamental Freedoms (“the Convention”) on </w:t>
      </w:r>
      <w:r w:rsidRPr="00BA67FE">
        <w:rPr>
          <w:rFonts w:eastAsia="PMingLiU" w:cs="Times New Roman"/>
        </w:rPr>
        <w:t>the various dates indicated in the appended table</w:t>
      </w:r>
      <w:r w:rsidRPr="00BA67FE">
        <w:rPr>
          <w:rFonts w:cs="Times New Roman"/>
        </w:rPr>
        <w:t>.</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2</w:t>
      </w:r>
      <w:r w:rsidRPr="00BA67FE">
        <w:fldChar w:fldCharType="end"/>
      </w:r>
      <w:r w:rsidRPr="00BA67FE">
        <w:t>.  The applicants were represented by various lawyers (see the appended table).</w:t>
      </w:r>
    </w:p>
    <w:p w:rsidRPr="00BA67FE" w:rsidR="00DD256E" w:rsidP="00BA67FE" w:rsidRDefault="00DD256E">
      <w:pPr>
        <w:pStyle w:val="JuPara"/>
      </w:pPr>
      <w:r w:rsidRPr="00BA67FE">
        <w:rPr>
          <w:rFonts w:cs="Times New Roman"/>
        </w:rPr>
        <w:fldChar w:fldCharType="begin"/>
      </w:r>
      <w:r w:rsidRPr="00BA67FE">
        <w:rPr>
          <w:rFonts w:cs="Times New Roman"/>
        </w:rPr>
        <w:instrText xml:space="preserve"> SEQ level0 \*arabic </w:instrText>
      </w:r>
      <w:r w:rsidRPr="00BA67FE">
        <w:rPr>
          <w:rFonts w:cs="Times New Roman"/>
        </w:rPr>
        <w:fldChar w:fldCharType="separate"/>
      </w:r>
      <w:r w:rsidRPr="00BA67FE" w:rsidR="00BA67FE">
        <w:rPr>
          <w:rFonts w:cs="Times New Roman"/>
          <w:noProof/>
        </w:rPr>
        <w:t>3</w:t>
      </w:r>
      <w:r w:rsidRPr="00BA67FE">
        <w:rPr>
          <w:rFonts w:cs="Times New Roman"/>
        </w:rPr>
        <w:fldChar w:fldCharType="end"/>
      </w:r>
      <w:r w:rsidRPr="00BA67FE">
        <w:rPr>
          <w:rFonts w:cs="Times New Roman"/>
        </w:rPr>
        <w:t>.  </w:t>
      </w:r>
      <w:r w:rsidRPr="00BA67FE">
        <w:t>The Azerbaijani Government (“the Government”) were given notice of the applications.</w:t>
      </w:r>
    </w:p>
    <w:p w:rsidRPr="00BA67FE" w:rsidR="00DD256E" w:rsidP="00BA67FE" w:rsidRDefault="00DD256E">
      <w:pPr>
        <w:pStyle w:val="JuHHead"/>
        <w:jc w:val="left"/>
      </w:pPr>
      <w:r w:rsidRPr="00BA67FE">
        <w:t>THE FACTS</w:t>
      </w:r>
    </w:p>
    <w:p w:rsidRPr="00BA67FE" w:rsidR="00DD256E" w:rsidP="00BA67FE" w:rsidRDefault="00DD256E">
      <w:pPr>
        <w:pStyle w:val="JuPara"/>
      </w:pPr>
      <w:r w:rsidRPr="00BA67FE">
        <w:rPr>
          <w:rFonts w:eastAsia="PMingLiU"/>
        </w:rPr>
        <w:fldChar w:fldCharType="begin"/>
      </w:r>
      <w:r w:rsidRPr="00BA67FE">
        <w:rPr>
          <w:rFonts w:eastAsia="PMingLiU"/>
        </w:rPr>
        <w:instrText xml:space="preserve"> SEQ level0 \*arabic </w:instrText>
      </w:r>
      <w:r w:rsidRPr="00BA67FE">
        <w:rPr>
          <w:rFonts w:eastAsia="PMingLiU"/>
        </w:rPr>
        <w:fldChar w:fldCharType="separate"/>
      </w:r>
      <w:r w:rsidRPr="00BA67FE" w:rsidR="00BA67FE">
        <w:rPr>
          <w:rFonts w:eastAsia="PMingLiU"/>
          <w:noProof/>
        </w:rPr>
        <w:t>4</w:t>
      </w:r>
      <w:r w:rsidRPr="00BA67FE">
        <w:rPr>
          <w:rFonts w:eastAsia="PMingLiU"/>
        </w:rPr>
        <w:fldChar w:fldCharType="end"/>
      </w:r>
      <w:r w:rsidRPr="00BA67FE">
        <w:rPr>
          <w:rFonts w:eastAsia="PMingLiU"/>
        </w:rPr>
        <w:t>.  The list of applicant</w:t>
      </w:r>
      <w:r w:rsidRPr="00BA67FE">
        <w:t>s and the relevant details of the applications are set out in the appended table.</w:t>
      </w:r>
    </w:p>
    <w:p w:rsidRPr="00BA67FE" w:rsidR="00DD256E" w:rsidP="00BA67FE" w:rsidRDefault="00DD256E">
      <w:pPr>
        <w:pStyle w:val="JuPara"/>
        <w:rPr>
          <w:bCs/>
        </w:rPr>
      </w:pPr>
      <w:r w:rsidRPr="00BA67FE">
        <w:rPr>
          <w:bCs/>
        </w:rPr>
        <w:fldChar w:fldCharType="begin"/>
      </w:r>
      <w:r w:rsidRPr="00BA67FE">
        <w:rPr>
          <w:bCs/>
        </w:rPr>
        <w:instrText xml:space="preserve"> SEQ level0 \*arabic </w:instrText>
      </w:r>
      <w:r w:rsidRPr="00BA67FE">
        <w:rPr>
          <w:bCs/>
        </w:rPr>
        <w:fldChar w:fldCharType="separate"/>
      </w:r>
      <w:r w:rsidRPr="00BA67FE" w:rsidR="00BA67FE">
        <w:rPr>
          <w:bCs/>
          <w:noProof/>
        </w:rPr>
        <w:t>5</w:t>
      </w:r>
      <w:r w:rsidRPr="00BA67FE">
        <w:rPr>
          <w:bCs/>
        </w:rPr>
        <w:fldChar w:fldCharType="end"/>
      </w:r>
      <w:r w:rsidRPr="00BA67FE">
        <w:rPr>
          <w:bCs/>
        </w:rPr>
        <w:t>.  The applicant</w:t>
      </w:r>
      <w:r w:rsidRPr="00BA67FE">
        <w:rPr>
          <w:rFonts w:eastAsia="PMingLiU"/>
        </w:rPr>
        <w:t>s</w:t>
      </w:r>
      <w:r w:rsidRPr="00BA67FE">
        <w:rPr>
          <w:bCs/>
        </w:rPr>
        <w:t xml:space="preserve"> complained under Article 5 § 3 of the Convention of the excessive length of </w:t>
      </w:r>
      <w:r w:rsidRPr="00BA67FE">
        <w:rPr>
          <w:rFonts w:eastAsia="PMingLiU"/>
        </w:rPr>
        <w:t>their</w:t>
      </w:r>
      <w:r w:rsidRPr="00BA67FE">
        <w:rPr>
          <w:bCs/>
        </w:rPr>
        <w:t xml:space="preserve"> pre-trial detention</w:t>
      </w:r>
      <w:r w:rsidRPr="00BA67FE">
        <w:rPr>
          <w:rFonts w:cstheme="minorHAnsi"/>
          <w:bCs/>
          <w:color w:val="000000"/>
        </w:rPr>
        <w:t>.</w:t>
      </w:r>
      <w:r w:rsidRPr="00BA67FE">
        <w:t xml:space="preserve"> </w:t>
      </w:r>
      <w:r w:rsidRPr="00BA67FE">
        <w:rPr>
          <w:rFonts w:cstheme="minorHAnsi"/>
          <w:bCs/>
          <w:color w:val="000000"/>
        </w:rPr>
        <w:t>The applicant in application no. 52158/13 also raised a complaint under Article 5 § 4 of the Convention.</w:t>
      </w:r>
    </w:p>
    <w:p w:rsidRPr="00BA67FE" w:rsidR="00DD256E" w:rsidP="00BA67FE" w:rsidRDefault="00DD256E">
      <w:pPr>
        <w:pStyle w:val="JuHHead"/>
        <w:jc w:val="left"/>
      </w:pPr>
      <w:r w:rsidRPr="00BA67FE">
        <w:t>THE LAW</w:t>
      </w:r>
    </w:p>
    <w:p w:rsidRPr="00BA67FE" w:rsidR="00DD256E" w:rsidP="00BA67FE" w:rsidRDefault="00DD256E">
      <w:pPr>
        <w:pStyle w:val="JuHIRoman"/>
      </w:pPr>
      <w:r w:rsidRPr="00BA67FE">
        <w:t>JOINDER OF THE APPLICATIONS</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6</w:t>
      </w:r>
      <w:r w:rsidRPr="00BA67FE">
        <w:fldChar w:fldCharType="end"/>
      </w:r>
      <w:r w:rsidRPr="00BA67FE">
        <w:t>.  Having regard to the similar subject matter of the applications, the Court finds it appropriate to examine them jointly in a single judgment.</w:t>
      </w:r>
    </w:p>
    <w:p w:rsidRPr="00BA67FE" w:rsidR="00DD256E" w:rsidP="00BA67FE" w:rsidRDefault="00DD256E">
      <w:pPr>
        <w:pStyle w:val="JuHIRoman"/>
        <w:rPr>
          <w:rFonts w:eastAsia="PMingLiU"/>
        </w:rPr>
      </w:pPr>
      <w:r w:rsidRPr="00BA67FE">
        <w:t>ALLEGED VIOLATION OF ARTICLE</w:t>
      </w:r>
      <w:r w:rsidRPr="00BA67FE">
        <w:rPr>
          <w:rFonts w:eastAsia="PMingLiU"/>
        </w:rPr>
        <w:t xml:space="preserve"> 5 § 3 OF THE CONVENTION</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7</w:t>
      </w:r>
      <w:r w:rsidRPr="00BA67FE">
        <w:fldChar w:fldCharType="end"/>
      </w:r>
      <w:r w:rsidRPr="00BA67FE">
        <w:t>.  The applicant</w:t>
      </w:r>
      <w:r w:rsidRPr="00BA67FE">
        <w:rPr>
          <w:rFonts w:eastAsia="PMingLiU"/>
        </w:rPr>
        <w:t>s</w:t>
      </w:r>
      <w:r w:rsidRPr="00BA67FE">
        <w:t xml:space="preserve"> complained</w:t>
      </w:r>
      <w:r w:rsidRPr="00BA67FE">
        <w:rPr>
          <w:rFonts w:cstheme="minorHAnsi"/>
          <w:bCs/>
        </w:rPr>
        <w:t xml:space="preserve"> principally</w:t>
      </w:r>
      <w:r w:rsidRPr="00BA67FE">
        <w:rPr>
          <w:bCs/>
        </w:rPr>
        <w:t xml:space="preserve"> that </w:t>
      </w:r>
      <w:r w:rsidRPr="00BA67FE">
        <w:rPr>
          <w:rFonts w:eastAsia="PMingLiU"/>
        </w:rPr>
        <w:t>their</w:t>
      </w:r>
      <w:r w:rsidRPr="00BA67FE">
        <w:rPr>
          <w:bCs/>
        </w:rPr>
        <w:t xml:space="preserve"> pre-trial detention had been unreasonably long</w:t>
      </w:r>
      <w:r w:rsidRPr="00BA67FE">
        <w:t>. They relied on Article</w:t>
      </w:r>
      <w:r w:rsidRPr="00BA67FE">
        <w:rPr>
          <w:rFonts w:eastAsia="PMingLiU"/>
        </w:rPr>
        <w:t> 5 § 3</w:t>
      </w:r>
      <w:r w:rsidRPr="00BA67FE">
        <w:t xml:space="preserve"> of the Convention, which read</w:t>
      </w:r>
      <w:r w:rsidRPr="00BA67FE">
        <w:rPr>
          <w:rFonts w:eastAsia="PMingLiU"/>
        </w:rPr>
        <w:t>s</w:t>
      </w:r>
      <w:r w:rsidRPr="00BA67FE">
        <w:t xml:space="preserve"> as follows:</w:t>
      </w:r>
    </w:p>
    <w:p w:rsidRPr="00BA67FE" w:rsidR="00DD256E" w:rsidP="00BA67FE" w:rsidRDefault="00DD256E">
      <w:pPr>
        <w:pStyle w:val="JuQuot"/>
      </w:pPr>
      <w:r w:rsidRPr="00BA67FE">
        <w:t>“3.</w:t>
      </w:r>
      <w:proofErr w:type="gramStart"/>
      <w:r w:rsidRPr="00BA67FE">
        <w:t>  Everyone</w:t>
      </w:r>
      <w:proofErr w:type="gramEnd"/>
      <w:r w:rsidRPr="00BA67FE">
        <w:t xml:space="preserve"> arrested or detained in accordance with the provisions of paragraph 1 (c) of this Article shall be ... entitled to trial within a reasonable time or to release pending trial. Release may be conditioned by guarantees to appear for trial.”</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8</w:t>
      </w:r>
      <w:r w:rsidRPr="00BA67FE">
        <w:fldChar w:fldCharType="end"/>
      </w:r>
      <w:r w:rsidRPr="00BA67FE">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BA67FE">
        <w:rPr>
          <w:i/>
        </w:rPr>
        <w:t>Kudła</w:t>
      </w:r>
      <w:proofErr w:type="spellEnd"/>
      <w:r w:rsidRPr="00BA67FE">
        <w:rPr>
          <w:i/>
        </w:rPr>
        <w:t xml:space="preserve"> v. Poland </w:t>
      </w:r>
      <w:r w:rsidRPr="00BA67FE">
        <w:t>[GC], no. 30210/96, § 110, ECHR 2000</w:t>
      </w:r>
      <w:r w:rsidRPr="00BA67FE">
        <w:noBreakHyphen/>
        <w:t xml:space="preserve">XI, and </w:t>
      </w:r>
      <w:r w:rsidRPr="00BA67FE">
        <w:rPr>
          <w:i/>
        </w:rPr>
        <w:t xml:space="preserve">McKay v. the United Kingdom </w:t>
      </w:r>
      <w:r w:rsidRPr="00BA67FE">
        <w:t>[GC], no. 543/03, §§ 41-44, ECHR 2006</w:t>
      </w:r>
      <w:r w:rsidRPr="00BA67FE">
        <w:noBreakHyphen/>
        <w:t>X, with further references).</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9</w:t>
      </w:r>
      <w:r w:rsidRPr="00BA67FE">
        <w:fldChar w:fldCharType="end"/>
      </w:r>
      <w:r w:rsidRPr="00BA67FE">
        <w:t xml:space="preserve">.  In the leading cases of </w:t>
      </w:r>
      <w:proofErr w:type="spellStart"/>
      <w:r w:rsidRPr="00BA67FE">
        <w:rPr>
          <w:i/>
        </w:rPr>
        <w:t>Farhad</w:t>
      </w:r>
      <w:proofErr w:type="spellEnd"/>
      <w:r w:rsidRPr="00BA67FE">
        <w:rPr>
          <w:i/>
        </w:rPr>
        <w:t xml:space="preserve"> </w:t>
      </w:r>
      <w:proofErr w:type="spellStart"/>
      <w:r w:rsidRPr="00BA67FE">
        <w:rPr>
          <w:i/>
        </w:rPr>
        <w:t>Aliyev</w:t>
      </w:r>
      <w:proofErr w:type="spellEnd"/>
      <w:r w:rsidRPr="00BA67FE">
        <w:rPr>
          <w:i/>
        </w:rPr>
        <w:t xml:space="preserve"> v. Azerbaijan </w:t>
      </w:r>
      <w:r w:rsidRPr="00BA67FE">
        <w:t xml:space="preserve">(no. 37138/06, 9 November 2010), </w:t>
      </w:r>
      <w:proofErr w:type="spellStart"/>
      <w:r w:rsidRPr="00BA67FE">
        <w:rPr>
          <w:i/>
        </w:rPr>
        <w:t>Isayeva</w:t>
      </w:r>
      <w:proofErr w:type="spellEnd"/>
      <w:r w:rsidRPr="00BA67FE">
        <w:rPr>
          <w:i/>
        </w:rPr>
        <w:t xml:space="preserve"> v. Azerbaijan </w:t>
      </w:r>
      <w:r w:rsidRPr="00BA67FE">
        <w:t xml:space="preserve">(no. 36229/11, 25 June 2015) and </w:t>
      </w:r>
      <w:proofErr w:type="spellStart"/>
      <w:r w:rsidRPr="00BA67FE">
        <w:rPr>
          <w:i/>
        </w:rPr>
        <w:t>Zayidov</w:t>
      </w:r>
      <w:proofErr w:type="spellEnd"/>
      <w:r w:rsidRPr="00BA67FE">
        <w:rPr>
          <w:i/>
        </w:rPr>
        <w:t xml:space="preserve"> v. Azerbaijan </w:t>
      </w:r>
      <w:r w:rsidRPr="00BA67FE">
        <w:t>(no. 11948/08, 20 February 2014), the Court already found a violation in respect of issues similar to those in the present cases.</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10</w:t>
      </w:r>
      <w:r w:rsidRPr="00BA67FE">
        <w:fldChar w:fldCharType="end"/>
      </w:r>
      <w:r w:rsidRPr="00BA67FE">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cases the length of the applicant</w:t>
      </w:r>
      <w:r w:rsidRPr="00BA67FE">
        <w:rPr>
          <w:rFonts w:eastAsia="PMingLiU"/>
        </w:rPr>
        <w:t>s</w:t>
      </w:r>
      <w:r w:rsidRPr="00BA67FE" w:rsidR="00BA67FE">
        <w:t>’</w:t>
      </w:r>
      <w:r w:rsidRPr="00BA67FE">
        <w:t xml:space="preserve"> pre-trial detention was excessive.</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11</w:t>
      </w:r>
      <w:r w:rsidRPr="00BA67FE">
        <w:fldChar w:fldCharType="end"/>
      </w:r>
      <w:r w:rsidRPr="00BA67FE">
        <w:t>.  These complaints are therefore admissible and disclose a breach of Article</w:t>
      </w:r>
      <w:r w:rsidRPr="00BA67FE">
        <w:rPr>
          <w:rFonts w:eastAsia="PMingLiU"/>
        </w:rPr>
        <w:t> 5 § 3</w:t>
      </w:r>
      <w:r w:rsidRPr="00BA67FE">
        <w:t xml:space="preserve"> of the Convention.</w:t>
      </w:r>
    </w:p>
    <w:p w:rsidRPr="00BA67FE" w:rsidR="00DD256E" w:rsidP="00BA67FE" w:rsidRDefault="00DD256E">
      <w:pPr>
        <w:pStyle w:val="JuHIRoman"/>
        <w:rPr>
          <w:rFonts w:eastAsia="PMingLiU"/>
        </w:rPr>
      </w:pPr>
      <w:r w:rsidRPr="00BA67FE">
        <w:t>ALLEGED VIOLATION OF ARTICLE</w:t>
      </w:r>
      <w:r w:rsidRPr="00BA67FE">
        <w:rPr>
          <w:rFonts w:eastAsia="PMingLiU"/>
        </w:rPr>
        <w:t xml:space="preserve"> 5 § 4 OF THE CONVENTION</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12</w:t>
      </w:r>
      <w:r w:rsidRPr="00BA67FE">
        <w:fldChar w:fldCharType="end"/>
      </w:r>
      <w:r w:rsidRPr="00BA67FE">
        <w:t>.  The applicant in application no. 52158/13 also complained that the domestic courts had failed to address his specific arguments in support of his release in breach of Article 5 § 4 of the Convention, which reads as follows:</w:t>
      </w:r>
    </w:p>
    <w:p w:rsidRPr="00BA67FE" w:rsidR="00DD256E" w:rsidP="00BA67FE" w:rsidRDefault="00DD256E">
      <w:pPr>
        <w:pStyle w:val="JuQuot"/>
      </w:pPr>
      <w:r w:rsidRPr="00BA67FE">
        <w:t>“...Everyone who is deprived of his liberty by arrest or detention shall be entitled to take proceedings by which the lawfulness of his detention shall be decided speedily by a court and his release ordered if the detention is not lawful.”</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13</w:t>
      </w:r>
      <w:r w:rsidRPr="00BA67FE">
        <w:fldChar w:fldCharType="end"/>
      </w:r>
      <w:r w:rsidRPr="00BA67FE">
        <w:t>.  The Court notes that this part of application no. 52158/13 is not manifestly ill-founded within the meaning of Article 35 § 3 (a) of the Convention. It further notes that it is not inadmissible on any other grounds. It must therefore be declared admissible.</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14</w:t>
      </w:r>
      <w:r w:rsidRPr="00BA67FE">
        <w:fldChar w:fldCharType="end"/>
      </w:r>
      <w:r w:rsidRPr="00BA67FE">
        <w:t xml:space="preserve">.  The claims made by the applicant are similar to those made by the applicant in the case of </w:t>
      </w:r>
      <w:proofErr w:type="spellStart"/>
      <w:r w:rsidRPr="00BA67FE">
        <w:t>Aliyev</w:t>
      </w:r>
      <w:proofErr w:type="spellEnd"/>
      <w:r w:rsidRPr="00BA67FE">
        <w:t xml:space="preserve"> v. Azerbaijan (nos. 68762/14 and 71200/14, §§ 167-169, 20 September 2018).</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15</w:t>
      </w:r>
      <w:r w:rsidRPr="00BA67FE">
        <w:fldChar w:fldCharType="end"/>
      </w:r>
      <w:r w:rsidRPr="00BA67FE">
        <w:t xml:space="preserve">.  Having regard to the facts of the present case and the clear similarity between these facts and those of </w:t>
      </w:r>
      <w:proofErr w:type="spellStart"/>
      <w:r w:rsidRPr="00BA67FE">
        <w:t>Aliyev</w:t>
      </w:r>
      <w:proofErr w:type="spellEnd"/>
      <w:r w:rsidRPr="00BA67FE">
        <w:t xml:space="preserve"> (cited above) on all relevant and crucial points, the Court sees no particular circumstances that could compel it to deviate from its findings in that judgment.</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16</w:t>
      </w:r>
      <w:r w:rsidRPr="00BA67FE">
        <w:fldChar w:fldCharType="end"/>
      </w:r>
      <w:r w:rsidRPr="00BA67FE">
        <w:t>.  Accordingly, the applicant in application no. 52158/13 was not afforded proper judicial review of the lawfulness of his detention under Article 5 § 4 of the Convention.</w:t>
      </w:r>
    </w:p>
    <w:p w:rsidRPr="00BA67FE" w:rsidR="00DD256E" w:rsidP="00BA67FE" w:rsidRDefault="00DD256E">
      <w:pPr>
        <w:pStyle w:val="JuHIRoman"/>
      </w:pPr>
      <w:r w:rsidRPr="00BA67FE">
        <w:t>APPLICATION OF ARTICLE 41 OF THE CONVENTION</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17</w:t>
      </w:r>
      <w:r w:rsidRPr="00BA67FE">
        <w:fldChar w:fldCharType="end"/>
      </w:r>
      <w:r w:rsidRPr="00BA67FE">
        <w:t>.  Article 41 of the Convention provides:</w:t>
      </w:r>
    </w:p>
    <w:p w:rsidRPr="00BA67FE" w:rsidR="00DD256E" w:rsidP="00BA67FE" w:rsidRDefault="00DD256E">
      <w:pPr>
        <w:pStyle w:val="JuQuot"/>
        <w:keepNext/>
        <w:keepLines/>
      </w:pPr>
      <w:r w:rsidRPr="00BA67F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18</w:t>
      </w:r>
      <w:r w:rsidRPr="00BA67FE">
        <w:fldChar w:fldCharType="end"/>
      </w:r>
      <w:r w:rsidRPr="00BA67FE">
        <w:t>.  Regard being had to the documents in its possession and to its case</w:t>
      </w:r>
      <w:r w:rsidRPr="00BA67FE">
        <w:noBreakHyphen/>
        <w:t xml:space="preserve">law (see, in particular, </w:t>
      </w:r>
      <w:proofErr w:type="spellStart"/>
      <w:r w:rsidRPr="00BA67FE">
        <w:rPr>
          <w:i/>
        </w:rPr>
        <w:t>Farhad</w:t>
      </w:r>
      <w:proofErr w:type="spellEnd"/>
      <w:r w:rsidRPr="00BA67FE">
        <w:rPr>
          <w:i/>
        </w:rPr>
        <w:t xml:space="preserve"> </w:t>
      </w:r>
      <w:proofErr w:type="spellStart"/>
      <w:r w:rsidRPr="00BA67FE">
        <w:rPr>
          <w:i/>
        </w:rPr>
        <w:t>Aliyev</w:t>
      </w:r>
      <w:proofErr w:type="spellEnd"/>
      <w:r w:rsidRPr="00BA67FE">
        <w:rPr>
          <w:i/>
        </w:rPr>
        <w:t xml:space="preserve">, </w:t>
      </w:r>
      <w:r w:rsidRPr="00BA67FE">
        <w:t xml:space="preserve">cited above, </w:t>
      </w:r>
      <w:proofErr w:type="spellStart"/>
      <w:r w:rsidRPr="00BA67FE">
        <w:rPr>
          <w:i/>
        </w:rPr>
        <w:t>Zayidov</w:t>
      </w:r>
      <w:proofErr w:type="spellEnd"/>
      <w:r w:rsidRPr="00BA67FE">
        <w:rPr>
          <w:i/>
        </w:rPr>
        <w:t xml:space="preserve">, </w:t>
      </w:r>
      <w:r w:rsidRPr="00BA67FE">
        <w:t>cited above,</w:t>
      </w:r>
      <w:r w:rsidRPr="00BA67FE">
        <w:rPr>
          <w:i/>
        </w:rPr>
        <w:t xml:space="preserve"> </w:t>
      </w:r>
      <w:r w:rsidRPr="00BA67FE">
        <w:t xml:space="preserve">and </w:t>
      </w:r>
      <w:proofErr w:type="spellStart"/>
      <w:r w:rsidRPr="00BA67FE">
        <w:rPr>
          <w:i/>
        </w:rPr>
        <w:t>Novruz</w:t>
      </w:r>
      <w:proofErr w:type="spellEnd"/>
      <w:r w:rsidRPr="00BA67FE">
        <w:rPr>
          <w:i/>
        </w:rPr>
        <w:t xml:space="preserve"> Ismayilov v. Azerbaijan, </w:t>
      </w:r>
      <w:r w:rsidRPr="00BA67FE">
        <w:t>no. 16794/05, 20 February 2014), the Court considers it reasonable to award the sums indicated in the appended table.</w:t>
      </w:r>
    </w:p>
    <w:p w:rsidRPr="00BA67FE" w:rsidR="00DD256E" w:rsidP="00BA67FE" w:rsidRDefault="00DD256E">
      <w:pPr>
        <w:pStyle w:val="JuPara"/>
      </w:pPr>
      <w:r w:rsidRPr="00BA67FE">
        <w:fldChar w:fldCharType="begin"/>
      </w:r>
      <w:r w:rsidRPr="00BA67FE">
        <w:instrText xml:space="preserve"> SEQ level0 \*arabic </w:instrText>
      </w:r>
      <w:r w:rsidRPr="00BA67FE">
        <w:fldChar w:fldCharType="separate"/>
      </w:r>
      <w:r w:rsidRPr="00BA67FE" w:rsidR="00BA67FE">
        <w:rPr>
          <w:noProof/>
        </w:rPr>
        <w:t>19</w:t>
      </w:r>
      <w:r w:rsidRPr="00BA67FE">
        <w:fldChar w:fldCharType="end"/>
      </w:r>
      <w:r w:rsidRPr="00BA67FE">
        <w:t>.  The Court considers it appropriate that the default interest rate should be based on the marginal lending rate of the European Central Bank, to which should be added three percentage points.</w:t>
      </w:r>
    </w:p>
    <w:p w:rsidRPr="00BA67FE" w:rsidR="00DD256E" w:rsidP="00BA67FE" w:rsidRDefault="00DD256E">
      <w:pPr>
        <w:pStyle w:val="JuHHead"/>
        <w:jc w:val="left"/>
      </w:pPr>
      <w:r w:rsidRPr="00BA67FE">
        <w:t>FOR THESE REASONS, THE COURT</w:t>
      </w:r>
      <w:r w:rsidRPr="00BA67FE">
        <w:rPr>
          <w:color w:val="000000"/>
        </w:rPr>
        <w:t>,</w:t>
      </w:r>
      <w:r w:rsidRPr="00BA67FE">
        <w:t xml:space="preserve"> UNANIMOUSLY,</w:t>
      </w:r>
    </w:p>
    <w:p w:rsidRPr="00BA67FE" w:rsidR="00DD256E" w:rsidP="00BA67FE" w:rsidRDefault="00DD256E">
      <w:pPr>
        <w:pStyle w:val="JuList"/>
        <w:numPr>
          <w:ilvl w:val="0"/>
          <w:numId w:val="22"/>
        </w:numPr>
      </w:pPr>
      <w:r w:rsidRPr="00BA67FE">
        <w:rPr>
          <w:i/>
        </w:rPr>
        <w:t xml:space="preserve">Decides </w:t>
      </w:r>
      <w:r w:rsidRPr="00BA67FE">
        <w:t>to join the applications;</w:t>
      </w:r>
    </w:p>
    <w:p w:rsidRPr="00BA67FE" w:rsidR="00DD256E" w:rsidP="00BA67FE" w:rsidRDefault="00DD256E">
      <w:pPr>
        <w:pStyle w:val="JuList"/>
        <w:numPr>
          <w:ilvl w:val="0"/>
          <w:numId w:val="22"/>
        </w:numPr>
      </w:pPr>
      <w:r w:rsidRPr="00BA67FE">
        <w:rPr>
          <w:i/>
        </w:rPr>
        <w:t xml:space="preserve">Declares </w:t>
      </w:r>
      <w:r w:rsidRPr="00BA67FE">
        <w:t>the applications admissible;</w:t>
      </w:r>
    </w:p>
    <w:p w:rsidRPr="00BA67FE" w:rsidR="00DD256E" w:rsidP="00BA67FE" w:rsidRDefault="00DD256E">
      <w:pPr>
        <w:pStyle w:val="JuList"/>
        <w:numPr>
          <w:ilvl w:val="0"/>
          <w:numId w:val="22"/>
        </w:numPr>
      </w:pPr>
      <w:r w:rsidRPr="00BA67FE">
        <w:rPr>
          <w:i/>
        </w:rPr>
        <w:t xml:space="preserve">Holds </w:t>
      </w:r>
      <w:r w:rsidRPr="00BA67FE">
        <w:t xml:space="preserve">that </w:t>
      </w:r>
      <w:r w:rsidRPr="00BA67FE">
        <w:rPr>
          <w:rFonts w:eastAsia="PMingLiU"/>
        </w:rPr>
        <w:t xml:space="preserve">these applications </w:t>
      </w:r>
      <w:r w:rsidRPr="00BA67FE">
        <w:t>disclose breaches of Article</w:t>
      </w:r>
      <w:r w:rsidRPr="00BA67FE">
        <w:rPr>
          <w:rFonts w:eastAsia="PMingLiU"/>
        </w:rPr>
        <w:t xml:space="preserve"> 5 § 3 </w:t>
      </w:r>
      <w:r w:rsidRPr="00BA67FE">
        <w:t>of the Convention concerning the excessive length of pre-trial detention</w:t>
      </w:r>
      <w:r w:rsidRPr="00BA67FE">
        <w:rPr>
          <w:rFonts w:eastAsia="PMingLiU"/>
        </w:rPr>
        <w:t>;</w:t>
      </w:r>
    </w:p>
    <w:p w:rsidRPr="00BA67FE" w:rsidR="00DD256E" w:rsidP="00BA67FE" w:rsidRDefault="00DD256E">
      <w:pPr>
        <w:pStyle w:val="JuList"/>
        <w:numPr>
          <w:ilvl w:val="0"/>
          <w:numId w:val="22"/>
        </w:numPr>
      </w:pPr>
      <w:r w:rsidRPr="00BA67FE">
        <w:rPr>
          <w:i/>
        </w:rPr>
        <w:t>Holds</w:t>
      </w:r>
      <w:r w:rsidRPr="00BA67FE">
        <w:t xml:space="preserve"> that there has been a violation of Article 5 § 4 of the Convention in respect of the applicant in application no. 52158/13;</w:t>
      </w:r>
    </w:p>
    <w:p w:rsidRPr="00BA67FE" w:rsidR="00DD256E" w:rsidP="00BA67FE" w:rsidRDefault="00DD256E">
      <w:pPr>
        <w:pStyle w:val="JuList"/>
        <w:numPr>
          <w:ilvl w:val="0"/>
          <w:numId w:val="22"/>
        </w:numPr>
      </w:pPr>
      <w:r w:rsidRPr="00BA67FE">
        <w:rPr>
          <w:i/>
        </w:rPr>
        <w:t>Holds</w:t>
      </w:r>
    </w:p>
    <w:p w:rsidRPr="00BA67FE" w:rsidR="00DD256E" w:rsidP="00BA67FE" w:rsidRDefault="00DD256E">
      <w:pPr>
        <w:pStyle w:val="JuLista"/>
        <w:numPr>
          <w:ilvl w:val="1"/>
          <w:numId w:val="22"/>
        </w:numPr>
      </w:pPr>
      <w:r w:rsidRPr="00BA67FE">
        <w:t>that the respondent State is to pay the applicant</w:t>
      </w:r>
      <w:r w:rsidRPr="00BA67FE">
        <w:rPr>
          <w:rFonts w:eastAsia="PMingLiU"/>
        </w:rPr>
        <w:t>s</w:t>
      </w:r>
      <w:r w:rsidRPr="00BA67FE">
        <w:t>, within three months, the amounts indicated in the appended table, to be converted into the currency of the respondent State at the rate applicable at the date of settlement;</w:t>
      </w:r>
    </w:p>
    <w:p w:rsidRPr="00BA67FE" w:rsidR="00787E12" w:rsidP="00BA67FE" w:rsidRDefault="00DD256E">
      <w:pPr>
        <w:pStyle w:val="JuLista"/>
      </w:pPr>
      <w:proofErr w:type="gramStart"/>
      <w:r w:rsidRPr="00BA67FE">
        <w:t>that</w:t>
      </w:r>
      <w:proofErr w:type="gramEnd"/>
      <w:r w:rsidRPr="00BA67FE">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BA67FE" w:rsidR="00C43D38" w:rsidP="00BA67FE" w:rsidRDefault="0048584C">
      <w:pPr>
        <w:pStyle w:val="JuParaLast"/>
      </w:pPr>
      <w:r w:rsidRPr="00BA67FE">
        <w:t xml:space="preserve">Done in English, and notified in writing on </w:t>
      </w:r>
      <w:r w:rsidRPr="00BA67FE" w:rsidR="00DD256E">
        <w:t>4 June 2020</w:t>
      </w:r>
      <w:r w:rsidRPr="00BA67FE">
        <w:t>, pursuant to Rule 77 §§ 2 and 3 of the Rules of Court.</w:t>
      </w:r>
    </w:p>
    <w:p w:rsidRPr="00BA67FE" w:rsidR="00CF644B" w:rsidP="00BA67FE" w:rsidRDefault="00EE0E49">
      <w:pPr>
        <w:pStyle w:val="JuSigned"/>
        <w:keepNext/>
        <w:tabs>
          <w:tab w:val="clear" w:pos="851"/>
          <w:tab w:val="center" w:pos="1134"/>
          <w:tab w:val="left" w:pos="4111"/>
        </w:tabs>
        <w:jc w:val="center"/>
        <w:rPr>
          <w:rFonts w:eastAsia="PMingLiU"/>
          <w:lang w:val="da-DK"/>
        </w:rPr>
      </w:pPr>
      <w:r w:rsidRPr="00BA67FE">
        <w:rPr>
          <w:rFonts w:eastAsia="PMingLiU"/>
          <w:lang w:val="da-DK"/>
        </w:rPr>
        <w:tab/>
      </w:r>
      <w:r w:rsidRPr="00BA67FE" w:rsidR="00DD256E">
        <w:rPr>
          <w:rFonts w:eastAsia="PMingLiU"/>
          <w:lang w:val="da-DK"/>
        </w:rPr>
        <w:t>Liv</w:t>
      </w:r>
      <w:r w:rsidRPr="00BA67FE" w:rsidR="0048584C">
        <w:rPr>
          <w:rFonts w:eastAsia="PMingLiU"/>
          <w:lang w:val="da-DK"/>
        </w:rPr>
        <w:t xml:space="preserve"> </w:t>
      </w:r>
      <w:r w:rsidRPr="00BA67FE" w:rsidR="00DD256E">
        <w:rPr>
          <w:rFonts w:eastAsia="PMingLiU"/>
          <w:lang w:val="da-DK"/>
        </w:rPr>
        <w:t>Tigerstedt</w:t>
      </w:r>
      <w:r w:rsidRPr="00BA67FE" w:rsidR="0048584C">
        <w:rPr>
          <w:rFonts w:eastAsia="PMingLiU"/>
          <w:lang w:val="da-DK"/>
        </w:rPr>
        <w:tab/>
      </w:r>
      <w:r w:rsidRPr="00BA67FE">
        <w:rPr>
          <w:rFonts w:eastAsia="PMingLiU"/>
          <w:lang w:val="da-DK"/>
        </w:rPr>
        <w:tab/>
      </w:r>
      <w:r w:rsidRPr="00BA67FE" w:rsidR="00DD256E">
        <w:rPr>
          <w:rFonts w:eastAsia="PMingLiU"/>
          <w:lang w:val="da-DK"/>
        </w:rPr>
        <w:t>Gabriele Kucsko-Stadlmayer</w:t>
      </w:r>
    </w:p>
    <w:p w:rsidRPr="00BA67FE" w:rsidR="00B91668" w:rsidP="00BA67FE" w:rsidRDefault="0048584C">
      <w:pPr>
        <w:pStyle w:val="JuSigned"/>
        <w:keepNext/>
        <w:tabs>
          <w:tab w:val="clear" w:pos="851"/>
          <w:tab w:val="clear" w:pos="6407"/>
          <w:tab w:val="center" w:pos="1134"/>
          <w:tab w:val="center" w:pos="5670"/>
        </w:tabs>
        <w:spacing w:before="360"/>
        <w:ind w:left="-397" w:right="737"/>
        <w:contextualSpacing/>
        <w:jc w:val="center"/>
        <w:outlineLvl w:val="0"/>
        <w:rPr>
          <w:rFonts w:eastAsia="PMingLiU"/>
        </w:rPr>
      </w:pPr>
      <w:r w:rsidRPr="00BA67FE">
        <w:rPr>
          <w:rFonts w:eastAsia="PMingLiU"/>
        </w:rPr>
        <w:t>Acting Deputy Registrar</w:t>
      </w:r>
      <w:r w:rsidRPr="00BA67FE" w:rsidR="008F06D7">
        <w:rPr>
          <w:rFonts w:eastAsia="PMingLiU"/>
        </w:rPr>
        <w:tab/>
      </w:r>
      <w:r w:rsidRPr="00BA67FE">
        <w:rPr>
          <w:rFonts w:eastAsia="PMingLiU"/>
        </w:rPr>
        <w:t>President</w:t>
      </w:r>
    </w:p>
    <w:p w:rsidRPr="00BA67FE" w:rsidR="00BD554D" w:rsidP="00BA67FE" w:rsidRDefault="00B91668">
      <w:pPr>
        <w:pStyle w:val="JuSigned"/>
        <w:tabs>
          <w:tab w:val="clear" w:pos="851"/>
          <w:tab w:val="clear" w:pos="6407"/>
          <w:tab w:val="left" w:pos="5115"/>
        </w:tabs>
        <w:contextualSpacing/>
        <w:rPr>
          <w:rFonts w:eastAsia="PMingLiU"/>
        </w:rPr>
      </w:pPr>
      <w:r w:rsidRPr="00BA67FE">
        <w:rPr>
          <w:rFonts w:eastAsia="PMingLiU"/>
        </w:rPr>
        <w:tab/>
      </w:r>
    </w:p>
    <w:p w:rsidRPr="00BA67FE" w:rsidR="00787E12" w:rsidP="00BA67FE" w:rsidRDefault="006172EB">
      <w:pPr>
        <w:pStyle w:val="JuSigned"/>
        <w:tabs>
          <w:tab w:val="clear" w:pos="851"/>
          <w:tab w:val="center" w:pos="1134"/>
        </w:tabs>
        <w:contextualSpacing/>
        <w:rPr>
          <w:rFonts w:eastAsia="PMingLiU"/>
        </w:rPr>
      </w:pPr>
    </w:p>
    <w:p w:rsidRPr="00BA67FE" w:rsidR="00787E12" w:rsidP="00BA67FE" w:rsidRDefault="006172EB">
      <w:pPr>
        <w:pStyle w:val="JuParaLast"/>
        <w:sectPr w:rsidRPr="00BA67FE"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A67FE" w:rsidR="00787E12" w:rsidP="00BA67FE" w:rsidRDefault="0048584C">
      <w:pPr>
        <w:pStyle w:val="DecHTitle"/>
      </w:pPr>
      <w:r w:rsidRPr="00BA67FE">
        <w:t>APPENDIX</w:t>
      </w:r>
    </w:p>
    <w:p w:rsidRPr="00BA67FE" w:rsidR="00787E12" w:rsidP="00BA67FE" w:rsidRDefault="00DD256E">
      <w:pPr>
        <w:pStyle w:val="DecHCase"/>
        <w:contextualSpacing/>
        <w:rPr>
          <w:b/>
          <w:i/>
          <w:color w:val="3E3E3E" w:themeColor="background2" w:themeShade="40"/>
        </w:rPr>
      </w:pPr>
      <w:r w:rsidRPr="00BA67FE">
        <w:rPr>
          <w:color w:val="3E3E3E" w:themeColor="background2" w:themeShade="40"/>
        </w:rPr>
        <w:t>List of applications</w:t>
      </w:r>
      <w:r w:rsidRPr="00BA67FE" w:rsidR="0048584C">
        <w:rPr>
          <w:color w:val="3E3E3E" w:themeColor="background2" w:themeShade="40"/>
        </w:rPr>
        <w:t xml:space="preserve"> raising complaints under Article</w:t>
      </w:r>
      <w:r w:rsidRPr="00BA67FE">
        <w:rPr>
          <w:color w:val="3E3E3E" w:themeColor="background2" w:themeShade="40"/>
        </w:rPr>
        <w:t xml:space="preserve"> 5 § 3 of the Convention</w:t>
      </w:r>
    </w:p>
    <w:p w:rsidRPr="00BA67FE" w:rsidR="00787E12" w:rsidP="00BA67FE" w:rsidRDefault="0048584C">
      <w:pPr>
        <w:pStyle w:val="DecHCase"/>
        <w:contextualSpacing/>
        <w:rPr>
          <w:b/>
          <w:i/>
        </w:rPr>
      </w:pPr>
      <w:r w:rsidRPr="00BA67FE">
        <w:rPr>
          <w:color w:val="3E3E3E" w:themeColor="background2" w:themeShade="40"/>
        </w:rPr>
        <w:t>(</w:t>
      </w:r>
      <w:proofErr w:type="gramStart"/>
      <w:r w:rsidRPr="00BA67FE" w:rsidR="00DD256E">
        <w:rPr>
          <w:color w:val="3E3E3E" w:themeColor="background2" w:themeShade="40"/>
        </w:rPr>
        <w:t>excessive</w:t>
      </w:r>
      <w:proofErr w:type="gramEnd"/>
      <w:r w:rsidRPr="00BA67FE" w:rsidR="00DD256E">
        <w:rPr>
          <w:color w:val="3E3E3E" w:themeColor="background2" w:themeShade="40"/>
        </w:rPr>
        <w:t xml:space="preserve"> length of pre-trial detention</w:t>
      </w:r>
      <w:r w:rsidRPr="00BA67FE">
        <w:rPr>
          <w:color w:val="3E3E3E" w:themeColor="background2" w:themeShade="40"/>
        </w:rPr>
        <w:t>)</w:t>
      </w:r>
    </w:p>
    <w:tbl>
      <w:tblPr>
        <w:tblStyle w:val="ECHRListTable"/>
        <w:tblW w:w="12333" w:type="dxa"/>
        <w:jc w:val="center"/>
        <w:tblLayout w:type="fixed"/>
        <w:tblLook w:val="0420" w:firstRow="1" w:lastRow="0" w:firstColumn="0" w:lastColumn="0" w:noHBand="0" w:noVBand="1"/>
      </w:tblPr>
      <w:tblGrid>
        <w:gridCol w:w="567"/>
        <w:gridCol w:w="1277"/>
        <w:gridCol w:w="1701"/>
        <w:gridCol w:w="1701"/>
        <w:gridCol w:w="1134"/>
        <w:gridCol w:w="1417"/>
        <w:gridCol w:w="1559"/>
        <w:gridCol w:w="1560"/>
        <w:gridCol w:w="1417"/>
      </w:tblGrid>
      <w:tr w:rsidRPr="00BA67FE" w:rsidR="00502D5F" w:rsidTr="00502D5F">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BA67FE" w:rsidR="00502D5F" w:rsidP="00BA67FE" w:rsidRDefault="00502D5F">
            <w:pPr>
              <w:jc w:val="center"/>
              <w:rPr>
                <w:sz w:val="16"/>
              </w:rPr>
            </w:pPr>
            <w:bookmarkStart w:name="WECLListStart" w:id="2"/>
            <w:bookmarkEnd w:id="2"/>
            <w:r w:rsidRPr="00BA67FE">
              <w:rPr>
                <w:sz w:val="16"/>
              </w:rPr>
              <w:t>No.</w:t>
            </w:r>
          </w:p>
        </w:tc>
        <w:tc>
          <w:tcPr>
            <w:tcW w:w="1277" w:type="dxa"/>
          </w:tcPr>
          <w:p w:rsidRPr="00BA67FE" w:rsidR="00502D5F" w:rsidP="00BA67FE" w:rsidRDefault="00502D5F">
            <w:pPr>
              <w:jc w:val="center"/>
              <w:rPr>
                <w:sz w:val="16"/>
              </w:rPr>
            </w:pPr>
            <w:r w:rsidRPr="00BA67FE">
              <w:rPr>
                <w:sz w:val="16"/>
              </w:rPr>
              <w:t>Application no.</w:t>
            </w:r>
          </w:p>
          <w:p w:rsidRPr="00BA67FE" w:rsidR="00502D5F" w:rsidP="00BA67FE" w:rsidRDefault="00502D5F">
            <w:pPr>
              <w:jc w:val="center"/>
              <w:rPr>
                <w:sz w:val="16"/>
              </w:rPr>
            </w:pPr>
            <w:r w:rsidRPr="00BA67FE">
              <w:rPr>
                <w:sz w:val="16"/>
              </w:rPr>
              <w:t>Date of introduction</w:t>
            </w:r>
          </w:p>
        </w:tc>
        <w:tc>
          <w:tcPr>
            <w:tcW w:w="1701" w:type="dxa"/>
          </w:tcPr>
          <w:p w:rsidRPr="00BA67FE" w:rsidR="00502D5F" w:rsidP="00BA67FE" w:rsidRDefault="00502D5F">
            <w:pPr>
              <w:jc w:val="center"/>
              <w:rPr>
                <w:sz w:val="16"/>
              </w:rPr>
            </w:pPr>
            <w:r w:rsidRPr="00BA67FE">
              <w:rPr>
                <w:sz w:val="16"/>
              </w:rPr>
              <w:t>Applicant</w:t>
            </w:r>
            <w:r w:rsidRPr="00BA67FE" w:rsidR="00BA67FE">
              <w:rPr>
                <w:sz w:val="16"/>
              </w:rPr>
              <w:t>’</w:t>
            </w:r>
            <w:r w:rsidRPr="00BA67FE">
              <w:rPr>
                <w:sz w:val="16"/>
              </w:rPr>
              <w:t>s name</w:t>
            </w:r>
          </w:p>
          <w:p w:rsidRPr="00BA67FE" w:rsidR="00502D5F" w:rsidP="00BA67FE" w:rsidRDefault="00502D5F">
            <w:pPr>
              <w:jc w:val="center"/>
              <w:rPr>
                <w:sz w:val="16"/>
              </w:rPr>
            </w:pPr>
            <w:r w:rsidRPr="00BA67FE">
              <w:rPr>
                <w:sz w:val="16"/>
              </w:rPr>
              <w:t>Date of birth</w:t>
            </w:r>
          </w:p>
          <w:p w:rsidRPr="00BA67FE" w:rsidR="00502D5F" w:rsidP="00BA67FE" w:rsidRDefault="00502D5F">
            <w:pPr>
              <w:jc w:val="center"/>
              <w:rPr>
                <w:sz w:val="16"/>
              </w:rPr>
            </w:pPr>
          </w:p>
        </w:tc>
        <w:tc>
          <w:tcPr>
            <w:tcW w:w="1701" w:type="dxa"/>
          </w:tcPr>
          <w:p w:rsidRPr="00BA67FE" w:rsidR="00502D5F" w:rsidP="00BA67FE" w:rsidRDefault="00502D5F">
            <w:pPr>
              <w:jc w:val="center"/>
              <w:rPr>
                <w:sz w:val="16"/>
              </w:rPr>
            </w:pPr>
            <w:r w:rsidRPr="00BA67FE">
              <w:rPr>
                <w:sz w:val="16"/>
              </w:rPr>
              <w:t>Representative</w:t>
            </w:r>
            <w:r w:rsidRPr="00BA67FE" w:rsidR="00BA67FE">
              <w:rPr>
                <w:sz w:val="16"/>
              </w:rPr>
              <w:t>’</w:t>
            </w:r>
            <w:r w:rsidRPr="00BA67FE">
              <w:rPr>
                <w:sz w:val="16"/>
              </w:rPr>
              <w:t>s name and location</w:t>
            </w:r>
          </w:p>
        </w:tc>
        <w:tc>
          <w:tcPr>
            <w:tcW w:w="1134" w:type="dxa"/>
          </w:tcPr>
          <w:p w:rsidRPr="00BA67FE" w:rsidR="00502D5F" w:rsidP="00BA67FE" w:rsidRDefault="00502D5F">
            <w:pPr>
              <w:jc w:val="center"/>
              <w:rPr>
                <w:sz w:val="16"/>
              </w:rPr>
            </w:pPr>
            <w:r w:rsidRPr="00BA67FE">
              <w:rPr>
                <w:sz w:val="16"/>
              </w:rPr>
              <w:t>Period of detention</w:t>
            </w:r>
          </w:p>
        </w:tc>
        <w:tc>
          <w:tcPr>
            <w:tcW w:w="1417" w:type="dxa"/>
          </w:tcPr>
          <w:p w:rsidRPr="00BA67FE" w:rsidR="00502D5F" w:rsidP="00BA67FE" w:rsidRDefault="00502D5F">
            <w:pPr>
              <w:jc w:val="center"/>
              <w:rPr>
                <w:sz w:val="16"/>
              </w:rPr>
            </w:pPr>
            <w:r w:rsidRPr="00BA67FE">
              <w:rPr>
                <w:sz w:val="16"/>
              </w:rPr>
              <w:t>Length of detention</w:t>
            </w:r>
          </w:p>
        </w:tc>
        <w:tc>
          <w:tcPr>
            <w:tcW w:w="1559" w:type="dxa"/>
          </w:tcPr>
          <w:p w:rsidRPr="00BA67FE" w:rsidR="00502D5F" w:rsidP="00BA67FE" w:rsidRDefault="00502D5F">
            <w:pPr>
              <w:jc w:val="center"/>
              <w:rPr>
                <w:sz w:val="16"/>
              </w:rPr>
            </w:pPr>
            <w:r w:rsidRPr="00BA67FE">
              <w:rPr>
                <w:sz w:val="16"/>
              </w:rPr>
              <w:t>Other complaints under well-established case-law</w:t>
            </w:r>
          </w:p>
        </w:tc>
        <w:tc>
          <w:tcPr>
            <w:tcW w:w="1560" w:type="dxa"/>
          </w:tcPr>
          <w:p w:rsidRPr="00BA67FE" w:rsidR="00502D5F" w:rsidP="00BA67FE" w:rsidRDefault="00502D5F">
            <w:pPr>
              <w:jc w:val="center"/>
              <w:rPr>
                <w:sz w:val="16"/>
              </w:rPr>
            </w:pPr>
            <w:r w:rsidRPr="00BA67FE">
              <w:rPr>
                <w:sz w:val="16"/>
              </w:rPr>
              <w:t>Amount awarded for non-pecuniary damage per applicant</w:t>
            </w:r>
          </w:p>
          <w:p w:rsidRPr="00BA67FE" w:rsidR="00502D5F" w:rsidP="00BA67FE" w:rsidRDefault="00502D5F">
            <w:pPr>
              <w:jc w:val="center"/>
              <w:rPr>
                <w:sz w:val="16"/>
              </w:rPr>
            </w:pPr>
            <w:r w:rsidRPr="00BA67FE">
              <w:rPr>
                <w:sz w:val="16"/>
              </w:rPr>
              <w:t>(in euros)</w:t>
            </w:r>
            <w:r w:rsidRPr="00BA67FE">
              <w:rPr>
                <w:rStyle w:val="FootnoteReference"/>
                <w:sz w:val="16"/>
              </w:rPr>
              <w:footnoteReference w:id="1"/>
            </w:r>
          </w:p>
        </w:tc>
        <w:tc>
          <w:tcPr>
            <w:tcW w:w="1417" w:type="dxa"/>
          </w:tcPr>
          <w:p w:rsidRPr="00BA67FE" w:rsidR="00502D5F" w:rsidP="00BA67FE" w:rsidRDefault="00502D5F">
            <w:pPr>
              <w:jc w:val="center"/>
              <w:rPr>
                <w:sz w:val="16"/>
              </w:rPr>
            </w:pPr>
            <w:r w:rsidRPr="00BA67FE">
              <w:rPr>
                <w:sz w:val="16"/>
              </w:rPr>
              <w:t>Amount awarded for costs and expenses per application</w:t>
            </w:r>
          </w:p>
          <w:p w:rsidRPr="00BA67FE" w:rsidR="00502D5F" w:rsidP="00BA67FE" w:rsidRDefault="00502D5F">
            <w:pPr>
              <w:jc w:val="center"/>
              <w:rPr>
                <w:sz w:val="16"/>
              </w:rPr>
            </w:pPr>
            <w:r w:rsidRPr="00BA67FE">
              <w:rPr>
                <w:sz w:val="16"/>
              </w:rPr>
              <w:t>(in euros)</w:t>
            </w:r>
            <w:r w:rsidRPr="00BA67FE">
              <w:rPr>
                <w:rStyle w:val="FootnoteReference"/>
                <w:sz w:val="16"/>
              </w:rPr>
              <w:footnoteReference w:id="2"/>
            </w:r>
          </w:p>
        </w:tc>
      </w:tr>
      <w:tr w:rsidRPr="00BA67FE" w:rsidR="00502D5F" w:rsidTr="00502D5F">
        <w:trPr>
          <w:jc w:val="center"/>
        </w:trPr>
        <w:tc>
          <w:tcPr>
            <w:tcW w:w="567" w:type="dxa"/>
          </w:tcPr>
          <w:p w:rsidRPr="00BA67FE" w:rsidR="00502D5F" w:rsidP="00BA67FE" w:rsidRDefault="00502D5F">
            <w:pPr>
              <w:pStyle w:val="ListParagraph"/>
              <w:numPr>
                <w:ilvl w:val="0"/>
                <w:numId w:val="23"/>
              </w:numPr>
              <w:tabs>
                <w:tab w:val="num" w:pos="283"/>
              </w:tabs>
              <w:ind w:left="0" w:firstLine="0"/>
              <w:jc w:val="center"/>
              <w:rPr>
                <w:sz w:val="16"/>
              </w:rPr>
            </w:pPr>
          </w:p>
        </w:tc>
        <w:tc>
          <w:tcPr>
            <w:tcW w:w="1277" w:type="dxa"/>
          </w:tcPr>
          <w:p w:rsidRPr="00BA67FE" w:rsidR="00502D5F" w:rsidP="00BA67FE" w:rsidRDefault="00502D5F">
            <w:pPr>
              <w:jc w:val="center"/>
              <w:rPr>
                <w:sz w:val="16"/>
              </w:rPr>
            </w:pPr>
            <w:r w:rsidRPr="00BA67FE">
              <w:rPr>
                <w:sz w:val="16"/>
              </w:rPr>
              <w:t>52158/13</w:t>
            </w:r>
          </w:p>
          <w:p w:rsidRPr="00BA67FE" w:rsidR="00502D5F" w:rsidP="00BA67FE" w:rsidRDefault="00502D5F">
            <w:pPr>
              <w:jc w:val="center"/>
              <w:rPr>
                <w:sz w:val="16"/>
              </w:rPr>
            </w:pPr>
            <w:r w:rsidRPr="00BA67FE">
              <w:rPr>
                <w:sz w:val="16"/>
              </w:rPr>
              <w:t>04/11/2013</w:t>
            </w:r>
          </w:p>
        </w:tc>
        <w:tc>
          <w:tcPr>
            <w:tcW w:w="1701" w:type="dxa"/>
          </w:tcPr>
          <w:p w:rsidRPr="00BA67FE" w:rsidR="00502D5F" w:rsidP="00BA67FE" w:rsidRDefault="00502D5F">
            <w:pPr>
              <w:jc w:val="center"/>
              <w:rPr>
                <w:b/>
                <w:sz w:val="16"/>
              </w:rPr>
            </w:pPr>
            <w:proofErr w:type="spellStart"/>
            <w:r w:rsidRPr="00BA67FE">
              <w:rPr>
                <w:b/>
                <w:sz w:val="16"/>
              </w:rPr>
              <w:t>Gurban</w:t>
            </w:r>
            <w:proofErr w:type="spellEnd"/>
            <w:r w:rsidRPr="00BA67FE">
              <w:rPr>
                <w:b/>
                <w:sz w:val="16"/>
              </w:rPr>
              <w:t xml:space="preserve"> Jalal </w:t>
            </w:r>
            <w:proofErr w:type="spellStart"/>
            <w:r w:rsidRPr="00BA67FE">
              <w:rPr>
                <w:b/>
                <w:sz w:val="16"/>
              </w:rPr>
              <w:t>oglu</w:t>
            </w:r>
            <w:proofErr w:type="spellEnd"/>
            <w:r w:rsidRPr="00BA67FE">
              <w:rPr>
                <w:b/>
                <w:sz w:val="16"/>
              </w:rPr>
              <w:t xml:space="preserve"> </w:t>
            </w:r>
            <w:proofErr w:type="spellStart"/>
            <w:r w:rsidRPr="00BA67FE">
              <w:rPr>
                <w:b/>
                <w:sz w:val="16"/>
              </w:rPr>
              <w:t>Mammadov</w:t>
            </w:r>
            <w:proofErr w:type="spellEnd"/>
          </w:p>
          <w:p w:rsidRPr="00BA67FE" w:rsidR="00502D5F" w:rsidP="00BA67FE" w:rsidRDefault="00502D5F">
            <w:pPr>
              <w:jc w:val="center"/>
              <w:rPr>
                <w:sz w:val="16"/>
              </w:rPr>
            </w:pPr>
            <w:r w:rsidRPr="00BA67FE">
              <w:rPr>
                <w:sz w:val="16"/>
              </w:rPr>
              <w:t>02/04/1959</w:t>
            </w:r>
          </w:p>
        </w:tc>
        <w:tc>
          <w:tcPr>
            <w:tcW w:w="1701" w:type="dxa"/>
          </w:tcPr>
          <w:p w:rsidRPr="00BA67FE" w:rsidR="00502D5F" w:rsidP="00BA67FE" w:rsidRDefault="00502D5F">
            <w:pPr>
              <w:jc w:val="center"/>
              <w:rPr>
                <w:sz w:val="16"/>
              </w:rPr>
            </w:pPr>
            <w:proofErr w:type="spellStart"/>
            <w:r w:rsidRPr="00BA67FE">
              <w:rPr>
                <w:sz w:val="16"/>
              </w:rPr>
              <w:t>Mammadov</w:t>
            </w:r>
            <w:proofErr w:type="spellEnd"/>
            <w:r w:rsidRPr="00BA67FE">
              <w:rPr>
                <w:sz w:val="16"/>
              </w:rPr>
              <w:t xml:space="preserve"> </w:t>
            </w:r>
            <w:proofErr w:type="spellStart"/>
            <w:r w:rsidRPr="00BA67FE">
              <w:rPr>
                <w:sz w:val="16"/>
              </w:rPr>
              <w:t>Goshgar</w:t>
            </w:r>
            <w:proofErr w:type="spellEnd"/>
            <w:r w:rsidRPr="00BA67FE">
              <w:rPr>
                <w:sz w:val="16"/>
              </w:rPr>
              <w:t xml:space="preserve"> </w:t>
            </w:r>
            <w:proofErr w:type="spellStart"/>
            <w:r w:rsidRPr="00BA67FE">
              <w:rPr>
                <w:sz w:val="16"/>
              </w:rPr>
              <w:t>Gurban</w:t>
            </w:r>
            <w:proofErr w:type="spellEnd"/>
            <w:r w:rsidRPr="00BA67FE">
              <w:rPr>
                <w:sz w:val="16"/>
              </w:rPr>
              <w:t xml:space="preserve"> </w:t>
            </w:r>
            <w:proofErr w:type="spellStart"/>
            <w:r w:rsidRPr="00BA67FE">
              <w:rPr>
                <w:sz w:val="16"/>
              </w:rPr>
              <w:t>oglu</w:t>
            </w:r>
            <w:proofErr w:type="spellEnd"/>
          </w:p>
          <w:p w:rsidRPr="00BA67FE" w:rsidR="00502D5F" w:rsidP="00BA67FE" w:rsidRDefault="00502D5F">
            <w:pPr>
              <w:jc w:val="center"/>
              <w:rPr>
                <w:sz w:val="16"/>
              </w:rPr>
            </w:pPr>
            <w:r w:rsidRPr="00BA67FE">
              <w:rPr>
                <w:sz w:val="16"/>
              </w:rPr>
              <w:t>Sheffield</w:t>
            </w:r>
          </w:p>
        </w:tc>
        <w:tc>
          <w:tcPr>
            <w:tcW w:w="1134" w:type="dxa"/>
          </w:tcPr>
          <w:p w:rsidRPr="00BA67FE" w:rsidR="00502D5F" w:rsidP="00BA67FE" w:rsidRDefault="00502D5F">
            <w:pPr>
              <w:jc w:val="center"/>
              <w:rPr>
                <w:sz w:val="16"/>
              </w:rPr>
            </w:pPr>
            <w:r w:rsidRPr="00BA67FE">
              <w:rPr>
                <w:sz w:val="16"/>
              </w:rPr>
              <w:t>04/06/2013 to</w:t>
            </w:r>
          </w:p>
          <w:p w:rsidRPr="00BA67FE" w:rsidR="00502D5F" w:rsidP="00BA67FE" w:rsidRDefault="00502D5F">
            <w:pPr>
              <w:jc w:val="center"/>
              <w:rPr>
                <w:sz w:val="16"/>
              </w:rPr>
            </w:pPr>
            <w:r w:rsidRPr="00BA67FE">
              <w:rPr>
                <w:sz w:val="16"/>
              </w:rPr>
              <w:t>13/12/2013</w:t>
            </w:r>
          </w:p>
        </w:tc>
        <w:tc>
          <w:tcPr>
            <w:tcW w:w="1417" w:type="dxa"/>
          </w:tcPr>
          <w:p w:rsidRPr="00BA67FE" w:rsidR="00502D5F" w:rsidP="00BA67FE" w:rsidRDefault="00502D5F">
            <w:pPr>
              <w:jc w:val="center"/>
              <w:rPr>
                <w:sz w:val="16"/>
              </w:rPr>
            </w:pPr>
            <w:r w:rsidRPr="00BA67FE">
              <w:rPr>
                <w:sz w:val="16"/>
              </w:rPr>
              <w:t>6 month(s) and 10 day(s)</w:t>
            </w:r>
          </w:p>
          <w:p w:rsidRPr="00BA67FE" w:rsidR="00502D5F" w:rsidP="00BA67FE" w:rsidRDefault="00502D5F">
            <w:pPr>
              <w:jc w:val="center"/>
              <w:rPr>
                <w:sz w:val="16"/>
              </w:rPr>
            </w:pPr>
          </w:p>
        </w:tc>
        <w:tc>
          <w:tcPr>
            <w:tcW w:w="1559" w:type="dxa"/>
          </w:tcPr>
          <w:p w:rsidRPr="00BA67FE" w:rsidR="00502D5F" w:rsidP="00BA67FE" w:rsidRDefault="00502D5F">
            <w:pPr>
              <w:jc w:val="center"/>
              <w:rPr>
                <w:sz w:val="16"/>
              </w:rPr>
            </w:pPr>
            <w:r w:rsidRPr="00BA67FE">
              <w:rPr>
                <w:sz w:val="16"/>
              </w:rPr>
              <w:t xml:space="preserve">Art. 5 (4) - deficiencies in proceedings for review of the lawfulness of detention - </w:t>
            </w:r>
          </w:p>
        </w:tc>
        <w:tc>
          <w:tcPr>
            <w:tcW w:w="1560" w:type="dxa"/>
          </w:tcPr>
          <w:p w:rsidRPr="00BA67FE" w:rsidR="00502D5F" w:rsidP="00BA67FE" w:rsidRDefault="00502D5F">
            <w:pPr>
              <w:jc w:val="center"/>
              <w:rPr>
                <w:sz w:val="16"/>
              </w:rPr>
            </w:pPr>
            <w:r w:rsidRPr="00BA67FE">
              <w:rPr>
                <w:sz w:val="16"/>
              </w:rPr>
              <w:t>3,000</w:t>
            </w:r>
          </w:p>
        </w:tc>
        <w:tc>
          <w:tcPr>
            <w:tcW w:w="1417" w:type="dxa"/>
          </w:tcPr>
          <w:p w:rsidRPr="00BA67FE" w:rsidR="00502D5F" w:rsidP="00BA67FE" w:rsidRDefault="00502D5F">
            <w:pPr>
              <w:jc w:val="center"/>
              <w:rPr>
                <w:sz w:val="16"/>
              </w:rPr>
            </w:pPr>
            <w:r w:rsidRPr="00BA67FE">
              <w:rPr>
                <w:sz w:val="16"/>
              </w:rPr>
              <w:t>-</w:t>
            </w:r>
          </w:p>
        </w:tc>
      </w:tr>
      <w:tr w:rsidRPr="00BA67FE" w:rsidR="00502D5F" w:rsidTr="00502D5F">
        <w:trPr>
          <w:jc w:val="center"/>
        </w:trPr>
        <w:tc>
          <w:tcPr>
            <w:tcW w:w="567" w:type="dxa"/>
          </w:tcPr>
          <w:p w:rsidRPr="00BA67FE" w:rsidR="00502D5F" w:rsidP="00BA67FE" w:rsidRDefault="00502D5F">
            <w:pPr>
              <w:pStyle w:val="ListParagraph"/>
              <w:numPr>
                <w:ilvl w:val="0"/>
                <w:numId w:val="23"/>
              </w:numPr>
              <w:tabs>
                <w:tab w:val="num" w:pos="283"/>
              </w:tabs>
              <w:ind w:left="0" w:firstLine="0"/>
              <w:jc w:val="center"/>
              <w:rPr>
                <w:sz w:val="16"/>
              </w:rPr>
            </w:pPr>
          </w:p>
        </w:tc>
        <w:tc>
          <w:tcPr>
            <w:tcW w:w="1277" w:type="dxa"/>
          </w:tcPr>
          <w:p w:rsidRPr="00BA67FE" w:rsidR="00502D5F" w:rsidP="00BA67FE" w:rsidRDefault="00502D5F">
            <w:pPr>
              <w:jc w:val="center"/>
              <w:rPr>
                <w:sz w:val="16"/>
              </w:rPr>
            </w:pPr>
            <w:r w:rsidRPr="00BA67FE">
              <w:rPr>
                <w:sz w:val="16"/>
              </w:rPr>
              <w:t>53015/14</w:t>
            </w:r>
          </w:p>
          <w:p w:rsidRPr="00BA67FE" w:rsidR="00502D5F" w:rsidP="00BA67FE" w:rsidRDefault="00502D5F">
            <w:pPr>
              <w:jc w:val="center"/>
              <w:rPr>
                <w:sz w:val="16"/>
              </w:rPr>
            </w:pPr>
            <w:r w:rsidRPr="00BA67FE">
              <w:rPr>
                <w:sz w:val="16"/>
              </w:rPr>
              <w:t>17/07/2014</w:t>
            </w:r>
          </w:p>
        </w:tc>
        <w:tc>
          <w:tcPr>
            <w:tcW w:w="1701" w:type="dxa"/>
          </w:tcPr>
          <w:p w:rsidRPr="00BA67FE" w:rsidR="00502D5F" w:rsidP="00BA67FE" w:rsidRDefault="00502D5F">
            <w:pPr>
              <w:jc w:val="center"/>
              <w:rPr>
                <w:b/>
                <w:sz w:val="16"/>
              </w:rPr>
            </w:pPr>
            <w:proofErr w:type="spellStart"/>
            <w:r w:rsidRPr="00BA67FE">
              <w:rPr>
                <w:b/>
                <w:sz w:val="16"/>
              </w:rPr>
              <w:t>Vagif</w:t>
            </w:r>
            <w:proofErr w:type="spellEnd"/>
            <w:r w:rsidRPr="00BA67FE">
              <w:rPr>
                <w:b/>
                <w:sz w:val="16"/>
              </w:rPr>
              <w:t xml:space="preserve"> </w:t>
            </w:r>
            <w:proofErr w:type="spellStart"/>
            <w:r w:rsidRPr="00BA67FE">
              <w:rPr>
                <w:b/>
                <w:sz w:val="16"/>
              </w:rPr>
              <w:t>Rasul</w:t>
            </w:r>
            <w:proofErr w:type="spellEnd"/>
            <w:r w:rsidRPr="00BA67FE">
              <w:rPr>
                <w:b/>
                <w:sz w:val="16"/>
              </w:rPr>
              <w:t xml:space="preserve"> </w:t>
            </w:r>
            <w:proofErr w:type="spellStart"/>
            <w:r w:rsidRPr="00BA67FE">
              <w:rPr>
                <w:b/>
                <w:sz w:val="16"/>
              </w:rPr>
              <w:t>oglu</w:t>
            </w:r>
            <w:proofErr w:type="spellEnd"/>
            <w:r w:rsidRPr="00BA67FE">
              <w:rPr>
                <w:b/>
                <w:sz w:val="16"/>
              </w:rPr>
              <w:t xml:space="preserve"> </w:t>
            </w:r>
            <w:proofErr w:type="spellStart"/>
            <w:r w:rsidRPr="00BA67FE">
              <w:rPr>
                <w:b/>
                <w:sz w:val="16"/>
              </w:rPr>
              <w:t>Musayev</w:t>
            </w:r>
            <w:proofErr w:type="spellEnd"/>
          </w:p>
          <w:p w:rsidRPr="00BA67FE" w:rsidR="00502D5F" w:rsidP="00BA67FE" w:rsidRDefault="00502D5F">
            <w:pPr>
              <w:jc w:val="center"/>
              <w:rPr>
                <w:sz w:val="16"/>
              </w:rPr>
            </w:pPr>
            <w:r w:rsidRPr="00BA67FE">
              <w:rPr>
                <w:sz w:val="16"/>
              </w:rPr>
              <w:t>01/05/1951</w:t>
            </w:r>
          </w:p>
        </w:tc>
        <w:tc>
          <w:tcPr>
            <w:tcW w:w="1701" w:type="dxa"/>
          </w:tcPr>
          <w:p w:rsidRPr="00BA67FE" w:rsidR="00502D5F" w:rsidP="00BA67FE" w:rsidRDefault="00502D5F">
            <w:pPr>
              <w:jc w:val="center"/>
              <w:rPr>
                <w:sz w:val="16"/>
                <w:lang w:val="sv-SE"/>
              </w:rPr>
            </w:pPr>
            <w:r w:rsidRPr="00BA67FE">
              <w:rPr>
                <w:sz w:val="16"/>
                <w:lang w:val="sv-SE"/>
              </w:rPr>
              <w:t xml:space="preserve">Isayev Samir Nadir </w:t>
            </w:r>
            <w:proofErr w:type="spellStart"/>
            <w:r w:rsidRPr="00BA67FE">
              <w:rPr>
                <w:sz w:val="16"/>
                <w:lang w:val="sv-SE"/>
              </w:rPr>
              <w:t>oglu</w:t>
            </w:r>
            <w:proofErr w:type="spellEnd"/>
          </w:p>
          <w:p w:rsidRPr="00BA67FE" w:rsidR="00502D5F" w:rsidP="00BA67FE" w:rsidRDefault="00502D5F">
            <w:pPr>
              <w:jc w:val="center"/>
              <w:rPr>
                <w:sz w:val="16"/>
                <w:lang w:val="sv-SE"/>
              </w:rPr>
            </w:pPr>
            <w:r w:rsidRPr="00BA67FE">
              <w:rPr>
                <w:sz w:val="16"/>
                <w:lang w:val="sv-SE"/>
              </w:rPr>
              <w:t>Baku</w:t>
            </w:r>
          </w:p>
        </w:tc>
        <w:tc>
          <w:tcPr>
            <w:tcW w:w="1134" w:type="dxa"/>
          </w:tcPr>
          <w:p w:rsidRPr="00BA67FE" w:rsidR="00502D5F" w:rsidP="00BA67FE" w:rsidRDefault="00502D5F">
            <w:pPr>
              <w:jc w:val="center"/>
              <w:rPr>
                <w:sz w:val="16"/>
              </w:rPr>
            </w:pPr>
            <w:r w:rsidRPr="00BA67FE">
              <w:rPr>
                <w:sz w:val="16"/>
              </w:rPr>
              <w:t>08/11/2013 to</w:t>
            </w:r>
          </w:p>
          <w:p w:rsidRPr="00BA67FE" w:rsidR="00502D5F" w:rsidP="00BA67FE" w:rsidRDefault="00502D5F">
            <w:pPr>
              <w:jc w:val="center"/>
              <w:rPr>
                <w:sz w:val="16"/>
              </w:rPr>
            </w:pPr>
            <w:r w:rsidRPr="00BA67FE">
              <w:rPr>
                <w:sz w:val="16"/>
              </w:rPr>
              <w:t>14/06/2014</w:t>
            </w:r>
          </w:p>
        </w:tc>
        <w:tc>
          <w:tcPr>
            <w:tcW w:w="1417" w:type="dxa"/>
          </w:tcPr>
          <w:p w:rsidRPr="00BA67FE" w:rsidR="00502D5F" w:rsidP="00BA67FE" w:rsidRDefault="00502D5F">
            <w:pPr>
              <w:jc w:val="center"/>
              <w:rPr>
                <w:sz w:val="16"/>
              </w:rPr>
            </w:pPr>
            <w:r w:rsidRPr="00BA67FE">
              <w:rPr>
                <w:sz w:val="16"/>
              </w:rPr>
              <w:t>7 month(s) and 7 day(s)</w:t>
            </w:r>
          </w:p>
          <w:p w:rsidRPr="00BA67FE" w:rsidR="00502D5F" w:rsidP="00BA67FE" w:rsidRDefault="00502D5F">
            <w:pPr>
              <w:jc w:val="center"/>
              <w:rPr>
                <w:sz w:val="16"/>
              </w:rPr>
            </w:pPr>
          </w:p>
        </w:tc>
        <w:tc>
          <w:tcPr>
            <w:tcW w:w="1559" w:type="dxa"/>
          </w:tcPr>
          <w:p w:rsidRPr="00BA67FE" w:rsidR="00502D5F" w:rsidP="00BA67FE" w:rsidRDefault="00502D5F">
            <w:pPr>
              <w:jc w:val="center"/>
              <w:rPr>
                <w:sz w:val="16"/>
              </w:rPr>
            </w:pPr>
          </w:p>
        </w:tc>
        <w:tc>
          <w:tcPr>
            <w:tcW w:w="1560" w:type="dxa"/>
          </w:tcPr>
          <w:p w:rsidRPr="00BA67FE" w:rsidR="00502D5F" w:rsidP="00BA67FE" w:rsidRDefault="00502D5F">
            <w:pPr>
              <w:jc w:val="center"/>
              <w:rPr>
                <w:sz w:val="16"/>
              </w:rPr>
            </w:pPr>
            <w:r w:rsidRPr="00BA67FE">
              <w:rPr>
                <w:sz w:val="16"/>
              </w:rPr>
              <w:t>3,000</w:t>
            </w:r>
          </w:p>
        </w:tc>
        <w:tc>
          <w:tcPr>
            <w:tcW w:w="1417" w:type="dxa"/>
          </w:tcPr>
          <w:p w:rsidRPr="00BA67FE" w:rsidR="00502D5F" w:rsidP="00BA67FE" w:rsidRDefault="00502D5F">
            <w:pPr>
              <w:jc w:val="center"/>
              <w:rPr>
                <w:sz w:val="16"/>
              </w:rPr>
            </w:pPr>
            <w:r w:rsidRPr="00BA67FE">
              <w:rPr>
                <w:sz w:val="16"/>
              </w:rPr>
              <w:t>500</w:t>
            </w:r>
          </w:p>
        </w:tc>
      </w:tr>
      <w:tr w:rsidRPr="00BA67FE" w:rsidR="00502D5F" w:rsidTr="00502D5F">
        <w:trPr>
          <w:jc w:val="center"/>
        </w:trPr>
        <w:tc>
          <w:tcPr>
            <w:tcW w:w="567" w:type="dxa"/>
          </w:tcPr>
          <w:p w:rsidRPr="00BA67FE" w:rsidR="00502D5F" w:rsidP="00BA67FE" w:rsidRDefault="00502D5F">
            <w:pPr>
              <w:pStyle w:val="ListParagraph"/>
              <w:numPr>
                <w:ilvl w:val="0"/>
                <w:numId w:val="23"/>
              </w:numPr>
              <w:tabs>
                <w:tab w:val="num" w:pos="283"/>
              </w:tabs>
              <w:ind w:left="0" w:firstLine="0"/>
              <w:jc w:val="center"/>
              <w:rPr>
                <w:sz w:val="16"/>
              </w:rPr>
            </w:pPr>
          </w:p>
        </w:tc>
        <w:tc>
          <w:tcPr>
            <w:tcW w:w="1277" w:type="dxa"/>
          </w:tcPr>
          <w:p w:rsidRPr="00BA67FE" w:rsidR="00502D5F" w:rsidP="00BA67FE" w:rsidRDefault="00502D5F">
            <w:pPr>
              <w:jc w:val="center"/>
              <w:rPr>
                <w:sz w:val="16"/>
              </w:rPr>
            </w:pPr>
            <w:r w:rsidRPr="00BA67FE">
              <w:rPr>
                <w:sz w:val="16"/>
              </w:rPr>
              <w:t>62872/16</w:t>
            </w:r>
          </w:p>
          <w:p w:rsidRPr="00BA67FE" w:rsidR="00502D5F" w:rsidP="00BA67FE" w:rsidRDefault="00502D5F">
            <w:pPr>
              <w:jc w:val="center"/>
              <w:rPr>
                <w:sz w:val="16"/>
              </w:rPr>
            </w:pPr>
            <w:r w:rsidRPr="00BA67FE">
              <w:rPr>
                <w:sz w:val="16"/>
              </w:rPr>
              <w:t>15/10/2016</w:t>
            </w:r>
          </w:p>
        </w:tc>
        <w:tc>
          <w:tcPr>
            <w:tcW w:w="1701" w:type="dxa"/>
          </w:tcPr>
          <w:p w:rsidRPr="00BA67FE" w:rsidR="00502D5F" w:rsidP="00BA67FE" w:rsidRDefault="00502D5F">
            <w:pPr>
              <w:jc w:val="center"/>
              <w:rPr>
                <w:b/>
                <w:sz w:val="16"/>
              </w:rPr>
            </w:pPr>
            <w:proofErr w:type="spellStart"/>
            <w:r w:rsidRPr="00BA67FE">
              <w:rPr>
                <w:b/>
                <w:sz w:val="16"/>
              </w:rPr>
              <w:t>Zakir</w:t>
            </w:r>
            <w:proofErr w:type="spellEnd"/>
            <w:r w:rsidRPr="00BA67FE">
              <w:rPr>
                <w:b/>
                <w:sz w:val="16"/>
              </w:rPr>
              <w:t xml:space="preserve"> </w:t>
            </w:r>
            <w:proofErr w:type="spellStart"/>
            <w:r w:rsidRPr="00BA67FE">
              <w:rPr>
                <w:b/>
                <w:sz w:val="16"/>
              </w:rPr>
              <w:t>Tapdig</w:t>
            </w:r>
            <w:proofErr w:type="spellEnd"/>
            <w:r w:rsidRPr="00BA67FE">
              <w:rPr>
                <w:b/>
                <w:sz w:val="16"/>
              </w:rPr>
              <w:t xml:space="preserve"> </w:t>
            </w:r>
            <w:proofErr w:type="spellStart"/>
            <w:r w:rsidRPr="00BA67FE">
              <w:rPr>
                <w:b/>
                <w:sz w:val="16"/>
              </w:rPr>
              <w:t>oglu</w:t>
            </w:r>
            <w:proofErr w:type="spellEnd"/>
            <w:r w:rsidRPr="00BA67FE">
              <w:rPr>
                <w:b/>
                <w:sz w:val="16"/>
              </w:rPr>
              <w:t xml:space="preserve"> Mustafayev</w:t>
            </w:r>
          </w:p>
          <w:p w:rsidRPr="00BA67FE" w:rsidR="00502D5F" w:rsidP="00BA67FE" w:rsidRDefault="00502D5F">
            <w:pPr>
              <w:jc w:val="center"/>
              <w:rPr>
                <w:sz w:val="16"/>
              </w:rPr>
            </w:pPr>
            <w:r w:rsidRPr="00BA67FE">
              <w:rPr>
                <w:sz w:val="16"/>
              </w:rPr>
              <w:t>12/01/1977</w:t>
            </w:r>
          </w:p>
        </w:tc>
        <w:tc>
          <w:tcPr>
            <w:tcW w:w="1701" w:type="dxa"/>
          </w:tcPr>
          <w:p w:rsidRPr="00BA67FE" w:rsidR="00502D5F" w:rsidP="00BA67FE" w:rsidRDefault="00502D5F">
            <w:pPr>
              <w:jc w:val="center"/>
              <w:rPr>
                <w:sz w:val="16"/>
              </w:rPr>
            </w:pPr>
            <w:proofErr w:type="spellStart"/>
            <w:r w:rsidRPr="00BA67FE">
              <w:rPr>
                <w:sz w:val="16"/>
              </w:rPr>
              <w:t>Imanov</w:t>
            </w:r>
            <w:proofErr w:type="spellEnd"/>
            <w:r w:rsidRPr="00BA67FE">
              <w:rPr>
                <w:sz w:val="16"/>
              </w:rPr>
              <w:t xml:space="preserve"> </w:t>
            </w:r>
            <w:proofErr w:type="spellStart"/>
            <w:r w:rsidRPr="00BA67FE">
              <w:rPr>
                <w:sz w:val="16"/>
              </w:rPr>
              <w:t>Yalchin</w:t>
            </w:r>
            <w:proofErr w:type="spellEnd"/>
            <w:r w:rsidRPr="00BA67FE">
              <w:rPr>
                <w:sz w:val="16"/>
              </w:rPr>
              <w:t xml:space="preserve"> Jamil </w:t>
            </w:r>
            <w:proofErr w:type="spellStart"/>
            <w:r w:rsidRPr="00BA67FE">
              <w:rPr>
                <w:sz w:val="16"/>
              </w:rPr>
              <w:t>oglu</w:t>
            </w:r>
            <w:proofErr w:type="spellEnd"/>
          </w:p>
          <w:p w:rsidRPr="00BA67FE" w:rsidR="00502D5F" w:rsidP="00BA67FE" w:rsidRDefault="00502D5F">
            <w:pPr>
              <w:jc w:val="center"/>
              <w:rPr>
                <w:sz w:val="16"/>
              </w:rPr>
            </w:pPr>
            <w:proofErr w:type="spellStart"/>
            <w:r w:rsidRPr="00BA67FE">
              <w:rPr>
                <w:sz w:val="16"/>
              </w:rPr>
              <w:t>Sumgayit</w:t>
            </w:r>
            <w:proofErr w:type="spellEnd"/>
          </w:p>
        </w:tc>
        <w:tc>
          <w:tcPr>
            <w:tcW w:w="1134" w:type="dxa"/>
          </w:tcPr>
          <w:p w:rsidRPr="00BA67FE" w:rsidR="00502D5F" w:rsidP="00BA67FE" w:rsidRDefault="00502D5F">
            <w:pPr>
              <w:jc w:val="center"/>
              <w:rPr>
                <w:sz w:val="16"/>
              </w:rPr>
            </w:pPr>
            <w:r w:rsidRPr="00BA67FE">
              <w:rPr>
                <w:sz w:val="16"/>
              </w:rPr>
              <w:t>28/03/2016 to</w:t>
            </w:r>
          </w:p>
          <w:p w:rsidRPr="00BA67FE" w:rsidR="00502D5F" w:rsidP="00BA67FE" w:rsidRDefault="00502D5F">
            <w:pPr>
              <w:jc w:val="center"/>
              <w:rPr>
                <w:sz w:val="16"/>
              </w:rPr>
            </w:pPr>
            <w:r w:rsidRPr="00BA67FE">
              <w:rPr>
                <w:sz w:val="16"/>
              </w:rPr>
              <w:t>25/01/2017</w:t>
            </w:r>
          </w:p>
        </w:tc>
        <w:tc>
          <w:tcPr>
            <w:tcW w:w="1417" w:type="dxa"/>
          </w:tcPr>
          <w:p w:rsidRPr="00BA67FE" w:rsidR="00502D5F" w:rsidP="00BA67FE" w:rsidRDefault="00502D5F">
            <w:pPr>
              <w:jc w:val="center"/>
              <w:rPr>
                <w:sz w:val="16"/>
              </w:rPr>
            </w:pPr>
            <w:r w:rsidRPr="00BA67FE">
              <w:rPr>
                <w:sz w:val="16"/>
              </w:rPr>
              <w:t>9 month(s) and 29 day(s)</w:t>
            </w:r>
          </w:p>
          <w:p w:rsidRPr="00BA67FE" w:rsidR="00502D5F" w:rsidP="00BA67FE" w:rsidRDefault="00502D5F">
            <w:pPr>
              <w:jc w:val="center"/>
              <w:rPr>
                <w:sz w:val="16"/>
              </w:rPr>
            </w:pPr>
          </w:p>
        </w:tc>
        <w:tc>
          <w:tcPr>
            <w:tcW w:w="1559" w:type="dxa"/>
          </w:tcPr>
          <w:p w:rsidRPr="00BA67FE" w:rsidR="00502D5F" w:rsidP="00BA67FE" w:rsidRDefault="00502D5F">
            <w:pPr>
              <w:jc w:val="center"/>
              <w:rPr>
                <w:sz w:val="16"/>
              </w:rPr>
            </w:pPr>
          </w:p>
        </w:tc>
        <w:tc>
          <w:tcPr>
            <w:tcW w:w="1560" w:type="dxa"/>
          </w:tcPr>
          <w:p w:rsidRPr="00BA67FE" w:rsidR="00502D5F" w:rsidP="00BA67FE" w:rsidRDefault="00502D5F">
            <w:pPr>
              <w:jc w:val="center"/>
              <w:rPr>
                <w:sz w:val="16"/>
              </w:rPr>
            </w:pPr>
            <w:r w:rsidRPr="00BA67FE">
              <w:rPr>
                <w:sz w:val="16"/>
              </w:rPr>
              <w:t>3,000</w:t>
            </w:r>
          </w:p>
        </w:tc>
        <w:tc>
          <w:tcPr>
            <w:tcW w:w="1417" w:type="dxa"/>
          </w:tcPr>
          <w:p w:rsidRPr="00BA67FE" w:rsidR="00502D5F" w:rsidP="00BA67FE" w:rsidRDefault="00502D5F">
            <w:pPr>
              <w:jc w:val="center"/>
              <w:rPr>
                <w:sz w:val="16"/>
              </w:rPr>
            </w:pPr>
            <w:r w:rsidRPr="00BA67FE">
              <w:rPr>
                <w:sz w:val="16"/>
              </w:rPr>
              <w:t>500</w:t>
            </w:r>
          </w:p>
        </w:tc>
      </w:tr>
    </w:tbl>
    <w:p w:rsidRPr="00BA67FE" w:rsidR="00787E12" w:rsidP="00BA67FE" w:rsidRDefault="006172EB"/>
    <w:p w:rsidRPr="00BA67FE" w:rsidR="00791456" w:rsidP="00BA67FE" w:rsidRDefault="006172EB"/>
    <w:sectPr w:rsidRPr="00BA67FE" w:rsidR="00791456" w:rsidSect="00BD554D">
      <w:headerReference w:type="even" r:id="rId15"/>
      <w:headerReference w:type="default" r:id="rId16"/>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56E" w:rsidRPr="00B91668" w:rsidRDefault="00DD256E">
      <w:r w:rsidRPr="00B91668">
        <w:separator/>
      </w:r>
    </w:p>
  </w:endnote>
  <w:endnote w:type="continuationSeparator" w:id="0">
    <w:p w:rsidR="00DD256E" w:rsidRPr="00B91668" w:rsidRDefault="00DD256E">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DD256E" w:rsidP="00BD554D">
    <w:pPr>
      <w:pStyle w:val="JuHeader"/>
    </w:pPr>
    <w:r>
      <w:fldChar w:fldCharType="begin"/>
    </w:r>
    <w:r>
      <w:instrText xml:space="preserve"> PAGE </w:instrText>
    </w:r>
    <w:r>
      <w:fldChar w:fldCharType="separate"/>
    </w:r>
    <w:r w:rsidR="00BA67FE">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DD256E" w:rsidP="00BD554D">
    <w:pPr>
      <w:pStyle w:val="JuHeader"/>
    </w:pPr>
    <w:r>
      <w:fldChar w:fldCharType="begin"/>
    </w:r>
    <w:r>
      <w:instrText xml:space="preserve"> PAGE </w:instrText>
    </w:r>
    <w:r>
      <w:fldChar w:fldCharType="separate"/>
    </w:r>
    <w:r w:rsidR="00BA67FE">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56E" w:rsidRPr="00150BFA" w:rsidRDefault="00DD256E" w:rsidP="0020718E">
    <w:pPr>
      <w:jc w:val="center"/>
    </w:pPr>
    <w:r>
      <w:rPr>
        <w:noProof/>
        <w:lang w:val="en-US" w:eastAsia="ja-JP"/>
      </w:rPr>
      <w:drawing>
        <wp:inline distT="0" distB="0" distL="0" distR="0" wp14:anchorId="2D05126A" wp14:editId="36A0260E">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6172EB"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56E" w:rsidRPr="00B91668" w:rsidRDefault="00DD256E" w:rsidP="00787E12">
      <w:r w:rsidRPr="00B91668">
        <w:separator/>
      </w:r>
    </w:p>
  </w:footnote>
  <w:footnote w:type="continuationSeparator" w:id="0">
    <w:p w:rsidR="00DD256E" w:rsidRPr="00B91668" w:rsidRDefault="00DD256E" w:rsidP="00787E12">
      <w:r w:rsidRPr="00B91668">
        <w:continuationSeparator/>
      </w:r>
    </w:p>
  </w:footnote>
  <w:footnote w:id="1">
    <w:p w:rsidR="00502D5F" w:rsidRPr="00DA5A64" w:rsidRDefault="00502D5F" w:rsidP="00DD256E">
      <w:pPr>
        <w:pStyle w:val="FootnoteText"/>
      </w:pPr>
      <w:r w:rsidRPr="00DD256E">
        <w:rPr>
          <w:rStyle w:val="FootnoteReference"/>
        </w:rPr>
        <w:footnoteRef/>
      </w:r>
      <w:r w:rsidRPr="00DD256E">
        <w:rPr>
          <w:rStyle w:val="FootnoteReference"/>
        </w:rPr>
        <w:t xml:space="preserve"> </w:t>
      </w:r>
      <w:r w:rsidRPr="00DA5A64">
        <w:t>Plus any tax that may be chargeable to the applicants.</w:t>
      </w:r>
    </w:p>
  </w:footnote>
  <w:footnote w:id="2">
    <w:p w:rsidR="00502D5F" w:rsidRPr="00DA5A64" w:rsidRDefault="00502D5F" w:rsidP="00DD256E">
      <w:pPr>
        <w:pStyle w:val="FootnoteText"/>
      </w:pPr>
      <w:r w:rsidRPr="00DD256E">
        <w:rPr>
          <w:rStyle w:val="FootnoteReference"/>
        </w:rPr>
        <w:footnoteRef/>
      </w:r>
      <w:r w:rsidRPr="00DD256E">
        <w:rPr>
          <w:rStyle w:val="FootnoteReference"/>
        </w:rPr>
        <w:t xml:space="preserve"> </w:t>
      </w:r>
      <w:r w:rsidRPr="00DD256E">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56E" w:rsidRPr="00A45145" w:rsidRDefault="00DD256E" w:rsidP="00A45145">
    <w:pPr>
      <w:jc w:val="center"/>
    </w:pPr>
    <w:r>
      <w:rPr>
        <w:noProof/>
        <w:lang w:val="en-US" w:eastAsia="ja-JP"/>
      </w:rPr>
      <w:drawing>
        <wp:inline distT="0" distB="0" distL="0" distR="0" wp14:anchorId="1A6AC505" wp14:editId="0D150DA9">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6172EB" w:rsidP="000318F7">
    <w:pPr>
      <w:jc w:val="center"/>
      <w:rPr>
        <w:sz w:val="4"/>
        <w:szCs w:val="4"/>
      </w:rPr>
    </w:pPr>
  </w:p>
  <w:p w:rsidR="00787E12" w:rsidRPr="00B91668" w:rsidRDefault="006172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56E" w:rsidRPr="00A45145" w:rsidRDefault="00DD256E" w:rsidP="00A45145">
    <w:pPr>
      <w:jc w:val="center"/>
    </w:pPr>
    <w:r>
      <w:rPr>
        <w:noProof/>
        <w:lang w:val="en-US" w:eastAsia="ja-JP"/>
      </w:rPr>
      <w:drawing>
        <wp:inline distT="0" distB="0" distL="0" distR="0" wp14:anchorId="7BB9D2C0" wp14:editId="22D6FF18">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6172EB"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D256E" w:rsidP="006372F5">
    <w:pPr>
      <w:pStyle w:val="JuHeader"/>
    </w:pPr>
    <w:r>
      <w:t xml:space="preserve">MAMMADOV </w:t>
    </w:r>
    <w:r w:rsidR="007475C9" w:rsidRPr="00672403">
      <w:rPr>
        <w:caps/>
      </w:rPr>
      <w:t>and</w:t>
    </w:r>
    <w:r w:rsidR="007475C9">
      <w:t xml:space="preserve"> OTHERS </w:t>
    </w:r>
    <w:r>
      <w:t>v. AZERBAIJAN</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DD256E" w:rsidP="00BD554D">
    <w:pPr>
      <w:pStyle w:val="JuHeader"/>
    </w:pPr>
    <w:r>
      <w:t xml:space="preserve">MAMMADOV </w:t>
    </w:r>
    <w:r w:rsidR="007475C9" w:rsidRPr="00672403">
      <w:rPr>
        <w:caps/>
      </w:rPr>
      <w:t>and</w:t>
    </w:r>
    <w:r w:rsidR="007475C9">
      <w:t xml:space="preserve"> OTHERS </w:t>
    </w:r>
    <w:r>
      <w:t>v. AZERBAIJAN</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D256E" w:rsidP="00E026EC">
    <w:pPr>
      <w:pStyle w:val="JuHeader"/>
    </w:pPr>
    <w:r>
      <w:t>MAMMADOV v. AZERBAIJAN</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DD256E" w:rsidP="00E026EC">
    <w:pPr>
      <w:pStyle w:val="JuHeader"/>
    </w:pPr>
    <w:r>
      <w:t xml:space="preserve">MAMMADOV </w:t>
    </w:r>
    <w:r w:rsidR="00C872A9">
      <w:t>AND</w:t>
    </w:r>
    <w:r w:rsidR="008652A4">
      <w:t xml:space="preserve"> OTHERS </w:t>
    </w:r>
    <w:r>
      <w:t>v. AZERBAIJAN</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6960A2"/>
    <w:multiLevelType w:val="hybridMultilevel"/>
    <w:tmpl w:val="CBAC0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DD256E"/>
    <w:rsid w:val="00135384"/>
    <w:rsid w:val="00337785"/>
    <w:rsid w:val="0048584C"/>
    <w:rsid w:val="00497FF8"/>
    <w:rsid w:val="00502D5F"/>
    <w:rsid w:val="00555A1D"/>
    <w:rsid w:val="00573202"/>
    <w:rsid w:val="006172EB"/>
    <w:rsid w:val="00656431"/>
    <w:rsid w:val="00672403"/>
    <w:rsid w:val="007475C9"/>
    <w:rsid w:val="007A13EA"/>
    <w:rsid w:val="007F018A"/>
    <w:rsid w:val="00860732"/>
    <w:rsid w:val="008652A4"/>
    <w:rsid w:val="008F06D7"/>
    <w:rsid w:val="009522DD"/>
    <w:rsid w:val="00A329E0"/>
    <w:rsid w:val="00A94CA7"/>
    <w:rsid w:val="00AD6359"/>
    <w:rsid w:val="00B571A1"/>
    <w:rsid w:val="00B91668"/>
    <w:rsid w:val="00BA67FE"/>
    <w:rsid w:val="00BD554D"/>
    <w:rsid w:val="00C872A9"/>
    <w:rsid w:val="00DD256E"/>
    <w:rsid w:val="00EE0E49"/>
    <w:rsid w:val="00EF4E47"/>
    <w:rsid w:val="00F801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link w:val="JuListChar"/>
    <w:uiPriority w:val="28"/>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9"/>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9"/>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ECHR_Para,Para,Left,First line:  0 cm"/>
    <w:basedOn w:val="NormalJustified"/>
    <w:link w:val="ECHR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2"/>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ECHRParaChar">
    <w:name w:val="ECHR_Para Char"/>
    <w:aliases w:val="Ju_Para Char,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8"/>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9"/>
    <w:semiHidden/>
    <w:rsid w:val="00BD554D"/>
    <w:pPr>
      <w:numPr>
        <w:numId w:val="18"/>
      </w:numPr>
      <w:contextualSpacing/>
    </w:pPr>
  </w:style>
  <w:style w:type="paragraph" w:styleId="ListNumber3">
    <w:name w:val="List Number 3"/>
    <w:basedOn w:val="Normal"/>
    <w:uiPriority w:val="99"/>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 w:type="character" w:customStyle="1" w:styleId="JuListChar">
    <w:name w:val="Ju_List Char"/>
    <w:link w:val="JuList"/>
    <w:uiPriority w:val="28"/>
    <w:rsid w:val="00DD256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70F3CB-147F-4363-BE39-9F6589E1A47D}"/>
</file>

<file path=customXml/itemProps2.xml><?xml version="1.0" encoding="utf-8"?>
<ds:datastoreItem xmlns:ds="http://schemas.openxmlformats.org/officeDocument/2006/customXml" ds:itemID="{FD7655C4-A2C2-46A1-ADBF-4B374BD97DA0}"/>
</file>

<file path=customXml/itemProps3.xml><?xml version="1.0" encoding="utf-8"?>
<ds:datastoreItem xmlns:ds="http://schemas.openxmlformats.org/officeDocument/2006/customXml" ds:itemID="{4B84DFC2-3105-4A3E-AD87-847F50766FF2}"/>
</file>

<file path=customXml/itemProps4.xml><?xml version="1.0" encoding="utf-8"?>
<ds:datastoreItem xmlns:ds="http://schemas.openxmlformats.org/officeDocument/2006/customXml" ds:itemID="{7E8C87CA-86D4-4FD0-AFA4-D38C64934951}"/>
</file>

<file path=docProps/app.xml><?xml version="1.0" encoding="utf-8"?>
<Properties xmlns="http://schemas.openxmlformats.org/officeDocument/2006/extended-properties" xmlns:vt="http://schemas.openxmlformats.org/officeDocument/2006/docPropsVTypes">
  <Template>Normal.dotm</Template>
  <TotalTime>0</TotalTime>
  <Pages>1</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2020-06-04T07:50:00Z</dcterms:created>
  <dcterms:modified xsi:type="dcterms:W3CDTF">2020-06-04T07:50:00Z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52158/13</vt:lpwstr>
  </property>
  <property fmtid="{D5CDD505-2E9C-101B-9397-08002B2CF9AE}" pid="4" name="CASEID">
    <vt:lpwstr>902872</vt:lpwstr>
  </property>
  <property fmtid="{D5CDD505-2E9C-101B-9397-08002B2CF9AE}" pid="5" name="ContentTypeId">
    <vt:lpwstr>0x010100558EB02BDB9E204AB350EDD385B68E10</vt:lpwstr>
  </property>
</Properties>
</file>