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3543" w:rsidR="00787E12" w:rsidP="000C3543" w:rsidRDefault="007174E4">
      <w:pPr>
        <w:jc w:val="center"/>
      </w:pPr>
      <w:bookmarkStart w:name="_GoBack" w:id="0"/>
      <w:bookmarkEnd w:id="0"/>
    </w:p>
    <w:p w:rsidRPr="000C3543" w:rsidR="00787E12" w:rsidP="000C3543" w:rsidRDefault="007174E4">
      <w:pPr>
        <w:jc w:val="center"/>
      </w:pPr>
    </w:p>
    <w:p w:rsidRPr="000C3543" w:rsidR="00787E12" w:rsidP="000C3543" w:rsidRDefault="007174E4">
      <w:pPr>
        <w:jc w:val="center"/>
      </w:pPr>
    </w:p>
    <w:p w:rsidRPr="000C3543" w:rsidR="00787E12" w:rsidP="000C3543" w:rsidRDefault="006D611D">
      <w:pPr>
        <w:pStyle w:val="DecHCase"/>
      </w:pPr>
      <w:r w:rsidRPr="000C3543">
        <w:t>FIFTH SECTION</w:t>
      </w:r>
    </w:p>
    <w:p w:rsidRPr="000C3543" w:rsidR="00787E12" w:rsidP="000C3543" w:rsidRDefault="0048584C">
      <w:pPr>
        <w:pStyle w:val="JuTitle"/>
      </w:pPr>
      <w:r w:rsidRPr="000C3543">
        <w:t xml:space="preserve">CASE OF </w:t>
      </w:r>
      <w:r w:rsidRPr="000C3543" w:rsidR="006D611D">
        <w:t>YORDANOV AND DZHELEBOV v. BULGARIA</w:t>
      </w:r>
    </w:p>
    <w:p w:rsidRPr="000C3543" w:rsidR="00787E12" w:rsidP="000C3543" w:rsidRDefault="0048584C">
      <w:pPr>
        <w:pStyle w:val="ECHRCoverTitle4"/>
      </w:pPr>
      <w:r w:rsidRPr="000C3543">
        <w:t>(</w:t>
      </w:r>
      <w:r w:rsidRPr="000C3543" w:rsidR="006D611D">
        <w:t xml:space="preserve">Applications nos. 31820/18 and </w:t>
      </w:r>
      <w:r w:rsidRPr="000C3543" w:rsidR="00A672A9">
        <w:t>31826/18</w:t>
      </w:r>
      <w:r w:rsidRPr="000C3543">
        <w:t>)</w:t>
      </w:r>
    </w:p>
    <w:p w:rsidRPr="000C3543" w:rsidR="00787E12" w:rsidP="000C3543" w:rsidRDefault="007174E4">
      <w:pPr>
        <w:pStyle w:val="DecHCase"/>
      </w:pPr>
    </w:p>
    <w:p w:rsidRPr="000C3543" w:rsidR="00787E12" w:rsidP="000C3543" w:rsidRDefault="007174E4">
      <w:pPr>
        <w:pStyle w:val="DecHCase"/>
      </w:pPr>
    </w:p>
    <w:p w:rsidRPr="000C3543" w:rsidR="00787E12" w:rsidP="000C3543" w:rsidRDefault="007174E4">
      <w:pPr>
        <w:pStyle w:val="DecHCase"/>
      </w:pPr>
    </w:p>
    <w:p w:rsidRPr="000C3543" w:rsidR="00787E12" w:rsidP="000C3543" w:rsidRDefault="007174E4">
      <w:pPr>
        <w:pStyle w:val="DecHCase"/>
      </w:pPr>
    </w:p>
    <w:p w:rsidRPr="000C3543" w:rsidR="00787E12" w:rsidP="000C3543" w:rsidRDefault="007174E4">
      <w:pPr>
        <w:pStyle w:val="DecHCase"/>
      </w:pPr>
    </w:p>
    <w:p w:rsidRPr="000C3543" w:rsidR="00A062B9" w:rsidP="000C3543" w:rsidRDefault="007174E4">
      <w:pPr>
        <w:pStyle w:val="DecHCase"/>
      </w:pPr>
    </w:p>
    <w:p w:rsidRPr="000C3543" w:rsidR="00787E12" w:rsidP="000C3543" w:rsidRDefault="0048584C">
      <w:pPr>
        <w:pStyle w:val="DecHCase"/>
      </w:pPr>
      <w:r w:rsidRPr="000C3543">
        <w:t>JUDGMENT</w:t>
      </w:r>
    </w:p>
    <w:p w:rsidRPr="000C3543" w:rsidR="00787E12" w:rsidP="000C3543" w:rsidRDefault="007174E4">
      <w:pPr>
        <w:jc w:val="center"/>
        <w:rPr>
          <w:i/>
        </w:rPr>
      </w:pPr>
    </w:p>
    <w:p w:rsidRPr="000C3543" w:rsidR="00CD12EF" w:rsidP="000C3543" w:rsidRDefault="00CD12EF">
      <w:pPr>
        <w:jc w:val="center"/>
        <w:rPr>
          <w:i/>
        </w:rPr>
      </w:pPr>
    </w:p>
    <w:p w:rsidRPr="000C3543" w:rsidR="00CD12EF" w:rsidP="000C3543" w:rsidRDefault="00CD12EF">
      <w:pPr>
        <w:jc w:val="center"/>
        <w:rPr>
          <w:i/>
        </w:rPr>
      </w:pPr>
    </w:p>
    <w:p w:rsidRPr="000C3543" w:rsidR="00CD12EF" w:rsidP="000C3543" w:rsidRDefault="00CD12EF">
      <w:pPr>
        <w:jc w:val="center"/>
        <w:rPr>
          <w:i/>
        </w:rPr>
      </w:pPr>
    </w:p>
    <w:p w:rsidRPr="000C3543" w:rsidR="00CD12EF" w:rsidP="000C3543" w:rsidRDefault="00CD12EF">
      <w:pPr>
        <w:jc w:val="center"/>
        <w:rPr>
          <w:i/>
        </w:rPr>
      </w:pPr>
    </w:p>
    <w:p w:rsidRPr="000C3543" w:rsidR="00CD12EF" w:rsidP="000C3543" w:rsidRDefault="00CD12EF">
      <w:pPr>
        <w:jc w:val="center"/>
        <w:rPr>
          <w:i/>
        </w:rPr>
      </w:pPr>
    </w:p>
    <w:p w:rsidRPr="000C3543" w:rsidR="00CD12EF" w:rsidP="000C3543" w:rsidRDefault="00CD12EF">
      <w:pPr>
        <w:jc w:val="center"/>
        <w:rPr>
          <w:i/>
        </w:rPr>
      </w:pPr>
    </w:p>
    <w:p w:rsidRPr="000C3543" w:rsidR="00787E12" w:rsidP="000C3543" w:rsidRDefault="0048584C">
      <w:pPr>
        <w:pStyle w:val="DecHCase"/>
      </w:pPr>
      <w:r w:rsidRPr="000C3543">
        <w:t>STRASBOURG</w:t>
      </w:r>
    </w:p>
    <w:p w:rsidRPr="000C3543" w:rsidR="00787E12" w:rsidP="000C3543" w:rsidRDefault="006D611D">
      <w:pPr>
        <w:pStyle w:val="DecHCase"/>
      </w:pPr>
      <w:r w:rsidRPr="000C3543">
        <w:t>4 June 2020</w:t>
      </w:r>
    </w:p>
    <w:p w:rsidRPr="000C3543" w:rsidR="00787E12" w:rsidP="000C3543" w:rsidRDefault="007174E4">
      <w:pPr>
        <w:jc w:val="center"/>
      </w:pPr>
    </w:p>
    <w:p w:rsidRPr="000C3543" w:rsidR="00787E12" w:rsidP="000C3543" w:rsidRDefault="0048584C">
      <w:pPr>
        <w:jc w:val="center"/>
        <w:rPr>
          <w:sz w:val="2"/>
          <w:szCs w:val="2"/>
        </w:rPr>
      </w:pPr>
      <w:r w:rsidRPr="000C3543">
        <w:rPr>
          <w:i/>
        </w:rPr>
        <w:t>This judgment is final but it may be subject to editorial revision.</w:t>
      </w:r>
    </w:p>
    <w:p w:rsidRPr="000C3543" w:rsidR="00787E12" w:rsidP="000C3543" w:rsidRDefault="007174E4">
      <w:pPr>
        <w:pStyle w:val="JuCase"/>
        <w:sectPr w:rsidRPr="000C3543"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C3543" w:rsidR="00787E12" w:rsidP="000C3543" w:rsidRDefault="0048584C">
      <w:pPr>
        <w:pStyle w:val="JuCase"/>
        <w:rPr>
          <w:bCs/>
        </w:rPr>
      </w:pPr>
      <w:r w:rsidRPr="000C3543">
        <w:t xml:space="preserve">In the case of </w:t>
      </w:r>
      <w:r w:rsidRPr="000C3543" w:rsidR="006D611D">
        <w:t>Yordanov and Dzhelebov v. Bulgaria</w:t>
      </w:r>
      <w:r w:rsidRPr="000C3543">
        <w:t>,</w:t>
      </w:r>
    </w:p>
    <w:p w:rsidRPr="000C3543" w:rsidR="00787E12" w:rsidP="000C3543" w:rsidRDefault="0048584C">
      <w:pPr>
        <w:pStyle w:val="JuPara"/>
      </w:pPr>
      <w:r w:rsidRPr="000C3543">
        <w:t>The European Court of Human Rights (</w:t>
      </w:r>
      <w:r w:rsidRPr="000C3543" w:rsidR="006D611D">
        <w:t>Fifth Section</w:t>
      </w:r>
      <w:r w:rsidRPr="000C3543">
        <w:t>), sitting as a Committee composed of:</w:t>
      </w:r>
    </w:p>
    <w:p w:rsidRPr="000C3543" w:rsidR="00787E12" w:rsidP="000C3543" w:rsidRDefault="00A672A9">
      <w:pPr>
        <w:pStyle w:val="JuJudges"/>
      </w:pPr>
      <w:r w:rsidRPr="000C3543">
        <w:tab/>
        <w:t xml:space="preserve">Gabriele </w:t>
      </w:r>
      <w:proofErr w:type="spellStart"/>
      <w:r w:rsidRPr="000C3543">
        <w:t>Kucsko-Stadlmayer</w:t>
      </w:r>
      <w:proofErr w:type="spellEnd"/>
      <w:r w:rsidRPr="000C3543">
        <w:t>,</w:t>
      </w:r>
      <w:r w:rsidRPr="000C3543">
        <w:rPr>
          <w:i/>
        </w:rPr>
        <w:t xml:space="preserve"> President</w:t>
      </w:r>
      <w:r w:rsidRPr="000C3543">
        <w:rPr>
          <w:iCs/>
        </w:rPr>
        <w:t>,</w:t>
      </w:r>
      <w:r w:rsidRPr="000C3543">
        <w:rPr>
          <w:i/>
        </w:rPr>
        <w:br/>
      </w:r>
      <w:r w:rsidRPr="000C3543">
        <w:tab/>
      </w:r>
      <w:proofErr w:type="spellStart"/>
      <w:r w:rsidRPr="000C3543">
        <w:t>Mārtiņš</w:t>
      </w:r>
      <w:proofErr w:type="spellEnd"/>
      <w:r w:rsidRPr="000C3543">
        <w:t xml:space="preserve"> </w:t>
      </w:r>
      <w:proofErr w:type="spellStart"/>
      <w:r w:rsidRPr="000C3543">
        <w:t>Mits</w:t>
      </w:r>
      <w:proofErr w:type="spellEnd"/>
      <w:r w:rsidRPr="000C3543">
        <w:t>,</w:t>
      </w:r>
      <w:r w:rsidRPr="000C3543">
        <w:rPr>
          <w:i/>
        </w:rPr>
        <w:br/>
      </w:r>
      <w:r w:rsidRPr="000C3543">
        <w:tab/>
      </w:r>
      <w:proofErr w:type="spellStart"/>
      <w:r w:rsidRPr="000C3543">
        <w:t>Lәtif</w:t>
      </w:r>
      <w:proofErr w:type="spellEnd"/>
      <w:r w:rsidRPr="000C3543">
        <w:t xml:space="preserve"> </w:t>
      </w:r>
      <w:proofErr w:type="spellStart"/>
      <w:r w:rsidRPr="000C3543">
        <w:t>Hüseynov</w:t>
      </w:r>
      <w:proofErr w:type="spellEnd"/>
      <w:r w:rsidRPr="000C3543">
        <w:t>,</w:t>
      </w:r>
      <w:r w:rsidRPr="000C3543">
        <w:rPr>
          <w:i/>
        </w:rPr>
        <w:t xml:space="preserve"> judges</w:t>
      </w:r>
      <w:r w:rsidRPr="000C3543">
        <w:rPr>
          <w:iCs/>
        </w:rPr>
        <w:t>,</w:t>
      </w:r>
      <w:r w:rsidRPr="000C3543" w:rsidR="0048584C">
        <w:br/>
        <w:t xml:space="preserve">and </w:t>
      </w:r>
      <w:r w:rsidRPr="000C3543" w:rsidR="006D611D">
        <w:t>Liv</w:t>
      </w:r>
      <w:r w:rsidRPr="000C3543" w:rsidR="0048584C">
        <w:t xml:space="preserve"> </w:t>
      </w:r>
      <w:r w:rsidRPr="000C3543" w:rsidR="006D611D">
        <w:t>Tigerstedt</w:t>
      </w:r>
      <w:r w:rsidRPr="000C3543" w:rsidR="00555A1D">
        <w:t>,</w:t>
      </w:r>
      <w:r w:rsidRPr="000C3543" w:rsidR="0048584C">
        <w:t xml:space="preserve"> </w:t>
      </w:r>
      <w:r w:rsidRPr="000C3543" w:rsidR="0048584C">
        <w:rPr>
          <w:i/>
        </w:rPr>
        <w:t>Acting</w:t>
      </w:r>
      <w:r w:rsidRPr="000C3543" w:rsidR="0048584C">
        <w:t xml:space="preserve"> </w:t>
      </w:r>
      <w:r w:rsidRPr="000C3543" w:rsidR="0048584C">
        <w:rPr>
          <w:rFonts w:cstheme="minorHAnsi"/>
          <w:i/>
        </w:rPr>
        <w:t>Deputy Section Registrar</w:t>
      </w:r>
      <w:r w:rsidRPr="000C3543" w:rsidR="0048584C">
        <w:rPr>
          <w:iCs/>
        </w:rPr>
        <w:t>,</w:t>
      </w:r>
    </w:p>
    <w:p w:rsidRPr="000C3543" w:rsidR="00787E12" w:rsidP="000C3543" w:rsidRDefault="0048584C">
      <w:pPr>
        <w:pStyle w:val="JuPara"/>
      </w:pPr>
      <w:r w:rsidRPr="000C3543">
        <w:t xml:space="preserve">Having deliberated in private on </w:t>
      </w:r>
      <w:r w:rsidRPr="000C3543" w:rsidR="00A672A9">
        <w:t>14 May 2020</w:t>
      </w:r>
      <w:r w:rsidRPr="000C3543">
        <w:t>,</w:t>
      </w:r>
    </w:p>
    <w:p w:rsidRPr="000C3543" w:rsidR="006372F5" w:rsidP="000C3543" w:rsidRDefault="0048584C">
      <w:pPr>
        <w:pStyle w:val="JuPara"/>
      </w:pPr>
      <w:r w:rsidRPr="000C3543">
        <w:t>Delivers the following judgment, which was adopted on that date:</w:t>
      </w:r>
    </w:p>
    <w:p w:rsidRPr="000C3543" w:rsidR="006D611D" w:rsidP="000C3543" w:rsidRDefault="006D611D">
      <w:pPr>
        <w:pStyle w:val="JuHHead"/>
        <w:numPr>
          <w:ilvl w:val="0"/>
          <w:numId w:val="1"/>
        </w:numPr>
      </w:pPr>
      <w:bookmarkStart w:name="ITMARKStartJudgment" w:id="1"/>
      <w:bookmarkEnd w:id="1"/>
      <w:r w:rsidRPr="000C3543">
        <w:t>PROCEDURE</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w:t>
      </w:r>
      <w:r w:rsidRPr="000C3543">
        <w:fldChar w:fldCharType="end"/>
      </w:r>
      <w:r w:rsidRPr="000C3543">
        <w:t xml:space="preserve">.  The case originated in two applications against Bulgaria lodged with the Court under Article 34 of the Convention for the Protection of Human Rights and Fundamental Freedoms (“the Convention”) on </w:t>
      </w:r>
      <w:r w:rsidRPr="000C3543">
        <w:rPr>
          <w:rFonts w:eastAsia="PMingLiU"/>
        </w:rPr>
        <w:t>the various dates indicated in the appended table</w:t>
      </w:r>
      <w:r w:rsidRPr="000C3543">
        <w:t>.</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2</w:t>
      </w:r>
      <w:r w:rsidRPr="000C3543">
        <w:fldChar w:fldCharType="end"/>
      </w:r>
      <w:r w:rsidRPr="000C3543">
        <w:t>.  The applicants were represented by Mr V. Stoyanov, a lawyer practising in Pazardzhik.</w:t>
      </w:r>
    </w:p>
    <w:p w:rsidRPr="000C3543" w:rsidR="006D611D" w:rsidP="000C3543" w:rsidRDefault="006D611D">
      <w:pPr>
        <w:pStyle w:val="JuPara"/>
      </w:pPr>
      <w:r w:rsidRPr="000C3543">
        <w:rPr>
          <w:rFonts w:cs="Times New Roman"/>
        </w:rPr>
        <w:fldChar w:fldCharType="begin"/>
      </w:r>
      <w:r w:rsidRPr="000C3543">
        <w:rPr>
          <w:rFonts w:cs="Times New Roman"/>
        </w:rPr>
        <w:instrText xml:space="preserve"> SEQ level0 \*arabic </w:instrText>
      </w:r>
      <w:r w:rsidRPr="000C3543">
        <w:rPr>
          <w:rFonts w:cs="Times New Roman"/>
        </w:rPr>
        <w:fldChar w:fldCharType="separate"/>
      </w:r>
      <w:r w:rsidRPr="000C3543" w:rsidR="000C3543">
        <w:rPr>
          <w:rFonts w:cs="Times New Roman"/>
          <w:noProof/>
        </w:rPr>
        <w:t>3</w:t>
      </w:r>
      <w:r w:rsidRPr="000C3543">
        <w:rPr>
          <w:rFonts w:cs="Times New Roman"/>
        </w:rPr>
        <w:fldChar w:fldCharType="end"/>
      </w:r>
      <w:r w:rsidRPr="000C3543">
        <w:rPr>
          <w:rFonts w:cs="Times New Roman"/>
        </w:rPr>
        <w:t>.  </w:t>
      </w:r>
      <w:r w:rsidRPr="000C3543">
        <w:t>The Bulgarian Government (“the</w:t>
      </w:r>
      <w:r w:rsidRPr="000C3543" w:rsidR="00BC5449">
        <w:t xml:space="preserve"> </w:t>
      </w:r>
      <w:r w:rsidRPr="000C3543">
        <w:t>Government”) were given notice of the applications.</w:t>
      </w:r>
    </w:p>
    <w:p w:rsidRPr="000C3543" w:rsidR="006D611D" w:rsidP="000C3543" w:rsidRDefault="006D611D">
      <w:pPr>
        <w:pStyle w:val="JuHHead"/>
        <w:numPr>
          <w:ilvl w:val="0"/>
          <w:numId w:val="1"/>
        </w:numPr>
      </w:pPr>
      <w:r w:rsidRPr="000C3543">
        <w:t>THE FACTS</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4</w:t>
      </w:r>
      <w:r w:rsidRPr="000C3543">
        <w:fldChar w:fldCharType="end"/>
      </w:r>
      <w:r w:rsidRPr="000C3543">
        <w:t>.  </w:t>
      </w:r>
      <w:r w:rsidRPr="000C3543">
        <w:rPr>
          <w:rFonts w:eastAsia="PMingLiU"/>
        </w:rPr>
        <w:t>The list of applicant</w:t>
      </w:r>
      <w:r w:rsidRPr="000C3543">
        <w:t>s and the relevant details of the applications are set out in the appended table.</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5</w:t>
      </w:r>
      <w:r w:rsidRPr="000C3543">
        <w:fldChar w:fldCharType="end"/>
      </w:r>
      <w:r w:rsidRPr="000C3543">
        <w:t>.  </w:t>
      </w:r>
      <w:r w:rsidRPr="000C3543">
        <w:rPr>
          <w:bCs/>
          <w:color w:val="000000"/>
        </w:rPr>
        <w:t>The applicant</w:t>
      </w:r>
      <w:r w:rsidRPr="000C3543">
        <w:rPr>
          <w:rFonts w:eastAsia="PMingLiU"/>
        </w:rPr>
        <w:t>s</w:t>
      </w:r>
      <w:r w:rsidRPr="000C3543">
        <w:rPr>
          <w:bCs/>
          <w:color w:val="000000"/>
        </w:rPr>
        <w:t xml:space="preserve"> complained under Articles 3 and 13 of the Convention of the allegedly </w:t>
      </w:r>
      <w:r w:rsidRPr="000C3543">
        <w:rPr>
          <w:rFonts w:eastAsia="Times New Roman" w:cstheme="minorHAnsi"/>
          <w:color w:val="000000"/>
        </w:rPr>
        <w:t xml:space="preserve">inadequate conditions of </w:t>
      </w:r>
      <w:r w:rsidRPr="000C3543">
        <w:rPr>
          <w:rFonts w:eastAsia="PMingLiU"/>
        </w:rPr>
        <w:t>their</w:t>
      </w:r>
      <w:r w:rsidRPr="000C3543">
        <w:rPr>
          <w:rFonts w:eastAsia="Times New Roman" w:cstheme="minorHAnsi"/>
          <w:color w:val="000000"/>
        </w:rPr>
        <w:t xml:space="preserve"> detention</w:t>
      </w:r>
      <w:r w:rsidRPr="000C3543">
        <w:rPr>
          <w:rFonts w:cstheme="minorHAnsi"/>
        </w:rPr>
        <w:t xml:space="preserve"> and of the alleged lack of an effective domestic remedy in that respect</w:t>
      </w:r>
      <w:r w:rsidRPr="000C3543">
        <w:rPr>
          <w:rFonts w:cstheme="minorHAnsi"/>
          <w:bCs/>
          <w:color w:val="000000"/>
        </w:rPr>
        <w:t>.</w:t>
      </w:r>
    </w:p>
    <w:p w:rsidRPr="000C3543" w:rsidR="006D611D" w:rsidP="000C3543" w:rsidRDefault="006D611D">
      <w:pPr>
        <w:pStyle w:val="JuHHead"/>
        <w:numPr>
          <w:ilvl w:val="0"/>
          <w:numId w:val="1"/>
        </w:numPr>
      </w:pPr>
      <w:r w:rsidRPr="000C3543">
        <w:t>THE LAW</w:t>
      </w:r>
    </w:p>
    <w:p w:rsidRPr="000C3543" w:rsidR="006D611D" w:rsidP="000C3543" w:rsidRDefault="006D611D">
      <w:pPr>
        <w:pStyle w:val="JuHIRoman"/>
        <w:numPr>
          <w:ilvl w:val="1"/>
          <w:numId w:val="1"/>
        </w:numPr>
      </w:pPr>
      <w:r w:rsidRPr="000C3543">
        <w:t>JOINDER OF THE APPLICATIONS</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6</w:t>
      </w:r>
      <w:r w:rsidRPr="000C3543">
        <w:fldChar w:fldCharType="end"/>
      </w:r>
      <w:r w:rsidRPr="000C3543">
        <w:t>.  Having regard to the similar subject matter of the applications, the Court finds it appropriate to examine them jointly in a single judgment.</w:t>
      </w:r>
    </w:p>
    <w:p w:rsidRPr="000C3543" w:rsidR="006D611D" w:rsidP="000C3543" w:rsidRDefault="006D611D">
      <w:pPr>
        <w:pStyle w:val="JuHIRoman"/>
        <w:numPr>
          <w:ilvl w:val="1"/>
          <w:numId w:val="1"/>
        </w:numPr>
        <w:rPr>
          <w:rFonts w:eastAsia="PMingLiU"/>
        </w:rPr>
      </w:pPr>
      <w:r w:rsidRPr="000C3543">
        <w:t>ALLEGED VIOLATION OF ARTICLE</w:t>
      </w:r>
      <w:r w:rsidRPr="000C3543">
        <w:rPr>
          <w:rFonts w:eastAsia="PMingLiU"/>
        </w:rPr>
        <w:t xml:space="preserve"> 3 </w:t>
      </w:r>
      <w:r w:rsidRPr="000C3543">
        <w:t>OF THE CONVENTION</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7</w:t>
      </w:r>
      <w:r w:rsidRPr="000C3543">
        <w:fldChar w:fldCharType="end"/>
      </w:r>
      <w:r w:rsidRPr="000C3543">
        <w:t>.  The applicant</w:t>
      </w:r>
      <w:r w:rsidRPr="000C3543">
        <w:rPr>
          <w:rFonts w:eastAsia="PMingLiU"/>
        </w:rPr>
        <w:t>s</w:t>
      </w:r>
      <w:r w:rsidRPr="000C3543">
        <w:t xml:space="preserve"> complained of the allegedly inadequate conditions of </w:t>
      </w:r>
      <w:r w:rsidRPr="000C3543">
        <w:rPr>
          <w:rFonts w:eastAsia="PMingLiU"/>
        </w:rPr>
        <w:t>their</w:t>
      </w:r>
      <w:r w:rsidRPr="000C3543">
        <w:t xml:space="preserve"> detention. They relied on Article </w:t>
      </w:r>
      <w:r w:rsidRPr="000C3543">
        <w:rPr>
          <w:rFonts w:eastAsia="PMingLiU"/>
        </w:rPr>
        <w:t>3</w:t>
      </w:r>
      <w:r w:rsidRPr="000C3543">
        <w:t xml:space="preserve"> of the Convention, which reads as follows:</w:t>
      </w:r>
    </w:p>
    <w:p w:rsidRPr="000C3543" w:rsidR="006D611D" w:rsidP="000C3543" w:rsidRDefault="006D611D">
      <w:pPr>
        <w:pStyle w:val="JuHArticle"/>
      </w:pPr>
      <w:r w:rsidRPr="000C3543">
        <w:t>Article 3</w:t>
      </w:r>
    </w:p>
    <w:p w:rsidRPr="000C3543" w:rsidR="006D611D" w:rsidP="000C3543" w:rsidRDefault="006D611D">
      <w:pPr>
        <w:pStyle w:val="JuQuot"/>
      </w:pPr>
      <w:r w:rsidRPr="000C3543">
        <w:t>“No one shall be subjected to torture or to inhuman or degrading treatment or punishment.”</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8</w:t>
      </w:r>
      <w:r w:rsidRPr="000C3543">
        <w:fldChar w:fldCharType="end"/>
      </w:r>
      <w:r w:rsidRPr="000C3543">
        <w:t>.  The Court notes that the applicant</w:t>
      </w:r>
      <w:r w:rsidRPr="000C3543">
        <w:rPr>
          <w:rFonts w:eastAsia="PMingLiU"/>
        </w:rPr>
        <w:t>s were</w:t>
      </w:r>
      <w:r w:rsidRPr="000C3543">
        <w:t xml:space="preserve"> detained in poor conditions. The details of their detention are set out in the appended table. The Court refers to the principles established in its case-law regarding inadequate conditions of detention (see, for instance, </w:t>
      </w:r>
      <w:proofErr w:type="spellStart"/>
      <w:r w:rsidRPr="000C3543">
        <w:rPr>
          <w:bCs/>
          <w:i/>
        </w:rPr>
        <w:t>Muršić</w:t>
      </w:r>
      <w:proofErr w:type="spellEnd"/>
      <w:r w:rsidRPr="000C3543">
        <w:rPr>
          <w:b/>
          <w:bCs/>
        </w:rPr>
        <w:t xml:space="preserve"> </w:t>
      </w:r>
      <w:r w:rsidRPr="000C3543">
        <w:rPr>
          <w:i/>
        </w:rPr>
        <w:t>v. Croatia</w:t>
      </w:r>
      <w:r w:rsidRPr="000C3543">
        <w:t xml:space="preserve"> [GC], no. 7334/13, §§ 96-101,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0C3543">
        <w:rPr>
          <w:bCs/>
          <w:i/>
        </w:rPr>
        <w:t>Muršić</w:t>
      </w:r>
      <w:proofErr w:type="spellEnd"/>
      <w:r w:rsidRPr="000C3543">
        <w:t xml:space="preserve">, cited above, §§ 122-41, and </w:t>
      </w:r>
      <w:r w:rsidRPr="000C3543">
        <w:rPr>
          <w:i/>
        </w:rPr>
        <w:t>Ananyev and Others v. Russia</w:t>
      </w:r>
      <w:r w:rsidRPr="000C3543">
        <w:t>, nos. 42525/07 and 60800/08, §§ 149-59, 10 January 2012).</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9</w:t>
      </w:r>
      <w:r w:rsidRPr="000C3543">
        <w:fldChar w:fldCharType="end"/>
      </w:r>
      <w:r w:rsidRPr="000C3543">
        <w:t xml:space="preserve">.  In its pilot judgment in the case of </w:t>
      </w:r>
      <w:r w:rsidRPr="000C3543">
        <w:rPr>
          <w:i/>
        </w:rPr>
        <w:t xml:space="preserve">Neshkov and Others v. Bulgaria, </w:t>
      </w:r>
      <w:r w:rsidRPr="000C3543" w:rsidR="00CD12EF">
        <w:t>nos. </w:t>
      </w:r>
      <w:r w:rsidRPr="000C3543">
        <w:t>36925/10 and 5 others, 27 January 2015, the Court already found a violation in respect of issues similar to those in the present case.</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10</w:t>
      </w:r>
      <w:r w:rsidRPr="000C3543">
        <w:fldChar w:fldCharType="end"/>
      </w:r>
      <w:r w:rsidRPr="000C3543">
        <w:t>.  Having examined all the material submitted to it, the Court finds no fact or argument capable of persuading it to reach a different conclusion on the admissibility and merits of the complaints at issue in the present case. Having regard to its case-law on the subject, it considers that in the instant case the applicant</w:t>
      </w:r>
      <w:r w:rsidRPr="000C3543">
        <w:rPr>
          <w:rFonts w:eastAsia="PMingLiU"/>
        </w:rPr>
        <w:t>s</w:t>
      </w:r>
      <w:r w:rsidRPr="000C3543" w:rsidR="000C3543">
        <w:t>’</w:t>
      </w:r>
      <w:r w:rsidRPr="000C3543">
        <w:t xml:space="preserve"> conditions of detention were inadequate.</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11</w:t>
      </w:r>
      <w:r w:rsidRPr="000C3543">
        <w:fldChar w:fldCharType="end"/>
      </w:r>
      <w:r w:rsidRPr="000C3543">
        <w:t xml:space="preserve">.  These complaints are therefore admissible and disclose a breach of Articles </w:t>
      </w:r>
      <w:r w:rsidRPr="000C3543">
        <w:rPr>
          <w:rFonts w:eastAsia="PMingLiU"/>
        </w:rPr>
        <w:t>3</w:t>
      </w:r>
      <w:r w:rsidRPr="000C3543">
        <w:t xml:space="preserve"> of the Convention.</w:t>
      </w:r>
    </w:p>
    <w:p w:rsidRPr="000C3543" w:rsidR="006D611D" w:rsidP="000C3543" w:rsidRDefault="006D611D">
      <w:pPr>
        <w:pStyle w:val="JuHIRoman"/>
        <w:numPr>
          <w:ilvl w:val="1"/>
          <w:numId w:val="1"/>
        </w:numPr>
      </w:pPr>
      <w:r w:rsidRPr="000C3543">
        <w:t>ALLEGED VIOLATION OF ARTICLE</w:t>
      </w:r>
      <w:r w:rsidRPr="000C3543">
        <w:rPr>
          <w:rFonts w:eastAsia="PMingLiU"/>
        </w:rPr>
        <w:t xml:space="preserve"> 13 </w:t>
      </w:r>
      <w:r w:rsidRPr="000C3543">
        <w:t>OF THE CONVENTION</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12</w:t>
      </w:r>
      <w:r w:rsidRPr="000C3543">
        <w:fldChar w:fldCharType="end"/>
      </w:r>
      <w:r w:rsidRPr="000C3543">
        <w:t>.  The applicants also complained of the alleged lack of an effective remedy in respect of their complaints under Article 3 of the Convention. They relied on Article 13 of the Convention, which reads as follows:</w:t>
      </w:r>
    </w:p>
    <w:p w:rsidRPr="000C3543" w:rsidR="006D611D" w:rsidP="000C3543" w:rsidRDefault="006D611D">
      <w:pPr>
        <w:pStyle w:val="JuHArticle"/>
      </w:pPr>
      <w:r w:rsidRPr="000C3543">
        <w:t>Article 13</w:t>
      </w:r>
    </w:p>
    <w:p w:rsidRPr="000C3543" w:rsidR="006D611D" w:rsidP="000C3543" w:rsidRDefault="006D611D">
      <w:pPr>
        <w:pStyle w:val="JuQuot"/>
      </w:pPr>
      <w:r w:rsidRPr="000C3543">
        <w:t>“Everyone whose rights and freedoms as set forth in this Convention are violated shall have an effective remedy before a national authority ...”</w:t>
      </w:r>
    </w:p>
    <w:p w:rsidRPr="000C3543" w:rsidR="006D611D" w:rsidP="000C3543" w:rsidRDefault="006D611D">
      <w:pPr>
        <w:pStyle w:val="JuPara"/>
        <w:rPr>
          <w:bCs/>
        </w:rPr>
      </w:pPr>
      <w:r w:rsidRPr="000C3543">
        <w:fldChar w:fldCharType="begin"/>
      </w:r>
      <w:r w:rsidRPr="000C3543">
        <w:instrText xml:space="preserve"> SEQ level0 \*arabic </w:instrText>
      </w:r>
      <w:r w:rsidRPr="000C3543">
        <w:fldChar w:fldCharType="separate"/>
      </w:r>
      <w:r w:rsidRPr="000C3543" w:rsidR="000C3543">
        <w:rPr>
          <w:noProof/>
        </w:rPr>
        <w:t>13</w:t>
      </w:r>
      <w:r w:rsidRPr="000C3543">
        <w:fldChar w:fldCharType="end"/>
      </w:r>
      <w:r w:rsidRPr="000C3543">
        <w:t>.  </w:t>
      </w:r>
      <w:r w:rsidRPr="000C3543">
        <w:rPr>
          <w:bCs/>
        </w:rPr>
        <w:t xml:space="preserve">In its admissibility decision in the case of </w:t>
      </w:r>
      <w:r w:rsidRPr="000C3543">
        <w:rPr>
          <w:bCs/>
          <w:i/>
          <w:iCs/>
        </w:rPr>
        <w:t>Atanasov and Apostolov v. Bulgaria</w:t>
      </w:r>
      <w:r w:rsidRPr="000C3543">
        <w:rPr>
          <w:bCs/>
        </w:rPr>
        <w:t xml:space="preserve"> ((dec.), nos. 65540/16 and 22368/17, § 28, 27 June 2017), the Court found that the new preventive and compensatory remedies under the Execution of Punishments and Pre-Trial Detention Act 2009 (“the</w:t>
      </w:r>
      <w:r w:rsidRPr="000C3543" w:rsidR="00803FAD">
        <w:rPr>
          <w:bCs/>
          <w:i/>
          <w:iCs/>
        </w:rPr>
        <w:t> </w:t>
      </w:r>
      <w:r w:rsidRPr="000C3543">
        <w:rPr>
          <w:bCs/>
        </w:rPr>
        <w:t>2009</w:t>
      </w:r>
      <w:r w:rsidRPr="000C3543" w:rsidR="00803FAD">
        <w:rPr>
          <w:bCs/>
          <w:i/>
          <w:iCs/>
        </w:rPr>
        <w:t> </w:t>
      </w:r>
      <w:r w:rsidRPr="000C3543">
        <w:rPr>
          <w:bCs/>
        </w:rPr>
        <w:t>Act”), put in place in early 2017 in response to the Court</w:t>
      </w:r>
      <w:r w:rsidRPr="000C3543" w:rsidR="000C3543">
        <w:rPr>
          <w:bCs/>
        </w:rPr>
        <w:t>’</w:t>
      </w:r>
      <w:r w:rsidRPr="000C3543">
        <w:rPr>
          <w:bCs/>
        </w:rPr>
        <w:t xml:space="preserve">s pilot judgment in </w:t>
      </w:r>
      <w:r w:rsidRPr="000C3543">
        <w:rPr>
          <w:bCs/>
          <w:i/>
        </w:rPr>
        <w:t xml:space="preserve">Neshkov and Others </w:t>
      </w:r>
      <w:r w:rsidRPr="000C3543">
        <w:rPr>
          <w:bCs/>
        </w:rPr>
        <w:t>(cited above) constitute effective domestic remedies in respect of complaints under Article 3 of the Convention relating to inhuman or degrading conditions of detention of persons serving a sentence of imprisonment or placed in pre-trial detention.</w:t>
      </w:r>
    </w:p>
    <w:p w:rsidRPr="000C3543" w:rsidR="006D611D" w:rsidP="000C3543" w:rsidRDefault="006D611D">
      <w:pPr>
        <w:pStyle w:val="JuPara"/>
        <w:rPr>
          <w:bCs/>
        </w:rPr>
      </w:pPr>
      <w:r w:rsidRPr="000C3543">
        <w:fldChar w:fldCharType="begin"/>
      </w:r>
      <w:r w:rsidRPr="000C3543">
        <w:instrText xml:space="preserve"> SEQ level0 \*arabic </w:instrText>
      </w:r>
      <w:r w:rsidRPr="000C3543">
        <w:fldChar w:fldCharType="separate"/>
      </w:r>
      <w:r w:rsidRPr="000C3543" w:rsidR="000C3543">
        <w:rPr>
          <w:noProof/>
        </w:rPr>
        <w:t>14</w:t>
      </w:r>
      <w:r w:rsidRPr="000C3543">
        <w:fldChar w:fldCharType="end"/>
      </w:r>
      <w:r w:rsidRPr="000C3543">
        <w:t xml:space="preserve">.  Both applicants in the present case brought claims for damages in relation to the poor conditions of their detention which were still pending at the time of the introduction of the new compensatory remedy under </w:t>
      </w:r>
      <w:r w:rsidRPr="000C3543">
        <w:rPr>
          <w:bCs/>
        </w:rPr>
        <w:t xml:space="preserve">the new section 284 of the 2009 Act on 7 February 2017. By paragraph 49 of the transitional and concluding provisions of the Act amending the 2009 Act, </w:t>
      </w:r>
      <w:r w:rsidRPr="000C3543">
        <w:rPr>
          <w:bCs/>
          <w:lang w:val="en-US"/>
        </w:rPr>
        <w:t xml:space="preserve">pending claims for damages in relation to poor </w:t>
      </w:r>
      <w:r w:rsidRPr="000C3543">
        <w:rPr>
          <w:bCs/>
        </w:rPr>
        <w:t>conditions of detention – which were previously examined under section 1</w:t>
      </w:r>
      <w:r w:rsidRPr="000C3543">
        <w:rPr>
          <w:bCs/>
          <w:lang w:val="en-US"/>
        </w:rPr>
        <w:t xml:space="preserve">(1) of the State and Municipalities Liability for Damage Act 1988 (“the 1988 Act”) – were to be dealt with in the manner laid down by </w:t>
      </w:r>
      <w:r w:rsidRPr="000C3543">
        <w:rPr>
          <w:bCs/>
        </w:rPr>
        <w:t xml:space="preserve">section 284(1) of </w:t>
      </w:r>
      <w:r w:rsidRPr="000C3543">
        <w:rPr>
          <w:bCs/>
          <w:lang w:val="en-US"/>
        </w:rPr>
        <w:t>the amended 2009</w:t>
      </w:r>
      <w:r w:rsidRPr="000C3543" w:rsidR="00803FAD">
        <w:rPr>
          <w:bCs/>
          <w:i/>
          <w:iCs/>
        </w:rPr>
        <w:t> </w:t>
      </w:r>
      <w:r w:rsidRPr="000C3543">
        <w:rPr>
          <w:bCs/>
          <w:lang w:val="en-US"/>
        </w:rPr>
        <w:t xml:space="preserve">Act (see </w:t>
      </w:r>
      <w:r w:rsidRPr="000C3543">
        <w:rPr>
          <w:bCs/>
          <w:i/>
          <w:iCs/>
        </w:rPr>
        <w:t>Atanasov and Apostolov</w:t>
      </w:r>
      <w:r w:rsidRPr="000C3543">
        <w:rPr>
          <w:bCs/>
          <w:iCs/>
        </w:rPr>
        <w:t>, cited above</w:t>
      </w:r>
      <w:r w:rsidRPr="000C3543">
        <w:rPr>
          <w:bCs/>
          <w:i/>
          <w:iCs/>
        </w:rPr>
        <w:t xml:space="preserve">, </w:t>
      </w:r>
      <w:r w:rsidRPr="000C3543">
        <w:rPr>
          <w:bCs/>
        </w:rPr>
        <w:t>§ 28).</w:t>
      </w:r>
    </w:p>
    <w:p w:rsidRPr="000C3543" w:rsidR="006D611D" w:rsidP="000C3543" w:rsidRDefault="006D611D">
      <w:pPr>
        <w:pStyle w:val="JuPara"/>
        <w:rPr>
          <w:bCs/>
        </w:rPr>
      </w:pPr>
      <w:r w:rsidRPr="000C3543">
        <w:rPr>
          <w:bCs/>
        </w:rPr>
        <w:fldChar w:fldCharType="begin"/>
      </w:r>
      <w:r w:rsidRPr="000C3543">
        <w:rPr>
          <w:bCs/>
        </w:rPr>
        <w:instrText xml:space="preserve"> SEQ level0 \*arabic </w:instrText>
      </w:r>
      <w:r w:rsidRPr="000C3543">
        <w:rPr>
          <w:bCs/>
        </w:rPr>
        <w:fldChar w:fldCharType="separate"/>
      </w:r>
      <w:r w:rsidRPr="000C3543" w:rsidR="000C3543">
        <w:rPr>
          <w:bCs/>
          <w:noProof/>
        </w:rPr>
        <w:t>15</w:t>
      </w:r>
      <w:r w:rsidRPr="000C3543">
        <w:rPr>
          <w:bCs/>
        </w:rPr>
        <w:fldChar w:fldCharType="end"/>
      </w:r>
      <w:r w:rsidRPr="000C3543">
        <w:rPr>
          <w:bCs/>
        </w:rPr>
        <w:t>.  As a result, the claims brought by the applicants in the present case were examined, at least on appeal, before the Supreme Administrative Court, in line with the requirements of the new compensatory remedy (see</w:t>
      </w:r>
      <w:r w:rsidRPr="000C3543">
        <w:rPr>
          <w:bCs/>
          <w:lang w:val="en-US"/>
        </w:rPr>
        <w:t xml:space="preserve"> </w:t>
      </w:r>
      <w:r w:rsidRPr="000C3543">
        <w:rPr>
          <w:bCs/>
          <w:i/>
          <w:iCs/>
        </w:rPr>
        <w:t>Atanasov and Apostolov</w:t>
      </w:r>
      <w:r w:rsidRPr="000C3543">
        <w:rPr>
          <w:bCs/>
          <w:iCs/>
        </w:rPr>
        <w:t>, cited above</w:t>
      </w:r>
      <w:r w:rsidRPr="000C3543">
        <w:rPr>
          <w:bCs/>
          <w:i/>
          <w:iCs/>
        </w:rPr>
        <w:t xml:space="preserve">, </w:t>
      </w:r>
      <w:r w:rsidRPr="000C3543">
        <w:rPr>
          <w:bCs/>
          <w:iCs/>
        </w:rPr>
        <w:t>§</w:t>
      </w:r>
      <w:r w:rsidRPr="000C3543">
        <w:rPr>
          <w:bCs/>
        </w:rPr>
        <w:t xml:space="preserve">§ 58-65). Both applicants were also awarded damages. The mere fact that the compensation awarded to an applicant following the use of an otherwise effective compensatory remedy is too low does not in itself call into question the effectiveness of that remedy (see, </w:t>
      </w:r>
      <w:r w:rsidRPr="000C3543">
        <w:rPr>
          <w:bCs/>
          <w:i/>
        </w:rPr>
        <w:t>mutatis mutandis</w:t>
      </w:r>
      <w:r w:rsidRPr="000C3543">
        <w:rPr>
          <w:bCs/>
        </w:rPr>
        <w:t xml:space="preserve">, </w:t>
      </w:r>
      <w:r w:rsidRPr="000C3543">
        <w:rPr>
          <w:bCs/>
          <w:i/>
        </w:rPr>
        <w:t>Delle Cave and Corrado v. Italy</w:t>
      </w:r>
      <w:r w:rsidRPr="000C3543">
        <w:rPr>
          <w:bCs/>
        </w:rPr>
        <w:t>, no. 14626/03, §§ 43 and 45, 5 June 2007, and</w:t>
      </w:r>
      <w:r w:rsidRPr="000C3543">
        <w:rPr>
          <w:bCs/>
          <w:i/>
        </w:rPr>
        <w:t xml:space="preserve"> Simaldone v.</w:t>
      </w:r>
      <w:r w:rsidRPr="000C3543" w:rsidR="00803FAD">
        <w:rPr>
          <w:bCs/>
          <w:i/>
        </w:rPr>
        <w:t xml:space="preserve"> </w:t>
      </w:r>
      <w:r w:rsidRPr="000C3543">
        <w:rPr>
          <w:bCs/>
          <w:i/>
        </w:rPr>
        <w:t>Italy</w:t>
      </w:r>
      <w:r w:rsidRPr="000C3543">
        <w:rPr>
          <w:bCs/>
        </w:rPr>
        <w:t>, no. 22644/03, § 71, 31 March 2009). It follows therefore that the applicants had at their disposal an effective remedy with respect to the conditions of their detention.</w:t>
      </w:r>
    </w:p>
    <w:p w:rsidRPr="000C3543" w:rsidR="006D611D" w:rsidP="000C3543" w:rsidRDefault="006D611D">
      <w:pPr>
        <w:pStyle w:val="JuPara"/>
        <w:rPr>
          <w:bCs/>
          <w:lang w:val="en-US"/>
        </w:rPr>
      </w:pPr>
      <w:r w:rsidRPr="000C3543">
        <w:rPr>
          <w:bCs/>
        </w:rPr>
        <w:fldChar w:fldCharType="begin"/>
      </w:r>
      <w:r w:rsidRPr="000C3543">
        <w:rPr>
          <w:bCs/>
        </w:rPr>
        <w:instrText xml:space="preserve"> SEQ level0 \*arabic </w:instrText>
      </w:r>
      <w:r w:rsidRPr="000C3543">
        <w:rPr>
          <w:bCs/>
        </w:rPr>
        <w:fldChar w:fldCharType="separate"/>
      </w:r>
      <w:r w:rsidRPr="000C3543" w:rsidR="000C3543">
        <w:rPr>
          <w:bCs/>
          <w:noProof/>
        </w:rPr>
        <w:t>16</w:t>
      </w:r>
      <w:r w:rsidRPr="000C3543">
        <w:rPr>
          <w:bCs/>
        </w:rPr>
        <w:fldChar w:fldCharType="end"/>
      </w:r>
      <w:r w:rsidRPr="000C3543">
        <w:rPr>
          <w:bCs/>
        </w:rPr>
        <w:t>.  Accordingly, these complaints are manifestly ill-founded and must be rejected in accordance with Article 35 § 4 of the Convention.</w:t>
      </w:r>
    </w:p>
    <w:p w:rsidRPr="000C3543" w:rsidR="006D611D" w:rsidP="000C3543" w:rsidRDefault="006D611D">
      <w:pPr>
        <w:pStyle w:val="JuHIRoman"/>
        <w:numPr>
          <w:ilvl w:val="1"/>
          <w:numId w:val="1"/>
        </w:numPr>
      </w:pPr>
      <w:r w:rsidRPr="000C3543">
        <w:t>APPLICATION OF ARTICLE 41 OF THE CONVENTION</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17</w:t>
      </w:r>
      <w:r w:rsidRPr="000C3543">
        <w:fldChar w:fldCharType="end"/>
      </w:r>
      <w:r w:rsidRPr="000C3543">
        <w:t>.  Article 41 of the Convention provides:</w:t>
      </w:r>
    </w:p>
    <w:p w:rsidRPr="000C3543" w:rsidR="006D611D" w:rsidP="000C3543" w:rsidRDefault="006D611D">
      <w:pPr>
        <w:pStyle w:val="JuQuot"/>
        <w:keepNext/>
        <w:keepLines/>
      </w:pPr>
      <w:r w:rsidRPr="000C354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18</w:t>
      </w:r>
      <w:r w:rsidRPr="000C3543">
        <w:fldChar w:fldCharType="end"/>
      </w:r>
      <w:r w:rsidRPr="000C3543">
        <w:t>.  Having regard to the documents in its possession and its settled case</w:t>
      </w:r>
      <w:r w:rsidRPr="000C3543">
        <w:noBreakHyphen/>
        <w:t xml:space="preserve">law (see, in particular, </w:t>
      </w:r>
      <w:proofErr w:type="spellStart"/>
      <w:r w:rsidRPr="000C3543">
        <w:rPr>
          <w:bCs/>
          <w:i/>
        </w:rPr>
        <w:t>Muršić</w:t>
      </w:r>
      <w:proofErr w:type="spellEnd"/>
      <w:r w:rsidRPr="000C3543">
        <w:t xml:space="preserve">, cited above, </w:t>
      </w:r>
      <w:r w:rsidRPr="000C3543">
        <w:rPr>
          <w:rFonts w:cstheme="minorHAnsi"/>
        </w:rPr>
        <w:t>§ 181</w:t>
      </w:r>
      <w:r w:rsidRPr="000C3543">
        <w:t xml:space="preserve">) the Court considers it reasonable to </w:t>
      </w:r>
      <w:r w:rsidRPr="000C3543">
        <w:rPr>
          <w:rFonts w:cstheme="minorHAnsi"/>
          <w:bCs/>
        </w:rPr>
        <w:t>award the sum</w:t>
      </w:r>
      <w:r w:rsidRPr="000C3543">
        <w:rPr>
          <w:rFonts w:cs="Times New Roman"/>
        </w:rPr>
        <w:t>s</w:t>
      </w:r>
      <w:r w:rsidRPr="000C3543">
        <w:rPr>
          <w:rFonts w:cstheme="minorHAnsi"/>
          <w:bCs/>
        </w:rPr>
        <w:t xml:space="preserve"> </w:t>
      </w:r>
      <w:r w:rsidRPr="000C3543">
        <w:t>indicated in the appended table.</w:t>
      </w:r>
    </w:p>
    <w:p w:rsidRPr="000C3543" w:rsidR="006D611D" w:rsidP="000C3543" w:rsidRDefault="006D611D">
      <w:pPr>
        <w:pStyle w:val="JuPara"/>
      </w:pPr>
      <w:r w:rsidRPr="000C3543">
        <w:fldChar w:fldCharType="begin"/>
      </w:r>
      <w:r w:rsidRPr="000C3543">
        <w:instrText xml:space="preserve"> SEQ level0 \*arabic </w:instrText>
      </w:r>
      <w:r w:rsidRPr="000C3543">
        <w:fldChar w:fldCharType="separate"/>
      </w:r>
      <w:r w:rsidRPr="000C3543" w:rsidR="000C3543">
        <w:rPr>
          <w:noProof/>
        </w:rPr>
        <w:t>19</w:t>
      </w:r>
      <w:r w:rsidRPr="000C3543">
        <w:fldChar w:fldCharType="end"/>
      </w:r>
      <w:r w:rsidRPr="000C3543">
        <w:t>.  The Court considers it appropriate that the default interest rate should be based on the marginal lending rate of the European Central Bank, to which should be added three percentage points.</w:t>
      </w:r>
    </w:p>
    <w:p w:rsidRPr="000C3543" w:rsidR="006D611D" w:rsidP="000C3543" w:rsidRDefault="006D611D">
      <w:pPr>
        <w:pStyle w:val="JuHHead"/>
        <w:numPr>
          <w:ilvl w:val="0"/>
          <w:numId w:val="1"/>
        </w:numPr>
      </w:pPr>
      <w:r w:rsidRPr="000C3543">
        <w:t>FOR THESE REASONS, THE COURT</w:t>
      </w:r>
      <w:r w:rsidRPr="000C3543">
        <w:rPr>
          <w:color w:val="000000"/>
        </w:rPr>
        <w:t>,</w:t>
      </w:r>
      <w:r w:rsidRPr="000C3543">
        <w:t xml:space="preserve"> UNANIMOUSLY,</w:t>
      </w:r>
    </w:p>
    <w:p w:rsidRPr="000C3543" w:rsidR="006D611D" w:rsidP="000C3543" w:rsidRDefault="006D611D">
      <w:pPr>
        <w:pStyle w:val="JuList"/>
        <w:keepNext/>
        <w:keepLines/>
        <w:ind w:left="0" w:firstLine="0"/>
        <w:rPr>
          <w:rFonts w:cs="Times New Roman"/>
        </w:rPr>
      </w:pPr>
      <w:r w:rsidRPr="000C3543">
        <w:rPr>
          <w:rFonts w:cs="Times New Roman"/>
          <w:i/>
        </w:rPr>
        <w:t xml:space="preserve">Decides </w:t>
      </w:r>
      <w:r w:rsidRPr="000C3543">
        <w:rPr>
          <w:rFonts w:cs="Times New Roman"/>
        </w:rPr>
        <w:t xml:space="preserve">to </w:t>
      </w:r>
      <w:r w:rsidRPr="000C3543">
        <w:t>join</w:t>
      </w:r>
      <w:r w:rsidRPr="000C3543">
        <w:rPr>
          <w:rFonts w:cs="Times New Roman"/>
        </w:rPr>
        <w:t xml:space="preserve"> the applications;</w:t>
      </w:r>
    </w:p>
    <w:p w:rsidRPr="000C3543" w:rsidR="006D611D" w:rsidP="000C3543" w:rsidRDefault="006D611D">
      <w:pPr>
        <w:pStyle w:val="JuList"/>
        <w:keepNext/>
        <w:keepLines/>
      </w:pPr>
      <w:r w:rsidRPr="000C3543">
        <w:rPr>
          <w:i/>
        </w:rPr>
        <w:t xml:space="preserve">Declares </w:t>
      </w:r>
      <w:r w:rsidRPr="000C3543">
        <w:t>the complaints under Article 3 of the Convention concerning the inadequate conditions of the applicants</w:t>
      </w:r>
      <w:r w:rsidRPr="000C3543" w:rsidR="000C3543">
        <w:t>’</w:t>
      </w:r>
      <w:r w:rsidRPr="000C3543">
        <w:t xml:space="preserve"> detention, as set out in the appended table, admissible, and the remainder of the applications inadmissible;</w:t>
      </w:r>
    </w:p>
    <w:p w:rsidRPr="000C3543" w:rsidR="006D611D" w:rsidP="000C3543" w:rsidRDefault="006D611D">
      <w:pPr>
        <w:pStyle w:val="JuList"/>
        <w:rPr>
          <w:rFonts w:eastAsia="PMingLiU"/>
        </w:rPr>
      </w:pPr>
      <w:r w:rsidRPr="000C3543">
        <w:rPr>
          <w:i/>
        </w:rPr>
        <w:t xml:space="preserve">Holds </w:t>
      </w:r>
      <w:r w:rsidRPr="000C3543">
        <w:t xml:space="preserve">that </w:t>
      </w:r>
      <w:r w:rsidRPr="000C3543">
        <w:rPr>
          <w:rFonts w:eastAsia="PMingLiU"/>
        </w:rPr>
        <w:t xml:space="preserve">these complaints </w:t>
      </w:r>
      <w:r w:rsidRPr="000C3543">
        <w:t>disclose a breach of Article</w:t>
      </w:r>
      <w:r w:rsidRPr="000C3543">
        <w:rPr>
          <w:rFonts w:eastAsia="PMingLiU"/>
        </w:rPr>
        <w:t xml:space="preserve"> 3 </w:t>
      </w:r>
      <w:r w:rsidRPr="000C3543">
        <w:t>of the Convention</w:t>
      </w:r>
      <w:r w:rsidRPr="000C3543">
        <w:rPr>
          <w:rFonts w:eastAsia="PMingLiU"/>
        </w:rPr>
        <w:t>;</w:t>
      </w:r>
    </w:p>
    <w:p w:rsidRPr="000C3543" w:rsidR="006D611D" w:rsidP="000C3543" w:rsidRDefault="006D611D">
      <w:pPr>
        <w:pStyle w:val="JuList"/>
      </w:pPr>
      <w:r w:rsidRPr="000C3543">
        <w:rPr>
          <w:i/>
        </w:rPr>
        <w:t>Holds</w:t>
      </w:r>
    </w:p>
    <w:p w:rsidRPr="000C3543" w:rsidR="006D611D" w:rsidP="000C3543" w:rsidRDefault="006D611D">
      <w:pPr>
        <w:pStyle w:val="JuLista"/>
      </w:pPr>
      <w:r w:rsidRPr="000C3543">
        <w:t>that the respondent State is to pay the applicant</w:t>
      </w:r>
      <w:r w:rsidRPr="000C3543">
        <w:rPr>
          <w:rFonts w:eastAsia="PMingLiU"/>
        </w:rPr>
        <w:t>s</w:t>
      </w:r>
      <w:r w:rsidRPr="000C3543">
        <w:t>, within three months, the amounts indicated in the appended table for non</w:t>
      </w:r>
      <w:r w:rsidRPr="000C3543" w:rsidR="00F15938">
        <w:noBreakHyphen/>
      </w:r>
      <w:r w:rsidRPr="000C3543">
        <w:t>pecuniary damage, to be converted into the currency of the respondent State at the rate applicable at the date of settlement;</w:t>
      </w:r>
    </w:p>
    <w:p w:rsidRPr="000C3543" w:rsidR="006D611D" w:rsidP="000C3543" w:rsidRDefault="006D611D">
      <w:pPr>
        <w:pStyle w:val="JuLista"/>
      </w:pPr>
      <w:r w:rsidRPr="000C3543">
        <w:t>that the respondent State is to pay directly to the applicants</w:t>
      </w:r>
      <w:r w:rsidRPr="000C3543" w:rsidR="000C3543">
        <w:t>’</w:t>
      </w:r>
      <w:r w:rsidRPr="000C3543">
        <w:t xml:space="preserve"> representative the amounts set out in the appended table in respect of costs and expenses;</w:t>
      </w:r>
    </w:p>
    <w:p w:rsidRPr="000C3543" w:rsidR="00787E12" w:rsidP="000C3543" w:rsidRDefault="006D611D">
      <w:pPr>
        <w:pStyle w:val="JuLista"/>
      </w:pPr>
      <w:proofErr w:type="gramStart"/>
      <w:r w:rsidRPr="000C3543">
        <w:t>that</w:t>
      </w:r>
      <w:proofErr w:type="gramEnd"/>
      <w:r w:rsidRPr="000C3543">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0C3543" w:rsidR="006D611D" w:rsidP="000C3543" w:rsidRDefault="0048584C">
      <w:pPr>
        <w:pStyle w:val="JuParaLast"/>
      </w:pPr>
      <w:r w:rsidRPr="000C3543">
        <w:t xml:space="preserve">Done in English, and notified in writing on </w:t>
      </w:r>
      <w:r w:rsidRPr="000C3543" w:rsidR="006D611D">
        <w:t>4 June 2020</w:t>
      </w:r>
      <w:r w:rsidRPr="000C3543">
        <w:t>, pursuant to Rule 77</w:t>
      </w:r>
      <w:r w:rsidRPr="000C3543" w:rsidR="00803FAD">
        <w:t xml:space="preserve"> </w:t>
      </w:r>
      <w:r w:rsidRPr="000C3543">
        <w:t>§§</w:t>
      </w:r>
      <w:r w:rsidRPr="000C3543" w:rsidR="00803FAD">
        <w:t xml:space="preserve"> </w:t>
      </w:r>
      <w:r w:rsidRPr="000C3543">
        <w:t>2 and</w:t>
      </w:r>
      <w:r w:rsidRPr="000C3543" w:rsidR="00803FAD">
        <w:t xml:space="preserve"> </w:t>
      </w:r>
      <w:r w:rsidRPr="000C3543">
        <w:t>3 of the Rules of Court.</w:t>
      </w:r>
    </w:p>
    <w:p w:rsidRPr="000C3543" w:rsidR="00B91668" w:rsidP="000C3543" w:rsidRDefault="00A672A9">
      <w:pPr>
        <w:pStyle w:val="JuSigned"/>
        <w:tabs>
          <w:tab w:val="clear" w:pos="851"/>
          <w:tab w:val="center" w:pos="1134"/>
        </w:tabs>
        <w:rPr>
          <w:rFonts w:eastAsia="PMingLiU"/>
          <w:lang w:val="da-DK"/>
        </w:rPr>
      </w:pPr>
      <w:r w:rsidRPr="000C3543">
        <w:rPr>
          <w:rFonts w:eastAsia="PMingLiU"/>
        </w:rPr>
        <w:tab/>
      </w:r>
      <w:r w:rsidRPr="000C3543" w:rsidR="006D611D">
        <w:rPr>
          <w:rFonts w:eastAsia="PMingLiU"/>
          <w:lang w:val="da-DK"/>
        </w:rPr>
        <w:t>Liv</w:t>
      </w:r>
      <w:r w:rsidRPr="000C3543" w:rsidR="0048584C">
        <w:rPr>
          <w:rFonts w:eastAsia="PMingLiU"/>
          <w:lang w:val="da-DK"/>
        </w:rPr>
        <w:t xml:space="preserve"> </w:t>
      </w:r>
      <w:r w:rsidRPr="000C3543" w:rsidR="006D611D">
        <w:rPr>
          <w:rFonts w:eastAsia="PMingLiU"/>
          <w:lang w:val="da-DK"/>
        </w:rPr>
        <w:t>Tigerstedt</w:t>
      </w:r>
      <w:r w:rsidRPr="000C3543" w:rsidR="0048584C">
        <w:rPr>
          <w:rFonts w:eastAsia="PMingLiU"/>
          <w:lang w:val="da-DK"/>
        </w:rPr>
        <w:tab/>
      </w:r>
      <w:r w:rsidRPr="000C3543" w:rsidR="006D611D">
        <w:rPr>
          <w:rFonts w:eastAsia="PMingLiU"/>
          <w:lang w:val="da-DK"/>
        </w:rPr>
        <w:t xml:space="preserve">Gabriele </w:t>
      </w:r>
      <w:proofErr w:type="spellStart"/>
      <w:r w:rsidRPr="000C3543" w:rsidR="006D611D">
        <w:rPr>
          <w:rFonts w:eastAsia="PMingLiU"/>
          <w:lang w:val="da-DK"/>
        </w:rPr>
        <w:t>Kucsko-Stadlmayer</w:t>
      </w:r>
      <w:proofErr w:type="spellEnd"/>
      <w:r w:rsidRPr="000C3543" w:rsidR="00CD12EF">
        <w:rPr>
          <w:rFonts w:eastAsia="PMingLiU"/>
          <w:lang w:val="da-DK"/>
        </w:rPr>
        <w:br/>
      </w:r>
      <w:r w:rsidRPr="000C3543" w:rsidR="0048584C">
        <w:rPr>
          <w:rFonts w:eastAsia="PMingLiU"/>
          <w:lang w:val="da-DK"/>
        </w:rPr>
        <w:tab/>
      </w:r>
      <w:proofErr w:type="spellStart"/>
      <w:r w:rsidRPr="000C3543" w:rsidR="0048584C">
        <w:rPr>
          <w:rFonts w:eastAsia="PMingLiU"/>
          <w:lang w:val="da-DK"/>
        </w:rPr>
        <w:t>Acting</w:t>
      </w:r>
      <w:proofErr w:type="spellEnd"/>
      <w:r w:rsidRPr="000C3543" w:rsidR="0048584C">
        <w:rPr>
          <w:rFonts w:eastAsia="PMingLiU"/>
          <w:lang w:val="da-DK"/>
        </w:rPr>
        <w:t xml:space="preserve"> </w:t>
      </w:r>
      <w:proofErr w:type="spellStart"/>
      <w:r w:rsidRPr="000C3543" w:rsidR="0048584C">
        <w:rPr>
          <w:rFonts w:eastAsia="PMingLiU"/>
          <w:lang w:val="da-DK"/>
        </w:rPr>
        <w:t>Deputy</w:t>
      </w:r>
      <w:proofErr w:type="spellEnd"/>
      <w:r w:rsidRPr="000C3543" w:rsidR="0048584C">
        <w:rPr>
          <w:rFonts w:eastAsia="PMingLiU"/>
          <w:lang w:val="da-DK"/>
        </w:rPr>
        <w:t xml:space="preserve"> </w:t>
      </w:r>
      <w:proofErr w:type="spellStart"/>
      <w:r w:rsidRPr="000C3543" w:rsidR="0048584C">
        <w:rPr>
          <w:rFonts w:eastAsia="PMingLiU"/>
          <w:lang w:val="da-DK"/>
        </w:rPr>
        <w:t>Registrar</w:t>
      </w:r>
      <w:proofErr w:type="spellEnd"/>
      <w:r w:rsidRPr="000C3543" w:rsidR="0048584C">
        <w:rPr>
          <w:rFonts w:eastAsia="PMingLiU"/>
          <w:lang w:val="da-DK"/>
        </w:rPr>
        <w:tab/>
      </w:r>
      <w:proofErr w:type="spellStart"/>
      <w:r w:rsidRPr="000C3543" w:rsidR="0048584C">
        <w:rPr>
          <w:rFonts w:eastAsia="PMingLiU"/>
          <w:lang w:val="da-DK"/>
        </w:rPr>
        <w:t>President</w:t>
      </w:r>
      <w:proofErr w:type="spellEnd"/>
    </w:p>
    <w:p w:rsidRPr="000C3543" w:rsidR="00787E12" w:rsidP="000C3543" w:rsidRDefault="007174E4">
      <w:pPr>
        <w:pStyle w:val="JuParaLast"/>
        <w:rPr>
          <w:lang w:val="da-DK"/>
        </w:rPr>
        <w:sectPr w:rsidRPr="000C3543"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C3543" w:rsidR="00787E12" w:rsidP="000C3543" w:rsidRDefault="0048584C">
      <w:pPr>
        <w:pStyle w:val="DecHTitle"/>
      </w:pPr>
      <w:r w:rsidRPr="000C3543">
        <w:t>APPENDIX</w:t>
      </w:r>
    </w:p>
    <w:p w:rsidRPr="000C3543" w:rsidR="00787E12" w:rsidP="000C3543" w:rsidRDefault="006D611D">
      <w:pPr>
        <w:pStyle w:val="DecHCase"/>
        <w:contextualSpacing/>
        <w:rPr>
          <w:b/>
          <w:i/>
          <w:color w:val="3E3E3E" w:themeColor="background2" w:themeShade="40"/>
        </w:rPr>
      </w:pPr>
      <w:r w:rsidRPr="000C3543">
        <w:rPr>
          <w:color w:val="3E3E3E" w:themeColor="background2" w:themeShade="40"/>
        </w:rPr>
        <w:t>List of applications</w:t>
      </w:r>
      <w:r w:rsidRPr="000C3543" w:rsidR="0048584C">
        <w:rPr>
          <w:color w:val="3E3E3E" w:themeColor="background2" w:themeShade="40"/>
        </w:rPr>
        <w:t xml:space="preserve"> raising complaints under Article</w:t>
      </w:r>
      <w:r w:rsidRPr="000C3543">
        <w:rPr>
          <w:color w:val="3E3E3E" w:themeColor="background2" w:themeShade="40"/>
        </w:rPr>
        <w:t xml:space="preserve"> 3 and Article 13 of the Convention</w:t>
      </w:r>
    </w:p>
    <w:p w:rsidRPr="000C3543" w:rsidR="00787E12" w:rsidP="000C3543" w:rsidRDefault="0048584C">
      <w:pPr>
        <w:pStyle w:val="DecHCase"/>
        <w:contextualSpacing/>
        <w:rPr>
          <w:b/>
          <w:i/>
        </w:rPr>
      </w:pPr>
      <w:r w:rsidRPr="000C3543">
        <w:rPr>
          <w:color w:val="3E3E3E" w:themeColor="background2" w:themeShade="40"/>
        </w:rPr>
        <w:t>(</w:t>
      </w:r>
      <w:proofErr w:type="gramStart"/>
      <w:r w:rsidRPr="000C3543" w:rsidR="006D611D">
        <w:rPr>
          <w:color w:val="3E3E3E" w:themeColor="background2" w:themeShade="40"/>
        </w:rPr>
        <w:t>inadequate</w:t>
      </w:r>
      <w:proofErr w:type="gramEnd"/>
      <w:r w:rsidRPr="000C3543" w:rsidR="006D611D">
        <w:rPr>
          <w:color w:val="3E3E3E" w:themeColor="background2" w:themeShade="40"/>
        </w:rPr>
        <w:t xml:space="preserve"> conditions of detention and lack of any effective remedy in domestic law</w:t>
      </w:r>
      <w:r w:rsidRPr="000C3543">
        <w:rPr>
          <w:color w:val="3E3E3E" w:themeColor="background2" w:themeShade="40"/>
        </w:rPr>
        <w:t>)</w:t>
      </w:r>
    </w:p>
    <w:tbl>
      <w:tblPr>
        <w:tblStyle w:val="ECHRListTable"/>
        <w:tblW w:w="13183" w:type="dxa"/>
        <w:jc w:val="center"/>
        <w:tblLayout w:type="fixed"/>
        <w:tblLook w:val="0420" w:firstRow="1" w:lastRow="0" w:firstColumn="0" w:lastColumn="0" w:noHBand="0" w:noVBand="1"/>
      </w:tblPr>
      <w:tblGrid>
        <w:gridCol w:w="567"/>
        <w:gridCol w:w="1276"/>
        <w:gridCol w:w="1560"/>
        <w:gridCol w:w="1417"/>
        <w:gridCol w:w="1581"/>
        <w:gridCol w:w="2835"/>
        <w:gridCol w:w="1417"/>
        <w:gridCol w:w="1276"/>
        <w:gridCol w:w="1254"/>
      </w:tblGrid>
      <w:tr w:rsidRPr="000C3543" w:rsidR="00DC5E37" w:rsidTr="00264E8B">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0C3543" w:rsidR="00DC5E37" w:rsidP="000C3543" w:rsidRDefault="00DC5E37">
            <w:pPr>
              <w:jc w:val="center"/>
              <w:rPr>
                <w:sz w:val="16"/>
              </w:rPr>
            </w:pPr>
            <w:bookmarkStart w:name="WECLListStart" w:id="2"/>
            <w:bookmarkEnd w:id="2"/>
            <w:r w:rsidRPr="000C3543">
              <w:rPr>
                <w:sz w:val="16"/>
              </w:rPr>
              <w:t>No.</w:t>
            </w:r>
          </w:p>
        </w:tc>
        <w:tc>
          <w:tcPr>
            <w:tcW w:w="1276" w:type="dxa"/>
          </w:tcPr>
          <w:p w:rsidRPr="000C3543" w:rsidR="00DC5E37" w:rsidP="000C3543" w:rsidRDefault="00DC5E37">
            <w:pPr>
              <w:jc w:val="center"/>
              <w:rPr>
                <w:sz w:val="16"/>
              </w:rPr>
            </w:pPr>
            <w:r w:rsidRPr="000C3543">
              <w:rPr>
                <w:sz w:val="16"/>
              </w:rPr>
              <w:t>Application no.</w:t>
            </w:r>
          </w:p>
          <w:p w:rsidRPr="000C3543" w:rsidR="00DC5E37" w:rsidP="000C3543" w:rsidRDefault="00DC5E37">
            <w:pPr>
              <w:jc w:val="center"/>
              <w:rPr>
                <w:sz w:val="16"/>
              </w:rPr>
            </w:pPr>
            <w:r w:rsidRPr="000C3543">
              <w:rPr>
                <w:sz w:val="16"/>
              </w:rPr>
              <w:t>Date of introduction</w:t>
            </w:r>
          </w:p>
        </w:tc>
        <w:tc>
          <w:tcPr>
            <w:tcW w:w="1560" w:type="dxa"/>
          </w:tcPr>
          <w:p w:rsidRPr="000C3543" w:rsidR="00DC5E37" w:rsidP="000C3543" w:rsidRDefault="00DC5E37">
            <w:pPr>
              <w:jc w:val="center"/>
              <w:rPr>
                <w:sz w:val="16"/>
              </w:rPr>
            </w:pPr>
            <w:r w:rsidRPr="000C3543">
              <w:rPr>
                <w:sz w:val="16"/>
              </w:rPr>
              <w:t>Applicant</w:t>
            </w:r>
            <w:r w:rsidRPr="000C3543" w:rsidR="000C3543">
              <w:rPr>
                <w:sz w:val="16"/>
              </w:rPr>
              <w:t>’</w:t>
            </w:r>
            <w:r w:rsidRPr="000C3543">
              <w:rPr>
                <w:sz w:val="16"/>
              </w:rPr>
              <w:t>s name</w:t>
            </w:r>
          </w:p>
          <w:p w:rsidRPr="000C3543" w:rsidR="00DC5E37" w:rsidP="000C3543" w:rsidRDefault="00DC5E37">
            <w:pPr>
              <w:jc w:val="center"/>
              <w:rPr>
                <w:sz w:val="16"/>
              </w:rPr>
            </w:pPr>
            <w:r w:rsidRPr="000C3543">
              <w:rPr>
                <w:sz w:val="16"/>
              </w:rPr>
              <w:t>Date of birth</w:t>
            </w:r>
          </w:p>
          <w:p w:rsidRPr="000C3543" w:rsidR="00DC5E37" w:rsidP="000C3543" w:rsidRDefault="00DC5E37">
            <w:pPr>
              <w:jc w:val="center"/>
              <w:rPr>
                <w:sz w:val="16"/>
              </w:rPr>
            </w:pPr>
          </w:p>
        </w:tc>
        <w:tc>
          <w:tcPr>
            <w:tcW w:w="1417" w:type="dxa"/>
          </w:tcPr>
          <w:p w:rsidRPr="000C3543" w:rsidR="00DC5E37" w:rsidP="000C3543" w:rsidRDefault="00DC5E37">
            <w:pPr>
              <w:jc w:val="center"/>
              <w:rPr>
                <w:sz w:val="16"/>
              </w:rPr>
            </w:pPr>
            <w:r w:rsidRPr="000C3543">
              <w:rPr>
                <w:sz w:val="16"/>
              </w:rPr>
              <w:t>Representative</w:t>
            </w:r>
            <w:r w:rsidRPr="000C3543" w:rsidR="000C3543">
              <w:rPr>
                <w:sz w:val="16"/>
              </w:rPr>
              <w:t>’</w:t>
            </w:r>
            <w:r w:rsidRPr="000C3543">
              <w:rPr>
                <w:sz w:val="16"/>
              </w:rPr>
              <w:t>s name and location</w:t>
            </w:r>
          </w:p>
        </w:tc>
        <w:tc>
          <w:tcPr>
            <w:tcW w:w="1581" w:type="dxa"/>
          </w:tcPr>
          <w:p w:rsidRPr="000C3543" w:rsidR="00CD12EF" w:rsidP="000C3543" w:rsidRDefault="00DC5E37">
            <w:pPr>
              <w:jc w:val="center"/>
              <w:rPr>
                <w:sz w:val="16"/>
              </w:rPr>
            </w:pPr>
            <w:r w:rsidRPr="000C3543">
              <w:rPr>
                <w:sz w:val="16"/>
              </w:rPr>
              <w:t>Facility</w:t>
            </w:r>
          </w:p>
          <w:p w:rsidRPr="000C3543" w:rsidR="00DC5E37" w:rsidP="000C3543" w:rsidRDefault="00DC5E37">
            <w:pPr>
              <w:jc w:val="center"/>
              <w:rPr>
                <w:sz w:val="16"/>
              </w:rPr>
            </w:pPr>
            <w:r w:rsidRPr="000C3543">
              <w:rPr>
                <w:sz w:val="16"/>
              </w:rPr>
              <w:t>start and end date Duration</w:t>
            </w:r>
          </w:p>
        </w:tc>
        <w:tc>
          <w:tcPr>
            <w:tcW w:w="2835" w:type="dxa"/>
          </w:tcPr>
          <w:p w:rsidRPr="000C3543" w:rsidR="00DC5E37" w:rsidP="000C3543" w:rsidRDefault="00DC5E37">
            <w:pPr>
              <w:jc w:val="center"/>
              <w:rPr>
                <w:sz w:val="16"/>
              </w:rPr>
            </w:pPr>
            <w:r w:rsidRPr="000C3543">
              <w:rPr>
                <w:sz w:val="16"/>
              </w:rPr>
              <w:t>Specific grievances</w:t>
            </w:r>
          </w:p>
        </w:tc>
        <w:tc>
          <w:tcPr>
            <w:tcW w:w="1417" w:type="dxa"/>
          </w:tcPr>
          <w:p w:rsidRPr="000C3543" w:rsidR="00DC5E37" w:rsidP="000C3543" w:rsidRDefault="00DC5E37">
            <w:pPr>
              <w:jc w:val="center"/>
              <w:rPr>
                <w:sz w:val="16"/>
              </w:rPr>
            </w:pPr>
            <w:r w:rsidRPr="000C3543">
              <w:rPr>
                <w:sz w:val="16"/>
              </w:rPr>
              <w:t>Domestic award</w:t>
            </w:r>
          </w:p>
          <w:p w:rsidRPr="000C3543" w:rsidR="00DC5E37" w:rsidP="000C3543" w:rsidRDefault="00DC5E37">
            <w:pPr>
              <w:jc w:val="center"/>
              <w:rPr>
                <w:sz w:val="16"/>
              </w:rPr>
            </w:pPr>
            <w:r w:rsidRPr="000C3543">
              <w:rPr>
                <w:sz w:val="16"/>
              </w:rPr>
              <w:t>(in euros)</w:t>
            </w:r>
          </w:p>
        </w:tc>
        <w:tc>
          <w:tcPr>
            <w:tcW w:w="1276" w:type="dxa"/>
          </w:tcPr>
          <w:p w:rsidRPr="000C3543" w:rsidR="00DC5E37" w:rsidP="000C3543" w:rsidRDefault="00DC5E37">
            <w:pPr>
              <w:jc w:val="center"/>
              <w:rPr>
                <w:sz w:val="16"/>
              </w:rPr>
            </w:pPr>
            <w:r w:rsidRPr="000C3543">
              <w:rPr>
                <w:sz w:val="16"/>
              </w:rPr>
              <w:t>Amount awarded for non-pecuniary damage per applicant</w:t>
            </w:r>
          </w:p>
          <w:p w:rsidRPr="000C3543" w:rsidR="00DC5E37" w:rsidP="000C3543" w:rsidRDefault="00DC5E37">
            <w:pPr>
              <w:jc w:val="center"/>
              <w:rPr>
                <w:sz w:val="16"/>
              </w:rPr>
            </w:pPr>
            <w:r w:rsidRPr="000C3543">
              <w:rPr>
                <w:sz w:val="16"/>
              </w:rPr>
              <w:t>(in euros)</w:t>
            </w:r>
            <w:r w:rsidRPr="000C3543">
              <w:rPr>
                <w:rStyle w:val="FootnoteReference"/>
                <w:sz w:val="16"/>
              </w:rPr>
              <w:footnoteReference w:id="1"/>
            </w:r>
          </w:p>
        </w:tc>
        <w:tc>
          <w:tcPr>
            <w:tcW w:w="1254" w:type="dxa"/>
          </w:tcPr>
          <w:p w:rsidRPr="000C3543" w:rsidR="00DC5E37" w:rsidP="000C3543" w:rsidRDefault="00DC5E37">
            <w:pPr>
              <w:jc w:val="center"/>
              <w:rPr>
                <w:sz w:val="16"/>
              </w:rPr>
            </w:pPr>
            <w:r w:rsidRPr="000C3543">
              <w:rPr>
                <w:sz w:val="16"/>
              </w:rPr>
              <w:t>Amount awarded for costs and expenses per application</w:t>
            </w:r>
          </w:p>
          <w:p w:rsidRPr="000C3543" w:rsidR="00DC5E37" w:rsidP="000C3543" w:rsidRDefault="00DC5E37">
            <w:pPr>
              <w:jc w:val="center"/>
              <w:rPr>
                <w:sz w:val="16"/>
              </w:rPr>
            </w:pPr>
            <w:r w:rsidRPr="000C3543">
              <w:rPr>
                <w:sz w:val="16"/>
              </w:rPr>
              <w:t>(in euros)</w:t>
            </w:r>
            <w:r w:rsidRPr="000C3543">
              <w:rPr>
                <w:rStyle w:val="FootnoteReference"/>
                <w:sz w:val="16"/>
              </w:rPr>
              <w:footnoteReference w:id="2"/>
            </w:r>
          </w:p>
        </w:tc>
      </w:tr>
      <w:tr w:rsidRPr="000C3543" w:rsidR="00DC5E37" w:rsidTr="00264E8B">
        <w:trPr>
          <w:jc w:val="center"/>
        </w:trPr>
        <w:tc>
          <w:tcPr>
            <w:tcW w:w="567" w:type="dxa"/>
          </w:tcPr>
          <w:p w:rsidRPr="000C3543" w:rsidR="00DC5E37" w:rsidP="000C3543" w:rsidRDefault="00DC5E37">
            <w:pPr>
              <w:pStyle w:val="ListParagraph"/>
              <w:numPr>
                <w:ilvl w:val="0"/>
                <w:numId w:val="2"/>
              </w:numPr>
              <w:tabs>
                <w:tab w:val="num" w:pos="283"/>
              </w:tabs>
              <w:ind w:left="0" w:firstLine="0"/>
              <w:jc w:val="center"/>
              <w:rPr>
                <w:rFonts w:eastAsiaTheme="minorEastAsia"/>
                <w:sz w:val="16"/>
              </w:rPr>
            </w:pPr>
          </w:p>
        </w:tc>
        <w:tc>
          <w:tcPr>
            <w:tcW w:w="1276" w:type="dxa"/>
          </w:tcPr>
          <w:p w:rsidRPr="000C3543" w:rsidR="00DC5E37" w:rsidP="000C3543" w:rsidRDefault="00DC5E37">
            <w:pPr>
              <w:jc w:val="center"/>
              <w:rPr>
                <w:sz w:val="16"/>
              </w:rPr>
            </w:pPr>
            <w:r w:rsidRPr="000C3543">
              <w:rPr>
                <w:sz w:val="16"/>
              </w:rPr>
              <w:t>31820/18</w:t>
            </w:r>
          </w:p>
          <w:p w:rsidRPr="000C3543" w:rsidR="00DC5E37" w:rsidP="000C3543" w:rsidRDefault="00DC5E37">
            <w:pPr>
              <w:jc w:val="center"/>
              <w:rPr>
                <w:sz w:val="16"/>
              </w:rPr>
            </w:pPr>
            <w:r w:rsidRPr="000C3543">
              <w:rPr>
                <w:sz w:val="16"/>
              </w:rPr>
              <w:t>28/06/2018</w:t>
            </w:r>
          </w:p>
        </w:tc>
        <w:tc>
          <w:tcPr>
            <w:tcW w:w="1560" w:type="dxa"/>
          </w:tcPr>
          <w:p w:rsidRPr="000C3543" w:rsidR="00DC5E37" w:rsidP="000C3543" w:rsidRDefault="00DC5E37">
            <w:pPr>
              <w:jc w:val="center"/>
              <w:rPr>
                <w:b/>
                <w:sz w:val="16"/>
              </w:rPr>
            </w:pPr>
            <w:r w:rsidRPr="000C3543">
              <w:rPr>
                <w:b/>
                <w:sz w:val="16"/>
              </w:rPr>
              <w:t>Yordan Georgiev YORDANOV</w:t>
            </w:r>
          </w:p>
          <w:p w:rsidRPr="000C3543" w:rsidR="00DC5E37" w:rsidP="000C3543" w:rsidRDefault="00DC5E37">
            <w:pPr>
              <w:jc w:val="center"/>
              <w:rPr>
                <w:sz w:val="16"/>
              </w:rPr>
            </w:pPr>
            <w:r w:rsidRPr="000C3543">
              <w:rPr>
                <w:sz w:val="16"/>
              </w:rPr>
              <w:t>09/02/1971</w:t>
            </w:r>
          </w:p>
        </w:tc>
        <w:tc>
          <w:tcPr>
            <w:tcW w:w="1417" w:type="dxa"/>
          </w:tcPr>
          <w:p w:rsidRPr="000C3543" w:rsidR="00DC5E37" w:rsidP="000C3543" w:rsidRDefault="00DC5E37">
            <w:pPr>
              <w:jc w:val="center"/>
              <w:rPr>
                <w:sz w:val="16"/>
              </w:rPr>
            </w:pPr>
            <w:r w:rsidRPr="000C3543">
              <w:rPr>
                <w:sz w:val="16"/>
              </w:rPr>
              <w:t xml:space="preserve">Valeri </w:t>
            </w:r>
            <w:proofErr w:type="spellStart"/>
            <w:r w:rsidRPr="000C3543">
              <w:rPr>
                <w:sz w:val="16"/>
              </w:rPr>
              <w:t>Stoyanov</w:t>
            </w:r>
            <w:proofErr w:type="spellEnd"/>
            <w:r w:rsidRPr="000C3543">
              <w:rPr>
                <w:sz w:val="16"/>
              </w:rPr>
              <w:t xml:space="preserve"> STOYANOV</w:t>
            </w:r>
          </w:p>
          <w:p w:rsidRPr="000C3543" w:rsidR="00DC5E37" w:rsidP="000C3543" w:rsidRDefault="00DC5E37">
            <w:pPr>
              <w:jc w:val="center"/>
              <w:rPr>
                <w:sz w:val="16"/>
              </w:rPr>
            </w:pPr>
            <w:r w:rsidRPr="000C3543">
              <w:rPr>
                <w:sz w:val="16"/>
              </w:rPr>
              <w:t>Pazardzhik</w:t>
            </w:r>
          </w:p>
        </w:tc>
        <w:tc>
          <w:tcPr>
            <w:tcW w:w="1581" w:type="dxa"/>
          </w:tcPr>
          <w:p w:rsidRPr="000C3543" w:rsidR="00DC5E37" w:rsidP="000C3543" w:rsidRDefault="00DC5E37">
            <w:pPr>
              <w:jc w:val="center"/>
              <w:rPr>
                <w:sz w:val="16"/>
              </w:rPr>
            </w:pPr>
            <w:r w:rsidRPr="000C3543">
              <w:rPr>
                <w:sz w:val="16"/>
              </w:rPr>
              <w:t>Pazardzhik Detention Facility</w:t>
            </w:r>
          </w:p>
          <w:p w:rsidRPr="000C3543" w:rsidR="00DC5E37" w:rsidP="000C3543" w:rsidRDefault="00DC5E37">
            <w:pPr>
              <w:jc w:val="center"/>
              <w:rPr>
                <w:sz w:val="16"/>
              </w:rPr>
            </w:pPr>
            <w:r w:rsidRPr="000C3543">
              <w:rPr>
                <w:sz w:val="16"/>
              </w:rPr>
              <w:t>06/11/2012 to</w:t>
            </w:r>
          </w:p>
          <w:p w:rsidRPr="000C3543" w:rsidR="00DC5E37" w:rsidP="000C3543" w:rsidRDefault="00DC5E37">
            <w:pPr>
              <w:jc w:val="center"/>
              <w:rPr>
                <w:sz w:val="16"/>
              </w:rPr>
            </w:pPr>
            <w:r w:rsidRPr="000C3543">
              <w:rPr>
                <w:sz w:val="16"/>
              </w:rPr>
              <w:t>13/12/2012</w:t>
            </w:r>
          </w:p>
          <w:p w:rsidRPr="000C3543" w:rsidR="00DC5E37" w:rsidP="000C3543" w:rsidRDefault="00DC5E37">
            <w:pPr>
              <w:jc w:val="center"/>
              <w:rPr>
                <w:sz w:val="16"/>
              </w:rPr>
            </w:pPr>
            <w:r w:rsidRPr="000C3543">
              <w:rPr>
                <w:sz w:val="16"/>
              </w:rPr>
              <w:t>1 months and</w:t>
            </w:r>
            <w:r w:rsidRPr="000C3543" w:rsidR="006A6A2A">
              <w:rPr>
                <w:bCs/>
                <w:i/>
                <w:iCs/>
                <w:sz w:val="16"/>
              </w:rPr>
              <w:t> </w:t>
            </w:r>
            <w:r w:rsidRPr="000C3543">
              <w:rPr>
                <w:sz w:val="16"/>
              </w:rPr>
              <w:t>8</w:t>
            </w:r>
            <w:r w:rsidRPr="000C3543" w:rsidR="00321BA4">
              <w:rPr>
                <w:sz w:val="16"/>
              </w:rPr>
              <w:t> </w:t>
            </w:r>
            <w:r w:rsidRPr="000C3543">
              <w:rPr>
                <w:sz w:val="16"/>
              </w:rPr>
              <w:t>days</w:t>
            </w: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264E8B" w:rsidP="000C3543" w:rsidRDefault="00264E8B">
            <w:pPr>
              <w:jc w:val="center"/>
              <w:rPr>
                <w:sz w:val="16"/>
              </w:rPr>
            </w:pPr>
          </w:p>
          <w:p w:rsidRPr="000C3543" w:rsidR="00DC5E37" w:rsidP="000C3543" w:rsidRDefault="00DC5E37">
            <w:pPr>
              <w:jc w:val="center"/>
              <w:rPr>
                <w:sz w:val="16"/>
              </w:rPr>
            </w:pPr>
            <w:r w:rsidRPr="000C3543">
              <w:rPr>
                <w:sz w:val="16"/>
              </w:rPr>
              <w:t>Pazardzhik Detention Facility</w:t>
            </w:r>
          </w:p>
          <w:p w:rsidRPr="000C3543" w:rsidR="00DC5E37" w:rsidP="000C3543" w:rsidRDefault="00DC5E37">
            <w:pPr>
              <w:jc w:val="center"/>
              <w:rPr>
                <w:sz w:val="16"/>
              </w:rPr>
            </w:pPr>
            <w:r w:rsidRPr="000C3543">
              <w:rPr>
                <w:sz w:val="16"/>
              </w:rPr>
              <w:t>27/08/2015 to</w:t>
            </w:r>
          </w:p>
          <w:p w:rsidRPr="000C3543" w:rsidR="00DC5E37" w:rsidP="000C3543" w:rsidRDefault="00DC5E37">
            <w:pPr>
              <w:jc w:val="center"/>
              <w:rPr>
                <w:sz w:val="16"/>
              </w:rPr>
            </w:pPr>
            <w:r w:rsidRPr="000C3543">
              <w:rPr>
                <w:sz w:val="16"/>
              </w:rPr>
              <w:t>06/11/2015</w:t>
            </w:r>
          </w:p>
          <w:p w:rsidRPr="000C3543" w:rsidR="00DC5E37" w:rsidP="000C3543" w:rsidRDefault="00DC5E37">
            <w:pPr>
              <w:jc w:val="center"/>
              <w:rPr>
                <w:sz w:val="16"/>
              </w:rPr>
            </w:pPr>
            <w:r w:rsidRPr="000C3543">
              <w:rPr>
                <w:sz w:val="16"/>
              </w:rPr>
              <w:t>2 month(s) and</w:t>
            </w:r>
            <w:r w:rsidRPr="000C3543" w:rsidR="006A6A2A">
              <w:rPr>
                <w:bCs/>
                <w:i/>
                <w:iCs/>
                <w:sz w:val="16"/>
              </w:rPr>
              <w:t> </w:t>
            </w:r>
            <w:r w:rsidRPr="000C3543">
              <w:rPr>
                <w:sz w:val="16"/>
              </w:rPr>
              <w:t>11</w:t>
            </w:r>
            <w:r w:rsidRPr="000C3543" w:rsidR="00321BA4">
              <w:rPr>
                <w:sz w:val="16"/>
              </w:rPr>
              <w:t> </w:t>
            </w:r>
            <w:r w:rsidRPr="000C3543">
              <w:rPr>
                <w:sz w:val="16"/>
              </w:rPr>
              <w:t>day(s)</w:t>
            </w:r>
          </w:p>
        </w:tc>
        <w:tc>
          <w:tcPr>
            <w:tcW w:w="2835" w:type="dxa"/>
          </w:tcPr>
          <w:p w:rsidRPr="000C3543" w:rsidR="00DC5E37" w:rsidP="000C3543" w:rsidRDefault="00321BA4">
            <w:pPr>
              <w:jc w:val="center"/>
              <w:rPr>
                <w:sz w:val="16"/>
              </w:rPr>
            </w:pPr>
            <w:r w:rsidRPr="000C3543">
              <w:rPr>
                <w:sz w:val="16"/>
              </w:rPr>
              <w:t>L</w:t>
            </w:r>
            <w:r w:rsidRPr="000C3543" w:rsidR="00DC5E37">
              <w:rPr>
                <w:sz w:val="16"/>
              </w:rPr>
              <w:t>ack of fresh air, lack of or insufficient natural light, lack of or insufficient physical exercise in fresh</w:t>
            </w:r>
            <w:r w:rsidRPr="000C3543">
              <w:rPr>
                <w:sz w:val="16"/>
              </w:rPr>
              <w:t> </w:t>
            </w:r>
            <w:r w:rsidRPr="000C3543" w:rsidR="00DC5E37">
              <w:rPr>
                <w:sz w:val="16"/>
              </w:rPr>
              <w:t>air, passive</w:t>
            </w:r>
            <w:r w:rsidRPr="000C3543" w:rsidR="006A6A2A">
              <w:rPr>
                <w:bCs/>
                <w:i/>
                <w:iCs/>
                <w:sz w:val="16"/>
              </w:rPr>
              <w:t> </w:t>
            </w:r>
            <w:r w:rsidRPr="000C3543" w:rsidR="00DC5E37">
              <w:rPr>
                <w:sz w:val="16"/>
              </w:rPr>
              <w:t>smoking, no</w:t>
            </w:r>
            <w:r w:rsidRPr="000C3543" w:rsidR="006A6A2A">
              <w:rPr>
                <w:sz w:val="16"/>
              </w:rPr>
              <w:t xml:space="preserve"> </w:t>
            </w:r>
            <w:r w:rsidRPr="000C3543" w:rsidR="00DC5E37">
              <w:rPr>
                <w:sz w:val="16"/>
              </w:rPr>
              <w:t>or</w:t>
            </w:r>
            <w:r w:rsidRPr="000C3543" w:rsidR="006A6A2A">
              <w:rPr>
                <w:sz w:val="16"/>
              </w:rPr>
              <w:t xml:space="preserve"> </w:t>
            </w:r>
            <w:r w:rsidRPr="000C3543" w:rsidR="00DC5E37">
              <w:rPr>
                <w:sz w:val="16"/>
              </w:rPr>
              <w:t>restricted access to running water, no or restricted access to toilet, poor quality of food, lack</w:t>
            </w:r>
            <w:r w:rsidRPr="000C3543" w:rsidR="006A6A2A">
              <w:rPr>
                <w:bCs/>
                <w:i/>
                <w:iCs/>
                <w:sz w:val="16"/>
              </w:rPr>
              <w:t> </w:t>
            </w:r>
            <w:r w:rsidRPr="000C3543" w:rsidR="00DC5E37">
              <w:rPr>
                <w:sz w:val="16"/>
              </w:rPr>
              <w:t>or</w:t>
            </w:r>
            <w:r w:rsidRPr="000C3543" w:rsidR="006A6A2A">
              <w:rPr>
                <w:bCs/>
                <w:i/>
                <w:iCs/>
                <w:sz w:val="16"/>
              </w:rPr>
              <w:t> </w:t>
            </w:r>
            <w:r w:rsidRPr="000C3543" w:rsidR="00DC5E37">
              <w:rPr>
                <w:sz w:val="16"/>
              </w:rPr>
              <w:t>insufficient quantity of food, overcrowding, the applicant had to use a</w:t>
            </w:r>
            <w:r w:rsidRPr="000C3543" w:rsidR="006A6A2A">
              <w:rPr>
                <w:bCs/>
                <w:i/>
                <w:iCs/>
                <w:sz w:val="16"/>
              </w:rPr>
              <w:t> </w:t>
            </w:r>
            <w:r w:rsidRPr="000C3543" w:rsidR="00DC5E37">
              <w:rPr>
                <w:sz w:val="16"/>
              </w:rPr>
              <w:t>bucket or a plastic bottle to relieve his</w:t>
            </w:r>
            <w:r w:rsidRPr="000C3543" w:rsidR="006A6A2A">
              <w:rPr>
                <w:bCs/>
                <w:i/>
                <w:iCs/>
                <w:sz w:val="16"/>
              </w:rPr>
              <w:t> </w:t>
            </w:r>
            <w:r w:rsidRPr="000C3543" w:rsidR="00DC5E37">
              <w:rPr>
                <w:sz w:val="16"/>
              </w:rPr>
              <w:t>needs.</w:t>
            </w:r>
          </w:p>
          <w:p w:rsidRPr="000C3543" w:rsidR="00DC5E37" w:rsidP="000C3543" w:rsidRDefault="00DC5E37">
            <w:pPr>
              <w:jc w:val="center"/>
              <w:rPr>
                <w:sz w:val="16"/>
              </w:rPr>
            </w:pPr>
          </w:p>
          <w:p w:rsidRPr="000C3543" w:rsidR="00DC5E37" w:rsidP="000C3543" w:rsidRDefault="00321BA4">
            <w:pPr>
              <w:jc w:val="center"/>
              <w:rPr>
                <w:sz w:val="16"/>
              </w:rPr>
            </w:pPr>
            <w:r w:rsidRPr="000C3543">
              <w:rPr>
                <w:sz w:val="16"/>
              </w:rPr>
              <w:t>L</w:t>
            </w:r>
            <w:r w:rsidRPr="000C3543" w:rsidR="00DC5E37">
              <w:rPr>
                <w:sz w:val="16"/>
              </w:rPr>
              <w:t>ack of fresh air, lack of or insufficient natural light, lack of or insufficient physical exercise in fresh</w:t>
            </w:r>
            <w:r w:rsidRPr="000C3543" w:rsidR="006A6A2A">
              <w:rPr>
                <w:sz w:val="16"/>
              </w:rPr>
              <w:t xml:space="preserve"> </w:t>
            </w:r>
            <w:r w:rsidRPr="000C3543" w:rsidR="00DC5E37">
              <w:rPr>
                <w:sz w:val="16"/>
              </w:rPr>
              <w:t>air, passive smoking, overcrowding, no or restricted access to running water, no or restricted access to toilet, poor quality of food, lack or insufficient quantity of food, the</w:t>
            </w:r>
            <w:r w:rsidRPr="000C3543" w:rsidR="006A6A2A">
              <w:rPr>
                <w:bCs/>
                <w:i/>
                <w:iCs/>
                <w:sz w:val="16"/>
              </w:rPr>
              <w:t> </w:t>
            </w:r>
            <w:r w:rsidRPr="000C3543" w:rsidR="00DC5E37">
              <w:rPr>
                <w:sz w:val="16"/>
              </w:rPr>
              <w:t>applicant had to use a bucket or a</w:t>
            </w:r>
            <w:r w:rsidRPr="000C3543">
              <w:rPr>
                <w:sz w:val="16"/>
              </w:rPr>
              <w:t> </w:t>
            </w:r>
            <w:r w:rsidRPr="000C3543" w:rsidR="00DC5E37">
              <w:rPr>
                <w:sz w:val="16"/>
              </w:rPr>
              <w:t>plastic bottle to relieve his needs.</w:t>
            </w:r>
          </w:p>
          <w:p w:rsidRPr="000C3543" w:rsidR="00321BA4" w:rsidP="000C3543" w:rsidRDefault="00321BA4">
            <w:pPr>
              <w:jc w:val="center"/>
              <w:rPr>
                <w:sz w:val="16"/>
              </w:rPr>
            </w:pPr>
          </w:p>
        </w:tc>
        <w:tc>
          <w:tcPr>
            <w:tcW w:w="1417" w:type="dxa"/>
          </w:tcPr>
          <w:p w:rsidRPr="000C3543" w:rsidR="00DC5E37" w:rsidP="000C3543" w:rsidRDefault="00DC5E37">
            <w:pPr>
              <w:jc w:val="center"/>
              <w:rPr>
                <w:sz w:val="16"/>
              </w:rPr>
            </w:pPr>
            <w:r w:rsidRPr="000C3543">
              <w:rPr>
                <w:sz w:val="16"/>
              </w:rPr>
              <w:t>116 euros (EUR)</w:t>
            </w:r>
          </w:p>
          <w:p w:rsidRPr="000C3543" w:rsidR="00DC5E37" w:rsidP="000C3543" w:rsidRDefault="00DC5E37">
            <w:pPr>
              <w:jc w:val="center"/>
              <w:rPr>
                <w:sz w:val="16"/>
              </w:rPr>
            </w:pPr>
            <w:r w:rsidRPr="000C3543">
              <w:rPr>
                <w:sz w:val="16"/>
              </w:rPr>
              <w:t>(200 Bulgarian levs (BGN), plus</w:t>
            </w:r>
            <w:r w:rsidRPr="000C3543" w:rsidR="006A6A2A">
              <w:rPr>
                <w:bCs/>
                <w:i/>
                <w:iCs/>
                <w:sz w:val="16"/>
              </w:rPr>
              <w:t> </w:t>
            </w:r>
            <w:r w:rsidRPr="000C3543">
              <w:rPr>
                <w:sz w:val="16"/>
              </w:rPr>
              <w:t>BGN 27 in</w:t>
            </w:r>
            <w:r w:rsidRPr="000C3543" w:rsidR="006A6A2A">
              <w:rPr>
                <w:bCs/>
                <w:i/>
                <w:iCs/>
                <w:sz w:val="16"/>
              </w:rPr>
              <w:t> </w:t>
            </w:r>
            <w:r w:rsidRPr="000C3543">
              <w:rPr>
                <w:sz w:val="16"/>
              </w:rPr>
              <w:t>interest, calculated until</w:t>
            </w:r>
            <w:r w:rsidRPr="000C3543" w:rsidR="003B788D">
              <w:rPr>
                <w:bCs/>
                <w:i/>
                <w:iCs/>
                <w:sz w:val="16"/>
              </w:rPr>
              <w:t> </w:t>
            </w:r>
            <w:r w:rsidRPr="000C3543">
              <w:rPr>
                <w:b/>
                <w:sz w:val="16"/>
              </w:rPr>
              <w:t>30/03/2018</w:t>
            </w:r>
            <w:r w:rsidRPr="000C3543">
              <w:rPr>
                <w:sz w:val="16"/>
              </w:rPr>
              <w:t xml:space="preserve"> when</w:t>
            </w:r>
            <w:r w:rsidRPr="000C3543" w:rsidR="006A6A2A">
              <w:rPr>
                <w:bCs/>
                <w:i/>
                <w:iCs/>
                <w:sz w:val="16"/>
              </w:rPr>
              <w:t> </w:t>
            </w:r>
            <w:r w:rsidRPr="000C3543">
              <w:rPr>
                <w:sz w:val="16"/>
              </w:rPr>
              <w:t>the Supreme Administrative Court gave its final judgment).</w:t>
            </w:r>
          </w:p>
        </w:tc>
        <w:tc>
          <w:tcPr>
            <w:tcW w:w="1276" w:type="dxa"/>
          </w:tcPr>
          <w:p w:rsidRPr="000C3543" w:rsidR="00DC5E37" w:rsidP="000C3543" w:rsidRDefault="00DC5E37">
            <w:pPr>
              <w:jc w:val="center"/>
              <w:rPr>
                <w:sz w:val="16"/>
              </w:rPr>
            </w:pPr>
            <w:r w:rsidRPr="000C3543">
              <w:rPr>
                <w:sz w:val="16"/>
              </w:rPr>
              <w:t>2,000</w:t>
            </w:r>
          </w:p>
        </w:tc>
        <w:tc>
          <w:tcPr>
            <w:tcW w:w="1254" w:type="dxa"/>
          </w:tcPr>
          <w:p w:rsidRPr="000C3543" w:rsidR="00DC5E37" w:rsidP="000C3543" w:rsidRDefault="00DC5E37">
            <w:pPr>
              <w:jc w:val="center"/>
              <w:rPr>
                <w:sz w:val="16"/>
              </w:rPr>
            </w:pPr>
            <w:r w:rsidRPr="000C3543">
              <w:rPr>
                <w:sz w:val="16"/>
              </w:rPr>
              <w:t>250</w:t>
            </w:r>
          </w:p>
        </w:tc>
      </w:tr>
      <w:tr w:rsidRPr="000C3543" w:rsidR="00DC5E37" w:rsidTr="00264E8B">
        <w:trPr>
          <w:jc w:val="center"/>
        </w:trPr>
        <w:tc>
          <w:tcPr>
            <w:tcW w:w="567" w:type="dxa"/>
          </w:tcPr>
          <w:p w:rsidRPr="000C3543" w:rsidR="00DC5E37" w:rsidP="000C3543" w:rsidRDefault="00DC5E37">
            <w:pPr>
              <w:pStyle w:val="ListParagraph"/>
              <w:numPr>
                <w:ilvl w:val="0"/>
                <w:numId w:val="2"/>
              </w:numPr>
              <w:tabs>
                <w:tab w:val="num" w:pos="283"/>
              </w:tabs>
              <w:ind w:left="0" w:firstLine="0"/>
              <w:jc w:val="center"/>
              <w:rPr>
                <w:rFonts w:eastAsiaTheme="minorEastAsia"/>
                <w:sz w:val="16"/>
              </w:rPr>
            </w:pPr>
          </w:p>
        </w:tc>
        <w:tc>
          <w:tcPr>
            <w:tcW w:w="1276" w:type="dxa"/>
          </w:tcPr>
          <w:p w:rsidRPr="000C3543" w:rsidR="00DC5E37" w:rsidP="000C3543" w:rsidRDefault="00DC5E37">
            <w:pPr>
              <w:jc w:val="center"/>
              <w:rPr>
                <w:sz w:val="16"/>
              </w:rPr>
            </w:pPr>
            <w:r w:rsidRPr="000C3543">
              <w:rPr>
                <w:sz w:val="16"/>
              </w:rPr>
              <w:t>31826/18</w:t>
            </w:r>
          </w:p>
          <w:p w:rsidRPr="000C3543" w:rsidR="00DC5E37" w:rsidP="000C3543" w:rsidRDefault="00DC5E37">
            <w:pPr>
              <w:jc w:val="center"/>
              <w:rPr>
                <w:sz w:val="16"/>
              </w:rPr>
            </w:pPr>
            <w:r w:rsidRPr="000C3543">
              <w:rPr>
                <w:sz w:val="16"/>
              </w:rPr>
              <w:t>28/06/2018</w:t>
            </w:r>
          </w:p>
        </w:tc>
        <w:tc>
          <w:tcPr>
            <w:tcW w:w="1560" w:type="dxa"/>
          </w:tcPr>
          <w:p w:rsidRPr="000C3543" w:rsidR="00DC5E37" w:rsidP="000C3543" w:rsidRDefault="00DC5E37">
            <w:pPr>
              <w:jc w:val="center"/>
              <w:rPr>
                <w:b/>
                <w:sz w:val="16"/>
              </w:rPr>
            </w:pPr>
            <w:r w:rsidRPr="000C3543">
              <w:rPr>
                <w:b/>
                <w:sz w:val="16"/>
              </w:rPr>
              <w:t>Georgi Yankov DZHELEBOV</w:t>
            </w:r>
          </w:p>
          <w:p w:rsidRPr="000C3543" w:rsidR="00DC5E37" w:rsidP="000C3543" w:rsidRDefault="00DC5E37">
            <w:pPr>
              <w:jc w:val="center"/>
              <w:rPr>
                <w:sz w:val="16"/>
              </w:rPr>
            </w:pPr>
            <w:r w:rsidRPr="000C3543">
              <w:rPr>
                <w:sz w:val="16"/>
              </w:rPr>
              <w:t>31/08/1991</w:t>
            </w:r>
          </w:p>
        </w:tc>
        <w:tc>
          <w:tcPr>
            <w:tcW w:w="1417" w:type="dxa"/>
          </w:tcPr>
          <w:p w:rsidRPr="000C3543" w:rsidR="00DC5E37" w:rsidP="000C3543" w:rsidRDefault="00DC5E37">
            <w:pPr>
              <w:jc w:val="center"/>
              <w:rPr>
                <w:sz w:val="16"/>
              </w:rPr>
            </w:pPr>
            <w:r w:rsidRPr="000C3543">
              <w:rPr>
                <w:sz w:val="16"/>
              </w:rPr>
              <w:t xml:space="preserve">Valeri </w:t>
            </w:r>
            <w:proofErr w:type="spellStart"/>
            <w:r w:rsidRPr="000C3543">
              <w:rPr>
                <w:sz w:val="16"/>
              </w:rPr>
              <w:t>Stoyanov</w:t>
            </w:r>
            <w:proofErr w:type="spellEnd"/>
            <w:r w:rsidRPr="000C3543">
              <w:rPr>
                <w:sz w:val="16"/>
              </w:rPr>
              <w:t xml:space="preserve"> STOYANOV</w:t>
            </w:r>
          </w:p>
          <w:p w:rsidRPr="000C3543" w:rsidR="00DC5E37" w:rsidP="000C3543" w:rsidRDefault="00DC5E37">
            <w:pPr>
              <w:jc w:val="center"/>
              <w:rPr>
                <w:sz w:val="16"/>
              </w:rPr>
            </w:pPr>
            <w:r w:rsidRPr="000C3543">
              <w:rPr>
                <w:sz w:val="16"/>
              </w:rPr>
              <w:t>Pazardzhik</w:t>
            </w:r>
          </w:p>
        </w:tc>
        <w:tc>
          <w:tcPr>
            <w:tcW w:w="1581" w:type="dxa"/>
          </w:tcPr>
          <w:p w:rsidRPr="000C3543" w:rsidR="00DC5E37" w:rsidP="000C3543" w:rsidRDefault="00DC5E37">
            <w:pPr>
              <w:jc w:val="center"/>
              <w:rPr>
                <w:sz w:val="16"/>
              </w:rPr>
            </w:pPr>
            <w:r w:rsidRPr="000C3543">
              <w:rPr>
                <w:sz w:val="16"/>
              </w:rPr>
              <w:t>Stara Zagora Prison</w:t>
            </w:r>
          </w:p>
          <w:p w:rsidRPr="000C3543" w:rsidR="00DC5E37" w:rsidP="000C3543" w:rsidRDefault="00DC5E37">
            <w:pPr>
              <w:jc w:val="center"/>
              <w:rPr>
                <w:sz w:val="16"/>
              </w:rPr>
            </w:pPr>
            <w:r w:rsidRPr="000C3543">
              <w:rPr>
                <w:sz w:val="16"/>
              </w:rPr>
              <w:t>15/04/2015 to</w:t>
            </w:r>
          </w:p>
          <w:p w:rsidRPr="000C3543" w:rsidR="00DC5E37" w:rsidP="000C3543" w:rsidRDefault="00DC5E37">
            <w:pPr>
              <w:jc w:val="center"/>
              <w:rPr>
                <w:sz w:val="16"/>
              </w:rPr>
            </w:pPr>
            <w:r w:rsidRPr="000C3543">
              <w:rPr>
                <w:sz w:val="16"/>
              </w:rPr>
              <w:t>21/05/2015</w:t>
            </w:r>
          </w:p>
          <w:p w:rsidRPr="000C3543" w:rsidR="00DC5E37" w:rsidP="000C3543" w:rsidRDefault="00DC5E37">
            <w:pPr>
              <w:jc w:val="center"/>
              <w:rPr>
                <w:sz w:val="16"/>
              </w:rPr>
            </w:pPr>
            <w:r w:rsidRPr="000C3543">
              <w:rPr>
                <w:sz w:val="16"/>
              </w:rPr>
              <w:t>1 month and</w:t>
            </w:r>
            <w:r w:rsidRPr="000C3543" w:rsidR="006A6A2A">
              <w:rPr>
                <w:bCs/>
                <w:i/>
                <w:iCs/>
                <w:sz w:val="16"/>
              </w:rPr>
              <w:t> </w:t>
            </w:r>
            <w:r w:rsidRPr="000C3543">
              <w:rPr>
                <w:sz w:val="16"/>
              </w:rPr>
              <w:t>7</w:t>
            </w:r>
            <w:r w:rsidRPr="000C3543" w:rsidR="006A6A2A">
              <w:rPr>
                <w:bCs/>
                <w:i/>
                <w:iCs/>
                <w:sz w:val="16"/>
              </w:rPr>
              <w:t> </w:t>
            </w:r>
            <w:r w:rsidRPr="000C3543">
              <w:rPr>
                <w:sz w:val="16"/>
              </w:rPr>
              <w:t>days</w:t>
            </w:r>
          </w:p>
          <w:p w:rsidRPr="000C3543" w:rsidR="00DC5E37" w:rsidP="000C3543" w:rsidRDefault="00DC5E37">
            <w:pPr>
              <w:jc w:val="center"/>
              <w:rPr>
                <w:sz w:val="16"/>
              </w:rPr>
            </w:pPr>
          </w:p>
          <w:p w:rsidRPr="000C3543" w:rsidR="00DC5E37" w:rsidP="000C3543" w:rsidRDefault="00DC5E37">
            <w:pPr>
              <w:jc w:val="center"/>
              <w:rPr>
                <w:sz w:val="16"/>
              </w:rPr>
            </w:pPr>
            <w:r w:rsidRPr="000C3543">
              <w:rPr>
                <w:sz w:val="16"/>
              </w:rPr>
              <w:t>Pazardzhik Prison</w:t>
            </w:r>
          </w:p>
          <w:p w:rsidRPr="000C3543" w:rsidR="00DC5E37" w:rsidP="000C3543" w:rsidRDefault="00DC5E37">
            <w:pPr>
              <w:jc w:val="center"/>
              <w:rPr>
                <w:sz w:val="16"/>
              </w:rPr>
            </w:pPr>
            <w:r w:rsidRPr="000C3543">
              <w:rPr>
                <w:sz w:val="16"/>
              </w:rPr>
              <w:t>22/05/2015 to</w:t>
            </w:r>
          </w:p>
          <w:p w:rsidRPr="000C3543" w:rsidR="00DC5E37" w:rsidP="000C3543" w:rsidRDefault="00DC5E37">
            <w:pPr>
              <w:jc w:val="center"/>
              <w:rPr>
                <w:sz w:val="16"/>
              </w:rPr>
            </w:pPr>
            <w:r w:rsidRPr="000C3543">
              <w:rPr>
                <w:sz w:val="16"/>
              </w:rPr>
              <w:t>07/12/2015</w:t>
            </w:r>
          </w:p>
          <w:p w:rsidRPr="000C3543" w:rsidR="00DC5E37" w:rsidP="000C3543" w:rsidRDefault="00DC5E37">
            <w:pPr>
              <w:jc w:val="center"/>
              <w:rPr>
                <w:sz w:val="16"/>
              </w:rPr>
            </w:pPr>
            <w:r w:rsidRPr="000C3543">
              <w:rPr>
                <w:sz w:val="16"/>
              </w:rPr>
              <w:t>6 months and</w:t>
            </w:r>
            <w:r w:rsidRPr="000C3543" w:rsidR="006A6A2A">
              <w:rPr>
                <w:bCs/>
                <w:i/>
                <w:iCs/>
                <w:sz w:val="16"/>
              </w:rPr>
              <w:t> </w:t>
            </w:r>
            <w:r w:rsidRPr="000C3543">
              <w:rPr>
                <w:sz w:val="16"/>
              </w:rPr>
              <w:t>16</w:t>
            </w:r>
            <w:r w:rsidRPr="000C3543" w:rsidR="006A6A2A">
              <w:rPr>
                <w:bCs/>
                <w:i/>
                <w:iCs/>
                <w:sz w:val="16"/>
              </w:rPr>
              <w:t> </w:t>
            </w:r>
            <w:r w:rsidRPr="000C3543">
              <w:rPr>
                <w:sz w:val="16"/>
              </w:rPr>
              <w:t>days</w:t>
            </w:r>
          </w:p>
          <w:p w:rsidRPr="000C3543" w:rsidR="00DC5E37" w:rsidP="000C3543" w:rsidRDefault="00DC5E37">
            <w:pPr>
              <w:jc w:val="center"/>
              <w:rPr>
                <w:sz w:val="16"/>
              </w:rPr>
            </w:pPr>
          </w:p>
          <w:p w:rsidRPr="000C3543" w:rsidR="00DC5E37" w:rsidP="000C3543" w:rsidRDefault="00DC5E37">
            <w:pPr>
              <w:jc w:val="center"/>
              <w:rPr>
                <w:sz w:val="16"/>
              </w:rPr>
            </w:pPr>
            <w:r w:rsidRPr="000C3543">
              <w:rPr>
                <w:sz w:val="16"/>
              </w:rPr>
              <w:t>Pazardzhik Prison</w:t>
            </w:r>
          </w:p>
          <w:p w:rsidRPr="000C3543" w:rsidR="00DC5E37" w:rsidP="000C3543" w:rsidRDefault="00DC5E37">
            <w:pPr>
              <w:jc w:val="center"/>
              <w:rPr>
                <w:sz w:val="16"/>
              </w:rPr>
            </w:pPr>
            <w:r w:rsidRPr="000C3543">
              <w:rPr>
                <w:sz w:val="16"/>
              </w:rPr>
              <w:t>29/07/2016 to</w:t>
            </w:r>
          </w:p>
          <w:p w:rsidRPr="000C3543" w:rsidR="00DC5E37" w:rsidP="000C3543" w:rsidRDefault="00DC5E37">
            <w:pPr>
              <w:jc w:val="center"/>
              <w:rPr>
                <w:sz w:val="16"/>
              </w:rPr>
            </w:pPr>
            <w:r w:rsidRPr="000C3543">
              <w:rPr>
                <w:sz w:val="16"/>
              </w:rPr>
              <w:t>17/09/2016</w:t>
            </w:r>
          </w:p>
          <w:p w:rsidRPr="000C3543" w:rsidR="00DC5E37" w:rsidP="000C3543" w:rsidRDefault="00DC5E37">
            <w:pPr>
              <w:jc w:val="center"/>
              <w:rPr>
                <w:sz w:val="16"/>
              </w:rPr>
            </w:pPr>
            <w:r w:rsidRPr="000C3543">
              <w:rPr>
                <w:sz w:val="16"/>
              </w:rPr>
              <w:t>1 month and</w:t>
            </w:r>
            <w:r w:rsidRPr="000C3543" w:rsidR="006A6A2A">
              <w:rPr>
                <w:bCs/>
                <w:i/>
                <w:iCs/>
                <w:sz w:val="16"/>
              </w:rPr>
              <w:t> </w:t>
            </w:r>
            <w:r w:rsidRPr="000C3543">
              <w:rPr>
                <w:sz w:val="16"/>
              </w:rPr>
              <w:t>20</w:t>
            </w:r>
            <w:r w:rsidRPr="000C3543" w:rsidR="006A6A2A">
              <w:rPr>
                <w:bCs/>
                <w:i/>
                <w:iCs/>
                <w:sz w:val="16"/>
              </w:rPr>
              <w:t> </w:t>
            </w:r>
            <w:r w:rsidRPr="000C3543">
              <w:rPr>
                <w:sz w:val="16"/>
              </w:rPr>
              <w:t>days</w:t>
            </w:r>
          </w:p>
        </w:tc>
        <w:tc>
          <w:tcPr>
            <w:tcW w:w="2835" w:type="dxa"/>
          </w:tcPr>
          <w:p w:rsidRPr="000C3543" w:rsidR="00DC5E37" w:rsidP="000C3543" w:rsidRDefault="00321BA4">
            <w:pPr>
              <w:jc w:val="center"/>
              <w:rPr>
                <w:sz w:val="16"/>
              </w:rPr>
            </w:pPr>
            <w:r w:rsidRPr="000C3543">
              <w:rPr>
                <w:sz w:val="16"/>
              </w:rPr>
              <w:t>O</w:t>
            </w:r>
            <w:r w:rsidRPr="000C3543" w:rsidR="00DC5E37">
              <w:rPr>
                <w:sz w:val="16"/>
              </w:rPr>
              <w:t>vercrowding, no or restricted access to</w:t>
            </w:r>
            <w:r w:rsidRPr="000C3543" w:rsidR="002C33A4">
              <w:rPr>
                <w:bCs/>
                <w:i/>
                <w:iCs/>
                <w:sz w:val="16"/>
              </w:rPr>
              <w:t> </w:t>
            </w:r>
            <w:r w:rsidRPr="000C3543" w:rsidR="00DC5E37">
              <w:rPr>
                <w:sz w:val="16"/>
              </w:rPr>
              <w:t>toilet, mouldy or dirty cell, infestation</w:t>
            </w:r>
            <w:r w:rsidRPr="000C3543" w:rsidR="002C33A4">
              <w:rPr>
                <w:bCs/>
                <w:i/>
                <w:iCs/>
                <w:sz w:val="16"/>
              </w:rPr>
              <w:t> </w:t>
            </w:r>
            <w:r w:rsidRPr="000C3543" w:rsidR="00DC5E37">
              <w:rPr>
                <w:sz w:val="16"/>
              </w:rPr>
              <w:t>of cell with insects/rodents</w:t>
            </w:r>
            <w:r w:rsidRPr="000C3543">
              <w:rPr>
                <w:sz w:val="16"/>
              </w:rPr>
              <w:t>.</w:t>
            </w:r>
          </w:p>
          <w:p w:rsidRPr="000C3543" w:rsidR="00DC5E37" w:rsidP="000C3543" w:rsidRDefault="00DC5E37">
            <w:pPr>
              <w:jc w:val="center"/>
              <w:rPr>
                <w:sz w:val="16"/>
              </w:rPr>
            </w:pPr>
          </w:p>
          <w:p w:rsidRPr="000C3543" w:rsidR="00321BA4" w:rsidP="000C3543" w:rsidRDefault="00321BA4">
            <w:pPr>
              <w:rPr>
                <w:sz w:val="16"/>
              </w:rPr>
            </w:pPr>
          </w:p>
          <w:p w:rsidRPr="000C3543" w:rsidR="00DC5E37" w:rsidP="000C3543" w:rsidRDefault="00321BA4">
            <w:pPr>
              <w:jc w:val="center"/>
              <w:rPr>
                <w:sz w:val="16"/>
              </w:rPr>
            </w:pPr>
            <w:r w:rsidRPr="000C3543">
              <w:rPr>
                <w:sz w:val="16"/>
              </w:rPr>
              <w:t>O</w:t>
            </w:r>
            <w:r w:rsidRPr="000C3543" w:rsidR="00DC5E37">
              <w:rPr>
                <w:sz w:val="16"/>
              </w:rPr>
              <w:t>vercrowding</w:t>
            </w:r>
            <w:r w:rsidRPr="000C3543">
              <w:rPr>
                <w:sz w:val="16"/>
              </w:rPr>
              <w:t>.</w:t>
            </w: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p>
          <w:p w:rsidRPr="000C3543" w:rsidR="00DC5E37" w:rsidP="000C3543" w:rsidRDefault="00DC5E37">
            <w:pPr>
              <w:jc w:val="center"/>
              <w:rPr>
                <w:sz w:val="16"/>
              </w:rPr>
            </w:pPr>
            <w:r w:rsidRPr="000C3543">
              <w:rPr>
                <w:sz w:val="16"/>
              </w:rPr>
              <w:t>On two occasions the applicant was placed in an isolation cell to serve a disciplinary punishment (29/07 – 02/08/2016 and 10/08 – 24/08/2016). He had to eat in the cell and use a</w:t>
            </w:r>
            <w:r w:rsidRPr="000C3543" w:rsidR="00321BA4">
              <w:rPr>
                <w:sz w:val="16"/>
              </w:rPr>
              <w:t> </w:t>
            </w:r>
            <w:r w:rsidRPr="000C3543">
              <w:rPr>
                <w:sz w:val="16"/>
              </w:rPr>
              <w:t>bucket to relieve his needs, overcrowding, no or restricted access to</w:t>
            </w:r>
            <w:r w:rsidRPr="000C3543" w:rsidR="002C33A4">
              <w:rPr>
                <w:bCs/>
                <w:i/>
                <w:iCs/>
                <w:sz w:val="16"/>
              </w:rPr>
              <w:t> </w:t>
            </w:r>
            <w:r w:rsidRPr="000C3543">
              <w:rPr>
                <w:sz w:val="16"/>
              </w:rPr>
              <w:t>toilet, no or restricted access to running water, mouldy or dirty cell</w:t>
            </w:r>
            <w:r w:rsidRPr="000C3543" w:rsidR="00321BA4">
              <w:rPr>
                <w:sz w:val="16"/>
              </w:rPr>
              <w:t>.</w:t>
            </w:r>
          </w:p>
          <w:p w:rsidRPr="000C3543" w:rsidR="00321BA4" w:rsidP="000C3543" w:rsidRDefault="00321BA4">
            <w:pPr>
              <w:jc w:val="center"/>
              <w:rPr>
                <w:sz w:val="16"/>
              </w:rPr>
            </w:pPr>
          </w:p>
        </w:tc>
        <w:tc>
          <w:tcPr>
            <w:tcW w:w="1417" w:type="dxa"/>
          </w:tcPr>
          <w:p w:rsidRPr="000C3543" w:rsidR="00DC5E37" w:rsidP="000C3543" w:rsidRDefault="00DC5E37">
            <w:pPr>
              <w:jc w:val="center"/>
              <w:rPr>
                <w:sz w:val="16"/>
              </w:rPr>
            </w:pPr>
            <w:r w:rsidRPr="000C3543">
              <w:rPr>
                <w:sz w:val="16"/>
              </w:rPr>
              <w:t>EUR 266</w:t>
            </w:r>
          </w:p>
          <w:p w:rsidRPr="000C3543" w:rsidR="00DC5E37" w:rsidP="000C3543" w:rsidRDefault="00DC5E37">
            <w:pPr>
              <w:jc w:val="center"/>
              <w:rPr>
                <w:sz w:val="16"/>
              </w:rPr>
            </w:pPr>
            <w:r w:rsidRPr="000C3543">
              <w:rPr>
                <w:sz w:val="16"/>
              </w:rPr>
              <w:t>(BGN 450, plus</w:t>
            </w:r>
            <w:r w:rsidRPr="000C3543" w:rsidR="006A6A2A">
              <w:rPr>
                <w:bCs/>
                <w:i/>
                <w:iCs/>
                <w:sz w:val="16"/>
              </w:rPr>
              <w:t> </w:t>
            </w:r>
            <w:r w:rsidRPr="000C3543">
              <w:rPr>
                <w:sz w:val="16"/>
              </w:rPr>
              <w:t>BGN 71 in</w:t>
            </w:r>
            <w:r w:rsidRPr="000C3543" w:rsidR="006A6A2A">
              <w:rPr>
                <w:bCs/>
                <w:i/>
                <w:iCs/>
                <w:sz w:val="16"/>
              </w:rPr>
              <w:t> </w:t>
            </w:r>
            <w:r w:rsidRPr="000C3543">
              <w:rPr>
                <w:sz w:val="16"/>
              </w:rPr>
              <w:t>interest, calculated until</w:t>
            </w:r>
            <w:r w:rsidRPr="000C3543" w:rsidR="006A6A2A">
              <w:rPr>
                <w:bCs/>
                <w:i/>
                <w:iCs/>
                <w:sz w:val="16"/>
              </w:rPr>
              <w:t> </w:t>
            </w:r>
            <w:r w:rsidRPr="000C3543">
              <w:rPr>
                <w:b/>
                <w:sz w:val="16"/>
              </w:rPr>
              <w:t>27/03/2018</w:t>
            </w:r>
            <w:r w:rsidRPr="000C3543">
              <w:rPr>
                <w:sz w:val="16"/>
              </w:rPr>
              <w:t xml:space="preserve"> when the Supreme Administrative Court gave its final judgment).</w:t>
            </w:r>
          </w:p>
        </w:tc>
        <w:tc>
          <w:tcPr>
            <w:tcW w:w="1276" w:type="dxa"/>
          </w:tcPr>
          <w:p w:rsidRPr="000C3543" w:rsidR="00DC5E37" w:rsidP="000C3543" w:rsidRDefault="00DC5E37">
            <w:pPr>
              <w:jc w:val="center"/>
              <w:rPr>
                <w:sz w:val="16"/>
              </w:rPr>
            </w:pPr>
            <w:r w:rsidRPr="000C3543">
              <w:rPr>
                <w:sz w:val="16"/>
              </w:rPr>
              <w:t>4,100</w:t>
            </w:r>
          </w:p>
        </w:tc>
        <w:tc>
          <w:tcPr>
            <w:tcW w:w="1254" w:type="dxa"/>
          </w:tcPr>
          <w:p w:rsidRPr="000C3543" w:rsidR="00DC5E37" w:rsidP="000C3543" w:rsidRDefault="00DC5E37">
            <w:pPr>
              <w:jc w:val="center"/>
              <w:rPr>
                <w:sz w:val="16"/>
              </w:rPr>
            </w:pPr>
            <w:r w:rsidRPr="000C3543">
              <w:rPr>
                <w:sz w:val="16"/>
              </w:rPr>
              <w:t>250</w:t>
            </w:r>
          </w:p>
        </w:tc>
      </w:tr>
    </w:tbl>
    <w:p w:rsidRPr="000C3543" w:rsidR="00791456" w:rsidP="000C3543" w:rsidRDefault="007174E4"/>
    <w:sectPr w:rsidRPr="000C3543" w:rsidR="00791456"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11D" w:rsidRPr="00B91668" w:rsidRDefault="006D611D">
      <w:r w:rsidRPr="00B91668">
        <w:separator/>
      </w:r>
    </w:p>
  </w:endnote>
  <w:endnote w:type="continuationSeparator" w:id="0">
    <w:p w:rsidR="006D611D" w:rsidRPr="00B91668" w:rsidRDefault="006D611D">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6D611D" w:rsidP="00BD554D">
    <w:pPr>
      <w:pStyle w:val="JuHeader"/>
    </w:pPr>
    <w:r>
      <w:fldChar w:fldCharType="begin"/>
    </w:r>
    <w:r>
      <w:instrText xml:space="preserve"> PAGE </w:instrText>
    </w:r>
    <w:r>
      <w:fldChar w:fldCharType="separate"/>
    </w:r>
    <w:r w:rsidR="000C3543">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6D611D" w:rsidP="00BD554D">
    <w:pPr>
      <w:pStyle w:val="JuHeader"/>
    </w:pPr>
    <w:r>
      <w:fldChar w:fldCharType="begin"/>
    </w:r>
    <w:r>
      <w:instrText xml:space="preserve"> PAGE </w:instrText>
    </w:r>
    <w:r>
      <w:fldChar w:fldCharType="separate"/>
    </w:r>
    <w:r w:rsidR="000C3543">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11D" w:rsidRPr="00150BFA" w:rsidRDefault="006D611D" w:rsidP="0020718E">
    <w:pPr>
      <w:jc w:val="center"/>
    </w:pPr>
    <w:r>
      <w:rPr>
        <w:noProof/>
        <w:lang w:val="en-US" w:eastAsia="ja-JP"/>
      </w:rPr>
      <w:drawing>
        <wp:inline distT="0" distB="0" distL="0" distR="0" wp14:anchorId="0A576026" wp14:editId="55103F5C">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7174E4"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11D" w:rsidRPr="00B91668" w:rsidRDefault="006D611D" w:rsidP="00787E12">
      <w:r w:rsidRPr="00B91668">
        <w:separator/>
      </w:r>
    </w:p>
  </w:footnote>
  <w:footnote w:type="continuationSeparator" w:id="0">
    <w:p w:rsidR="006D611D" w:rsidRPr="00B91668" w:rsidRDefault="006D611D" w:rsidP="00787E12">
      <w:r w:rsidRPr="00B91668">
        <w:continuationSeparator/>
      </w:r>
    </w:p>
  </w:footnote>
  <w:footnote w:id="1">
    <w:p w:rsidR="00DC5E37" w:rsidRDefault="00DC5E37" w:rsidP="006D611D">
      <w:pPr>
        <w:pStyle w:val="FootnoteText"/>
      </w:pPr>
      <w:r w:rsidRPr="004E5C1A">
        <w:rPr>
          <w:rStyle w:val="FootnoteReference"/>
        </w:rPr>
        <w:footnoteRef/>
      </w:r>
      <w:r w:rsidRPr="004E5C1A">
        <w:rPr>
          <w:rStyle w:val="FootnoteReference"/>
        </w:rPr>
        <w:t xml:space="preserve"> </w:t>
      </w:r>
      <w:r>
        <w:t>Plus any tax that may be chargeable to the applicants.</w:t>
      </w:r>
    </w:p>
  </w:footnote>
  <w:footnote w:id="2">
    <w:p w:rsidR="00DC5E37" w:rsidRDefault="00DC5E37" w:rsidP="006D611D">
      <w:pPr>
        <w:pStyle w:val="FootnoteText"/>
      </w:pPr>
      <w:r w:rsidRPr="004E5C1A">
        <w:rPr>
          <w:rStyle w:val="FootnoteReference"/>
        </w:rPr>
        <w:footnoteRef/>
      </w:r>
      <w:r w:rsidRPr="004E5C1A">
        <w:rPr>
          <w:rStyle w:val="FootnoteReference"/>
        </w:rPr>
        <w:t xml:space="preserve"> </w:t>
      </w:r>
      <w:r w:rsidRPr="006D611D">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11D" w:rsidRPr="00A45145" w:rsidRDefault="006D611D" w:rsidP="00A45145">
    <w:pPr>
      <w:jc w:val="center"/>
    </w:pPr>
    <w:r>
      <w:rPr>
        <w:noProof/>
        <w:lang w:val="en-US" w:eastAsia="ja-JP"/>
      </w:rPr>
      <w:drawing>
        <wp:inline distT="0" distB="0" distL="0" distR="0" wp14:anchorId="388B9B72" wp14:editId="5ED74033">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7174E4" w:rsidP="000318F7">
    <w:pPr>
      <w:jc w:val="center"/>
      <w:rPr>
        <w:sz w:val="4"/>
        <w:szCs w:val="4"/>
      </w:rPr>
    </w:pPr>
  </w:p>
  <w:p w:rsidR="00787E12" w:rsidRPr="00B91668" w:rsidRDefault="007174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11D" w:rsidRPr="00A45145" w:rsidRDefault="006D611D" w:rsidP="00A45145">
    <w:pPr>
      <w:jc w:val="center"/>
    </w:pPr>
    <w:r>
      <w:rPr>
        <w:noProof/>
        <w:lang w:val="en-US" w:eastAsia="ja-JP"/>
      </w:rPr>
      <w:drawing>
        <wp:inline distT="0" distB="0" distL="0" distR="0" wp14:anchorId="02C6D1ED" wp14:editId="20702C12">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7174E4"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D611D" w:rsidP="006372F5">
    <w:pPr>
      <w:pStyle w:val="JuHeader"/>
    </w:pPr>
    <w:r>
      <w:t>YORDANOV AND DZHELEBOV v. BULGARIA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6D611D" w:rsidP="00BD554D">
    <w:pPr>
      <w:pStyle w:val="JuHeader"/>
    </w:pPr>
    <w:r>
      <w:t>YORDANOV AND DZHELEBOV v. BULGARIA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D611D" w:rsidP="00E026EC">
    <w:pPr>
      <w:pStyle w:val="JuHeader"/>
    </w:pPr>
    <w:r>
      <w:t>YORDANOV AND DZHELEBOV v. BULGARIA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6D611D" w:rsidP="00E026EC">
    <w:pPr>
      <w:pStyle w:val="JuHeader"/>
    </w:pPr>
    <w:r>
      <w:t>YORDANOV AND DZHELEBOV v. BULGARIA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0E15D1"/>
    <w:multiLevelType w:val="hybridMultilevel"/>
    <w:tmpl w:val="6AF83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D611D"/>
    <w:rsid w:val="00093F71"/>
    <w:rsid w:val="000C3543"/>
    <w:rsid w:val="00135384"/>
    <w:rsid w:val="00222B29"/>
    <w:rsid w:val="00264E8B"/>
    <w:rsid w:val="002C33A4"/>
    <w:rsid w:val="00321BA4"/>
    <w:rsid w:val="00337785"/>
    <w:rsid w:val="003B788D"/>
    <w:rsid w:val="0048584C"/>
    <w:rsid w:val="00497FF8"/>
    <w:rsid w:val="004E5C1A"/>
    <w:rsid w:val="00506EB6"/>
    <w:rsid w:val="00555A1D"/>
    <w:rsid w:val="00573202"/>
    <w:rsid w:val="00656431"/>
    <w:rsid w:val="006A6A2A"/>
    <w:rsid w:val="006D611D"/>
    <w:rsid w:val="007174E4"/>
    <w:rsid w:val="007F018A"/>
    <w:rsid w:val="00803FAD"/>
    <w:rsid w:val="00860732"/>
    <w:rsid w:val="009522DD"/>
    <w:rsid w:val="009A0D87"/>
    <w:rsid w:val="00A329E0"/>
    <w:rsid w:val="00A672A9"/>
    <w:rsid w:val="00A94CA7"/>
    <w:rsid w:val="00B91668"/>
    <w:rsid w:val="00BC5449"/>
    <w:rsid w:val="00BD554D"/>
    <w:rsid w:val="00CD12EF"/>
    <w:rsid w:val="00DC5E37"/>
    <w:rsid w:val="00EB3B07"/>
    <w:rsid w:val="00F15938"/>
    <w:rsid w:val="00F362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D12EF"/>
    <w:rPr>
      <w:sz w:val="24"/>
      <w:szCs w:val="24"/>
      <w:lang w:val="en-GB"/>
    </w:rPr>
  </w:style>
  <w:style w:type="paragraph" w:styleId="Heading1">
    <w:name w:val="heading 1"/>
    <w:basedOn w:val="Normal"/>
    <w:next w:val="Normal"/>
    <w:link w:val="Heading1Char"/>
    <w:uiPriority w:val="98"/>
    <w:semiHidden/>
    <w:rsid w:val="00CD12E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D12E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D12E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D12E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D12E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D12E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D12E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D12E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D12E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D12EF"/>
    <w:rPr>
      <w:rFonts w:ascii="Tahoma" w:hAnsi="Tahoma" w:cs="Tahoma"/>
      <w:sz w:val="16"/>
      <w:szCs w:val="16"/>
    </w:rPr>
  </w:style>
  <w:style w:type="character" w:customStyle="1" w:styleId="BalloonTextChar">
    <w:name w:val="Balloon Text Char"/>
    <w:basedOn w:val="DefaultParagraphFont"/>
    <w:link w:val="BalloonText"/>
    <w:uiPriority w:val="98"/>
    <w:semiHidden/>
    <w:rsid w:val="00CD12EF"/>
    <w:rPr>
      <w:rFonts w:ascii="Tahoma" w:hAnsi="Tahoma" w:cs="Tahoma"/>
      <w:sz w:val="16"/>
      <w:szCs w:val="16"/>
      <w:lang w:val="en-GB"/>
    </w:rPr>
  </w:style>
  <w:style w:type="character" w:styleId="BookTitle">
    <w:name w:val="Book Title"/>
    <w:uiPriority w:val="98"/>
    <w:semiHidden/>
    <w:qFormat/>
    <w:rsid w:val="00CD12EF"/>
    <w:rPr>
      <w:i/>
      <w:iCs/>
      <w:smallCaps/>
      <w:spacing w:val="5"/>
    </w:rPr>
  </w:style>
  <w:style w:type="paragraph" w:customStyle="1" w:styleId="JuHeader">
    <w:name w:val="Ju_Header"/>
    <w:aliases w:val="_Header"/>
    <w:basedOn w:val="Header"/>
    <w:uiPriority w:val="29"/>
    <w:qFormat/>
    <w:rsid w:val="00CD12EF"/>
    <w:pPr>
      <w:tabs>
        <w:tab w:val="clear" w:pos="4536"/>
        <w:tab w:val="clear" w:pos="9072"/>
      </w:tabs>
      <w:jc w:val="center"/>
    </w:pPr>
    <w:rPr>
      <w:sz w:val="18"/>
    </w:rPr>
  </w:style>
  <w:style w:type="paragraph" w:customStyle="1" w:styleId="DecList">
    <w:name w:val="Dec_List"/>
    <w:aliases w:val="_List"/>
    <w:basedOn w:val="JuList"/>
    <w:uiPriority w:val="22"/>
    <w:rsid w:val="00CD12EF"/>
    <w:pPr>
      <w:numPr>
        <w:numId w:val="0"/>
      </w:numPr>
      <w:ind w:left="284"/>
    </w:pPr>
  </w:style>
  <w:style w:type="character" w:styleId="Strong">
    <w:name w:val="Strong"/>
    <w:uiPriority w:val="98"/>
    <w:semiHidden/>
    <w:qFormat/>
    <w:rsid w:val="00CD12EF"/>
    <w:rPr>
      <w:b/>
      <w:bCs/>
    </w:rPr>
  </w:style>
  <w:style w:type="paragraph" w:styleId="NoSpacing">
    <w:name w:val="No Spacing"/>
    <w:basedOn w:val="Normal"/>
    <w:link w:val="NoSpacingChar"/>
    <w:uiPriority w:val="98"/>
    <w:semiHidden/>
    <w:qFormat/>
    <w:rsid w:val="00CD12EF"/>
  </w:style>
  <w:style w:type="character" w:customStyle="1" w:styleId="NoSpacingChar">
    <w:name w:val="No Spacing Char"/>
    <w:basedOn w:val="DefaultParagraphFont"/>
    <w:link w:val="NoSpacing"/>
    <w:uiPriority w:val="98"/>
    <w:semiHidden/>
    <w:rsid w:val="00CD12EF"/>
    <w:rPr>
      <w:sz w:val="24"/>
      <w:szCs w:val="24"/>
      <w:lang w:val="en-GB"/>
    </w:rPr>
  </w:style>
  <w:style w:type="paragraph" w:customStyle="1" w:styleId="JuQuot">
    <w:name w:val="Ju_Quot"/>
    <w:aliases w:val="_Quote"/>
    <w:basedOn w:val="NormalJustified"/>
    <w:uiPriority w:val="20"/>
    <w:qFormat/>
    <w:rsid w:val="00CD12EF"/>
    <w:pPr>
      <w:spacing w:before="120" w:after="120"/>
      <w:ind w:left="425" w:firstLine="142"/>
    </w:pPr>
    <w:rPr>
      <w:sz w:val="20"/>
    </w:rPr>
  </w:style>
  <w:style w:type="paragraph" w:customStyle="1" w:styleId="JuList">
    <w:name w:val="Ju_List"/>
    <w:aliases w:val="_List_1"/>
    <w:basedOn w:val="NormalJustified"/>
    <w:uiPriority w:val="23"/>
    <w:qFormat/>
    <w:rsid w:val="00CD12EF"/>
    <w:pPr>
      <w:numPr>
        <w:numId w:val="8"/>
      </w:numPr>
      <w:spacing w:before="280" w:after="60"/>
    </w:pPr>
  </w:style>
  <w:style w:type="paragraph" w:customStyle="1" w:styleId="JuListi">
    <w:name w:val="Ju_List_i"/>
    <w:aliases w:val="_List_3"/>
    <w:basedOn w:val="NormalJustified"/>
    <w:uiPriority w:val="23"/>
    <w:rsid w:val="00CD12EF"/>
    <w:pPr>
      <w:numPr>
        <w:ilvl w:val="2"/>
        <w:numId w:val="8"/>
      </w:numPr>
    </w:pPr>
  </w:style>
  <w:style w:type="paragraph" w:customStyle="1" w:styleId="JuTitle">
    <w:name w:val="Ju_Title"/>
    <w:aliases w:val="_Title_2"/>
    <w:basedOn w:val="Normal"/>
    <w:next w:val="JuPara"/>
    <w:uiPriority w:val="38"/>
    <w:qFormat/>
    <w:rsid w:val="00CD12EF"/>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CD12EF"/>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CD12EF"/>
    <w:pPr>
      <w:keepNext/>
      <w:spacing w:before="100" w:beforeAutospacing="1" w:after="120"/>
      <w:contextualSpacing/>
      <w:jc w:val="center"/>
    </w:pPr>
    <w:rPr>
      <w:b/>
      <w:sz w:val="20"/>
    </w:rPr>
  </w:style>
  <w:style w:type="numbering" w:customStyle="1" w:styleId="ECHRA1StyleBulletedSquare">
    <w:name w:val="ECHR_A1_Style_Bulleted_Square"/>
    <w:basedOn w:val="NoList"/>
    <w:rsid w:val="00CD12EF"/>
    <w:pPr>
      <w:numPr>
        <w:numId w:val="7"/>
      </w:numPr>
    </w:pPr>
  </w:style>
  <w:style w:type="numbering" w:customStyle="1" w:styleId="ECHRA1StyleList">
    <w:name w:val="ECHR_A1_Style_List"/>
    <w:basedOn w:val="NoList"/>
    <w:uiPriority w:val="99"/>
    <w:rsid w:val="00CD12EF"/>
    <w:pPr>
      <w:numPr>
        <w:numId w:val="8"/>
      </w:numPr>
    </w:pPr>
  </w:style>
  <w:style w:type="paragraph" w:customStyle="1" w:styleId="JuHHead">
    <w:name w:val="Ju_H_Head"/>
    <w:aliases w:val="_Head_1"/>
    <w:basedOn w:val="Heading1"/>
    <w:next w:val="JuPara"/>
    <w:uiPriority w:val="17"/>
    <w:qFormat/>
    <w:rsid w:val="00CD12EF"/>
    <w:pPr>
      <w:keepNext/>
      <w:keepLines/>
      <w:numPr>
        <w:numId w:val="3"/>
      </w:numPr>
      <w:spacing w:before="100" w:beforeAutospacing="1" w:after="240"/>
      <w:contextualSpacing w:val="0"/>
    </w:pPr>
    <w:rPr>
      <w:b w:val="0"/>
      <w:caps/>
      <w:color w:val="auto"/>
    </w:rPr>
  </w:style>
  <w:style w:type="numbering" w:customStyle="1" w:styleId="ECHRA1StyleNumberedList">
    <w:name w:val="ECHR_A1_Style_Numbered_List"/>
    <w:basedOn w:val="NoList"/>
    <w:rsid w:val="00CD12EF"/>
    <w:pPr>
      <w:numPr>
        <w:numId w:val="9"/>
      </w:numPr>
    </w:pPr>
  </w:style>
  <w:style w:type="table" w:customStyle="1" w:styleId="ECHRTable2019">
    <w:name w:val="ECHR_Table_2019"/>
    <w:basedOn w:val="TableNormal"/>
    <w:uiPriority w:val="99"/>
    <w:rsid w:val="00CD12E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CD12E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D12EF"/>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CD12EF"/>
    <w:rPr>
      <w:sz w:val="8"/>
    </w:rPr>
  </w:style>
  <w:style w:type="paragraph" w:customStyle="1" w:styleId="JuCourt">
    <w:name w:val="Ju_Court"/>
    <w:aliases w:val="_Court_Names"/>
    <w:basedOn w:val="Normal"/>
    <w:next w:val="Normal"/>
    <w:uiPriority w:val="32"/>
    <w:qFormat/>
    <w:rsid w:val="00CD12E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CD12EF"/>
    <w:pPr>
      <w:tabs>
        <w:tab w:val="center" w:pos="6407"/>
      </w:tabs>
      <w:spacing w:before="720"/>
      <w:jc w:val="right"/>
    </w:pPr>
  </w:style>
  <w:style w:type="character" w:customStyle="1" w:styleId="JuITMark">
    <w:name w:val="Ju_ITMark"/>
    <w:aliases w:val="_ITMark"/>
    <w:basedOn w:val="DefaultParagraphFont"/>
    <w:uiPriority w:val="43"/>
    <w:semiHidden/>
    <w:qFormat/>
    <w:rsid w:val="00CD12EF"/>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CD12EF"/>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CD12EF"/>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CD12EF"/>
    <w:pPr>
      <w:keepNext/>
      <w:keepLines/>
      <w:numPr>
        <w:ilvl w:val="3"/>
        <w:numId w:val="3"/>
      </w:numPr>
      <w:spacing w:before="100" w:beforeAutospacing="1" w:after="120"/>
    </w:pPr>
    <w:rPr>
      <w:b w:val="0"/>
      <w:color w:val="auto"/>
    </w:rPr>
  </w:style>
  <w:style w:type="paragraph" w:customStyle="1" w:styleId="JuHa0">
    <w:name w:val="Ju_H_a"/>
    <w:aliases w:val="_Head_5"/>
    <w:basedOn w:val="Heading5"/>
    <w:next w:val="JuPara"/>
    <w:uiPriority w:val="17"/>
    <w:rsid w:val="00CD12EF"/>
    <w:pPr>
      <w:keepNext/>
      <w:keepLines/>
      <w:numPr>
        <w:ilvl w:val="4"/>
        <w:numId w:val="3"/>
      </w:numPr>
      <w:spacing w:before="100" w:beforeAutospacing="1" w:after="120"/>
    </w:pPr>
    <w:rPr>
      <w:color w:val="auto"/>
      <w:sz w:val="20"/>
    </w:rPr>
  </w:style>
  <w:style w:type="paragraph" w:styleId="Header">
    <w:name w:val="header"/>
    <w:basedOn w:val="Normal"/>
    <w:link w:val="HeaderChar"/>
    <w:uiPriority w:val="98"/>
    <w:semiHidden/>
    <w:rsid w:val="00CD12EF"/>
    <w:pPr>
      <w:tabs>
        <w:tab w:val="center" w:pos="4536"/>
        <w:tab w:val="right" w:pos="9072"/>
      </w:tabs>
    </w:pPr>
  </w:style>
  <w:style w:type="character" w:customStyle="1" w:styleId="HeaderChar">
    <w:name w:val="Header Char"/>
    <w:basedOn w:val="DefaultParagraphFont"/>
    <w:link w:val="Header"/>
    <w:uiPriority w:val="98"/>
    <w:semiHidden/>
    <w:rsid w:val="00CD12EF"/>
    <w:rPr>
      <w:sz w:val="24"/>
      <w:szCs w:val="24"/>
      <w:lang w:val="en-GB"/>
    </w:rPr>
  </w:style>
  <w:style w:type="character" w:customStyle="1" w:styleId="Heading1Char">
    <w:name w:val="Heading 1 Char"/>
    <w:basedOn w:val="DefaultParagraphFont"/>
    <w:link w:val="Heading1"/>
    <w:uiPriority w:val="98"/>
    <w:semiHidden/>
    <w:rsid w:val="00CD12EF"/>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CD12EF"/>
    <w:pPr>
      <w:keepNext/>
      <w:keepLines/>
      <w:numPr>
        <w:ilvl w:val="5"/>
        <w:numId w:val="3"/>
      </w:numPr>
      <w:spacing w:before="100" w:beforeAutospacing="1" w:after="120"/>
    </w:pPr>
    <w:rPr>
      <w:b w:val="0"/>
      <w:color w:val="auto"/>
      <w:sz w:val="20"/>
    </w:rPr>
  </w:style>
  <w:style w:type="paragraph" w:customStyle="1" w:styleId="JuHalpha">
    <w:name w:val="Ju_H_alpha"/>
    <w:aliases w:val="_Head_7"/>
    <w:basedOn w:val="Heading7"/>
    <w:next w:val="JuPara"/>
    <w:uiPriority w:val="17"/>
    <w:rsid w:val="00CD12EF"/>
    <w:pPr>
      <w:keepNext/>
      <w:keepLines/>
      <w:numPr>
        <w:ilvl w:val="6"/>
        <w:numId w:val="3"/>
      </w:numPr>
      <w:spacing w:before="100" w:beforeAutospacing="1" w:after="120"/>
    </w:pPr>
    <w:rPr>
      <w:i w:val="0"/>
      <w:sz w:val="20"/>
    </w:rPr>
  </w:style>
  <w:style w:type="character" w:customStyle="1" w:styleId="Heading2Char">
    <w:name w:val="Heading 2 Char"/>
    <w:basedOn w:val="DefaultParagraphFont"/>
    <w:link w:val="Heading2"/>
    <w:uiPriority w:val="98"/>
    <w:semiHidden/>
    <w:rsid w:val="00CD12EF"/>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CD12EF"/>
    <w:pPr>
      <w:keepNext/>
      <w:keepLines/>
      <w:numPr>
        <w:ilvl w:val="7"/>
        <w:numId w:val="3"/>
      </w:numPr>
      <w:spacing w:before="100" w:beforeAutospacing="1" w:after="120"/>
    </w:pPr>
    <w:rPr>
      <w:i/>
    </w:rPr>
  </w:style>
  <w:style w:type="character" w:customStyle="1" w:styleId="JUNAMES">
    <w:name w:val="JU_NAMES"/>
    <w:aliases w:val="_Ju_Names"/>
    <w:uiPriority w:val="33"/>
    <w:qFormat/>
    <w:rsid w:val="00CD12EF"/>
    <w:rPr>
      <w:caps w:val="0"/>
      <w:smallCaps/>
    </w:rPr>
  </w:style>
  <w:style w:type="character" w:customStyle="1" w:styleId="Heading3Char">
    <w:name w:val="Heading 3 Char"/>
    <w:basedOn w:val="DefaultParagraphFont"/>
    <w:link w:val="Heading3"/>
    <w:uiPriority w:val="98"/>
    <w:semiHidden/>
    <w:rsid w:val="00CD12EF"/>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CD12EF"/>
    <w:pPr>
      <w:numPr>
        <w:ilvl w:val="1"/>
        <w:numId w:val="8"/>
      </w:numPr>
    </w:pPr>
  </w:style>
  <w:style w:type="paragraph" w:customStyle="1" w:styleId="NormalJustified">
    <w:name w:val="Normal_Justified"/>
    <w:basedOn w:val="Normal"/>
    <w:semiHidden/>
    <w:rsid w:val="00CD12EF"/>
    <w:pPr>
      <w:jc w:val="both"/>
    </w:pPr>
  </w:style>
  <w:style w:type="character" w:customStyle="1" w:styleId="Heading4Char">
    <w:name w:val="Heading 4 Char"/>
    <w:basedOn w:val="DefaultParagraphFont"/>
    <w:link w:val="Heading4"/>
    <w:uiPriority w:val="98"/>
    <w:semiHidden/>
    <w:rsid w:val="00CD12EF"/>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CD12EF"/>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CD12EF"/>
    <w:rPr>
      <w:i/>
      <w:iCs/>
    </w:rPr>
  </w:style>
  <w:style w:type="table" w:customStyle="1" w:styleId="ECHRTable">
    <w:name w:val="ECHR_Table"/>
    <w:basedOn w:val="TableNormal"/>
    <w:rsid w:val="00CD12E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D12E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CD12E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D12EF"/>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CD12EF"/>
    <w:pPr>
      <w:keepNext/>
      <w:keepLines/>
      <w:spacing w:after="280"/>
      <w:ind w:firstLine="0"/>
      <w:jc w:val="center"/>
    </w:pPr>
    <w:rPr>
      <w:rFonts w:asciiTheme="majorHAnsi" w:hAnsiTheme="majorHAnsi"/>
    </w:rPr>
  </w:style>
  <w:style w:type="character" w:styleId="Emphasis">
    <w:name w:val="Emphasis"/>
    <w:uiPriority w:val="98"/>
    <w:semiHidden/>
    <w:qFormat/>
    <w:rsid w:val="00CD12EF"/>
    <w:rPr>
      <w:b/>
      <w:bCs/>
      <w:i/>
      <w:iCs/>
      <w:spacing w:val="10"/>
      <w:bdr w:val="none" w:sz="0" w:space="0" w:color="auto"/>
      <w:shd w:val="clear" w:color="auto" w:fill="auto"/>
    </w:rPr>
  </w:style>
  <w:style w:type="paragraph" w:styleId="Footer0">
    <w:name w:val="footer"/>
    <w:basedOn w:val="Normal"/>
    <w:link w:val="FooterChar"/>
    <w:uiPriority w:val="98"/>
    <w:semiHidden/>
    <w:rsid w:val="00CD12EF"/>
    <w:pPr>
      <w:tabs>
        <w:tab w:val="center" w:pos="3686"/>
        <w:tab w:val="right" w:pos="7371"/>
      </w:tabs>
    </w:pPr>
  </w:style>
  <w:style w:type="character" w:customStyle="1" w:styleId="FooterChar">
    <w:name w:val="Footer Char"/>
    <w:basedOn w:val="DefaultParagraphFont"/>
    <w:link w:val="Footer0"/>
    <w:uiPriority w:val="98"/>
    <w:semiHidden/>
    <w:rsid w:val="00CD12EF"/>
    <w:rPr>
      <w:sz w:val="24"/>
      <w:szCs w:val="24"/>
      <w:lang w:val="en-GB"/>
    </w:rPr>
  </w:style>
  <w:style w:type="character" w:styleId="FootnoteReference">
    <w:name w:val="footnote reference"/>
    <w:basedOn w:val="DefaultParagraphFont"/>
    <w:uiPriority w:val="98"/>
    <w:semiHidden/>
    <w:rsid w:val="00CD12EF"/>
    <w:rPr>
      <w:vertAlign w:val="superscript"/>
    </w:rPr>
  </w:style>
  <w:style w:type="paragraph" w:styleId="FootnoteText">
    <w:name w:val="footnote text"/>
    <w:basedOn w:val="Normal"/>
    <w:link w:val="FootnoteTextChar"/>
    <w:uiPriority w:val="98"/>
    <w:semiHidden/>
    <w:rsid w:val="00CD12EF"/>
    <w:rPr>
      <w:sz w:val="20"/>
      <w:szCs w:val="20"/>
    </w:rPr>
  </w:style>
  <w:style w:type="character" w:customStyle="1" w:styleId="FootnoteTextChar">
    <w:name w:val="Footnote Text Char"/>
    <w:basedOn w:val="DefaultParagraphFont"/>
    <w:link w:val="FootnoteText"/>
    <w:uiPriority w:val="98"/>
    <w:semiHidden/>
    <w:rsid w:val="00CD12EF"/>
    <w:rPr>
      <w:sz w:val="20"/>
      <w:szCs w:val="20"/>
      <w:lang w:val="en-GB"/>
    </w:rPr>
  </w:style>
  <w:style w:type="character" w:customStyle="1" w:styleId="Heading6Char">
    <w:name w:val="Heading 6 Char"/>
    <w:basedOn w:val="DefaultParagraphFont"/>
    <w:link w:val="Heading6"/>
    <w:uiPriority w:val="98"/>
    <w:semiHidden/>
    <w:rsid w:val="00CD12E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D12E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D12E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D12EF"/>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CD12EF"/>
    <w:rPr>
      <w:b/>
      <w:bCs/>
    </w:rPr>
  </w:style>
  <w:style w:type="paragraph" w:styleId="IntenseQuote">
    <w:name w:val="Intense Quote"/>
    <w:basedOn w:val="Normal"/>
    <w:next w:val="Normal"/>
    <w:link w:val="IntenseQuoteChar"/>
    <w:uiPriority w:val="98"/>
    <w:semiHidden/>
    <w:qFormat/>
    <w:rsid w:val="00CD12E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D12EF"/>
    <w:rPr>
      <w:b/>
      <w:bCs/>
      <w:i/>
      <w:iCs/>
      <w:sz w:val="24"/>
      <w:szCs w:val="24"/>
      <w:lang w:val="en-GB" w:bidi="en-US"/>
    </w:rPr>
  </w:style>
  <w:style w:type="character" w:styleId="IntenseReference">
    <w:name w:val="Intense Reference"/>
    <w:uiPriority w:val="98"/>
    <w:semiHidden/>
    <w:qFormat/>
    <w:rsid w:val="00CD12EF"/>
    <w:rPr>
      <w:smallCaps/>
      <w:spacing w:val="5"/>
      <w:u w:val="single"/>
    </w:rPr>
  </w:style>
  <w:style w:type="paragraph" w:styleId="ListParagraph">
    <w:name w:val="List Paragraph"/>
    <w:basedOn w:val="Normal"/>
    <w:uiPriority w:val="98"/>
    <w:semiHidden/>
    <w:qFormat/>
    <w:rsid w:val="00CD12EF"/>
    <w:pPr>
      <w:ind w:left="720"/>
      <w:contextualSpacing/>
    </w:pPr>
  </w:style>
  <w:style w:type="table" w:customStyle="1" w:styleId="LtrTableAddress">
    <w:name w:val="Ltr_Table_Address"/>
    <w:aliases w:val="ECHR_Ltr_Table_Address"/>
    <w:basedOn w:val="TableNormal"/>
    <w:uiPriority w:val="99"/>
    <w:rsid w:val="00CD12EF"/>
    <w:rPr>
      <w:sz w:val="24"/>
      <w:szCs w:val="24"/>
    </w:rPr>
    <w:tblPr>
      <w:tblInd w:w="5103" w:type="dxa"/>
    </w:tblPr>
  </w:style>
  <w:style w:type="paragraph" w:styleId="Quote">
    <w:name w:val="Quote"/>
    <w:basedOn w:val="Normal"/>
    <w:next w:val="Normal"/>
    <w:link w:val="QuoteChar"/>
    <w:uiPriority w:val="98"/>
    <w:semiHidden/>
    <w:qFormat/>
    <w:rsid w:val="00CD12EF"/>
    <w:pPr>
      <w:spacing w:before="200"/>
      <w:ind w:left="360" w:right="360"/>
    </w:pPr>
    <w:rPr>
      <w:i/>
      <w:iCs/>
      <w:lang w:bidi="en-US"/>
    </w:rPr>
  </w:style>
  <w:style w:type="character" w:customStyle="1" w:styleId="QuoteChar">
    <w:name w:val="Quote Char"/>
    <w:basedOn w:val="DefaultParagraphFont"/>
    <w:link w:val="Quote"/>
    <w:uiPriority w:val="98"/>
    <w:semiHidden/>
    <w:rsid w:val="00CD12EF"/>
    <w:rPr>
      <w:i/>
      <w:iCs/>
      <w:sz w:val="24"/>
      <w:szCs w:val="24"/>
      <w:lang w:val="en-GB" w:bidi="en-US"/>
    </w:rPr>
  </w:style>
  <w:style w:type="character" w:styleId="SubtleReference">
    <w:name w:val="Subtle Reference"/>
    <w:uiPriority w:val="98"/>
    <w:semiHidden/>
    <w:qFormat/>
    <w:rsid w:val="00CD12EF"/>
    <w:rPr>
      <w:smallCaps/>
    </w:rPr>
  </w:style>
  <w:style w:type="table" w:styleId="TableGrid">
    <w:name w:val="Table Grid"/>
    <w:basedOn w:val="TableNormal"/>
    <w:uiPriority w:val="59"/>
    <w:semiHidden/>
    <w:rsid w:val="00CD12E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D12E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D12E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D12E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D12E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D12E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D12E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D12E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D12E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D12E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D12E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D12E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D12E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D12E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CD12EF"/>
    <w:pPr>
      <w:numPr>
        <w:numId w:val="4"/>
      </w:numPr>
    </w:pPr>
  </w:style>
  <w:style w:type="numbering" w:styleId="1ai">
    <w:name w:val="Outline List 1"/>
    <w:basedOn w:val="NoList"/>
    <w:uiPriority w:val="99"/>
    <w:semiHidden/>
    <w:unhideWhenUsed/>
    <w:rsid w:val="00CD12EF"/>
    <w:pPr>
      <w:numPr>
        <w:numId w:val="5"/>
      </w:numPr>
    </w:pPr>
  </w:style>
  <w:style w:type="paragraph" w:styleId="Bibliography">
    <w:name w:val="Bibliography"/>
    <w:basedOn w:val="Normal"/>
    <w:next w:val="Normal"/>
    <w:uiPriority w:val="98"/>
    <w:semiHidden/>
    <w:rsid w:val="00CD12EF"/>
  </w:style>
  <w:style w:type="paragraph" w:customStyle="1" w:styleId="JuPara">
    <w:name w:val="Ju_Para"/>
    <w:aliases w:val="_Para"/>
    <w:basedOn w:val="NormalJustified"/>
    <w:link w:val="JuParaChar"/>
    <w:uiPriority w:val="4"/>
    <w:qFormat/>
    <w:rsid w:val="00CD12EF"/>
    <w:pPr>
      <w:ind w:firstLine="284"/>
    </w:pPr>
  </w:style>
  <w:style w:type="paragraph" w:styleId="BlockText">
    <w:name w:val="Block Text"/>
    <w:basedOn w:val="Normal"/>
    <w:uiPriority w:val="98"/>
    <w:semiHidden/>
    <w:rsid w:val="00CD12E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CD12E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D12E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CD12EF"/>
    <w:pPr>
      <w:spacing w:after="120"/>
    </w:pPr>
  </w:style>
  <w:style w:type="table" w:customStyle="1" w:styleId="ECHRTableForInternalUse">
    <w:name w:val="ECHR_Table_For_Internal_Use"/>
    <w:basedOn w:val="TableNormal"/>
    <w:uiPriority w:val="99"/>
    <w:rsid w:val="00CD12E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D12E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CD12EF"/>
    <w:rPr>
      <w:sz w:val="24"/>
      <w:szCs w:val="24"/>
      <w:lang w:val="en-GB"/>
    </w:rPr>
  </w:style>
  <w:style w:type="paragraph" w:styleId="BodyText2">
    <w:name w:val="Body Text 2"/>
    <w:basedOn w:val="Normal"/>
    <w:link w:val="BodyText2Char"/>
    <w:uiPriority w:val="98"/>
    <w:semiHidden/>
    <w:rsid w:val="00CD12EF"/>
    <w:pPr>
      <w:spacing w:after="120" w:line="480" w:lineRule="auto"/>
    </w:pPr>
  </w:style>
  <w:style w:type="table" w:customStyle="1" w:styleId="ECHRHeaderTable">
    <w:name w:val="ECHR_Header_Table"/>
    <w:basedOn w:val="TableNormal"/>
    <w:uiPriority w:val="99"/>
    <w:rsid w:val="00CD12E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CD12EF"/>
    <w:rPr>
      <w:sz w:val="24"/>
      <w:szCs w:val="24"/>
      <w:lang w:val="en-GB"/>
    </w:rPr>
  </w:style>
  <w:style w:type="paragraph" w:styleId="BodyText3">
    <w:name w:val="Body Text 3"/>
    <w:basedOn w:val="Normal"/>
    <w:link w:val="BodyText3Char"/>
    <w:uiPriority w:val="98"/>
    <w:semiHidden/>
    <w:rsid w:val="00CD12EF"/>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CD12EF"/>
    <w:pPr>
      <w:tabs>
        <w:tab w:val="left" w:pos="567"/>
        <w:tab w:val="left" w:pos="1134"/>
      </w:tabs>
    </w:pPr>
  </w:style>
  <w:style w:type="table" w:customStyle="1" w:styleId="ECHRHeaderTableReduced">
    <w:name w:val="ECHR_Header_Table_Reduced"/>
    <w:basedOn w:val="TableNormal"/>
    <w:uiPriority w:val="99"/>
    <w:rsid w:val="00CD12E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CD12EF"/>
    <w:rPr>
      <w:sz w:val="16"/>
      <w:szCs w:val="16"/>
      <w:lang w:val="en-GB"/>
    </w:rPr>
  </w:style>
  <w:style w:type="paragraph" w:styleId="BodyTextFirstIndent">
    <w:name w:val="Body Text First Indent"/>
    <w:basedOn w:val="BodyText"/>
    <w:link w:val="BodyTextFirstIndentChar"/>
    <w:uiPriority w:val="98"/>
    <w:semiHidden/>
    <w:rsid w:val="00CD12EF"/>
    <w:pPr>
      <w:spacing w:after="0"/>
      <w:ind w:firstLine="360"/>
    </w:pPr>
  </w:style>
  <w:style w:type="character" w:customStyle="1" w:styleId="BodyTextFirstIndentChar">
    <w:name w:val="Body Text First Indent Char"/>
    <w:basedOn w:val="BodyTextChar"/>
    <w:link w:val="BodyTextFirstIndent"/>
    <w:uiPriority w:val="98"/>
    <w:semiHidden/>
    <w:rsid w:val="00CD12EF"/>
    <w:rPr>
      <w:sz w:val="24"/>
      <w:szCs w:val="24"/>
      <w:lang w:val="en-GB"/>
    </w:rPr>
  </w:style>
  <w:style w:type="character" w:styleId="PlaceholderText">
    <w:name w:val="Placeholder Text"/>
    <w:basedOn w:val="DefaultParagraphFont"/>
    <w:uiPriority w:val="98"/>
    <w:semiHidden/>
    <w:rsid w:val="00CD12EF"/>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CD12EF"/>
    <w:pPr>
      <w:tabs>
        <w:tab w:val="center" w:pos="851"/>
        <w:tab w:val="center" w:pos="6407"/>
      </w:tabs>
      <w:spacing w:before="720"/>
    </w:pPr>
  </w:style>
  <w:style w:type="character" w:styleId="PageNumber">
    <w:name w:val="page number"/>
    <w:uiPriority w:val="98"/>
    <w:semiHidden/>
    <w:rsid w:val="00CD12EF"/>
    <w:rPr>
      <w:sz w:val="18"/>
    </w:rPr>
  </w:style>
  <w:style w:type="character" w:styleId="CommentReference">
    <w:name w:val="annotation reference"/>
    <w:basedOn w:val="DefaultParagraphFont"/>
    <w:uiPriority w:val="98"/>
    <w:semiHidden/>
    <w:rsid w:val="00CD12EF"/>
    <w:rPr>
      <w:sz w:val="16"/>
      <w:szCs w:val="16"/>
    </w:rPr>
  </w:style>
  <w:style w:type="paragraph" w:styleId="CommentText">
    <w:name w:val="annotation text"/>
    <w:basedOn w:val="Normal"/>
    <w:link w:val="CommentTextChar"/>
    <w:uiPriority w:val="98"/>
    <w:semiHidden/>
    <w:rsid w:val="00CD12EF"/>
    <w:rPr>
      <w:sz w:val="20"/>
      <w:szCs w:val="20"/>
    </w:rPr>
  </w:style>
  <w:style w:type="character" w:customStyle="1" w:styleId="CommentTextChar">
    <w:name w:val="Comment Text Char"/>
    <w:basedOn w:val="DefaultParagraphFont"/>
    <w:link w:val="CommentText"/>
    <w:uiPriority w:val="98"/>
    <w:semiHidden/>
    <w:rsid w:val="00CD12EF"/>
    <w:rPr>
      <w:sz w:val="20"/>
      <w:szCs w:val="20"/>
      <w:lang w:val="en-GB"/>
    </w:rPr>
  </w:style>
  <w:style w:type="paragraph" w:customStyle="1" w:styleId="DecHTitle">
    <w:name w:val="Dec_H_Title"/>
    <w:aliases w:val="_Title_1"/>
    <w:basedOn w:val="JuPara"/>
    <w:next w:val="JuPara"/>
    <w:uiPriority w:val="38"/>
    <w:qFormat/>
    <w:rsid w:val="00CD12EF"/>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CD12EF"/>
    <w:pPr>
      <w:keepNext/>
      <w:keepLines/>
      <w:spacing w:before="240" w:after="240"/>
      <w:ind w:firstLine="284"/>
    </w:pPr>
  </w:style>
  <w:style w:type="numbering" w:styleId="ArticleSection">
    <w:name w:val="Outline List 3"/>
    <w:basedOn w:val="NoList"/>
    <w:uiPriority w:val="99"/>
    <w:semiHidden/>
    <w:unhideWhenUsed/>
    <w:rsid w:val="00CD12EF"/>
    <w:pPr>
      <w:numPr>
        <w:numId w:val="6"/>
      </w:numPr>
    </w:pPr>
  </w:style>
  <w:style w:type="paragraph" w:styleId="ListBullet">
    <w:name w:val="List Bullet"/>
    <w:basedOn w:val="Normal"/>
    <w:uiPriority w:val="98"/>
    <w:semiHidden/>
    <w:rsid w:val="00CD12EF"/>
    <w:pPr>
      <w:numPr>
        <w:numId w:val="1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CD12EF"/>
    <w:pPr>
      <w:ind w:firstLine="284"/>
    </w:pPr>
    <w:rPr>
      <w:b/>
    </w:rPr>
  </w:style>
  <w:style w:type="paragraph" w:styleId="BodyTextIndent">
    <w:name w:val="Body Text Indent"/>
    <w:basedOn w:val="Normal"/>
    <w:link w:val="BodyTextIndentChar"/>
    <w:uiPriority w:val="98"/>
    <w:semiHidden/>
    <w:rsid w:val="00CD12EF"/>
    <w:pPr>
      <w:spacing w:after="120"/>
      <w:ind w:left="283"/>
    </w:pPr>
  </w:style>
  <w:style w:type="character" w:customStyle="1" w:styleId="BodyTextIndentChar">
    <w:name w:val="Body Text Indent Char"/>
    <w:basedOn w:val="DefaultParagraphFont"/>
    <w:link w:val="BodyTextIndent"/>
    <w:uiPriority w:val="98"/>
    <w:semiHidden/>
    <w:rsid w:val="00CD12EF"/>
    <w:rPr>
      <w:sz w:val="24"/>
      <w:szCs w:val="24"/>
      <w:lang w:val="en-GB"/>
    </w:rPr>
  </w:style>
  <w:style w:type="paragraph" w:styleId="BodyTextFirstIndent2">
    <w:name w:val="Body Text First Indent 2"/>
    <w:basedOn w:val="BodyTextIndent"/>
    <w:link w:val="BodyTextFirstIndent2Char"/>
    <w:uiPriority w:val="98"/>
    <w:semiHidden/>
    <w:rsid w:val="00CD12EF"/>
    <w:pPr>
      <w:spacing w:after="0"/>
      <w:ind w:left="360" w:firstLine="360"/>
    </w:pPr>
  </w:style>
  <w:style w:type="character" w:customStyle="1" w:styleId="BodyTextFirstIndent2Char">
    <w:name w:val="Body Text First Indent 2 Char"/>
    <w:basedOn w:val="BodyTextIndentChar"/>
    <w:link w:val="BodyTextFirstIndent2"/>
    <w:uiPriority w:val="98"/>
    <w:semiHidden/>
    <w:rsid w:val="00CD12EF"/>
    <w:rPr>
      <w:sz w:val="24"/>
      <w:szCs w:val="24"/>
      <w:lang w:val="en-GB"/>
    </w:rPr>
  </w:style>
  <w:style w:type="paragraph" w:styleId="BodyTextIndent2">
    <w:name w:val="Body Text Indent 2"/>
    <w:basedOn w:val="Normal"/>
    <w:link w:val="BodyTextIndent2Char"/>
    <w:uiPriority w:val="98"/>
    <w:semiHidden/>
    <w:rsid w:val="00CD12EF"/>
    <w:pPr>
      <w:spacing w:after="120" w:line="480" w:lineRule="auto"/>
      <w:ind w:left="283"/>
    </w:pPr>
  </w:style>
  <w:style w:type="character" w:customStyle="1" w:styleId="BodyTextIndent2Char">
    <w:name w:val="Body Text Indent 2 Char"/>
    <w:basedOn w:val="DefaultParagraphFont"/>
    <w:link w:val="BodyTextIndent2"/>
    <w:uiPriority w:val="98"/>
    <w:semiHidden/>
    <w:rsid w:val="00CD12EF"/>
    <w:rPr>
      <w:sz w:val="24"/>
      <w:szCs w:val="24"/>
      <w:lang w:val="en-GB"/>
    </w:rPr>
  </w:style>
  <w:style w:type="paragraph" w:styleId="BodyTextIndent3">
    <w:name w:val="Body Text Indent 3"/>
    <w:basedOn w:val="Normal"/>
    <w:link w:val="BodyTextIndent3Char"/>
    <w:uiPriority w:val="98"/>
    <w:semiHidden/>
    <w:rsid w:val="00CD12E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D12EF"/>
    <w:rPr>
      <w:sz w:val="16"/>
      <w:szCs w:val="16"/>
      <w:lang w:val="en-GB"/>
    </w:rPr>
  </w:style>
  <w:style w:type="paragraph" w:styleId="Caption">
    <w:name w:val="caption"/>
    <w:basedOn w:val="Normal"/>
    <w:next w:val="Normal"/>
    <w:uiPriority w:val="98"/>
    <w:semiHidden/>
    <w:qFormat/>
    <w:rsid w:val="00CD12EF"/>
    <w:pPr>
      <w:spacing w:after="200"/>
    </w:pPr>
    <w:rPr>
      <w:b/>
      <w:bCs/>
      <w:color w:val="0072BC" w:themeColor="accent1"/>
      <w:sz w:val="18"/>
      <w:szCs w:val="18"/>
    </w:rPr>
  </w:style>
  <w:style w:type="paragraph" w:styleId="Closing">
    <w:name w:val="Closing"/>
    <w:basedOn w:val="Normal"/>
    <w:link w:val="ClosingChar"/>
    <w:uiPriority w:val="98"/>
    <w:semiHidden/>
    <w:rsid w:val="00CD12EF"/>
    <w:pPr>
      <w:ind w:left="4252"/>
    </w:pPr>
  </w:style>
  <w:style w:type="character" w:customStyle="1" w:styleId="ClosingChar">
    <w:name w:val="Closing Char"/>
    <w:basedOn w:val="DefaultParagraphFont"/>
    <w:link w:val="Closing"/>
    <w:uiPriority w:val="98"/>
    <w:semiHidden/>
    <w:rsid w:val="00CD12EF"/>
    <w:rPr>
      <w:sz w:val="24"/>
      <w:szCs w:val="24"/>
      <w:lang w:val="en-GB"/>
    </w:rPr>
  </w:style>
  <w:style w:type="table" w:styleId="ColorfulGrid">
    <w:name w:val="Colorful Grid"/>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D12E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D12E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D12E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D12E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D12E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D12E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D12E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D12E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D12E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D12E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D12E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D12E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D12E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D12E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D12E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D12EF"/>
    <w:rPr>
      <w:b/>
      <w:bCs/>
    </w:rPr>
  </w:style>
  <w:style w:type="character" w:customStyle="1" w:styleId="CommentSubjectChar">
    <w:name w:val="Comment Subject Char"/>
    <w:basedOn w:val="CommentTextChar"/>
    <w:link w:val="CommentSubject"/>
    <w:uiPriority w:val="98"/>
    <w:semiHidden/>
    <w:rsid w:val="00CD12EF"/>
    <w:rPr>
      <w:b/>
      <w:bCs/>
      <w:sz w:val="20"/>
      <w:szCs w:val="20"/>
      <w:lang w:val="en-GB"/>
    </w:rPr>
  </w:style>
  <w:style w:type="table" w:styleId="DarkList">
    <w:name w:val="Dark List"/>
    <w:basedOn w:val="TableNormal"/>
    <w:uiPriority w:val="70"/>
    <w:semiHidden/>
    <w:rsid w:val="00CD12E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D12E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D12E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D12E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D12E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D12E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D12E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D12EF"/>
  </w:style>
  <w:style w:type="character" w:customStyle="1" w:styleId="DateChar">
    <w:name w:val="Date Char"/>
    <w:basedOn w:val="DefaultParagraphFont"/>
    <w:link w:val="Date"/>
    <w:uiPriority w:val="98"/>
    <w:semiHidden/>
    <w:rsid w:val="00CD12EF"/>
    <w:rPr>
      <w:sz w:val="24"/>
      <w:szCs w:val="24"/>
      <w:lang w:val="en-GB"/>
    </w:rPr>
  </w:style>
  <w:style w:type="paragraph" w:styleId="DocumentMap">
    <w:name w:val="Document Map"/>
    <w:basedOn w:val="Normal"/>
    <w:link w:val="DocumentMapChar"/>
    <w:uiPriority w:val="98"/>
    <w:semiHidden/>
    <w:rsid w:val="00CD12EF"/>
    <w:rPr>
      <w:rFonts w:ascii="Tahoma" w:hAnsi="Tahoma" w:cs="Tahoma"/>
      <w:sz w:val="16"/>
      <w:szCs w:val="16"/>
    </w:rPr>
  </w:style>
  <w:style w:type="character" w:customStyle="1" w:styleId="DocumentMapChar">
    <w:name w:val="Document Map Char"/>
    <w:basedOn w:val="DefaultParagraphFont"/>
    <w:link w:val="DocumentMap"/>
    <w:uiPriority w:val="98"/>
    <w:semiHidden/>
    <w:rsid w:val="00CD12EF"/>
    <w:rPr>
      <w:rFonts w:ascii="Tahoma" w:hAnsi="Tahoma" w:cs="Tahoma"/>
      <w:sz w:val="16"/>
      <w:szCs w:val="16"/>
      <w:lang w:val="en-GB"/>
    </w:rPr>
  </w:style>
  <w:style w:type="paragraph" w:styleId="E-mailSignature">
    <w:name w:val="E-mail Signature"/>
    <w:basedOn w:val="Normal"/>
    <w:link w:val="E-mailSignatureChar"/>
    <w:uiPriority w:val="98"/>
    <w:semiHidden/>
    <w:rsid w:val="00CD12EF"/>
  </w:style>
  <w:style w:type="character" w:customStyle="1" w:styleId="E-mailSignatureChar">
    <w:name w:val="E-mail Signature Char"/>
    <w:basedOn w:val="DefaultParagraphFont"/>
    <w:link w:val="E-mailSignature"/>
    <w:uiPriority w:val="98"/>
    <w:semiHidden/>
    <w:rsid w:val="00CD12EF"/>
    <w:rPr>
      <w:sz w:val="24"/>
      <w:szCs w:val="24"/>
      <w:lang w:val="en-GB"/>
    </w:rPr>
  </w:style>
  <w:style w:type="character" w:styleId="EndnoteReference">
    <w:name w:val="endnote reference"/>
    <w:basedOn w:val="DefaultParagraphFont"/>
    <w:uiPriority w:val="98"/>
    <w:semiHidden/>
    <w:rsid w:val="00CD12EF"/>
    <w:rPr>
      <w:vertAlign w:val="superscript"/>
    </w:rPr>
  </w:style>
  <w:style w:type="paragraph" w:styleId="EndnoteText">
    <w:name w:val="endnote text"/>
    <w:basedOn w:val="Normal"/>
    <w:link w:val="EndnoteTextChar"/>
    <w:uiPriority w:val="98"/>
    <w:semiHidden/>
    <w:rsid w:val="00CD12EF"/>
    <w:rPr>
      <w:sz w:val="20"/>
      <w:szCs w:val="20"/>
    </w:rPr>
  </w:style>
  <w:style w:type="character" w:customStyle="1" w:styleId="EndnoteTextChar">
    <w:name w:val="Endnote Text Char"/>
    <w:basedOn w:val="DefaultParagraphFont"/>
    <w:link w:val="EndnoteText"/>
    <w:uiPriority w:val="98"/>
    <w:semiHidden/>
    <w:rsid w:val="00CD12EF"/>
    <w:rPr>
      <w:sz w:val="20"/>
      <w:szCs w:val="20"/>
      <w:lang w:val="en-GB"/>
    </w:rPr>
  </w:style>
  <w:style w:type="paragraph" w:styleId="EnvelopeAddress">
    <w:name w:val="envelope address"/>
    <w:basedOn w:val="Normal"/>
    <w:uiPriority w:val="98"/>
    <w:semiHidden/>
    <w:rsid w:val="00CD12E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D12E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D12EF"/>
    <w:rPr>
      <w:color w:val="7030A0" w:themeColor="followedHyperlink"/>
      <w:u w:val="single"/>
    </w:rPr>
  </w:style>
  <w:style w:type="character" w:styleId="HTMLAcronym">
    <w:name w:val="HTML Acronym"/>
    <w:basedOn w:val="DefaultParagraphFont"/>
    <w:uiPriority w:val="98"/>
    <w:semiHidden/>
    <w:rsid w:val="00CD12EF"/>
  </w:style>
  <w:style w:type="paragraph" w:styleId="HTMLAddress">
    <w:name w:val="HTML Address"/>
    <w:basedOn w:val="Normal"/>
    <w:link w:val="HTMLAddressChar"/>
    <w:uiPriority w:val="98"/>
    <w:semiHidden/>
    <w:rsid w:val="00CD12EF"/>
    <w:rPr>
      <w:i/>
      <w:iCs/>
    </w:rPr>
  </w:style>
  <w:style w:type="character" w:customStyle="1" w:styleId="HTMLAddressChar">
    <w:name w:val="HTML Address Char"/>
    <w:basedOn w:val="DefaultParagraphFont"/>
    <w:link w:val="HTMLAddress"/>
    <w:uiPriority w:val="98"/>
    <w:semiHidden/>
    <w:rsid w:val="00CD12EF"/>
    <w:rPr>
      <w:i/>
      <w:iCs/>
      <w:sz w:val="24"/>
      <w:szCs w:val="24"/>
      <w:lang w:val="en-GB"/>
    </w:rPr>
  </w:style>
  <w:style w:type="character" w:styleId="HTMLCite">
    <w:name w:val="HTML Cite"/>
    <w:basedOn w:val="DefaultParagraphFont"/>
    <w:uiPriority w:val="98"/>
    <w:semiHidden/>
    <w:rsid w:val="00CD12EF"/>
    <w:rPr>
      <w:i/>
      <w:iCs/>
    </w:rPr>
  </w:style>
  <w:style w:type="character" w:styleId="HTMLCode">
    <w:name w:val="HTML Code"/>
    <w:basedOn w:val="DefaultParagraphFont"/>
    <w:uiPriority w:val="98"/>
    <w:semiHidden/>
    <w:rsid w:val="00CD12EF"/>
    <w:rPr>
      <w:rFonts w:ascii="Consolas" w:hAnsi="Consolas" w:cs="Consolas"/>
      <w:sz w:val="20"/>
      <w:szCs w:val="20"/>
    </w:rPr>
  </w:style>
  <w:style w:type="character" w:styleId="HTMLDefinition">
    <w:name w:val="HTML Definition"/>
    <w:basedOn w:val="DefaultParagraphFont"/>
    <w:uiPriority w:val="98"/>
    <w:semiHidden/>
    <w:rsid w:val="00CD12EF"/>
    <w:rPr>
      <w:i/>
      <w:iCs/>
    </w:rPr>
  </w:style>
  <w:style w:type="character" w:styleId="HTMLKeyboard">
    <w:name w:val="HTML Keyboard"/>
    <w:basedOn w:val="DefaultParagraphFont"/>
    <w:uiPriority w:val="98"/>
    <w:semiHidden/>
    <w:rsid w:val="00CD12EF"/>
    <w:rPr>
      <w:rFonts w:ascii="Consolas" w:hAnsi="Consolas" w:cs="Consolas"/>
      <w:sz w:val="20"/>
      <w:szCs w:val="20"/>
    </w:rPr>
  </w:style>
  <w:style w:type="paragraph" w:styleId="HTMLPreformatted">
    <w:name w:val="HTML Preformatted"/>
    <w:basedOn w:val="Normal"/>
    <w:link w:val="HTMLPreformattedChar"/>
    <w:uiPriority w:val="98"/>
    <w:semiHidden/>
    <w:rsid w:val="00CD12E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D12EF"/>
    <w:rPr>
      <w:rFonts w:ascii="Consolas" w:hAnsi="Consolas" w:cs="Consolas"/>
      <w:sz w:val="20"/>
      <w:szCs w:val="20"/>
      <w:lang w:val="en-GB"/>
    </w:rPr>
  </w:style>
  <w:style w:type="character" w:styleId="HTMLSample">
    <w:name w:val="HTML Sample"/>
    <w:basedOn w:val="DefaultParagraphFont"/>
    <w:uiPriority w:val="98"/>
    <w:semiHidden/>
    <w:rsid w:val="00CD12EF"/>
    <w:rPr>
      <w:rFonts w:ascii="Consolas" w:hAnsi="Consolas" w:cs="Consolas"/>
      <w:sz w:val="24"/>
      <w:szCs w:val="24"/>
    </w:rPr>
  </w:style>
  <w:style w:type="character" w:styleId="HTMLTypewriter">
    <w:name w:val="HTML Typewriter"/>
    <w:basedOn w:val="DefaultParagraphFont"/>
    <w:uiPriority w:val="98"/>
    <w:semiHidden/>
    <w:rsid w:val="00CD12EF"/>
    <w:rPr>
      <w:rFonts w:ascii="Consolas" w:hAnsi="Consolas" w:cs="Consolas"/>
      <w:sz w:val="20"/>
      <w:szCs w:val="20"/>
    </w:rPr>
  </w:style>
  <w:style w:type="character" w:styleId="HTMLVariable">
    <w:name w:val="HTML Variable"/>
    <w:basedOn w:val="DefaultParagraphFont"/>
    <w:uiPriority w:val="98"/>
    <w:semiHidden/>
    <w:rsid w:val="00CD12EF"/>
    <w:rPr>
      <w:i/>
      <w:iCs/>
    </w:rPr>
  </w:style>
  <w:style w:type="paragraph" w:styleId="Index1">
    <w:name w:val="index 1"/>
    <w:basedOn w:val="Normal"/>
    <w:next w:val="Normal"/>
    <w:autoRedefine/>
    <w:uiPriority w:val="98"/>
    <w:semiHidden/>
    <w:rsid w:val="00CD12EF"/>
    <w:pPr>
      <w:ind w:left="240" w:hanging="240"/>
    </w:pPr>
  </w:style>
  <w:style w:type="paragraph" w:styleId="Index2">
    <w:name w:val="index 2"/>
    <w:basedOn w:val="Normal"/>
    <w:next w:val="Normal"/>
    <w:autoRedefine/>
    <w:uiPriority w:val="98"/>
    <w:semiHidden/>
    <w:rsid w:val="00CD12EF"/>
    <w:pPr>
      <w:ind w:left="480" w:hanging="240"/>
    </w:pPr>
  </w:style>
  <w:style w:type="paragraph" w:styleId="Index3">
    <w:name w:val="index 3"/>
    <w:basedOn w:val="Normal"/>
    <w:next w:val="Normal"/>
    <w:autoRedefine/>
    <w:uiPriority w:val="98"/>
    <w:semiHidden/>
    <w:rsid w:val="00CD12EF"/>
    <w:pPr>
      <w:ind w:left="720" w:hanging="240"/>
    </w:pPr>
  </w:style>
  <w:style w:type="paragraph" w:styleId="Index4">
    <w:name w:val="index 4"/>
    <w:basedOn w:val="Normal"/>
    <w:next w:val="Normal"/>
    <w:autoRedefine/>
    <w:uiPriority w:val="98"/>
    <w:semiHidden/>
    <w:rsid w:val="00CD12EF"/>
    <w:pPr>
      <w:ind w:left="960" w:hanging="240"/>
    </w:pPr>
  </w:style>
  <w:style w:type="paragraph" w:styleId="Index5">
    <w:name w:val="index 5"/>
    <w:basedOn w:val="Normal"/>
    <w:next w:val="Normal"/>
    <w:autoRedefine/>
    <w:uiPriority w:val="98"/>
    <w:semiHidden/>
    <w:rsid w:val="00CD12EF"/>
    <w:pPr>
      <w:ind w:left="1200" w:hanging="240"/>
    </w:pPr>
  </w:style>
  <w:style w:type="paragraph" w:styleId="Index6">
    <w:name w:val="index 6"/>
    <w:basedOn w:val="Normal"/>
    <w:next w:val="Normal"/>
    <w:autoRedefine/>
    <w:uiPriority w:val="98"/>
    <w:semiHidden/>
    <w:rsid w:val="00CD12EF"/>
    <w:pPr>
      <w:ind w:left="1440" w:hanging="240"/>
    </w:pPr>
  </w:style>
  <w:style w:type="paragraph" w:styleId="Index7">
    <w:name w:val="index 7"/>
    <w:basedOn w:val="Normal"/>
    <w:next w:val="Normal"/>
    <w:autoRedefine/>
    <w:uiPriority w:val="98"/>
    <w:semiHidden/>
    <w:rsid w:val="00CD12EF"/>
    <w:pPr>
      <w:ind w:left="1680" w:hanging="240"/>
    </w:pPr>
  </w:style>
  <w:style w:type="paragraph" w:styleId="Index8">
    <w:name w:val="index 8"/>
    <w:basedOn w:val="Normal"/>
    <w:next w:val="Normal"/>
    <w:autoRedefine/>
    <w:uiPriority w:val="98"/>
    <w:semiHidden/>
    <w:rsid w:val="00CD12EF"/>
    <w:pPr>
      <w:ind w:left="1920" w:hanging="240"/>
    </w:pPr>
  </w:style>
  <w:style w:type="paragraph" w:styleId="Index9">
    <w:name w:val="index 9"/>
    <w:basedOn w:val="Normal"/>
    <w:next w:val="Normal"/>
    <w:autoRedefine/>
    <w:uiPriority w:val="98"/>
    <w:semiHidden/>
    <w:rsid w:val="00CD12EF"/>
    <w:pPr>
      <w:ind w:left="2160" w:hanging="240"/>
    </w:pPr>
  </w:style>
  <w:style w:type="paragraph" w:styleId="IndexHeading">
    <w:name w:val="index heading"/>
    <w:basedOn w:val="Normal"/>
    <w:next w:val="Index1"/>
    <w:uiPriority w:val="98"/>
    <w:semiHidden/>
    <w:rsid w:val="00CD12EF"/>
    <w:rPr>
      <w:rFonts w:asciiTheme="majorHAnsi" w:eastAsiaTheme="majorEastAsia" w:hAnsiTheme="majorHAnsi" w:cstheme="majorBidi"/>
      <w:b/>
      <w:bCs/>
    </w:rPr>
  </w:style>
  <w:style w:type="table" w:styleId="LightGrid">
    <w:name w:val="Light Grid"/>
    <w:basedOn w:val="TableNormal"/>
    <w:uiPriority w:val="62"/>
    <w:semiHidden/>
    <w:rsid w:val="00CD12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D12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D12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D12E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D12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D12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D12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D12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D12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D12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D12E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D12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D12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D12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D12E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D12E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D12E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D12E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D12E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D12E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D12E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D12EF"/>
  </w:style>
  <w:style w:type="paragraph" w:styleId="List">
    <w:name w:val="List"/>
    <w:basedOn w:val="Normal"/>
    <w:uiPriority w:val="98"/>
    <w:semiHidden/>
    <w:rsid w:val="00CD12EF"/>
    <w:pPr>
      <w:ind w:left="283" w:hanging="283"/>
      <w:contextualSpacing/>
    </w:pPr>
  </w:style>
  <w:style w:type="paragraph" w:styleId="List2">
    <w:name w:val="List 2"/>
    <w:basedOn w:val="Normal"/>
    <w:uiPriority w:val="98"/>
    <w:semiHidden/>
    <w:rsid w:val="00CD12EF"/>
    <w:pPr>
      <w:ind w:left="566" w:hanging="283"/>
      <w:contextualSpacing/>
    </w:pPr>
  </w:style>
  <w:style w:type="paragraph" w:styleId="List3">
    <w:name w:val="List 3"/>
    <w:basedOn w:val="Normal"/>
    <w:uiPriority w:val="98"/>
    <w:semiHidden/>
    <w:rsid w:val="00CD12EF"/>
    <w:pPr>
      <w:ind w:left="849" w:hanging="283"/>
      <w:contextualSpacing/>
    </w:pPr>
  </w:style>
  <w:style w:type="paragraph" w:styleId="List4">
    <w:name w:val="List 4"/>
    <w:basedOn w:val="Normal"/>
    <w:uiPriority w:val="98"/>
    <w:semiHidden/>
    <w:rsid w:val="00CD12EF"/>
    <w:pPr>
      <w:ind w:left="1132" w:hanging="283"/>
      <w:contextualSpacing/>
    </w:pPr>
  </w:style>
  <w:style w:type="paragraph" w:styleId="List5">
    <w:name w:val="List 5"/>
    <w:basedOn w:val="Normal"/>
    <w:uiPriority w:val="98"/>
    <w:semiHidden/>
    <w:rsid w:val="00CD12EF"/>
    <w:pPr>
      <w:ind w:left="1415" w:hanging="283"/>
      <w:contextualSpacing/>
    </w:pPr>
  </w:style>
  <w:style w:type="paragraph" w:styleId="ListBullet2">
    <w:name w:val="List Bullet 2"/>
    <w:basedOn w:val="Normal"/>
    <w:uiPriority w:val="98"/>
    <w:semiHidden/>
    <w:rsid w:val="00CD12EF"/>
    <w:pPr>
      <w:numPr>
        <w:numId w:val="11"/>
      </w:numPr>
      <w:contextualSpacing/>
    </w:pPr>
  </w:style>
  <w:style w:type="paragraph" w:styleId="ListBullet3">
    <w:name w:val="List Bullet 3"/>
    <w:basedOn w:val="Normal"/>
    <w:uiPriority w:val="98"/>
    <w:semiHidden/>
    <w:rsid w:val="00CD12EF"/>
    <w:pPr>
      <w:numPr>
        <w:numId w:val="12"/>
      </w:numPr>
      <w:contextualSpacing/>
    </w:pPr>
  </w:style>
  <w:style w:type="paragraph" w:styleId="ListBullet4">
    <w:name w:val="List Bullet 4"/>
    <w:basedOn w:val="Normal"/>
    <w:uiPriority w:val="98"/>
    <w:semiHidden/>
    <w:rsid w:val="00CD12EF"/>
    <w:pPr>
      <w:numPr>
        <w:numId w:val="13"/>
      </w:numPr>
      <w:contextualSpacing/>
    </w:pPr>
  </w:style>
  <w:style w:type="paragraph" w:styleId="ListBullet5">
    <w:name w:val="List Bullet 5"/>
    <w:basedOn w:val="Normal"/>
    <w:uiPriority w:val="98"/>
    <w:semiHidden/>
    <w:rsid w:val="00CD12EF"/>
    <w:pPr>
      <w:numPr>
        <w:numId w:val="14"/>
      </w:numPr>
      <w:contextualSpacing/>
    </w:pPr>
  </w:style>
  <w:style w:type="paragraph" w:styleId="ListContinue">
    <w:name w:val="List Continue"/>
    <w:basedOn w:val="Normal"/>
    <w:uiPriority w:val="98"/>
    <w:semiHidden/>
    <w:rsid w:val="00CD12EF"/>
    <w:pPr>
      <w:spacing w:after="120"/>
      <w:ind w:left="283"/>
      <w:contextualSpacing/>
    </w:pPr>
  </w:style>
  <w:style w:type="paragraph" w:styleId="ListContinue2">
    <w:name w:val="List Continue 2"/>
    <w:basedOn w:val="Normal"/>
    <w:uiPriority w:val="98"/>
    <w:semiHidden/>
    <w:rsid w:val="00CD12EF"/>
    <w:pPr>
      <w:spacing w:after="120"/>
      <w:ind w:left="566"/>
      <w:contextualSpacing/>
    </w:pPr>
  </w:style>
  <w:style w:type="paragraph" w:styleId="ListContinue3">
    <w:name w:val="List Continue 3"/>
    <w:basedOn w:val="Normal"/>
    <w:uiPriority w:val="98"/>
    <w:semiHidden/>
    <w:rsid w:val="00CD12EF"/>
    <w:pPr>
      <w:spacing w:after="120"/>
      <w:ind w:left="849"/>
      <w:contextualSpacing/>
    </w:pPr>
  </w:style>
  <w:style w:type="paragraph" w:styleId="ListContinue4">
    <w:name w:val="List Continue 4"/>
    <w:basedOn w:val="Normal"/>
    <w:uiPriority w:val="98"/>
    <w:semiHidden/>
    <w:rsid w:val="00CD12EF"/>
    <w:pPr>
      <w:spacing w:after="120"/>
      <w:ind w:left="1132"/>
      <w:contextualSpacing/>
    </w:pPr>
  </w:style>
  <w:style w:type="paragraph" w:styleId="ListContinue5">
    <w:name w:val="List Continue 5"/>
    <w:basedOn w:val="Normal"/>
    <w:uiPriority w:val="98"/>
    <w:semiHidden/>
    <w:rsid w:val="00CD12EF"/>
    <w:pPr>
      <w:spacing w:after="120"/>
      <w:ind w:left="1415"/>
      <w:contextualSpacing/>
    </w:pPr>
  </w:style>
  <w:style w:type="paragraph" w:styleId="ListNumber">
    <w:name w:val="List Number"/>
    <w:basedOn w:val="Normal"/>
    <w:uiPriority w:val="98"/>
    <w:semiHidden/>
    <w:rsid w:val="00CD12EF"/>
    <w:pPr>
      <w:numPr>
        <w:numId w:val="15"/>
      </w:numPr>
      <w:contextualSpacing/>
    </w:pPr>
  </w:style>
  <w:style w:type="paragraph" w:styleId="ListNumber2">
    <w:name w:val="List Number 2"/>
    <w:basedOn w:val="Normal"/>
    <w:uiPriority w:val="98"/>
    <w:semiHidden/>
    <w:rsid w:val="00CD12EF"/>
    <w:pPr>
      <w:numPr>
        <w:numId w:val="16"/>
      </w:numPr>
      <w:contextualSpacing/>
    </w:pPr>
  </w:style>
  <w:style w:type="paragraph" w:styleId="ListNumber3">
    <w:name w:val="List Number 3"/>
    <w:basedOn w:val="Normal"/>
    <w:uiPriority w:val="98"/>
    <w:semiHidden/>
    <w:rsid w:val="00CD12EF"/>
    <w:pPr>
      <w:numPr>
        <w:numId w:val="17"/>
      </w:numPr>
      <w:contextualSpacing/>
    </w:pPr>
  </w:style>
  <w:style w:type="paragraph" w:styleId="ListNumber4">
    <w:name w:val="List Number 4"/>
    <w:basedOn w:val="Normal"/>
    <w:uiPriority w:val="98"/>
    <w:semiHidden/>
    <w:rsid w:val="00CD12EF"/>
    <w:pPr>
      <w:numPr>
        <w:numId w:val="18"/>
      </w:numPr>
      <w:contextualSpacing/>
    </w:pPr>
  </w:style>
  <w:style w:type="paragraph" w:styleId="ListNumber5">
    <w:name w:val="List Number 5"/>
    <w:basedOn w:val="Normal"/>
    <w:uiPriority w:val="98"/>
    <w:semiHidden/>
    <w:rsid w:val="00CD12EF"/>
    <w:pPr>
      <w:numPr>
        <w:numId w:val="19"/>
      </w:numPr>
      <w:contextualSpacing/>
    </w:pPr>
  </w:style>
  <w:style w:type="paragraph" w:styleId="MacroText">
    <w:name w:val="macro"/>
    <w:link w:val="MacroTextChar"/>
    <w:uiPriority w:val="98"/>
    <w:semiHidden/>
    <w:rsid w:val="00CD12E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D12EF"/>
    <w:rPr>
      <w:rFonts w:ascii="Consolas" w:eastAsiaTheme="minorEastAsia" w:hAnsi="Consolas" w:cs="Consolas"/>
      <w:sz w:val="20"/>
      <w:szCs w:val="20"/>
    </w:rPr>
  </w:style>
  <w:style w:type="table" w:styleId="MediumGrid1">
    <w:name w:val="Medium Grid 1"/>
    <w:basedOn w:val="TableNormal"/>
    <w:uiPriority w:val="67"/>
    <w:semiHidden/>
    <w:rsid w:val="00CD12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D12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D12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D12E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D12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D12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D12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D12E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D12E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D12E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D12E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D12E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D12E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D12E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D12E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D12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D12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D12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D12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D12E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D12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D12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D12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D12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D12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D12E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D12EF"/>
    <w:rPr>
      <w:rFonts w:ascii="Times New Roman" w:hAnsi="Times New Roman" w:cs="Times New Roman"/>
    </w:rPr>
  </w:style>
  <w:style w:type="paragraph" w:styleId="NormalIndent">
    <w:name w:val="Normal Indent"/>
    <w:basedOn w:val="Normal"/>
    <w:uiPriority w:val="98"/>
    <w:semiHidden/>
    <w:rsid w:val="00CD12EF"/>
    <w:pPr>
      <w:ind w:left="720"/>
    </w:pPr>
  </w:style>
  <w:style w:type="character" w:customStyle="1" w:styleId="NoteHeadingChar">
    <w:name w:val="Note Heading Char"/>
    <w:basedOn w:val="DefaultParagraphFont"/>
    <w:link w:val="NoteHeading"/>
    <w:uiPriority w:val="98"/>
    <w:semiHidden/>
    <w:rsid w:val="00CD12EF"/>
    <w:rPr>
      <w:sz w:val="24"/>
      <w:szCs w:val="24"/>
      <w:lang w:val="en-GB"/>
    </w:rPr>
  </w:style>
  <w:style w:type="paragraph" w:styleId="PlainText">
    <w:name w:val="Plain Text"/>
    <w:basedOn w:val="Normal"/>
    <w:link w:val="PlainTextChar"/>
    <w:uiPriority w:val="98"/>
    <w:semiHidden/>
    <w:rsid w:val="00CD12EF"/>
    <w:rPr>
      <w:rFonts w:ascii="Consolas" w:hAnsi="Consolas" w:cs="Consolas"/>
      <w:sz w:val="21"/>
      <w:szCs w:val="21"/>
    </w:rPr>
  </w:style>
  <w:style w:type="character" w:customStyle="1" w:styleId="PlainTextChar">
    <w:name w:val="Plain Text Char"/>
    <w:basedOn w:val="DefaultParagraphFont"/>
    <w:link w:val="PlainText"/>
    <w:uiPriority w:val="98"/>
    <w:semiHidden/>
    <w:rsid w:val="00CD12EF"/>
    <w:rPr>
      <w:rFonts w:ascii="Consolas" w:hAnsi="Consolas" w:cs="Consolas"/>
      <w:sz w:val="21"/>
      <w:szCs w:val="21"/>
      <w:lang w:val="en-GB"/>
    </w:rPr>
  </w:style>
  <w:style w:type="paragraph" w:styleId="Salutation">
    <w:name w:val="Salutation"/>
    <w:basedOn w:val="Normal"/>
    <w:next w:val="Normal"/>
    <w:link w:val="SalutationChar"/>
    <w:uiPriority w:val="98"/>
    <w:semiHidden/>
    <w:rsid w:val="00CD12EF"/>
  </w:style>
  <w:style w:type="character" w:customStyle="1" w:styleId="SalutationChar">
    <w:name w:val="Salutation Char"/>
    <w:basedOn w:val="DefaultParagraphFont"/>
    <w:link w:val="Salutation"/>
    <w:uiPriority w:val="98"/>
    <w:semiHidden/>
    <w:rsid w:val="00CD12EF"/>
    <w:rPr>
      <w:sz w:val="24"/>
      <w:szCs w:val="24"/>
      <w:lang w:val="en-GB"/>
    </w:rPr>
  </w:style>
  <w:style w:type="paragraph" w:styleId="Signature">
    <w:name w:val="Signature"/>
    <w:basedOn w:val="Normal"/>
    <w:link w:val="SignatureChar"/>
    <w:uiPriority w:val="98"/>
    <w:semiHidden/>
    <w:rsid w:val="00CD12EF"/>
    <w:pPr>
      <w:ind w:left="4252"/>
    </w:pPr>
  </w:style>
  <w:style w:type="character" w:customStyle="1" w:styleId="SignatureChar">
    <w:name w:val="Signature Char"/>
    <w:basedOn w:val="DefaultParagraphFont"/>
    <w:link w:val="Signature"/>
    <w:uiPriority w:val="98"/>
    <w:semiHidden/>
    <w:rsid w:val="00CD12EF"/>
    <w:rPr>
      <w:sz w:val="24"/>
      <w:szCs w:val="24"/>
      <w:lang w:val="en-GB"/>
    </w:rPr>
  </w:style>
  <w:style w:type="table" w:styleId="Table3Deffects1">
    <w:name w:val="Table 3D effects 1"/>
    <w:basedOn w:val="TableNormal"/>
    <w:uiPriority w:val="99"/>
    <w:semiHidden/>
    <w:unhideWhenUsed/>
    <w:rsid w:val="00CD12E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D12E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D12E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D12E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D12E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D12E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D12E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D12E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D12E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D12E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D12E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D12E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D12E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D12E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D12E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D12E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D12E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D12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D12E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D12E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D12E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D12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D12E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D12E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D12E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D12E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D12E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D12E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D12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D12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D12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D12E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D12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D12EF"/>
    <w:pPr>
      <w:ind w:left="240" w:hanging="240"/>
    </w:pPr>
  </w:style>
  <w:style w:type="paragraph" w:styleId="TableofFigures">
    <w:name w:val="table of figures"/>
    <w:basedOn w:val="Normal"/>
    <w:next w:val="Normal"/>
    <w:uiPriority w:val="98"/>
    <w:semiHidden/>
    <w:rsid w:val="00CD12EF"/>
  </w:style>
  <w:style w:type="table" w:styleId="TableProfessional">
    <w:name w:val="Table Professional"/>
    <w:basedOn w:val="TableNormal"/>
    <w:uiPriority w:val="99"/>
    <w:semiHidden/>
    <w:unhideWhenUsed/>
    <w:rsid w:val="00CD12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D12E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D12E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D12E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D12E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D12E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D12E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D12E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D12E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D12E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D12E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D12E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D12EF"/>
    <w:pPr>
      <w:spacing w:after="100"/>
      <w:ind w:left="1680"/>
    </w:pPr>
  </w:style>
  <w:style w:type="paragraph" w:styleId="TOC9">
    <w:name w:val="toc 9"/>
    <w:basedOn w:val="Normal"/>
    <w:next w:val="Normal"/>
    <w:autoRedefine/>
    <w:uiPriority w:val="98"/>
    <w:semiHidden/>
    <w:rsid w:val="00CD12EF"/>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CD12EF"/>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CD12EF"/>
    <w:rPr>
      <w:color w:val="0072BC" w:themeColor="hyperlink"/>
      <w:u w:val="single"/>
    </w:rPr>
  </w:style>
  <w:style w:type="paragraph" w:styleId="NoteHeading">
    <w:name w:val="Note Heading"/>
    <w:basedOn w:val="Normal"/>
    <w:next w:val="Normal"/>
    <w:link w:val="NoteHeadingChar"/>
    <w:uiPriority w:val="98"/>
    <w:semiHidden/>
    <w:rsid w:val="00CD12EF"/>
  </w:style>
  <w:style w:type="paragraph" w:customStyle="1" w:styleId="ECHRBullet1">
    <w:name w:val="ECHR_Bullet_1"/>
    <w:aliases w:val="_Bul_1"/>
    <w:basedOn w:val="NormalJustified"/>
    <w:uiPriority w:val="23"/>
    <w:semiHidden/>
    <w:qFormat/>
    <w:rsid w:val="00CD12EF"/>
    <w:pPr>
      <w:numPr>
        <w:numId w:val="7"/>
      </w:numPr>
      <w:spacing w:before="60" w:after="60"/>
    </w:pPr>
  </w:style>
  <w:style w:type="paragraph" w:customStyle="1" w:styleId="ECHRBullet2">
    <w:name w:val="ECHR_Bullet_2"/>
    <w:aliases w:val="_Bul_2"/>
    <w:basedOn w:val="ECHRBullet1"/>
    <w:uiPriority w:val="23"/>
    <w:semiHidden/>
    <w:rsid w:val="00CD12EF"/>
    <w:pPr>
      <w:numPr>
        <w:ilvl w:val="1"/>
      </w:numPr>
    </w:pPr>
  </w:style>
  <w:style w:type="paragraph" w:customStyle="1" w:styleId="ECHRBullet3">
    <w:name w:val="ECHR_Bullet_3"/>
    <w:aliases w:val="_Bul_3"/>
    <w:basedOn w:val="ECHRBullet2"/>
    <w:uiPriority w:val="23"/>
    <w:semiHidden/>
    <w:rsid w:val="00CD12EF"/>
    <w:pPr>
      <w:numPr>
        <w:ilvl w:val="2"/>
      </w:numPr>
    </w:pPr>
  </w:style>
  <w:style w:type="paragraph" w:customStyle="1" w:styleId="ECHRBullet4">
    <w:name w:val="ECHR_Bullet_4"/>
    <w:aliases w:val="_Bul_4"/>
    <w:basedOn w:val="ECHRBullet3"/>
    <w:uiPriority w:val="23"/>
    <w:semiHidden/>
    <w:rsid w:val="00CD12EF"/>
    <w:pPr>
      <w:numPr>
        <w:ilvl w:val="3"/>
      </w:numPr>
    </w:pPr>
  </w:style>
  <w:style w:type="paragraph" w:customStyle="1" w:styleId="ECHRConfidential">
    <w:name w:val="ECHR_Confidential"/>
    <w:aliases w:val="_Confidential"/>
    <w:basedOn w:val="Normal"/>
    <w:next w:val="Normal"/>
    <w:uiPriority w:val="42"/>
    <w:semiHidden/>
    <w:qFormat/>
    <w:rsid w:val="00CD12EF"/>
    <w:pPr>
      <w:jc w:val="right"/>
    </w:pPr>
    <w:rPr>
      <w:color w:val="C00000"/>
      <w:sz w:val="20"/>
    </w:rPr>
  </w:style>
  <w:style w:type="paragraph" w:customStyle="1" w:styleId="ECHRDecisionBody">
    <w:name w:val="ECHR_Decision_Body"/>
    <w:aliases w:val="_Decision_Body"/>
    <w:basedOn w:val="NormalJustified"/>
    <w:uiPriority w:val="54"/>
    <w:semiHidden/>
    <w:rsid w:val="00CD12E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D12E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D12E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D12E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D12EF"/>
    <w:pPr>
      <w:jc w:val="right"/>
    </w:pPr>
    <w:rPr>
      <w:sz w:val="20"/>
    </w:rPr>
  </w:style>
  <w:style w:type="paragraph" w:customStyle="1" w:styleId="ECHRHeaderRefIt">
    <w:name w:val="ECHR_Header_Ref_It"/>
    <w:aliases w:val="_Ref_Ital"/>
    <w:basedOn w:val="Normal"/>
    <w:next w:val="ECHRHeaderDate"/>
    <w:uiPriority w:val="43"/>
    <w:semiHidden/>
    <w:qFormat/>
    <w:rsid w:val="00CD12EF"/>
    <w:pPr>
      <w:jc w:val="right"/>
    </w:pPr>
    <w:rPr>
      <w:i/>
      <w:sz w:val="20"/>
    </w:rPr>
  </w:style>
  <w:style w:type="paragraph" w:customStyle="1" w:styleId="ECHRHeading9">
    <w:name w:val="ECHR_Heading_9"/>
    <w:aliases w:val="_Head_9"/>
    <w:basedOn w:val="Heading9"/>
    <w:uiPriority w:val="17"/>
    <w:semiHidden/>
    <w:rsid w:val="00CD12EF"/>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CD12E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D12EF"/>
    <w:pPr>
      <w:numPr>
        <w:numId w:val="9"/>
      </w:numPr>
      <w:spacing w:before="60" w:after="60"/>
    </w:pPr>
  </w:style>
  <w:style w:type="paragraph" w:customStyle="1" w:styleId="ECHRNumberedList2">
    <w:name w:val="ECHR_Numbered_List_2"/>
    <w:aliases w:val="_Num_2"/>
    <w:basedOn w:val="ECHRNumberedList1"/>
    <w:uiPriority w:val="23"/>
    <w:semiHidden/>
    <w:rsid w:val="00CD12EF"/>
    <w:pPr>
      <w:numPr>
        <w:ilvl w:val="1"/>
      </w:numPr>
    </w:pPr>
  </w:style>
  <w:style w:type="paragraph" w:customStyle="1" w:styleId="ECHRNumberedList3">
    <w:name w:val="ECHR_Numbered_List_3"/>
    <w:aliases w:val="_Num_3"/>
    <w:basedOn w:val="ECHRNumberedList2"/>
    <w:uiPriority w:val="23"/>
    <w:semiHidden/>
    <w:rsid w:val="00CD12EF"/>
    <w:pPr>
      <w:numPr>
        <w:ilvl w:val="2"/>
      </w:numPr>
    </w:pPr>
  </w:style>
  <w:style w:type="paragraph" w:customStyle="1" w:styleId="ECHRParaHanging">
    <w:name w:val="ECHR_Para_Hanging"/>
    <w:aliases w:val="_Hanging"/>
    <w:basedOn w:val="Normal"/>
    <w:uiPriority w:val="8"/>
    <w:semiHidden/>
    <w:qFormat/>
    <w:rsid w:val="00CD12EF"/>
    <w:pPr>
      <w:ind w:left="567" w:hanging="567"/>
      <w:jc w:val="both"/>
    </w:pPr>
  </w:style>
  <w:style w:type="paragraph" w:customStyle="1" w:styleId="ECHRParaIndent">
    <w:name w:val="ECHR_Para_Indent"/>
    <w:aliases w:val="_Indent"/>
    <w:basedOn w:val="Normal"/>
    <w:uiPriority w:val="7"/>
    <w:semiHidden/>
    <w:qFormat/>
    <w:rsid w:val="00CD12EF"/>
    <w:pPr>
      <w:spacing w:before="120" w:after="120"/>
      <w:ind w:left="284"/>
      <w:jc w:val="both"/>
    </w:pPr>
  </w:style>
  <w:style w:type="character" w:customStyle="1" w:styleId="ECHRRed">
    <w:name w:val="ECHR_Red"/>
    <w:aliases w:val="_Red"/>
    <w:basedOn w:val="DefaultParagraphFont"/>
    <w:uiPriority w:val="15"/>
    <w:semiHidden/>
    <w:qFormat/>
    <w:rsid w:val="00CD12EF"/>
    <w:rPr>
      <w:color w:val="C00000" w:themeColor="accent2"/>
    </w:rPr>
  </w:style>
  <w:style w:type="paragraph" w:customStyle="1" w:styleId="ECHRSpacer">
    <w:name w:val="ECHR_Spacer"/>
    <w:aliases w:val="_Spacer"/>
    <w:basedOn w:val="Normal"/>
    <w:uiPriority w:val="45"/>
    <w:semiHidden/>
    <w:rsid w:val="00CD12EF"/>
    <w:rPr>
      <w:sz w:val="4"/>
    </w:rPr>
  </w:style>
  <w:style w:type="table" w:customStyle="1" w:styleId="ECHRTable2">
    <w:name w:val="ECHR_Table_2"/>
    <w:basedOn w:val="TableNormal"/>
    <w:uiPriority w:val="99"/>
    <w:rsid w:val="00CD12E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D12E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D12E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D12E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D12E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D12E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D12E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D12E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D12EF"/>
    <w:pPr>
      <w:outlineLvl w:val="0"/>
    </w:pPr>
  </w:style>
  <w:style w:type="paragraph" w:customStyle="1" w:styleId="ECHRTitleTOC1">
    <w:name w:val="ECHR_Title_TOC_1"/>
    <w:aliases w:val="_Title_L_TOC"/>
    <w:basedOn w:val="ECHRTitle1"/>
    <w:next w:val="Normal"/>
    <w:uiPriority w:val="27"/>
    <w:semiHidden/>
    <w:qFormat/>
    <w:rsid w:val="00CD12EF"/>
    <w:pPr>
      <w:outlineLvl w:val="0"/>
    </w:pPr>
  </w:style>
  <w:style w:type="paragraph" w:customStyle="1" w:styleId="DummyStyle">
    <w:name w:val="Dummy_Style"/>
    <w:aliases w:val="_Dummy"/>
    <w:basedOn w:val="Normal"/>
    <w:semiHidden/>
    <w:qFormat/>
    <w:rsid w:val="00CD12EF"/>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B8B578-34E6-4080-97B2-5720CEE48E1B}"/>
</file>

<file path=customXml/itemProps2.xml><?xml version="1.0" encoding="utf-8"?>
<ds:datastoreItem xmlns:ds="http://schemas.openxmlformats.org/officeDocument/2006/customXml" ds:itemID="{09FFD120-1224-4E04-9D60-E54B7EA08982}"/>
</file>

<file path=customXml/itemProps3.xml><?xml version="1.0" encoding="utf-8"?>
<ds:datastoreItem xmlns:ds="http://schemas.openxmlformats.org/officeDocument/2006/customXml" ds:itemID="{444DA9A5-0783-4623-AA6B-019A8D1B0586}"/>
</file>

<file path=customXml/itemProps4.xml><?xml version="1.0" encoding="utf-8"?>
<ds:datastoreItem xmlns:ds="http://schemas.openxmlformats.org/officeDocument/2006/customXml" ds:itemID="{8C3D8B18-5851-408F-A576-A69DF23937DF}"/>
</file>

<file path=docProps/app.xml><?xml version="1.0" encoding="utf-8"?>
<Properties xmlns="http://schemas.openxmlformats.org/officeDocument/2006/extended-properties" xmlns:vt="http://schemas.openxmlformats.org/officeDocument/2006/docPropsVTypes">
  <Template>Normal.dotm</Template>
  <TotalTime>0</TotalTime>
  <Pages>1</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2020-06-04T07:50:00Z</dcterms:created>
  <dcterms:modified xsi:type="dcterms:W3CDTF">2020-06-04T07:50:00Z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31820/18</vt:lpwstr>
  </property>
  <property fmtid="{D5CDD505-2E9C-101B-9397-08002B2CF9AE}" pid="4" name="CASEID">
    <vt:lpwstr>1389856</vt:lpwstr>
  </property>
  <property fmtid="{D5CDD505-2E9C-101B-9397-08002B2CF9AE}" pid="5" name="ContentTypeId">
    <vt:lpwstr>0x010100558EB02BDB9E204AB350EDD385B68E10</vt:lpwstr>
  </property>
</Properties>
</file>