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08CA" w:rsidR="00331922" w:rsidP="004308CA" w:rsidRDefault="00331922">
      <w:pPr>
        <w:jc w:val="center"/>
        <w:rPr>
          <w:rFonts w:ascii="Times New Roman" w:hAnsi="Times New Roman" w:cs="Times New Roman"/>
        </w:rPr>
      </w:pPr>
    </w:p>
    <w:p w:rsidRPr="004308CA" w:rsidR="0098410D" w:rsidP="004308CA" w:rsidRDefault="00331922">
      <w:pPr>
        <w:pStyle w:val="DecHCase"/>
        <w:keepNext w:val="0"/>
        <w:keepLines w:val="0"/>
      </w:pPr>
      <w:r w:rsidRPr="004308CA">
        <w:t>FOURTH SECTION</w:t>
      </w:r>
    </w:p>
    <w:p w:rsidRPr="004308CA" w:rsidR="008E6217" w:rsidP="004308CA" w:rsidRDefault="008E6217">
      <w:pPr>
        <w:pStyle w:val="JuTitle"/>
        <w:keepNext w:val="0"/>
        <w:keepLines w:val="0"/>
      </w:pPr>
      <w:bookmarkStart w:name="To" w:id="0"/>
      <w:r w:rsidRPr="004308CA">
        <w:rPr>
          <w:color w:val="000000" w:themeColor="text1"/>
        </w:rPr>
        <w:t xml:space="preserve">CASE OF </w:t>
      </w:r>
      <w:bookmarkEnd w:id="0"/>
      <w:r w:rsidRPr="004308CA" w:rsidR="00331922">
        <w:t>POTOROC v. ROMANIA</w:t>
      </w:r>
    </w:p>
    <w:p w:rsidRPr="004308CA" w:rsidR="00D74888" w:rsidP="004308CA" w:rsidRDefault="008E6217">
      <w:pPr>
        <w:pStyle w:val="ECHRCoverTitle4"/>
        <w:keepNext w:val="0"/>
        <w:keepLines w:val="0"/>
      </w:pPr>
      <w:r w:rsidRPr="004308CA">
        <w:t>(</w:t>
      </w:r>
      <w:r w:rsidRPr="004308CA" w:rsidR="00331922">
        <w:t>Application no.</w:t>
      </w:r>
      <w:r w:rsidRPr="004308CA">
        <w:t xml:space="preserve"> </w:t>
      </w:r>
      <w:r w:rsidRPr="004308CA" w:rsidR="00331922">
        <w:t>37772/17</w:t>
      </w:r>
      <w:r w:rsidRPr="004308CA">
        <w:t>)</w:t>
      </w:r>
    </w:p>
    <w:p w:rsidRPr="004308CA" w:rsidR="0098410D" w:rsidP="004308CA" w:rsidRDefault="0098410D">
      <w:pPr>
        <w:pStyle w:val="DecHCase"/>
        <w:keepNext w:val="0"/>
        <w:keepLines w:val="0"/>
      </w:pPr>
    </w:p>
    <w:p w:rsidRPr="004308CA" w:rsidR="00AC4CD4" w:rsidP="004308CA" w:rsidRDefault="00AC4CD4">
      <w:pPr>
        <w:pStyle w:val="DecHCase"/>
        <w:keepNext w:val="0"/>
        <w:keepLines w:val="0"/>
      </w:pPr>
    </w:p>
    <w:p w:rsidRPr="004308CA" w:rsidR="0098410D" w:rsidP="004308CA" w:rsidRDefault="0098410D">
      <w:pPr>
        <w:pStyle w:val="DecHCase"/>
        <w:keepNext w:val="0"/>
        <w:keepLines w:val="0"/>
      </w:pPr>
      <w:r w:rsidRPr="004308CA">
        <w:t>JUDGMENT</w:t>
      </w:r>
    </w:p>
    <w:p w:rsidRPr="004308CA" w:rsidR="00537D2D" w:rsidP="004308CA" w:rsidRDefault="004308CA">
      <w:pPr>
        <w:pStyle w:val="DecHCase"/>
        <w:keepNext w:val="0"/>
        <w:keepLines w:val="0"/>
        <w:pBdr>
          <w:top w:val="single" w:color="auto" w:sz="4" w:space="1"/>
          <w:left w:val="single" w:color="auto" w:sz="4" w:space="4"/>
          <w:bottom w:val="single" w:color="auto" w:sz="4" w:space="1"/>
          <w:right w:val="single" w:color="auto" w:sz="4" w:space="4"/>
        </w:pBdr>
        <w:jc w:val="both"/>
      </w:pPr>
      <w:r w:rsidRPr="004308CA">
        <w:t>Art 3 (substantive) • Inhuman and degrading treatment • Inadequate medical care and assistance during the detention for two years and seven months of a seriously ill person confined to a wheelchair • Domestic courts’ decisions assessing the compatibility of the detention with the applicant’s health based on medical reports confirming his ability to remain in prison under the impugned conditions of detention • No adequate measures to accommodate his needs for daily assistance despite help from other inmates • Conditions of detention incompatible with respect for human dignity</w:t>
      </w:r>
    </w:p>
    <w:p w:rsidRPr="004308CA" w:rsidR="00537D2D" w:rsidP="008F5FCC" w:rsidRDefault="00537D2D">
      <w:pPr>
        <w:pStyle w:val="DecHCase"/>
        <w:keepNext w:val="0"/>
        <w:keepLines w:val="0"/>
        <w:spacing w:after="0"/>
      </w:pPr>
    </w:p>
    <w:p w:rsidR="0098410D" w:rsidP="004308CA" w:rsidRDefault="0098410D">
      <w:pPr>
        <w:pStyle w:val="DecHCase"/>
        <w:keepNext w:val="0"/>
        <w:keepLines w:val="0"/>
      </w:pPr>
      <w:r w:rsidRPr="004308CA">
        <w:t>STRASBOURG</w:t>
      </w:r>
    </w:p>
    <w:p w:rsidRPr="0043220D" w:rsidR="008F5FCC" w:rsidP="008F5FCC" w:rsidRDefault="008F5FCC">
      <w:pPr>
        <w:pStyle w:val="DecHCase"/>
        <w:spacing w:after="120"/>
      </w:pPr>
      <w:r w:rsidRPr="0043220D">
        <w:rPr>
          <w:rFonts w:ascii="Times New Roman" w:hAnsi="Times New Roman" w:cs="Times New Roman"/>
        </w:rPr>
        <w:t>2 June 2020</w:t>
      </w:r>
      <w:bookmarkStart w:name="_GoBack" w:id="1"/>
      <w:bookmarkEnd w:id="1"/>
    </w:p>
    <w:p w:rsidRPr="008F5FCC" w:rsidR="008F5FCC" w:rsidP="008F5FCC" w:rsidRDefault="008F5FCC">
      <w:pPr>
        <w:pStyle w:val="JuPara"/>
      </w:pPr>
    </w:p>
    <w:p w:rsidR="005B2E56" w:rsidP="005B2E56" w:rsidRDefault="005B2E56">
      <w:pPr>
        <w:pStyle w:val="jucase0"/>
        <w:ind w:firstLine="0"/>
        <w:jc w:val="center"/>
        <w:rPr>
          <w:color w:val="FF0000"/>
          <w:sz w:val="28"/>
          <w:szCs w:val="28"/>
          <w:u w:val="single"/>
        </w:rPr>
      </w:pPr>
      <w:r w:rsidRPr="00261F46">
        <w:rPr>
          <w:color w:val="FF0000"/>
          <w:sz w:val="28"/>
          <w:szCs w:val="28"/>
          <w:u w:val="single"/>
        </w:rPr>
        <w:t>FINAL</w:t>
      </w:r>
    </w:p>
    <w:p w:rsidR="005B2E56" w:rsidP="005B2E56" w:rsidRDefault="005B2E56">
      <w:pPr>
        <w:pStyle w:val="jucase0"/>
        <w:ind w:firstLine="0"/>
        <w:jc w:val="center"/>
        <w:rPr>
          <w:color w:val="FF0000"/>
          <w:sz w:val="28"/>
          <w:szCs w:val="28"/>
          <w:u w:val="single"/>
        </w:rPr>
      </w:pPr>
    </w:p>
    <w:p w:rsidRPr="00E974D6" w:rsidR="005B2E56" w:rsidP="005B2E56" w:rsidRDefault="005B2E56">
      <w:pPr>
        <w:pStyle w:val="jucase0"/>
        <w:ind w:firstLine="0"/>
        <w:jc w:val="center"/>
        <w:rPr>
          <w:b w:val="0"/>
          <w:color w:val="FF0000"/>
          <w:sz w:val="28"/>
          <w:szCs w:val="28"/>
        </w:rPr>
      </w:pPr>
      <w:r w:rsidRPr="00E974D6">
        <w:rPr>
          <w:b w:val="0"/>
          <w:color w:val="FF0000"/>
          <w:sz w:val="28"/>
          <w:szCs w:val="28"/>
        </w:rPr>
        <w:t>02/09/2020</w:t>
      </w:r>
    </w:p>
    <w:p w:rsidR="005B2E56" w:rsidP="005B2E56" w:rsidRDefault="005B2E56">
      <w:pPr>
        <w:pStyle w:val="jupara0"/>
        <w:ind w:firstLine="0"/>
        <w:jc w:val="center"/>
      </w:pPr>
    </w:p>
    <w:p w:rsidRPr="00261F46" w:rsidR="005B2E56" w:rsidP="005B2E56" w:rsidRDefault="005B2E56">
      <w:pPr>
        <w:pStyle w:val="jupara0"/>
        <w:ind w:firstLine="0"/>
        <w:jc w:val="center"/>
      </w:pPr>
    </w:p>
    <w:p w:rsidRPr="004308CA" w:rsidR="002422B6" w:rsidP="005B2E56" w:rsidRDefault="005B2E56">
      <w:pPr>
        <w:rPr>
          <w:i/>
          <w:sz w:val="22"/>
        </w:rPr>
      </w:pPr>
      <w:r w:rsidRPr="00261F46">
        <w:rPr>
          <w:i/>
          <w:iCs/>
          <w:sz w:val="22"/>
          <w:szCs w:val="22"/>
        </w:rPr>
        <w:t>This judgment has become final under Article 44 § 2 of the Convention. It may be subject to editorial revision.</w:t>
      </w:r>
    </w:p>
    <w:p w:rsidRPr="004308CA" w:rsidR="0098410D" w:rsidP="004308CA" w:rsidRDefault="0098410D">
      <w:pPr>
        <w:sectPr w:rsidRPr="004308C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308CA" w:rsidR="0098410D" w:rsidP="004308CA" w:rsidRDefault="0098410D">
      <w:pPr>
        <w:pStyle w:val="JuCase"/>
      </w:pPr>
      <w:r w:rsidRPr="004308CA">
        <w:t xml:space="preserve">In the case of </w:t>
      </w:r>
      <w:proofErr w:type="spellStart"/>
      <w:r w:rsidRPr="004308CA" w:rsidR="00331922">
        <w:t>Potoroc</w:t>
      </w:r>
      <w:proofErr w:type="spellEnd"/>
      <w:r w:rsidRPr="004308CA" w:rsidR="00331922">
        <w:t xml:space="preserve"> v. Romania</w:t>
      </w:r>
      <w:r w:rsidRPr="004308CA">
        <w:t>,</w:t>
      </w:r>
    </w:p>
    <w:p w:rsidRPr="004308CA" w:rsidR="009F4C8F" w:rsidP="004308CA" w:rsidRDefault="009F4C8F">
      <w:pPr>
        <w:pStyle w:val="JuPara"/>
      </w:pPr>
      <w:r w:rsidRPr="004308CA">
        <w:t>The European Court of Human Rights (</w:t>
      </w:r>
      <w:r w:rsidRPr="004308CA" w:rsidR="00331922">
        <w:t>Fourth Section</w:t>
      </w:r>
      <w:r w:rsidRPr="004308CA">
        <w:t xml:space="preserve">), sitting as a </w:t>
      </w:r>
      <w:r w:rsidRPr="004308CA" w:rsidR="00331922">
        <w:t>Chamber</w:t>
      </w:r>
      <w:r w:rsidRPr="004308CA">
        <w:t xml:space="preserve"> composed of:</w:t>
      </w:r>
    </w:p>
    <w:p w:rsidRPr="004308CA" w:rsidR="009F4C8F" w:rsidP="004308CA" w:rsidRDefault="00E250EB">
      <w:pPr>
        <w:pStyle w:val="JuJudges"/>
      </w:pPr>
      <w:r w:rsidRPr="004308CA">
        <w:tab/>
        <w:t xml:space="preserve">Jon </w:t>
      </w:r>
      <w:proofErr w:type="spellStart"/>
      <w:r w:rsidRPr="004308CA">
        <w:t>Fridrik</w:t>
      </w:r>
      <w:proofErr w:type="spellEnd"/>
      <w:r w:rsidRPr="004308CA">
        <w:t xml:space="preserve"> </w:t>
      </w:r>
      <w:proofErr w:type="spellStart"/>
      <w:r w:rsidRPr="004308CA">
        <w:t>Kjølbro</w:t>
      </w:r>
      <w:proofErr w:type="spellEnd"/>
      <w:r w:rsidRPr="004308CA">
        <w:t>,</w:t>
      </w:r>
      <w:r w:rsidRPr="004308CA">
        <w:rPr>
          <w:i/>
        </w:rPr>
        <w:t xml:space="preserve"> President,</w:t>
      </w:r>
      <w:r w:rsidRPr="004308CA">
        <w:rPr>
          <w:i/>
        </w:rPr>
        <w:br/>
      </w:r>
      <w:r w:rsidRPr="004308CA">
        <w:tab/>
      </w:r>
      <w:proofErr w:type="spellStart"/>
      <w:r w:rsidRPr="004308CA">
        <w:t>Faris</w:t>
      </w:r>
      <w:proofErr w:type="spellEnd"/>
      <w:r w:rsidRPr="004308CA">
        <w:t xml:space="preserve"> </w:t>
      </w:r>
      <w:proofErr w:type="spellStart"/>
      <w:r w:rsidRPr="004308CA">
        <w:t>Vehabović</w:t>
      </w:r>
      <w:proofErr w:type="spellEnd"/>
      <w:r w:rsidRPr="004308CA">
        <w:t>,</w:t>
      </w:r>
      <w:r w:rsidRPr="004308CA">
        <w:rPr>
          <w:i/>
        </w:rPr>
        <w:br/>
      </w:r>
      <w:r w:rsidRPr="004308CA">
        <w:tab/>
        <w:t xml:space="preserve">Iulia </w:t>
      </w:r>
      <w:proofErr w:type="spellStart"/>
      <w:r w:rsidRPr="004308CA">
        <w:t>Antoanella</w:t>
      </w:r>
      <w:proofErr w:type="spellEnd"/>
      <w:r w:rsidRPr="004308CA">
        <w:t xml:space="preserve"> Motoc,</w:t>
      </w:r>
      <w:r w:rsidRPr="004308CA">
        <w:rPr>
          <w:i/>
        </w:rPr>
        <w:br/>
      </w:r>
      <w:r w:rsidRPr="004308CA">
        <w:tab/>
        <w:t>Carlo Ranzoni,</w:t>
      </w:r>
      <w:r w:rsidRPr="004308CA">
        <w:rPr>
          <w:i/>
        </w:rPr>
        <w:br/>
      </w:r>
      <w:r w:rsidRPr="004308CA">
        <w:tab/>
        <w:t xml:space="preserve">Stéphanie </w:t>
      </w:r>
      <w:proofErr w:type="spellStart"/>
      <w:r w:rsidRPr="004308CA">
        <w:t>Mourou-Vikström</w:t>
      </w:r>
      <w:proofErr w:type="spellEnd"/>
      <w:r w:rsidRPr="004308CA">
        <w:t>,</w:t>
      </w:r>
      <w:r w:rsidRPr="004308CA">
        <w:rPr>
          <w:i/>
        </w:rPr>
        <w:br/>
      </w:r>
      <w:r w:rsidRPr="004308CA">
        <w:tab/>
        <w:t xml:space="preserve">Georges </w:t>
      </w:r>
      <w:proofErr w:type="spellStart"/>
      <w:r w:rsidRPr="004308CA">
        <w:t>Ravarani</w:t>
      </w:r>
      <w:proofErr w:type="spellEnd"/>
      <w:r w:rsidRPr="004308CA">
        <w:t>,</w:t>
      </w:r>
      <w:r w:rsidRPr="004308CA">
        <w:rPr>
          <w:i/>
        </w:rPr>
        <w:br/>
      </w:r>
      <w:r w:rsidRPr="004308CA">
        <w:tab/>
      </w:r>
      <w:proofErr w:type="spellStart"/>
      <w:r w:rsidRPr="004308CA">
        <w:t>Péter</w:t>
      </w:r>
      <w:proofErr w:type="spellEnd"/>
      <w:r w:rsidRPr="004308CA">
        <w:t xml:space="preserve"> </w:t>
      </w:r>
      <w:proofErr w:type="spellStart"/>
      <w:r w:rsidRPr="004308CA">
        <w:t>Paczolay</w:t>
      </w:r>
      <w:proofErr w:type="spellEnd"/>
      <w:r w:rsidRPr="004308CA">
        <w:t>,</w:t>
      </w:r>
      <w:r w:rsidRPr="004308CA">
        <w:rPr>
          <w:i/>
        </w:rPr>
        <w:t xml:space="preserve"> judges,</w:t>
      </w:r>
      <w:r w:rsidRPr="004308CA" w:rsidR="009F4C8F">
        <w:br/>
        <w:t xml:space="preserve">and </w:t>
      </w:r>
      <w:r w:rsidRPr="004308CA" w:rsidR="00331922">
        <w:t>Andrea Tamietti</w:t>
      </w:r>
      <w:r w:rsidRPr="004308CA" w:rsidR="009F4C8F">
        <w:t xml:space="preserve">, </w:t>
      </w:r>
      <w:r w:rsidRPr="004308CA" w:rsidR="00331922">
        <w:rPr>
          <w:i/>
        </w:rPr>
        <w:t xml:space="preserve">Section </w:t>
      </w:r>
      <w:r w:rsidRPr="004308CA" w:rsidR="00331922">
        <w:rPr>
          <w:i/>
          <w:iCs/>
        </w:rPr>
        <w:t>Registrar</w:t>
      </w:r>
      <w:r w:rsidRPr="004308CA" w:rsidR="009F4C8F">
        <w:rPr>
          <w:i/>
        </w:rPr>
        <w:t>,</w:t>
      </w:r>
    </w:p>
    <w:p w:rsidRPr="004308CA" w:rsidR="00331922" w:rsidP="004308CA" w:rsidRDefault="00331922">
      <w:pPr>
        <w:pStyle w:val="JuPara"/>
      </w:pPr>
      <w:bookmarkStart w:name="ITMARKHavingStart" w:id="2"/>
      <w:bookmarkEnd w:id="2"/>
      <w:r w:rsidRPr="004308CA">
        <w:t xml:space="preserve">Having </w:t>
      </w:r>
      <w:proofErr w:type="gramStart"/>
      <w:r w:rsidRPr="004308CA">
        <w:t>regard</w:t>
      </w:r>
      <w:proofErr w:type="gramEnd"/>
      <w:r w:rsidRPr="004308CA">
        <w:t xml:space="preserve"> to:</w:t>
      </w:r>
    </w:p>
    <w:p w:rsidRPr="004308CA" w:rsidR="00331922" w:rsidP="004308CA" w:rsidRDefault="00331922">
      <w:pPr>
        <w:pStyle w:val="JuPara"/>
      </w:pPr>
      <w:proofErr w:type="gramStart"/>
      <w:r w:rsidRPr="004308CA">
        <w:t>the</w:t>
      </w:r>
      <w:proofErr w:type="gramEnd"/>
      <w:r w:rsidRPr="004308CA">
        <w:t xml:space="preserve"> application against Romania lodged with the Court under Article</w:t>
      </w:r>
      <w:r w:rsidRPr="004308CA" w:rsidR="00E250EB">
        <w:t> </w:t>
      </w:r>
      <w:r w:rsidRPr="004308CA">
        <w:t>34 of the Convention for the Protection of Human Rights and Fundamental Freedoms (“the Convention”) by a Romanian national, Mr</w:t>
      </w:r>
      <w:r w:rsidRPr="004308CA" w:rsidR="00E250EB">
        <w:t> </w:t>
      </w:r>
      <w:proofErr w:type="spellStart"/>
      <w:r w:rsidRPr="004308CA">
        <w:t>Ioan</w:t>
      </w:r>
      <w:proofErr w:type="spellEnd"/>
      <w:r w:rsidRPr="004308CA" w:rsidR="00E250EB">
        <w:t> </w:t>
      </w:r>
      <w:proofErr w:type="spellStart"/>
      <w:r w:rsidRPr="004308CA">
        <w:t>Potoroc</w:t>
      </w:r>
      <w:proofErr w:type="spellEnd"/>
      <w:r w:rsidRPr="004308CA">
        <w:t xml:space="preserve"> (“the applicant”), on 17 May 2017;</w:t>
      </w:r>
    </w:p>
    <w:p w:rsidRPr="004308CA" w:rsidR="00331922" w:rsidP="004308CA" w:rsidRDefault="00331922">
      <w:pPr>
        <w:pStyle w:val="JuPara"/>
      </w:pPr>
      <w:proofErr w:type="gramStart"/>
      <w:r w:rsidRPr="004308CA">
        <w:t>the</w:t>
      </w:r>
      <w:proofErr w:type="gramEnd"/>
      <w:r w:rsidRPr="004308CA">
        <w:t xml:space="preserve"> decision to give notice to the Romanian Government (“the Government”) of the complaint concerning Article 3 of the Convention;</w:t>
      </w:r>
    </w:p>
    <w:p w:rsidRPr="004308CA" w:rsidR="00331922" w:rsidP="004308CA" w:rsidRDefault="00331922">
      <w:pPr>
        <w:pStyle w:val="JuPara"/>
      </w:pPr>
      <w:proofErr w:type="gramStart"/>
      <w:r w:rsidRPr="004308CA">
        <w:t>the</w:t>
      </w:r>
      <w:proofErr w:type="gramEnd"/>
      <w:r w:rsidRPr="004308CA">
        <w:t xml:space="preserve"> parties</w:t>
      </w:r>
      <w:r w:rsidRPr="004308CA" w:rsidR="004308CA">
        <w:t>’</w:t>
      </w:r>
      <w:r w:rsidRPr="004308CA">
        <w:t xml:space="preserve"> observations;</w:t>
      </w:r>
    </w:p>
    <w:p w:rsidRPr="004308CA" w:rsidR="009F4C8F" w:rsidP="004308CA" w:rsidRDefault="009F4C8F">
      <w:pPr>
        <w:pStyle w:val="JuPara"/>
      </w:pPr>
      <w:r w:rsidRPr="004308CA">
        <w:t xml:space="preserve">Having deliberated in private on </w:t>
      </w:r>
      <w:r w:rsidRPr="004308CA" w:rsidR="00331922">
        <w:t>15 April 2020</w:t>
      </w:r>
      <w:r w:rsidRPr="004308CA">
        <w:t>,</w:t>
      </w:r>
    </w:p>
    <w:p w:rsidRPr="004308CA" w:rsidR="009F4C8F" w:rsidP="004308CA" w:rsidRDefault="009F4C8F">
      <w:pPr>
        <w:pStyle w:val="JuPara"/>
      </w:pPr>
      <w:r w:rsidRPr="004308CA">
        <w:t>Delivers the following judgment, which was adopted on that date:</w:t>
      </w:r>
    </w:p>
    <w:p w:rsidRPr="004308CA" w:rsidR="00331922" w:rsidP="004308CA" w:rsidRDefault="00331922">
      <w:pPr>
        <w:pStyle w:val="JuHHead"/>
        <w:keepNext w:val="0"/>
        <w:keepLines w:val="0"/>
        <w:numPr>
          <w:ilvl w:val="0"/>
          <w:numId w:val="0"/>
        </w:numPr>
      </w:pPr>
      <w:r w:rsidRPr="004308CA">
        <w:t>INTRODUCTION</w:t>
      </w:r>
    </w:p>
    <w:p w:rsidRPr="004308CA" w:rsidR="00331922" w:rsidP="004308CA" w:rsidRDefault="00331922">
      <w:pPr>
        <w:pStyle w:val="JuPara"/>
      </w:pPr>
      <w:r w:rsidRPr="004308CA">
        <w:t>The case concerns the applicant</w:t>
      </w:r>
      <w:r w:rsidRPr="004308CA" w:rsidR="004308CA">
        <w:t>’</w:t>
      </w:r>
      <w:r w:rsidRPr="004308CA">
        <w:t>s continued detention and the conditions in which he was detained despite being seriously ill.</w:t>
      </w:r>
    </w:p>
    <w:p w:rsidRPr="004308CA" w:rsidR="00331922" w:rsidP="004308CA" w:rsidRDefault="00331922">
      <w:pPr>
        <w:pStyle w:val="JuHHead"/>
        <w:keepNext w:val="0"/>
        <w:keepLines w:val="0"/>
      </w:pPr>
      <w:r w:rsidRPr="004308CA">
        <w:t>THE FACTS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w:t>
      </w:r>
      <w:r w:rsidRPr="004308CA">
        <w:fldChar w:fldCharType="end"/>
      </w:r>
      <w:r w:rsidRPr="004308CA">
        <w:t xml:space="preserve">.  The applicant was born in 1953 and lives in Bucharest. He was represented by Mr N. </w:t>
      </w:r>
      <w:proofErr w:type="spellStart"/>
      <w:r w:rsidRPr="004308CA">
        <w:t>Olteanu</w:t>
      </w:r>
      <w:proofErr w:type="spellEnd"/>
      <w:r w:rsidRPr="004308CA">
        <w:t>, a lawyer practising in Bucharest.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w:t>
      </w:r>
      <w:r w:rsidRPr="004308CA">
        <w:fldChar w:fldCharType="end"/>
      </w:r>
      <w:r w:rsidRPr="004308CA">
        <w:t>.  The Government were represented by their Agent, most recently Ms O.</w:t>
      </w:r>
      <w:r w:rsidRPr="004308CA" w:rsidR="00E250EB">
        <w:t> </w:t>
      </w:r>
      <w:proofErr w:type="spellStart"/>
      <w:r w:rsidRPr="004308CA">
        <w:t>Ezer</w:t>
      </w:r>
      <w:proofErr w:type="spellEnd"/>
      <w:r w:rsidRPr="004308CA">
        <w:t xml:space="preserve"> from the Ministry of Foreign Affairs.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w:t>
      </w:r>
      <w:r w:rsidRPr="004308CA">
        <w:fldChar w:fldCharType="end"/>
      </w:r>
      <w:r w:rsidRPr="004308CA">
        <w:t>.  The facts of the case, as submitted by the parties, may be summarised as follows.</w:t>
      </w:r>
    </w:p>
    <w:p w:rsidRPr="004308CA" w:rsidR="00331922" w:rsidP="004308CA" w:rsidRDefault="00331922">
      <w:pPr>
        <w:pStyle w:val="JuHA"/>
      </w:pPr>
      <w:r w:rsidRPr="004308CA">
        <w:t>The applicant</w:t>
      </w:r>
      <w:r w:rsidRPr="004308CA" w:rsidR="004308CA">
        <w:t>’</w:t>
      </w:r>
      <w:r w:rsidRPr="004308CA">
        <w:t>s health</w:t>
      </w:r>
    </w:p>
    <w:bookmarkStart w:name="general_health" w:id="3"/>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w:t>
      </w:r>
      <w:r w:rsidRPr="004308CA">
        <w:fldChar w:fldCharType="end"/>
      </w:r>
      <w:bookmarkEnd w:id="3"/>
      <w:r w:rsidRPr="004308CA">
        <w:t>.  The applicant suffers from various medical disorders, including brain damage following several strokes, hemiparesis, prostate adenoma, as well as impaired hearing and severe psycho-organic syndrome (a progressive disease comparable to pre-senile dementia). The applicant, who was at the time of the lodging of the application 64 years of age, is obliged to use a wheelchair and requires permanent assistance, as well as continuous medical care.</w:t>
      </w:r>
    </w:p>
    <w:p w:rsidRPr="004308CA" w:rsidR="00331922" w:rsidP="004308CA" w:rsidRDefault="00331922">
      <w:pPr>
        <w:pStyle w:val="JuHA"/>
      </w:pPr>
      <w:r w:rsidRPr="004308CA">
        <w:t>The applicant</w:t>
      </w:r>
      <w:r w:rsidRPr="004308CA" w:rsidR="004308CA">
        <w:t>’</w:t>
      </w:r>
      <w:r w:rsidRPr="004308CA">
        <w:t>s detention</w:t>
      </w:r>
    </w:p>
    <w:bookmarkStart w:name="criminal_proceedings_initiated" w:id="4"/>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w:t>
      </w:r>
      <w:r w:rsidRPr="004308CA">
        <w:fldChar w:fldCharType="end"/>
      </w:r>
      <w:bookmarkEnd w:id="4"/>
      <w:r w:rsidRPr="004308CA">
        <w:t>.  In 2004 the applicant was sent for trial before the domestic criminal courts, accused of having committed several crimes in connection with drug trafficking. In the final judgment of 28 April 2009, the High Court of Cassation and Justice convicted the applicant for involvement in international drug trafficking and sentenced him to fifteen years</w:t>
      </w:r>
      <w:r w:rsidRPr="004308CA" w:rsidR="004308CA">
        <w:t>’</w:t>
      </w:r>
      <w:r w:rsidRPr="004308CA">
        <w:t xml:space="preserve"> imprisonment.</w:t>
      </w:r>
    </w:p>
    <w:bookmarkStart w:name="first_rep_06" w:id="5"/>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w:t>
      </w:r>
      <w:r w:rsidRPr="004308CA">
        <w:fldChar w:fldCharType="end"/>
      </w:r>
      <w:bookmarkEnd w:id="5"/>
      <w:r w:rsidRPr="004308CA">
        <w:t>.  The medical reports drawn up pending trial, specifically on 12</w:t>
      </w:r>
      <w:r w:rsidRPr="004308CA" w:rsidR="00E250EB">
        <w:t> </w:t>
      </w:r>
      <w:r w:rsidRPr="004308CA">
        <w:t>June</w:t>
      </w:r>
      <w:r w:rsidRPr="004308CA" w:rsidR="00537D2D">
        <w:t xml:space="preserve"> </w:t>
      </w:r>
      <w:r w:rsidRPr="004308CA">
        <w:t>2006 and 3 November 2006 by a board from the National Institute of Forensic Medicine (hereinafter “the NIFM”), concluded that the prison medical network was capable of providing adequate medical care to the applicant, who had been suffering from brain damage following several strokes in 2005, hemiparesis, severely high blood pressure, as well as impaired hearing (severe for the right ear and moderate for the left ear), severe psycho-organic syndrome and a minor depressive episode.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w:t>
      </w:r>
      <w:r w:rsidRPr="004308CA">
        <w:fldChar w:fldCharType="end"/>
      </w:r>
      <w:r w:rsidRPr="004308CA">
        <w:t xml:space="preserve">.  The applicant was placed in </w:t>
      </w:r>
      <w:proofErr w:type="spellStart"/>
      <w:r w:rsidRPr="004308CA">
        <w:t>Rahova</w:t>
      </w:r>
      <w:proofErr w:type="spellEnd"/>
      <w:r w:rsidRPr="004308CA">
        <w:t xml:space="preserve"> P</w:t>
      </w:r>
      <w:r w:rsidRPr="004308CA" w:rsidR="00E250EB">
        <w:t>rison starting with 25 Feb</w:t>
      </w:r>
      <w:r w:rsidRPr="004308CA" w:rsidR="00537D2D">
        <w:t xml:space="preserve">ruary </w:t>
      </w:r>
      <w:r w:rsidRPr="004308CA">
        <w:t xml:space="preserve">2011; between 11 and 31 March 2011 he was hospitalised in </w:t>
      </w:r>
      <w:proofErr w:type="spellStart"/>
      <w:r w:rsidRPr="004308CA">
        <w:t>Jilava</w:t>
      </w:r>
      <w:proofErr w:type="spellEnd"/>
      <w:r w:rsidRPr="004308CA">
        <w:t xml:space="preserve"> Prison Hospital. Upon his return from the hospital, the applicant, who had to use a wheelchair, refused to be placed in the medical wing of </w:t>
      </w:r>
      <w:proofErr w:type="spellStart"/>
      <w:r w:rsidRPr="004308CA">
        <w:t>Rahova</w:t>
      </w:r>
      <w:proofErr w:type="spellEnd"/>
      <w:r w:rsidRPr="004308CA">
        <w:t xml:space="preserve"> Prison on account of the fact that it was situated on the first floor, which would make it more difficult for him to get outside for fresh air as there were no ramps available; therefore he was placed in a regular cell.</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w:t>
      </w:r>
      <w:r w:rsidRPr="004308CA">
        <w:fldChar w:fldCharType="end"/>
      </w:r>
      <w:r w:rsidRPr="004308CA">
        <w:t>.  In between 25 February 2011 and 7 Augus</w:t>
      </w:r>
      <w:r w:rsidRPr="004308CA" w:rsidR="00E250EB">
        <w:t>t 2012, the applicant spent 350 </w:t>
      </w:r>
      <w:r w:rsidRPr="004308CA">
        <w:t>days out of 529 in prison hospitals.</w:t>
      </w:r>
    </w:p>
    <w:bookmarkStart w:name="certificate_disability_2011" w:id="6"/>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9</w:t>
      </w:r>
      <w:r w:rsidRPr="004308CA">
        <w:fldChar w:fldCharType="end"/>
      </w:r>
      <w:bookmarkEnd w:id="6"/>
      <w:r w:rsidRPr="004308CA">
        <w:t xml:space="preserve">.  On 1 November 2011 the </w:t>
      </w:r>
      <w:proofErr w:type="spellStart"/>
      <w:r w:rsidRPr="004308CA">
        <w:t>Arge</w:t>
      </w:r>
      <w:r w:rsidRPr="004308CA">
        <w:rPr>
          <w:rFonts w:cstheme="minorHAnsi"/>
        </w:rPr>
        <w:t>ş</w:t>
      </w:r>
      <w:proofErr w:type="spellEnd"/>
      <w:r w:rsidRPr="004308CA">
        <w:t xml:space="preserve"> Commission for the Medical Assessment of Adults with Disabilities issued a certificate, finding that based on the relevant domestic law, the applicant</w:t>
      </w:r>
      <w:r w:rsidRPr="004308CA" w:rsidR="004308CA">
        <w:t>’</w:t>
      </w:r>
      <w:r w:rsidRPr="004308CA">
        <w:t>s state of health had not necessitated a personal assistant. This assessment was confirmed by a higher commission on 1 March 2012, the certificate stating that the applicant did not have any functional deficiency.</w:t>
      </w:r>
    </w:p>
    <w:bookmarkStart w:name="released_2012" w:id="7"/>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10</w:t>
      </w:r>
      <w:r w:rsidRPr="004308CA">
        <w:fldChar w:fldCharType="end"/>
      </w:r>
      <w:bookmarkEnd w:id="7"/>
      <w:r w:rsidRPr="004308CA">
        <w:t>.  On 7 August 2012 the applicant was released based on the judgment given on the same date (see paragraphs</w:t>
      </w:r>
      <w:r w:rsidRPr="004308CA" w:rsidR="00E250EB">
        <w:t xml:space="preserve"> 25-27</w:t>
      </w:r>
      <w:r w:rsidRPr="004308CA">
        <w:t xml:space="preserve"> below).</w:t>
      </w:r>
    </w:p>
    <w:bookmarkStart w:name="ischemic_stroke" w:id="8"/>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11</w:t>
      </w:r>
      <w:r w:rsidRPr="004308CA">
        <w:fldChar w:fldCharType="end"/>
      </w:r>
      <w:bookmarkEnd w:id="8"/>
      <w:r w:rsidRPr="004308CA">
        <w:t>.  In October 2012 he suffered an ischemic stroke, which was treated in a public hospital in Bucharest.</w:t>
      </w:r>
    </w:p>
    <w:bookmarkStart w:name="reimprisonment" w:id="9"/>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12</w:t>
      </w:r>
      <w:r w:rsidRPr="004308CA">
        <w:fldChar w:fldCharType="end"/>
      </w:r>
      <w:bookmarkEnd w:id="9"/>
      <w:r w:rsidRPr="004308CA">
        <w:t>.  The applicant remained out of prison until 5 January 2015, when his reimprisonment was ordered in execution of the judgment of 4 </w:t>
      </w:r>
      <w:r w:rsidRPr="004308CA" w:rsidR="00537D2D">
        <w:t xml:space="preserve">December </w:t>
      </w:r>
      <w:r w:rsidRPr="004308CA">
        <w:t>2014 (see paragraph</w:t>
      </w:r>
      <w:r w:rsidRPr="004308CA" w:rsidR="00E250EB">
        <w:t xml:space="preserve"> 33</w:t>
      </w:r>
      <w:r w:rsidRPr="004308CA">
        <w:t xml:space="preserve"> below). Subsequently</w:t>
      </w:r>
      <w:r w:rsidRPr="004308CA" w:rsidR="00537D2D">
        <w:t xml:space="preserve">, on 7 January </w:t>
      </w:r>
      <w:r w:rsidRPr="004308CA">
        <w:t xml:space="preserve">2015 the applicant was transferred to </w:t>
      </w:r>
      <w:proofErr w:type="spellStart"/>
      <w:r w:rsidRPr="004308CA">
        <w:t>Jilava</w:t>
      </w:r>
      <w:proofErr w:type="spellEnd"/>
      <w:r w:rsidRPr="004308CA">
        <w:t xml:space="preserve"> Prison Hospital.</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13</w:t>
      </w:r>
      <w:r w:rsidRPr="004308CA">
        <w:fldChar w:fldCharType="end"/>
      </w:r>
      <w:r w:rsidRPr="004308CA">
        <w:t>.  The applicant challenged his reimprisonment, in view of the fact that the judgment of 4 December 2014 was not final and therefore not enforceable.</w:t>
      </w:r>
    </w:p>
    <w:bookmarkStart w:name="second_release_9Jan" w:id="10"/>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14</w:t>
      </w:r>
      <w:r w:rsidRPr="004308CA">
        <w:fldChar w:fldCharType="end"/>
      </w:r>
      <w:bookmarkEnd w:id="10"/>
      <w:r w:rsidRPr="004308CA">
        <w:t>. </w:t>
      </w:r>
      <w:r w:rsidRPr="004308CA" w:rsidR="00E250EB">
        <w:t> </w:t>
      </w:r>
      <w:r w:rsidRPr="004308CA">
        <w:t>His application was allowed and he was consequently released on 9</w:t>
      </w:r>
      <w:r w:rsidRPr="004308CA" w:rsidR="00537D2D">
        <w:t xml:space="preserve"> January </w:t>
      </w:r>
      <w:r w:rsidRPr="004308CA">
        <w:t>2015.</w:t>
      </w:r>
    </w:p>
    <w:bookmarkStart w:name="second_reimprisonment_March" w:id="11"/>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15</w:t>
      </w:r>
      <w:r w:rsidRPr="004308CA">
        <w:fldChar w:fldCharType="end"/>
      </w:r>
      <w:bookmarkEnd w:id="11"/>
      <w:r w:rsidRPr="004308CA">
        <w:t>.  On 26 February 2015 the said judgment became final, once it had been confirmed on appeal by the Bucharest Court of Appeal (see paragraph </w:t>
      </w:r>
      <w:r w:rsidRPr="004308CA" w:rsidR="00E250EB">
        <w:t>35</w:t>
      </w:r>
      <w:r w:rsidRPr="004308CA">
        <w:t xml:space="preserve"> below). The applicant was consequently </w:t>
      </w:r>
      <w:proofErr w:type="spellStart"/>
      <w:r w:rsidRPr="004308CA">
        <w:t>reimprisoned</w:t>
      </w:r>
      <w:proofErr w:type="spellEnd"/>
      <w:r w:rsidRPr="004308CA">
        <w:t xml:space="preserve"> on 9 March 2015.</w:t>
      </w:r>
    </w:p>
    <w:bookmarkStart w:name="transfers_prisons" w:id="12"/>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16</w:t>
      </w:r>
      <w:r w:rsidRPr="004308CA">
        <w:fldChar w:fldCharType="end"/>
      </w:r>
      <w:bookmarkEnd w:id="12"/>
      <w:r w:rsidRPr="004308CA">
        <w:t xml:space="preserve">.  Lastly, he was placed on and off in </w:t>
      </w:r>
      <w:proofErr w:type="spellStart"/>
      <w:r w:rsidRPr="004308CA">
        <w:t>Mioveni</w:t>
      </w:r>
      <w:proofErr w:type="spellEnd"/>
      <w:r w:rsidRPr="004308CA">
        <w:t xml:space="preserve"> (</w:t>
      </w:r>
      <w:proofErr w:type="spellStart"/>
      <w:r w:rsidRPr="004308CA">
        <w:t>Coliba</w:t>
      </w:r>
      <w:r w:rsidRPr="004308CA">
        <w:rPr>
          <w:rFonts w:cstheme="minorHAnsi"/>
        </w:rPr>
        <w:t>ş</w:t>
      </w:r>
      <w:r w:rsidRPr="004308CA">
        <w:t>i</w:t>
      </w:r>
      <w:proofErr w:type="spellEnd"/>
      <w:r w:rsidRPr="004308CA">
        <w:t xml:space="preserve">) Prison Hospital for </w:t>
      </w:r>
      <w:proofErr w:type="gramStart"/>
      <w:r w:rsidRPr="004308CA">
        <w:t>a duration</w:t>
      </w:r>
      <w:proofErr w:type="gramEnd"/>
      <w:r w:rsidRPr="004308CA">
        <w:t xml:space="preserve"> of one year and eleven months, until his release on 20</w:t>
      </w:r>
      <w:r w:rsidRPr="004308CA" w:rsidR="00841358">
        <w:t> </w:t>
      </w:r>
      <w:r w:rsidRPr="004308CA">
        <w:t>September</w:t>
      </w:r>
      <w:r w:rsidRPr="004308CA" w:rsidR="00841358">
        <w:t> </w:t>
      </w:r>
      <w:r w:rsidRPr="004308CA">
        <w:t>2017 (see also paragraph</w:t>
      </w:r>
      <w:r w:rsidRPr="004308CA" w:rsidR="00841358">
        <w:t xml:space="preserve"> 21</w:t>
      </w:r>
      <w:r w:rsidRPr="004308CA">
        <w:t xml:space="preserve"> below). During that time, he was also placed in </w:t>
      </w:r>
      <w:proofErr w:type="spellStart"/>
      <w:r w:rsidRPr="004308CA">
        <w:t>Rahova</w:t>
      </w:r>
      <w:proofErr w:type="spellEnd"/>
      <w:r w:rsidRPr="004308CA">
        <w:t xml:space="preserve"> Prison for a period of two and a half months, </w:t>
      </w:r>
      <w:proofErr w:type="spellStart"/>
      <w:r w:rsidRPr="004308CA">
        <w:t>Jilava</w:t>
      </w:r>
      <w:proofErr w:type="spellEnd"/>
      <w:r w:rsidRPr="004308CA">
        <w:t xml:space="preserve"> Prison Hospital for some three and a half months (several non-consecutive periods), </w:t>
      </w:r>
      <w:proofErr w:type="spellStart"/>
      <w:r w:rsidRPr="004308CA">
        <w:t>Rahova</w:t>
      </w:r>
      <w:proofErr w:type="spellEnd"/>
      <w:r w:rsidRPr="004308CA">
        <w:t xml:space="preserve"> Prison Hospital for about two months (several non</w:t>
      </w:r>
      <w:r w:rsidRPr="004308CA" w:rsidR="009B695A">
        <w:noBreakHyphen/>
      </w:r>
      <w:r w:rsidRPr="004308CA">
        <w:t xml:space="preserve">consecutive periods), Giurgiu Prison (thirteen days) and </w:t>
      </w:r>
      <w:proofErr w:type="spellStart"/>
      <w:r w:rsidRPr="004308CA">
        <w:t>Coliba</w:t>
      </w:r>
      <w:r w:rsidRPr="004308CA">
        <w:rPr>
          <w:rFonts w:cstheme="minorHAnsi"/>
        </w:rPr>
        <w:t>ş</w:t>
      </w:r>
      <w:r w:rsidRPr="004308CA">
        <w:t>i</w:t>
      </w:r>
      <w:proofErr w:type="spellEnd"/>
      <w:r w:rsidRPr="004308CA">
        <w:t xml:space="preserve"> Prison for some two and a half months (non-consecutive periods).</w:t>
      </w:r>
    </w:p>
    <w:bookmarkStart w:name="inmates_assist" w:id="13"/>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17</w:t>
      </w:r>
      <w:r w:rsidRPr="004308CA">
        <w:fldChar w:fldCharType="end"/>
      </w:r>
      <w:bookmarkEnd w:id="13"/>
      <w:r w:rsidRPr="004308CA">
        <w:t xml:space="preserve">.  The Government further indicated that while the applicant had been held in </w:t>
      </w:r>
      <w:proofErr w:type="spellStart"/>
      <w:r w:rsidRPr="004308CA">
        <w:t>Coliba</w:t>
      </w:r>
      <w:r w:rsidRPr="004308CA">
        <w:rPr>
          <w:rFonts w:cstheme="minorHAnsi"/>
        </w:rPr>
        <w:t>ş</w:t>
      </w:r>
      <w:r w:rsidRPr="004308CA">
        <w:t>i</w:t>
      </w:r>
      <w:proofErr w:type="spellEnd"/>
      <w:r w:rsidRPr="004308CA">
        <w:t xml:space="preserve"> Prison Hospital, medical assistance had been provided also by a team of inmates who had not been allocated individually, but rather collectively. Moreover, in March 2017, while in </w:t>
      </w:r>
      <w:proofErr w:type="spellStart"/>
      <w:r w:rsidRPr="004308CA">
        <w:t>Jilava</w:t>
      </w:r>
      <w:proofErr w:type="spellEnd"/>
      <w:r w:rsidRPr="004308CA">
        <w:t xml:space="preserve"> Prison Hospital, the applicant had been helped by another inmate, V.I., who had been appointed as “his personal assistant”, according to </w:t>
      </w:r>
      <w:r w:rsidRPr="004308CA" w:rsidR="00537D2D">
        <w:t xml:space="preserve">the minutes drafted on 28 April </w:t>
      </w:r>
      <w:r w:rsidRPr="004308CA">
        <w:t xml:space="preserve">2017. The minutes showed that V.I. had also been </w:t>
      </w:r>
      <w:proofErr w:type="gramStart"/>
      <w:r w:rsidRPr="004308CA">
        <w:t>assistant</w:t>
      </w:r>
      <w:proofErr w:type="gramEnd"/>
      <w:r w:rsidRPr="004308CA">
        <w:t xml:space="preserve"> to two other inmates hospitalised in the same prison hospital.</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18</w:t>
      </w:r>
      <w:r w:rsidRPr="004308CA">
        <w:fldChar w:fldCharType="end"/>
      </w:r>
      <w:r w:rsidRPr="004308CA">
        <w:t>.  The Government submitted that since 9 March 2015, the applicant had been placed in prison cells (for a total of 115 non-consecutive days) or rooms in prison hospitals where he had at his disposal a minimum 4.22 sq. m, with the exception of a period of thirteen day</w:t>
      </w:r>
      <w:r w:rsidRPr="004308CA" w:rsidR="009B695A">
        <w:t xml:space="preserve">s in Giurgiu Prison (between 29 </w:t>
      </w:r>
      <w:r w:rsidRPr="004308CA">
        <w:t>January and 11 February 2016), when the personal space afforded</w:t>
      </w:r>
      <w:r w:rsidRPr="004308CA" w:rsidR="00773AE0">
        <w:t xml:space="preserve"> to the applicant had been 3.06 </w:t>
      </w:r>
      <w:r w:rsidRPr="004308CA">
        <w:t>sq.</w:t>
      </w:r>
      <w:r w:rsidRPr="004308CA" w:rsidR="00773AE0">
        <w:t> </w:t>
      </w:r>
      <w:r w:rsidRPr="004308CA">
        <w:t>m.</w:t>
      </w:r>
    </w:p>
    <w:bookmarkStart w:name="condt_disability" w:id="14"/>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19</w:t>
      </w:r>
      <w:r w:rsidRPr="004308CA">
        <w:fldChar w:fldCharType="end"/>
      </w:r>
      <w:bookmarkEnd w:id="14"/>
      <w:r w:rsidRPr="004308CA">
        <w:t>.  The Government also submitted that while in Giurgiu Prison, the applicant had not been held in a room fit for physically disabled persons; however, the prison had access ramps both outside and inside the detention wings. The same was true for all prison hospitals, which were equipped so as to ensure the mobility of physically disabled inmates.</w:t>
      </w:r>
    </w:p>
    <w:p w:rsidRPr="004308CA" w:rsidR="00331922" w:rsidP="004308CA" w:rsidRDefault="00331922">
      <w:pPr>
        <w:pStyle w:val="JuHA"/>
      </w:pPr>
      <w:r w:rsidRPr="004308CA">
        <w:t>The applicant</w:t>
      </w:r>
      <w:r w:rsidRPr="004308CA" w:rsidR="004308CA">
        <w:t>’</w:t>
      </w:r>
      <w:r w:rsidRPr="004308CA">
        <w:t>s release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20</w:t>
      </w:r>
      <w:r w:rsidRPr="004308CA">
        <w:fldChar w:fldCharType="end"/>
      </w:r>
      <w:r w:rsidRPr="004308CA">
        <w:t>. </w:t>
      </w:r>
      <w:r w:rsidRPr="004308CA" w:rsidR="00773AE0">
        <w:t> </w:t>
      </w:r>
      <w:r w:rsidRPr="004308CA">
        <w:t>Following the finding by the Court of a violation of Article 6 of the Convention in his case concerning the unfairness of the criminal proceedings (</w:t>
      </w:r>
      <w:proofErr w:type="spellStart"/>
      <w:r w:rsidRPr="004308CA">
        <w:rPr>
          <w:i/>
        </w:rPr>
        <w:t>Potoroc</w:t>
      </w:r>
      <w:proofErr w:type="spellEnd"/>
      <w:r w:rsidRPr="004308CA">
        <w:rPr>
          <w:i/>
        </w:rPr>
        <w:t xml:space="preserve"> v. Romania</w:t>
      </w:r>
      <w:r w:rsidRPr="004308CA" w:rsidR="00773AE0">
        <w:t xml:space="preserve"> [Committee], no. 59452/09, 14 Febru</w:t>
      </w:r>
      <w:r w:rsidRPr="004308CA" w:rsidR="00537D2D">
        <w:t xml:space="preserve">ary </w:t>
      </w:r>
      <w:r w:rsidRPr="004308CA">
        <w:t>2017), the applicant applied for the review of the decision sentencing him to imprisonment.</w:t>
      </w:r>
    </w:p>
    <w:bookmarkStart w:name="released_2017_revision" w:id="15"/>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21</w:t>
      </w:r>
      <w:r w:rsidRPr="004308CA">
        <w:fldChar w:fldCharType="end"/>
      </w:r>
      <w:bookmarkEnd w:id="15"/>
      <w:r w:rsidRPr="004308CA">
        <w:t>. </w:t>
      </w:r>
      <w:r w:rsidRPr="004308CA" w:rsidR="00773AE0">
        <w:t> </w:t>
      </w:r>
      <w:r w:rsidRPr="004308CA">
        <w:t>On 20 September 2017 the High Court of Cassation and Justice allowed his application and reviewed the sentence, quashing it. The applicant was consequently released on the same day (see paragraph</w:t>
      </w:r>
      <w:r w:rsidRPr="004308CA" w:rsidR="00773AE0">
        <w:t> 16</w:t>
      </w:r>
      <w:r w:rsidRPr="004308CA">
        <w:t xml:space="preserve"> above). The court referred its decision to release the applicant to, </w:t>
      </w:r>
      <w:r w:rsidRPr="004308CA" w:rsidR="00773AE0">
        <w:rPr>
          <w:i/>
        </w:rPr>
        <w:t>inter </w:t>
      </w:r>
      <w:r w:rsidRPr="004308CA">
        <w:rPr>
          <w:i/>
        </w:rPr>
        <w:t>alia</w:t>
      </w:r>
      <w:r w:rsidRPr="004308CA">
        <w:t>, the medical report issued on 12</w:t>
      </w:r>
      <w:r w:rsidRPr="004308CA" w:rsidR="00773AE0">
        <w:t xml:space="preserve"> </w:t>
      </w:r>
      <w:r w:rsidRPr="004308CA">
        <w:t xml:space="preserve">February 2013 (see paragraph </w:t>
      </w:r>
      <w:r w:rsidRPr="004308CA">
        <w:fldChar w:fldCharType="begin"/>
      </w:r>
      <w:r w:rsidRPr="004308CA">
        <w:instrText xml:space="preserve"> REF third_report_13 \h </w:instrText>
      </w:r>
      <w:r w:rsidRPr="004308CA">
        <w:fldChar w:fldCharType="separate"/>
      </w:r>
      <w:r w:rsidRPr="004308CA" w:rsidR="004308CA">
        <w:rPr>
          <w:noProof/>
        </w:rPr>
        <w:t>29</w:t>
      </w:r>
      <w:r w:rsidRPr="004308CA">
        <w:fldChar w:fldCharType="end"/>
      </w:r>
      <w:r w:rsidRPr="004308CA">
        <w:t xml:space="preserve"> below), which had revealed that the applicant</w:t>
      </w:r>
      <w:r w:rsidRPr="004308CA" w:rsidR="004308CA">
        <w:t>’</w:t>
      </w:r>
      <w:r w:rsidRPr="004308CA">
        <w:t>s state of health had been serious enough and that unpredictable complications could appear in time, as well as on the criterion of the applicant</w:t>
      </w:r>
      <w:r w:rsidRPr="004308CA" w:rsidR="004308CA">
        <w:t>’</w:t>
      </w:r>
      <w:r w:rsidRPr="004308CA">
        <w:t>s good behaviour, which allowed the court to assume that his release would not constitute a public threat.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22</w:t>
      </w:r>
      <w:r w:rsidRPr="004308CA">
        <w:fldChar w:fldCharType="end"/>
      </w:r>
      <w:r w:rsidRPr="004308CA">
        <w:t>. </w:t>
      </w:r>
      <w:r w:rsidRPr="004308CA" w:rsidR="00773AE0">
        <w:t> </w:t>
      </w:r>
      <w:r w:rsidRPr="004308CA">
        <w:t>Without re-examining the applicant, who was “no longer capable of communicating”, as noted by the court, the</w:t>
      </w:r>
      <w:r w:rsidRPr="004308CA" w:rsidR="00773AE0">
        <w:t xml:space="preserve"> High Court decided on 11</w:t>
      </w:r>
      <w:r w:rsidRPr="004308CA" w:rsidR="00537D2D">
        <w:t xml:space="preserve"> April </w:t>
      </w:r>
      <w:r w:rsidRPr="004308CA">
        <w:t xml:space="preserve">2018 to acquit the applicant based on the </w:t>
      </w:r>
      <w:r w:rsidRPr="004308CA">
        <w:rPr>
          <w:i/>
        </w:rPr>
        <w:t xml:space="preserve">in </w:t>
      </w:r>
      <w:proofErr w:type="spellStart"/>
      <w:r w:rsidRPr="004308CA">
        <w:rPr>
          <w:i/>
        </w:rPr>
        <w:t>dubio</w:t>
      </w:r>
      <w:proofErr w:type="spellEnd"/>
      <w:r w:rsidRPr="004308CA">
        <w:rPr>
          <w:i/>
        </w:rPr>
        <w:t xml:space="preserve"> pro reo</w:t>
      </w:r>
      <w:r w:rsidRPr="004308CA">
        <w:t xml:space="preserve"> principle.</w:t>
      </w:r>
    </w:p>
    <w:p w:rsidRPr="004308CA" w:rsidR="00331922" w:rsidP="004308CA" w:rsidRDefault="00331922">
      <w:pPr>
        <w:pStyle w:val="JuHA"/>
      </w:pPr>
      <w:r w:rsidRPr="004308CA">
        <w:t>Applications for interrupting the execution of the sentence on health grounds</w:t>
      </w:r>
    </w:p>
    <w:p w:rsidRPr="004308CA" w:rsidR="00331922" w:rsidP="004308CA" w:rsidRDefault="00331922">
      <w:pPr>
        <w:pStyle w:val="JuH1"/>
      </w:pPr>
      <w:r w:rsidRPr="004308CA">
        <w:t>First set of proceedings: application for the interruption of the prison sentence on health grounds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23</w:t>
      </w:r>
      <w:r w:rsidRPr="004308CA">
        <w:fldChar w:fldCharType="end"/>
      </w:r>
      <w:r w:rsidRPr="004308CA">
        <w:t xml:space="preserve">.  On 18 May 2012 the applicant applied to the </w:t>
      </w:r>
      <w:proofErr w:type="spellStart"/>
      <w:r w:rsidRPr="004308CA">
        <w:t>Arge</w:t>
      </w:r>
      <w:r w:rsidRPr="004308CA">
        <w:rPr>
          <w:rFonts w:cstheme="minorHAnsi"/>
        </w:rPr>
        <w:t>ş</w:t>
      </w:r>
      <w:proofErr w:type="spellEnd"/>
      <w:r w:rsidRPr="004308CA">
        <w:t xml:space="preserve"> County Court for an interruption of his prison sentence (</w:t>
      </w:r>
      <w:proofErr w:type="spellStart"/>
      <w:r w:rsidRPr="004308CA">
        <w:rPr>
          <w:rFonts w:cstheme="minorHAnsi"/>
          <w:i/>
        </w:rPr>
        <w:t>î</w:t>
      </w:r>
      <w:r w:rsidRPr="004308CA">
        <w:rPr>
          <w:i/>
        </w:rPr>
        <w:t>ntreruperea</w:t>
      </w:r>
      <w:proofErr w:type="spellEnd"/>
      <w:r w:rsidRPr="004308CA">
        <w:rPr>
          <w:i/>
        </w:rPr>
        <w:t xml:space="preserve"> </w:t>
      </w:r>
      <w:proofErr w:type="spellStart"/>
      <w:r w:rsidRPr="004308CA">
        <w:rPr>
          <w:i/>
        </w:rPr>
        <w:t>execut</w:t>
      </w:r>
      <w:r w:rsidRPr="004308CA">
        <w:rPr>
          <w:rFonts w:cstheme="minorHAnsi"/>
          <w:i/>
        </w:rPr>
        <w:t>ă</w:t>
      </w:r>
      <w:r w:rsidRPr="004308CA">
        <w:rPr>
          <w:i/>
        </w:rPr>
        <w:t>rii</w:t>
      </w:r>
      <w:proofErr w:type="spellEnd"/>
      <w:r w:rsidRPr="004308CA">
        <w:rPr>
          <w:i/>
        </w:rPr>
        <w:t xml:space="preserve"> </w:t>
      </w:r>
      <w:proofErr w:type="spellStart"/>
      <w:r w:rsidRPr="004308CA">
        <w:rPr>
          <w:i/>
        </w:rPr>
        <w:t>pedepsei</w:t>
      </w:r>
      <w:proofErr w:type="spellEnd"/>
      <w:r w:rsidRPr="004308CA">
        <w:t>) on health grounds, pursuant to Articles 453-55 of the Code of Criminal Procedure (hereinafter “the CCP”, see paragraph</w:t>
      </w:r>
      <w:r w:rsidRPr="004308CA" w:rsidR="00773AE0">
        <w:t xml:space="preserve"> 43</w:t>
      </w:r>
      <w:r w:rsidRPr="004308CA">
        <w:t xml:space="preserve"> below). He argued that since he had been imprisoned, his already serious health problems had visibly worsened, to the point where he was confined to a wheelchair and at the mercy of his cellmates. He relied on Article 3 of the Convention, submitting that his state of health was incompatible with detention.</w:t>
      </w:r>
    </w:p>
    <w:bookmarkStart w:name="second_rep_12" w:id="16"/>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24</w:t>
      </w:r>
      <w:r w:rsidRPr="004308CA">
        <w:fldChar w:fldCharType="end"/>
      </w:r>
      <w:bookmarkEnd w:id="16"/>
      <w:r w:rsidRPr="004308CA">
        <w:t xml:space="preserve">.  The medical report of 4 July 2012, delivered by the </w:t>
      </w:r>
      <w:proofErr w:type="spellStart"/>
      <w:r w:rsidRPr="004308CA">
        <w:t>Arge</w:t>
      </w:r>
      <w:r w:rsidRPr="004308CA">
        <w:rPr>
          <w:rFonts w:cstheme="minorHAnsi"/>
        </w:rPr>
        <w:t>ş</w:t>
      </w:r>
      <w:proofErr w:type="spellEnd"/>
      <w:r w:rsidRPr="004308CA">
        <w:t xml:space="preserve"> Forensic Unit at the court</w:t>
      </w:r>
      <w:r w:rsidRPr="004308CA" w:rsidR="004308CA">
        <w:t>’</w:t>
      </w:r>
      <w:r w:rsidRPr="004308CA">
        <w:t xml:space="preserve">s request, recommended that the applicant be hospitalised in </w:t>
      </w:r>
      <w:proofErr w:type="spellStart"/>
      <w:r w:rsidRPr="004308CA">
        <w:t>Coliba</w:t>
      </w:r>
      <w:r w:rsidRPr="004308CA">
        <w:rPr>
          <w:rFonts w:cstheme="minorHAnsi"/>
        </w:rPr>
        <w:t>ş</w:t>
      </w:r>
      <w:r w:rsidRPr="004308CA">
        <w:t>i</w:t>
      </w:r>
      <w:proofErr w:type="spellEnd"/>
      <w:r w:rsidRPr="004308CA">
        <w:t xml:space="preserve"> Prison Hospital, where he could receive adequate medical treatment; the board concluded that adequate care for the applicant</w:t>
      </w:r>
      <w:r w:rsidRPr="004308CA" w:rsidR="004308CA">
        <w:t>’</w:t>
      </w:r>
      <w:r w:rsidRPr="004308CA">
        <w:t>s health problems was available in the prisons in-house medical wings, more specifically in a specialist unit under medical supervision.</w:t>
      </w:r>
    </w:p>
    <w:p w:rsidRPr="004308CA" w:rsidR="00331922" w:rsidP="004308CA" w:rsidRDefault="00331922">
      <w:pPr>
        <w:pStyle w:val="JuPara"/>
      </w:pPr>
      <w:r w:rsidRPr="004308CA">
        <w:t>The board also mentioned that it could not guarantee that the medical treatment would in fact be provided to the applicant by the prison healthcare system.</w:t>
      </w:r>
    </w:p>
    <w:bookmarkStart w:name="judgment_release_2012" w:id="17"/>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25</w:t>
      </w:r>
      <w:r w:rsidRPr="004308CA">
        <w:fldChar w:fldCharType="end"/>
      </w:r>
      <w:bookmarkEnd w:id="17"/>
      <w:r w:rsidRPr="004308CA">
        <w:t xml:space="preserve">.  By judgment of 7 August 2012 the </w:t>
      </w:r>
      <w:proofErr w:type="spellStart"/>
      <w:r w:rsidRPr="004308CA">
        <w:t>Arge</w:t>
      </w:r>
      <w:r w:rsidRPr="004308CA">
        <w:rPr>
          <w:rFonts w:cstheme="minorHAnsi"/>
        </w:rPr>
        <w:t>ş</w:t>
      </w:r>
      <w:proofErr w:type="spellEnd"/>
      <w:r w:rsidRPr="004308CA">
        <w:t xml:space="preserve"> County Court allowed the application on account of the applicant</w:t>
      </w:r>
      <w:r w:rsidRPr="004308CA" w:rsidR="004308CA">
        <w:t>’</w:t>
      </w:r>
      <w:r w:rsidRPr="004308CA">
        <w:t>s “dreadful” (</w:t>
      </w:r>
      <w:proofErr w:type="spellStart"/>
      <w:r w:rsidRPr="004308CA">
        <w:rPr>
          <w:i/>
        </w:rPr>
        <w:t>deplorabil</w:t>
      </w:r>
      <w:r w:rsidRPr="004308CA">
        <w:rPr>
          <w:rFonts w:cstheme="minorHAnsi"/>
          <w:i/>
        </w:rPr>
        <w:t>ă</w:t>
      </w:r>
      <w:proofErr w:type="spellEnd"/>
      <w:r w:rsidRPr="004308CA">
        <w:t>) state of health, witnessed by the court itself, and confirmed by the above</w:t>
      </w:r>
      <w:r w:rsidRPr="004308CA">
        <w:noBreakHyphen/>
        <w:t>mentioned medical report.</w:t>
      </w:r>
    </w:p>
    <w:bookmarkStart w:name="judgment_release_2012_reasoning" w:id="18"/>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26</w:t>
      </w:r>
      <w:r w:rsidRPr="004308CA">
        <w:fldChar w:fldCharType="end"/>
      </w:r>
      <w:bookmarkEnd w:id="18"/>
      <w:r w:rsidRPr="004308CA">
        <w:t>.  The court noted the medical report</w:t>
      </w:r>
      <w:r w:rsidRPr="004308CA" w:rsidR="004308CA">
        <w:t>’</w:t>
      </w:r>
      <w:r w:rsidRPr="004308CA">
        <w:t>s conclusion that adequate treatment for the applicant</w:t>
      </w:r>
      <w:r w:rsidRPr="004308CA" w:rsidR="004308CA">
        <w:t>’</w:t>
      </w:r>
      <w:r w:rsidRPr="004308CA">
        <w:t>s ailments was available in the prison healthcare system. However, it considered that humanitarian considerations meant that such care would be better provided outside the prison system, in view also of the fact that the applicant</w:t>
      </w:r>
      <w:r w:rsidRPr="004308CA" w:rsidR="004308CA">
        <w:t>’</w:t>
      </w:r>
      <w:r w:rsidRPr="004308CA">
        <w:t>s release did not represent a public threat.</w:t>
      </w:r>
    </w:p>
    <w:bookmarkStart w:name="release" w:id="19"/>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27</w:t>
      </w:r>
      <w:r w:rsidRPr="004308CA">
        <w:fldChar w:fldCharType="end"/>
      </w:r>
      <w:bookmarkEnd w:id="19"/>
      <w:r w:rsidRPr="004308CA">
        <w:t>.  According to the court</w:t>
      </w:r>
      <w:r w:rsidRPr="004308CA" w:rsidR="004308CA">
        <w:t>’</w:t>
      </w:r>
      <w:r w:rsidRPr="004308CA">
        <w:t>s decision, the applicant was to be released until his health improved. This judgment was immediately enforced and the applicant was released from prison (see paragraph</w:t>
      </w:r>
      <w:r w:rsidRPr="004308CA" w:rsidR="00773AE0">
        <w:t xml:space="preserve"> 10</w:t>
      </w:r>
      <w:r w:rsidRPr="004308CA">
        <w:t xml:space="preserve"> 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28</w:t>
      </w:r>
      <w:r w:rsidRPr="004308CA">
        <w:fldChar w:fldCharType="end"/>
      </w:r>
      <w:r w:rsidRPr="004308CA">
        <w:t>. </w:t>
      </w:r>
      <w:r w:rsidRPr="004308CA" w:rsidR="00773AE0">
        <w:t> </w:t>
      </w:r>
      <w:r w:rsidRPr="004308CA">
        <w:t>This decision was appealed against by the prosecutor</w:t>
      </w:r>
      <w:r w:rsidRPr="004308CA" w:rsidR="004308CA">
        <w:t>’</w:t>
      </w:r>
      <w:r w:rsidRPr="004308CA">
        <w:t xml:space="preserve">s office by the </w:t>
      </w:r>
      <w:proofErr w:type="spellStart"/>
      <w:r w:rsidRPr="004308CA">
        <w:t>Pite</w:t>
      </w:r>
      <w:r w:rsidRPr="004308CA">
        <w:rPr>
          <w:rFonts w:cstheme="minorHAnsi"/>
        </w:rPr>
        <w:t>ş</w:t>
      </w:r>
      <w:r w:rsidRPr="004308CA">
        <w:t>ti</w:t>
      </w:r>
      <w:proofErr w:type="spellEnd"/>
      <w:r w:rsidRPr="004308CA">
        <w:t xml:space="preserve"> Court of</w:t>
      </w:r>
      <w:r w:rsidRPr="004308CA" w:rsidR="00773AE0">
        <w:t xml:space="preserve"> </w:t>
      </w:r>
      <w:r w:rsidRPr="004308CA">
        <w:t>Appeal.</w:t>
      </w:r>
    </w:p>
    <w:bookmarkStart w:name="third_report_13" w:id="20"/>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29</w:t>
      </w:r>
      <w:r w:rsidRPr="004308CA">
        <w:fldChar w:fldCharType="end"/>
      </w:r>
      <w:bookmarkEnd w:id="20"/>
      <w:r w:rsidRPr="004308CA">
        <w:t xml:space="preserve">.  A new medical report commissioned by the appellate court was drawn up on 12 February 2013 by the </w:t>
      </w:r>
      <w:proofErr w:type="spellStart"/>
      <w:r w:rsidRPr="004308CA">
        <w:t>Arge</w:t>
      </w:r>
      <w:r w:rsidRPr="004308CA">
        <w:rPr>
          <w:rFonts w:cstheme="minorHAnsi"/>
        </w:rPr>
        <w:t>ş</w:t>
      </w:r>
      <w:proofErr w:type="spellEnd"/>
      <w:r w:rsidRPr="004308CA">
        <w:t xml:space="preserve"> Forensic Unit. The board concluded that the applicant</w:t>
      </w:r>
      <w:r w:rsidRPr="004308CA" w:rsidR="004308CA">
        <w:t>’</w:t>
      </w:r>
      <w:r w:rsidRPr="004308CA">
        <w:t xml:space="preserve">s state of health was serious enough and that unpredictable complications could appear in time, including with reference to a prostate neoplasm, detected during a medical examination. It was also noted that the applicant needed permanent care and supervision, consequently </w:t>
      </w:r>
      <w:proofErr w:type="spellStart"/>
      <w:r w:rsidRPr="004308CA">
        <w:t>Coliba</w:t>
      </w:r>
      <w:r w:rsidRPr="004308CA">
        <w:rPr>
          <w:rFonts w:cstheme="minorHAnsi"/>
        </w:rPr>
        <w:t>ş</w:t>
      </w:r>
      <w:r w:rsidRPr="004308CA">
        <w:t>i</w:t>
      </w:r>
      <w:proofErr w:type="spellEnd"/>
      <w:r w:rsidRPr="004308CA">
        <w:t xml:space="preserve"> Prison could not provide adequate medical care; however, the National Prison Service (hereinafter “the NPS”) had a network of hospitals in which the applicant could find appropriate care.</w:t>
      </w:r>
    </w:p>
    <w:bookmarkStart w:name="appeal_confirms_release" w:id="21"/>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30</w:t>
      </w:r>
      <w:r w:rsidRPr="004308CA">
        <w:fldChar w:fldCharType="end"/>
      </w:r>
      <w:bookmarkEnd w:id="21"/>
      <w:r w:rsidRPr="004308CA">
        <w:t xml:space="preserve">.  In a final judgment of 4 September 2013 the </w:t>
      </w:r>
      <w:proofErr w:type="spellStart"/>
      <w:r w:rsidRPr="004308CA">
        <w:t>Pite</w:t>
      </w:r>
      <w:r w:rsidRPr="004308CA">
        <w:rPr>
          <w:rFonts w:cstheme="minorHAnsi"/>
        </w:rPr>
        <w:t>ş</w:t>
      </w:r>
      <w:r w:rsidRPr="004308CA">
        <w:t>ti</w:t>
      </w:r>
      <w:proofErr w:type="spellEnd"/>
      <w:r w:rsidRPr="004308CA">
        <w:t xml:space="preserve"> Court of Appeal dismissed the appeal and confirmed the lower court</w:t>
      </w:r>
      <w:r w:rsidRPr="004308CA" w:rsidR="004308CA">
        <w:t>’</w:t>
      </w:r>
      <w:r w:rsidRPr="004308CA">
        <w:t>s conclusions. As evidenced by the medical documents on file and witnessed by the court itself, the applicant was in a deplorable state of health and needed constant assistance, as he was confined to a wheelchair. In view, however, of the seriousness of the crime committed, the court imposed on the applicant specific restrictions and obligations to be respected following his release, such as a ban on his bearing arms or approaching any of the persons involved with him in the criminal proceedings, a ban on changing residence without prior permission from the court as well as the obligation to appear before the relevant authorities charged with his supervision whenever if called.</w:t>
      </w:r>
    </w:p>
    <w:p w:rsidRPr="004308CA" w:rsidR="00331922" w:rsidP="004308CA" w:rsidRDefault="00331922">
      <w:pPr>
        <w:pStyle w:val="JuH1"/>
      </w:pPr>
      <w:r w:rsidRPr="004308CA">
        <w:t>Second set of proceedings: the authorities</w:t>
      </w:r>
      <w:r w:rsidRPr="004308CA" w:rsidR="004308CA">
        <w:t>’</w:t>
      </w:r>
      <w:r w:rsidRPr="004308CA">
        <w:t xml:space="preserve"> application for a reassessment of the applicant</w:t>
      </w:r>
      <w:r w:rsidRPr="004308CA" w:rsidR="004308CA">
        <w:t>’</w:t>
      </w:r>
      <w:r w:rsidRPr="004308CA">
        <w:t>s state of health</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31</w:t>
      </w:r>
      <w:r w:rsidRPr="004308CA">
        <w:fldChar w:fldCharType="end"/>
      </w:r>
      <w:r w:rsidRPr="004308CA">
        <w:t>.  On 2 December 2013 the Department for the Execution of Criminal Sentences by the Bucharest County Court lodged an application with that court for an assessment of the applicant</w:t>
      </w:r>
      <w:r w:rsidRPr="004308CA" w:rsidR="004308CA">
        <w:t>’</w:t>
      </w:r>
      <w:r w:rsidRPr="004308CA">
        <w:t>s state of health, in particular to check whether his state of health had improved so as to make the interruption of the execution of his sentence unnecessary (see paragraph</w:t>
      </w:r>
      <w:r w:rsidRPr="004308CA" w:rsidR="00773AE0">
        <w:t> 27</w:t>
      </w:r>
      <w:r w:rsidRPr="004308CA">
        <w:t xml:space="preserve"> above).</w:t>
      </w:r>
    </w:p>
    <w:bookmarkStart w:name="fourth_report_14" w:id="22"/>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32</w:t>
      </w:r>
      <w:r w:rsidRPr="004308CA">
        <w:fldChar w:fldCharType="end"/>
      </w:r>
      <w:bookmarkEnd w:id="22"/>
      <w:r w:rsidRPr="004308CA">
        <w:t>.  The medical report of 13 October 2014 commissioned by the court and drawn up by a board of ten experts from the NIFM concluded that adequate health care could be provided to the applicant by the NPS</w:t>
      </w:r>
      <w:r w:rsidRPr="004308CA" w:rsidR="004308CA">
        <w:t>’</w:t>
      </w:r>
      <w:r w:rsidRPr="004308CA">
        <w:t>s hospital network, in particular by a prison hospital unit specialising in chronic illnesses; it was noted that the applicant needed a personal assistant for current activities and that he had had a mild depressive episode; the prostate neoplasm had been diagnosed as a benign hypertrophy of the prostate; lastly, the medical criteria justifying an interruption of the prison sentence had not been met, the previous interruption having probably been granted on other grounds.</w:t>
      </w:r>
    </w:p>
    <w:bookmarkStart w:name="judgment_reimprisonment_14" w:id="23"/>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33</w:t>
      </w:r>
      <w:r w:rsidRPr="004308CA">
        <w:fldChar w:fldCharType="end"/>
      </w:r>
      <w:bookmarkEnd w:id="23"/>
      <w:r w:rsidRPr="004308CA">
        <w:t>.  On 4 December 2014 the Bucharest County Court found, based on these medical conclusions, that adequate medical care for the applicant was available in the prison hospitals network, having regard also to the fact that the NPS had confirmed that it was able to provide the applicant with a personal assistant. The court further considered that once the medical care or the medical treatment became inadequate or insufficient, the applicant could at all times apply anew for an interruption of his prison sentence.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34</w:t>
      </w:r>
      <w:r w:rsidRPr="004308CA">
        <w:fldChar w:fldCharType="end"/>
      </w:r>
      <w:r w:rsidRPr="004308CA">
        <w:t>.  The applicant was imprisoned on 5 January 2015 in execution of the judgment of 4 December 2014 (see paragraph</w:t>
      </w:r>
      <w:r w:rsidRPr="004308CA" w:rsidR="00773AE0">
        <w:t xml:space="preserve"> 12</w:t>
      </w:r>
      <w:r w:rsidRPr="004308CA">
        <w:t xml:space="preserve"> above).</w:t>
      </w:r>
    </w:p>
    <w:bookmarkStart w:name="appeal_judgment_reimprisonment_14" w:id="24"/>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35</w:t>
      </w:r>
      <w:r w:rsidRPr="004308CA">
        <w:fldChar w:fldCharType="end"/>
      </w:r>
      <w:bookmarkEnd w:id="24"/>
      <w:r w:rsidRPr="004308CA">
        <w:t>.  The appeal against this judgment lodged by the applicant was dismissed on 26 February 2015 by the Bucharest Court of Appeal, in view of the fact that the medical report of 13 October 2014 (see paragraph</w:t>
      </w:r>
      <w:r w:rsidRPr="004308CA" w:rsidR="00773AE0">
        <w:t> 32</w:t>
      </w:r>
      <w:r w:rsidRPr="004308CA">
        <w:t xml:space="preserve"> above) was evidence of a scientific nature, whose veracity could not be called into question, and therefore its conclusions were the only ones which could be used by the court in its assessment of the application. Furthermore, the seriousness of the crime committed by the applicant was severe enough to justify the need to have him serve his sentence in prison.</w:t>
      </w:r>
    </w:p>
    <w:p w:rsidRPr="004308CA" w:rsidR="00331922" w:rsidP="004308CA" w:rsidRDefault="00331922">
      <w:pPr>
        <w:pStyle w:val="JuH1"/>
      </w:pPr>
      <w:r w:rsidRPr="004308CA">
        <w:t>Third set of proceedings: application for an interruption of the prison sentence on health grounds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36</w:t>
      </w:r>
      <w:r w:rsidRPr="004308CA">
        <w:fldChar w:fldCharType="end"/>
      </w:r>
      <w:r w:rsidRPr="004308CA">
        <w:t>.  On 28 January 2016 the applicant lodged another application for an interruption of his prison sentence on health grounds under Articles</w:t>
      </w:r>
      <w:r w:rsidRPr="004308CA" w:rsidR="007468CC">
        <w:t> </w:t>
      </w:r>
      <w:r w:rsidRPr="004308CA">
        <w:t>589-92 of the CCP (see paragraph</w:t>
      </w:r>
      <w:r w:rsidRPr="004308CA" w:rsidR="007468CC">
        <w:t xml:space="preserve"> 44</w:t>
      </w:r>
      <w:r w:rsidRPr="004308CA">
        <w:t xml:space="preserve"> below). He pointed out that since he had not been able to receive his treatment in any prison or prison </w:t>
      </w:r>
      <w:proofErr w:type="gramStart"/>
      <w:r w:rsidRPr="004308CA">
        <w:t>hospital,</w:t>
      </w:r>
      <w:proofErr w:type="gramEnd"/>
      <w:r w:rsidRPr="004308CA">
        <w:t xml:space="preserve"> his state of health had seriously deteriorated, including complications such as hearing impairment, confinement to bed, bouts of confusion.</w:t>
      </w:r>
    </w:p>
    <w:bookmarkStart w:name="fifth_rep_16" w:id="25"/>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37</w:t>
      </w:r>
      <w:r w:rsidRPr="004308CA">
        <w:fldChar w:fldCharType="end"/>
      </w:r>
      <w:bookmarkEnd w:id="25"/>
      <w:r w:rsidRPr="004308CA">
        <w:t>.  The medical report commissioned by the court on the applicant</w:t>
      </w:r>
      <w:r w:rsidRPr="004308CA" w:rsidR="004308CA">
        <w:t>’</w:t>
      </w:r>
      <w:r w:rsidRPr="004308CA">
        <w:t>s condition was drawn up on 25 April 2016 by a board of the NIFM. It concluded that the prison healthcare system could provide the necessary treatment for the applicant</w:t>
      </w:r>
      <w:r w:rsidRPr="004308CA" w:rsidR="004308CA">
        <w:t>’</w:t>
      </w:r>
      <w:r w:rsidRPr="004308CA">
        <w:t>s serious ailments and that frequent hospitalisation was necessary in the light of that aim. The report also indicated the applicant</w:t>
      </w:r>
      <w:r w:rsidRPr="004308CA" w:rsidR="004308CA">
        <w:t>’</w:t>
      </w:r>
      <w:r w:rsidRPr="004308CA">
        <w:t>s need for constant assistance in his everyday activities.</w:t>
      </w:r>
    </w:p>
    <w:bookmarkStart w:name="judgment_dismisses_16" w:id="26"/>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38</w:t>
      </w:r>
      <w:r w:rsidRPr="004308CA">
        <w:fldChar w:fldCharType="end"/>
      </w:r>
      <w:bookmarkEnd w:id="26"/>
      <w:r w:rsidRPr="004308CA">
        <w:t xml:space="preserve">.  On 2 June 2016 the </w:t>
      </w:r>
      <w:proofErr w:type="spellStart"/>
      <w:r w:rsidRPr="004308CA">
        <w:t>Arge</w:t>
      </w:r>
      <w:r w:rsidRPr="004308CA">
        <w:rPr>
          <w:rFonts w:cstheme="minorHAnsi"/>
        </w:rPr>
        <w:t>ş</w:t>
      </w:r>
      <w:proofErr w:type="spellEnd"/>
      <w:r w:rsidRPr="004308CA">
        <w:t xml:space="preserve"> County Court dismissed the applicant</w:t>
      </w:r>
      <w:r w:rsidRPr="004308CA" w:rsidR="004308CA">
        <w:t>’</w:t>
      </w:r>
      <w:r w:rsidRPr="004308CA">
        <w:t>s application, basing its decision on the conclusions of the last medical report. The court furthermore considered that the fact that the applicant needed a personal assistant at all times did not constitute sufficient reason for the interruption of the prison sentence, in so far as since his reimprisonment, he had had the benefit of such assistance at all times.</w:t>
      </w:r>
    </w:p>
    <w:bookmarkStart w:name="app_appeals_judgment_16" w:id="27"/>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39</w:t>
      </w:r>
      <w:r w:rsidRPr="004308CA">
        <w:fldChar w:fldCharType="end"/>
      </w:r>
      <w:bookmarkEnd w:id="27"/>
      <w:r w:rsidRPr="004308CA">
        <w:t>.  The applicant appealed. He argued that he had not been granted the benefit of a personal assistant; moreover, since he had been placed in a room located on the first floor, he could no longer get out for fresh air, as he was confined to the room the whole time.</w:t>
      </w:r>
    </w:p>
    <w:bookmarkStart w:name="appeal_confirms_judgment_16" w:id="28"/>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40</w:t>
      </w:r>
      <w:r w:rsidRPr="004308CA">
        <w:fldChar w:fldCharType="end"/>
      </w:r>
      <w:bookmarkEnd w:id="28"/>
      <w:r w:rsidRPr="004308CA">
        <w:t xml:space="preserve">.  On 27 September 2016 the </w:t>
      </w:r>
      <w:proofErr w:type="spellStart"/>
      <w:r w:rsidRPr="004308CA">
        <w:t>Pite</w:t>
      </w:r>
      <w:r w:rsidRPr="004308CA">
        <w:rPr>
          <w:rFonts w:cstheme="minorHAnsi"/>
        </w:rPr>
        <w:t>ş</w:t>
      </w:r>
      <w:r w:rsidRPr="004308CA">
        <w:t>ti</w:t>
      </w:r>
      <w:proofErr w:type="spellEnd"/>
      <w:r w:rsidRPr="004308CA">
        <w:t xml:space="preserve"> Court of Appeal dismissed his appeal as ill-founded, in so far as the medical conclusions did not justify an interruption of the applicant</w:t>
      </w:r>
      <w:r w:rsidRPr="004308CA" w:rsidR="004308CA">
        <w:t>’</w:t>
      </w:r>
      <w:r w:rsidRPr="004308CA">
        <w:t>s prison sentence.</w:t>
      </w:r>
    </w:p>
    <w:p w:rsidRPr="004308CA" w:rsidR="00331922" w:rsidP="004308CA" w:rsidRDefault="00331922">
      <w:pPr>
        <w:pStyle w:val="JuH1"/>
      </w:pPr>
      <w:r w:rsidRPr="004308CA">
        <w:t>Fourth set of proceedings: applicant</w:t>
      </w:r>
      <w:r w:rsidRPr="004308CA" w:rsidR="004308CA">
        <w:t>’</w:t>
      </w:r>
      <w:r w:rsidRPr="004308CA">
        <w:t>s transfer application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41</w:t>
      </w:r>
      <w:r w:rsidRPr="004308CA">
        <w:fldChar w:fldCharType="end"/>
      </w:r>
      <w:r w:rsidRPr="004308CA">
        <w:t xml:space="preserve">.  On 7 September 2016 the applicant applied to be transferred from </w:t>
      </w:r>
      <w:proofErr w:type="spellStart"/>
      <w:r w:rsidRPr="004308CA">
        <w:t>Coliba</w:t>
      </w:r>
      <w:r w:rsidRPr="004308CA">
        <w:rPr>
          <w:rFonts w:cstheme="minorHAnsi"/>
        </w:rPr>
        <w:t>ş</w:t>
      </w:r>
      <w:r w:rsidRPr="004308CA">
        <w:t>i</w:t>
      </w:r>
      <w:proofErr w:type="spellEnd"/>
      <w:r w:rsidRPr="004308CA">
        <w:t xml:space="preserve"> Prison to </w:t>
      </w:r>
      <w:proofErr w:type="spellStart"/>
      <w:r w:rsidRPr="004308CA">
        <w:t>Coliba</w:t>
      </w:r>
      <w:r w:rsidRPr="004308CA">
        <w:rPr>
          <w:rFonts w:cstheme="minorHAnsi"/>
        </w:rPr>
        <w:t>ş</w:t>
      </w:r>
      <w:r w:rsidRPr="004308CA">
        <w:t>i</w:t>
      </w:r>
      <w:proofErr w:type="spellEnd"/>
      <w:r w:rsidRPr="004308CA">
        <w:t xml:space="preserve"> Prison Hospital, as his state of health did not allow him to serve his sentence in prison.</w:t>
      </w:r>
    </w:p>
    <w:bookmarkStart w:name="judgment_16_transfer" w:id="29"/>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42</w:t>
      </w:r>
      <w:r w:rsidRPr="004308CA">
        <w:fldChar w:fldCharType="end"/>
      </w:r>
      <w:bookmarkEnd w:id="29"/>
      <w:r w:rsidRPr="004308CA">
        <w:t xml:space="preserve">.  His application was allowed by the </w:t>
      </w:r>
      <w:proofErr w:type="spellStart"/>
      <w:r w:rsidRPr="004308CA">
        <w:t>Arge</w:t>
      </w:r>
      <w:r w:rsidRPr="004308CA">
        <w:rPr>
          <w:rFonts w:cstheme="minorHAnsi"/>
        </w:rPr>
        <w:t>ş</w:t>
      </w:r>
      <w:proofErr w:type="spellEnd"/>
      <w:r w:rsidRPr="004308CA" w:rsidR="00537D2D">
        <w:t xml:space="preserve"> County Court on 17 October </w:t>
      </w:r>
      <w:r w:rsidRPr="004308CA">
        <w:t>2016. The court found that in view of the applicant</w:t>
      </w:r>
      <w:r w:rsidRPr="004308CA" w:rsidR="004308CA">
        <w:t>’</w:t>
      </w:r>
      <w:r w:rsidRPr="004308CA">
        <w:t>s very precarious state of health, which rendered Article 3 of the Convention applicable, the prison could not provide to him all that was necessary so as not to put his life in danger. The applicant was to be transferred to the prison hospital.</w:t>
      </w:r>
    </w:p>
    <w:p w:rsidRPr="004308CA" w:rsidR="00331922" w:rsidP="004308CA" w:rsidRDefault="00331922">
      <w:pPr>
        <w:pStyle w:val="JuHHead"/>
        <w:keepNext w:val="0"/>
        <w:keepLines w:val="0"/>
      </w:pPr>
      <w:r w:rsidRPr="004308CA">
        <w:t>RELEVANT LEGAL FRAMEWORK AND PRACTICE</w:t>
      </w:r>
    </w:p>
    <w:bookmarkStart w:name="old_CCP" w:id="30"/>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43</w:t>
      </w:r>
      <w:r w:rsidRPr="004308CA">
        <w:fldChar w:fldCharType="end"/>
      </w:r>
      <w:bookmarkEnd w:id="30"/>
      <w:r w:rsidRPr="004308CA">
        <w:t xml:space="preserve">.  The relevant provisions of Articles 453 and 455 of the old CCP (in force before 1 February 2014), setting out the procedure on how to apply for an interruption of the prison sentence are described in the case of </w:t>
      </w:r>
      <w:proofErr w:type="spellStart"/>
      <w:r w:rsidRPr="004308CA">
        <w:rPr>
          <w:i/>
          <w:iCs/>
        </w:rPr>
        <w:t>Dorneanu</w:t>
      </w:r>
      <w:proofErr w:type="spellEnd"/>
      <w:r w:rsidRPr="004308CA">
        <w:rPr>
          <w:i/>
          <w:iCs/>
        </w:rPr>
        <w:t xml:space="preserve"> v.</w:t>
      </w:r>
      <w:r w:rsidRPr="004308CA" w:rsidR="007468CC">
        <w:rPr>
          <w:i/>
          <w:iCs/>
        </w:rPr>
        <w:t> </w:t>
      </w:r>
      <w:r w:rsidRPr="004308CA">
        <w:rPr>
          <w:i/>
          <w:iCs/>
        </w:rPr>
        <w:t>Romania</w:t>
      </w:r>
      <w:r w:rsidRPr="004308CA">
        <w:t xml:space="preserve"> (no.</w:t>
      </w:r>
      <w:r w:rsidRPr="004308CA">
        <w:rPr>
          <w:lang w:eastAsia="en-GB"/>
        </w:rPr>
        <w:t xml:space="preserve"> </w:t>
      </w:r>
      <w:r w:rsidRPr="004308CA">
        <w:t>55089/13, § 34, 28</w:t>
      </w:r>
      <w:r w:rsidRPr="004308CA" w:rsidR="007468CC">
        <w:t xml:space="preserve"> </w:t>
      </w:r>
      <w:r w:rsidRPr="004308CA">
        <w:t>November 2017).</w:t>
      </w:r>
    </w:p>
    <w:bookmarkStart w:name="new_CCP" w:id="31"/>
    <w:p w:rsidRPr="004308CA" w:rsidR="00331922" w:rsidP="004308CA" w:rsidRDefault="00331922">
      <w:pPr>
        <w:pStyle w:val="JuPara"/>
        <w:rPr>
          <w:i/>
        </w:rPr>
      </w:pPr>
      <w:r w:rsidRPr="004308CA">
        <w:fldChar w:fldCharType="begin"/>
      </w:r>
      <w:r w:rsidRPr="004308CA">
        <w:instrText xml:space="preserve"> SEQ level0 \*arabic </w:instrText>
      </w:r>
      <w:r w:rsidRPr="004308CA">
        <w:fldChar w:fldCharType="separate"/>
      </w:r>
      <w:r w:rsidRPr="004308CA" w:rsidR="004308CA">
        <w:rPr>
          <w:noProof/>
        </w:rPr>
        <w:t>44</w:t>
      </w:r>
      <w:r w:rsidRPr="004308CA">
        <w:fldChar w:fldCharType="end"/>
      </w:r>
      <w:bookmarkEnd w:id="31"/>
      <w:r w:rsidRPr="004308CA">
        <w:t>.  In Articles 589 and 592 of the CCP in force since 1</w:t>
      </w:r>
      <w:r w:rsidRPr="004308CA" w:rsidR="007468CC">
        <w:t> February </w:t>
      </w:r>
      <w:r w:rsidRPr="004308CA">
        <w:t>2014 the parts referring to the said procedure have been slightly amended. In their relevant parts, they provide as follows:</w:t>
      </w:r>
    </w:p>
    <w:p w:rsidRPr="004308CA" w:rsidR="00331922" w:rsidP="004308CA" w:rsidRDefault="00331922">
      <w:pPr>
        <w:pStyle w:val="JuHArticle"/>
        <w:keepNext w:val="0"/>
      </w:pPr>
      <w:r w:rsidRPr="004308CA">
        <w:t>Article 589</w:t>
      </w:r>
    </w:p>
    <w:p w:rsidRPr="004308CA" w:rsidR="00331922" w:rsidP="004308CA" w:rsidRDefault="00331922">
      <w:pPr>
        <w:pStyle w:val="JuQuot"/>
      </w:pPr>
      <w:r w:rsidRPr="004308CA">
        <w:t>“1. Enforcement of a life prison sentence or detention may be suspended in the following cases:</w:t>
      </w:r>
    </w:p>
    <w:p w:rsidRPr="004308CA" w:rsidR="00331922" w:rsidP="004308CA" w:rsidRDefault="00331922">
      <w:pPr>
        <w:pStyle w:val="JuQuot"/>
      </w:pPr>
      <w:r w:rsidRPr="004308CA">
        <w:t>a) where it is noted, on the basis of an expert medical assessment, that the convicted prisoner is suffering from an illness that cannot be treated in the medical network of the NPS and which makes the immediate enforcement of the penalty impossible, if the specificity of such an illness does not allow for its treatment under constant guard in the medical network of the Ministry of Health, and if the court decides that the enforcement suspension and the fact that the convict is released is not a threat for the public. In such cases, sentence enforcement is suspended for a limited duration;</w:t>
      </w:r>
    </w:p>
    <w:p w:rsidRPr="004308CA" w:rsidR="00331922" w:rsidP="004308CA" w:rsidRDefault="00331922">
      <w:pPr>
        <w:pStyle w:val="JuQuot"/>
      </w:pPr>
      <w:r w:rsidRPr="004308CA">
        <w:t>...</w:t>
      </w:r>
    </w:p>
    <w:p w:rsidRPr="004308CA" w:rsidR="00331922" w:rsidP="004308CA" w:rsidRDefault="00331922">
      <w:pPr>
        <w:pStyle w:val="JuQuot"/>
      </w:pPr>
      <w:r w:rsidRPr="004308CA">
        <w:t>3. An application for suspension of enforcement of a sentence to life imprisonment or detention may be submitted by the public prosecutor [or] by the prisoner in question ...”</w:t>
      </w:r>
    </w:p>
    <w:p w:rsidRPr="004308CA" w:rsidR="00331922" w:rsidP="004308CA" w:rsidRDefault="00331922">
      <w:pPr>
        <w:pStyle w:val="JuHArticle"/>
        <w:keepLines/>
      </w:pPr>
      <w:r w:rsidRPr="004308CA">
        <w:t>Article 592</w:t>
      </w:r>
    </w:p>
    <w:p w:rsidRPr="004308CA" w:rsidR="00331922" w:rsidP="004308CA" w:rsidRDefault="00331922">
      <w:pPr>
        <w:pStyle w:val="JuQuot"/>
        <w:keepNext/>
        <w:keepLines/>
      </w:pPr>
      <w:r w:rsidRPr="004308CA">
        <w:t>“Enforcement of a sentence to life imprisonment or detention may be interrupted in the cases and under the conditions set out in Article 589 ...”</w:t>
      </w:r>
    </w:p>
    <w:p w:rsidRPr="004308CA" w:rsidR="00331922" w:rsidP="004308CA" w:rsidRDefault="00331922">
      <w:pPr>
        <w:pStyle w:val="JuHHead"/>
        <w:keepNext w:val="0"/>
        <w:keepLines w:val="0"/>
      </w:pPr>
      <w:r w:rsidRPr="004308CA">
        <w:t>THE LAW</w:t>
      </w:r>
    </w:p>
    <w:p w:rsidRPr="004308CA" w:rsidR="00331922" w:rsidP="004308CA" w:rsidRDefault="00331922">
      <w:pPr>
        <w:pStyle w:val="JuHIRoman"/>
        <w:keepNext w:val="0"/>
        <w:keepLines w:val="0"/>
      </w:pPr>
      <w:r w:rsidRPr="004308CA">
        <w:t>ALLEGED VIOLATION OF ARTICLE 3 OF THE CONVENTION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45</w:t>
      </w:r>
      <w:r w:rsidRPr="004308CA">
        <w:fldChar w:fldCharType="end"/>
      </w:r>
      <w:r w:rsidRPr="004308CA">
        <w:t>.  The applicant complained that owing to his advanced age, significant health problems, and the alleged inadequacies of the medical treatment received in prison, his continued detention had amounted to an exceptional hardship, in breach of Article 3 of the Convention, which reads as follows:</w:t>
      </w:r>
    </w:p>
    <w:p w:rsidRPr="004308CA" w:rsidR="00331922" w:rsidP="004308CA" w:rsidRDefault="00331922">
      <w:pPr>
        <w:pStyle w:val="JuQuot"/>
      </w:pPr>
      <w:r w:rsidRPr="004308CA">
        <w:t>“No one shall be subjected to torture or to inhuman or degrading treatment or punishment.”</w:t>
      </w:r>
    </w:p>
    <w:p w:rsidRPr="004308CA" w:rsidR="00331922" w:rsidP="004308CA" w:rsidRDefault="00331922">
      <w:pPr>
        <w:pStyle w:val="JuHA"/>
        <w:keepNext w:val="0"/>
        <w:keepLines w:val="0"/>
      </w:pPr>
      <w:r w:rsidRPr="004308CA">
        <w:t>Admissibility</w:t>
      </w:r>
    </w:p>
    <w:p w:rsidRPr="004308CA" w:rsidR="00331922" w:rsidP="004308CA" w:rsidRDefault="00331922">
      <w:pPr>
        <w:pStyle w:val="JuH1"/>
        <w:keepNext w:val="0"/>
        <w:keepLines w:val="0"/>
      </w:pPr>
      <w:r w:rsidRPr="004308CA">
        <w:t>Six months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46</w:t>
      </w:r>
      <w:r w:rsidRPr="004308CA">
        <w:fldChar w:fldCharType="end"/>
      </w:r>
      <w:r w:rsidRPr="004308CA">
        <w:t>.  The Government indicated that the applicant had been out of prison for the period between 7 August 2012 and 5 January 2015 (see paragraphs </w:t>
      </w:r>
      <w:r w:rsidRPr="004308CA" w:rsidR="007468CC">
        <w:t>10-12</w:t>
      </w:r>
      <w:r w:rsidRPr="004308CA">
        <w:t xml:space="preserve"> above) and that he had subsequently been imprisoned again for four days until 9 January 2015 and then released again until 9 March</w:t>
      </w:r>
      <w:r w:rsidRPr="004308CA" w:rsidR="00537D2D">
        <w:t xml:space="preserve"> </w:t>
      </w:r>
      <w:r w:rsidRPr="004308CA">
        <w:t>2015 (see paragraphs</w:t>
      </w:r>
      <w:r w:rsidRPr="004308CA" w:rsidR="007468CC">
        <w:t xml:space="preserve"> 14-15</w:t>
      </w:r>
      <w:r w:rsidRPr="004308CA">
        <w:t xml:space="preserve"> above). The Government argued that having regard to the fact that the application </w:t>
      </w:r>
      <w:r w:rsidRPr="004308CA" w:rsidR="007468CC">
        <w:t>with the Court was lodged on 17 </w:t>
      </w:r>
      <w:r w:rsidRPr="004308CA">
        <w:t>May</w:t>
      </w:r>
      <w:r w:rsidRPr="004308CA" w:rsidR="00537D2D">
        <w:t xml:space="preserve"> </w:t>
      </w:r>
      <w:r w:rsidRPr="004308CA">
        <w:t>2017, the applicant</w:t>
      </w:r>
      <w:r w:rsidRPr="004308CA" w:rsidR="004308CA">
        <w:t>’</w:t>
      </w:r>
      <w:r w:rsidRPr="004308CA">
        <w:t>s complaint in respect of the first period of imprisonment, thus the one from 25 February 201</w:t>
      </w:r>
      <w:r w:rsidRPr="004308CA" w:rsidR="00537D2D">
        <w:t xml:space="preserve">1 until his release on 7 August </w:t>
      </w:r>
      <w:r w:rsidRPr="004308CA">
        <w:t>2012, as well as the one in respect of the second period of imprisonment, namely from 5 to 9 January 2015, were inadmissible as they had been lodged outside the six-month time-limit.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47</w:t>
      </w:r>
      <w:r w:rsidRPr="004308CA">
        <w:fldChar w:fldCharType="end"/>
      </w:r>
      <w:r w:rsidRPr="004308CA">
        <w:t>.  The Government thus submitted that the period to be taken into consideration for the assessment of the applicant</w:t>
      </w:r>
      <w:r w:rsidRPr="004308CA" w:rsidR="004308CA">
        <w:t>’</w:t>
      </w:r>
      <w:r w:rsidRPr="004308CA">
        <w:t>s complaints under Article 3 should therefore be from 9 March 2015 (see paragraph</w:t>
      </w:r>
      <w:r w:rsidRPr="004308CA" w:rsidR="007468CC">
        <w:t xml:space="preserve"> 15</w:t>
      </w:r>
      <w:r w:rsidRPr="004308CA">
        <w:t xml:space="preserve"> above) until the applicant</w:t>
      </w:r>
      <w:r w:rsidRPr="004308CA" w:rsidR="004308CA">
        <w:t>’</w:t>
      </w:r>
      <w:r w:rsidRPr="004308CA">
        <w:t>s release on 20 September 2017 (see paragraphs</w:t>
      </w:r>
      <w:r w:rsidRPr="004308CA" w:rsidR="007468CC">
        <w:t xml:space="preserve"> 16</w:t>
      </w:r>
      <w:r w:rsidRPr="004308CA">
        <w:t xml:space="preserve"> and</w:t>
      </w:r>
      <w:r w:rsidRPr="004308CA" w:rsidR="00537D2D">
        <w:t> </w:t>
      </w:r>
      <w:r w:rsidRPr="004308CA" w:rsidR="007468CC">
        <w:t>21</w:t>
      </w:r>
      <w:r w:rsidRPr="004308CA">
        <w:t xml:space="preserve"> 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48</w:t>
      </w:r>
      <w:r w:rsidRPr="004308CA">
        <w:fldChar w:fldCharType="end"/>
      </w:r>
      <w:r w:rsidRPr="004308CA">
        <w:t>.  The applicant argued that his suffering on account of the conditions of his detention which had been incompatible with his state of health had been continuous.</w:t>
      </w:r>
    </w:p>
    <w:bookmarkStart w:name="para_47" w:id="32"/>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49</w:t>
      </w:r>
      <w:r w:rsidRPr="004308CA">
        <w:fldChar w:fldCharType="end"/>
      </w:r>
      <w:bookmarkEnd w:id="32"/>
      <w:r w:rsidRPr="004308CA">
        <w:t>.  The Court firstly notes that the applicant</w:t>
      </w:r>
      <w:r w:rsidRPr="004308CA" w:rsidR="004308CA">
        <w:t>’</w:t>
      </w:r>
      <w:r w:rsidRPr="004308CA" w:rsidR="00537D2D">
        <w:t xml:space="preserve">s complaints, lodged on 17 May </w:t>
      </w:r>
      <w:r w:rsidRPr="004308CA" w:rsidR="007468CC">
        <w:t xml:space="preserve">2017 under Article </w:t>
      </w:r>
      <w:r w:rsidRPr="004308CA">
        <w:t>3, referred to the conditions of his detention from the moment of his imprisonment in 2012 and until his release in 2017. However, in view of the fact that he was released for a period of approximately two yea</w:t>
      </w:r>
      <w:r w:rsidRPr="004308CA" w:rsidR="00B14536">
        <w:t xml:space="preserve">rs and seven months – between 7 </w:t>
      </w:r>
      <w:r w:rsidRPr="004308CA">
        <w:t>August 2012 and until 9 March 2015 (interrupted by a short reimprisonment period of four days, from 5 to 9 January 2015 – see paragraphs</w:t>
      </w:r>
      <w:r w:rsidRPr="004308CA" w:rsidR="00B14536">
        <w:t xml:space="preserve"> 10</w:t>
      </w:r>
      <w:r w:rsidRPr="004308CA">
        <w:t xml:space="preserve"> and</w:t>
      </w:r>
      <w:r w:rsidRPr="004308CA" w:rsidR="00B14536">
        <w:t xml:space="preserve"> 14-15</w:t>
      </w:r>
      <w:r w:rsidRPr="004308CA">
        <w:t xml:space="preserve"> above) – the Court cannot but consider that the said period brought about significant changes to the conditions of his detention, and that therefore there was not a continuing situation in respect of the period of detention prior to and respectively subsequent to 9 March 2015 (see for instance </w:t>
      </w:r>
      <w:proofErr w:type="spellStart"/>
      <w:r w:rsidRPr="004308CA">
        <w:rPr>
          <w:i/>
        </w:rPr>
        <w:t>Gagiu</w:t>
      </w:r>
      <w:proofErr w:type="spellEnd"/>
      <w:r w:rsidRPr="004308CA">
        <w:rPr>
          <w:i/>
        </w:rPr>
        <w:t xml:space="preserve"> v. Romania</w:t>
      </w:r>
      <w:r w:rsidRPr="004308CA">
        <w:t>, (</w:t>
      </w:r>
      <w:proofErr w:type="spellStart"/>
      <w:r w:rsidRPr="004308CA">
        <w:t>dec.</w:t>
      </w:r>
      <w:proofErr w:type="spellEnd"/>
      <w:r w:rsidRPr="004308CA">
        <w:t xml:space="preserve">), no. 18869/04, </w:t>
      </w:r>
      <w:r w:rsidRPr="004308CA">
        <w:rPr>
          <w:rFonts w:cstheme="minorHAnsi"/>
        </w:rPr>
        <w:t>§§</w:t>
      </w:r>
      <w:r w:rsidRPr="004308CA">
        <w:t xml:space="preserve"> 31-32, 5 October 2010; contrast to </w:t>
      </w:r>
      <w:proofErr w:type="spellStart"/>
      <w:r w:rsidRPr="004308CA">
        <w:rPr>
          <w:i/>
        </w:rPr>
        <w:t>Seleznev</w:t>
      </w:r>
      <w:proofErr w:type="spellEnd"/>
      <w:r w:rsidRPr="004308CA">
        <w:rPr>
          <w:i/>
        </w:rPr>
        <w:t xml:space="preserve"> v. Russia</w:t>
      </w:r>
      <w:r w:rsidRPr="004308CA">
        <w:t>, n</w:t>
      </w:r>
      <w:r w:rsidRPr="004308CA" w:rsidR="00B14536">
        <w:t xml:space="preserve">o. </w:t>
      </w:r>
      <w:r w:rsidRPr="004308CA">
        <w:t>15591/03, §</w:t>
      </w:r>
      <w:r w:rsidRPr="004308CA">
        <w:rPr>
          <w:rFonts w:cstheme="minorHAnsi"/>
        </w:rPr>
        <w:t>§</w:t>
      </w:r>
      <w:r w:rsidRPr="004308CA">
        <w:t xml:space="preserve"> 34-36, 26 June 2008, and </w:t>
      </w:r>
      <w:r w:rsidRPr="004308CA">
        <w:rPr>
          <w:i/>
        </w:rPr>
        <w:t xml:space="preserve">Mihai </w:t>
      </w:r>
      <w:proofErr w:type="spellStart"/>
      <w:r w:rsidRPr="004308CA">
        <w:rPr>
          <w:i/>
        </w:rPr>
        <w:t>Laurenţiu</w:t>
      </w:r>
      <w:proofErr w:type="spellEnd"/>
      <w:r w:rsidRPr="004308CA">
        <w:rPr>
          <w:i/>
        </w:rPr>
        <w:t xml:space="preserve"> Marin</w:t>
      </w:r>
      <w:r w:rsidRPr="004308CA">
        <w:t xml:space="preserve"> </w:t>
      </w:r>
      <w:r w:rsidRPr="004308CA">
        <w:rPr>
          <w:i/>
        </w:rPr>
        <w:t>v.</w:t>
      </w:r>
      <w:r w:rsidRPr="004308CA" w:rsidR="00B14536">
        <w:rPr>
          <w:i/>
        </w:rPr>
        <w:t xml:space="preserve"> </w:t>
      </w:r>
      <w:r w:rsidRPr="004308CA">
        <w:rPr>
          <w:i/>
        </w:rPr>
        <w:t>Romania</w:t>
      </w:r>
      <w:r w:rsidRPr="004308CA">
        <w:t>, no. 79857/12</w:t>
      </w:r>
      <w:r w:rsidRPr="004308CA">
        <w:rPr>
          <w:snapToGrid w:val="0"/>
        </w:rPr>
        <w:t>, § 30, 10 June 2014</w:t>
      </w:r>
      <w:r w:rsidRPr="004308CA">
        <w: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50</w:t>
      </w:r>
      <w:r w:rsidRPr="004308CA">
        <w:fldChar w:fldCharType="end"/>
      </w:r>
      <w:r w:rsidRPr="004308CA">
        <w:t>.  It follows that the applicant</w:t>
      </w:r>
      <w:r w:rsidRPr="004308CA" w:rsidR="004308CA">
        <w:t>’</w:t>
      </w:r>
      <w:r w:rsidRPr="004308CA">
        <w:t>s complaint under Article 3 in so far as it relates to the period prior to 9 March 2015 is inadmissible, having been lodged more than six months after the applicant</w:t>
      </w:r>
      <w:r w:rsidRPr="004308CA" w:rsidR="004308CA">
        <w:t>’</w:t>
      </w:r>
      <w:r w:rsidRPr="004308CA">
        <w:t>s detention conditions had changed significantly, in the sense that his prison sentence had been interrupted and he had been released.</w:t>
      </w:r>
    </w:p>
    <w:p w:rsidRPr="004308CA" w:rsidR="00331922" w:rsidP="004308CA" w:rsidRDefault="00331922">
      <w:pPr>
        <w:pStyle w:val="JuH1"/>
        <w:keepNext w:val="0"/>
        <w:keepLines w:val="0"/>
      </w:pPr>
      <w:r w:rsidRPr="004308CA">
        <w:t>Other grounds of inadmissibility</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51</w:t>
      </w:r>
      <w:r w:rsidRPr="004308CA">
        <w:fldChar w:fldCharType="end"/>
      </w:r>
      <w:r w:rsidRPr="004308CA">
        <w:t>.  The Court further notes that the complaint relating to the period of detention from 9 March 2015 until 20 September 2017 is neither manifestly ill-founded nor inadmissible on any other grounds listed in Article</w:t>
      </w:r>
      <w:r w:rsidRPr="004308CA" w:rsidR="00B14536">
        <w:t xml:space="preserve"> </w:t>
      </w:r>
      <w:r w:rsidRPr="004308CA">
        <w:t>35 of the Convention. It must therefore be declared admissible.</w:t>
      </w:r>
    </w:p>
    <w:p w:rsidRPr="004308CA" w:rsidR="00331922" w:rsidP="004308CA" w:rsidRDefault="00331922">
      <w:pPr>
        <w:pStyle w:val="JuHA"/>
        <w:keepNext w:val="0"/>
        <w:keepLines w:val="0"/>
      </w:pPr>
      <w:r w:rsidRPr="004308CA">
        <w:t>Merits</w:t>
      </w:r>
    </w:p>
    <w:p w:rsidRPr="004308CA" w:rsidR="00331922" w:rsidP="004308CA" w:rsidRDefault="00331922">
      <w:pPr>
        <w:pStyle w:val="JuH1"/>
        <w:keepNext w:val="0"/>
        <w:keepLines w:val="0"/>
      </w:pPr>
      <w:r w:rsidRPr="004308CA">
        <w:t>Submissions by the parties</w:t>
      </w:r>
    </w:p>
    <w:p w:rsidRPr="004308CA" w:rsidR="00331922" w:rsidP="004308CA" w:rsidRDefault="00331922">
      <w:pPr>
        <w:pStyle w:val="JuHa0"/>
        <w:keepNext w:val="0"/>
        <w:keepLines w:val="0"/>
      </w:pPr>
      <w:r w:rsidRPr="004308CA">
        <w:t>The Government</w:t>
      </w:r>
    </w:p>
    <w:bookmarkStart w:name="Govt_perso_assistance" w:id="33"/>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52</w:t>
      </w:r>
      <w:r w:rsidRPr="004308CA">
        <w:fldChar w:fldCharType="end"/>
      </w:r>
      <w:bookmarkEnd w:id="33"/>
      <w:r w:rsidRPr="004308CA">
        <w:t xml:space="preserve">.  The Government submitted that during the relevant timeframe, </w:t>
      </w:r>
      <w:proofErr w:type="spellStart"/>
      <w:r w:rsidRPr="004308CA">
        <w:t>totaling</w:t>
      </w:r>
      <w:proofErr w:type="spellEnd"/>
      <w:r w:rsidRPr="004308CA">
        <w:t xml:space="preserve"> 925 days, the applicant had spent only 115 days in prison, meaning he had spent most of the time in prison hospitals or medical units, which had made the need for a personal assistant less severe. In those institutions, the applicant had received adequate medical care and assistance, his state of health either remaining stable or improving slightly. The Government also noted that the applicant</w:t>
      </w:r>
      <w:r w:rsidRPr="004308CA" w:rsidR="004308CA">
        <w:t>’</w:t>
      </w:r>
      <w:r w:rsidRPr="004308CA">
        <w:t>s illnesses had predated his imprisonment.</w:t>
      </w:r>
    </w:p>
    <w:bookmarkStart w:name="personalassistance_prison" w:id="34"/>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53</w:t>
      </w:r>
      <w:r w:rsidRPr="004308CA">
        <w:fldChar w:fldCharType="end"/>
      </w:r>
      <w:bookmarkEnd w:id="34"/>
      <w:r w:rsidRPr="004308CA">
        <w:t xml:space="preserve">.  The Government argued that while he had been held in </w:t>
      </w:r>
      <w:proofErr w:type="spellStart"/>
      <w:r w:rsidRPr="004308CA">
        <w:t>Coliba</w:t>
      </w:r>
      <w:r w:rsidRPr="004308CA">
        <w:rPr>
          <w:rFonts w:cstheme="minorHAnsi"/>
        </w:rPr>
        <w:t>ş</w:t>
      </w:r>
      <w:r w:rsidRPr="004308CA">
        <w:t>i</w:t>
      </w:r>
      <w:proofErr w:type="spellEnd"/>
      <w:r w:rsidRPr="004308CA">
        <w:t xml:space="preserve"> Prison Hospital and in </w:t>
      </w:r>
      <w:proofErr w:type="spellStart"/>
      <w:r w:rsidRPr="004308CA">
        <w:t>Jilava</w:t>
      </w:r>
      <w:proofErr w:type="spellEnd"/>
      <w:r w:rsidRPr="004308CA">
        <w:t xml:space="preserve"> Prison Hospital, the applicant had been provided with medical assistance also by several of his inmates (see paragraph</w:t>
      </w:r>
      <w:r w:rsidRPr="004308CA" w:rsidR="00B14536">
        <w:t> 17</w:t>
      </w:r>
      <w:r w:rsidRPr="004308CA">
        <w:t xml:space="preserve"> above).</w:t>
      </w:r>
    </w:p>
    <w:bookmarkStart w:name="no_need_of_assostance" w:id="35"/>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54</w:t>
      </w:r>
      <w:r w:rsidRPr="004308CA">
        <w:fldChar w:fldCharType="end"/>
      </w:r>
      <w:bookmarkEnd w:id="35"/>
      <w:r w:rsidRPr="004308CA">
        <w:t xml:space="preserve">.  However, the Government submitted that according to the medical documents on file, including the two medical certificates of 2011 and 2012 issued by the </w:t>
      </w:r>
      <w:proofErr w:type="spellStart"/>
      <w:r w:rsidRPr="004308CA">
        <w:t>Arge</w:t>
      </w:r>
      <w:r w:rsidRPr="004308CA">
        <w:rPr>
          <w:rFonts w:cstheme="minorHAnsi"/>
        </w:rPr>
        <w:t>ş</w:t>
      </w:r>
      <w:proofErr w:type="spellEnd"/>
      <w:r w:rsidRPr="004308CA">
        <w:t xml:space="preserve"> Commission for the Medical Assessment of Adults with Disabilities (see paragraph</w:t>
      </w:r>
      <w:r w:rsidRPr="004308CA" w:rsidR="00B14536">
        <w:t xml:space="preserve"> 9</w:t>
      </w:r>
      <w:r w:rsidRPr="004308CA">
        <w:t xml:space="preserve"> above), the applicant</w:t>
      </w:r>
      <w:r w:rsidRPr="004308CA" w:rsidR="004308CA">
        <w:t>’</w:t>
      </w:r>
      <w:r w:rsidRPr="004308CA">
        <w:t>s state of health had not necessitated a personal assistant. Furthermore, following 9</w:t>
      </w:r>
      <w:r w:rsidRPr="004308CA" w:rsidR="00B14536">
        <w:t xml:space="preserve"> </w:t>
      </w:r>
      <w:r w:rsidRPr="004308CA">
        <w:t>March 2015, the applicant has not lodged any specific request for a personal assistant with the prison authorities.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55</w:t>
      </w:r>
      <w:r w:rsidRPr="004308CA">
        <w:fldChar w:fldCharType="end"/>
      </w:r>
      <w:r w:rsidRPr="004308CA">
        <w:t>.  The Government concluded that in view of the applicant</w:t>
      </w:r>
      <w:r w:rsidRPr="004308CA" w:rsidR="004308CA">
        <w:t>’</w:t>
      </w:r>
      <w:r w:rsidRPr="004308CA">
        <w:t>s state of health – which had been more or less stable and in any case had not deteriorated, with all his illnesses having been adequately cared for in prison, as revealed by the multiple medical documents in the file – there had been no urgent need to have him released or placed outside the prison system.</w:t>
      </w:r>
    </w:p>
    <w:p w:rsidRPr="004308CA" w:rsidR="00331922" w:rsidP="004308CA" w:rsidRDefault="00331922">
      <w:pPr>
        <w:pStyle w:val="JuHa0"/>
        <w:keepNext w:val="0"/>
        <w:keepLines w:val="0"/>
        <w:rPr>
          <w:u w:val="single"/>
        </w:rPr>
      </w:pPr>
      <w:r w:rsidRPr="004308CA">
        <w:t>The applicant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56</w:t>
      </w:r>
      <w:r w:rsidRPr="004308CA">
        <w:fldChar w:fldCharType="end"/>
      </w:r>
      <w:r w:rsidRPr="004308CA">
        <w:t>.  The applicant indicated that his first stroke had occurred in 2005, thus after and because of the allegedly unfair criminal proceedings which had been initiated against him in 2004 (see paragraph</w:t>
      </w:r>
      <w:r w:rsidRPr="004308CA" w:rsidR="00B14536">
        <w:t xml:space="preserve"> 5</w:t>
      </w:r>
      <w:r w:rsidRPr="004308CA">
        <w:t xml:space="preserve"> above).</w:t>
      </w:r>
    </w:p>
    <w:bookmarkStart w:name="submissions_app_p_ass" w:id="36"/>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57</w:t>
      </w:r>
      <w:r w:rsidRPr="004308CA">
        <w:fldChar w:fldCharType="end"/>
      </w:r>
      <w:bookmarkEnd w:id="36"/>
      <w:r w:rsidRPr="004308CA">
        <w:t>.  He argued that as long as he had been in a wheelchair and in need of help for basic tasks, there had been no justification for a personal assistant not being ordered in respect of him. However, he had not benefitted from such help during his detention. He contended that the prisons had had only squat toilets, which had made it impossible for him to use them without help from third parties. He also asserted that the fellow inmates who had helped him in the prison hospitals had not had any elementary medical knowledge; additionally, one inmate had had twenty-five ill inmates in his charge, which had made the said medical assistance illusory.</w:t>
      </w:r>
    </w:p>
    <w:bookmarkStart w:name="wheelchair" w:id="37"/>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58</w:t>
      </w:r>
      <w:r w:rsidRPr="004308CA">
        <w:fldChar w:fldCharType="end"/>
      </w:r>
      <w:bookmarkEnd w:id="37"/>
      <w:r w:rsidRPr="004308CA">
        <w:t>.  Furthermore, he indicated that the wheelchair he had had to use at all times had been bought and provided to him by his family out of their own resources.</w:t>
      </w:r>
    </w:p>
    <w:bookmarkStart w:name="submissions_app_med_care" w:id="38"/>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59</w:t>
      </w:r>
      <w:r w:rsidRPr="004308CA">
        <w:fldChar w:fldCharType="end"/>
      </w:r>
      <w:bookmarkEnd w:id="38"/>
      <w:r w:rsidRPr="004308CA">
        <w:t xml:space="preserve">.  He further submitted that the conditions in which he had had to serve his sentence had contributed essentially to the worsening of his state of health, having regard also to the fact that he had not received adequate medical treatment while in prison and in prison hospitals as those facilities had not been equipped for neurological and </w:t>
      </w:r>
      <w:proofErr w:type="spellStart"/>
      <w:r w:rsidRPr="004308CA">
        <w:t>cardiological</w:t>
      </w:r>
      <w:proofErr w:type="spellEnd"/>
      <w:r w:rsidRPr="004308CA">
        <w:t xml:space="preserve"> procedures.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60</w:t>
      </w:r>
      <w:r w:rsidRPr="004308CA">
        <w:fldChar w:fldCharType="end"/>
      </w:r>
      <w:r w:rsidRPr="004308CA">
        <w:t>.  Lastly, he argued that the board of experts which had drawn up the medical reports had mainly relied on the medical documents without personally assessing his state of health and the seriousness of his ailments.</w:t>
      </w:r>
    </w:p>
    <w:p w:rsidRPr="004308CA" w:rsidR="00331922" w:rsidP="004308CA" w:rsidRDefault="00331922">
      <w:pPr>
        <w:pStyle w:val="JuH1"/>
        <w:keepNext w:val="0"/>
        <w:keepLines w:val="0"/>
      </w:pPr>
      <w:r w:rsidRPr="004308CA">
        <w:t>The Court</w:t>
      </w:r>
      <w:r w:rsidRPr="004308CA" w:rsidR="004308CA">
        <w:t>’</w:t>
      </w:r>
      <w:r w:rsidRPr="004308CA">
        <w:t>s assessment</w:t>
      </w:r>
    </w:p>
    <w:p w:rsidRPr="004308CA" w:rsidR="00331922" w:rsidP="004308CA" w:rsidRDefault="00331922">
      <w:pPr>
        <w:pStyle w:val="JuHa0"/>
        <w:keepNext w:val="0"/>
        <w:keepLines w:val="0"/>
      </w:pPr>
      <w:r w:rsidRPr="004308CA">
        <w:t>General principles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61</w:t>
      </w:r>
      <w:r w:rsidRPr="004308CA">
        <w:fldChar w:fldCharType="end"/>
      </w:r>
      <w:r w:rsidRPr="004308CA">
        <w:t>.  The Court reiterates that Article 3 of the Convention enshrines one of the most fundamental values of democratic society. It prohibits in absolute terms torture or inhuman or degrading treatment or punishment, irrespective of the circumstances and the victim</w:t>
      </w:r>
      <w:r w:rsidRPr="004308CA" w:rsidR="004308CA">
        <w:t>’</w:t>
      </w:r>
      <w:r w:rsidRPr="004308CA">
        <w:t xml:space="preserve">s behaviour (see, for example, </w:t>
      </w:r>
      <w:proofErr w:type="spellStart"/>
      <w:r w:rsidRPr="004308CA">
        <w:rPr>
          <w:i/>
        </w:rPr>
        <w:t>Labita</w:t>
      </w:r>
      <w:proofErr w:type="spellEnd"/>
      <w:r w:rsidRPr="004308CA">
        <w:rPr>
          <w:i/>
        </w:rPr>
        <w:t xml:space="preserve"> v. Italy</w:t>
      </w:r>
      <w:r w:rsidRPr="004308CA">
        <w:t xml:space="preserve"> [GC], no. 26772/95, § 119, ECHR 2000-IV). Ill</w:t>
      </w:r>
      <w:r w:rsidRPr="004308CA">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proofErr w:type="spellStart"/>
      <w:r w:rsidRPr="004308CA">
        <w:rPr>
          <w:i/>
        </w:rPr>
        <w:t>Enea</w:t>
      </w:r>
      <w:proofErr w:type="spellEnd"/>
      <w:r w:rsidRPr="004308CA">
        <w:rPr>
          <w:i/>
        </w:rPr>
        <w:t xml:space="preserve"> v. Italy</w:t>
      </w:r>
      <w:r w:rsidRPr="004308CA">
        <w:t xml:space="preserve"> [GC], no. 74912/01, </w:t>
      </w:r>
      <w:r w:rsidRPr="004308CA">
        <w:rPr>
          <w:rFonts w:ascii="Times New Roman" w:hAnsi="Times New Roman" w:cs="Times New Roman"/>
        </w:rPr>
        <w:t>§</w:t>
      </w:r>
      <w:r w:rsidRPr="004308CA">
        <w:t xml:space="preserve"> 55, ECHR 2009, and </w:t>
      </w:r>
      <w:proofErr w:type="spellStart"/>
      <w:r w:rsidRPr="004308CA">
        <w:rPr>
          <w:i/>
        </w:rPr>
        <w:t>Bouyid</w:t>
      </w:r>
      <w:proofErr w:type="spellEnd"/>
      <w:r w:rsidRPr="004308CA">
        <w:rPr>
          <w:i/>
        </w:rPr>
        <w:t xml:space="preserve"> v. Belgium</w:t>
      </w:r>
      <w:r w:rsidRPr="004308CA">
        <w:t xml:space="preserve"> [GC], no. 23380/09, </w:t>
      </w:r>
      <w:r w:rsidRPr="004308CA">
        <w:rPr>
          <w:rFonts w:ascii="Times New Roman" w:hAnsi="Times New Roman" w:cs="Times New Roman"/>
        </w:rPr>
        <w:t>§</w:t>
      </w:r>
      <w:r w:rsidRPr="004308CA">
        <w:t xml:space="preserve"> 86, ECHR 2015).</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62</w:t>
      </w:r>
      <w:r w:rsidRPr="004308CA">
        <w:fldChar w:fldCharType="end"/>
      </w:r>
      <w:r w:rsidRPr="004308CA">
        <w:t xml:space="preserve">.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(see </w:t>
      </w:r>
      <w:proofErr w:type="spellStart"/>
      <w:r w:rsidRPr="004308CA">
        <w:rPr>
          <w:i/>
        </w:rPr>
        <w:t>Svinarenko</w:t>
      </w:r>
      <w:proofErr w:type="spellEnd"/>
      <w:r w:rsidRPr="004308CA">
        <w:rPr>
          <w:i/>
        </w:rPr>
        <w:t xml:space="preserve"> and </w:t>
      </w:r>
      <w:proofErr w:type="spellStart"/>
      <w:r w:rsidRPr="004308CA">
        <w:rPr>
          <w:i/>
        </w:rPr>
        <w:t>Slyadnev</w:t>
      </w:r>
      <w:proofErr w:type="spellEnd"/>
      <w:r w:rsidRPr="004308CA">
        <w:rPr>
          <w:i/>
        </w:rPr>
        <w:t xml:space="preserve"> v. Russia </w:t>
      </w:r>
      <w:r w:rsidRPr="004308CA">
        <w:t>[GC], nos. 32541/08 and 43441/08, § 116, ECHR 2014 (extracts)), and that, given the practical demands of imprisonment, his health and well</w:t>
      </w:r>
      <w:r w:rsidRPr="004308CA">
        <w:noBreakHyphen/>
        <w:t xml:space="preserve">being are adequately secured (see </w:t>
      </w:r>
      <w:proofErr w:type="spellStart"/>
      <w:r w:rsidRPr="004308CA">
        <w:rPr>
          <w:i/>
        </w:rPr>
        <w:t>Idalov</w:t>
      </w:r>
      <w:proofErr w:type="spellEnd"/>
      <w:r w:rsidRPr="004308CA">
        <w:rPr>
          <w:i/>
        </w:rPr>
        <w:t xml:space="preserve"> v. Russia</w:t>
      </w:r>
      <w:r w:rsidRPr="004308CA" w:rsidR="00B14536">
        <w:t xml:space="preserve"> [GC], no. </w:t>
      </w:r>
      <w:r w:rsidRPr="004308CA">
        <w:t>5826/03, §</w:t>
      </w:r>
      <w:r w:rsidRPr="004308CA" w:rsidR="00B14536">
        <w:t> </w:t>
      </w:r>
      <w:r w:rsidRPr="004308CA">
        <w:t xml:space="preserve">93, 22 May 2012). Hence, a lack of appropriate medical care and, more generally, the detention in inappropriate conditions of a person who is ill, may in principle amount to treatment contrary to Article 3 (see, for example, </w:t>
      </w:r>
      <w:proofErr w:type="spellStart"/>
      <w:r w:rsidRPr="004308CA">
        <w:rPr>
          <w:i/>
        </w:rPr>
        <w:t>Mouisel</w:t>
      </w:r>
      <w:proofErr w:type="spellEnd"/>
      <w:r w:rsidRPr="004308CA">
        <w:rPr>
          <w:i/>
        </w:rPr>
        <w:t xml:space="preserve"> v. France, </w:t>
      </w:r>
      <w:r w:rsidRPr="004308CA">
        <w:t>no. 67263/01, §</w:t>
      </w:r>
      <w:r w:rsidRPr="004308CA">
        <w:rPr>
          <w:rFonts w:cstheme="minorHAnsi"/>
        </w:rPr>
        <w:t>§</w:t>
      </w:r>
      <w:r w:rsidRPr="004308CA">
        <w:t xml:space="preserve"> 39 and 48, ECHR 2012-IX).</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63</w:t>
      </w:r>
      <w:r w:rsidRPr="004308CA">
        <w:fldChar w:fldCharType="end"/>
      </w:r>
      <w:r w:rsidRPr="004308CA">
        <w:t>.  In assessing whether the continued detention of an applicant is compatible with his or her state of health, the Court must take account of factors, such as: (a) the prisoner</w:t>
      </w:r>
      <w:r w:rsidRPr="004308CA" w:rsidR="004308CA">
        <w:t>’</w:t>
      </w:r>
      <w:r w:rsidRPr="004308CA">
        <w:t xml:space="preserve">s condition and the effect on the latter of the manner of his imprisonment, (b) the quality of care provided and (c) whether or not the applicant should continue to be detained in view of his or her state of health (see, </w:t>
      </w:r>
      <w:r w:rsidRPr="004308CA">
        <w:rPr>
          <w:i/>
        </w:rPr>
        <w:t>mutatis mutandis</w:t>
      </w:r>
      <w:r w:rsidRPr="004308CA">
        <w:t xml:space="preserve">, </w:t>
      </w:r>
      <w:proofErr w:type="spellStart"/>
      <w:r w:rsidRPr="004308CA">
        <w:rPr>
          <w:i/>
        </w:rPr>
        <w:t>Enea</w:t>
      </w:r>
      <w:proofErr w:type="spellEnd"/>
      <w:r w:rsidRPr="004308CA">
        <w:t>, cited above, § 59).</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64</w:t>
      </w:r>
      <w:r w:rsidRPr="004308CA">
        <w:fldChar w:fldCharType="end"/>
      </w:r>
      <w:r w:rsidRPr="004308CA">
        <w:t xml:space="preserve">.  In respect of the second factor to be considered the Court reiterates that it is not sufficient for the prisoner to be examined and a diagnosis to be made, but that it is vital that treatment suited to the diagnosis be provided, together with appropriate post-treatment care (see </w:t>
      </w:r>
      <w:proofErr w:type="spellStart"/>
      <w:r w:rsidRPr="004308CA">
        <w:rPr>
          <w:i/>
        </w:rPr>
        <w:t>Dorneanu</w:t>
      </w:r>
      <w:proofErr w:type="spellEnd"/>
      <w:r w:rsidRPr="004308CA">
        <w:rPr>
          <w:i/>
        </w:rPr>
        <w:t xml:space="preserve"> v.</w:t>
      </w:r>
      <w:r w:rsidRPr="004308CA" w:rsidR="00B14536">
        <w:rPr>
          <w:i/>
        </w:rPr>
        <w:t> </w:t>
      </w:r>
      <w:r w:rsidRPr="004308CA">
        <w:rPr>
          <w:i/>
        </w:rPr>
        <w:t>Romania</w:t>
      </w:r>
      <w:r w:rsidRPr="004308CA">
        <w:t>, no.</w:t>
      </w:r>
      <w:r w:rsidRPr="004308CA" w:rsidR="00B14536">
        <w:t xml:space="preserve"> 55089/13, § </w:t>
      </w:r>
      <w:r w:rsidRPr="004308CA">
        <w:t>79, 28 November 2017).</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65</w:t>
      </w:r>
      <w:r w:rsidRPr="004308CA">
        <w:fldChar w:fldCharType="end"/>
      </w:r>
      <w:r w:rsidRPr="004308CA">
        <w:t xml:space="preserve">.  Lastly, although Article 3 of the Convention cannot be construed as laying down any general obligation to release detainees or place them in a civil hospital, even if they are suffering from a disease which is particularly difficult to treat (see </w:t>
      </w:r>
      <w:proofErr w:type="spellStart"/>
      <w:r w:rsidRPr="004308CA">
        <w:rPr>
          <w:i/>
        </w:rPr>
        <w:t>Enea</w:t>
      </w:r>
      <w:proofErr w:type="spellEnd"/>
      <w:r w:rsidRPr="004308CA">
        <w:t xml:space="preserve">, cited above, § 58), the Court cannot rule out the possibility that in particularly serious cases, situations may arise where the proper administration of criminal justice requires remedies in the form of humanitarian measures (see </w:t>
      </w:r>
      <w:proofErr w:type="spellStart"/>
      <w:r w:rsidRPr="004308CA">
        <w:rPr>
          <w:i/>
        </w:rPr>
        <w:t>Dorneanu</w:t>
      </w:r>
      <w:proofErr w:type="spellEnd"/>
      <w:r w:rsidRPr="004308CA">
        <w:t>, cited above, § 80).</w:t>
      </w:r>
    </w:p>
    <w:p w:rsidRPr="004308CA" w:rsidR="00331922" w:rsidP="004308CA" w:rsidRDefault="00331922">
      <w:pPr>
        <w:pStyle w:val="JuHa0"/>
        <w:keepNext w:val="0"/>
        <w:keepLines w:val="0"/>
        <w:rPr>
          <w:i/>
        </w:rPr>
      </w:pPr>
      <w:r w:rsidRPr="004308CA">
        <w:t>Application of these principles to the present case</w:t>
      </w:r>
    </w:p>
    <w:p w:rsidRPr="004308CA" w:rsidR="00331922" w:rsidP="004308CA" w:rsidRDefault="00331922">
      <w:pPr>
        <w:pStyle w:val="JuHi"/>
        <w:keepNext w:val="0"/>
        <w:keepLines w:val="0"/>
      </w:pPr>
      <w:r w:rsidRPr="004308CA">
        <w:t>Continued detention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66</w:t>
      </w:r>
      <w:r w:rsidRPr="004308CA">
        <w:fldChar w:fldCharType="end"/>
      </w:r>
      <w:r w:rsidRPr="004308CA">
        <w:t>.  In the instant case the Court considers it undisputed that the applicant was suffering from a number of serious illnesses and that for the relevant period, he was confined to a wheelchair on account of his ailments. These issues were confirmed by the medical reports submitted to the domestic authorities who examined the applicant</w:t>
      </w:r>
      <w:r w:rsidRPr="004308CA" w:rsidR="004308CA">
        <w:t>’</w:t>
      </w:r>
      <w:r w:rsidRPr="004308CA">
        <w:t>s applications to have his prison sentence interrupted (see paragraphs</w:t>
      </w:r>
      <w:r w:rsidRPr="004308CA" w:rsidR="00BD0200">
        <w:t xml:space="preserve"> 4, 6, 24, 29, 32 </w:t>
      </w:r>
      <w:r w:rsidRPr="004308CA">
        <w:t>and</w:t>
      </w:r>
      <w:r w:rsidRPr="004308CA" w:rsidR="00BD0200">
        <w:t xml:space="preserve"> 37 </w:t>
      </w:r>
      <w:r w:rsidRPr="004308CA">
        <w:t>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67</w:t>
      </w:r>
      <w:r w:rsidRPr="004308CA">
        <w:fldChar w:fldCharType="end"/>
      </w:r>
      <w:r w:rsidRPr="004308CA">
        <w:t xml:space="preserve">.  In this context, the Court reiterates that severe physical disability, like health and age, is a circumstance giving rise to the question of suitability for detention under Article 3 of the Convention (see </w:t>
      </w:r>
      <w:proofErr w:type="spellStart"/>
      <w:r w:rsidRPr="004308CA">
        <w:rPr>
          <w:i/>
        </w:rPr>
        <w:t>Mouisel</w:t>
      </w:r>
      <w:proofErr w:type="spellEnd"/>
      <w:r w:rsidRPr="004308CA">
        <w:t xml:space="preserve"> cited above</w:t>
      </w:r>
      <w:r w:rsidRPr="004308CA" w:rsidR="00BD0200">
        <w:t xml:space="preserve">, § </w:t>
      </w:r>
      <w:r w:rsidRPr="004308CA">
        <w:t xml:space="preserve">38, and </w:t>
      </w:r>
      <w:proofErr w:type="spellStart"/>
      <w:r w:rsidRPr="004308CA">
        <w:rPr>
          <w:i/>
        </w:rPr>
        <w:t>Matencio</w:t>
      </w:r>
      <w:proofErr w:type="spellEnd"/>
      <w:r w:rsidRPr="004308CA">
        <w:rPr>
          <w:i/>
        </w:rPr>
        <w:t xml:space="preserve"> v. France</w:t>
      </w:r>
      <w:r w:rsidRPr="004308CA">
        <w:t>, no. 58749/00, §</w:t>
      </w:r>
      <w:r w:rsidRPr="004308CA" w:rsidR="00BD0200">
        <w:t> </w:t>
      </w:r>
      <w:r w:rsidRPr="004308CA">
        <w:t>76, 15</w:t>
      </w:r>
      <w:r w:rsidRPr="004308CA" w:rsidR="00537D2D">
        <w:t xml:space="preserve"> January </w:t>
      </w:r>
      <w:r w:rsidRPr="004308CA">
        <w:t>2004).</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68</w:t>
      </w:r>
      <w:r w:rsidRPr="004308CA">
        <w:fldChar w:fldCharType="end"/>
      </w:r>
      <w:r w:rsidRPr="004308CA">
        <w:t>.  This question was addressed by the domestic authorities, which however had a divergent approach on the matter, based on their referring exclusively to the medical conclusions formulated by the experts or also on references to humanitarian considerations in justifying their decision.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69</w:t>
      </w:r>
      <w:r w:rsidRPr="004308CA">
        <w:fldChar w:fldCharType="end"/>
      </w:r>
      <w:r w:rsidRPr="004308CA">
        <w:t>.  Hence, on the one hand, the medical experts consistently expressed their view that the applicant</w:t>
      </w:r>
      <w:r w:rsidRPr="004308CA" w:rsidR="004308CA">
        <w:t>’</w:t>
      </w:r>
      <w:r w:rsidRPr="004308CA">
        <w:t>s state of health was compatible with detention, provided that he would be medically supervised in specialist medical units within the prison medical network (see paragraphs</w:t>
      </w:r>
      <w:r w:rsidRPr="004308CA" w:rsidR="00BD0200">
        <w:t xml:space="preserve"> 24, 29 and 37</w:t>
      </w:r>
      <w:r w:rsidRPr="004308CA">
        <w:t xml:space="preserve"> above) and with the assistance of a personal assistant (see paragraph</w:t>
      </w:r>
      <w:r w:rsidRPr="004308CA" w:rsidR="00BD0200">
        <w:t xml:space="preserve"> 32</w:t>
      </w:r>
      <w:r w:rsidRPr="004308CA">
        <w:t xml:space="preserve"> above). These conclusions substantiated the domestic courts</w:t>
      </w:r>
      <w:r w:rsidRPr="004308CA" w:rsidR="004308CA">
        <w:t>’</w:t>
      </w:r>
      <w:r w:rsidRPr="004308CA">
        <w:t xml:space="preserve"> decisions to reject the applicant</w:t>
      </w:r>
      <w:r w:rsidRPr="004308CA" w:rsidR="004308CA">
        <w:t>’</w:t>
      </w:r>
      <w:r w:rsidRPr="004308CA">
        <w:t>s application for the interruption of his prison sentence (see paragraphs</w:t>
      </w:r>
      <w:r w:rsidRPr="004308CA" w:rsidR="00BD0200">
        <w:t> 33-35</w:t>
      </w:r>
      <w:r w:rsidRPr="004308CA">
        <w:t xml:space="preserve"> above). At the same time, one court had also indicated that the seriousness of the crime committed by the applicant determined the necessity to have the sentence served in prison (see paragraph</w:t>
      </w:r>
      <w:r w:rsidRPr="004308CA" w:rsidR="00BD0200">
        <w:t xml:space="preserve"> 35</w:t>
      </w:r>
      <w:r w:rsidRPr="004308CA">
        <w:t xml:space="preserve"> above).</w:t>
      </w:r>
    </w:p>
    <w:bookmarkStart w:name="no_incidents_release" w:id="39"/>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70</w:t>
      </w:r>
      <w:r w:rsidRPr="004308CA">
        <w:fldChar w:fldCharType="end"/>
      </w:r>
      <w:bookmarkEnd w:id="39"/>
      <w:r w:rsidRPr="004308CA">
        <w:t>.  On the other hand, the Court cannot ignore the fact that in spite of the medical recommendations of the board of experts, some of the domestic courts to whom the applicant applied for the interruption of his prison sentence decided to act based on humanitarian considerations and to allow that application. The Court notes that in their reasoning the domestic courts described the applicant</w:t>
      </w:r>
      <w:r w:rsidRPr="004308CA" w:rsidR="004308CA">
        <w:t>’</w:t>
      </w:r>
      <w:r w:rsidRPr="004308CA">
        <w:t>s state of health as being “dreadful” and considered that his release would not represent a public threat (see paragraphs</w:t>
      </w:r>
      <w:r w:rsidRPr="004308CA" w:rsidR="00BD0200">
        <w:t xml:space="preserve"> 21, 26 and 30</w:t>
      </w:r>
      <w:r w:rsidRPr="004308CA">
        <w:t xml:space="preserve"> above). The Court further notes that for the whole duration of his time out of prison, which lasted approximately two years and seven months (see paragraph</w:t>
      </w:r>
      <w:r w:rsidRPr="004308CA" w:rsidR="00BD0200">
        <w:t xml:space="preserve"> 49</w:t>
      </w:r>
      <w:r w:rsidRPr="004308CA">
        <w:t xml:space="preserve"> above), there was no indication that any negative incidents touching on the applicant</w:t>
      </w:r>
      <w:r w:rsidRPr="004308CA" w:rsidR="004308CA">
        <w:t>’</w:t>
      </w:r>
      <w:r w:rsidRPr="004308CA">
        <w:t>s behaviour as a convict on temporary release from prison occurred.</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71</w:t>
      </w:r>
      <w:r w:rsidRPr="004308CA">
        <w:fldChar w:fldCharType="end"/>
      </w:r>
      <w:r w:rsidRPr="004308CA">
        <w:t>.  However, the Court must also observe that such reasoning does not rely on the provisions of domestic law, which require that court decisions refer exclusively to the conclusions drawn by medical experts as to whether the state of health of the applicant is compatible with detention (see paragraphs</w:t>
      </w:r>
      <w:r w:rsidRPr="004308CA" w:rsidR="00BD0200">
        <w:t> 43-44</w:t>
      </w:r>
      <w:r w:rsidRPr="004308CA">
        <w:t xml:space="preserve"> 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72</w:t>
      </w:r>
      <w:r w:rsidRPr="004308CA">
        <w:fldChar w:fldCharType="end"/>
      </w:r>
      <w:r w:rsidRPr="004308CA">
        <w:t>.  Indeed, the relevant domestic law does not set out, either expressly or in substance, the possibility for the courts to rely on humanitarian considerations when deciding on applications such as the one lodged by the applicant in the present case. This is confirmed also by the approach taken by the domestic courts which dismissed the applicant</w:t>
      </w:r>
      <w:r w:rsidRPr="004308CA" w:rsidR="004308CA">
        <w:t>’</w:t>
      </w:r>
      <w:r w:rsidRPr="004308CA">
        <w:t>s applications based on precisely the conclusions drawn by the medical expert board, considered to be evidence of a scientific nature, whose veracity could not be called into question (see also paragraph</w:t>
      </w:r>
      <w:r w:rsidRPr="004308CA" w:rsidR="00767B7D">
        <w:t xml:space="preserve"> 35</w:t>
      </w:r>
      <w:r w:rsidRPr="004308CA">
        <w:t xml:space="preserve"> above), thus making it unnecessary to look into the applicant</w:t>
      </w:r>
      <w:r w:rsidRPr="004308CA" w:rsidR="004308CA">
        <w:t>’</w:t>
      </w:r>
      <w:r w:rsidRPr="004308CA">
        <w:t>s arguments as to the practical realities of his life in detention.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73</w:t>
      </w:r>
      <w:r w:rsidRPr="004308CA">
        <w:fldChar w:fldCharType="end"/>
      </w:r>
      <w:r w:rsidRPr="004308CA">
        <w:t>.  From this perspective and having regard to the fact that the applicant had the opportunity to apply to the domestic courts for an assessment of the compatibility of his detention with his health, the Court takes note that the decisions reached by the domestic authorities were based on the medical reports commissioned in the file which confirmed the applicant</w:t>
      </w:r>
      <w:r w:rsidRPr="004308CA" w:rsidR="004308CA">
        <w:t>’</w:t>
      </w:r>
      <w:r w:rsidRPr="004308CA">
        <w:t xml:space="preserve">s real capacity for remaining in prison under the impugned conditions of detention. The Court also </w:t>
      </w:r>
      <w:bookmarkStart w:name="lt_pId334" w:id="40"/>
      <w:r w:rsidRPr="004308CA">
        <w:t>observes that it does not appear from the medical reports in the file that the applicant</w:t>
      </w:r>
      <w:r w:rsidRPr="004308CA" w:rsidR="004308CA">
        <w:t>’</w:t>
      </w:r>
      <w:r w:rsidRPr="004308CA">
        <w:t>s health has deteriorated during his detention or that his disability has worsened as a result of the detention conditions</w:t>
      </w:r>
      <w:bookmarkEnd w:id="40"/>
      <w:r w:rsidRPr="004308CA">
        <w:t xml:space="preserve"> (see, </w:t>
      </w:r>
      <w:r w:rsidRPr="004308CA">
        <w:rPr>
          <w:i/>
        </w:rPr>
        <w:t>mutatis mutandis</w:t>
      </w:r>
      <w:r w:rsidRPr="004308CA">
        <w:t xml:space="preserve">, </w:t>
      </w:r>
      <w:proofErr w:type="spellStart"/>
      <w:r w:rsidRPr="004308CA">
        <w:rPr>
          <w:i/>
        </w:rPr>
        <w:t>Helhal</w:t>
      </w:r>
      <w:proofErr w:type="spellEnd"/>
      <w:r w:rsidRPr="004308CA">
        <w:rPr>
          <w:i/>
        </w:rPr>
        <w:t xml:space="preserve"> v. France</w:t>
      </w:r>
      <w:r w:rsidRPr="004308CA">
        <w:rPr>
          <w:snapToGrid w:val="0"/>
        </w:rPr>
        <w:t>, no.</w:t>
      </w:r>
      <w:r w:rsidRPr="004308CA">
        <w:t xml:space="preserve"> 10401/12</w:t>
      </w:r>
      <w:r w:rsidRPr="004308CA" w:rsidR="00537D2D">
        <w:rPr>
          <w:snapToGrid w:val="0"/>
        </w:rPr>
        <w:t xml:space="preserve">, § 55, 19 February </w:t>
      </w:r>
      <w:r w:rsidRPr="004308CA">
        <w:rPr>
          <w:snapToGrid w:val="0"/>
        </w:rPr>
        <w:t>2015).</w:t>
      </w:r>
    </w:p>
    <w:bookmarkStart w:name="lt_pId337" w:id="41"/>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74</w:t>
      </w:r>
      <w:r w:rsidRPr="004308CA">
        <w:fldChar w:fldCharType="end"/>
      </w:r>
      <w:r w:rsidRPr="004308CA">
        <w:t>.  Accordingly, the present case does not concern the question of the applicant</w:t>
      </w:r>
      <w:r w:rsidRPr="004308CA" w:rsidR="004308CA">
        <w:t>’</w:t>
      </w:r>
      <w:r w:rsidRPr="004308CA">
        <w:t>s fitness to serve his sentence, but rather the quality of the care provided, and in particular whether the national authorities did everything that could reasonably be expected of them to provide him with the medical treatment he needed and to offer him some prospect of an improvement in his condition (ibid.</w:t>
      </w:r>
      <w:r w:rsidRPr="004308CA">
        <w:rPr>
          <w:snapToGrid w:val="0"/>
        </w:rPr>
        <w:t>)</w:t>
      </w:r>
      <w:r w:rsidRPr="004308CA">
        <w:t>.</w:t>
      </w:r>
      <w:bookmarkEnd w:id="41"/>
    </w:p>
    <w:p w:rsidRPr="004308CA" w:rsidR="00331922" w:rsidP="004308CA" w:rsidRDefault="00331922">
      <w:pPr>
        <w:pStyle w:val="JuHi"/>
        <w:keepNext w:val="0"/>
        <w:keepLines w:val="0"/>
        <w:rPr>
          <w:sz w:val="24"/>
        </w:rPr>
      </w:pPr>
      <w:r w:rsidRPr="004308CA">
        <w:t>Quality of medical care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75</w:t>
      </w:r>
      <w:r w:rsidRPr="004308CA">
        <w:fldChar w:fldCharType="end"/>
      </w:r>
      <w:r w:rsidRPr="004308CA">
        <w:t>.  In connection with the latter aspect, and more specifically with the appropriateness of continuing the applicant</w:t>
      </w:r>
      <w:r w:rsidRPr="004308CA" w:rsidR="004308CA">
        <w:t>’</w:t>
      </w:r>
      <w:r w:rsidRPr="004308CA">
        <w:t>s detention, the Court cannot substitute its views for those of the domestic courts. However, it cannot be overlooked that the domestic courts, in rejecting the application for an interruption of the sentence, did not address the issues raised by the applicant concerning the actual conditions of his detention and the inadequate medical treatment he had been provided with, in particular with reference to the fact that no special measures had been taken to accommodate a person with his medical history who was confined to a wheelchair (see paragraphs</w:t>
      </w:r>
      <w:r w:rsidRPr="004308CA" w:rsidR="00767B7D">
        <w:t xml:space="preserve"> 39 and 57-59</w:t>
      </w:r>
      <w:r w:rsidRPr="004308CA">
        <w:t xml:space="preserve"> 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76</w:t>
      </w:r>
      <w:r w:rsidRPr="004308CA">
        <w:fldChar w:fldCharType="end"/>
      </w:r>
      <w:r w:rsidRPr="004308CA">
        <w:t>.  In that respect, the Court notes that, notwithstanding the two certificates issued in November 2011 and March 2012 finding that the applicant</w:t>
      </w:r>
      <w:r w:rsidRPr="004308CA" w:rsidR="004308CA">
        <w:t>’</w:t>
      </w:r>
      <w:r w:rsidRPr="004308CA">
        <w:t>s state of health had not necessitated a personal assistant (see paragraphs</w:t>
      </w:r>
      <w:r w:rsidRPr="004308CA" w:rsidR="00767B7D">
        <w:t> 9</w:t>
      </w:r>
      <w:r w:rsidRPr="004308CA">
        <w:t xml:space="preserve"> and</w:t>
      </w:r>
      <w:r w:rsidRPr="004308CA" w:rsidR="00767B7D">
        <w:t xml:space="preserve"> 54</w:t>
      </w:r>
      <w:r w:rsidRPr="004308CA">
        <w:t xml:space="preserve"> above), and which pre-dated the ischemic stroke suffered by the applicant in October 2012 (see paragraph</w:t>
      </w:r>
      <w:r w:rsidRPr="004308CA" w:rsidR="00767B7D">
        <w:t xml:space="preserve"> 11</w:t>
      </w:r>
      <w:r w:rsidRPr="004308CA">
        <w:t xml:space="preserve"> above), several medical reports as well as findings by the domestic courts dating from 2013 onwards confirmed the fact that the applicant needed constant help for current tasks, help that was to be provided by a personal assistant (see paragraphs</w:t>
      </w:r>
      <w:r w:rsidRPr="004308CA" w:rsidR="00767B7D">
        <w:t> 29, 32, 33 and 38</w:t>
      </w:r>
      <w:r w:rsidRPr="004308CA">
        <w:t xml:space="preserve"> above). In spite of this assessment, the applicant did not have the benefit of such assistance, except for when he was helped on an official basis by some inmates who provided collective assistance (see paragraphs</w:t>
      </w:r>
      <w:r w:rsidRPr="004308CA" w:rsidR="00767B7D">
        <w:t xml:space="preserve"> 17</w:t>
      </w:r>
      <w:r w:rsidRPr="004308CA">
        <w:t xml:space="preserve"> and</w:t>
      </w:r>
      <w:r w:rsidRPr="004308CA" w:rsidR="00767B7D">
        <w:t xml:space="preserve"> 53</w:t>
      </w:r>
      <w:r w:rsidRPr="004308CA">
        <w:t xml:space="preserve"> above) or unofficially by fellow inmates (see paragraph</w:t>
      </w:r>
      <w:r w:rsidRPr="004308CA" w:rsidR="00767B7D">
        <w:t xml:space="preserve"> 57</w:t>
      </w:r>
      <w:r w:rsidRPr="004308CA">
        <w:t xml:space="preserve"> above).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77</w:t>
      </w:r>
      <w:r w:rsidRPr="004308CA">
        <w:fldChar w:fldCharType="end"/>
      </w:r>
      <w:r w:rsidRPr="004308CA">
        <w:t xml:space="preserve">.  However, the Court reiterates that it has already voiced doubts as to the adequacy of assigning unqualified people responsibility for looking after an individual suffering from a serious illness (see </w:t>
      </w:r>
      <w:proofErr w:type="spellStart"/>
      <w:r w:rsidRPr="004308CA">
        <w:rPr>
          <w:i/>
        </w:rPr>
        <w:t>Gülay</w:t>
      </w:r>
      <w:proofErr w:type="spellEnd"/>
      <w:r w:rsidRPr="004308CA">
        <w:rPr>
          <w:i/>
        </w:rPr>
        <w:t xml:space="preserve"> </w:t>
      </w:r>
      <w:proofErr w:type="spellStart"/>
      <w:r w:rsidRPr="004308CA">
        <w:rPr>
          <w:i/>
        </w:rPr>
        <w:t>Çetin</w:t>
      </w:r>
      <w:proofErr w:type="spellEnd"/>
      <w:r w:rsidRPr="004308CA">
        <w:rPr>
          <w:i/>
        </w:rPr>
        <w:t xml:space="preserve"> v.</w:t>
      </w:r>
      <w:r w:rsidRPr="004308CA" w:rsidR="00767B7D">
        <w:rPr>
          <w:i/>
        </w:rPr>
        <w:t> </w:t>
      </w:r>
      <w:r w:rsidRPr="004308CA">
        <w:rPr>
          <w:i/>
        </w:rPr>
        <w:t>Turkey</w:t>
      </w:r>
      <w:r w:rsidRPr="004308CA">
        <w:t>, no. 44084/10</w:t>
      </w:r>
      <w:r w:rsidRPr="004308CA">
        <w:rPr>
          <w:snapToGrid w:val="0"/>
        </w:rPr>
        <w:t>, § 112, 5 March 2013</w:t>
      </w:r>
      <w:r w:rsidRPr="004308CA">
        <w:t xml:space="preserve">). Furthermore, the Court has already found a violation of Article 3 of the Convention in circumstances where prison staff felt that they had been relieved of their duty to provide security and care to more vulnerable detainees whose cellmates had been made responsible for providing them with daily assistance or, if necessary, with first aid (see </w:t>
      </w:r>
      <w:proofErr w:type="spellStart"/>
      <w:r w:rsidRPr="004308CA">
        <w:rPr>
          <w:i/>
        </w:rPr>
        <w:t>Semikhvostov</w:t>
      </w:r>
      <w:proofErr w:type="spellEnd"/>
      <w:r w:rsidRPr="004308CA">
        <w:rPr>
          <w:i/>
        </w:rPr>
        <w:t xml:space="preserve"> v. Russia</w:t>
      </w:r>
      <w:r w:rsidRPr="004308CA">
        <w:t>, no. 2689/12</w:t>
      </w:r>
      <w:r w:rsidRPr="004308CA">
        <w:rPr>
          <w:snapToGrid w:val="0"/>
        </w:rPr>
        <w:t xml:space="preserve">, </w:t>
      </w:r>
      <w:r w:rsidRPr="004308CA" w:rsidR="00767B7D">
        <w:t>§§ </w:t>
      </w:r>
      <w:r w:rsidRPr="004308CA">
        <w:t>84-85</w:t>
      </w:r>
      <w:r w:rsidRPr="004308CA">
        <w:rPr>
          <w:snapToGrid w:val="0"/>
        </w:rPr>
        <w:t xml:space="preserve">, </w:t>
      </w:r>
      <w:r w:rsidRPr="004308CA">
        <w:t>6 </w:t>
      </w:r>
      <w:r w:rsidRPr="004308CA" w:rsidR="00537D2D">
        <w:rPr>
          <w:snapToGrid w:val="0"/>
        </w:rPr>
        <w:t xml:space="preserve">February </w:t>
      </w:r>
      <w:r w:rsidRPr="004308CA">
        <w:rPr>
          <w:snapToGrid w:val="0"/>
        </w:rPr>
        <w:t>2014</w:t>
      </w:r>
      <w:r w:rsidRPr="004308CA">
        <w:t xml:space="preserve">; </w:t>
      </w:r>
      <w:proofErr w:type="spellStart"/>
      <w:r w:rsidRPr="004308CA">
        <w:rPr>
          <w:i/>
        </w:rPr>
        <w:t>Mircea</w:t>
      </w:r>
      <w:proofErr w:type="spellEnd"/>
      <w:r w:rsidRPr="004308CA">
        <w:rPr>
          <w:i/>
        </w:rPr>
        <w:t xml:space="preserve"> </w:t>
      </w:r>
      <w:proofErr w:type="spellStart"/>
      <w:r w:rsidRPr="004308CA">
        <w:rPr>
          <w:i/>
        </w:rPr>
        <w:t>Dumitrescu</w:t>
      </w:r>
      <w:proofErr w:type="spellEnd"/>
      <w:r w:rsidRPr="004308CA">
        <w:t xml:space="preserve"> </w:t>
      </w:r>
      <w:r w:rsidRPr="004308CA">
        <w:rPr>
          <w:i/>
        </w:rPr>
        <w:t>v. Romania</w:t>
      </w:r>
      <w:r w:rsidRPr="004308CA">
        <w:rPr>
          <w:snapToGrid w:val="0"/>
        </w:rPr>
        <w:t xml:space="preserve">, no. 14609/10, </w:t>
      </w:r>
      <w:r w:rsidRPr="004308CA" w:rsidR="00767B7D">
        <w:t>§§ </w:t>
      </w:r>
      <w:r w:rsidRPr="004308CA">
        <w:t>59-65</w:t>
      </w:r>
      <w:r w:rsidRPr="004308CA">
        <w:rPr>
          <w:snapToGrid w:val="0"/>
        </w:rPr>
        <w:t>, 30</w:t>
      </w:r>
      <w:r w:rsidRPr="004308CA" w:rsidR="00537D2D">
        <w:rPr>
          <w:snapToGrid w:val="0"/>
        </w:rPr>
        <w:t xml:space="preserve"> July </w:t>
      </w:r>
      <w:r w:rsidRPr="004308CA">
        <w:rPr>
          <w:snapToGrid w:val="0"/>
        </w:rPr>
        <w:t>2013;</w:t>
      </w:r>
      <w:r w:rsidRPr="004308CA">
        <w:t xml:space="preserve"> and </w:t>
      </w:r>
      <w:proofErr w:type="spellStart"/>
      <w:r w:rsidRPr="004308CA">
        <w:rPr>
          <w:i/>
        </w:rPr>
        <w:t>Kaprykowski</w:t>
      </w:r>
      <w:proofErr w:type="spellEnd"/>
      <w:r w:rsidRPr="004308CA">
        <w:rPr>
          <w:i/>
        </w:rPr>
        <w:t xml:space="preserve"> v. Poland</w:t>
      </w:r>
      <w:r w:rsidRPr="004308CA" w:rsidR="00767B7D">
        <w:t>, no. 23052/05, § </w:t>
      </w:r>
      <w:r w:rsidRPr="004308CA">
        <w:t>74, 3</w:t>
      </w:r>
      <w:r w:rsidRPr="004308CA" w:rsidR="00537D2D">
        <w:t xml:space="preserve"> February </w:t>
      </w:r>
      <w:r w:rsidRPr="004308CA">
        <w:t>2009).</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78</w:t>
      </w:r>
      <w:r w:rsidRPr="004308CA">
        <w:fldChar w:fldCharType="end"/>
      </w:r>
      <w:r w:rsidRPr="004308CA">
        <w:t>.  In the present case, it cannot be ascertained whether the prisoners who agreed to assist the applicant were qualified to provide appropriate support or whether the applicant actually received such support. Nor does it appear from the case file that the applicant received appropriate psychological support during his periods in hospital or prison, given that he displayed severe psycho-organic syndrome and at times symptoms of depression (see paragraphs</w:t>
      </w:r>
      <w:r w:rsidRPr="004308CA" w:rsidR="00D1001B">
        <w:t xml:space="preserve"> 4, 6 </w:t>
      </w:r>
      <w:r w:rsidRPr="004308CA">
        <w:t>and</w:t>
      </w:r>
      <w:r w:rsidRPr="004308CA" w:rsidR="00D1001B">
        <w:t xml:space="preserve"> 32</w:t>
      </w:r>
      <w:r w:rsidRPr="004308CA">
        <w:t xml:space="preserve"> above). Such help cannot therefore be considered suitable or sufficient.</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79</w:t>
      </w:r>
      <w:r w:rsidRPr="004308CA">
        <w:fldChar w:fldCharType="end"/>
      </w:r>
      <w:r w:rsidRPr="004308CA">
        <w:t>.  Furthermore, the Court cannot ignore the applicant</w:t>
      </w:r>
      <w:r w:rsidRPr="004308CA" w:rsidR="004308CA">
        <w:t>’</w:t>
      </w:r>
      <w:r w:rsidRPr="004308CA">
        <w:t>s submissions, uncontested by the Government, that the wheelchair was provided to him at own expense (see paragraph</w:t>
      </w:r>
      <w:r w:rsidRPr="004308CA" w:rsidR="00D1001B">
        <w:t xml:space="preserve"> 58</w:t>
      </w:r>
      <w:r w:rsidRPr="004308CA">
        <w:t xml:space="preserve"> above), in the lack of any assistance to that effect from the prison authorities.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80</w:t>
      </w:r>
      <w:r w:rsidRPr="004308CA">
        <w:fldChar w:fldCharType="end"/>
      </w:r>
      <w:r w:rsidRPr="004308CA">
        <w:t xml:space="preserve">.  While accepting that in the instant case there was no suggestion of intent to humiliate or debase the applicant, the Court reiterates that the absence of such intent cannot conclusively rule out a finding of a violation of Article 3 of the Convention (see, among other authorities, </w:t>
      </w:r>
      <w:proofErr w:type="spellStart"/>
      <w:r w:rsidRPr="004308CA" w:rsidR="00537D2D">
        <w:rPr>
          <w:i/>
        </w:rPr>
        <w:t>Khlaifia</w:t>
      </w:r>
      <w:proofErr w:type="spellEnd"/>
      <w:r w:rsidRPr="004308CA" w:rsidR="00537D2D">
        <w:rPr>
          <w:i/>
        </w:rPr>
        <w:t xml:space="preserve"> and </w:t>
      </w:r>
      <w:r w:rsidRPr="004308CA">
        <w:rPr>
          <w:i/>
        </w:rPr>
        <w:t>Others v. Italy</w:t>
      </w:r>
      <w:r w:rsidRPr="004308CA">
        <w:t xml:space="preserve"> [GC], no. 16483/12, § 160, 15 December 2016).</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81</w:t>
      </w:r>
      <w:r w:rsidRPr="004308CA">
        <w:fldChar w:fldCharType="end"/>
      </w:r>
      <w:r w:rsidRPr="004308CA">
        <w:t>. </w:t>
      </w:r>
      <w:r w:rsidRPr="004308CA" w:rsidR="00D1001B">
        <w:t> </w:t>
      </w:r>
      <w:r w:rsidRPr="004308CA">
        <w:t>The Court reiterates that where the national authorities decide to place or keep a person with disabilities in detention, they should demonstrate special care in guaranteeing such conditions as correspond to the special needs resulting from the detainee</w:t>
      </w:r>
      <w:r w:rsidRPr="004308CA" w:rsidR="004308CA">
        <w:t>’</w:t>
      </w:r>
      <w:r w:rsidRPr="004308CA">
        <w:t xml:space="preserve">s disability (see </w:t>
      </w:r>
      <w:proofErr w:type="spellStart"/>
      <w:r w:rsidRPr="004308CA">
        <w:rPr>
          <w:i/>
        </w:rPr>
        <w:t>Zarzycki</w:t>
      </w:r>
      <w:proofErr w:type="spellEnd"/>
      <w:r w:rsidRPr="004308CA">
        <w:rPr>
          <w:i/>
        </w:rPr>
        <w:t xml:space="preserve"> v. Poland</w:t>
      </w:r>
      <w:r w:rsidRPr="004308CA">
        <w:t>, no. 15351/03, § 102, 12 March 2013).</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82</w:t>
      </w:r>
      <w:r w:rsidRPr="004308CA">
        <w:fldChar w:fldCharType="end"/>
      </w:r>
      <w:r w:rsidRPr="004308CA">
        <w:t>.  Having conducted an overall assessment of the relevant facts on the basis of the evidence and submissions presented before it, and having regard in particular to the Government</w:t>
      </w:r>
      <w:r w:rsidRPr="004308CA" w:rsidR="004308CA">
        <w:t>’</w:t>
      </w:r>
      <w:r w:rsidRPr="004308CA">
        <w:t>s submissions as to the material conditions of the detention of the applicant as a physically disabled inmate transferred between prison facilities which did not always provide him with personal assistance, or with conditions adapted to disabled inmates (see paragraphs </w:t>
      </w:r>
      <w:r w:rsidRPr="004308CA" w:rsidR="00D1001B">
        <w:t>16-19</w:t>
      </w:r>
      <w:r w:rsidRPr="004308CA">
        <w:t xml:space="preserve"> and </w:t>
      </w:r>
      <w:r w:rsidRPr="004308CA" w:rsidR="00D1001B">
        <w:t>52-54</w:t>
      </w:r>
      <w:r w:rsidRPr="004308CA">
        <w:t xml:space="preserve"> above), the Court considers that in the present case the care provided to the applicant in view of his state of health and disability does not demonstrate that the State worked to ensure that the applicant was detained in conditions compatible with respect for his human dignity (see, </w:t>
      </w:r>
      <w:r w:rsidRPr="004308CA">
        <w:rPr>
          <w:i/>
        </w:rPr>
        <w:t>mutatis mutandis</w:t>
      </w:r>
      <w:r w:rsidRPr="004308CA">
        <w:t xml:space="preserve">, </w:t>
      </w:r>
      <w:proofErr w:type="spellStart"/>
      <w:r w:rsidRPr="004308CA">
        <w:rPr>
          <w:i/>
        </w:rPr>
        <w:t>Farbtuhs</w:t>
      </w:r>
      <w:proofErr w:type="spellEnd"/>
      <w:r w:rsidRPr="004308CA">
        <w:rPr>
          <w:i/>
        </w:rPr>
        <w:t xml:space="preserve"> v. Latvia</w:t>
      </w:r>
      <w:r w:rsidRPr="004308CA" w:rsidR="00537D2D">
        <w:t xml:space="preserve">, no. 4672/02, § 61, 2 December </w:t>
      </w:r>
      <w:r w:rsidRPr="004308CA">
        <w:t>2004).</w:t>
      </w:r>
    </w:p>
    <w:p w:rsidRPr="004308CA" w:rsidR="00331922" w:rsidP="004308CA" w:rsidRDefault="00331922">
      <w:pPr>
        <w:pStyle w:val="JuHi"/>
      </w:pPr>
      <w:r w:rsidRPr="004308CA">
        <w:t>Conclusion</w:t>
      </w:r>
    </w:p>
    <w:p w:rsidRPr="004308CA" w:rsidR="00331922" w:rsidP="004308CA" w:rsidRDefault="00331922">
      <w:pPr>
        <w:pStyle w:val="JuPara"/>
        <w:keepNext/>
        <w:keepLines/>
      </w:pPr>
      <w:r w:rsidRPr="004308CA">
        <w:fldChar w:fldCharType="begin"/>
      </w:r>
      <w:r w:rsidRPr="004308CA">
        <w:instrText xml:space="preserve"> SEQ level0 \*arabic </w:instrText>
      </w:r>
      <w:r w:rsidRPr="004308CA">
        <w:fldChar w:fldCharType="separate"/>
      </w:r>
      <w:r w:rsidRPr="004308CA" w:rsidR="004308CA">
        <w:rPr>
          <w:noProof/>
        </w:rPr>
        <w:t>83</w:t>
      </w:r>
      <w:r w:rsidRPr="004308CA">
        <w:fldChar w:fldCharType="end"/>
      </w:r>
      <w:r w:rsidRPr="004308CA">
        <w:t>.  In view of all the foregoing considerations, the Court concludes that</w:t>
      </w:r>
      <w:bookmarkStart w:name="lt_pId393" w:id="42"/>
      <w:r w:rsidRPr="004308CA">
        <w:t xml:space="preserve"> in the present case the applicant</w:t>
      </w:r>
      <w:r w:rsidRPr="004308CA" w:rsidR="004308CA">
        <w:t>’</w:t>
      </w:r>
      <w:r w:rsidRPr="004308CA">
        <w:t>s continued detention was not in itself incompatible with Article 3 of the Convention, but that in view of his state of health and disability, the national authorities have not provided him with the care and assistance required to avoid subjecting him to treatment contrary to that provision.</w:t>
      </w:r>
      <w:bookmarkEnd w:id="42"/>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84</w:t>
      </w:r>
      <w:r w:rsidRPr="004308CA">
        <w:fldChar w:fldCharType="end"/>
      </w:r>
      <w:r w:rsidRPr="004308CA">
        <w:t>.  There was therefore a violation of Article 3 of the Convention in that regard.</w:t>
      </w:r>
    </w:p>
    <w:p w:rsidRPr="004308CA" w:rsidR="00331922" w:rsidP="004308CA" w:rsidRDefault="00331922">
      <w:pPr>
        <w:pStyle w:val="JuHIRoman"/>
        <w:keepNext w:val="0"/>
        <w:keepLines w:val="0"/>
      </w:pPr>
      <w:r w:rsidRPr="004308CA">
        <w:t>APPLICATION OF ARTICLE</w:t>
      </w:r>
      <w:r w:rsidRPr="004308CA" w:rsidR="00D1001B">
        <w:t xml:space="preserve"> </w:t>
      </w:r>
      <w:r w:rsidRPr="004308CA">
        <w:t>41 OF THE CONVENTION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85</w:t>
      </w:r>
      <w:r w:rsidRPr="004308CA">
        <w:fldChar w:fldCharType="end"/>
      </w:r>
      <w:r w:rsidRPr="004308CA">
        <w:t>.  Article</w:t>
      </w:r>
      <w:r w:rsidRPr="004308CA" w:rsidR="00D1001B">
        <w:t xml:space="preserve"> </w:t>
      </w:r>
      <w:r w:rsidRPr="004308CA">
        <w:t>41 of the Convention provides:</w:t>
      </w:r>
    </w:p>
    <w:p w:rsidRPr="004308CA" w:rsidR="00331922" w:rsidP="004308CA" w:rsidRDefault="00331922">
      <w:pPr>
        <w:pStyle w:val="JuQuot"/>
      </w:pPr>
      <w:r w:rsidRPr="004308C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08CA" w:rsidR="00331922" w:rsidP="004308CA" w:rsidRDefault="00331922">
      <w:pPr>
        <w:pStyle w:val="JuHA"/>
        <w:keepNext w:val="0"/>
        <w:keepLines w:val="0"/>
      </w:pPr>
      <w:r w:rsidRPr="004308CA">
        <w:t>Damage</w:t>
      </w:r>
    </w:p>
    <w:p w:rsidRPr="004308CA" w:rsidR="00331922" w:rsidP="004308CA" w:rsidRDefault="00331922">
      <w:pPr>
        <w:pStyle w:val="JuPara"/>
      </w:pPr>
      <w:r w:rsidRPr="004308CA">
        <w:fldChar w:fldCharType="begin"/>
      </w:r>
      <w:r w:rsidRPr="004308CA">
        <w:instrText xml:space="preserve"> SEQ level0 \*arabic </w:instrText>
      </w:r>
      <w:proofErr w:type="gramStart"/>
      <w:r w:rsidRPr="004308CA">
        <w:fldChar w:fldCharType="separate"/>
      </w:r>
      <w:r w:rsidRPr="004308CA" w:rsidR="004308CA">
        <w:rPr>
          <w:noProof/>
        </w:rPr>
        <w:t>86</w:t>
      </w:r>
      <w:r w:rsidRPr="004308CA">
        <w:fldChar w:fldCharType="end"/>
      </w:r>
      <w:r w:rsidRPr="004308CA" w:rsidR="00D1001B">
        <w:t>.</w:t>
      </w:r>
      <w:proofErr w:type="gramEnd"/>
      <w:r w:rsidRPr="004308CA">
        <w:t>  The applicant claimed 50,000 euros (EUR) in respect of pecuniary damage, consisting mainly of costs and expenses caused by the medical treatment he had had to undergo for his illnesses, treatment which he had paid for out of his own pocket. He also claimed EUR 50,000 in respect of the non-pecuniary damage caused by his suffering during detention.</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87</w:t>
      </w:r>
      <w:r w:rsidRPr="004308CA">
        <w:fldChar w:fldCharType="end"/>
      </w:r>
      <w:r w:rsidRPr="004308CA">
        <w:t>.  The Government considered that the claim in respect of pecuniary damage had not been substantiated. At all events, they submitted that the causal link between the alleged violation of the Convention and the pecuniary damage had not been proved. As regards the claim in respect of non-pecuniary damage, they deemed the amount claimed excessive.</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88</w:t>
      </w:r>
      <w:r w:rsidRPr="004308CA">
        <w:fldChar w:fldCharType="end"/>
      </w:r>
      <w:r w:rsidRPr="004308CA">
        <w:t>.  The Court considers, on the one hand, that the applicant has not demonstrated the existence of a causal link between the violation found and the pecuniary damage alleged; it therefore rejects this claim. On the other hand, it awards the applicant</w:t>
      </w:r>
      <w:r w:rsidRPr="004308CA">
        <w:rPr>
          <w:b/>
        </w:rPr>
        <w:t xml:space="preserve"> </w:t>
      </w:r>
      <w:r w:rsidRPr="004308CA">
        <w:t>EUR 3,000 in respect of non-pecuniary damage, plus any tax that may be chargeable.</w:t>
      </w:r>
    </w:p>
    <w:p w:rsidRPr="004308CA" w:rsidR="00331922" w:rsidP="004308CA" w:rsidRDefault="00331922">
      <w:pPr>
        <w:pStyle w:val="JuHA"/>
        <w:keepNext w:val="0"/>
        <w:keepLines w:val="0"/>
      </w:pPr>
      <w:r w:rsidRPr="004308CA">
        <w:t>Costs and expenses</w:t>
      </w:r>
    </w:p>
    <w:p w:rsidRPr="004308CA" w:rsidR="00331922" w:rsidP="004308CA" w:rsidRDefault="00331922">
      <w:pPr>
        <w:pStyle w:val="JuPara"/>
      </w:pPr>
      <w:r w:rsidRPr="004308CA">
        <w:fldChar w:fldCharType="begin"/>
      </w:r>
      <w:r w:rsidRPr="004308CA">
        <w:instrText xml:space="preserve"> SEQ level0 \*arabic </w:instrText>
      </w:r>
      <w:r w:rsidRPr="004308CA">
        <w:fldChar w:fldCharType="separate"/>
      </w:r>
      <w:r w:rsidRPr="004308CA" w:rsidR="004308CA">
        <w:rPr>
          <w:noProof/>
        </w:rPr>
        <w:t>89</w:t>
      </w:r>
      <w:r w:rsidRPr="004308CA">
        <w:fldChar w:fldCharType="end"/>
      </w:r>
      <w:r w:rsidRPr="004308CA">
        <w:t>.  Since the applicant made no claim in this connection, the Court is not called upon to rule on this point.</w:t>
      </w:r>
    </w:p>
    <w:p w:rsidRPr="004308CA" w:rsidR="00CF2D78" w:rsidP="004308CA" w:rsidRDefault="00331922">
      <w:pPr>
        <w:pStyle w:val="JuHA"/>
      </w:pPr>
      <w:r w:rsidRPr="004308CA">
        <w:t>Default interest</w:t>
      </w:r>
    </w:p>
    <w:p w:rsidRPr="004308CA" w:rsidR="00331922" w:rsidP="004308CA" w:rsidRDefault="00331922">
      <w:pPr>
        <w:pStyle w:val="JuPara"/>
        <w:keepNext/>
        <w:keepLines/>
      </w:pPr>
      <w:r w:rsidRPr="004308CA">
        <w:fldChar w:fldCharType="begin"/>
      </w:r>
      <w:r w:rsidRPr="004308CA">
        <w:instrText xml:space="preserve"> SEQ level0 \*arabic </w:instrText>
      </w:r>
      <w:r w:rsidRPr="004308CA">
        <w:fldChar w:fldCharType="separate"/>
      </w:r>
      <w:r w:rsidRPr="004308CA" w:rsidR="004308CA">
        <w:rPr>
          <w:noProof/>
        </w:rPr>
        <w:t>90</w:t>
      </w:r>
      <w:r w:rsidRPr="004308CA">
        <w:fldChar w:fldCharType="end"/>
      </w:r>
      <w:r w:rsidRPr="004308CA">
        <w:t>.  The Court considers it appropriate that the default interest rate should be based on the marginal lending rate of the European Central Bank, to which should be added three percentage points.</w:t>
      </w:r>
    </w:p>
    <w:p w:rsidRPr="004308CA" w:rsidR="00331922" w:rsidP="004308CA" w:rsidRDefault="00331922">
      <w:pPr>
        <w:pStyle w:val="JuHHead"/>
        <w:keepNext w:val="0"/>
        <w:keepLines w:val="0"/>
      </w:pPr>
      <w:r w:rsidRPr="004308CA">
        <w:t>FOR THESE REASONS, THE COURT, UNANIMOUSLY,</w:t>
      </w:r>
    </w:p>
    <w:p w:rsidRPr="004308CA" w:rsidR="00331922" w:rsidP="004308CA" w:rsidRDefault="00331922">
      <w:pPr>
        <w:pStyle w:val="JuList"/>
      </w:pPr>
      <w:r w:rsidRPr="004308CA">
        <w:rPr>
          <w:i/>
        </w:rPr>
        <w:t>Declares</w:t>
      </w:r>
      <w:r w:rsidRPr="004308CA">
        <w:t xml:space="preserve"> the application admissible as far as it concerns the conditions of t</w:t>
      </w:r>
      <w:r w:rsidRPr="004308CA" w:rsidR="00D1001B">
        <w:t>he applicant</w:t>
      </w:r>
      <w:r w:rsidRPr="004308CA" w:rsidR="004308CA">
        <w:t>’</w:t>
      </w:r>
      <w:r w:rsidRPr="004308CA" w:rsidR="00D1001B">
        <w:t xml:space="preserve">s detention from 9 </w:t>
      </w:r>
      <w:r w:rsidRPr="004308CA">
        <w:t>March 2015 until 20</w:t>
      </w:r>
      <w:r w:rsidRPr="004308CA" w:rsidR="00537D2D">
        <w:t xml:space="preserve"> September </w:t>
      </w:r>
      <w:r w:rsidRPr="004308CA">
        <w:t>2017, and inadmissible for the remainder;</w:t>
      </w:r>
    </w:p>
    <w:p w:rsidRPr="004308CA" w:rsidR="00331922" w:rsidP="004308CA" w:rsidRDefault="00331922">
      <w:pPr>
        <w:pStyle w:val="JuList"/>
      </w:pPr>
      <w:r w:rsidRPr="004308CA">
        <w:rPr>
          <w:i/>
        </w:rPr>
        <w:t>Holds</w:t>
      </w:r>
      <w:r w:rsidRPr="004308CA">
        <w:t xml:space="preserve"> that there has been a violation of Article 3 of the Convention concerning the compatibility of the applicant</w:t>
      </w:r>
      <w:r w:rsidRPr="004308CA" w:rsidR="004308CA">
        <w:t>’</w:t>
      </w:r>
      <w:r w:rsidRPr="004308CA">
        <w:t xml:space="preserve">s state of health with his detention </w:t>
      </w:r>
      <w:r w:rsidRPr="004308CA" w:rsidR="00D1001B">
        <w:t xml:space="preserve">from 9 </w:t>
      </w:r>
      <w:r w:rsidRPr="004308CA">
        <w:t>March 2015 until 20 September 2017;</w:t>
      </w:r>
    </w:p>
    <w:p w:rsidRPr="004308CA" w:rsidR="00331922" w:rsidP="004308CA" w:rsidRDefault="00331922">
      <w:pPr>
        <w:pStyle w:val="JuList"/>
        <w:rPr>
          <w:i/>
        </w:rPr>
      </w:pPr>
      <w:r w:rsidRPr="004308CA">
        <w:rPr>
          <w:i/>
        </w:rPr>
        <w:t>Holds</w:t>
      </w:r>
    </w:p>
    <w:p w:rsidRPr="004308CA" w:rsidR="00331922" w:rsidP="004308CA" w:rsidRDefault="00331922">
      <w:pPr>
        <w:pStyle w:val="JuLista"/>
      </w:pPr>
      <w:r w:rsidRPr="004308CA">
        <w:t>that the respondent State is to pay the applicant, within three months from the date on which the judgment becomes f</w:t>
      </w:r>
      <w:r w:rsidRPr="004308CA" w:rsidR="00D1001B">
        <w:t xml:space="preserve">inal in accordance with Article </w:t>
      </w:r>
      <w:r w:rsidRPr="004308CA">
        <w:t>44</w:t>
      </w:r>
      <w:r w:rsidRPr="004308CA" w:rsidR="00D1001B">
        <w:t xml:space="preserve"> § </w:t>
      </w:r>
      <w:r w:rsidRPr="004308CA">
        <w:t>2 of the Convention, EUR 3,000 (three thousand euros), plus any tax that may be chargeable, in respect of non</w:t>
      </w:r>
      <w:r w:rsidRPr="004308CA" w:rsidR="00D1001B">
        <w:noBreakHyphen/>
      </w:r>
      <w:r w:rsidRPr="004308CA">
        <w:t>pecuniary</w:t>
      </w:r>
      <w:r w:rsidRPr="004308CA" w:rsidR="005C6351">
        <w:t xml:space="preserve"> damage</w:t>
      </w:r>
      <w:r w:rsidRPr="004308CA">
        <w:t xml:space="preserve">, to be converted into </w:t>
      </w:r>
      <w:r w:rsidRPr="004308CA">
        <w:rPr>
          <w:color w:val="000000"/>
        </w:rPr>
        <w:t>the currency of the respondent State</w:t>
      </w:r>
      <w:r w:rsidRPr="004308CA">
        <w:t xml:space="preserve"> at the rate applicable at the date of settlement;</w:t>
      </w:r>
    </w:p>
    <w:p w:rsidRPr="004308CA" w:rsidR="00331922" w:rsidP="004308CA" w:rsidRDefault="00331922">
      <w:pPr>
        <w:pStyle w:val="JuLista"/>
      </w:pPr>
      <w:r w:rsidRPr="004308C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308CA" w:rsidR="004D0EC7" w:rsidP="004308CA" w:rsidRDefault="00331922">
      <w:pPr>
        <w:pStyle w:val="JuList"/>
      </w:pPr>
      <w:r w:rsidRPr="004308CA">
        <w:rPr>
          <w:i/>
        </w:rPr>
        <w:t>Dismisses</w:t>
      </w:r>
      <w:r w:rsidRPr="004308CA">
        <w:t xml:space="preserve"> the remainder of the applicant</w:t>
      </w:r>
      <w:r w:rsidRPr="004308CA" w:rsidR="004308CA">
        <w:t>’</w:t>
      </w:r>
      <w:r w:rsidRPr="004308CA">
        <w:t>s claim for just satisfaction.</w:t>
      </w:r>
    </w:p>
    <w:p w:rsidRPr="004308CA" w:rsidR="008B092C" w:rsidP="004308CA" w:rsidRDefault="007E2C8C">
      <w:pPr>
        <w:pStyle w:val="JuParaLast"/>
        <w:keepNext w:val="0"/>
        <w:keepLines w:val="0"/>
      </w:pPr>
      <w:r w:rsidRPr="004308CA">
        <w:t xml:space="preserve">Done in English, and notified in writing on </w:t>
      </w:r>
      <w:r w:rsidRPr="004308CA" w:rsidR="00094A54">
        <w:t>2 June 2020, pursuant to Rule </w:t>
      </w:r>
      <w:r w:rsidRPr="004308CA">
        <w:t>77</w:t>
      </w:r>
      <w:r w:rsidRPr="004308CA" w:rsidR="00D1001B">
        <w:t xml:space="preserve"> </w:t>
      </w:r>
      <w:r w:rsidRPr="004308CA">
        <w:t>§§</w:t>
      </w:r>
      <w:r w:rsidRPr="004308CA" w:rsidR="00D1001B">
        <w:t xml:space="preserve"> </w:t>
      </w:r>
      <w:r w:rsidRPr="004308CA">
        <w:t>2 and 3 of the Rules of Court.</w:t>
      </w:r>
    </w:p>
    <w:p w:rsidRPr="004308CA" w:rsidR="002A613A" w:rsidP="004308CA" w:rsidRDefault="00331922">
      <w:pPr>
        <w:pStyle w:val="JuSigned"/>
        <w:rPr>
          <w:lang w:val="it-IT"/>
        </w:rPr>
      </w:pPr>
      <w:r w:rsidRPr="004308CA">
        <w:rPr>
          <w:lang w:val="it-IT"/>
        </w:rPr>
        <w:t>Andrea Tamietti</w:t>
      </w:r>
      <w:r w:rsidRPr="004308CA" w:rsidR="005879A2">
        <w:rPr>
          <w:lang w:val="it-IT"/>
        </w:rPr>
        <w:t xml:space="preserve"> </w:t>
      </w:r>
      <w:r w:rsidRPr="004308CA" w:rsidR="009F4C8F">
        <w:rPr>
          <w:lang w:val="it-IT"/>
        </w:rPr>
        <w:tab/>
      </w:r>
      <w:proofErr w:type="spellStart"/>
      <w:r w:rsidRPr="004308CA">
        <w:rPr>
          <w:lang w:val="it-IT"/>
        </w:rPr>
        <w:t>Jon</w:t>
      </w:r>
      <w:proofErr w:type="spellEnd"/>
      <w:r w:rsidRPr="004308CA">
        <w:rPr>
          <w:lang w:val="it-IT"/>
        </w:rPr>
        <w:t xml:space="preserve"> </w:t>
      </w:r>
      <w:proofErr w:type="spellStart"/>
      <w:r w:rsidRPr="004308CA">
        <w:rPr>
          <w:lang w:val="it-IT"/>
        </w:rPr>
        <w:t>Fridrik</w:t>
      </w:r>
      <w:proofErr w:type="spellEnd"/>
      <w:r w:rsidRPr="004308CA">
        <w:rPr>
          <w:lang w:val="it-IT"/>
        </w:rPr>
        <w:t xml:space="preserve"> </w:t>
      </w:r>
      <w:proofErr w:type="spellStart"/>
      <w:r w:rsidRPr="004308CA">
        <w:rPr>
          <w:lang w:val="it-IT"/>
        </w:rPr>
        <w:t>Kjølbro</w:t>
      </w:r>
      <w:proofErr w:type="spellEnd"/>
      <w:r w:rsidRPr="004308CA" w:rsidR="009F4C8F">
        <w:rPr>
          <w:lang w:val="it-IT"/>
        </w:rPr>
        <w:br/>
      </w:r>
      <w:r w:rsidRPr="004308CA" w:rsidR="009F4C8F">
        <w:rPr>
          <w:lang w:val="it-IT"/>
        </w:rPr>
        <w:tab/>
      </w:r>
      <w:r w:rsidRPr="004308CA">
        <w:rPr>
          <w:iCs/>
          <w:lang w:val="it-IT"/>
        </w:rPr>
        <w:t>Registrar</w:t>
      </w:r>
      <w:r w:rsidRPr="004308CA" w:rsidR="009F4C8F">
        <w:rPr>
          <w:lang w:val="it-IT"/>
        </w:rPr>
        <w:tab/>
      </w:r>
      <w:proofErr w:type="spellStart"/>
      <w:r w:rsidRPr="004308CA" w:rsidR="009F4C8F">
        <w:rPr>
          <w:lang w:val="it-IT"/>
        </w:rPr>
        <w:t>President</w:t>
      </w:r>
      <w:proofErr w:type="spellEnd"/>
    </w:p>
    <w:sectPr w:rsidRPr="004308CA"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95A" w:rsidRPr="00EF36C5" w:rsidRDefault="009B695A" w:rsidP="0098410D">
      <w:r w:rsidRPr="00EF36C5">
        <w:separator/>
      </w:r>
    </w:p>
  </w:endnote>
  <w:endnote w:type="continuationSeparator" w:id="0">
    <w:p w:rsidR="009B695A" w:rsidRPr="00EF36C5" w:rsidRDefault="009B695A" w:rsidP="0098410D">
      <w:r w:rsidRPr="00EF36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150BFA" w:rsidRDefault="009B695A" w:rsidP="009B695A">
    <w:pPr>
      <w:jc w:val="center"/>
    </w:pPr>
    <w:r>
      <w:rPr>
        <w:noProof/>
        <w:lang w:val="en-US" w:eastAsia="ja-JP"/>
      </w:rPr>
      <w:drawing>
        <wp:inline distT="0" distB="0" distL="0" distR="0" wp14:anchorId="54FE1773" wp14:editId="32D66800">
          <wp:extent cx="771525" cy="619125"/>
          <wp:effectExtent l="0" t="0" r="9525" b="9525"/>
          <wp:docPr id="70" name="Picture 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B695A" w:rsidRPr="00EF36C5" w:rsidRDefault="009B695A" w:rsidP="009B695A">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EB8" w:rsidRDefault="00940EB8" w:rsidP="00C51041">
    <w:pPr>
      <w:pStyle w:val="ECHRFooter"/>
      <w:jc w:val="center"/>
    </w:pPr>
    <w:r>
      <w:rPr>
        <w:noProof/>
        <w:lang w:val="en-US" w:eastAsia="ja-JP"/>
      </w:rPr>
      <w:drawing>
        <wp:inline distT="0" distB="0" distL="0" distR="0" wp14:anchorId="1B4AD75F" wp14:editId="21351242">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9B695A" w:rsidRDefault="009B695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Default="009B695A" w:rsidP="009A115C">
    <w:pPr>
      <w:pStyle w:val="JuHeader"/>
    </w:pPr>
    <w:r>
      <w:rPr>
        <w:rStyle w:val="PageNumber"/>
      </w:rPr>
      <w:fldChar w:fldCharType="begin"/>
    </w:r>
    <w:r>
      <w:rPr>
        <w:rStyle w:val="PageNumber"/>
      </w:rPr>
      <w:instrText xml:space="preserve"> PAGE </w:instrText>
    </w:r>
    <w:r>
      <w:rPr>
        <w:rStyle w:val="PageNumber"/>
      </w:rPr>
      <w:fldChar w:fldCharType="separate"/>
    </w:r>
    <w:r w:rsidR="008F5FCC">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0B7195" w:rsidRDefault="009B695A" w:rsidP="007D3701">
    <w:pPr>
      <w:pStyle w:val="JuHeader"/>
    </w:pPr>
    <w:r>
      <w:fldChar w:fldCharType="begin"/>
    </w:r>
    <w:r>
      <w:instrText xml:space="preserve"> PAGE </w:instrText>
    </w:r>
    <w:r>
      <w:fldChar w:fldCharType="separate"/>
    </w:r>
    <w:r w:rsidR="008F5FCC">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95A" w:rsidRPr="00EF36C5" w:rsidRDefault="009B695A" w:rsidP="0098410D">
      <w:r w:rsidRPr="00EF36C5">
        <w:separator/>
      </w:r>
    </w:p>
  </w:footnote>
  <w:footnote w:type="continuationSeparator" w:id="0">
    <w:p w:rsidR="009B695A" w:rsidRPr="00EF36C5" w:rsidRDefault="009B695A" w:rsidP="0098410D">
      <w:r w:rsidRPr="00EF36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A45145" w:rsidRDefault="009B695A" w:rsidP="009B695A">
    <w:pPr>
      <w:jc w:val="center"/>
    </w:pPr>
    <w:r>
      <w:rPr>
        <w:noProof/>
        <w:lang w:val="en-US" w:eastAsia="ja-JP"/>
      </w:rPr>
      <w:drawing>
        <wp:inline distT="0" distB="0" distL="0" distR="0" wp14:anchorId="0DDE1DF5" wp14:editId="1D2FFCB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B695A" w:rsidRPr="00EF36C5" w:rsidRDefault="009B695A" w:rsidP="009B695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A45145" w:rsidRDefault="009B695A" w:rsidP="009B695A">
    <w:pPr>
      <w:jc w:val="center"/>
    </w:pPr>
    <w:r>
      <w:rPr>
        <w:noProof/>
        <w:lang w:val="en-US" w:eastAsia="ja-JP"/>
      </w:rPr>
      <w:drawing>
        <wp:inline distT="0" distB="0" distL="0" distR="0" wp14:anchorId="66609DF1" wp14:editId="23980D81">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B695A" w:rsidRPr="00EF36C5" w:rsidRDefault="009B695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4D0EC7" w:rsidRDefault="009B695A" w:rsidP="004D0EC7">
    <w:pPr>
      <w:pStyle w:val="JuHeader"/>
    </w:pPr>
    <w:r>
      <w:t>POTOROC v. ROMANIA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95A" w:rsidRPr="00882CD5" w:rsidRDefault="009B695A" w:rsidP="007D3701">
    <w:pPr>
      <w:pStyle w:val="JuHeader"/>
    </w:pPr>
    <w:r>
      <w:t>POTOROC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30442CF2"/>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hybridMultilevel"/>
    <w:tmpl w:val="7BF6F3B6"/>
    <w:lvl w:ilvl="0" w:tplc="6B7851E6">
      <w:start w:val="1"/>
      <w:numFmt w:val="decimal"/>
      <w:pStyle w:val="JuAppQuestio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9"/>
  </w:num>
  <w:num w:numId="3">
    <w:abstractNumId w:val="13"/>
  </w:num>
  <w:num w:numId="4">
    <w:abstractNumId w:val="11"/>
  </w:num>
  <w:num w:numId="5">
    <w:abstractNumId w:val="10"/>
  </w:num>
  <w:num w:numId="6">
    <w:abstractNumId w:val="14"/>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3192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4A54"/>
    <w:rsid w:val="00096FE1"/>
    <w:rsid w:val="00097A62"/>
    <w:rsid w:val="000A24EB"/>
    <w:rsid w:val="000B5264"/>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1922"/>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4FEB"/>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08C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37D2D"/>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2E56"/>
    <w:rsid w:val="005B4425"/>
    <w:rsid w:val="005B4B94"/>
    <w:rsid w:val="005C3EE8"/>
    <w:rsid w:val="005C6351"/>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2FC7"/>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68CC"/>
    <w:rsid w:val="0074750E"/>
    <w:rsid w:val="00747FF0"/>
    <w:rsid w:val="0075566E"/>
    <w:rsid w:val="00763602"/>
    <w:rsid w:val="00764D4E"/>
    <w:rsid w:val="00765A1F"/>
    <w:rsid w:val="00767B7D"/>
    <w:rsid w:val="00773AE0"/>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358"/>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5FCC"/>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0EB8"/>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B695A"/>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4536"/>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0200"/>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2D78"/>
    <w:rsid w:val="00D00ABB"/>
    <w:rsid w:val="00D02EEC"/>
    <w:rsid w:val="00D03551"/>
    <w:rsid w:val="00D06A63"/>
    <w:rsid w:val="00D07E0E"/>
    <w:rsid w:val="00D1001B"/>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50EB"/>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7D2D"/>
    <w:rPr>
      <w:sz w:val="24"/>
      <w:szCs w:val="24"/>
      <w:lang w:val="en-GB"/>
    </w:rPr>
  </w:style>
  <w:style w:type="paragraph" w:styleId="Heading1">
    <w:name w:val="heading 1"/>
    <w:basedOn w:val="Normal"/>
    <w:next w:val="Normal"/>
    <w:link w:val="Heading1Char"/>
    <w:uiPriority w:val="98"/>
    <w:semiHidden/>
    <w:rsid w:val="00537D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37D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37D2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37D2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37D2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37D2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37D2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37D2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37D2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37D2D"/>
    <w:rPr>
      <w:rFonts w:ascii="Tahoma" w:hAnsi="Tahoma" w:cs="Tahoma"/>
      <w:sz w:val="16"/>
      <w:szCs w:val="16"/>
    </w:rPr>
  </w:style>
  <w:style w:type="character" w:customStyle="1" w:styleId="BalloonTextChar">
    <w:name w:val="Balloon Text Char"/>
    <w:basedOn w:val="DefaultParagraphFont"/>
    <w:link w:val="BalloonText"/>
    <w:uiPriority w:val="98"/>
    <w:semiHidden/>
    <w:rsid w:val="00537D2D"/>
    <w:rPr>
      <w:rFonts w:ascii="Tahoma" w:hAnsi="Tahoma" w:cs="Tahoma"/>
      <w:sz w:val="16"/>
      <w:szCs w:val="16"/>
      <w:lang w:val="en-GB"/>
    </w:rPr>
  </w:style>
  <w:style w:type="character" w:styleId="BookTitle">
    <w:name w:val="Book Title"/>
    <w:uiPriority w:val="98"/>
    <w:semiHidden/>
    <w:qFormat/>
    <w:rsid w:val="00537D2D"/>
    <w:rPr>
      <w:i/>
      <w:iCs/>
      <w:smallCaps/>
      <w:spacing w:val="5"/>
    </w:rPr>
  </w:style>
  <w:style w:type="paragraph" w:customStyle="1" w:styleId="JuHeader">
    <w:name w:val="Ju_Header"/>
    <w:aliases w:val="_Header"/>
    <w:basedOn w:val="Header"/>
    <w:uiPriority w:val="29"/>
    <w:qFormat/>
    <w:rsid w:val="00537D2D"/>
    <w:pPr>
      <w:tabs>
        <w:tab w:val="clear" w:pos="4536"/>
        <w:tab w:val="clear" w:pos="9072"/>
      </w:tabs>
      <w:jc w:val="center"/>
    </w:pPr>
    <w:rPr>
      <w:sz w:val="18"/>
    </w:rPr>
  </w:style>
  <w:style w:type="paragraph" w:customStyle="1" w:styleId="NormalJustified">
    <w:name w:val="Normal_Justified"/>
    <w:basedOn w:val="Normal"/>
    <w:semiHidden/>
    <w:rsid w:val="00537D2D"/>
    <w:pPr>
      <w:jc w:val="both"/>
    </w:pPr>
  </w:style>
  <w:style w:type="character" w:styleId="Strong">
    <w:name w:val="Strong"/>
    <w:uiPriority w:val="98"/>
    <w:semiHidden/>
    <w:qFormat/>
    <w:rsid w:val="00537D2D"/>
    <w:rPr>
      <w:b/>
      <w:bCs/>
    </w:rPr>
  </w:style>
  <w:style w:type="paragraph" w:styleId="NoSpacing">
    <w:name w:val="No Spacing"/>
    <w:basedOn w:val="Normal"/>
    <w:link w:val="NoSpacingChar"/>
    <w:uiPriority w:val="98"/>
    <w:semiHidden/>
    <w:qFormat/>
    <w:rsid w:val="00537D2D"/>
  </w:style>
  <w:style w:type="character" w:customStyle="1" w:styleId="NoSpacingChar">
    <w:name w:val="No Spacing Char"/>
    <w:basedOn w:val="DefaultParagraphFont"/>
    <w:link w:val="NoSpacing"/>
    <w:uiPriority w:val="98"/>
    <w:semiHidden/>
    <w:rsid w:val="00537D2D"/>
    <w:rPr>
      <w:sz w:val="24"/>
      <w:szCs w:val="24"/>
      <w:lang w:val="en-GB"/>
    </w:rPr>
  </w:style>
  <w:style w:type="paragraph" w:customStyle="1" w:styleId="JuQuot">
    <w:name w:val="Ju_Quot"/>
    <w:aliases w:val="_Quote"/>
    <w:basedOn w:val="NormalJustified"/>
    <w:uiPriority w:val="20"/>
    <w:qFormat/>
    <w:rsid w:val="00537D2D"/>
    <w:pPr>
      <w:spacing w:before="120" w:after="120"/>
      <w:ind w:left="425" w:firstLine="142"/>
    </w:pPr>
    <w:rPr>
      <w:sz w:val="20"/>
    </w:rPr>
  </w:style>
  <w:style w:type="paragraph" w:customStyle="1" w:styleId="DecList">
    <w:name w:val="Dec_List"/>
    <w:aliases w:val="_List"/>
    <w:basedOn w:val="JuList"/>
    <w:uiPriority w:val="22"/>
    <w:rsid w:val="00537D2D"/>
    <w:pPr>
      <w:numPr>
        <w:numId w:val="0"/>
      </w:numPr>
      <w:ind w:left="284"/>
    </w:pPr>
  </w:style>
  <w:style w:type="paragraph" w:customStyle="1" w:styleId="JuList">
    <w:name w:val="Ju_List"/>
    <w:aliases w:val="_List_1"/>
    <w:basedOn w:val="NormalJustified"/>
    <w:uiPriority w:val="23"/>
    <w:qFormat/>
    <w:rsid w:val="00537D2D"/>
    <w:pPr>
      <w:numPr>
        <w:numId w:val="7"/>
      </w:numPr>
      <w:spacing w:before="280" w:after="60"/>
    </w:pPr>
  </w:style>
  <w:style w:type="paragraph" w:customStyle="1" w:styleId="JuLista">
    <w:name w:val="Ju_List_a"/>
    <w:aliases w:val="_List_2"/>
    <w:basedOn w:val="NormalJustified"/>
    <w:uiPriority w:val="23"/>
    <w:rsid w:val="00537D2D"/>
    <w:pPr>
      <w:numPr>
        <w:ilvl w:val="1"/>
        <w:numId w:val="7"/>
      </w:numPr>
    </w:pPr>
  </w:style>
  <w:style w:type="paragraph" w:customStyle="1" w:styleId="JuListi">
    <w:name w:val="Ju_List_i"/>
    <w:aliases w:val="_List_3"/>
    <w:basedOn w:val="NormalJustified"/>
    <w:uiPriority w:val="23"/>
    <w:rsid w:val="00537D2D"/>
    <w:pPr>
      <w:numPr>
        <w:ilvl w:val="2"/>
        <w:numId w:val="7"/>
      </w:numPr>
    </w:pPr>
  </w:style>
  <w:style w:type="paragraph" w:customStyle="1" w:styleId="JuHArticle">
    <w:name w:val="Ju_H_Article"/>
    <w:aliases w:val="_Title_Quote"/>
    <w:basedOn w:val="Normal"/>
    <w:next w:val="JuQuot"/>
    <w:uiPriority w:val="19"/>
    <w:qFormat/>
    <w:rsid w:val="00537D2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37D2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37D2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37D2D"/>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537D2D"/>
    <w:pPr>
      <w:numPr>
        <w:numId w:val="6"/>
      </w:numPr>
    </w:pPr>
  </w:style>
  <w:style w:type="paragraph" w:customStyle="1" w:styleId="JuSigned">
    <w:name w:val="Ju_Signed"/>
    <w:aliases w:val="_Signature"/>
    <w:basedOn w:val="Normal"/>
    <w:next w:val="JuPara"/>
    <w:uiPriority w:val="31"/>
    <w:qFormat/>
    <w:rsid w:val="00537D2D"/>
    <w:pPr>
      <w:tabs>
        <w:tab w:val="center" w:pos="851"/>
        <w:tab w:val="center" w:pos="6407"/>
      </w:tabs>
      <w:spacing w:before="720"/>
    </w:pPr>
  </w:style>
  <w:style w:type="paragraph" w:styleId="Title">
    <w:name w:val="Title"/>
    <w:basedOn w:val="Normal"/>
    <w:next w:val="Normal"/>
    <w:link w:val="TitleChar"/>
    <w:uiPriority w:val="98"/>
    <w:semiHidden/>
    <w:qFormat/>
    <w:rsid w:val="00537D2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37D2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37D2D"/>
    <w:pPr>
      <w:numPr>
        <w:numId w:val="19"/>
      </w:numPr>
    </w:pPr>
  </w:style>
  <w:style w:type="numbering" w:customStyle="1" w:styleId="ECHRA1StyleNumberedList">
    <w:name w:val="ECHR_A1_Style_Numbered_List"/>
    <w:basedOn w:val="NoList"/>
    <w:rsid w:val="00537D2D"/>
    <w:pPr>
      <w:numPr>
        <w:numId w:val="8"/>
      </w:numPr>
    </w:pPr>
  </w:style>
  <w:style w:type="table" w:customStyle="1" w:styleId="ECHRTable2019">
    <w:name w:val="ECHR_Table_2019"/>
    <w:basedOn w:val="TableNormal"/>
    <w:uiPriority w:val="99"/>
    <w:rsid w:val="00537D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37D2D"/>
    <w:rPr>
      <w:sz w:val="8"/>
    </w:rPr>
  </w:style>
  <w:style w:type="paragraph" w:customStyle="1" w:styleId="JuCourt">
    <w:name w:val="Ju_Court"/>
    <w:aliases w:val="_Court_Names"/>
    <w:basedOn w:val="Normal"/>
    <w:next w:val="Normal"/>
    <w:uiPriority w:val="32"/>
    <w:qFormat/>
    <w:rsid w:val="00537D2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37D2D"/>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37D2D"/>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537D2D"/>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537D2D"/>
    <w:pPr>
      <w:tabs>
        <w:tab w:val="center" w:pos="4536"/>
        <w:tab w:val="right" w:pos="9072"/>
      </w:tabs>
    </w:pPr>
  </w:style>
  <w:style w:type="character" w:customStyle="1" w:styleId="HeaderChar">
    <w:name w:val="Header Char"/>
    <w:basedOn w:val="DefaultParagraphFont"/>
    <w:link w:val="Header"/>
    <w:uiPriority w:val="98"/>
    <w:semiHidden/>
    <w:rsid w:val="00537D2D"/>
    <w:rPr>
      <w:sz w:val="24"/>
      <w:szCs w:val="24"/>
      <w:lang w:val="en-GB"/>
    </w:rPr>
  </w:style>
  <w:style w:type="character" w:customStyle="1" w:styleId="Heading1Char">
    <w:name w:val="Heading 1 Char"/>
    <w:basedOn w:val="DefaultParagraphFont"/>
    <w:link w:val="Heading1"/>
    <w:uiPriority w:val="98"/>
    <w:semiHidden/>
    <w:rsid w:val="00537D2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37D2D"/>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537D2D"/>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37D2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37D2D"/>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537D2D"/>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537D2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37D2D"/>
    <w:pPr>
      <w:keepNext/>
      <w:keepLines/>
      <w:spacing w:before="240" w:after="240"/>
      <w:ind w:firstLine="284"/>
    </w:pPr>
  </w:style>
  <w:style w:type="paragraph" w:customStyle="1" w:styleId="JuJudges">
    <w:name w:val="Ju_Judges"/>
    <w:aliases w:val="_Judges"/>
    <w:basedOn w:val="Normal"/>
    <w:uiPriority w:val="32"/>
    <w:qFormat/>
    <w:rsid w:val="00537D2D"/>
    <w:pPr>
      <w:tabs>
        <w:tab w:val="left" w:pos="567"/>
        <w:tab w:val="left" w:pos="1134"/>
      </w:tabs>
    </w:pPr>
  </w:style>
  <w:style w:type="character" w:customStyle="1" w:styleId="Heading4Char">
    <w:name w:val="Heading 4 Char"/>
    <w:basedOn w:val="DefaultParagraphFont"/>
    <w:link w:val="Heading4"/>
    <w:uiPriority w:val="98"/>
    <w:semiHidden/>
    <w:rsid w:val="00537D2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37D2D"/>
    <w:pPr>
      <w:tabs>
        <w:tab w:val="center" w:pos="6407"/>
      </w:tabs>
      <w:spacing w:before="720"/>
      <w:jc w:val="right"/>
    </w:pPr>
  </w:style>
  <w:style w:type="character" w:customStyle="1" w:styleId="Heading5Char">
    <w:name w:val="Heading 5 Char"/>
    <w:basedOn w:val="DefaultParagraphFont"/>
    <w:link w:val="Heading5"/>
    <w:uiPriority w:val="98"/>
    <w:semiHidden/>
    <w:rsid w:val="00537D2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37D2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37D2D"/>
    <w:rPr>
      <w:caps w:val="0"/>
      <w:smallCaps/>
    </w:rPr>
  </w:style>
  <w:style w:type="character" w:styleId="SubtleEmphasis">
    <w:name w:val="Subtle Emphasis"/>
    <w:uiPriority w:val="98"/>
    <w:semiHidden/>
    <w:qFormat/>
    <w:rsid w:val="00537D2D"/>
    <w:rPr>
      <w:i/>
      <w:iCs/>
    </w:rPr>
  </w:style>
  <w:style w:type="table" w:customStyle="1" w:styleId="ECHRTable">
    <w:name w:val="ECHR_Table"/>
    <w:basedOn w:val="TableNormal"/>
    <w:rsid w:val="00537D2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37D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37D2D"/>
    <w:rPr>
      <w:b/>
      <w:bCs/>
      <w:i/>
      <w:iCs/>
      <w:spacing w:val="10"/>
      <w:bdr w:val="none" w:sz="0" w:space="0" w:color="auto"/>
      <w:shd w:val="clear" w:color="auto" w:fill="auto"/>
    </w:rPr>
  </w:style>
  <w:style w:type="paragraph" w:styleId="Footer0">
    <w:name w:val="footer"/>
    <w:basedOn w:val="Normal"/>
    <w:link w:val="FooterChar"/>
    <w:uiPriority w:val="98"/>
    <w:semiHidden/>
    <w:rsid w:val="00537D2D"/>
    <w:pPr>
      <w:tabs>
        <w:tab w:val="center" w:pos="3686"/>
        <w:tab w:val="right" w:pos="7371"/>
      </w:tabs>
    </w:pPr>
  </w:style>
  <w:style w:type="character" w:customStyle="1" w:styleId="FooterChar">
    <w:name w:val="Footer Char"/>
    <w:basedOn w:val="DefaultParagraphFont"/>
    <w:link w:val="Footer0"/>
    <w:uiPriority w:val="98"/>
    <w:semiHidden/>
    <w:rsid w:val="00537D2D"/>
    <w:rPr>
      <w:sz w:val="24"/>
      <w:szCs w:val="24"/>
      <w:lang w:val="en-GB"/>
    </w:rPr>
  </w:style>
  <w:style w:type="character" w:styleId="FootnoteReference">
    <w:name w:val="footnote reference"/>
    <w:basedOn w:val="DefaultParagraphFont"/>
    <w:uiPriority w:val="98"/>
    <w:semiHidden/>
    <w:rsid w:val="00537D2D"/>
    <w:rPr>
      <w:vertAlign w:val="superscript"/>
    </w:rPr>
  </w:style>
  <w:style w:type="paragraph" w:styleId="FootnoteText">
    <w:name w:val="footnote text"/>
    <w:basedOn w:val="Normal"/>
    <w:link w:val="FootnoteTextChar"/>
    <w:uiPriority w:val="98"/>
    <w:semiHidden/>
    <w:rsid w:val="00537D2D"/>
    <w:rPr>
      <w:sz w:val="20"/>
      <w:szCs w:val="20"/>
    </w:rPr>
  </w:style>
  <w:style w:type="character" w:customStyle="1" w:styleId="FootnoteTextChar">
    <w:name w:val="Footnote Text Char"/>
    <w:basedOn w:val="DefaultParagraphFont"/>
    <w:link w:val="FootnoteText"/>
    <w:uiPriority w:val="98"/>
    <w:semiHidden/>
    <w:rsid w:val="00537D2D"/>
    <w:rPr>
      <w:sz w:val="20"/>
      <w:szCs w:val="20"/>
      <w:lang w:val="en-GB"/>
    </w:rPr>
  </w:style>
  <w:style w:type="character" w:customStyle="1" w:styleId="Heading6Char">
    <w:name w:val="Heading 6 Char"/>
    <w:basedOn w:val="DefaultParagraphFont"/>
    <w:link w:val="Heading6"/>
    <w:uiPriority w:val="98"/>
    <w:semiHidden/>
    <w:rsid w:val="00537D2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37D2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37D2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37D2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37D2D"/>
    <w:rPr>
      <w:color w:val="0072BC" w:themeColor="hyperlink"/>
      <w:u w:val="single"/>
    </w:rPr>
  </w:style>
  <w:style w:type="character" w:styleId="IntenseEmphasis">
    <w:name w:val="Intense Emphasis"/>
    <w:uiPriority w:val="98"/>
    <w:semiHidden/>
    <w:qFormat/>
    <w:rsid w:val="00537D2D"/>
    <w:rPr>
      <w:b/>
      <w:bCs/>
    </w:rPr>
  </w:style>
  <w:style w:type="paragraph" w:styleId="IntenseQuote">
    <w:name w:val="Intense Quote"/>
    <w:basedOn w:val="Normal"/>
    <w:next w:val="Normal"/>
    <w:link w:val="IntenseQuoteChar"/>
    <w:uiPriority w:val="98"/>
    <w:semiHidden/>
    <w:qFormat/>
    <w:rsid w:val="00537D2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37D2D"/>
    <w:rPr>
      <w:b/>
      <w:bCs/>
      <w:i/>
      <w:iCs/>
      <w:sz w:val="24"/>
      <w:szCs w:val="24"/>
      <w:lang w:val="en-GB" w:bidi="en-US"/>
    </w:rPr>
  </w:style>
  <w:style w:type="character" w:styleId="IntenseReference">
    <w:name w:val="Intense Reference"/>
    <w:uiPriority w:val="98"/>
    <w:semiHidden/>
    <w:qFormat/>
    <w:rsid w:val="00537D2D"/>
    <w:rPr>
      <w:smallCaps/>
      <w:spacing w:val="5"/>
      <w:u w:val="single"/>
    </w:rPr>
  </w:style>
  <w:style w:type="paragraph" w:styleId="ListParagraph">
    <w:name w:val="List Paragraph"/>
    <w:basedOn w:val="Normal"/>
    <w:uiPriority w:val="98"/>
    <w:semiHidden/>
    <w:qFormat/>
    <w:rsid w:val="00537D2D"/>
    <w:pPr>
      <w:ind w:left="720"/>
      <w:contextualSpacing/>
    </w:pPr>
  </w:style>
  <w:style w:type="table" w:customStyle="1" w:styleId="LtrTableAddress">
    <w:name w:val="Ltr_Table_Address"/>
    <w:aliases w:val="ECHR_Ltr_Table_Address"/>
    <w:basedOn w:val="TableNormal"/>
    <w:uiPriority w:val="99"/>
    <w:rsid w:val="00537D2D"/>
    <w:rPr>
      <w:sz w:val="24"/>
      <w:szCs w:val="24"/>
    </w:rPr>
    <w:tblPr>
      <w:tblInd w:w="5103" w:type="dxa"/>
    </w:tblPr>
  </w:style>
  <w:style w:type="paragraph" w:styleId="Quote">
    <w:name w:val="Quote"/>
    <w:basedOn w:val="Normal"/>
    <w:next w:val="Normal"/>
    <w:link w:val="QuoteChar"/>
    <w:uiPriority w:val="98"/>
    <w:semiHidden/>
    <w:qFormat/>
    <w:rsid w:val="00537D2D"/>
    <w:pPr>
      <w:spacing w:before="200"/>
      <w:ind w:left="360" w:right="360"/>
    </w:pPr>
    <w:rPr>
      <w:i/>
      <w:iCs/>
      <w:lang w:bidi="en-US"/>
    </w:rPr>
  </w:style>
  <w:style w:type="character" w:customStyle="1" w:styleId="QuoteChar">
    <w:name w:val="Quote Char"/>
    <w:basedOn w:val="DefaultParagraphFont"/>
    <w:link w:val="Quote"/>
    <w:uiPriority w:val="98"/>
    <w:semiHidden/>
    <w:rsid w:val="00537D2D"/>
    <w:rPr>
      <w:i/>
      <w:iCs/>
      <w:sz w:val="24"/>
      <w:szCs w:val="24"/>
      <w:lang w:val="en-GB" w:bidi="en-US"/>
    </w:rPr>
  </w:style>
  <w:style w:type="character" w:styleId="SubtleReference">
    <w:name w:val="Subtle Reference"/>
    <w:uiPriority w:val="98"/>
    <w:semiHidden/>
    <w:qFormat/>
    <w:rsid w:val="00537D2D"/>
    <w:rPr>
      <w:smallCaps/>
    </w:rPr>
  </w:style>
  <w:style w:type="table" w:styleId="TableGrid">
    <w:name w:val="Table Grid"/>
    <w:basedOn w:val="TableNormal"/>
    <w:uiPriority w:val="59"/>
    <w:semiHidden/>
    <w:rsid w:val="00537D2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37D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37D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37D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37D2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37D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37D2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37D2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37D2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37D2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37D2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37D2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37D2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37D2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37D2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37D2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37D2D"/>
    <w:pPr>
      <w:numPr>
        <w:numId w:val="3"/>
      </w:numPr>
    </w:pPr>
  </w:style>
  <w:style w:type="paragraph" w:customStyle="1" w:styleId="JuPara">
    <w:name w:val="Ju_Para"/>
    <w:aliases w:val="_Para"/>
    <w:basedOn w:val="NormalJustified"/>
    <w:link w:val="JuParaChar"/>
    <w:uiPriority w:val="4"/>
    <w:qFormat/>
    <w:rsid w:val="00537D2D"/>
    <w:pPr>
      <w:ind w:firstLine="284"/>
    </w:pPr>
  </w:style>
  <w:style w:type="numbering" w:styleId="1ai">
    <w:name w:val="Outline List 1"/>
    <w:basedOn w:val="NoList"/>
    <w:uiPriority w:val="99"/>
    <w:semiHidden/>
    <w:unhideWhenUsed/>
    <w:rsid w:val="00537D2D"/>
    <w:pPr>
      <w:numPr>
        <w:numId w:val="4"/>
      </w:numPr>
    </w:pPr>
  </w:style>
  <w:style w:type="table" w:customStyle="1" w:styleId="ECHRTableSimpleBox">
    <w:name w:val="ECHR_Table_Simple_Box"/>
    <w:basedOn w:val="TableNormal"/>
    <w:uiPriority w:val="99"/>
    <w:rsid w:val="00537D2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37D2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37D2D"/>
    <w:pPr>
      <w:numPr>
        <w:numId w:val="5"/>
      </w:numPr>
    </w:pPr>
  </w:style>
  <w:style w:type="table" w:customStyle="1" w:styleId="ECHRTableForInternalUse">
    <w:name w:val="ECHR_Table_For_Internal_Use"/>
    <w:basedOn w:val="TableNormal"/>
    <w:uiPriority w:val="99"/>
    <w:rsid w:val="00537D2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37D2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37D2D"/>
  </w:style>
  <w:style w:type="paragraph" w:styleId="BlockText">
    <w:name w:val="Block Text"/>
    <w:basedOn w:val="Normal"/>
    <w:uiPriority w:val="98"/>
    <w:semiHidden/>
    <w:rsid w:val="00537D2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37D2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37D2D"/>
    <w:pPr>
      <w:spacing w:after="120"/>
    </w:pPr>
  </w:style>
  <w:style w:type="character" w:customStyle="1" w:styleId="BodyTextChar">
    <w:name w:val="Body Text Char"/>
    <w:basedOn w:val="DefaultParagraphFont"/>
    <w:link w:val="BodyText"/>
    <w:uiPriority w:val="98"/>
    <w:semiHidden/>
    <w:rsid w:val="00537D2D"/>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37D2D"/>
    <w:pPr>
      <w:spacing w:after="120" w:line="480" w:lineRule="auto"/>
    </w:pPr>
  </w:style>
  <w:style w:type="table" w:customStyle="1" w:styleId="ECHRHeaderTableReduced">
    <w:name w:val="ECHR_Header_Table_Reduced"/>
    <w:basedOn w:val="TableNormal"/>
    <w:uiPriority w:val="99"/>
    <w:rsid w:val="00537D2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37D2D"/>
    <w:pPr>
      <w:ind w:firstLine="284"/>
    </w:pPr>
    <w:rPr>
      <w:b/>
    </w:rPr>
  </w:style>
  <w:style w:type="character" w:styleId="PageNumber">
    <w:name w:val="page number"/>
    <w:uiPriority w:val="98"/>
    <w:semiHidden/>
    <w:rsid w:val="00537D2D"/>
    <w:rPr>
      <w:sz w:val="18"/>
    </w:rPr>
  </w:style>
  <w:style w:type="paragraph" w:styleId="ListBullet">
    <w:name w:val="List Bullet"/>
    <w:basedOn w:val="Normal"/>
    <w:uiPriority w:val="98"/>
    <w:semiHidden/>
    <w:rsid w:val="00537D2D"/>
    <w:pPr>
      <w:numPr>
        <w:numId w:val="9"/>
      </w:numPr>
    </w:pPr>
  </w:style>
  <w:style w:type="paragraph" w:styleId="ListBullet3">
    <w:name w:val="List Bullet 3"/>
    <w:basedOn w:val="Normal"/>
    <w:uiPriority w:val="98"/>
    <w:semiHidden/>
    <w:rsid w:val="00537D2D"/>
    <w:pPr>
      <w:numPr>
        <w:numId w:val="11"/>
      </w:numPr>
      <w:contextualSpacing/>
    </w:pPr>
  </w:style>
  <w:style w:type="character" w:customStyle="1" w:styleId="BodyText2Char">
    <w:name w:val="Body Text 2 Char"/>
    <w:basedOn w:val="DefaultParagraphFont"/>
    <w:link w:val="BodyText2"/>
    <w:uiPriority w:val="98"/>
    <w:semiHidden/>
    <w:rsid w:val="00537D2D"/>
    <w:rPr>
      <w:sz w:val="24"/>
      <w:szCs w:val="24"/>
      <w:lang w:val="en-GB"/>
    </w:rPr>
  </w:style>
  <w:style w:type="paragraph" w:styleId="BodyText3">
    <w:name w:val="Body Text 3"/>
    <w:basedOn w:val="Normal"/>
    <w:link w:val="BodyText3Char"/>
    <w:uiPriority w:val="98"/>
    <w:semiHidden/>
    <w:rsid w:val="00537D2D"/>
    <w:pPr>
      <w:spacing w:after="120"/>
    </w:pPr>
    <w:rPr>
      <w:sz w:val="16"/>
      <w:szCs w:val="16"/>
    </w:rPr>
  </w:style>
  <w:style w:type="character" w:customStyle="1" w:styleId="BodyText3Char">
    <w:name w:val="Body Text 3 Char"/>
    <w:basedOn w:val="DefaultParagraphFont"/>
    <w:link w:val="BodyText3"/>
    <w:uiPriority w:val="98"/>
    <w:semiHidden/>
    <w:rsid w:val="00537D2D"/>
    <w:rPr>
      <w:sz w:val="16"/>
      <w:szCs w:val="16"/>
      <w:lang w:val="en-GB"/>
    </w:rPr>
  </w:style>
  <w:style w:type="paragraph" w:styleId="BodyTextFirstIndent">
    <w:name w:val="Body Text First Indent"/>
    <w:basedOn w:val="BodyText"/>
    <w:link w:val="BodyTextFirstIndentChar"/>
    <w:uiPriority w:val="98"/>
    <w:semiHidden/>
    <w:rsid w:val="00537D2D"/>
    <w:pPr>
      <w:spacing w:after="0"/>
      <w:ind w:firstLine="360"/>
    </w:pPr>
  </w:style>
  <w:style w:type="character" w:customStyle="1" w:styleId="BodyTextFirstIndentChar">
    <w:name w:val="Body Text First Indent Char"/>
    <w:basedOn w:val="BodyTextChar"/>
    <w:link w:val="BodyTextFirstIndent"/>
    <w:uiPriority w:val="98"/>
    <w:semiHidden/>
    <w:rsid w:val="00537D2D"/>
    <w:rPr>
      <w:sz w:val="24"/>
      <w:szCs w:val="24"/>
      <w:lang w:val="en-GB"/>
    </w:rPr>
  </w:style>
  <w:style w:type="paragraph" w:styleId="BodyTextIndent">
    <w:name w:val="Body Text Indent"/>
    <w:basedOn w:val="Normal"/>
    <w:link w:val="BodyTextIndentChar"/>
    <w:uiPriority w:val="98"/>
    <w:semiHidden/>
    <w:rsid w:val="00537D2D"/>
    <w:pPr>
      <w:spacing w:after="120"/>
      <w:ind w:left="283"/>
    </w:pPr>
  </w:style>
  <w:style w:type="character" w:customStyle="1" w:styleId="BodyTextIndentChar">
    <w:name w:val="Body Text Indent Char"/>
    <w:basedOn w:val="DefaultParagraphFont"/>
    <w:link w:val="BodyTextIndent"/>
    <w:uiPriority w:val="98"/>
    <w:semiHidden/>
    <w:rsid w:val="00537D2D"/>
    <w:rPr>
      <w:sz w:val="24"/>
      <w:szCs w:val="24"/>
      <w:lang w:val="en-GB"/>
    </w:rPr>
  </w:style>
  <w:style w:type="paragraph" w:styleId="BodyTextFirstIndent2">
    <w:name w:val="Body Text First Indent 2"/>
    <w:basedOn w:val="BodyTextIndent"/>
    <w:link w:val="BodyTextFirstIndent2Char"/>
    <w:uiPriority w:val="98"/>
    <w:semiHidden/>
    <w:rsid w:val="00537D2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37D2D"/>
    <w:rPr>
      <w:sz w:val="24"/>
      <w:szCs w:val="24"/>
      <w:lang w:val="en-GB"/>
    </w:rPr>
  </w:style>
  <w:style w:type="paragraph" w:styleId="BodyTextIndent2">
    <w:name w:val="Body Text Indent 2"/>
    <w:basedOn w:val="Normal"/>
    <w:link w:val="BodyTextIndent2Char"/>
    <w:uiPriority w:val="98"/>
    <w:semiHidden/>
    <w:rsid w:val="00537D2D"/>
    <w:pPr>
      <w:spacing w:after="120" w:line="480" w:lineRule="auto"/>
      <w:ind w:left="283"/>
    </w:pPr>
  </w:style>
  <w:style w:type="character" w:customStyle="1" w:styleId="BodyTextIndent2Char">
    <w:name w:val="Body Text Indent 2 Char"/>
    <w:basedOn w:val="DefaultParagraphFont"/>
    <w:link w:val="BodyTextIndent2"/>
    <w:uiPriority w:val="98"/>
    <w:semiHidden/>
    <w:rsid w:val="00537D2D"/>
    <w:rPr>
      <w:sz w:val="24"/>
      <w:szCs w:val="24"/>
      <w:lang w:val="en-GB"/>
    </w:rPr>
  </w:style>
  <w:style w:type="paragraph" w:styleId="BodyTextIndent3">
    <w:name w:val="Body Text Indent 3"/>
    <w:basedOn w:val="Normal"/>
    <w:link w:val="BodyTextIndent3Char"/>
    <w:uiPriority w:val="98"/>
    <w:semiHidden/>
    <w:rsid w:val="00537D2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37D2D"/>
    <w:rPr>
      <w:sz w:val="16"/>
      <w:szCs w:val="16"/>
      <w:lang w:val="en-GB"/>
    </w:rPr>
  </w:style>
  <w:style w:type="paragraph" w:styleId="Caption">
    <w:name w:val="caption"/>
    <w:basedOn w:val="Normal"/>
    <w:next w:val="Normal"/>
    <w:uiPriority w:val="98"/>
    <w:semiHidden/>
    <w:qFormat/>
    <w:rsid w:val="00537D2D"/>
    <w:pPr>
      <w:spacing w:after="200"/>
    </w:pPr>
    <w:rPr>
      <w:b/>
      <w:bCs/>
      <w:color w:val="0072BC" w:themeColor="accent1"/>
      <w:sz w:val="18"/>
      <w:szCs w:val="18"/>
    </w:rPr>
  </w:style>
  <w:style w:type="paragraph" w:styleId="Closing">
    <w:name w:val="Closing"/>
    <w:basedOn w:val="Normal"/>
    <w:link w:val="ClosingChar"/>
    <w:uiPriority w:val="98"/>
    <w:semiHidden/>
    <w:rsid w:val="00537D2D"/>
    <w:pPr>
      <w:ind w:left="4252"/>
    </w:pPr>
  </w:style>
  <w:style w:type="character" w:customStyle="1" w:styleId="ClosingChar">
    <w:name w:val="Closing Char"/>
    <w:basedOn w:val="DefaultParagraphFont"/>
    <w:link w:val="Closing"/>
    <w:uiPriority w:val="98"/>
    <w:semiHidden/>
    <w:rsid w:val="00537D2D"/>
    <w:rPr>
      <w:sz w:val="24"/>
      <w:szCs w:val="24"/>
      <w:lang w:val="en-GB"/>
    </w:rPr>
  </w:style>
  <w:style w:type="table" w:styleId="ColorfulGrid">
    <w:name w:val="Colorful Grid"/>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37D2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37D2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37D2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37D2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37D2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37D2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37D2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37D2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37D2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37D2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37D2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37D2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37D2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37D2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37D2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37D2D"/>
    <w:rPr>
      <w:sz w:val="16"/>
      <w:szCs w:val="16"/>
    </w:rPr>
  </w:style>
  <w:style w:type="paragraph" w:styleId="CommentText">
    <w:name w:val="annotation text"/>
    <w:basedOn w:val="Normal"/>
    <w:link w:val="CommentTextChar"/>
    <w:uiPriority w:val="98"/>
    <w:semiHidden/>
    <w:rsid w:val="00537D2D"/>
    <w:rPr>
      <w:sz w:val="20"/>
      <w:szCs w:val="20"/>
    </w:rPr>
  </w:style>
  <w:style w:type="character" w:customStyle="1" w:styleId="CommentTextChar">
    <w:name w:val="Comment Text Char"/>
    <w:basedOn w:val="DefaultParagraphFont"/>
    <w:link w:val="CommentText"/>
    <w:uiPriority w:val="98"/>
    <w:semiHidden/>
    <w:rsid w:val="00537D2D"/>
    <w:rPr>
      <w:sz w:val="20"/>
      <w:szCs w:val="20"/>
      <w:lang w:val="en-GB"/>
    </w:rPr>
  </w:style>
  <w:style w:type="paragraph" w:styleId="CommentSubject">
    <w:name w:val="annotation subject"/>
    <w:basedOn w:val="CommentText"/>
    <w:next w:val="CommentText"/>
    <w:link w:val="CommentSubjectChar"/>
    <w:uiPriority w:val="98"/>
    <w:semiHidden/>
    <w:rsid w:val="00537D2D"/>
    <w:rPr>
      <w:b/>
      <w:bCs/>
    </w:rPr>
  </w:style>
  <w:style w:type="character" w:customStyle="1" w:styleId="CommentSubjectChar">
    <w:name w:val="Comment Subject Char"/>
    <w:basedOn w:val="CommentTextChar"/>
    <w:link w:val="CommentSubject"/>
    <w:uiPriority w:val="98"/>
    <w:semiHidden/>
    <w:rsid w:val="00537D2D"/>
    <w:rPr>
      <w:b/>
      <w:bCs/>
      <w:sz w:val="20"/>
      <w:szCs w:val="20"/>
      <w:lang w:val="en-GB"/>
    </w:rPr>
  </w:style>
  <w:style w:type="table" w:styleId="DarkList">
    <w:name w:val="Dark List"/>
    <w:basedOn w:val="TableNormal"/>
    <w:uiPriority w:val="70"/>
    <w:semiHidden/>
    <w:rsid w:val="00537D2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37D2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37D2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37D2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37D2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37D2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37D2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37D2D"/>
  </w:style>
  <w:style w:type="character" w:customStyle="1" w:styleId="DateChar">
    <w:name w:val="Date Char"/>
    <w:basedOn w:val="DefaultParagraphFont"/>
    <w:link w:val="Date"/>
    <w:uiPriority w:val="98"/>
    <w:semiHidden/>
    <w:rsid w:val="00537D2D"/>
    <w:rPr>
      <w:sz w:val="24"/>
      <w:szCs w:val="24"/>
      <w:lang w:val="en-GB"/>
    </w:rPr>
  </w:style>
  <w:style w:type="paragraph" w:styleId="DocumentMap">
    <w:name w:val="Document Map"/>
    <w:basedOn w:val="Normal"/>
    <w:link w:val="DocumentMapChar"/>
    <w:uiPriority w:val="98"/>
    <w:semiHidden/>
    <w:rsid w:val="00537D2D"/>
    <w:rPr>
      <w:rFonts w:ascii="Tahoma" w:hAnsi="Tahoma" w:cs="Tahoma"/>
      <w:sz w:val="16"/>
      <w:szCs w:val="16"/>
    </w:rPr>
  </w:style>
  <w:style w:type="character" w:customStyle="1" w:styleId="DocumentMapChar">
    <w:name w:val="Document Map Char"/>
    <w:basedOn w:val="DefaultParagraphFont"/>
    <w:link w:val="DocumentMap"/>
    <w:uiPriority w:val="98"/>
    <w:semiHidden/>
    <w:rsid w:val="00537D2D"/>
    <w:rPr>
      <w:rFonts w:ascii="Tahoma" w:hAnsi="Tahoma" w:cs="Tahoma"/>
      <w:sz w:val="16"/>
      <w:szCs w:val="16"/>
      <w:lang w:val="en-GB"/>
    </w:rPr>
  </w:style>
  <w:style w:type="paragraph" w:styleId="E-mailSignature">
    <w:name w:val="E-mail Signature"/>
    <w:basedOn w:val="Normal"/>
    <w:link w:val="E-mailSignatureChar"/>
    <w:uiPriority w:val="98"/>
    <w:semiHidden/>
    <w:rsid w:val="00537D2D"/>
  </w:style>
  <w:style w:type="character" w:customStyle="1" w:styleId="E-mailSignatureChar">
    <w:name w:val="E-mail Signature Char"/>
    <w:basedOn w:val="DefaultParagraphFont"/>
    <w:link w:val="E-mailSignature"/>
    <w:uiPriority w:val="98"/>
    <w:semiHidden/>
    <w:rsid w:val="00537D2D"/>
    <w:rPr>
      <w:sz w:val="24"/>
      <w:szCs w:val="24"/>
      <w:lang w:val="en-GB"/>
    </w:rPr>
  </w:style>
  <w:style w:type="character" w:styleId="EndnoteReference">
    <w:name w:val="endnote reference"/>
    <w:basedOn w:val="DefaultParagraphFont"/>
    <w:uiPriority w:val="98"/>
    <w:semiHidden/>
    <w:rsid w:val="00537D2D"/>
    <w:rPr>
      <w:vertAlign w:val="superscript"/>
    </w:rPr>
  </w:style>
  <w:style w:type="paragraph" w:styleId="EndnoteText">
    <w:name w:val="endnote text"/>
    <w:basedOn w:val="Normal"/>
    <w:link w:val="EndnoteTextChar"/>
    <w:uiPriority w:val="98"/>
    <w:semiHidden/>
    <w:rsid w:val="00537D2D"/>
    <w:rPr>
      <w:sz w:val="20"/>
      <w:szCs w:val="20"/>
    </w:rPr>
  </w:style>
  <w:style w:type="character" w:customStyle="1" w:styleId="EndnoteTextChar">
    <w:name w:val="Endnote Text Char"/>
    <w:basedOn w:val="DefaultParagraphFont"/>
    <w:link w:val="EndnoteText"/>
    <w:uiPriority w:val="98"/>
    <w:semiHidden/>
    <w:rsid w:val="00537D2D"/>
    <w:rPr>
      <w:sz w:val="20"/>
      <w:szCs w:val="20"/>
      <w:lang w:val="en-GB"/>
    </w:rPr>
  </w:style>
  <w:style w:type="paragraph" w:styleId="EnvelopeAddress">
    <w:name w:val="envelope address"/>
    <w:basedOn w:val="Normal"/>
    <w:uiPriority w:val="98"/>
    <w:semiHidden/>
    <w:rsid w:val="00537D2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37D2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37D2D"/>
    <w:rPr>
      <w:color w:val="7030A0" w:themeColor="followedHyperlink"/>
      <w:u w:val="single"/>
    </w:rPr>
  </w:style>
  <w:style w:type="character" w:styleId="HTMLAcronym">
    <w:name w:val="HTML Acronym"/>
    <w:basedOn w:val="DefaultParagraphFont"/>
    <w:uiPriority w:val="98"/>
    <w:semiHidden/>
    <w:rsid w:val="00537D2D"/>
  </w:style>
  <w:style w:type="paragraph" w:styleId="HTMLAddress">
    <w:name w:val="HTML Address"/>
    <w:basedOn w:val="Normal"/>
    <w:link w:val="HTMLAddressChar"/>
    <w:uiPriority w:val="98"/>
    <w:semiHidden/>
    <w:rsid w:val="00537D2D"/>
    <w:rPr>
      <w:i/>
      <w:iCs/>
    </w:rPr>
  </w:style>
  <w:style w:type="character" w:customStyle="1" w:styleId="HTMLAddressChar">
    <w:name w:val="HTML Address Char"/>
    <w:basedOn w:val="DefaultParagraphFont"/>
    <w:link w:val="HTMLAddress"/>
    <w:uiPriority w:val="98"/>
    <w:semiHidden/>
    <w:rsid w:val="00537D2D"/>
    <w:rPr>
      <w:i/>
      <w:iCs/>
      <w:sz w:val="24"/>
      <w:szCs w:val="24"/>
      <w:lang w:val="en-GB"/>
    </w:rPr>
  </w:style>
  <w:style w:type="character" w:styleId="HTMLCite">
    <w:name w:val="HTML Cite"/>
    <w:basedOn w:val="DefaultParagraphFont"/>
    <w:uiPriority w:val="98"/>
    <w:semiHidden/>
    <w:rsid w:val="00537D2D"/>
    <w:rPr>
      <w:i/>
      <w:iCs/>
    </w:rPr>
  </w:style>
  <w:style w:type="character" w:styleId="HTMLCode">
    <w:name w:val="HTML Code"/>
    <w:basedOn w:val="DefaultParagraphFont"/>
    <w:uiPriority w:val="98"/>
    <w:semiHidden/>
    <w:rsid w:val="00537D2D"/>
    <w:rPr>
      <w:rFonts w:ascii="Consolas" w:hAnsi="Consolas" w:cs="Consolas"/>
      <w:sz w:val="20"/>
      <w:szCs w:val="20"/>
    </w:rPr>
  </w:style>
  <w:style w:type="character" w:styleId="HTMLDefinition">
    <w:name w:val="HTML Definition"/>
    <w:basedOn w:val="DefaultParagraphFont"/>
    <w:uiPriority w:val="98"/>
    <w:semiHidden/>
    <w:rsid w:val="00537D2D"/>
    <w:rPr>
      <w:i/>
      <w:iCs/>
    </w:rPr>
  </w:style>
  <w:style w:type="character" w:styleId="HTMLKeyboard">
    <w:name w:val="HTML Keyboard"/>
    <w:basedOn w:val="DefaultParagraphFont"/>
    <w:uiPriority w:val="98"/>
    <w:semiHidden/>
    <w:rsid w:val="00537D2D"/>
    <w:rPr>
      <w:rFonts w:ascii="Consolas" w:hAnsi="Consolas" w:cs="Consolas"/>
      <w:sz w:val="20"/>
      <w:szCs w:val="20"/>
    </w:rPr>
  </w:style>
  <w:style w:type="paragraph" w:styleId="HTMLPreformatted">
    <w:name w:val="HTML Preformatted"/>
    <w:basedOn w:val="Normal"/>
    <w:link w:val="HTMLPreformattedChar"/>
    <w:uiPriority w:val="98"/>
    <w:semiHidden/>
    <w:rsid w:val="00537D2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37D2D"/>
    <w:rPr>
      <w:rFonts w:ascii="Consolas" w:hAnsi="Consolas" w:cs="Consolas"/>
      <w:sz w:val="20"/>
      <w:szCs w:val="20"/>
      <w:lang w:val="en-GB"/>
    </w:rPr>
  </w:style>
  <w:style w:type="character" w:styleId="HTMLSample">
    <w:name w:val="HTML Sample"/>
    <w:basedOn w:val="DefaultParagraphFont"/>
    <w:uiPriority w:val="98"/>
    <w:semiHidden/>
    <w:rsid w:val="00537D2D"/>
    <w:rPr>
      <w:rFonts w:ascii="Consolas" w:hAnsi="Consolas" w:cs="Consolas"/>
      <w:sz w:val="24"/>
      <w:szCs w:val="24"/>
    </w:rPr>
  </w:style>
  <w:style w:type="character" w:styleId="HTMLTypewriter">
    <w:name w:val="HTML Typewriter"/>
    <w:basedOn w:val="DefaultParagraphFont"/>
    <w:uiPriority w:val="98"/>
    <w:semiHidden/>
    <w:rsid w:val="00537D2D"/>
    <w:rPr>
      <w:rFonts w:ascii="Consolas" w:hAnsi="Consolas" w:cs="Consolas"/>
      <w:sz w:val="20"/>
      <w:szCs w:val="20"/>
    </w:rPr>
  </w:style>
  <w:style w:type="character" w:styleId="HTMLVariable">
    <w:name w:val="HTML Variable"/>
    <w:basedOn w:val="DefaultParagraphFont"/>
    <w:uiPriority w:val="98"/>
    <w:semiHidden/>
    <w:rsid w:val="00537D2D"/>
    <w:rPr>
      <w:i/>
      <w:iCs/>
    </w:rPr>
  </w:style>
  <w:style w:type="paragraph" w:styleId="Index1">
    <w:name w:val="index 1"/>
    <w:basedOn w:val="Normal"/>
    <w:next w:val="Normal"/>
    <w:autoRedefine/>
    <w:uiPriority w:val="98"/>
    <w:semiHidden/>
    <w:rsid w:val="00537D2D"/>
    <w:pPr>
      <w:ind w:left="240" w:hanging="240"/>
    </w:pPr>
  </w:style>
  <w:style w:type="paragraph" w:styleId="Index2">
    <w:name w:val="index 2"/>
    <w:basedOn w:val="Normal"/>
    <w:next w:val="Normal"/>
    <w:autoRedefine/>
    <w:uiPriority w:val="98"/>
    <w:semiHidden/>
    <w:rsid w:val="00537D2D"/>
    <w:pPr>
      <w:ind w:left="480" w:hanging="240"/>
    </w:pPr>
  </w:style>
  <w:style w:type="paragraph" w:styleId="Index3">
    <w:name w:val="index 3"/>
    <w:basedOn w:val="Normal"/>
    <w:next w:val="Normal"/>
    <w:autoRedefine/>
    <w:uiPriority w:val="98"/>
    <w:semiHidden/>
    <w:rsid w:val="00537D2D"/>
    <w:pPr>
      <w:ind w:left="720" w:hanging="240"/>
    </w:pPr>
  </w:style>
  <w:style w:type="paragraph" w:styleId="Index4">
    <w:name w:val="index 4"/>
    <w:basedOn w:val="Normal"/>
    <w:next w:val="Normal"/>
    <w:autoRedefine/>
    <w:uiPriority w:val="98"/>
    <w:semiHidden/>
    <w:rsid w:val="00537D2D"/>
    <w:pPr>
      <w:ind w:left="960" w:hanging="240"/>
    </w:pPr>
  </w:style>
  <w:style w:type="paragraph" w:styleId="Index5">
    <w:name w:val="index 5"/>
    <w:basedOn w:val="Normal"/>
    <w:next w:val="Normal"/>
    <w:autoRedefine/>
    <w:uiPriority w:val="98"/>
    <w:semiHidden/>
    <w:rsid w:val="00537D2D"/>
    <w:pPr>
      <w:ind w:left="1200" w:hanging="240"/>
    </w:pPr>
  </w:style>
  <w:style w:type="paragraph" w:styleId="Index6">
    <w:name w:val="index 6"/>
    <w:basedOn w:val="Normal"/>
    <w:next w:val="Normal"/>
    <w:autoRedefine/>
    <w:uiPriority w:val="98"/>
    <w:semiHidden/>
    <w:rsid w:val="00537D2D"/>
    <w:pPr>
      <w:ind w:left="1440" w:hanging="240"/>
    </w:pPr>
  </w:style>
  <w:style w:type="paragraph" w:styleId="Index7">
    <w:name w:val="index 7"/>
    <w:basedOn w:val="Normal"/>
    <w:next w:val="Normal"/>
    <w:autoRedefine/>
    <w:uiPriority w:val="98"/>
    <w:semiHidden/>
    <w:rsid w:val="00537D2D"/>
    <w:pPr>
      <w:ind w:left="1680" w:hanging="240"/>
    </w:pPr>
  </w:style>
  <w:style w:type="paragraph" w:styleId="Index8">
    <w:name w:val="index 8"/>
    <w:basedOn w:val="Normal"/>
    <w:next w:val="Normal"/>
    <w:autoRedefine/>
    <w:uiPriority w:val="98"/>
    <w:semiHidden/>
    <w:rsid w:val="00537D2D"/>
    <w:pPr>
      <w:ind w:left="1920" w:hanging="240"/>
    </w:pPr>
  </w:style>
  <w:style w:type="paragraph" w:styleId="Index9">
    <w:name w:val="index 9"/>
    <w:basedOn w:val="Normal"/>
    <w:next w:val="Normal"/>
    <w:autoRedefine/>
    <w:uiPriority w:val="98"/>
    <w:semiHidden/>
    <w:rsid w:val="00537D2D"/>
    <w:pPr>
      <w:ind w:left="2160" w:hanging="240"/>
    </w:pPr>
  </w:style>
  <w:style w:type="paragraph" w:styleId="IndexHeading">
    <w:name w:val="index heading"/>
    <w:basedOn w:val="Normal"/>
    <w:next w:val="Index1"/>
    <w:uiPriority w:val="98"/>
    <w:semiHidden/>
    <w:rsid w:val="00537D2D"/>
    <w:rPr>
      <w:rFonts w:asciiTheme="majorHAnsi" w:eastAsiaTheme="majorEastAsia" w:hAnsiTheme="majorHAnsi" w:cstheme="majorBidi"/>
      <w:b/>
      <w:bCs/>
    </w:rPr>
  </w:style>
  <w:style w:type="table" w:styleId="LightGrid">
    <w:name w:val="Light Grid"/>
    <w:basedOn w:val="TableNormal"/>
    <w:uiPriority w:val="62"/>
    <w:semiHidden/>
    <w:rsid w:val="00537D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37D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37D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37D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37D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37D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37D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37D2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37D2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37D2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37D2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37D2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37D2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37D2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37D2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37D2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37D2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37D2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37D2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37D2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37D2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37D2D"/>
  </w:style>
  <w:style w:type="paragraph" w:styleId="List">
    <w:name w:val="List"/>
    <w:basedOn w:val="Normal"/>
    <w:uiPriority w:val="98"/>
    <w:semiHidden/>
    <w:rsid w:val="00537D2D"/>
    <w:pPr>
      <w:ind w:left="283" w:hanging="283"/>
      <w:contextualSpacing/>
    </w:pPr>
  </w:style>
  <w:style w:type="paragraph" w:styleId="List2">
    <w:name w:val="List 2"/>
    <w:basedOn w:val="Normal"/>
    <w:uiPriority w:val="98"/>
    <w:semiHidden/>
    <w:rsid w:val="00537D2D"/>
    <w:pPr>
      <w:ind w:left="566" w:hanging="283"/>
      <w:contextualSpacing/>
    </w:pPr>
  </w:style>
  <w:style w:type="paragraph" w:styleId="List3">
    <w:name w:val="List 3"/>
    <w:basedOn w:val="Normal"/>
    <w:uiPriority w:val="98"/>
    <w:semiHidden/>
    <w:rsid w:val="00537D2D"/>
    <w:pPr>
      <w:ind w:left="849" w:hanging="283"/>
      <w:contextualSpacing/>
    </w:pPr>
  </w:style>
  <w:style w:type="paragraph" w:styleId="List4">
    <w:name w:val="List 4"/>
    <w:basedOn w:val="Normal"/>
    <w:uiPriority w:val="98"/>
    <w:semiHidden/>
    <w:rsid w:val="00537D2D"/>
    <w:pPr>
      <w:ind w:left="1132" w:hanging="283"/>
      <w:contextualSpacing/>
    </w:pPr>
  </w:style>
  <w:style w:type="paragraph" w:styleId="List5">
    <w:name w:val="List 5"/>
    <w:basedOn w:val="Normal"/>
    <w:uiPriority w:val="98"/>
    <w:semiHidden/>
    <w:rsid w:val="00537D2D"/>
    <w:pPr>
      <w:ind w:left="1415" w:hanging="283"/>
      <w:contextualSpacing/>
    </w:pPr>
  </w:style>
  <w:style w:type="paragraph" w:styleId="ListBullet2">
    <w:name w:val="List Bullet 2"/>
    <w:basedOn w:val="Normal"/>
    <w:uiPriority w:val="98"/>
    <w:semiHidden/>
    <w:rsid w:val="00537D2D"/>
    <w:pPr>
      <w:numPr>
        <w:numId w:val="10"/>
      </w:numPr>
      <w:contextualSpacing/>
    </w:pPr>
  </w:style>
  <w:style w:type="paragraph" w:styleId="ListBullet4">
    <w:name w:val="List Bullet 4"/>
    <w:basedOn w:val="Normal"/>
    <w:uiPriority w:val="98"/>
    <w:semiHidden/>
    <w:rsid w:val="00537D2D"/>
    <w:pPr>
      <w:numPr>
        <w:numId w:val="12"/>
      </w:numPr>
      <w:contextualSpacing/>
    </w:pPr>
  </w:style>
  <w:style w:type="paragraph" w:styleId="ListBullet5">
    <w:name w:val="List Bullet 5"/>
    <w:basedOn w:val="Normal"/>
    <w:uiPriority w:val="98"/>
    <w:semiHidden/>
    <w:rsid w:val="00537D2D"/>
    <w:pPr>
      <w:numPr>
        <w:numId w:val="13"/>
      </w:numPr>
      <w:contextualSpacing/>
    </w:pPr>
  </w:style>
  <w:style w:type="paragraph" w:styleId="ListContinue">
    <w:name w:val="List Continue"/>
    <w:basedOn w:val="Normal"/>
    <w:uiPriority w:val="98"/>
    <w:semiHidden/>
    <w:rsid w:val="00537D2D"/>
    <w:pPr>
      <w:spacing w:after="120"/>
      <w:ind w:left="283"/>
      <w:contextualSpacing/>
    </w:pPr>
  </w:style>
  <w:style w:type="paragraph" w:styleId="ListContinue2">
    <w:name w:val="List Continue 2"/>
    <w:basedOn w:val="Normal"/>
    <w:uiPriority w:val="98"/>
    <w:semiHidden/>
    <w:rsid w:val="00537D2D"/>
    <w:pPr>
      <w:spacing w:after="120"/>
      <w:ind w:left="566"/>
      <w:contextualSpacing/>
    </w:pPr>
  </w:style>
  <w:style w:type="paragraph" w:styleId="ListContinue3">
    <w:name w:val="List Continue 3"/>
    <w:basedOn w:val="Normal"/>
    <w:uiPriority w:val="98"/>
    <w:semiHidden/>
    <w:rsid w:val="00537D2D"/>
    <w:pPr>
      <w:spacing w:after="120"/>
      <w:ind w:left="849"/>
      <w:contextualSpacing/>
    </w:pPr>
  </w:style>
  <w:style w:type="paragraph" w:styleId="ListContinue4">
    <w:name w:val="List Continue 4"/>
    <w:basedOn w:val="Normal"/>
    <w:uiPriority w:val="98"/>
    <w:semiHidden/>
    <w:rsid w:val="00537D2D"/>
    <w:pPr>
      <w:spacing w:after="120"/>
      <w:ind w:left="1132"/>
      <w:contextualSpacing/>
    </w:pPr>
  </w:style>
  <w:style w:type="paragraph" w:styleId="ListContinue5">
    <w:name w:val="List Continue 5"/>
    <w:basedOn w:val="Normal"/>
    <w:uiPriority w:val="98"/>
    <w:semiHidden/>
    <w:rsid w:val="00537D2D"/>
    <w:pPr>
      <w:spacing w:after="120"/>
      <w:ind w:left="1415"/>
      <w:contextualSpacing/>
    </w:pPr>
  </w:style>
  <w:style w:type="paragraph" w:styleId="ListNumber">
    <w:name w:val="List Number"/>
    <w:basedOn w:val="Normal"/>
    <w:uiPriority w:val="98"/>
    <w:semiHidden/>
    <w:rsid w:val="00537D2D"/>
    <w:pPr>
      <w:numPr>
        <w:numId w:val="14"/>
      </w:numPr>
      <w:contextualSpacing/>
    </w:pPr>
  </w:style>
  <w:style w:type="paragraph" w:styleId="ListNumber2">
    <w:name w:val="List Number 2"/>
    <w:basedOn w:val="Normal"/>
    <w:uiPriority w:val="98"/>
    <w:semiHidden/>
    <w:rsid w:val="00537D2D"/>
    <w:pPr>
      <w:numPr>
        <w:numId w:val="15"/>
      </w:numPr>
      <w:contextualSpacing/>
    </w:pPr>
  </w:style>
  <w:style w:type="paragraph" w:styleId="ListNumber3">
    <w:name w:val="List Number 3"/>
    <w:basedOn w:val="Normal"/>
    <w:uiPriority w:val="98"/>
    <w:semiHidden/>
    <w:rsid w:val="00537D2D"/>
    <w:pPr>
      <w:numPr>
        <w:numId w:val="16"/>
      </w:numPr>
      <w:contextualSpacing/>
    </w:pPr>
  </w:style>
  <w:style w:type="paragraph" w:styleId="ListNumber4">
    <w:name w:val="List Number 4"/>
    <w:basedOn w:val="Normal"/>
    <w:uiPriority w:val="98"/>
    <w:semiHidden/>
    <w:rsid w:val="00537D2D"/>
    <w:pPr>
      <w:numPr>
        <w:numId w:val="17"/>
      </w:numPr>
      <w:contextualSpacing/>
    </w:pPr>
  </w:style>
  <w:style w:type="paragraph" w:styleId="ListNumber5">
    <w:name w:val="List Number 5"/>
    <w:basedOn w:val="Normal"/>
    <w:uiPriority w:val="98"/>
    <w:semiHidden/>
    <w:rsid w:val="00537D2D"/>
    <w:pPr>
      <w:numPr>
        <w:numId w:val="18"/>
      </w:numPr>
      <w:contextualSpacing/>
    </w:pPr>
  </w:style>
  <w:style w:type="paragraph" w:styleId="MacroText">
    <w:name w:val="macro"/>
    <w:link w:val="MacroTextChar"/>
    <w:uiPriority w:val="98"/>
    <w:semiHidden/>
    <w:rsid w:val="00537D2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37D2D"/>
    <w:rPr>
      <w:rFonts w:ascii="Consolas" w:eastAsiaTheme="minorEastAsia" w:hAnsi="Consolas" w:cs="Consolas"/>
      <w:sz w:val="20"/>
      <w:szCs w:val="20"/>
    </w:rPr>
  </w:style>
  <w:style w:type="table" w:styleId="MediumGrid1">
    <w:name w:val="Medium Grid 1"/>
    <w:basedOn w:val="TableNormal"/>
    <w:uiPriority w:val="67"/>
    <w:semiHidden/>
    <w:rsid w:val="00537D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37D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37D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37D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37D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37D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37D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37D2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37D2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37D2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37D2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37D2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37D2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37D2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37D2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37D2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37D2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37D2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37D2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37D2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37D2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37D2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37D2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37D2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37D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37D2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37D2D"/>
    <w:rPr>
      <w:rFonts w:ascii="Times New Roman" w:hAnsi="Times New Roman" w:cs="Times New Roman"/>
    </w:rPr>
  </w:style>
  <w:style w:type="paragraph" w:styleId="NormalIndent">
    <w:name w:val="Normal Indent"/>
    <w:basedOn w:val="Normal"/>
    <w:uiPriority w:val="98"/>
    <w:semiHidden/>
    <w:rsid w:val="00537D2D"/>
    <w:pPr>
      <w:ind w:left="720"/>
    </w:pPr>
  </w:style>
  <w:style w:type="paragraph" w:styleId="NoteHeading">
    <w:name w:val="Note Heading"/>
    <w:basedOn w:val="Normal"/>
    <w:next w:val="Normal"/>
    <w:link w:val="NoteHeadingChar"/>
    <w:uiPriority w:val="98"/>
    <w:semiHidden/>
    <w:rsid w:val="00537D2D"/>
  </w:style>
  <w:style w:type="character" w:customStyle="1" w:styleId="NoteHeadingChar">
    <w:name w:val="Note Heading Char"/>
    <w:basedOn w:val="DefaultParagraphFont"/>
    <w:link w:val="NoteHeading"/>
    <w:uiPriority w:val="98"/>
    <w:semiHidden/>
    <w:rsid w:val="00537D2D"/>
    <w:rPr>
      <w:sz w:val="24"/>
      <w:szCs w:val="24"/>
      <w:lang w:val="en-GB"/>
    </w:rPr>
  </w:style>
  <w:style w:type="character" w:styleId="PlaceholderText">
    <w:name w:val="Placeholder Text"/>
    <w:basedOn w:val="DefaultParagraphFont"/>
    <w:uiPriority w:val="98"/>
    <w:semiHidden/>
    <w:rsid w:val="00537D2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37D2D"/>
    <w:rPr>
      <w:rFonts w:ascii="Consolas" w:hAnsi="Consolas" w:cs="Consolas"/>
      <w:sz w:val="21"/>
      <w:szCs w:val="21"/>
    </w:rPr>
  </w:style>
  <w:style w:type="character" w:customStyle="1" w:styleId="PlainTextChar">
    <w:name w:val="Plain Text Char"/>
    <w:basedOn w:val="DefaultParagraphFont"/>
    <w:link w:val="PlainText"/>
    <w:uiPriority w:val="98"/>
    <w:semiHidden/>
    <w:rsid w:val="00537D2D"/>
    <w:rPr>
      <w:rFonts w:ascii="Consolas" w:hAnsi="Consolas" w:cs="Consolas"/>
      <w:sz w:val="21"/>
      <w:szCs w:val="21"/>
      <w:lang w:val="en-GB"/>
    </w:rPr>
  </w:style>
  <w:style w:type="paragraph" w:styleId="Salutation">
    <w:name w:val="Salutation"/>
    <w:basedOn w:val="Normal"/>
    <w:next w:val="Normal"/>
    <w:link w:val="SalutationChar"/>
    <w:uiPriority w:val="98"/>
    <w:semiHidden/>
    <w:rsid w:val="00537D2D"/>
  </w:style>
  <w:style w:type="character" w:customStyle="1" w:styleId="SalutationChar">
    <w:name w:val="Salutation Char"/>
    <w:basedOn w:val="DefaultParagraphFont"/>
    <w:link w:val="Salutation"/>
    <w:uiPriority w:val="98"/>
    <w:semiHidden/>
    <w:rsid w:val="00537D2D"/>
    <w:rPr>
      <w:sz w:val="24"/>
      <w:szCs w:val="24"/>
      <w:lang w:val="en-GB"/>
    </w:rPr>
  </w:style>
  <w:style w:type="paragraph" w:styleId="Signature">
    <w:name w:val="Signature"/>
    <w:basedOn w:val="Normal"/>
    <w:link w:val="SignatureChar"/>
    <w:uiPriority w:val="98"/>
    <w:semiHidden/>
    <w:rsid w:val="00537D2D"/>
    <w:pPr>
      <w:ind w:left="4252"/>
    </w:pPr>
  </w:style>
  <w:style w:type="character" w:customStyle="1" w:styleId="SignatureChar">
    <w:name w:val="Signature Char"/>
    <w:basedOn w:val="DefaultParagraphFont"/>
    <w:link w:val="Signature"/>
    <w:uiPriority w:val="98"/>
    <w:semiHidden/>
    <w:rsid w:val="00537D2D"/>
    <w:rPr>
      <w:sz w:val="24"/>
      <w:szCs w:val="24"/>
      <w:lang w:val="en-GB"/>
    </w:rPr>
  </w:style>
  <w:style w:type="table" w:styleId="Table3Deffects1">
    <w:name w:val="Table 3D effects 1"/>
    <w:basedOn w:val="TableNormal"/>
    <w:uiPriority w:val="99"/>
    <w:semiHidden/>
    <w:unhideWhenUsed/>
    <w:rsid w:val="00537D2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37D2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37D2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37D2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37D2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37D2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37D2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37D2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37D2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37D2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37D2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37D2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37D2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37D2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37D2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37D2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37D2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37D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37D2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37D2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37D2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37D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37D2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37D2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37D2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37D2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37D2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37D2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37D2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37D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37D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37D2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37D2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37D2D"/>
    <w:pPr>
      <w:ind w:left="240" w:hanging="240"/>
    </w:pPr>
  </w:style>
  <w:style w:type="paragraph" w:styleId="TableofFigures">
    <w:name w:val="table of figures"/>
    <w:basedOn w:val="Normal"/>
    <w:next w:val="Normal"/>
    <w:uiPriority w:val="98"/>
    <w:semiHidden/>
    <w:rsid w:val="00537D2D"/>
  </w:style>
  <w:style w:type="table" w:styleId="TableProfessional">
    <w:name w:val="Table Professional"/>
    <w:basedOn w:val="TableNormal"/>
    <w:uiPriority w:val="99"/>
    <w:semiHidden/>
    <w:unhideWhenUsed/>
    <w:rsid w:val="00537D2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37D2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37D2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37D2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37D2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37D2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37D2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37D2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37D2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37D2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37D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37D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37D2D"/>
    <w:pPr>
      <w:spacing w:after="100"/>
      <w:ind w:left="1680"/>
    </w:pPr>
  </w:style>
  <w:style w:type="paragraph" w:styleId="TOC9">
    <w:name w:val="toc 9"/>
    <w:basedOn w:val="Normal"/>
    <w:next w:val="Normal"/>
    <w:autoRedefine/>
    <w:uiPriority w:val="98"/>
    <w:semiHidden/>
    <w:rsid w:val="00537D2D"/>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537D2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37D2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37D2D"/>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537D2D"/>
    <w:pPr>
      <w:numPr>
        <w:numId w:val="6"/>
      </w:numPr>
      <w:spacing w:before="60" w:after="60"/>
    </w:pPr>
  </w:style>
  <w:style w:type="paragraph" w:customStyle="1" w:styleId="ECHRBullet2">
    <w:name w:val="ECHR_Bullet_2"/>
    <w:aliases w:val="_Bul_2"/>
    <w:basedOn w:val="ECHRBullet1"/>
    <w:uiPriority w:val="23"/>
    <w:semiHidden/>
    <w:rsid w:val="00537D2D"/>
    <w:pPr>
      <w:numPr>
        <w:ilvl w:val="1"/>
      </w:numPr>
    </w:pPr>
  </w:style>
  <w:style w:type="paragraph" w:customStyle="1" w:styleId="ECHRBullet3">
    <w:name w:val="ECHR_Bullet_3"/>
    <w:aliases w:val="_Bul_3"/>
    <w:basedOn w:val="ECHRBullet2"/>
    <w:uiPriority w:val="23"/>
    <w:semiHidden/>
    <w:rsid w:val="00537D2D"/>
    <w:pPr>
      <w:numPr>
        <w:ilvl w:val="2"/>
      </w:numPr>
    </w:pPr>
  </w:style>
  <w:style w:type="paragraph" w:customStyle="1" w:styleId="ECHRBullet4">
    <w:name w:val="ECHR_Bullet_4"/>
    <w:aliases w:val="_Bul_4"/>
    <w:basedOn w:val="ECHRBullet3"/>
    <w:uiPriority w:val="23"/>
    <w:semiHidden/>
    <w:rsid w:val="00537D2D"/>
    <w:pPr>
      <w:numPr>
        <w:ilvl w:val="3"/>
      </w:numPr>
    </w:pPr>
  </w:style>
  <w:style w:type="paragraph" w:customStyle="1" w:styleId="ECHRConfidential">
    <w:name w:val="ECHR_Confidential"/>
    <w:aliases w:val="_Confidential"/>
    <w:basedOn w:val="Normal"/>
    <w:next w:val="Normal"/>
    <w:uiPriority w:val="42"/>
    <w:semiHidden/>
    <w:qFormat/>
    <w:rsid w:val="00537D2D"/>
    <w:pPr>
      <w:jc w:val="right"/>
    </w:pPr>
    <w:rPr>
      <w:color w:val="C00000"/>
      <w:sz w:val="20"/>
    </w:rPr>
  </w:style>
  <w:style w:type="paragraph" w:customStyle="1" w:styleId="ECHRDecisionBody">
    <w:name w:val="ECHR_Decision_Body"/>
    <w:aliases w:val="_Decision_Body"/>
    <w:basedOn w:val="NormalJustified"/>
    <w:uiPriority w:val="54"/>
    <w:semiHidden/>
    <w:rsid w:val="00537D2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37D2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37D2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37D2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37D2D"/>
    <w:pPr>
      <w:jc w:val="right"/>
    </w:pPr>
    <w:rPr>
      <w:sz w:val="20"/>
    </w:rPr>
  </w:style>
  <w:style w:type="paragraph" w:customStyle="1" w:styleId="ECHRHeaderRefIt">
    <w:name w:val="ECHR_Header_Ref_It"/>
    <w:aliases w:val="_Ref_Ital"/>
    <w:basedOn w:val="Normal"/>
    <w:next w:val="ECHRHeaderDate"/>
    <w:uiPriority w:val="43"/>
    <w:qFormat/>
    <w:rsid w:val="00537D2D"/>
    <w:pPr>
      <w:jc w:val="right"/>
    </w:pPr>
    <w:rPr>
      <w:i/>
      <w:sz w:val="20"/>
    </w:rPr>
  </w:style>
  <w:style w:type="paragraph" w:customStyle="1" w:styleId="ECHRHeading9">
    <w:name w:val="ECHR_Heading_9"/>
    <w:aliases w:val="_Head_9"/>
    <w:basedOn w:val="Heading9"/>
    <w:uiPriority w:val="17"/>
    <w:semiHidden/>
    <w:rsid w:val="00537D2D"/>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37D2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37D2D"/>
    <w:pPr>
      <w:numPr>
        <w:numId w:val="8"/>
      </w:numPr>
      <w:spacing w:before="60" w:after="60"/>
    </w:pPr>
  </w:style>
  <w:style w:type="paragraph" w:customStyle="1" w:styleId="ECHRNumberedList2">
    <w:name w:val="ECHR_Numbered_List_2"/>
    <w:aliases w:val="_Num_2"/>
    <w:basedOn w:val="ECHRNumberedList1"/>
    <w:uiPriority w:val="23"/>
    <w:semiHidden/>
    <w:rsid w:val="00537D2D"/>
    <w:pPr>
      <w:numPr>
        <w:ilvl w:val="1"/>
      </w:numPr>
    </w:pPr>
  </w:style>
  <w:style w:type="paragraph" w:customStyle="1" w:styleId="ECHRNumberedList3">
    <w:name w:val="ECHR_Numbered_List_3"/>
    <w:aliases w:val="_Num_3"/>
    <w:basedOn w:val="ECHRNumberedList2"/>
    <w:uiPriority w:val="23"/>
    <w:semiHidden/>
    <w:rsid w:val="00537D2D"/>
    <w:pPr>
      <w:numPr>
        <w:ilvl w:val="2"/>
      </w:numPr>
    </w:pPr>
  </w:style>
  <w:style w:type="paragraph" w:customStyle="1" w:styleId="ECHRParaHanging">
    <w:name w:val="ECHR_Para_Hanging"/>
    <w:aliases w:val="_Hanging"/>
    <w:basedOn w:val="Normal"/>
    <w:uiPriority w:val="8"/>
    <w:semiHidden/>
    <w:qFormat/>
    <w:rsid w:val="00537D2D"/>
    <w:pPr>
      <w:ind w:left="567" w:hanging="567"/>
      <w:jc w:val="both"/>
    </w:pPr>
  </w:style>
  <w:style w:type="paragraph" w:customStyle="1" w:styleId="ECHRParaIndent">
    <w:name w:val="ECHR_Para_Indent"/>
    <w:aliases w:val="_Indent"/>
    <w:basedOn w:val="Normal"/>
    <w:uiPriority w:val="7"/>
    <w:semiHidden/>
    <w:qFormat/>
    <w:rsid w:val="00537D2D"/>
    <w:pPr>
      <w:spacing w:before="120" w:after="120"/>
      <w:ind w:left="284"/>
      <w:jc w:val="both"/>
    </w:pPr>
  </w:style>
  <w:style w:type="character" w:customStyle="1" w:styleId="ECHRRed">
    <w:name w:val="ECHR_Red"/>
    <w:aliases w:val="_Red"/>
    <w:basedOn w:val="DefaultParagraphFont"/>
    <w:uiPriority w:val="15"/>
    <w:semiHidden/>
    <w:qFormat/>
    <w:rsid w:val="00537D2D"/>
    <w:rPr>
      <w:color w:val="C00000" w:themeColor="accent2"/>
    </w:rPr>
  </w:style>
  <w:style w:type="paragraph" w:customStyle="1" w:styleId="ECHRSpacer">
    <w:name w:val="ECHR_Spacer"/>
    <w:aliases w:val="_Spacer"/>
    <w:basedOn w:val="Normal"/>
    <w:uiPriority w:val="45"/>
    <w:semiHidden/>
    <w:rsid w:val="00537D2D"/>
    <w:rPr>
      <w:sz w:val="4"/>
    </w:rPr>
  </w:style>
  <w:style w:type="table" w:customStyle="1" w:styleId="ECHRTable2">
    <w:name w:val="ECHR_Table_2"/>
    <w:basedOn w:val="TableNormal"/>
    <w:uiPriority w:val="99"/>
    <w:rsid w:val="00537D2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37D2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37D2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37D2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37D2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37D2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37D2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37D2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37D2D"/>
    <w:pPr>
      <w:outlineLvl w:val="0"/>
    </w:pPr>
  </w:style>
  <w:style w:type="paragraph" w:customStyle="1" w:styleId="ECHRTitleTOC1">
    <w:name w:val="ECHR_Title_TOC_1"/>
    <w:aliases w:val="_Title_L_TOC"/>
    <w:basedOn w:val="ECHRTitle1"/>
    <w:next w:val="Normal"/>
    <w:uiPriority w:val="27"/>
    <w:semiHidden/>
    <w:qFormat/>
    <w:rsid w:val="00537D2D"/>
    <w:pPr>
      <w:outlineLvl w:val="0"/>
    </w:pPr>
  </w:style>
  <w:style w:type="character" w:customStyle="1" w:styleId="JuParaChar">
    <w:name w:val="Ju_Para Char"/>
    <w:aliases w:val="_Para Char"/>
    <w:link w:val="JuPara"/>
    <w:uiPriority w:val="4"/>
    <w:rsid w:val="00331922"/>
    <w:rPr>
      <w:sz w:val="24"/>
      <w:szCs w:val="24"/>
      <w:lang w:val="en-GB"/>
    </w:rPr>
  </w:style>
  <w:style w:type="paragraph" w:customStyle="1" w:styleId="JuHeaderLandscape">
    <w:name w:val="Ju_Header_Landscape"/>
    <w:aliases w:val="_Header_Landscape"/>
    <w:basedOn w:val="JuHeader"/>
    <w:uiPriority w:val="30"/>
    <w:qFormat/>
    <w:rsid w:val="00331922"/>
    <w:pPr>
      <w:tabs>
        <w:tab w:val="center" w:pos="6146"/>
        <w:tab w:val="right" w:pos="12293"/>
      </w:tabs>
      <w:jc w:val="left"/>
    </w:pPr>
    <w:rPr>
      <w:szCs w:val="22"/>
    </w:rPr>
  </w:style>
  <w:style w:type="character" w:customStyle="1" w:styleId="JuNames0">
    <w:name w:val="Ju_Names"/>
    <w:rsid w:val="00331922"/>
    <w:rPr>
      <w:smallCaps/>
    </w:rPr>
  </w:style>
  <w:style w:type="paragraph" w:customStyle="1" w:styleId="JuList4">
    <w:name w:val="Ju_List_4"/>
    <w:aliases w:val="N_Bul_4"/>
    <w:basedOn w:val="JuListi"/>
    <w:uiPriority w:val="19"/>
    <w:rsid w:val="00331922"/>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AppQuestion">
    <w:name w:val="Ju_App_Question"/>
    <w:basedOn w:val="Normal"/>
    <w:uiPriority w:val="53"/>
    <w:semiHidden/>
    <w:rsid w:val="00331922"/>
    <w:pPr>
      <w:numPr>
        <w:numId w:val="1"/>
      </w:numPr>
    </w:pPr>
    <w:rPr>
      <w:rFonts w:eastAsiaTheme="minorEastAsia"/>
      <w:sz w:val="22"/>
      <w:szCs w:val="22"/>
      <w:lang w:val="fr-FR" w:eastAsia="fr-FR"/>
    </w:rPr>
  </w:style>
  <w:style w:type="paragraph" w:styleId="Revision">
    <w:name w:val="Revision"/>
    <w:hidden/>
    <w:uiPriority w:val="99"/>
    <w:semiHidden/>
    <w:rsid w:val="00331922"/>
    <w:rPr>
      <w:rFonts w:eastAsiaTheme="minorEastAsia"/>
      <w:sz w:val="24"/>
      <w:lang w:val="en-GB"/>
    </w:rPr>
  </w:style>
  <w:style w:type="character" w:customStyle="1" w:styleId="ECHRFooterChar">
    <w:name w:val="ECHR_Footer Char"/>
    <w:basedOn w:val="DefaultParagraphFont"/>
    <w:uiPriority w:val="30"/>
    <w:rsid w:val="00940EB8"/>
    <w:rPr>
      <w:rFonts w:eastAsiaTheme="minorHAnsi"/>
      <w:sz w:val="8"/>
      <w:lang w:val="en-GB"/>
    </w:rPr>
  </w:style>
  <w:style w:type="paragraph" w:customStyle="1" w:styleId="jupara0">
    <w:name w:val="jupara"/>
    <w:basedOn w:val="Normal"/>
    <w:rsid w:val="005B2E56"/>
    <w:pPr>
      <w:ind w:firstLine="284"/>
      <w:jc w:val="both"/>
    </w:pPr>
    <w:rPr>
      <w:rFonts w:ascii="Times New Roman" w:eastAsia="Times New Roman" w:hAnsi="Times New Roman" w:cs="Times New Roman"/>
      <w:lang w:eastAsia="en-GB"/>
    </w:rPr>
  </w:style>
  <w:style w:type="paragraph" w:customStyle="1" w:styleId="jucase0">
    <w:name w:val="jucase"/>
    <w:basedOn w:val="Normal"/>
    <w:rsid w:val="005B2E5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6A5853-0FBE-4AFF-AFD1-4B46AA5593FF}"/>
</file>

<file path=customXml/itemProps2.xml><?xml version="1.0" encoding="utf-8"?>
<ds:datastoreItem xmlns:ds="http://schemas.openxmlformats.org/officeDocument/2006/customXml" ds:itemID="{6F81155C-B12F-4749-8DA4-FB73E7A0B379}"/>
</file>

<file path=customXml/itemProps3.xml><?xml version="1.0" encoding="utf-8"?>
<ds:datastoreItem xmlns:ds="http://schemas.openxmlformats.org/officeDocument/2006/customXml" ds:itemID="{B2666EAB-12D7-4A57-9AB6-054989A80C19}"/>
</file>

<file path=customXml/itemProps4.xml><?xml version="1.0" encoding="utf-8"?>
<ds:datastoreItem xmlns:ds="http://schemas.openxmlformats.org/officeDocument/2006/customXml" ds:itemID="{61BE4D59-28DA-4BCD-9FF1-74982560EA7D}"/>
</file>

<file path=docProps/app.xml><?xml version="1.0" encoding="utf-8"?>
<Properties xmlns="http://schemas.openxmlformats.org/officeDocument/2006/extended-properties" xmlns:vt="http://schemas.openxmlformats.org/officeDocument/2006/docPropsVTypes">
  <Template>Normal.dotm</Template>
  <TotalTime>0</TotalTime>
  <Pages>1</Pages>
  <Words>6520</Words>
  <Characters>37165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2020-09-18T17:13:00Z</dcterms:created>
  <dcterms:modified xsi:type="dcterms:W3CDTF">2020-09-18T17:13:00Z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37772/17</vt:lpwstr>
  </property>
  <property fmtid="{D5CDD505-2E9C-101B-9397-08002B2CF9AE}" pid="4" name="CASEID">
    <vt:lpwstr>1311029</vt:lpwstr>
  </property>
  <property fmtid="{D5CDD505-2E9C-101B-9397-08002B2CF9AE}" pid="5" name="ContentTypeId">
    <vt:lpwstr>0x010100558EB02BDB9E204AB350EDD385B68E10</vt:lpwstr>
  </property>
</Properties>
</file>