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35ECF" w:rsidR="00787E12" w:rsidP="00F35ECF" w:rsidRDefault="00325ACA">
      <w:pPr>
        <w:pStyle w:val="DecHCase"/>
      </w:pPr>
      <w:bookmarkStart w:name="_GoBack" w:id="0"/>
      <w:bookmarkEnd w:id="0"/>
    </w:p>
    <w:p w:rsidRPr="00F35ECF" w:rsidR="00787E12" w:rsidP="00F35ECF" w:rsidRDefault="00A567E2">
      <w:pPr>
        <w:pStyle w:val="DecHCase"/>
      </w:pPr>
      <w:r w:rsidRPr="00F35ECF">
        <w:t>THIRD SECTION</w:t>
      </w:r>
    </w:p>
    <w:p w:rsidRPr="00F35ECF" w:rsidR="00787E12" w:rsidP="00F35ECF" w:rsidRDefault="0048584C">
      <w:pPr>
        <w:pStyle w:val="JuTitle"/>
      </w:pPr>
      <w:r w:rsidRPr="00F35ECF">
        <w:t xml:space="preserve">CASE OF </w:t>
      </w:r>
      <w:r w:rsidRPr="00F35ECF" w:rsidR="00A567E2">
        <w:t>VLASOVA AND OTHERS v. RUSSIA</w:t>
      </w:r>
    </w:p>
    <w:p w:rsidRPr="00F35ECF" w:rsidR="00A567E2" w:rsidP="00F35ECF" w:rsidRDefault="0048584C">
      <w:pPr>
        <w:pStyle w:val="ECHRCoverTitle4"/>
      </w:pPr>
      <w:r w:rsidRPr="00F35ECF">
        <w:t>(</w:t>
      </w:r>
      <w:r w:rsidRPr="00F35ECF" w:rsidR="00A567E2">
        <w:t>Application</w:t>
      </w:r>
      <w:r w:rsidRPr="00F35ECF" w:rsidR="00E0127E">
        <w:t>s</w:t>
      </w:r>
      <w:r w:rsidRPr="00F35ECF" w:rsidR="00A567E2">
        <w:t xml:space="preserve"> no</w:t>
      </w:r>
      <w:r w:rsidRPr="00F35ECF" w:rsidR="00E0127E">
        <w:t>s</w:t>
      </w:r>
      <w:r w:rsidRPr="00F35ECF" w:rsidR="00A567E2">
        <w:t xml:space="preserve">. 60908/12 and </w:t>
      </w:r>
      <w:r w:rsidRPr="00F35ECF" w:rsidR="00CA42FD">
        <w:t>2</w:t>
      </w:r>
      <w:r w:rsidRPr="00F35ECF" w:rsidR="00A567E2">
        <w:t xml:space="preserve"> others -</w:t>
      </w:r>
    </w:p>
    <w:p w:rsidRPr="00F35ECF" w:rsidR="00787E12" w:rsidP="00F35ECF" w:rsidRDefault="00A567E2">
      <w:pPr>
        <w:jc w:val="center"/>
      </w:pPr>
      <w:proofErr w:type="gramStart"/>
      <w:r w:rsidRPr="00F35ECF">
        <w:rPr>
          <w:i/>
          <w:iCs/>
        </w:rPr>
        <w:t>see</w:t>
      </w:r>
      <w:proofErr w:type="gramEnd"/>
      <w:r w:rsidRPr="00F35ECF">
        <w:rPr>
          <w:i/>
          <w:iCs/>
        </w:rPr>
        <w:t xml:space="preserve"> appended list</w:t>
      </w:r>
      <w:r w:rsidRPr="00F35ECF" w:rsidR="0048584C">
        <w:t>)</w:t>
      </w:r>
    </w:p>
    <w:p w:rsidRPr="00F35ECF" w:rsidR="00787E12" w:rsidP="00F35ECF" w:rsidRDefault="00325ACA">
      <w:pPr>
        <w:pStyle w:val="DecHCase"/>
      </w:pPr>
    </w:p>
    <w:p w:rsidRPr="00F35ECF" w:rsidR="00365B21" w:rsidP="00F35ECF" w:rsidRDefault="00365B21">
      <w:pPr>
        <w:pStyle w:val="DecHCase"/>
      </w:pPr>
    </w:p>
    <w:p w:rsidRPr="00F35ECF" w:rsidR="00365B21" w:rsidP="00F35ECF" w:rsidRDefault="00365B21">
      <w:pPr>
        <w:pStyle w:val="DecHCase"/>
      </w:pPr>
    </w:p>
    <w:p w:rsidRPr="00F35ECF" w:rsidR="00787E12" w:rsidP="00F35ECF" w:rsidRDefault="00325ACA">
      <w:pPr>
        <w:pStyle w:val="DecHCase"/>
      </w:pPr>
    </w:p>
    <w:p w:rsidRPr="00F35ECF" w:rsidR="00787E12" w:rsidP="00F35ECF" w:rsidRDefault="00325ACA">
      <w:pPr>
        <w:pStyle w:val="DecHCase"/>
      </w:pPr>
    </w:p>
    <w:p w:rsidRPr="00F35ECF" w:rsidR="00A062B9" w:rsidP="00F35ECF" w:rsidRDefault="00325ACA">
      <w:pPr>
        <w:pStyle w:val="DecHCase"/>
      </w:pPr>
    </w:p>
    <w:p w:rsidRPr="00F35ECF" w:rsidR="00787E12" w:rsidP="00F35ECF" w:rsidRDefault="0048584C">
      <w:pPr>
        <w:pStyle w:val="DecHCase"/>
      </w:pPr>
      <w:r w:rsidRPr="00F35ECF">
        <w:t>JUDGMENT</w:t>
      </w:r>
    </w:p>
    <w:p w:rsidRPr="00F35ECF" w:rsidR="00787E12" w:rsidP="00F35ECF" w:rsidRDefault="00325ACA">
      <w:pPr>
        <w:jc w:val="center"/>
        <w:rPr>
          <w:i/>
        </w:rPr>
      </w:pPr>
    </w:p>
    <w:p w:rsidRPr="00F35ECF" w:rsidR="00787E12" w:rsidP="00F35ECF" w:rsidRDefault="0048584C">
      <w:pPr>
        <w:pStyle w:val="DecHCase"/>
      </w:pPr>
      <w:r w:rsidRPr="00F35ECF">
        <w:t>STRASBOURG</w:t>
      </w:r>
    </w:p>
    <w:p w:rsidRPr="00F35ECF" w:rsidR="00787E12" w:rsidP="00F35ECF" w:rsidRDefault="00A567E2">
      <w:pPr>
        <w:pStyle w:val="DecHCase"/>
      </w:pPr>
      <w:r w:rsidRPr="00F35ECF">
        <w:t>4 June 2020</w:t>
      </w:r>
    </w:p>
    <w:p w:rsidRPr="00F35ECF" w:rsidR="00787E12" w:rsidP="00F35ECF" w:rsidRDefault="00325ACA">
      <w:pPr>
        <w:jc w:val="center"/>
      </w:pPr>
    </w:p>
    <w:p w:rsidRPr="00F35ECF" w:rsidR="00787E12" w:rsidP="00F35ECF" w:rsidRDefault="0048584C">
      <w:pPr>
        <w:jc w:val="center"/>
        <w:rPr>
          <w:sz w:val="2"/>
          <w:szCs w:val="2"/>
        </w:rPr>
      </w:pPr>
      <w:r w:rsidRPr="00F35ECF">
        <w:rPr>
          <w:i/>
        </w:rPr>
        <w:t>This judgment is final but it may be subject to editorial revision.</w:t>
      </w:r>
    </w:p>
    <w:p w:rsidRPr="00F35ECF" w:rsidR="00787E12" w:rsidP="00F35ECF" w:rsidRDefault="00325ACA">
      <w:pPr>
        <w:pStyle w:val="JuCase"/>
        <w:sectPr w:rsidRPr="00F35ECF" w:rsidR="00787E12" w:rsidSect="00B91668">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F35ECF" w:rsidR="00787E12" w:rsidP="00F35ECF" w:rsidRDefault="0048584C">
      <w:pPr>
        <w:pStyle w:val="JuCase"/>
        <w:rPr>
          <w:bCs/>
        </w:rPr>
      </w:pPr>
      <w:r w:rsidRPr="00F35ECF">
        <w:t xml:space="preserve">In the case of </w:t>
      </w:r>
      <w:proofErr w:type="spellStart"/>
      <w:r w:rsidRPr="00F35ECF" w:rsidR="00A567E2">
        <w:t>Vlasova</w:t>
      </w:r>
      <w:proofErr w:type="spellEnd"/>
      <w:r w:rsidRPr="00F35ECF" w:rsidR="00A567E2">
        <w:t xml:space="preserve"> and Others v. Russia</w:t>
      </w:r>
      <w:r w:rsidRPr="00F35ECF">
        <w:t>,</w:t>
      </w:r>
    </w:p>
    <w:p w:rsidRPr="00F35ECF" w:rsidR="00787E12" w:rsidP="00F35ECF" w:rsidRDefault="0048584C">
      <w:pPr>
        <w:pStyle w:val="JuPara"/>
      </w:pPr>
      <w:r w:rsidRPr="00F35ECF">
        <w:t>The European Court of Human Rights (</w:t>
      </w:r>
      <w:r w:rsidRPr="00F35ECF" w:rsidR="00A567E2">
        <w:t>Third Section</w:t>
      </w:r>
      <w:r w:rsidRPr="00F35ECF">
        <w:t>), sitting as a Committee composed of:</w:t>
      </w:r>
    </w:p>
    <w:p w:rsidRPr="00F35ECF" w:rsidR="00787E12" w:rsidP="00F35ECF" w:rsidRDefault="00365B21">
      <w:pPr>
        <w:pStyle w:val="JuJudges"/>
      </w:pPr>
      <w:r w:rsidRPr="00F35ECF">
        <w:tab/>
        <w:t xml:space="preserve">Alena </w:t>
      </w:r>
      <w:proofErr w:type="spellStart"/>
      <w:r w:rsidRPr="00F35ECF">
        <w:t>Poláčková</w:t>
      </w:r>
      <w:proofErr w:type="spellEnd"/>
      <w:r w:rsidRPr="00F35ECF">
        <w:t>,</w:t>
      </w:r>
      <w:r w:rsidRPr="00F35ECF">
        <w:rPr>
          <w:i/>
        </w:rPr>
        <w:t xml:space="preserve"> President,</w:t>
      </w:r>
      <w:r w:rsidRPr="00F35ECF">
        <w:rPr>
          <w:i/>
        </w:rPr>
        <w:br/>
      </w:r>
      <w:r w:rsidRPr="00F35ECF">
        <w:tab/>
        <w:t xml:space="preserve">Dmitry </w:t>
      </w:r>
      <w:proofErr w:type="spellStart"/>
      <w:r w:rsidRPr="00F35ECF">
        <w:t>Dedov</w:t>
      </w:r>
      <w:proofErr w:type="spellEnd"/>
      <w:r w:rsidRPr="00F35ECF">
        <w:t>,</w:t>
      </w:r>
      <w:r w:rsidRPr="00F35ECF">
        <w:rPr>
          <w:i/>
        </w:rPr>
        <w:br/>
      </w:r>
      <w:r w:rsidRPr="00F35ECF">
        <w:tab/>
        <w:t xml:space="preserve">Gilberto </w:t>
      </w:r>
      <w:proofErr w:type="spellStart"/>
      <w:r w:rsidRPr="00F35ECF">
        <w:t>Felici</w:t>
      </w:r>
      <w:proofErr w:type="spellEnd"/>
      <w:r w:rsidRPr="00F35ECF">
        <w:t>,</w:t>
      </w:r>
      <w:r w:rsidRPr="00F35ECF">
        <w:rPr>
          <w:i/>
        </w:rPr>
        <w:t xml:space="preserve"> judges,</w:t>
      </w:r>
      <w:r w:rsidRPr="00F35ECF" w:rsidR="0048584C">
        <w:br/>
        <w:t xml:space="preserve">and </w:t>
      </w:r>
      <w:r w:rsidRPr="00F35ECF" w:rsidR="00A567E2">
        <w:t>Liv</w:t>
      </w:r>
      <w:r w:rsidRPr="00F35ECF" w:rsidR="0048584C">
        <w:t xml:space="preserve"> </w:t>
      </w:r>
      <w:r w:rsidRPr="00F35ECF" w:rsidR="00A567E2">
        <w:t>Tigerstedt</w:t>
      </w:r>
      <w:r w:rsidRPr="00F35ECF" w:rsidR="00555A1D">
        <w:t>,</w:t>
      </w:r>
      <w:r w:rsidRPr="00F35ECF" w:rsidR="0048584C">
        <w:t xml:space="preserve"> </w:t>
      </w:r>
      <w:r w:rsidRPr="00F35ECF" w:rsidR="0048584C">
        <w:rPr>
          <w:i/>
        </w:rPr>
        <w:t>Acting</w:t>
      </w:r>
      <w:r w:rsidRPr="00F35ECF" w:rsidR="0048584C">
        <w:t xml:space="preserve"> </w:t>
      </w:r>
      <w:r w:rsidRPr="00F35ECF" w:rsidR="0048584C">
        <w:rPr>
          <w:rFonts w:cstheme="minorHAnsi"/>
          <w:i/>
        </w:rPr>
        <w:t>Deputy Section Registrar</w:t>
      </w:r>
      <w:r w:rsidRPr="00F35ECF" w:rsidR="0048584C">
        <w:rPr>
          <w:i/>
        </w:rPr>
        <w:t>,</w:t>
      </w:r>
    </w:p>
    <w:p w:rsidRPr="00F35ECF" w:rsidR="00787E12" w:rsidP="00F35ECF" w:rsidRDefault="0048584C">
      <w:pPr>
        <w:pStyle w:val="JuPara"/>
      </w:pPr>
      <w:r w:rsidRPr="00F35ECF">
        <w:t xml:space="preserve">Having deliberated in private on </w:t>
      </w:r>
      <w:r w:rsidRPr="00F35ECF" w:rsidR="00365B21">
        <w:t>14 May 2020</w:t>
      </w:r>
      <w:r w:rsidRPr="00F35ECF">
        <w:t>,</w:t>
      </w:r>
    </w:p>
    <w:p w:rsidRPr="00F35ECF" w:rsidR="006372F5" w:rsidP="00F35ECF" w:rsidRDefault="0048584C">
      <w:pPr>
        <w:pStyle w:val="JuPara"/>
      </w:pPr>
      <w:r w:rsidRPr="00F35ECF">
        <w:t>Delivers the following judgment, which was adopted on that date:</w:t>
      </w:r>
    </w:p>
    <w:p w:rsidRPr="00F35ECF" w:rsidR="00A567E2" w:rsidP="00F35ECF" w:rsidRDefault="00A567E2">
      <w:pPr>
        <w:pStyle w:val="JuHHead"/>
        <w:numPr>
          <w:ilvl w:val="0"/>
          <w:numId w:val="22"/>
        </w:numPr>
        <w:jc w:val="left"/>
      </w:pPr>
      <w:bookmarkStart w:name="ITMARKStartJudgment" w:id="1"/>
      <w:bookmarkEnd w:id="1"/>
      <w:r w:rsidRPr="00F35ECF">
        <w:t>PROCEDURE</w:t>
      </w:r>
    </w:p>
    <w:p w:rsidRPr="00F35ECF" w:rsidR="00A567E2" w:rsidP="00F35ECF" w:rsidRDefault="00A567E2">
      <w:pPr>
        <w:pStyle w:val="JuPara"/>
      </w:pPr>
      <w:r w:rsidRPr="00F35ECF">
        <w:rPr>
          <w:rFonts w:cs="Times New Roman"/>
        </w:rPr>
        <w:fldChar w:fldCharType="begin"/>
      </w:r>
      <w:r w:rsidRPr="00F35ECF">
        <w:rPr>
          <w:rFonts w:cs="Times New Roman"/>
        </w:rPr>
        <w:instrText xml:space="preserve"> SEQ level0 \*arabic </w:instrText>
      </w:r>
      <w:r w:rsidRPr="00F35ECF">
        <w:rPr>
          <w:rFonts w:cs="Times New Roman"/>
        </w:rPr>
        <w:fldChar w:fldCharType="separate"/>
      </w:r>
      <w:r w:rsidRPr="00F35ECF" w:rsidR="00F35ECF">
        <w:rPr>
          <w:rFonts w:cs="Times New Roman"/>
          <w:noProof/>
        </w:rPr>
        <w:t>1</w:t>
      </w:r>
      <w:r w:rsidRPr="00F35ECF">
        <w:rPr>
          <w:rFonts w:cs="Times New Roman"/>
        </w:rPr>
        <w:fldChar w:fldCharType="end"/>
      </w:r>
      <w:r w:rsidRPr="00F35ECF">
        <w:rPr>
          <w:rFonts w:cs="Times New Roman"/>
        </w:rPr>
        <w:t xml:space="preserve">.  The case originated in applications against Russia lodged with the Court under Article 34 of the Convention for the Protection of Human Rights and Fundamental Freedoms (“the Convention”) on </w:t>
      </w:r>
      <w:r w:rsidRPr="00F35ECF">
        <w:rPr>
          <w:rFonts w:eastAsia="PMingLiU" w:cs="Times New Roman"/>
        </w:rPr>
        <w:t>the various dates indicated in the appended table</w:t>
      </w:r>
      <w:r w:rsidRPr="00F35ECF">
        <w:rPr>
          <w:rFonts w:cs="Times New Roman"/>
        </w:rPr>
        <w:t>.</w:t>
      </w:r>
    </w:p>
    <w:p w:rsidRPr="00F35ECF" w:rsidR="00A567E2" w:rsidP="00F35ECF" w:rsidRDefault="00A567E2">
      <w:pPr>
        <w:pStyle w:val="JuPara"/>
      </w:pPr>
      <w:r w:rsidRPr="00F35ECF">
        <w:fldChar w:fldCharType="begin"/>
      </w:r>
      <w:r w:rsidRPr="00F35ECF">
        <w:instrText xml:space="preserve"> SEQ level0 \*arabic </w:instrText>
      </w:r>
      <w:r w:rsidRPr="00F35ECF">
        <w:fldChar w:fldCharType="separate"/>
      </w:r>
      <w:r w:rsidRPr="00F35ECF" w:rsidR="00F35ECF">
        <w:rPr>
          <w:noProof/>
        </w:rPr>
        <w:t>2</w:t>
      </w:r>
      <w:r w:rsidRPr="00F35ECF">
        <w:fldChar w:fldCharType="end"/>
      </w:r>
      <w:r w:rsidRPr="00F35ECF">
        <w:t>.  The Russian Government (“the Government”) were given notice of the applications.</w:t>
      </w:r>
    </w:p>
    <w:p w:rsidRPr="00F35ECF" w:rsidR="00A567E2" w:rsidP="00F35ECF" w:rsidRDefault="00A567E2">
      <w:pPr>
        <w:pStyle w:val="JuHHead"/>
        <w:numPr>
          <w:ilvl w:val="0"/>
          <w:numId w:val="22"/>
        </w:numPr>
        <w:jc w:val="left"/>
      </w:pPr>
      <w:r w:rsidRPr="00F35ECF">
        <w:t>THE FACTS</w:t>
      </w:r>
    </w:p>
    <w:p w:rsidRPr="00F35ECF" w:rsidR="00A567E2" w:rsidP="00F35ECF" w:rsidRDefault="00A567E2">
      <w:pPr>
        <w:pStyle w:val="JuPara"/>
      </w:pPr>
      <w:r w:rsidRPr="00F35ECF">
        <w:fldChar w:fldCharType="begin"/>
      </w:r>
      <w:r w:rsidRPr="00F35ECF">
        <w:instrText xml:space="preserve"> SEQ level0 \*arabic </w:instrText>
      </w:r>
      <w:r w:rsidRPr="00F35ECF">
        <w:fldChar w:fldCharType="separate"/>
      </w:r>
      <w:r w:rsidRPr="00F35ECF" w:rsidR="00F35ECF">
        <w:rPr>
          <w:noProof/>
        </w:rPr>
        <w:t>3</w:t>
      </w:r>
      <w:r w:rsidRPr="00F35ECF">
        <w:fldChar w:fldCharType="end"/>
      </w:r>
      <w:r w:rsidRPr="00F35ECF">
        <w:t>.  </w:t>
      </w:r>
      <w:r w:rsidRPr="00F35ECF">
        <w:rPr>
          <w:rFonts w:eastAsia="PMingLiU"/>
        </w:rPr>
        <w:t>The list of applicant</w:t>
      </w:r>
      <w:r w:rsidRPr="00F35ECF">
        <w:t>s and the relevant details of the applications are set out in the appended table.</w:t>
      </w:r>
    </w:p>
    <w:p w:rsidRPr="00F35ECF" w:rsidR="00A567E2" w:rsidP="00F35ECF" w:rsidRDefault="00A567E2">
      <w:pPr>
        <w:pStyle w:val="JuPara"/>
      </w:pPr>
      <w:r w:rsidRPr="00F35ECF">
        <w:fldChar w:fldCharType="begin"/>
      </w:r>
      <w:r w:rsidRPr="00F35ECF">
        <w:instrText xml:space="preserve"> SEQ level0 \*arabic </w:instrText>
      </w:r>
      <w:r w:rsidRPr="00F35ECF">
        <w:fldChar w:fldCharType="separate"/>
      </w:r>
      <w:r w:rsidRPr="00F35ECF" w:rsidR="00F35ECF">
        <w:rPr>
          <w:noProof/>
        </w:rPr>
        <w:t>4</w:t>
      </w:r>
      <w:r w:rsidRPr="00F35ECF">
        <w:fldChar w:fldCharType="end"/>
      </w:r>
      <w:r w:rsidRPr="00F35ECF">
        <w:t>.  </w:t>
      </w:r>
      <w:r w:rsidRPr="00F35ECF">
        <w:rPr>
          <w:bCs/>
          <w:color w:val="000000"/>
        </w:rPr>
        <w:t>The applicant</w:t>
      </w:r>
      <w:r w:rsidRPr="00F35ECF">
        <w:rPr>
          <w:rFonts w:eastAsia="PMingLiU"/>
        </w:rPr>
        <w:t>s</w:t>
      </w:r>
      <w:r w:rsidRPr="00F35ECF">
        <w:rPr>
          <w:bCs/>
          <w:color w:val="000000"/>
        </w:rPr>
        <w:t xml:space="preserve"> complained of the domestic courts</w:t>
      </w:r>
      <w:r w:rsidRPr="00F35ECF" w:rsidR="00F35ECF">
        <w:rPr>
          <w:bCs/>
          <w:color w:val="000000"/>
        </w:rPr>
        <w:t>’</w:t>
      </w:r>
      <w:r w:rsidRPr="00F35ECF">
        <w:rPr>
          <w:bCs/>
          <w:color w:val="000000"/>
        </w:rPr>
        <w:t xml:space="preserve"> failure to ensure </w:t>
      </w:r>
      <w:r w:rsidRPr="00F35ECF">
        <w:rPr>
          <w:rFonts w:eastAsia="PMingLiU"/>
        </w:rPr>
        <w:t>their</w:t>
      </w:r>
      <w:r w:rsidRPr="00F35ECF">
        <w:rPr>
          <w:bCs/>
          <w:color w:val="000000"/>
        </w:rPr>
        <w:t xml:space="preserve"> participation in hearings in the civil proceedings to which </w:t>
      </w:r>
      <w:r w:rsidRPr="00F35ECF">
        <w:rPr>
          <w:rFonts w:eastAsia="PMingLiU"/>
        </w:rPr>
        <w:t>they</w:t>
      </w:r>
      <w:r w:rsidRPr="00F35ECF">
        <w:rPr>
          <w:bCs/>
          <w:color w:val="000000"/>
        </w:rPr>
        <w:t xml:space="preserve"> were parties</w:t>
      </w:r>
      <w:r w:rsidRPr="00F35ECF">
        <w:rPr>
          <w:rFonts w:cstheme="minorHAnsi"/>
          <w:bCs/>
          <w:color w:val="000000"/>
        </w:rPr>
        <w:t>.</w:t>
      </w:r>
    </w:p>
    <w:p w:rsidRPr="00F35ECF" w:rsidR="00A567E2" w:rsidP="00F35ECF" w:rsidRDefault="00A567E2">
      <w:pPr>
        <w:pStyle w:val="JuHHead"/>
        <w:numPr>
          <w:ilvl w:val="0"/>
          <w:numId w:val="22"/>
        </w:numPr>
        <w:jc w:val="left"/>
      </w:pPr>
      <w:r w:rsidRPr="00F35ECF">
        <w:t>THE LAW</w:t>
      </w:r>
    </w:p>
    <w:p w:rsidRPr="00F35ECF" w:rsidR="00A567E2" w:rsidP="00F35ECF" w:rsidRDefault="00A567E2">
      <w:pPr>
        <w:pStyle w:val="JuHIRoman"/>
        <w:numPr>
          <w:ilvl w:val="1"/>
          <w:numId w:val="22"/>
        </w:numPr>
        <w:jc w:val="left"/>
      </w:pPr>
      <w:r w:rsidRPr="00F35ECF">
        <w:t>JOINDER OF THE APPLICATIONS</w:t>
      </w:r>
    </w:p>
    <w:p w:rsidRPr="00F35ECF" w:rsidR="00A567E2" w:rsidP="00F35ECF" w:rsidRDefault="00A567E2">
      <w:pPr>
        <w:pStyle w:val="JuPara"/>
      </w:pPr>
      <w:r w:rsidRPr="00F35ECF">
        <w:fldChar w:fldCharType="begin"/>
      </w:r>
      <w:r w:rsidRPr="00F35ECF">
        <w:instrText xml:space="preserve"> SEQ level0 \*arabic </w:instrText>
      </w:r>
      <w:r w:rsidRPr="00F35ECF">
        <w:fldChar w:fldCharType="separate"/>
      </w:r>
      <w:r w:rsidRPr="00F35ECF" w:rsidR="00F35ECF">
        <w:rPr>
          <w:noProof/>
        </w:rPr>
        <w:t>5</w:t>
      </w:r>
      <w:r w:rsidRPr="00F35ECF">
        <w:fldChar w:fldCharType="end"/>
      </w:r>
      <w:r w:rsidRPr="00F35ECF">
        <w:t>.  Having regard to the similar subject matter of the applications, the Court finds it appropriate to examine them jointly in a single judgment.</w:t>
      </w:r>
    </w:p>
    <w:p w:rsidRPr="00F35ECF" w:rsidR="00A567E2" w:rsidP="00F35ECF" w:rsidRDefault="00A567E2">
      <w:pPr>
        <w:pStyle w:val="JuHIRoman"/>
        <w:numPr>
          <w:ilvl w:val="1"/>
          <w:numId w:val="22"/>
        </w:numPr>
        <w:jc w:val="left"/>
      </w:pPr>
      <w:r w:rsidRPr="00F35ECF">
        <w:t>ALLEGED VIOLATION OF ARTICLE</w:t>
      </w:r>
      <w:r w:rsidRPr="00F35ECF">
        <w:rPr>
          <w:rFonts w:eastAsia="PMingLiU"/>
        </w:rPr>
        <w:t> 6 § 1</w:t>
      </w:r>
      <w:r w:rsidRPr="00F35ECF">
        <w:t xml:space="preserve"> OF THE CONVENTION</w:t>
      </w:r>
    </w:p>
    <w:p w:rsidRPr="00F35ECF" w:rsidR="00A567E2" w:rsidP="00F35ECF" w:rsidRDefault="00A567E2">
      <w:pPr>
        <w:pStyle w:val="JuPara"/>
      </w:pPr>
      <w:r w:rsidRPr="00F35ECF">
        <w:fldChar w:fldCharType="begin"/>
      </w:r>
      <w:r w:rsidRPr="00F35ECF">
        <w:instrText xml:space="preserve"> SEQ level0 \*arabic </w:instrText>
      </w:r>
      <w:r w:rsidRPr="00F35ECF">
        <w:fldChar w:fldCharType="separate"/>
      </w:r>
      <w:r w:rsidRPr="00F35ECF" w:rsidR="00F35ECF">
        <w:rPr>
          <w:noProof/>
        </w:rPr>
        <w:t>6</w:t>
      </w:r>
      <w:r w:rsidRPr="00F35ECF">
        <w:fldChar w:fldCharType="end"/>
      </w:r>
      <w:r w:rsidRPr="00F35ECF">
        <w:t>.  The applicant</w:t>
      </w:r>
      <w:r w:rsidRPr="00F35ECF">
        <w:rPr>
          <w:rFonts w:eastAsia="PMingLiU"/>
        </w:rPr>
        <w:t>s</w:t>
      </w:r>
      <w:r w:rsidRPr="00F35ECF">
        <w:t xml:space="preserve"> complained</w:t>
      </w:r>
      <w:r w:rsidRPr="00F35ECF">
        <w:rPr>
          <w:rFonts w:cstheme="minorHAnsi"/>
          <w:bCs/>
        </w:rPr>
        <w:t xml:space="preserve"> </w:t>
      </w:r>
      <w:r w:rsidRPr="00F35ECF">
        <w:t xml:space="preserve">that </w:t>
      </w:r>
      <w:r w:rsidRPr="00F35ECF">
        <w:rPr>
          <w:rFonts w:eastAsia="PMingLiU"/>
        </w:rPr>
        <w:t>their</w:t>
      </w:r>
      <w:r w:rsidRPr="00F35ECF">
        <w:t xml:space="preserve"> right to a fair hearing had been breached on account of the domestic courts</w:t>
      </w:r>
      <w:r w:rsidRPr="00F35ECF" w:rsidR="00F35ECF">
        <w:t>’</w:t>
      </w:r>
      <w:r w:rsidRPr="00F35ECF">
        <w:t xml:space="preserve"> failure to properly and timely notify </w:t>
      </w:r>
      <w:r w:rsidRPr="00F35ECF">
        <w:rPr>
          <w:rFonts w:eastAsia="PMingLiU"/>
        </w:rPr>
        <w:t>them</w:t>
      </w:r>
      <w:r w:rsidRPr="00F35ECF">
        <w:t xml:space="preserve"> of hearings in the civil proceedings to which </w:t>
      </w:r>
      <w:r w:rsidRPr="00F35ECF">
        <w:rPr>
          <w:rFonts w:eastAsia="PMingLiU"/>
        </w:rPr>
        <w:t>they were parties</w:t>
      </w:r>
      <w:r w:rsidRPr="00F35ECF">
        <w:t xml:space="preserve">. </w:t>
      </w:r>
      <w:r w:rsidRPr="00F35ECF">
        <w:rPr>
          <w:rFonts w:eastAsia="PMingLiU"/>
        </w:rPr>
        <w:t>They</w:t>
      </w:r>
      <w:r w:rsidRPr="00F35ECF">
        <w:t xml:space="preserve"> relied on Article </w:t>
      </w:r>
      <w:r w:rsidRPr="00F35ECF">
        <w:rPr>
          <w:rFonts w:eastAsia="PMingLiU"/>
        </w:rPr>
        <w:t>6 § 1</w:t>
      </w:r>
      <w:r w:rsidRPr="00F35ECF">
        <w:t xml:space="preserve"> of the Convention, which reads as follows:</w:t>
      </w:r>
    </w:p>
    <w:p w:rsidRPr="00F35ECF" w:rsidR="00A567E2" w:rsidP="00F35ECF" w:rsidRDefault="00A567E2">
      <w:pPr>
        <w:pStyle w:val="JuHArticle"/>
      </w:pPr>
      <w:r w:rsidRPr="00F35ECF">
        <w:t>Article 6 </w:t>
      </w:r>
      <w:r w:rsidRPr="00F35ECF">
        <w:rPr>
          <w:rFonts w:cstheme="minorHAnsi"/>
        </w:rPr>
        <w:t>§</w:t>
      </w:r>
      <w:r w:rsidRPr="00F35ECF">
        <w:t> 1</w:t>
      </w:r>
    </w:p>
    <w:p w:rsidRPr="00F35ECF" w:rsidR="00A567E2" w:rsidP="00F35ECF" w:rsidRDefault="00A567E2">
      <w:pPr>
        <w:pStyle w:val="JuQuot"/>
      </w:pPr>
      <w:r w:rsidRPr="00F35ECF">
        <w:t>“In the determination of his civil rights and obligations ... everyone is entitled to a ... hearing within a reasonable time by [a] ... tribunal ...”</w:t>
      </w:r>
    </w:p>
    <w:p w:rsidRPr="00F35ECF" w:rsidR="00A567E2" w:rsidP="00F35ECF" w:rsidRDefault="00A567E2">
      <w:pPr>
        <w:pStyle w:val="JuPara"/>
      </w:pPr>
      <w:r w:rsidRPr="00F35ECF">
        <w:fldChar w:fldCharType="begin"/>
      </w:r>
      <w:r w:rsidRPr="00F35ECF">
        <w:instrText xml:space="preserve"> SEQ level0 \*arabic </w:instrText>
      </w:r>
      <w:r w:rsidRPr="00F35ECF">
        <w:fldChar w:fldCharType="separate"/>
      </w:r>
      <w:r w:rsidRPr="00F35ECF" w:rsidR="00F35ECF">
        <w:rPr>
          <w:noProof/>
        </w:rPr>
        <w:t>7</w:t>
      </w:r>
      <w:r w:rsidRPr="00F35ECF">
        <w:fldChar w:fldCharType="end"/>
      </w:r>
      <w:r w:rsidRPr="00F35ECF">
        <w:t>.  The Court observes that the general principles regarding the right to present one</w:t>
      </w:r>
      <w:r w:rsidRPr="00F35ECF" w:rsidR="00F35ECF">
        <w:t>’</w:t>
      </w:r>
      <w:r w:rsidRPr="00F35ECF">
        <w:t xml:space="preserve">s case effectively before the court and to enjoy equality of arms with the opposing side, as guaranteed by Article 6 of the Convention, have been stated in a number of its previous judgments (see, among many other authorities, </w:t>
      </w:r>
      <w:r w:rsidRPr="00F35ECF">
        <w:rPr>
          <w:i/>
        </w:rPr>
        <w:t>Steel and Morris v. the United Kingdom</w:t>
      </w:r>
      <w:r w:rsidRPr="00F35ECF">
        <w:t>, no. 68416/01, §§ 59</w:t>
      </w:r>
      <w:r w:rsidRPr="00F35ECF" w:rsidR="0000400E">
        <w:noBreakHyphen/>
      </w:r>
      <w:r w:rsidRPr="00F35ECF">
        <w:t>60, ECHR 2005-II).</w:t>
      </w:r>
    </w:p>
    <w:p w:rsidRPr="00F35ECF" w:rsidR="00A567E2" w:rsidP="00F35ECF" w:rsidRDefault="00A567E2">
      <w:pPr>
        <w:pStyle w:val="JuPara"/>
      </w:pPr>
      <w:r w:rsidRPr="00F35ECF">
        <w:fldChar w:fldCharType="begin"/>
      </w:r>
      <w:r w:rsidRPr="00F35ECF">
        <w:instrText xml:space="preserve"> SEQ level0 \*arabic </w:instrText>
      </w:r>
      <w:r w:rsidRPr="00F35ECF">
        <w:fldChar w:fldCharType="separate"/>
      </w:r>
      <w:r w:rsidRPr="00F35ECF" w:rsidR="00F35ECF">
        <w:rPr>
          <w:noProof/>
        </w:rPr>
        <w:t>8</w:t>
      </w:r>
      <w:r w:rsidRPr="00F35ECF">
        <w:fldChar w:fldCharType="end"/>
      </w:r>
      <w:r w:rsidRPr="00F35ECF">
        <w:t>.  The applicant</w:t>
      </w:r>
      <w:r w:rsidRPr="00F35ECF">
        <w:rPr>
          <w:rFonts w:eastAsia="PMingLiU"/>
        </w:rPr>
        <w:t>s</w:t>
      </w:r>
      <w:r w:rsidRPr="00F35ECF">
        <w:t xml:space="preserve"> alleged that </w:t>
      </w:r>
      <w:r w:rsidRPr="00F35ECF">
        <w:rPr>
          <w:rFonts w:eastAsia="PMingLiU"/>
        </w:rPr>
        <w:t>they</w:t>
      </w:r>
      <w:r w:rsidRPr="00F35ECF">
        <w:t xml:space="preserve"> had not received the summonses and/or </w:t>
      </w:r>
      <w:r w:rsidRPr="00F35ECF">
        <w:rPr>
          <w:rFonts w:eastAsia="PMingLiU"/>
        </w:rPr>
        <w:t>were</w:t>
      </w:r>
      <w:r w:rsidRPr="00F35ECF">
        <w:t xml:space="preserve"> not informed in due time of the date and place of hearing</w:t>
      </w:r>
      <w:r w:rsidRPr="00F35ECF">
        <w:rPr>
          <w:rFonts w:eastAsia="PMingLiU"/>
        </w:rPr>
        <w:t>s</w:t>
      </w:r>
      <w:r w:rsidRPr="00F35ECF">
        <w:t xml:space="preserve"> in </w:t>
      </w:r>
      <w:r w:rsidRPr="00F35ECF">
        <w:rPr>
          <w:rFonts w:eastAsia="PMingLiU"/>
        </w:rPr>
        <w:t>their</w:t>
      </w:r>
      <w:r w:rsidRPr="00F35ECF">
        <w:t xml:space="preserve"> case</w:t>
      </w:r>
      <w:r w:rsidRPr="00F35ECF">
        <w:rPr>
          <w:rFonts w:eastAsia="PMingLiU"/>
        </w:rPr>
        <w:t>s</w:t>
      </w:r>
      <w:r w:rsidRPr="00F35ECF">
        <w:t xml:space="preserve">. The Court reiterates that domestic courts must make reasonable efforts to summon the parties to a hearing (see </w:t>
      </w:r>
      <w:proofErr w:type="spellStart"/>
      <w:r w:rsidRPr="00F35ECF">
        <w:rPr>
          <w:i/>
        </w:rPr>
        <w:t>Kolegovy</w:t>
      </w:r>
      <w:proofErr w:type="spellEnd"/>
      <w:r w:rsidRPr="00F35ECF">
        <w:rPr>
          <w:i/>
        </w:rPr>
        <w:t xml:space="preserve"> v. Russia</w:t>
      </w:r>
      <w:r w:rsidRPr="00F35ECF">
        <w:t xml:space="preserve">, no. 15226/05, § 42, 1 March 2012, and </w:t>
      </w:r>
      <w:proofErr w:type="spellStart"/>
      <w:r w:rsidRPr="00F35ECF">
        <w:rPr>
          <w:i/>
        </w:rPr>
        <w:t>Babunidze</w:t>
      </w:r>
      <w:proofErr w:type="spellEnd"/>
      <w:r w:rsidRPr="00F35ECF">
        <w:rPr>
          <w:i/>
        </w:rPr>
        <w:t xml:space="preserve"> v. Russia</w:t>
      </w:r>
      <w:r w:rsidRPr="00F35ECF">
        <w:t xml:space="preserve"> (</w:t>
      </w:r>
      <w:proofErr w:type="spellStart"/>
      <w:r w:rsidRPr="00F35ECF">
        <w:t>dec.</w:t>
      </w:r>
      <w:proofErr w:type="spellEnd"/>
      <w:r w:rsidRPr="00F35ECF">
        <w:t xml:space="preserve">), no. 3040/03, 15 May 2007). Litigants must also take appropriate measures to ensure effective receipt of correspondence the domestic courts may send them (see </w:t>
      </w:r>
      <w:proofErr w:type="spellStart"/>
      <w:r w:rsidRPr="00F35ECF">
        <w:rPr>
          <w:i/>
        </w:rPr>
        <w:t>Perihan</w:t>
      </w:r>
      <w:proofErr w:type="spellEnd"/>
      <w:r w:rsidRPr="00F35ECF">
        <w:rPr>
          <w:i/>
        </w:rPr>
        <w:t xml:space="preserve"> and </w:t>
      </w:r>
      <w:proofErr w:type="spellStart"/>
      <w:r w:rsidRPr="00F35ECF">
        <w:rPr>
          <w:i/>
        </w:rPr>
        <w:t>Mezopotamya</w:t>
      </w:r>
      <w:proofErr w:type="spellEnd"/>
      <w:r w:rsidRPr="00F35ECF">
        <w:rPr>
          <w:i/>
        </w:rPr>
        <w:t xml:space="preserve"> Basın </w:t>
      </w:r>
      <w:proofErr w:type="spellStart"/>
      <w:r w:rsidRPr="00F35ECF">
        <w:rPr>
          <w:i/>
        </w:rPr>
        <w:t>Yayın</w:t>
      </w:r>
      <w:proofErr w:type="spellEnd"/>
      <w:r w:rsidRPr="00F35ECF">
        <w:rPr>
          <w:i/>
        </w:rPr>
        <w:t xml:space="preserve"> A.Ş.</w:t>
      </w:r>
      <w:r w:rsidRPr="00F35ECF">
        <w:t xml:space="preserve"> </w:t>
      </w:r>
      <w:r w:rsidRPr="00F35ECF">
        <w:rPr>
          <w:i/>
        </w:rPr>
        <w:t>v. Turkey</w:t>
      </w:r>
      <w:r w:rsidRPr="00F35ECF">
        <w:t xml:space="preserve">, no. 21377/03, § 38, 21 January 2014; </w:t>
      </w:r>
      <w:proofErr w:type="spellStart"/>
      <w:r w:rsidRPr="00F35ECF">
        <w:rPr>
          <w:i/>
        </w:rPr>
        <w:t>Boyko</w:t>
      </w:r>
      <w:proofErr w:type="spellEnd"/>
      <w:r w:rsidRPr="00F35ECF">
        <w:rPr>
          <w:i/>
        </w:rPr>
        <w:t xml:space="preserve"> v. Ukraine</w:t>
      </w:r>
      <w:r w:rsidRPr="00F35ECF">
        <w:t xml:space="preserve"> (</w:t>
      </w:r>
      <w:proofErr w:type="spellStart"/>
      <w:r w:rsidRPr="00F35ECF">
        <w:t>dec.</w:t>
      </w:r>
      <w:proofErr w:type="spellEnd"/>
      <w:r w:rsidRPr="00F35ECF">
        <w:t xml:space="preserve">), no. 17382/04, 23 October 2007; and </w:t>
      </w:r>
      <w:proofErr w:type="spellStart"/>
      <w:r w:rsidRPr="00F35ECF">
        <w:rPr>
          <w:i/>
        </w:rPr>
        <w:t>Darnay</w:t>
      </w:r>
      <w:proofErr w:type="spellEnd"/>
      <w:r w:rsidRPr="00F35ECF">
        <w:rPr>
          <w:i/>
        </w:rPr>
        <w:t xml:space="preserve"> v. Hungary</w:t>
      </w:r>
      <w:r w:rsidRPr="00F35ECF">
        <w:t>, no. 36524/97, Commission decision of 16 April 1998). Moreover, the Court has noted that a lack or deficiency of reasons in domestic decisions as regards the proof of receipt of summonses by the applicant</w:t>
      </w:r>
      <w:r w:rsidRPr="00F35ECF">
        <w:rPr>
          <w:rFonts w:eastAsia="PMingLiU"/>
        </w:rPr>
        <w:t>s</w:t>
      </w:r>
      <w:r w:rsidRPr="00F35ECF">
        <w:t>, as well as the domestic courts</w:t>
      </w:r>
      <w:r w:rsidRPr="00F35ECF" w:rsidR="00F35ECF">
        <w:t>’</w:t>
      </w:r>
      <w:r w:rsidRPr="00F35ECF">
        <w:t xml:space="preserve"> failure to assess the necessity to adjourn hearings pending the applicant</w:t>
      </w:r>
      <w:r w:rsidRPr="00F35ECF">
        <w:rPr>
          <w:rFonts w:eastAsia="PMingLiU"/>
        </w:rPr>
        <w:t>s</w:t>
      </w:r>
      <w:r w:rsidRPr="00F35ECF" w:rsidR="00F35ECF">
        <w:t>’</w:t>
      </w:r>
      <w:r w:rsidRPr="00F35ECF">
        <w:t xml:space="preserve"> proper notification or to delve on the nature of </w:t>
      </w:r>
      <w:r w:rsidRPr="00F35ECF">
        <w:rPr>
          <w:rFonts w:eastAsia="PMingLiU"/>
        </w:rPr>
        <w:t>their</w:t>
      </w:r>
      <w:r w:rsidRPr="00F35ECF">
        <w:t xml:space="preserve"> legal claims which could have rendered the applicant</w:t>
      </w:r>
      <w:r w:rsidRPr="00F35ECF">
        <w:rPr>
          <w:rFonts w:eastAsia="PMingLiU"/>
        </w:rPr>
        <w:t>s</w:t>
      </w:r>
      <w:r w:rsidRPr="00F35ECF" w:rsidR="00F35ECF">
        <w:t>’</w:t>
      </w:r>
      <w:r w:rsidRPr="00F35ECF">
        <w:t xml:space="preserve"> presence unnecessary cannot be made up </w:t>
      </w:r>
      <w:r w:rsidRPr="00F35ECF">
        <w:rPr>
          <w:i/>
        </w:rPr>
        <w:t xml:space="preserve">ex post facto </w:t>
      </w:r>
      <w:r w:rsidRPr="00F35ECF">
        <w:t xml:space="preserve">in the Court proceedings, for it cannot take the place of the national courts which had the evidence before them (see </w:t>
      </w:r>
      <w:proofErr w:type="spellStart"/>
      <w:r w:rsidRPr="00F35ECF">
        <w:rPr>
          <w:i/>
          <w:iCs/>
        </w:rPr>
        <w:t>Gankin</w:t>
      </w:r>
      <w:proofErr w:type="spellEnd"/>
      <w:r w:rsidRPr="00F35ECF">
        <w:rPr>
          <w:i/>
          <w:iCs/>
        </w:rPr>
        <w:t xml:space="preserve"> and Others v. Russia, </w:t>
      </w:r>
      <w:r w:rsidRPr="00F35ECF">
        <w:t>nos. 2430/06 and 3 others</w:t>
      </w:r>
      <w:r w:rsidRPr="00F35ECF">
        <w:rPr>
          <w:i/>
          <w:iCs/>
        </w:rPr>
        <w:t xml:space="preserve">, </w:t>
      </w:r>
      <w:r w:rsidRPr="00F35ECF">
        <w:rPr>
          <w:iCs/>
        </w:rPr>
        <w:t>§§ 41-42</w:t>
      </w:r>
      <w:r w:rsidRPr="00F35ECF">
        <w:rPr>
          <w:i/>
          <w:iCs/>
        </w:rPr>
        <w:t xml:space="preserve">, </w:t>
      </w:r>
      <w:r w:rsidRPr="00F35ECF">
        <w:t>31 May 2016</w:t>
      </w:r>
      <w:r w:rsidRPr="00F35ECF">
        <w:rPr>
          <w:i/>
          <w:iCs/>
        </w:rPr>
        <w:t>).</w:t>
      </w:r>
    </w:p>
    <w:p w:rsidRPr="00F35ECF" w:rsidR="00A567E2" w:rsidP="00F35ECF" w:rsidRDefault="00A567E2">
      <w:pPr>
        <w:pStyle w:val="JuPara"/>
      </w:pPr>
      <w:r w:rsidRPr="00F35ECF">
        <w:fldChar w:fldCharType="begin"/>
      </w:r>
      <w:r w:rsidRPr="00F35ECF">
        <w:instrText xml:space="preserve"> SEQ level0 \*arabic </w:instrText>
      </w:r>
      <w:r w:rsidRPr="00F35ECF">
        <w:fldChar w:fldCharType="separate"/>
      </w:r>
      <w:r w:rsidRPr="00F35ECF" w:rsidR="00F35ECF">
        <w:rPr>
          <w:noProof/>
        </w:rPr>
        <w:t>9</w:t>
      </w:r>
      <w:r w:rsidRPr="00F35ECF">
        <w:fldChar w:fldCharType="end"/>
      </w:r>
      <w:r w:rsidRPr="00F35ECF">
        <w:t xml:space="preserve">.  In the leading case of </w:t>
      </w:r>
      <w:proofErr w:type="spellStart"/>
      <w:r w:rsidRPr="00F35ECF">
        <w:rPr>
          <w:i/>
        </w:rPr>
        <w:t>Gankin</w:t>
      </w:r>
      <w:proofErr w:type="spellEnd"/>
      <w:r w:rsidRPr="00F35ECF">
        <w:rPr>
          <w:i/>
        </w:rPr>
        <w:t xml:space="preserve"> and Others </w:t>
      </w:r>
      <w:r w:rsidRPr="00F35ECF">
        <w:t>(cited above), the Court already found a violation in respect of issues similar to those in the present case.</w:t>
      </w:r>
    </w:p>
    <w:p w:rsidRPr="00F35ECF" w:rsidR="00A567E2" w:rsidP="00F35ECF" w:rsidRDefault="00A567E2">
      <w:pPr>
        <w:pStyle w:val="JuPara"/>
      </w:pPr>
      <w:r w:rsidRPr="00F35ECF">
        <w:fldChar w:fldCharType="begin"/>
      </w:r>
      <w:r w:rsidRPr="00F35ECF">
        <w:instrText xml:space="preserve"> SEQ level0 \*arabic </w:instrText>
      </w:r>
      <w:r w:rsidRPr="00F35ECF">
        <w:fldChar w:fldCharType="separate"/>
      </w:r>
      <w:r w:rsidRPr="00F35ECF" w:rsidR="00F35ECF">
        <w:rPr>
          <w:noProof/>
        </w:rPr>
        <w:t>10</w:t>
      </w:r>
      <w:r w:rsidRPr="00F35ECF">
        <w:fldChar w:fldCharType="end"/>
      </w:r>
      <w:r w:rsidRPr="00F35ECF">
        <w:t>.  Having examined all the material submitted to it and lacking any evidence of proper notification of the applicant</w:t>
      </w:r>
      <w:r w:rsidRPr="00F35ECF">
        <w:rPr>
          <w:rFonts w:eastAsia="PMingLiU"/>
        </w:rPr>
        <w:t>s</w:t>
      </w:r>
      <w:r w:rsidRPr="00F35ECF">
        <w:t>, the Court has not found any fact or argument capable of persuading it to reach a different conclusion on the admissibility and merits of these complaints. Having regard to its case-law on the subject, the Court finds that by proceeding to consider the merits of the applicant</w:t>
      </w:r>
      <w:r w:rsidRPr="00F35ECF">
        <w:rPr>
          <w:rFonts w:eastAsia="PMingLiU"/>
        </w:rPr>
        <w:t>s</w:t>
      </w:r>
      <w:r w:rsidRPr="00F35ECF" w:rsidR="00F35ECF">
        <w:t>’</w:t>
      </w:r>
      <w:r w:rsidRPr="00F35ECF">
        <w:t xml:space="preserve"> case</w:t>
      </w:r>
      <w:r w:rsidRPr="00F35ECF">
        <w:rPr>
          <w:rFonts w:eastAsia="PMingLiU"/>
        </w:rPr>
        <w:t>s</w:t>
      </w:r>
      <w:r w:rsidRPr="00F35ECF">
        <w:t xml:space="preserve"> without attempting to ascertain whether </w:t>
      </w:r>
      <w:r w:rsidRPr="00F35ECF">
        <w:rPr>
          <w:rFonts w:eastAsia="PMingLiU"/>
        </w:rPr>
        <w:t>they</w:t>
      </w:r>
      <w:r w:rsidRPr="00F35ECF">
        <w:t xml:space="preserve"> had been or should have been at least aware of the date and time of the hearings, and, if </w:t>
      </w:r>
      <w:r w:rsidRPr="00F35ECF">
        <w:rPr>
          <w:rFonts w:eastAsia="PMingLiU"/>
        </w:rPr>
        <w:t>they</w:t>
      </w:r>
      <w:r w:rsidRPr="00F35ECF">
        <w:t xml:space="preserve"> had not, whether the hearings should have been adjourned, the domestic courts deprived the applicant</w:t>
      </w:r>
      <w:r w:rsidRPr="00F35ECF">
        <w:rPr>
          <w:rFonts w:eastAsia="PMingLiU"/>
        </w:rPr>
        <w:t>s</w:t>
      </w:r>
      <w:r w:rsidRPr="00F35ECF">
        <w:t xml:space="preserve"> of the opportunity to present </w:t>
      </w:r>
      <w:r w:rsidRPr="00F35ECF">
        <w:rPr>
          <w:rFonts w:eastAsia="PMingLiU"/>
        </w:rPr>
        <w:t>their</w:t>
      </w:r>
      <w:r w:rsidRPr="00F35ECF">
        <w:t xml:space="preserve"> case</w:t>
      </w:r>
      <w:r w:rsidRPr="00F35ECF">
        <w:rPr>
          <w:rFonts w:eastAsia="PMingLiU"/>
        </w:rPr>
        <w:t>s</w:t>
      </w:r>
      <w:r w:rsidRPr="00F35ECF">
        <w:t xml:space="preserve"> effectively and fell short of their obligation to respect the principle of fair trial enshrined in Article 6 of the Convention.</w:t>
      </w:r>
    </w:p>
    <w:p w:rsidRPr="00F35ECF" w:rsidR="00A567E2" w:rsidP="00F35ECF" w:rsidRDefault="00A567E2">
      <w:pPr>
        <w:pStyle w:val="JuPara"/>
      </w:pPr>
      <w:r w:rsidRPr="00F35ECF">
        <w:fldChar w:fldCharType="begin"/>
      </w:r>
      <w:r w:rsidRPr="00F35ECF">
        <w:instrText xml:space="preserve"> SEQ level0 \*arabic </w:instrText>
      </w:r>
      <w:r w:rsidRPr="00F35ECF">
        <w:fldChar w:fldCharType="separate"/>
      </w:r>
      <w:r w:rsidRPr="00F35ECF" w:rsidR="00F35ECF">
        <w:rPr>
          <w:noProof/>
        </w:rPr>
        <w:t>11</w:t>
      </w:r>
      <w:r w:rsidRPr="00F35ECF">
        <w:fldChar w:fldCharType="end"/>
      </w:r>
      <w:r w:rsidRPr="00F35ECF">
        <w:t>.  These complaints are therefore admissible and disclose a breach of Article 6 § 1 of the Convention.</w:t>
      </w:r>
    </w:p>
    <w:p w:rsidRPr="00F35ECF" w:rsidR="00A567E2" w:rsidP="00F35ECF" w:rsidRDefault="00A567E2">
      <w:pPr>
        <w:pStyle w:val="JuHIRoman"/>
        <w:numPr>
          <w:ilvl w:val="1"/>
          <w:numId w:val="22"/>
        </w:numPr>
        <w:jc w:val="left"/>
      </w:pPr>
      <w:r w:rsidRPr="00F35ECF">
        <w:rPr>
          <w:rFonts w:eastAsia="PMingLiU"/>
          <w:lang w:eastAsia="en-GB"/>
        </w:rPr>
        <w:t>A</w:t>
      </w:r>
      <w:r w:rsidRPr="00F35ECF">
        <w:t>PPLICATION OF ARTICLE 41 OF THE CONVENTION</w:t>
      </w:r>
    </w:p>
    <w:p w:rsidRPr="00F35ECF" w:rsidR="00A567E2" w:rsidP="00F35ECF" w:rsidRDefault="00A567E2">
      <w:pPr>
        <w:pStyle w:val="JuPara"/>
        <w:keepNext/>
        <w:keepLines/>
      </w:pPr>
      <w:r w:rsidRPr="00F35ECF">
        <w:fldChar w:fldCharType="begin"/>
      </w:r>
      <w:r w:rsidRPr="00F35ECF">
        <w:instrText xml:space="preserve"> SEQ level0 \*arabic </w:instrText>
      </w:r>
      <w:r w:rsidRPr="00F35ECF">
        <w:fldChar w:fldCharType="separate"/>
      </w:r>
      <w:r w:rsidRPr="00F35ECF" w:rsidR="00F35ECF">
        <w:rPr>
          <w:noProof/>
        </w:rPr>
        <w:t>12</w:t>
      </w:r>
      <w:r w:rsidRPr="00F35ECF">
        <w:fldChar w:fldCharType="end"/>
      </w:r>
      <w:r w:rsidRPr="00F35ECF">
        <w:t>.  Article 41 of the Convention provides:</w:t>
      </w:r>
    </w:p>
    <w:p w:rsidRPr="00F35ECF" w:rsidR="00A567E2" w:rsidP="00F35ECF" w:rsidRDefault="00A567E2">
      <w:pPr>
        <w:pStyle w:val="JuQuot"/>
        <w:keepNext/>
        <w:keepLines/>
      </w:pPr>
      <w:r w:rsidRPr="00F35EC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35ECF" w:rsidR="00A567E2" w:rsidP="00F35ECF" w:rsidRDefault="00A567E2">
      <w:pPr>
        <w:pStyle w:val="JuPara"/>
      </w:pPr>
      <w:r w:rsidRPr="00F35ECF">
        <w:fldChar w:fldCharType="begin"/>
      </w:r>
      <w:r w:rsidRPr="00F35ECF">
        <w:instrText xml:space="preserve"> SEQ level0 \*arabic </w:instrText>
      </w:r>
      <w:r w:rsidRPr="00F35ECF">
        <w:fldChar w:fldCharType="separate"/>
      </w:r>
      <w:r w:rsidRPr="00F35ECF" w:rsidR="00F35ECF">
        <w:rPr>
          <w:noProof/>
        </w:rPr>
        <w:t>13</w:t>
      </w:r>
      <w:r w:rsidRPr="00F35ECF">
        <w:fldChar w:fldCharType="end"/>
      </w:r>
      <w:r w:rsidRPr="00F35ECF">
        <w:t>.  Regard being had to the documents in its possession and to its case</w:t>
      </w:r>
      <w:r w:rsidRPr="00F35ECF">
        <w:noBreakHyphen/>
        <w:t xml:space="preserve">law (see, in particular, </w:t>
      </w:r>
      <w:proofErr w:type="spellStart"/>
      <w:r w:rsidRPr="00F35ECF">
        <w:rPr>
          <w:i/>
        </w:rPr>
        <w:t>Igranov</w:t>
      </w:r>
      <w:proofErr w:type="spellEnd"/>
      <w:r w:rsidRPr="00F35ECF">
        <w:rPr>
          <w:i/>
        </w:rPr>
        <w:t xml:space="preserve"> and Others v. Russia, </w:t>
      </w:r>
      <w:r w:rsidRPr="00F35ECF">
        <w:t>nos. 42933/13 and 8 others, § 40, 20 March 2018), the Court considers it reasonable to award the sums indicated in the appended table.</w:t>
      </w:r>
    </w:p>
    <w:p w:rsidRPr="00F35ECF" w:rsidR="00A567E2" w:rsidP="00F35ECF" w:rsidRDefault="00A567E2">
      <w:pPr>
        <w:pStyle w:val="JuPara"/>
      </w:pPr>
      <w:r w:rsidRPr="00F35ECF">
        <w:fldChar w:fldCharType="begin"/>
      </w:r>
      <w:r w:rsidRPr="00F35ECF">
        <w:instrText xml:space="preserve"> SEQ level0 \*arabic </w:instrText>
      </w:r>
      <w:r w:rsidRPr="00F35ECF">
        <w:fldChar w:fldCharType="separate"/>
      </w:r>
      <w:r w:rsidRPr="00F35ECF" w:rsidR="00F35ECF">
        <w:rPr>
          <w:noProof/>
        </w:rPr>
        <w:t>14</w:t>
      </w:r>
      <w:r w:rsidRPr="00F35ECF">
        <w:fldChar w:fldCharType="end"/>
      </w:r>
      <w:r w:rsidRPr="00F35ECF">
        <w:t>.  The Court considers it appropriate that the default interest rate should be based on the marginal lending rate of the European Central Bank, to which should be added three percentage points.</w:t>
      </w:r>
    </w:p>
    <w:p w:rsidRPr="00F35ECF" w:rsidR="00A567E2" w:rsidP="00F35ECF" w:rsidRDefault="00A567E2">
      <w:pPr>
        <w:pStyle w:val="JuHHead"/>
        <w:numPr>
          <w:ilvl w:val="0"/>
          <w:numId w:val="22"/>
        </w:numPr>
        <w:jc w:val="left"/>
      </w:pPr>
      <w:r w:rsidRPr="00F35ECF">
        <w:t>FOR THESE REASONS, THE COURT</w:t>
      </w:r>
      <w:r w:rsidRPr="00F35ECF">
        <w:rPr>
          <w:color w:val="000000"/>
        </w:rPr>
        <w:t>,</w:t>
      </w:r>
      <w:r w:rsidRPr="00F35ECF">
        <w:t xml:space="preserve"> UNANIMOUSLY,</w:t>
      </w:r>
    </w:p>
    <w:p w:rsidRPr="00F35ECF" w:rsidR="00A567E2" w:rsidP="00F35ECF" w:rsidRDefault="00A567E2">
      <w:pPr>
        <w:pStyle w:val="JuList"/>
      </w:pPr>
      <w:r w:rsidRPr="00F35ECF">
        <w:rPr>
          <w:i/>
        </w:rPr>
        <w:t xml:space="preserve">Decides </w:t>
      </w:r>
      <w:r w:rsidRPr="00F35ECF">
        <w:t>to join the applications;</w:t>
      </w:r>
    </w:p>
    <w:p w:rsidRPr="00F35ECF" w:rsidR="00A567E2" w:rsidP="00F35ECF" w:rsidRDefault="00A567E2">
      <w:pPr>
        <w:pStyle w:val="JuList"/>
      </w:pPr>
      <w:r w:rsidRPr="00F35ECF">
        <w:rPr>
          <w:i/>
        </w:rPr>
        <w:t>Declares</w:t>
      </w:r>
      <w:r w:rsidRPr="00F35ECF">
        <w:t xml:space="preserve"> the applications admissible;</w:t>
      </w:r>
    </w:p>
    <w:p w:rsidRPr="00F35ECF" w:rsidR="00A567E2" w:rsidP="00F35ECF" w:rsidRDefault="00A567E2">
      <w:pPr>
        <w:pStyle w:val="JuList"/>
      </w:pPr>
      <w:r w:rsidRPr="00F35ECF">
        <w:rPr>
          <w:i/>
        </w:rPr>
        <w:t xml:space="preserve">Holds </w:t>
      </w:r>
      <w:r w:rsidRPr="00F35ECF">
        <w:t xml:space="preserve">that </w:t>
      </w:r>
      <w:r w:rsidRPr="00F35ECF">
        <w:rPr>
          <w:rFonts w:eastAsia="PMingLiU"/>
        </w:rPr>
        <w:t xml:space="preserve">these applications </w:t>
      </w:r>
      <w:r w:rsidRPr="00F35ECF">
        <w:t>disclose a breach of Article </w:t>
      </w:r>
      <w:r w:rsidRPr="00F35ECF">
        <w:rPr>
          <w:rFonts w:eastAsia="PMingLiU"/>
        </w:rPr>
        <w:t>6 § 1 of the Convention concerning the unfairness of the civil proceedings</w:t>
      </w:r>
      <w:r w:rsidRPr="00F35ECF">
        <w:t>;</w:t>
      </w:r>
    </w:p>
    <w:p w:rsidRPr="00F35ECF" w:rsidR="00A567E2" w:rsidP="00F35ECF" w:rsidRDefault="00A567E2">
      <w:pPr>
        <w:pStyle w:val="JuList"/>
      </w:pPr>
      <w:r w:rsidRPr="00F35ECF">
        <w:rPr>
          <w:i/>
        </w:rPr>
        <w:t>Holds</w:t>
      </w:r>
    </w:p>
    <w:p w:rsidRPr="00F35ECF" w:rsidR="00A567E2" w:rsidP="00F35ECF" w:rsidRDefault="00A567E2">
      <w:pPr>
        <w:pStyle w:val="JuLista"/>
      </w:pPr>
      <w:r w:rsidRPr="00F35ECF">
        <w:t>that the respondent State is to pay the applicant</w:t>
      </w:r>
      <w:r w:rsidRPr="00F35ECF">
        <w:rPr>
          <w:rFonts w:eastAsia="PMingLiU"/>
        </w:rPr>
        <w:t>s</w:t>
      </w:r>
      <w:r w:rsidRPr="00F35ECF">
        <w:t>, within three</w:t>
      </w:r>
      <w:r w:rsidRPr="00F35ECF" w:rsidR="00CA42FD">
        <w:t> </w:t>
      </w:r>
      <w:r w:rsidRPr="00F35ECF">
        <w:t xml:space="preserve">months, the amounts indicated in the appended table, to be converted into </w:t>
      </w:r>
      <w:r w:rsidRPr="00F35ECF">
        <w:rPr>
          <w:color w:val="000000"/>
        </w:rPr>
        <w:t xml:space="preserve">the currency of the respondent State </w:t>
      </w:r>
      <w:r w:rsidRPr="00F35ECF">
        <w:t>at the rate applicable at the date of settlement;</w:t>
      </w:r>
    </w:p>
    <w:p w:rsidRPr="00F35ECF" w:rsidR="00787E12" w:rsidP="00F35ECF" w:rsidRDefault="00A567E2">
      <w:pPr>
        <w:pStyle w:val="JuLista"/>
      </w:pPr>
      <w:proofErr w:type="gramStart"/>
      <w:r w:rsidRPr="00F35ECF">
        <w:t>that</w:t>
      </w:r>
      <w:proofErr w:type="gramEnd"/>
      <w:r w:rsidRPr="00F35ECF">
        <w:t xml:space="preserve"> from the expiry of the above-mentioned three months until settlement simple interest shall be payable on the above amounts at a rate equal to the marginal lending rate of the European Central Bank during the default during the default period plus three percentage points.</w:t>
      </w:r>
    </w:p>
    <w:p w:rsidRPr="00F35ECF" w:rsidR="00A567E2" w:rsidP="00F35ECF" w:rsidRDefault="0048584C">
      <w:pPr>
        <w:pStyle w:val="JuParaLast"/>
      </w:pPr>
      <w:r w:rsidRPr="00F35ECF">
        <w:t xml:space="preserve">Done in English, and notified in writing on </w:t>
      </w:r>
      <w:r w:rsidRPr="00F35ECF" w:rsidR="00A567E2">
        <w:t>4 June 2020</w:t>
      </w:r>
      <w:r w:rsidRPr="00F35ECF">
        <w:t>, pursuant to Rule 77 §§ 2 and 3 of the Rules of Court.</w:t>
      </w:r>
    </w:p>
    <w:p w:rsidRPr="00F35ECF" w:rsidR="00CF644B" w:rsidP="00F35ECF" w:rsidRDefault="0000400E">
      <w:pPr>
        <w:pStyle w:val="JuSigned"/>
        <w:tabs>
          <w:tab w:val="clear" w:pos="851"/>
          <w:tab w:val="center" w:pos="1134"/>
        </w:tabs>
        <w:rPr>
          <w:rFonts w:eastAsia="PMingLiU"/>
        </w:rPr>
      </w:pPr>
      <w:r w:rsidRPr="00F35ECF">
        <w:rPr>
          <w:rFonts w:eastAsia="PMingLiU"/>
        </w:rPr>
        <w:tab/>
      </w:r>
      <w:r w:rsidRPr="00F35ECF" w:rsidR="00A567E2">
        <w:rPr>
          <w:rFonts w:eastAsia="PMingLiU"/>
        </w:rPr>
        <w:t>Liv</w:t>
      </w:r>
      <w:r w:rsidRPr="00F35ECF" w:rsidR="0048584C">
        <w:rPr>
          <w:rFonts w:eastAsia="PMingLiU"/>
        </w:rPr>
        <w:t xml:space="preserve"> </w:t>
      </w:r>
      <w:r w:rsidRPr="00F35ECF" w:rsidR="00A567E2">
        <w:rPr>
          <w:rFonts w:eastAsia="PMingLiU"/>
        </w:rPr>
        <w:t>Tigerstedt</w:t>
      </w:r>
      <w:r w:rsidRPr="00F35ECF" w:rsidR="0048584C">
        <w:rPr>
          <w:rFonts w:eastAsia="PMingLiU"/>
        </w:rPr>
        <w:tab/>
      </w:r>
      <w:r w:rsidRPr="00F35ECF" w:rsidR="00A567E2">
        <w:rPr>
          <w:rFonts w:eastAsia="PMingLiU"/>
        </w:rPr>
        <w:t xml:space="preserve">Alena </w:t>
      </w:r>
      <w:proofErr w:type="spellStart"/>
      <w:r w:rsidRPr="00F35ECF" w:rsidR="00A567E2">
        <w:rPr>
          <w:rFonts w:eastAsia="PMingLiU"/>
        </w:rPr>
        <w:t>Poláčková</w:t>
      </w:r>
      <w:proofErr w:type="spellEnd"/>
    </w:p>
    <w:p w:rsidRPr="00F35ECF" w:rsidR="00B91668" w:rsidP="00F35ECF" w:rsidRDefault="0048584C">
      <w:pPr>
        <w:pStyle w:val="JuSigned"/>
        <w:tabs>
          <w:tab w:val="clear" w:pos="851"/>
          <w:tab w:val="center" w:pos="1134"/>
        </w:tabs>
        <w:contextualSpacing/>
        <w:rPr>
          <w:rFonts w:eastAsia="PMingLiU"/>
        </w:rPr>
      </w:pPr>
      <w:r w:rsidRPr="00F35ECF">
        <w:rPr>
          <w:rFonts w:eastAsia="PMingLiU"/>
        </w:rPr>
        <w:tab/>
        <w:t>Acting Deputy Registrar</w:t>
      </w:r>
      <w:r w:rsidRPr="00F35ECF">
        <w:rPr>
          <w:rFonts w:eastAsia="PMingLiU"/>
        </w:rPr>
        <w:tab/>
        <w:t>President</w:t>
      </w:r>
    </w:p>
    <w:p w:rsidRPr="00F35ECF" w:rsidR="00787E12" w:rsidP="00F35ECF" w:rsidRDefault="00325ACA">
      <w:pPr>
        <w:pStyle w:val="JuSigned"/>
        <w:tabs>
          <w:tab w:val="clear" w:pos="851"/>
          <w:tab w:val="center" w:pos="1134"/>
        </w:tabs>
        <w:contextualSpacing/>
        <w:rPr>
          <w:rFonts w:eastAsia="PMingLiU"/>
        </w:rPr>
      </w:pPr>
    </w:p>
    <w:p w:rsidRPr="00F35ECF" w:rsidR="00787E12" w:rsidP="00F35ECF" w:rsidRDefault="00325ACA">
      <w:pPr>
        <w:pStyle w:val="JuParaLast"/>
        <w:sectPr w:rsidRPr="00F35ECF" w:rsidR="00787E12" w:rsidSect="00BD554D">
          <w:headerReference w:type="even" r:id="rId13"/>
          <w:headerReference w:type="default" r:id="rId14"/>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F35ECF" w:rsidR="00787E12" w:rsidP="00F35ECF" w:rsidRDefault="0048584C">
      <w:pPr>
        <w:pStyle w:val="DecHTitle"/>
      </w:pPr>
      <w:r w:rsidRPr="00F35ECF">
        <w:t>APPENDIX</w:t>
      </w:r>
    </w:p>
    <w:p w:rsidRPr="00F35ECF" w:rsidR="00787E12" w:rsidP="00F35ECF" w:rsidRDefault="00A567E2">
      <w:pPr>
        <w:pStyle w:val="DecHCase"/>
        <w:contextualSpacing/>
        <w:rPr>
          <w:b/>
          <w:i/>
          <w:color w:val="3E3E3E" w:themeColor="background2" w:themeShade="40"/>
        </w:rPr>
      </w:pPr>
      <w:r w:rsidRPr="00F35ECF">
        <w:rPr>
          <w:color w:val="3E3E3E" w:themeColor="background2" w:themeShade="40"/>
        </w:rPr>
        <w:t>List of applications</w:t>
      </w:r>
      <w:r w:rsidRPr="00F35ECF" w:rsidR="0048584C">
        <w:rPr>
          <w:color w:val="3E3E3E" w:themeColor="background2" w:themeShade="40"/>
        </w:rPr>
        <w:t xml:space="preserve"> raising complaints under Article</w:t>
      </w:r>
      <w:r w:rsidRPr="00F35ECF">
        <w:rPr>
          <w:color w:val="3E3E3E" w:themeColor="background2" w:themeShade="40"/>
        </w:rPr>
        <w:t xml:space="preserve"> 6 § 1 of the Convention</w:t>
      </w:r>
    </w:p>
    <w:p w:rsidRPr="00F35ECF" w:rsidR="00787E12" w:rsidP="00F35ECF" w:rsidRDefault="0048584C">
      <w:pPr>
        <w:pStyle w:val="DecHCase"/>
        <w:contextualSpacing/>
        <w:rPr>
          <w:b/>
          <w:i/>
        </w:rPr>
      </w:pPr>
      <w:r w:rsidRPr="00F35ECF">
        <w:rPr>
          <w:color w:val="3E3E3E" w:themeColor="background2" w:themeShade="40"/>
        </w:rPr>
        <w:t>(</w:t>
      </w:r>
      <w:proofErr w:type="gramStart"/>
      <w:r w:rsidRPr="00F35ECF" w:rsidR="00A567E2">
        <w:rPr>
          <w:color w:val="3E3E3E" w:themeColor="background2" w:themeShade="40"/>
        </w:rPr>
        <w:t>applicant</w:t>
      </w:r>
      <w:r w:rsidRPr="00F35ECF" w:rsidR="00F35ECF">
        <w:rPr>
          <w:color w:val="3E3E3E" w:themeColor="background2" w:themeShade="40"/>
        </w:rPr>
        <w:t>’</w:t>
      </w:r>
      <w:r w:rsidRPr="00F35ECF" w:rsidR="00A567E2">
        <w:rPr>
          <w:color w:val="3E3E3E" w:themeColor="background2" w:themeShade="40"/>
        </w:rPr>
        <w:t>s</w:t>
      </w:r>
      <w:proofErr w:type="gramEnd"/>
      <w:r w:rsidRPr="00F35ECF" w:rsidR="00A567E2">
        <w:rPr>
          <w:color w:val="3E3E3E" w:themeColor="background2" w:themeShade="40"/>
        </w:rPr>
        <w:t xml:space="preserve"> absence from civil proceedings</w:t>
      </w:r>
      <w:r w:rsidRPr="00F35ECF">
        <w:rPr>
          <w:color w:val="3E3E3E" w:themeColor="background2" w:themeShade="40"/>
        </w:rPr>
        <w:t>)</w:t>
      </w:r>
    </w:p>
    <w:tbl>
      <w:tblPr>
        <w:tblStyle w:val="ECHRListTable"/>
        <w:tblW w:w="13151" w:type="dxa"/>
        <w:jc w:val="center"/>
        <w:tblLook w:val="0420" w:firstRow="1" w:lastRow="0" w:firstColumn="0" w:lastColumn="0" w:noHBand="0" w:noVBand="1"/>
      </w:tblPr>
      <w:tblGrid>
        <w:gridCol w:w="452"/>
        <w:gridCol w:w="1701"/>
        <w:gridCol w:w="1725"/>
        <w:gridCol w:w="1960"/>
        <w:gridCol w:w="1843"/>
        <w:gridCol w:w="1501"/>
        <w:gridCol w:w="1701"/>
        <w:gridCol w:w="2268"/>
      </w:tblGrid>
      <w:tr w:rsidRPr="00F35ECF" w:rsidR="000B5DCB" w:rsidTr="000B5DCB">
        <w:trPr>
          <w:cnfStyle w:val="100000000000" w:firstRow="1" w:lastRow="0" w:firstColumn="0" w:lastColumn="0" w:oddVBand="0" w:evenVBand="0" w:oddHBand="0" w:evenHBand="0" w:firstRowFirstColumn="0" w:firstRowLastColumn="0" w:lastRowFirstColumn="0" w:lastRowLastColumn="0"/>
          <w:jc w:val="center"/>
        </w:trPr>
        <w:tc>
          <w:tcPr>
            <w:tcW w:w="452" w:type="dxa"/>
          </w:tcPr>
          <w:p w:rsidRPr="00F35ECF" w:rsidR="000B5DCB" w:rsidP="00F35ECF" w:rsidRDefault="000B5DCB">
            <w:pPr>
              <w:jc w:val="center"/>
              <w:rPr>
                <w:sz w:val="16"/>
                <w:szCs w:val="18"/>
              </w:rPr>
            </w:pPr>
            <w:bookmarkStart w:name="WECLListStart" w:id="2"/>
            <w:bookmarkEnd w:id="2"/>
            <w:r w:rsidRPr="00F35ECF">
              <w:rPr>
                <w:sz w:val="16"/>
                <w:szCs w:val="18"/>
              </w:rPr>
              <w:t>No.</w:t>
            </w:r>
          </w:p>
        </w:tc>
        <w:tc>
          <w:tcPr>
            <w:tcW w:w="1701" w:type="dxa"/>
          </w:tcPr>
          <w:p w:rsidRPr="00F35ECF" w:rsidR="000B5DCB" w:rsidP="00F35ECF" w:rsidRDefault="000B5DCB">
            <w:pPr>
              <w:jc w:val="center"/>
              <w:rPr>
                <w:sz w:val="16"/>
                <w:szCs w:val="18"/>
              </w:rPr>
            </w:pPr>
            <w:r w:rsidRPr="00F35ECF">
              <w:rPr>
                <w:sz w:val="16"/>
                <w:szCs w:val="18"/>
              </w:rPr>
              <w:t>Application no.</w:t>
            </w:r>
          </w:p>
          <w:p w:rsidRPr="00F35ECF" w:rsidR="000B5DCB" w:rsidP="00F35ECF" w:rsidRDefault="000B5DCB">
            <w:pPr>
              <w:jc w:val="center"/>
              <w:rPr>
                <w:sz w:val="16"/>
                <w:szCs w:val="18"/>
              </w:rPr>
            </w:pPr>
            <w:r w:rsidRPr="00F35ECF">
              <w:rPr>
                <w:sz w:val="16"/>
                <w:szCs w:val="18"/>
              </w:rPr>
              <w:t>Date of introduction</w:t>
            </w:r>
          </w:p>
        </w:tc>
        <w:tc>
          <w:tcPr>
            <w:tcW w:w="1725" w:type="dxa"/>
          </w:tcPr>
          <w:p w:rsidRPr="00F35ECF" w:rsidR="000B5DCB" w:rsidP="00F35ECF" w:rsidRDefault="000B5DCB">
            <w:pPr>
              <w:jc w:val="center"/>
              <w:rPr>
                <w:sz w:val="16"/>
                <w:szCs w:val="18"/>
              </w:rPr>
            </w:pPr>
            <w:r w:rsidRPr="00F35ECF">
              <w:rPr>
                <w:sz w:val="16"/>
                <w:szCs w:val="18"/>
              </w:rPr>
              <w:t>Applicant</w:t>
            </w:r>
            <w:r w:rsidRPr="00F35ECF" w:rsidR="00F35ECF">
              <w:rPr>
                <w:sz w:val="16"/>
                <w:szCs w:val="18"/>
              </w:rPr>
              <w:t>’</w:t>
            </w:r>
            <w:r w:rsidRPr="00F35ECF">
              <w:rPr>
                <w:sz w:val="16"/>
                <w:szCs w:val="18"/>
              </w:rPr>
              <w:t>s name</w:t>
            </w:r>
          </w:p>
          <w:p w:rsidRPr="00F35ECF" w:rsidR="000B5DCB" w:rsidP="00F35ECF" w:rsidRDefault="000B5DCB">
            <w:pPr>
              <w:jc w:val="center"/>
              <w:rPr>
                <w:sz w:val="16"/>
                <w:szCs w:val="18"/>
              </w:rPr>
            </w:pPr>
            <w:r w:rsidRPr="00F35ECF">
              <w:rPr>
                <w:sz w:val="16"/>
                <w:szCs w:val="18"/>
              </w:rPr>
              <w:t>Date of birth</w:t>
            </w:r>
          </w:p>
          <w:p w:rsidRPr="00F35ECF" w:rsidR="000B5DCB" w:rsidP="00F35ECF" w:rsidRDefault="000B5DCB">
            <w:pPr>
              <w:jc w:val="center"/>
              <w:rPr>
                <w:sz w:val="16"/>
                <w:szCs w:val="18"/>
              </w:rPr>
            </w:pPr>
          </w:p>
        </w:tc>
        <w:tc>
          <w:tcPr>
            <w:tcW w:w="1960" w:type="dxa"/>
          </w:tcPr>
          <w:p w:rsidRPr="00F35ECF" w:rsidR="000B5DCB" w:rsidP="00F35ECF" w:rsidRDefault="000B5DCB">
            <w:pPr>
              <w:jc w:val="center"/>
              <w:rPr>
                <w:sz w:val="16"/>
                <w:szCs w:val="18"/>
              </w:rPr>
            </w:pPr>
            <w:r w:rsidRPr="00F35ECF">
              <w:rPr>
                <w:sz w:val="16"/>
                <w:szCs w:val="18"/>
              </w:rPr>
              <w:t>Nature of the dispute</w:t>
            </w:r>
          </w:p>
          <w:p w:rsidRPr="00F35ECF" w:rsidR="000B5DCB" w:rsidP="00F35ECF" w:rsidRDefault="000B5DCB">
            <w:pPr>
              <w:jc w:val="center"/>
              <w:rPr>
                <w:sz w:val="16"/>
                <w:szCs w:val="18"/>
              </w:rPr>
            </w:pPr>
            <w:r w:rsidRPr="00F35ECF">
              <w:rPr>
                <w:sz w:val="16"/>
                <w:szCs w:val="18"/>
              </w:rPr>
              <w:t>Final decision</w:t>
            </w:r>
          </w:p>
        </w:tc>
        <w:tc>
          <w:tcPr>
            <w:tcW w:w="1843" w:type="dxa"/>
          </w:tcPr>
          <w:p w:rsidRPr="00F35ECF" w:rsidR="000B5DCB" w:rsidP="00F35ECF" w:rsidRDefault="000B5DCB">
            <w:pPr>
              <w:jc w:val="center"/>
              <w:rPr>
                <w:sz w:val="16"/>
                <w:szCs w:val="18"/>
              </w:rPr>
            </w:pPr>
            <w:r w:rsidRPr="00F35ECF">
              <w:rPr>
                <w:sz w:val="16"/>
                <w:szCs w:val="18"/>
              </w:rPr>
              <w:t>First-instance hearing date</w:t>
            </w:r>
          </w:p>
          <w:p w:rsidRPr="00F35ECF" w:rsidR="000B5DCB" w:rsidP="00F35ECF" w:rsidRDefault="000B5DCB">
            <w:pPr>
              <w:jc w:val="center"/>
              <w:rPr>
                <w:sz w:val="16"/>
                <w:szCs w:val="18"/>
              </w:rPr>
            </w:pPr>
            <w:r w:rsidRPr="00F35ECF">
              <w:rPr>
                <w:sz w:val="16"/>
                <w:szCs w:val="18"/>
              </w:rPr>
              <w:t>Court</w:t>
            </w:r>
          </w:p>
        </w:tc>
        <w:tc>
          <w:tcPr>
            <w:tcW w:w="1501" w:type="dxa"/>
          </w:tcPr>
          <w:p w:rsidRPr="00F35ECF" w:rsidR="000B5DCB" w:rsidP="00F35ECF" w:rsidRDefault="000B5DCB">
            <w:pPr>
              <w:jc w:val="center"/>
              <w:rPr>
                <w:sz w:val="16"/>
                <w:szCs w:val="18"/>
              </w:rPr>
            </w:pPr>
            <w:r w:rsidRPr="00F35ECF">
              <w:rPr>
                <w:sz w:val="16"/>
                <w:szCs w:val="18"/>
              </w:rPr>
              <w:t>Appeal hearing date</w:t>
            </w:r>
          </w:p>
          <w:p w:rsidRPr="00F35ECF" w:rsidR="000B5DCB" w:rsidP="00F35ECF" w:rsidRDefault="000B5DCB">
            <w:pPr>
              <w:jc w:val="center"/>
              <w:rPr>
                <w:sz w:val="16"/>
                <w:szCs w:val="18"/>
              </w:rPr>
            </w:pPr>
            <w:r w:rsidRPr="00F35ECF">
              <w:rPr>
                <w:sz w:val="16"/>
                <w:szCs w:val="18"/>
              </w:rPr>
              <w:t>Court</w:t>
            </w:r>
          </w:p>
        </w:tc>
        <w:tc>
          <w:tcPr>
            <w:tcW w:w="1701" w:type="dxa"/>
          </w:tcPr>
          <w:p w:rsidRPr="00F35ECF" w:rsidR="000B5DCB" w:rsidP="00F35ECF" w:rsidRDefault="000B5DCB">
            <w:pPr>
              <w:jc w:val="center"/>
              <w:rPr>
                <w:sz w:val="16"/>
                <w:szCs w:val="18"/>
              </w:rPr>
            </w:pPr>
            <w:r w:rsidRPr="00F35ECF">
              <w:rPr>
                <w:sz w:val="16"/>
                <w:szCs w:val="18"/>
              </w:rPr>
              <w:t>Final decision date</w:t>
            </w:r>
          </w:p>
          <w:p w:rsidRPr="00F35ECF" w:rsidR="000B5DCB" w:rsidP="00F35ECF" w:rsidRDefault="000B5DCB">
            <w:pPr>
              <w:jc w:val="center"/>
              <w:rPr>
                <w:sz w:val="16"/>
                <w:szCs w:val="18"/>
              </w:rPr>
            </w:pPr>
            <w:r w:rsidRPr="00F35ECF">
              <w:rPr>
                <w:sz w:val="16"/>
                <w:szCs w:val="18"/>
              </w:rPr>
              <w:t>Court</w:t>
            </w:r>
          </w:p>
        </w:tc>
        <w:tc>
          <w:tcPr>
            <w:tcW w:w="2268" w:type="dxa"/>
          </w:tcPr>
          <w:p w:rsidRPr="00F35ECF" w:rsidR="000B5DCB" w:rsidP="00F35ECF" w:rsidRDefault="000B5DCB">
            <w:pPr>
              <w:jc w:val="center"/>
              <w:rPr>
                <w:sz w:val="16"/>
                <w:szCs w:val="18"/>
              </w:rPr>
            </w:pPr>
            <w:r w:rsidRPr="00F35ECF">
              <w:rPr>
                <w:sz w:val="16"/>
                <w:szCs w:val="18"/>
              </w:rPr>
              <w:t>Amount awarded for non</w:t>
            </w:r>
            <w:r w:rsidRPr="00F35ECF">
              <w:rPr>
                <w:sz w:val="16"/>
                <w:szCs w:val="18"/>
              </w:rPr>
              <w:noBreakHyphen/>
              <w:t>pecuniary damage and costs and expenses per applicant (in euros)</w:t>
            </w:r>
            <w:r w:rsidRPr="00F35ECF">
              <w:rPr>
                <w:rStyle w:val="EndnoteReference"/>
                <w:sz w:val="16"/>
                <w:szCs w:val="18"/>
              </w:rPr>
              <w:endnoteReference w:id="1"/>
            </w:r>
          </w:p>
        </w:tc>
      </w:tr>
      <w:tr w:rsidRPr="00F35ECF" w:rsidR="000B5DCB" w:rsidTr="000B5DCB">
        <w:trPr>
          <w:jc w:val="center"/>
        </w:trPr>
        <w:tc>
          <w:tcPr>
            <w:tcW w:w="452" w:type="dxa"/>
          </w:tcPr>
          <w:p w:rsidRPr="00F35ECF" w:rsidR="000B5DCB" w:rsidP="00F35ECF" w:rsidRDefault="000B5DCB">
            <w:pPr>
              <w:pStyle w:val="ListParagraph"/>
              <w:numPr>
                <w:ilvl w:val="0"/>
                <w:numId w:val="23"/>
              </w:numPr>
              <w:tabs>
                <w:tab w:val="num" w:pos="283"/>
              </w:tabs>
              <w:ind w:left="0" w:firstLine="0"/>
              <w:jc w:val="center"/>
              <w:rPr>
                <w:rFonts w:eastAsiaTheme="minorEastAsia"/>
                <w:sz w:val="16"/>
                <w:szCs w:val="18"/>
              </w:rPr>
            </w:pPr>
          </w:p>
        </w:tc>
        <w:tc>
          <w:tcPr>
            <w:tcW w:w="1701" w:type="dxa"/>
          </w:tcPr>
          <w:p w:rsidRPr="00F35ECF" w:rsidR="000B5DCB" w:rsidP="00F35ECF" w:rsidRDefault="000B5DCB">
            <w:pPr>
              <w:jc w:val="center"/>
              <w:rPr>
                <w:sz w:val="16"/>
                <w:szCs w:val="18"/>
              </w:rPr>
            </w:pPr>
            <w:r w:rsidRPr="00F35ECF">
              <w:rPr>
                <w:sz w:val="16"/>
                <w:szCs w:val="18"/>
              </w:rPr>
              <w:t>60908/12</w:t>
            </w:r>
          </w:p>
          <w:p w:rsidRPr="00F35ECF" w:rsidR="000B5DCB" w:rsidP="00F35ECF" w:rsidRDefault="000B5DCB">
            <w:pPr>
              <w:jc w:val="center"/>
              <w:rPr>
                <w:sz w:val="16"/>
                <w:szCs w:val="18"/>
              </w:rPr>
            </w:pPr>
            <w:r w:rsidRPr="00F35ECF">
              <w:rPr>
                <w:sz w:val="16"/>
                <w:szCs w:val="18"/>
              </w:rPr>
              <w:t>29/08/2012</w:t>
            </w:r>
          </w:p>
        </w:tc>
        <w:tc>
          <w:tcPr>
            <w:tcW w:w="1725" w:type="dxa"/>
          </w:tcPr>
          <w:p w:rsidRPr="00F35ECF" w:rsidR="000B5DCB" w:rsidP="00F35ECF" w:rsidRDefault="000B5DCB">
            <w:pPr>
              <w:jc w:val="center"/>
              <w:rPr>
                <w:b/>
                <w:sz w:val="16"/>
                <w:szCs w:val="18"/>
              </w:rPr>
            </w:pPr>
            <w:r w:rsidRPr="00F35ECF">
              <w:rPr>
                <w:b/>
                <w:sz w:val="16"/>
                <w:szCs w:val="18"/>
              </w:rPr>
              <w:t xml:space="preserve">Galina </w:t>
            </w:r>
            <w:proofErr w:type="spellStart"/>
            <w:r w:rsidRPr="00F35ECF">
              <w:rPr>
                <w:b/>
                <w:sz w:val="16"/>
                <w:szCs w:val="18"/>
              </w:rPr>
              <w:t>Alekseyevna</w:t>
            </w:r>
            <w:proofErr w:type="spellEnd"/>
            <w:r w:rsidRPr="00F35ECF">
              <w:rPr>
                <w:b/>
                <w:sz w:val="16"/>
                <w:szCs w:val="18"/>
              </w:rPr>
              <w:t xml:space="preserve"> VLASOVA</w:t>
            </w:r>
          </w:p>
          <w:p w:rsidRPr="00F35ECF" w:rsidR="000B5DCB" w:rsidP="00F35ECF" w:rsidRDefault="000B5DCB">
            <w:pPr>
              <w:jc w:val="center"/>
              <w:rPr>
                <w:sz w:val="16"/>
                <w:szCs w:val="18"/>
              </w:rPr>
            </w:pPr>
            <w:r w:rsidRPr="00F35ECF">
              <w:rPr>
                <w:sz w:val="16"/>
                <w:szCs w:val="18"/>
              </w:rPr>
              <w:t>22/10/1953</w:t>
            </w:r>
          </w:p>
        </w:tc>
        <w:tc>
          <w:tcPr>
            <w:tcW w:w="1960" w:type="dxa"/>
          </w:tcPr>
          <w:p w:rsidRPr="00F35ECF" w:rsidR="000B5DCB" w:rsidP="00F35ECF" w:rsidRDefault="000B5DCB">
            <w:pPr>
              <w:jc w:val="center"/>
              <w:rPr>
                <w:sz w:val="16"/>
                <w:szCs w:val="18"/>
              </w:rPr>
            </w:pPr>
            <w:r w:rsidRPr="00F35ECF">
              <w:rPr>
                <w:sz w:val="16"/>
                <w:szCs w:val="18"/>
              </w:rPr>
              <w:t>recognition of property right (inheritance)</w:t>
            </w:r>
          </w:p>
        </w:tc>
        <w:tc>
          <w:tcPr>
            <w:tcW w:w="1843" w:type="dxa"/>
          </w:tcPr>
          <w:p w:rsidRPr="00F35ECF" w:rsidR="000B5DCB" w:rsidP="00F35ECF" w:rsidRDefault="000B5DCB">
            <w:pPr>
              <w:jc w:val="center"/>
              <w:rPr>
                <w:sz w:val="16"/>
                <w:szCs w:val="18"/>
              </w:rPr>
            </w:pPr>
            <w:r w:rsidRPr="00F35ECF">
              <w:rPr>
                <w:sz w:val="16"/>
                <w:szCs w:val="18"/>
              </w:rPr>
              <w:t>30/09/2011</w:t>
            </w:r>
          </w:p>
          <w:p w:rsidRPr="00F35ECF" w:rsidR="000B5DCB" w:rsidP="00F35ECF" w:rsidRDefault="000B5DCB">
            <w:pPr>
              <w:jc w:val="center"/>
              <w:rPr>
                <w:sz w:val="16"/>
                <w:szCs w:val="18"/>
              </w:rPr>
            </w:pPr>
          </w:p>
          <w:p w:rsidRPr="00F35ECF" w:rsidR="000B5DCB" w:rsidP="00F35ECF" w:rsidRDefault="000B5DCB">
            <w:pPr>
              <w:jc w:val="center"/>
              <w:rPr>
                <w:sz w:val="16"/>
                <w:szCs w:val="18"/>
              </w:rPr>
            </w:pPr>
            <w:proofErr w:type="spellStart"/>
            <w:r w:rsidRPr="00F35ECF">
              <w:rPr>
                <w:sz w:val="16"/>
                <w:szCs w:val="18"/>
              </w:rPr>
              <w:t>Zarechensky</w:t>
            </w:r>
            <w:proofErr w:type="spellEnd"/>
            <w:r w:rsidRPr="00F35ECF">
              <w:rPr>
                <w:sz w:val="16"/>
                <w:szCs w:val="18"/>
              </w:rPr>
              <w:t xml:space="preserve"> District Court of Tula</w:t>
            </w:r>
          </w:p>
        </w:tc>
        <w:tc>
          <w:tcPr>
            <w:tcW w:w="1501" w:type="dxa"/>
          </w:tcPr>
          <w:p w:rsidRPr="00F35ECF" w:rsidR="000B5DCB" w:rsidP="00F35ECF" w:rsidRDefault="000B5DCB">
            <w:pPr>
              <w:jc w:val="center"/>
              <w:rPr>
                <w:sz w:val="16"/>
                <w:szCs w:val="18"/>
              </w:rPr>
            </w:pPr>
            <w:r w:rsidRPr="00F35ECF">
              <w:rPr>
                <w:sz w:val="16"/>
                <w:szCs w:val="18"/>
              </w:rPr>
              <w:t>01/03/2012</w:t>
            </w:r>
          </w:p>
          <w:p w:rsidRPr="00F35ECF" w:rsidR="000B5DCB" w:rsidP="00F35ECF" w:rsidRDefault="000B5DCB">
            <w:pPr>
              <w:jc w:val="center"/>
              <w:rPr>
                <w:sz w:val="16"/>
                <w:szCs w:val="18"/>
              </w:rPr>
            </w:pPr>
          </w:p>
          <w:p w:rsidRPr="00F35ECF" w:rsidR="000B5DCB" w:rsidP="00F35ECF" w:rsidRDefault="000B5DCB">
            <w:pPr>
              <w:jc w:val="center"/>
              <w:rPr>
                <w:sz w:val="16"/>
                <w:szCs w:val="18"/>
              </w:rPr>
            </w:pPr>
            <w:r w:rsidRPr="00F35ECF">
              <w:rPr>
                <w:sz w:val="16"/>
                <w:szCs w:val="18"/>
              </w:rPr>
              <w:t>Tula Regional Court</w:t>
            </w:r>
          </w:p>
        </w:tc>
        <w:tc>
          <w:tcPr>
            <w:tcW w:w="1701" w:type="dxa"/>
          </w:tcPr>
          <w:p w:rsidRPr="00F35ECF" w:rsidR="000B5DCB" w:rsidP="00F35ECF" w:rsidRDefault="000B5DCB">
            <w:pPr>
              <w:jc w:val="center"/>
              <w:rPr>
                <w:sz w:val="16"/>
                <w:szCs w:val="18"/>
              </w:rPr>
            </w:pPr>
            <w:r w:rsidRPr="00F35ECF">
              <w:rPr>
                <w:sz w:val="16"/>
                <w:szCs w:val="18"/>
              </w:rPr>
              <w:t>21/09//2012</w:t>
            </w:r>
          </w:p>
          <w:p w:rsidRPr="00F35ECF" w:rsidR="000B5DCB" w:rsidP="00F35ECF" w:rsidRDefault="000B5DCB">
            <w:pPr>
              <w:jc w:val="center"/>
              <w:rPr>
                <w:sz w:val="16"/>
                <w:szCs w:val="18"/>
              </w:rPr>
            </w:pPr>
          </w:p>
          <w:p w:rsidRPr="00F35ECF" w:rsidR="000B5DCB" w:rsidP="00F35ECF" w:rsidRDefault="000B5DCB">
            <w:pPr>
              <w:jc w:val="center"/>
              <w:rPr>
                <w:sz w:val="16"/>
                <w:szCs w:val="18"/>
              </w:rPr>
            </w:pPr>
            <w:r w:rsidRPr="00F35ECF">
              <w:rPr>
                <w:sz w:val="16"/>
                <w:szCs w:val="18"/>
              </w:rPr>
              <w:t>Tula Regional Court</w:t>
            </w:r>
          </w:p>
        </w:tc>
        <w:tc>
          <w:tcPr>
            <w:tcW w:w="2268" w:type="dxa"/>
          </w:tcPr>
          <w:p w:rsidRPr="00F35ECF" w:rsidR="000B5DCB" w:rsidP="00F35ECF" w:rsidRDefault="000B5DCB">
            <w:pPr>
              <w:jc w:val="center"/>
              <w:rPr>
                <w:sz w:val="16"/>
                <w:szCs w:val="18"/>
              </w:rPr>
            </w:pPr>
            <w:r w:rsidRPr="00F35ECF">
              <w:rPr>
                <w:sz w:val="16"/>
                <w:szCs w:val="18"/>
              </w:rPr>
              <w:t>1,500</w:t>
            </w:r>
          </w:p>
        </w:tc>
      </w:tr>
      <w:tr w:rsidRPr="00F35ECF" w:rsidR="000B5DCB" w:rsidTr="000B5DCB">
        <w:trPr>
          <w:jc w:val="center"/>
        </w:trPr>
        <w:tc>
          <w:tcPr>
            <w:tcW w:w="452" w:type="dxa"/>
          </w:tcPr>
          <w:p w:rsidRPr="00F35ECF" w:rsidR="000B5DCB" w:rsidP="00F35ECF" w:rsidRDefault="000B5DCB">
            <w:pPr>
              <w:pStyle w:val="ListParagraph"/>
              <w:numPr>
                <w:ilvl w:val="0"/>
                <w:numId w:val="23"/>
              </w:numPr>
              <w:tabs>
                <w:tab w:val="num" w:pos="283"/>
              </w:tabs>
              <w:ind w:left="0" w:firstLine="0"/>
              <w:jc w:val="center"/>
              <w:rPr>
                <w:rFonts w:eastAsiaTheme="minorEastAsia"/>
                <w:sz w:val="16"/>
                <w:szCs w:val="18"/>
              </w:rPr>
            </w:pPr>
          </w:p>
        </w:tc>
        <w:tc>
          <w:tcPr>
            <w:tcW w:w="1701" w:type="dxa"/>
          </w:tcPr>
          <w:p w:rsidRPr="00F35ECF" w:rsidR="000B5DCB" w:rsidP="00F35ECF" w:rsidRDefault="000B5DCB">
            <w:pPr>
              <w:jc w:val="center"/>
              <w:rPr>
                <w:sz w:val="16"/>
                <w:szCs w:val="18"/>
              </w:rPr>
            </w:pPr>
            <w:r w:rsidRPr="00F35ECF">
              <w:rPr>
                <w:sz w:val="16"/>
                <w:szCs w:val="18"/>
              </w:rPr>
              <w:t>53331/15</w:t>
            </w:r>
          </w:p>
          <w:p w:rsidRPr="00F35ECF" w:rsidR="000B5DCB" w:rsidP="00F35ECF" w:rsidRDefault="000B5DCB">
            <w:pPr>
              <w:jc w:val="center"/>
              <w:rPr>
                <w:sz w:val="16"/>
                <w:szCs w:val="18"/>
              </w:rPr>
            </w:pPr>
            <w:r w:rsidRPr="00F35ECF">
              <w:rPr>
                <w:sz w:val="16"/>
                <w:szCs w:val="18"/>
              </w:rPr>
              <w:t>27/10/2015</w:t>
            </w:r>
          </w:p>
        </w:tc>
        <w:tc>
          <w:tcPr>
            <w:tcW w:w="1725" w:type="dxa"/>
          </w:tcPr>
          <w:p w:rsidRPr="00F35ECF" w:rsidR="000B5DCB" w:rsidP="00F35ECF" w:rsidRDefault="000B5DCB">
            <w:pPr>
              <w:jc w:val="center"/>
              <w:rPr>
                <w:b/>
                <w:sz w:val="16"/>
                <w:szCs w:val="18"/>
              </w:rPr>
            </w:pPr>
            <w:r w:rsidRPr="00F35ECF">
              <w:rPr>
                <w:b/>
                <w:sz w:val="16"/>
                <w:szCs w:val="18"/>
              </w:rPr>
              <w:t xml:space="preserve">Nikita </w:t>
            </w:r>
            <w:proofErr w:type="spellStart"/>
            <w:r w:rsidRPr="00F35ECF">
              <w:rPr>
                <w:b/>
                <w:sz w:val="16"/>
                <w:szCs w:val="18"/>
              </w:rPr>
              <w:t>Aleksandrovich</w:t>
            </w:r>
            <w:proofErr w:type="spellEnd"/>
            <w:r w:rsidRPr="00F35ECF">
              <w:rPr>
                <w:b/>
                <w:sz w:val="16"/>
                <w:szCs w:val="18"/>
              </w:rPr>
              <w:t xml:space="preserve"> TIMOSHENKO</w:t>
            </w:r>
          </w:p>
          <w:p w:rsidRPr="00F35ECF" w:rsidR="000B5DCB" w:rsidP="00F35ECF" w:rsidRDefault="000B5DCB">
            <w:pPr>
              <w:jc w:val="center"/>
              <w:rPr>
                <w:sz w:val="16"/>
                <w:szCs w:val="18"/>
              </w:rPr>
            </w:pPr>
            <w:r w:rsidRPr="00F35ECF">
              <w:rPr>
                <w:sz w:val="16"/>
                <w:szCs w:val="18"/>
              </w:rPr>
              <w:t>11/09/1995</w:t>
            </w:r>
          </w:p>
        </w:tc>
        <w:tc>
          <w:tcPr>
            <w:tcW w:w="1960" w:type="dxa"/>
          </w:tcPr>
          <w:p w:rsidRPr="00F35ECF" w:rsidR="000B5DCB" w:rsidP="00F35ECF" w:rsidRDefault="000B5DCB">
            <w:pPr>
              <w:jc w:val="center"/>
              <w:rPr>
                <w:sz w:val="16"/>
                <w:szCs w:val="18"/>
              </w:rPr>
            </w:pPr>
            <w:r w:rsidRPr="00F35ECF">
              <w:rPr>
                <w:sz w:val="16"/>
                <w:szCs w:val="18"/>
              </w:rPr>
              <w:t>compensation of non</w:t>
            </w:r>
            <w:r w:rsidRPr="00F35ECF">
              <w:rPr>
                <w:sz w:val="16"/>
                <w:szCs w:val="18"/>
              </w:rPr>
              <w:noBreakHyphen/>
              <w:t>pecuniary damage for unjustified administrative prosecution</w:t>
            </w:r>
          </w:p>
        </w:tc>
        <w:tc>
          <w:tcPr>
            <w:tcW w:w="1843" w:type="dxa"/>
          </w:tcPr>
          <w:p w:rsidRPr="00F35ECF" w:rsidR="000B5DCB" w:rsidP="00F35ECF" w:rsidRDefault="000B5DCB">
            <w:pPr>
              <w:jc w:val="center"/>
              <w:rPr>
                <w:sz w:val="16"/>
                <w:szCs w:val="18"/>
              </w:rPr>
            </w:pPr>
            <w:r w:rsidRPr="00F35ECF">
              <w:rPr>
                <w:sz w:val="16"/>
                <w:szCs w:val="18"/>
              </w:rPr>
              <w:t>07/08/2014</w:t>
            </w:r>
          </w:p>
          <w:p w:rsidRPr="00F35ECF" w:rsidR="000B5DCB" w:rsidP="00F35ECF" w:rsidRDefault="000B5DCB">
            <w:pPr>
              <w:jc w:val="center"/>
              <w:rPr>
                <w:sz w:val="16"/>
                <w:szCs w:val="18"/>
              </w:rPr>
            </w:pPr>
          </w:p>
          <w:p w:rsidRPr="00F35ECF" w:rsidR="000B5DCB" w:rsidP="00F35ECF" w:rsidRDefault="000B5DCB">
            <w:pPr>
              <w:jc w:val="center"/>
              <w:rPr>
                <w:sz w:val="16"/>
                <w:szCs w:val="18"/>
              </w:rPr>
            </w:pPr>
            <w:proofErr w:type="spellStart"/>
            <w:r w:rsidRPr="00F35ECF">
              <w:rPr>
                <w:sz w:val="16"/>
                <w:szCs w:val="18"/>
              </w:rPr>
              <w:t>Tsentralniy</w:t>
            </w:r>
            <w:proofErr w:type="spellEnd"/>
            <w:r w:rsidRPr="00F35ECF">
              <w:rPr>
                <w:sz w:val="16"/>
                <w:szCs w:val="18"/>
              </w:rPr>
              <w:t xml:space="preserve"> District Court of Volgograd</w:t>
            </w:r>
          </w:p>
        </w:tc>
        <w:tc>
          <w:tcPr>
            <w:tcW w:w="1501" w:type="dxa"/>
          </w:tcPr>
          <w:p w:rsidRPr="00F35ECF" w:rsidR="000B5DCB" w:rsidP="00F35ECF" w:rsidRDefault="000B5DCB">
            <w:pPr>
              <w:jc w:val="center"/>
              <w:rPr>
                <w:sz w:val="16"/>
                <w:szCs w:val="18"/>
              </w:rPr>
            </w:pPr>
            <w:r w:rsidRPr="00F35ECF">
              <w:rPr>
                <w:sz w:val="16"/>
                <w:szCs w:val="18"/>
              </w:rPr>
              <w:t>29/10/2014</w:t>
            </w:r>
          </w:p>
          <w:p w:rsidRPr="00F35ECF" w:rsidR="000B5DCB" w:rsidP="00F35ECF" w:rsidRDefault="000B5DCB">
            <w:pPr>
              <w:jc w:val="center"/>
              <w:rPr>
                <w:sz w:val="16"/>
                <w:szCs w:val="18"/>
              </w:rPr>
            </w:pPr>
          </w:p>
          <w:p w:rsidRPr="00F35ECF" w:rsidR="000B5DCB" w:rsidP="00F35ECF" w:rsidRDefault="000B5DCB">
            <w:pPr>
              <w:jc w:val="center"/>
              <w:rPr>
                <w:sz w:val="16"/>
                <w:szCs w:val="18"/>
              </w:rPr>
            </w:pPr>
            <w:r w:rsidRPr="00F35ECF">
              <w:rPr>
                <w:sz w:val="16"/>
                <w:szCs w:val="18"/>
              </w:rPr>
              <w:t>Volgograd Regional Court</w:t>
            </w:r>
          </w:p>
        </w:tc>
        <w:tc>
          <w:tcPr>
            <w:tcW w:w="1701" w:type="dxa"/>
          </w:tcPr>
          <w:p w:rsidRPr="00F35ECF" w:rsidR="000B5DCB" w:rsidP="00F35ECF" w:rsidRDefault="000B5DCB">
            <w:pPr>
              <w:jc w:val="center"/>
              <w:rPr>
                <w:sz w:val="16"/>
                <w:szCs w:val="18"/>
              </w:rPr>
            </w:pPr>
            <w:r w:rsidRPr="00F35ECF">
              <w:rPr>
                <w:sz w:val="16"/>
                <w:szCs w:val="18"/>
              </w:rPr>
              <w:t>24/04/2015</w:t>
            </w:r>
          </w:p>
          <w:p w:rsidRPr="00F35ECF" w:rsidR="000B5DCB" w:rsidP="00F35ECF" w:rsidRDefault="000B5DCB">
            <w:pPr>
              <w:jc w:val="center"/>
              <w:rPr>
                <w:sz w:val="16"/>
                <w:szCs w:val="18"/>
              </w:rPr>
            </w:pPr>
          </w:p>
          <w:p w:rsidRPr="00F35ECF" w:rsidR="000B5DCB" w:rsidP="00F35ECF" w:rsidRDefault="000B5DCB">
            <w:pPr>
              <w:jc w:val="center"/>
              <w:rPr>
                <w:sz w:val="16"/>
                <w:szCs w:val="18"/>
              </w:rPr>
            </w:pPr>
            <w:r w:rsidRPr="00F35ECF">
              <w:rPr>
                <w:sz w:val="16"/>
                <w:szCs w:val="18"/>
              </w:rPr>
              <w:t>Supreme Court of the Russian Federation</w:t>
            </w:r>
          </w:p>
        </w:tc>
        <w:tc>
          <w:tcPr>
            <w:tcW w:w="2268" w:type="dxa"/>
          </w:tcPr>
          <w:p w:rsidRPr="00F35ECF" w:rsidR="000B5DCB" w:rsidP="00F35ECF" w:rsidRDefault="000B5DCB">
            <w:pPr>
              <w:jc w:val="center"/>
              <w:rPr>
                <w:sz w:val="16"/>
                <w:szCs w:val="18"/>
              </w:rPr>
            </w:pPr>
            <w:r w:rsidRPr="00F35ECF">
              <w:rPr>
                <w:sz w:val="16"/>
                <w:szCs w:val="18"/>
              </w:rPr>
              <w:t>1,500</w:t>
            </w:r>
          </w:p>
        </w:tc>
      </w:tr>
      <w:tr w:rsidRPr="00F35ECF" w:rsidR="000B5DCB" w:rsidTr="000B5DCB">
        <w:trPr>
          <w:jc w:val="center"/>
        </w:trPr>
        <w:tc>
          <w:tcPr>
            <w:tcW w:w="452" w:type="dxa"/>
          </w:tcPr>
          <w:p w:rsidRPr="00F35ECF" w:rsidR="000B5DCB" w:rsidP="00F35ECF" w:rsidRDefault="000B5DCB">
            <w:pPr>
              <w:pStyle w:val="ListParagraph"/>
              <w:numPr>
                <w:ilvl w:val="0"/>
                <w:numId w:val="23"/>
              </w:numPr>
              <w:tabs>
                <w:tab w:val="num" w:pos="283"/>
              </w:tabs>
              <w:ind w:left="0" w:firstLine="0"/>
              <w:jc w:val="center"/>
              <w:rPr>
                <w:rFonts w:eastAsiaTheme="minorEastAsia"/>
                <w:sz w:val="16"/>
                <w:szCs w:val="18"/>
              </w:rPr>
            </w:pPr>
          </w:p>
        </w:tc>
        <w:tc>
          <w:tcPr>
            <w:tcW w:w="1701" w:type="dxa"/>
          </w:tcPr>
          <w:p w:rsidRPr="00F35ECF" w:rsidR="000B5DCB" w:rsidP="00F35ECF" w:rsidRDefault="000B5DCB">
            <w:pPr>
              <w:jc w:val="center"/>
              <w:rPr>
                <w:sz w:val="16"/>
                <w:szCs w:val="18"/>
              </w:rPr>
            </w:pPr>
            <w:r w:rsidRPr="00F35ECF">
              <w:rPr>
                <w:sz w:val="16"/>
                <w:szCs w:val="18"/>
              </w:rPr>
              <w:t>12514/16</w:t>
            </w:r>
          </w:p>
          <w:p w:rsidRPr="00F35ECF" w:rsidR="000B5DCB" w:rsidP="00F35ECF" w:rsidRDefault="000B5DCB">
            <w:pPr>
              <w:jc w:val="center"/>
              <w:rPr>
                <w:sz w:val="16"/>
                <w:szCs w:val="18"/>
              </w:rPr>
            </w:pPr>
            <w:r w:rsidRPr="00F35ECF">
              <w:rPr>
                <w:sz w:val="16"/>
                <w:szCs w:val="18"/>
              </w:rPr>
              <w:t>20/02/2016</w:t>
            </w:r>
          </w:p>
        </w:tc>
        <w:tc>
          <w:tcPr>
            <w:tcW w:w="1725" w:type="dxa"/>
          </w:tcPr>
          <w:p w:rsidRPr="00F35ECF" w:rsidR="000B5DCB" w:rsidP="00F35ECF" w:rsidRDefault="000B5DCB">
            <w:pPr>
              <w:jc w:val="center"/>
              <w:rPr>
                <w:b/>
                <w:sz w:val="16"/>
                <w:szCs w:val="18"/>
              </w:rPr>
            </w:pPr>
            <w:r w:rsidRPr="00F35ECF">
              <w:rPr>
                <w:b/>
                <w:sz w:val="16"/>
                <w:szCs w:val="18"/>
              </w:rPr>
              <w:t xml:space="preserve">Nikolay </w:t>
            </w:r>
            <w:proofErr w:type="spellStart"/>
            <w:r w:rsidRPr="00F35ECF">
              <w:rPr>
                <w:b/>
                <w:sz w:val="16"/>
                <w:szCs w:val="18"/>
              </w:rPr>
              <w:t>Alekseyevich</w:t>
            </w:r>
            <w:proofErr w:type="spellEnd"/>
            <w:r w:rsidRPr="00F35ECF">
              <w:rPr>
                <w:b/>
                <w:sz w:val="16"/>
                <w:szCs w:val="18"/>
              </w:rPr>
              <w:t xml:space="preserve"> KRUGOVOY</w:t>
            </w:r>
          </w:p>
          <w:p w:rsidRPr="00F35ECF" w:rsidR="000B5DCB" w:rsidP="00F35ECF" w:rsidRDefault="000B5DCB">
            <w:pPr>
              <w:jc w:val="center"/>
              <w:rPr>
                <w:sz w:val="16"/>
                <w:szCs w:val="18"/>
              </w:rPr>
            </w:pPr>
            <w:r w:rsidRPr="00F35ECF">
              <w:rPr>
                <w:sz w:val="16"/>
                <w:szCs w:val="18"/>
              </w:rPr>
              <w:t>09/01/1949</w:t>
            </w:r>
          </w:p>
        </w:tc>
        <w:tc>
          <w:tcPr>
            <w:tcW w:w="1960" w:type="dxa"/>
          </w:tcPr>
          <w:p w:rsidRPr="00F35ECF" w:rsidR="000B5DCB" w:rsidP="00F35ECF" w:rsidRDefault="000B5DCB">
            <w:pPr>
              <w:jc w:val="center"/>
              <w:rPr>
                <w:sz w:val="16"/>
                <w:szCs w:val="18"/>
              </w:rPr>
            </w:pPr>
            <w:r w:rsidRPr="00F35ECF">
              <w:rPr>
                <w:sz w:val="16"/>
                <w:szCs w:val="18"/>
              </w:rPr>
              <w:t xml:space="preserve">pension dispute </w:t>
            </w:r>
          </w:p>
        </w:tc>
        <w:tc>
          <w:tcPr>
            <w:tcW w:w="1843" w:type="dxa"/>
          </w:tcPr>
          <w:p w:rsidRPr="00F35ECF" w:rsidR="000B5DCB" w:rsidP="00F35ECF" w:rsidRDefault="000B5DCB">
            <w:pPr>
              <w:jc w:val="center"/>
              <w:rPr>
                <w:sz w:val="16"/>
                <w:szCs w:val="18"/>
              </w:rPr>
            </w:pPr>
            <w:r w:rsidRPr="00F35ECF">
              <w:rPr>
                <w:sz w:val="16"/>
                <w:szCs w:val="18"/>
              </w:rPr>
              <w:t>06/05/2015</w:t>
            </w:r>
          </w:p>
          <w:p w:rsidRPr="00F35ECF" w:rsidR="000B5DCB" w:rsidP="00F35ECF" w:rsidRDefault="000B5DCB">
            <w:pPr>
              <w:jc w:val="center"/>
              <w:rPr>
                <w:sz w:val="16"/>
                <w:szCs w:val="18"/>
              </w:rPr>
            </w:pPr>
          </w:p>
          <w:p w:rsidRPr="00F35ECF" w:rsidR="000B5DCB" w:rsidP="00F35ECF" w:rsidRDefault="000B5DCB">
            <w:pPr>
              <w:jc w:val="center"/>
              <w:rPr>
                <w:sz w:val="16"/>
                <w:szCs w:val="18"/>
              </w:rPr>
            </w:pPr>
            <w:proofErr w:type="spellStart"/>
            <w:r w:rsidRPr="00F35ECF">
              <w:rPr>
                <w:sz w:val="16"/>
                <w:szCs w:val="18"/>
              </w:rPr>
              <w:t>Oktyabrskiy</w:t>
            </w:r>
            <w:proofErr w:type="spellEnd"/>
            <w:r w:rsidRPr="00F35ECF">
              <w:rPr>
                <w:sz w:val="16"/>
                <w:szCs w:val="18"/>
              </w:rPr>
              <w:t xml:space="preserve"> District Court of Belgorod</w:t>
            </w:r>
          </w:p>
        </w:tc>
        <w:tc>
          <w:tcPr>
            <w:tcW w:w="1501" w:type="dxa"/>
          </w:tcPr>
          <w:p w:rsidRPr="00F35ECF" w:rsidR="000B5DCB" w:rsidP="00F35ECF" w:rsidRDefault="000B5DCB">
            <w:pPr>
              <w:jc w:val="center"/>
              <w:rPr>
                <w:sz w:val="16"/>
                <w:szCs w:val="18"/>
              </w:rPr>
            </w:pPr>
            <w:r w:rsidRPr="00F35ECF">
              <w:rPr>
                <w:sz w:val="16"/>
                <w:szCs w:val="18"/>
              </w:rPr>
              <w:t>25/08/2015</w:t>
            </w:r>
          </w:p>
          <w:p w:rsidRPr="00F35ECF" w:rsidR="000B5DCB" w:rsidP="00F35ECF" w:rsidRDefault="000B5DCB">
            <w:pPr>
              <w:jc w:val="center"/>
              <w:rPr>
                <w:sz w:val="16"/>
                <w:szCs w:val="18"/>
              </w:rPr>
            </w:pPr>
          </w:p>
          <w:p w:rsidRPr="00F35ECF" w:rsidR="000B5DCB" w:rsidP="00F35ECF" w:rsidRDefault="000B5DCB">
            <w:pPr>
              <w:jc w:val="center"/>
              <w:rPr>
                <w:sz w:val="16"/>
                <w:szCs w:val="18"/>
              </w:rPr>
            </w:pPr>
            <w:r w:rsidRPr="00F35ECF">
              <w:rPr>
                <w:sz w:val="16"/>
                <w:szCs w:val="18"/>
              </w:rPr>
              <w:t>Belgorod Regional Court</w:t>
            </w:r>
          </w:p>
        </w:tc>
        <w:tc>
          <w:tcPr>
            <w:tcW w:w="1701" w:type="dxa"/>
          </w:tcPr>
          <w:p w:rsidRPr="00F35ECF" w:rsidR="000B5DCB" w:rsidP="00F35ECF" w:rsidRDefault="000B5DCB">
            <w:pPr>
              <w:jc w:val="center"/>
              <w:rPr>
                <w:sz w:val="16"/>
                <w:szCs w:val="18"/>
              </w:rPr>
            </w:pPr>
            <w:r w:rsidRPr="00F35ECF">
              <w:rPr>
                <w:sz w:val="16"/>
                <w:szCs w:val="18"/>
              </w:rPr>
              <w:t>17/12/2015</w:t>
            </w:r>
          </w:p>
          <w:p w:rsidRPr="00F35ECF" w:rsidR="000B5DCB" w:rsidP="00F35ECF" w:rsidRDefault="000B5DCB">
            <w:pPr>
              <w:jc w:val="center"/>
              <w:rPr>
                <w:sz w:val="16"/>
                <w:szCs w:val="18"/>
              </w:rPr>
            </w:pPr>
          </w:p>
          <w:p w:rsidRPr="00F35ECF" w:rsidR="000B5DCB" w:rsidP="00F35ECF" w:rsidRDefault="000B5DCB">
            <w:pPr>
              <w:jc w:val="center"/>
              <w:rPr>
                <w:sz w:val="16"/>
                <w:szCs w:val="18"/>
              </w:rPr>
            </w:pPr>
            <w:r w:rsidRPr="00F35ECF">
              <w:rPr>
                <w:sz w:val="16"/>
                <w:szCs w:val="18"/>
              </w:rPr>
              <w:t>Supreme Court of the Russian Federation</w:t>
            </w:r>
          </w:p>
        </w:tc>
        <w:tc>
          <w:tcPr>
            <w:tcW w:w="2268" w:type="dxa"/>
          </w:tcPr>
          <w:p w:rsidRPr="00F35ECF" w:rsidR="000B5DCB" w:rsidP="00F35ECF" w:rsidRDefault="000B5DCB">
            <w:pPr>
              <w:jc w:val="center"/>
              <w:rPr>
                <w:sz w:val="16"/>
                <w:szCs w:val="18"/>
              </w:rPr>
            </w:pPr>
            <w:r w:rsidRPr="00F35ECF">
              <w:rPr>
                <w:sz w:val="16"/>
                <w:szCs w:val="18"/>
              </w:rPr>
              <w:t>1,500</w:t>
            </w:r>
          </w:p>
        </w:tc>
      </w:tr>
    </w:tbl>
    <w:p w:rsidRPr="00F35ECF" w:rsidR="00791456" w:rsidP="00F35ECF" w:rsidRDefault="00325ACA"/>
    <w:sectPr w:rsidRPr="00F35ECF" w:rsidR="00791456" w:rsidSect="00BD554D">
      <w:headerReference w:type="even" r:id="rId15"/>
      <w:headerReference w:type="default" r:id="rId16"/>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7E2" w:rsidRPr="00B91668" w:rsidRDefault="00A567E2">
      <w:r w:rsidRPr="00B91668">
        <w:separator/>
      </w:r>
    </w:p>
  </w:endnote>
  <w:endnote w:type="continuationSeparator" w:id="0">
    <w:p w:rsidR="00A567E2" w:rsidRPr="00B91668" w:rsidRDefault="00A567E2">
      <w:r w:rsidRPr="00B91668">
        <w:continuationSeparator/>
      </w:r>
    </w:p>
  </w:endnote>
  <w:endnote w:id="1">
    <w:p w:rsidR="000B5DCB" w:rsidRDefault="000B5DCB" w:rsidP="00A567E2">
      <w:pPr>
        <w:pStyle w:val="EndnoteText"/>
      </w:pPr>
      <w:r>
        <w:rPr>
          <w:rStyle w:val="EndnoteReference"/>
        </w:rPr>
        <w:endnoteRef/>
      </w:r>
      <w: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A567E2" w:rsidP="00BD554D">
    <w:pPr>
      <w:pStyle w:val="JuHeader"/>
    </w:pPr>
    <w:r>
      <w:fldChar w:fldCharType="begin"/>
    </w:r>
    <w:r>
      <w:instrText xml:space="preserve"> PAGE </w:instrText>
    </w:r>
    <w:r>
      <w:fldChar w:fldCharType="separate"/>
    </w:r>
    <w:r w:rsidR="00F35ECF">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B91668" w:rsidRDefault="00A567E2" w:rsidP="00BD554D">
    <w:pPr>
      <w:pStyle w:val="JuHeader"/>
    </w:pPr>
    <w:r>
      <w:fldChar w:fldCharType="begin"/>
    </w:r>
    <w:r>
      <w:instrText xml:space="preserve"> PAGE </w:instrText>
    </w:r>
    <w:r>
      <w:fldChar w:fldCharType="separate"/>
    </w:r>
    <w:r w:rsidR="00F35ECF">
      <w:rPr>
        <w:noProof/>
      </w:rPr>
      <w:t>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7E2" w:rsidRPr="00150BFA" w:rsidRDefault="00A567E2" w:rsidP="0020718E">
    <w:pPr>
      <w:jc w:val="center"/>
    </w:pPr>
    <w:r>
      <w:rPr>
        <w:noProof/>
        <w:lang w:val="en-US" w:eastAsia="ja-JP"/>
      </w:rPr>
      <w:drawing>
        <wp:inline distT="0" distB="0" distL="0" distR="0" wp14:anchorId="7609D445" wp14:editId="72216216">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B91668" w:rsidRDefault="00325ACA"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7E2" w:rsidRPr="00B91668" w:rsidRDefault="00A567E2" w:rsidP="00787E12">
      <w:r w:rsidRPr="00B91668">
        <w:separator/>
      </w:r>
    </w:p>
  </w:footnote>
  <w:footnote w:type="continuationSeparator" w:id="0">
    <w:p w:rsidR="00A567E2" w:rsidRPr="00B91668" w:rsidRDefault="00A567E2" w:rsidP="00787E12">
      <w:r w:rsidRPr="00B9166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7E2" w:rsidRPr="00A45145" w:rsidRDefault="00A567E2" w:rsidP="00A45145">
    <w:pPr>
      <w:jc w:val="center"/>
    </w:pPr>
    <w:r>
      <w:rPr>
        <w:noProof/>
        <w:lang w:val="en-US" w:eastAsia="ja-JP"/>
      </w:rPr>
      <w:drawing>
        <wp:inline distT="0" distB="0" distL="0" distR="0" wp14:anchorId="7546DDE6" wp14:editId="3ABBC87A">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325ACA" w:rsidP="000318F7">
    <w:pPr>
      <w:jc w:val="center"/>
      <w:rPr>
        <w:sz w:val="4"/>
        <w:szCs w:val="4"/>
      </w:rPr>
    </w:pPr>
  </w:p>
  <w:p w:rsidR="00787E12" w:rsidRPr="00B91668" w:rsidRDefault="00325A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7E2" w:rsidRPr="00A45145" w:rsidRDefault="00A567E2" w:rsidP="00A45145">
    <w:pPr>
      <w:jc w:val="center"/>
    </w:pPr>
    <w:r>
      <w:rPr>
        <w:noProof/>
        <w:lang w:val="en-US" w:eastAsia="ja-JP"/>
      </w:rPr>
      <w:drawing>
        <wp:inline distT="0" distB="0" distL="0" distR="0" wp14:anchorId="5106B6D4" wp14:editId="09A0B9F0">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B91668" w:rsidRDefault="00325ACA"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A567E2" w:rsidP="006372F5">
    <w:pPr>
      <w:pStyle w:val="JuHeader"/>
    </w:pPr>
    <w:r>
      <w:t>VLASOVA AND OTHERS v. RUSSIA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A567E2" w:rsidP="00BD554D">
    <w:pPr>
      <w:pStyle w:val="JuHeader"/>
    </w:pPr>
    <w:r>
      <w:t>VLASOVA AND OTHERS v. RUSSIA</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A567E2" w:rsidP="00E026EC">
    <w:pPr>
      <w:pStyle w:val="JuHeader"/>
    </w:pPr>
    <w:r>
      <w:t>VLASOVA AND OTHERS v. RUSSIA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A567E2" w:rsidP="00E026EC">
    <w:pPr>
      <w:pStyle w:val="JuHeader"/>
    </w:pPr>
    <w:r>
      <w:t>VLASOVA AND OTHERS v. RUSSIA</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A90EF9"/>
    <w:multiLevelType w:val="hybridMultilevel"/>
    <w:tmpl w:val="4A5054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20"/>
  </w:num>
  <w:num w:numId="10">
    <w:abstractNumId w:val="17"/>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A567E2"/>
    <w:rsid w:val="0000400E"/>
    <w:rsid w:val="000B5DCB"/>
    <w:rsid w:val="00135384"/>
    <w:rsid w:val="003146B4"/>
    <w:rsid w:val="00325ACA"/>
    <w:rsid w:val="00337785"/>
    <w:rsid w:val="00365B21"/>
    <w:rsid w:val="0048584C"/>
    <w:rsid w:val="00497FF8"/>
    <w:rsid w:val="00555A1D"/>
    <w:rsid w:val="00573202"/>
    <w:rsid w:val="00656431"/>
    <w:rsid w:val="007F018A"/>
    <w:rsid w:val="00860732"/>
    <w:rsid w:val="009522DD"/>
    <w:rsid w:val="00A329E0"/>
    <w:rsid w:val="00A567E2"/>
    <w:rsid w:val="00A94CA7"/>
    <w:rsid w:val="00B91668"/>
    <w:rsid w:val="00BD554D"/>
    <w:rsid w:val="00CA42FD"/>
    <w:rsid w:val="00E0127E"/>
    <w:rsid w:val="00E21F41"/>
    <w:rsid w:val="00F35E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554D"/>
    <w:rPr>
      <w:sz w:val="24"/>
      <w:szCs w:val="24"/>
      <w:lang w:val="en-GB"/>
    </w:rPr>
  </w:style>
  <w:style w:type="paragraph" w:styleId="Heading1">
    <w:name w:val="heading 1"/>
    <w:basedOn w:val="Normal"/>
    <w:next w:val="Normal"/>
    <w:link w:val="Heading1Char"/>
    <w:uiPriority w:val="98"/>
    <w:semiHidden/>
    <w:rsid w:val="00BD554D"/>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554D"/>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554D"/>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BD554D"/>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554D"/>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554D"/>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554D"/>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554D"/>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554D"/>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554D"/>
    <w:rPr>
      <w:rFonts w:ascii="Tahoma" w:hAnsi="Tahoma" w:cs="Tahoma"/>
      <w:sz w:val="16"/>
      <w:szCs w:val="16"/>
    </w:rPr>
  </w:style>
  <w:style w:type="character" w:customStyle="1" w:styleId="BalloonTextChar">
    <w:name w:val="Balloon Text Char"/>
    <w:basedOn w:val="DefaultParagraphFont"/>
    <w:link w:val="BalloonText"/>
    <w:uiPriority w:val="98"/>
    <w:semiHidden/>
    <w:rsid w:val="00BD554D"/>
    <w:rPr>
      <w:rFonts w:ascii="Tahoma" w:hAnsi="Tahoma" w:cs="Tahoma"/>
      <w:sz w:val="16"/>
      <w:szCs w:val="16"/>
      <w:lang w:val="en-GB"/>
    </w:rPr>
  </w:style>
  <w:style w:type="character" w:styleId="BookTitle">
    <w:name w:val="Book Title"/>
    <w:uiPriority w:val="98"/>
    <w:semiHidden/>
    <w:qFormat/>
    <w:rsid w:val="00BD554D"/>
    <w:rPr>
      <w:i/>
      <w:iCs/>
      <w:smallCaps/>
      <w:spacing w:val="5"/>
    </w:rPr>
  </w:style>
  <w:style w:type="paragraph" w:customStyle="1" w:styleId="JuHeader">
    <w:name w:val="Ju_Header"/>
    <w:aliases w:val="_Header"/>
    <w:basedOn w:val="Header"/>
    <w:uiPriority w:val="29"/>
    <w:qFormat/>
    <w:rsid w:val="00BD554D"/>
    <w:pPr>
      <w:tabs>
        <w:tab w:val="clear" w:pos="4536"/>
        <w:tab w:val="clear" w:pos="9072"/>
      </w:tabs>
      <w:jc w:val="center"/>
    </w:pPr>
    <w:rPr>
      <w:sz w:val="18"/>
    </w:rPr>
  </w:style>
  <w:style w:type="paragraph" w:customStyle="1" w:styleId="DecList">
    <w:name w:val="Dec_List"/>
    <w:aliases w:val="_List"/>
    <w:basedOn w:val="JuList"/>
    <w:uiPriority w:val="22"/>
    <w:rsid w:val="00BD554D"/>
    <w:pPr>
      <w:numPr>
        <w:numId w:val="0"/>
      </w:numPr>
      <w:ind w:left="284"/>
    </w:pPr>
  </w:style>
  <w:style w:type="character" w:styleId="Strong">
    <w:name w:val="Strong"/>
    <w:uiPriority w:val="98"/>
    <w:semiHidden/>
    <w:qFormat/>
    <w:rsid w:val="00BD554D"/>
    <w:rPr>
      <w:b/>
      <w:bCs/>
    </w:rPr>
  </w:style>
  <w:style w:type="paragraph" w:styleId="NoSpacing">
    <w:name w:val="No Spacing"/>
    <w:basedOn w:val="Normal"/>
    <w:link w:val="NoSpacingChar"/>
    <w:uiPriority w:val="98"/>
    <w:semiHidden/>
    <w:qFormat/>
    <w:rsid w:val="00BD554D"/>
  </w:style>
  <w:style w:type="character" w:customStyle="1" w:styleId="NoSpacingChar">
    <w:name w:val="No Spacing Char"/>
    <w:basedOn w:val="DefaultParagraphFont"/>
    <w:link w:val="NoSpacing"/>
    <w:uiPriority w:val="98"/>
    <w:semiHidden/>
    <w:rsid w:val="00BD554D"/>
    <w:rPr>
      <w:sz w:val="24"/>
      <w:szCs w:val="24"/>
      <w:lang w:val="en-GB"/>
    </w:rPr>
  </w:style>
  <w:style w:type="paragraph" w:customStyle="1" w:styleId="JuQuot">
    <w:name w:val="Ju_Quot"/>
    <w:aliases w:val="_Quote"/>
    <w:basedOn w:val="NormalJustified"/>
    <w:uiPriority w:val="20"/>
    <w:qFormat/>
    <w:rsid w:val="00BD554D"/>
    <w:pPr>
      <w:spacing w:before="120" w:after="120"/>
      <w:ind w:left="425" w:firstLine="142"/>
    </w:pPr>
    <w:rPr>
      <w:sz w:val="20"/>
    </w:rPr>
  </w:style>
  <w:style w:type="paragraph" w:customStyle="1" w:styleId="JuList">
    <w:name w:val="Ju_List"/>
    <w:aliases w:val="_List_1"/>
    <w:basedOn w:val="NormalJustified"/>
    <w:link w:val="JuListChar"/>
    <w:uiPriority w:val="23"/>
    <w:qFormat/>
    <w:rsid w:val="00BD554D"/>
    <w:pPr>
      <w:numPr>
        <w:numId w:val="11"/>
      </w:numPr>
      <w:spacing w:before="280" w:after="60"/>
    </w:pPr>
  </w:style>
  <w:style w:type="paragraph" w:customStyle="1" w:styleId="JuListi">
    <w:name w:val="Ju_List_i"/>
    <w:aliases w:val="_List_3"/>
    <w:basedOn w:val="NormalJustified"/>
    <w:uiPriority w:val="23"/>
    <w:rsid w:val="00BD554D"/>
    <w:pPr>
      <w:numPr>
        <w:ilvl w:val="2"/>
        <w:numId w:val="11"/>
      </w:numPr>
    </w:pPr>
  </w:style>
  <w:style w:type="paragraph" w:customStyle="1" w:styleId="JuTitle">
    <w:name w:val="Ju_Title"/>
    <w:aliases w:val="_Title_2"/>
    <w:basedOn w:val="Normal"/>
    <w:next w:val="JuPara"/>
    <w:uiPriority w:val="38"/>
    <w:qFormat/>
    <w:rsid w:val="00BD554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554D"/>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BD554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554D"/>
    <w:pPr>
      <w:numPr>
        <w:numId w:val="4"/>
      </w:numPr>
    </w:pPr>
  </w:style>
  <w:style w:type="numbering" w:customStyle="1" w:styleId="ECHRA1StyleList">
    <w:name w:val="ECHR_A1_Style_List"/>
    <w:basedOn w:val="NoList"/>
    <w:uiPriority w:val="99"/>
    <w:rsid w:val="00BD554D"/>
    <w:pPr>
      <w:numPr>
        <w:numId w:val="5"/>
      </w:numPr>
    </w:pPr>
  </w:style>
  <w:style w:type="paragraph" w:customStyle="1" w:styleId="JuHHead">
    <w:name w:val="Ju_H_Head"/>
    <w:aliases w:val="_Head_1"/>
    <w:basedOn w:val="Normal"/>
    <w:next w:val="JuPara"/>
    <w:uiPriority w:val="17"/>
    <w:qFormat/>
    <w:rsid w:val="00BD554D"/>
    <w:pPr>
      <w:keepNext/>
      <w:keepLines/>
      <w:numPr>
        <w:numId w:val="10"/>
      </w:numPr>
      <w:spacing w:before="100" w:beforeAutospacing="1" w:after="240"/>
      <w:jc w:val="both"/>
      <w:outlineLvl w:val="0"/>
    </w:pPr>
    <w:rPr>
      <w:caps/>
      <w:sz w:val="28"/>
    </w:rPr>
  </w:style>
  <w:style w:type="numbering" w:customStyle="1" w:styleId="ECHRA1StyleNumberedList">
    <w:name w:val="ECHR_A1_Style_Numbered_List"/>
    <w:basedOn w:val="NoList"/>
    <w:rsid w:val="00BD554D"/>
    <w:pPr>
      <w:numPr>
        <w:numId w:val="6"/>
      </w:numPr>
    </w:pPr>
  </w:style>
  <w:style w:type="table" w:customStyle="1" w:styleId="ECHRTable2019">
    <w:name w:val="ECHR_Table_2019"/>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BD55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554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BD554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D554D"/>
    <w:pPr>
      <w:tabs>
        <w:tab w:val="center" w:pos="6407"/>
      </w:tabs>
      <w:spacing w:before="720"/>
      <w:jc w:val="right"/>
    </w:pPr>
  </w:style>
  <w:style w:type="character" w:customStyle="1" w:styleId="JuITMark">
    <w:name w:val="Ju_ITMark"/>
    <w:aliases w:val="_ITMark"/>
    <w:basedOn w:val="DefaultParagraphFont"/>
    <w:uiPriority w:val="43"/>
    <w:semiHidden/>
    <w:qFormat/>
    <w:rsid w:val="00BD554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7"/>
    <w:qFormat/>
    <w:rsid w:val="00BD554D"/>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BD554D"/>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BD554D"/>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7"/>
    <w:rsid w:val="00BD554D"/>
    <w:pPr>
      <w:keepNext/>
      <w:keepLines/>
      <w:numPr>
        <w:ilvl w:val="4"/>
        <w:numId w:val="10"/>
      </w:numPr>
      <w:spacing w:before="100" w:beforeAutospacing="1" w:after="120"/>
      <w:jc w:val="both"/>
      <w:outlineLvl w:val="4"/>
    </w:pPr>
    <w:rPr>
      <w:b/>
      <w:sz w:val="20"/>
    </w:rPr>
  </w:style>
  <w:style w:type="paragraph" w:styleId="Header">
    <w:name w:val="header"/>
    <w:basedOn w:val="Normal"/>
    <w:link w:val="HeaderChar"/>
    <w:uiPriority w:val="98"/>
    <w:semiHidden/>
    <w:rsid w:val="00BD554D"/>
    <w:pPr>
      <w:tabs>
        <w:tab w:val="center" w:pos="4536"/>
        <w:tab w:val="right" w:pos="9072"/>
      </w:tabs>
    </w:pPr>
  </w:style>
  <w:style w:type="character" w:customStyle="1" w:styleId="HeaderChar">
    <w:name w:val="Header Char"/>
    <w:basedOn w:val="DefaultParagraphFont"/>
    <w:link w:val="Header"/>
    <w:uiPriority w:val="98"/>
    <w:semiHidden/>
    <w:rsid w:val="00BD554D"/>
    <w:rPr>
      <w:sz w:val="24"/>
      <w:szCs w:val="24"/>
      <w:lang w:val="en-GB"/>
    </w:rPr>
  </w:style>
  <w:style w:type="character" w:customStyle="1" w:styleId="Heading1Char">
    <w:name w:val="Heading 1 Char"/>
    <w:basedOn w:val="DefaultParagraphFont"/>
    <w:link w:val="Heading1"/>
    <w:uiPriority w:val="98"/>
    <w:semiHidden/>
    <w:rsid w:val="00BD554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7"/>
    <w:rsid w:val="00BD554D"/>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7"/>
    <w:rsid w:val="00BD554D"/>
    <w:pPr>
      <w:keepNext/>
      <w:keepLines/>
      <w:numPr>
        <w:ilvl w:val="6"/>
        <w:numId w:val="10"/>
      </w:numPr>
      <w:spacing w:before="100" w:beforeAutospacing="1" w:after="120"/>
      <w:jc w:val="both"/>
      <w:outlineLvl w:val="6"/>
    </w:pPr>
    <w:rPr>
      <w:sz w:val="20"/>
    </w:rPr>
  </w:style>
  <w:style w:type="character" w:customStyle="1" w:styleId="Heading2Char">
    <w:name w:val="Heading 2 Char"/>
    <w:basedOn w:val="DefaultParagraphFont"/>
    <w:link w:val="Heading2"/>
    <w:uiPriority w:val="98"/>
    <w:semiHidden/>
    <w:rsid w:val="00BD554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7"/>
    <w:rsid w:val="00BD554D"/>
    <w:pPr>
      <w:keepNext/>
      <w:keepLines/>
      <w:numPr>
        <w:ilvl w:val="7"/>
        <w:numId w:val="10"/>
      </w:numPr>
      <w:spacing w:before="100" w:beforeAutospacing="1" w:after="120"/>
      <w:jc w:val="both"/>
      <w:outlineLvl w:val="7"/>
    </w:pPr>
    <w:rPr>
      <w:i/>
      <w:sz w:val="20"/>
    </w:rPr>
  </w:style>
  <w:style w:type="character" w:customStyle="1" w:styleId="JUNAMES">
    <w:name w:val="JU_NAMES"/>
    <w:aliases w:val="_Ju_Names"/>
    <w:uiPriority w:val="33"/>
    <w:qFormat/>
    <w:rsid w:val="00BD554D"/>
    <w:rPr>
      <w:caps w:val="0"/>
      <w:smallCaps/>
    </w:rPr>
  </w:style>
  <w:style w:type="character" w:customStyle="1" w:styleId="Heading3Char">
    <w:name w:val="Heading 3 Char"/>
    <w:basedOn w:val="DefaultParagraphFont"/>
    <w:link w:val="Heading3"/>
    <w:uiPriority w:val="98"/>
    <w:semiHidden/>
    <w:rsid w:val="00BD554D"/>
    <w:rPr>
      <w:rFonts w:asciiTheme="majorHAnsi" w:eastAsiaTheme="majorEastAsia" w:hAnsiTheme="majorHAnsi" w:cstheme="majorBidi"/>
      <w:b/>
      <w:bCs/>
      <w:color w:val="5F5F5F"/>
      <w:sz w:val="24"/>
      <w:szCs w:val="24"/>
      <w:lang w:val="en-GB"/>
    </w:rPr>
  </w:style>
  <w:style w:type="paragraph" w:customStyle="1" w:styleId="JuLista">
    <w:name w:val="Ju_List_a"/>
    <w:aliases w:val="_List_2"/>
    <w:basedOn w:val="NormalJustified"/>
    <w:uiPriority w:val="23"/>
    <w:rsid w:val="00BD554D"/>
    <w:pPr>
      <w:numPr>
        <w:ilvl w:val="1"/>
        <w:numId w:val="11"/>
      </w:numPr>
    </w:pPr>
  </w:style>
  <w:style w:type="paragraph" w:customStyle="1" w:styleId="NormalJustified">
    <w:name w:val="Normal_Justified"/>
    <w:basedOn w:val="Normal"/>
    <w:semiHidden/>
    <w:rsid w:val="00BD554D"/>
    <w:pPr>
      <w:jc w:val="both"/>
    </w:pPr>
  </w:style>
  <w:style w:type="character" w:customStyle="1" w:styleId="Heading4Char">
    <w:name w:val="Heading 4 Char"/>
    <w:basedOn w:val="DefaultParagraphFont"/>
    <w:link w:val="Heading4"/>
    <w:uiPriority w:val="98"/>
    <w:semiHidden/>
    <w:rsid w:val="00BD554D"/>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BD554D"/>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BD554D"/>
    <w:rPr>
      <w:i/>
      <w:iCs/>
    </w:rPr>
  </w:style>
  <w:style w:type="table" w:customStyle="1" w:styleId="ECHRTable">
    <w:name w:val="ECHR_Table"/>
    <w:basedOn w:val="TableNormal"/>
    <w:rsid w:val="00BD55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55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D55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554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554D"/>
    <w:pPr>
      <w:keepNext/>
      <w:keepLines/>
      <w:spacing w:after="280"/>
      <w:ind w:firstLine="0"/>
      <w:jc w:val="center"/>
    </w:pPr>
    <w:rPr>
      <w:rFonts w:asciiTheme="majorHAnsi" w:hAnsiTheme="majorHAnsi"/>
    </w:rPr>
  </w:style>
  <w:style w:type="character" w:styleId="Emphasis">
    <w:name w:val="Emphasis"/>
    <w:uiPriority w:val="98"/>
    <w:semiHidden/>
    <w:qFormat/>
    <w:rsid w:val="00BD554D"/>
    <w:rPr>
      <w:b/>
      <w:bCs/>
      <w:i/>
      <w:iCs/>
      <w:spacing w:val="10"/>
      <w:bdr w:val="none" w:sz="0" w:space="0" w:color="auto"/>
      <w:shd w:val="clear" w:color="auto" w:fill="auto"/>
    </w:rPr>
  </w:style>
  <w:style w:type="paragraph" w:styleId="Footer0">
    <w:name w:val="footer"/>
    <w:basedOn w:val="Normal"/>
    <w:link w:val="FooterChar"/>
    <w:uiPriority w:val="98"/>
    <w:semiHidden/>
    <w:rsid w:val="00BD554D"/>
    <w:pPr>
      <w:tabs>
        <w:tab w:val="center" w:pos="3686"/>
        <w:tab w:val="right" w:pos="7371"/>
      </w:tabs>
    </w:pPr>
  </w:style>
  <w:style w:type="character" w:customStyle="1" w:styleId="FooterChar">
    <w:name w:val="Footer Char"/>
    <w:basedOn w:val="DefaultParagraphFont"/>
    <w:link w:val="Footer0"/>
    <w:uiPriority w:val="98"/>
    <w:semiHidden/>
    <w:rsid w:val="00BD554D"/>
    <w:rPr>
      <w:sz w:val="24"/>
      <w:szCs w:val="24"/>
      <w:lang w:val="en-GB"/>
    </w:rPr>
  </w:style>
  <w:style w:type="character" w:styleId="FootnoteReference">
    <w:name w:val="footnote reference"/>
    <w:basedOn w:val="DefaultParagraphFont"/>
    <w:uiPriority w:val="98"/>
    <w:semiHidden/>
    <w:rsid w:val="00BD554D"/>
    <w:rPr>
      <w:vertAlign w:val="superscript"/>
    </w:rPr>
  </w:style>
  <w:style w:type="paragraph" w:styleId="FootnoteText">
    <w:name w:val="footnote text"/>
    <w:basedOn w:val="Normal"/>
    <w:link w:val="FootnoteTextChar"/>
    <w:uiPriority w:val="98"/>
    <w:semiHidden/>
    <w:rsid w:val="00BD554D"/>
    <w:rPr>
      <w:sz w:val="20"/>
      <w:szCs w:val="20"/>
    </w:rPr>
  </w:style>
  <w:style w:type="character" w:customStyle="1" w:styleId="FootnoteTextChar">
    <w:name w:val="Footnote Text Char"/>
    <w:basedOn w:val="DefaultParagraphFont"/>
    <w:link w:val="FootnoteText"/>
    <w:uiPriority w:val="98"/>
    <w:semiHidden/>
    <w:rsid w:val="00BD554D"/>
    <w:rPr>
      <w:sz w:val="20"/>
      <w:szCs w:val="20"/>
      <w:lang w:val="en-GB"/>
    </w:rPr>
  </w:style>
  <w:style w:type="character" w:customStyle="1" w:styleId="Heading6Char">
    <w:name w:val="Heading 6 Char"/>
    <w:basedOn w:val="DefaultParagraphFont"/>
    <w:link w:val="Heading6"/>
    <w:uiPriority w:val="98"/>
    <w:semiHidden/>
    <w:rsid w:val="00BD554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554D"/>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55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554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554D"/>
    <w:rPr>
      <w:b/>
      <w:bCs/>
    </w:rPr>
  </w:style>
  <w:style w:type="paragraph" w:styleId="IntenseQuote">
    <w:name w:val="Intense Quote"/>
    <w:basedOn w:val="Normal"/>
    <w:next w:val="Normal"/>
    <w:link w:val="IntenseQuoteChar"/>
    <w:uiPriority w:val="98"/>
    <w:semiHidden/>
    <w:qFormat/>
    <w:rsid w:val="00BD55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554D"/>
    <w:rPr>
      <w:b/>
      <w:bCs/>
      <w:i/>
      <w:iCs/>
      <w:sz w:val="24"/>
      <w:szCs w:val="24"/>
      <w:lang w:val="en-GB" w:bidi="en-US"/>
    </w:rPr>
  </w:style>
  <w:style w:type="character" w:styleId="IntenseReference">
    <w:name w:val="Intense Reference"/>
    <w:uiPriority w:val="98"/>
    <w:semiHidden/>
    <w:qFormat/>
    <w:rsid w:val="00BD554D"/>
    <w:rPr>
      <w:smallCaps/>
      <w:spacing w:val="5"/>
      <w:u w:val="single"/>
    </w:rPr>
  </w:style>
  <w:style w:type="paragraph" w:styleId="ListParagraph">
    <w:name w:val="List Paragraph"/>
    <w:basedOn w:val="Normal"/>
    <w:uiPriority w:val="98"/>
    <w:semiHidden/>
    <w:qFormat/>
    <w:rsid w:val="00BD554D"/>
    <w:pPr>
      <w:ind w:left="720"/>
      <w:contextualSpacing/>
    </w:pPr>
  </w:style>
  <w:style w:type="table" w:customStyle="1" w:styleId="LtrTableAddress">
    <w:name w:val="Ltr_Table_Address"/>
    <w:aliases w:val="ECHR_Ltr_Table_Address"/>
    <w:basedOn w:val="TableNormal"/>
    <w:uiPriority w:val="99"/>
    <w:rsid w:val="00BD554D"/>
    <w:rPr>
      <w:sz w:val="24"/>
      <w:szCs w:val="24"/>
    </w:rPr>
    <w:tblPr>
      <w:tblInd w:w="5103" w:type="dxa"/>
    </w:tblPr>
  </w:style>
  <w:style w:type="paragraph" w:styleId="Quote">
    <w:name w:val="Quote"/>
    <w:basedOn w:val="Normal"/>
    <w:next w:val="Normal"/>
    <w:link w:val="QuoteChar"/>
    <w:uiPriority w:val="98"/>
    <w:semiHidden/>
    <w:qFormat/>
    <w:rsid w:val="00BD554D"/>
    <w:pPr>
      <w:spacing w:before="200"/>
      <w:ind w:left="360" w:right="360"/>
    </w:pPr>
    <w:rPr>
      <w:i/>
      <w:iCs/>
      <w:lang w:bidi="en-US"/>
    </w:rPr>
  </w:style>
  <w:style w:type="character" w:customStyle="1" w:styleId="QuoteChar">
    <w:name w:val="Quote Char"/>
    <w:basedOn w:val="DefaultParagraphFont"/>
    <w:link w:val="Quote"/>
    <w:uiPriority w:val="98"/>
    <w:semiHidden/>
    <w:rsid w:val="00BD554D"/>
    <w:rPr>
      <w:i/>
      <w:iCs/>
      <w:sz w:val="24"/>
      <w:szCs w:val="24"/>
      <w:lang w:val="en-GB" w:bidi="en-US"/>
    </w:rPr>
  </w:style>
  <w:style w:type="character" w:styleId="SubtleReference">
    <w:name w:val="Subtle Reference"/>
    <w:uiPriority w:val="98"/>
    <w:semiHidden/>
    <w:qFormat/>
    <w:rsid w:val="00BD554D"/>
    <w:rPr>
      <w:smallCaps/>
    </w:rPr>
  </w:style>
  <w:style w:type="table" w:styleId="TableGrid">
    <w:name w:val="Table Grid"/>
    <w:basedOn w:val="TableNormal"/>
    <w:uiPriority w:val="59"/>
    <w:semiHidden/>
    <w:rsid w:val="00BD55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55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55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55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55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55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55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55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55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55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55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55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55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55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BD554D"/>
    <w:pPr>
      <w:numPr>
        <w:numId w:val="1"/>
      </w:numPr>
    </w:pPr>
  </w:style>
  <w:style w:type="numbering" w:styleId="1ai">
    <w:name w:val="Outline List 1"/>
    <w:basedOn w:val="NoList"/>
    <w:uiPriority w:val="99"/>
    <w:semiHidden/>
    <w:unhideWhenUsed/>
    <w:rsid w:val="00BD554D"/>
    <w:pPr>
      <w:numPr>
        <w:numId w:val="2"/>
      </w:numPr>
    </w:pPr>
  </w:style>
  <w:style w:type="paragraph" w:styleId="Bibliography">
    <w:name w:val="Bibliography"/>
    <w:basedOn w:val="Normal"/>
    <w:next w:val="Normal"/>
    <w:uiPriority w:val="98"/>
    <w:semiHidden/>
    <w:rsid w:val="00BD554D"/>
  </w:style>
  <w:style w:type="paragraph" w:customStyle="1" w:styleId="JuPara">
    <w:name w:val="Ju_Para"/>
    <w:aliases w:val="_Para"/>
    <w:basedOn w:val="NormalJustified"/>
    <w:link w:val="ECHRParaChar"/>
    <w:uiPriority w:val="4"/>
    <w:qFormat/>
    <w:rsid w:val="00BD554D"/>
    <w:pPr>
      <w:ind w:firstLine="284"/>
    </w:pPr>
  </w:style>
  <w:style w:type="paragraph" w:styleId="BlockText">
    <w:name w:val="Block Text"/>
    <w:basedOn w:val="Normal"/>
    <w:uiPriority w:val="98"/>
    <w:semiHidden/>
    <w:rsid w:val="00BD55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55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55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BD554D"/>
    <w:pPr>
      <w:spacing w:after="120"/>
    </w:pPr>
  </w:style>
  <w:style w:type="table" w:customStyle="1" w:styleId="ECHRTableForInternalUse">
    <w:name w:val="ECHR_Table_For_Internal_Use"/>
    <w:basedOn w:val="TableNormal"/>
    <w:uiPriority w:val="99"/>
    <w:rsid w:val="00BD55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55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554D"/>
    <w:rPr>
      <w:sz w:val="24"/>
      <w:szCs w:val="24"/>
      <w:lang w:val="en-GB"/>
    </w:rPr>
  </w:style>
  <w:style w:type="paragraph" w:styleId="BodyText2">
    <w:name w:val="Body Text 2"/>
    <w:basedOn w:val="Normal"/>
    <w:link w:val="BodyText2Char"/>
    <w:uiPriority w:val="98"/>
    <w:semiHidden/>
    <w:rsid w:val="00BD554D"/>
    <w:pPr>
      <w:spacing w:after="120" w:line="480" w:lineRule="auto"/>
    </w:pPr>
  </w:style>
  <w:style w:type="table" w:customStyle="1" w:styleId="ECHRHeaderTable">
    <w:name w:val="ECHR_Header_Table"/>
    <w:basedOn w:val="TableNormal"/>
    <w:uiPriority w:val="99"/>
    <w:rsid w:val="00BD55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554D"/>
    <w:rPr>
      <w:sz w:val="24"/>
      <w:szCs w:val="24"/>
      <w:lang w:val="en-GB"/>
    </w:rPr>
  </w:style>
  <w:style w:type="paragraph" w:styleId="BodyText3">
    <w:name w:val="Body Text 3"/>
    <w:basedOn w:val="Normal"/>
    <w:link w:val="BodyText3Char"/>
    <w:uiPriority w:val="98"/>
    <w:semiHidden/>
    <w:rsid w:val="00BD554D"/>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554D"/>
    <w:pPr>
      <w:tabs>
        <w:tab w:val="left" w:pos="567"/>
        <w:tab w:val="left" w:pos="1134"/>
      </w:tabs>
    </w:pPr>
  </w:style>
  <w:style w:type="table" w:customStyle="1" w:styleId="ECHRHeaderTableReduced">
    <w:name w:val="ECHR_Header_Table_Reduced"/>
    <w:basedOn w:val="TableNormal"/>
    <w:uiPriority w:val="99"/>
    <w:rsid w:val="00BD55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554D"/>
    <w:rPr>
      <w:sz w:val="16"/>
      <w:szCs w:val="16"/>
      <w:lang w:val="en-GB"/>
    </w:rPr>
  </w:style>
  <w:style w:type="paragraph" w:styleId="BodyTextFirstIndent">
    <w:name w:val="Body Text First Indent"/>
    <w:basedOn w:val="BodyText"/>
    <w:link w:val="BodyTextFirstIndentChar"/>
    <w:uiPriority w:val="98"/>
    <w:semiHidden/>
    <w:rsid w:val="00BD554D"/>
    <w:pPr>
      <w:spacing w:after="0"/>
      <w:ind w:firstLine="360"/>
    </w:pPr>
  </w:style>
  <w:style w:type="character" w:customStyle="1" w:styleId="BodyTextFirstIndentChar">
    <w:name w:val="Body Text First Indent Char"/>
    <w:basedOn w:val="BodyTextChar"/>
    <w:link w:val="BodyTextFirstIndent"/>
    <w:uiPriority w:val="98"/>
    <w:semiHidden/>
    <w:rsid w:val="00BD554D"/>
    <w:rPr>
      <w:sz w:val="24"/>
      <w:szCs w:val="24"/>
      <w:lang w:val="en-GB"/>
    </w:rPr>
  </w:style>
  <w:style w:type="character" w:styleId="PlaceholderText">
    <w:name w:val="Placeholder Text"/>
    <w:basedOn w:val="DefaultParagraphFont"/>
    <w:uiPriority w:val="98"/>
    <w:semiHidden/>
    <w:rsid w:val="00BD554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2"/>
    <w:qFormat/>
    <w:rsid w:val="00BD554D"/>
    <w:pPr>
      <w:tabs>
        <w:tab w:val="center" w:pos="851"/>
        <w:tab w:val="center" w:pos="6407"/>
      </w:tabs>
      <w:spacing w:before="720"/>
    </w:pPr>
  </w:style>
  <w:style w:type="character" w:styleId="PageNumber">
    <w:name w:val="page number"/>
    <w:uiPriority w:val="99"/>
    <w:semiHidden/>
    <w:rsid w:val="00BD554D"/>
    <w:rPr>
      <w:sz w:val="18"/>
    </w:rPr>
  </w:style>
  <w:style w:type="character" w:styleId="CommentReference">
    <w:name w:val="annotation reference"/>
    <w:basedOn w:val="DefaultParagraphFont"/>
    <w:uiPriority w:val="98"/>
    <w:semiHidden/>
    <w:rsid w:val="00BD554D"/>
    <w:rPr>
      <w:sz w:val="16"/>
      <w:szCs w:val="16"/>
    </w:rPr>
  </w:style>
  <w:style w:type="paragraph" w:styleId="CommentText">
    <w:name w:val="annotation text"/>
    <w:basedOn w:val="Normal"/>
    <w:link w:val="CommentTextChar"/>
    <w:uiPriority w:val="98"/>
    <w:semiHidden/>
    <w:rsid w:val="00BD554D"/>
    <w:rPr>
      <w:sz w:val="20"/>
      <w:szCs w:val="20"/>
    </w:rPr>
  </w:style>
  <w:style w:type="character" w:customStyle="1" w:styleId="CommentTextChar">
    <w:name w:val="Comment Text Char"/>
    <w:basedOn w:val="DefaultParagraphFont"/>
    <w:link w:val="CommentText"/>
    <w:uiPriority w:val="98"/>
    <w:semiHidden/>
    <w:rsid w:val="00BD554D"/>
    <w:rPr>
      <w:sz w:val="20"/>
      <w:szCs w:val="20"/>
      <w:lang w:val="en-GB"/>
    </w:rPr>
  </w:style>
  <w:style w:type="paragraph" w:customStyle="1" w:styleId="DecHTitle">
    <w:name w:val="Dec_H_Title"/>
    <w:aliases w:val="_Title_1"/>
    <w:basedOn w:val="JuPara"/>
    <w:next w:val="JuPara"/>
    <w:uiPriority w:val="38"/>
    <w:qFormat/>
    <w:rsid w:val="00BD554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D554D"/>
    <w:pPr>
      <w:keepNext/>
      <w:keepLines/>
      <w:spacing w:before="240" w:after="240"/>
      <w:ind w:firstLine="284"/>
    </w:pPr>
  </w:style>
  <w:style w:type="numbering" w:styleId="ArticleSection">
    <w:name w:val="Outline List 3"/>
    <w:basedOn w:val="NoList"/>
    <w:uiPriority w:val="99"/>
    <w:semiHidden/>
    <w:unhideWhenUsed/>
    <w:rsid w:val="00BD554D"/>
    <w:pPr>
      <w:numPr>
        <w:numId w:val="3"/>
      </w:numPr>
    </w:pPr>
  </w:style>
  <w:style w:type="paragraph" w:styleId="ListBullet">
    <w:name w:val="List Bullet"/>
    <w:basedOn w:val="Normal"/>
    <w:uiPriority w:val="98"/>
    <w:semiHidden/>
    <w:rsid w:val="00BD554D"/>
    <w:pPr>
      <w:numPr>
        <w:numId w:val="12"/>
      </w:numPr>
    </w:pPr>
  </w:style>
  <w:style w:type="character" w:customStyle="1" w:styleId="ECHRParaChar">
    <w:name w:val="ECHR_Para Char"/>
    <w:aliases w:val="Ju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BD554D"/>
    <w:pPr>
      <w:ind w:firstLine="284"/>
    </w:pPr>
    <w:rPr>
      <w:b/>
    </w:rPr>
  </w:style>
  <w:style w:type="paragraph" w:styleId="BodyTextIndent">
    <w:name w:val="Body Text Indent"/>
    <w:basedOn w:val="Normal"/>
    <w:link w:val="BodyTextIndentChar"/>
    <w:uiPriority w:val="98"/>
    <w:semiHidden/>
    <w:rsid w:val="00BD554D"/>
    <w:pPr>
      <w:spacing w:after="120"/>
      <w:ind w:left="283"/>
    </w:pPr>
  </w:style>
  <w:style w:type="character" w:customStyle="1" w:styleId="BodyTextIndentChar">
    <w:name w:val="Body Text Indent Char"/>
    <w:basedOn w:val="DefaultParagraphFont"/>
    <w:link w:val="BodyTextIndent"/>
    <w:uiPriority w:val="98"/>
    <w:semiHidden/>
    <w:rsid w:val="00BD554D"/>
    <w:rPr>
      <w:sz w:val="24"/>
      <w:szCs w:val="24"/>
      <w:lang w:val="en-GB"/>
    </w:rPr>
  </w:style>
  <w:style w:type="paragraph" w:styleId="BodyTextFirstIndent2">
    <w:name w:val="Body Text First Indent 2"/>
    <w:basedOn w:val="BodyTextIndent"/>
    <w:link w:val="BodyTextFirstIndent2Char"/>
    <w:uiPriority w:val="98"/>
    <w:semiHidden/>
    <w:rsid w:val="00BD55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554D"/>
    <w:rPr>
      <w:sz w:val="24"/>
      <w:szCs w:val="24"/>
      <w:lang w:val="en-GB"/>
    </w:rPr>
  </w:style>
  <w:style w:type="paragraph" w:styleId="BodyTextIndent2">
    <w:name w:val="Body Text Indent 2"/>
    <w:basedOn w:val="Normal"/>
    <w:link w:val="BodyTextIndent2Char"/>
    <w:uiPriority w:val="98"/>
    <w:semiHidden/>
    <w:rsid w:val="00BD554D"/>
    <w:pPr>
      <w:spacing w:after="120" w:line="480" w:lineRule="auto"/>
      <w:ind w:left="283"/>
    </w:pPr>
  </w:style>
  <w:style w:type="character" w:customStyle="1" w:styleId="BodyTextIndent2Char">
    <w:name w:val="Body Text Indent 2 Char"/>
    <w:basedOn w:val="DefaultParagraphFont"/>
    <w:link w:val="BodyTextIndent2"/>
    <w:uiPriority w:val="98"/>
    <w:semiHidden/>
    <w:rsid w:val="00BD554D"/>
    <w:rPr>
      <w:sz w:val="24"/>
      <w:szCs w:val="24"/>
      <w:lang w:val="en-GB"/>
    </w:rPr>
  </w:style>
  <w:style w:type="paragraph" w:styleId="BodyTextIndent3">
    <w:name w:val="Body Text Indent 3"/>
    <w:basedOn w:val="Normal"/>
    <w:link w:val="BodyTextIndent3Char"/>
    <w:uiPriority w:val="98"/>
    <w:semiHidden/>
    <w:rsid w:val="00BD55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554D"/>
    <w:rPr>
      <w:sz w:val="16"/>
      <w:szCs w:val="16"/>
      <w:lang w:val="en-GB"/>
    </w:rPr>
  </w:style>
  <w:style w:type="paragraph" w:styleId="Caption">
    <w:name w:val="caption"/>
    <w:basedOn w:val="Normal"/>
    <w:next w:val="Normal"/>
    <w:uiPriority w:val="98"/>
    <w:semiHidden/>
    <w:qFormat/>
    <w:rsid w:val="00BD554D"/>
    <w:pPr>
      <w:spacing w:after="200"/>
    </w:pPr>
    <w:rPr>
      <w:b/>
      <w:bCs/>
      <w:color w:val="0072BC" w:themeColor="accent1"/>
      <w:sz w:val="18"/>
      <w:szCs w:val="18"/>
    </w:rPr>
  </w:style>
  <w:style w:type="paragraph" w:styleId="Closing">
    <w:name w:val="Closing"/>
    <w:basedOn w:val="Normal"/>
    <w:link w:val="ClosingChar"/>
    <w:uiPriority w:val="98"/>
    <w:semiHidden/>
    <w:rsid w:val="00BD554D"/>
    <w:pPr>
      <w:ind w:left="4252"/>
    </w:pPr>
  </w:style>
  <w:style w:type="character" w:customStyle="1" w:styleId="ClosingChar">
    <w:name w:val="Closing Char"/>
    <w:basedOn w:val="DefaultParagraphFont"/>
    <w:link w:val="Closing"/>
    <w:uiPriority w:val="98"/>
    <w:semiHidden/>
    <w:rsid w:val="00BD554D"/>
    <w:rPr>
      <w:sz w:val="24"/>
      <w:szCs w:val="24"/>
      <w:lang w:val="en-GB"/>
    </w:rPr>
  </w:style>
  <w:style w:type="table" w:styleId="ColorfulGrid">
    <w:name w:val="Colorful Grid"/>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55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55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55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55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55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55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55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55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55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55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55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554D"/>
    <w:rPr>
      <w:b/>
      <w:bCs/>
    </w:rPr>
  </w:style>
  <w:style w:type="character" w:customStyle="1" w:styleId="CommentSubjectChar">
    <w:name w:val="Comment Subject Char"/>
    <w:basedOn w:val="CommentTextChar"/>
    <w:link w:val="CommentSubject"/>
    <w:uiPriority w:val="98"/>
    <w:semiHidden/>
    <w:rsid w:val="00BD554D"/>
    <w:rPr>
      <w:b/>
      <w:bCs/>
      <w:sz w:val="20"/>
      <w:szCs w:val="20"/>
      <w:lang w:val="en-GB"/>
    </w:rPr>
  </w:style>
  <w:style w:type="table" w:styleId="DarkList">
    <w:name w:val="Dark List"/>
    <w:basedOn w:val="TableNormal"/>
    <w:uiPriority w:val="70"/>
    <w:semiHidden/>
    <w:rsid w:val="00BD55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55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55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55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55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55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55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554D"/>
  </w:style>
  <w:style w:type="character" w:customStyle="1" w:styleId="DateChar">
    <w:name w:val="Date Char"/>
    <w:basedOn w:val="DefaultParagraphFont"/>
    <w:link w:val="Date"/>
    <w:uiPriority w:val="98"/>
    <w:semiHidden/>
    <w:rsid w:val="00BD554D"/>
    <w:rPr>
      <w:sz w:val="24"/>
      <w:szCs w:val="24"/>
      <w:lang w:val="en-GB"/>
    </w:rPr>
  </w:style>
  <w:style w:type="paragraph" w:styleId="DocumentMap">
    <w:name w:val="Document Map"/>
    <w:basedOn w:val="Normal"/>
    <w:link w:val="DocumentMapChar"/>
    <w:uiPriority w:val="98"/>
    <w:semiHidden/>
    <w:rsid w:val="00BD554D"/>
    <w:rPr>
      <w:rFonts w:ascii="Tahoma" w:hAnsi="Tahoma" w:cs="Tahoma"/>
      <w:sz w:val="16"/>
      <w:szCs w:val="16"/>
    </w:rPr>
  </w:style>
  <w:style w:type="character" w:customStyle="1" w:styleId="DocumentMapChar">
    <w:name w:val="Document Map Char"/>
    <w:basedOn w:val="DefaultParagraphFont"/>
    <w:link w:val="DocumentMap"/>
    <w:uiPriority w:val="98"/>
    <w:semiHidden/>
    <w:rsid w:val="00BD554D"/>
    <w:rPr>
      <w:rFonts w:ascii="Tahoma" w:hAnsi="Tahoma" w:cs="Tahoma"/>
      <w:sz w:val="16"/>
      <w:szCs w:val="16"/>
      <w:lang w:val="en-GB"/>
    </w:rPr>
  </w:style>
  <w:style w:type="paragraph" w:styleId="E-mailSignature">
    <w:name w:val="E-mail Signature"/>
    <w:basedOn w:val="Normal"/>
    <w:link w:val="E-mailSignatureChar"/>
    <w:uiPriority w:val="98"/>
    <w:semiHidden/>
    <w:rsid w:val="00BD554D"/>
  </w:style>
  <w:style w:type="character" w:customStyle="1" w:styleId="E-mailSignatureChar">
    <w:name w:val="E-mail Signature Char"/>
    <w:basedOn w:val="DefaultParagraphFont"/>
    <w:link w:val="E-mailSignature"/>
    <w:uiPriority w:val="98"/>
    <w:semiHidden/>
    <w:rsid w:val="00BD554D"/>
    <w:rPr>
      <w:sz w:val="24"/>
      <w:szCs w:val="24"/>
      <w:lang w:val="en-GB"/>
    </w:rPr>
  </w:style>
  <w:style w:type="character" w:styleId="EndnoteReference">
    <w:name w:val="endnote reference"/>
    <w:basedOn w:val="DefaultParagraphFont"/>
    <w:uiPriority w:val="98"/>
    <w:semiHidden/>
    <w:rsid w:val="00BD554D"/>
    <w:rPr>
      <w:vertAlign w:val="superscript"/>
    </w:rPr>
  </w:style>
  <w:style w:type="paragraph" w:styleId="EndnoteText">
    <w:name w:val="endnote text"/>
    <w:basedOn w:val="Normal"/>
    <w:link w:val="EndnoteTextChar"/>
    <w:uiPriority w:val="98"/>
    <w:semiHidden/>
    <w:rsid w:val="00BD554D"/>
    <w:rPr>
      <w:sz w:val="20"/>
      <w:szCs w:val="20"/>
    </w:rPr>
  </w:style>
  <w:style w:type="character" w:customStyle="1" w:styleId="EndnoteTextChar">
    <w:name w:val="Endnote Text Char"/>
    <w:basedOn w:val="DefaultParagraphFont"/>
    <w:link w:val="EndnoteText"/>
    <w:uiPriority w:val="98"/>
    <w:semiHidden/>
    <w:rsid w:val="00BD554D"/>
    <w:rPr>
      <w:sz w:val="20"/>
      <w:szCs w:val="20"/>
      <w:lang w:val="en-GB"/>
    </w:rPr>
  </w:style>
  <w:style w:type="paragraph" w:styleId="EnvelopeAddress">
    <w:name w:val="envelope address"/>
    <w:basedOn w:val="Normal"/>
    <w:uiPriority w:val="98"/>
    <w:semiHidden/>
    <w:rsid w:val="00BD55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55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554D"/>
    <w:rPr>
      <w:color w:val="7030A0" w:themeColor="followedHyperlink"/>
      <w:u w:val="single"/>
    </w:rPr>
  </w:style>
  <w:style w:type="character" w:styleId="HTMLAcronym">
    <w:name w:val="HTML Acronym"/>
    <w:basedOn w:val="DefaultParagraphFont"/>
    <w:uiPriority w:val="98"/>
    <w:semiHidden/>
    <w:rsid w:val="00BD554D"/>
  </w:style>
  <w:style w:type="paragraph" w:styleId="HTMLAddress">
    <w:name w:val="HTML Address"/>
    <w:basedOn w:val="Normal"/>
    <w:link w:val="HTMLAddressChar"/>
    <w:uiPriority w:val="98"/>
    <w:semiHidden/>
    <w:rsid w:val="00BD554D"/>
    <w:rPr>
      <w:i/>
      <w:iCs/>
    </w:rPr>
  </w:style>
  <w:style w:type="character" w:customStyle="1" w:styleId="HTMLAddressChar">
    <w:name w:val="HTML Address Char"/>
    <w:basedOn w:val="DefaultParagraphFont"/>
    <w:link w:val="HTMLAddress"/>
    <w:uiPriority w:val="98"/>
    <w:semiHidden/>
    <w:rsid w:val="00BD554D"/>
    <w:rPr>
      <w:i/>
      <w:iCs/>
      <w:sz w:val="24"/>
      <w:szCs w:val="24"/>
      <w:lang w:val="en-GB"/>
    </w:rPr>
  </w:style>
  <w:style w:type="character" w:styleId="HTMLCite">
    <w:name w:val="HTML Cite"/>
    <w:basedOn w:val="DefaultParagraphFont"/>
    <w:uiPriority w:val="98"/>
    <w:semiHidden/>
    <w:rsid w:val="00BD554D"/>
    <w:rPr>
      <w:i/>
      <w:iCs/>
    </w:rPr>
  </w:style>
  <w:style w:type="character" w:styleId="HTMLCode">
    <w:name w:val="HTML Code"/>
    <w:basedOn w:val="DefaultParagraphFont"/>
    <w:uiPriority w:val="98"/>
    <w:semiHidden/>
    <w:rsid w:val="00BD554D"/>
    <w:rPr>
      <w:rFonts w:ascii="Consolas" w:hAnsi="Consolas" w:cs="Consolas"/>
      <w:sz w:val="20"/>
      <w:szCs w:val="20"/>
    </w:rPr>
  </w:style>
  <w:style w:type="character" w:styleId="HTMLDefinition">
    <w:name w:val="HTML Definition"/>
    <w:basedOn w:val="DefaultParagraphFont"/>
    <w:uiPriority w:val="98"/>
    <w:semiHidden/>
    <w:rsid w:val="00BD554D"/>
    <w:rPr>
      <w:i/>
      <w:iCs/>
    </w:rPr>
  </w:style>
  <w:style w:type="character" w:styleId="HTMLKeyboard">
    <w:name w:val="HTML Keyboard"/>
    <w:basedOn w:val="DefaultParagraphFont"/>
    <w:uiPriority w:val="98"/>
    <w:semiHidden/>
    <w:rsid w:val="00BD554D"/>
    <w:rPr>
      <w:rFonts w:ascii="Consolas" w:hAnsi="Consolas" w:cs="Consolas"/>
      <w:sz w:val="20"/>
      <w:szCs w:val="20"/>
    </w:rPr>
  </w:style>
  <w:style w:type="paragraph" w:styleId="HTMLPreformatted">
    <w:name w:val="HTML Preformatted"/>
    <w:basedOn w:val="Normal"/>
    <w:link w:val="HTMLPreformattedChar"/>
    <w:uiPriority w:val="98"/>
    <w:semiHidden/>
    <w:rsid w:val="00BD55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554D"/>
    <w:rPr>
      <w:rFonts w:ascii="Consolas" w:hAnsi="Consolas" w:cs="Consolas"/>
      <w:sz w:val="20"/>
      <w:szCs w:val="20"/>
      <w:lang w:val="en-GB"/>
    </w:rPr>
  </w:style>
  <w:style w:type="character" w:styleId="HTMLSample">
    <w:name w:val="HTML Sample"/>
    <w:basedOn w:val="DefaultParagraphFont"/>
    <w:uiPriority w:val="98"/>
    <w:semiHidden/>
    <w:rsid w:val="00BD554D"/>
    <w:rPr>
      <w:rFonts w:ascii="Consolas" w:hAnsi="Consolas" w:cs="Consolas"/>
      <w:sz w:val="24"/>
      <w:szCs w:val="24"/>
    </w:rPr>
  </w:style>
  <w:style w:type="character" w:styleId="HTMLTypewriter">
    <w:name w:val="HTML Typewriter"/>
    <w:basedOn w:val="DefaultParagraphFont"/>
    <w:uiPriority w:val="98"/>
    <w:semiHidden/>
    <w:rsid w:val="00BD554D"/>
    <w:rPr>
      <w:rFonts w:ascii="Consolas" w:hAnsi="Consolas" w:cs="Consolas"/>
      <w:sz w:val="20"/>
      <w:szCs w:val="20"/>
    </w:rPr>
  </w:style>
  <w:style w:type="character" w:styleId="HTMLVariable">
    <w:name w:val="HTML Variable"/>
    <w:basedOn w:val="DefaultParagraphFont"/>
    <w:uiPriority w:val="98"/>
    <w:semiHidden/>
    <w:rsid w:val="00BD554D"/>
    <w:rPr>
      <w:i/>
      <w:iCs/>
    </w:rPr>
  </w:style>
  <w:style w:type="paragraph" w:styleId="Index1">
    <w:name w:val="index 1"/>
    <w:basedOn w:val="Normal"/>
    <w:next w:val="Normal"/>
    <w:autoRedefine/>
    <w:uiPriority w:val="98"/>
    <w:semiHidden/>
    <w:rsid w:val="00BD554D"/>
    <w:pPr>
      <w:ind w:left="240" w:hanging="240"/>
    </w:pPr>
  </w:style>
  <w:style w:type="paragraph" w:styleId="Index2">
    <w:name w:val="index 2"/>
    <w:basedOn w:val="Normal"/>
    <w:next w:val="Normal"/>
    <w:autoRedefine/>
    <w:uiPriority w:val="98"/>
    <w:semiHidden/>
    <w:rsid w:val="00BD554D"/>
    <w:pPr>
      <w:ind w:left="480" w:hanging="240"/>
    </w:pPr>
  </w:style>
  <w:style w:type="paragraph" w:styleId="Index3">
    <w:name w:val="index 3"/>
    <w:basedOn w:val="Normal"/>
    <w:next w:val="Normal"/>
    <w:autoRedefine/>
    <w:uiPriority w:val="98"/>
    <w:semiHidden/>
    <w:rsid w:val="00BD554D"/>
    <w:pPr>
      <w:ind w:left="720" w:hanging="240"/>
    </w:pPr>
  </w:style>
  <w:style w:type="paragraph" w:styleId="Index4">
    <w:name w:val="index 4"/>
    <w:basedOn w:val="Normal"/>
    <w:next w:val="Normal"/>
    <w:autoRedefine/>
    <w:uiPriority w:val="98"/>
    <w:semiHidden/>
    <w:rsid w:val="00BD554D"/>
    <w:pPr>
      <w:ind w:left="960" w:hanging="240"/>
    </w:pPr>
  </w:style>
  <w:style w:type="paragraph" w:styleId="Index5">
    <w:name w:val="index 5"/>
    <w:basedOn w:val="Normal"/>
    <w:next w:val="Normal"/>
    <w:autoRedefine/>
    <w:uiPriority w:val="98"/>
    <w:semiHidden/>
    <w:rsid w:val="00BD554D"/>
    <w:pPr>
      <w:ind w:left="1200" w:hanging="240"/>
    </w:pPr>
  </w:style>
  <w:style w:type="paragraph" w:styleId="Index6">
    <w:name w:val="index 6"/>
    <w:basedOn w:val="Normal"/>
    <w:next w:val="Normal"/>
    <w:autoRedefine/>
    <w:uiPriority w:val="98"/>
    <w:semiHidden/>
    <w:rsid w:val="00BD554D"/>
    <w:pPr>
      <w:ind w:left="1440" w:hanging="240"/>
    </w:pPr>
  </w:style>
  <w:style w:type="paragraph" w:styleId="Index7">
    <w:name w:val="index 7"/>
    <w:basedOn w:val="Normal"/>
    <w:next w:val="Normal"/>
    <w:autoRedefine/>
    <w:uiPriority w:val="98"/>
    <w:semiHidden/>
    <w:rsid w:val="00BD554D"/>
    <w:pPr>
      <w:ind w:left="1680" w:hanging="240"/>
    </w:pPr>
  </w:style>
  <w:style w:type="paragraph" w:styleId="Index8">
    <w:name w:val="index 8"/>
    <w:basedOn w:val="Normal"/>
    <w:next w:val="Normal"/>
    <w:autoRedefine/>
    <w:uiPriority w:val="98"/>
    <w:semiHidden/>
    <w:rsid w:val="00BD554D"/>
    <w:pPr>
      <w:ind w:left="1920" w:hanging="240"/>
    </w:pPr>
  </w:style>
  <w:style w:type="paragraph" w:styleId="Index9">
    <w:name w:val="index 9"/>
    <w:basedOn w:val="Normal"/>
    <w:next w:val="Normal"/>
    <w:autoRedefine/>
    <w:uiPriority w:val="98"/>
    <w:semiHidden/>
    <w:rsid w:val="00BD554D"/>
    <w:pPr>
      <w:ind w:left="2160" w:hanging="240"/>
    </w:pPr>
  </w:style>
  <w:style w:type="paragraph" w:styleId="IndexHeading">
    <w:name w:val="index heading"/>
    <w:basedOn w:val="Normal"/>
    <w:next w:val="Index1"/>
    <w:uiPriority w:val="98"/>
    <w:semiHidden/>
    <w:rsid w:val="00BD554D"/>
    <w:rPr>
      <w:rFonts w:asciiTheme="majorHAnsi" w:eastAsiaTheme="majorEastAsia" w:hAnsiTheme="majorHAnsi" w:cstheme="majorBidi"/>
      <w:b/>
      <w:bCs/>
    </w:rPr>
  </w:style>
  <w:style w:type="table" w:styleId="LightGrid">
    <w:name w:val="Light Grid"/>
    <w:basedOn w:val="TableNormal"/>
    <w:uiPriority w:val="62"/>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55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55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55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55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55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55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55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554D"/>
  </w:style>
  <w:style w:type="paragraph" w:styleId="List">
    <w:name w:val="List"/>
    <w:basedOn w:val="Normal"/>
    <w:uiPriority w:val="98"/>
    <w:semiHidden/>
    <w:rsid w:val="00BD554D"/>
    <w:pPr>
      <w:ind w:left="283" w:hanging="283"/>
      <w:contextualSpacing/>
    </w:pPr>
  </w:style>
  <w:style w:type="paragraph" w:styleId="List2">
    <w:name w:val="List 2"/>
    <w:basedOn w:val="Normal"/>
    <w:uiPriority w:val="98"/>
    <w:semiHidden/>
    <w:rsid w:val="00BD554D"/>
    <w:pPr>
      <w:ind w:left="566" w:hanging="283"/>
      <w:contextualSpacing/>
    </w:pPr>
  </w:style>
  <w:style w:type="paragraph" w:styleId="List3">
    <w:name w:val="List 3"/>
    <w:basedOn w:val="Normal"/>
    <w:uiPriority w:val="98"/>
    <w:semiHidden/>
    <w:rsid w:val="00BD554D"/>
    <w:pPr>
      <w:ind w:left="849" w:hanging="283"/>
      <w:contextualSpacing/>
    </w:pPr>
  </w:style>
  <w:style w:type="paragraph" w:styleId="List4">
    <w:name w:val="List 4"/>
    <w:basedOn w:val="Normal"/>
    <w:uiPriority w:val="98"/>
    <w:semiHidden/>
    <w:rsid w:val="00BD554D"/>
    <w:pPr>
      <w:ind w:left="1132" w:hanging="283"/>
      <w:contextualSpacing/>
    </w:pPr>
  </w:style>
  <w:style w:type="paragraph" w:styleId="List5">
    <w:name w:val="List 5"/>
    <w:basedOn w:val="Normal"/>
    <w:uiPriority w:val="98"/>
    <w:semiHidden/>
    <w:rsid w:val="00BD554D"/>
    <w:pPr>
      <w:ind w:left="1415" w:hanging="283"/>
      <w:contextualSpacing/>
    </w:pPr>
  </w:style>
  <w:style w:type="paragraph" w:styleId="ListBullet2">
    <w:name w:val="List Bullet 2"/>
    <w:basedOn w:val="Normal"/>
    <w:uiPriority w:val="98"/>
    <w:semiHidden/>
    <w:rsid w:val="00BD554D"/>
    <w:pPr>
      <w:numPr>
        <w:numId w:val="13"/>
      </w:numPr>
      <w:contextualSpacing/>
    </w:pPr>
  </w:style>
  <w:style w:type="paragraph" w:styleId="ListBullet3">
    <w:name w:val="List Bullet 3"/>
    <w:basedOn w:val="Normal"/>
    <w:uiPriority w:val="98"/>
    <w:semiHidden/>
    <w:rsid w:val="00BD554D"/>
    <w:pPr>
      <w:numPr>
        <w:numId w:val="14"/>
      </w:numPr>
      <w:contextualSpacing/>
    </w:pPr>
  </w:style>
  <w:style w:type="paragraph" w:styleId="ListBullet4">
    <w:name w:val="List Bullet 4"/>
    <w:basedOn w:val="Normal"/>
    <w:uiPriority w:val="98"/>
    <w:semiHidden/>
    <w:rsid w:val="00BD554D"/>
    <w:pPr>
      <w:numPr>
        <w:numId w:val="15"/>
      </w:numPr>
      <w:contextualSpacing/>
    </w:pPr>
  </w:style>
  <w:style w:type="paragraph" w:styleId="ListBullet5">
    <w:name w:val="List Bullet 5"/>
    <w:basedOn w:val="Normal"/>
    <w:uiPriority w:val="98"/>
    <w:semiHidden/>
    <w:rsid w:val="00BD554D"/>
    <w:pPr>
      <w:numPr>
        <w:numId w:val="16"/>
      </w:numPr>
      <w:contextualSpacing/>
    </w:pPr>
  </w:style>
  <w:style w:type="paragraph" w:styleId="ListContinue">
    <w:name w:val="List Continue"/>
    <w:basedOn w:val="Normal"/>
    <w:uiPriority w:val="98"/>
    <w:semiHidden/>
    <w:rsid w:val="00BD554D"/>
    <w:pPr>
      <w:spacing w:after="120"/>
      <w:ind w:left="283"/>
      <w:contextualSpacing/>
    </w:pPr>
  </w:style>
  <w:style w:type="paragraph" w:styleId="ListContinue2">
    <w:name w:val="List Continue 2"/>
    <w:basedOn w:val="Normal"/>
    <w:uiPriority w:val="98"/>
    <w:semiHidden/>
    <w:rsid w:val="00BD554D"/>
    <w:pPr>
      <w:spacing w:after="120"/>
      <w:ind w:left="566"/>
      <w:contextualSpacing/>
    </w:pPr>
  </w:style>
  <w:style w:type="paragraph" w:styleId="ListContinue3">
    <w:name w:val="List Continue 3"/>
    <w:basedOn w:val="Normal"/>
    <w:uiPriority w:val="98"/>
    <w:semiHidden/>
    <w:rsid w:val="00BD554D"/>
    <w:pPr>
      <w:spacing w:after="120"/>
      <w:ind w:left="849"/>
      <w:contextualSpacing/>
    </w:pPr>
  </w:style>
  <w:style w:type="paragraph" w:styleId="ListContinue4">
    <w:name w:val="List Continue 4"/>
    <w:basedOn w:val="Normal"/>
    <w:uiPriority w:val="98"/>
    <w:semiHidden/>
    <w:rsid w:val="00BD554D"/>
    <w:pPr>
      <w:spacing w:after="120"/>
      <w:ind w:left="1132"/>
      <w:contextualSpacing/>
    </w:pPr>
  </w:style>
  <w:style w:type="paragraph" w:styleId="ListContinue5">
    <w:name w:val="List Continue 5"/>
    <w:basedOn w:val="Normal"/>
    <w:uiPriority w:val="98"/>
    <w:semiHidden/>
    <w:rsid w:val="00BD554D"/>
    <w:pPr>
      <w:spacing w:after="120"/>
      <w:ind w:left="1415"/>
      <w:contextualSpacing/>
    </w:pPr>
  </w:style>
  <w:style w:type="paragraph" w:styleId="ListNumber">
    <w:name w:val="List Number"/>
    <w:basedOn w:val="Normal"/>
    <w:uiPriority w:val="98"/>
    <w:semiHidden/>
    <w:rsid w:val="00BD554D"/>
    <w:pPr>
      <w:numPr>
        <w:numId w:val="17"/>
      </w:numPr>
      <w:contextualSpacing/>
    </w:pPr>
  </w:style>
  <w:style w:type="paragraph" w:styleId="ListNumber2">
    <w:name w:val="List Number 2"/>
    <w:basedOn w:val="Normal"/>
    <w:uiPriority w:val="98"/>
    <w:semiHidden/>
    <w:rsid w:val="00BD554D"/>
    <w:pPr>
      <w:numPr>
        <w:numId w:val="18"/>
      </w:numPr>
      <w:contextualSpacing/>
    </w:pPr>
  </w:style>
  <w:style w:type="paragraph" w:styleId="ListNumber3">
    <w:name w:val="List Number 3"/>
    <w:basedOn w:val="Normal"/>
    <w:uiPriority w:val="98"/>
    <w:semiHidden/>
    <w:rsid w:val="00BD554D"/>
    <w:pPr>
      <w:numPr>
        <w:numId w:val="19"/>
      </w:numPr>
      <w:contextualSpacing/>
    </w:pPr>
  </w:style>
  <w:style w:type="paragraph" w:styleId="ListNumber4">
    <w:name w:val="List Number 4"/>
    <w:basedOn w:val="Normal"/>
    <w:uiPriority w:val="98"/>
    <w:semiHidden/>
    <w:rsid w:val="00BD554D"/>
    <w:pPr>
      <w:numPr>
        <w:numId w:val="20"/>
      </w:numPr>
      <w:contextualSpacing/>
    </w:pPr>
  </w:style>
  <w:style w:type="paragraph" w:styleId="ListNumber5">
    <w:name w:val="List Number 5"/>
    <w:basedOn w:val="Normal"/>
    <w:uiPriority w:val="98"/>
    <w:semiHidden/>
    <w:rsid w:val="00BD554D"/>
    <w:pPr>
      <w:numPr>
        <w:numId w:val="21"/>
      </w:numPr>
      <w:contextualSpacing/>
    </w:pPr>
  </w:style>
  <w:style w:type="paragraph" w:styleId="MacroText">
    <w:name w:val="macro"/>
    <w:link w:val="MacroTextChar"/>
    <w:uiPriority w:val="98"/>
    <w:semiHidden/>
    <w:rsid w:val="00BD55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554D"/>
    <w:rPr>
      <w:rFonts w:ascii="Consolas" w:eastAsiaTheme="minorEastAsia" w:hAnsi="Consolas" w:cs="Consolas"/>
      <w:sz w:val="20"/>
      <w:szCs w:val="20"/>
    </w:rPr>
  </w:style>
  <w:style w:type="table" w:styleId="MediumGrid1">
    <w:name w:val="Medium Grid 1"/>
    <w:basedOn w:val="TableNormal"/>
    <w:uiPriority w:val="67"/>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55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55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55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55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55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55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55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55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55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554D"/>
    <w:rPr>
      <w:rFonts w:ascii="Times New Roman" w:hAnsi="Times New Roman" w:cs="Times New Roman"/>
    </w:rPr>
  </w:style>
  <w:style w:type="paragraph" w:styleId="NormalIndent">
    <w:name w:val="Normal Indent"/>
    <w:basedOn w:val="Normal"/>
    <w:uiPriority w:val="98"/>
    <w:semiHidden/>
    <w:rsid w:val="00BD554D"/>
    <w:pPr>
      <w:ind w:left="720"/>
    </w:pPr>
  </w:style>
  <w:style w:type="paragraph" w:customStyle="1" w:styleId="NoteHeading1">
    <w:name w:val="Note Heading1"/>
    <w:basedOn w:val="Normal"/>
    <w:next w:val="Normal"/>
    <w:uiPriority w:val="99"/>
    <w:semiHidden/>
    <w:rsid w:val="0039116D"/>
  </w:style>
  <w:style w:type="character" w:customStyle="1" w:styleId="NoteHeadingChar">
    <w:name w:val="Note Heading Char"/>
    <w:basedOn w:val="DefaultParagraphFont"/>
    <w:link w:val="NoteHeading"/>
    <w:uiPriority w:val="98"/>
    <w:semiHidden/>
    <w:rsid w:val="00BD554D"/>
    <w:rPr>
      <w:sz w:val="24"/>
      <w:szCs w:val="24"/>
      <w:lang w:val="en-GB"/>
    </w:rPr>
  </w:style>
  <w:style w:type="paragraph" w:styleId="PlainText">
    <w:name w:val="Plain Text"/>
    <w:basedOn w:val="Normal"/>
    <w:link w:val="PlainTextChar"/>
    <w:uiPriority w:val="98"/>
    <w:semiHidden/>
    <w:rsid w:val="00BD554D"/>
    <w:rPr>
      <w:rFonts w:ascii="Consolas" w:hAnsi="Consolas" w:cs="Consolas"/>
      <w:sz w:val="21"/>
      <w:szCs w:val="21"/>
    </w:rPr>
  </w:style>
  <w:style w:type="character" w:customStyle="1" w:styleId="PlainTextChar">
    <w:name w:val="Plain Text Char"/>
    <w:basedOn w:val="DefaultParagraphFont"/>
    <w:link w:val="PlainText"/>
    <w:uiPriority w:val="98"/>
    <w:semiHidden/>
    <w:rsid w:val="00BD554D"/>
    <w:rPr>
      <w:rFonts w:ascii="Consolas" w:hAnsi="Consolas" w:cs="Consolas"/>
      <w:sz w:val="21"/>
      <w:szCs w:val="21"/>
      <w:lang w:val="en-GB"/>
    </w:rPr>
  </w:style>
  <w:style w:type="paragraph" w:styleId="Salutation">
    <w:name w:val="Salutation"/>
    <w:basedOn w:val="Normal"/>
    <w:next w:val="Normal"/>
    <w:link w:val="SalutationChar"/>
    <w:uiPriority w:val="98"/>
    <w:semiHidden/>
    <w:rsid w:val="00BD554D"/>
  </w:style>
  <w:style w:type="character" w:customStyle="1" w:styleId="SalutationChar">
    <w:name w:val="Salutation Char"/>
    <w:basedOn w:val="DefaultParagraphFont"/>
    <w:link w:val="Salutation"/>
    <w:uiPriority w:val="98"/>
    <w:semiHidden/>
    <w:rsid w:val="00BD554D"/>
    <w:rPr>
      <w:sz w:val="24"/>
      <w:szCs w:val="24"/>
      <w:lang w:val="en-GB"/>
    </w:rPr>
  </w:style>
  <w:style w:type="paragraph" w:styleId="Signature">
    <w:name w:val="Signature"/>
    <w:basedOn w:val="Normal"/>
    <w:link w:val="SignatureChar"/>
    <w:uiPriority w:val="98"/>
    <w:semiHidden/>
    <w:rsid w:val="00BD554D"/>
    <w:pPr>
      <w:ind w:left="4252"/>
    </w:pPr>
  </w:style>
  <w:style w:type="character" w:customStyle="1" w:styleId="SignatureChar">
    <w:name w:val="Signature Char"/>
    <w:basedOn w:val="DefaultParagraphFont"/>
    <w:link w:val="Signature"/>
    <w:uiPriority w:val="98"/>
    <w:semiHidden/>
    <w:rsid w:val="00BD554D"/>
    <w:rPr>
      <w:sz w:val="24"/>
      <w:szCs w:val="24"/>
      <w:lang w:val="en-GB"/>
    </w:rPr>
  </w:style>
  <w:style w:type="table" w:styleId="Table3Deffects1">
    <w:name w:val="Table 3D effects 1"/>
    <w:basedOn w:val="TableNormal"/>
    <w:uiPriority w:val="99"/>
    <w:semiHidden/>
    <w:unhideWhenUsed/>
    <w:rsid w:val="00BD55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55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55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55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55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55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55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55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55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55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55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55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55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55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55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55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55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55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55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55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55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55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55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55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554D"/>
    <w:pPr>
      <w:ind w:left="240" w:hanging="240"/>
    </w:pPr>
  </w:style>
  <w:style w:type="paragraph" w:styleId="TableofFigures">
    <w:name w:val="table of figures"/>
    <w:basedOn w:val="Normal"/>
    <w:next w:val="Normal"/>
    <w:uiPriority w:val="98"/>
    <w:semiHidden/>
    <w:rsid w:val="00BD554D"/>
  </w:style>
  <w:style w:type="table" w:styleId="TableProfessional">
    <w:name w:val="Table Professional"/>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55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55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55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55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55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55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55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55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55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55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554D"/>
    <w:pPr>
      <w:spacing w:after="100"/>
      <w:ind w:left="1680"/>
    </w:pPr>
  </w:style>
  <w:style w:type="paragraph" w:styleId="TOC9">
    <w:name w:val="toc 9"/>
    <w:basedOn w:val="Normal"/>
    <w:next w:val="Normal"/>
    <w:autoRedefine/>
    <w:uiPriority w:val="98"/>
    <w:semiHidden/>
    <w:rsid w:val="00BD554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BD554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554D"/>
    <w:rPr>
      <w:color w:val="0072BC" w:themeColor="hyperlink"/>
      <w:u w:val="single"/>
    </w:rPr>
  </w:style>
  <w:style w:type="paragraph" w:styleId="NoteHeading">
    <w:name w:val="Note Heading"/>
    <w:basedOn w:val="Normal"/>
    <w:next w:val="Normal"/>
    <w:link w:val="NoteHeadingChar"/>
    <w:uiPriority w:val="98"/>
    <w:semiHidden/>
    <w:rsid w:val="00BD554D"/>
  </w:style>
  <w:style w:type="character" w:customStyle="1" w:styleId="NoteHeadingChar1">
    <w:name w:val="Note Heading Char1"/>
    <w:basedOn w:val="DefaultParagraphFont"/>
    <w:uiPriority w:val="99"/>
    <w:semiHidden/>
    <w:rsid w:val="00497FF8"/>
    <w:rPr>
      <w:rFonts w:eastAsiaTheme="minorEastAsia"/>
      <w:sz w:val="24"/>
      <w:lang w:val="en-GB"/>
    </w:rPr>
  </w:style>
  <w:style w:type="paragraph" w:customStyle="1" w:styleId="DummyStyle">
    <w:name w:val="Dummy_Style"/>
    <w:aliases w:val="_Dummy"/>
    <w:basedOn w:val="Normal"/>
    <w:semiHidden/>
    <w:qFormat/>
    <w:rsid w:val="00BD554D"/>
    <w:rPr>
      <w:color w:val="00B050"/>
      <w:sz w:val="22"/>
    </w:rPr>
  </w:style>
  <w:style w:type="paragraph" w:customStyle="1" w:styleId="ECHRBullet1">
    <w:name w:val="ECHR_Bullet_1"/>
    <w:aliases w:val="_Bul_1"/>
    <w:basedOn w:val="NormalJustified"/>
    <w:uiPriority w:val="23"/>
    <w:semiHidden/>
    <w:qFormat/>
    <w:rsid w:val="00BD554D"/>
    <w:pPr>
      <w:numPr>
        <w:numId w:val="7"/>
      </w:numPr>
      <w:spacing w:before="60" w:after="60"/>
    </w:pPr>
  </w:style>
  <w:style w:type="paragraph" w:customStyle="1" w:styleId="ECHRBullet2">
    <w:name w:val="ECHR_Bullet_2"/>
    <w:aliases w:val="_Bul_2"/>
    <w:basedOn w:val="ECHRBullet1"/>
    <w:uiPriority w:val="23"/>
    <w:semiHidden/>
    <w:rsid w:val="00BD554D"/>
    <w:pPr>
      <w:numPr>
        <w:ilvl w:val="1"/>
      </w:numPr>
    </w:pPr>
  </w:style>
  <w:style w:type="paragraph" w:customStyle="1" w:styleId="ECHRBullet3">
    <w:name w:val="ECHR_Bullet_3"/>
    <w:aliases w:val="_Bul_3"/>
    <w:basedOn w:val="ECHRBullet2"/>
    <w:uiPriority w:val="23"/>
    <w:semiHidden/>
    <w:rsid w:val="00BD554D"/>
    <w:pPr>
      <w:numPr>
        <w:ilvl w:val="2"/>
      </w:numPr>
    </w:pPr>
  </w:style>
  <w:style w:type="paragraph" w:customStyle="1" w:styleId="ECHRBullet4">
    <w:name w:val="ECHR_Bullet_4"/>
    <w:aliases w:val="_Bul_4"/>
    <w:basedOn w:val="ECHRBullet3"/>
    <w:uiPriority w:val="23"/>
    <w:semiHidden/>
    <w:rsid w:val="00BD554D"/>
    <w:pPr>
      <w:numPr>
        <w:ilvl w:val="3"/>
      </w:numPr>
    </w:pPr>
  </w:style>
  <w:style w:type="paragraph" w:customStyle="1" w:styleId="ECHRConfidential">
    <w:name w:val="ECHR_Confidential"/>
    <w:aliases w:val="_Confidential"/>
    <w:basedOn w:val="Normal"/>
    <w:next w:val="Normal"/>
    <w:uiPriority w:val="42"/>
    <w:semiHidden/>
    <w:qFormat/>
    <w:rsid w:val="00BD554D"/>
    <w:pPr>
      <w:jc w:val="right"/>
    </w:pPr>
    <w:rPr>
      <w:color w:val="C00000"/>
      <w:sz w:val="20"/>
    </w:rPr>
  </w:style>
  <w:style w:type="paragraph" w:customStyle="1" w:styleId="ECHRDecisionBody">
    <w:name w:val="ECHR_Decision_Body"/>
    <w:aliases w:val="_Decision_Body"/>
    <w:basedOn w:val="NormalJustified"/>
    <w:uiPriority w:val="54"/>
    <w:semiHidden/>
    <w:rsid w:val="00BD55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554D"/>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554D"/>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BD55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554D"/>
    <w:pPr>
      <w:jc w:val="right"/>
    </w:pPr>
    <w:rPr>
      <w:sz w:val="20"/>
    </w:rPr>
  </w:style>
  <w:style w:type="paragraph" w:customStyle="1" w:styleId="ECHRHeaderRefIt">
    <w:name w:val="ECHR_Header_Ref_It"/>
    <w:aliases w:val="_Ref_Ital"/>
    <w:basedOn w:val="Normal"/>
    <w:next w:val="ECHRHeaderDate"/>
    <w:uiPriority w:val="43"/>
    <w:semiHidden/>
    <w:qFormat/>
    <w:rsid w:val="00BD554D"/>
    <w:pPr>
      <w:jc w:val="right"/>
    </w:pPr>
    <w:rPr>
      <w:i/>
      <w:sz w:val="20"/>
    </w:rPr>
  </w:style>
  <w:style w:type="paragraph" w:customStyle="1" w:styleId="ECHRHeading9">
    <w:name w:val="ECHR_Heading_9"/>
    <w:aliases w:val="_Head_9"/>
    <w:basedOn w:val="Heading9"/>
    <w:next w:val="Normal"/>
    <w:uiPriority w:val="17"/>
    <w:semiHidden/>
    <w:rsid w:val="00BD554D"/>
    <w:pPr>
      <w:numPr>
        <w:numId w:val="10"/>
      </w:numPr>
    </w:pPr>
    <w:rPr>
      <w:i w:val="0"/>
      <w:sz w:val="18"/>
    </w:rPr>
  </w:style>
  <w:style w:type="paragraph" w:customStyle="1" w:styleId="ECHRLine">
    <w:name w:val="ECHR_Line"/>
    <w:aliases w:val="_Line"/>
    <w:basedOn w:val="NormalJustified"/>
    <w:next w:val="Normal"/>
    <w:uiPriority w:val="46"/>
    <w:semiHidden/>
    <w:rsid w:val="00BD55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554D"/>
    <w:pPr>
      <w:numPr>
        <w:numId w:val="8"/>
      </w:numPr>
      <w:spacing w:before="60" w:after="60"/>
    </w:pPr>
  </w:style>
  <w:style w:type="paragraph" w:customStyle="1" w:styleId="ECHRNumberedList2">
    <w:name w:val="ECHR_Numbered_List_2"/>
    <w:aliases w:val="_Num_2"/>
    <w:basedOn w:val="ECHRNumberedList1"/>
    <w:uiPriority w:val="23"/>
    <w:semiHidden/>
    <w:rsid w:val="00BD554D"/>
    <w:pPr>
      <w:numPr>
        <w:ilvl w:val="1"/>
      </w:numPr>
    </w:pPr>
  </w:style>
  <w:style w:type="paragraph" w:customStyle="1" w:styleId="ECHRNumberedList3">
    <w:name w:val="ECHR_Numbered_List_3"/>
    <w:aliases w:val="_Num_3"/>
    <w:basedOn w:val="ECHRNumberedList2"/>
    <w:uiPriority w:val="23"/>
    <w:semiHidden/>
    <w:rsid w:val="00BD554D"/>
    <w:pPr>
      <w:numPr>
        <w:ilvl w:val="2"/>
      </w:numPr>
    </w:pPr>
  </w:style>
  <w:style w:type="paragraph" w:customStyle="1" w:styleId="ECHRParaHanging">
    <w:name w:val="ECHR_Para_Hanging"/>
    <w:aliases w:val="_Hanging"/>
    <w:basedOn w:val="Normal"/>
    <w:uiPriority w:val="8"/>
    <w:semiHidden/>
    <w:qFormat/>
    <w:rsid w:val="00BD554D"/>
    <w:pPr>
      <w:ind w:left="567" w:hanging="567"/>
      <w:jc w:val="both"/>
    </w:pPr>
  </w:style>
  <w:style w:type="paragraph" w:customStyle="1" w:styleId="ECHRParaIndent">
    <w:name w:val="ECHR_Para_Indent"/>
    <w:aliases w:val="_Indent"/>
    <w:basedOn w:val="Normal"/>
    <w:uiPriority w:val="7"/>
    <w:semiHidden/>
    <w:qFormat/>
    <w:rsid w:val="00BD554D"/>
    <w:pPr>
      <w:spacing w:before="120" w:after="120"/>
      <w:ind w:left="284"/>
      <w:jc w:val="both"/>
    </w:pPr>
  </w:style>
  <w:style w:type="character" w:customStyle="1" w:styleId="ECHRRed">
    <w:name w:val="ECHR_Red"/>
    <w:aliases w:val="_Red"/>
    <w:basedOn w:val="DefaultParagraphFont"/>
    <w:uiPriority w:val="15"/>
    <w:semiHidden/>
    <w:qFormat/>
    <w:rsid w:val="00BD554D"/>
    <w:rPr>
      <w:color w:val="C00000" w:themeColor="accent2"/>
    </w:rPr>
  </w:style>
  <w:style w:type="paragraph" w:customStyle="1" w:styleId="ECHRSpacer">
    <w:name w:val="ECHR_Spacer"/>
    <w:aliases w:val="_Spacer"/>
    <w:basedOn w:val="Normal"/>
    <w:uiPriority w:val="45"/>
    <w:semiHidden/>
    <w:rsid w:val="00BD554D"/>
    <w:rPr>
      <w:sz w:val="4"/>
    </w:rPr>
  </w:style>
  <w:style w:type="table" w:customStyle="1" w:styleId="ECHRTable2">
    <w:name w:val="ECHR_Table_2"/>
    <w:basedOn w:val="TableNormal"/>
    <w:uiPriority w:val="99"/>
    <w:rsid w:val="00BD55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55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55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55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55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554D"/>
    <w:pPr>
      <w:outlineLvl w:val="0"/>
    </w:pPr>
  </w:style>
  <w:style w:type="paragraph" w:customStyle="1" w:styleId="ECHRTitleTOC1">
    <w:name w:val="ECHR_Title_TOC_1"/>
    <w:aliases w:val="_Title_L_TOC"/>
    <w:basedOn w:val="ECHRTitle1"/>
    <w:next w:val="Normal"/>
    <w:uiPriority w:val="27"/>
    <w:semiHidden/>
    <w:qFormat/>
    <w:rsid w:val="00BD554D"/>
    <w:pPr>
      <w:outlineLvl w:val="0"/>
    </w:pPr>
  </w:style>
  <w:style w:type="character" w:customStyle="1" w:styleId="JuListChar">
    <w:name w:val="Ju_List Char"/>
    <w:basedOn w:val="DefaultParagraphFont"/>
    <w:link w:val="JuList"/>
    <w:uiPriority w:val="23"/>
    <w:rsid w:val="00A567E2"/>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0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91AA4E-867E-4269-B4E9-2593DF59DD39}"/>
</file>

<file path=customXml/itemProps2.xml><?xml version="1.0" encoding="utf-8"?>
<ds:datastoreItem xmlns:ds="http://schemas.openxmlformats.org/officeDocument/2006/customXml" ds:itemID="{9B9F3564-A552-4F73-B0B8-B5AF47B70F7D}"/>
</file>

<file path=customXml/itemProps3.xml><?xml version="1.0" encoding="utf-8"?>
<ds:datastoreItem xmlns:ds="http://schemas.openxmlformats.org/officeDocument/2006/customXml" ds:itemID="{32374DF6-5396-45A5-B874-FD22FC151281}"/>
</file>

<file path=customXml/itemProps4.xml><?xml version="1.0" encoding="utf-8"?>
<ds:datastoreItem xmlns:ds="http://schemas.openxmlformats.org/officeDocument/2006/customXml" ds:itemID="{D8C00C4D-7913-4B2C-ACD8-4EF64E8C0FA3}"/>
</file>

<file path=docProps/app.xml><?xml version="1.0" encoding="utf-8"?>
<Properties xmlns="http://schemas.openxmlformats.org/officeDocument/2006/extended-properties" xmlns:vt="http://schemas.openxmlformats.org/officeDocument/2006/docPropsVTypes">
  <Template>Normal.dotm</Template>
  <TotalTime>0</TotalTime>
  <Pages>1</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2020-06-05T12:53:00Z</dcterms:created>
  <dcterms:modified xsi:type="dcterms:W3CDTF">2020-06-05T12:53:00Z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60908/12</vt:lpwstr>
  </property>
  <property fmtid="{D5CDD505-2E9C-101B-9397-08002B2CF9AE}" pid="4" name="CASEID">
    <vt:lpwstr>829576</vt:lpwstr>
  </property>
  <property fmtid="{D5CDD505-2E9C-101B-9397-08002B2CF9AE}" pid="5" name="ContentTypeId">
    <vt:lpwstr>0x010100558EB02BDB9E204AB350EDD385B68E10</vt:lpwstr>
  </property>
</Properties>
</file>