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4.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1244BB" w:rsidR="00262AD5" w:rsidP="001244BB" w:rsidRDefault="00262AD5">
      <w:pPr>
        <w:tabs>
          <w:tab w:val="center" w:pos="3686"/>
        </w:tabs>
        <w:jc w:val="center"/>
        <w:rPr>
          <w:rFonts w:ascii="Times New Roman" w:hAnsi="Times New Roman" w:cs="Times New Roman"/>
        </w:rPr>
      </w:pPr>
    </w:p>
    <w:p w:rsidRPr="001244BB" w:rsidR="007A4070" w:rsidP="001244BB" w:rsidRDefault="003F4D18">
      <w:pPr>
        <w:pStyle w:val="DecHCase"/>
      </w:pPr>
      <w:r w:rsidRPr="001244BB">
        <w:t>DEUXIÈME SECTION</w:t>
      </w:r>
    </w:p>
    <w:p w:rsidRPr="001244BB" w:rsidR="007A4070" w:rsidP="00261ED2" w:rsidRDefault="007A4070">
      <w:pPr>
        <w:pStyle w:val="JuTitle"/>
        <w:spacing w:before="960"/>
      </w:pPr>
      <w:r w:rsidRPr="001244BB">
        <w:t xml:space="preserve">AFFAIRE </w:t>
      </w:r>
      <w:r w:rsidRPr="001244BB" w:rsidR="00873086">
        <w:t xml:space="preserve">ALTINTAŞ </w:t>
      </w:r>
      <w:r w:rsidRPr="001244BB" w:rsidR="003F4D18">
        <w:t>c. TURQUIE</w:t>
      </w:r>
    </w:p>
    <w:p w:rsidRPr="001244BB" w:rsidR="007A4070" w:rsidP="001244BB" w:rsidRDefault="007A4070">
      <w:pPr>
        <w:pStyle w:val="ECHRCoverTitle4"/>
      </w:pPr>
      <w:r w:rsidRPr="001244BB">
        <w:t>(</w:t>
      </w:r>
      <w:r w:rsidRPr="001244BB" w:rsidR="003F4D18">
        <w:t>Requête n</w:t>
      </w:r>
      <w:r w:rsidRPr="001244BB" w:rsidR="003F4D18">
        <w:rPr>
          <w:vertAlign w:val="superscript"/>
        </w:rPr>
        <w:t>o</w:t>
      </w:r>
      <w:r w:rsidRPr="001244BB">
        <w:t xml:space="preserve"> </w:t>
      </w:r>
      <w:r w:rsidRPr="001244BB" w:rsidR="003F4D18">
        <w:t>50495/08</w:t>
      </w:r>
      <w:r w:rsidRPr="001244BB">
        <w:t>)</w:t>
      </w:r>
    </w:p>
    <w:p w:rsidRPr="001244BB" w:rsidR="007A4070" w:rsidP="001244BB" w:rsidRDefault="007A4070">
      <w:pPr>
        <w:pStyle w:val="DecHCase"/>
      </w:pPr>
    </w:p>
    <w:p w:rsidRPr="001244BB" w:rsidR="007A4070" w:rsidP="001244BB" w:rsidRDefault="007A4070">
      <w:pPr>
        <w:pStyle w:val="DecHCase"/>
      </w:pPr>
      <w:r w:rsidRPr="001244BB">
        <w:t>ARRÊT</w:t>
      </w:r>
      <w:r w:rsidRPr="001244BB">
        <w:br/>
      </w:r>
    </w:p>
    <w:p w:rsidRPr="00261ED2" w:rsidR="00520C3F" w:rsidP="001244BB" w:rsidRDefault="00520C3F">
      <w:pPr>
        <w:pStyle w:val="JuPara"/>
        <w:pBdr>
          <w:top w:val="single" w:color="auto" w:sz="4" w:space="1"/>
          <w:left w:val="single" w:color="auto" w:sz="4" w:space="4"/>
          <w:bottom w:val="single" w:color="auto" w:sz="4" w:space="1"/>
          <w:right w:val="single" w:color="auto" w:sz="4" w:space="4"/>
        </w:pBdr>
        <w:ind w:firstLine="0"/>
        <w:rPr>
          <w:sz w:val="22"/>
          <w:szCs w:val="22"/>
        </w:rPr>
      </w:pPr>
      <w:r w:rsidRPr="00261ED2">
        <w:rPr>
          <w:sz w:val="22"/>
          <w:szCs w:val="22"/>
        </w:rPr>
        <w:t>Art 6 § 1 (pénal) • Accès à un tribunal • Impossibilité légale de se pourvoir en cassation contre un jugement pénal de premier et dernier ressort, le montant de l</w:t>
      </w:r>
      <w:r w:rsidRPr="00261ED2" w:rsidR="001244BB">
        <w:rPr>
          <w:sz w:val="22"/>
          <w:szCs w:val="22"/>
        </w:rPr>
        <w:t>’</w:t>
      </w:r>
      <w:r w:rsidRPr="00261ED2">
        <w:rPr>
          <w:sz w:val="22"/>
          <w:szCs w:val="22"/>
        </w:rPr>
        <w:t>amende infligée n</w:t>
      </w:r>
      <w:r w:rsidRPr="00261ED2" w:rsidR="001244BB">
        <w:rPr>
          <w:sz w:val="22"/>
          <w:szCs w:val="22"/>
        </w:rPr>
        <w:t>’</w:t>
      </w:r>
      <w:r w:rsidRPr="00261ED2">
        <w:rPr>
          <w:sz w:val="22"/>
          <w:szCs w:val="22"/>
        </w:rPr>
        <w:t>atteignant pas le seuil requis • Entrave disproportionnée</w:t>
      </w:r>
    </w:p>
    <w:p w:rsidRPr="00261ED2" w:rsidR="00520C3F" w:rsidP="001244BB" w:rsidRDefault="00520C3F">
      <w:pPr>
        <w:pStyle w:val="JuPara"/>
        <w:pBdr>
          <w:top w:val="single" w:color="auto" w:sz="4" w:space="1"/>
          <w:left w:val="single" w:color="auto" w:sz="4" w:space="4"/>
          <w:bottom w:val="single" w:color="auto" w:sz="4" w:space="1"/>
          <w:right w:val="single" w:color="auto" w:sz="4" w:space="4"/>
        </w:pBdr>
        <w:ind w:firstLine="0"/>
        <w:rPr>
          <w:sz w:val="22"/>
          <w:szCs w:val="22"/>
        </w:rPr>
      </w:pPr>
    </w:p>
    <w:p w:rsidRPr="00261ED2" w:rsidR="00262AD5" w:rsidP="001244BB" w:rsidRDefault="00520C3F">
      <w:pPr>
        <w:pStyle w:val="JuPara"/>
        <w:pBdr>
          <w:top w:val="single" w:color="auto" w:sz="4" w:space="1"/>
          <w:left w:val="single" w:color="auto" w:sz="4" w:space="4"/>
          <w:bottom w:val="single" w:color="auto" w:sz="4" w:space="1"/>
          <w:right w:val="single" w:color="auto" w:sz="4" w:space="4"/>
        </w:pBdr>
        <w:ind w:firstLine="0"/>
        <w:rPr>
          <w:sz w:val="22"/>
          <w:szCs w:val="22"/>
        </w:rPr>
      </w:pPr>
      <w:r w:rsidRPr="00261ED2">
        <w:rPr>
          <w:sz w:val="22"/>
          <w:szCs w:val="22"/>
        </w:rPr>
        <w:t>Art 10 • Liberté d</w:t>
      </w:r>
      <w:r w:rsidRPr="00261ED2" w:rsidR="001244BB">
        <w:rPr>
          <w:sz w:val="22"/>
          <w:szCs w:val="22"/>
        </w:rPr>
        <w:t>’</w:t>
      </w:r>
      <w:r w:rsidRPr="00261ED2">
        <w:rPr>
          <w:sz w:val="22"/>
          <w:szCs w:val="22"/>
        </w:rPr>
        <w:t>expression • Condamnation pénale à une amende du rédacteur en chef d</w:t>
      </w:r>
      <w:r w:rsidRPr="00261ED2" w:rsidR="001244BB">
        <w:rPr>
          <w:sz w:val="22"/>
          <w:szCs w:val="22"/>
        </w:rPr>
        <w:t>’</w:t>
      </w:r>
      <w:r w:rsidRPr="00261ED2">
        <w:rPr>
          <w:sz w:val="22"/>
          <w:szCs w:val="22"/>
        </w:rPr>
        <w:t>un périodique local pour apologie du crime ou de criminels • Cas manifeste d</w:t>
      </w:r>
      <w:r w:rsidRPr="00261ED2" w:rsidR="001244BB">
        <w:rPr>
          <w:sz w:val="22"/>
          <w:szCs w:val="22"/>
        </w:rPr>
        <w:t>’</w:t>
      </w:r>
      <w:r w:rsidRPr="00261ED2">
        <w:rPr>
          <w:sz w:val="22"/>
          <w:szCs w:val="22"/>
        </w:rPr>
        <w:t>apologie ou de justification de la violence autorisant la Cour à analyser la publication nonobstant la motivation insuffisante du jugement interne • Examen par la Cour du contexte, du contenu de la publication litigieuse et de sa capacité de nuire • Marge d</w:t>
      </w:r>
      <w:r w:rsidRPr="00261ED2" w:rsidR="001244BB">
        <w:rPr>
          <w:sz w:val="22"/>
          <w:szCs w:val="22"/>
        </w:rPr>
        <w:t>’</w:t>
      </w:r>
      <w:r w:rsidRPr="00261ED2">
        <w:rPr>
          <w:sz w:val="22"/>
          <w:szCs w:val="22"/>
        </w:rPr>
        <w:t>appréciation et montant raisonnable de l</w:t>
      </w:r>
      <w:r w:rsidRPr="00261ED2" w:rsidR="001244BB">
        <w:rPr>
          <w:sz w:val="22"/>
          <w:szCs w:val="22"/>
        </w:rPr>
        <w:t>’</w:t>
      </w:r>
      <w:r w:rsidRPr="00261ED2">
        <w:rPr>
          <w:sz w:val="22"/>
          <w:szCs w:val="22"/>
        </w:rPr>
        <w:t>amende • Sanction non disproportionnée</w:t>
      </w:r>
    </w:p>
    <w:p w:rsidRPr="001244BB" w:rsidR="00262AD5" w:rsidP="001244BB" w:rsidRDefault="00262AD5">
      <w:pPr>
        <w:pStyle w:val="JuPara"/>
        <w:ind w:firstLine="0"/>
        <w:jc w:val="center"/>
      </w:pPr>
    </w:p>
    <w:p w:rsidRPr="001244BB" w:rsidR="007A4070" w:rsidP="001244BB" w:rsidRDefault="007A4070">
      <w:pPr>
        <w:pStyle w:val="DecHCase"/>
      </w:pPr>
      <w:r w:rsidRPr="001244BB">
        <w:t>STRASBOURG</w:t>
      </w:r>
    </w:p>
    <w:p w:rsidR="007A4070" w:rsidP="001244BB" w:rsidRDefault="003F4D18">
      <w:pPr>
        <w:pStyle w:val="DecHCase"/>
      </w:pPr>
      <w:r w:rsidRPr="001244BB">
        <w:t>10 mars 2020</w:t>
      </w:r>
    </w:p>
    <w:p w:rsidRPr="00261ED2" w:rsidR="00261ED2" w:rsidP="00261ED2" w:rsidRDefault="00261ED2">
      <w:pPr>
        <w:pStyle w:val="JuPara"/>
      </w:pPr>
    </w:p>
    <w:p w:rsidR="00261ED2" w:rsidP="00261ED2" w:rsidRDefault="00261ED2">
      <w:pPr>
        <w:pStyle w:val="jucase0"/>
        <w:ind w:firstLine="0"/>
        <w:jc w:val="center"/>
        <w:rPr>
          <w:color w:val="FF0000"/>
          <w:sz w:val="28"/>
          <w:szCs w:val="28"/>
          <w:u w:val="single"/>
          <w:lang w:val="fr-FR"/>
        </w:rPr>
      </w:pPr>
      <w:r>
        <w:rPr>
          <w:color w:val="FF0000"/>
          <w:sz w:val="28"/>
          <w:szCs w:val="28"/>
          <w:u w:val="single"/>
          <w:lang w:val="fr-FR"/>
        </w:rPr>
        <w:t>DÉFINITIF</w:t>
      </w:r>
    </w:p>
    <w:p w:rsidR="00261ED2" w:rsidP="00261ED2" w:rsidRDefault="00261ED2">
      <w:pPr>
        <w:pStyle w:val="jupara0"/>
        <w:ind w:firstLine="0"/>
        <w:jc w:val="center"/>
        <w:rPr>
          <w:color w:val="FF0000"/>
          <w:sz w:val="28"/>
          <w:szCs w:val="28"/>
          <w:lang w:val="fr-FR"/>
        </w:rPr>
      </w:pPr>
    </w:p>
    <w:p w:rsidR="00261ED2" w:rsidP="00261ED2" w:rsidRDefault="00261ED2">
      <w:pPr>
        <w:pStyle w:val="jupara0"/>
        <w:ind w:firstLine="0"/>
        <w:jc w:val="center"/>
        <w:rPr>
          <w:color w:val="FF0000"/>
          <w:sz w:val="28"/>
          <w:szCs w:val="28"/>
          <w:lang w:val="fr-FR"/>
        </w:rPr>
      </w:pPr>
      <w:r>
        <w:rPr>
          <w:color w:val="FF0000"/>
          <w:sz w:val="28"/>
          <w:szCs w:val="28"/>
          <w:lang w:val="fr-FR"/>
        </w:rPr>
        <w:t>10/07/2020</w:t>
      </w:r>
    </w:p>
    <w:p w:rsidR="00261ED2" w:rsidP="00261ED2" w:rsidRDefault="00261ED2">
      <w:pPr>
        <w:jc w:val="center"/>
        <w:rPr>
          <w:u w:val="single"/>
        </w:rPr>
      </w:pPr>
    </w:p>
    <w:p w:rsidR="00261ED2" w:rsidP="00261ED2" w:rsidRDefault="00261ED2">
      <w:pPr>
        <w:jc w:val="center"/>
        <w:rPr>
          <w:u w:val="single"/>
        </w:rPr>
      </w:pPr>
      <w:bookmarkStart w:name="_GoBack" w:id="0"/>
      <w:bookmarkEnd w:id="0"/>
    </w:p>
    <w:p w:rsidRPr="001244BB" w:rsidR="00516B59" w:rsidP="00261ED2" w:rsidRDefault="00261ED2">
      <w:pPr>
        <w:jc w:val="both"/>
        <w:rPr>
          <w:rFonts w:ascii="Times New Roman" w:hAnsi="Times New Roman" w:cs="Times New Roman"/>
          <w:i/>
          <w:sz w:val="22"/>
        </w:rPr>
      </w:pPr>
      <w:r>
        <w:rPr>
          <w:i/>
          <w:iCs/>
          <w:sz w:val="22"/>
          <w:szCs w:val="22"/>
        </w:rPr>
        <w:t xml:space="preserve">Cet arrêt est devenu définitif en vertu de l’article 44 § 2 de la Convention. </w:t>
      </w:r>
      <w:proofErr w:type="gramStart"/>
      <w:r w:rsidRPr="004C73AF">
        <w:rPr>
          <w:i/>
          <w:iCs/>
          <w:sz w:val="22"/>
          <w:szCs w:val="22"/>
          <w:lang w:val="en-US"/>
        </w:rPr>
        <w:t>Il</w:t>
      </w:r>
      <w:proofErr w:type="gramEnd"/>
      <w:r w:rsidRPr="004C73AF">
        <w:rPr>
          <w:i/>
          <w:iCs/>
          <w:sz w:val="22"/>
          <w:szCs w:val="22"/>
          <w:lang w:val="en-US"/>
        </w:rPr>
        <w:t xml:space="preserve"> </w:t>
      </w:r>
      <w:proofErr w:type="spellStart"/>
      <w:r w:rsidRPr="004C73AF">
        <w:rPr>
          <w:i/>
          <w:iCs/>
          <w:sz w:val="22"/>
          <w:szCs w:val="22"/>
          <w:lang w:val="en-US"/>
        </w:rPr>
        <w:t>peut</w:t>
      </w:r>
      <w:proofErr w:type="spellEnd"/>
      <w:r w:rsidRPr="004C73AF">
        <w:rPr>
          <w:i/>
          <w:iCs/>
          <w:sz w:val="22"/>
          <w:szCs w:val="22"/>
          <w:lang w:val="en-US"/>
        </w:rPr>
        <w:t xml:space="preserve"> </w:t>
      </w:r>
      <w:proofErr w:type="spellStart"/>
      <w:r w:rsidRPr="004C73AF">
        <w:rPr>
          <w:i/>
          <w:iCs/>
          <w:sz w:val="22"/>
          <w:szCs w:val="22"/>
          <w:lang w:val="en-US"/>
        </w:rPr>
        <w:t>subir</w:t>
      </w:r>
      <w:proofErr w:type="spellEnd"/>
      <w:r w:rsidRPr="004C73AF">
        <w:rPr>
          <w:i/>
          <w:iCs/>
          <w:sz w:val="22"/>
          <w:szCs w:val="22"/>
          <w:lang w:val="en-US"/>
        </w:rPr>
        <w:t xml:space="preserve"> des retouches de </w:t>
      </w:r>
      <w:proofErr w:type="spellStart"/>
      <w:r w:rsidRPr="004C73AF">
        <w:rPr>
          <w:i/>
          <w:iCs/>
          <w:sz w:val="22"/>
          <w:szCs w:val="22"/>
          <w:lang w:val="en-US"/>
        </w:rPr>
        <w:t>forme</w:t>
      </w:r>
      <w:proofErr w:type="spellEnd"/>
      <w:r w:rsidRPr="004C73AF">
        <w:rPr>
          <w:i/>
          <w:iCs/>
          <w:sz w:val="22"/>
          <w:szCs w:val="22"/>
          <w:lang w:val="en-US"/>
        </w:rPr>
        <w:t>.</w:t>
      </w:r>
    </w:p>
    <w:p w:rsidRPr="001244BB" w:rsidR="00516B59" w:rsidP="001244BB" w:rsidRDefault="00516B59">
      <w:pPr>
        <w:ind w:left="720"/>
        <w:rPr>
          <w:rFonts w:ascii="Times New Roman" w:hAnsi="Times New Roman" w:cs="Times New Roman"/>
          <w:sz w:val="22"/>
        </w:rPr>
        <w:sectPr w:rsidRPr="001244BB" w:rsidR="00516B59">
          <w:headerReference w:type="default" r:id="rId8"/>
          <w:footerReference w:type="even" r:id="rId9"/>
          <w:footerReference w:type="default" r:id="rId10"/>
          <w:footnotePr>
            <w:numRestart w:val="eachSect"/>
          </w:footnotePr>
          <w:endnotePr>
            <w:numFmt w:val="decimal"/>
          </w:endnotePr>
          <w:pgSz w:w="11906" w:h="16838" w:code="9"/>
          <w:pgMar w:top="2274" w:right="2274" w:bottom="2274" w:left="2274" w:header="1701" w:footer="720" w:gutter="0"/>
          <w:pgNumType w:start="1"/>
          <w:cols w:space="720"/>
          <w:noEndnote/>
        </w:sectPr>
      </w:pPr>
    </w:p>
    <w:p w:rsidRPr="001244BB" w:rsidR="004344E6" w:rsidP="001244BB" w:rsidRDefault="004344E6">
      <w:pPr>
        <w:pStyle w:val="JuCase"/>
      </w:pPr>
      <w:r w:rsidRPr="001244BB">
        <w:t>En l</w:t>
      </w:r>
      <w:r w:rsidRPr="001244BB" w:rsidR="001244BB">
        <w:t>’</w:t>
      </w:r>
      <w:r w:rsidRPr="001244BB">
        <w:t xml:space="preserve">affaire </w:t>
      </w:r>
      <w:proofErr w:type="spellStart"/>
      <w:r w:rsidRPr="001244BB" w:rsidR="003F4D18">
        <w:t>Altıntaş</w:t>
      </w:r>
      <w:proofErr w:type="spellEnd"/>
      <w:r w:rsidRPr="001244BB" w:rsidR="003F4D18">
        <w:t xml:space="preserve"> c. Turquie</w:t>
      </w:r>
      <w:r w:rsidRPr="001244BB">
        <w:t>,</w:t>
      </w:r>
    </w:p>
    <w:p w:rsidRPr="001244BB" w:rsidR="004344E6" w:rsidP="001244BB" w:rsidRDefault="004344E6">
      <w:pPr>
        <w:pStyle w:val="JuPara"/>
      </w:pPr>
      <w:r w:rsidRPr="001244BB">
        <w:t>La Cour européenne des droits de l</w:t>
      </w:r>
      <w:r w:rsidRPr="001244BB" w:rsidR="001244BB">
        <w:t>’</w:t>
      </w:r>
      <w:r w:rsidRPr="001244BB">
        <w:t>homme (</w:t>
      </w:r>
      <w:r w:rsidRPr="001244BB" w:rsidR="003F4D18">
        <w:t>deuxième section</w:t>
      </w:r>
      <w:r w:rsidRPr="001244BB">
        <w:t xml:space="preserve">), siégeant en </w:t>
      </w:r>
      <w:r w:rsidRPr="001244BB" w:rsidR="003F4D18">
        <w:rPr>
          <w:color w:val="000000"/>
        </w:rPr>
        <w:t>une</w:t>
      </w:r>
      <w:r w:rsidRPr="001244BB" w:rsidR="003F4D18">
        <w:t xml:space="preserve"> Chambre composée</w:t>
      </w:r>
      <w:r w:rsidRPr="001244BB">
        <w:t xml:space="preserve"> de :</w:t>
      </w:r>
    </w:p>
    <w:p w:rsidRPr="001244BB" w:rsidR="004344E6" w:rsidP="001244BB" w:rsidRDefault="00873086">
      <w:pPr>
        <w:pStyle w:val="JuJudges"/>
      </w:pPr>
      <w:r w:rsidRPr="001244BB">
        <w:tab/>
        <w:t>Robert Spano,</w:t>
      </w:r>
      <w:r w:rsidRPr="001244BB">
        <w:rPr>
          <w:i/>
        </w:rPr>
        <w:t xml:space="preserve"> président,</w:t>
      </w:r>
      <w:r w:rsidRPr="001244BB">
        <w:rPr>
          <w:i/>
        </w:rPr>
        <w:br/>
      </w:r>
      <w:r w:rsidRPr="001244BB">
        <w:tab/>
      </w:r>
      <w:proofErr w:type="spellStart"/>
      <w:r w:rsidRPr="001244BB">
        <w:t>Valeriu</w:t>
      </w:r>
      <w:proofErr w:type="spellEnd"/>
      <w:r w:rsidRPr="001244BB">
        <w:t xml:space="preserve"> </w:t>
      </w:r>
      <w:proofErr w:type="spellStart"/>
      <w:r w:rsidRPr="001244BB">
        <w:t>Griţco</w:t>
      </w:r>
      <w:proofErr w:type="spellEnd"/>
      <w:r w:rsidRPr="001244BB">
        <w:t>,</w:t>
      </w:r>
      <w:r w:rsidRPr="001244BB">
        <w:rPr>
          <w:i/>
        </w:rPr>
        <w:br/>
      </w:r>
      <w:r w:rsidRPr="001244BB">
        <w:tab/>
      </w:r>
      <w:proofErr w:type="spellStart"/>
      <w:r w:rsidRPr="001244BB">
        <w:t>Egidijus</w:t>
      </w:r>
      <w:proofErr w:type="spellEnd"/>
      <w:r w:rsidRPr="001244BB">
        <w:t xml:space="preserve"> </w:t>
      </w:r>
      <w:proofErr w:type="spellStart"/>
      <w:r w:rsidRPr="001244BB">
        <w:t>Kūris</w:t>
      </w:r>
      <w:proofErr w:type="spellEnd"/>
      <w:r w:rsidRPr="001244BB">
        <w:t>,</w:t>
      </w:r>
      <w:r w:rsidRPr="001244BB">
        <w:rPr>
          <w:i/>
        </w:rPr>
        <w:br/>
      </w:r>
      <w:r w:rsidRPr="001244BB">
        <w:tab/>
        <w:t xml:space="preserve">Ivana </w:t>
      </w:r>
      <w:proofErr w:type="spellStart"/>
      <w:r w:rsidRPr="001244BB">
        <w:t>Jelić</w:t>
      </w:r>
      <w:proofErr w:type="spellEnd"/>
      <w:r w:rsidRPr="001244BB">
        <w:t>,</w:t>
      </w:r>
      <w:r w:rsidRPr="001244BB">
        <w:rPr>
          <w:i/>
        </w:rPr>
        <w:br/>
      </w:r>
      <w:r w:rsidRPr="001244BB">
        <w:tab/>
      </w:r>
      <w:proofErr w:type="spellStart"/>
      <w:r w:rsidRPr="001244BB">
        <w:t>Arnfinn</w:t>
      </w:r>
      <w:proofErr w:type="spellEnd"/>
      <w:r w:rsidRPr="001244BB">
        <w:t xml:space="preserve"> </w:t>
      </w:r>
      <w:proofErr w:type="spellStart"/>
      <w:r w:rsidRPr="001244BB">
        <w:t>Bårdsen</w:t>
      </w:r>
      <w:proofErr w:type="spellEnd"/>
      <w:r w:rsidRPr="001244BB">
        <w:t>,</w:t>
      </w:r>
      <w:r w:rsidRPr="001244BB">
        <w:rPr>
          <w:i/>
        </w:rPr>
        <w:br/>
      </w:r>
      <w:r w:rsidRPr="001244BB">
        <w:tab/>
      </w:r>
      <w:proofErr w:type="spellStart"/>
      <w:r w:rsidRPr="001244BB">
        <w:t>Darian</w:t>
      </w:r>
      <w:proofErr w:type="spellEnd"/>
      <w:r w:rsidRPr="001244BB">
        <w:t xml:space="preserve"> </w:t>
      </w:r>
      <w:proofErr w:type="spellStart"/>
      <w:r w:rsidRPr="001244BB">
        <w:t>Pavli</w:t>
      </w:r>
      <w:proofErr w:type="spellEnd"/>
      <w:r w:rsidRPr="001244BB">
        <w:t>,</w:t>
      </w:r>
      <w:r w:rsidRPr="001244BB">
        <w:rPr>
          <w:i/>
        </w:rPr>
        <w:br/>
      </w:r>
      <w:r w:rsidRPr="001244BB">
        <w:tab/>
      </w:r>
      <w:proofErr w:type="spellStart"/>
      <w:r w:rsidRPr="001244BB">
        <w:t>Saadet</w:t>
      </w:r>
      <w:proofErr w:type="spellEnd"/>
      <w:r w:rsidRPr="001244BB">
        <w:t xml:space="preserve"> </w:t>
      </w:r>
      <w:proofErr w:type="spellStart"/>
      <w:r w:rsidRPr="001244BB">
        <w:t>Yüksel</w:t>
      </w:r>
      <w:proofErr w:type="spellEnd"/>
      <w:r w:rsidRPr="001244BB">
        <w:t>,</w:t>
      </w:r>
      <w:r w:rsidRPr="001244BB">
        <w:rPr>
          <w:i/>
        </w:rPr>
        <w:t xml:space="preserve"> juges</w:t>
      </w:r>
      <w:proofErr w:type="gramStart"/>
      <w:r w:rsidRPr="001244BB">
        <w:rPr>
          <w:i/>
        </w:rPr>
        <w:t>,</w:t>
      </w:r>
      <w:proofErr w:type="gramEnd"/>
      <w:r w:rsidRPr="001244BB">
        <w:rPr>
          <w:i/>
        </w:rPr>
        <w:br/>
      </w:r>
      <w:r w:rsidRPr="001244BB" w:rsidR="004344E6">
        <w:t xml:space="preserve">et de </w:t>
      </w:r>
      <w:r w:rsidRPr="001244BB">
        <w:rPr>
          <w:rStyle w:val="JuJudgesChar"/>
        </w:rPr>
        <w:t xml:space="preserve">Hasan Bakırcı, </w:t>
      </w:r>
      <w:r w:rsidRPr="001244BB">
        <w:rPr>
          <w:i/>
        </w:rPr>
        <w:t>greffier adjoint de section</w:t>
      </w:r>
      <w:r w:rsidRPr="001244BB" w:rsidR="004344E6">
        <w:t>,</w:t>
      </w:r>
    </w:p>
    <w:p w:rsidRPr="001244BB" w:rsidR="004344E6" w:rsidP="001244BB" w:rsidRDefault="004344E6">
      <w:pPr>
        <w:pStyle w:val="JuPara"/>
      </w:pPr>
      <w:bookmarkStart w:name="ITMARKHavingStart" w:id="1"/>
      <w:bookmarkEnd w:id="1"/>
      <w:r w:rsidRPr="001244BB">
        <w:t xml:space="preserve">Après en avoir délibéré en chambre du conseil le </w:t>
      </w:r>
      <w:r w:rsidRPr="001244BB" w:rsidR="003F4D18">
        <w:t>4 février 2020</w:t>
      </w:r>
      <w:r w:rsidRPr="001244BB">
        <w:t>,</w:t>
      </w:r>
    </w:p>
    <w:p w:rsidRPr="001244BB" w:rsidR="00876F03" w:rsidP="001244BB" w:rsidRDefault="004344E6">
      <w:pPr>
        <w:pStyle w:val="JuPara"/>
      </w:pPr>
      <w:r w:rsidRPr="001244BB">
        <w:t>Rend l</w:t>
      </w:r>
      <w:r w:rsidRPr="001244BB" w:rsidR="001244BB">
        <w:t>’</w:t>
      </w:r>
      <w:r w:rsidRPr="001244BB">
        <w:t>arrêt que voici</w:t>
      </w:r>
      <w:r w:rsidRPr="001244BB" w:rsidR="00876F03">
        <w:t>, adopté à cette date :</w:t>
      </w:r>
    </w:p>
    <w:p w:rsidRPr="001244BB" w:rsidR="003F4D18" w:rsidP="001244BB" w:rsidRDefault="003F4D18">
      <w:pPr>
        <w:pStyle w:val="JuHHead"/>
        <w:numPr>
          <w:ilvl w:val="0"/>
          <w:numId w:val="1"/>
        </w:numPr>
      </w:pPr>
      <w:r w:rsidRPr="001244BB">
        <w:t>PROCÉDURE</w:t>
      </w:r>
    </w:p>
    <w:p w:rsidRPr="001244BB" w:rsidR="003F4D18" w:rsidP="001244BB" w:rsidRDefault="003F4D18">
      <w:pPr>
        <w:pStyle w:val="JuPara"/>
      </w:pPr>
      <w:r w:rsidRPr="001244BB">
        <w:fldChar w:fldCharType="begin"/>
      </w:r>
      <w:r w:rsidRPr="001244BB">
        <w:instrText xml:space="preserve"> SEQ level0 \*arabic </w:instrText>
      </w:r>
      <w:r w:rsidRPr="001244BB">
        <w:fldChar w:fldCharType="separate"/>
      </w:r>
      <w:r w:rsidRPr="001244BB" w:rsidR="001244BB">
        <w:rPr>
          <w:noProof/>
        </w:rPr>
        <w:t>1</w:t>
      </w:r>
      <w:r w:rsidRPr="001244BB">
        <w:fldChar w:fldCharType="end"/>
      </w:r>
      <w:r w:rsidRPr="001244BB">
        <w:t>.  À l</w:t>
      </w:r>
      <w:r w:rsidRPr="001244BB" w:rsidR="001244BB">
        <w:t>’</w:t>
      </w:r>
      <w:r w:rsidRPr="001244BB">
        <w:t>origine de l</w:t>
      </w:r>
      <w:r w:rsidRPr="001244BB" w:rsidR="001244BB">
        <w:t>’</w:t>
      </w:r>
      <w:r w:rsidRPr="001244BB">
        <w:t>affaire se trouve une requête (n</w:t>
      </w:r>
      <w:r w:rsidRPr="001244BB">
        <w:rPr>
          <w:vertAlign w:val="superscript"/>
        </w:rPr>
        <w:t>o</w:t>
      </w:r>
      <w:r w:rsidRPr="001244BB">
        <w:t xml:space="preserve"> 50495/08) dirigée contre la République de Turquie et dont un ressortissant de cet État, M. </w:t>
      </w:r>
      <w:proofErr w:type="spellStart"/>
      <w:r w:rsidRPr="001244BB">
        <w:t>Cihan</w:t>
      </w:r>
      <w:proofErr w:type="spellEnd"/>
      <w:r w:rsidRPr="001244BB">
        <w:t xml:space="preserve"> </w:t>
      </w:r>
      <w:proofErr w:type="spellStart"/>
      <w:r w:rsidRPr="001244BB">
        <w:t>Altıntaş</w:t>
      </w:r>
      <w:proofErr w:type="spellEnd"/>
      <w:r w:rsidRPr="001244BB">
        <w:t xml:space="preserve"> (« le requérant »), a saisi la Cour le 10 octobre 2008 en vertu de l</w:t>
      </w:r>
      <w:r w:rsidRPr="001244BB" w:rsidR="001244BB">
        <w:t>’</w:t>
      </w:r>
      <w:r w:rsidRPr="001244BB">
        <w:t>article 34 de la Convention de sauvegarde des droits de l</w:t>
      </w:r>
      <w:r w:rsidRPr="001244BB" w:rsidR="001244BB">
        <w:t>’</w:t>
      </w:r>
      <w:r w:rsidRPr="001244BB">
        <w:t>homme et des libertés fondamentales (« la Convention »).</w:t>
      </w:r>
    </w:p>
    <w:p w:rsidRPr="001244BB" w:rsidR="003F4D18" w:rsidP="001244BB" w:rsidRDefault="003F4D18">
      <w:pPr>
        <w:pStyle w:val="JuPara"/>
      </w:pPr>
      <w:r w:rsidRPr="001244BB">
        <w:fldChar w:fldCharType="begin"/>
      </w:r>
      <w:r w:rsidRPr="001244BB">
        <w:instrText xml:space="preserve"> SEQ level0 \*arabic </w:instrText>
      </w:r>
      <w:r w:rsidRPr="001244BB">
        <w:fldChar w:fldCharType="separate"/>
      </w:r>
      <w:r w:rsidRPr="001244BB" w:rsidR="001244BB">
        <w:rPr>
          <w:noProof/>
        </w:rPr>
        <w:t>2</w:t>
      </w:r>
      <w:r w:rsidRPr="001244BB">
        <w:fldChar w:fldCharType="end"/>
      </w:r>
      <w:r w:rsidRPr="001244BB">
        <w:t>.  Le requérant, qui a été admis au bénéfice de l</w:t>
      </w:r>
      <w:r w:rsidRPr="001244BB" w:rsidR="001244BB">
        <w:t>’</w:t>
      </w:r>
      <w:r w:rsidRPr="001244BB">
        <w:t>assistance judiciaire, a été représenté par M</w:t>
      </w:r>
      <w:r w:rsidRPr="001244BB">
        <w:rPr>
          <w:vertAlign w:val="superscript"/>
        </w:rPr>
        <w:t>e</w:t>
      </w:r>
      <w:r w:rsidRPr="001244BB">
        <w:t xml:space="preserve"> S. </w:t>
      </w:r>
      <w:proofErr w:type="spellStart"/>
      <w:r w:rsidRPr="001244BB">
        <w:t>Coşkun</w:t>
      </w:r>
      <w:proofErr w:type="spellEnd"/>
      <w:r w:rsidRPr="001244BB">
        <w:t>, avocate à Ankara. Le gouvernement turc (« le Gouvernement ») a été représenté par son agent.</w:t>
      </w:r>
    </w:p>
    <w:p w:rsidRPr="001244BB" w:rsidR="003F4D18" w:rsidP="001244BB" w:rsidRDefault="003F4D18">
      <w:pPr>
        <w:pStyle w:val="JuPara"/>
      </w:pPr>
      <w:r w:rsidRPr="001244BB">
        <w:fldChar w:fldCharType="begin"/>
      </w:r>
      <w:r w:rsidRPr="001244BB">
        <w:instrText xml:space="preserve"> SEQ level0 \*arabic </w:instrText>
      </w:r>
      <w:r w:rsidRPr="001244BB">
        <w:fldChar w:fldCharType="separate"/>
      </w:r>
      <w:r w:rsidRPr="001244BB" w:rsidR="001244BB">
        <w:rPr>
          <w:noProof/>
        </w:rPr>
        <w:t>3</w:t>
      </w:r>
      <w:r w:rsidRPr="001244BB">
        <w:fldChar w:fldCharType="end"/>
      </w:r>
      <w:r w:rsidRPr="001244BB">
        <w:t>.  Le requérant se plaignait d</w:t>
      </w:r>
      <w:r w:rsidRPr="001244BB" w:rsidR="001244BB">
        <w:t>’</w:t>
      </w:r>
      <w:r w:rsidRPr="001244BB">
        <w:t>une atteinte à ses droits à un procès équitable et à la liberté d</w:t>
      </w:r>
      <w:r w:rsidRPr="001244BB" w:rsidR="001244BB">
        <w:t>’</w:t>
      </w:r>
      <w:r w:rsidRPr="001244BB">
        <w:t>expression.</w:t>
      </w:r>
    </w:p>
    <w:p w:rsidRPr="001244BB" w:rsidR="003F4D18" w:rsidP="001244BB" w:rsidRDefault="003F4D18">
      <w:pPr>
        <w:pStyle w:val="JuPara"/>
        <w:rPr>
          <w:lang w:eastAsia="en-GB"/>
        </w:rPr>
      </w:pPr>
      <w:r w:rsidRPr="001244BB">
        <w:fldChar w:fldCharType="begin"/>
      </w:r>
      <w:r w:rsidRPr="001244BB">
        <w:instrText xml:space="preserve"> SEQ level0 \*arabic </w:instrText>
      </w:r>
      <w:r w:rsidRPr="001244BB">
        <w:fldChar w:fldCharType="separate"/>
      </w:r>
      <w:r w:rsidRPr="001244BB" w:rsidR="001244BB">
        <w:rPr>
          <w:noProof/>
        </w:rPr>
        <w:t>4</w:t>
      </w:r>
      <w:r w:rsidRPr="001244BB">
        <w:fldChar w:fldCharType="end"/>
      </w:r>
      <w:r w:rsidRPr="001244BB">
        <w:t>.  Le 29 septembre 2017, les griefs concernant les atteintes alléguées au droit à la liberté d</w:t>
      </w:r>
      <w:r w:rsidRPr="001244BB" w:rsidR="001244BB">
        <w:t>’</w:t>
      </w:r>
      <w:r w:rsidRPr="001244BB">
        <w:t>expression du requérant et à l</w:t>
      </w:r>
      <w:r w:rsidRPr="001244BB" w:rsidR="001244BB">
        <w:t>’</w:t>
      </w:r>
      <w:r w:rsidRPr="001244BB">
        <w:t>accès de celui-ci à un tribunal ont été communiqués au Gouvernement et la requête a été déclarée irrecevable pour le surplus conformément à l</w:t>
      </w:r>
      <w:r w:rsidRPr="001244BB" w:rsidR="001244BB">
        <w:t>’</w:t>
      </w:r>
      <w:r w:rsidRPr="001244BB">
        <w:t>article 54 § 3 du règlement de la Cour.</w:t>
      </w:r>
    </w:p>
    <w:p w:rsidRPr="001244BB" w:rsidR="003F4D18" w:rsidP="001244BB" w:rsidRDefault="003F4D18">
      <w:pPr>
        <w:pStyle w:val="JuHHead"/>
        <w:numPr>
          <w:ilvl w:val="0"/>
          <w:numId w:val="1"/>
        </w:numPr>
        <w:tabs>
          <w:tab w:val="left" w:pos="5387"/>
        </w:tabs>
      </w:pPr>
      <w:r w:rsidRPr="001244BB">
        <w:t>EN FAIT</w:t>
      </w:r>
    </w:p>
    <w:p w:rsidRPr="001244BB" w:rsidR="003F4D18" w:rsidP="001244BB" w:rsidRDefault="003F4D18">
      <w:pPr>
        <w:pStyle w:val="JuHIRoman"/>
        <w:numPr>
          <w:ilvl w:val="0"/>
          <w:numId w:val="0"/>
        </w:numPr>
        <w:ind w:left="357"/>
      </w:pPr>
      <w:r w:rsidRPr="001244BB">
        <w:t>I.  LES CIRCONSTANCES DE L</w:t>
      </w:r>
      <w:r w:rsidRPr="001244BB" w:rsidR="001244BB">
        <w:t>’</w:t>
      </w:r>
      <w:r w:rsidRPr="001244BB">
        <w:t>ESPÈCE</w:t>
      </w:r>
    </w:p>
    <w:p w:rsidRPr="001244BB" w:rsidR="003F4D18" w:rsidP="001244BB" w:rsidRDefault="003F4D18">
      <w:pPr>
        <w:pStyle w:val="JuPara"/>
      </w:pPr>
      <w:r w:rsidRPr="001244BB">
        <w:fldChar w:fldCharType="begin"/>
      </w:r>
      <w:r w:rsidRPr="001244BB">
        <w:instrText xml:space="preserve"> SEQ level0 \*arabic </w:instrText>
      </w:r>
      <w:r w:rsidRPr="001244BB">
        <w:fldChar w:fldCharType="separate"/>
      </w:r>
      <w:r w:rsidRPr="001244BB" w:rsidR="001244BB">
        <w:rPr>
          <w:noProof/>
        </w:rPr>
        <w:t>5</w:t>
      </w:r>
      <w:r w:rsidRPr="001244BB">
        <w:fldChar w:fldCharType="end"/>
      </w:r>
      <w:r w:rsidRPr="001244BB">
        <w:t>.  Le requérant est né en 1984 et réside à Ankara. À l</w:t>
      </w:r>
      <w:r w:rsidRPr="001244BB" w:rsidR="001244BB">
        <w:t>’</w:t>
      </w:r>
      <w:r w:rsidRPr="001244BB">
        <w:t xml:space="preserve">époque des faits, il était le rédacteur en chef du périodique mensuel local </w:t>
      </w:r>
      <w:r w:rsidRPr="001244BB">
        <w:rPr>
          <w:i/>
        </w:rPr>
        <w:t xml:space="preserve">Tokat </w:t>
      </w:r>
      <w:proofErr w:type="spellStart"/>
      <w:r w:rsidRPr="001244BB">
        <w:rPr>
          <w:i/>
        </w:rPr>
        <w:t>Demokrat</w:t>
      </w:r>
      <w:proofErr w:type="spellEnd"/>
      <w:r w:rsidRPr="001244BB">
        <w:rPr>
          <w:i/>
        </w:rPr>
        <w:t xml:space="preserve">, </w:t>
      </w:r>
      <w:r w:rsidRPr="001244BB">
        <w:t>qui était distribué dans la province de Tokat.</w:t>
      </w:r>
    </w:p>
    <w:p w:rsidRPr="001244BB" w:rsidR="003F4D18" w:rsidP="001244BB" w:rsidRDefault="003F4D18">
      <w:pPr>
        <w:pStyle w:val="JuHA"/>
        <w:numPr>
          <w:ilvl w:val="0"/>
          <w:numId w:val="0"/>
        </w:numPr>
        <w:ind w:left="584"/>
      </w:pPr>
      <w:r w:rsidRPr="001244BB">
        <w:t xml:space="preserve">A.  Les événements de </w:t>
      </w:r>
      <w:proofErr w:type="spellStart"/>
      <w:r w:rsidRPr="001244BB">
        <w:rPr>
          <w:rFonts w:cstheme="minorHAnsi"/>
        </w:rPr>
        <w:t>Kızıldere</w:t>
      </w:r>
      <w:proofErr w:type="spellEnd"/>
    </w:p>
    <w:p w:rsidRPr="001244BB" w:rsidR="003F4D18" w:rsidP="001244BB" w:rsidRDefault="003F4D18">
      <w:pPr>
        <w:pStyle w:val="JuPara"/>
        <w:rPr>
          <w:rFonts w:cstheme="minorHAnsi"/>
        </w:rPr>
      </w:pPr>
      <w:r w:rsidRPr="001244BB">
        <w:fldChar w:fldCharType="begin"/>
      </w:r>
      <w:r w:rsidRPr="001244BB">
        <w:instrText xml:space="preserve"> SEQ level0 \*arabic </w:instrText>
      </w:r>
      <w:r w:rsidRPr="001244BB">
        <w:fldChar w:fldCharType="separate"/>
      </w:r>
      <w:r w:rsidRPr="001244BB" w:rsidR="001244BB">
        <w:rPr>
          <w:noProof/>
        </w:rPr>
        <w:t>6</w:t>
      </w:r>
      <w:r w:rsidRPr="001244BB">
        <w:fldChar w:fldCharType="end"/>
      </w:r>
      <w:r w:rsidRPr="001244BB">
        <w:t>.  Le 26 mars 1972, M.</w:t>
      </w:r>
      <w:r w:rsidRPr="001244BB">
        <w:rPr>
          <w:rFonts w:cstheme="minorHAnsi"/>
        </w:rPr>
        <w:t>Ç., E.K., H.A., N.Y., E.S., A.A., des membres du THKP/C (</w:t>
      </w:r>
      <w:r w:rsidRPr="001244BB">
        <w:rPr>
          <w:rFonts w:cstheme="minorHAnsi"/>
          <w:i/>
        </w:rPr>
        <w:t xml:space="preserve">Türkiye </w:t>
      </w:r>
      <w:proofErr w:type="spellStart"/>
      <w:r w:rsidRPr="001244BB">
        <w:rPr>
          <w:rFonts w:cstheme="minorHAnsi"/>
          <w:i/>
        </w:rPr>
        <w:t>Halk</w:t>
      </w:r>
      <w:proofErr w:type="spellEnd"/>
      <w:r w:rsidRPr="001244BB">
        <w:rPr>
          <w:rFonts w:cstheme="minorHAnsi"/>
          <w:i/>
        </w:rPr>
        <w:t xml:space="preserve"> </w:t>
      </w:r>
      <w:proofErr w:type="spellStart"/>
      <w:r w:rsidRPr="001244BB">
        <w:rPr>
          <w:rFonts w:cstheme="minorHAnsi"/>
          <w:i/>
        </w:rPr>
        <w:t>Kurtuluş</w:t>
      </w:r>
      <w:proofErr w:type="spellEnd"/>
      <w:r w:rsidRPr="001244BB">
        <w:rPr>
          <w:rFonts w:cstheme="minorHAnsi"/>
          <w:i/>
        </w:rPr>
        <w:t xml:space="preserve"> </w:t>
      </w:r>
      <w:proofErr w:type="spellStart"/>
      <w:r w:rsidRPr="001244BB">
        <w:rPr>
          <w:rFonts w:cstheme="minorHAnsi"/>
          <w:i/>
        </w:rPr>
        <w:t>Partisi</w:t>
      </w:r>
      <w:proofErr w:type="spellEnd"/>
      <w:r w:rsidRPr="001244BB">
        <w:rPr>
          <w:rFonts w:cstheme="minorHAnsi"/>
          <w:i/>
        </w:rPr>
        <w:t>/</w:t>
      </w:r>
      <w:proofErr w:type="spellStart"/>
      <w:r w:rsidRPr="001244BB">
        <w:rPr>
          <w:rFonts w:cstheme="minorHAnsi"/>
          <w:i/>
        </w:rPr>
        <w:t>Cephe</w:t>
      </w:r>
      <w:proofErr w:type="spellEnd"/>
      <w:r w:rsidRPr="001244BB">
        <w:rPr>
          <w:rFonts w:cstheme="minorHAnsi"/>
        </w:rPr>
        <w:t xml:space="preserve"> - Parti/Front de la libération du peuple de Turquie, une organisation illégale), et C.A., un membre du THKO (</w:t>
      </w:r>
      <w:r w:rsidRPr="001244BB">
        <w:rPr>
          <w:rFonts w:cstheme="minorHAnsi"/>
          <w:i/>
        </w:rPr>
        <w:t xml:space="preserve">Türkiye </w:t>
      </w:r>
      <w:proofErr w:type="spellStart"/>
      <w:r w:rsidRPr="001244BB">
        <w:rPr>
          <w:rFonts w:cstheme="minorHAnsi"/>
          <w:i/>
        </w:rPr>
        <w:t>Halk</w:t>
      </w:r>
      <w:proofErr w:type="spellEnd"/>
      <w:r w:rsidRPr="001244BB">
        <w:rPr>
          <w:rFonts w:cstheme="minorHAnsi"/>
          <w:i/>
        </w:rPr>
        <w:t xml:space="preserve"> </w:t>
      </w:r>
      <w:proofErr w:type="spellStart"/>
      <w:r w:rsidRPr="001244BB">
        <w:rPr>
          <w:rFonts w:cstheme="minorHAnsi"/>
          <w:i/>
        </w:rPr>
        <w:t>Kurtuluş</w:t>
      </w:r>
      <w:proofErr w:type="spellEnd"/>
      <w:r w:rsidRPr="001244BB">
        <w:rPr>
          <w:rFonts w:cstheme="minorHAnsi"/>
          <w:i/>
        </w:rPr>
        <w:t xml:space="preserve"> </w:t>
      </w:r>
      <w:proofErr w:type="spellStart"/>
      <w:r w:rsidRPr="001244BB">
        <w:rPr>
          <w:rFonts w:cstheme="minorHAnsi"/>
          <w:i/>
        </w:rPr>
        <w:t>Ordusu</w:t>
      </w:r>
      <w:proofErr w:type="spellEnd"/>
      <w:r w:rsidRPr="001244BB">
        <w:rPr>
          <w:rFonts w:cstheme="minorHAnsi"/>
        </w:rPr>
        <w:t xml:space="preserve"> - Armée de libération du peuple de Turquie, une organisation illégale), prirent en otage trois techniciens de nationalité britannique qui travaillaient sur une base militaire de l</w:t>
      </w:r>
      <w:r w:rsidRPr="001244BB" w:rsidR="001244BB">
        <w:rPr>
          <w:rFonts w:cstheme="minorHAnsi"/>
        </w:rPr>
        <w:t>’</w:t>
      </w:r>
      <w:r w:rsidRPr="001244BB">
        <w:rPr>
          <w:rFonts w:cstheme="minorHAnsi"/>
        </w:rPr>
        <w:t>Organisation du traité de l</w:t>
      </w:r>
      <w:r w:rsidRPr="001244BB" w:rsidR="001244BB">
        <w:rPr>
          <w:rFonts w:cstheme="minorHAnsi"/>
        </w:rPr>
        <w:t>’</w:t>
      </w:r>
      <w:r w:rsidRPr="001244BB">
        <w:rPr>
          <w:rFonts w:cstheme="minorHAnsi"/>
        </w:rPr>
        <w:t xml:space="preserve">Atlantique Nord (OTAN) située à </w:t>
      </w:r>
      <w:proofErr w:type="spellStart"/>
      <w:r w:rsidRPr="001244BB">
        <w:rPr>
          <w:rFonts w:cstheme="minorHAnsi"/>
        </w:rPr>
        <w:t>Ünye</w:t>
      </w:r>
      <w:proofErr w:type="spellEnd"/>
      <w:r w:rsidRPr="001244BB">
        <w:rPr>
          <w:rFonts w:cstheme="minorHAnsi"/>
        </w:rPr>
        <w:t xml:space="preserve">, et se rendirent à </w:t>
      </w:r>
      <w:proofErr w:type="spellStart"/>
      <w:r w:rsidRPr="001244BB">
        <w:rPr>
          <w:rFonts w:cstheme="minorHAnsi"/>
        </w:rPr>
        <w:t>Kızıldere</w:t>
      </w:r>
      <w:proofErr w:type="spellEnd"/>
      <w:r w:rsidRPr="001244BB">
        <w:rPr>
          <w:rFonts w:cstheme="minorHAnsi"/>
        </w:rPr>
        <w:t>, un village de la province de Tokat. Ils y retrouvèrent S.K.Ö., S.K., S.A., des membres du THKP/C, et Ö.A., un membre du THKO.</w:t>
      </w:r>
    </w:p>
    <w:p w:rsidRPr="001244BB" w:rsidR="003F4D18" w:rsidP="001244BB" w:rsidRDefault="003F4D18">
      <w:pPr>
        <w:pStyle w:val="JuPara"/>
        <w:rPr>
          <w:rFonts w:cstheme="minorHAnsi"/>
        </w:rPr>
      </w:pPr>
      <w:r w:rsidRPr="001244BB">
        <w:rPr>
          <w:rFonts w:cstheme="minorHAnsi"/>
        </w:rPr>
        <w:fldChar w:fldCharType="begin"/>
      </w:r>
      <w:r w:rsidRPr="001244BB">
        <w:rPr>
          <w:rFonts w:cstheme="minorHAnsi"/>
        </w:rPr>
        <w:instrText xml:space="preserve"> SEQ level0 \*arabic </w:instrText>
      </w:r>
      <w:r w:rsidRPr="001244BB">
        <w:rPr>
          <w:rFonts w:cstheme="minorHAnsi"/>
        </w:rPr>
        <w:fldChar w:fldCharType="separate"/>
      </w:r>
      <w:r w:rsidRPr="001244BB" w:rsidR="001244BB">
        <w:rPr>
          <w:rFonts w:cstheme="minorHAnsi"/>
          <w:noProof/>
        </w:rPr>
        <w:t>7</w:t>
      </w:r>
      <w:r w:rsidRPr="001244BB">
        <w:rPr>
          <w:rFonts w:cstheme="minorHAnsi"/>
        </w:rPr>
        <w:fldChar w:fldCharType="end"/>
      </w:r>
      <w:r w:rsidRPr="001244BB">
        <w:rPr>
          <w:rFonts w:cstheme="minorHAnsi"/>
        </w:rPr>
        <w:t>.  L</w:t>
      </w:r>
      <w:r w:rsidRPr="001244BB" w:rsidR="001244BB">
        <w:rPr>
          <w:rFonts w:cstheme="minorHAnsi"/>
        </w:rPr>
        <w:t>’</w:t>
      </w:r>
      <w:r w:rsidRPr="001244BB">
        <w:rPr>
          <w:rFonts w:cstheme="minorHAnsi"/>
        </w:rPr>
        <w:t>objectif de cette prise d</w:t>
      </w:r>
      <w:r w:rsidRPr="001244BB" w:rsidR="001244BB">
        <w:rPr>
          <w:rFonts w:cstheme="minorHAnsi"/>
        </w:rPr>
        <w:t>’</w:t>
      </w:r>
      <w:r w:rsidRPr="001244BB">
        <w:rPr>
          <w:rFonts w:cstheme="minorHAnsi"/>
        </w:rPr>
        <w:t>otage était d</w:t>
      </w:r>
      <w:r w:rsidRPr="001244BB" w:rsidR="001244BB">
        <w:rPr>
          <w:rFonts w:cstheme="minorHAnsi"/>
        </w:rPr>
        <w:t>’</w:t>
      </w:r>
      <w:r w:rsidRPr="001244BB">
        <w:rPr>
          <w:rFonts w:cstheme="minorHAnsi"/>
        </w:rPr>
        <w:t>empêcher l</w:t>
      </w:r>
      <w:r w:rsidRPr="001244BB" w:rsidR="001244BB">
        <w:rPr>
          <w:rFonts w:cstheme="minorHAnsi"/>
        </w:rPr>
        <w:t>’</w:t>
      </w:r>
      <w:r w:rsidRPr="001244BB">
        <w:rPr>
          <w:rFonts w:cstheme="minorHAnsi"/>
        </w:rPr>
        <w:t>exécution de la peine de mort à laquelle avaient été condamnés par des tribunaux pénaux trois membres fondateurs du THKO et célèbres chefs de mouvements de gauche à l</w:t>
      </w:r>
      <w:r w:rsidRPr="001244BB" w:rsidR="001244BB">
        <w:rPr>
          <w:rFonts w:cstheme="minorHAnsi"/>
        </w:rPr>
        <w:t>’</w:t>
      </w:r>
      <w:r w:rsidRPr="001244BB">
        <w:rPr>
          <w:rFonts w:cstheme="minorHAnsi"/>
        </w:rPr>
        <w:t>époque des faits, D.G., H.İ. et Y.A.</w:t>
      </w:r>
    </w:p>
    <w:p w:rsidRPr="001244BB" w:rsidR="003F4D18" w:rsidP="001244BB" w:rsidRDefault="003F4D18">
      <w:pPr>
        <w:pStyle w:val="JuPara"/>
        <w:rPr>
          <w:rFonts w:cstheme="minorHAnsi"/>
        </w:rPr>
      </w:pPr>
      <w:r w:rsidRPr="001244BB">
        <w:rPr>
          <w:rFonts w:cstheme="minorHAnsi"/>
        </w:rPr>
        <w:fldChar w:fldCharType="begin"/>
      </w:r>
      <w:r w:rsidRPr="001244BB">
        <w:rPr>
          <w:rFonts w:cstheme="minorHAnsi"/>
        </w:rPr>
        <w:instrText xml:space="preserve"> SEQ level0 \*arabic </w:instrText>
      </w:r>
      <w:r w:rsidRPr="001244BB">
        <w:rPr>
          <w:rFonts w:cstheme="minorHAnsi"/>
        </w:rPr>
        <w:fldChar w:fldCharType="separate"/>
      </w:r>
      <w:r w:rsidRPr="001244BB" w:rsidR="001244BB">
        <w:rPr>
          <w:rFonts w:cstheme="minorHAnsi"/>
          <w:noProof/>
        </w:rPr>
        <w:t>8</w:t>
      </w:r>
      <w:r w:rsidRPr="001244BB">
        <w:rPr>
          <w:rFonts w:cstheme="minorHAnsi"/>
        </w:rPr>
        <w:fldChar w:fldCharType="end"/>
      </w:r>
      <w:r w:rsidRPr="001244BB">
        <w:rPr>
          <w:rFonts w:cstheme="minorHAnsi"/>
        </w:rPr>
        <w:t>.  Le 30 mars 1972, la maison dans laquelle se cachaient les ravisseurs et leurs otages fut assiégée par les gendarmes. Les militants refusèrent l</w:t>
      </w:r>
      <w:r w:rsidRPr="001244BB" w:rsidR="001244BB">
        <w:rPr>
          <w:rFonts w:cstheme="minorHAnsi"/>
        </w:rPr>
        <w:t>’</w:t>
      </w:r>
      <w:r w:rsidRPr="001244BB">
        <w:rPr>
          <w:rFonts w:cstheme="minorHAnsi"/>
        </w:rPr>
        <w:t>appel à la reddition qui avait été lancé par les forces de l</w:t>
      </w:r>
      <w:r w:rsidRPr="001244BB" w:rsidR="001244BB">
        <w:rPr>
          <w:rFonts w:cstheme="minorHAnsi"/>
        </w:rPr>
        <w:t>’</w:t>
      </w:r>
      <w:r w:rsidRPr="001244BB">
        <w:rPr>
          <w:rFonts w:cstheme="minorHAnsi"/>
        </w:rPr>
        <w:t>ordre et indiquèrent qu</w:t>
      </w:r>
      <w:r w:rsidRPr="001244BB" w:rsidR="001244BB">
        <w:rPr>
          <w:rFonts w:cstheme="minorHAnsi"/>
        </w:rPr>
        <w:t>’</w:t>
      </w:r>
      <w:r w:rsidRPr="001244BB">
        <w:rPr>
          <w:rFonts w:cstheme="minorHAnsi"/>
        </w:rPr>
        <w:t>ils n</w:t>
      </w:r>
      <w:r w:rsidRPr="001244BB" w:rsidR="001244BB">
        <w:rPr>
          <w:rFonts w:cstheme="minorHAnsi"/>
        </w:rPr>
        <w:t>’</w:t>
      </w:r>
      <w:r w:rsidRPr="001244BB">
        <w:rPr>
          <w:rFonts w:cstheme="minorHAnsi"/>
        </w:rPr>
        <w:t>étaient pas là pour se rendre mais pour mourir. Ils échangèrent des tirs avec les forces de l</w:t>
      </w:r>
      <w:r w:rsidRPr="001244BB" w:rsidR="001244BB">
        <w:rPr>
          <w:rFonts w:cstheme="minorHAnsi"/>
        </w:rPr>
        <w:t>’</w:t>
      </w:r>
      <w:r w:rsidRPr="001244BB">
        <w:rPr>
          <w:rFonts w:cstheme="minorHAnsi"/>
        </w:rPr>
        <w:t>ordre, à la suite de quoi ils exécutèrent les trois otages. Les gendarmes firent ensuite irruption dans la maison et tous les militants, à l</w:t>
      </w:r>
      <w:r w:rsidRPr="001244BB" w:rsidR="001244BB">
        <w:rPr>
          <w:rFonts w:cstheme="minorHAnsi"/>
        </w:rPr>
        <w:t>’</w:t>
      </w:r>
      <w:r w:rsidRPr="001244BB">
        <w:rPr>
          <w:rFonts w:cstheme="minorHAnsi"/>
        </w:rPr>
        <w:t>exception d</w:t>
      </w:r>
      <w:r w:rsidRPr="001244BB" w:rsidR="001244BB">
        <w:rPr>
          <w:rFonts w:cstheme="minorHAnsi"/>
        </w:rPr>
        <w:t>’</w:t>
      </w:r>
      <w:r w:rsidRPr="001244BB">
        <w:rPr>
          <w:rFonts w:cstheme="minorHAnsi"/>
        </w:rPr>
        <w:t>E.K., furent tués lors de l</w:t>
      </w:r>
      <w:r w:rsidRPr="001244BB" w:rsidR="001244BB">
        <w:rPr>
          <w:rFonts w:cstheme="minorHAnsi"/>
        </w:rPr>
        <w:t>’</w:t>
      </w:r>
      <w:r w:rsidRPr="001244BB">
        <w:rPr>
          <w:rFonts w:cstheme="minorHAnsi"/>
        </w:rPr>
        <w:t>affrontement armé qui s</w:t>
      </w:r>
      <w:r w:rsidRPr="001244BB" w:rsidR="001244BB">
        <w:rPr>
          <w:rFonts w:cstheme="minorHAnsi"/>
        </w:rPr>
        <w:t>’</w:t>
      </w:r>
      <w:r w:rsidRPr="001244BB">
        <w:rPr>
          <w:rFonts w:cstheme="minorHAnsi"/>
        </w:rPr>
        <w:t>ensuivit.</w:t>
      </w:r>
    </w:p>
    <w:p w:rsidRPr="001244BB" w:rsidR="003F4D18" w:rsidP="001244BB" w:rsidRDefault="003F4D18">
      <w:pPr>
        <w:pStyle w:val="JuPara"/>
        <w:rPr>
          <w:rFonts w:cstheme="minorHAnsi"/>
        </w:rPr>
      </w:pPr>
      <w:r w:rsidRPr="001244BB">
        <w:rPr>
          <w:rFonts w:cstheme="minorHAnsi"/>
        </w:rPr>
        <w:fldChar w:fldCharType="begin"/>
      </w:r>
      <w:r w:rsidRPr="001244BB">
        <w:rPr>
          <w:rFonts w:cstheme="minorHAnsi"/>
        </w:rPr>
        <w:instrText xml:space="preserve"> SEQ level0 \*arabic </w:instrText>
      </w:r>
      <w:r w:rsidRPr="001244BB">
        <w:rPr>
          <w:rFonts w:cstheme="minorHAnsi"/>
        </w:rPr>
        <w:fldChar w:fldCharType="separate"/>
      </w:r>
      <w:r w:rsidRPr="001244BB" w:rsidR="001244BB">
        <w:rPr>
          <w:rFonts w:cstheme="minorHAnsi"/>
          <w:noProof/>
        </w:rPr>
        <w:t>9</w:t>
      </w:r>
      <w:r w:rsidRPr="001244BB">
        <w:rPr>
          <w:rFonts w:cstheme="minorHAnsi"/>
        </w:rPr>
        <w:fldChar w:fldCharType="end"/>
      </w:r>
      <w:r w:rsidRPr="001244BB">
        <w:rPr>
          <w:rFonts w:cstheme="minorHAnsi"/>
        </w:rPr>
        <w:t xml:space="preserve">.  Les événements de </w:t>
      </w:r>
      <w:proofErr w:type="spellStart"/>
      <w:r w:rsidRPr="001244BB">
        <w:rPr>
          <w:rFonts w:cstheme="minorHAnsi"/>
        </w:rPr>
        <w:t>Kızıldere</w:t>
      </w:r>
      <w:proofErr w:type="spellEnd"/>
      <w:r w:rsidRPr="001244BB">
        <w:rPr>
          <w:rFonts w:cstheme="minorHAnsi"/>
        </w:rPr>
        <w:t xml:space="preserve"> ont toujours une place importante et vivante dans la mémoire d</w:t>
      </w:r>
      <w:r w:rsidRPr="001244BB" w:rsidR="001244BB">
        <w:rPr>
          <w:rFonts w:cstheme="minorHAnsi"/>
        </w:rPr>
        <w:t>’</w:t>
      </w:r>
      <w:r w:rsidRPr="001244BB">
        <w:rPr>
          <w:rFonts w:cstheme="minorHAnsi"/>
        </w:rPr>
        <w:t>une partie de la société turque. Régulièrement, à l</w:t>
      </w:r>
      <w:r w:rsidRPr="001244BB" w:rsidR="001244BB">
        <w:rPr>
          <w:rFonts w:cstheme="minorHAnsi"/>
        </w:rPr>
        <w:t>’</w:t>
      </w:r>
      <w:r w:rsidRPr="001244BB">
        <w:rPr>
          <w:rFonts w:cstheme="minorHAnsi"/>
        </w:rPr>
        <w:t>occasion de l</w:t>
      </w:r>
      <w:r w:rsidRPr="001244BB" w:rsidR="001244BB">
        <w:rPr>
          <w:rFonts w:cstheme="minorHAnsi"/>
        </w:rPr>
        <w:t>’</w:t>
      </w:r>
      <w:r w:rsidRPr="001244BB">
        <w:rPr>
          <w:rFonts w:cstheme="minorHAnsi"/>
        </w:rPr>
        <w:t>anniversaire de ces événements, certains groupes et organisations ancrés à gauche commémorent ces événements et célèbrent la mémoire des personnes qui ont procédé à la prise d</w:t>
      </w:r>
      <w:r w:rsidRPr="001244BB" w:rsidR="001244BB">
        <w:rPr>
          <w:rFonts w:cstheme="minorHAnsi"/>
        </w:rPr>
        <w:t>’</w:t>
      </w:r>
      <w:r w:rsidRPr="001244BB">
        <w:rPr>
          <w:rFonts w:cstheme="minorHAnsi"/>
        </w:rPr>
        <w:t>otage.</w:t>
      </w:r>
    </w:p>
    <w:p w:rsidRPr="001244BB" w:rsidR="003F4D18" w:rsidP="001244BB" w:rsidRDefault="003F4D18">
      <w:pPr>
        <w:pStyle w:val="JuHA"/>
        <w:numPr>
          <w:ilvl w:val="0"/>
          <w:numId w:val="0"/>
        </w:numPr>
        <w:ind w:left="584"/>
      </w:pPr>
      <w:r w:rsidRPr="001244BB">
        <w:t>B.  L</w:t>
      </w:r>
      <w:r w:rsidRPr="001244BB" w:rsidR="001244BB">
        <w:t>’</w:t>
      </w:r>
      <w:r w:rsidRPr="001244BB">
        <w:t>article publié dans le périodique du requérant</w:t>
      </w:r>
    </w:p>
    <w:p w:rsidRPr="001244BB" w:rsidR="003F4D18" w:rsidP="001244BB" w:rsidRDefault="003F4D18">
      <w:pPr>
        <w:pStyle w:val="JuPara"/>
      </w:pPr>
      <w:r w:rsidRPr="001244BB">
        <w:fldChar w:fldCharType="begin"/>
      </w:r>
      <w:r w:rsidRPr="001244BB">
        <w:instrText xml:space="preserve"> SEQ level0 \*arabic </w:instrText>
      </w:r>
      <w:r w:rsidRPr="001244BB">
        <w:fldChar w:fldCharType="separate"/>
      </w:r>
      <w:r w:rsidRPr="001244BB" w:rsidR="001244BB">
        <w:rPr>
          <w:noProof/>
        </w:rPr>
        <w:t>10</w:t>
      </w:r>
      <w:r w:rsidRPr="001244BB">
        <w:fldChar w:fldCharType="end"/>
      </w:r>
      <w:r w:rsidRPr="001244BB">
        <w:t>.  Un article qui portait sur les événements de</w:t>
      </w:r>
      <w:r w:rsidRPr="001244BB">
        <w:rPr>
          <w:rFonts w:cstheme="minorHAnsi"/>
          <w:b/>
        </w:rPr>
        <w:t xml:space="preserve"> </w:t>
      </w:r>
      <w:proofErr w:type="spellStart"/>
      <w:r w:rsidRPr="001244BB">
        <w:rPr>
          <w:rFonts w:cstheme="minorHAnsi"/>
        </w:rPr>
        <w:t>Kızıldere</w:t>
      </w:r>
      <w:proofErr w:type="spellEnd"/>
      <w:r w:rsidRPr="001244BB">
        <w:t xml:space="preserve"> fut publié dans le numéro de mars 2007 du périodique du requérant. L</w:t>
      </w:r>
      <w:r w:rsidRPr="001244BB" w:rsidR="001244BB">
        <w:t>’</w:t>
      </w:r>
      <w:r w:rsidRPr="001244BB">
        <w:t xml:space="preserve">article en question, intitulé </w:t>
      </w:r>
      <w:r w:rsidRPr="001244BB">
        <w:rPr>
          <w:i/>
        </w:rPr>
        <w:t>« </w:t>
      </w:r>
      <w:r w:rsidRPr="001244BB">
        <w:t>M. et ses amis vivent toujours comme les idoles de la jeunesse</w:t>
      </w:r>
      <w:r w:rsidRPr="001244BB">
        <w:rPr>
          <w:i/>
        </w:rPr>
        <w:t> »</w:t>
      </w:r>
      <w:r w:rsidRPr="001244BB">
        <w:t>, se lisait comme suit :</w:t>
      </w:r>
    </w:p>
    <w:p w:rsidRPr="001244BB" w:rsidR="003F4D18" w:rsidP="001244BB" w:rsidRDefault="003F4D18">
      <w:pPr>
        <w:pStyle w:val="JuQuot"/>
      </w:pPr>
      <w:r w:rsidRPr="001244BB">
        <w:t xml:space="preserve">« Le 30 mars 1972, un groupe de jeunes révolutionnaires ont été [assaillis] au village </w:t>
      </w:r>
      <w:r w:rsidRPr="001244BB">
        <w:rPr>
          <w:rFonts w:cstheme="minorHAnsi"/>
        </w:rPr>
        <w:t xml:space="preserve">de </w:t>
      </w:r>
      <w:proofErr w:type="spellStart"/>
      <w:r w:rsidRPr="001244BB">
        <w:rPr>
          <w:rFonts w:cstheme="minorHAnsi"/>
        </w:rPr>
        <w:t>Kızıldere</w:t>
      </w:r>
      <w:proofErr w:type="spellEnd"/>
      <w:r w:rsidRPr="001244BB">
        <w:rPr>
          <w:rFonts w:cstheme="minorHAnsi"/>
        </w:rPr>
        <w:t xml:space="preserve"> de Tokat. </w:t>
      </w:r>
      <w:r w:rsidRPr="001244BB">
        <w:t>M.Ç. et ses amis, qui voulaient empêcher l</w:t>
      </w:r>
      <w:r w:rsidRPr="001244BB" w:rsidR="001244BB">
        <w:t>’</w:t>
      </w:r>
      <w:r w:rsidRPr="001244BB">
        <w:t xml:space="preserve">exécution de D.G. et de ses amis, ont enlevé les techniciens qui se trouvaient dans une base anglaise à </w:t>
      </w:r>
      <w:proofErr w:type="spellStart"/>
      <w:r w:rsidRPr="001244BB">
        <w:t>Ünye</w:t>
      </w:r>
      <w:proofErr w:type="spellEnd"/>
      <w:r w:rsidRPr="001244BB">
        <w:t>. Ils ont voulu stopper l</w:t>
      </w:r>
      <w:r w:rsidRPr="001244BB" w:rsidR="001244BB">
        <w:t>’</w:t>
      </w:r>
      <w:r w:rsidRPr="001244BB">
        <w:t>exécution de leurs amis D.G., H.İ. et Y.A., mais ils ont été massacrés sans parvenir [à leur but]. M. et ses amis vivent toujours comme les idoles de la jeunesse. »</w:t>
      </w:r>
    </w:p>
    <w:p w:rsidRPr="001244BB" w:rsidR="003F4D18" w:rsidP="001244BB" w:rsidRDefault="003F4D18">
      <w:pPr>
        <w:pStyle w:val="JuHA"/>
        <w:numPr>
          <w:ilvl w:val="0"/>
          <w:numId w:val="0"/>
        </w:numPr>
        <w:ind w:left="584"/>
      </w:pPr>
      <w:r w:rsidRPr="001244BB">
        <w:t>C.  La procédure pénale diligentée contre le requérant</w:t>
      </w:r>
    </w:p>
    <w:p w:rsidRPr="001244BB" w:rsidR="003F4D18" w:rsidP="001244BB" w:rsidRDefault="003F4D18">
      <w:pPr>
        <w:pStyle w:val="JuPara"/>
      </w:pPr>
      <w:r w:rsidRPr="001244BB">
        <w:fldChar w:fldCharType="begin"/>
      </w:r>
      <w:r w:rsidRPr="001244BB">
        <w:instrText xml:space="preserve"> SEQ level0 \*arabic </w:instrText>
      </w:r>
      <w:r w:rsidRPr="001244BB">
        <w:fldChar w:fldCharType="separate"/>
      </w:r>
      <w:r w:rsidRPr="001244BB" w:rsidR="001244BB">
        <w:rPr>
          <w:noProof/>
        </w:rPr>
        <w:t>11</w:t>
      </w:r>
      <w:r w:rsidRPr="001244BB">
        <w:fldChar w:fldCharType="end"/>
      </w:r>
      <w:r w:rsidRPr="001244BB">
        <w:t>.  Par un acte d</w:t>
      </w:r>
      <w:r w:rsidRPr="001244BB" w:rsidR="001244BB">
        <w:t>’</w:t>
      </w:r>
      <w:r w:rsidRPr="001244BB">
        <w:t>accusation du 23 mars 2007, le procureur de la République de Tokat inculpa le requérant de l</w:t>
      </w:r>
      <w:r w:rsidRPr="001244BB" w:rsidR="001244BB">
        <w:t>’</w:t>
      </w:r>
      <w:r w:rsidRPr="001244BB">
        <w:t>infraction d</w:t>
      </w:r>
      <w:r w:rsidRPr="001244BB" w:rsidR="001244BB">
        <w:t>’</w:t>
      </w:r>
      <w:r w:rsidRPr="001244BB">
        <w:t>apologie du crime et du criminel à raison du contenu de l</w:t>
      </w:r>
      <w:r w:rsidRPr="001244BB" w:rsidR="001244BB">
        <w:t>’</w:t>
      </w:r>
      <w:r w:rsidRPr="001244BB">
        <w:t>article susmentionné.</w:t>
      </w:r>
    </w:p>
    <w:p w:rsidRPr="001244BB" w:rsidR="003F4D18" w:rsidP="001244BB" w:rsidRDefault="003F4D18">
      <w:pPr>
        <w:pStyle w:val="JuPara"/>
        <w:rPr>
          <w:rFonts w:ascii="Times New Roman" w:hAnsi="Times New Roman" w:cs="Times New Roman"/>
        </w:rPr>
      </w:pPr>
      <w:r w:rsidRPr="001244BB">
        <w:rPr>
          <w:rFonts w:ascii="Times New Roman" w:hAnsi="Times New Roman" w:cs="Times New Roman"/>
        </w:rPr>
        <w:fldChar w:fldCharType="begin"/>
      </w:r>
      <w:r w:rsidRPr="001244BB">
        <w:rPr>
          <w:rFonts w:ascii="Times New Roman" w:hAnsi="Times New Roman" w:cs="Times New Roman"/>
        </w:rPr>
        <w:instrText xml:space="preserve"> SEQ level0 \*arabic </w:instrText>
      </w:r>
      <w:r w:rsidRPr="001244BB">
        <w:rPr>
          <w:rFonts w:ascii="Times New Roman" w:hAnsi="Times New Roman" w:cs="Times New Roman"/>
        </w:rPr>
        <w:fldChar w:fldCharType="separate"/>
      </w:r>
      <w:r w:rsidRPr="001244BB" w:rsidR="001244BB">
        <w:rPr>
          <w:rFonts w:ascii="Times New Roman" w:hAnsi="Times New Roman" w:cs="Times New Roman"/>
          <w:noProof/>
        </w:rPr>
        <w:t>12</w:t>
      </w:r>
      <w:r w:rsidRPr="001244BB">
        <w:rPr>
          <w:rFonts w:ascii="Times New Roman" w:hAnsi="Times New Roman" w:cs="Times New Roman"/>
        </w:rPr>
        <w:fldChar w:fldCharType="end"/>
      </w:r>
      <w:r w:rsidRPr="001244BB">
        <w:rPr>
          <w:rFonts w:ascii="Times New Roman" w:hAnsi="Times New Roman" w:cs="Times New Roman"/>
        </w:rPr>
        <w:t>.  Le 21 avril 2008, le tribunal correctionnel de Tokat reconnut le requérant coupable de l</w:t>
      </w:r>
      <w:r w:rsidRPr="001244BB" w:rsidR="001244BB">
        <w:rPr>
          <w:rFonts w:ascii="Times New Roman" w:hAnsi="Times New Roman" w:cs="Times New Roman"/>
        </w:rPr>
        <w:t>’</w:t>
      </w:r>
      <w:r w:rsidRPr="001244BB">
        <w:rPr>
          <w:rFonts w:ascii="Times New Roman" w:hAnsi="Times New Roman" w:cs="Times New Roman"/>
        </w:rPr>
        <w:t>infraction reprochée et le condamna à une amende judiciaire de 900 livres turques (TRY) (soit environ 430 euros (EUR) à la date du jugement) sur le fondement des articles 215 et 218 du code pénal (CP). Il estima que l</w:t>
      </w:r>
      <w:r w:rsidRPr="001244BB" w:rsidR="001244BB">
        <w:rPr>
          <w:rFonts w:ascii="Times New Roman" w:hAnsi="Times New Roman" w:cs="Times New Roman"/>
        </w:rPr>
        <w:t>’</w:t>
      </w:r>
      <w:r w:rsidRPr="001244BB">
        <w:rPr>
          <w:rFonts w:ascii="Times New Roman" w:hAnsi="Times New Roman" w:cs="Times New Roman"/>
        </w:rPr>
        <w:t>article en question, notamment par l</w:t>
      </w:r>
      <w:r w:rsidRPr="001244BB" w:rsidR="001244BB">
        <w:rPr>
          <w:rFonts w:ascii="Times New Roman" w:hAnsi="Times New Roman" w:cs="Times New Roman"/>
        </w:rPr>
        <w:t>’</w:t>
      </w:r>
      <w:r w:rsidRPr="001244BB">
        <w:rPr>
          <w:rFonts w:ascii="Times New Roman" w:hAnsi="Times New Roman" w:cs="Times New Roman"/>
        </w:rPr>
        <w:t>emploi d</w:t>
      </w:r>
      <w:r w:rsidRPr="001244BB" w:rsidR="001244BB">
        <w:rPr>
          <w:rFonts w:ascii="Times New Roman" w:hAnsi="Times New Roman" w:cs="Times New Roman"/>
        </w:rPr>
        <w:t>’</w:t>
      </w:r>
      <w:r w:rsidRPr="001244BB">
        <w:rPr>
          <w:rFonts w:ascii="Times New Roman" w:hAnsi="Times New Roman" w:cs="Times New Roman"/>
        </w:rPr>
        <w:t>expressions telles que « massacrés » et « les idoles de la jeunesse », faisait l</w:t>
      </w:r>
      <w:r w:rsidRPr="001244BB" w:rsidR="001244BB">
        <w:rPr>
          <w:rFonts w:ascii="Times New Roman" w:hAnsi="Times New Roman" w:cs="Times New Roman"/>
        </w:rPr>
        <w:t>’</w:t>
      </w:r>
      <w:r w:rsidRPr="001244BB">
        <w:rPr>
          <w:rFonts w:ascii="Times New Roman" w:hAnsi="Times New Roman" w:cs="Times New Roman"/>
        </w:rPr>
        <w:t>apologie de M.Ç., qui avait commis des infractions par sa participation à plusieurs actes illégaux et qui avait finalement été tué lors d</w:t>
      </w:r>
      <w:r w:rsidRPr="001244BB" w:rsidR="001244BB">
        <w:rPr>
          <w:rFonts w:ascii="Times New Roman" w:hAnsi="Times New Roman" w:cs="Times New Roman"/>
        </w:rPr>
        <w:t>’</w:t>
      </w:r>
      <w:r w:rsidRPr="001244BB">
        <w:rPr>
          <w:rFonts w:ascii="Times New Roman" w:hAnsi="Times New Roman" w:cs="Times New Roman"/>
        </w:rPr>
        <w:t>un affrontement armé survenu entre lui et les forces de sécurité de l</w:t>
      </w:r>
      <w:r w:rsidRPr="001244BB" w:rsidR="001244BB">
        <w:rPr>
          <w:rFonts w:ascii="Times New Roman" w:hAnsi="Times New Roman" w:cs="Times New Roman"/>
        </w:rPr>
        <w:t>’</w:t>
      </w:r>
      <w:r w:rsidRPr="001244BB">
        <w:rPr>
          <w:rFonts w:ascii="Times New Roman" w:hAnsi="Times New Roman" w:cs="Times New Roman"/>
        </w:rPr>
        <w:t>État, ainsi que de ses efforts et comportements visant à sauver des personnes jugées et condamnées à la peine de mort par des tribunaux habilités par la Constitution. Le tribunal correctionnel précisa que son jugement était définitif en vertu de l</w:t>
      </w:r>
      <w:r w:rsidRPr="001244BB" w:rsidR="001244BB">
        <w:rPr>
          <w:rFonts w:ascii="Times New Roman" w:hAnsi="Times New Roman" w:cs="Times New Roman"/>
        </w:rPr>
        <w:t>’</w:t>
      </w:r>
      <w:r w:rsidRPr="001244BB">
        <w:rPr>
          <w:rFonts w:ascii="Times New Roman" w:hAnsi="Times New Roman" w:cs="Times New Roman"/>
        </w:rPr>
        <w:t>article 272 § 3 a) du code de procédure pénale (CPP).</w:t>
      </w:r>
    </w:p>
    <w:p w:rsidRPr="001244BB" w:rsidR="003F4D18" w:rsidP="001244BB" w:rsidRDefault="003F4D18">
      <w:pPr>
        <w:pStyle w:val="JuHIRoman"/>
        <w:numPr>
          <w:ilvl w:val="0"/>
          <w:numId w:val="0"/>
        </w:numPr>
      </w:pPr>
      <w:r w:rsidRPr="001244BB">
        <w:t>II.  LE DROIT INTERNE PERTINENT</w:t>
      </w:r>
    </w:p>
    <w:p w:rsidRPr="001244BB" w:rsidR="003F4D18" w:rsidP="001244BB" w:rsidRDefault="003F4D18">
      <w:pPr>
        <w:pStyle w:val="JuPara"/>
      </w:pPr>
      <w:r w:rsidRPr="001244BB">
        <w:fldChar w:fldCharType="begin"/>
      </w:r>
      <w:r w:rsidRPr="001244BB">
        <w:instrText xml:space="preserve"> SEQ level0 \*arabic </w:instrText>
      </w:r>
      <w:r w:rsidRPr="001244BB">
        <w:fldChar w:fldCharType="separate"/>
      </w:r>
      <w:r w:rsidRPr="001244BB" w:rsidR="001244BB">
        <w:rPr>
          <w:noProof/>
        </w:rPr>
        <w:t>13</w:t>
      </w:r>
      <w:r w:rsidRPr="001244BB">
        <w:fldChar w:fldCharType="end"/>
      </w:r>
      <w:r w:rsidRPr="001244BB">
        <w:t>.  L</w:t>
      </w:r>
      <w:r w:rsidRPr="001244BB" w:rsidR="001244BB">
        <w:t>’</w:t>
      </w:r>
      <w:r w:rsidRPr="001244BB">
        <w:t>article 215 du CP (loi n</w:t>
      </w:r>
      <w:r w:rsidRPr="001244BB">
        <w:rPr>
          <w:vertAlign w:val="superscript"/>
        </w:rPr>
        <w:t>o</w:t>
      </w:r>
      <w:r w:rsidRPr="001244BB">
        <w:t xml:space="preserve"> 5237 du 26 septembre 2004, entrée en vigueur le 1</w:t>
      </w:r>
      <w:r w:rsidRPr="001244BB">
        <w:rPr>
          <w:vertAlign w:val="superscript"/>
        </w:rPr>
        <w:t>er</w:t>
      </w:r>
      <w:r w:rsidRPr="001244BB">
        <w:t xml:space="preserve"> juin 2005), tel qu</w:t>
      </w:r>
      <w:r w:rsidRPr="001244BB" w:rsidR="001244BB">
        <w:t>’</w:t>
      </w:r>
      <w:r w:rsidRPr="001244BB">
        <w:t>il était en vigueur à l</w:t>
      </w:r>
      <w:r w:rsidRPr="001244BB" w:rsidR="001244BB">
        <w:t>’</w:t>
      </w:r>
      <w:r w:rsidRPr="001244BB">
        <w:t>époque des faits, se lisait comme suit :</w:t>
      </w:r>
    </w:p>
    <w:p w:rsidRPr="001244BB" w:rsidR="003F4D18" w:rsidP="001244BB" w:rsidRDefault="003F4D18">
      <w:pPr>
        <w:pStyle w:val="JuQuot"/>
      </w:pPr>
      <w:r w:rsidRPr="001244BB">
        <w:t>« </w:t>
      </w:r>
      <w:proofErr w:type="gramStart"/>
      <w:r w:rsidRPr="001244BB" w:rsidR="00F35098">
        <w:t>e</w:t>
      </w:r>
      <w:r w:rsidRPr="001244BB">
        <w:t>st</w:t>
      </w:r>
      <w:proofErr w:type="gramEnd"/>
      <w:r w:rsidRPr="001244BB">
        <w:t xml:space="preserve"> passible d</w:t>
      </w:r>
      <w:r w:rsidRPr="001244BB" w:rsidR="001244BB">
        <w:t>’</w:t>
      </w:r>
      <w:r w:rsidRPr="001244BB">
        <w:t>une peine pouvant aller jusqu</w:t>
      </w:r>
      <w:r w:rsidRPr="001244BB" w:rsidR="001244BB">
        <w:t>’</w:t>
      </w:r>
      <w:r w:rsidRPr="001244BB">
        <w:t>à deux ans d</w:t>
      </w:r>
      <w:r w:rsidRPr="001244BB" w:rsidR="001244BB">
        <w:t>’</w:t>
      </w:r>
      <w:r w:rsidRPr="001244BB">
        <w:t>emprisonnement quiconque fait publiquement l</w:t>
      </w:r>
      <w:r w:rsidRPr="001244BB" w:rsidR="001244BB">
        <w:t>’</w:t>
      </w:r>
      <w:r w:rsidRPr="001244BB">
        <w:t>apologie d</w:t>
      </w:r>
      <w:r w:rsidRPr="001244BB" w:rsidR="001244BB">
        <w:t>’</w:t>
      </w:r>
      <w:r w:rsidRPr="001244BB">
        <w:t>un crime commis ou d</w:t>
      </w:r>
      <w:r w:rsidRPr="001244BB" w:rsidR="001244BB">
        <w:t>’</w:t>
      </w:r>
      <w:r w:rsidRPr="001244BB">
        <w:t>une personne à raison d</w:t>
      </w:r>
      <w:r w:rsidRPr="001244BB" w:rsidR="001244BB">
        <w:t>’</w:t>
      </w:r>
      <w:r w:rsidRPr="001244BB">
        <w:t>un crime commis par elle. »</w:t>
      </w:r>
    </w:p>
    <w:p w:rsidRPr="001244BB" w:rsidR="003F4D18" w:rsidP="001244BB" w:rsidRDefault="003F4D18">
      <w:pPr>
        <w:pStyle w:val="JuPara"/>
      </w:pPr>
      <w:r w:rsidRPr="001244BB">
        <w:fldChar w:fldCharType="begin"/>
      </w:r>
      <w:r w:rsidRPr="001244BB">
        <w:instrText xml:space="preserve"> SEQ level0 \*arabic </w:instrText>
      </w:r>
      <w:r w:rsidRPr="001244BB">
        <w:fldChar w:fldCharType="separate"/>
      </w:r>
      <w:r w:rsidRPr="001244BB" w:rsidR="001244BB">
        <w:rPr>
          <w:noProof/>
        </w:rPr>
        <w:t>14</w:t>
      </w:r>
      <w:r w:rsidRPr="001244BB">
        <w:fldChar w:fldCharType="end"/>
      </w:r>
      <w:r w:rsidRPr="001244BB">
        <w:t>.  L</w:t>
      </w:r>
      <w:r w:rsidRPr="001244BB" w:rsidR="001244BB">
        <w:t>’</w:t>
      </w:r>
      <w:r w:rsidRPr="001244BB">
        <w:t>article 218 du CP est libellé comme suit :</w:t>
      </w:r>
    </w:p>
    <w:p w:rsidRPr="001244BB" w:rsidR="003F4D18" w:rsidP="001244BB" w:rsidRDefault="003F4D18">
      <w:pPr>
        <w:pStyle w:val="JuQuot"/>
      </w:pPr>
      <w:r w:rsidRPr="001244BB">
        <w:t>« En cas de commission, par voie de publication et de presse, des délits décrits ci-dessus, la peine est majorée de moitié. Toutefois, les déclarations d</w:t>
      </w:r>
      <w:r w:rsidRPr="001244BB" w:rsidR="001244BB">
        <w:t>’</w:t>
      </w:r>
      <w:r w:rsidRPr="001244BB">
        <w:t>opinions qui ne dépassent pas les limites de l</w:t>
      </w:r>
      <w:r w:rsidRPr="001244BB" w:rsidR="001244BB">
        <w:t>’</w:t>
      </w:r>
      <w:r w:rsidRPr="001244BB">
        <w:t>information et qui visent à critiquer ne constituent pas un délit. »</w:t>
      </w:r>
    </w:p>
    <w:p w:rsidRPr="001244BB" w:rsidR="003F4D18" w:rsidP="001244BB" w:rsidRDefault="003F4D18">
      <w:pPr>
        <w:pStyle w:val="JuPara"/>
      </w:pPr>
      <w:r w:rsidRPr="001244BB">
        <w:fldChar w:fldCharType="begin"/>
      </w:r>
      <w:r w:rsidRPr="001244BB">
        <w:instrText xml:space="preserve"> SEQ level0 \*arabic </w:instrText>
      </w:r>
      <w:r w:rsidRPr="001244BB">
        <w:fldChar w:fldCharType="separate"/>
      </w:r>
      <w:r w:rsidRPr="001244BB" w:rsidR="001244BB">
        <w:rPr>
          <w:noProof/>
        </w:rPr>
        <w:t>15</w:t>
      </w:r>
      <w:r w:rsidRPr="001244BB">
        <w:fldChar w:fldCharType="end"/>
      </w:r>
      <w:r w:rsidRPr="001244BB">
        <w:t>.  Selon l</w:t>
      </w:r>
      <w:r w:rsidRPr="001244BB" w:rsidR="001244BB">
        <w:t>’</w:t>
      </w:r>
      <w:r w:rsidRPr="001244BB">
        <w:t>article 272 § 3 a) du CPP (loi n</w:t>
      </w:r>
      <w:r w:rsidRPr="001244BB">
        <w:rPr>
          <w:vertAlign w:val="superscript"/>
        </w:rPr>
        <w:t>o</w:t>
      </w:r>
      <w:r w:rsidRPr="001244BB">
        <w:t xml:space="preserve"> 5271 du 4 décembre 2004, entrée en vigueur le 17 décembre 2004), tel qu</w:t>
      </w:r>
      <w:r w:rsidRPr="001244BB" w:rsidR="001244BB">
        <w:t>’</w:t>
      </w:r>
      <w:r w:rsidRPr="001244BB">
        <w:t>il était en vigueur à l</w:t>
      </w:r>
      <w:r w:rsidRPr="001244BB" w:rsidR="001244BB">
        <w:t>’</w:t>
      </w:r>
      <w:r w:rsidRPr="001244BB">
        <w:t>époque des faits, les décisions de justice condamnant les justiciables à une amende inférieure à 2 000 livres turques n</w:t>
      </w:r>
      <w:r w:rsidRPr="001244BB" w:rsidR="001244BB">
        <w:t>’</w:t>
      </w:r>
      <w:r w:rsidRPr="001244BB">
        <w:t>étaient pas susceptibles de pourvoi en cassation.</w:t>
      </w:r>
    </w:p>
    <w:p w:rsidRPr="001244BB" w:rsidR="003F4D18" w:rsidP="001244BB" w:rsidRDefault="003F4D18">
      <w:pPr>
        <w:pStyle w:val="JuHHead"/>
        <w:numPr>
          <w:ilvl w:val="0"/>
          <w:numId w:val="1"/>
        </w:numPr>
      </w:pPr>
      <w:r w:rsidRPr="001244BB">
        <w:t>EN DROIT</w:t>
      </w:r>
    </w:p>
    <w:p w:rsidRPr="001244BB" w:rsidR="003F4D18" w:rsidP="001244BB" w:rsidRDefault="003F4D18">
      <w:pPr>
        <w:pStyle w:val="JuHIRoman"/>
        <w:numPr>
          <w:ilvl w:val="0"/>
          <w:numId w:val="0"/>
        </w:numPr>
      </w:pPr>
      <w:r w:rsidRPr="001244BB">
        <w:t>I.  SUR LA VIOLATION ALLÉGUÉE DE L</w:t>
      </w:r>
      <w:r w:rsidRPr="001244BB" w:rsidR="001244BB">
        <w:t>’</w:t>
      </w:r>
      <w:r w:rsidRPr="001244BB">
        <w:t>ARTICLE 6 § 1 DE LA CONVENTION</w:t>
      </w:r>
    </w:p>
    <w:p w:rsidRPr="001244BB" w:rsidR="003F4D18" w:rsidP="001244BB" w:rsidRDefault="003F4D18">
      <w:pPr>
        <w:pStyle w:val="JuPara"/>
      </w:pPr>
      <w:r w:rsidRPr="001244BB">
        <w:fldChar w:fldCharType="begin"/>
      </w:r>
      <w:r w:rsidRPr="001244BB">
        <w:instrText xml:space="preserve"> SEQ level0 \*arabic </w:instrText>
      </w:r>
      <w:r w:rsidRPr="001244BB">
        <w:fldChar w:fldCharType="separate"/>
      </w:r>
      <w:r w:rsidRPr="001244BB" w:rsidR="001244BB">
        <w:rPr>
          <w:noProof/>
        </w:rPr>
        <w:t>16</w:t>
      </w:r>
      <w:r w:rsidRPr="001244BB">
        <w:fldChar w:fldCharType="end"/>
      </w:r>
      <w:r w:rsidRPr="001244BB">
        <w:t>.  Le requérant se plaint d</w:t>
      </w:r>
      <w:r w:rsidRPr="001244BB" w:rsidR="001244BB">
        <w:t>’</w:t>
      </w:r>
      <w:r w:rsidRPr="001244BB">
        <w:t>avoir été privé de la possibilité de former un pourvoi en cassation contre le jugement du tribunal correctionnel du fait du montant de l</w:t>
      </w:r>
      <w:r w:rsidRPr="001244BB" w:rsidR="001244BB">
        <w:t>’</w:t>
      </w:r>
      <w:r w:rsidRPr="001244BB">
        <w:t>amende infligée. Il invoque à cet égard l</w:t>
      </w:r>
      <w:r w:rsidRPr="001244BB" w:rsidR="001244BB">
        <w:t>’</w:t>
      </w:r>
      <w:r w:rsidRPr="001244BB">
        <w:t>article 6 § 1 de la Convention, ainsi libellé en sa partie pertinente en l</w:t>
      </w:r>
      <w:r w:rsidRPr="001244BB" w:rsidR="001244BB">
        <w:t>’</w:t>
      </w:r>
      <w:r w:rsidRPr="001244BB">
        <w:t>espèce :</w:t>
      </w:r>
    </w:p>
    <w:p w:rsidRPr="001244BB" w:rsidR="003F4D18" w:rsidP="001244BB" w:rsidRDefault="003F4D18">
      <w:pPr>
        <w:pStyle w:val="JuQuot"/>
      </w:pPr>
      <w:r w:rsidRPr="001244BB">
        <w:t>« Toute personne a droit à ce que sa cause soit entendue équitablement, (...) par un tribunal (...) établi par la loi, qui décidera, (...) du bien-fondé de toute accusation en matière pénale dirigée contre elle. »</w:t>
      </w:r>
    </w:p>
    <w:p w:rsidRPr="001244BB" w:rsidR="003F4D18" w:rsidP="001244BB" w:rsidRDefault="003F4D18">
      <w:pPr>
        <w:pStyle w:val="JuPara"/>
      </w:pPr>
      <w:r w:rsidRPr="001244BB">
        <w:fldChar w:fldCharType="begin"/>
      </w:r>
      <w:r w:rsidRPr="001244BB">
        <w:instrText xml:space="preserve"> SEQ level0 \*arabic </w:instrText>
      </w:r>
      <w:r w:rsidRPr="001244BB">
        <w:fldChar w:fldCharType="separate"/>
      </w:r>
      <w:r w:rsidRPr="001244BB" w:rsidR="001244BB">
        <w:rPr>
          <w:noProof/>
        </w:rPr>
        <w:t>17</w:t>
      </w:r>
      <w:r w:rsidRPr="001244BB">
        <w:fldChar w:fldCharType="end"/>
      </w:r>
      <w:r w:rsidRPr="001244BB">
        <w:t>.  Constatant que ce grief n</w:t>
      </w:r>
      <w:r w:rsidRPr="001244BB" w:rsidR="001244BB">
        <w:t>’</w:t>
      </w:r>
      <w:r w:rsidRPr="001244BB">
        <w:t>est pas manifestement mal fondé au sens de l</w:t>
      </w:r>
      <w:r w:rsidRPr="001244BB" w:rsidR="001244BB">
        <w:t>’</w:t>
      </w:r>
      <w:r w:rsidRPr="001244BB">
        <w:t>article 35 § 3 a) de la Convention et qu</w:t>
      </w:r>
      <w:r w:rsidRPr="001244BB" w:rsidR="001244BB">
        <w:t>’</w:t>
      </w:r>
      <w:r w:rsidRPr="001244BB">
        <w:t>il ne se heurte à aucun autre motif d</w:t>
      </w:r>
      <w:r w:rsidRPr="001244BB" w:rsidR="001244BB">
        <w:t>’</w:t>
      </w:r>
      <w:r w:rsidRPr="001244BB">
        <w:t>irrecevabilité, la Cour le déclare recevable.</w:t>
      </w:r>
    </w:p>
    <w:p w:rsidRPr="001244BB" w:rsidR="003F4D18" w:rsidP="001244BB" w:rsidRDefault="003F4D18">
      <w:pPr>
        <w:pStyle w:val="JuPara"/>
      </w:pPr>
      <w:r w:rsidRPr="001244BB">
        <w:fldChar w:fldCharType="begin"/>
      </w:r>
      <w:r w:rsidRPr="001244BB">
        <w:instrText xml:space="preserve"> SEQ level0 \*arabic </w:instrText>
      </w:r>
      <w:r w:rsidRPr="001244BB">
        <w:fldChar w:fldCharType="separate"/>
      </w:r>
      <w:r w:rsidRPr="001244BB" w:rsidR="001244BB">
        <w:rPr>
          <w:noProof/>
        </w:rPr>
        <w:t>18</w:t>
      </w:r>
      <w:r w:rsidRPr="001244BB">
        <w:fldChar w:fldCharType="end"/>
      </w:r>
      <w:r w:rsidRPr="001244BB">
        <w:t>.  Le requérant considère que l</w:t>
      </w:r>
      <w:r w:rsidRPr="001244BB" w:rsidR="001244BB">
        <w:t>’</w:t>
      </w:r>
      <w:r w:rsidRPr="001244BB">
        <w:t>impossibilité pour lui d</w:t>
      </w:r>
      <w:r w:rsidRPr="001244BB" w:rsidR="001244BB">
        <w:t>’</w:t>
      </w:r>
      <w:r w:rsidRPr="001244BB">
        <w:t>introduire un recours contre le jugement de première instance a porté atteinte à son droit à un procès équitable.</w:t>
      </w:r>
    </w:p>
    <w:p w:rsidRPr="001244BB" w:rsidR="003F4D18" w:rsidP="001244BB" w:rsidRDefault="003F4D18">
      <w:pPr>
        <w:pStyle w:val="JuPara"/>
      </w:pPr>
      <w:r w:rsidRPr="001244BB">
        <w:fldChar w:fldCharType="begin"/>
      </w:r>
      <w:r w:rsidRPr="001244BB">
        <w:instrText xml:space="preserve"> SEQ level0 \*arabic </w:instrText>
      </w:r>
      <w:r w:rsidRPr="001244BB">
        <w:fldChar w:fldCharType="separate"/>
      </w:r>
      <w:r w:rsidRPr="001244BB" w:rsidR="001244BB">
        <w:rPr>
          <w:noProof/>
        </w:rPr>
        <w:t>19</w:t>
      </w:r>
      <w:r w:rsidRPr="001244BB">
        <w:fldChar w:fldCharType="end"/>
      </w:r>
      <w:r w:rsidRPr="001244BB">
        <w:t>.  Le Gouvernement soutient que l</w:t>
      </w:r>
      <w:r w:rsidRPr="001244BB" w:rsidR="001244BB">
        <w:t>’</w:t>
      </w:r>
      <w:r w:rsidRPr="001244BB">
        <w:t>exclusion, en matière de recours, des décisions de condamnation à une amende judiciaire n</w:t>
      </w:r>
      <w:r w:rsidRPr="001244BB" w:rsidR="001244BB">
        <w:t>’</w:t>
      </w:r>
      <w:r w:rsidRPr="001244BB">
        <w:t>excédant pas un certain montant poursuit le but d</w:t>
      </w:r>
      <w:r w:rsidRPr="001244BB" w:rsidR="001244BB">
        <w:t>’</w:t>
      </w:r>
      <w:r w:rsidRPr="001244BB">
        <w:t>assurer la célérité des procédures et l</w:t>
      </w:r>
      <w:r w:rsidRPr="001244BB" w:rsidR="001244BB">
        <w:t>’</w:t>
      </w:r>
      <w:r w:rsidRPr="001244BB">
        <w:t>effectivité des pourvois en cassation, et qu</w:t>
      </w:r>
      <w:r w:rsidRPr="001244BB" w:rsidR="001244BB">
        <w:t>’</w:t>
      </w:r>
      <w:r w:rsidRPr="001244BB">
        <w:t>elle répond à l</w:t>
      </w:r>
      <w:r w:rsidRPr="001244BB" w:rsidR="001244BB">
        <w:t>’</w:t>
      </w:r>
      <w:r w:rsidRPr="001244BB">
        <w:t>exigence de proportionnalité.</w:t>
      </w:r>
    </w:p>
    <w:p w:rsidRPr="001244BB" w:rsidR="003F4D18" w:rsidP="001244BB" w:rsidRDefault="003F4D18">
      <w:pPr>
        <w:pStyle w:val="JuPara"/>
      </w:pPr>
      <w:r w:rsidRPr="001244BB">
        <w:fldChar w:fldCharType="begin"/>
      </w:r>
      <w:r w:rsidRPr="001244BB">
        <w:instrText xml:space="preserve"> SEQ level0 \*arabic </w:instrText>
      </w:r>
      <w:r w:rsidRPr="001244BB">
        <w:fldChar w:fldCharType="separate"/>
      </w:r>
      <w:r w:rsidRPr="001244BB" w:rsidR="001244BB">
        <w:rPr>
          <w:noProof/>
        </w:rPr>
        <w:t>20</w:t>
      </w:r>
      <w:r w:rsidRPr="001244BB">
        <w:fldChar w:fldCharType="end"/>
      </w:r>
      <w:r w:rsidRPr="001244BB">
        <w:t>.  La Cour rappelle que, dans maintes affaires soulevant, comme en l</w:t>
      </w:r>
      <w:r w:rsidRPr="001244BB" w:rsidR="001244BB">
        <w:t>’</w:t>
      </w:r>
      <w:r w:rsidRPr="001244BB">
        <w:t>espèce, des questions concernant l</w:t>
      </w:r>
      <w:r w:rsidRPr="001244BB" w:rsidR="001244BB">
        <w:t>’</w:t>
      </w:r>
      <w:r w:rsidRPr="001244BB">
        <w:t>impossibilité d</w:t>
      </w:r>
      <w:r w:rsidRPr="001244BB" w:rsidR="001244BB">
        <w:t>’</w:t>
      </w:r>
      <w:r w:rsidRPr="001244BB">
        <w:t>introduire un pourvoi en cassation contre une décision de première instance, elle a conclu à la violation de l</w:t>
      </w:r>
      <w:r w:rsidRPr="001244BB" w:rsidR="001244BB">
        <w:t>’</w:t>
      </w:r>
      <w:r w:rsidRPr="001244BB">
        <w:t xml:space="preserve">article 6 § 1 de la Convention (voir, par exemple, </w:t>
      </w:r>
      <w:r w:rsidRPr="001244BB">
        <w:rPr>
          <w:i/>
        </w:rPr>
        <w:t xml:space="preserve">Bayar et </w:t>
      </w:r>
      <w:proofErr w:type="spellStart"/>
      <w:r w:rsidRPr="001244BB">
        <w:rPr>
          <w:i/>
        </w:rPr>
        <w:t>Gürbüz</w:t>
      </w:r>
      <w:proofErr w:type="spellEnd"/>
      <w:r w:rsidRPr="001244BB">
        <w:rPr>
          <w:i/>
        </w:rPr>
        <w:t xml:space="preserve"> c. Turquie</w:t>
      </w:r>
      <w:r w:rsidRPr="001244BB">
        <w:t xml:space="preserve">, </w:t>
      </w:r>
      <w:r w:rsidRPr="001244BB">
        <w:rPr>
          <w:lang w:val="pt-PT"/>
        </w:rPr>
        <w:t>n</w:t>
      </w:r>
      <w:r w:rsidRPr="001244BB">
        <w:rPr>
          <w:vertAlign w:val="superscript"/>
          <w:lang w:val="pt-PT"/>
        </w:rPr>
        <w:t>o</w:t>
      </w:r>
      <w:r w:rsidRPr="001244BB">
        <w:t xml:space="preserve"> 37569/06, §§ 40-49, 27 novembre 2012).</w:t>
      </w:r>
    </w:p>
    <w:p w:rsidRPr="001244BB" w:rsidR="003F4D18" w:rsidP="001244BB" w:rsidRDefault="003F4D18">
      <w:pPr>
        <w:pStyle w:val="JuPara"/>
      </w:pPr>
      <w:r w:rsidRPr="001244BB">
        <w:fldChar w:fldCharType="begin"/>
      </w:r>
      <w:r w:rsidRPr="001244BB">
        <w:instrText xml:space="preserve"> SEQ level0 \*arabic </w:instrText>
      </w:r>
      <w:r w:rsidRPr="001244BB">
        <w:fldChar w:fldCharType="separate"/>
      </w:r>
      <w:r w:rsidRPr="001244BB" w:rsidR="001244BB">
        <w:rPr>
          <w:noProof/>
        </w:rPr>
        <w:t>21</w:t>
      </w:r>
      <w:r w:rsidRPr="001244BB">
        <w:fldChar w:fldCharType="end"/>
      </w:r>
      <w:r w:rsidRPr="001244BB">
        <w:t>.  En l</w:t>
      </w:r>
      <w:r w:rsidRPr="001244BB" w:rsidR="001244BB">
        <w:t>’</w:t>
      </w:r>
      <w:r w:rsidRPr="001244BB">
        <w:t>espèce, elle estime que le requérant a subi une entrave disproportionnée à son droit d</w:t>
      </w:r>
      <w:r w:rsidRPr="001244BB" w:rsidR="001244BB">
        <w:t>’</w:t>
      </w:r>
      <w:r w:rsidRPr="001244BB">
        <w:t>accès à un tribunal et que, dès lors, le droit à un tribunal que garantit l</w:t>
      </w:r>
      <w:r w:rsidRPr="001244BB" w:rsidR="001244BB">
        <w:t>’</w:t>
      </w:r>
      <w:r w:rsidRPr="001244BB">
        <w:t>article 6 § 1 de la Convention a été atteint dans sa substance même. Par conséquent, elle ne voit pas de raison de s</w:t>
      </w:r>
      <w:r w:rsidRPr="001244BB" w:rsidR="001244BB">
        <w:t>’</w:t>
      </w:r>
      <w:r w:rsidRPr="001244BB">
        <w:t>écarter de la conclusion à laquelle elle est parvenue dans l</w:t>
      </w:r>
      <w:r w:rsidRPr="001244BB" w:rsidR="001244BB">
        <w:t>’</w:t>
      </w:r>
      <w:r w:rsidRPr="001244BB">
        <w:t xml:space="preserve">affaire </w:t>
      </w:r>
      <w:r w:rsidRPr="001244BB">
        <w:rPr>
          <w:i/>
        </w:rPr>
        <w:t xml:space="preserve">Bayar et </w:t>
      </w:r>
      <w:proofErr w:type="spellStart"/>
      <w:r w:rsidRPr="001244BB">
        <w:rPr>
          <w:i/>
        </w:rPr>
        <w:t>Gürbüz</w:t>
      </w:r>
      <w:proofErr w:type="spellEnd"/>
      <w:r w:rsidRPr="001244BB">
        <w:t xml:space="preserve"> précitée.</w:t>
      </w:r>
    </w:p>
    <w:p w:rsidRPr="001244BB" w:rsidR="003F4D18" w:rsidP="001244BB" w:rsidRDefault="003F4D18">
      <w:pPr>
        <w:pStyle w:val="JuPara"/>
      </w:pPr>
      <w:r w:rsidRPr="001244BB">
        <w:fldChar w:fldCharType="begin"/>
      </w:r>
      <w:r w:rsidRPr="001244BB">
        <w:instrText xml:space="preserve"> SEQ level0 \*arabic </w:instrText>
      </w:r>
      <w:r w:rsidRPr="001244BB">
        <w:fldChar w:fldCharType="separate"/>
      </w:r>
      <w:r w:rsidRPr="001244BB" w:rsidR="001244BB">
        <w:rPr>
          <w:noProof/>
        </w:rPr>
        <w:t>22</w:t>
      </w:r>
      <w:r w:rsidRPr="001244BB">
        <w:fldChar w:fldCharType="end"/>
      </w:r>
      <w:r w:rsidRPr="001244BB">
        <w:t>.  Partant, il y a eu violation de l</w:t>
      </w:r>
      <w:r w:rsidRPr="001244BB" w:rsidR="001244BB">
        <w:t>’</w:t>
      </w:r>
      <w:r w:rsidRPr="001244BB">
        <w:t>article 6 § 1 de la Convention à cet égard.</w:t>
      </w:r>
    </w:p>
    <w:p w:rsidRPr="001244BB" w:rsidR="003F4D18" w:rsidP="001244BB" w:rsidRDefault="003F4D18">
      <w:pPr>
        <w:pStyle w:val="JuHIRoman"/>
        <w:numPr>
          <w:ilvl w:val="0"/>
          <w:numId w:val="0"/>
        </w:numPr>
      </w:pPr>
      <w:r w:rsidRPr="001244BB">
        <w:t>II.  SUR LA VIOLATION ALLÉGUÉE DE L</w:t>
      </w:r>
      <w:r w:rsidRPr="001244BB" w:rsidR="001244BB">
        <w:t>’</w:t>
      </w:r>
      <w:r w:rsidRPr="001244BB">
        <w:t>ARTICLE 10 DE LA CONVENTION</w:t>
      </w:r>
    </w:p>
    <w:p w:rsidRPr="001244BB" w:rsidR="003F4D18" w:rsidP="001244BB" w:rsidRDefault="003F4D18">
      <w:pPr>
        <w:pStyle w:val="JuPara"/>
      </w:pPr>
      <w:r w:rsidRPr="001244BB">
        <w:fldChar w:fldCharType="begin"/>
      </w:r>
      <w:r w:rsidRPr="001244BB">
        <w:instrText xml:space="preserve"> SEQ level0 \*arabic </w:instrText>
      </w:r>
      <w:r w:rsidRPr="001244BB">
        <w:fldChar w:fldCharType="separate"/>
      </w:r>
      <w:r w:rsidRPr="001244BB" w:rsidR="001244BB">
        <w:rPr>
          <w:noProof/>
        </w:rPr>
        <w:t>23</w:t>
      </w:r>
      <w:r w:rsidRPr="001244BB">
        <w:fldChar w:fldCharType="end"/>
      </w:r>
      <w:r w:rsidRPr="001244BB">
        <w:t>.  Le requérant soutient que sa condamnation pénale pour la parution de l</w:t>
      </w:r>
      <w:r w:rsidRPr="001244BB" w:rsidR="001244BB">
        <w:t>’</w:t>
      </w:r>
      <w:r w:rsidRPr="001244BB">
        <w:t>article litigieux – publié dans un périodique dont il était le rédacteur en chef – constitue une violation de l</w:t>
      </w:r>
      <w:r w:rsidRPr="001244BB" w:rsidR="001244BB">
        <w:t>’</w:t>
      </w:r>
      <w:r w:rsidRPr="001244BB">
        <w:t>article 10 de la Convention, ainsi libellé :</w:t>
      </w:r>
    </w:p>
    <w:p w:rsidRPr="001244BB" w:rsidR="003F4D18" w:rsidP="001244BB" w:rsidRDefault="003F4D18">
      <w:pPr>
        <w:pStyle w:val="JuQuot"/>
      </w:pPr>
      <w:r w:rsidRPr="001244BB">
        <w:t>« 1.  Toute personne a droit à la liberté d</w:t>
      </w:r>
      <w:r w:rsidRPr="001244BB" w:rsidR="001244BB">
        <w:t>’</w:t>
      </w:r>
      <w:r w:rsidRPr="001244BB">
        <w:t>expression. Ce droit comprend la liberté d</w:t>
      </w:r>
      <w:r w:rsidRPr="001244BB" w:rsidR="001244BB">
        <w:t>’</w:t>
      </w:r>
      <w:r w:rsidRPr="001244BB">
        <w:t>opinion et la liberté de recevoir ou de communiquer des informations ou des idées sans qu</w:t>
      </w:r>
      <w:r w:rsidRPr="001244BB" w:rsidR="001244BB">
        <w:t>’</w:t>
      </w:r>
      <w:r w:rsidRPr="001244BB">
        <w:t>il puisse y avoir ingérence d</w:t>
      </w:r>
      <w:r w:rsidRPr="001244BB" w:rsidR="001244BB">
        <w:t>’</w:t>
      </w:r>
      <w:r w:rsidRPr="001244BB">
        <w:t>autorités publiques et sans considération de frontière. Le présent article n</w:t>
      </w:r>
      <w:r w:rsidRPr="001244BB" w:rsidR="001244BB">
        <w:t>’</w:t>
      </w:r>
      <w:r w:rsidRPr="001244BB">
        <w:t>empêche pas les États de soumettre les entreprises de radiodiffusion, de cinéma ou de télévision à un régime d</w:t>
      </w:r>
      <w:r w:rsidRPr="001244BB" w:rsidR="001244BB">
        <w:t>’</w:t>
      </w:r>
      <w:r w:rsidRPr="001244BB">
        <w:t>autorisations.</w:t>
      </w:r>
    </w:p>
    <w:p w:rsidRPr="001244BB" w:rsidR="003F4D18" w:rsidP="001244BB" w:rsidRDefault="003F4D18">
      <w:pPr>
        <w:pStyle w:val="JuQuot"/>
      </w:pPr>
      <w:r w:rsidRPr="001244BB">
        <w:t>2.  L</w:t>
      </w:r>
      <w:r w:rsidRPr="001244BB" w:rsidR="001244BB">
        <w:t>’</w:t>
      </w:r>
      <w:r w:rsidRPr="001244BB">
        <w:t>exercice de ces libertés comportant des devoirs et des responsabilités peut être soumis à certaines formalités, conditions, restrictions ou sanctions prévues par la loi, qui constituent des mesures nécessaires, dans une société démocratique, à la sécurité nationale, à l</w:t>
      </w:r>
      <w:r w:rsidRPr="001244BB" w:rsidR="001244BB">
        <w:t>’</w:t>
      </w:r>
      <w:r w:rsidRPr="001244BB">
        <w:t>intégrité territoriale ou à la sûreté publique, à la défense de l</w:t>
      </w:r>
      <w:r w:rsidRPr="001244BB" w:rsidR="001244BB">
        <w:t>’</w:t>
      </w:r>
      <w:r w:rsidRPr="001244BB">
        <w:t>ordre et à la prévention du crime, à la protection de la santé ou de la morale, à la protection de la réputation ou des droits d</w:t>
      </w:r>
      <w:r w:rsidRPr="001244BB" w:rsidR="001244BB">
        <w:t>’</w:t>
      </w:r>
      <w:r w:rsidRPr="001244BB">
        <w:t>autrui, pour empêcher la divulgation d</w:t>
      </w:r>
      <w:r w:rsidRPr="001244BB" w:rsidR="001244BB">
        <w:t>’</w:t>
      </w:r>
      <w:r w:rsidRPr="001244BB">
        <w:t>informations confidentielles ou pour garantir l</w:t>
      </w:r>
      <w:r w:rsidRPr="001244BB" w:rsidR="001244BB">
        <w:t>’</w:t>
      </w:r>
      <w:r w:rsidRPr="001244BB">
        <w:t>autorité et l</w:t>
      </w:r>
      <w:r w:rsidRPr="001244BB" w:rsidR="001244BB">
        <w:t>’</w:t>
      </w:r>
      <w:r w:rsidRPr="001244BB">
        <w:t>impartialité du pouvoir judiciaire. »</w:t>
      </w:r>
    </w:p>
    <w:p w:rsidRPr="001244BB" w:rsidR="003F4D18" w:rsidP="001244BB" w:rsidRDefault="003F4D18">
      <w:pPr>
        <w:pStyle w:val="JuHA"/>
        <w:numPr>
          <w:ilvl w:val="0"/>
          <w:numId w:val="0"/>
        </w:numPr>
        <w:ind w:left="584"/>
      </w:pPr>
      <w:r w:rsidRPr="001244BB">
        <w:t>A.  Sur la recevabilité</w:t>
      </w:r>
    </w:p>
    <w:p w:rsidRPr="001244BB" w:rsidR="003F4D18" w:rsidP="001244BB" w:rsidRDefault="003F4D18">
      <w:pPr>
        <w:pStyle w:val="JuPara"/>
      </w:pPr>
      <w:r w:rsidRPr="001244BB">
        <w:fldChar w:fldCharType="begin"/>
      </w:r>
      <w:r w:rsidRPr="001244BB">
        <w:instrText xml:space="preserve"> SEQ level0 \*arabic </w:instrText>
      </w:r>
      <w:r w:rsidRPr="001244BB">
        <w:fldChar w:fldCharType="separate"/>
      </w:r>
      <w:r w:rsidRPr="001244BB" w:rsidR="001244BB">
        <w:rPr>
          <w:noProof/>
        </w:rPr>
        <w:t>24</w:t>
      </w:r>
      <w:r w:rsidRPr="001244BB">
        <w:fldChar w:fldCharType="end"/>
      </w:r>
      <w:r w:rsidRPr="001244BB">
        <w:t>.  Constatant que ce grief n</w:t>
      </w:r>
      <w:r w:rsidRPr="001244BB" w:rsidR="001244BB">
        <w:t>’</w:t>
      </w:r>
      <w:r w:rsidRPr="001244BB">
        <w:t>est pas manifestement mal fondé au sens de l</w:t>
      </w:r>
      <w:r w:rsidRPr="001244BB" w:rsidR="001244BB">
        <w:t>’</w:t>
      </w:r>
      <w:r w:rsidRPr="001244BB">
        <w:t>article 35 § 3 a) de la Convention et qu</w:t>
      </w:r>
      <w:r w:rsidRPr="001244BB" w:rsidR="001244BB">
        <w:t>’</w:t>
      </w:r>
      <w:r w:rsidRPr="001244BB">
        <w:t>il ne se heurte par ailleurs à aucun autre motif d</w:t>
      </w:r>
      <w:r w:rsidRPr="001244BB" w:rsidR="001244BB">
        <w:t>’</w:t>
      </w:r>
      <w:r w:rsidRPr="001244BB">
        <w:t>irrecevabilité, la Cour le déclare recevable.</w:t>
      </w:r>
    </w:p>
    <w:p w:rsidRPr="001244BB" w:rsidR="003F4D18" w:rsidP="001244BB" w:rsidRDefault="003F4D18">
      <w:pPr>
        <w:pStyle w:val="JuHA"/>
        <w:numPr>
          <w:ilvl w:val="0"/>
          <w:numId w:val="0"/>
        </w:numPr>
        <w:ind w:left="584"/>
      </w:pPr>
      <w:r w:rsidRPr="001244BB">
        <w:t>B.  Sur le fond</w:t>
      </w:r>
    </w:p>
    <w:p w:rsidRPr="001244BB" w:rsidR="003F4D18" w:rsidP="001244BB" w:rsidRDefault="003F4D18">
      <w:pPr>
        <w:pStyle w:val="JuH1"/>
        <w:numPr>
          <w:ilvl w:val="0"/>
          <w:numId w:val="0"/>
        </w:numPr>
        <w:ind w:left="731"/>
      </w:pPr>
      <w:r w:rsidRPr="001244BB">
        <w:t>1.  Arguments des parties</w:t>
      </w:r>
    </w:p>
    <w:p w:rsidRPr="001244BB" w:rsidR="003F4D18" w:rsidP="001244BB" w:rsidRDefault="003F4D18">
      <w:pPr>
        <w:pStyle w:val="JuPara"/>
      </w:pPr>
      <w:r w:rsidRPr="001244BB">
        <w:fldChar w:fldCharType="begin"/>
      </w:r>
      <w:r w:rsidRPr="001244BB">
        <w:instrText xml:space="preserve"> SEQ level0 \*arabic </w:instrText>
      </w:r>
      <w:r w:rsidRPr="001244BB">
        <w:fldChar w:fldCharType="separate"/>
      </w:r>
      <w:r w:rsidRPr="001244BB" w:rsidR="001244BB">
        <w:rPr>
          <w:noProof/>
        </w:rPr>
        <w:t>25</w:t>
      </w:r>
      <w:r w:rsidRPr="001244BB">
        <w:fldChar w:fldCharType="end"/>
      </w:r>
      <w:r w:rsidRPr="001244BB">
        <w:t>.  Le requérant considère que l</w:t>
      </w:r>
      <w:r w:rsidRPr="001244BB" w:rsidR="001244BB">
        <w:t>’</w:t>
      </w:r>
      <w:r w:rsidRPr="001244BB">
        <w:t>article litigieux ne contenait aucun éloge à l</w:t>
      </w:r>
      <w:r w:rsidRPr="001244BB" w:rsidR="001244BB">
        <w:t>’</w:t>
      </w:r>
      <w:r w:rsidRPr="001244BB">
        <w:t>égard de M.</w:t>
      </w:r>
      <w:r w:rsidRPr="001244BB">
        <w:rPr>
          <w:rFonts w:cstheme="minorHAnsi"/>
        </w:rPr>
        <w:t>Ç</w:t>
      </w:r>
      <w:r w:rsidRPr="001244BB">
        <w:t>. à raison de ses actes infractionnels, mais rendait, à l</w:t>
      </w:r>
      <w:r w:rsidRPr="001244BB" w:rsidR="001244BB">
        <w:t>’</w:t>
      </w:r>
      <w:r w:rsidRPr="001244BB">
        <w:t>occasion de l</w:t>
      </w:r>
      <w:r w:rsidRPr="001244BB" w:rsidR="001244BB">
        <w:t>’</w:t>
      </w:r>
      <w:r w:rsidRPr="001244BB">
        <w:t>anniversaire de sa mort, un hommage à cette personne, qui, selon lui, avait joué un rôle important dans le mouvement socialiste turc.</w:t>
      </w:r>
    </w:p>
    <w:p w:rsidRPr="001244BB" w:rsidR="003F4D18" w:rsidP="001244BB" w:rsidRDefault="003F4D18">
      <w:pPr>
        <w:pStyle w:val="JuPara"/>
      </w:pPr>
      <w:r w:rsidRPr="001244BB">
        <w:fldChar w:fldCharType="begin"/>
      </w:r>
      <w:r w:rsidRPr="001244BB">
        <w:instrText xml:space="preserve"> SEQ level0 \*arabic </w:instrText>
      </w:r>
      <w:r w:rsidRPr="001244BB">
        <w:fldChar w:fldCharType="separate"/>
      </w:r>
      <w:r w:rsidRPr="001244BB" w:rsidR="001244BB">
        <w:rPr>
          <w:noProof/>
        </w:rPr>
        <w:t>26</w:t>
      </w:r>
      <w:r w:rsidRPr="001244BB">
        <w:fldChar w:fldCharType="end"/>
      </w:r>
      <w:r w:rsidRPr="001244BB">
        <w:t>.  Le Gouvernement soutient que l</w:t>
      </w:r>
      <w:r w:rsidRPr="001244BB" w:rsidR="001244BB">
        <w:t>’</w:t>
      </w:r>
      <w:r w:rsidRPr="001244BB">
        <w:t>ingérence alléguée dans l</w:t>
      </w:r>
      <w:r w:rsidRPr="001244BB" w:rsidR="001244BB">
        <w:t>’</w:t>
      </w:r>
      <w:r w:rsidRPr="001244BB">
        <w:t>exercice par le requérant de son droit à la liberté d</w:t>
      </w:r>
      <w:r w:rsidRPr="001244BB" w:rsidR="001244BB">
        <w:t>’</w:t>
      </w:r>
      <w:r w:rsidRPr="001244BB">
        <w:t>expression était prévue par l</w:t>
      </w:r>
      <w:r w:rsidRPr="001244BB" w:rsidR="001244BB">
        <w:t>’</w:t>
      </w:r>
      <w:r w:rsidRPr="001244BB" w:rsidR="00262AD5">
        <w:t>article </w:t>
      </w:r>
      <w:r w:rsidRPr="001244BB">
        <w:t>215 du CP et poursuivait les buts légitimes de la protection de la sécurité nationale et de la sûreté publique, de la préservation de l</w:t>
      </w:r>
      <w:r w:rsidRPr="001244BB" w:rsidR="001244BB">
        <w:t>’</w:t>
      </w:r>
      <w:r w:rsidRPr="001244BB">
        <w:t>intégrité territoriale et de la prévention du crime. Il estime aussi que, eu égard au contenu de l</w:t>
      </w:r>
      <w:r w:rsidRPr="001244BB" w:rsidR="001244BB">
        <w:t>’</w:t>
      </w:r>
      <w:r w:rsidRPr="001244BB">
        <w:t>article en cause, qui, selon lui, faisait l</w:t>
      </w:r>
      <w:r w:rsidRPr="001244BB" w:rsidR="001244BB">
        <w:t>’</w:t>
      </w:r>
      <w:r w:rsidRPr="001244BB">
        <w:t>apologie d</w:t>
      </w:r>
      <w:r w:rsidRPr="001244BB" w:rsidR="001244BB">
        <w:t>’</w:t>
      </w:r>
      <w:r w:rsidRPr="001244BB">
        <w:t>une personne tuée lors d</w:t>
      </w:r>
      <w:r w:rsidRPr="001244BB" w:rsidR="001244BB">
        <w:t>’</w:t>
      </w:r>
      <w:r w:rsidRPr="001244BB">
        <w:t>un affrontement armé survenu entre celle-ci et les forces de l</w:t>
      </w:r>
      <w:r w:rsidRPr="001244BB" w:rsidR="001244BB">
        <w:t>’</w:t>
      </w:r>
      <w:r w:rsidRPr="001244BB">
        <w:t>ordre et de ses efforts et actes visant à sauver des personnes condamnées par les autorités à la peine de mort, l</w:t>
      </w:r>
      <w:r w:rsidRPr="001244BB" w:rsidR="001244BB">
        <w:t>’</w:t>
      </w:r>
      <w:r w:rsidRPr="001244BB">
        <w:t>ingérence litigieuse était nécessaire dans une société démocratique et proportionnée aux buts légitimes poursuivis.</w:t>
      </w:r>
    </w:p>
    <w:p w:rsidRPr="001244BB" w:rsidR="003F4D18" w:rsidP="001244BB" w:rsidRDefault="003F4D18">
      <w:pPr>
        <w:pStyle w:val="JuH1"/>
        <w:numPr>
          <w:ilvl w:val="0"/>
          <w:numId w:val="0"/>
        </w:numPr>
        <w:ind w:left="731"/>
      </w:pPr>
      <w:r w:rsidRPr="001244BB">
        <w:t>2.  Appréciation de la Cour</w:t>
      </w:r>
    </w:p>
    <w:p w:rsidRPr="001244BB" w:rsidR="003F4D18" w:rsidP="001244BB" w:rsidRDefault="003F4D18">
      <w:pPr>
        <w:pStyle w:val="JuPara"/>
      </w:pPr>
      <w:r w:rsidRPr="001244BB">
        <w:fldChar w:fldCharType="begin"/>
      </w:r>
      <w:r w:rsidRPr="001244BB">
        <w:instrText xml:space="preserve"> SEQ level0 \*arabic </w:instrText>
      </w:r>
      <w:r w:rsidRPr="001244BB">
        <w:fldChar w:fldCharType="separate"/>
      </w:r>
      <w:r w:rsidRPr="001244BB" w:rsidR="001244BB">
        <w:rPr>
          <w:noProof/>
        </w:rPr>
        <w:t>27</w:t>
      </w:r>
      <w:r w:rsidRPr="001244BB">
        <w:fldChar w:fldCharType="end"/>
      </w:r>
      <w:r w:rsidRPr="001244BB">
        <w:t>.  La Cour observe qu</w:t>
      </w:r>
      <w:r w:rsidRPr="001244BB" w:rsidR="001244BB">
        <w:t>’</w:t>
      </w:r>
      <w:r w:rsidRPr="001244BB">
        <w:t>il ne prête pas à controverse entre les parties que la condamnation pénale du requérant constitue une ingérence dans l</w:t>
      </w:r>
      <w:r w:rsidRPr="001244BB" w:rsidR="001244BB">
        <w:t>’</w:t>
      </w:r>
      <w:r w:rsidRPr="001244BB">
        <w:t>exercice par l</w:t>
      </w:r>
      <w:r w:rsidRPr="001244BB" w:rsidR="001244BB">
        <w:t>’</w:t>
      </w:r>
      <w:r w:rsidRPr="001244BB">
        <w:t>intéressé de son droit à la liberté d</w:t>
      </w:r>
      <w:r w:rsidRPr="001244BB" w:rsidR="001244BB">
        <w:t>’</w:t>
      </w:r>
      <w:r w:rsidRPr="001244BB">
        <w:t>expression. Quant à la « prévisibilité de la loi », à savoir les articles</w:t>
      </w:r>
      <w:r w:rsidRPr="001244BB" w:rsidR="00107ED9">
        <w:t xml:space="preserve"> 215 et 218 du CP (paragraphes </w:t>
      </w:r>
      <w:r w:rsidRPr="001244BB">
        <w:t>13 et 14 ci-dessus), elle n</w:t>
      </w:r>
      <w:r w:rsidRPr="001244BB" w:rsidR="001244BB">
        <w:t>’</w:t>
      </w:r>
      <w:r w:rsidRPr="001244BB">
        <w:t>estime pas nécessaire de prendre position sur cette question, dans la mesure où les parties sont d</w:t>
      </w:r>
      <w:r w:rsidRPr="001244BB" w:rsidR="001244BB">
        <w:t>’</w:t>
      </w:r>
      <w:r w:rsidRPr="001244BB">
        <w:t>accord que l</w:t>
      </w:r>
      <w:r w:rsidRPr="001244BB" w:rsidR="001244BB">
        <w:t>’</w:t>
      </w:r>
      <w:r w:rsidRPr="001244BB">
        <w:t>ingérence litigieuse était prévue par la loi. En outre, elle relève que la mesure litigieuse poursuivait des buts légitimes au regard de l</w:t>
      </w:r>
      <w:r w:rsidRPr="001244BB" w:rsidR="001244BB">
        <w:t>’</w:t>
      </w:r>
      <w:r w:rsidRPr="001244BB">
        <w:t>article 10 § 2 de la Convention, à savoir la protection de la sécurité nationale et de la sûreté publique, la préservation de l</w:t>
      </w:r>
      <w:r w:rsidRPr="001244BB" w:rsidR="001244BB">
        <w:t>’</w:t>
      </w:r>
      <w:r w:rsidRPr="001244BB">
        <w:t>intégrité territoriale et la prévention du crime.</w:t>
      </w:r>
    </w:p>
    <w:p w:rsidRPr="001244BB" w:rsidR="003F4D18" w:rsidP="001244BB" w:rsidRDefault="003F4D18">
      <w:pPr>
        <w:pStyle w:val="JuPara"/>
      </w:pPr>
      <w:r w:rsidRPr="001244BB">
        <w:fldChar w:fldCharType="begin"/>
      </w:r>
      <w:r w:rsidRPr="001244BB">
        <w:instrText xml:space="preserve"> SEQ level0 \*arabic </w:instrText>
      </w:r>
      <w:r w:rsidRPr="001244BB">
        <w:fldChar w:fldCharType="separate"/>
      </w:r>
      <w:r w:rsidRPr="001244BB" w:rsidR="001244BB">
        <w:rPr>
          <w:noProof/>
        </w:rPr>
        <w:t>28</w:t>
      </w:r>
      <w:r w:rsidRPr="001244BB">
        <w:fldChar w:fldCharType="end"/>
      </w:r>
      <w:r w:rsidRPr="001244BB">
        <w:t>.  Elle constate donc qu</w:t>
      </w:r>
      <w:r w:rsidRPr="001244BB" w:rsidR="001244BB">
        <w:t>’</w:t>
      </w:r>
      <w:r w:rsidRPr="001244BB">
        <w:t>en l</w:t>
      </w:r>
      <w:r w:rsidRPr="001244BB" w:rsidR="001244BB">
        <w:t>’</w:t>
      </w:r>
      <w:r w:rsidRPr="001244BB">
        <w:t>occurrence le différend porte sur la question de savoir si l</w:t>
      </w:r>
      <w:r w:rsidRPr="001244BB" w:rsidR="001244BB">
        <w:t>’</w:t>
      </w:r>
      <w:r w:rsidRPr="001244BB">
        <w:t>ingérence était « nécessaire dans une société démocratique ». À cet égard, elle rappelle les principes découlant de sa jurisprudence en matière de liberté d</w:t>
      </w:r>
      <w:r w:rsidRPr="001244BB" w:rsidR="001244BB">
        <w:t>’</w:t>
      </w:r>
      <w:r w:rsidRPr="001244BB">
        <w:t>expression, lesquels sont résumés notamment dans les arrêts</w:t>
      </w:r>
      <w:r w:rsidRPr="001244BB">
        <w:rPr>
          <w:i/>
        </w:rPr>
        <w:t xml:space="preserve"> </w:t>
      </w:r>
      <w:proofErr w:type="spellStart"/>
      <w:r w:rsidRPr="001244BB">
        <w:rPr>
          <w:i/>
        </w:rPr>
        <w:t>Bédat</w:t>
      </w:r>
      <w:proofErr w:type="spellEnd"/>
      <w:r w:rsidRPr="001244BB">
        <w:rPr>
          <w:i/>
        </w:rPr>
        <w:t xml:space="preserve"> c. Suisse</w:t>
      </w:r>
      <w:r w:rsidRPr="001244BB">
        <w:t xml:space="preserve"> ([GC], n</w:t>
      </w:r>
      <w:r w:rsidRPr="001244BB">
        <w:rPr>
          <w:vertAlign w:val="superscript"/>
        </w:rPr>
        <w:t>o</w:t>
      </w:r>
      <w:r w:rsidRPr="001244BB">
        <w:t> 56925/08, § 48, 29 mars 2016),</w:t>
      </w:r>
      <w:r w:rsidRPr="001244BB">
        <w:rPr>
          <w:i/>
          <w:sz w:val="22"/>
          <w:lang w:val="pt-PT"/>
        </w:rPr>
        <w:t xml:space="preserve"> </w:t>
      </w:r>
      <w:proofErr w:type="spellStart"/>
      <w:r w:rsidRPr="001244BB">
        <w:rPr>
          <w:i/>
          <w:lang w:val="pt-PT"/>
        </w:rPr>
        <w:t>Perinçek</w:t>
      </w:r>
      <w:proofErr w:type="spellEnd"/>
      <w:r w:rsidRPr="001244BB">
        <w:rPr>
          <w:i/>
          <w:lang w:val="pt-PT"/>
        </w:rPr>
        <w:t xml:space="preserve"> c. </w:t>
      </w:r>
      <w:proofErr w:type="spellStart"/>
      <w:r w:rsidRPr="001244BB">
        <w:rPr>
          <w:i/>
          <w:lang w:val="pt-PT"/>
        </w:rPr>
        <w:t>Suisse</w:t>
      </w:r>
      <w:proofErr w:type="spellEnd"/>
      <w:r w:rsidRPr="001244BB">
        <w:rPr>
          <w:lang w:val="pt-PT"/>
        </w:rPr>
        <w:t xml:space="preserve"> ([GC], n</w:t>
      </w:r>
      <w:r w:rsidRPr="001244BB">
        <w:rPr>
          <w:vertAlign w:val="superscript"/>
          <w:lang w:val="pt-PT"/>
        </w:rPr>
        <w:t>o</w:t>
      </w:r>
      <w:r w:rsidRPr="001244BB">
        <w:rPr>
          <w:lang w:val="pt-PT"/>
        </w:rPr>
        <w:t xml:space="preserve"> 27510/08, § 204-208, CEDH 2015 (</w:t>
      </w:r>
      <w:proofErr w:type="spellStart"/>
      <w:r w:rsidRPr="001244BB">
        <w:rPr>
          <w:lang w:val="pt-PT"/>
        </w:rPr>
        <w:t>extraits</w:t>
      </w:r>
      <w:proofErr w:type="spellEnd"/>
      <w:r w:rsidRPr="001244BB">
        <w:rPr>
          <w:lang w:val="pt-PT"/>
        </w:rPr>
        <w:t>))</w:t>
      </w:r>
      <w:r w:rsidRPr="001244BB">
        <w:t xml:space="preserve"> et </w:t>
      </w:r>
      <w:proofErr w:type="spellStart"/>
      <w:r w:rsidRPr="001244BB">
        <w:rPr>
          <w:i/>
        </w:rPr>
        <w:t>Bülent</w:t>
      </w:r>
      <w:proofErr w:type="spellEnd"/>
      <w:r w:rsidRPr="001244BB">
        <w:rPr>
          <w:i/>
        </w:rPr>
        <w:t xml:space="preserve"> Kaya c. Turquie</w:t>
      </w:r>
      <w:r w:rsidRPr="001244BB">
        <w:t xml:space="preserve"> (n</w:t>
      </w:r>
      <w:r w:rsidRPr="001244BB">
        <w:rPr>
          <w:vertAlign w:val="superscript"/>
        </w:rPr>
        <w:t>o</w:t>
      </w:r>
      <w:r w:rsidRPr="001244BB">
        <w:t xml:space="preserve"> 52056/08, §§ 36-40, 22 octobre 2013).</w:t>
      </w:r>
    </w:p>
    <w:p w:rsidRPr="001244BB" w:rsidR="003F4D18" w:rsidP="001244BB" w:rsidRDefault="003F4D18">
      <w:pPr>
        <w:pStyle w:val="JuPara"/>
      </w:pPr>
      <w:r w:rsidRPr="001244BB">
        <w:fldChar w:fldCharType="begin"/>
      </w:r>
      <w:r w:rsidRPr="001244BB">
        <w:instrText xml:space="preserve"> SEQ level0 \*arabic </w:instrText>
      </w:r>
      <w:r w:rsidRPr="001244BB">
        <w:fldChar w:fldCharType="separate"/>
      </w:r>
      <w:r w:rsidRPr="001244BB" w:rsidR="001244BB">
        <w:rPr>
          <w:noProof/>
        </w:rPr>
        <w:t>29</w:t>
      </w:r>
      <w:r w:rsidRPr="001244BB">
        <w:fldChar w:fldCharType="end"/>
      </w:r>
      <w:r w:rsidRPr="001244BB">
        <w:t>.  Elle rappelle en particulier qu</w:t>
      </w:r>
      <w:r w:rsidRPr="001244BB" w:rsidR="001244BB">
        <w:t>’</w:t>
      </w:r>
      <w:r w:rsidRPr="001244BB">
        <w:t>elle n</w:t>
      </w:r>
      <w:r w:rsidRPr="001244BB" w:rsidR="001244BB">
        <w:t>’</w:t>
      </w:r>
      <w:r w:rsidRPr="001244BB">
        <w:t>a point pour tâche, lorsqu</w:t>
      </w:r>
      <w:r w:rsidRPr="001244BB" w:rsidR="001244BB">
        <w:t>’</w:t>
      </w:r>
      <w:r w:rsidRPr="001244BB">
        <w:t>elle exerce son contrôle, de se substituer aux juridictions internes compétentes, mais de vérifier sous l</w:t>
      </w:r>
      <w:r w:rsidRPr="001244BB" w:rsidR="001244BB">
        <w:t>’</w:t>
      </w:r>
      <w:r w:rsidRPr="001244BB">
        <w:t>angle de l</w:t>
      </w:r>
      <w:r w:rsidRPr="001244BB" w:rsidR="001244BB">
        <w:t>’</w:t>
      </w:r>
      <w:r w:rsidRPr="001244BB">
        <w:t>article 10 de la Convention les décisions qu</w:t>
      </w:r>
      <w:r w:rsidRPr="001244BB" w:rsidR="001244BB">
        <w:t>’</w:t>
      </w:r>
      <w:r w:rsidRPr="001244BB">
        <w:t>elles ont rendues en vertu de leur pouvoir d</w:t>
      </w:r>
      <w:r w:rsidRPr="001244BB" w:rsidR="001244BB">
        <w:t>’</w:t>
      </w:r>
      <w:r w:rsidRPr="001244BB">
        <w:t>appréciation. Il ne s</w:t>
      </w:r>
      <w:r w:rsidRPr="001244BB" w:rsidR="001244BB">
        <w:t>’</w:t>
      </w:r>
      <w:r w:rsidRPr="001244BB">
        <w:t>ensuit pas qu</w:t>
      </w:r>
      <w:r w:rsidRPr="001244BB" w:rsidR="001244BB">
        <w:t>’</w:t>
      </w:r>
      <w:r w:rsidRPr="001244BB">
        <w:t>elle doive se borner à rechercher si l</w:t>
      </w:r>
      <w:r w:rsidRPr="001244BB" w:rsidR="001244BB">
        <w:t>’</w:t>
      </w:r>
      <w:r w:rsidRPr="001244BB">
        <w:t>État défendeur a usé de ce pouvoir de bonne foi, avec soin et de façon raisonnable : il lui faut considérer l</w:t>
      </w:r>
      <w:r w:rsidRPr="001244BB" w:rsidR="001244BB">
        <w:t>’</w:t>
      </w:r>
      <w:r w:rsidRPr="001244BB">
        <w:t>ingérence litigieuse à la lumière de l</w:t>
      </w:r>
      <w:r w:rsidRPr="001244BB" w:rsidR="001244BB">
        <w:t>’</w:t>
      </w:r>
      <w:r w:rsidRPr="001244BB">
        <w:t>ensemble de l</w:t>
      </w:r>
      <w:r w:rsidRPr="001244BB" w:rsidR="001244BB">
        <w:t>’</w:t>
      </w:r>
      <w:r w:rsidRPr="001244BB">
        <w:t>affaire pour déterminer si elle était « proportionnée au but légitime poursuivi » et si les motifs invoqués par les autorités nationales pour la justifier apparaissent « pertinents et suffisants ». Ce faisant, la Cour doit se convaincre que les autorités nationales ont appliqué des règles conformes aux principes consacrés à l</w:t>
      </w:r>
      <w:r w:rsidRPr="001244BB" w:rsidR="001244BB">
        <w:t>’</w:t>
      </w:r>
      <w:r w:rsidRPr="001244BB">
        <w:t>article 10 de la Convention et ce, de surcroît, en se fondant sur une appréciation acceptable des faits pertinents (</w:t>
      </w:r>
      <w:proofErr w:type="spellStart"/>
      <w:r w:rsidRPr="001244BB">
        <w:rPr>
          <w:i/>
        </w:rPr>
        <w:t>Bédat</w:t>
      </w:r>
      <w:proofErr w:type="spellEnd"/>
      <w:r w:rsidRPr="001244BB">
        <w:t>, précité, § 48).</w:t>
      </w:r>
    </w:p>
    <w:p w:rsidRPr="001244BB" w:rsidR="003F4D18" w:rsidP="001244BB" w:rsidRDefault="003F4D18">
      <w:pPr>
        <w:pStyle w:val="JuPara"/>
      </w:pPr>
      <w:r w:rsidRPr="001244BB">
        <w:fldChar w:fldCharType="begin"/>
      </w:r>
      <w:r w:rsidRPr="001244BB">
        <w:instrText xml:space="preserve"> SEQ level0 \*arabic </w:instrText>
      </w:r>
      <w:r w:rsidRPr="001244BB">
        <w:fldChar w:fldCharType="separate"/>
      </w:r>
      <w:r w:rsidRPr="001244BB" w:rsidR="001244BB">
        <w:rPr>
          <w:noProof/>
        </w:rPr>
        <w:t>30</w:t>
      </w:r>
      <w:r w:rsidRPr="001244BB">
        <w:fldChar w:fldCharType="end"/>
      </w:r>
      <w:r w:rsidRPr="001244BB">
        <w:t>.  Elle rappelle par ailleurs qu</w:t>
      </w:r>
      <w:r w:rsidRPr="001244BB" w:rsidR="001244BB">
        <w:t>’</w:t>
      </w:r>
      <w:r w:rsidRPr="001244BB">
        <w:t>elle peut aussi analyser elle-même les écrits et les déclarations en cause nonobstant l</w:t>
      </w:r>
      <w:r w:rsidRPr="001244BB" w:rsidR="001244BB">
        <w:t>’</w:t>
      </w:r>
      <w:r w:rsidRPr="001244BB">
        <w:t>insuffisance manifeste des motifs avancés par les juridictions internes pour justifier la condamnation des propriétaires, éditeurs ou rédacteurs en chef des périodiques concernés, responsables de la publication de ces écrits ou déclarations (</w:t>
      </w:r>
      <w:proofErr w:type="spellStart"/>
      <w:r w:rsidRPr="001244BB">
        <w:rPr>
          <w:i/>
        </w:rPr>
        <w:t>Gürbüz</w:t>
      </w:r>
      <w:proofErr w:type="spellEnd"/>
      <w:r w:rsidRPr="001244BB">
        <w:rPr>
          <w:i/>
        </w:rPr>
        <w:t xml:space="preserve"> et Bayar c. Turquie</w:t>
      </w:r>
      <w:r w:rsidRPr="001244BB">
        <w:t>, n</w:t>
      </w:r>
      <w:r w:rsidRPr="001244BB">
        <w:rPr>
          <w:vertAlign w:val="superscript"/>
        </w:rPr>
        <w:t>o</w:t>
      </w:r>
      <w:r w:rsidRPr="001244BB">
        <w:t xml:space="preserve"> 8860/13, § 37, 23 juillet 2019). Elle procède ainsi elle-même à l</w:t>
      </w:r>
      <w:r w:rsidRPr="001244BB" w:rsidR="001244BB">
        <w:t>’</w:t>
      </w:r>
      <w:r w:rsidRPr="001244BB">
        <w:t>analyse des déclarations litigieuses, notamment lorsqu</w:t>
      </w:r>
      <w:r w:rsidRPr="001244BB" w:rsidR="001244BB">
        <w:t>’</w:t>
      </w:r>
      <w:r w:rsidRPr="001244BB">
        <w:t>il est clair et manifeste que le</w:t>
      </w:r>
      <w:r w:rsidRPr="001244BB" w:rsidR="00501BDE">
        <w:t>s</w:t>
      </w:r>
      <w:r w:rsidRPr="001244BB">
        <w:t xml:space="preserve"> propos litigieux ne peu</w:t>
      </w:r>
      <w:r w:rsidRPr="001244BB" w:rsidR="00501BDE">
        <w:t>ven</w:t>
      </w:r>
      <w:r w:rsidRPr="001244BB">
        <w:t>t être qualifié</w:t>
      </w:r>
      <w:r w:rsidRPr="001244BB" w:rsidR="00501BDE">
        <w:t>s</w:t>
      </w:r>
      <w:r w:rsidRPr="001244BB">
        <w:t xml:space="preserve"> que de discours de haine, d</w:t>
      </w:r>
      <w:r w:rsidRPr="001244BB" w:rsidR="001244BB">
        <w:t>’</w:t>
      </w:r>
      <w:r w:rsidRPr="001244BB">
        <w:t>apologie de la violence ou d</w:t>
      </w:r>
      <w:r w:rsidRPr="001244BB" w:rsidR="001244BB">
        <w:t>’</w:t>
      </w:r>
      <w:r w:rsidRPr="001244BB">
        <w:t>incitation à la violence</w:t>
      </w:r>
      <w:r w:rsidRPr="001244BB" w:rsidR="00366264">
        <w:t xml:space="preserve">. En effet, </w:t>
      </w:r>
      <w:r w:rsidRPr="001244BB" w:rsidR="00DE3EFF">
        <w:t>ce</w:t>
      </w:r>
      <w:r w:rsidRPr="001244BB" w:rsidR="00366264">
        <w:t>s</w:t>
      </w:r>
      <w:r w:rsidRPr="001244BB" w:rsidR="00DE3EFF">
        <w:t xml:space="preserve"> dernier</w:t>
      </w:r>
      <w:r w:rsidRPr="001244BB" w:rsidR="00366264">
        <w:t>s</w:t>
      </w:r>
      <w:r w:rsidRPr="001244BB">
        <w:t xml:space="preserve"> ne saurai</w:t>
      </w:r>
      <w:r w:rsidRPr="001244BB" w:rsidR="00366264">
        <w:t>en</w:t>
      </w:r>
      <w:r w:rsidRPr="001244BB">
        <w:t xml:space="preserve">t passer pour </w:t>
      </w:r>
      <w:r w:rsidRPr="001244BB" w:rsidR="00DE3EFF">
        <w:t xml:space="preserve">être </w:t>
      </w:r>
      <w:r w:rsidRPr="001244BB">
        <w:t>compatible</w:t>
      </w:r>
      <w:r w:rsidRPr="001244BB" w:rsidR="00366264">
        <w:t>s</w:t>
      </w:r>
      <w:r w:rsidRPr="001244BB">
        <w:t xml:space="preserve"> avec l</w:t>
      </w:r>
      <w:r w:rsidRPr="001244BB" w:rsidR="001244BB">
        <w:t>’</w:t>
      </w:r>
      <w:r w:rsidRPr="001244BB">
        <w:t>esprit de tolérance et v</w:t>
      </w:r>
      <w:r w:rsidRPr="001244BB" w:rsidR="00366264">
        <w:t>ont</w:t>
      </w:r>
      <w:r w:rsidRPr="001244BB" w:rsidR="000E0541">
        <w:t xml:space="preserve"> </w:t>
      </w:r>
      <w:r w:rsidRPr="001244BB" w:rsidR="00DE3EFF">
        <w:t>d</w:t>
      </w:r>
      <w:r w:rsidRPr="001244BB" w:rsidR="001244BB">
        <w:t>’</w:t>
      </w:r>
      <w:r w:rsidRPr="001244BB" w:rsidR="00DE3EFF">
        <w:t xml:space="preserve">ailleurs </w:t>
      </w:r>
      <w:r w:rsidRPr="001244BB">
        <w:t>à l</w:t>
      </w:r>
      <w:r w:rsidRPr="001244BB" w:rsidR="001244BB">
        <w:t>’</w:t>
      </w:r>
      <w:r w:rsidRPr="001244BB">
        <w:t>encontre des valeurs fondamentales de justice et de paix qu</w:t>
      </w:r>
      <w:r w:rsidRPr="001244BB" w:rsidR="001244BB">
        <w:t>’</w:t>
      </w:r>
      <w:r w:rsidRPr="001244BB">
        <w:t>exprime le Préambule à la Convention et ne saurai</w:t>
      </w:r>
      <w:r w:rsidRPr="001244BB" w:rsidR="00366264">
        <w:t>en</w:t>
      </w:r>
      <w:r w:rsidRPr="001244BB">
        <w:t>t prétendre au bénéfice de la liberté d</w:t>
      </w:r>
      <w:r w:rsidRPr="001244BB" w:rsidR="001244BB">
        <w:t>’</w:t>
      </w:r>
      <w:r w:rsidRPr="001244BB">
        <w:t>expression</w:t>
      </w:r>
      <w:r w:rsidRPr="001244BB">
        <w:rPr>
          <w:i/>
          <w:iCs/>
        </w:rPr>
        <w:t xml:space="preserve"> (</w:t>
      </w:r>
      <w:proofErr w:type="spellStart"/>
      <w:r w:rsidRPr="001244BB">
        <w:rPr>
          <w:i/>
          <w:iCs/>
        </w:rPr>
        <w:t>Gündüz</w:t>
      </w:r>
      <w:proofErr w:type="spellEnd"/>
      <w:r w:rsidRPr="001244BB">
        <w:rPr>
          <w:i/>
          <w:iCs/>
        </w:rPr>
        <w:t xml:space="preserve"> c. Turquie </w:t>
      </w:r>
      <w:r w:rsidRPr="001244BB">
        <w:t>(déc.), n</w:t>
      </w:r>
      <w:r w:rsidRPr="001244BB">
        <w:rPr>
          <w:vertAlign w:val="superscript"/>
        </w:rPr>
        <w:t>o</w:t>
      </w:r>
      <w:r w:rsidRPr="001244BB" w:rsidR="00262AD5">
        <w:t> </w:t>
      </w:r>
      <w:r w:rsidRPr="001244BB">
        <w:t>59745/00, CEDH 2003</w:t>
      </w:r>
      <w:r w:rsidRPr="001244BB">
        <w:noBreakHyphen/>
        <w:t xml:space="preserve">XI (extraits), </w:t>
      </w:r>
      <w:proofErr w:type="spellStart"/>
      <w:r w:rsidRPr="001244BB">
        <w:rPr>
          <w:i/>
          <w:iCs/>
          <w:lang w:val="fi-FI"/>
        </w:rPr>
        <w:t>Karatepe</w:t>
      </w:r>
      <w:proofErr w:type="spellEnd"/>
      <w:r w:rsidRPr="001244BB">
        <w:rPr>
          <w:i/>
          <w:iCs/>
          <w:lang w:val="fi-FI"/>
        </w:rPr>
        <w:t xml:space="preserve"> c. </w:t>
      </w:r>
      <w:proofErr w:type="spellStart"/>
      <w:r w:rsidRPr="001244BB">
        <w:rPr>
          <w:i/>
          <w:iCs/>
          <w:lang w:val="fi-FI"/>
        </w:rPr>
        <w:t>Turquie</w:t>
      </w:r>
      <w:proofErr w:type="spellEnd"/>
      <w:r w:rsidRPr="001244BB">
        <w:rPr>
          <w:lang w:val="fi-FI"/>
        </w:rPr>
        <w:t>, n</w:t>
      </w:r>
      <w:r w:rsidRPr="001244BB">
        <w:rPr>
          <w:vertAlign w:val="superscript"/>
          <w:lang w:val="fi-FI"/>
        </w:rPr>
        <w:t>o</w:t>
      </w:r>
      <w:r w:rsidRPr="001244BB" w:rsidR="00262AD5">
        <w:rPr>
          <w:lang w:val="fi-FI"/>
        </w:rPr>
        <w:t xml:space="preserve"> 41551/98, § </w:t>
      </w:r>
      <w:r w:rsidRPr="001244BB">
        <w:rPr>
          <w:lang w:val="fi-FI"/>
        </w:rPr>
        <w:t xml:space="preserve">30, 31 </w:t>
      </w:r>
      <w:proofErr w:type="spellStart"/>
      <w:r w:rsidRPr="001244BB">
        <w:rPr>
          <w:lang w:val="fi-FI"/>
        </w:rPr>
        <w:t>juillet</w:t>
      </w:r>
      <w:proofErr w:type="spellEnd"/>
      <w:r w:rsidRPr="001244BB">
        <w:rPr>
          <w:lang w:val="fi-FI"/>
        </w:rPr>
        <w:t xml:space="preserve"> 2007, </w:t>
      </w:r>
      <w:proofErr w:type="spellStart"/>
      <w:r w:rsidRPr="001244BB">
        <w:rPr>
          <w:i/>
        </w:rPr>
        <w:t>Zana</w:t>
      </w:r>
      <w:proofErr w:type="spellEnd"/>
      <w:r w:rsidRPr="001244BB">
        <w:rPr>
          <w:i/>
        </w:rPr>
        <w:t xml:space="preserve"> c. Turquie</w:t>
      </w:r>
      <w:r w:rsidRPr="001244BB">
        <w:t xml:space="preserve">, 25 novembre 1997, §§ 56-60, </w:t>
      </w:r>
      <w:r w:rsidRPr="001244BB">
        <w:rPr>
          <w:i/>
        </w:rPr>
        <w:t>Recueil des arrêts et décisions</w:t>
      </w:r>
      <w:r w:rsidRPr="001244BB">
        <w:t xml:space="preserve"> 1997</w:t>
      </w:r>
      <w:r w:rsidRPr="001244BB">
        <w:noBreakHyphen/>
        <w:t>VII,</w:t>
      </w:r>
      <w:r w:rsidRPr="001244BB">
        <w:rPr>
          <w:i/>
          <w:iCs/>
        </w:rPr>
        <w:t xml:space="preserve"> </w:t>
      </w:r>
      <w:proofErr w:type="spellStart"/>
      <w:r w:rsidRPr="001244BB">
        <w:rPr>
          <w:i/>
          <w:iCs/>
        </w:rPr>
        <w:t>Sürek</w:t>
      </w:r>
      <w:proofErr w:type="spellEnd"/>
      <w:r w:rsidRPr="001244BB">
        <w:rPr>
          <w:i/>
          <w:iCs/>
        </w:rPr>
        <w:t xml:space="preserve"> c. Turquie (n</w:t>
      </w:r>
      <w:r w:rsidRPr="001244BB">
        <w:rPr>
          <w:i/>
          <w:iCs/>
          <w:vertAlign w:val="superscript"/>
        </w:rPr>
        <w:t>o</w:t>
      </w:r>
      <w:r w:rsidRPr="001244BB">
        <w:rPr>
          <w:i/>
          <w:iCs/>
        </w:rPr>
        <w:t xml:space="preserve"> 1)</w:t>
      </w:r>
      <w:r w:rsidRPr="001244BB">
        <w:t xml:space="preserve"> [GC], n</w:t>
      </w:r>
      <w:r w:rsidRPr="001244BB">
        <w:rPr>
          <w:vertAlign w:val="superscript"/>
        </w:rPr>
        <w:t>o</w:t>
      </w:r>
      <w:r w:rsidRPr="001244BB">
        <w:t xml:space="preserve"> 26682/95, §§ 60-62, CEDH 1999</w:t>
      </w:r>
      <w:r w:rsidRPr="001244BB">
        <w:noBreakHyphen/>
        <w:t xml:space="preserve">IV, </w:t>
      </w:r>
      <w:proofErr w:type="spellStart"/>
      <w:r w:rsidRPr="001244BB">
        <w:rPr>
          <w:i/>
          <w:iCs/>
        </w:rPr>
        <w:t>Sürek</w:t>
      </w:r>
      <w:proofErr w:type="spellEnd"/>
      <w:r w:rsidRPr="001244BB">
        <w:rPr>
          <w:i/>
          <w:iCs/>
        </w:rPr>
        <w:t xml:space="preserve"> c. Turquie (n</w:t>
      </w:r>
      <w:r w:rsidRPr="001244BB">
        <w:rPr>
          <w:i/>
          <w:iCs/>
          <w:vertAlign w:val="superscript"/>
        </w:rPr>
        <w:t>o</w:t>
      </w:r>
      <w:r w:rsidRPr="001244BB">
        <w:t xml:space="preserve"> </w:t>
      </w:r>
      <w:r w:rsidRPr="001244BB">
        <w:rPr>
          <w:i/>
          <w:iCs/>
        </w:rPr>
        <w:t>3)</w:t>
      </w:r>
      <w:r w:rsidRPr="001244BB">
        <w:t xml:space="preserve"> [GC], n</w:t>
      </w:r>
      <w:r w:rsidRPr="001244BB">
        <w:rPr>
          <w:vertAlign w:val="superscript"/>
        </w:rPr>
        <w:t>o</w:t>
      </w:r>
      <w:r w:rsidRPr="001244BB" w:rsidR="00107ED9">
        <w:t xml:space="preserve"> 24735/94, §§</w:t>
      </w:r>
      <w:r w:rsidRPr="001244BB" w:rsidR="00C744A9">
        <w:t> </w:t>
      </w:r>
      <w:r w:rsidRPr="001244BB" w:rsidR="00107ED9">
        <w:t>39 et 40, 8 </w:t>
      </w:r>
      <w:r w:rsidRPr="001244BB">
        <w:t xml:space="preserve">juillet 1999, </w:t>
      </w:r>
      <w:proofErr w:type="spellStart"/>
      <w:r w:rsidRPr="001244BB">
        <w:rPr>
          <w:i/>
          <w:lang w:val="it-IT"/>
        </w:rPr>
        <w:t>Hocaoğulları</w:t>
      </w:r>
      <w:proofErr w:type="spellEnd"/>
      <w:r w:rsidRPr="001244BB">
        <w:rPr>
          <w:i/>
          <w:lang w:val="it-IT"/>
        </w:rPr>
        <w:t xml:space="preserve"> c. </w:t>
      </w:r>
      <w:proofErr w:type="spellStart"/>
      <w:r w:rsidRPr="001244BB">
        <w:rPr>
          <w:i/>
          <w:lang w:val="it-IT"/>
        </w:rPr>
        <w:t>Turquie</w:t>
      </w:r>
      <w:proofErr w:type="spellEnd"/>
      <w:r w:rsidRPr="001244BB">
        <w:rPr>
          <w:lang w:val="it-IT"/>
        </w:rPr>
        <w:t>, n</w:t>
      </w:r>
      <w:r w:rsidRPr="001244BB">
        <w:rPr>
          <w:vertAlign w:val="superscript"/>
          <w:lang w:val="it-IT"/>
        </w:rPr>
        <w:t>o</w:t>
      </w:r>
      <w:r w:rsidRPr="001244BB">
        <w:rPr>
          <w:lang w:val="it-IT"/>
        </w:rPr>
        <w:t xml:space="preserve"> 77109/01, §§ 38-40, 7 </w:t>
      </w:r>
      <w:proofErr w:type="spellStart"/>
      <w:r w:rsidRPr="001244BB">
        <w:rPr>
          <w:lang w:val="it-IT"/>
        </w:rPr>
        <w:t>mars</w:t>
      </w:r>
      <w:proofErr w:type="spellEnd"/>
      <w:r w:rsidRPr="001244BB">
        <w:rPr>
          <w:lang w:val="it-IT"/>
        </w:rPr>
        <w:t xml:space="preserve"> 2006,</w:t>
      </w:r>
      <w:r w:rsidRPr="001244BB">
        <w:rPr>
          <w:i/>
          <w:iCs/>
        </w:rPr>
        <w:t xml:space="preserve"> </w:t>
      </w:r>
      <w:proofErr w:type="spellStart"/>
      <w:r w:rsidRPr="001244BB">
        <w:rPr>
          <w:i/>
          <w:iCs/>
        </w:rPr>
        <w:t>Halis</w:t>
      </w:r>
      <w:proofErr w:type="spellEnd"/>
      <w:r w:rsidRPr="001244BB">
        <w:rPr>
          <w:i/>
          <w:iCs/>
        </w:rPr>
        <w:t xml:space="preserve"> </w:t>
      </w:r>
      <w:proofErr w:type="spellStart"/>
      <w:r w:rsidRPr="001244BB">
        <w:rPr>
          <w:i/>
          <w:iCs/>
        </w:rPr>
        <w:t>Doğan</w:t>
      </w:r>
      <w:proofErr w:type="spellEnd"/>
      <w:r w:rsidRPr="001244BB">
        <w:rPr>
          <w:i/>
          <w:iCs/>
        </w:rPr>
        <w:t xml:space="preserve"> c. Turquie (n</w:t>
      </w:r>
      <w:r w:rsidRPr="001244BB">
        <w:rPr>
          <w:i/>
          <w:iCs/>
          <w:vertAlign w:val="superscript"/>
        </w:rPr>
        <w:t>o</w:t>
      </w:r>
      <w:r w:rsidRPr="001244BB">
        <w:rPr>
          <w:i/>
          <w:iCs/>
        </w:rPr>
        <w:t xml:space="preserve"> 3)</w:t>
      </w:r>
      <w:r w:rsidRPr="001244BB">
        <w:t>, n</w:t>
      </w:r>
      <w:r w:rsidRPr="001244BB">
        <w:rPr>
          <w:vertAlign w:val="superscript"/>
        </w:rPr>
        <w:t>o</w:t>
      </w:r>
      <w:r w:rsidRPr="001244BB">
        <w:t xml:space="preserve"> 4119/02, §§ 33-35, 10 octobre 2006, et </w:t>
      </w:r>
      <w:proofErr w:type="spellStart"/>
      <w:r w:rsidRPr="001244BB">
        <w:rPr>
          <w:i/>
          <w:iCs/>
          <w:lang w:val="it-IT"/>
        </w:rPr>
        <w:t>Fatih</w:t>
      </w:r>
      <w:proofErr w:type="spellEnd"/>
      <w:r w:rsidRPr="001244BB">
        <w:rPr>
          <w:i/>
          <w:iCs/>
          <w:lang w:val="it-IT"/>
        </w:rPr>
        <w:t xml:space="preserve"> </w:t>
      </w:r>
      <w:proofErr w:type="spellStart"/>
      <w:r w:rsidRPr="001244BB">
        <w:rPr>
          <w:i/>
          <w:iCs/>
          <w:lang w:val="it-IT"/>
        </w:rPr>
        <w:t>Taş</w:t>
      </w:r>
      <w:proofErr w:type="spellEnd"/>
      <w:r w:rsidRPr="001244BB">
        <w:rPr>
          <w:i/>
          <w:iCs/>
          <w:lang w:val="it-IT"/>
        </w:rPr>
        <w:t xml:space="preserve"> c. </w:t>
      </w:r>
      <w:proofErr w:type="spellStart"/>
      <w:r w:rsidRPr="001244BB">
        <w:rPr>
          <w:i/>
          <w:iCs/>
          <w:lang w:val="it-IT"/>
        </w:rPr>
        <w:t>Turquie</w:t>
      </w:r>
      <w:proofErr w:type="spellEnd"/>
      <w:r w:rsidRPr="001244BB">
        <w:rPr>
          <w:i/>
          <w:iCs/>
          <w:lang w:val="it-IT"/>
        </w:rPr>
        <w:t xml:space="preserve"> (</w:t>
      </w:r>
      <w:r w:rsidRPr="001244BB">
        <w:rPr>
          <w:i/>
          <w:lang w:val="it-IT"/>
        </w:rPr>
        <w:t>n</w:t>
      </w:r>
      <w:r w:rsidRPr="001244BB">
        <w:rPr>
          <w:i/>
          <w:vertAlign w:val="superscript"/>
          <w:lang w:val="it-IT"/>
        </w:rPr>
        <w:t>o</w:t>
      </w:r>
      <w:r w:rsidRPr="001244BB">
        <w:rPr>
          <w:i/>
          <w:lang w:val="it-IT"/>
        </w:rPr>
        <w:t xml:space="preserve"> 3</w:t>
      </w:r>
      <w:r w:rsidRPr="001244BB">
        <w:rPr>
          <w:i/>
          <w:iCs/>
          <w:lang w:val="it-IT"/>
        </w:rPr>
        <w:t>)</w:t>
      </w:r>
      <w:r w:rsidRPr="001244BB">
        <w:rPr>
          <w:lang w:val="it-IT"/>
        </w:rPr>
        <w:t>, n</w:t>
      </w:r>
      <w:r w:rsidRPr="001244BB">
        <w:rPr>
          <w:vertAlign w:val="superscript"/>
          <w:lang w:val="it-IT"/>
        </w:rPr>
        <w:t>o</w:t>
      </w:r>
      <w:r w:rsidRPr="001244BB">
        <w:rPr>
          <w:lang w:val="it-IT"/>
        </w:rPr>
        <w:t xml:space="preserve"> 45281/08, §§ 31-34, 24 </w:t>
      </w:r>
      <w:proofErr w:type="spellStart"/>
      <w:r w:rsidRPr="001244BB">
        <w:rPr>
          <w:lang w:val="it-IT"/>
        </w:rPr>
        <w:t>avril</w:t>
      </w:r>
      <w:proofErr w:type="spellEnd"/>
      <w:r w:rsidRPr="001244BB">
        <w:rPr>
          <w:lang w:val="it-IT"/>
        </w:rPr>
        <w:t xml:space="preserve"> 2018</w:t>
      </w:r>
      <w:r w:rsidRPr="001244BB">
        <w:rPr>
          <w:lang w:val="fi-FI"/>
        </w:rPr>
        <w:t>)</w:t>
      </w:r>
      <w:r w:rsidRPr="001244BB">
        <w:t>. Eu égard à ce qui précède et compte tenu de la conclusion à laquelle elle est parvenue quant à la nature de l</w:t>
      </w:r>
      <w:r w:rsidRPr="001244BB" w:rsidR="001244BB">
        <w:t>’</w:t>
      </w:r>
      <w:r w:rsidRPr="001244BB">
        <w:t>article pour la publication duquel le requérant a été condamné en l</w:t>
      </w:r>
      <w:r w:rsidRPr="001244BB" w:rsidR="001244BB">
        <w:t>’</w:t>
      </w:r>
      <w:r w:rsidRPr="001244BB">
        <w:t>espèce (paragraphe 33 ci-dessous), la Cour analysera elle-même cet article, nonobstant la motivation, susceptible d</w:t>
      </w:r>
      <w:r w:rsidRPr="001244BB" w:rsidR="001244BB">
        <w:t>’</w:t>
      </w:r>
      <w:r w:rsidRPr="001244BB">
        <w:t>être considérée comme insuffisante, adoptée par les juridictions nationales à l</w:t>
      </w:r>
      <w:r w:rsidRPr="001244BB" w:rsidR="001244BB">
        <w:t>’</w:t>
      </w:r>
      <w:r w:rsidRPr="001244BB">
        <w:t>appui de la condamnation de l</w:t>
      </w:r>
      <w:r w:rsidRPr="001244BB" w:rsidR="001244BB">
        <w:t>’</w:t>
      </w:r>
      <w:r w:rsidRPr="001244BB">
        <w:t>intéressé (paragraphe 12 ci-dessus).</w:t>
      </w:r>
    </w:p>
    <w:p w:rsidRPr="001244BB" w:rsidR="003F4D18" w:rsidP="001244BB" w:rsidRDefault="003F4D18">
      <w:pPr>
        <w:pStyle w:val="JuPara"/>
      </w:pPr>
      <w:r w:rsidRPr="001244BB">
        <w:fldChar w:fldCharType="begin"/>
      </w:r>
      <w:r w:rsidRPr="001244BB">
        <w:instrText xml:space="preserve"> SEQ level0 \*arabic </w:instrText>
      </w:r>
      <w:r w:rsidRPr="001244BB">
        <w:fldChar w:fldCharType="separate"/>
      </w:r>
      <w:r w:rsidRPr="001244BB" w:rsidR="001244BB">
        <w:rPr>
          <w:noProof/>
        </w:rPr>
        <w:t>31</w:t>
      </w:r>
      <w:r w:rsidRPr="001244BB">
        <w:fldChar w:fldCharType="end"/>
      </w:r>
      <w:r w:rsidRPr="001244BB">
        <w:t>.  Elle rappelle à cet égard les principes établis dans sa jurisprudence sous l</w:t>
      </w:r>
      <w:r w:rsidRPr="001244BB" w:rsidR="001244BB">
        <w:t>’</w:t>
      </w:r>
      <w:r w:rsidRPr="001244BB">
        <w:t>angle de l</w:t>
      </w:r>
      <w:r w:rsidRPr="001244BB" w:rsidR="001244BB">
        <w:t>’</w:t>
      </w:r>
      <w:r w:rsidRPr="001244BB">
        <w:t>article 10 de la Convention concernant les propos, verbaux ou écrits, présentés comme alimentant ou justifiant la violence, la haine ou l</w:t>
      </w:r>
      <w:r w:rsidRPr="001244BB" w:rsidR="001244BB">
        <w:t>’</w:t>
      </w:r>
      <w:r w:rsidRPr="001244BB">
        <w:t>intolérance. Les facteurs clés dans l</w:t>
      </w:r>
      <w:r w:rsidRPr="001244BB" w:rsidR="001244BB">
        <w:t>’</w:t>
      </w:r>
      <w:r w:rsidRPr="001244BB">
        <w:t>appréciation de la Cour dans ces affaires sont : le point de savoir si les propos ont été tenus dans un contexte politique ou social tendu (</w:t>
      </w:r>
      <w:proofErr w:type="spellStart"/>
      <w:r w:rsidRPr="001244BB">
        <w:rPr>
          <w:i/>
        </w:rPr>
        <w:t>Zana</w:t>
      </w:r>
      <w:proofErr w:type="spellEnd"/>
      <w:r w:rsidRPr="001244BB">
        <w:t xml:space="preserve">, précité, §§ 57-60, </w:t>
      </w:r>
      <w:r w:rsidRPr="001244BB">
        <w:rPr>
          <w:i/>
        </w:rPr>
        <w:t>Soulas et autres c. France</w:t>
      </w:r>
      <w:r w:rsidRPr="001244BB">
        <w:t>, n</w:t>
      </w:r>
      <w:r w:rsidRPr="001244BB">
        <w:rPr>
          <w:vertAlign w:val="superscript"/>
        </w:rPr>
        <w:t>o</w:t>
      </w:r>
      <w:r w:rsidRPr="001244BB">
        <w:t xml:space="preserve"> 15948/03, §§ 38-39, 10 juillet 2008, et</w:t>
      </w:r>
      <w:r w:rsidRPr="001244BB">
        <w:rPr>
          <w:i/>
        </w:rPr>
        <w:t xml:space="preserve"> </w:t>
      </w:r>
      <w:proofErr w:type="spellStart"/>
      <w:r w:rsidRPr="001244BB">
        <w:rPr>
          <w:i/>
        </w:rPr>
        <w:t>Balsytė-Lideikienė</w:t>
      </w:r>
      <w:proofErr w:type="spellEnd"/>
      <w:r w:rsidRPr="001244BB">
        <w:rPr>
          <w:i/>
        </w:rPr>
        <w:t xml:space="preserve"> c. Lituanie</w:t>
      </w:r>
      <w:r w:rsidRPr="001244BB">
        <w:t xml:space="preserve">, </w:t>
      </w:r>
      <w:r w:rsidRPr="001244BB">
        <w:rPr>
          <w:lang w:val="pt-PT"/>
        </w:rPr>
        <w:t>n</w:t>
      </w:r>
      <w:r w:rsidRPr="001244BB">
        <w:rPr>
          <w:vertAlign w:val="superscript"/>
          <w:lang w:val="pt-PT"/>
        </w:rPr>
        <w:t>o</w:t>
      </w:r>
      <w:r w:rsidRPr="001244BB">
        <w:t xml:space="preserve"> 72596/01, § 78, 4 novembre 2008) ; la question de savoir si les propos, correctement interprétés et appréciés dans leur contexte immédiat ou plus général, peuvent passer pour un appel direct ou indirect à la violence ou pour une justification de la violence, de la haine ou de l</w:t>
      </w:r>
      <w:r w:rsidRPr="001244BB" w:rsidR="001244BB">
        <w:t>’</w:t>
      </w:r>
      <w:r w:rsidRPr="001244BB">
        <w:t xml:space="preserve">intolérance (voir, entre autres, </w:t>
      </w:r>
      <w:proofErr w:type="spellStart"/>
      <w:r w:rsidRPr="001244BB">
        <w:rPr>
          <w:i/>
          <w:lang w:val="pt-PT"/>
        </w:rPr>
        <w:t>Özgür</w:t>
      </w:r>
      <w:proofErr w:type="spellEnd"/>
      <w:r w:rsidRPr="001244BB">
        <w:rPr>
          <w:i/>
          <w:lang w:val="pt-PT"/>
        </w:rPr>
        <w:t xml:space="preserve"> </w:t>
      </w:r>
      <w:proofErr w:type="spellStart"/>
      <w:r w:rsidRPr="001244BB">
        <w:rPr>
          <w:i/>
          <w:lang w:val="pt-PT"/>
        </w:rPr>
        <w:t>Gündem</w:t>
      </w:r>
      <w:proofErr w:type="spellEnd"/>
      <w:r w:rsidRPr="001244BB">
        <w:rPr>
          <w:i/>
          <w:lang w:val="pt-PT"/>
        </w:rPr>
        <w:t xml:space="preserve"> c. </w:t>
      </w:r>
      <w:proofErr w:type="spellStart"/>
      <w:r w:rsidRPr="001244BB">
        <w:rPr>
          <w:i/>
          <w:lang w:val="pt-PT"/>
        </w:rPr>
        <w:t>Turquie</w:t>
      </w:r>
      <w:proofErr w:type="spellEnd"/>
      <w:r w:rsidRPr="001244BB">
        <w:rPr>
          <w:lang w:val="pt-PT"/>
        </w:rPr>
        <w:t>, n</w:t>
      </w:r>
      <w:r w:rsidRPr="001244BB">
        <w:rPr>
          <w:vertAlign w:val="superscript"/>
          <w:lang w:val="pt-PT"/>
        </w:rPr>
        <w:t>o</w:t>
      </w:r>
      <w:r w:rsidRPr="001244BB">
        <w:rPr>
          <w:lang w:val="pt-PT"/>
        </w:rPr>
        <w:t xml:space="preserve"> 23144/93, § 64, CEDH 2000</w:t>
      </w:r>
      <w:r w:rsidRPr="001244BB">
        <w:rPr>
          <w:lang w:val="pt-PT"/>
        </w:rPr>
        <w:noBreakHyphen/>
        <w:t>III,</w:t>
      </w:r>
      <w:r w:rsidRPr="001244BB">
        <w:t xml:space="preserve"> </w:t>
      </w:r>
      <w:r w:rsidRPr="001244BB">
        <w:rPr>
          <w:i/>
        </w:rPr>
        <w:t>Féret c. Belgique</w:t>
      </w:r>
      <w:r w:rsidRPr="001244BB">
        <w:t>, n</w:t>
      </w:r>
      <w:r w:rsidRPr="001244BB">
        <w:rPr>
          <w:vertAlign w:val="superscript"/>
        </w:rPr>
        <w:t>o</w:t>
      </w:r>
      <w:r w:rsidRPr="001244BB">
        <w:t xml:space="preserve"> 15615/07, §§ 69-73 et 78, 16 juillet 2009,</w:t>
      </w:r>
      <w:r w:rsidRPr="001244BB">
        <w:rPr>
          <w:i/>
        </w:rPr>
        <w:t xml:space="preserve"> </w:t>
      </w:r>
      <w:r w:rsidRPr="001244BB">
        <w:t>et</w:t>
      </w:r>
      <w:r w:rsidRPr="001244BB" w:rsidR="00C744A9">
        <w:rPr>
          <w:i/>
        </w:rPr>
        <w:t xml:space="preserve"> </w:t>
      </w:r>
      <w:proofErr w:type="spellStart"/>
      <w:r w:rsidRPr="001244BB" w:rsidR="00C744A9">
        <w:rPr>
          <w:i/>
        </w:rPr>
        <w:t>Fáber</w:t>
      </w:r>
      <w:proofErr w:type="spellEnd"/>
      <w:r w:rsidRPr="001244BB" w:rsidR="00C744A9">
        <w:rPr>
          <w:i/>
        </w:rPr>
        <w:t xml:space="preserve"> c. </w:t>
      </w:r>
      <w:r w:rsidRPr="001244BB">
        <w:rPr>
          <w:i/>
        </w:rPr>
        <w:t>Hongrie</w:t>
      </w:r>
      <w:r w:rsidRPr="001244BB">
        <w:t xml:space="preserve">, </w:t>
      </w:r>
      <w:r w:rsidRPr="001244BB">
        <w:rPr>
          <w:lang w:val="pt-PT"/>
        </w:rPr>
        <w:t>n</w:t>
      </w:r>
      <w:r w:rsidRPr="001244BB">
        <w:rPr>
          <w:vertAlign w:val="superscript"/>
          <w:lang w:val="pt-PT"/>
        </w:rPr>
        <w:t>o</w:t>
      </w:r>
      <w:r w:rsidRPr="001244BB">
        <w:t xml:space="preserve"> 40721/08, §§ 52 et 56-58, 24 juillet 2012</w:t>
      </w:r>
      <w:r w:rsidRPr="001244BB">
        <w:rPr>
          <w:lang w:val="it-IT"/>
        </w:rPr>
        <w:t xml:space="preserve">) ; et </w:t>
      </w:r>
      <w:r w:rsidRPr="001244BB">
        <w:t>la manière dont les propos ont été formulés et leur capacité – directe ou indirecte – à nuire (</w:t>
      </w:r>
      <w:proofErr w:type="spellStart"/>
      <w:r w:rsidRPr="001244BB">
        <w:rPr>
          <w:i/>
        </w:rPr>
        <w:t>Karataş</w:t>
      </w:r>
      <w:proofErr w:type="spellEnd"/>
      <w:r w:rsidRPr="001244BB">
        <w:rPr>
          <w:i/>
        </w:rPr>
        <w:t xml:space="preserve"> c. Turquie</w:t>
      </w:r>
      <w:r w:rsidRPr="001244BB">
        <w:t xml:space="preserve"> ([GC], </w:t>
      </w:r>
      <w:r w:rsidRPr="001244BB">
        <w:rPr>
          <w:lang w:val="pt-PT"/>
        </w:rPr>
        <w:t>n</w:t>
      </w:r>
      <w:r w:rsidRPr="001244BB">
        <w:rPr>
          <w:vertAlign w:val="superscript"/>
          <w:lang w:val="pt-PT"/>
        </w:rPr>
        <w:t>o</w:t>
      </w:r>
      <w:r w:rsidRPr="001244BB">
        <w:t xml:space="preserve"> 23168/94, §§ 51-52, CEDH 1999-IV, et </w:t>
      </w:r>
      <w:proofErr w:type="spellStart"/>
      <w:r w:rsidRPr="001244BB">
        <w:rPr>
          <w:i/>
        </w:rPr>
        <w:t>Vejdeland</w:t>
      </w:r>
      <w:proofErr w:type="spellEnd"/>
      <w:r w:rsidRPr="001244BB">
        <w:rPr>
          <w:i/>
        </w:rPr>
        <w:t xml:space="preserve"> et autres c. Suède</w:t>
      </w:r>
      <w:r w:rsidRPr="001244BB">
        <w:t>, n</w:t>
      </w:r>
      <w:r w:rsidRPr="001244BB">
        <w:rPr>
          <w:vertAlign w:val="superscript"/>
        </w:rPr>
        <w:t>o</w:t>
      </w:r>
      <w:r w:rsidRPr="001244BB">
        <w:t xml:space="preserve"> 1813/07, § 56, 9 février 2012). Dans toutes les affaires ci-dessus, c</w:t>
      </w:r>
      <w:r w:rsidRPr="001244BB" w:rsidR="001244BB">
        <w:t>’</w:t>
      </w:r>
      <w:r w:rsidRPr="001244BB">
        <w:t>est la conjonction de ces différents facteurs plutôt que l</w:t>
      </w:r>
      <w:r w:rsidRPr="001244BB" w:rsidR="001244BB">
        <w:t>’</w:t>
      </w:r>
      <w:r w:rsidRPr="001244BB">
        <w:t>un d</w:t>
      </w:r>
      <w:r w:rsidRPr="001244BB" w:rsidR="001244BB">
        <w:t>’</w:t>
      </w:r>
      <w:r w:rsidRPr="001244BB">
        <w:t>eux pris isolément qui a joué un rôle déterminant dans l</w:t>
      </w:r>
      <w:r w:rsidRPr="001244BB" w:rsidR="001244BB">
        <w:t>’</w:t>
      </w:r>
      <w:r w:rsidRPr="001244BB">
        <w:t>issue du litige. On peut donc dire que la Cour aborde ce type d</w:t>
      </w:r>
      <w:r w:rsidRPr="001244BB" w:rsidR="001244BB">
        <w:t>’</w:t>
      </w:r>
      <w:r w:rsidRPr="001244BB">
        <w:t>affaires en tenant éminemment compte du contexte (</w:t>
      </w:r>
      <w:proofErr w:type="spellStart"/>
      <w:r w:rsidRPr="001244BB">
        <w:rPr>
          <w:i/>
          <w:lang w:val="pt-PT"/>
        </w:rPr>
        <w:t>Perinçek</w:t>
      </w:r>
      <w:proofErr w:type="spellEnd"/>
      <w:r w:rsidRPr="001244BB">
        <w:rPr>
          <w:lang w:val="pt-PT"/>
        </w:rPr>
        <w:t xml:space="preserve">, </w:t>
      </w:r>
      <w:proofErr w:type="spellStart"/>
      <w:r w:rsidRPr="001244BB">
        <w:rPr>
          <w:lang w:val="pt-PT"/>
        </w:rPr>
        <w:t>précité</w:t>
      </w:r>
      <w:proofErr w:type="spellEnd"/>
      <w:r w:rsidRPr="001244BB">
        <w:rPr>
          <w:lang w:val="pt-PT"/>
        </w:rPr>
        <w:t>, § 208</w:t>
      </w:r>
      <w:r w:rsidRPr="001244BB">
        <w:t>). Aussi, en l</w:t>
      </w:r>
      <w:r w:rsidRPr="001244BB" w:rsidR="001244BB">
        <w:t>’</w:t>
      </w:r>
      <w:r w:rsidRPr="001244BB">
        <w:t>espèce, la Cour examinera-t-elle avec une attention particulière, à la lumière des critères susmentionnés, les termes employés dans l</w:t>
      </w:r>
      <w:r w:rsidRPr="001244BB" w:rsidR="001244BB">
        <w:t>’</w:t>
      </w:r>
      <w:r w:rsidRPr="001244BB">
        <w:t>article litigieux, le contexte de sa publication et sa capacité à nuire.</w:t>
      </w:r>
    </w:p>
    <w:p w:rsidRPr="001244BB" w:rsidR="003F4D18" w:rsidP="001244BB" w:rsidRDefault="003F4D18">
      <w:pPr>
        <w:pStyle w:val="JuPara"/>
      </w:pPr>
      <w:r w:rsidRPr="001244BB">
        <w:fldChar w:fldCharType="begin"/>
      </w:r>
      <w:r w:rsidRPr="001244BB">
        <w:instrText xml:space="preserve"> SEQ level0 \*arabic </w:instrText>
      </w:r>
      <w:r w:rsidRPr="001244BB">
        <w:fldChar w:fldCharType="separate"/>
      </w:r>
      <w:r w:rsidRPr="001244BB" w:rsidR="001244BB">
        <w:rPr>
          <w:noProof/>
        </w:rPr>
        <w:t>32</w:t>
      </w:r>
      <w:r w:rsidRPr="001244BB">
        <w:fldChar w:fldCharType="end"/>
      </w:r>
      <w:r w:rsidRPr="001244BB">
        <w:t>.  Elle note que, dans la présente affaire, à l</w:t>
      </w:r>
      <w:r w:rsidRPr="001244BB" w:rsidR="001244BB">
        <w:t>’</w:t>
      </w:r>
      <w:r w:rsidRPr="001244BB">
        <w:t>origine de la condamnation pénale du requérant se trouve la publication dans le périodique dont il était le rédacteur en chef à l</w:t>
      </w:r>
      <w:r w:rsidRPr="001244BB" w:rsidR="001244BB">
        <w:t>’</w:t>
      </w:r>
      <w:r w:rsidRPr="001244BB">
        <w:t>époque des faits d</w:t>
      </w:r>
      <w:r w:rsidRPr="001244BB" w:rsidR="001244BB">
        <w:t>’</w:t>
      </w:r>
      <w:r w:rsidRPr="001244BB">
        <w:t xml:space="preserve">un article portant sur les événements de </w:t>
      </w:r>
      <w:proofErr w:type="spellStart"/>
      <w:r w:rsidRPr="001244BB">
        <w:rPr>
          <w:rFonts w:cstheme="minorHAnsi"/>
        </w:rPr>
        <w:t>Kızıldere</w:t>
      </w:r>
      <w:proofErr w:type="spellEnd"/>
      <w:r w:rsidRPr="001244BB">
        <w:rPr>
          <w:rFonts w:cstheme="minorHAnsi"/>
        </w:rPr>
        <w:t xml:space="preserve"> et sur les auteurs principaux de ces événements. </w:t>
      </w:r>
      <w:r w:rsidRPr="001244BB">
        <w:t>À cet égard, elle note tout d</w:t>
      </w:r>
      <w:r w:rsidRPr="001244BB" w:rsidR="001244BB">
        <w:t>’</w:t>
      </w:r>
      <w:r w:rsidRPr="001244BB">
        <w:t>abord que l</w:t>
      </w:r>
      <w:r w:rsidRPr="001244BB" w:rsidR="001244BB">
        <w:t>’</w:t>
      </w:r>
      <w:r w:rsidRPr="001244BB">
        <w:t>écrit litigieux a été publié à l</w:t>
      </w:r>
      <w:r w:rsidRPr="001244BB" w:rsidR="001244BB">
        <w:t>’</w:t>
      </w:r>
      <w:r w:rsidRPr="001244BB">
        <w:t>occasion du trente-cinquième anniversaire de ces événements dans un périodique local qui était distribué à Tokat, la province où ces événements avaient eu lieu. Elle estime que, vu la sensibilité d</w:t>
      </w:r>
      <w:r w:rsidRPr="001244BB" w:rsidR="001244BB">
        <w:t>’</w:t>
      </w:r>
      <w:r w:rsidRPr="001244BB">
        <w:t>une partie de la société turque à l</w:t>
      </w:r>
      <w:r w:rsidRPr="001244BB" w:rsidR="001244BB">
        <w:t>’</w:t>
      </w:r>
      <w:r w:rsidRPr="001244BB">
        <w:t>égard de ces événements, qui était susceptible d</w:t>
      </w:r>
      <w:r w:rsidRPr="001244BB" w:rsidR="001244BB">
        <w:t>’</w:t>
      </w:r>
      <w:r w:rsidRPr="001244BB">
        <w:t>être accrue chez la population vivant à Tokat en raison de la proximité géographique du lieu des incidents et de la date de la publication de l</w:t>
      </w:r>
      <w:r w:rsidRPr="001244BB" w:rsidR="001244BB">
        <w:t>’</w:t>
      </w:r>
      <w:r w:rsidRPr="001244BB">
        <w:t>article litigieux, qui correspondait à l</w:t>
      </w:r>
      <w:r w:rsidRPr="001244BB" w:rsidR="001244BB">
        <w:t>’</w:t>
      </w:r>
      <w:r w:rsidRPr="001244BB">
        <w:t>anniversaire de ces événements à l</w:t>
      </w:r>
      <w:r w:rsidRPr="001244BB" w:rsidR="001244BB">
        <w:t>’</w:t>
      </w:r>
      <w:r w:rsidRPr="001244BB">
        <w:t>occasion duquel des commémorations étaient organisées (paragraphe 9 ci-dessus), cette publication peut être considérée comme s</w:t>
      </w:r>
      <w:r w:rsidRPr="001244BB" w:rsidR="001244BB">
        <w:t>’</w:t>
      </w:r>
      <w:r w:rsidRPr="001244BB">
        <w:t>inscrivant plutôt dans un contexte social tendu.</w:t>
      </w:r>
    </w:p>
    <w:p w:rsidRPr="001244BB" w:rsidR="003F4D18" w:rsidP="001244BB" w:rsidRDefault="003F4D18">
      <w:pPr>
        <w:pStyle w:val="JuPara"/>
      </w:pPr>
      <w:r w:rsidRPr="001244BB">
        <w:fldChar w:fldCharType="begin"/>
      </w:r>
      <w:r w:rsidRPr="001244BB">
        <w:instrText xml:space="preserve"> SEQ level0 \*arabic </w:instrText>
      </w:r>
      <w:r w:rsidRPr="001244BB">
        <w:fldChar w:fldCharType="separate"/>
      </w:r>
      <w:r w:rsidRPr="001244BB" w:rsidR="001244BB">
        <w:rPr>
          <w:noProof/>
        </w:rPr>
        <w:t>33</w:t>
      </w:r>
      <w:r w:rsidRPr="001244BB">
        <w:fldChar w:fldCharType="end"/>
      </w:r>
      <w:r w:rsidRPr="001244BB">
        <w:t>.  Quant au contenu de l</w:t>
      </w:r>
      <w:r w:rsidRPr="001244BB" w:rsidR="001244BB">
        <w:t>’</w:t>
      </w:r>
      <w:r w:rsidRPr="001244BB">
        <w:t>article litigieux, elle observe qu</w:t>
      </w:r>
      <w:r w:rsidRPr="001244BB" w:rsidR="001244BB">
        <w:t>’</w:t>
      </w:r>
      <w:r w:rsidRPr="001244BB">
        <w:t>il relatait les actes violents commis par « M.</w:t>
      </w:r>
      <w:r w:rsidRPr="001244BB">
        <w:rPr>
          <w:rFonts w:cstheme="minorHAnsi"/>
        </w:rPr>
        <w:t>Ç.</w:t>
      </w:r>
      <w:r w:rsidRPr="001244BB">
        <w:t xml:space="preserve"> et ses amis », individus membres à l</w:t>
      </w:r>
      <w:r w:rsidRPr="001244BB" w:rsidR="001244BB">
        <w:t>’</w:t>
      </w:r>
      <w:r w:rsidRPr="001244BB">
        <w:t>époque des faits d</w:t>
      </w:r>
      <w:r w:rsidRPr="001244BB" w:rsidR="001244BB">
        <w:t>’</w:t>
      </w:r>
      <w:r w:rsidRPr="001244BB">
        <w:t>organisations illégales, à savoir, d</w:t>
      </w:r>
      <w:r w:rsidRPr="001244BB" w:rsidR="001244BB">
        <w:t>’</w:t>
      </w:r>
      <w:r w:rsidRPr="001244BB">
        <w:t>une part, l</w:t>
      </w:r>
      <w:r w:rsidRPr="001244BB" w:rsidR="001244BB">
        <w:t>’</w:t>
      </w:r>
      <w:r w:rsidRPr="001244BB">
        <w:t>enlèvement de trois personnes de nationalité britannique employées sur une base militaire aux fins d</w:t>
      </w:r>
      <w:r w:rsidRPr="001244BB" w:rsidR="001244BB">
        <w:t>’</w:t>
      </w:r>
      <w:r w:rsidRPr="001244BB">
        <w:t>obtention de l</w:t>
      </w:r>
      <w:r w:rsidRPr="001244BB" w:rsidR="001244BB">
        <w:t>’</w:t>
      </w:r>
      <w:r w:rsidRPr="001244BB">
        <w:t>annulation de l</w:t>
      </w:r>
      <w:r w:rsidRPr="001244BB" w:rsidR="001244BB">
        <w:t>’</w:t>
      </w:r>
      <w:r w:rsidRPr="001244BB">
        <w:t>exécution de trois personnes condamnées à la peine de mort par des tribunaux pénaux et, d</w:t>
      </w:r>
      <w:r w:rsidRPr="001244BB" w:rsidR="001244BB">
        <w:t>’</w:t>
      </w:r>
      <w:r w:rsidRPr="001244BB">
        <w:t>autre part, l</w:t>
      </w:r>
      <w:r w:rsidRPr="001244BB" w:rsidR="001244BB">
        <w:t>’</w:t>
      </w:r>
      <w:r w:rsidRPr="001244BB">
        <w:t>affrontement armé qui avait eu lieu avec les forces de sécurité de l</w:t>
      </w:r>
      <w:r w:rsidRPr="001244BB" w:rsidR="001244BB">
        <w:t>’</w:t>
      </w:r>
      <w:r w:rsidRPr="001244BB">
        <w:t>État, lesquelles demandaient la libération des otages et l</w:t>
      </w:r>
      <w:r w:rsidRPr="001244BB" w:rsidR="001244BB">
        <w:t>’</w:t>
      </w:r>
      <w:r w:rsidRPr="001244BB">
        <w:t>arrêt de l</w:t>
      </w:r>
      <w:r w:rsidRPr="001244BB" w:rsidR="001244BB">
        <w:t>’</w:t>
      </w:r>
      <w:r w:rsidRPr="001244BB">
        <w:t>action entamée par les ravisseurs. Elle note que cet article présente, dans des termes approbatifs, ces actes comme des comportements héroïques adoptés par des « jeunes révolutionnaires », qui auraient valu à leurs auteurs d</w:t>
      </w:r>
      <w:r w:rsidRPr="001244BB" w:rsidR="001244BB">
        <w:t>’</w:t>
      </w:r>
      <w:r w:rsidRPr="001244BB">
        <w:t>être « les idoles de la jeunesse », et qualifie le décès de la plupart de ces derniers, à l</w:t>
      </w:r>
      <w:r w:rsidRPr="001244BB" w:rsidR="001244BB">
        <w:t>’</w:t>
      </w:r>
      <w:r w:rsidRPr="001244BB">
        <w:t>issue de l</w:t>
      </w:r>
      <w:r w:rsidRPr="001244BB" w:rsidR="001244BB">
        <w:t>’</w:t>
      </w:r>
      <w:r w:rsidRPr="001244BB">
        <w:t>affrontement armé qui avait eu lieu entre eux et les forces de l</w:t>
      </w:r>
      <w:r w:rsidRPr="001244BB" w:rsidR="001244BB">
        <w:t>’</w:t>
      </w:r>
      <w:r w:rsidRPr="001244BB">
        <w:t>ordre, de « massacre » (paragraphe 6 ci-dessus). Selon la Cour, il est incontestable que,</w:t>
      </w:r>
      <w:r w:rsidRPr="001244BB">
        <w:rPr>
          <w:rFonts w:cstheme="minorHAnsi"/>
        </w:rPr>
        <w:t xml:space="preserve"> nonobstant leur but, susceptible d</w:t>
      </w:r>
      <w:r w:rsidRPr="001244BB" w:rsidR="001244BB">
        <w:rPr>
          <w:rFonts w:cstheme="minorHAnsi"/>
        </w:rPr>
        <w:t>’</w:t>
      </w:r>
      <w:r w:rsidRPr="001244BB">
        <w:rPr>
          <w:rFonts w:cstheme="minorHAnsi"/>
        </w:rPr>
        <w:t>être considéré comme légitime par certains, qui était d</w:t>
      </w:r>
      <w:r w:rsidRPr="001244BB" w:rsidR="001244BB">
        <w:rPr>
          <w:rFonts w:cstheme="minorHAnsi"/>
        </w:rPr>
        <w:t>’</w:t>
      </w:r>
      <w:r w:rsidRPr="001244BB">
        <w:rPr>
          <w:rFonts w:cstheme="minorHAnsi"/>
        </w:rPr>
        <w:t>empêcher l</w:t>
      </w:r>
      <w:r w:rsidRPr="001244BB" w:rsidR="001244BB">
        <w:rPr>
          <w:rFonts w:cstheme="minorHAnsi"/>
        </w:rPr>
        <w:t>’</w:t>
      </w:r>
      <w:r w:rsidRPr="001244BB">
        <w:rPr>
          <w:rFonts w:cstheme="minorHAnsi"/>
        </w:rPr>
        <w:t>exécution de leurs amis,</w:t>
      </w:r>
      <w:r w:rsidRPr="001244BB">
        <w:t xml:space="preserve"> les actes commis par les auteurs des événements de</w:t>
      </w:r>
      <w:r w:rsidRPr="001244BB">
        <w:rPr>
          <w:rFonts w:cstheme="minorHAnsi"/>
        </w:rPr>
        <w:t xml:space="preserve"> </w:t>
      </w:r>
      <w:proofErr w:type="spellStart"/>
      <w:r w:rsidRPr="001244BB">
        <w:rPr>
          <w:rFonts w:cstheme="minorHAnsi"/>
        </w:rPr>
        <w:t>Kızıldere</w:t>
      </w:r>
      <w:proofErr w:type="spellEnd"/>
      <w:r w:rsidRPr="001244BB">
        <w:rPr>
          <w:rFonts w:cstheme="minorHAnsi"/>
        </w:rPr>
        <w:t xml:space="preserve"> contre les personnes enlevées, qui d</w:t>
      </w:r>
      <w:r w:rsidRPr="001244BB" w:rsidR="001244BB">
        <w:rPr>
          <w:rFonts w:cstheme="minorHAnsi"/>
        </w:rPr>
        <w:t>’</w:t>
      </w:r>
      <w:r w:rsidRPr="001244BB">
        <w:rPr>
          <w:rFonts w:cstheme="minorHAnsi"/>
        </w:rPr>
        <w:t>ailleurs ont été exécutées par leurs ravisseurs durant ces événements (paragraphe 8 ci-dessus), et contre les forces de l</w:t>
      </w:r>
      <w:r w:rsidRPr="001244BB" w:rsidR="001244BB">
        <w:rPr>
          <w:rFonts w:cstheme="minorHAnsi"/>
        </w:rPr>
        <w:t>’</w:t>
      </w:r>
      <w:r w:rsidRPr="001244BB">
        <w:rPr>
          <w:rFonts w:cstheme="minorHAnsi"/>
        </w:rPr>
        <w:t>ordre peuvent être clairement qualifiés de violents. Dès lors, la Cour estime que l</w:t>
      </w:r>
      <w:r w:rsidRPr="001244BB">
        <w:t>es expressions utilisées dans l</w:t>
      </w:r>
      <w:r w:rsidRPr="001244BB" w:rsidR="001244BB">
        <w:t>’</w:t>
      </w:r>
      <w:r w:rsidRPr="001244BB">
        <w:t>article litigieux à l</w:t>
      </w:r>
      <w:r w:rsidRPr="001244BB" w:rsidR="001244BB">
        <w:t>’</w:t>
      </w:r>
      <w:r w:rsidRPr="001244BB">
        <w:t>endroit de « M.</w:t>
      </w:r>
      <w:r w:rsidRPr="001244BB">
        <w:rPr>
          <w:rFonts w:cstheme="minorHAnsi"/>
        </w:rPr>
        <w:t>Ç.</w:t>
      </w:r>
      <w:r w:rsidRPr="001244BB">
        <w:t xml:space="preserve"> et ses amis » et de leurs actes s</w:t>
      </w:r>
      <w:r w:rsidRPr="001244BB" w:rsidR="001244BB">
        <w:t>’</w:t>
      </w:r>
      <w:r w:rsidRPr="001244BB">
        <w:t>analysaient en une apologie ou, à tout le moins, une justification de la violence.</w:t>
      </w:r>
    </w:p>
    <w:p w:rsidRPr="001244BB" w:rsidR="003F4D18" w:rsidP="001244BB" w:rsidRDefault="003F4D18">
      <w:pPr>
        <w:pStyle w:val="JuPara"/>
      </w:pPr>
      <w:r w:rsidRPr="001244BB">
        <w:fldChar w:fldCharType="begin"/>
      </w:r>
      <w:r w:rsidRPr="001244BB">
        <w:instrText xml:space="preserve"> SEQ level0 \*arabic </w:instrText>
      </w:r>
      <w:r w:rsidRPr="001244BB">
        <w:fldChar w:fldCharType="separate"/>
      </w:r>
      <w:r w:rsidRPr="001244BB" w:rsidR="001244BB">
        <w:rPr>
          <w:noProof/>
        </w:rPr>
        <w:t>34</w:t>
      </w:r>
      <w:r w:rsidRPr="001244BB">
        <w:fldChar w:fldCharType="end"/>
      </w:r>
      <w:r w:rsidRPr="001244BB">
        <w:t>.  Elle considère en outre qu</w:t>
      </w:r>
      <w:r w:rsidRPr="001244BB" w:rsidR="001244BB">
        <w:t>’</w:t>
      </w:r>
      <w:r w:rsidRPr="001244BB">
        <w:t>en l</w:t>
      </w:r>
      <w:r w:rsidRPr="001244BB" w:rsidR="001244BB">
        <w:t>’</w:t>
      </w:r>
      <w:r w:rsidRPr="001244BB">
        <w:t>espèce il ne fallait pas minimiser le risque que de tels écrits pussent encourager ou pousser certains jeunes, notamment les membres ou sympathisants de certaines organisations illégales, à la commission d</w:t>
      </w:r>
      <w:r w:rsidRPr="001244BB" w:rsidR="001244BB">
        <w:t>’</w:t>
      </w:r>
      <w:r w:rsidRPr="001244BB">
        <w:t>actes violents similaires à ceux commis par « M.</w:t>
      </w:r>
      <w:r w:rsidRPr="001244BB">
        <w:rPr>
          <w:rFonts w:cstheme="minorHAnsi"/>
        </w:rPr>
        <w:t>Ç.</w:t>
      </w:r>
      <w:r w:rsidRPr="001244BB">
        <w:t xml:space="preserve"> et ses amis » à </w:t>
      </w:r>
      <w:proofErr w:type="spellStart"/>
      <w:r w:rsidRPr="001244BB">
        <w:rPr>
          <w:rFonts w:cstheme="minorHAnsi"/>
        </w:rPr>
        <w:t>Kızıldere</w:t>
      </w:r>
      <w:proofErr w:type="spellEnd"/>
      <w:r w:rsidRPr="001244BB">
        <w:rPr>
          <w:rFonts w:cstheme="minorHAnsi"/>
        </w:rPr>
        <w:t xml:space="preserve"> afin qu</w:t>
      </w:r>
      <w:r w:rsidRPr="001244BB" w:rsidR="001244BB">
        <w:rPr>
          <w:rFonts w:cstheme="minorHAnsi"/>
        </w:rPr>
        <w:t>’</w:t>
      </w:r>
      <w:r w:rsidRPr="001244BB">
        <w:rPr>
          <w:rFonts w:cstheme="minorHAnsi"/>
        </w:rPr>
        <w:t>ils devinssent eux aussi « les idoles de la jeunesse »</w:t>
      </w:r>
      <w:r w:rsidRPr="001244BB">
        <w:t>. En effet, elle relève que les expressions utilisées dans l</w:t>
      </w:r>
      <w:r w:rsidRPr="001244BB" w:rsidR="001244BB">
        <w:t>’</w:t>
      </w:r>
      <w:r w:rsidRPr="001244BB">
        <w:t>article litigieux donnent l</w:t>
      </w:r>
      <w:r w:rsidRPr="001244BB" w:rsidR="001244BB">
        <w:t>’</w:t>
      </w:r>
      <w:r w:rsidRPr="001244BB">
        <w:t>impression à l</w:t>
      </w:r>
      <w:r w:rsidRPr="001244BB" w:rsidR="001244BB">
        <w:t>’</w:t>
      </w:r>
      <w:r w:rsidRPr="001244BB">
        <w:t>opinion publique, et en particulier aux personnes partageant les opinions politiques proches de celles prônées par « M.</w:t>
      </w:r>
      <w:r w:rsidRPr="001244BB">
        <w:rPr>
          <w:rFonts w:cstheme="minorHAnsi"/>
        </w:rPr>
        <w:t>Ç.</w:t>
      </w:r>
      <w:r w:rsidRPr="001244BB">
        <w:t xml:space="preserve"> et ses amis », que, afin de parvenir à un but que ces personnes considèrent comme légitime dans le cadre de leur idéologie, le recours à la violence peut être nécessaire et justifié (voir, pour une approche similaire, </w:t>
      </w:r>
      <w:r w:rsidRPr="001244BB">
        <w:rPr>
          <w:i/>
        </w:rPr>
        <w:t>Kaya c. Turquie</w:t>
      </w:r>
      <w:r w:rsidRPr="001244BB">
        <w:t xml:space="preserve"> (déc.), n</w:t>
      </w:r>
      <w:r w:rsidRPr="001244BB">
        <w:rPr>
          <w:vertAlign w:val="superscript"/>
        </w:rPr>
        <w:t>o</w:t>
      </w:r>
      <w:r w:rsidRPr="001244BB">
        <w:t xml:space="preserve"> 6250/02, 22 mars 2007, et</w:t>
      </w:r>
      <w:r w:rsidRPr="001244BB">
        <w:rPr>
          <w:i/>
        </w:rPr>
        <w:t xml:space="preserve"> </w:t>
      </w:r>
      <w:proofErr w:type="spellStart"/>
      <w:r w:rsidRPr="001244BB">
        <w:rPr>
          <w:i/>
        </w:rPr>
        <w:t>Gürbüz</w:t>
      </w:r>
      <w:proofErr w:type="spellEnd"/>
      <w:r w:rsidRPr="001244BB">
        <w:rPr>
          <w:i/>
        </w:rPr>
        <w:t xml:space="preserve"> et Bayar</w:t>
      </w:r>
      <w:r w:rsidRPr="001244BB">
        <w:t>, précité, § 43).</w:t>
      </w:r>
    </w:p>
    <w:p w:rsidRPr="001244BB" w:rsidR="003F4D18" w:rsidP="001244BB" w:rsidRDefault="003F4D18">
      <w:pPr>
        <w:pStyle w:val="JuPara"/>
      </w:pPr>
      <w:r w:rsidRPr="001244BB">
        <w:fldChar w:fldCharType="begin"/>
      </w:r>
      <w:r w:rsidRPr="001244BB">
        <w:instrText xml:space="preserve"> SEQ level0 \*arabic </w:instrText>
      </w:r>
      <w:r w:rsidRPr="001244BB">
        <w:fldChar w:fldCharType="separate"/>
      </w:r>
      <w:r w:rsidRPr="001244BB" w:rsidR="001244BB">
        <w:rPr>
          <w:noProof/>
        </w:rPr>
        <w:t>35</w:t>
      </w:r>
      <w:r w:rsidRPr="001244BB">
        <w:fldChar w:fldCharType="end"/>
      </w:r>
      <w:r w:rsidRPr="001244BB">
        <w:t>.  Eu égard à ce qui précède et à la marge d</w:t>
      </w:r>
      <w:r w:rsidRPr="001244BB" w:rsidR="001244BB">
        <w:t>’</w:t>
      </w:r>
      <w:r w:rsidRPr="001244BB">
        <w:t>appréciation dont jouissent les autorités nationales en pareil cas (</w:t>
      </w:r>
      <w:proofErr w:type="spellStart"/>
      <w:r w:rsidRPr="001244BB">
        <w:rPr>
          <w:i/>
        </w:rPr>
        <w:t>Sürek</w:t>
      </w:r>
      <w:proofErr w:type="spellEnd"/>
      <w:r w:rsidRPr="001244BB">
        <w:rPr>
          <w:i/>
        </w:rPr>
        <w:t xml:space="preserve"> (n</w:t>
      </w:r>
      <w:r w:rsidRPr="001244BB">
        <w:rPr>
          <w:i/>
          <w:vertAlign w:val="superscript"/>
        </w:rPr>
        <w:t>o</w:t>
      </w:r>
      <w:r w:rsidRPr="001244BB">
        <w:rPr>
          <w:i/>
        </w:rPr>
        <w:t xml:space="preserve"> 1)</w:t>
      </w:r>
      <w:r w:rsidRPr="001244BB">
        <w:t>, précité, § 65) et compte tenu du montant raisonnable de l</w:t>
      </w:r>
      <w:r w:rsidRPr="001244BB" w:rsidR="001244BB">
        <w:t>’</w:t>
      </w:r>
      <w:r w:rsidRPr="001244BB">
        <w:t>amende judiciaire infligée au requérant à l</w:t>
      </w:r>
      <w:r w:rsidRPr="001244BB" w:rsidR="001244BB">
        <w:t>’</w:t>
      </w:r>
      <w:r w:rsidRPr="001244BB">
        <w:t>issue de la procédure pénale diligentée contre lui, la Cour estime que l</w:t>
      </w:r>
      <w:r w:rsidRPr="001244BB" w:rsidR="001244BB">
        <w:t>’</w:t>
      </w:r>
      <w:r w:rsidRPr="001244BB">
        <w:t>ingérence litigieuse ne peut être considérée comme incompatible avec l</w:t>
      </w:r>
      <w:r w:rsidRPr="001244BB" w:rsidR="001244BB">
        <w:t>’</w:t>
      </w:r>
      <w:r w:rsidRPr="001244BB">
        <w:t>article 10 § 2 de la Convention et disproportionnée aux buts légitimes poursuivis (</w:t>
      </w:r>
      <w:proofErr w:type="spellStart"/>
      <w:r w:rsidRPr="001244BB">
        <w:rPr>
          <w:i/>
        </w:rPr>
        <w:t>Zana</w:t>
      </w:r>
      <w:proofErr w:type="spellEnd"/>
      <w:r w:rsidRPr="001244BB">
        <w:rPr>
          <w:i/>
        </w:rPr>
        <w:t xml:space="preserve">, </w:t>
      </w:r>
      <w:r w:rsidRPr="001244BB">
        <w:t>précité, § 61).</w:t>
      </w:r>
    </w:p>
    <w:p w:rsidRPr="001244BB" w:rsidR="003F4D18" w:rsidP="001244BB" w:rsidRDefault="003F4D18">
      <w:pPr>
        <w:pStyle w:val="JuPara"/>
      </w:pPr>
      <w:r w:rsidRPr="001244BB">
        <w:fldChar w:fldCharType="begin"/>
      </w:r>
      <w:r w:rsidRPr="001244BB">
        <w:instrText xml:space="preserve"> SEQ level0 \*arabic </w:instrText>
      </w:r>
      <w:r w:rsidRPr="001244BB">
        <w:fldChar w:fldCharType="separate"/>
      </w:r>
      <w:r w:rsidRPr="001244BB" w:rsidR="001244BB">
        <w:rPr>
          <w:noProof/>
        </w:rPr>
        <w:t>36</w:t>
      </w:r>
      <w:r w:rsidRPr="001244BB">
        <w:fldChar w:fldCharType="end"/>
      </w:r>
      <w:r w:rsidRPr="001244BB">
        <w:t>.  Partant, elle conclut qu</w:t>
      </w:r>
      <w:r w:rsidRPr="001244BB" w:rsidR="001244BB">
        <w:t>’</w:t>
      </w:r>
      <w:r w:rsidRPr="001244BB">
        <w:t>il n</w:t>
      </w:r>
      <w:r w:rsidRPr="001244BB" w:rsidR="001244BB">
        <w:t>’</w:t>
      </w:r>
      <w:r w:rsidRPr="001244BB">
        <w:t>y a pas eu, en l</w:t>
      </w:r>
      <w:r w:rsidRPr="001244BB" w:rsidR="001244BB">
        <w:t>’</w:t>
      </w:r>
      <w:r w:rsidRPr="001244BB">
        <w:t>espèce, violation de l</w:t>
      </w:r>
      <w:r w:rsidRPr="001244BB" w:rsidR="001244BB">
        <w:t>’</w:t>
      </w:r>
      <w:r w:rsidRPr="001244BB">
        <w:t>article 10 de la Convention.</w:t>
      </w:r>
    </w:p>
    <w:p w:rsidRPr="001244BB" w:rsidR="003F4D18" w:rsidP="001244BB" w:rsidRDefault="003F4D18">
      <w:pPr>
        <w:pStyle w:val="JuHIRoman"/>
        <w:numPr>
          <w:ilvl w:val="0"/>
          <w:numId w:val="0"/>
        </w:numPr>
      </w:pPr>
      <w:r w:rsidRPr="001244BB">
        <w:t>III.  SUR L</w:t>
      </w:r>
      <w:r w:rsidRPr="001244BB" w:rsidR="001244BB">
        <w:t>’</w:t>
      </w:r>
      <w:r w:rsidRPr="001244BB">
        <w:t>APPLICATION DE L</w:t>
      </w:r>
      <w:r w:rsidRPr="001244BB" w:rsidR="001244BB">
        <w:t>’</w:t>
      </w:r>
      <w:r w:rsidRPr="001244BB">
        <w:t>ARTICLE 41 DE LA CONVENTION</w:t>
      </w:r>
    </w:p>
    <w:p w:rsidRPr="001244BB" w:rsidR="003F4D18" w:rsidP="001244BB" w:rsidRDefault="003F4D18">
      <w:pPr>
        <w:pStyle w:val="JuPara"/>
      </w:pPr>
      <w:r w:rsidRPr="001244BB">
        <w:fldChar w:fldCharType="begin"/>
      </w:r>
      <w:r w:rsidRPr="001244BB">
        <w:instrText xml:space="preserve"> SEQ level0 \*arabic </w:instrText>
      </w:r>
      <w:r w:rsidRPr="001244BB">
        <w:fldChar w:fldCharType="separate"/>
      </w:r>
      <w:r w:rsidRPr="001244BB" w:rsidR="001244BB">
        <w:rPr>
          <w:noProof/>
        </w:rPr>
        <w:t>37</w:t>
      </w:r>
      <w:r w:rsidRPr="001244BB">
        <w:fldChar w:fldCharType="end"/>
      </w:r>
      <w:r w:rsidRPr="001244BB">
        <w:t>.  Aux termes de l</w:t>
      </w:r>
      <w:r w:rsidRPr="001244BB" w:rsidR="001244BB">
        <w:t>’</w:t>
      </w:r>
      <w:r w:rsidRPr="001244BB">
        <w:t>article 41 de la Convention,</w:t>
      </w:r>
    </w:p>
    <w:p w:rsidRPr="001244BB" w:rsidR="003F4D18" w:rsidP="001244BB" w:rsidRDefault="003F4D18">
      <w:pPr>
        <w:pStyle w:val="JuQuot"/>
        <w:keepNext/>
        <w:keepLines/>
      </w:pPr>
      <w:r w:rsidRPr="001244BB">
        <w:t>« Si la Cour déclare qu</w:t>
      </w:r>
      <w:r w:rsidRPr="001244BB" w:rsidR="001244BB">
        <w:t>’</w:t>
      </w:r>
      <w:r w:rsidRPr="001244BB">
        <w:t>il y a eu violation de la Convention ou de ses Protocoles, et si le droit interne de la Haute Partie contractante ne permet d</w:t>
      </w:r>
      <w:r w:rsidRPr="001244BB" w:rsidR="001244BB">
        <w:t>’</w:t>
      </w:r>
      <w:r w:rsidRPr="001244BB">
        <w:t>effacer qu</w:t>
      </w:r>
      <w:r w:rsidRPr="001244BB" w:rsidR="001244BB">
        <w:t>’</w:t>
      </w:r>
      <w:r w:rsidRPr="001244BB">
        <w:t>imparfaitement les conséquences de cette violation, la Cour accorde à la partie lésée, s</w:t>
      </w:r>
      <w:r w:rsidRPr="001244BB" w:rsidR="001244BB">
        <w:t>’</w:t>
      </w:r>
      <w:r w:rsidRPr="001244BB">
        <w:t>il y a lieu, une satisfaction équitable. »</w:t>
      </w:r>
    </w:p>
    <w:p w:rsidRPr="001244BB" w:rsidR="003F4D18" w:rsidP="001244BB" w:rsidRDefault="003F4D18">
      <w:pPr>
        <w:pStyle w:val="JuHA"/>
        <w:numPr>
          <w:ilvl w:val="0"/>
          <w:numId w:val="0"/>
        </w:numPr>
        <w:ind w:left="584"/>
      </w:pPr>
      <w:r w:rsidRPr="001244BB">
        <w:t>A.  Dommage</w:t>
      </w:r>
    </w:p>
    <w:p w:rsidRPr="001244BB" w:rsidR="003F4D18" w:rsidP="001244BB" w:rsidRDefault="003F4D18">
      <w:pPr>
        <w:pStyle w:val="JuPara"/>
      </w:pPr>
      <w:r w:rsidRPr="001244BB">
        <w:fldChar w:fldCharType="begin"/>
      </w:r>
      <w:r w:rsidRPr="001244BB">
        <w:instrText xml:space="preserve"> SEQ level0 \*arabic </w:instrText>
      </w:r>
      <w:r w:rsidRPr="001244BB">
        <w:fldChar w:fldCharType="separate"/>
      </w:r>
      <w:r w:rsidRPr="001244BB" w:rsidR="001244BB">
        <w:rPr>
          <w:noProof/>
        </w:rPr>
        <w:t>38</w:t>
      </w:r>
      <w:r w:rsidRPr="001244BB">
        <w:fldChar w:fldCharType="end"/>
      </w:r>
      <w:r w:rsidRPr="001244BB">
        <w:t>.  Au titre du préjudice matériel qu</w:t>
      </w:r>
      <w:r w:rsidRPr="001244BB" w:rsidR="001244BB">
        <w:t>’</w:t>
      </w:r>
      <w:r w:rsidRPr="001244BB">
        <w:t>il dit avoir subi, le requérant réclame 146,19 EUR, montant qu</w:t>
      </w:r>
      <w:r w:rsidRPr="001244BB" w:rsidR="001244BB">
        <w:t>’</w:t>
      </w:r>
      <w:r w:rsidRPr="001244BB">
        <w:t>il aurait payé au titre de l</w:t>
      </w:r>
      <w:r w:rsidRPr="001244BB" w:rsidR="001244BB">
        <w:t>’</w:t>
      </w:r>
      <w:r w:rsidRPr="001244BB">
        <w:t>amende judiciaire, et 96 EUR pour les frais d</w:t>
      </w:r>
      <w:r w:rsidRPr="001244BB" w:rsidR="001244BB">
        <w:t>’</w:t>
      </w:r>
      <w:r w:rsidRPr="001244BB">
        <w:t>impression des exemplaires de son périodique qui auraient été saisis. Il sollicite en outre 20 000 EUR au titre du préjudice moral qu</w:t>
      </w:r>
      <w:r w:rsidRPr="001244BB" w:rsidR="001244BB">
        <w:t>’</w:t>
      </w:r>
      <w:r w:rsidRPr="001244BB">
        <w:t>il estime avoir subi.</w:t>
      </w:r>
    </w:p>
    <w:p w:rsidRPr="001244BB" w:rsidR="003F4D18" w:rsidP="001244BB" w:rsidRDefault="003F4D18">
      <w:pPr>
        <w:pStyle w:val="JuPara"/>
      </w:pPr>
      <w:r w:rsidRPr="001244BB">
        <w:fldChar w:fldCharType="begin"/>
      </w:r>
      <w:r w:rsidRPr="001244BB">
        <w:instrText xml:space="preserve"> SEQ level0 \*arabic </w:instrText>
      </w:r>
      <w:r w:rsidRPr="001244BB">
        <w:fldChar w:fldCharType="separate"/>
      </w:r>
      <w:r w:rsidRPr="001244BB" w:rsidR="001244BB">
        <w:rPr>
          <w:noProof/>
        </w:rPr>
        <w:t>39</w:t>
      </w:r>
      <w:r w:rsidRPr="001244BB">
        <w:fldChar w:fldCharType="end"/>
      </w:r>
      <w:r w:rsidRPr="001244BB">
        <w:t>.  Le Gouvernement considère qu</w:t>
      </w:r>
      <w:r w:rsidRPr="001244BB" w:rsidR="001244BB">
        <w:t>’</w:t>
      </w:r>
      <w:r w:rsidRPr="001244BB">
        <w:t>il n</w:t>
      </w:r>
      <w:r w:rsidRPr="001244BB" w:rsidR="001244BB">
        <w:t>’</w:t>
      </w:r>
      <w:r w:rsidRPr="001244BB">
        <w:t>y a pas de lien de causalité entre la violation alléguée et la demande présentée pour préjudice matériel. Il estime en outre que la demande formulée pour préjudice moral est excessive et qu</w:t>
      </w:r>
      <w:r w:rsidRPr="001244BB" w:rsidR="001244BB">
        <w:t>’</w:t>
      </w:r>
      <w:r w:rsidRPr="001244BB">
        <w:t>elle ne correspond pas aux montants accordés par la Cour dans sa jurisprudence.</w:t>
      </w:r>
    </w:p>
    <w:p w:rsidRPr="001244BB" w:rsidR="003F4D18" w:rsidP="001244BB" w:rsidRDefault="003F4D18">
      <w:pPr>
        <w:pStyle w:val="JuPara"/>
      </w:pPr>
      <w:r w:rsidRPr="001244BB">
        <w:fldChar w:fldCharType="begin"/>
      </w:r>
      <w:r w:rsidRPr="001244BB">
        <w:instrText xml:space="preserve"> SEQ level0 \*arabic </w:instrText>
      </w:r>
      <w:r w:rsidRPr="001244BB">
        <w:fldChar w:fldCharType="separate"/>
      </w:r>
      <w:r w:rsidRPr="001244BB" w:rsidR="001244BB">
        <w:rPr>
          <w:noProof/>
        </w:rPr>
        <w:t>40</w:t>
      </w:r>
      <w:r w:rsidRPr="001244BB">
        <w:fldChar w:fldCharType="end"/>
      </w:r>
      <w:r w:rsidRPr="001244BB">
        <w:t>.  La Cour n</w:t>
      </w:r>
      <w:r w:rsidRPr="001244BB" w:rsidR="001244BB">
        <w:t>’</w:t>
      </w:r>
      <w:r w:rsidRPr="001244BB">
        <w:t>aperçoit pas de lien de causalité entre la violation constatée et le dommage matériel allégué et rejette la demande y afférente. En revanche, elle considère qu</w:t>
      </w:r>
      <w:r w:rsidRPr="001244BB" w:rsidR="001244BB">
        <w:t>’</w:t>
      </w:r>
      <w:r w:rsidRPr="001244BB">
        <w:t>il y a lieu d</w:t>
      </w:r>
      <w:r w:rsidRPr="001244BB" w:rsidR="001244BB">
        <w:t>’</w:t>
      </w:r>
      <w:r w:rsidRPr="001244BB">
        <w:t>octroyer au requérant 1 500 EUR au titre du préjudice moral.</w:t>
      </w:r>
    </w:p>
    <w:p w:rsidRPr="001244BB" w:rsidR="003F4D18" w:rsidP="001244BB" w:rsidRDefault="003F4D18">
      <w:pPr>
        <w:pStyle w:val="JuHA"/>
        <w:numPr>
          <w:ilvl w:val="0"/>
          <w:numId w:val="0"/>
        </w:numPr>
        <w:ind w:left="584"/>
      </w:pPr>
      <w:r w:rsidRPr="001244BB">
        <w:t>B.  Frais et dépens</w:t>
      </w:r>
    </w:p>
    <w:p w:rsidRPr="001244BB" w:rsidR="003F4D18" w:rsidP="001244BB" w:rsidRDefault="003F4D18">
      <w:pPr>
        <w:pStyle w:val="JuPara"/>
      </w:pPr>
      <w:r w:rsidRPr="001244BB">
        <w:fldChar w:fldCharType="begin"/>
      </w:r>
      <w:r w:rsidRPr="001244BB">
        <w:instrText xml:space="preserve"> SEQ level0 \*arabic </w:instrText>
      </w:r>
      <w:r w:rsidRPr="001244BB">
        <w:fldChar w:fldCharType="separate"/>
      </w:r>
      <w:r w:rsidRPr="001244BB" w:rsidR="001244BB">
        <w:rPr>
          <w:noProof/>
        </w:rPr>
        <w:t>41</w:t>
      </w:r>
      <w:r w:rsidRPr="001244BB">
        <w:fldChar w:fldCharType="end"/>
      </w:r>
      <w:r w:rsidRPr="001244BB">
        <w:t>.  Le requérant demande également 2 000 EUR pour les frais d</w:t>
      </w:r>
      <w:r w:rsidRPr="001244BB" w:rsidR="001244BB">
        <w:t>’</w:t>
      </w:r>
      <w:r w:rsidRPr="001244BB">
        <w:t>avocat ainsi qu</w:t>
      </w:r>
      <w:r w:rsidRPr="001244BB" w:rsidR="001244BB">
        <w:t>’</w:t>
      </w:r>
      <w:r w:rsidRPr="001244BB">
        <w:t>un montant approprié pour les frais de transport, de poste, de téléphone et de traduction. Il présente à cet égard le barème tarifaire du barreau d</w:t>
      </w:r>
      <w:r w:rsidRPr="001244BB" w:rsidR="001244BB">
        <w:t>’</w:t>
      </w:r>
      <w:r w:rsidRPr="001244BB">
        <w:t>Ankara.</w:t>
      </w:r>
    </w:p>
    <w:p w:rsidRPr="001244BB" w:rsidR="003F4D18" w:rsidP="001244BB" w:rsidRDefault="003F4D18">
      <w:pPr>
        <w:pStyle w:val="JuPara"/>
      </w:pPr>
      <w:r w:rsidRPr="001244BB">
        <w:fldChar w:fldCharType="begin"/>
      </w:r>
      <w:r w:rsidRPr="001244BB">
        <w:instrText xml:space="preserve"> SEQ level0 \*arabic </w:instrText>
      </w:r>
      <w:r w:rsidRPr="001244BB">
        <w:fldChar w:fldCharType="separate"/>
      </w:r>
      <w:r w:rsidRPr="001244BB" w:rsidR="001244BB">
        <w:rPr>
          <w:noProof/>
        </w:rPr>
        <w:t>42</w:t>
      </w:r>
      <w:r w:rsidRPr="001244BB">
        <w:fldChar w:fldCharType="end"/>
      </w:r>
      <w:r w:rsidRPr="001244BB">
        <w:t>.  Le Gouvernement expose que le requérant n</w:t>
      </w:r>
      <w:r w:rsidRPr="001244BB" w:rsidR="001244BB">
        <w:t>’</w:t>
      </w:r>
      <w:r w:rsidRPr="001244BB">
        <w:t>a pas suffisamment détaillé ces demandes et n</w:t>
      </w:r>
      <w:r w:rsidRPr="001244BB" w:rsidR="001244BB">
        <w:t>’</w:t>
      </w:r>
      <w:r w:rsidRPr="001244BB">
        <w:t>a présenté aucun justificatif à leur appui.</w:t>
      </w:r>
    </w:p>
    <w:p w:rsidRPr="001244BB" w:rsidR="003F4D18" w:rsidP="001244BB" w:rsidRDefault="003F4D18">
      <w:pPr>
        <w:pStyle w:val="JuPara"/>
      </w:pPr>
      <w:r w:rsidRPr="001244BB">
        <w:fldChar w:fldCharType="begin"/>
      </w:r>
      <w:r w:rsidRPr="001244BB">
        <w:instrText xml:space="preserve"> SEQ level0 \*arabic </w:instrText>
      </w:r>
      <w:r w:rsidRPr="001244BB">
        <w:fldChar w:fldCharType="separate"/>
      </w:r>
      <w:r w:rsidRPr="001244BB" w:rsidR="001244BB">
        <w:rPr>
          <w:noProof/>
        </w:rPr>
        <w:t>43</w:t>
      </w:r>
      <w:r w:rsidRPr="001244BB">
        <w:fldChar w:fldCharType="end"/>
      </w:r>
      <w:r w:rsidRPr="001244BB">
        <w:t>.  Selon la jurisprudence de la Cour, un requérant ne peut obtenir le remboursement de ses frais et dépens que dans la mesure où se trouvent établis leur réalité, leur nécessité et le caractère raisonnable de leur taux. En l</w:t>
      </w:r>
      <w:r w:rsidRPr="001244BB" w:rsidR="001244BB">
        <w:t>’</w:t>
      </w:r>
      <w:r w:rsidRPr="001244BB">
        <w:t>espèce, compte tenu des documents dont elle dispose et de sa jurisprudence, la Cour rejette la demande relative aux frais, faute pour le requérant d</w:t>
      </w:r>
      <w:r w:rsidRPr="001244BB" w:rsidR="001244BB">
        <w:t>’</w:t>
      </w:r>
      <w:r w:rsidRPr="001244BB">
        <w:t>avoir produit les justificatifs nécessaires à cet égard.</w:t>
      </w:r>
    </w:p>
    <w:p w:rsidRPr="001244BB" w:rsidR="003F4D18" w:rsidP="001244BB" w:rsidRDefault="003F4D18">
      <w:pPr>
        <w:pStyle w:val="JuHA"/>
        <w:numPr>
          <w:ilvl w:val="0"/>
          <w:numId w:val="0"/>
        </w:numPr>
        <w:ind w:left="584"/>
      </w:pPr>
      <w:r w:rsidRPr="001244BB">
        <w:t>C.  Intérêts moratoires</w:t>
      </w:r>
    </w:p>
    <w:p w:rsidRPr="001244BB" w:rsidR="003F4D18" w:rsidP="001244BB" w:rsidRDefault="003F4D18">
      <w:pPr>
        <w:pStyle w:val="JuPara"/>
      </w:pPr>
      <w:r w:rsidRPr="001244BB">
        <w:fldChar w:fldCharType="begin"/>
      </w:r>
      <w:r w:rsidRPr="001244BB">
        <w:instrText xml:space="preserve"> SEQ level0 \*arabic </w:instrText>
      </w:r>
      <w:r w:rsidRPr="001244BB">
        <w:fldChar w:fldCharType="separate"/>
      </w:r>
      <w:r w:rsidRPr="001244BB" w:rsidR="001244BB">
        <w:rPr>
          <w:noProof/>
        </w:rPr>
        <w:t>44</w:t>
      </w:r>
      <w:r w:rsidRPr="001244BB">
        <w:fldChar w:fldCharType="end"/>
      </w:r>
      <w:r w:rsidRPr="001244BB">
        <w:t>.  La Cour juge approprié de calquer le taux des intérêts moratoires sur le taux d</w:t>
      </w:r>
      <w:r w:rsidRPr="001244BB" w:rsidR="001244BB">
        <w:t>’</w:t>
      </w:r>
      <w:r w:rsidRPr="001244BB">
        <w:t>intérêt de la facilité de prêt marginal de la Banque centrale européenne majoré de trois points de pourcentage.</w:t>
      </w:r>
    </w:p>
    <w:p w:rsidRPr="001244BB" w:rsidR="003F4D18" w:rsidP="001244BB" w:rsidRDefault="003F4D18">
      <w:pPr>
        <w:pStyle w:val="JuHHead"/>
        <w:numPr>
          <w:ilvl w:val="0"/>
          <w:numId w:val="1"/>
        </w:numPr>
      </w:pPr>
      <w:r w:rsidRPr="001244BB">
        <w:t>PAR CES MOTIFS, LA COUR,</w:t>
      </w:r>
    </w:p>
    <w:p w:rsidRPr="001244BB" w:rsidR="003F4D18" w:rsidP="001244BB" w:rsidRDefault="003F4D18">
      <w:pPr>
        <w:pStyle w:val="JuList"/>
        <w:numPr>
          <w:ilvl w:val="0"/>
          <w:numId w:val="0"/>
        </w:numPr>
        <w:ind w:left="340"/>
      </w:pPr>
      <w:r w:rsidRPr="001244BB">
        <w:t>1.</w:t>
      </w:r>
      <w:r w:rsidRPr="001244BB">
        <w:rPr>
          <w:i/>
        </w:rPr>
        <w:t>  Déclare</w:t>
      </w:r>
      <w:r w:rsidRPr="001244BB">
        <w:t>, à l</w:t>
      </w:r>
      <w:r w:rsidRPr="001244BB" w:rsidR="001244BB">
        <w:t>’</w:t>
      </w:r>
      <w:r w:rsidRPr="001244BB">
        <w:t>unanimité, la requête recevable ;</w:t>
      </w:r>
    </w:p>
    <w:p w:rsidRPr="001244BB" w:rsidR="003F4D18" w:rsidP="001244BB" w:rsidRDefault="003F4D18">
      <w:pPr>
        <w:pStyle w:val="JuList"/>
        <w:numPr>
          <w:ilvl w:val="0"/>
          <w:numId w:val="0"/>
        </w:numPr>
        <w:ind w:left="340"/>
      </w:pPr>
      <w:r w:rsidRPr="001244BB">
        <w:t>2.</w:t>
      </w:r>
      <w:r w:rsidRPr="001244BB">
        <w:rPr>
          <w:i/>
        </w:rPr>
        <w:t>  Dit</w:t>
      </w:r>
      <w:r w:rsidRPr="001244BB">
        <w:t>, à l</w:t>
      </w:r>
      <w:r w:rsidRPr="001244BB" w:rsidR="001244BB">
        <w:t>’</w:t>
      </w:r>
      <w:r w:rsidRPr="001244BB">
        <w:t>unanimité, qu</w:t>
      </w:r>
      <w:r w:rsidRPr="001244BB" w:rsidR="001244BB">
        <w:t>’</w:t>
      </w:r>
      <w:r w:rsidRPr="001244BB">
        <w:t>il y a eu violation de l</w:t>
      </w:r>
      <w:r w:rsidRPr="001244BB" w:rsidR="001244BB">
        <w:t>’</w:t>
      </w:r>
      <w:r w:rsidRPr="001244BB">
        <w:t>article 6 § 1 de la Convention ;</w:t>
      </w:r>
    </w:p>
    <w:p w:rsidRPr="001244BB" w:rsidR="003F4D18" w:rsidP="001244BB" w:rsidRDefault="003F4D18">
      <w:pPr>
        <w:pStyle w:val="JuList"/>
        <w:numPr>
          <w:ilvl w:val="0"/>
          <w:numId w:val="0"/>
        </w:numPr>
        <w:ind w:left="340"/>
      </w:pPr>
      <w:r w:rsidRPr="001244BB">
        <w:t>3.</w:t>
      </w:r>
      <w:r w:rsidRPr="001244BB">
        <w:rPr>
          <w:i/>
        </w:rPr>
        <w:t>  Dit</w:t>
      </w:r>
      <w:r w:rsidRPr="001244BB">
        <w:t xml:space="preserve">, par </w:t>
      </w:r>
      <w:r w:rsidRPr="001244BB" w:rsidR="00C30BDA">
        <w:t>5</w:t>
      </w:r>
      <w:r w:rsidRPr="001244BB">
        <w:t xml:space="preserve"> voix contre </w:t>
      </w:r>
      <w:r w:rsidRPr="001244BB" w:rsidR="00C30BDA">
        <w:t>2</w:t>
      </w:r>
      <w:r w:rsidRPr="001244BB">
        <w:t>, qu</w:t>
      </w:r>
      <w:r w:rsidRPr="001244BB" w:rsidR="001244BB">
        <w:t>’</w:t>
      </w:r>
      <w:r w:rsidRPr="001244BB">
        <w:t>il n</w:t>
      </w:r>
      <w:r w:rsidRPr="001244BB" w:rsidR="001244BB">
        <w:t>’</w:t>
      </w:r>
      <w:r w:rsidRPr="001244BB">
        <w:t>y a pas eu violation de l</w:t>
      </w:r>
      <w:r w:rsidRPr="001244BB" w:rsidR="001244BB">
        <w:t>’</w:t>
      </w:r>
      <w:r w:rsidRPr="001244BB">
        <w:t>article 10 de la Convention ;</w:t>
      </w:r>
    </w:p>
    <w:p w:rsidRPr="001244BB" w:rsidR="003F4D18" w:rsidP="001244BB" w:rsidRDefault="003F4D18">
      <w:pPr>
        <w:pStyle w:val="JuList"/>
        <w:numPr>
          <w:ilvl w:val="0"/>
          <w:numId w:val="0"/>
        </w:numPr>
        <w:ind w:left="340"/>
      </w:pPr>
      <w:r w:rsidRPr="001244BB">
        <w:t>4.</w:t>
      </w:r>
      <w:r w:rsidRPr="001244BB">
        <w:rPr>
          <w:i/>
        </w:rPr>
        <w:t>  Dit</w:t>
      </w:r>
      <w:r w:rsidRPr="001244BB">
        <w:t>,</w:t>
      </w:r>
      <w:r w:rsidRPr="001244BB" w:rsidR="00C30BDA">
        <w:t xml:space="preserve"> </w:t>
      </w:r>
      <w:r w:rsidRPr="001244BB">
        <w:t>à l</w:t>
      </w:r>
      <w:r w:rsidRPr="001244BB" w:rsidR="001244BB">
        <w:t>’</w:t>
      </w:r>
      <w:r w:rsidRPr="001244BB">
        <w:t>unanimité,</w:t>
      </w:r>
    </w:p>
    <w:p w:rsidRPr="001244BB" w:rsidR="003F4D18" w:rsidP="001244BB" w:rsidRDefault="003F4D18">
      <w:pPr>
        <w:pStyle w:val="JuLista"/>
        <w:numPr>
          <w:ilvl w:val="0"/>
          <w:numId w:val="0"/>
        </w:numPr>
        <w:ind w:left="680"/>
      </w:pPr>
      <w:r w:rsidRPr="001244BB">
        <w:t>a)  que l</w:t>
      </w:r>
      <w:r w:rsidRPr="001244BB" w:rsidR="001244BB">
        <w:t>’</w:t>
      </w:r>
      <w:r w:rsidRPr="001244BB">
        <w:t>État défendeur doit verser au requérant, dans les trois mois à compter du jour où l</w:t>
      </w:r>
      <w:r w:rsidRPr="001244BB" w:rsidR="001244BB">
        <w:t>’</w:t>
      </w:r>
      <w:r w:rsidRPr="001244BB">
        <w:t>arrêt sera devenu définitif conformément à l</w:t>
      </w:r>
      <w:r w:rsidRPr="001244BB" w:rsidR="001244BB">
        <w:t>’</w:t>
      </w:r>
      <w:r w:rsidRPr="001244BB">
        <w:t xml:space="preserve">article 44 § 2 de la Convention, </w:t>
      </w:r>
      <w:r w:rsidRPr="001244BB">
        <w:rPr>
          <w:lang w:eastAsia="en-GB"/>
        </w:rPr>
        <w:t>1 500 EUR (mille cinq cents euros), plus tout montant pouvant être dû à titre d</w:t>
      </w:r>
      <w:r w:rsidRPr="001244BB" w:rsidR="001244BB">
        <w:rPr>
          <w:lang w:eastAsia="en-GB"/>
        </w:rPr>
        <w:t>’</w:t>
      </w:r>
      <w:r w:rsidRPr="001244BB">
        <w:rPr>
          <w:lang w:eastAsia="en-GB"/>
        </w:rPr>
        <w:t>impôt sur cette somme, pour dommage moral</w:t>
      </w:r>
      <w:r w:rsidRPr="001244BB">
        <w:t>, à convertir dans la monnaie de l</w:t>
      </w:r>
      <w:r w:rsidRPr="001244BB" w:rsidR="001244BB">
        <w:t>’</w:t>
      </w:r>
      <w:r w:rsidRPr="001244BB">
        <w:t>État défendeur, au taux applicable à la date du règlement ;</w:t>
      </w:r>
    </w:p>
    <w:p w:rsidRPr="001244BB" w:rsidR="003F4D18" w:rsidP="001244BB" w:rsidRDefault="003F4D18">
      <w:pPr>
        <w:pStyle w:val="JuLista"/>
        <w:numPr>
          <w:ilvl w:val="0"/>
          <w:numId w:val="0"/>
        </w:numPr>
        <w:ind w:left="680"/>
      </w:pPr>
      <w:r w:rsidRPr="001244BB">
        <w:t>b)  qu</w:t>
      </w:r>
      <w:r w:rsidRPr="001244BB" w:rsidR="001244BB">
        <w:t>’</w:t>
      </w:r>
      <w:r w:rsidRPr="001244BB">
        <w:t>à compter de l</w:t>
      </w:r>
      <w:r w:rsidRPr="001244BB" w:rsidR="001244BB">
        <w:t>’</w:t>
      </w:r>
      <w:r w:rsidRPr="001244BB">
        <w:t>expiration dudit délai et jusqu</w:t>
      </w:r>
      <w:r w:rsidRPr="001244BB" w:rsidR="001244BB">
        <w:t>’</w:t>
      </w:r>
      <w:r w:rsidRPr="001244BB">
        <w:t>au versement, ce montant sera à majorer d</w:t>
      </w:r>
      <w:r w:rsidRPr="001244BB" w:rsidR="001244BB">
        <w:t>’</w:t>
      </w:r>
      <w:r w:rsidRPr="001244BB">
        <w:t>un intérêt simple à un taux égal à celui de la facilité de prêt marginal de la Banque centrale européenne applicable pendant cette période, augmenté de trois points de pourcentage ;</w:t>
      </w:r>
    </w:p>
    <w:p w:rsidRPr="001244BB" w:rsidR="00876F03" w:rsidP="001244BB" w:rsidRDefault="003F4D18">
      <w:pPr>
        <w:pStyle w:val="JuList"/>
        <w:numPr>
          <w:ilvl w:val="0"/>
          <w:numId w:val="0"/>
        </w:numPr>
        <w:ind w:left="340"/>
      </w:pPr>
      <w:r w:rsidRPr="001244BB">
        <w:t>5.</w:t>
      </w:r>
      <w:r w:rsidRPr="001244BB">
        <w:rPr>
          <w:i/>
        </w:rPr>
        <w:t>  Rejette</w:t>
      </w:r>
      <w:r w:rsidRPr="001244BB">
        <w:t xml:space="preserve">, </w:t>
      </w:r>
      <w:r w:rsidRPr="001244BB" w:rsidR="00C30BDA">
        <w:t xml:space="preserve">par 5 voix contre 2, </w:t>
      </w:r>
      <w:r w:rsidRPr="001244BB">
        <w:t>la demande de satisfaction équitable pour le surplus.</w:t>
      </w:r>
    </w:p>
    <w:p w:rsidRPr="001244BB" w:rsidR="00893F30" w:rsidP="001244BB" w:rsidRDefault="00893F30">
      <w:pPr>
        <w:pStyle w:val="JuParaLast"/>
      </w:pPr>
      <w:r w:rsidRPr="001244BB">
        <w:t xml:space="preserve">Fait en français, puis communiqué par écrit le </w:t>
      </w:r>
      <w:r w:rsidRPr="001244BB" w:rsidR="003F4D18">
        <w:t>10 mars 2020</w:t>
      </w:r>
      <w:r w:rsidRPr="001244BB">
        <w:t>, en application de l</w:t>
      </w:r>
      <w:r w:rsidRPr="001244BB" w:rsidR="001244BB">
        <w:t>’</w:t>
      </w:r>
      <w:r w:rsidRPr="001244BB">
        <w:t>article 77 §§ 2 et 3 du règlement.</w:t>
      </w:r>
    </w:p>
    <w:p w:rsidRPr="001244BB" w:rsidR="00876F03" w:rsidP="001244BB" w:rsidRDefault="003F4D18">
      <w:pPr>
        <w:pStyle w:val="JuSigned"/>
        <w:keepNext/>
        <w:keepLines/>
      </w:pPr>
      <w:r w:rsidRPr="001244BB">
        <w:tab/>
      </w:r>
      <w:r w:rsidRPr="001244BB" w:rsidR="00BD524D">
        <w:rPr>
          <w:rStyle w:val="JuJudgesChar"/>
        </w:rPr>
        <w:t>Hasan Bakırcı</w:t>
      </w:r>
      <w:r w:rsidRPr="001244BB" w:rsidR="004344E6">
        <w:tab/>
      </w:r>
      <w:r w:rsidRPr="001244BB" w:rsidR="005F319B">
        <w:t>Robert Spano</w:t>
      </w:r>
      <w:r w:rsidRPr="001244BB" w:rsidR="004344E6">
        <w:br/>
      </w:r>
      <w:r w:rsidRPr="001244BB" w:rsidR="004344E6">
        <w:tab/>
      </w:r>
      <w:r w:rsidRPr="001244BB">
        <w:t>Greffier</w:t>
      </w:r>
      <w:r w:rsidRPr="001244BB" w:rsidR="00262AD5">
        <w:t xml:space="preserve"> </w:t>
      </w:r>
      <w:r w:rsidRPr="001244BB" w:rsidR="00BD524D">
        <w:t>adjoint</w:t>
      </w:r>
      <w:r w:rsidRPr="001244BB" w:rsidR="004344E6">
        <w:tab/>
      </w:r>
      <w:r w:rsidRPr="001244BB">
        <w:t>Président</w:t>
      </w:r>
    </w:p>
    <w:p w:rsidRPr="001244BB" w:rsidR="00D530BE" w:rsidP="001244BB" w:rsidRDefault="00D530BE">
      <w:pPr>
        <w:pStyle w:val="JuPara"/>
        <w:keepNext/>
        <w:keepLines/>
      </w:pPr>
    </w:p>
    <w:p w:rsidRPr="001244BB" w:rsidR="00DB768F" w:rsidP="001244BB" w:rsidRDefault="00DB768F">
      <w:pPr>
        <w:pStyle w:val="JuPara"/>
        <w:keepNext/>
        <w:keepLines/>
      </w:pPr>
    </w:p>
    <w:p w:rsidRPr="001244BB" w:rsidR="00DB768F" w:rsidP="001244BB" w:rsidRDefault="00DB768F">
      <w:pPr>
        <w:pStyle w:val="JuPara"/>
        <w:keepNext/>
        <w:keepLines/>
      </w:pPr>
    </w:p>
    <w:p w:rsidRPr="001244BB" w:rsidR="00D530BE" w:rsidP="001244BB" w:rsidRDefault="00D530BE">
      <w:pPr>
        <w:pStyle w:val="JuParaLast"/>
      </w:pPr>
      <w:r w:rsidRPr="001244BB">
        <w:t>Au présent arrêt se trouve joint, conformément aux articles</w:t>
      </w:r>
      <w:r w:rsidRPr="001244BB" w:rsidR="00BD524D">
        <w:t xml:space="preserve"> </w:t>
      </w:r>
      <w:r w:rsidRPr="001244BB">
        <w:t>45 §</w:t>
      </w:r>
      <w:r w:rsidRPr="001244BB" w:rsidR="00BD524D">
        <w:t xml:space="preserve"> </w:t>
      </w:r>
      <w:r w:rsidRPr="001244BB">
        <w:t>2 de la Convention et</w:t>
      </w:r>
      <w:r w:rsidRPr="001244BB" w:rsidR="00BD524D">
        <w:t xml:space="preserve"> </w:t>
      </w:r>
      <w:r w:rsidRPr="001244BB">
        <w:t>74 §</w:t>
      </w:r>
      <w:r w:rsidRPr="001244BB" w:rsidR="00BD524D">
        <w:t xml:space="preserve"> </w:t>
      </w:r>
      <w:r w:rsidRPr="001244BB">
        <w:t>2 du règlement, l</w:t>
      </w:r>
      <w:r w:rsidRPr="001244BB" w:rsidR="001244BB">
        <w:t>’</w:t>
      </w:r>
      <w:r w:rsidRPr="001244BB">
        <w:t>exposé de l</w:t>
      </w:r>
      <w:r w:rsidRPr="001244BB" w:rsidR="001244BB">
        <w:t>’</w:t>
      </w:r>
      <w:r w:rsidRPr="001244BB">
        <w:t>opinion séparée d</w:t>
      </w:r>
      <w:r w:rsidRPr="001244BB" w:rsidR="00BD524D">
        <w:t>u</w:t>
      </w:r>
      <w:r w:rsidRPr="001244BB">
        <w:t xml:space="preserve"> juge </w:t>
      </w:r>
      <w:proofErr w:type="spellStart"/>
      <w:r w:rsidRPr="001244BB">
        <w:t>Bårdsen</w:t>
      </w:r>
      <w:proofErr w:type="spellEnd"/>
      <w:r w:rsidRPr="001244BB" w:rsidR="00BD524D">
        <w:t xml:space="preserve">, à laquelle se rallie le juge </w:t>
      </w:r>
      <w:proofErr w:type="spellStart"/>
      <w:r w:rsidRPr="001244BB">
        <w:t>Pavli</w:t>
      </w:r>
      <w:proofErr w:type="spellEnd"/>
      <w:r w:rsidRPr="001244BB">
        <w:t>.</w:t>
      </w:r>
    </w:p>
    <w:p w:rsidRPr="001244BB" w:rsidR="000F0B49" w:rsidP="001244BB" w:rsidRDefault="00D530BE">
      <w:pPr>
        <w:pStyle w:val="JuInitialled"/>
        <w:keepNext/>
        <w:keepLines/>
      </w:pPr>
      <w:r w:rsidRPr="001244BB">
        <w:t>R</w:t>
      </w:r>
      <w:r w:rsidRPr="001244BB" w:rsidR="00BD524D">
        <w:t>.</w:t>
      </w:r>
      <w:r w:rsidRPr="001244BB">
        <w:t>S</w:t>
      </w:r>
      <w:proofErr w:type="gramStart"/>
      <w:r w:rsidRPr="001244BB" w:rsidR="00BD524D">
        <w:t>.</w:t>
      </w:r>
      <w:proofErr w:type="gramEnd"/>
      <w:r w:rsidRPr="001244BB">
        <w:br/>
        <w:t>H</w:t>
      </w:r>
      <w:r w:rsidRPr="001244BB" w:rsidR="00BD524D">
        <w:t>.</w:t>
      </w:r>
      <w:r w:rsidRPr="001244BB" w:rsidR="00566EDE">
        <w:t>B</w:t>
      </w:r>
      <w:r w:rsidRPr="001244BB" w:rsidR="00BD524D">
        <w:t>.</w:t>
      </w:r>
    </w:p>
    <w:p w:rsidRPr="001244BB" w:rsidR="000F0B49" w:rsidP="001244BB" w:rsidRDefault="000F0B49">
      <w:pPr>
        <w:pStyle w:val="JuPara"/>
        <w:sectPr w:rsidRPr="001244BB" w:rsidR="000F0B49" w:rsidSect="000F0B49">
          <w:headerReference w:type="even" r:id="rId11"/>
          <w:headerReference w:type="default" r:id="rId12"/>
          <w:footerReference w:type="default" r:id="rId13"/>
          <w:footnotePr>
            <w:numRestart w:val="eachSect"/>
          </w:footnotePr>
          <w:pgSz w:w="11906" w:h="16838" w:code="9"/>
          <w:pgMar w:top="2274" w:right="2274" w:bottom="2274" w:left="2274" w:header="1701" w:footer="720" w:gutter="0"/>
          <w:pgNumType w:start="1"/>
          <w:cols w:space="720"/>
          <w:noEndnote/>
          <w:docGrid w:linePitch="326"/>
        </w:sectPr>
      </w:pPr>
    </w:p>
    <w:p w:rsidRPr="001244BB" w:rsidR="000F0B49" w:rsidP="001244BB" w:rsidRDefault="000F0B49">
      <w:pPr>
        <w:pStyle w:val="DecHTitle"/>
        <w:rPr>
          <w:rFonts w:ascii="Times New Roman" w:hAnsi="Times New Roman" w:eastAsia="Times New Roman" w:cs="Times New Roman"/>
        </w:rPr>
      </w:pPr>
      <w:r w:rsidRPr="001244BB">
        <w:rPr>
          <w:rFonts w:ascii="Times New Roman" w:hAnsi="Times New Roman" w:eastAsia="Times New Roman" w:cs="Times New Roman"/>
        </w:rPr>
        <w:t xml:space="preserve">OPINION DISSIDENTE DU JUGE </w:t>
      </w:r>
      <w:r w:rsidRPr="001244BB">
        <w:t xml:space="preserve">BÅRDSEN, </w:t>
      </w:r>
      <w:r w:rsidRPr="001244BB">
        <w:rPr>
          <w:rFonts w:cstheme="minorHAnsi"/>
        </w:rPr>
        <w:t>À</w:t>
      </w:r>
      <w:r w:rsidRPr="001244BB">
        <w:t xml:space="preserve"> LAQUELLE SE RALLIE LE JUGE PAVLI</w:t>
      </w:r>
    </w:p>
    <w:p w:rsidRPr="001244BB" w:rsidR="000F0B49" w:rsidP="001244BB" w:rsidRDefault="000F0B49">
      <w:pPr>
        <w:pStyle w:val="ECHRCoverTitle4"/>
        <w:rPr>
          <w:rFonts w:eastAsia="Times New Roman"/>
        </w:rPr>
      </w:pPr>
      <w:r w:rsidRPr="001244BB">
        <w:rPr>
          <w:rFonts w:eastAsia="Times New Roman"/>
        </w:rPr>
        <w:t>(Traduction)</w:t>
      </w:r>
    </w:p>
    <w:p w:rsidRPr="001244BB" w:rsidR="000F0B49" w:rsidP="001244BB" w:rsidRDefault="000F0B49">
      <w:pPr>
        <w:pStyle w:val="JuPara"/>
      </w:pPr>
      <w:r w:rsidRPr="001244BB">
        <w:t>1.  Je souscris au constat de violation de l</w:t>
      </w:r>
      <w:r w:rsidRPr="001244BB" w:rsidR="001244BB">
        <w:t>’</w:t>
      </w:r>
      <w:r w:rsidRPr="001244BB">
        <w:t>article 6 de la Convention auquel la majorité est parvenue en l</w:t>
      </w:r>
      <w:r w:rsidRPr="001244BB" w:rsidR="001244BB">
        <w:t>’</w:t>
      </w:r>
      <w:r w:rsidRPr="001244BB">
        <w:t>espèce. Je suis en revanche en désaccord avec l</w:t>
      </w:r>
      <w:r w:rsidRPr="001244BB" w:rsidR="001244BB">
        <w:t>’</w:t>
      </w:r>
      <w:r w:rsidRPr="001244BB">
        <w:t>appréciation à laquelle elle s</w:t>
      </w:r>
      <w:r w:rsidRPr="001244BB" w:rsidR="001244BB">
        <w:t>’</w:t>
      </w:r>
      <w:r w:rsidRPr="001244BB">
        <w:t>est livrée sous l</w:t>
      </w:r>
      <w:r w:rsidRPr="001244BB" w:rsidR="001244BB">
        <w:t>’</w:t>
      </w:r>
      <w:r w:rsidRPr="001244BB">
        <w:t>angle de l</w:t>
      </w:r>
      <w:r w:rsidRPr="001244BB" w:rsidR="001244BB">
        <w:t>’</w:t>
      </w:r>
      <w:r w:rsidRPr="001244BB">
        <w:t>article 10. Contrairement à la majorité, je vote en faveur d</w:t>
      </w:r>
      <w:r w:rsidRPr="001244BB" w:rsidR="001244BB">
        <w:t>’</w:t>
      </w:r>
      <w:r w:rsidRPr="001244BB">
        <w:t>un constat de violation de cette disposition pour les raisons que je vais exposer ci-dessous.</w:t>
      </w:r>
    </w:p>
    <w:p w:rsidRPr="001244BB" w:rsidR="000F0B49" w:rsidP="001244BB" w:rsidRDefault="000F0B49">
      <w:pPr>
        <w:pStyle w:val="JuPara"/>
        <w:rPr>
          <w:rFonts w:ascii="Times New Roman" w:hAnsi="Times New Roman" w:cs="Times New Roman"/>
        </w:rPr>
      </w:pPr>
      <w:r w:rsidRPr="001244BB">
        <w:rPr>
          <w:rFonts w:ascii="Times New Roman" w:hAnsi="Times New Roman" w:cs="Times New Roman"/>
        </w:rPr>
        <w:t>2.  Le requérant a été accusé et reconnu coupable d</w:t>
      </w:r>
      <w:r w:rsidRPr="001244BB" w:rsidR="001244BB">
        <w:rPr>
          <w:rFonts w:ascii="Times New Roman" w:hAnsi="Times New Roman" w:cs="Times New Roman"/>
        </w:rPr>
        <w:t>’</w:t>
      </w:r>
      <w:r w:rsidRPr="001244BB">
        <w:rPr>
          <w:rFonts w:ascii="Times New Roman" w:hAnsi="Times New Roman" w:cs="Times New Roman"/>
        </w:rPr>
        <w:t>une infraction pénale et il s</w:t>
      </w:r>
      <w:r w:rsidRPr="001244BB" w:rsidR="001244BB">
        <w:rPr>
          <w:rFonts w:ascii="Times New Roman" w:hAnsi="Times New Roman" w:cs="Times New Roman"/>
        </w:rPr>
        <w:t>’</w:t>
      </w:r>
      <w:r w:rsidRPr="001244BB">
        <w:rPr>
          <w:rFonts w:ascii="Times New Roman" w:hAnsi="Times New Roman" w:cs="Times New Roman"/>
        </w:rPr>
        <w:t>est vu infliger une amende à raison de son activité de journaliste et de rédacteur en chef. Il a été condamné pour avoir publié dans son journal, en mars 2007, un bref texte concernant une prise d</w:t>
      </w:r>
      <w:r w:rsidRPr="001244BB" w:rsidR="001244BB">
        <w:rPr>
          <w:rFonts w:ascii="Times New Roman" w:hAnsi="Times New Roman" w:cs="Times New Roman"/>
        </w:rPr>
        <w:t>’</w:t>
      </w:r>
      <w:r w:rsidRPr="001244BB">
        <w:rPr>
          <w:rFonts w:ascii="Times New Roman" w:hAnsi="Times New Roman" w:cs="Times New Roman"/>
        </w:rPr>
        <w:t>otages dramatique, violente et notoire dans le contexte du conflit qui sévit de longue date dans le sud-est de la Turquie. Ce faisant, il aurait fait l</w:t>
      </w:r>
      <w:r w:rsidRPr="001244BB" w:rsidR="001244BB">
        <w:rPr>
          <w:rFonts w:ascii="Times New Roman" w:hAnsi="Times New Roman" w:cs="Times New Roman"/>
        </w:rPr>
        <w:t>’</w:t>
      </w:r>
      <w:r w:rsidRPr="001244BB">
        <w:rPr>
          <w:rFonts w:ascii="Times New Roman" w:hAnsi="Times New Roman" w:cs="Times New Roman"/>
        </w:rPr>
        <w:t>apologie d</w:t>
      </w:r>
      <w:r w:rsidRPr="001244BB" w:rsidR="001244BB">
        <w:rPr>
          <w:rFonts w:ascii="Times New Roman" w:hAnsi="Times New Roman" w:cs="Times New Roman"/>
        </w:rPr>
        <w:t>’</w:t>
      </w:r>
      <w:r w:rsidRPr="001244BB">
        <w:rPr>
          <w:rFonts w:ascii="Times New Roman" w:hAnsi="Times New Roman" w:cs="Times New Roman"/>
        </w:rPr>
        <w:t>un crime et d</w:t>
      </w:r>
      <w:r w:rsidRPr="001244BB" w:rsidR="001244BB">
        <w:rPr>
          <w:rFonts w:ascii="Times New Roman" w:hAnsi="Times New Roman" w:cs="Times New Roman"/>
        </w:rPr>
        <w:t>’</w:t>
      </w:r>
      <w:r w:rsidRPr="001244BB">
        <w:rPr>
          <w:rFonts w:ascii="Times New Roman" w:hAnsi="Times New Roman" w:cs="Times New Roman"/>
        </w:rPr>
        <w:t>un criminel, fait constitutif d</w:t>
      </w:r>
      <w:r w:rsidRPr="001244BB" w:rsidR="001244BB">
        <w:rPr>
          <w:rFonts w:ascii="Times New Roman" w:hAnsi="Times New Roman" w:cs="Times New Roman"/>
        </w:rPr>
        <w:t>’</w:t>
      </w:r>
      <w:r w:rsidRPr="001244BB">
        <w:rPr>
          <w:rFonts w:ascii="Times New Roman" w:hAnsi="Times New Roman" w:cs="Times New Roman"/>
        </w:rPr>
        <w:t>une infraction en vertu des articles 215 et</w:t>
      </w:r>
      <w:r w:rsidRPr="001244BB" w:rsidR="00BD524D">
        <w:rPr>
          <w:rFonts w:ascii="Times New Roman" w:hAnsi="Times New Roman" w:cs="Times New Roman"/>
        </w:rPr>
        <w:t xml:space="preserve"> </w:t>
      </w:r>
      <w:r w:rsidRPr="001244BB">
        <w:rPr>
          <w:rFonts w:ascii="Times New Roman" w:hAnsi="Times New Roman" w:cs="Times New Roman"/>
        </w:rPr>
        <w:t xml:space="preserve">218 du code pénal turc. Les événements en question se sont déroulés en 1972 dans la région de </w:t>
      </w:r>
      <w:proofErr w:type="spellStart"/>
      <w:r w:rsidRPr="001244BB">
        <w:rPr>
          <w:rFonts w:ascii="Times New Roman" w:hAnsi="Times New Roman" w:cs="Times New Roman"/>
        </w:rPr>
        <w:t>Kızıldere</w:t>
      </w:r>
      <w:proofErr w:type="spellEnd"/>
      <w:r w:rsidRPr="001244BB">
        <w:rPr>
          <w:rFonts w:ascii="Times New Roman" w:hAnsi="Times New Roman" w:cs="Times New Roman"/>
        </w:rPr>
        <w:t>, où le journal du requérant est publié. Il apparaît que ces faits ont revêtu avec le temps une certaine importance symbolique auprès de quelques groupes radicaux ancrés à gauche (paragraphes 6-9 de l</w:t>
      </w:r>
      <w:r w:rsidRPr="001244BB" w:rsidR="001244BB">
        <w:rPr>
          <w:rFonts w:ascii="Times New Roman" w:hAnsi="Times New Roman" w:cs="Times New Roman"/>
        </w:rPr>
        <w:t>’</w:t>
      </w:r>
      <w:r w:rsidRPr="001244BB">
        <w:rPr>
          <w:rFonts w:ascii="Times New Roman" w:hAnsi="Times New Roman" w:cs="Times New Roman"/>
        </w:rPr>
        <w:t>arrêt).</w:t>
      </w:r>
    </w:p>
    <w:p w:rsidRPr="001244BB" w:rsidR="000F0B49" w:rsidP="001244BB" w:rsidRDefault="000F0B49">
      <w:pPr>
        <w:pStyle w:val="JuPara"/>
        <w:rPr>
          <w:rFonts w:ascii="Times New Roman" w:hAnsi="Times New Roman" w:cs="Times New Roman"/>
        </w:rPr>
      </w:pPr>
      <w:r w:rsidRPr="001244BB">
        <w:rPr>
          <w:rFonts w:ascii="Times New Roman" w:hAnsi="Times New Roman" w:cs="Times New Roman"/>
        </w:rPr>
        <w:t>3.  Cette affaire nous amène au cœur de l</w:t>
      </w:r>
      <w:r w:rsidRPr="001244BB" w:rsidR="001244BB">
        <w:rPr>
          <w:rFonts w:ascii="Times New Roman" w:hAnsi="Times New Roman" w:cs="Times New Roman"/>
        </w:rPr>
        <w:t>’</w:t>
      </w:r>
      <w:r w:rsidRPr="001244BB">
        <w:rPr>
          <w:rFonts w:ascii="Times New Roman" w:hAnsi="Times New Roman" w:cs="Times New Roman"/>
        </w:rPr>
        <w:t>article 10. Cette disposition, qui garantit au discours politique un large espace sans ingérence de l</w:t>
      </w:r>
      <w:r w:rsidRPr="001244BB" w:rsidR="001244BB">
        <w:rPr>
          <w:rFonts w:ascii="Times New Roman" w:hAnsi="Times New Roman" w:cs="Times New Roman"/>
        </w:rPr>
        <w:t>’</w:t>
      </w:r>
      <w:r w:rsidRPr="001244BB">
        <w:rPr>
          <w:rFonts w:ascii="Times New Roman" w:hAnsi="Times New Roman" w:cs="Times New Roman"/>
        </w:rPr>
        <w:t>État, vaut non seulement pour les informations ou idées accueillies avec faveur ou considérées comme inoffensives ou indifférentes, mais aussi pour celles qui heurtent, choquent ou inquiètent. Ainsi le veulent le pluralisme, la tolérance et l</w:t>
      </w:r>
      <w:r w:rsidRPr="001244BB" w:rsidR="001244BB">
        <w:rPr>
          <w:rFonts w:ascii="Times New Roman" w:hAnsi="Times New Roman" w:cs="Times New Roman"/>
        </w:rPr>
        <w:t>’</w:t>
      </w:r>
      <w:r w:rsidRPr="001244BB">
        <w:rPr>
          <w:rFonts w:ascii="Times New Roman" w:hAnsi="Times New Roman" w:cs="Times New Roman"/>
        </w:rPr>
        <w:t>esprit d</w:t>
      </w:r>
      <w:r w:rsidRPr="001244BB" w:rsidR="001244BB">
        <w:rPr>
          <w:rFonts w:ascii="Times New Roman" w:hAnsi="Times New Roman" w:cs="Times New Roman"/>
        </w:rPr>
        <w:t>’</w:t>
      </w:r>
      <w:r w:rsidRPr="001244BB">
        <w:rPr>
          <w:rFonts w:ascii="Times New Roman" w:hAnsi="Times New Roman" w:cs="Times New Roman"/>
        </w:rPr>
        <w:t>ouverture sans lesquels il n</w:t>
      </w:r>
      <w:r w:rsidRPr="001244BB" w:rsidR="001244BB">
        <w:rPr>
          <w:rFonts w:ascii="Times New Roman" w:hAnsi="Times New Roman" w:cs="Times New Roman"/>
        </w:rPr>
        <w:t>’</w:t>
      </w:r>
      <w:r w:rsidRPr="001244BB">
        <w:rPr>
          <w:rFonts w:ascii="Times New Roman" w:hAnsi="Times New Roman" w:cs="Times New Roman"/>
        </w:rPr>
        <w:t>est pas de société démocratique. Telle que la consacre l</w:t>
      </w:r>
      <w:r w:rsidRPr="001244BB" w:rsidR="001244BB">
        <w:rPr>
          <w:rFonts w:ascii="Times New Roman" w:hAnsi="Times New Roman" w:cs="Times New Roman"/>
        </w:rPr>
        <w:t>’</w:t>
      </w:r>
      <w:r w:rsidRPr="001244BB">
        <w:rPr>
          <w:rFonts w:ascii="Times New Roman" w:hAnsi="Times New Roman" w:cs="Times New Roman"/>
        </w:rPr>
        <w:t>article 10, la liberté d</w:t>
      </w:r>
      <w:r w:rsidRPr="001244BB" w:rsidR="001244BB">
        <w:rPr>
          <w:rFonts w:ascii="Times New Roman" w:hAnsi="Times New Roman" w:cs="Times New Roman"/>
        </w:rPr>
        <w:t>’</w:t>
      </w:r>
      <w:r w:rsidRPr="001244BB">
        <w:rPr>
          <w:rFonts w:ascii="Times New Roman" w:hAnsi="Times New Roman" w:cs="Times New Roman"/>
        </w:rPr>
        <w:t>expression est assortie d</w:t>
      </w:r>
      <w:r w:rsidRPr="001244BB" w:rsidR="001244BB">
        <w:rPr>
          <w:rFonts w:ascii="Times New Roman" w:hAnsi="Times New Roman" w:cs="Times New Roman"/>
        </w:rPr>
        <w:t>’</w:t>
      </w:r>
      <w:r w:rsidRPr="001244BB">
        <w:rPr>
          <w:rFonts w:ascii="Times New Roman" w:hAnsi="Times New Roman" w:cs="Times New Roman"/>
        </w:rPr>
        <w:t>exceptions qui sont toutefois d</w:t>
      </w:r>
      <w:r w:rsidRPr="001244BB" w:rsidR="001244BB">
        <w:rPr>
          <w:rFonts w:ascii="Times New Roman" w:hAnsi="Times New Roman" w:cs="Times New Roman"/>
        </w:rPr>
        <w:t>’</w:t>
      </w:r>
      <w:r w:rsidRPr="001244BB">
        <w:rPr>
          <w:rFonts w:ascii="Times New Roman" w:hAnsi="Times New Roman" w:cs="Times New Roman"/>
        </w:rPr>
        <w:t xml:space="preserve">interprétation restrictive, et le besoin de la restreindre doit se trouver établi de manière convaincante (voir, par exemple, </w:t>
      </w:r>
      <w:proofErr w:type="spellStart"/>
      <w:r w:rsidRPr="001244BB">
        <w:rPr>
          <w:i/>
        </w:rPr>
        <w:t>Perinçek</w:t>
      </w:r>
      <w:proofErr w:type="spellEnd"/>
      <w:r w:rsidRPr="001244BB">
        <w:rPr>
          <w:i/>
        </w:rPr>
        <w:t xml:space="preserve"> c. Suisse</w:t>
      </w:r>
      <w:r w:rsidRPr="001244BB">
        <w:t xml:space="preserve"> [GC], n</w:t>
      </w:r>
      <w:r w:rsidRPr="001244BB">
        <w:rPr>
          <w:vertAlign w:val="superscript"/>
        </w:rPr>
        <w:t>o</w:t>
      </w:r>
      <w:r w:rsidRPr="001244BB">
        <w:t xml:space="preserve"> 27510/08, </w:t>
      </w:r>
      <w:r w:rsidRPr="001244BB">
        <w:rPr>
          <w:rFonts w:ascii="Times New Roman" w:hAnsi="Times New Roman" w:cs="Times New Roman"/>
        </w:rPr>
        <w:t>§§ 196-197</w:t>
      </w:r>
      <w:r w:rsidRPr="001244BB">
        <w:t>, CEDH 2015 (extraits)).</w:t>
      </w:r>
    </w:p>
    <w:p w:rsidRPr="001244BB" w:rsidR="000F0B49" w:rsidP="001244BB" w:rsidRDefault="000F0B49">
      <w:pPr>
        <w:pStyle w:val="JuPara"/>
        <w:rPr>
          <w:rFonts w:ascii="Times New Roman" w:hAnsi="Times New Roman" w:cs="Times New Roman"/>
        </w:rPr>
      </w:pPr>
      <w:r w:rsidRPr="001244BB">
        <w:rPr>
          <w:rFonts w:ascii="Times New Roman" w:hAnsi="Times New Roman" w:cs="Times New Roman"/>
        </w:rPr>
        <w:t>4.  En l</w:t>
      </w:r>
      <w:r w:rsidRPr="001244BB" w:rsidR="001244BB">
        <w:rPr>
          <w:rFonts w:ascii="Times New Roman" w:hAnsi="Times New Roman" w:cs="Times New Roman"/>
        </w:rPr>
        <w:t>’</w:t>
      </w:r>
      <w:r w:rsidRPr="001244BB">
        <w:rPr>
          <w:rFonts w:ascii="Times New Roman" w:hAnsi="Times New Roman" w:cs="Times New Roman"/>
        </w:rPr>
        <w:t>espèce, la question est de savoir si, en publiant le texte incriminé, le requérant a appelé à la violence, exprimé un discours de haine ou dépassé de toute autre manière les limites extrêmement larges de la liberté d</w:t>
      </w:r>
      <w:r w:rsidRPr="001244BB" w:rsidR="001244BB">
        <w:rPr>
          <w:rFonts w:ascii="Times New Roman" w:hAnsi="Times New Roman" w:cs="Times New Roman"/>
        </w:rPr>
        <w:t>’</w:t>
      </w:r>
      <w:r w:rsidRPr="001244BB">
        <w:rPr>
          <w:rFonts w:ascii="Times New Roman" w:hAnsi="Times New Roman" w:cs="Times New Roman"/>
        </w:rPr>
        <w:t>expression telle que garantie par l</w:t>
      </w:r>
      <w:r w:rsidRPr="001244BB" w:rsidR="001244BB">
        <w:rPr>
          <w:rFonts w:ascii="Times New Roman" w:hAnsi="Times New Roman" w:cs="Times New Roman"/>
        </w:rPr>
        <w:t>’</w:t>
      </w:r>
      <w:r w:rsidRPr="001244BB">
        <w:rPr>
          <w:rFonts w:ascii="Times New Roman" w:hAnsi="Times New Roman" w:cs="Times New Roman"/>
        </w:rPr>
        <w:t>article 10 de la Convention, de sorte que la condamnation pénale prononcée à son encontre aurait été justifiée aux fins du paragraphe 2 de cette disposition en ce qu</w:t>
      </w:r>
      <w:r w:rsidRPr="001244BB" w:rsidR="001244BB">
        <w:rPr>
          <w:rFonts w:ascii="Times New Roman" w:hAnsi="Times New Roman" w:cs="Times New Roman"/>
        </w:rPr>
        <w:t>’</w:t>
      </w:r>
      <w:r w:rsidRPr="001244BB">
        <w:rPr>
          <w:rFonts w:ascii="Times New Roman" w:hAnsi="Times New Roman" w:cs="Times New Roman"/>
        </w:rPr>
        <w:t>elle aurait été « nécessaire dans une société démocratique ».</w:t>
      </w:r>
    </w:p>
    <w:p w:rsidRPr="001244BB" w:rsidR="000F0B49" w:rsidP="001244BB" w:rsidRDefault="000F0B49">
      <w:pPr>
        <w:pStyle w:val="JuPara"/>
      </w:pPr>
      <w:r w:rsidRPr="001244BB">
        <w:rPr>
          <w:rFonts w:ascii="Times New Roman" w:hAnsi="Times New Roman" w:cs="Times New Roman"/>
        </w:rPr>
        <w:t>5.  J</w:t>
      </w:r>
      <w:r w:rsidRPr="001244BB" w:rsidR="001244BB">
        <w:rPr>
          <w:rFonts w:ascii="Times New Roman" w:hAnsi="Times New Roman" w:cs="Times New Roman"/>
        </w:rPr>
        <w:t>’</w:t>
      </w:r>
      <w:r w:rsidRPr="001244BB">
        <w:rPr>
          <w:rFonts w:ascii="Times New Roman" w:hAnsi="Times New Roman" w:cs="Times New Roman"/>
        </w:rPr>
        <w:t>observe que, conformément au principe de subsidiarité, il appartient avant tout aux autorités nationales d</w:t>
      </w:r>
      <w:r w:rsidRPr="001244BB" w:rsidR="001244BB">
        <w:rPr>
          <w:rFonts w:ascii="Times New Roman" w:hAnsi="Times New Roman" w:cs="Times New Roman"/>
        </w:rPr>
        <w:t>’</w:t>
      </w:r>
      <w:r w:rsidRPr="001244BB">
        <w:rPr>
          <w:rFonts w:ascii="Times New Roman" w:hAnsi="Times New Roman" w:cs="Times New Roman"/>
        </w:rPr>
        <w:t xml:space="preserve">apprécier cette question sur la base des critères définis dans la jurisprudence de la Cour (voir, par exemple, </w:t>
      </w:r>
      <w:proofErr w:type="spellStart"/>
      <w:r w:rsidRPr="001244BB">
        <w:rPr>
          <w:i/>
        </w:rPr>
        <w:t>Terentyev</w:t>
      </w:r>
      <w:proofErr w:type="spellEnd"/>
      <w:r w:rsidRPr="001244BB">
        <w:rPr>
          <w:i/>
        </w:rPr>
        <w:t xml:space="preserve"> c. Russie</w:t>
      </w:r>
      <w:r w:rsidRPr="001244BB">
        <w:t>, n</w:t>
      </w:r>
      <w:r w:rsidRPr="001244BB">
        <w:rPr>
          <w:vertAlign w:val="superscript"/>
        </w:rPr>
        <w:t>o</w:t>
      </w:r>
      <w:r w:rsidRPr="001244BB">
        <w:t xml:space="preserve"> 25147/09, 26 janvier 2017, </w:t>
      </w:r>
      <w:proofErr w:type="spellStart"/>
      <w:r w:rsidRPr="001244BB">
        <w:rPr>
          <w:i/>
          <w:iCs/>
        </w:rPr>
        <w:t>Moskalev</w:t>
      </w:r>
      <w:proofErr w:type="spellEnd"/>
      <w:r w:rsidRPr="001244BB">
        <w:rPr>
          <w:i/>
          <w:iCs/>
        </w:rPr>
        <w:t xml:space="preserve"> c. Russie</w:t>
      </w:r>
      <w:r w:rsidRPr="001244BB">
        <w:rPr>
          <w:lang w:eastAsia="en-GB"/>
        </w:rPr>
        <w:t>, n</w:t>
      </w:r>
      <w:r w:rsidRPr="001244BB">
        <w:rPr>
          <w:vertAlign w:val="superscript"/>
          <w:lang w:eastAsia="en-GB"/>
        </w:rPr>
        <w:t>o</w:t>
      </w:r>
      <w:r w:rsidRPr="001244BB">
        <w:rPr>
          <w:lang w:eastAsia="en-GB"/>
        </w:rPr>
        <w:t> </w:t>
      </w:r>
      <w:r w:rsidRPr="001244BB">
        <w:t>44045/05</w:t>
      </w:r>
      <w:r w:rsidRPr="001244BB">
        <w:rPr>
          <w:lang w:eastAsia="en-GB"/>
        </w:rPr>
        <w:t xml:space="preserve">, </w:t>
      </w:r>
      <w:r w:rsidRPr="001244BB">
        <w:t xml:space="preserve">7 novembre 2017, et </w:t>
      </w:r>
      <w:proofErr w:type="spellStart"/>
      <w:r w:rsidRPr="001244BB">
        <w:rPr>
          <w:i/>
          <w:iCs/>
        </w:rPr>
        <w:t>Öğrü</w:t>
      </w:r>
      <w:proofErr w:type="spellEnd"/>
      <w:r w:rsidRPr="001244BB">
        <w:rPr>
          <w:i/>
          <w:iCs/>
        </w:rPr>
        <w:t xml:space="preserve"> et autres c. Turquie</w:t>
      </w:r>
      <w:r w:rsidRPr="001244BB">
        <w:t>, n</w:t>
      </w:r>
      <w:r w:rsidRPr="001244BB">
        <w:rPr>
          <w:vertAlign w:val="superscript"/>
        </w:rPr>
        <w:t>os</w:t>
      </w:r>
      <w:r w:rsidRPr="001244BB">
        <w:t xml:space="preserve"> 60087/10 et 2 autres, 19 décembre 2017). L</w:t>
      </w:r>
      <w:r w:rsidRPr="001244BB" w:rsidR="001244BB">
        <w:t>’</w:t>
      </w:r>
      <w:r w:rsidRPr="001244BB">
        <w:t>appréciation de la Cour devra ensuite essentiellement se faire à la lumière de la motivation retenue par les autorités nationales (</w:t>
      </w:r>
      <w:proofErr w:type="spellStart"/>
      <w:r w:rsidRPr="001244BB">
        <w:rPr>
          <w:i/>
        </w:rPr>
        <w:t>Gözel</w:t>
      </w:r>
      <w:proofErr w:type="spellEnd"/>
      <w:r w:rsidRPr="001244BB">
        <w:rPr>
          <w:i/>
        </w:rPr>
        <w:t xml:space="preserve"> et </w:t>
      </w:r>
      <w:proofErr w:type="spellStart"/>
      <w:r w:rsidRPr="001244BB">
        <w:rPr>
          <w:i/>
        </w:rPr>
        <w:t>Özer</w:t>
      </w:r>
      <w:proofErr w:type="spellEnd"/>
      <w:r w:rsidRPr="001244BB">
        <w:rPr>
          <w:i/>
        </w:rPr>
        <w:t xml:space="preserve"> c. Turquie</w:t>
      </w:r>
      <w:r w:rsidRPr="001244BB">
        <w:t>, n</w:t>
      </w:r>
      <w:r w:rsidRPr="001244BB">
        <w:rPr>
          <w:vertAlign w:val="superscript"/>
        </w:rPr>
        <w:t>os</w:t>
      </w:r>
      <w:r w:rsidRPr="001244BB">
        <w:t xml:space="preserve"> 43453/04 et 31098/05, § </w:t>
      </w:r>
      <w:r w:rsidRPr="001244BB">
        <w:rPr>
          <w:rFonts w:ascii="Times New Roman" w:hAnsi="Times New Roman" w:cs="Times New Roman"/>
        </w:rPr>
        <w:t>51</w:t>
      </w:r>
      <w:r w:rsidRPr="001244BB">
        <w:t>, 6 juillet 2010). Si un tel examen fait défaut, la Cour partira du principe que le Gouvernement n</w:t>
      </w:r>
      <w:r w:rsidRPr="001244BB" w:rsidR="001244BB">
        <w:t>’</w:t>
      </w:r>
      <w:r w:rsidRPr="001244BB">
        <w:t>a pas démontré que l</w:t>
      </w:r>
      <w:r w:rsidRPr="001244BB" w:rsidR="001244BB">
        <w:t>’</w:t>
      </w:r>
      <w:r w:rsidRPr="001244BB">
        <w:t>atteinte aux droits protégés par la Convention était « nécessaire dans une société démocratique » et elle conclura ainsi à la violation de l</w:t>
      </w:r>
      <w:r w:rsidRPr="001244BB" w:rsidR="001244BB">
        <w:t>’</w:t>
      </w:r>
      <w:r w:rsidRPr="001244BB">
        <w:t xml:space="preserve">article 10 </w:t>
      </w:r>
      <w:r w:rsidRPr="001244BB">
        <w:rPr>
          <w:rFonts w:ascii="Times New Roman" w:hAnsi="Times New Roman" w:cs="Times New Roman"/>
        </w:rPr>
        <w:t xml:space="preserve">(pour un exemple récent, voir </w:t>
      </w:r>
      <w:proofErr w:type="spellStart"/>
      <w:r w:rsidRPr="001244BB">
        <w:rPr>
          <w:i/>
        </w:rPr>
        <w:t>Mart</w:t>
      </w:r>
      <w:proofErr w:type="spellEnd"/>
      <w:r w:rsidRPr="001244BB">
        <w:rPr>
          <w:i/>
        </w:rPr>
        <w:t xml:space="preserve"> et autres c. Turquie</w:t>
      </w:r>
      <w:r w:rsidRPr="001244BB">
        <w:t>, n</w:t>
      </w:r>
      <w:r w:rsidRPr="001244BB">
        <w:rPr>
          <w:vertAlign w:val="superscript"/>
        </w:rPr>
        <w:t>o</w:t>
      </w:r>
      <w:r w:rsidRPr="001244BB">
        <w:t xml:space="preserve"> 57031/10, </w:t>
      </w:r>
      <w:r w:rsidRPr="001244BB">
        <w:rPr>
          <w:rFonts w:ascii="Times New Roman" w:hAnsi="Times New Roman" w:cs="Times New Roman"/>
        </w:rPr>
        <w:t>§§ 27 et 32</w:t>
      </w:r>
      <w:r w:rsidRPr="001244BB">
        <w:t>, 19 mars 2019).</w:t>
      </w:r>
    </w:p>
    <w:p w:rsidRPr="001244BB" w:rsidR="000F0B49" w:rsidP="001244BB" w:rsidRDefault="000F0B49">
      <w:pPr>
        <w:pStyle w:val="JuPara"/>
        <w:rPr>
          <w:rFonts w:ascii="Times New Roman" w:hAnsi="Times New Roman" w:cs="Times New Roman"/>
        </w:rPr>
      </w:pPr>
      <w:r w:rsidRPr="001244BB">
        <w:rPr>
          <w:rFonts w:ascii="Times New Roman" w:hAnsi="Times New Roman" w:cs="Times New Roman"/>
        </w:rPr>
        <w:t>6.  Pour condamner le requérant, le tribunal correctionnel de Tokat, dans son jugement rendu le 21 avril 2008 – qui, compte tenu de l</w:t>
      </w:r>
      <w:r w:rsidRPr="001244BB" w:rsidR="001244BB">
        <w:rPr>
          <w:rFonts w:ascii="Times New Roman" w:hAnsi="Times New Roman" w:cs="Times New Roman"/>
        </w:rPr>
        <w:t>’</w:t>
      </w:r>
      <w:r w:rsidRPr="001244BB">
        <w:rPr>
          <w:rFonts w:ascii="Times New Roman" w:hAnsi="Times New Roman" w:cs="Times New Roman"/>
        </w:rPr>
        <w:t>absence de voies de recours en droit turc au moment des faits (paragraphes 16-22 de l</w:t>
      </w:r>
      <w:r w:rsidRPr="001244BB" w:rsidR="001244BB">
        <w:rPr>
          <w:rFonts w:ascii="Times New Roman" w:hAnsi="Times New Roman" w:cs="Times New Roman"/>
        </w:rPr>
        <w:t>’</w:t>
      </w:r>
      <w:r w:rsidRPr="001244BB">
        <w:rPr>
          <w:rFonts w:ascii="Times New Roman" w:hAnsi="Times New Roman" w:cs="Times New Roman"/>
        </w:rPr>
        <w:t>arrêt), a constitué le premier et dernier examen par une juridiction interne des accusations retenues contre le requérant – s</w:t>
      </w:r>
      <w:r w:rsidRPr="001244BB" w:rsidR="001244BB">
        <w:rPr>
          <w:rFonts w:ascii="Times New Roman" w:hAnsi="Times New Roman" w:cs="Times New Roman"/>
        </w:rPr>
        <w:t>’</w:t>
      </w:r>
      <w:r w:rsidRPr="001244BB">
        <w:rPr>
          <w:rFonts w:ascii="Times New Roman" w:hAnsi="Times New Roman" w:cs="Times New Roman"/>
        </w:rPr>
        <w:t>est focalisé sur les critères larges énoncés par les articles 215 et 218 du code pénal turc. Sa motivation est ainsi libellée :</w:t>
      </w:r>
    </w:p>
    <w:p w:rsidRPr="001244BB" w:rsidR="000F0B49" w:rsidP="001244BB" w:rsidRDefault="000F0B49">
      <w:pPr>
        <w:pStyle w:val="JuQuot"/>
      </w:pPr>
      <w:r w:rsidRPr="001244BB">
        <w:t>« par l</w:t>
      </w:r>
      <w:r w:rsidRPr="001244BB" w:rsidR="001244BB">
        <w:t>’</w:t>
      </w:r>
      <w:r w:rsidRPr="001244BB">
        <w:t>emploi d</w:t>
      </w:r>
      <w:r w:rsidRPr="001244BB" w:rsidR="001244BB">
        <w:t>’</w:t>
      </w:r>
      <w:r w:rsidRPr="001244BB">
        <w:t>expressions telles que « massacrés » et « les idoles de la jeunesse », [le requérant] a fait l</w:t>
      </w:r>
      <w:r w:rsidRPr="001244BB" w:rsidR="001244BB">
        <w:t>’</w:t>
      </w:r>
      <w:r w:rsidRPr="001244BB">
        <w:t>apologie de [M.Ç.], qui avait commis des infractions par sa participation à plusieurs actes illégaux et qui avait finalement été tué lors d</w:t>
      </w:r>
      <w:r w:rsidRPr="001244BB" w:rsidR="001244BB">
        <w:t>’</w:t>
      </w:r>
      <w:r w:rsidRPr="001244BB">
        <w:t>un affrontement armé survenu entre lui et les forces de sécurité de l</w:t>
      </w:r>
      <w:r w:rsidRPr="001244BB" w:rsidR="001244BB">
        <w:t>’</w:t>
      </w:r>
      <w:r w:rsidRPr="001244BB">
        <w:t>État, ainsi que de ses efforts et comportements visant à sauver des personnes jugées et condamnées à la peine de mort par des tribunaux habilités par la Constitution ».</w:t>
      </w:r>
    </w:p>
    <w:p w:rsidRPr="001244BB" w:rsidR="000F0B49" w:rsidP="001244BB" w:rsidRDefault="000F0B49">
      <w:pPr>
        <w:pStyle w:val="JuPara"/>
      </w:pPr>
      <w:r w:rsidRPr="001244BB">
        <w:t>7.  Je rappelle ici que, dans le cadre de l</w:t>
      </w:r>
      <w:r w:rsidRPr="001244BB" w:rsidR="001244BB">
        <w:t>’</w:t>
      </w:r>
      <w:r w:rsidRPr="001244BB">
        <w:t>article 10 de la Convention, l</w:t>
      </w:r>
      <w:r w:rsidRPr="001244BB" w:rsidR="001244BB">
        <w:t>’</w:t>
      </w:r>
      <w:r w:rsidRPr="001244BB">
        <w:t>analyse doit généralement tenir compte du contexte, notamment de la teneur des propos incriminés, du contexte dans lequel ils ont été tenus, de la motivation de leur auteur et de leurs répercussions prévisibles (</w:t>
      </w:r>
      <w:proofErr w:type="spellStart"/>
      <w:r w:rsidRPr="001244BB">
        <w:rPr>
          <w:i/>
        </w:rPr>
        <w:t>Perinçek</w:t>
      </w:r>
      <w:proofErr w:type="spellEnd"/>
      <w:r w:rsidRPr="001244BB">
        <w:rPr>
          <w:i/>
        </w:rPr>
        <w:t xml:space="preserve"> c. Suisse</w:t>
      </w:r>
      <w:r w:rsidRPr="001244BB">
        <w:t>, précité au paragraphe 3 ci-dessus, §§ 204</w:t>
      </w:r>
      <w:r w:rsidRPr="001244BB">
        <w:noBreakHyphen/>
        <w:t>208). Des considérations particulières peuvent s</w:t>
      </w:r>
      <w:r w:rsidRPr="001244BB" w:rsidR="001244BB">
        <w:t>’</w:t>
      </w:r>
      <w:r w:rsidRPr="001244BB">
        <w:t>appliquer aux débats d</w:t>
      </w:r>
      <w:r w:rsidRPr="001244BB" w:rsidR="001244BB">
        <w:t>’</w:t>
      </w:r>
      <w:r w:rsidRPr="001244BB">
        <w:t>ordre historique (</w:t>
      </w:r>
      <w:r w:rsidRPr="001244BB">
        <w:rPr>
          <w:i/>
        </w:rPr>
        <w:t>ibidem</w:t>
      </w:r>
      <w:r w:rsidRPr="001244BB" w:rsidR="00C744A9">
        <w:t>, §§ 213</w:t>
      </w:r>
      <w:r w:rsidRPr="001244BB" w:rsidR="00C744A9">
        <w:noBreakHyphen/>
      </w:r>
      <w:r w:rsidRPr="001244BB">
        <w:t>220). Il convient par ailleurs de mettre en balance les intérêts concurrents et les valeurs en jeu, conformément aux principes définis par la jurisprudence de la Cour concernant l</w:t>
      </w:r>
      <w:r w:rsidRPr="001244BB" w:rsidR="001244BB">
        <w:t>’</w:t>
      </w:r>
      <w:r w:rsidRPr="001244BB">
        <w:t>article 10. Je ne peux qu</w:t>
      </w:r>
      <w:r w:rsidRPr="001244BB" w:rsidR="001244BB">
        <w:t>’</w:t>
      </w:r>
      <w:r w:rsidRPr="001244BB">
        <w:t>observer que le jugement rendu par le tribunal correctionnel, tel qu</w:t>
      </w:r>
      <w:r w:rsidRPr="001244BB" w:rsidR="001244BB">
        <w:t>’</w:t>
      </w:r>
      <w:r w:rsidRPr="001244BB">
        <w:t>il est cité ci-dessus (paragraphe 6), n</w:t>
      </w:r>
      <w:r w:rsidRPr="001244BB" w:rsidR="001244BB">
        <w:t>’</w:t>
      </w:r>
      <w:r w:rsidRPr="001244BB">
        <w:t>est pas loin de manquer à toutes ces obligations. Au vu de sa motivation, il n</w:t>
      </w:r>
      <w:r w:rsidRPr="001244BB" w:rsidR="001244BB">
        <w:t>’</w:t>
      </w:r>
      <w:r w:rsidRPr="001244BB">
        <w:t>est par conséquent pas possible de conclure que le tribunal, lorsqu</w:t>
      </w:r>
      <w:r w:rsidRPr="001244BB" w:rsidR="001244BB">
        <w:t>’</w:t>
      </w:r>
      <w:r w:rsidRPr="001244BB">
        <w:t>il a condamné le requérant, a appliqué des règles conformes aux principes consacrés à l</w:t>
      </w:r>
      <w:r w:rsidRPr="001244BB" w:rsidR="001244BB">
        <w:t>’</w:t>
      </w:r>
      <w:r w:rsidRPr="001244BB">
        <w:t>article 10.</w:t>
      </w:r>
    </w:p>
    <w:p w:rsidRPr="001244BB" w:rsidR="000F0B49" w:rsidP="001244BB" w:rsidRDefault="000F0B49">
      <w:pPr>
        <w:pStyle w:val="JuPara"/>
      </w:pPr>
      <w:r w:rsidRPr="001244BB">
        <w:t>8.  Dans des affaires examinées sous l</w:t>
      </w:r>
      <w:r w:rsidRPr="001244BB" w:rsidR="001244BB">
        <w:t>’</w:t>
      </w:r>
      <w:r w:rsidRPr="001244BB">
        <w:t>angle de l</w:t>
      </w:r>
      <w:r w:rsidRPr="001244BB" w:rsidR="001244BB">
        <w:t>’</w:t>
      </w:r>
      <w:r w:rsidRPr="001244BB">
        <w:t>article 10 de la Convention, l</w:t>
      </w:r>
      <w:r w:rsidRPr="001244BB" w:rsidR="001244BB">
        <w:t>’</w:t>
      </w:r>
      <w:r w:rsidRPr="001244BB">
        <w:t>absence de motivation au niveau interne a d</w:t>
      </w:r>
      <w:r w:rsidRPr="001244BB" w:rsidR="001244BB">
        <w:t>’</w:t>
      </w:r>
      <w:r w:rsidRPr="001244BB">
        <w:t>abord et avant tout amené la Cour à constater une violation dans des cas-limites où la compréhension de la teneur des déclarations en cause était discutable, en particulier quant au point de savoir s</w:t>
      </w:r>
      <w:r w:rsidRPr="001244BB" w:rsidR="001244BB">
        <w:t>’</w:t>
      </w:r>
      <w:r w:rsidRPr="001244BB">
        <w:t>il s</w:t>
      </w:r>
      <w:r w:rsidRPr="001244BB" w:rsidR="001244BB">
        <w:t>’</w:t>
      </w:r>
      <w:r w:rsidRPr="001244BB">
        <w:t>agissait d</w:t>
      </w:r>
      <w:r w:rsidRPr="001244BB" w:rsidR="001244BB">
        <w:t>’</w:t>
      </w:r>
      <w:r w:rsidRPr="001244BB">
        <w:t>un discours de haine ou d</w:t>
      </w:r>
      <w:r w:rsidRPr="001244BB" w:rsidR="001244BB">
        <w:t>’</w:t>
      </w:r>
      <w:r w:rsidRPr="001244BB">
        <w:t>un appel à la violence. C</w:t>
      </w:r>
      <w:r w:rsidRPr="001244BB" w:rsidR="001244BB">
        <w:t>’</w:t>
      </w:r>
      <w:r w:rsidRPr="001244BB">
        <w:t>est dans des situations de ce type que l</w:t>
      </w:r>
      <w:r w:rsidRPr="001244BB" w:rsidR="001244BB">
        <w:t>’</w:t>
      </w:r>
      <w:r w:rsidRPr="001244BB">
        <w:t>absence d</w:t>
      </w:r>
      <w:r w:rsidRPr="001244BB" w:rsidR="001244BB">
        <w:t>’</w:t>
      </w:r>
      <w:r w:rsidRPr="001244BB">
        <w:t>évaluation par les juridictions internes de la nature et du contexte des déclarations à l</w:t>
      </w:r>
      <w:r w:rsidRPr="001244BB" w:rsidR="001244BB">
        <w:t>’</w:t>
      </w:r>
      <w:r w:rsidRPr="001244BB">
        <w:t>origine de la procédure pénale prend toute son importance. En d</w:t>
      </w:r>
      <w:r w:rsidRPr="001244BB" w:rsidR="001244BB">
        <w:t>’</w:t>
      </w:r>
      <w:r w:rsidRPr="001244BB">
        <w:t>autres termes, lorsqu</w:t>
      </w:r>
      <w:r w:rsidRPr="001244BB" w:rsidR="001244BB">
        <w:t>’</w:t>
      </w:r>
      <w:r w:rsidRPr="001244BB">
        <w:t>aucune analyse de telles déclarations n</w:t>
      </w:r>
      <w:r w:rsidRPr="001244BB" w:rsidR="001244BB">
        <w:t>’</w:t>
      </w:r>
      <w:r w:rsidRPr="001244BB">
        <w:t>a été menée au niveau interne, la Cour ne se livrera en principe pas à sa propre appréciation de première instance. Lorsqu</w:t>
      </w:r>
      <w:r w:rsidRPr="001244BB" w:rsidR="001244BB">
        <w:t>’</w:t>
      </w:r>
      <w:r w:rsidRPr="001244BB">
        <w:t>il est clair, toutefois, qu</w:t>
      </w:r>
      <w:r w:rsidRPr="001244BB" w:rsidR="001244BB">
        <w:t>’</w:t>
      </w:r>
      <w:r w:rsidRPr="001244BB">
        <w:t xml:space="preserve">une déclaration ne peut </w:t>
      </w:r>
      <w:r w:rsidRPr="001244BB">
        <w:rPr>
          <w:i/>
        </w:rPr>
        <w:t>a priori</w:t>
      </w:r>
      <w:r w:rsidRPr="001244BB">
        <w:t xml:space="preserve"> pas être raisonnablement comprise autrement que comme une tentative d</w:t>
      </w:r>
      <w:r w:rsidRPr="001244BB" w:rsidR="001244BB">
        <w:t>’</w:t>
      </w:r>
      <w:r w:rsidRPr="001244BB">
        <w:t>appel à des actions violentes ou de diffusion d</w:t>
      </w:r>
      <w:r w:rsidRPr="001244BB" w:rsidR="001244BB">
        <w:t>’</w:t>
      </w:r>
      <w:r w:rsidRPr="001244BB">
        <w:t>un discours de haine, l</w:t>
      </w:r>
      <w:r w:rsidRPr="001244BB" w:rsidR="001244BB">
        <w:t>’</w:t>
      </w:r>
      <w:r w:rsidRPr="001244BB">
        <w:t>absence d</w:t>
      </w:r>
      <w:r w:rsidRPr="001244BB" w:rsidR="001244BB">
        <w:t>’</w:t>
      </w:r>
      <w:r w:rsidRPr="001244BB">
        <w:t>appréciation explicite par la juridiction nationale ne suffira pas nécessairement à clore le débat aux fins de la Convention (</w:t>
      </w:r>
      <w:proofErr w:type="spellStart"/>
      <w:r w:rsidRPr="001244BB">
        <w:rPr>
          <w:i/>
        </w:rPr>
        <w:t>Gürbüz</w:t>
      </w:r>
      <w:proofErr w:type="spellEnd"/>
      <w:r w:rsidRPr="001244BB">
        <w:rPr>
          <w:i/>
        </w:rPr>
        <w:t xml:space="preserve"> et Bayar c. Turquie</w:t>
      </w:r>
      <w:r w:rsidRPr="001244BB">
        <w:t>, n</w:t>
      </w:r>
      <w:r w:rsidRPr="001244BB">
        <w:rPr>
          <w:vertAlign w:val="superscript"/>
        </w:rPr>
        <w:t>o</w:t>
      </w:r>
      <w:r w:rsidRPr="001244BB">
        <w:t xml:space="preserve"> 8860/13, 23 juillet 2019).</w:t>
      </w:r>
    </w:p>
    <w:p w:rsidRPr="001244BB" w:rsidR="000F0B49" w:rsidP="001244BB" w:rsidRDefault="000F0B49">
      <w:pPr>
        <w:pStyle w:val="JuPara"/>
      </w:pPr>
      <w:r w:rsidRPr="001244BB">
        <w:t>9.  Dans la présente affaire, l</w:t>
      </w:r>
      <w:r w:rsidRPr="001244BB" w:rsidR="001244BB">
        <w:t>’</w:t>
      </w:r>
      <w:r w:rsidRPr="001244BB">
        <w:t>énoncé incriminé est bref. Il apparaît qu</w:t>
      </w:r>
      <w:r w:rsidRPr="001244BB" w:rsidR="001244BB">
        <w:t>’</w:t>
      </w:r>
      <w:r w:rsidRPr="001244BB">
        <w:t>il a été publié à l</w:t>
      </w:r>
      <w:r w:rsidRPr="001244BB" w:rsidR="001244BB">
        <w:t>’</w:t>
      </w:r>
      <w:r w:rsidRPr="001244BB">
        <w:t>occasion du trente-cinquième anniversaire des événements mentionnés. Il est ainsi libellé :</w:t>
      </w:r>
    </w:p>
    <w:p w:rsidRPr="001244BB" w:rsidR="000F0B49" w:rsidP="001244BB" w:rsidRDefault="000F0B49">
      <w:pPr>
        <w:pStyle w:val="JuQuot"/>
      </w:pPr>
      <w:r w:rsidRPr="001244BB">
        <w:t xml:space="preserve">« Le 30 mars 1972, un groupe de jeunes révolutionnaires ont été [assaillis] au village de </w:t>
      </w:r>
      <w:proofErr w:type="spellStart"/>
      <w:r w:rsidRPr="001244BB">
        <w:t>Kızıldere</w:t>
      </w:r>
      <w:proofErr w:type="spellEnd"/>
      <w:r w:rsidRPr="001244BB">
        <w:t xml:space="preserve"> de Tokat. M.Ç. et ses amis, qui voulaient empêcher l</w:t>
      </w:r>
      <w:r w:rsidRPr="001244BB" w:rsidR="001244BB">
        <w:t>’</w:t>
      </w:r>
      <w:r w:rsidRPr="001244BB">
        <w:t xml:space="preserve">exécution de D.G. et de ses amis, ont enlevé les techniciens qui se trouvaient dans une base anglaise à </w:t>
      </w:r>
      <w:proofErr w:type="spellStart"/>
      <w:r w:rsidRPr="001244BB">
        <w:t>Ünye</w:t>
      </w:r>
      <w:proofErr w:type="spellEnd"/>
      <w:r w:rsidRPr="001244BB">
        <w:t>. Ils ont voulu stopper l</w:t>
      </w:r>
      <w:r w:rsidRPr="001244BB" w:rsidR="001244BB">
        <w:t>’</w:t>
      </w:r>
      <w:r w:rsidRPr="001244BB">
        <w:t>exécution de leurs amis D.G., H.İ. et Y.A., mais ils ont été massacrés sans parvenir [à leur but]. M. et ses amis vivent toujours comme les idoles de la jeunesse. »</w:t>
      </w:r>
    </w:p>
    <w:p w:rsidRPr="001244BB" w:rsidR="000F0B49" w:rsidP="001244BB" w:rsidRDefault="000F0B49">
      <w:pPr>
        <w:pStyle w:val="JuPara"/>
      </w:pPr>
      <w:r w:rsidRPr="001244BB">
        <w:t>10.  Il peut être lu de différentes manières, et même comme une déclaration politique – une interprétation d</w:t>
      </w:r>
      <w:r w:rsidRPr="001244BB" w:rsidR="001244BB">
        <w:t>’</w:t>
      </w:r>
      <w:r w:rsidRPr="001244BB">
        <w:t>un événement historique placé dans un contexte contemporain. Il est vrai, en effet, que cet article manque de précision et d</w:t>
      </w:r>
      <w:r w:rsidRPr="001244BB" w:rsidR="001244BB">
        <w:t>’</w:t>
      </w:r>
      <w:r w:rsidRPr="001244BB">
        <w:t>équilibre, et qu</w:t>
      </w:r>
      <w:r w:rsidRPr="001244BB" w:rsidR="001244BB">
        <w:t>’</w:t>
      </w:r>
      <w:r w:rsidRPr="001244BB">
        <w:t>il est vraisemblablement sélectif, notamment en ce qu</w:t>
      </w:r>
      <w:r w:rsidRPr="001244BB" w:rsidR="001244BB">
        <w:t>’</w:t>
      </w:r>
      <w:r w:rsidRPr="001244BB">
        <w:t>il omet de mentionner que M.Ç. et son groupe étaient armés, qu</w:t>
      </w:r>
      <w:r w:rsidRPr="001244BB" w:rsidR="001244BB">
        <w:t>’</w:t>
      </w:r>
      <w:r w:rsidRPr="001244BB">
        <w:t>ils avaient tué les otages et que l</w:t>
      </w:r>
      <w:r w:rsidRPr="001244BB" w:rsidR="001244BB">
        <w:t>’</w:t>
      </w:r>
      <w:r w:rsidRPr="001244BB">
        <w:t>opération de police au cours de laquelle ils ont eux-mêmes été tués était autorisée et légale. Les membres du groupe y sont, par ailleurs, dépeints comme des victimes, l</w:t>
      </w:r>
      <w:r w:rsidRPr="001244BB" w:rsidR="001244BB">
        <w:t>’</w:t>
      </w:r>
      <w:r w:rsidRPr="001244BB">
        <w:t>emploi du mot « massacrés » laissant entendre qu</w:t>
      </w:r>
      <w:r w:rsidRPr="001244BB" w:rsidR="001244BB">
        <w:t>’</w:t>
      </w:r>
      <w:r w:rsidRPr="001244BB">
        <w:t>ils étaient sans défense et que leur homicide aurait été illégitime et excessivement brutal. La tonalité générale positive est renforcée par l</w:t>
      </w:r>
      <w:r w:rsidRPr="001244BB" w:rsidR="001244BB">
        <w:t>’</w:t>
      </w:r>
      <w:r w:rsidRPr="001244BB">
        <w:t>information – apparemment factuelle – selon laquelle les membres du groupe demeurent des héros parmi les jeunes. Il convient toutefois également de noter que cette déclaration n</w:t>
      </w:r>
      <w:r w:rsidRPr="001244BB" w:rsidR="001244BB">
        <w:t>’</w:t>
      </w:r>
      <w:r w:rsidRPr="001244BB">
        <w:t xml:space="preserve">indique en rien que le requérant aurait approuvé le meurtre des otages, ni ne contient aucune incitation directe à mener des actions violentes similaires contre des civils ou contre la police. </w:t>
      </w:r>
      <w:r w:rsidRPr="001244BB">
        <w:rPr>
          <w:rFonts w:cstheme="minorHAnsi"/>
        </w:rPr>
        <w:t>De</w:t>
      </w:r>
      <w:r w:rsidRPr="001244BB">
        <w:t xml:space="preserve"> la seule lecture de ce bref texte, on ne peut pas non plus raisonnablement déduire que l</w:t>
      </w:r>
      <w:r w:rsidRPr="001244BB" w:rsidR="001244BB">
        <w:t>’</w:t>
      </w:r>
      <w:r w:rsidRPr="001244BB">
        <w:t>auteur avait des intentions en ce sens.</w:t>
      </w:r>
    </w:p>
    <w:p w:rsidRPr="001244BB" w:rsidR="00D530BE" w:rsidP="001244BB" w:rsidRDefault="000F0B49">
      <w:pPr>
        <w:pStyle w:val="JuPara"/>
      </w:pPr>
      <w:r w:rsidRPr="001244BB">
        <w:t>11.  Pour moi, l</w:t>
      </w:r>
      <w:r w:rsidRPr="001244BB" w:rsidR="001244BB">
        <w:t>’</w:t>
      </w:r>
      <w:r w:rsidRPr="001244BB">
        <w:t>énoncé incriminé de l</w:t>
      </w:r>
      <w:r w:rsidRPr="001244BB" w:rsidR="001244BB">
        <w:t>’</w:t>
      </w:r>
      <w:r w:rsidRPr="001244BB">
        <w:t>article publié par le requérant dans son journal est un cas-limite dont la compréhension est discutable. Il découle du principe de subsidiarité qu</w:t>
      </w:r>
      <w:r w:rsidRPr="001244BB" w:rsidR="001244BB">
        <w:t>’</w:t>
      </w:r>
      <w:r w:rsidRPr="001244BB">
        <w:t>en pareil cas, lorsque la juridiction interne n</w:t>
      </w:r>
      <w:r w:rsidRPr="001244BB" w:rsidR="001244BB">
        <w:t>’</w:t>
      </w:r>
      <w:r w:rsidRPr="001244BB">
        <w:t>a pas examiné de manière appropriée la nature et le contexte des propos qui ont été interdits, la Cour ne peut « venir à la rescousse ». Le manquement de la juridiction nationale est donc, en soi, décisif pour conclure à une violation de l</w:t>
      </w:r>
      <w:r w:rsidRPr="001244BB" w:rsidR="001244BB">
        <w:t>’</w:t>
      </w:r>
      <w:r w:rsidRPr="001244BB">
        <w:t>article 10.</w:t>
      </w:r>
    </w:p>
    <w:sectPr w:rsidRPr="001244BB" w:rsidR="00D530BE" w:rsidSect="000F0B49">
      <w:headerReference w:type="even" r:id="rId14"/>
      <w:headerReference w:type="default" r:id="rId15"/>
      <w:footnotePr>
        <w:numRestart w:val="eachSect"/>
      </w:footnotePr>
      <w:pgSz w:w="11906" w:h="16838" w:code="9"/>
      <w:pgMar w:top="2274" w:right="2274" w:bottom="2274" w:left="2274" w:header="1701"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2AD5" w:rsidRPr="009020E3" w:rsidRDefault="00262AD5" w:rsidP="00516B59">
      <w:r w:rsidRPr="009020E3">
        <w:separator/>
      </w:r>
    </w:p>
  </w:endnote>
  <w:endnote w:type="continuationSeparator" w:id="0">
    <w:p w:rsidR="00262AD5" w:rsidRPr="009020E3" w:rsidRDefault="00262AD5" w:rsidP="00516B59">
      <w:r w:rsidRPr="009020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2AD5" w:rsidRPr="004A7A1C" w:rsidRDefault="00262AD5" w:rsidP="004A7A1C">
    <w:pPr>
      <w:pStyle w:val="Footer0"/>
      <w:jc w:val="center"/>
      <w:rPr>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2AD5" w:rsidRPr="00150BFA" w:rsidRDefault="00262AD5" w:rsidP="00262AD5">
    <w:pPr>
      <w:jc w:val="center"/>
    </w:pPr>
    <w:r>
      <w:rPr>
        <w:noProof/>
        <w:lang w:val="en-US" w:eastAsia="ja-JP"/>
      </w:rPr>
      <w:drawing>
        <wp:inline distT="0" distB="0" distL="0" distR="0" wp14:anchorId="724B51D7" wp14:editId="4E8F9D97">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62AD5" w:rsidRPr="009020E3" w:rsidRDefault="00262AD5" w:rsidP="00F27D13">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2AD5" w:rsidRPr="002C1AD6" w:rsidRDefault="00262AD5" w:rsidP="002C1AD6">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2AD5" w:rsidRPr="009020E3" w:rsidRDefault="00262AD5" w:rsidP="00516B59">
      <w:r w:rsidRPr="009020E3">
        <w:separator/>
      </w:r>
    </w:p>
  </w:footnote>
  <w:footnote w:type="continuationSeparator" w:id="0">
    <w:p w:rsidR="00262AD5" w:rsidRPr="009020E3" w:rsidRDefault="00262AD5" w:rsidP="00516B59">
      <w:r w:rsidRPr="009020E3">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2AD5" w:rsidRPr="00A45145" w:rsidRDefault="00262AD5" w:rsidP="00262AD5">
    <w:pPr>
      <w:jc w:val="center"/>
    </w:pPr>
    <w:r>
      <w:rPr>
        <w:noProof/>
        <w:lang w:val="en-US" w:eastAsia="ja-JP"/>
      </w:rPr>
      <w:drawing>
        <wp:inline distT="0" distB="0" distL="0" distR="0" wp14:anchorId="4FABC200" wp14:editId="0B3E5B90">
          <wp:extent cx="2962275" cy="1219200"/>
          <wp:effectExtent l="0" t="0" r="9525" b="0"/>
          <wp:docPr id="8" name="Picture 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262AD5" w:rsidRPr="009020E3" w:rsidRDefault="00262AD5" w:rsidP="00262AD5"/>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2AD5" w:rsidRPr="00ED6CEF" w:rsidRDefault="002C1AD6" w:rsidP="000F0B49">
    <w:pPr>
      <w:pStyle w:val="JuHeader"/>
      <w:tabs>
        <w:tab w:val="center" w:pos="3685"/>
      </w:tabs>
      <w:jc w:val="left"/>
    </w:pPr>
    <w:r w:rsidRPr="002C1AD6">
      <w:rPr>
        <w:lang w:val="en-GB"/>
      </w:rPr>
      <w:fldChar w:fldCharType="begin"/>
    </w:r>
    <w:r w:rsidRPr="002C1AD6">
      <w:rPr>
        <w:lang w:val="en-GB"/>
      </w:rPr>
      <w:instrText xml:space="preserve"> PAGE </w:instrText>
    </w:r>
    <w:r w:rsidRPr="002C1AD6">
      <w:rPr>
        <w:lang w:val="en-GB"/>
      </w:rPr>
      <w:fldChar w:fldCharType="separate"/>
    </w:r>
    <w:r w:rsidR="00261ED2">
      <w:rPr>
        <w:noProof/>
        <w:lang w:val="en-GB"/>
      </w:rPr>
      <w:t>10</w:t>
    </w:r>
    <w:r w:rsidRPr="002C1AD6">
      <w:fldChar w:fldCharType="end"/>
    </w:r>
    <w:r w:rsidR="00262AD5" w:rsidRPr="00ED6CEF">
      <w:tab/>
    </w:r>
    <w:r w:rsidR="00262AD5" w:rsidRPr="000F0B49">
      <w:rPr>
        <w:lang w:val="en-US"/>
      </w:rPr>
      <w:t>ARRÊT ALTINTAŞ c. TURQUIE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2AD5" w:rsidRPr="00662882" w:rsidRDefault="00262AD5" w:rsidP="000F0B49">
    <w:pPr>
      <w:pStyle w:val="JuHeader"/>
      <w:tabs>
        <w:tab w:val="center" w:pos="3686"/>
        <w:tab w:val="right" w:pos="7371"/>
      </w:tabs>
      <w:jc w:val="left"/>
    </w:pPr>
    <w:r>
      <w:rPr>
        <w:lang w:val="en-US"/>
      </w:rPr>
      <w:tab/>
    </w:r>
    <w:r w:rsidRPr="00592C8D">
      <w:rPr>
        <w:lang w:val="en-US"/>
      </w:rPr>
      <w:t xml:space="preserve">ARRÊT </w:t>
    </w:r>
    <w:r>
      <w:rPr>
        <w:lang w:val="en-US"/>
      </w:rPr>
      <w:t>ALTINTAŞ c. TURQUIE</w:t>
    </w:r>
    <w:r>
      <w:rPr>
        <w:lang w:val="en-US"/>
      </w:rPr>
      <w:tab/>
    </w:r>
    <w:r w:rsidR="002C1AD6" w:rsidRPr="002C1AD6">
      <w:rPr>
        <w:lang w:val="en-GB"/>
      </w:rPr>
      <w:fldChar w:fldCharType="begin"/>
    </w:r>
    <w:r w:rsidR="002C1AD6" w:rsidRPr="002C1AD6">
      <w:rPr>
        <w:lang w:val="en-GB"/>
      </w:rPr>
      <w:instrText xml:space="preserve"> PAGE </w:instrText>
    </w:r>
    <w:r w:rsidR="002C1AD6" w:rsidRPr="002C1AD6">
      <w:rPr>
        <w:lang w:val="en-GB"/>
      </w:rPr>
      <w:fldChar w:fldCharType="separate"/>
    </w:r>
    <w:r w:rsidR="00261ED2">
      <w:rPr>
        <w:noProof/>
        <w:lang w:val="en-GB"/>
      </w:rPr>
      <w:t>1</w:t>
    </w:r>
    <w:r w:rsidR="002C1AD6" w:rsidRPr="002C1AD6">
      <w:rPr>
        <w:lang w:val="en-US"/>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2AD5" w:rsidRPr="00ED6CEF" w:rsidRDefault="002C1AD6" w:rsidP="000F0B49">
    <w:pPr>
      <w:pStyle w:val="JuHeader"/>
      <w:tabs>
        <w:tab w:val="center" w:pos="3685"/>
      </w:tabs>
      <w:jc w:val="left"/>
    </w:pPr>
    <w:r w:rsidRPr="002C1AD6">
      <w:rPr>
        <w:lang w:val="en-GB"/>
      </w:rPr>
      <w:fldChar w:fldCharType="begin"/>
    </w:r>
    <w:r w:rsidRPr="00520C3F">
      <w:instrText xml:space="preserve"> PAGE </w:instrText>
    </w:r>
    <w:r w:rsidRPr="002C1AD6">
      <w:rPr>
        <w:lang w:val="en-GB"/>
      </w:rPr>
      <w:fldChar w:fldCharType="separate"/>
    </w:r>
    <w:r w:rsidR="00261ED2">
      <w:rPr>
        <w:noProof/>
      </w:rPr>
      <w:t>12</w:t>
    </w:r>
    <w:r w:rsidRPr="002C1AD6">
      <w:fldChar w:fldCharType="end"/>
    </w:r>
    <w:r w:rsidR="00262AD5" w:rsidRPr="00ED6CEF">
      <w:tab/>
    </w:r>
    <w:r w:rsidR="00262AD5" w:rsidRPr="000F0B49">
      <w:t>ARRÊT ALTINTAŞ c. TURQUIE - OPINION SÉPARÉE</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2AD5" w:rsidRPr="00662882" w:rsidRDefault="00262AD5" w:rsidP="000F0B49">
    <w:pPr>
      <w:pStyle w:val="JuHeader"/>
      <w:tabs>
        <w:tab w:val="center" w:pos="3685"/>
        <w:tab w:val="right" w:pos="7370"/>
      </w:tabs>
      <w:jc w:val="left"/>
    </w:pPr>
    <w:r>
      <w:rPr>
        <w:lang w:val="en-US"/>
      </w:rPr>
      <w:tab/>
    </w:r>
    <w:r w:rsidRPr="000F0B49">
      <w:t>ARRÊT ALTINTAŞ c. TURQUIE - OPINION SÉPARÉE</w:t>
    </w:r>
    <w:r w:rsidRPr="000F0B49">
      <w:tab/>
    </w:r>
    <w:r w:rsidR="002C1AD6" w:rsidRPr="002C1AD6">
      <w:rPr>
        <w:lang w:val="en-GB"/>
      </w:rPr>
      <w:fldChar w:fldCharType="begin"/>
    </w:r>
    <w:r w:rsidR="002C1AD6" w:rsidRPr="00520C3F">
      <w:instrText xml:space="preserve"> PAGE </w:instrText>
    </w:r>
    <w:r w:rsidR="002C1AD6" w:rsidRPr="002C1AD6">
      <w:rPr>
        <w:lang w:val="en-GB"/>
      </w:rPr>
      <w:fldChar w:fldCharType="separate"/>
    </w:r>
    <w:r w:rsidR="00261ED2">
      <w:rPr>
        <w:noProof/>
      </w:rPr>
      <w:t>13</w:t>
    </w:r>
    <w:r w:rsidR="002C1AD6" w:rsidRPr="002C1AD6">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7">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8">
    <w:nsid w:val="69B170C5"/>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6"/>
  </w:num>
  <w:num w:numId="2">
    <w:abstractNumId w:val="16"/>
  </w:num>
  <w:num w:numId="3">
    <w:abstractNumId w:val="13"/>
  </w:num>
  <w:num w:numId="4">
    <w:abstractNumId w:val="11"/>
  </w:num>
  <w:num w:numId="5">
    <w:abstractNumId w:val="10"/>
  </w:num>
  <w:num w:numId="6">
    <w:abstractNumId w:val="14"/>
  </w:num>
  <w:num w:numId="7">
    <w:abstractNumId w:val="12"/>
  </w:num>
  <w:num w:numId="8">
    <w:abstractNumId w:val="15"/>
  </w:num>
  <w:num w:numId="9">
    <w:abstractNumId w:val="18"/>
  </w:num>
  <w:num w:numId="10">
    <w:abstractNumId w:val="17"/>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8673"/>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3F4D18"/>
    <w:rsid w:val="000041F8"/>
    <w:rsid w:val="000042A8"/>
    <w:rsid w:val="00004308"/>
    <w:rsid w:val="00005BF0"/>
    <w:rsid w:val="00007154"/>
    <w:rsid w:val="000103AE"/>
    <w:rsid w:val="00011D69"/>
    <w:rsid w:val="00012AD3"/>
    <w:rsid w:val="00015C2D"/>
    <w:rsid w:val="00015F00"/>
    <w:rsid w:val="00022C1D"/>
    <w:rsid w:val="00034987"/>
    <w:rsid w:val="00051015"/>
    <w:rsid w:val="000602DF"/>
    <w:rsid w:val="00061B05"/>
    <w:rsid w:val="000632D5"/>
    <w:rsid w:val="000644EE"/>
    <w:rsid w:val="00080ECE"/>
    <w:rsid w:val="0009057B"/>
    <w:rsid w:val="000925AD"/>
    <w:rsid w:val="000A24EB"/>
    <w:rsid w:val="000B5D17"/>
    <w:rsid w:val="000B6923"/>
    <w:rsid w:val="000C5F3C"/>
    <w:rsid w:val="000C6DCC"/>
    <w:rsid w:val="000D04C2"/>
    <w:rsid w:val="000D47AA"/>
    <w:rsid w:val="000D721F"/>
    <w:rsid w:val="000E0541"/>
    <w:rsid w:val="000E069B"/>
    <w:rsid w:val="000E0E82"/>
    <w:rsid w:val="000E1DC5"/>
    <w:rsid w:val="000E223F"/>
    <w:rsid w:val="000E4AC8"/>
    <w:rsid w:val="000E7D45"/>
    <w:rsid w:val="000F0B49"/>
    <w:rsid w:val="000F19D8"/>
    <w:rsid w:val="000F7851"/>
    <w:rsid w:val="00104E23"/>
    <w:rsid w:val="00107ED9"/>
    <w:rsid w:val="00111B0C"/>
    <w:rsid w:val="00117CD2"/>
    <w:rsid w:val="00120D6C"/>
    <w:rsid w:val="001244BB"/>
    <w:rsid w:val="001257EC"/>
    <w:rsid w:val="00133D33"/>
    <w:rsid w:val="00134D64"/>
    <w:rsid w:val="00135A30"/>
    <w:rsid w:val="0013612C"/>
    <w:rsid w:val="00137FF6"/>
    <w:rsid w:val="00141650"/>
    <w:rsid w:val="001625AD"/>
    <w:rsid w:val="00162967"/>
    <w:rsid w:val="00162A12"/>
    <w:rsid w:val="00166530"/>
    <w:rsid w:val="00181508"/>
    <w:rsid w:val="001832BD"/>
    <w:rsid w:val="001943B5"/>
    <w:rsid w:val="00194C5B"/>
    <w:rsid w:val="00195134"/>
    <w:rsid w:val="001A0019"/>
    <w:rsid w:val="001A145B"/>
    <w:rsid w:val="001A674C"/>
    <w:rsid w:val="001B3B24"/>
    <w:rsid w:val="001C0F98"/>
    <w:rsid w:val="001C2A42"/>
    <w:rsid w:val="001D63ED"/>
    <w:rsid w:val="001D7348"/>
    <w:rsid w:val="001E035B"/>
    <w:rsid w:val="001E0961"/>
    <w:rsid w:val="001E3EAE"/>
    <w:rsid w:val="001E6F32"/>
    <w:rsid w:val="001F2145"/>
    <w:rsid w:val="001F39F4"/>
    <w:rsid w:val="001F6262"/>
    <w:rsid w:val="001F67B0"/>
    <w:rsid w:val="001F7B3D"/>
    <w:rsid w:val="00204F24"/>
    <w:rsid w:val="00205F9F"/>
    <w:rsid w:val="00210338"/>
    <w:rsid w:val="002115FC"/>
    <w:rsid w:val="00212184"/>
    <w:rsid w:val="0021423C"/>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1ED2"/>
    <w:rsid w:val="00262AD5"/>
    <w:rsid w:val="0026540E"/>
    <w:rsid w:val="00275123"/>
    <w:rsid w:val="00282240"/>
    <w:rsid w:val="002948AD"/>
    <w:rsid w:val="0029739C"/>
    <w:rsid w:val="002A01CC"/>
    <w:rsid w:val="002A61B1"/>
    <w:rsid w:val="002A663C"/>
    <w:rsid w:val="002B444B"/>
    <w:rsid w:val="002B5887"/>
    <w:rsid w:val="002B7E83"/>
    <w:rsid w:val="002C0E27"/>
    <w:rsid w:val="002C1AD6"/>
    <w:rsid w:val="002C3040"/>
    <w:rsid w:val="002D022D"/>
    <w:rsid w:val="002D24BB"/>
    <w:rsid w:val="002D6A90"/>
    <w:rsid w:val="002F29AA"/>
    <w:rsid w:val="002F2AF7"/>
    <w:rsid w:val="002F7E1C"/>
    <w:rsid w:val="00301A75"/>
    <w:rsid w:val="00302F70"/>
    <w:rsid w:val="0030336F"/>
    <w:rsid w:val="0030375E"/>
    <w:rsid w:val="0030660C"/>
    <w:rsid w:val="00306B1A"/>
    <w:rsid w:val="00312A30"/>
    <w:rsid w:val="00316323"/>
    <w:rsid w:val="00320F72"/>
    <w:rsid w:val="0032463E"/>
    <w:rsid w:val="00326224"/>
    <w:rsid w:val="00337EE4"/>
    <w:rsid w:val="00340FFD"/>
    <w:rsid w:val="003506B1"/>
    <w:rsid w:val="00356AC7"/>
    <w:rsid w:val="003609FA"/>
    <w:rsid w:val="00361D45"/>
    <w:rsid w:val="00366264"/>
    <w:rsid w:val="00367B4F"/>
    <w:rsid w:val="003710C8"/>
    <w:rsid w:val="003750BE"/>
    <w:rsid w:val="00387B9D"/>
    <w:rsid w:val="0039364F"/>
    <w:rsid w:val="00396686"/>
    <w:rsid w:val="0039778E"/>
    <w:rsid w:val="003A37B8"/>
    <w:rsid w:val="003B4941"/>
    <w:rsid w:val="003B6A2E"/>
    <w:rsid w:val="003C5714"/>
    <w:rsid w:val="003C6B9F"/>
    <w:rsid w:val="003C6E2A"/>
    <w:rsid w:val="003D0299"/>
    <w:rsid w:val="003D32BE"/>
    <w:rsid w:val="003E3FE3"/>
    <w:rsid w:val="003E6D80"/>
    <w:rsid w:val="003E7A9C"/>
    <w:rsid w:val="003F05FA"/>
    <w:rsid w:val="003F244A"/>
    <w:rsid w:val="003F30B8"/>
    <w:rsid w:val="003F4C45"/>
    <w:rsid w:val="003F4D18"/>
    <w:rsid w:val="003F5F7B"/>
    <w:rsid w:val="003F7D64"/>
    <w:rsid w:val="00401F7D"/>
    <w:rsid w:val="0041177B"/>
    <w:rsid w:val="00414300"/>
    <w:rsid w:val="00425C67"/>
    <w:rsid w:val="00427E7A"/>
    <w:rsid w:val="00431C07"/>
    <w:rsid w:val="004344E6"/>
    <w:rsid w:val="00436C49"/>
    <w:rsid w:val="00445366"/>
    <w:rsid w:val="00447F5B"/>
    <w:rsid w:val="00456549"/>
    <w:rsid w:val="004604A0"/>
    <w:rsid w:val="00461DB0"/>
    <w:rsid w:val="00463926"/>
    <w:rsid w:val="00464C9A"/>
    <w:rsid w:val="00474F3D"/>
    <w:rsid w:val="00477E3A"/>
    <w:rsid w:val="00483E5F"/>
    <w:rsid w:val="00485FF9"/>
    <w:rsid w:val="004907F0"/>
    <w:rsid w:val="0049140B"/>
    <w:rsid w:val="004923A5"/>
    <w:rsid w:val="00496197"/>
    <w:rsid w:val="00496BFB"/>
    <w:rsid w:val="004A15C7"/>
    <w:rsid w:val="004A7A1C"/>
    <w:rsid w:val="004B013B"/>
    <w:rsid w:val="004B112B"/>
    <w:rsid w:val="004C01E4"/>
    <w:rsid w:val="004C086C"/>
    <w:rsid w:val="004C1A3F"/>
    <w:rsid w:val="004C1F56"/>
    <w:rsid w:val="004C27BC"/>
    <w:rsid w:val="004D15F3"/>
    <w:rsid w:val="004D5311"/>
    <w:rsid w:val="004D5DCC"/>
    <w:rsid w:val="004E22F1"/>
    <w:rsid w:val="004F10AF"/>
    <w:rsid w:val="004F11A4"/>
    <w:rsid w:val="004F2389"/>
    <w:rsid w:val="004F304D"/>
    <w:rsid w:val="004F61BE"/>
    <w:rsid w:val="004F66B1"/>
    <w:rsid w:val="00501BDE"/>
    <w:rsid w:val="00511C07"/>
    <w:rsid w:val="00516B59"/>
    <w:rsid w:val="005173A6"/>
    <w:rsid w:val="00520BAA"/>
    <w:rsid w:val="00520C3F"/>
    <w:rsid w:val="00522ABA"/>
    <w:rsid w:val="00525208"/>
    <w:rsid w:val="005257A5"/>
    <w:rsid w:val="005264C0"/>
    <w:rsid w:val="00526A8A"/>
    <w:rsid w:val="00531DF2"/>
    <w:rsid w:val="005442EE"/>
    <w:rsid w:val="00547353"/>
    <w:rsid w:val="005474E7"/>
    <w:rsid w:val="005512A3"/>
    <w:rsid w:val="005578CE"/>
    <w:rsid w:val="00562781"/>
    <w:rsid w:val="00566E2B"/>
    <w:rsid w:val="00566EDE"/>
    <w:rsid w:val="0057271C"/>
    <w:rsid w:val="00572845"/>
    <w:rsid w:val="00576986"/>
    <w:rsid w:val="00592772"/>
    <w:rsid w:val="00592C8D"/>
    <w:rsid w:val="0059574A"/>
    <w:rsid w:val="005A1B9B"/>
    <w:rsid w:val="005A6751"/>
    <w:rsid w:val="005B092E"/>
    <w:rsid w:val="005B152C"/>
    <w:rsid w:val="005B1EE0"/>
    <w:rsid w:val="005B2B24"/>
    <w:rsid w:val="005B4425"/>
    <w:rsid w:val="005B451E"/>
    <w:rsid w:val="005B4B94"/>
    <w:rsid w:val="005C353F"/>
    <w:rsid w:val="005C3EE8"/>
    <w:rsid w:val="005D34F9"/>
    <w:rsid w:val="005D4190"/>
    <w:rsid w:val="005D67A3"/>
    <w:rsid w:val="005E2988"/>
    <w:rsid w:val="005E3085"/>
    <w:rsid w:val="005F319B"/>
    <w:rsid w:val="005F51E1"/>
    <w:rsid w:val="00605BD2"/>
    <w:rsid w:val="00611C80"/>
    <w:rsid w:val="00613B21"/>
    <w:rsid w:val="00620692"/>
    <w:rsid w:val="006242CA"/>
    <w:rsid w:val="00627507"/>
    <w:rsid w:val="00633717"/>
    <w:rsid w:val="006344E1"/>
    <w:rsid w:val="006361FD"/>
    <w:rsid w:val="006545C4"/>
    <w:rsid w:val="00661971"/>
    <w:rsid w:val="00661CE8"/>
    <w:rsid w:val="006623D9"/>
    <w:rsid w:val="00662882"/>
    <w:rsid w:val="0066550C"/>
    <w:rsid w:val="006678CF"/>
    <w:rsid w:val="006716F2"/>
    <w:rsid w:val="00682BF2"/>
    <w:rsid w:val="006859CE"/>
    <w:rsid w:val="00691270"/>
    <w:rsid w:val="00694BA8"/>
    <w:rsid w:val="006A037C"/>
    <w:rsid w:val="006A36F4"/>
    <w:rsid w:val="006A406F"/>
    <w:rsid w:val="006A5D3A"/>
    <w:rsid w:val="006C23D4"/>
    <w:rsid w:val="006C475E"/>
    <w:rsid w:val="006C7BB0"/>
    <w:rsid w:val="006D3237"/>
    <w:rsid w:val="006E2E37"/>
    <w:rsid w:val="006E3CF1"/>
    <w:rsid w:val="006E7E80"/>
    <w:rsid w:val="006F2434"/>
    <w:rsid w:val="006F48CA"/>
    <w:rsid w:val="006F64DD"/>
    <w:rsid w:val="00715127"/>
    <w:rsid w:val="00715E8E"/>
    <w:rsid w:val="007172B0"/>
    <w:rsid w:val="00723580"/>
    <w:rsid w:val="00723755"/>
    <w:rsid w:val="00724AE2"/>
    <w:rsid w:val="0073136C"/>
    <w:rsid w:val="00731F0F"/>
    <w:rsid w:val="00733250"/>
    <w:rsid w:val="00735951"/>
    <w:rsid w:val="00741404"/>
    <w:rsid w:val="007449E5"/>
    <w:rsid w:val="00747FF0"/>
    <w:rsid w:val="007612E2"/>
    <w:rsid w:val="00764D4E"/>
    <w:rsid w:val="00765A1F"/>
    <w:rsid w:val="00775B6D"/>
    <w:rsid w:val="00776D68"/>
    <w:rsid w:val="007850EE"/>
    <w:rsid w:val="00785B95"/>
    <w:rsid w:val="00790AAD"/>
    <w:rsid w:val="00790E96"/>
    <w:rsid w:val="00793366"/>
    <w:rsid w:val="007971FF"/>
    <w:rsid w:val="007A4070"/>
    <w:rsid w:val="007A716F"/>
    <w:rsid w:val="007B270A"/>
    <w:rsid w:val="007C0695"/>
    <w:rsid w:val="007C419A"/>
    <w:rsid w:val="007C4CC8"/>
    <w:rsid w:val="007C5426"/>
    <w:rsid w:val="007C5798"/>
    <w:rsid w:val="007D4832"/>
    <w:rsid w:val="007E21B2"/>
    <w:rsid w:val="007E2C4E"/>
    <w:rsid w:val="007F1905"/>
    <w:rsid w:val="00801300"/>
    <w:rsid w:val="00802C64"/>
    <w:rsid w:val="0080523A"/>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086"/>
    <w:rsid w:val="00873D9C"/>
    <w:rsid w:val="008748BE"/>
    <w:rsid w:val="008754AB"/>
    <w:rsid w:val="00876A02"/>
    <w:rsid w:val="00876F03"/>
    <w:rsid w:val="0088060C"/>
    <w:rsid w:val="00890CE3"/>
    <w:rsid w:val="00891107"/>
    <w:rsid w:val="00893576"/>
    <w:rsid w:val="00893E73"/>
    <w:rsid w:val="00893F30"/>
    <w:rsid w:val="00895F5B"/>
    <w:rsid w:val="008B02DC"/>
    <w:rsid w:val="008B2698"/>
    <w:rsid w:val="008B57CE"/>
    <w:rsid w:val="008C26DE"/>
    <w:rsid w:val="008D2225"/>
    <w:rsid w:val="008D4752"/>
    <w:rsid w:val="008E271C"/>
    <w:rsid w:val="008E418E"/>
    <w:rsid w:val="008E5BC6"/>
    <w:rsid w:val="008E6A25"/>
    <w:rsid w:val="008E7A1B"/>
    <w:rsid w:val="008F5193"/>
    <w:rsid w:val="009013A7"/>
    <w:rsid w:val="009017FB"/>
    <w:rsid w:val="009017FC"/>
    <w:rsid w:val="009020E3"/>
    <w:rsid w:val="0090506B"/>
    <w:rsid w:val="009050C9"/>
    <w:rsid w:val="009066FC"/>
    <w:rsid w:val="009140A3"/>
    <w:rsid w:val="009144A2"/>
    <w:rsid w:val="0091510C"/>
    <w:rsid w:val="009259AC"/>
    <w:rsid w:val="00926F38"/>
    <w:rsid w:val="00934301"/>
    <w:rsid w:val="00936CD1"/>
    <w:rsid w:val="009375A5"/>
    <w:rsid w:val="00941747"/>
    <w:rsid w:val="00941EFB"/>
    <w:rsid w:val="00947AFB"/>
    <w:rsid w:val="00951D7D"/>
    <w:rsid w:val="0095695E"/>
    <w:rsid w:val="009630C7"/>
    <w:rsid w:val="00972B55"/>
    <w:rsid w:val="009743B7"/>
    <w:rsid w:val="00975039"/>
    <w:rsid w:val="00977227"/>
    <w:rsid w:val="0098228B"/>
    <w:rsid w:val="009828DA"/>
    <w:rsid w:val="00985BAB"/>
    <w:rsid w:val="009B1B5F"/>
    <w:rsid w:val="009B6673"/>
    <w:rsid w:val="009C191B"/>
    <w:rsid w:val="009C2BD6"/>
    <w:rsid w:val="009D2F52"/>
    <w:rsid w:val="009E16D2"/>
    <w:rsid w:val="009E1F32"/>
    <w:rsid w:val="009E776C"/>
    <w:rsid w:val="00A132AD"/>
    <w:rsid w:val="00A1726E"/>
    <w:rsid w:val="00A204CF"/>
    <w:rsid w:val="00A21624"/>
    <w:rsid w:val="00A23D49"/>
    <w:rsid w:val="00A27004"/>
    <w:rsid w:val="00A30C29"/>
    <w:rsid w:val="00A34DD6"/>
    <w:rsid w:val="00A36819"/>
    <w:rsid w:val="00A36989"/>
    <w:rsid w:val="00A43628"/>
    <w:rsid w:val="00A43AA3"/>
    <w:rsid w:val="00A4783F"/>
    <w:rsid w:val="00A54192"/>
    <w:rsid w:val="00A6035E"/>
    <w:rsid w:val="00A6144C"/>
    <w:rsid w:val="00A66617"/>
    <w:rsid w:val="00A671F8"/>
    <w:rsid w:val="00A673A4"/>
    <w:rsid w:val="00A724AE"/>
    <w:rsid w:val="00A73329"/>
    <w:rsid w:val="00A75785"/>
    <w:rsid w:val="00A82359"/>
    <w:rsid w:val="00A865D2"/>
    <w:rsid w:val="00A94C20"/>
    <w:rsid w:val="00AA227F"/>
    <w:rsid w:val="00AA3BC7"/>
    <w:rsid w:val="00AA754A"/>
    <w:rsid w:val="00AB099E"/>
    <w:rsid w:val="00AB4328"/>
    <w:rsid w:val="00AB5628"/>
    <w:rsid w:val="00AC00C2"/>
    <w:rsid w:val="00AC5872"/>
    <w:rsid w:val="00AE0A2E"/>
    <w:rsid w:val="00AE354C"/>
    <w:rsid w:val="00AF4B07"/>
    <w:rsid w:val="00AF6186"/>
    <w:rsid w:val="00AF7A3A"/>
    <w:rsid w:val="00B009F4"/>
    <w:rsid w:val="00B160DB"/>
    <w:rsid w:val="00B20836"/>
    <w:rsid w:val="00B235BB"/>
    <w:rsid w:val="00B25320"/>
    <w:rsid w:val="00B25D3B"/>
    <w:rsid w:val="00B27A44"/>
    <w:rsid w:val="00B30BBF"/>
    <w:rsid w:val="00B33C03"/>
    <w:rsid w:val="00B44E56"/>
    <w:rsid w:val="00B46543"/>
    <w:rsid w:val="00B47D33"/>
    <w:rsid w:val="00B52BE0"/>
    <w:rsid w:val="00B54133"/>
    <w:rsid w:val="00B701ED"/>
    <w:rsid w:val="00B751F4"/>
    <w:rsid w:val="00B8086C"/>
    <w:rsid w:val="00B840F7"/>
    <w:rsid w:val="00B861B4"/>
    <w:rsid w:val="00B86DFE"/>
    <w:rsid w:val="00B90990"/>
    <w:rsid w:val="00B922FF"/>
    <w:rsid w:val="00B9281E"/>
    <w:rsid w:val="00B93925"/>
    <w:rsid w:val="00B95187"/>
    <w:rsid w:val="00BA2D55"/>
    <w:rsid w:val="00BA71B1"/>
    <w:rsid w:val="00BB0637"/>
    <w:rsid w:val="00BB345F"/>
    <w:rsid w:val="00BB68EA"/>
    <w:rsid w:val="00BC1C27"/>
    <w:rsid w:val="00BC1F03"/>
    <w:rsid w:val="00BC6BBF"/>
    <w:rsid w:val="00BD1572"/>
    <w:rsid w:val="00BD524D"/>
    <w:rsid w:val="00BE14E3"/>
    <w:rsid w:val="00BE3774"/>
    <w:rsid w:val="00BE41E5"/>
    <w:rsid w:val="00BF4109"/>
    <w:rsid w:val="00BF4CC3"/>
    <w:rsid w:val="00C00E59"/>
    <w:rsid w:val="00C054C7"/>
    <w:rsid w:val="00C057B5"/>
    <w:rsid w:val="00C22687"/>
    <w:rsid w:val="00C25983"/>
    <w:rsid w:val="00C30BDA"/>
    <w:rsid w:val="00C32E4D"/>
    <w:rsid w:val="00C333A0"/>
    <w:rsid w:val="00C36408"/>
    <w:rsid w:val="00C36A81"/>
    <w:rsid w:val="00C41974"/>
    <w:rsid w:val="00C45616"/>
    <w:rsid w:val="00C53F4A"/>
    <w:rsid w:val="00C54125"/>
    <w:rsid w:val="00C55B54"/>
    <w:rsid w:val="00C6098E"/>
    <w:rsid w:val="00C6152C"/>
    <w:rsid w:val="00C744A9"/>
    <w:rsid w:val="00C74810"/>
    <w:rsid w:val="00C81ACF"/>
    <w:rsid w:val="00C90D68"/>
    <w:rsid w:val="00C9214E"/>
    <w:rsid w:val="00C939FE"/>
    <w:rsid w:val="00CA4BDA"/>
    <w:rsid w:val="00CA7C61"/>
    <w:rsid w:val="00CB1F66"/>
    <w:rsid w:val="00CB2951"/>
    <w:rsid w:val="00CD282B"/>
    <w:rsid w:val="00CD4C35"/>
    <w:rsid w:val="00CD7369"/>
    <w:rsid w:val="00CE0B0E"/>
    <w:rsid w:val="00CE3831"/>
    <w:rsid w:val="00CF6240"/>
    <w:rsid w:val="00D00ABB"/>
    <w:rsid w:val="00D02781"/>
    <w:rsid w:val="00D02EEC"/>
    <w:rsid w:val="00D03551"/>
    <w:rsid w:val="00D06A63"/>
    <w:rsid w:val="00D074D7"/>
    <w:rsid w:val="00D07E0E"/>
    <w:rsid w:val="00D11478"/>
    <w:rsid w:val="00D15ED0"/>
    <w:rsid w:val="00D21B3E"/>
    <w:rsid w:val="00D21C26"/>
    <w:rsid w:val="00D21FED"/>
    <w:rsid w:val="00D24251"/>
    <w:rsid w:val="00D343E2"/>
    <w:rsid w:val="00D361A2"/>
    <w:rsid w:val="00D44C2E"/>
    <w:rsid w:val="00D45414"/>
    <w:rsid w:val="00D530BE"/>
    <w:rsid w:val="00D54FF1"/>
    <w:rsid w:val="00D566BD"/>
    <w:rsid w:val="00D57A4D"/>
    <w:rsid w:val="00D60AA7"/>
    <w:rsid w:val="00D62A67"/>
    <w:rsid w:val="00D6435F"/>
    <w:rsid w:val="00D7272B"/>
    <w:rsid w:val="00D75E28"/>
    <w:rsid w:val="00D772C2"/>
    <w:rsid w:val="00D8008E"/>
    <w:rsid w:val="00D82C45"/>
    <w:rsid w:val="00D908A8"/>
    <w:rsid w:val="00D977B6"/>
    <w:rsid w:val="00DA3634"/>
    <w:rsid w:val="00DA4A31"/>
    <w:rsid w:val="00DA7B04"/>
    <w:rsid w:val="00DB36C2"/>
    <w:rsid w:val="00DB5CBD"/>
    <w:rsid w:val="00DB768F"/>
    <w:rsid w:val="00DC169B"/>
    <w:rsid w:val="00DC2AB9"/>
    <w:rsid w:val="00DC63F0"/>
    <w:rsid w:val="00DD5382"/>
    <w:rsid w:val="00DD6EE5"/>
    <w:rsid w:val="00DE2362"/>
    <w:rsid w:val="00DE386C"/>
    <w:rsid w:val="00DE3EFF"/>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C71"/>
    <w:rsid w:val="00E40404"/>
    <w:rsid w:val="00E459C6"/>
    <w:rsid w:val="00E47589"/>
    <w:rsid w:val="00E554A0"/>
    <w:rsid w:val="00E64915"/>
    <w:rsid w:val="00E661D4"/>
    <w:rsid w:val="00E70091"/>
    <w:rsid w:val="00E720F5"/>
    <w:rsid w:val="00E76D47"/>
    <w:rsid w:val="00E849F7"/>
    <w:rsid w:val="00E90302"/>
    <w:rsid w:val="00E97396"/>
    <w:rsid w:val="00EA185E"/>
    <w:rsid w:val="00EA592A"/>
    <w:rsid w:val="00EB14E4"/>
    <w:rsid w:val="00EB182B"/>
    <w:rsid w:val="00EB32A5"/>
    <w:rsid w:val="00EB34ED"/>
    <w:rsid w:val="00EB4A37"/>
    <w:rsid w:val="00EB7BE0"/>
    <w:rsid w:val="00EC315E"/>
    <w:rsid w:val="00EC58D1"/>
    <w:rsid w:val="00ED077C"/>
    <w:rsid w:val="00ED1190"/>
    <w:rsid w:val="00ED6544"/>
    <w:rsid w:val="00EE0277"/>
    <w:rsid w:val="00EE3E00"/>
    <w:rsid w:val="00EE5DD2"/>
    <w:rsid w:val="00F00404"/>
    <w:rsid w:val="00F00A79"/>
    <w:rsid w:val="00F00E86"/>
    <w:rsid w:val="00F07C1E"/>
    <w:rsid w:val="00F105DB"/>
    <w:rsid w:val="00F132BC"/>
    <w:rsid w:val="00F13D80"/>
    <w:rsid w:val="00F16AAA"/>
    <w:rsid w:val="00F21161"/>
    <w:rsid w:val="00F218EF"/>
    <w:rsid w:val="00F21BC7"/>
    <w:rsid w:val="00F266A2"/>
    <w:rsid w:val="00F27D13"/>
    <w:rsid w:val="00F32269"/>
    <w:rsid w:val="00F35098"/>
    <w:rsid w:val="00F56A6F"/>
    <w:rsid w:val="00F5709C"/>
    <w:rsid w:val="00F626DA"/>
    <w:rsid w:val="00F64EF1"/>
    <w:rsid w:val="00F659F3"/>
    <w:rsid w:val="00F83589"/>
    <w:rsid w:val="00F8765F"/>
    <w:rsid w:val="00F90767"/>
    <w:rsid w:val="00F9588E"/>
    <w:rsid w:val="00FA685B"/>
    <w:rsid w:val="00FB0C01"/>
    <w:rsid w:val="00FC18F2"/>
    <w:rsid w:val="00FC39E5"/>
    <w:rsid w:val="00FC3A78"/>
    <w:rsid w:val="00FD1005"/>
    <w:rsid w:val="00FD61AA"/>
    <w:rsid w:val="00FD6C75"/>
    <w:rsid w:val="00FD7649"/>
    <w:rsid w:val="00FE71B3"/>
    <w:rsid w:val="00FF42C5"/>
    <w:rsid w:val="00FF5A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4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C30BDA"/>
    <w:rPr>
      <w:sz w:val="24"/>
      <w:szCs w:val="24"/>
      <w:lang w:val="fr-FR"/>
    </w:rPr>
  </w:style>
  <w:style w:type="paragraph" w:styleId="Heading1">
    <w:name w:val="heading 1"/>
    <w:basedOn w:val="Normal"/>
    <w:next w:val="Normal"/>
    <w:link w:val="Heading1Char"/>
    <w:uiPriority w:val="98"/>
    <w:semiHidden/>
    <w:rsid w:val="00C30BDA"/>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C30BDA"/>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C30BDA"/>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C30BDA"/>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C30BDA"/>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C30BDA"/>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C30BDA"/>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C30BDA"/>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C30BDA"/>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C30BDA"/>
    <w:rPr>
      <w:rFonts w:ascii="Tahoma" w:hAnsi="Tahoma" w:cs="Tahoma"/>
      <w:sz w:val="16"/>
      <w:szCs w:val="16"/>
    </w:rPr>
  </w:style>
  <w:style w:type="character" w:customStyle="1" w:styleId="BalloonTextChar">
    <w:name w:val="Balloon Text Char"/>
    <w:basedOn w:val="DefaultParagraphFont"/>
    <w:link w:val="BalloonText"/>
    <w:uiPriority w:val="98"/>
    <w:semiHidden/>
    <w:rsid w:val="00C30BDA"/>
    <w:rPr>
      <w:rFonts w:ascii="Tahoma" w:hAnsi="Tahoma" w:cs="Tahoma"/>
      <w:sz w:val="16"/>
      <w:szCs w:val="16"/>
      <w:lang w:val="fr-FR"/>
    </w:rPr>
  </w:style>
  <w:style w:type="character" w:styleId="BookTitle">
    <w:name w:val="Book Title"/>
    <w:uiPriority w:val="98"/>
    <w:semiHidden/>
    <w:qFormat/>
    <w:rsid w:val="00C30BDA"/>
    <w:rPr>
      <w:i/>
      <w:iCs/>
      <w:smallCaps/>
      <w:spacing w:val="5"/>
    </w:rPr>
  </w:style>
  <w:style w:type="paragraph" w:customStyle="1" w:styleId="JuHeader">
    <w:name w:val="Ju_Header"/>
    <w:aliases w:val="_Header"/>
    <w:basedOn w:val="Header"/>
    <w:uiPriority w:val="29"/>
    <w:qFormat/>
    <w:rsid w:val="00C30BDA"/>
    <w:pPr>
      <w:tabs>
        <w:tab w:val="clear" w:pos="4536"/>
        <w:tab w:val="clear" w:pos="9072"/>
      </w:tabs>
      <w:jc w:val="center"/>
    </w:pPr>
    <w:rPr>
      <w:sz w:val="18"/>
    </w:rPr>
  </w:style>
  <w:style w:type="character" w:styleId="Strong">
    <w:name w:val="Strong"/>
    <w:uiPriority w:val="98"/>
    <w:semiHidden/>
    <w:qFormat/>
    <w:rsid w:val="00C30BDA"/>
    <w:rPr>
      <w:b/>
      <w:bCs/>
    </w:rPr>
  </w:style>
  <w:style w:type="paragraph" w:styleId="NoSpacing">
    <w:name w:val="No Spacing"/>
    <w:basedOn w:val="Normal"/>
    <w:link w:val="NoSpacingChar"/>
    <w:uiPriority w:val="98"/>
    <w:semiHidden/>
    <w:qFormat/>
    <w:rsid w:val="00C30BDA"/>
  </w:style>
  <w:style w:type="character" w:customStyle="1" w:styleId="NoSpacingChar">
    <w:name w:val="No Spacing Char"/>
    <w:basedOn w:val="DefaultParagraphFont"/>
    <w:link w:val="NoSpacing"/>
    <w:uiPriority w:val="98"/>
    <w:semiHidden/>
    <w:rsid w:val="00C30BDA"/>
    <w:rPr>
      <w:sz w:val="24"/>
      <w:szCs w:val="24"/>
      <w:lang w:val="fr-FR"/>
    </w:rPr>
  </w:style>
  <w:style w:type="paragraph" w:customStyle="1" w:styleId="JuQuot">
    <w:name w:val="Ju_Quot"/>
    <w:aliases w:val="_Quote"/>
    <w:basedOn w:val="NormalJustified"/>
    <w:uiPriority w:val="20"/>
    <w:qFormat/>
    <w:rsid w:val="00C30BDA"/>
    <w:pPr>
      <w:spacing w:before="120" w:after="120"/>
      <w:ind w:left="425" w:firstLine="142"/>
    </w:pPr>
    <w:rPr>
      <w:sz w:val="20"/>
    </w:rPr>
  </w:style>
  <w:style w:type="paragraph" w:customStyle="1" w:styleId="JuList">
    <w:name w:val="Ju_List"/>
    <w:aliases w:val="_List_1"/>
    <w:basedOn w:val="NormalJustified"/>
    <w:uiPriority w:val="23"/>
    <w:qFormat/>
    <w:rsid w:val="00C30BDA"/>
    <w:pPr>
      <w:numPr>
        <w:numId w:val="7"/>
      </w:numPr>
      <w:spacing w:before="280" w:after="60"/>
    </w:pPr>
  </w:style>
  <w:style w:type="paragraph" w:customStyle="1" w:styleId="JuLista">
    <w:name w:val="Ju_List_a"/>
    <w:aliases w:val="_List_2"/>
    <w:basedOn w:val="NormalJustified"/>
    <w:uiPriority w:val="23"/>
    <w:rsid w:val="00C30BDA"/>
    <w:pPr>
      <w:numPr>
        <w:ilvl w:val="1"/>
        <w:numId w:val="7"/>
      </w:numPr>
    </w:pPr>
  </w:style>
  <w:style w:type="paragraph" w:customStyle="1" w:styleId="JuListi">
    <w:name w:val="Ju_List_i"/>
    <w:aliases w:val="_List_3"/>
    <w:basedOn w:val="NormalJustified"/>
    <w:uiPriority w:val="23"/>
    <w:rsid w:val="00C30BDA"/>
    <w:pPr>
      <w:numPr>
        <w:ilvl w:val="2"/>
        <w:numId w:val="7"/>
      </w:numPr>
    </w:pPr>
  </w:style>
  <w:style w:type="paragraph" w:customStyle="1" w:styleId="DecHTitle">
    <w:name w:val="Dec_H_Title"/>
    <w:aliases w:val="_Title_1"/>
    <w:basedOn w:val="JuPara"/>
    <w:next w:val="JuPara"/>
    <w:uiPriority w:val="38"/>
    <w:qFormat/>
    <w:rsid w:val="00C30BDA"/>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C30BDA"/>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C30BDA"/>
    <w:pPr>
      <w:keepNext/>
      <w:keepLines/>
      <w:tabs>
        <w:tab w:val="right" w:pos="7938"/>
      </w:tabs>
      <w:ind w:firstLine="0"/>
      <w:jc w:val="center"/>
    </w:pPr>
    <w:rPr>
      <w:i/>
    </w:rPr>
  </w:style>
  <w:style w:type="numbering" w:customStyle="1" w:styleId="ECHRA1StyleBulletedSquare">
    <w:name w:val="ECHR_A1_Style_Bulleted_Square"/>
    <w:basedOn w:val="NoList"/>
    <w:rsid w:val="00C30BDA"/>
    <w:pPr>
      <w:numPr>
        <w:numId w:val="6"/>
      </w:numPr>
    </w:pPr>
  </w:style>
  <w:style w:type="paragraph" w:customStyle="1" w:styleId="JuHHead">
    <w:name w:val="Ju_H_Head"/>
    <w:aliases w:val="_Head_1"/>
    <w:basedOn w:val="Normal"/>
    <w:next w:val="JuPara"/>
    <w:uiPriority w:val="17"/>
    <w:qFormat/>
    <w:rsid w:val="00C30BDA"/>
    <w:pPr>
      <w:keepNext/>
      <w:keepLines/>
      <w:numPr>
        <w:numId w:val="2"/>
      </w:numPr>
      <w:spacing w:before="100" w:beforeAutospacing="1" w:after="240"/>
      <w:jc w:val="both"/>
      <w:outlineLvl w:val="0"/>
    </w:pPr>
    <w:rPr>
      <w:caps/>
      <w:sz w:val="28"/>
    </w:rPr>
  </w:style>
  <w:style w:type="numbering" w:customStyle="1" w:styleId="ECHRA1StyleList">
    <w:name w:val="ECHR_A1_Style_List"/>
    <w:basedOn w:val="NoList"/>
    <w:uiPriority w:val="99"/>
    <w:rsid w:val="00C30BDA"/>
    <w:pPr>
      <w:numPr>
        <w:numId w:val="7"/>
      </w:numPr>
    </w:pPr>
  </w:style>
  <w:style w:type="paragraph" w:customStyle="1" w:styleId="JuSigned">
    <w:name w:val="Ju_Signed"/>
    <w:aliases w:val="_Signature"/>
    <w:basedOn w:val="Normal"/>
    <w:next w:val="JuPara"/>
    <w:uiPriority w:val="31"/>
    <w:qFormat/>
    <w:rsid w:val="00C30BDA"/>
    <w:pPr>
      <w:tabs>
        <w:tab w:val="center" w:pos="851"/>
        <w:tab w:val="center" w:pos="6407"/>
      </w:tabs>
      <w:spacing w:before="720"/>
    </w:pPr>
  </w:style>
  <w:style w:type="paragraph" w:styleId="Title">
    <w:name w:val="Title"/>
    <w:basedOn w:val="Normal"/>
    <w:next w:val="Normal"/>
    <w:link w:val="TitleChar"/>
    <w:uiPriority w:val="98"/>
    <w:semiHidden/>
    <w:qFormat/>
    <w:rsid w:val="00C30BD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C30BDA"/>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C30BDA"/>
    <w:pPr>
      <w:numPr>
        <w:numId w:val="8"/>
      </w:numPr>
    </w:pPr>
  </w:style>
  <w:style w:type="table" w:customStyle="1" w:styleId="ECHRTable2019">
    <w:name w:val="ECHR_Table_2019"/>
    <w:basedOn w:val="TableNormal"/>
    <w:uiPriority w:val="99"/>
    <w:rsid w:val="00C30BD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C30BDA"/>
    <w:rPr>
      <w:sz w:val="8"/>
    </w:rPr>
  </w:style>
  <w:style w:type="paragraph" w:customStyle="1" w:styleId="JuCourt">
    <w:name w:val="Ju_Court"/>
    <w:aliases w:val="_Court_Names"/>
    <w:basedOn w:val="Normal"/>
    <w:next w:val="Normal"/>
    <w:uiPriority w:val="32"/>
    <w:qFormat/>
    <w:rsid w:val="00C30BDA"/>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qFormat/>
    <w:rsid w:val="00C30BDA"/>
    <w:pPr>
      <w:tabs>
        <w:tab w:val="center" w:pos="6407"/>
      </w:tabs>
      <w:spacing w:before="720"/>
      <w:jc w:val="right"/>
    </w:pPr>
  </w:style>
  <w:style w:type="paragraph" w:customStyle="1" w:styleId="JuHIRoman">
    <w:name w:val="Ju_H_I_Roman"/>
    <w:aliases w:val="_Head_2"/>
    <w:basedOn w:val="Normal"/>
    <w:next w:val="JuPara"/>
    <w:uiPriority w:val="17"/>
    <w:qFormat/>
    <w:rsid w:val="00C30BDA"/>
    <w:pPr>
      <w:keepNext/>
      <w:keepLines/>
      <w:numPr>
        <w:ilvl w:val="1"/>
        <w:numId w:val="2"/>
      </w:numPr>
      <w:spacing w:before="100" w:beforeAutospacing="1" w:after="240"/>
      <w:jc w:val="both"/>
      <w:outlineLvl w:val="1"/>
    </w:pPr>
    <w:rPr>
      <w:caps/>
    </w:rPr>
  </w:style>
  <w:style w:type="paragraph" w:customStyle="1" w:styleId="JuHA">
    <w:name w:val="Ju_H_A"/>
    <w:aliases w:val="_Head_3"/>
    <w:basedOn w:val="Normal"/>
    <w:next w:val="JuPara"/>
    <w:uiPriority w:val="17"/>
    <w:qFormat/>
    <w:rsid w:val="00C30BDA"/>
    <w:pPr>
      <w:keepNext/>
      <w:keepLines/>
      <w:numPr>
        <w:ilvl w:val="2"/>
        <w:numId w:val="2"/>
      </w:numPr>
      <w:spacing w:before="100" w:beforeAutospacing="1" w:after="240"/>
      <w:jc w:val="both"/>
      <w:outlineLvl w:val="2"/>
    </w:pPr>
    <w:rPr>
      <w:b/>
    </w:rPr>
  </w:style>
  <w:style w:type="paragraph" w:customStyle="1" w:styleId="JuH1">
    <w:name w:val="Ju_H_1."/>
    <w:aliases w:val="_Head_4"/>
    <w:basedOn w:val="Normal"/>
    <w:next w:val="JuPara"/>
    <w:uiPriority w:val="17"/>
    <w:rsid w:val="00C30BDA"/>
    <w:pPr>
      <w:keepNext/>
      <w:keepLines/>
      <w:numPr>
        <w:ilvl w:val="3"/>
        <w:numId w:val="2"/>
      </w:numPr>
      <w:spacing w:before="100" w:beforeAutospacing="1" w:after="120"/>
      <w:jc w:val="both"/>
      <w:outlineLvl w:val="3"/>
    </w:pPr>
    <w:rPr>
      <w:i/>
    </w:rPr>
  </w:style>
  <w:style w:type="paragraph" w:styleId="Header">
    <w:name w:val="header"/>
    <w:basedOn w:val="Normal"/>
    <w:link w:val="HeaderChar"/>
    <w:uiPriority w:val="98"/>
    <w:semiHidden/>
    <w:rsid w:val="00C30BDA"/>
    <w:pPr>
      <w:tabs>
        <w:tab w:val="center" w:pos="4536"/>
        <w:tab w:val="right" w:pos="9072"/>
      </w:tabs>
    </w:pPr>
  </w:style>
  <w:style w:type="character" w:customStyle="1" w:styleId="HeaderChar">
    <w:name w:val="Header Char"/>
    <w:basedOn w:val="DefaultParagraphFont"/>
    <w:link w:val="Header"/>
    <w:uiPriority w:val="98"/>
    <w:semiHidden/>
    <w:rsid w:val="00C30BDA"/>
    <w:rPr>
      <w:sz w:val="24"/>
      <w:szCs w:val="24"/>
      <w:lang w:val="fr-FR"/>
    </w:rPr>
  </w:style>
  <w:style w:type="character" w:customStyle="1" w:styleId="Heading1Char">
    <w:name w:val="Heading 1 Char"/>
    <w:basedOn w:val="DefaultParagraphFont"/>
    <w:link w:val="Heading1"/>
    <w:uiPriority w:val="98"/>
    <w:semiHidden/>
    <w:rsid w:val="00C30BDA"/>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Normal"/>
    <w:next w:val="JuPara"/>
    <w:uiPriority w:val="17"/>
    <w:rsid w:val="00C30BDA"/>
    <w:pPr>
      <w:keepNext/>
      <w:keepLines/>
      <w:numPr>
        <w:ilvl w:val="4"/>
        <w:numId w:val="2"/>
      </w:numPr>
      <w:spacing w:before="100" w:beforeAutospacing="1" w:after="120"/>
      <w:jc w:val="both"/>
      <w:outlineLvl w:val="4"/>
    </w:pPr>
    <w:rPr>
      <w:b/>
      <w:sz w:val="20"/>
    </w:rPr>
  </w:style>
  <w:style w:type="paragraph" w:customStyle="1" w:styleId="JuHi">
    <w:name w:val="Ju_H_i"/>
    <w:aliases w:val="_Head_6"/>
    <w:basedOn w:val="Normal"/>
    <w:next w:val="JuPara"/>
    <w:uiPriority w:val="17"/>
    <w:rsid w:val="00C30BDA"/>
    <w:pPr>
      <w:keepNext/>
      <w:keepLines/>
      <w:numPr>
        <w:ilvl w:val="5"/>
        <w:numId w:val="2"/>
      </w:numPr>
      <w:spacing w:before="100" w:beforeAutospacing="1" w:after="120"/>
      <w:jc w:val="both"/>
      <w:outlineLvl w:val="5"/>
    </w:pPr>
    <w:rPr>
      <w:i/>
      <w:sz w:val="20"/>
    </w:rPr>
  </w:style>
  <w:style w:type="character" w:customStyle="1" w:styleId="Heading2Char">
    <w:name w:val="Heading 2 Char"/>
    <w:basedOn w:val="DefaultParagraphFont"/>
    <w:link w:val="Heading2"/>
    <w:uiPriority w:val="98"/>
    <w:semiHidden/>
    <w:rsid w:val="00C30BDA"/>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Normal"/>
    <w:next w:val="JuPara"/>
    <w:uiPriority w:val="17"/>
    <w:rsid w:val="00C30BDA"/>
    <w:pPr>
      <w:keepNext/>
      <w:keepLines/>
      <w:numPr>
        <w:ilvl w:val="6"/>
        <w:numId w:val="2"/>
      </w:numPr>
      <w:spacing w:before="100" w:beforeAutospacing="1" w:after="120"/>
      <w:jc w:val="both"/>
      <w:outlineLvl w:val="6"/>
    </w:pPr>
    <w:rPr>
      <w:sz w:val="20"/>
    </w:rPr>
  </w:style>
  <w:style w:type="paragraph" w:customStyle="1" w:styleId="JuH">
    <w:name w:val="Ju_H_–"/>
    <w:aliases w:val="_Head_8"/>
    <w:basedOn w:val="Normal"/>
    <w:next w:val="JuPara"/>
    <w:uiPriority w:val="17"/>
    <w:rsid w:val="00C30BDA"/>
    <w:pPr>
      <w:keepNext/>
      <w:keepLines/>
      <w:numPr>
        <w:ilvl w:val="7"/>
        <w:numId w:val="2"/>
      </w:numPr>
      <w:spacing w:before="100" w:beforeAutospacing="1" w:after="120"/>
      <w:jc w:val="both"/>
      <w:outlineLvl w:val="7"/>
    </w:pPr>
    <w:rPr>
      <w:i/>
      <w:sz w:val="20"/>
    </w:rPr>
  </w:style>
  <w:style w:type="character" w:customStyle="1" w:styleId="Heading3Char">
    <w:name w:val="Heading 3 Char"/>
    <w:basedOn w:val="DefaultParagraphFont"/>
    <w:link w:val="Heading3"/>
    <w:uiPriority w:val="98"/>
    <w:semiHidden/>
    <w:rsid w:val="00C30BDA"/>
    <w:rPr>
      <w:rFonts w:asciiTheme="majorHAnsi" w:eastAsiaTheme="majorEastAsia" w:hAnsiTheme="majorHAnsi" w:cstheme="majorBidi"/>
      <w:b/>
      <w:bCs/>
      <w:color w:val="5F5F5F"/>
      <w:sz w:val="24"/>
      <w:szCs w:val="24"/>
      <w:lang w:val="fr-FR"/>
    </w:rPr>
  </w:style>
  <w:style w:type="paragraph" w:customStyle="1" w:styleId="JuParaLast">
    <w:name w:val="Ju_Para_Last"/>
    <w:aliases w:val="_Para_Spaced"/>
    <w:basedOn w:val="NormalJustified"/>
    <w:qFormat/>
    <w:rsid w:val="00C30BDA"/>
    <w:pPr>
      <w:keepNext/>
      <w:keepLines/>
      <w:spacing w:before="240" w:after="240"/>
      <w:ind w:firstLine="284"/>
    </w:pPr>
  </w:style>
  <w:style w:type="paragraph" w:customStyle="1" w:styleId="JuJudges">
    <w:name w:val="Ju_Judges"/>
    <w:aliases w:val="_Judges"/>
    <w:basedOn w:val="Normal"/>
    <w:link w:val="JuJudgesChar"/>
    <w:uiPriority w:val="32"/>
    <w:qFormat/>
    <w:rsid w:val="00C30BDA"/>
    <w:pPr>
      <w:tabs>
        <w:tab w:val="left" w:pos="567"/>
        <w:tab w:val="left" w:pos="1134"/>
      </w:tabs>
    </w:pPr>
  </w:style>
  <w:style w:type="character" w:customStyle="1" w:styleId="Heading4Char">
    <w:name w:val="Heading 4 Char"/>
    <w:basedOn w:val="DefaultParagraphFont"/>
    <w:link w:val="Heading4"/>
    <w:uiPriority w:val="98"/>
    <w:semiHidden/>
    <w:rsid w:val="00C30BDA"/>
    <w:rPr>
      <w:rFonts w:asciiTheme="majorHAnsi" w:eastAsiaTheme="majorEastAsia" w:hAnsiTheme="majorHAnsi" w:cstheme="majorBidi"/>
      <w:b/>
      <w:bCs/>
      <w:i/>
      <w:iCs/>
      <w:color w:val="777777"/>
      <w:sz w:val="24"/>
      <w:szCs w:val="24"/>
      <w:lang w:val="fr-FR"/>
    </w:rPr>
  </w:style>
  <w:style w:type="character" w:customStyle="1" w:styleId="JuITMark">
    <w:name w:val="Ju_ITMark"/>
    <w:aliases w:val="_ITMark"/>
    <w:basedOn w:val="DefaultParagraphFont"/>
    <w:uiPriority w:val="43"/>
    <w:qFormat/>
    <w:rsid w:val="00C30BDA"/>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8"/>
    <w:semiHidden/>
    <w:rsid w:val="00C30BDA"/>
    <w:rPr>
      <w:rFonts w:asciiTheme="majorHAnsi" w:eastAsiaTheme="majorEastAsia" w:hAnsiTheme="majorHAnsi" w:cstheme="majorBidi"/>
      <w:b/>
      <w:bCs/>
      <w:color w:val="808080"/>
      <w:sz w:val="24"/>
      <w:szCs w:val="24"/>
      <w:lang w:val="fr-FR"/>
    </w:rPr>
  </w:style>
  <w:style w:type="character" w:customStyle="1" w:styleId="JUNAMES">
    <w:name w:val="JU_NAMES"/>
    <w:aliases w:val="_Ju_Names"/>
    <w:uiPriority w:val="33"/>
    <w:qFormat/>
    <w:rsid w:val="00C30BDA"/>
    <w:rPr>
      <w:caps w:val="0"/>
      <w:smallCaps/>
    </w:rPr>
  </w:style>
  <w:style w:type="paragraph" w:customStyle="1" w:styleId="NormalJustified">
    <w:name w:val="Normal_Justified"/>
    <w:basedOn w:val="Normal"/>
    <w:semiHidden/>
    <w:rsid w:val="00C30BDA"/>
    <w:pPr>
      <w:jc w:val="both"/>
    </w:pPr>
  </w:style>
  <w:style w:type="character" w:styleId="SubtleEmphasis">
    <w:name w:val="Subtle Emphasis"/>
    <w:uiPriority w:val="98"/>
    <w:semiHidden/>
    <w:qFormat/>
    <w:rsid w:val="00C30BDA"/>
    <w:rPr>
      <w:i/>
      <w:iCs/>
    </w:rPr>
  </w:style>
  <w:style w:type="table" w:customStyle="1" w:styleId="ECHRTable">
    <w:name w:val="ECHR_Table"/>
    <w:basedOn w:val="TableNormal"/>
    <w:rsid w:val="00C30BD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C30BD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C30BDA"/>
    <w:rPr>
      <w:b/>
      <w:bCs/>
      <w:i/>
      <w:iCs/>
      <w:spacing w:val="10"/>
      <w:bdr w:val="none" w:sz="0" w:space="0" w:color="auto"/>
      <w:shd w:val="clear" w:color="auto" w:fill="auto"/>
    </w:rPr>
  </w:style>
  <w:style w:type="paragraph" w:styleId="Footer0">
    <w:name w:val="footer"/>
    <w:basedOn w:val="Normal"/>
    <w:link w:val="FooterChar"/>
    <w:uiPriority w:val="49"/>
    <w:semiHidden/>
    <w:rsid w:val="00C30BDA"/>
    <w:pPr>
      <w:tabs>
        <w:tab w:val="center" w:pos="3686"/>
        <w:tab w:val="right" w:pos="7371"/>
      </w:tabs>
    </w:pPr>
  </w:style>
  <w:style w:type="character" w:customStyle="1" w:styleId="FooterChar">
    <w:name w:val="Footer Char"/>
    <w:basedOn w:val="DefaultParagraphFont"/>
    <w:link w:val="Footer0"/>
    <w:uiPriority w:val="49"/>
    <w:rsid w:val="00C30BDA"/>
    <w:rPr>
      <w:sz w:val="24"/>
      <w:szCs w:val="24"/>
      <w:lang w:val="fr-FR"/>
    </w:rPr>
  </w:style>
  <w:style w:type="character" w:styleId="FootnoteReference">
    <w:name w:val="footnote reference"/>
    <w:basedOn w:val="DefaultParagraphFont"/>
    <w:uiPriority w:val="98"/>
    <w:semiHidden/>
    <w:rsid w:val="00C30BDA"/>
    <w:rPr>
      <w:vertAlign w:val="superscript"/>
    </w:rPr>
  </w:style>
  <w:style w:type="paragraph" w:styleId="FootnoteText">
    <w:name w:val="footnote text"/>
    <w:basedOn w:val="Normal"/>
    <w:link w:val="FootnoteTextChar"/>
    <w:uiPriority w:val="98"/>
    <w:semiHidden/>
    <w:rsid w:val="00C30BDA"/>
    <w:rPr>
      <w:sz w:val="20"/>
      <w:szCs w:val="20"/>
    </w:rPr>
  </w:style>
  <w:style w:type="character" w:customStyle="1" w:styleId="FootnoteTextChar">
    <w:name w:val="Footnote Text Char"/>
    <w:basedOn w:val="DefaultParagraphFont"/>
    <w:link w:val="FootnoteText"/>
    <w:uiPriority w:val="98"/>
    <w:semiHidden/>
    <w:rsid w:val="00C30BDA"/>
    <w:rPr>
      <w:sz w:val="20"/>
      <w:szCs w:val="20"/>
      <w:lang w:val="fr-FR"/>
    </w:rPr>
  </w:style>
  <w:style w:type="character" w:customStyle="1" w:styleId="Heading6Char">
    <w:name w:val="Heading 6 Char"/>
    <w:basedOn w:val="DefaultParagraphFont"/>
    <w:link w:val="Heading6"/>
    <w:uiPriority w:val="98"/>
    <w:semiHidden/>
    <w:rsid w:val="00C30BDA"/>
    <w:rPr>
      <w:rFonts w:asciiTheme="majorHAnsi" w:eastAsiaTheme="majorEastAsia" w:hAnsiTheme="majorHAnsi" w:cstheme="majorBidi"/>
      <w:b/>
      <w:bCs/>
      <w:i/>
      <w:iCs/>
      <w:color w:val="7F7F7F" w:themeColor="text1" w:themeTint="80"/>
      <w:sz w:val="24"/>
      <w:szCs w:val="24"/>
      <w:lang w:val="fr-FR" w:bidi="en-US"/>
    </w:rPr>
  </w:style>
  <w:style w:type="character" w:customStyle="1" w:styleId="Heading7Char">
    <w:name w:val="Heading 7 Char"/>
    <w:basedOn w:val="DefaultParagraphFont"/>
    <w:link w:val="Heading7"/>
    <w:uiPriority w:val="98"/>
    <w:semiHidden/>
    <w:rsid w:val="00C30BDA"/>
    <w:rPr>
      <w:rFonts w:asciiTheme="majorHAnsi" w:eastAsiaTheme="majorEastAsia" w:hAnsiTheme="majorHAnsi" w:cstheme="majorBidi"/>
      <w:i/>
      <w:iCs/>
      <w:sz w:val="24"/>
      <w:szCs w:val="24"/>
      <w:lang w:val="fr-FR" w:bidi="en-US"/>
    </w:rPr>
  </w:style>
  <w:style w:type="character" w:customStyle="1" w:styleId="Heading8Char">
    <w:name w:val="Heading 8 Char"/>
    <w:basedOn w:val="DefaultParagraphFont"/>
    <w:link w:val="Heading8"/>
    <w:uiPriority w:val="98"/>
    <w:semiHidden/>
    <w:rsid w:val="00C30BDA"/>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8"/>
    <w:semiHidden/>
    <w:rsid w:val="00C30BDA"/>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8"/>
    <w:semiHidden/>
    <w:rsid w:val="00C30BDA"/>
    <w:rPr>
      <w:color w:val="0072BC" w:themeColor="hyperlink"/>
      <w:u w:val="single"/>
    </w:rPr>
  </w:style>
  <w:style w:type="character" w:styleId="IntenseEmphasis">
    <w:name w:val="Intense Emphasis"/>
    <w:uiPriority w:val="98"/>
    <w:semiHidden/>
    <w:qFormat/>
    <w:rsid w:val="00C30BDA"/>
    <w:rPr>
      <w:b/>
      <w:bCs/>
    </w:rPr>
  </w:style>
  <w:style w:type="paragraph" w:styleId="IntenseQuote">
    <w:name w:val="Intense Quote"/>
    <w:basedOn w:val="Normal"/>
    <w:next w:val="Normal"/>
    <w:link w:val="IntenseQuoteChar"/>
    <w:uiPriority w:val="98"/>
    <w:semiHidden/>
    <w:qFormat/>
    <w:rsid w:val="00C30BD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C30BDA"/>
    <w:rPr>
      <w:b/>
      <w:bCs/>
      <w:i/>
      <w:iCs/>
      <w:sz w:val="24"/>
      <w:szCs w:val="24"/>
      <w:lang w:val="fr-FR" w:bidi="en-US"/>
    </w:rPr>
  </w:style>
  <w:style w:type="character" w:styleId="IntenseReference">
    <w:name w:val="Intense Reference"/>
    <w:uiPriority w:val="98"/>
    <w:semiHidden/>
    <w:qFormat/>
    <w:rsid w:val="00C30BDA"/>
    <w:rPr>
      <w:smallCaps/>
      <w:spacing w:val="5"/>
      <w:u w:val="single"/>
    </w:rPr>
  </w:style>
  <w:style w:type="paragraph" w:styleId="ListParagraph">
    <w:name w:val="List Paragraph"/>
    <w:basedOn w:val="Normal"/>
    <w:uiPriority w:val="98"/>
    <w:semiHidden/>
    <w:qFormat/>
    <w:rsid w:val="00C30BDA"/>
    <w:pPr>
      <w:ind w:left="720"/>
      <w:contextualSpacing/>
    </w:pPr>
  </w:style>
  <w:style w:type="table" w:customStyle="1" w:styleId="LtrTableAddress">
    <w:name w:val="Ltr_Table_Address"/>
    <w:aliases w:val="ECHR_Ltr_Table_Address"/>
    <w:basedOn w:val="TableNormal"/>
    <w:uiPriority w:val="99"/>
    <w:rsid w:val="00C30BDA"/>
    <w:rPr>
      <w:sz w:val="24"/>
      <w:szCs w:val="24"/>
    </w:rPr>
    <w:tblPr>
      <w:tblInd w:w="5103" w:type="dxa"/>
    </w:tblPr>
  </w:style>
  <w:style w:type="paragraph" w:styleId="Quote">
    <w:name w:val="Quote"/>
    <w:basedOn w:val="Normal"/>
    <w:next w:val="Normal"/>
    <w:link w:val="QuoteChar"/>
    <w:uiPriority w:val="98"/>
    <w:semiHidden/>
    <w:qFormat/>
    <w:rsid w:val="00C30BDA"/>
    <w:pPr>
      <w:spacing w:before="200"/>
      <w:ind w:left="360" w:right="360"/>
    </w:pPr>
    <w:rPr>
      <w:i/>
      <w:iCs/>
      <w:lang w:bidi="en-US"/>
    </w:rPr>
  </w:style>
  <w:style w:type="character" w:customStyle="1" w:styleId="QuoteChar">
    <w:name w:val="Quote Char"/>
    <w:basedOn w:val="DefaultParagraphFont"/>
    <w:link w:val="Quote"/>
    <w:uiPriority w:val="98"/>
    <w:semiHidden/>
    <w:rsid w:val="00C30BDA"/>
    <w:rPr>
      <w:i/>
      <w:iCs/>
      <w:sz w:val="24"/>
      <w:szCs w:val="24"/>
      <w:lang w:val="fr-FR" w:bidi="en-US"/>
    </w:rPr>
  </w:style>
  <w:style w:type="character" w:styleId="SubtleReference">
    <w:name w:val="Subtle Reference"/>
    <w:uiPriority w:val="98"/>
    <w:semiHidden/>
    <w:qFormat/>
    <w:rsid w:val="00C30BDA"/>
    <w:rPr>
      <w:smallCaps/>
    </w:rPr>
  </w:style>
  <w:style w:type="table" w:styleId="TableGrid">
    <w:name w:val="Table Grid"/>
    <w:basedOn w:val="TableNormal"/>
    <w:uiPriority w:val="59"/>
    <w:semiHidden/>
    <w:rsid w:val="00C30BD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C30BD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C30BD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C30BD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C30BD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C30BD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C30BD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C30BD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C30BD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C30BD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C30BD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C30BD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C30BD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C30BD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C30BD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C30BDA"/>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C30BDA"/>
    <w:pPr>
      <w:numPr>
        <w:numId w:val="3"/>
      </w:numPr>
    </w:pPr>
  </w:style>
  <w:style w:type="paragraph" w:customStyle="1" w:styleId="JuPara">
    <w:name w:val="Ju_Para"/>
    <w:aliases w:val="_Para"/>
    <w:basedOn w:val="NormalJustified"/>
    <w:link w:val="JuParaChar"/>
    <w:uiPriority w:val="12"/>
    <w:qFormat/>
    <w:rsid w:val="00C30BDA"/>
    <w:pPr>
      <w:ind w:firstLine="284"/>
    </w:pPr>
  </w:style>
  <w:style w:type="numbering" w:styleId="1ai">
    <w:name w:val="Outline List 1"/>
    <w:basedOn w:val="NoList"/>
    <w:uiPriority w:val="99"/>
    <w:semiHidden/>
    <w:unhideWhenUsed/>
    <w:rsid w:val="00C30BDA"/>
    <w:pPr>
      <w:numPr>
        <w:numId w:val="4"/>
      </w:numPr>
    </w:pPr>
  </w:style>
  <w:style w:type="table" w:customStyle="1" w:styleId="ECHRTableSimpleBox">
    <w:name w:val="ECHR_Table_Simple_Box"/>
    <w:basedOn w:val="TableNormal"/>
    <w:uiPriority w:val="99"/>
    <w:rsid w:val="00C30BD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C30BD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C30BDA"/>
    <w:pPr>
      <w:numPr>
        <w:numId w:val="5"/>
      </w:numPr>
    </w:pPr>
  </w:style>
  <w:style w:type="table" w:customStyle="1" w:styleId="ECHRTableForInternalUse">
    <w:name w:val="ECHR_Table_For_Internal_Use"/>
    <w:basedOn w:val="TableNormal"/>
    <w:uiPriority w:val="99"/>
    <w:rsid w:val="00C30BD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C30BD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C30BDA"/>
  </w:style>
  <w:style w:type="paragraph" w:styleId="BlockText">
    <w:name w:val="Block Text"/>
    <w:basedOn w:val="Normal"/>
    <w:uiPriority w:val="98"/>
    <w:semiHidden/>
    <w:rsid w:val="00C30BD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C30BD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C30BDA"/>
    <w:pPr>
      <w:spacing w:after="120"/>
    </w:pPr>
  </w:style>
  <w:style w:type="character" w:customStyle="1" w:styleId="BodyTextChar">
    <w:name w:val="Body Text Char"/>
    <w:basedOn w:val="DefaultParagraphFont"/>
    <w:link w:val="BodyText"/>
    <w:uiPriority w:val="98"/>
    <w:semiHidden/>
    <w:rsid w:val="00C30BDA"/>
    <w:rPr>
      <w:sz w:val="24"/>
      <w:szCs w:val="24"/>
      <w:lang w:val="fr-FR"/>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C30BDA"/>
    <w:pPr>
      <w:spacing w:after="120" w:line="480" w:lineRule="auto"/>
    </w:pPr>
  </w:style>
  <w:style w:type="table" w:customStyle="1" w:styleId="ECHRHeaderTableReduced">
    <w:name w:val="ECHR_Header_Table_Reduced"/>
    <w:basedOn w:val="TableNormal"/>
    <w:uiPriority w:val="99"/>
    <w:rsid w:val="00C30BDA"/>
    <w:rPr>
      <w:sz w:val="24"/>
      <w:szCs w:val="24"/>
    </w:rPr>
    <w:tblPr>
      <w:tblInd w:w="-1474"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C30BDA"/>
    <w:pPr>
      <w:ind w:firstLine="284"/>
    </w:pPr>
    <w:rPr>
      <w:b/>
    </w:rPr>
  </w:style>
  <w:style w:type="character" w:styleId="PageNumber">
    <w:name w:val="page number"/>
    <w:uiPriority w:val="99"/>
    <w:semiHidden/>
    <w:rsid w:val="00C30BDA"/>
    <w:rPr>
      <w:sz w:val="18"/>
    </w:rPr>
  </w:style>
  <w:style w:type="paragraph" w:styleId="ListBullet2">
    <w:name w:val="List Bullet 2"/>
    <w:basedOn w:val="Normal"/>
    <w:uiPriority w:val="98"/>
    <w:semiHidden/>
    <w:rsid w:val="00C30BDA"/>
    <w:pPr>
      <w:numPr>
        <w:numId w:val="11"/>
      </w:numPr>
      <w:contextualSpacing/>
    </w:pPr>
  </w:style>
  <w:style w:type="character" w:customStyle="1" w:styleId="BodyText2Char">
    <w:name w:val="Body Text 2 Char"/>
    <w:basedOn w:val="DefaultParagraphFont"/>
    <w:link w:val="BodyText2"/>
    <w:uiPriority w:val="98"/>
    <w:semiHidden/>
    <w:rsid w:val="00C30BDA"/>
    <w:rPr>
      <w:sz w:val="24"/>
      <w:szCs w:val="24"/>
      <w:lang w:val="fr-FR"/>
    </w:rPr>
  </w:style>
  <w:style w:type="paragraph" w:styleId="BodyText3">
    <w:name w:val="Body Text 3"/>
    <w:basedOn w:val="Normal"/>
    <w:link w:val="BodyText3Char"/>
    <w:uiPriority w:val="98"/>
    <w:semiHidden/>
    <w:rsid w:val="00C30BDA"/>
    <w:pPr>
      <w:spacing w:after="120"/>
    </w:pPr>
    <w:rPr>
      <w:sz w:val="16"/>
      <w:szCs w:val="16"/>
    </w:rPr>
  </w:style>
  <w:style w:type="character" w:customStyle="1" w:styleId="BodyText3Char">
    <w:name w:val="Body Text 3 Char"/>
    <w:basedOn w:val="DefaultParagraphFont"/>
    <w:link w:val="BodyText3"/>
    <w:uiPriority w:val="98"/>
    <w:semiHidden/>
    <w:rsid w:val="00C30BDA"/>
    <w:rPr>
      <w:sz w:val="16"/>
      <w:szCs w:val="16"/>
      <w:lang w:val="fr-FR"/>
    </w:rPr>
  </w:style>
  <w:style w:type="paragraph" w:styleId="BodyTextFirstIndent">
    <w:name w:val="Body Text First Indent"/>
    <w:basedOn w:val="BodyText"/>
    <w:link w:val="BodyTextFirstIndentChar"/>
    <w:uiPriority w:val="98"/>
    <w:semiHidden/>
    <w:rsid w:val="00C30BDA"/>
    <w:pPr>
      <w:spacing w:after="0"/>
      <w:ind w:firstLine="360"/>
    </w:pPr>
  </w:style>
  <w:style w:type="character" w:customStyle="1" w:styleId="BodyTextFirstIndentChar">
    <w:name w:val="Body Text First Indent Char"/>
    <w:basedOn w:val="BodyTextChar"/>
    <w:link w:val="BodyTextFirstIndent"/>
    <w:uiPriority w:val="98"/>
    <w:semiHidden/>
    <w:rsid w:val="00C30BDA"/>
    <w:rPr>
      <w:sz w:val="24"/>
      <w:szCs w:val="24"/>
      <w:lang w:val="fr-FR"/>
    </w:rPr>
  </w:style>
  <w:style w:type="paragraph" w:styleId="BodyTextIndent">
    <w:name w:val="Body Text Indent"/>
    <w:basedOn w:val="Normal"/>
    <w:link w:val="BodyTextIndentChar"/>
    <w:uiPriority w:val="98"/>
    <w:semiHidden/>
    <w:rsid w:val="00C30BDA"/>
    <w:pPr>
      <w:spacing w:after="120"/>
      <w:ind w:left="283"/>
    </w:pPr>
  </w:style>
  <w:style w:type="character" w:customStyle="1" w:styleId="BodyTextIndentChar">
    <w:name w:val="Body Text Indent Char"/>
    <w:basedOn w:val="DefaultParagraphFont"/>
    <w:link w:val="BodyTextIndent"/>
    <w:uiPriority w:val="98"/>
    <w:semiHidden/>
    <w:rsid w:val="00C30BDA"/>
    <w:rPr>
      <w:sz w:val="24"/>
      <w:szCs w:val="24"/>
      <w:lang w:val="fr-FR"/>
    </w:rPr>
  </w:style>
  <w:style w:type="paragraph" w:styleId="BodyTextFirstIndent2">
    <w:name w:val="Body Text First Indent 2"/>
    <w:basedOn w:val="BodyTextIndent"/>
    <w:link w:val="BodyTextFirstIndent2Char"/>
    <w:uiPriority w:val="98"/>
    <w:semiHidden/>
    <w:rsid w:val="00C30BDA"/>
    <w:pPr>
      <w:spacing w:after="0"/>
      <w:ind w:left="360" w:firstLine="360"/>
    </w:pPr>
  </w:style>
  <w:style w:type="character" w:customStyle="1" w:styleId="BodyTextFirstIndent2Char">
    <w:name w:val="Body Text First Indent 2 Char"/>
    <w:basedOn w:val="BodyTextIndentChar"/>
    <w:link w:val="BodyTextFirstIndent2"/>
    <w:uiPriority w:val="98"/>
    <w:semiHidden/>
    <w:rsid w:val="00C30BDA"/>
    <w:rPr>
      <w:sz w:val="24"/>
      <w:szCs w:val="24"/>
      <w:lang w:val="fr-FR"/>
    </w:rPr>
  </w:style>
  <w:style w:type="paragraph" w:styleId="BodyTextIndent2">
    <w:name w:val="Body Text Indent 2"/>
    <w:basedOn w:val="Normal"/>
    <w:link w:val="BodyTextIndent2Char"/>
    <w:uiPriority w:val="98"/>
    <w:semiHidden/>
    <w:rsid w:val="00C30BDA"/>
    <w:pPr>
      <w:spacing w:after="120" w:line="480" w:lineRule="auto"/>
      <w:ind w:left="283"/>
    </w:pPr>
  </w:style>
  <w:style w:type="character" w:customStyle="1" w:styleId="BodyTextIndent2Char">
    <w:name w:val="Body Text Indent 2 Char"/>
    <w:basedOn w:val="DefaultParagraphFont"/>
    <w:link w:val="BodyTextIndent2"/>
    <w:uiPriority w:val="98"/>
    <w:semiHidden/>
    <w:rsid w:val="00C30BDA"/>
    <w:rPr>
      <w:sz w:val="24"/>
      <w:szCs w:val="24"/>
      <w:lang w:val="fr-FR"/>
    </w:rPr>
  </w:style>
  <w:style w:type="paragraph" w:styleId="BodyTextIndent3">
    <w:name w:val="Body Text Indent 3"/>
    <w:basedOn w:val="Normal"/>
    <w:link w:val="BodyTextIndent3Char"/>
    <w:uiPriority w:val="98"/>
    <w:semiHidden/>
    <w:rsid w:val="00C30BD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C30BDA"/>
    <w:rPr>
      <w:sz w:val="16"/>
      <w:szCs w:val="16"/>
      <w:lang w:val="fr-FR"/>
    </w:rPr>
  </w:style>
  <w:style w:type="paragraph" w:styleId="Caption">
    <w:name w:val="caption"/>
    <w:basedOn w:val="Normal"/>
    <w:next w:val="Normal"/>
    <w:uiPriority w:val="98"/>
    <w:semiHidden/>
    <w:qFormat/>
    <w:rsid w:val="00C30BDA"/>
    <w:pPr>
      <w:spacing w:after="200"/>
    </w:pPr>
    <w:rPr>
      <w:b/>
      <w:bCs/>
      <w:color w:val="0072BC" w:themeColor="accent1"/>
      <w:sz w:val="18"/>
      <w:szCs w:val="18"/>
    </w:rPr>
  </w:style>
  <w:style w:type="paragraph" w:styleId="Closing">
    <w:name w:val="Closing"/>
    <w:basedOn w:val="Normal"/>
    <w:link w:val="ClosingChar"/>
    <w:uiPriority w:val="98"/>
    <w:semiHidden/>
    <w:rsid w:val="00C30BDA"/>
    <w:pPr>
      <w:ind w:left="4252"/>
    </w:pPr>
  </w:style>
  <w:style w:type="character" w:customStyle="1" w:styleId="ClosingChar">
    <w:name w:val="Closing Char"/>
    <w:basedOn w:val="DefaultParagraphFont"/>
    <w:link w:val="Closing"/>
    <w:uiPriority w:val="98"/>
    <w:semiHidden/>
    <w:rsid w:val="00C30BDA"/>
    <w:rPr>
      <w:sz w:val="24"/>
      <w:szCs w:val="24"/>
      <w:lang w:val="fr-FR"/>
    </w:rPr>
  </w:style>
  <w:style w:type="table" w:styleId="ColorfulGrid">
    <w:name w:val="Colorful Grid"/>
    <w:basedOn w:val="TableNormal"/>
    <w:uiPriority w:val="73"/>
    <w:semiHidden/>
    <w:rsid w:val="00C30BD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C30BD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C30BD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C30BD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C30BD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C30BD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C30BD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C30BD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C30BD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C30BD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C30BD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C30BD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C30BD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C30BD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C30BD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C30BD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C30BD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C30BD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C30BD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C30BD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C30BD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C30BDA"/>
    <w:rPr>
      <w:sz w:val="16"/>
      <w:szCs w:val="16"/>
    </w:rPr>
  </w:style>
  <w:style w:type="paragraph" w:styleId="CommentText">
    <w:name w:val="annotation text"/>
    <w:basedOn w:val="Normal"/>
    <w:link w:val="CommentTextChar"/>
    <w:semiHidden/>
    <w:rsid w:val="00C30BDA"/>
    <w:rPr>
      <w:sz w:val="20"/>
      <w:szCs w:val="20"/>
    </w:rPr>
  </w:style>
  <w:style w:type="character" w:customStyle="1" w:styleId="CommentTextChar">
    <w:name w:val="Comment Text Char"/>
    <w:basedOn w:val="DefaultParagraphFont"/>
    <w:link w:val="CommentText"/>
    <w:semiHidden/>
    <w:rsid w:val="00C30BDA"/>
    <w:rPr>
      <w:sz w:val="20"/>
      <w:szCs w:val="20"/>
      <w:lang w:val="fr-FR"/>
    </w:rPr>
  </w:style>
  <w:style w:type="paragraph" w:styleId="CommentSubject">
    <w:name w:val="annotation subject"/>
    <w:basedOn w:val="CommentText"/>
    <w:next w:val="CommentText"/>
    <w:link w:val="CommentSubjectChar"/>
    <w:uiPriority w:val="98"/>
    <w:semiHidden/>
    <w:rsid w:val="00C30BDA"/>
    <w:rPr>
      <w:b/>
      <w:bCs/>
    </w:rPr>
  </w:style>
  <w:style w:type="character" w:customStyle="1" w:styleId="CommentSubjectChar">
    <w:name w:val="Comment Subject Char"/>
    <w:basedOn w:val="CommentTextChar"/>
    <w:link w:val="CommentSubject"/>
    <w:uiPriority w:val="98"/>
    <w:semiHidden/>
    <w:rsid w:val="00C30BDA"/>
    <w:rPr>
      <w:b/>
      <w:bCs/>
      <w:sz w:val="20"/>
      <w:szCs w:val="20"/>
      <w:lang w:val="fr-FR"/>
    </w:rPr>
  </w:style>
  <w:style w:type="table" w:styleId="DarkList">
    <w:name w:val="Dark List"/>
    <w:basedOn w:val="TableNormal"/>
    <w:uiPriority w:val="70"/>
    <w:semiHidden/>
    <w:rsid w:val="00C30BD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C30BD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C30BD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C30BD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C30BD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C30BD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C30BD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C30BDA"/>
  </w:style>
  <w:style w:type="character" w:customStyle="1" w:styleId="DateChar">
    <w:name w:val="Date Char"/>
    <w:basedOn w:val="DefaultParagraphFont"/>
    <w:link w:val="Date"/>
    <w:uiPriority w:val="98"/>
    <w:semiHidden/>
    <w:rsid w:val="00C30BDA"/>
    <w:rPr>
      <w:sz w:val="24"/>
      <w:szCs w:val="24"/>
      <w:lang w:val="fr-FR"/>
    </w:rPr>
  </w:style>
  <w:style w:type="paragraph" w:styleId="DocumentMap">
    <w:name w:val="Document Map"/>
    <w:basedOn w:val="Normal"/>
    <w:link w:val="DocumentMapChar"/>
    <w:uiPriority w:val="98"/>
    <w:semiHidden/>
    <w:rsid w:val="00C30BDA"/>
    <w:rPr>
      <w:rFonts w:ascii="Tahoma" w:hAnsi="Tahoma" w:cs="Tahoma"/>
      <w:sz w:val="16"/>
      <w:szCs w:val="16"/>
    </w:rPr>
  </w:style>
  <w:style w:type="character" w:customStyle="1" w:styleId="DocumentMapChar">
    <w:name w:val="Document Map Char"/>
    <w:basedOn w:val="DefaultParagraphFont"/>
    <w:link w:val="DocumentMap"/>
    <w:uiPriority w:val="98"/>
    <w:semiHidden/>
    <w:rsid w:val="00C30BDA"/>
    <w:rPr>
      <w:rFonts w:ascii="Tahoma" w:hAnsi="Tahoma" w:cs="Tahoma"/>
      <w:sz w:val="16"/>
      <w:szCs w:val="16"/>
      <w:lang w:val="fr-FR"/>
    </w:rPr>
  </w:style>
  <w:style w:type="paragraph" w:styleId="E-mailSignature">
    <w:name w:val="E-mail Signature"/>
    <w:basedOn w:val="Normal"/>
    <w:link w:val="E-mailSignatureChar"/>
    <w:uiPriority w:val="98"/>
    <w:semiHidden/>
    <w:rsid w:val="00C30BDA"/>
  </w:style>
  <w:style w:type="character" w:customStyle="1" w:styleId="E-mailSignatureChar">
    <w:name w:val="E-mail Signature Char"/>
    <w:basedOn w:val="DefaultParagraphFont"/>
    <w:link w:val="E-mailSignature"/>
    <w:uiPriority w:val="98"/>
    <w:semiHidden/>
    <w:rsid w:val="00C30BDA"/>
    <w:rPr>
      <w:sz w:val="24"/>
      <w:szCs w:val="24"/>
      <w:lang w:val="fr-FR"/>
    </w:rPr>
  </w:style>
  <w:style w:type="character" w:styleId="EndnoteReference">
    <w:name w:val="endnote reference"/>
    <w:basedOn w:val="DefaultParagraphFont"/>
    <w:uiPriority w:val="98"/>
    <w:semiHidden/>
    <w:rsid w:val="00C30BDA"/>
    <w:rPr>
      <w:vertAlign w:val="superscript"/>
    </w:rPr>
  </w:style>
  <w:style w:type="paragraph" w:styleId="EndnoteText">
    <w:name w:val="endnote text"/>
    <w:basedOn w:val="Normal"/>
    <w:link w:val="EndnoteTextChar"/>
    <w:uiPriority w:val="98"/>
    <w:semiHidden/>
    <w:rsid w:val="00C30BDA"/>
    <w:rPr>
      <w:sz w:val="20"/>
      <w:szCs w:val="20"/>
    </w:rPr>
  </w:style>
  <w:style w:type="character" w:customStyle="1" w:styleId="EndnoteTextChar">
    <w:name w:val="Endnote Text Char"/>
    <w:basedOn w:val="DefaultParagraphFont"/>
    <w:link w:val="EndnoteText"/>
    <w:uiPriority w:val="98"/>
    <w:semiHidden/>
    <w:rsid w:val="00C30BDA"/>
    <w:rPr>
      <w:sz w:val="20"/>
      <w:szCs w:val="20"/>
      <w:lang w:val="fr-FR"/>
    </w:rPr>
  </w:style>
  <w:style w:type="paragraph" w:styleId="EnvelopeAddress">
    <w:name w:val="envelope address"/>
    <w:basedOn w:val="Normal"/>
    <w:uiPriority w:val="98"/>
    <w:semiHidden/>
    <w:rsid w:val="00C30BD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C30BD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C30BDA"/>
    <w:rPr>
      <w:color w:val="7030A0" w:themeColor="followedHyperlink"/>
      <w:u w:val="single"/>
    </w:rPr>
  </w:style>
  <w:style w:type="character" w:styleId="HTMLAcronym">
    <w:name w:val="HTML Acronym"/>
    <w:basedOn w:val="DefaultParagraphFont"/>
    <w:uiPriority w:val="98"/>
    <w:semiHidden/>
    <w:rsid w:val="00C30BDA"/>
  </w:style>
  <w:style w:type="paragraph" w:styleId="HTMLAddress">
    <w:name w:val="HTML Address"/>
    <w:basedOn w:val="Normal"/>
    <w:link w:val="HTMLAddressChar"/>
    <w:uiPriority w:val="98"/>
    <w:semiHidden/>
    <w:rsid w:val="00C30BDA"/>
    <w:rPr>
      <w:i/>
      <w:iCs/>
    </w:rPr>
  </w:style>
  <w:style w:type="character" w:customStyle="1" w:styleId="HTMLAddressChar">
    <w:name w:val="HTML Address Char"/>
    <w:basedOn w:val="DefaultParagraphFont"/>
    <w:link w:val="HTMLAddress"/>
    <w:uiPriority w:val="98"/>
    <w:semiHidden/>
    <w:rsid w:val="00C30BDA"/>
    <w:rPr>
      <w:i/>
      <w:iCs/>
      <w:sz w:val="24"/>
      <w:szCs w:val="24"/>
      <w:lang w:val="fr-FR"/>
    </w:rPr>
  </w:style>
  <w:style w:type="character" w:styleId="HTMLCite">
    <w:name w:val="HTML Cite"/>
    <w:basedOn w:val="DefaultParagraphFont"/>
    <w:uiPriority w:val="98"/>
    <w:semiHidden/>
    <w:rsid w:val="00C30BDA"/>
    <w:rPr>
      <w:i/>
      <w:iCs/>
    </w:rPr>
  </w:style>
  <w:style w:type="character" w:styleId="HTMLCode">
    <w:name w:val="HTML Code"/>
    <w:basedOn w:val="DefaultParagraphFont"/>
    <w:uiPriority w:val="98"/>
    <w:semiHidden/>
    <w:rsid w:val="00C30BDA"/>
    <w:rPr>
      <w:rFonts w:ascii="Consolas" w:hAnsi="Consolas" w:cs="Consolas"/>
      <w:sz w:val="20"/>
      <w:szCs w:val="20"/>
    </w:rPr>
  </w:style>
  <w:style w:type="character" w:styleId="HTMLDefinition">
    <w:name w:val="HTML Definition"/>
    <w:basedOn w:val="DefaultParagraphFont"/>
    <w:uiPriority w:val="98"/>
    <w:semiHidden/>
    <w:rsid w:val="00C30BDA"/>
    <w:rPr>
      <w:i/>
      <w:iCs/>
    </w:rPr>
  </w:style>
  <w:style w:type="character" w:styleId="HTMLKeyboard">
    <w:name w:val="HTML Keyboard"/>
    <w:basedOn w:val="DefaultParagraphFont"/>
    <w:uiPriority w:val="98"/>
    <w:semiHidden/>
    <w:rsid w:val="00C30BDA"/>
    <w:rPr>
      <w:rFonts w:ascii="Consolas" w:hAnsi="Consolas" w:cs="Consolas"/>
      <w:sz w:val="20"/>
      <w:szCs w:val="20"/>
    </w:rPr>
  </w:style>
  <w:style w:type="paragraph" w:styleId="HTMLPreformatted">
    <w:name w:val="HTML Preformatted"/>
    <w:basedOn w:val="Normal"/>
    <w:link w:val="HTMLPreformattedChar"/>
    <w:uiPriority w:val="98"/>
    <w:semiHidden/>
    <w:rsid w:val="00C30BD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C30BDA"/>
    <w:rPr>
      <w:rFonts w:ascii="Consolas" w:hAnsi="Consolas" w:cs="Consolas"/>
      <w:sz w:val="20"/>
      <w:szCs w:val="20"/>
      <w:lang w:val="fr-FR"/>
    </w:rPr>
  </w:style>
  <w:style w:type="character" w:styleId="HTMLSample">
    <w:name w:val="HTML Sample"/>
    <w:basedOn w:val="DefaultParagraphFont"/>
    <w:uiPriority w:val="98"/>
    <w:semiHidden/>
    <w:rsid w:val="00C30BDA"/>
    <w:rPr>
      <w:rFonts w:ascii="Consolas" w:hAnsi="Consolas" w:cs="Consolas"/>
      <w:sz w:val="24"/>
      <w:szCs w:val="24"/>
    </w:rPr>
  </w:style>
  <w:style w:type="character" w:styleId="HTMLTypewriter">
    <w:name w:val="HTML Typewriter"/>
    <w:basedOn w:val="DefaultParagraphFont"/>
    <w:uiPriority w:val="98"/>
    <w:semiHidden/>
    <w:rsid w:val="00C30BDA"/>
    <w:rPr>
      <w:rFonts w:ascii="Consolas" w:hAnsi="Consolas" w:cs="Consolas"/>
      <w:sz w:val="20"/>
      <w:szCs w:val="20"/>
    </w:rPr>
  </w:style>
  <w:style w:type="character" w:styleId="HTMLVariable">
    <w:name w:val="HTML Variable"/>
    <w:basedOn w:val="DefaultParagraphFont"/>
    <w:uiPriority w:val="98"/>
    <w:semiHidden/>
    <w:rsid w:val="00C30BDA"/>
    <w:rPr>
      <w:i/>
      <w:iCs/>
    </w:rPr>
  </w:style>
  <w:style w:type="paragraph" w:styleId="Index1">
    <w:name w:val="index 1"/>
    <w:basedOn w:val="Normal"/>
    <w:next w:val="Normal"/>
    <w:autoRedefine/>
    <w:uiPriority w:val="98"/>
    <w:semiHidden/>
    <w:rsid w:val="00C30BDA"/>
    <w:pPr>
      <w:ind w:left="240" w:hanging="240"/>
    </w:pPr>
  </w:style>
  <w:style w:type="paragraph" w:styleId="Index2">
    <w:name w:val="index 2"/>
    <w:basedOn w:val="Normal"/>
    <w:next w:val="Normal"/>
    <w:autoRedefine/>
    <w:uiPriority w:val="98"/>
    <w:semiHidden/>
    <w:rsid w:val="00C30BDA"/>
    <w:pPr>
      <w:ind w:left="480" w:hanging="240"/>
    </w:pPr>
  </w:style>
  <w:style w:type="paragraph" w:styleId="Index3">
    <w:name w:val="index 3"/>
    <w:basedOn w:val="Normal"/>
    <w:next w:val="Normal"/>
    <w:autoRedefine/>
    <w:uiPriority w:val="98"/>
    <w:semiHidden/>
    <w:rsid w:val="00C30BDA"/>
    <w:pPr>
      <w:ind w:left="720" w:hanging="240"/>
    </w:pPr>
  </w:style>
  <w:style w:type="paragraph" w:styleId="Index4">
    <w:name w:val="index 4"/>
    <w:basedOn w:val="Normal"/>
    <w:next w:val="Normal"/>
    <w:autoRedefine/>
    <w:uiPriority w:val="98"/>
    <w:semiHidden/>
    <w:rsid w:val="00C30BDA"/>
    <w:pPr>
      <w:ind w:left="960" w:hanging="240"/>
    </w:pPr>
  </w:style>
  <w:style w:type="paragraph" w:styleId="Index5">
    <w:name w:val="index 5"/>
    <w:basedOn w:val="Normal"/>
    <w:next w:val="Normal"/>
    <w:autoRedefine/>
    <w:uiPriority w:val="98"/>
    <w:semiHidden/>
    <w:rsid w:val="00C30BDA"/>
    <w:pPr>
      <w:ind w:left="1200" w:hanging="240"/>
    </w:pPr>
  </w:style>
  <w:style w:type="paragraph" w:styleId="Index6">
    <w:name w:val="index 6"/>
    <w:basedOn w:val="Normal"/>
    <w:next w:val="Normal"/>
    <w:autoRedefine/>
    <w:uiPriority w:val="98"/>
    <w:semiHidden/>
    <w:rsid w:val="00C30BDA"/>
    <w:pPr>
      <w:ind w:left="1440" w:hanging="240"/>
    </w:pPr>
  </w:style>
  <w:style w:type="paragraph" w:styleId="Index7">
    <w:name w:val="index 7"/>
    <w:basedOn w:val="Normal"/>
    <w:next w:val="Normal"/>
    <w:autoRedefine/>
    <w:uiPriority w:val="98"/>
    <w:semiHidden/>
    <w:rsid w:val="00C30BDA"/>
    <w:pPr>
      <w:ind w:left="1680" w:hanging="240"/>
    </w:pPr>
  </w:style>
  <w:style w:type="paragraph" w:styleId="Index8">
    <w:name w:val="index 8"/>
    <w:basedOn w:val="Normal"/>
    <w:next w:val="Normal"/>
    <w:autoRedefine/>
    <w:uiPriority w:val="98"/>
    <w:semiHidden/>
    <w:rsid w:val="00C30BDA"/>
    <w:pPr>
      <w:ind w:left="1920" w:hanging="240"/>
    </w:pPr>
  </w:style>
  <w:style w:type="paragraph" w:styleId="Index9">
    <w:name w:val="index 9"/>
    <w:basedOn w:val="Normal"/>
    <w:next w:val="Normal"/>
    <w:autoRedefine/>
    <w:uiPriority w:val="98"/>
    <w:semiHidden/>
    <w:rsid w:val="00C30BDA"/>
    <w:pPr>
      <w:ind w:left="2160" w:hanging="240"/>
    </w:pPr>
  </w:style>
  <w:style w:type="paragraph" w:styleId="IndexHeading">
    <w:name w:val="index heading"/>
    <w:basedOn w:val="Normal"/>
    <w:next w:val="Index1"/>
    <w:uiPriority w:val="98"/>
    <w:semiHidden/>
    <w:rsid w:val="00C30BDA"/>
    <w:rPr>
      <w:rFonts w:asciiTheme="majorHAnsi" w:eastAsiaTheme="majorEastAsia" w:hAnsiTheme="majorHAnsi" w:cstheme="majorBidi"/>
      <w:b/>
      <w:bCs/>
    </w:rPr>
  </w:style>
  <w:style w:type="table" w:styleId="LightGrid">
    <w:name w:val="Light Grid"/>
    <w:basedOn w:val="TableNormal"/>
    <w:uiPriority w:val="62"/>
    <w:semiHidden/>
    <w:rsid w:val="00C30BD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C30BD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C30BD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C30BD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C30BD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C30BD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C30BD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C30BD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C30BD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C30BD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C30BD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C30BD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C30BD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C30BD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C30BD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C30BD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C30BD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C30BD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C30BD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C30BD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C30BD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C30BDA"/>
  </w:style>
  <w:style w:type="paragraph" w:styleId="List">
    <w:name w:val="List"/>
    <w:basedOn w:val="Normal"/>
    <w:uiPriority w:val="98"/>
    <w:semiHidden/>
    <w:rsid w:val="00C30BDA"/>
    <w:pPr>
      <w:ind w:left="283" w:hanging="283"/>
      <w:contextualSpacing/>
    </w:pPr>
  </w:style>
  <w:style w:type="paragraph" w:styleId="List2">
    <w:name w:val="List 2"/>
    <w:basedOn w:val="Normal"/>
    <w:uiPriority w:val="98"/>
    <w:semiHidden/>
    <w:rsid w:val="00C30BDA"/>
    <w:pPr>
      <w:ind w:left="566" w:hanging="283"/>
      <w:contextualSpacing/>
    </w:pPr>
  </w:style>
  <w:style w:type="paragraph" w:styleId="List3">
    <w:name w:val="List 3"/>
    <w:basedOn w:val="Normal"/>
    <w:uiPriority w:val="98"/>
    <w:semiHidden/>
    <w:rsid w:val="00C30BDA"/>
    <w:pPr>
      <w:ind w:left="849" w:hanging="283"/>
      <w:contextualSpacing/>
    </w:pPr>
  </w:style>
  <w:style w:type="paragraph" w:styleId="List4">
    <w:name w:val="List 4"/>
    <w:basedOn w:val="Normal"/>
    <w:uiPriority w:val="98"/>
    <w:semiHidden/>
    <w:rsid w:val="00C30BDA"/>
    <w:pPr>
      <w:ind w:left="1132" w:hanging="283"/>
      <w:contextualSpacing/>
    </w:pPr>
  </w:style>
  <w:style w:type="paragraph" w:styleId="List5">
    <w:name w:val="List 5"/>
    <w:basedOn w:val="Normal"/>
    <w:uiPriority w:val="98"/>
    <w:semiHidden/>
    <w:rsid w:val="00C30BDA"/>
    <w:pPr>
      <w:ind w:left="1415" w:hanging="283"/>
      <w:contextualSpacing/>
    </w:pPr>
  </w:style>
  <w:style w:type="paragraph" w:styleId="ListBullet">
    <w:name w:val="List Bullet"/>
    <w:basedOn w:val="Normal"/>
    <w:uiPriority w:val="98"/>
    <w:semiHidden/>
    <w:rsid w:val="00C30BDA"/>
    <w:pPr>
      <w:numPr>
        <w:numId w:val="10"/>
      </w:numPr>
    </w:pPr>
  </w:style>
  <w:style w:type="paragraph" w:styleId="ListBullet3">
    <w:name w:val="List Bullet 3"/>
    <w:basedOn w:val="Normal"/>
    <w:uiPriority w:val="98"/>
    <w:semiHidden/>
    <w:rsid w:val="00C30BDA"/>
    <w:pPr>
      <w:numPr>
        <w:numId w:val="12"/>
      </w:numPr>
      <w:contextualSpacing/>
    </w:pPr>
  </w:style>
  <w:style w:type="paragraph" w:styleId="ListBullet4">
    <w:name w:val="List Bullet 4"/>
    <w:basedOn w:val="Normal"/>
    <w:uiPriority w:val="98"/>
    <w:semiHidden/>
    <w:rsid w:val="00C30BDA"/>
    <w:pPr>
      <w:numPr>
        <w:numId w:val="13"/>
      </w:numPr>
      <w:contextualSpacing/>
    </w:pPr>
  </w:style>
  <w:style w:type="paragraph" w:styleId="ListBullet5">
    <w:name w:val="List Bullet 5"/>
    <w:basedOn w:val="Normal"/>
    <w:uiPriority w:val="98"/>
    <w:semiHidden/>
    <w:rsid w:val="00C30BDA"/>
    <w:pPr>
      <w:numPr>
        <w:numId w:val="14"/>
      </w:numPr>
      <w:contextualSpacing/>
    </w:pPr>
  </w:style>
  <w:style w:type="paragraph" w:styleId="ListContinue">
    <w:name w:val="List Continue"/>
    <w:basedOn w:val="Normal"/>
    <w:uiPriority w:val="98"/>
    <w:semiHidden/>
    <w:rsid w:val="00C30BDA"/>
    <w:pPr>
      <w:spacing w:after="120"/>
      <w:ind w:left="283"/>
      <w:contextualSpacing/>
    </w:pPr>
  </w:style>
  <w:style w:type="paragraph" w:styleId="ListContinue2">
    <w:name w:val="List Continue 2"/>
    <w:basedOn w:val="Normal"/>
    <w:uiPriority w:val="98"/>
    <w:semiHidden/>
    <w:rsid w:val="00C30BDA"/>
    <w:pPr>
      <w:spacing w:after="120"/>
      <w:ind w:left="566"/>
      <w:contextualSpacing/>
    </w:pPr>
  </w:style>
  <w:style w:type="paragraph" w:styleId="ListContinue3">
    <w:name w:val="List Continue 3"/>
    <w:basedOn w:val="Normal"/>
    <w:uiPriority w:val="98"/>
    <w:semiHidden/>
    <w:rsid w:val="00C30BDA"/>
    <w:pPr>
      <w:spacing w:after="120"/>
      <w:ind w:left="849"/>
      <w:contextualSpacing/>
    </w:pPr>
  </w:style>
  <w:style w:type="paragraph" w:styleId="ListContinue4">
    <w:name w:val="List Continue 4"/>
    <w:basedOn w:val="Normal"/>
    <w:uiPriority w:val="98"/>
    <w:semiHidden/>
    <w:rsid w:val="00C30BDA"/>
    <w:pPr>
      <w:spacing w:after="120"/>
      <w:ind w:left="1132"/>
      <w:contextualSpacing/>
    </w:pPr>
  </w:style>
  <w:style w:type="paragraph" w:styleId="ListContinue5">
    <w:name w:val="List Continue 5"/>
    <w:basedOn w:val="Normal"/>
    <w:uiPriority w:val="98"/>
    <w:semiHidden/>
    <w:rsid w:val="00C30BDA"/>
    <w:pPr>
      <w:spacing w:after="120"/>
      <w:ind w:left="1415"/>
      <w:contextualSpacing/>
    </w:pPr>
  </w:style>
  <w:style w:type="paragraph" w:styleId="ListNumber">
    <w:name w:val="List Number"/>
    <w:basedOn w:val="Normal"/>
    <w:uiPriority w:val="98"/>
    <w:semiHidden/>
    <w:rsid w:val="00C30BDA"/>
    <w:pPr>
      <w:numPr>
        <w:numId w:val="15"/>
      </w:numPr>
      <w:contextualSpacing/>
    </w:pPr>
  </w:style>
  <w:style w:type="paragraph" w:styleId="ListNumber2">
    <w:name w:val="List Number 2"/>
    <w:basedOn w:val="Normal"/>
    <w:uiPriority w:val="98"/>
    <w:semiHidden/>
    <w:rsid w:val="00C30BDA"/>
    <w:pPr>
      <w:numPr>
        <w:numId w:val="16"/>
      </w:numPr>
      <w:contextualSpacing/>
    </w:pPr>
  </w:style>
  <w:style w:type="paragraph" w:styleId="ListNumber3">
    <w:name w:val="List Number 3"/>
    <w:basedOn w:val="Normal"/>
    <w:uiPriority w:val="98"/>
    <w:semiHidden/>
    <w:rsid w:val="00C30BDA"/>
    <w:pPr>
      <w:numPr>
        <w:numId w:val="17"/>
      </w:numPr>
      <w:contextualSpacing/>
    </w:pPr>
  </w:style>
  <w:style w:type="paragraph" w:styleId="ListNumber4">
    <w:name w:val="List Number 4"/>
    <w:basedOn w:val="Normal"/>
    <w:uiPriority w:val="98"/>
    <w:semiHidden/>
    <w:rsid w:val="00C30BDA"/>
    <w:pPr>
      <w:numPr>
        <w:numId w:val="18"/>
      </w:numPr>
      <w:contextualSpacing/>
    </w:pPr>
  </w:style>
  <w:style w:type="paragraph" w:styleId="ListNumber5">
    <w:name w:val="List Number 5"/>
    <w:basedOn w:val="Normal"/>
    <w:uiPriority w:val="98"/>
    <w:semiHidden/>
    <w:rsid w:val="00C30BDA"/>
    <w:pPr>
      <w:numPr>
        <w:numId w:val="19"/>
      </w:numPr>
      <w:contextualSpacing/>
    </w:pPr>
  </w:style>
  <w:style w:type="paragraph" w:styleId="MacroText">
    <w:name w:val="macro"/>
    <w:link w:val="MacroTextChar"/>
    <w:uiPriority w:val="98"/>
    <w:semiHidden/>
    <w:rsid w:val="00C30BD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C30BDA"/>
    <w:rPr>
      <w:rFonts w:ascii="Consolas" w:eastAsiaTheme="minorEastAsia" w:hAnsi="Consolas" w:cs="Consolas"/>
      <w:sz w:val="20"/>
      <w:szCs w:val="20"/>
    </w:rPr>
  </w:style>
  <w:style w:type="table" w:styleId="MediumGrid1">
    <w:name w:val="Medium Grid 1"/>
    <w:basedOn w:val="TableNormal"/>
    <w:uiPriority w:val="67"/>
    <w:semiHidden/>
    <w:rsid w:val="00C30BD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C30BD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C30BD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C30BD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C30BD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C30BD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C30BD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C30BD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C30BD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C30BD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C30BD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C30BD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C30BD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C30BD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C30BD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C30BD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C30BD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C30BD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C30BD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C30BD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C30BD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C30BD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C30BD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C30BD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C30BD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C30BD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C30BD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C30BD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C30BD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C30BD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C30BD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C30BD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C30BD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C30BD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C30BD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C30BD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C30BD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C30BD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C30BD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C30BD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C30BD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C30BD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C30BD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C30BD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C30BD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C30BD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C30BD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C30BD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C30BD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C30BD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C30BDA"/>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C30BDA"/>
    <w:rPr>
      <w:rFonts w:ascii="Times New Roman" w:hAnsi="Times New Roman" w:cs="Times New Roman"/>
    </w:rPr>
  </w:style>
  <w:style w:type="paragraph" w:styleId="NormalIndent">
    <w:name w:val="Normal Indent"/>
    <w:basedOn w:val="Normal"/>
    <w:uiPriority w:val="98"/>
    <w:semiHidden/>
    <w:rsid w:val="00C30BDA"/>
    <w:pPr>
      <w:ind w:left="720"/>
    </w:pPr>
  </w:style>
  <w:style w:type="paragraph" w:styleId="NoteHeading">
    <w:name w:val="Note Heading"/>
    <w:basedOn w:val="Normal"/>
    <w:next w:val="Normal"/>
    <w:link w:val="NoteHeadingChar"/>
    <w:uiPriority w:val="98"/>
    <w:semiHidden/>
    <w:rsid w:val="00C30BDA"/>
  </w:style>
  <w:style w:type="character" w:customStyle="1" w:styleId="NoteHeadingChar">
    <w:name w:val="Note Heading Char"/>
    <w:basedOn w:val="DefaultParagraphFont"/>
    <w:link w:val="NoteHeading"/>
    <w:uiPriority w:val="98"/>
    <w:semiHidden/>
    <w:rsid w:val="00C30BDA"/>
    <w:rPr>
      <w:sz w:val="24"/>
      <w:szCs w:val="24"/>
      <w:lang w:val="fr-FR"/>
    </w:rPr>
  </w:style>
  <w:style w:type="character" w:styleId="PlaceholderText">
    <w:name w:val="Placeholder Text"/>
    <w:basedOn w:val="DefaultParagraphFont"/>
    <w:uiPriority w:val="99"/>
    <w:semiHidden/>
    <w:rsid w:val="00C30BDA"/>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C30BDA"/>
    <w:rPr>
      <w:rFonts w:ascii="Consolas" w:hAnsi="Consolas" w:cs="Consolas"/>
      <w:sz w:val="21"/>
      <w:szCs w:val="21"/>
    </w:rPr>
  </w:style>
  <w:style w:type="character" w:customStyle="1" w:styleId="PlainTextChar">
    <w:name w:val="Plain Text Char"/>
    <w:basedOn w:val="DefaultParagraphFont"/>
    <w:link w:val="PlainText"/>
    <w:uiPriority w:val="98"/>
    <w:semiHidden/>
    <w:rsid w:val="00C30BDA"/>
    <w:rPr>
      <w:rFonts w:ascii="Consolas" w:hAnsi="Consolas" w:cs="Consolas"/>
      <w:sz w:val="21"/>
      <w:szCs w:val="21"/>
      <w:lang w:val="fr-FR"/>
    </w:rPr>
  </w:style>
  <w:style w:type="paragraph" w:styleId="Salutation">
    <w:name w:val="Salutation"/>
    <w:basedOn w:val="Normal"/>
    <w:next w:val="Normal"/>
    <w:link w:val="SalutationChar"/>
    <w:uiPriority w:val="98"/>
    <w:semiHidden/>
    <w:rsid w:val="00C30BDA"/>
  </w:style>
  <w:style w:type="character" w:customStyle="1" w:styleId="SalutationChar">
    <w:name w:val="Salutation Char"/>
    <w:basedOn w:val="DefaultParagraphFont"/>
    <w:link w:val="Salutation"/>
    <w:uiPriority w:val="98"/>
    <w:semiHidden/>
    <w:rsid w:val="00C30BDA"/>
    <w:rPr>
      <w:sz w:val="24"/>
      <w:szCs w:val="24"/>
      <w:lang w:val="fr-FR"/>
    </w:rPr>
  </w:style>
  <w:style w:type="paragraph" w:styleId="Signature">
    <w:name w:val="Signature"/>
    <w:basedOn w:val="Normal"/>
    <w:link w:val="SignatureChar"/>
    <w:uiPriority w:val="98"/>
    <w:semiHidden/>
    <w:rsid w:val="00C30BDA"/>
    <w:pPr>
      <w:ind w:left="4252"/>
    </w:pPr>
  </w:style>
  <w:style w:type="character" w:customStyle="1" w:styleId="SignatureChar">
    <w:name w:val="Signature Char"/>
    <w:basedOn w:val="DefaultParagraphFont"/>
    <w:link w:val="Signature"/>
    <w:uiPriority w:val="98"/>
    <w:semiHidden/>
    <w:rsid w:val="00C30BDA"/>
    <w:rPr>
      <w:sz w:val="24"/>
      <w:szCs w:val="24"/>
      <w:lang w:val="fr-FR"/>
    </w:rPr>
  </w:style>
  <w:style w:type="table" w:styleId="Table3Deffects1">
    <w:name w:val="Table 3D effects 1"/>
    <w:basedOn w:val="TableNormal"/>
    <w:uiPriority w:val="99"/>
    <w:semiHidden/>
    <w:unhideWhenUsed/>
    <w:rsid w:val="00C30BD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30BD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30BD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30BD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30BD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30BD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30BD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30BD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30BD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30BD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30BD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30BD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30BD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30BD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30BD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30BD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30BD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C30BD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30BD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30BD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30BD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30BD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30BD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30BD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30BD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C30BD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30BD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30BD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30BD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30BD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30BD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30BD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30BD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C30BDA"/>
    <w:pPr>
      <w:ind w:left="240" w:hanging="240"/>
    </w:pPr>
  </w:style>
  <w:style w:type="paragraph" w:styleId="TableofFigures">
    <w:name w:val="table of figures"/>
    <w:basedOn w:val="Normal"/>
    <w:next w:val="Normal"/>
    <w:uiPriority w:val="98"/>
    <w:semiHidden/>
    <w:rsid w:val="00C30BDA"/>
  </w:style>
  <w:style w:type="table" w:styleId="TableProfessional">
    <w:name w:val="Table Professional"/>
    <w:basedOn w:val="TableNormal"/>
    <w:uiPriority w:val="99"/>
    <w:semiHidden/>
    <w:unhideWhenUsed/>
    <w:rsid w:val="00C30BD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30BD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30BD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30BD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30BD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30BD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30BD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30BD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30BD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30BD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C30BD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C30BD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C30BDA"/>
    <w:pPr>
      <w:spacing w:after="100"/>
      <w:ind w:left="1680"/>
    </w:pPr>
  </w:style>
  <w:style w:type="paragraph" w:styleId="TOC9">
    <w:name w:val="toc 9"/>
    <w:basedOn w:val="Normal"/>
    <w:next w:val="Normal"/>
    <w:autoRedefine/>
    <w:uiPriority w:val="98"/>
    <w:semiHidden/>
    <w:rsid w:val="00C30BDA"/>
    <w:pPr>
      <w:spacing w:after="100"/>
      <w:ind w:left="1920"/>
    </w:pPr>
  </w:style>
  <w:style w:type="paragraph" w:customStyle="1" w:styleId="ECHRFooter">
    <w:name w:val="ECHR_Footer"/>
    <w:aliases w:val="Footer_ECHR"/>
    <w:basedOn w:val="Footer0"/>
    <w:uiPriority w:val="57"/>
    <w:semiHidden/>
    <w:rsid w:val="00893F30"/>
    <w:rPr>
      <w:sz w:val="8"/>
    </w:rPr>
  </w:style>
  <w:style w:type="paragraph" w:customStyle="1" w:styleId="FooterLine">
    <w:name w:val="_Footer_Line"/>
    <w:aliases w:val="Footer_Line"/>
    <w:basedOn w:val="Normal"/>
    <w:next w:val="Footer"/>
    <w:uiPriority w:val="57"/>
    <w:semiHidden/>
    <w:rsid w:val="00C30BDA"/>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C30BDA"/>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C30BDA"/>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C30BDA"/>
    <w:pPr>
      <w:numPr>
        <w:numId w:val="6"/>
      </w:numPr>
      <w:spacing w:before="60" w:after="60"/>
    </w:pPr>
  </w:style>
  <w:style w:type="paragraph" w:customStyle="1" w:styleId="JuHeaderLandscape">
    <w:name w:val="Ju_Header_Landscape"/>
    <w:aliases w:val="_Header_Landscape"/>
    <w:basedOn w:val="JuHeader"/>
    <w:uiPriority w:val="29"/>
    <w:qFormat/>
    <w:rsid w:val="003F4D18"/>
    <w:pPr>
      <w:tabs>
        <w:tab w:val="center" w:pos="6146"/>
        <w:tab w:val="right" w:pos="12293"/>
      </w:tabs>
    </w:pPr>
  </w:style>
  <w:style w:type="character" w:customStyle="1" w:styleId="JuNames0">
    <w:name w:val="Ju_Names"/>
    <w:rsid w:val="003F4D18"/>
    <w:rPr>
      <w:rFonts w:ascii="Times New Roman" w:hAnsi="Times New Roman" w:cs="Times New Roman"/>
      <w:smallCaps/>
    </w:rPr>
  </w:style>
  <w:style w:type="character" w:customStyle="1" w:styleId="JuParaChar">
    <w:name w:val="Ju_Para Char"/>
    <w:aliases w:val="_Para Char"/>
    <w:link w:val="JuPara"/>
    <w:uiPriority w:val="12"/>
    <w:rsid w:val="003F4D18"/>
    <w:rPr>
      <w:sz w:val="24"/>
      <w:szCs w:val="24"/>
      <w:lang w:val="fr-FR"/>
    </w:rPr>
  </w:style>
  <w:style w:type="paragraph" w:customStyle="1" w:styleId="ECHRBullet2">
    <w:name w:val="ECHR_Bullet_2"/>
    <w:aliases w:val="_Bul_2"/>
    <w:basedOn w:val="ECHRBullet1"/>
    <w:uiPriority w:val="23"/>
    <w:semiHidden/>
    <w:rsid w:val="00C30BDA"/>
    <w:pPr>
      <w:numPr>
        <w:ilvl w:val="1"/>
      </w:numPr>
    </w:pPr>
  </w:style>
  <w:style w:type="paragraph" w:customStyle="1" w:styleId="ECHRBullet3">
    <w:name w:val="ECHR_Bullet_3"/>
    <w:aliases w:val="_Bul_3"/>
    <w:basedOn w:val="ECHRBullet2"/>
    <w:uiPriority w:val="23"/>
    <w:semiHidden/>
    <w:rsid w:val="00C30BDA"/>
    <w:pPr>
      <w:numPr>
        <w:ilvl w:val="2"/>
      </w:numPr>
    </w:pPr>
  </w:style>
  <w:style w:type="paragraph" w:customStyle="1" w:styleId="ECHRBullet4">
    <w:name w:val="ECHR_Bullet_4"/>
    <w:aliases w:val="_Bul_4"/>
    <w:basedOn w:val="ECHRBullet3"/>
    <w:uiPriority w:val="23"/>
    <w:semiHidden/>
    <w:rsid w:val="00C30BDA"/>
    <w:pPr>
      <w:numPr>
        <w:ilvl w:val="3"/>
      </w:numPr>
    </w:pPr>
  </w:style>
  <w:style w:type="paragraph" w:customStyle="1" w:styleId="ECHRConfidential">
    <w:name w:val="ECHR_Confidential"/>
    <w:aliases w:val="_Confidential"/>
    <w:basedOn w:val="Normal"/>
    <w:next w:val="Normal"/>
    <w:uiPriority w:val="42"/>
    <w:semiHidden/>
    <w:qFormat/>
    <w:rsid w:val="00C30BDA"/>
    <w:pPr>
      <w:jc w:val="right"/>
    </w:pPr>
    <w:rPr>
      <w:color w:val="C00000"/>
      <w:sz w:val="20"/>
    </w:rPr>
  </w:style>
  <w:style w:type="paragraph" w:customStyle="1" w:styleId="ECHRDecisionBody">
    <w:name w:val="ECHR_Decision_Body"/>
    <w:aliases w:val="_Decision_Body"/>
    <w:basedOn w:val="NormalJustified"/>
    <w:uiPriority w:val="54"/>
    <w:semiHidden/>
    <w:rsid w:val="00C30BD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C30BDA"/>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C30BDA"/>
    <w:rPr>
      <w:rFonts w:ascii="Arial" w:hAnsi="Arial"/>
      <w:i/>
      <w:color w:val="0072BC" w:themeColor="accent1"/>
      <w:sz w:val="32"/>
      <w:szCs w:val="24"/>
      <w:lang w:val="fr-FR"/>
    </w:rPr>
  </w:style>
  <w:style w:type="paragraph" w:customStyle="1" w:styleId="ECHRFooterLineLandscape">
    <w:name w:val="ECHR_Footer_Line_Landscape"/>
    <w:aliases w:val="_Footer_Line_Landscape"/>
    <w:basedOn w:val="Normal"/>
    <w:uiPriority w:val="30"/>
    <w:semiHidden/>
    <w:rsid w:val="00C30BD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ParaHanging">
    <w:name w:val="ECHR_Para_Hanging"/>
    <w:aliases w:val="_Hanging"/>
    <w:basedOn w:val="Normal"/>
    <w:uiPriority w:val="8"/>
    <w:semiHidden/>
    <w:qFormat/>
    <w:rsid w:val="00C30BDA"/>
    <w:pPr>
      <w:ind w:left="567" w:hanging="567"/>
      <w:jc w:val="both"/>
    </w:pPr>
  </w:style>
  <w:style w:type="paragraph" w:customStyle="1" w:styleId="ECHRHeading9">
    <w:name w:val="ECHR_Heading_9"/>
    <w:aliases w:val="_Head_9"/>
    <w:basedOn w:val="Heading9"/>
    <w:next w:val="Normal"/>
    <w:uiPriority w:val="19"/>
    <w:semiHidden/>
    <w:rsid w:val="00C30BDA"/>
    <w:pPr>
      <w:numPr>
        <w:numId w:val="2"/>
      </w:numPr>
    </w:pPr>
    <w:rPr>
      <w:i w:val="0"/>
      <w:sz w:val="18"/>
    </w:rPr>
  </w:style>
  <w:style w:type="paragraph" w:customStyle="1" w:styleId="ECHRParaIndent">
    <w:name w:val="ECHR_Para_Indent"/>
    <w:aliases w:val="_Indent"/>
    <w:basedOn w:val="Normal"/>
    <w:uiPriority w:val="7"/>
    <w:semiHidden/>
    <w:qFormat/>
    <w:rsid w:val="00C30BDA"/>
    <w:pPr>
      <w:spacing w:before="120" w:after="120"/>
      <w:ind w:left="567"/>
      <w:jc w:val="both"/>
    </w:pPr>
  </w:style>
  <w:style w:type="paragraph" w:customStyle="1" w:styleId="ECHRLine">
    <w:name w:val="ECHR_Line"/>
    <w:aliases w:val="_Line"/>
    <w:basedOn w:val="NormalJustified"/>
    <w:next w:val="Normal"/>
    <w:uiPriority w:val="46"/>
    <w:semiHidden/>
    <w:rsid w:val="00C30BD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C30BDA"/>
    <w:pPr>
      <w:numPr>
        <w:numId w:val="8"/>
      </w:numPr>
      <w:spacing w:before="60" w:after="60"/>
    </w:pPr>
  </w:style>
  <w:style w:type="paragraph" w:customStyle="1" w:styleId="ECHRNumberedList2">
    <w:name w:val="ECHR_Numbered_List_2"/>
    <w:aliases w:val="_Num_2"/>
    <w:basedOn w:val="ECHRNumberedList1"/>
    <w:uiPriority w:val="23"/>
    <w:semiHidden/>
    <w:rsid w:val="00C30BDA"/>
    <w:pPr>
      <w:numPr>
        <w:ilvl w:val="1"/>
      </w:numPr>
    </w:pPr>
  </w:style>
  <w:style w:type="paragraph" w:customStyle="1" w:styleId="ECHRNumberedList3">
    <w:name w:val="ECHR_Numbered_List_3"/>
    <w:aliases w:val="_Num_3"/>
    <w:basedOn w:val="ECHRNumberedList2"/>
    <w:uiPriority w:val="23"/>
    <w:semiHidden/>
    <w:rsid w:val="00C30BDA"/>
    <w:pPr>
      <w:numPr>
        <w:ilvl w:val="2"/>
      </w:numPr>
    </w:pPr>
  </w:style>
  <w:style w:type="character" w:customStyle="1" w:styleId="ECHRRed">
    <w:name w:val="ECHR_Red"/>
    <w:aliases w:val="_Red"/>
    <w:basedOn w:val="DefaultParagraphFont"/>
    <w:uiPriority w:val="15"/>
    <w:semiHidden/>
    <w:qFormat/>
    <w:rsid w:val="00C30BDA"/>
    <w:rPr>
      <w:color w:val="C00000" w:themeColor="accent2"/>
    </w:rPr>
  </w:style>
  <w:style w:type="paragraph" w:customStyle="1" w:styleId="ECHRHeaderDate">
    <w:name w:val="ECHR_Header_Date"/>
    <w:aliases w:val="_Ref_Date"/>
    <w:basedOn w:val="Normal"/>
    <w:uiPriority w:val="44"/>
    <w:semiHidden/>
    <w:qFormat/>
    <w:rsid w:val="00C30BDA"/>
    <w:pPr>
      <w:jc w:val="right"/>
    </w:pPr>
    <w:rPr>
      <w:sz w:val="20"/>
    </w:rPr>
  </w:style>
  <w:style w:type="paragraph" w:customStyle="1" w:styleId="ECHRHeaderRefIt">
    <w:name w:val="ECHR_Header_Ref_It"/>
    <w:aliases w:val="_Ref_Ital"/>
    <w:basedOn w:val="Normal"/>
    <w:next w:val="ECHRHeaderDate"/>
    <w:uiPriority w:val="43"/>
    <w:semiHidden/>
    <w:qFormat/>
    <w:rsid w:val="00C30BDA"/>
    <w:pPr>
      <w:jc w:val="right"/>
    </w:pPr>
    <w:rPr>
      <w:i/>
      <w:sz w:val="20"/>
    </w:rPr>
  </w:style>
  <w:style w:type="paragraph" w:customStyle="1" w:styleId="ECHRTitleCentre1">
    <w:name w:val="ECHR_Title_Centre_1"/>
    <w:aliases w:val="_Title_C_1"/>
    <w:basedOn w:val="Normal"/>
    <w:next w:val="Normal"/>
    <w:uiPriority w:val="26"/>
    <w:semiHidden/>
    <w:qFormat/>
    <w:rsid w:val="00C30BD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C30BD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C30BD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C30BDA"/>
    <w:pPr>
      <w:outlineLvl w:val="0"/>
    </w:pPr>
  </w:style>
  <w:style w:type="paragraph" w:customStyle="1" w:styleId="ECHRTitle1">
    <w:name w:val="ECHR_Title_1"/>
    <w:aliases w:val="_Title_L_1"/>
    <w:basedOn w:val="Normal"/>
    <w:next w:val="Normal"/>
    <w:uiPriority w:val="28"/>
    <w:semiHidden/>
    <w:qFormat/>
    <w:rsid w:val="00C30BD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C30BD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C30BDA"/>
    <w:pPr>
      <w:keepNext/>
      <w:keepLines/>
      <w:spacing w:before="240"/>
      <w:contextualSpacing/>
    </w:pPr>
    <w:rPr>
      <w:rFonts w:asciiTheme="majorHAnsi" w:hAnsiTheme="majorHAnsi"/>
      <w:b/>
      <w:color w:val="474747" w:themeColor="accent3" w:themeShade="BF"/>
    </w:rPr>
  </w:style>
  <w:style w:type="paragraph" w:customStyle="1" w:styleId="ECHRTitleTOC1">
    <w:name w:val="ECHR_Title_TOC_1"/>
    <w:aliases w:val="_Title_L_TOC"/>
    <w:basedOn w:val="ECHRTitle1"/>
    <w:next w:val="Normal"/>
    <w:uiPriority w:val="27"/>
    <w:semiHidden/>
    <w:qFormat/>
    <w:rsid w:val="00C30BDA"/>
    <w:pPr>
      <w:outlineLvl w:val="0"/>
    </w:pPr>
  </w:style>
  <w:style w:type="table" w:customStyle="1" w:styleId="ECHRTable2">
    <w:name w:val="ECHR_Table_2"/>
    <w:basedOn w:val="TableNormal"/>
    <w:uiPriority w:val="99"/>
    <w:rsid w:val="00C30BD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C30BD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DecList">
    <w:name w:val="Dec_List"/>
    <w:aliases w:val="_List"/>
    <w:basedOn w:val="JuList"/>
    <w:uiPriority w:val="22"/>
    <w:rsid w:val="00C30BDA"/>
    <w:pPr>
      <w:numPr>
        <w:numId w:val="0"/>
      </w:numPr>
      <w:ind w:left="284"/>
    </w:pPr>
  </w:style>
  <w:style w:type="character" w:customStyle="1" w:styleId="JuJudgesChar">
    <w:name w:val="Ju_Judges Char"/>
    <w:link w:val="JuJudges"/>
    <w:uiPriority w:val="32"/>
    <w:rsid w:val="00873086"/>
    <w:rPr>
      <w:sz w:val="24"/>
      <w:szCs w:val="24"/>
      <w:lang w:val="fr-FR"/>
    </w:rPr>
  </w:style>
  <w:style w:type="paragraph" w:customStyle="1" w:styleId="ECHRSpacer">
    <w:name w:val="ECHR_Spacer"/>
    <w:aliases w:val="_Spacer"/>
    <w:basedOn w:val="Normal"/>
    <w:uiPriority w:val="45"/>
    <w:semiHidden/>
    <w:rsid w:val="00C30BDA"/>
    <w:rPr>
      <w:sz w:val="4"/>
    </w:rPr>
  </w:style>
  <w:style w:type="paragraph" w:customStyle="1" w:styleId="jupara0">
    <w:name w:val="jupara"/>
    <w:basedOn w:val="Normal"/>
    <w:rsid w:val="00261ED2"/>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261ED2"/>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041FF55-C976-4ACE-8E97-F10D23A9AFC9}"/>
</file>

<file path=customXml/itemProps2.xml><?xml version="1.0" encoding="utf-8"?>
<ds:datastoreItem xmlns:ds="http://schemas.openxmlformats.org/officeDocument/2006/customXml" ds:itemID="{B701695D-E1BE-4134-A775-B40F4CDDC23C}"/>
</file>

<file path=customXml/itemProps3.xml><?xml version="1.0" encoding="utf-8"?>
<ds:datastoreItem xmlns:ds="http://schemas.openxmlformats.org/officeDocument/2006/customXml" ds:itemID="{1E3C49E7-21FA-4F14-A3E0-2252F9DDDF66}"/>
</file>

<file path=customXml/itemProps4.xml><?xml version="1.0" encoding="utf-8"?>
<ds:datastoreItem xmlns:ds="http://schemas.openxmlformats.org/officeDocument/2006/customXml" ds:itemID="{64FD8591-487B-4032-BD08-A44683997744}"/>
</file>

<file path=docProps/app.xml><?xml version="1.0" encoding="utf-8"?>
<Properties xmlns="http://schemas.openxmlformats.org/officeDocument/2006/extended-properties" xmlns:vt="http://schemas.openxmlformats.org/officeDocument/2006/docPropsVTypes">
  <Template>Normal.dotm</Template>
  <TotalTime>0</TotalTime>
  <Pages>1</Pages>
  <Words>5422</Words>
  <Characters>30910</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36260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2020-07-17T19:14:00Z</dcterms:created>
  <dcterms:modified xsi:type="dcterms:W3CDTF">2020-07-17T19:14:00Z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50495/08</vt:lpwstr>
  </property>
  <property fmtid="{D5CDD505-2E9C-101B-9397-08002B2CF9AE}" pid="4" name="CASEID">
    <vt:lpwstr>534678</vt:lpwstr>
  </property>
  <property fmtid="{D5CDD505-2E9C-101B-9397-08002B2CF9AE}" pid="5" name="ContentTypeId">
    <vt:lpwstr>0x010100558EB02BDB9E204AB350EDD385B68E10</vt:lpwstr>
  </property>
</Properties>
</file>