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20530" w:rsidR="00D420F3" w:rsidP="00E20530" w:rsidRDefault="00D420F3">
      <w:pPr>
        <w:jc w:val="center"/>
      </w:pPr>
      <w:bookmarkStart w:name="_GoBack" w:id="0"/>
      <w:bookmarkEnd w:id="0"/>
    </w:p>
    <w:p w:rsidRPr="00E20530" w:rsidR="00CD544F" w:rsidP="00E20530" w:rsidRDefault="00CD544F">
      <w:pPr>
        <w:jc w:val="center"/>
      </w:pPr>
    </w:p>
    <w:p w:rsidRPr="00E20530" w:rsidR="00CD544F" w:rsidP="00E20530" w:rsidRDefault="00CD544F">
      <w:pPr>
        <w:jc w:val="center"/>
      </w:pPr>
    </w:p>
    <w:p w:rsidRPr="00E20530" w:rsidR="00D420F3" w:rsidP="00E20530" w:rsidRDefault="00D26F2B">
      <w:pPr>
        <w:jc w:val="center"/>
      </w:pPr>
      <w:r w:rsidRPr="00E20530">
        <w:t>THIRD SECTION</w:t>
      </w:r>
    </w:p>
    <w:p w:rsidRPr="00E20530" w:rsidR="00D420F3" w:rsidP="00E20530" w:rsidRDefault="00D420F3">
      <w:pPr>
        <w:jc w:val="center"/>
      </w:pPr>
    </w:p>
    <w:p w:rsidRPr="00E20530" w:rsidR="00CD544F" w:rsidP="00E20530" w:rsidRDefault="00CD544F">
      <w:pPr>
        <w:jc w:val="center"/>
      </w:pPr>
    </w:p>
    <w:p w:rsidRPr="00E20530" w:rsidR="00F85A16" w:rsidP="00E20530" w:rsidRDefault="00F85A16">
      <w:pPr>
        <w:jc w:val="center"/>
      </w:pPr>
    </w:p>
    <w:p w:rsidRPr="00E20530" w:rsidR="00F85A16" w:rsidP="00E20530" w:rsidRDefault="00F85A16">
      <w:pPr>
        <w:jc w:val="center"/>
      </w:pPr>
    </w:p>
    <w:p w:rsidRPr="00E20530" w:rsidR="00F85A16" w:rsidP="00E20530" w:rsidRDefault="00F85A16">
      <w:pPr>
        <w:jc w:val="center"/>
      </w:pPr>
    </w:p>
    <w:p w:rsidRPr="00E20530" w:rsidR="00CD544F" w:rsidP="00E20530" w:rsidRDefault="00CD544F">
      <w:pPr>
        <w:jc w:val="center"/>
      </w:pPr>
    </w:p>
    <w:p w:rsidRPr="00E20530" w:rsidR="00D420F3" w:rsidP="00E20530" w:rsidRDefault="0077175D">
      <w:pPr>
        <w:jc w:val="center"/>
        <w:rPr>
          <w:b/>
        </w:rPr>
      </w:pPr>
      <w:bookmarkStart w:name="To" w:id="1"/>
      <w:r w:rsidRPr="00E20530">
        <w:rPr>
          <w:b/>
        </w:rPr>
        <w:t xml:space="preserve">CASE OF </w:t>
      </w:r>
      <w:bookmarkEnd w:id="1"/>
      <w:r w:rsidRPr="00E20530" w:rsidR="00D26F2B">
        <w:rPr>
          <w:b/>
        </w:rPr>
        <w:t xml:space="preserve">INDAYEVA </w:t>
      </w:r>
      <w:r w:rsidRPr="00E20530" w:rsidR="00E13E82">
        <w:rPr>
          <w:b/>
        </w:rPr>
        <w:t>AND SULTANOV v. RUSSIA</w:t>
      </w:r>
    </w:p>
    <w:p w:rsidRPr="00E20530" w:rsidR="00D420F3" w:rsidP="00E20530" w:rsidRDefault="00D420F3">
      <w:pPr>
        <w:jc w:val="center"/>
      </w:pPr>
    </w:p>
    <w:p w:rsidRPr="00E20530" w:rsidR="00D420F3" w:rsidP="00E20530" w:rsidRDefault="0077175D">
      <w:pPr>
        <w:jc w:val="center"/>
        <w:rPr>
          <w:i/>
        </w:rPr>
      </w:pPr>
      <w:r w:rsidRPr="00E20530">
        <w:rPr>
          <w:i/>
        </w:rPr>
        <w:t>(</w:t>
      </w:r>
      <w:r w:rsidRPr="00E20530" w:rsidR="00D26F2B">
        <w:rPr>
          <w:i/>
        </w:rPr>
        <w:t>Applications nos. 58821/08 and 18360/13</w:t>
      </w:r>
      <w:r w:rsidRPr="00E20530">
        <w:rPr>
          <w:i/>
        </w:rPr>
        <w:t>)</w:t>
      </w:r>
    </w:p>
    <w:p w:rsidRPr="00E20530" w:rsidR="00D420F3" w:rsidP="00E20530" w:rsidRDefault="00D420F3">
      <w:pPr>
        <w:jc w:val="center"/>
      </w:pPr>
    </w:p>
    <w:p w:rsidRPr="00E20530" w:rsidR="00D420F3" w:rsidP="00E20530" w:rsidRDefault="00D420F3">
      <w:pPr>
        <w:jc w:val="center"/>
      </w:pPr>
    </w:p>
    <w:p w:rsidRPr="00E20530" w:rsidR="00F85A16" w:rsidP="00E20530" w:rsidRDefault="00F85A16">
      <w:pPr>
        <w:jc w:val="center"/>
      </w:pPr>
    </w:p>
    <w:p w:rsidRPr="00E20530" w:rsidR="00F85A16" w:rsidP="00E20530" w:rsidRDefault="00F85A16">
      <w:pPr>
        <w:jc w:val="center"/>
      </w:pPr>
    </w:p>
    <w:p w:rsidRPr="00E20530" w:rsidR="00F85A16" w:rsidP="00E20530" w:rsidRDefault="00F85A16">
      <w:pPr>
        <w:jc w:val="center"/>
      </w:pPr>
    </w:p>
    <w:p w:rsidRPr="00E20530" w:rsidR="00F85A16" w:rsidP="00E20530" w:rsidRDefault="00F85A16">
      <w:pPr>
        <w:jc w:val="center"/>
      </w:pPr>
    </w:p>
    <w:p w:rsidRPr="00E20530" w:rsidR="00F85A16" w:rsidP="00E20530" w:rsidRDefault="00F85A16">
      <w:pPr>
        <w:jc w:val="center"/>
      </w:pPr>
    </w:p>
    <w:p w:rsidRPr="00E20530" w:rsidR="00D420F3" w:rsidP="00E20530" w:rsidRDefault="00D420F3">
      <w:pPr>
        <w:jc w:val="center"/>
      </w:pPr>
    </w:p>
    <w:p w:rsidRPr="00E20530" w:rsidR="00D420F3" w:rsidP="00E20530" w:rsidRDefault="00D420F3">
      <w:pPr>
        <w:jc w:val="center"/>
      </w:pPr>
    </w:p>
    <w:p w:rsidRPr="00E20530" w:rsidR="00BB629A" w:rsidP="00E20530" w:rsidRDefault="00CD544F">
      <w:pPr>
        <w:jc w:val="center"/>
      </w:pPr>
      <w:r w:rsidRPr="00E20530">
        <w:t>JUDGMENT</w:t>
      </w:r>
    </w:p>
    <w:p w:rsidRPr="00E20530" w:rsidR="003F157C" w:rsidP="00E20530" w:rsidRDefault="003F157C">
      <w:pPr>
        <w:jc w:val="center"/>
      </w:pPr>
    </w:p>
    <w:p w:rsidRPr="00E20530" w:rsidR="00BB629A" w:rsidP="00E20530" w:rsidRDefault="00BB629A">
      <w:pPr>
        <w:jc w:val="center"/>
      </w:pPr>
    </w:p>
    <w:p w:rsidRPr="00E20530" w:rsidR="00CD544F" w:rsidP="00E20530" w:rsidRDefault="00CD544F">
      <w:pPr>
        <w:jc w:val="center"/>
      </w:pPr>
    </w:p>
    <w:p w:rsidRPr="00E20530" w:rsidR="00CD544F" w:rsidP="00E20530" w:rsidRDefault="00CD544F">
      <w:pPr>
        <w:jc w:val="center"/>
      </w:pPr>
    </w:p>
    <w:p w:rsidRPr="00E20530" w:rsidR="00CD544F" w:rsidP="00E20530" w:rsidRDefault="00CD544F">
      <w:pPr>
        <w:jc w:val="center"/>
      </w:pPr>
      <w:r w:rsidRPr="00E20530">
        <w:t>STRASBOURG</w:t>
      </w:r>
    </w:p>
    <w:p w:rsidRPr="00E20530" w:rsidR="00CD544F" w:rsidP="00E20530" w:rsidRDefault="00CD544F">
      <w:pPr>
        <w:jc w:val="center"/>
      </w:pPr>
    </w:p>
    <w:p w:rsidRPr="00E20530" w:rsidR="00CD544F" w:rsidP="00E20530" w:rsidRDefault="00F85A16">
      <w:pPr>
        <w:jc w:val="center"/>
      </w:pPr>
      <w:r w:rsidRPr="00E20530">
        <w:t>10 March 2020</w:t>
      </w:r>
    </w:p>
    <w:p w:rsidRPr="00E20530" w:rsidR="00CD544F" w:rsidP="00E20530" w:rsidRDefault="00CD544F">
      <w:pPr>
        <w:jc w:val="center"/>
      </w:pPr>
    </w:p>
    <w:p w:rsidRPr="00E20530" w:rsidR="00CD544F" w:rsidP="00E20530" w:rsidRDefault="00CD544F">
      <w:pPr>
        <w:jc w:val="center"/>
      </w:pPr>
    </w:p>
    <w:p w:rsidRPr="00E20530" w:rsidR="00CD544F" w:rsidP="00E20530" w:rsidRDefault="00CD544F">
      <w:pPr>
        <w:jc w:val="center"/>
        <w:rPr>
          <w:i/>
          <w:sz w:val="22"/>
        </w:rPr>
      </w:pPr>
      <w:r w:rsidRPr="00E20530">
        <w:rPr>
          <w:i/>
          <w:sz w:val="22"/>
        </w:rPr>
        <w:t>This judgment is final but it may be subject to editorial revision.</w:t>
      </w:r>
    </w:p>
    <w:p w:rsidRPr="00E20530" w:rsidR="00E20530" w:rsidP="00E20530" w:rsidRDefault="00E20530">
      <w:pPr>
        <w:pStyle w:val="ECHRPara"/>
        <w:sectPr w:rsidRPr="00E20530" w:rsidR="00E20530" w:rsidSect="00CD544F">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E20530" w:rsidR="00D420F3" w:rsidP="00E20530" w:rsidRDefault="0077175D">
      <w:pPr>
        <w:pStyle w:val="JuCase"/>
        <w:rPr>
          <w:bCs/>
        </w:rPr>
      </w:pPr>
      <w:r w:rsidRPr="00E20530">
        <w:t xml:space="preserve">In the case of </w:t>
      </w:r>
      <w:r w:rsidRPr="00E20530" w:rsidR="00D26F2B">
        <w:t xml:space="preserve">Indayeva </w:t>
      </w:r>
      <w:r w:rsidRPr="00E20530" w:rsidR="00A4344D">
        <w:t xml:space="preserve">and Sultanov </w:t>
      </w:r>
      <w:r w:rsidRPr="00E20530" w:rsidR="00D26F2B">
        <w:t>v. Russia</w:t>
      </w:r>
      <w:r w:rsidRPr="00E20530">
        <w:t>,</w:t>
      </w:r>
    </w:p>
    <w:p w:rsidRPr="00E20530" w:rsidR="00D420F3" w:rsidP="00E20530" w:rsidRDefault="0077175D">
      <w:pPr>
        <w:pStyle w:val="ECHRPara"/>
      </w:pPr>
      <w:r w:rsidRPr="00E20530">
        <w:t>The European Court of Human Rights (</w:t>
      </w:r>
      <w:r w:rsidRPr="00E20530" w:rsidR="00D26F2B">
        <w:t>Third Section</w:t>
      </w:r>
      <w:r w:rsidRPr="00E20530">
        <w:t xml:space="preserve">), sitting as a </w:t>
      </w:r>
      <w:r w:rsidRPr="00E20530" w:rsidR="00D26F2B">
        <w:t>Committee</w:t>
      </w:r>
      <w:r w:rsidRPr="00E20530">
        <w:t xml:space="preserve"> composed of:</w:t>
      </w:r>
    </w:p>
    <w:p w:rsidRPr="00E20530" w:rsidR="00D420F3" w:rsidP="00E20530" w:rsidRDefault="00F85A16">
      <w:pPr>
        <w:pStyle w:val="ECHRDecisionBody"/>
      </w:pPr>
      <w:r w:rsidRPr="00E20530">
        <w:tab/>
        <w:t>Georgios A. Serghides,</w:t>
      </w:r>
      <w:r w:rsidRPr="00E20530">
        <w:rPr>
          <w:i/>
        </w:rPr>
        <w:t xml:space="preserve"> President,</w:t>
      </w:r>
      <w:r w:rsidRPr="00E20530">
        <w:rPr>
          <w:i/>
        </w:rPr>
        <w:br/>
      </w:r>
      <w:r w:rsidRPr="00E20530">
        <w:tab/>
        <w:t>Erik Wennerström,</w:t>
      </w:r>
      <w:r w:rsidRPr="00E20530">
        <w:rPr>
          <w:i/>
        </w:rPr>
        <w:br/>
      </w:r>
      <w:r w:rsidRPr="00E20530">
        <w:tab/>
        <w:t>Lorraine Schembri Orland,</w:t>
      </w:r>
      <w:r w:rsidRPr="00E20530">
        <w:rPr>
          <w:i/>
        </w:rPr>
        <w:t xml:space="preserve"> judges,</w:t>
      </w:r>
      <w:r w:rsidRPr="00E20530" w:rsidR="0077175D">
        <w:rPr>
          <w:szCs w:val="24"/>
        </w:rPr>
        <w:br/>
      </w:r>
      <w:r w:rsidRPr="00E20530" w:rsidR="0077175D">
        <w:t xml:space="preserve">and </w:t>
      </w:r>
      <w:r w:rsidRPr="00E20530" w:rsidR="00BB32C3">
        <w:t>Stephen Phillips</w:t>
      </w:r>
      <w:r w:rsidRPr="00E20530" w:rsidR="0077175D">
        <w:t xml:space="preserve">, </w:t>
      </w:r>
      <w:r w:rsidRPr="00E20530" w:rsidR="00D26F2B">
        <w:rPr>
          <w:i/>
        </w:rPr>
        <w:t xml:space="preserve">Section </w:t>
      </w:r>
      <w:r w:rsidRPr="00E20530" w:rsidR="00D26F2B">
        <w:rPr>
          <w:i/>
          <w:iCs/>
        </w:rPr>
        <w:t>Registrar</w:t>
      </w:r>
      <w:r w:rsidRPr="00E20530" w:rsidR="0077175D">
        <w:rPr>
          <w:i/>
        </w:rPr>
        <w:t>,</w:t>
      </w:r>
    </w:p>
    <w:p w:rsidRPr="00E20530" w:rsidR="00D420F3" w:rsidP="00E20530" w:rsidRDefault="0077175D">
      <w:pPr>
        <w:pStyle w:val="ECHRPara"/>
      </w:pPr>
      <w:r w:rsidRPr="00E20530">
        <w:t xml:space="preserve">Having deliberated in private on </w:t>
      </w:r>
      <w:r w:rsidRPr="00E20530" w:rsidR="00F85A16">
        <w:t>11 February 2020</w:t>
      </w:r>
      <w:r w:rsidRPr="00E20530">
        <w:t>,</w:t>
      </w:r>
    </w:p>
    <w:p w:rsidRPr="00E20530" w:rsidR="00D420F3" w:rsidP="00E20530" w:rsidRDefault="0077175D">
      <w:pPr>
        <w:pStyle w:val="ECHRPara"/>
      </w:pPr>
      <w:r w:rsidRPr="00E20530">
        <w:t>Delivers the following judgment, which was adopted on that date:</w:t>
      </w:r>
    </w:p>
    <w:p w:rsidRPr="00E20530" w:rsidR="00D420F3" w:rsidP="00E20530" w:rsidRDefault="0077175D">
      <w:pPr>
        <w:pStyle w:val="ECHRTitle1"/>
      </w:pPr>
      <w:r w:rsidRPr="00E20530">
        <w:t>PROCEDURE</w:t>
      </w:r>
    </w:p>
    <w:p w:rsidRPr="00E20530" w:rsidR="00AB1F29" w:rsidP="00E20530" w:rsidRDefault="00D26F2B">
      <w:pPr>
        <w:pStyle w:val="ECHRPara"/>
      </w:pPr>
      <w:r w:rsidRPr="00E20530">
        <w:fldChar w:fldCharType="begin"/>
      </w:r>
      <w:r w:rsidRPr="00E20530">
        <w:instrText xml:space="preserve"> SEQ level0 \*arabic </w:instrText>
      </w:r>
      <w:r w:rsidRPr="00E20530">
        <w:fldChar w:fldCharType="separate"/>
      </w:r>
      <w:r w:rsidRPr="00E20530" w:rsidR="00E20530">
        <w:rPr>
          <w:noProof/>
        </w:rPr>
        <w:t>1</w:t>
      </w:r>
      <w:r w:rsidRPr="00E20530">
        <w:fldChar w:fldCharType="end"/>
      </w:r>
      <w:r w:rsidRPr="00E20530" w:rsidR="0077175D">
        <w:t xml:space="preserve">.  The case originated in </w:t>
      </w:r>
      <w:r w:rsidRPr="00E20530" w:rsidR="00BC334C">
        <w:t>two</w:t>
      </w:r>
      <w:r w:rsidRPr="00E20530">
        <w:t xml:space="preserve"> applications (nos. 58821/08 and </w:t>
      </w:r>
      <w:r w:rsidRPr="00E20530" w:rsidR="00BC334C">
        <w:t>18360/13</w:t>
      </w:r>
      <w:r w:rsidRPr="00E20530">
        <w:t>)</w:t>
      </w:r>
      <w:r w:rsidRPr="00E20530" w:rsidR="0077175D">
        <w:t xml:space="preserve"> against </w:t>
      </w:r>
      <w:r w:rsidRPr="00E20530">
        <w:t>the Russian Federation</w:t>
      </w:r>
      <w:r w:rsidRPr="00E20530" w:rsidR="0077175D">
        <w:t xml:space="preserve"> lodged with the </w:t>
      </w:r>
      <w:r w:rsidRPr="00E20530" w:rsidR="00BC334C">
        <w:t>Court under Article </w:t>
      </w:r>
      <w:r w:rsidRPr="00E20530">
        <w:t>34</w:t>
      </w:r>
      <w:r w:rsidRPr="00E20530" w:rsidR="0077175D">
        <w:t xml:space="preserve"> of the Convention for the Protection of Human Rights and Fundamental Freedoms (“the Convention”) by </w:t>
      </w:r>
      <w:r w:rsidRPr="00E20530" w:rsidR="00FA4B2D">
        <w:t>two</w:t>
      </w:r>
      <w:r w:rsidRPr="00E20530">
        <w:t xml:space="preserve"> Russian nationals, Ms Lipa Nozhayevna Indayeva </w:t>
      </w:r>
      <w:r w:rsidRPr="00E20530" w:rsidR="00117BD6">
        <w:t xml:space="preserve">(“the first applicant”) </w:t>
      </w:r>
      <w:r w:rsidRPr="00E20530">
        <w:t xml:space="preserve">and Mr </w:t>
      </w:r>
      <w:r w:rsidRPr="00E20530" w:rsidR="00BC334C">
        <w:t xml:space="preserve">Shamkhan Sultanovich Sultanov </w:t>
      </w:r>
      <w:r w:rsidRPr="00E20530">
        <w:t xml:space="preserve">(“the </w:t>
      </w:r>
      <w:r w:rsidRPr="00E20530" w:rsidR="00117BD6">
        <w:t xml:space="preserve">second </w:t>
      </w:r>
      <w:r w:rsidRPr="00E20530">
        <w:t xml:space="preserve">applicant”), on </w:t>
      </w:r>
      <w:r w:rsidRPr="00E20530" w:rsidR="00052C9E">
        <w:t xml:space="preserve">6 </w:t>
      </w:r>
      <w:r w:rsidRPr="00E20530">
        <w:t xml:space="preserve">August 2008 and </w:t>
      </w:r>
      <w:r w:rsidRPr="00E20530" w:rsidR="00BC334C">
        <w:t>18</w:t>
      </w:r>
      <w:r w:rsidRPr="00E20530" w:rsidR="00052C9E">
        <w:t xml:space="preserve"> </w:t>
      </w:r>
      <w:r w:rsidRPr="00E20530" w:rsidR="00BC334C">
        <w:t>February 2013</w:t>
      </w:r>
      <w:r w:rsidRPr="00E20530">
        <w:t xml:space="preserve"> respectively</w:t>
      </w:r>
      <w:r w:rsidRPr="00E20530" w:rsidR="0077175D">
        <w:t>.</w:t>
      </w:r>
    </w:p>
    <w:p w:rsidRPr="00E20530" w:rsidR="00D420F3" w:rsidP="00E20530" w:rsidRDefault="00D26F2B">
      <w:pPr>
        <w:pStyle w:val="ECHRPara"/>
      </w:pPr>
      <w:r w:rsidRPr="00E20530">
        <w:fldChar w:fldCharType="begin"/>
      </w:r>
      <w:r w:rsidRPr="00E20530">
        <w:instrText xml:space="preserve"> SEQ level0 \*arabic </w:instrText>
      </w:r>
      <w:r w:rsidRPr="00E20530">
        <w:fldChar w:fldCharType="separate"/>
      </w:r>
      <w:r w:rsidRPr="00E20530" w:rsidR="00E20530">
        <w:rPr>
          <w:noProof/>
        </w:rPr>
        <w:t>2</w:t>
      </w:r>
      <w:r w:rsidRPr="00E20530">
        <w:fldChar w:fldCharType="end"/>
      </w:r>
      <w:r w:rsidRPr="00E20530" w:rsidR="0077175D">
        <w:t>.  </w:t>
      </w:r>
      <w:r w:rsidRPr="00E20530">
        <w:t xml:space="preserve">The </w:t>
      </w:r>
      <w:r w:rsidRPr="00E20530" w:rsidR="00280BCD">
        <w:t xml:space="preserve">first applicant was initially represented by Mr U. S.-M. Khasiyev and since 2016 also by </w:t>
      </w:r>
      <w:r w:rsidRPr="00E20530">
        <w:t>Ms E.M. Khalimova</w:t>
      </w:r>
      <w:r w:rsidRPr="00E20530" w:rsidR="00FA4B2D">
        <w:t>,</w:t>
      </w:r>
      <w:r w:rsidRPr="00E20530" w:rsidR="00280BCD">
        <w:t xml:space="preserve"> </w:t>
      </w:r>
      <w:r w:rsidRPr="00E20530">
        <w:t>lawyer</w:t>
      </w:r>
      <w:r w:rsidRPr="00E20530" w:rsidR="00280BCD">
        <w:t>s</w:t>
      </w:r>
      <w:r w:rsidRPr="00E20530">
        <w:t xml:space="preserve"> practising in Grozny. </w:t>
      </w:r>
      <w:r w:rsidRPr="00E20530" w:rsidR="00280BCD">
        <w:t xml:space="preserve">The second applicant was represented by Ms </w:t>
      </w:r>
      <w:r w:rsidRPr="00E20530" w:rsidR="006905D1">
        <w:t xml:space="preserve">E.M. </w:t>
      </w:r>
      <w:r w:rsidRPr="00E20530" w:rsidR="00280BCD">
        <w:t xml:space="preserve">Khalimova. </w:t>
      </w:r>
      <w:r w:rsidRPr="00E20530" w:rsidR="00611664">
        <w:t xml:space="preserve">The Russian Government (“the Government”) were represented by </w:t>
      </w:r>
      <w:r w:rsidRPr="00E20530" w:rsidR="00223369">
        <w:t>Mr G. Matyushkin,</w:t>
      </w:r>
      <w:r w:rsidRPr="00E20530" w:rsidR="00611664">
        <w:t xml:space="preserve"> the Representative of the Russian Federation to the European Court of Human Rights, and then by his successor in that office, Mr M. Galperin.</w:t>
      </w:r>
    </w:p>
    <w:p w:rsidRPr="00E20530" w:rsidR="008318E9" w:rsidP="00E20530" w:rsidRDefault="00BB32C3">
      <w:pPr>
        <w:pStyle w:val="ECHRPara"/>
      </w:pPr>
      <w:r w:rsidRPr="00E20530">
        <w:fldChar w:fldCharType="begin"/>
      </w:r>
      <w:r w:rsidRPr="00E20530">
        <w:instrText xml:space="preserve"> SEQ level0 \*arabic </w:instrText>
      </w:r>
      <w:r w:rsidRPr="00E20530">
        <w:fldChar w:fldCharType="separate"/>
      </w:r>
      <w:r w:rsidRPr="00E20530" w:rsidR="00E20530">
        <w:rPr>
          <w:noProof/>
        </w:rPr>
        <w:t>3</w:t>
      </w:r>
      <w:r w:rsidRPr="00E20530">
        <w:fldChar w:fldCharType="end"/>
      </w:r>
      <w:r w:rsidRPr="00E20530">
        <w:t>.  </w:t>
      </w:r>
      <w:r w:rsidRPr="00E20530" w:rsidR="008318E9">
        <w:t xml:space="preserve">In the wake of the pilot judgment in the case of </w:t>
      </w:r>
      <w:r w:rsidRPr="00E20530" w:rsidR="00E20530">
        <w:rPr>
          <w:i/>
        </w:rPr>
        <w:t>Gerasimov and </w:t>
      </w:r>
      <w:r w:rsidRPr="00E20530" w:rsidR="008318E9">
        <w:rPr>
          <w:i/>
        </w:rPr>
        <w:t>Others v. Russia</w:t>
      </w:r>
      <w:r w:rsidRPr="00E20530" w:rsidR="008318E9">
        <w:t>, o</w:t>
      </w:r>
      <w:r w:rsidRPr="00E20530" w:rsidR="00D26F2B">
        <w:t xml:space="preserve">n </w:t>
      </w:r>
      <w:r w:rsidRPr="00E20530" w:rsidR="00BC334C">
        <w:t xml:space="preserve">24 November 2014 </w:t>
      </w:r>
      <w:r w:rsidRPr="00E20530" w:rsidR="0077175D">
        <w:t xml:space="preserve">the </w:t>
      </w:r>
      <w:r w:rsidRPr="00E20530" w:rsidR="00D26F2B">
        <w:rPr>
          <w:rFonts w:ascii="Times New Roman" w:hAnsi="Times New Roman" w:eastAsia="Times New Roman" w:cs="Times New Roman"/>
        </w:rPr>
        <w:t xml:space="preserve">complaints concerning </w:t>
      </w:r>
      <w:r w:rsidRPr="00E20530" w:rsidR="00A4344D">
        <w:rPr>
          <w:rFonts w:ascii="Times New Roman" w:hAnsi="Times New Roman" w:eastAsia="Times New Roman" w:cs="Times New Roman"/>
        </w:rPr>
        <w:t>the non</w:t>
      </w:r>
      <w:r w:rsidRPr="00E20530" w:rsidR="00A4344D">
        <w:rPr>
          <w:rFonts w:ascii="Times New Roman" w:hAnsi="Times New Roman" w:eastAsia="Times New Roman" w:cs="Times New Roman"/>
        </w:rPr>
        <w:noBreakHyphen/>
      </w:r>
      <w:r w:rsidRPr="00E20530" w:rsidR="00BC334C">
        <w:rPr>
          <w:rFonts w:ascii="Times New Roman" w:hAnsi="Times New Roman" w:eastAsia="Times New Roman" w:cs="Times New Roman"/>
        </w:rPr>
        <w:t>enforcement of the judgments in the applicants</w:t>
      </w:r>
      <w:r w:rsidRPr="00E20530" w:rsidR="00E20530">
        <w:rPr>
          <w:rFonts w:ascii="Times New Roman" w:hAnsi="Times New Roman" w:eastAsia="Times New Roman" w:cs="Times New Roman"/>
        </w:rPr>
        <w:t>’</w:t>
      </w:r>
      <w:r w:rsidRPr="00E20530" w:rsidR="00BC334C">
        <w:rPr>
          <w:rFonts w:ascii="Times New Roman" w:hAnsi="Times New Roman" w:eastAsia="Times New Roman" w:cs="Times New Roman"/>
        </w:rPr>
        <w:t xml:space="preserve"> favour and the lack of the effective remedy in respect of the non-enforcement complaint</w:t>
      </w:r>
      <w:r w:rsidRPr="00E20530" w:rsidR="00D26F2B">
        <w:rPr>
          <w:rFonts w:ascii="Times New Roman" w:hAnsi="Times New Roman" w:eastAsia="Times New Roman" w:cs="Times New Roman"/>
        </w:rPr>
        <w:t xml:space="preserve"> </w:t>
      </w:r>
      <w:r w:rsidRPr="00E20530" w:rsidR="008318E9">
        <w:t xml:space="preserve">were communicated to the Government for settlement or resolution (see </w:t>
      </w:r>
      <w:r w:rsidRPr="00E20530" w:rsidR="008318E9">
        <w:rPr>
          <w:i/>
        </w:rPr>
        <w:t>Gerasimov and Others v. Russia</w:t>
      </w:r>
      <w:r w:rsidRPr="00E20530" w:rsidR="008318E9">
        <w:t>, nos. </w:t>
      </w:r>
      <w:hyperlink w:tgtFrame="_blank" w:history="1" w:anchor="{&quot;appno&quot;:[&quot;29920/05&quot;]}" r:id="rId11">
        <w:r w:rsidRPr="00E20530" w:rsidR="008318E9">
          <w:t>29920/05</w:t>
        </w:r>
      </w:hyperlink>
      <w:r w:rsidRPr="00E20530" w:rsidR="008318E9">
        <w:t xml:space="preserve"> and 10 others, §§ 230-31 and point 13 of the operative part, 1 July 2014), </w:t>
      </w:r>
      <w:r w:rsidRPr="00E20530" w:rsidR="00D26F2B">
        <w:rPr>
          <w:rFonts w:ascii="Times New Roman" w:hAnsi="Times New Roman" w:eastAsia="Times New Roman" w:cs="Times New Roman"/>
        </w:rPr>
        <w:t xml:space="preserve">and </w:t>
      </w:r>
      <w:r w:rsidRPr="00E20530" w:rsidR="00D26F2B">
        <w:t>the remainder of the application</w:t>
      </w:r>
      <w:r w:rsidRPr="00E20530" w:rsidR="00BC334C">
        <w:t>s</w:t>
      </w:r>
      <w:r w:rsidRPr="00E20530" w:rsidR="00D26F2B">
        <w:t xml:space="preserve"> was declared inadmissible</w:t>
      </w:r>
      <w:r w:rsidRPr="00E20530" w:rsidR="00E20530">
        <w:t xml:space="preserve"> pursuant to Rule </w:t>
      </w:r>
      <w:r w:rsidRPr="00E20530" w:rsidR="00F4003B">
        <w:t>54 § </w:t>
      </w:r>
      <w:r w:rsidRPr="00E20530" w:rsidR="00D26F2B">
        <w:t>3 of the Rules of Cour</w:t>
      </w:r>
      <w:r w:rsidRPr="00E20530" w:rsidR="00BC334C">
        <w:t>t</w:t>
      </w:r>
      <w:r w:rsidRPr="00E20530" w:rsidR="0077175D">
        <w:t>.</w:t>
      </w:r>
      <w:r w:rsidRPr="00E20530">
        <w:t xml:space="preserve"> </w:t>
      </w:r>
      <w:r w:rsidRPr="00E20530" w:rsidR="008318E9">
        <w:t>On 29 September 2016 the Government advised the Court that they were unable to settle the application</w:t>
      </w:r>
      <w:r w:rsidRPr="00E20530">
        <w:t>s</w:t>
      </w:r>
      <w:r w:rsidRPr="00E20530" w:rsidR="008318E9">
        <w:t>, as the domestic judgment</w:t>
      </w:r>
      <w:r w:rsidRPr="00E20530">
        <w:t>s</w:t>
      </w:r>
      <w:r w:rsidRPr="00E20530" w:rsidR="008318E9">
        <w:t xml:space="preserve"> in the </w:t>
      </w:r>
      <w:r w:rsidRPr="00E20530">
        <w:t>applicant</w:t>
      </w:r>
      <w:r w:rsidRPr="00E20530" w:rsidR="008318E9">
        <w:t>s</w:t>
      </w:r>
      <w:r w:rsidRPr="00E20530" w:rsidR="00E20530">
        <w:t>’</w:t>
      </w:r>
      <w:r w:rsidRPr="00E20530" w:rsidR="008318E9">
        <w:t xml:space="preserve"> favour had remained unenforced.</w:t>
      </w:r>
    </w:p>
    <w:p w:rsidRPr="00E20530" w:rsidR="00D420F3" w:rsidP="00E20530" w:rsidRDefault="0077175D">
      <w:pPr>
        <w:pStyle w:val="ECHRTitle1"/>
      </w:pPr>
      <w:r w:rsidRPr="00E20530">
        <w:t>THE FACTS</w:t>
      </w:r>
    </w:p>
    <w:p w:rsidRPr="00E20530" w:rsidR="00D420F3" w:rsidP="00E20530" w:rsidRDefault="0077175D">
      <w:pPr>
        <w:pStyle w:val="ECHRHeading1"/>
      </w:pPr>
      <w:r w:rsidRPr="00E20530">
        <w:t>I.  THE CIRCUMSTANCES OF THE CASE</w:t>
      </w:r>
    </w:p>
    <w:p w:rsidRPr="00E20530" w:rsidR="00D420F3" w:rsidP="00E20530" w:rsidRDefault="00D26F2B">
      <w:pPr>
        <w:pStyle w:val="ECHRPara"/>
      </w:pPr>
      <w:r w:rsidRPr="00E20530">
        <w:fldChar w:fldCharType="begin"/>
      </w:r>
      <w:r w:rsidRPr="00E20530">
        <w:instrText xml:space="preserve"> SEQ level0 \*arabic </w:instrText>
      </w:r>
      <w:r w:rsidRPr="00E20530">
        <w:fldChar w:fldCharType="separate"/>
      </w:r>
      <w:r w:rsidRPr="00E20530" w:rsidR="00E20530">
        <w:rPr>
          <w:noProof/>
        </w:rPr>
        <w:t>4</w:t>
      </w:r>
      <w:r w:rsidRPr="00E20530">
        <w:fldChar w:fldCharType="end"/>
      </w:r>
      <w:r w:rsidRPr="00E20530" w:rsidR="0077175D">
        <w:t>.  The</w:t>
      </w:r>
      <w:r w:rsidRPr="00E20530" w:rsidR="00AB1F29">
        <w:t xml:space="preserve"> </w:t>
      </w:r>
      <w:r w:rsidRPr="00E20530">
        <w:t xml:space="preserve">applicants were born in 1958 and </w:t>
      </w:r>
      <w:r w:rsidRPr="00E20530" w:rsidR="00BC334C">
        <w:t>1960</w:t>
      </w:r>
      <w:r w:rsidRPr="00E20530">
        <w:t xml:space="preserve"> respectively and live</w:t>
      </w:r>
      <w:r w:rsidRPr="00E20530" w:rsidR="0077175D">
        <w:t xml:space="preserve"> in </w:t>
      </w:r>
      <w:r w:rsidRPr="00E20530">
        <w:t>Groznyy</w:t>
      </w:r>
      <w:r w:rsidRPr="00E20530" w:rsidR="00BC334C">
        <w:t xml:space="preserve"> and Verkhniy Naur, Chechnya</w:t>
      </w:r>
      <w:r w:rsidRPr="00E20530" w:rsidR="0077175D">
        <w:t>.</w:t>
      </w:r>
    </w:p>
    <w:p w:rsidRPr="00E20530" w:rsidR="00C87BB8" w:rsidP="00E20530" w:rsidRDefault="00BD59E8">
      <w:pPr>
        <w:pStyle w:val="ECHRHeading2"/>
        <w:keepNext w:val="0"/>
        <w:keepLines w:val="0"/>
      </w:pPr>
      <w:r w:rsidRPr="00E20530">
        <w:t>A.  </w:t>
      </w:r>
      <w:r w:rsidRPr="00E20530" w:rsidR="00C87BB8">
        <w:t>Background of the cases</w:t>
      </w:r>
    </w:p>
    <w:p w:rsidRPr="00E20530" w:rsidR="00BB629A" w:rsidP="00E20530" w:rsidRDefault="00611824">
      <w:pPr>
        <w:pStyle w:val="ECHRPara"/>
      </w:pPr>
      <w:r w:rsidRPr="00E20530">
        <w:fldChar w:fldCharType="begin"/>
      </w:r>
      <w:r w:rsidRPr="00E20530">
        <w:instrText xml:space="preserve"> SEQ level0 \*arabic </w:instrText>
      </w:r>
      <w:r w:rsidRPr="00E20530">
        <w:fldChar w:fldCharType="separate"/>
      </w:r>
      <w:r w:rsidRPr="00E20530" w:rsidR="00E20530">
        <w:rPr>
          <w:noProof/>
        </w:rPr>
        <w:t>5</w:t>
      </w:r>
      <w:r w:rsidRPr="00E20530">
        <w:fldChar w:fldCharType="end"/>
      </w:r>
      <w:r w:rsidRPr="00E20530">
        <w:t>.  At the relevant time the applicants were residents of Chechnya. Their property was damaged in the course of a cou</w:t>
      </w:r>
      <w:r w:rsidRPr="00E20530" w:rsidR="00E20530">
        <w:t>nterterrorist operation in </w:t>
      </w:r>
      <w:r w:rsidRPr="00E20530" w:rsidR="00A4344D">
        <w:t>1999</w:t>
      </w:r>
      <w:r w:rsidRPr="00E20530" w:rsidR="00A4344D">
        <w:noBreakHyphen/>
      </w:r>
      <w:r w:rsidRPr="00E20530">
        <w:t>2000. The</w:t>
      </w:r>
      <w:r w:rsidRPr="00E20530" w:rsidR="00D40FE1">
        <w:t xml:space="preserve">y </w:t>
      </w:r>
      <w:r w:rsidRPr="00E20530">
        <w:t>sought to obtain no-fault compensation provided for by Government Decree no. 404</w:t>
      </w:r>
      <w:r w:rsidRPr="00E20530" w:rsidR="00D40FE1">
        <w:t xml:space="preserve"> of 4 </w:t>
      </w:r>
      <w:r w:rsidRPr="00E20530" w:rsidR="00811B1E">
        <w:t>July 2003. That decree established the right of all permanent residents of the Chechen Republic who had lost their housing and any possessions therein after 12 December 1994 to receive compensation up to a maximum amount of 300,000 Russian ro</w:t>
      </w:r>
      <w:r w:rsidRPr="00E20530" w:rsidR="00D40FE1">
        <w:t>ubles (RUB) for housing and RUB </w:t>
      </w:r>
      <w:r w:rsidRPr="00E20530" w:rsidR="00811B1E">
        <w:t>50,000 for other possessions. The decree was subsequently changed on several occasions</w:t>
      </w:r>
      <w:r w:rsidRPr="00E20530" w:rsidR="00D40FE1">
        <w:t>. In</w:t>
      </w:r>
      <w:r w:rsidRPr="00E20530" w:rsidR="00811B1E">
        <w:t xml:space="preserve"> 2012 its application was extended beyond the initially determined period of 2003-2004.</w:t>
      </w:r>
    </w:p>
    <w:p w:rsidRPr="00E20530" w:rsidR="00BB629A" w:rsidP="00E20530" w:rsidRDefault="00135F67">
      <w:pPr>
        <w:pStyle w:val="ECHRPara"/>
      </w:pPr>
      <w:r w:rsidRPr="00E20530">
        <w:fldChar w:fldCharType="begin"/>
      </w:r>
      <w:r w:rsidRPr="00E20530">
        <w:instrText xml:space="preserve"> SEQ level0 \*arabic </w:instrText>
      </w:r>
      <w:r w:rsidRPr="00E20530">
        <w:fldChar w:fldCharType="separate"/>
      </w:r>
      <w:r w:rsidRPr="00E20530" w:rsidR="00E20530">
        <w:rPr>
          <w:noProof/>
        </w:rPr>
        <w:t>6</w:t>
      </w:r>
      <w:r w:rsidRPr="00E20530">
        <w:fldChar w:fldCharType="end"/>
      </w:r>
      <w:r w:rsidRPr="00E20530">
        <w:t>.  </w:t>
      </w:r>
      <w:r w:rsidRPr="00E20530" w:rsidR="00611824">
        <w:t>The</w:t>
      </w:r>
      <w:r w:rsidRPr="00E20530">
        <w:t xml:space="preserve"> applicants</w:t>
      </w:r>
      <w:r w:rsidRPr="00E20530" w:rsidR="00E20530">
        <w:t>’</w:t>
      </w:r>
      <w:r w:rsidRPr="00E20530" w:rsidR="00611824">
        <w:t xml:space="preserve"> individual situations can be summarised as follows.</w:t>
      </w:r>
    </w:p>
    <w:p w:rsidRPr="00E20530" w:rsidR="00BD59E8" w:rsidP="00E20530" w:rsidRDefault="00BD59E8">
      <w:pPr>
        <w:pStyle w:val="ECHRHeading2"/>
      </w:pPr>
      <w:r w:rsidRPr="00E20530">
        <w:t>B.  Individual circumstances of the applicants</w:t>
      </w:r>
      <w:r w:rsidRPr="00E20530" w:rsidR="00E20530">
        <w:t>’</w:t>
      </w:r>
      <w:r w:rsidRPr="00E20530">
        <w:t xml:space="preserve"> cases</w:t>
      </w:r>
    </w:p>
    <w:p w:rsidRPr="00E20530" w:rsidR="00C87BB8" w:rsidP="00E20530" w:rsidRDefault="00BD59E8">
      <w:pPr>
        <w:pStyle w:val="ECHRHeading3"/>
      </w:pPr>
      <w:r w:rsidRPr="00E20530">
        <w:t>1.  </w:t>
      </w:r>
      <w:r w:rsidRPr="00E20530" w:rsidR="00C87BB8">
        <w:t>Judgment</w:t>
      </w:r>
      <w:r w:rsidRPr="00E20530" w:rsidR="002140C4">
        <w:t xml:space="preserve"> of 28 February 2005 </w:t>
      </w:r>
      <w:r w:rsidRPr="00E20530" w:rsidR="00C87BB8">
        <w:t>in the first applicant</w:t>
      </w:r>
      <w:r w:rsidRPr="00E20530" w:rsidR="00E20530">
        <w:t>’</w:t>
      </w:r>
      <w:r w:rsidRPr="00E20530" w:rsidR="00C87BB8">
        <w:t>s favour (case no. 58821/08)</w:t>
      </w:r>
    </w:p>
    <w:bookmarkStart w:name="Indayeva_ownership" w:id="2"/>
    <w:p w:rsidRPr="00E20530" w:rsidR="00BB629A" w:rsidP="00E20530" w:rsidRDefault="00D40FE1">
      <w:pPr>
        <w:pStyle w:val="ECHRPara"/>
      </w:pPr>
      <w:r w:rsidRPr="00E20530">
        <w:fldChar w:fldCharType="begin"/>
      </w:r>
      <w:r w:rsidRPr="00E20530">
        <w:instrText xml:space="preserve"> SEQ level0 \*arabic </w:instrText>
      </w:r>
      <w:r w:rsidRPr="00E20530">
        <w:fldChar w:fldCharType="separate"/>
      </w:r>
      <w:r w:rsidRPr="00E20530" w:rsidR="00E20530">
        <w:rPr>
          <w:noProof/>
        </w:rPr>
        <w:t>7</w:t>
      </w:r>
      <w:r w:rsidRPr="00E20530">
        <w:fldChar w:fldCharType="end"/>
      </w:r>
      <w:bookmarkEnd w:id="2"/>
      <w:r w:rsidRPr="00E20530">
        <w:t>.  </w:t>
      </w:r>
      <w:r w:rsidRPr="00E20530" w:rsidR="00C67FBA">
        <w:t xml:space="preserve">The first applicant owned </w:t>
      </w:r>
      <w:r w:rsidRPr="00E20530" w:rsidR="007052BA">
        <w:t>a</w:t>
      </w:r>
      <w:r w:rsidRPr="00E20530" w:rsidR="00C67FBA">
        <w:t xml:space="preserve"> </w:t>
      </w:r>
      <w:r w:rsidRPr="00E20530" w:rsidR="007052BA">
        <w:t>half</w:t>
      </w:r>
      <w:r w:rsidRPr="00E20530" w:rsidR="00C67FBA">
        <w:t xml:space="preserve"> of the house no. 13 at Magistralnaya Street, Grozny. The house was </w:t>
      </w:r>
      <w:r w:rsidRPr="00E20530" w:rsidR="00707E91">
        <w:t xml:space="preserve">completely </w:t>
      </w:r>
      <w:r w:rsidRPr="00E20530" w:rsidR="00C67FBA">
        <w:t>destroyed</w:t>
      </w:r>
      <w:r w:rsidRPr="00E20530" w:rsidR="009D4192">
        <w:t xml:space="preserve"> </w:t>
      </w:r>
      <w:r w:rsidRPr="00E20530" w:rsidR="00C67FBA">
        <w:t>duri</w:t>
      </w:r>
      <w:r w:rsidRPr="00E20530" w:rsidR="00707E91">
        <w:t>ng the hostilities in 1999-2000, as confirmed by the evaluation report dated 30 September 2003.</w:t>
      </w:r>
    </w:p>
    <w:bookmarkStart w:name="Indayeva_Commission_accepts_application" w:id="3"/>
    <w:p w:rsidRPr="00E20530" w:rsidR="00C67FBA" w:rsidP="00E20530" w:rsidRDefault="00C67FBA">
      <w:pPr>
        <w:pStyle w:val="ECHRPara"/>
      </w:pPr>
      <w:r w:rsidRPr="00E20530">
        <w:fldChar w:fldCharType="begin"/>
      </w:r>
      <w:r w:rsidRPr="00E20530">
        <w:instrText xml:space="preserve"> SEQ level0 \*arabic </w:instrText>
      </w:r>
      <w:r w:rsidRPr="00E20530">
        <w:fldChar w:fldCharType="separate"/>
      </w:r>
      <w:r w:rsidRPr="00E20530" w:rsidR="00E20530">
        <w:rPr>
          <w:noProof/>
        </w:rPr>
        <w:t>8</w:t>
      </w:r>
      <w:r w:rsidRPr="00E20530">
        <w:fldChar w:fldCharType="end"/>
      </w:r>
      <w:bookmarkEnd w:id="3"/>
      <w:r w:rsidRPr="00E20530">
        <w:t xml:space="preserve">.  On 4 November 2003 </w:t>
      </w:r>
      <w:r w:rsidRPr="00E20530" w:rsidR="004B1C0B">
        <w:t>she</w:t>
      </w:r>
      <w:r w:rsidRPr="00E20530">
        <w:t xml:space="preserve"> submitted an application for administrative compensation to the Commission for compensation for lost property (</w:t>
      </w:r>
      <w:r w:rsidRPr="00E20530">
        <w:rPr>
          <w:i/>
        </w:rPr>
        <w:t>Комиссия по рассмотрению заявлений граждан о компенсационных выплатах за утраченное жилье и имущество</w:t>
      </w:r>
      <w:r w:rsidRPr="00E20530">
        <w:t xml:space="preserve">, hereafter “the Commission”) and </w:t>
      </w:r>
      <w:r w:rsidRPr="00E20530" w:rsidR="00B00286">
        <w:t xml:space="preserve">provided </w:t>
      </w:r>
      <w:r w:rsidRPr="00E20530">
        <w:t>requisite documents. She received an acknowledgment of receipt of documents (no</w:t>
      </w:r>
      <w:r w:rsidRPr="00E20530" w:rsidR="00CA3F5F">
        <w:t>s</w:t>
      </w:r>
      <w:r w:rsidRPr="00E20530">
        <w:t xml:space="preserve">. </w:t>
      </w:r>
      <w:r w:rsidRPr="00E20530" w:rsidR="00CA3F5F">
        <w:t>03/6748, 03/14465</w:t>
      </w:r>
      <w:r w:rsidRPr="00E20530">
        <w:t>).</w:t>
      </w:r>
      <w:r w:rsidRPr="00E20530" w:rsidR="00CA3F5F">
        <w:t xml:space="preserve"> Despite her repeated requests</w:t>
      </w:r>
      <w:r w:rsidRPr="00E20530" w:rsidR="00E71CDE">
        <w:t xml:space="preserve"> in April-September 2004</w:t>
      </w:r>
      <w:r w:rsidRPr="00E20530" w:rsidR="00CA3F5F">
        <w:t>, she received no reply.</w:t>
      </w:r>
      <w:r w:rsidRPr="00E20530" w:rsidR="00E71CDE">
        <w:t xml:space="preserve"> She complained to a district court about the Commission</w:t>
      </w:r>
      <w:r w:rsidRPr="00E20530" w:rsidR="00E20530">
        <w:t>’</w:t>
      </w:r>
      <w:r w:rsidRPr="00E20530" w:rsidR="00E71CDE">
        <w:t>s failure to act.</w:t>
      </w:r>
    </w:p>
    <w:bookmarkStart w:name="Judgment28022005_firstAPPT" w:id="4"/>
    <w:p w:rsidRPr="00E20530" w:rsidR="00BB629A" w:rsidP="00E20530" w:rsidRDefault="00C67FBA">
      <w:pPr>
        <w:pStyle w:val="ECHRPara"/>
      </w:pPr>
      <w:r w:rsidRPr="00E20530">
        <w:fldChar w:fldCharType="begin"/>
      </w:r>
      <w:r w:rsidRPr="00E20530">
        <w:instrText xml:space="preserve"> SEQ level0 \*arabic </w:instrText>
      </w:r>
      <w:r w:rsidRPr="00E20530">
        <w:fldChar w:fldCharType="separate"/>
      </w:r>
      <w:r w:rsidRPr="00E20530" w:rsidR="00E20530">
        <w:rPr>
          <w:noProof/>
        </w:rPr>
        <w:t>9</w:t>
      </w:r>
      <w:r w:rsidRPr="00E20530">
        <w:fldChar w:fldCharType="end"/>
      </w:r>
      <w:bookmarkEnd w:id="4"/>
      <w:r w:rsidRPr="00E20530">
        <w:t>.  </w:t>
      </w:r>
      <w:r w:rsidRPr="00E20530" w:rsidR="00C87BB8">
        <w:t>On 28 February 2005 the Staropromyslovskiy Di</w:t>
      </w:r>
      <w:r w:rsidRPr="00E20530" w:rsidR="00CA3F5F">
        <w:t>strict Court of Grozny declared the Commission</w:t>
      </w:r>
      <w:r w:rsidRPr="00E20530" w:rsidR="00E20530">
        <w:t>’</w:t>
      </w:r>
      <w:r w:rsidRPr="00E20530" w:rsidR="00CA3F5F">
        <w:t xml:space="preserve">s inaction unlawful and ordered </w:t>
      </w:r>
      <w:r w:rsidRPr="00E20530" w:rsidR="00C87BB8">
        <w:t xml:space="preserve">the Commission </w:t>
      </w:r>
      <w:r w:rsidRPr="00E20530" w:rsidR="00CA3F5F">
        <w:t>“</w:t>
      </w:r>
      <w:r w:rsidRPr="00E20530" w:rsidR="00C87BB8">
        <w:t xml:space="preserve">to take a decision on </w:t>
      </w:r>
      <w:r w:rsidRPr="00E20530" w:rsidR="00CA3F5F">
        <w:t xml:space="preserve">the issue of </w:t>
      </w:r>
      <w:r w:rsidRPr="00E20530" w:rsidR="00C87BB8">
        <w:t xml:space="preserve">payment </w:t>
      </w:r>
      <w:r w:rsidRPr="00E20530" w:rsidR="00CA3F5F">
        <w:t xml:space="preserve">of </w:t>
      </w:r>
      <w:r w:rsidRPr="00E20530" w:rsidR="005E3685">
        <w:t xml:space="preserve">the </w:t>
      </w:r>
      <w:r w:rsidRPr="00E20530" w:rsidR="00C87BB8">
        <w:t>compensation for destroyed housing</w:t>
      </w:r>
      <w:r w:rsidRPr="00E20530" w:rsidR="00CA3F5F">
        <w:t xml:space="preserve"> to [the applicant]</w:t>
      </w:r>
      <w:r w:rsidRPr="00E20530" w:rsidR="00B64159">
        <w:t>”</w:t>
      </w:r>
      <w:r w:rsidRPr="00E20530" w:rsidR="00C87BB8">
        <w:t>. The judgment entered into force on 11 March 2005.</w:t>
      </w:r>
    </w:p>
    <w:bookmarkStart w:name="Indayeva_no_decision_as_no_register1" w:id="5"/>
    <w:p w:rsidRPr="00E20530" w:rsidR="005E3685" w:rsidP="00E20530" w:rsidRDefault="00D40FE1">
      <w:pPr>
        <w:pStyle w:val="ECHRPara"/>
      </w:pPr>
      <w:r w:rsidRPr="00E20530">
        <w:fldChar w:fldCharType="begin"/>
      </w:r>
      <w:r w:rsidRPr="00E20530">
        <w:instrText xml:space="preserve"> SEQ level0 \*arabic </w:instrText>
      </w:r>
      <w:r w:rsidRPr="00E20530">
        <w:fldChar w:fldCharType="separate"/>
      </w:r>
      <w:r w:rsidRPr="00E20530" w:rsidR="00E20530">
        <w:rPr>
          <w:noProof/>
        </w:rPr>
        <w:t>10</w:t>
      </w:r>
      <w:r w:rsidRPr="00E20530">
        <w:fldChar w:fldCharType="end"/>
      </w:r>
      <w:bookmarkEnd w:id="5"/>
      <w:r w:rsidRPr="00E20530">
        <w:t>.  </w:t>
      </w:r>
      <w:r w:rsidRPr="00E20530" w:rsidR="005E3685">
        <w:t>In May 2006 the Commission informed the applicant that her application in respect of the destroyed house “would be included in the list of destroyed housing” once the technical units of the Federal authority on construction and municipal services (</w:t>
      </w:r>
      <w:r w:rsidRPr="00E20530" w:rsidR="005E3685">
        <w:rPr>
          <w:i/>
        </w:rPr>
        <w:t>техническ</w:t>
      </w:r>
      <w:r w:rsidRPr="00E20530" w:rsidR="005E3685">
        <w:rPr>
          <w:i/>
          <w:lang w:val="ru-RU"/>
        </w:rPr>
        <w:t>ие</w:t>
      </w:r>
      <w:r w:rsidRPr="00E20530" w:rsidR="005E3685">
        <w:rPr>
          <w:i/>
        </w:rPr>
        <w:t xml:space="preserve"> груп</w:t>
      </w:r>
      <w:r w:rsidRPr="00E20530" w:rsidR="005E3685">
        <w:rPr>
          <w:i/>
          <w:lang w:val="ru-RU"/>
        </w:rPr>
        <w:t>пы</w:t>
      </w:r>
      <w:r w:rsidRPr="00E20530" w:rsidR="005E3685">
        <w:rPr>
          <w:i/>
        </w:rPr>
        <w:t xml:space="preserve"> Федерального агентства по строительству и ЖКХ по формированию перечня разрушенного жилья на территории Чеченской республики</w:t>
      </w:r>
      <w:r w:rsidRPr="00E20530" w:rsidR="005E3685">
        <w:t>, hereafter “the technical units”) complete examination of all destroyed housing in Chechnya.</w:t>
      </w:r>
    </w:p>
    <w:bookmarkStart w:name="Indayeva_no_decision_as_no_register" w:id="6"/>
    <w:p w:rsidRPr="00E20530" w:rsidR="005E3685" w:rsidP="00E20530" w:rsidRDefault="005E3685">
      <w:pPr>
        <w:pStyle w:val="ECHRPara"/>
      </w:pPr>
      <w:r w:rsidRPr="00E20530">
        <w:fldChar w:fldCharType="begin"/>
      </w:r>
      <w:r w:rsidRPr="00E20530">
        <w:instrText xml:space="preserve"> SEQ level0 \*arabic </w:instrText>
      </w:r>
      <w:r w:rsidRPr="00E20530">
        <w:fldChar w:fldCharType="separate"/>
      </w:r>
      <w:r w:rsidRPr="00E20530" w:rsidR="00E20530">
        <w:rPr>
          <w:noProof/>
        </w:rPr>
        <w:t>11</w:t>
      </w:r>
      <w:r w:rsidRPr="00E20530">
        <w:fldChar w:fldCharType="end"/>
      </w:r>
      <w:bookmarkEnd w:id="6"/>
      <w:r w:rsidRPr="00E20530" w:rsidR="00C91488">
        <w:t xml:space="preserve">.  In </w:t>
      </w:r>
      <w:r w:rsidRPr="00E20530">
        <w:t xml:space="preserve">2008 the Commission informed the applicant that the decision as to whether her house was to be included in the list of destroyed housing could not be taken in the absence of replies from the Federal Migration Service, Ministry of Interior and </w:t>
      </w:r>
      <w:r w:rsidRPr="00E20530" w:rsidR="00545909">
        <w:t>a technical inventory company.</w:t>
      </w:r>
    </w:p>
    <w:p w:rsidRPr="00E20530" w:rsidR="00BB629A" w:rsidP="00E20530" w:rsidRDefault="00E028F4">
      <w:pPr>
        <w:pStyle w:val="ECHRPara"/>
      </w:pPr>
      <w:r w:rsidRPr="00E20530">
        <w:fldChar w:fldCharType="begin"/>
      </w:r>
      <w:r w:rsidRPr="00E20530">
        <w:instrText xml:space="preserve"> SEQ level0 \*arabic </w:instrText>
      </w:r>
      <w:r w:rsidRPr="00E20530">
        <w:fldChar w:fldCharType="separate"/>
      </w:r>
      <w:r w:rsidRPr="00E20530" w:rsidR="00E20530">
        <w:rPr>
          <w:noProof/>
        </w:rPr>
        <w:t>12</w:t>
      </w:r>
      <w:r w:rsidRPr="00E20530">
        <w:fldChar w:fldCharType="end"/>
      </w:r>
      <w:r w:rsidRPr="00E20530">
        <w:t>.  </w:t>
      </w:r>
      <w:r w:rsidRPr="00E20530" w:rsidR="00B60403">
        <w:t>The applicant sued the Government of the Chechen Republic and the Ministry of Finance of Chechnya</w:t>
      </w:r>
      <w:r w:rsidRPr="00E20530" w:rsidR="002140C4">
        <w:t xml:space="preserve"> for co</w:t>
      </w:r>
      <w:r w:rsidRPr="00E20530" w:rsidR="00A4344D">
        <w:t>mpensation of pecuniary and non</w:t>
      </w:r>
      <w:r w:rsidRPr="00E20530" w:rsidR="00A4344D">
        <w:noBreakHyphen/>
      </w:r>
      <w:r w:rsidRPr="00E20530" w:rsidR="002140C4">
        <w:t>pecuniary damage resulting from the Commission</w:t>
      </w:r>
      <w:r w:rsidRPr="00E20530" w:rsidR="00E20530">
        <w:t>’</w:t>
      </w:r>
      <w:r w:rsidRPr="00E20530" w:rsidR="002140C4">
        <w:t xml:space="preserve">s failure to act. On 14 April 2008 the Staropromyslovskiy District Court rejected her claim, pointing out that the Commission was unable to proceed in the absence of a corresponding entry in </w:t>
      </w:r>
      <w:r w:rsidRPr="00E20530" w:rsidR="00092B75">
        <w:t xml:space="preserve">the register of destroyed buildings (“the register”), which was to be updated by </w:t>
      </w:r>
      <w:r w:rsidRPr="00E20530" w:rsidR="009A3F5D">
        <w:t xml:space="preserve">a </w:t>
      </w:r>
      <w:r w:rsidRPr="00E20530" w:rsidR="00092B75">
        <w:t xml:space="preserve">technical unit. </w:t>
      </w:r>
      <w:r w:rsidRPr="00E20530" w:rsidR="00D82B05">
        <w:t>On 24 June 2008 the Supreme Court of Chechnya upheld the judgment on appeal.</w:t>
      </w:r>
    </w:p>
    <w:p w:rsidRPr="00E20530" w:rsidR="00C87BB8" w:rsidP="00E20530" w:rsidRDefault="00BD59E8">
      <w:pPr>
        <w:pStyle w:val="ECHRHeading3"/>
      </w:pPr>
      <w:r w:rsidRPr="00E20530">
        <w:t>2</w:t>
      </w:r>
      <w:r w:rsidRPr="00E20530" w:rsidR="00C87BB8">
        <w:t xml:space="preserve">.  Judgment </w:t>
      </w:r>
      <w:r w:rsidRPr="00E20530" w:rsidR="00856A13">
        <w:t>of 2</w:t>
      </w:r>
      <w:r w:rsidRPr="00E20530" w:rsidR="004B1C0B">
        <w:t>6</w:t>
      </w:r>
      <w:r w:rsidRPr="00E20530" w:rsidR="00856A13">
        <w:t xml:space="preserve"> July 2011 </w:t>
      </w:r>
      <w:r w:rsidRPr="00E20530" w:rsidR="00C87BB8">
        <w:t>in the second applicant</w:t>
      </w:r>
      <w:r w:rsidRPr="00E20530" w:rsidR="00E20530">
        <w:t>’</w:t>
      </w:r>
      <w:r w:rsidRPr="00E20530" w:rsidR="00C87BB8">
        <w:t>s favour (</w:t>
      </w:r>
      <w:r w:rsidRPr="00E20530">
        <w:t xml:space="preserve">application </w:t>
      </w:r>
      <w:r w:rsidRPr="00E20530" w:rsidR="00C87BB8">
        <w:t>no. 18360/13)</w:t>
      </w:r>
    </w:p>
    <w:bookmarkStart w:name="Sultanov_ownership" w:id="7"/>
    <w:p w:rsidRPr="00E20530" w:rsidR="000E6C1D" w:rsidP="00E20530" w:rsidRDefault="00C91488">
      <w:pPr>
        <w:pStyle w:val="ECHRPara"/>
      </w:pPr>
      <w:r w:rsidRPr="00E20530">
        <w:fldChar w:fldCharType="begin"/>
      </w:r>
      <w:r w:rsidRPr="00E20530">
        <w:instrText xml:space="preserve"> SEQ level0 \*arabic </w:instrText>
      </w:r>
      <w:r w:rsidRPr="00E20530">
        <w:fldChar w:fldCharType="separate"/>
      </w:r>
      <w:r w:rsidRPr="00E20530" w:rsidR="00E20530">
        <w:rPr>
          <w:noProof/>
        </w:rPr>
        <w:t>13</w:t>
      </w:r>
      <w:r w:rsidRPr="00E20530">
        <w:fldChar w:fldCharType="end"/>
      </w:r>
      <w:bookmarkEnd w:id="7"/>
      <w:r w:rsidRPr="00E20530">
        <w:t>.  </w:t>
      </w:r>
      <w:r w:rsidRPr="00E20530" w:rsidR="00BF5C64">
        <w:t xml:space="preserve">The </w:t>
      </w:r>
      <w:r w:rsidRPr="00E20530" w:rsidR="004054CC">
        <w:t xml:space="preserve">second </w:t>
      </w:r>
      <w:r w:rsidRPr="00E20530" w:rsidR="00BF5C64">
        <w:t>applicant owned a two-room flat at Proletarskaya, 72, apt. 4 in Grozny</w:t>
      </w:r>
      <w:r w:rsidRPr="00E20530">
        <w:t xml:space="preserve"> (as confirmed by the decision of 11 February 2005 of the Leninskiy District Court of Grozny)</w:t>
      </w:r>
      <w:r w:rsidRPr="00E20530" w:rsidR="00BF5C64">
        <w:t>. The house was completely destroyed during the hostilities in 1999-2000</w:t>
      </w:r>
      <w:r w:rsidRPr="00E20530" w:rsidR="004054CC">
        <w:t xml:space="preserve">, as </w:t>
      </w:r>
      <w:r w:rsidRPr="00E20530" w:rsidR="001561BF">
        <w:t xml:space="preserve">subsequently </w:t>
      </w:r>
      <w:r w:rsidRPr="00E20530" w:rsidR="004054CC">
        <w:t>confirmed by an evaluation report of 10 February 2009.</w:t>
      </w:r>
    </w:p>
    <w:bookmarkStart w:name="Sultanov_Commission_accepts_application" w:id="8"/>
    <w:p w:rsidRPr="00E20530" w:rsidR="00BB629A" w:rsidP="00E20530" w:rsidRDefault="004B1C0B">
      <w:pPr>
        <w:pStyle w:val="ECHRPara"/>
      </w:pPr>
      <w:r w:rsidRPr="00E20530">
        <w:fldChar w:fldCharType="begin"/>
      </w:r>
      <w:r w:rsidRPr="00E20530">
        <w:instrText xml:space="preserve"> SEQ level0 \*arabic </w:instrText>
      </w:r>
      <w:r w:rsidRPr="00E20530">
        <w:fldChar w:fldCharType="separate"/>
      </w:r>
      <w:r w:rsidRPr="00E20530" w:rsidR="00E20530">
        <w:rPr>
          <w:noProof/>
        </w:rPr>
        <w:t>14</w:t>
      </w:r>
      <w:r w:rsidRPr="00E20530">
        <w:fldChar w:fldCharType="end"/>
      </w:r>
      <w:bookmarkEnd w:id="8"/>
      <w:r w:rsidRPr="00E20530">
        <w:t>.  </w:t>
      </w:r>
      <w:r w:rsidRPr="00E20530" w:rsidR="00BF5C64">
        <w:t>On 27 April 2005 the applicant submitted an application for administrative compensation to the Commission and provided requisite documents.</w:t>
      </w:r>
      <w:r w:rsidRPr="00E20530">
        <w:t xml:space="preserve"> </w:t>
      </w:r>
      <w:r w:rsidRPr="00E20530" w:rsidR="009A3F5D">
        <w:t xml:space="preserve">It follows from the letter of the Commission to the Ombudsman of the Chechen republic dated </w:t>
      </w:r>
      <w:r w:rsidRPr="00E20530" w:rsidR="00BF5C64">
        <w:t xml:space="preserve">15 June 2007 that </w:t>
      </w:r>
      <w:r w:rsidRPr="00E20530" w:rsidR="00FA01A4">
        <w:t xml:space="preserve">at some point </w:t>
      </w:r>
      <w:r w:rsidRPr="00E20530" w:rsidR="005E3685">
        <w:t>a</w:t>
      </w:r>
      <w:r w:rsidRPr="00E20530" w:rsidR="00877670">
        <w:t xml:space="preserve"> technical unit </w:t>
      </w:r>
      <w:r w:rsidRPr="00E20530" w:rsidR="004054CC">
        <w:t xml:space="preserve">had </w:t>
      </w:r>
      <w:r w:rsidRPr="00E20530" w:rsidR="00BF5C64">
        <w:t>examined the applicant</w:t>
      </w:r>
      <w:r w:rsidRPr="00E20530" w:rsidR="00E20530">
        <w:t>’</w:t>
      </w:r>
      <w:r w:rsidRPr="00E20530" w:rsidR="00BF5C64">
        <w:t>s living premises and issued a “positive conclusion”. The Commission undertook to include the applicant</w:t>
      </w:r>
      <w:r w:rsidRPr="00E20530" w:rsidR="00E20530">
        <w:t>’</w:t>
      </w:r>
      <w:r w:rsidRPr="00E20530" w:rsidR="00BF5C64">
        <w:t xml:space="preserve">s application </w:t>
      </w:r>
      <w:r w:rsidRPr="00E20530" w:rsidR="00877670">
        <w:t xml:space="preserve">no. 22/10034 </w:t>
      </w:r>
      <w:r w:rsidRPr="00E20530" w:rsidR="00BF5C64">
        <w:t>into the list of destroyed housing.</w:t>
      </w:r>
    </w:p>
    <w:p w:rsidRPr="00E20530" w:rsidR="00BB629A" w:rsidP="00E20530" w:rsidRDefault="00877670">
      <w:pPr>
        <w:pStyle w:val="ECHRPara"/>
      </w:pPr>
      <w:r w:rsidRPr="00E20530">
        <w:fldChar w:fldCharType="begin"/>
      </w:r>
      <w:r w:rsidRPr="00E20530">
        <w:instrText xml:space="preserve"> SEQ level0 \*arabic </w:instrText>
      </w:r>
      <w:r w:rsidRPr="00E20530">
        <w:fldChar w:fldCharType="separate"/>
      </w:r>
      <w:r w:rsidRPr="00E20530" w:rsidR="00E20530">
        <w:rPr>
          <w:noProof/>
        </w:rPr>
        <w:t>15</w:t>
      </w:r>
      <w:r w:rsidRPr="00E20530">
        <w:fldChar w:fldCharType="end"/>
      </w:r>
      <w:r w:rsidRPr="00E20530">
        <w:t xml:space="preserve">.  The applicant on several occasions requested to </w:t>
      </w:r>
      <w:r w:rsidRPr="00E20530" w:rsidR="00E20E6B">
        <w:t>accelerate the provision of the housing</w:t>
      </w:r>
      <w:r w:rsidRPr="00E20530">
        <w:t xml:space="preserve">, as his flat was destroyed and he had six minor children, two of them suffering </w:t>
      </w:r>
      <w:r w:rsidRPr="00E20530" w:rsidR="00E20E6B">
        <w:t xml:space="preserve">from </w:t>
      </w:r>
      <w:r w:rsidRPr="00E20530">
        <w:t>disabilities.</w:t>
      </w:r>
      <w:r w:rsidRPr="00E20530" w:rsidR="001561BF">
        <w:t xml:space="preserve"> In </w:t>
      </w:r>
      <w:r w:rsidRPr="00E20530">
        <w:t xml:space="preserve">March 2009 </w:t>
      </w:r>
      <w:r w:rsidRPr="00E20530" w:rsidR="001561BF">
        <w:t>he</w:t>
      </w:r>
      <w:r w:rsidRPr="00E20530">
        <w:t xml:space="preserve"> was registered as a person eligible for social housing because his flat had been destroyed, and put on the waiting list for housing provision. In 2011 his number in </w:t>
      </w:r>
      <w:r w:rsidRPr="00E20530" w:rsidR="001561BF">
        <w:t>that</w:t>
      </w:r>
      <w:r w:rsidRPr="00E20530">
        <w:t xml:space="preserve"> list was 4398.</w:t>
      </w:r>
    </w:p>
    <w:bookmarkStart w:name="Sultanov_no_dec_as_no_register" w:id="9"/>
    <w:p w:rsidRPr="00E20530" w:rsidR="00BB629A" w:rsidP="00E20530" w:rsidRDefault="00877670">
      <w:pPr>
        <w:pStyle w:val="ECHRPara"/>
      </w:pPr>
      <w:r w:rsidRPr="00E20530">
        <w:fldChar w:fldCharType="begin"/>
      </w:r>
      <w:r w:rsidRPr="00E20530">
        <w:instrText xml:space="preserve"> SEQ level0 \*arabic </w:instrText>
      </w:r>
      <w:r w:rsidRPr="00E20530">
        <w:fldChar w:fldCharType="separate"/>
      </w:r>
      <w:r w:rsidRPr="00E20530" w:rsidR="00E20530">
        <w:rPr>
          <w:noProof/>
        </w:rPr>
        <w:t>16</w:t>
      </w:r>
      <w:r w:rsidRPr="00E20530">
        <w:fldChar w:fldCharType="end"/>
      </w:r>
      <w:bookmarkEnd w:id="9"/>
      <w:r w:rsidRPr="00E20530">
        <w:t>.  In July 2011 the applicant learned that his application had not been examined by the Commission since</w:t>
      </w:r>
      <w:r w:rsidRPr="00E20530" w:rsidR="00FA01A4">
        <w:t xml:space="preserve"> </w:t>
      </w:r>
      <w:r w:rsidRPr="00E20530">
        <w:t>in August 2005 the work of the technical unit had been put on hold and the list of destroyed housing has not been updated since that time.</w:t>
      </w:r>
    </w:p>
    <w:bookmarkStart w:name="Judgment27072011_secondAPPT" w:id="10"/>
    <w:p w:rsidRPr="00E20530" w:rsidR="00BB629A" w:rsidP="00E20530" w:rsidRDefault="004A0A1E">
      <w:pPr>
        <w:pStyle w:val="ECHRPara"/>
      </w:pPr>
      <w:r w:rsidRPr="00E20530">
        <w:fldChar w:fldCharType="begin"/>
      </w:r>
      <w:r w:rsidRPr="00E20530">
        <w:instrText xml:space="preserve"> SEQ level0 \*arabic </w:instrText>
      </w:r>
      <w:r w:rsidRPr="00E20530">
        <w:fldChar w:fldCharType="separate"/>
      </w:r>
      <w:r w:rsidRPr="00E20530" w:rsidR="00E20530">
        <w:rPr>
          <w:noProof/>
        </w:rPr>
        <w:t>17</w:t>
      </w:r>
      <w:r w:rsidRPr="00E20530">
        <w:fldChar w:fldCharType="end"/>
      </w:r>
      <w:bookmarkEnd w:id="10"/>
      <w:r w:rsidRPr="00E20530">
        <w:t>.  </w:t>
      </w:r>
      <w:r w:rsidRPr="00E20530" w:rsidR="004B1C0B">
        <w:t>On 26</w:t>
      </w:r>
      <w:r w:rsidRPr="00E20530" w:rsidR="00C87BB8">
        <w:t> July 2011 the Le</w:t>
      </w:r>
      <w:r w:rsidRPr="00E20530" w:rsidR="00EA1D15">
        <w:t>ninskiy District Court of Grozn</w:t>
      </w:r>
      <w:r w:rsidRPr="00E20530" w:rsidR="00C87BB8">
        <w:t xml:space="preserve">y </w:t>
      </w:r>
      <w:r w:rsidRPr="00E20530" w:rsidR="00013096">
        <w:t>granted the applicant</w:t>
      </w:r>
      <w:r w:rsidRPr="00E20530" w:rsidR="00E20530">
        <w:t>’</w:t>
      </w:r>
      <w:r w:rsidRPr="00E20530" w:rsidR="00013096">
        <w:t>s claim against the Secretariat of the Commission “to be included in the list of recipients of the compensation, with subsequent payment of the compensation for housing and property destroyed during the hostilities on the territory of the Chechen Republic”. The court declared unlawful the Commission</w:t>
      </w:r>
      <w:r w:rsidRPr="00E20530" w:rsidR="00E20530">
        <w:t>’</w:t>
      </w:r>
      <w:r w:rsidRPr="00E20530" w:rsidR="00013096">
        <w:t>s failure to include the applicant</w:t>
      </w:r>
      <w:r w:rsidRPr="00E20530" w:rsidR="00E20530">
        <w:t>’</w:t>
      </w:r>
      <w:r w:rsidRPr="00E20530" w:rsidR="00013096">
        <w:t xml:space="preserve">s name in the lists of persons </w:t>
      </w:r>
      <w:r w:rsidRPr="00E20530" w:rsidR="000D75D1">
        <w:t>receiving the</w:t>
      </w:r>
      <w:r w:rsidRPr="00E20530" w:rsidR="00013096">
        <w:t xml:space="preserve"> compensation</w:t>
      </w:r>
      <w:r w:rsidRPr="00E20530" w:rsidR="001637DE">
        <w:t xml:space="preserve"> and</w:t>
      </w:r>
      <w:r w:rsidRPr="00E20530" w:rsidR="00013096">
        <w:t xml:space="preserve"> </w:t>
      </w:r>
      <w:r w:rsidRPr="00E20530" w:rsidR="00C87BB8">
        <w:t xml:space="preserve">ordered the Secretariat of the Commission </w:t>
      </w:r>
      <w:r w:rsidRPr="00E20530" w:rsidR="001561BF">
        <w:t>“</w:t>
      </w:r>
      <w:r w:rsidRPr="00E20530" w:rsidR="00C87BB8">
        <w:t xml:space="preserve">to </w:t>
      </w:r>
      <w:r w:rsidRPr="00E20530" w:rsidR="00FA01A4">
        <w:t>include t</w:t>
      </w:r>
      <w:r w:rsidRPr="00E20530" w:rsidR="001637DE">
        <w:t>he applicant</w:t>
      </w:r>
      <w:r w:rsidRPr="00E20530" w:rsidR="00E20530">
        <w:t>’</w:t>
      </w:r>
      <w:r w:rsidRPr="00E20530" w:rsidR="001637DE">
        <w:t>s name in the list</w:t>
      </w:r>
      <w:r w:rsidRPr="00E20530" w:rsidR="00FA01A4">
        <w:t xml:space="preserve"> of </w:t>
      </w:r>
      <w:r w:rsidRPr="00E20530" w:rsidR="00B600B2">
        <w:t>persons in receipt</w:t>
      </w:r>
      <w:r w:rsidRPr="00E20530" w:rsidR="00013096">
        <w:t xml:space="preserve"> of the compensation</w:t>
      </w:r>
      <w:r w:rsidRPr="00E20530" w:rsidR="000D75D1">
        <w:t xml:space="preserve"> </w:t>
      </w:r>
      <w:r w:rsidRPr="00E20530" w:rsidR="000D75D1">
        <w:rPr>
          <w:i/>
        </w:rPr>
        <w:t>(</w:t>
      </w:r>
      <w:r w:rsidRPr="00E20530" w:rsidR="000D75D1">
        <w:rPr>
          <w:i/>
          <w:lang w:val="ru-RU"/>
        </w:rPr>
        <w:t>в</w:t>
      </w:r>
      <w:r w:rsidRPr="00E20530" w:rsidR="000D75D1">
        <w:rPr>
          <w:i/>
        </w:rPr>
        <w:t xml:space="preserve"> </w:t>
      </w:r>
      <w:r w:rsidRPr="00E20530" w:rsidR="000D75D1">
        <w:rPr>
          <w:i/>
          <w:lang w:val="ru-RU"/>
        </w:rPr>
        <w:t>список</w:t>
      </w:r>
      <w:r w:rsidRPr="00E20530" w:rsidR="000D75D1">
        <w:rPr>
          <w:i/>
        </w:rPr>
        <w:t xml:space="preserve"> </w:t>
      </w:r>
      <w:r w:rsidRPr="00E20530" w:rsidR="000D75D1">
        <w:rPr>
          <w:i/>
          <w:lang w:val="ru-RU"/>
        </w:rPr>
        <w:t>получателей</w:t>
      </w:r>
      <w:r w:rsidRPr="00E20530" w:rsidR="000D75D1">
        <w:rPr>
          <w:i/>
        </w:rPr>
        <w:t xml:space="preserve"> </w:t>
      </w:r>
      <w:r w:rsidRPr="00E20530" w:rsidR="000D75D1">
        <w:rPr>
          <w:i/>
          <w:lang w:val="ru-RU"/>
        </w:rPr>
        <w:t>компенсации</w:t>
      </w:r>
      <w:r w:rsidRPr="00E20530" w:rsidR="000D75D1">
        <w:rPr>
          <w:i/>
        </w:rPr>
        <w:t>)</w:t>
      </w:r>
      <w:r w:rsidRPr="00E20530" w:rsidR="001561BF">
        <w:t>”</w:t>
      </w:r>
      <w:r w:rsidRPr="00E20530" w:rsidR="00013096">
        <w:t>.</w:t>
      </w:r>
    </w:p>
    <w:p w:rsidRPr="00E20530" w:rsidR="00BB629A" w:rsidP="00E20530" w:rsidRDefault="004B1C0B">
      <w:pPr>
        <w:pStyle w:val="ECHRPara"/>
      </w:pPr>
      <w:r w:rsidRPr="00E20530">
        <w:fldChar w:fldCharType="begin"/>
      </w:r>
      <w:r w:rsidRPr="00E20530">
        <w:instrText xml:space="preserve"> SEQ level0 \*arabic </w:instrText>
      </w:r>
      <w:r w:rsidRPr="00E20530">
        <w:fldChar w:fldCharType="separate"/>
      </w:r>
      <w:r w:rsidRPr="00E20530" w:rsidR="00E20530">
        <w:rPr>
          <w:noProof/>
        </w:rPr>
        <w:t>18</w:t>
      </w:r>
      <w:r w:rsidRPr="00E20530">
        <w:fldChar w:fldCharType="end"/>
      </w:r>
      <w:r w:rsidRPr="00E20530">
        <w:t>.  </w:t>
      </w:r>
      <w:r w:rsidRPr="00E20530" w:rsidR="00C87BB8">
        <w:t>The judgment entered into force o</w:t>
      </w:r>
      <w:r w:rsidRPr="00E20530" w:rsidR="00B600B2">
        <w:t xml:space="preserve">n 9 August 2011. In </w:t>
      </w:r>
      <w:r w:rsidRPr="00E20530" w:rsidR="00FA01A4">
        <w:t xml:space="preserve">October 2011 the </w:t>
      </w:r>
      <w:r w:rsidRPr="00E20530" w:rsidR="00F716FD">
        <w:t>district court</w:t>
      </w:r>
      <w:r w:rsidRPr="00E20530" w:rsidR="00FA01A4">
        <w:t xml:space="preserve"> issued a writ of execution and forwarded it to the bailiffs service. </w:t>
      </w:r>
      <w:r w:rsidRPr="00E20530" w:rsidR="00BB3AD7">
        <w:t xml:space="preserve">On 4 May 2012 the bailiffs discontinued the enforcement proceedings owning to the impossibility to execute the </w:t>
      </w:r>
      <w:r w:rsidRPr="00E20530" w:rsidR="00BD59E8">
        <w:t>writ.</w:t>
      </w:r>
    </w:p>
    <w:bookmarkStart w:name="Sultanov_no_dec_no_register2" w:id="11"/>
    <w:p w:rsidRPr="00E20530" w:rsidR="001E2108" w:rsidP="00E20530" w:rsidRDefault="001E2108">
      <w:pPr>
        <w:pStyle w:val="ECHRPara"/>
      </w:pPr>
      <w:r w:rsidRPr="00E20530">
        <w:fldChar w:fldCharType="begin"/>
      </w:r>
      <w:r w:rsidRPr="00E20530">
        <w:instrText xml:space="preserve"> SEQ level0 \*arabic </w:instrText>
      </w:r>
      <w:r w:rsidRPr="00E20530">
        <w:fldChar w:fldCharType="separate"/>
      </w:r>
      <w:r w:rsidRPr="00E20530" w:rsidR="00E20530">
        <w:rPr>
          <w:noProof/>
        </w:rPr>
        <w:t>19</w:t>
      </w:r>
      <w:r w:rsidRPr="00E20530">
        <w:fldChar w:fldCharType="end"/>
      </w:r>
      <w:bookmarkEnd w:id="11"/>
      <w:r w:rsidRPr="00E20530">
        <w:t>.  On 16 May 2012 the Commission informed the applicant that his flat had not been entered in the register of destroyed buildings.</w:t>
      </w:r>
    </w:p>
    <w:p w:rsidRPr="00E20530" w:rsidR="00BD59E8" w:rsidP="00E20530" w:rsidRDefault="0081061E">
      <w:pPr>
        <w:pStyle w:val="ECHRPara"/>
      </w:pPr>
      <w:r w:rsidRPr="00E20530">
        <w:fldChar w:fldCharType="begin"/>
      </w:r>
      <w:r w:rsidRPr="00E20530">
        <w:instrText xml:space="preserve"> SEQ level0 \*arabic </w:instrText>
      </w:r>
      <w:r w:rsidRPr="00E20530">
        <w:fldChar w:fldCharType="separate"/>
      </w:r>
      <w:r w:rsidRPr="00E20530" w:rsidR="00E20530">
        <w:rPr>
          <w:noProof/>
        </w:rPr>
        <w:t>20</w:t>
      </w:r>
      <w:r w:rsidRPr="00E20530">
        <w:rPr>
          <w:noProof/>
        </w:rPr>
        <w:fldChar w:fldCharType="end"/>
      </w:r>
      <w:r w:rsidRPr="00E20530" w:rsidR="007C012D">
        <w:t>.  </w:t>
      </w:r>
      <w:r w:rsidRPr="00E20530" w:rsidR="00BD59E8">
        <w:t>In April 2012 applicant sought to obtain damages from the Commission and the Ministry of Finance of the Russian Federation. On 31 July 2012 the Leninskiy District Court of Grozny dismissed his action, as the applicant had failed to prove</w:t>
      </w:r>
      <w:r w:rsidRPr="00E20530" w:rsidR="00237081">
        <w:t xml:space="preserve"> the authorities</w:t>
      </w:r>
      <w:r w:rsidRPr="00E20530" w:rsidR="00E20530">
        <w:t>’</w:t>
      </w:r>
      <w:r w:rsidRPr="00E20530" w:rsidR="00237081">
        <w:t xml:space="preserve"> fault. On 8 </w:t>
      </w:r>
      <w:r w:rsidRPr="00E20530" w:rsidR="00BD59E8">
        <w:t>November 2012 the Supreme Court of the Chechen Republic upheld the refusal. The applicant</w:t>
      </w:r>
      <w:r w:rsidRPr="00E20530" w:rsidR="00E20530">
        <w:t>’</w:t>
      </w:r>
      <w:r w:rsidRPr="00E20530" w:rsidR="00BD59E8">
        <w:t xml:space="preserve">s cassation appeal was disallowed by a judge of the Supreme Court of the Chechen Republic </w:t>
      </w:r>
      <w:r w:rsidRPr="00E20530" w:rsidR="007839F2">
        <w:t>on 1 February 2013.</w:t>
      </w:r>
    </w:p>
    <w:p w:rsidRPr="00E20530" w:rsidR="00BB629A" w:rsidP="00E20530" w:rsidRDefault="0081061E">
      <w:pPr>
        <w:pStyle w:val="ECHRPara"/>
      </w:pPr>
      <w:r w:rsidRPr="00E20530">
        <w:fldChar w:fldCharType="begin"/>
      </w:r>
      <w:r w:rsidRPr="00E20530">
        <w:instrText xml:space="preserve"> SEQ level0 \*arabic </w:instrText>
      </w:r>
      <w:r w:rsidRPr="00E20530">
        <w:fldChar w:fldCharType="separate"/>
      </w:r>
      <w:r w:rsidRPr="00E20530" w:rsidR="00E20530">
        <w:rPr>
          <w:noProof/>
        </w:rPr>
        <w:t>21</w:t>
      </w:r>
      <w:r w:rsidRPr="00E20530">
        <w:rPr>
          <w:noProof/>
        </w:rPr>
        <w:fldChar w:fldCharType="end"/>
      </w:r>
      <w:r w:rsidRPr="00E20530" w:rsidR="007C012D">
        <w:t>.  In 2012 the applicant lodged a cla</w:t>
      </w:r>
      <w:r w:rsidRPr="00E20530" w:rsidR="00A4344D">
        <w:t>im for compensation for the non</w:t>
      </w:r>
      <w:r w:rsidRPr="00E20530" w:rsidR="00A4344D">
        <w:noBreakHyphen/>
      </w:r>
      <w:r w:rsidRPr="00E20530" w:rsidR="007C012D">
        <w:t xml:space="preserve">enforcement of the judgment of </w:t>
      </w:r>
      <w:r w:rsidRPr="00E20530" w:rsidR="002665EA">
        <w:t>26</w:t>
      </w:r>
      <w:r w:rsidRPr="00E20530" w:rsidR="007C012D">
        <w:t xml:space="preserve"> July 2011. On 13 November 2012 the Supreme Court of the Chechen Republic returned </w:t>
      </w:r>
      <w:r w:rsidRPr="00E20530" w:rsidR="00142F45">
        <w:t xml:space="preserve">the </w:t>
      </w:r>
      <w:r w:rsidRPr="00E20530" w:rsidR="007C012D">
        <w:t>application to him unexamined.</w:t>
      </w:r>
    </w:p>
    <w:p w:rsidRPr="00E20530" w:rsidR="00BB629A" w:rsidP="00E20530" w:rsidRDefault="00BD59E8">
      <w:pPr>
        <w:pStyle w:val="ECHRHeading2"/>
      </w:pPr>
      <w:r w:rsidRPr="00E20530">
        <w:t>C</w:t>
      </w:r>
      <w:r w:rsidRPr="00E20530" w:rsidR="00C87BB8">
        <w:t>.  Subsequent developments</w:t>
      </w:r>
    </w:p>
    <w:p w:rsidRPr="00E20530" w:rsidR="001A789D" w:rsidP="00E20530" w:rsidRDefault="00E028F4">
      <w:pPr>
        <w:pStyle w:val="ECHRPara"/>
      </w:pPr>
      <w:r w:rsidRPr="00E20530">
        <w:fldChar w:fldCharType="begin"/>
      </w:r>
      <w:r w:rsidRPr="00E20530">
        <w:instrText xml:space="preserve"> SEQ level0 \*arabic </w:instrText>
      </w:r>
      <w:r w:rsidRPr="00E20530">
        <w:fldChar w:fldCharType="separate"/>
      </w:r>
      <w:r w:rsidRPr="00E20530" w:rsidR="00E20530">
        <w:rPr>
          <w:noProof/>
        </w:rPr>
        <w:t>22</w:t>
      </w:r>
      <w:r w:rsidRPr="00E20530">
        <w:fldChar w:fldCharType="end"/>
      </w:r>
      <w:r w:rsidRPr="00E20530">
        <w:t>.  </w:t>
      </w:r>
      <w:r w:rsidRPr="00E20530" w:rsidR="00BD59E8">
        <w:t xml:space="preserve">The Commission did not process </w:t>
      </w:r>
      <w:r w:rsidRPr="00E20530" w:rsidR="004A0A1E">
        <w:t>the</w:t>
      </w:r>
      <w:r w:rsidRPr="00E20530" w:rsidR="006640DD">
        <w:t xml:space="preserve"> applicants</w:t>
      </w:r>
      <w:r w:rsidRPr="00E20530" w:rsidR="00E20530">
        <w:t>’</w:t>
      </w:r>
      <w:r w:rsidRPr="00E20530" w:rsidR="004A0A1E">
        <w:t xml:space="preserve"> claims until September 2013.</w:t>
      </w:r>
    </w:p>
    <w:bookmarkStart w:name="Jan2014CommissionCeasesToExist" w:id="12"/>
    <w:p w:rsidRPr="00E20530" w:rsidR="00BB629A" w:rsidP="00E20530" w:rsidRDefault="00742D72">
      <w:pPr>
        <w:pStyle w:val="ECHRPara"/>
      </w:pPr>
      <w:r w:rsidRPr="00E20530">
        <w:fldChar w:fldCharType="begin"/>
      </w:r>
      <w:r w:rsidRPr="00E20530">
        <w:instrText xml:space="preserve"> SEQ level0 \*arabic </w:instrText>
      </w:r>
      <w:r w:rsidRPr="00E20530">
        <w:fldChar w:fldCharType="separate"/>
      </w:r>
      <w:r w:rsidRPr="00E20530" w:rsidR="00E20530">
        <w:rPr>
          <w:noProof/>
        </w:rPr>
        <w:t>23</w:t>
      </w:r>
      <w:r w:rsidRPr="00E20530">
        <w:fldChar w:fldCharType="end"/>
      </w:r>
      <w:bookmarkEnd w:id="12"/>
      <w:r w:rsidRPr="00E20530">
        <w:t>.  </w:t>
      </w:r>
      <w:r w:rsidRPr="00E20530" w:rsidR="005374D3">
        <w:t>The Commission held a final meeting on 16 September 2013 and, according to the minutes of the meeting, rejected all claims lodged by the owners of property which had not been entered in the register of destroyed buildings. Both applicants were in that category.</w:t>
      </w:r>
      <w:r w:rsidRPr="00E20530" w:rsidR="00BD5B15">
        <w:t xml:space="preserve"> In January 2014 the Commission ceased to exist.</w:t>
      </w:r>
    </w:p>
    <w:p w:rsidRPr="00E20530" w:rsidR="0043680F" w:rsidP="00E20530" w:rsidRDefault="0043680F">
      <w:pPr>
        <w:pStyle w:val="ECHRPara"/>
      </w:pPr>
      <w:r w:rsidRPr="00E20530">
        <w:fldChar w:fldCharType="begin"/>
      </w:r>
      <w:r w:rsidRPr="00E20530">
        <w:instrText xml:space="preserve"> SEQ level0 \*arabic </w:instrText>
      </w:r>
      <w:r w:rsidRPr="00E20530">
        <w:fldChar w:fldCharType="separate"/>
      </w:r>
      <w:r w:rsidRPr="00E20530" w:rsidR="00E20530">
        <w:rPr>
          <w:noProof/>
        </w:rPr>
        <w:t>24</w:t>
      </w:r>
      <w:r w:rsidRPr="00E20530">
        <w:fldChar w:fldCharType="end"/>
      </w:r>
      <w:r w:rsidRPr="00E20530" w:rsidR="00BC334C">
        <w:t>.  T</w:t>
      </w:r>
      <w:r w:rsidRPr="00E20530">
        <w:t>he judgments in the applicants</w:t>
      </w:r>
      <w:r w:rsidRPr="00E20530" w:rsidR="00E20530">
        <w:t>’</w:t>
      </w:r>
      <w:r w:rsidRPr="00E20530">
        <w:t xml:space="preserve"> favour have not been enforced.</w:t>
      </w:r>
    </w:p>
    <w:p w:rsidRPr="00E20530" w:rsidR="00D420F3" w:rsidP="00E20530" w:rsidRDefault="0077175D">
      <w:pPr>
        <w:pStyle w:val="ECHRHeading1"/>
      </w:pPr>
      <w:r w:rsidRPr="00E20530">
        <w:t>II.  RELEVANT DOMESTIC LAW AND PRACTICE</w:t>
      </w:r>
    </w:p>
    <w:p w:rsidRPr="00E20530" w:rsidR="00D420F3" w:rsidP="00E20530" w:rsidRDefault="00D26F2B">
      <w:pPr>
        <w:pStyle w:val="ECHRPara"/>
      </w:pPr>
      <w:r w:rsidRPr="00E20530">
        <w:fldChar w:fldCharType="begin"/>
      </w:r>
      <w:r w:rsidRPr="00E20530">
        <w:instrText xml:space="preserve"> SEQ level0 \*arabic </w:instrText>
      </w:r>
      <w:r w:rsidRPr="00E20530">
        <w:fldChar w:fldCharType="separate"/>
      </w:r>
      <w:r w:rsidRPr="00E20530" w:rsidR="00E20530">
        <w:rPr>
          <w:noProof/>
        </w:rPr>
        <w:t>25</w:t>
      </w:r>
      <w:r w:rsidRPr="00E20530">
        <w:fldChar w:fldCharType="end"/>
      </w:r>
      <w:r w:rsidRPr="00E20530" w:rsidR="0077175D">
        <w:t>.  </w:t>
      </w:r>
      <w:r w:rsidRPr="00E20530" w:rsidR="00BC334C">
        <w:t>For the summary of the relevant domestic law and practice</w:t>
      </w:r>
      <w:r w:rsidRPr="00E20530" w:rsidR="0079251F">
        <w:t xml:space="preserve"> in so far as the no-fault compensation scheme is concerned</w:t>
      </w:r>
      <w:r w:rsidRPr="00E20530" w:rsidR="00BC334C">
        <w:t xml:space="preserve">, see </w:t>
      </w:r>
      <w:r w:rsidRPr="00E20530" w:rsidR="00BC334C">
        <w:rPr>
          <w:i/>
          <w:iCs/>
        </w:rPr>
        <w:t>Arzhiyeva and Tsadayev v. Russia</w:t>
      </w:r>
      <w:r w:rsidRPr="00E20530" w:rsidR="00BC334C">
        <w:rPr>
          <w:lang w:eastAsia="en-GB"/>
        </w:rPr>
        <w:t xml:space="preserve">, </w:t>
      </w:r>
      <w:r w:rsidRPr="00E20530" w:rsidR="00BC334C">
        <w:t>nos. 66590/10 and 3773/11</w:t>
      </w:r>
      <w:r w:rsidRPr="00E20530" w:rsidR="00BC334C">
        <w:rPr>
          <w:lang w:eastAsia="en-GB"/>
        </w:rPr>
        <w:t xml:space="preserve">, </w:t>
      </w:r>
      <w:r w:rsidRPr="00E20530" w:rsidR="00BC334C">
        <w:t>§§ 23-29, 13 November 2018.</w:t>
      </w:r>
    </w:p>
    <w:p w:rsidRPr="00E20530" w:rsidR="00BC334C" w:rsidP="00E20530" w:rsidRDefault="0081061E">
      <w:pPr>
        <w:pStyle w:val="ECHRPara"/>
      </w:pPr>
      <w:r w:rsidRPr="00E20530">
        <w:fldChar w:fldCharType="begin"/>
      </w:r>
      <w:r w:rsidRPr="00E20530">
        <w:instrText xml:space="preserve"> SEQ level0 \*arabic </w:instrText>
      </w:r>
      <w:r w:rsidRPr="00E20530">
        <w:fldChar w:fldCharType="separate"/>
      </w:r>
      <w:r w:rsidRPr="00E20530" w:rsidR="00E20530">
        <w:rPr>
          <w:noProof/>
        </w:rPr>
        <w:t>26</w:t>
      </w:r>
      <w:r w:rsidRPr="00E20530">
        <w:rPr>
          <w:noProof/>
        </w:rPr>
        <w:fldChar w:fldCharType="end"/>
      </w:r>
      <w:r w:rsidRPr="00E20530" w:rsidR="00742D72">
        <w:t>.  </w:t>
      </w:r>
      <w:r w:rsidRPr="00E20530" w:rsidR="00BC334C">
        <w:t xml:space="preserve">Relevant provisions of the Federal Law No. 450-FZ amending the Compensation Act of 2010, in force as of 1 January 2017 and extending the scope of the Act to cases of excessive delays in the enforcement of court judgments ordering the domestic authorities to fulfil various obligations in kind are summarised in </w:t>
      </w:r>
      <w:r w:rsidRPr="00E20530" w:rsidR="00BC334C">
        <w:rPr>
          <w:i/>
        </w:rPr>
        <w:t>Shtolts and Others v. Russia</w:t>
      </w:r>
      <w:r w:rsidRPr="00E20530" w:rsidR="00BC334C">
        <w:t xml:space="preserve"> (dec.), nos. 77056/14 and 2 others, §§ 31</w:t>
      </w:r>
      <w:r w:rsidRPr="00E20530" w:rsidR="00BC334C">
        <w:noBreakHyphen/>
        <w:t>41, 30 January 2018.</w:t>
      </w:r>
    </w:p>
    <w:p w:rsidRPr="00E20530" w:rsidR="00D420F3" w:rsidP="00E20530" w:rsidRDefault="0077175D">
      <w:pPr>
        <w:pStyle w:val="ECHRTitle1"/>
      </w:pPr>
      <w:r w:rsidRPr="00E20530">
        <w:t>THE LAW</w:t>
      </w:r>
    </w:p>
    <w:p w:rsidRPr="00E20530" w:rsidR="006A6CCF" w:rsidP="00E20530" w:rsidRDefault="0077175D">
      <w:pPr>
        <w:pStyle w:val="ECHRHeading1"/>
        <w:rPr>
          <w:b/>
        </w:rPr>
      </w:pPr>
      <w:r w:rsidRPr="00E20530">
        <w:t>I</w:t>
      </w:r>
      <w:r w:rsidRPr="00E20530" w:rsidR="001A789D">
        <w:t>.  </w:t>
      </w:r>
      <w:r w:rsidRPr="00E20530" w:rsidR="006A6CCF">
        <w:t>JOINDER OF THE APPLICATIONS</w:t>
      </w:r>
    </w:p>
    <w:p w:rsidRPr="00E20530" w:rsidR="006A6CCF" w:rsidP="00E20530" w:rsidRDefault="0081061E">
      <w:pPr>
        <w:pStyle w:val="ECHRPara"/>
        <w:rPr>
          <w:rFonts w:asciiTheme="majorHAnsi" w:hAnsiTheme="majorHAnsi" w:eastAsiaTheme="majorEastAsia" w:cstheme="majorBidi"/>
          <w:bCs/>
          <w:szCs w:val="28"/>
        </w:rPr>
      </w:pPr>
      <w:r w:rsidRPr="00E20530">
        <w:fldChar w:fldCharType="begin"/>
      </w:r>
      <w:r w:rsidRPr="00E20530">
        <w:instrText xml:space="preserve"> SEQ level0 \*arabic </w:instrText>
      </w:r>
      <w:r w:rsidRPr="00E20530">
        <w:fldChar w:fldCharType="separate"/>
      </w:r>
      <w:r w:rsidRPr="00E20530" w:rsidR="00E20530">
        <w:rPr>
          <w:noProof/>
        </w:rPr>
        <w:t>27</w:t>
      </w:r>
      <w:r w:rsidRPr="00E20530">
        <w:rPr>
          <w:noProof/>
        </w:rPr>
        <w:fldChar w:fldCharType="end"/>
      </w:r>
      <w:r w:rsidRPr="00E20530" w:rsidR="006A6CCF">
        <w:t>.  </w:t>
      </w:r>
      <w:r w:rsidRPr="00E20530" w:rsidR="006A6CCF">
        <w:rPr>
          <w:rFonts w:asciiTheme="majorHAnsi" w:hAnsiTheme="majorHAnsi" w:eastAsiaTheme="majorEastAsia" w:cstheme="majorBidi"/>
          <w:bCs/>
          <w:szCs w:val="28"/>
        </w:rPr>
        <w:t>In accordance with Rule 42 § 1 of the Rules of Court, the Court decides to join the applications, given their factual and legal similarities.</w:t>
      </w:r>
    </w:p>
    <w:p w:rsidRPr="00E20530" w:rsidR="00B73FBF" w:rsidP="00E20530" w:rsidRDefault="00B73FBF">
      <w:pPr>
        <w:pStyle w:val="ECHRHeading1"/>
        <w:rPr>
          <w:bCs w:val="0"/>
        </w:rPr>
      </w:pPr>
      <w:r w:rsidRPr="00E20530">
        <w:rPr>
          <w:bCs w:val="0"/>
        </w:rPr>
        <w:t>II.</w:t>
      </w:r>
      <w:r w:rsidRPr="00E20530" w:rsidR="00742D72">
        <w:rPr>
          <w:bCs w:val="0"/>
        </w:rPr>
        <w:t xml:space="preserve">  REQUEST </w:t>
      </w:r>
      <w:r w:rsidRPr="00E20530" w:rsidR="00A7493C">
        <w:rPr>
          <w:bCs w:val="0"/>
        </w:rPr>
        <w:t>OF</w:t>
      </w:r>
      <w:r w:rsidRPr="00E20530" w:rsidR="00742D72">
        <w:rPr>
          <w:bCs w:val="0"/>
        </w:rPr>
        <w:t xml:space="preserve"> THE SECOND APPLICANT</w:t>
      </w:r>
      <w:r w:rsidRPr="00E20530" w:rsidR="00E20530">
        <w:rPr>
          <w:bCs w:val="0"/>
        </w:rPr>
        <w:t>’</w:t>
      </w:r>
      <w:r w:rsidRPr="00E20530" w:rsidR="00742D72">
        <w:rPr>
          <w:bCs w:val="0"/>
        </w:rPr>
        <w:t xml:space="preserve">S RELATIVES </w:t>
      </w:r>
      <w:r w:rsidRPr="00E20530" w:rsidR="00A7493C">
        <w:rPr>
          <w:bCs w:val="0"/>
        </w:rPr>
        <w:t>TO JOIN THE PROCEEDINGS BEFORE THE COURT</w:t>
      </w:r>
    </w:p>
    <w:p w:rsidRPr="00E20530" w:rsidR="00742D72" w:rsidP="00E20530" w:rsidRDefault="00742D72">
      <w:pPr>
        <w:pStyle w:val="ECHRPara"/>
      </w:pPr>
      <w:r w:rsidRPr="00E20530">
        <w:fldChar w:fldCharType="begin"/>
      </w:r>
      <w:r w:rsidRPr="00E20530">
        <w:instrText xml:space="preserve"> SEQ level0 \*arabic </w:instrText>
      </w:r>
      <w:r w:rsidRPr="00E20530">
        <w:fldChar w:fldCharType="separate"/>
      </w:r>
      <w:r w:rsidRPr="00E20530" w:rsidR="00E20530">
        <w:rPr>
          <w:noProof/>
        </w:rPr>
        <w:t>28</w:t>
      </w:r>
      <w:r w:rsidRPr="00E20530">
        <w:fldChar w:fldCharType="end"/>
      </w:r>
      <w:r w:rsidRPr="00E20530">
        <w:t>.  </w:t>
      </w:r>
      <w:r w:rsidRPr="00E20530" w:rsidR="006D592C">
        <w:t>By letter of</w:t>
      </w:r>
      <w:r w:rsidRPr="00E20530">
        <w:t xml:space="preserve"> 12 December 2016, after the communication of the case to the Government, the </w:t>
      </w:r>
      <w:r w:rsidRPr="00E20530" w:rsidR="000962CE">
        <w:t xml:space="preserve">second </w:t>
      </w:r>
      <w:r w:rsidRPr="00E20530">
        <w:t>applicant re</w:t>
      </w:r>
      <w:r w:rsidRPr="00E20530" w:rsidR="00861663">
        <w:t>quested the Court to include Ms </w:t>
      </w:r>
      <w:r w:rsidRPr="00E20530">
        <w:t xml:space="preserve">Manash Gazhayeva, his wife, and Mr Islam Sultanov, Mr Beslan Sultanov, Ms Petimat Sultanova, Mr Imam-Taleran Sultanov, Ms Inian Sultanova and Ms Maryam Sultanova, his children, in the list of applicants in </w:t>
      </w:r>
      <w:r w:rsidRPr="00E20530" w:rsidR="0079251F">
        <w:t xml:space="preserve">the </w:t>
      </w:r>
      <w:r w:rsidRPr="00E20530">
        <w:t>case no. 18360/13.</w:t>
      </w:r>
      <w:r w:rsidRPr="00E20530" w:rsidR="00A7493C">
        <w:t xml:space="preserve"> </w:t>
      </w:r>
      <w:r w:rsidRPr="00E20530" w:rsidR="000962CE">
        <w:t>He</w:t>
      </w:r>
      <w:r w:rsidRPr="00E20530" w:rsidR="00A7493C">
        <w:t xml:space="preserve"> argued that </w:t>
      </w:r>
      <w:r w:rsidRPr="00E20530" w:rsidR="000962CE">
        <w:t>his family members</w:t>
      </w:r>
      <w:r w:rsidRPr="00E20530" w:rsidR="00A7493C">
        <w:t xml:space="preserve"> had learned after the communication </w:t>
      </w:r>
      <w:r w:rsidRPr="00E20530" w:rsidR="005D1737">
        <w:t xml:space="preserve">of the application </w:t>
      </w:r>
      <w:r w:rsidRPr="00E20530" w:rsidR="00A7493C">
        <w:t xml:space="preserve">“that they were eligible to be applicants”, and that they </w:t>
      </w:r>
      <w:r w:rsidRPr="00E20530" w:rsidR="0079251F">
        <w:t xml:space="preserve">had </w:t>
      </w:r>
      <w:r w:rsidRPr="00E20530" w:rsidR="00A7493C">
        <w:t>suffered pecuniary and non-pe</w:t>
      </w:r>
      <w:r w:rsidRPr="00E20530" w:rsidR="00DF523B">
        <w:t>cuniary damage as a result of the non-enforcement.</w:t>
      </w:r>
    </w:p>
    <w:p w:rsidRPr="00E20530" w:rsidR="00742D72" w:rsidP="00E20530" w:rsidRDefault="00742D72">
      <w:pPr>
        <w:pStyle w:val="ECHRPara"/>
      </w:pPr>
      <w:r w:rsidRPr="00E20530">
        <w:fldChar w:fldCharType="begin"/>
      </w:r>
      <w:r w:rsidRPr="00E20530">
        <w:instrText xml:space="preserve"> SEQ level0 \*arabic </w:instrText>
      </w:r>
      <w:r w:rsidRPr="00E20530">
        <w:fldChar w:fldCharType="separate"/>
      </w:r>
      <w:r w:rsidRPr="00E20530" w:rsidR="00E20530">
        <w:rPr>
          <w:noProof/>
        </w:rPr>
        <w:t>29</w:t>
      </w:r>
      <w:r w:rsidRPr="00E20530">
        <w:fldChar w:fldCharType="end"/>
      </w:r>
      <w:r w:rsidRPr="00E20530">
        <w:t>.  The Government objected, as the judgment of 26 July 2011 only concerned the second applicant</w:t>
      </w:r>
      <w:r w:rsidRPr="00E20530" w:rsidR="00E20530">
        <w:t>’</w:t>
      </w:r>
      <w:r w:rsidRPr="00E20530">
        <w:t>s claims and in no way determined the rights of his family members.</w:t>
      </w:r>
    </w:p>
    <w:p w:rsidRPr="00E20530" w:rsidR="00BB629A" w:rsidP="00E20530" w:rsidRDefault="0081061E">
      <w:pPr>
        <w:pStyle w:val="ECHRPara"/>
      </w:pPr>
      <w:r w:rsidRPr="00E20530">
        <w:fldChar w:fldCharType="begin"/>
      </w:r>
      <w:r w:rsidRPr="00E20530">
        <w:instrText xml:space="preserve"> SEQ level0 \*arabic </w:instrText>
      </w:r>
      <w:r w:rsidRPr="00E20530">
        <w:fldChar w:fldCharType="separate"/>
      </w:r>
      <w:r w:rsidRPr="00E20530" w:rsidR="00E20530">
        <w:rPr>
          <w:noProof/>
        </w:rPr>
        <w:t>30</w:t>
      </w:r>
      <w:r w:rsidRPr="00E20530">
        <w:rPr>
          <w:noProof/>
        </w:rPr>
        <w:fldChar w:fldCharType="end"/>
      </w:r>
      <w:r w:rsidRPr="00E20530" w:rsidR="006D592C">
        <w:t>.  </w:t>
      </w:r>
      <w:r w:rsidRPr="00E20530" w:rsidR="00742D72">
        <w:t xml:space="preserve">The Court agrees with the Government. </w:t>
      </w:r>
      <w:r w:rsidRPr="00E20530" w:rsidR="0087399C">
        <w:t>It further notes that</w:t>
      </w:r>
      <w:r w:rsidRPr="00E20530" w:rsidR="002665EA">
        <w:t>, in any event,</w:t>
      </w:r>
      <w:r w:rsidRPr="00E20530" w:rsidR="0087399C">
        <w:t xml:space="preserve"> the </w:t>
      </w:r>
      <w:r w:rsidRPr="00E20530" w:rsidR="00A7493C">
        <w:t>applicant</w:t>
      </w:r>
      <w:r w:rsidRPr="00E20530" w:rsidR="00E20530">
        <w:t>’</w:t>
      </w:r>
      <w:r w:rsidRPr="00E20530" w:rsidR="00A7493C">
        <w:t xml:space="preserve">s relatives did not provide any valid reason for their failure to </w:t>
      </w:r>
      <w:r w:rsidRPr="00E20530" w:rsidR="00391045">
        <w:t xml:space="preserve">request to </w:t>
      </w:r>
      <w:r w:rsidRPr="00E20530" w:rsidR="006D592C">
        <w:t xml:space="preserve">join the proceedings </w:t>
      </w:r>
      <w:r w:rsidRPr="00E20530" w:rsidR="002665EA">
        <w:t xml:space="preserve">at an earlier stage </w:t>
      </w:r>
      <w:r w:rsidRPr="00E20530" w:rsidR="006D592C">
        <w:t xml:space="preserve">and </w:t>
      </w:r>
      <w:r w:rsidRPr="00E20530" w:rsidR="00954823">
        <w:t xml:space="preserve">to </w:t>
      </w:r>
      <w:r w:rsidRPr="00E20530" w:rsidR="006D592C">
        <w:t>submit duly completed application form</w:t>
      </w:r>
      <w:r w:rsidRPr="00E20530" w:rsidR="00D207A8">
        <w:t>s</w:t>
      </w:r>
      <w:r w:rsidRPr="00E20530" w:rsidR="0087399C">
        <w:t xml:space="preserve">. </w:t>
      </w:r>
      <w:r w:rsidRPr="00E20530" w:rsidR="00B73FBF">
        <w:t xml:space="preserve">In view of the above, the Court decides </w:t>
      </w:r>
      <w:r w:rsidRPr="00E20530" w:rsidR="00742D72">
        <w:t>not to include Ms Manash Gazhayeva, Mr Islam Sultanov, Mr Beslan Sultanov, Ms Petimat Sultanova, Mr Imam-Taleran Sult</w:t>
      </w:r>
      <w:r w:rsidRPr="00E20530" w:rsidR="00B0786B">
        <w:t>anov, Ms Inian Sultanova and Ms </w:t>
      </w:r>
      <w:r w:rsidRPr="00E20530" w:rsidR="00742D72">
        <w:t>Maryam Sultanova</w:t>
      </w:r>
      <w:r w:rsidRPr="00E20530" w:rsidR="00954823">
        <w:t xml:space="preserve"> </w:t>
      </w:r>
      <w:r w:rsidRPr="00E20530" w:rsidR="00B73FBF">
        <w:t>in the lis</w:t>
      </w:r>
      <w:r w:rsidRPr="00E20530" w:rsidR="00742D72">
        <w:t xml:space="preserve">t of the applicants in </w:t>
      </w:r>
      <w:r w:rsidRPr="00E20530" w:rsidR="002665EA">
        <w:t xml:space="preserve">the </w:t>
      </w:r>
      <w:r w:rsidRPr="00E20530" w:rsidR="00742D72">
        <w:t>case no. 18360/13.</w:t>
      </w:r>
    </w:p>
    <w:p w:rsidRPr="00E20530" w:rsidR="00D420F3" w:rsidP="00E20530" w:rsidRDefault="00740BBF">
      <w:pPr>
        <w:pStyle w:val="ECHRHeading1"/>
      </w:pPr>
      <w:r w:rsidRPr="00E20530">
        <w:t>I</w:t>
      </w:r>
      <w:r w:rsidRPr="00E20530" w:rsidR="006A6CCF">
        <w:t>II.  </w:t>
      </w:r>
      <w:r w:rsidRPr="00E20530" w:rsidR="001A789D">
        <w:t>ALLEGED VIOLATION OF ARTICLE 6</w:t>
      </w:r>
      <w:r w:rsidRPr="00E20530" w:rsidR="0077175D">
        <w:t xml:space="preserve"> OF THE CONVENTION</w:t>
      </w:r>
      <w:r w:rsidRPr="00E20530" w:rsidR="001A789D">
        <w:t xml:space="preserve"> AND ARTICLE 1 OF PROTOCOL N</w:t>
      </w:r>
      <w:r w:rsidRPr="00E20530" w:rsidR="00EF58C2">
        <w:t>o</w:t>
      </w:r>
      <w:r w:rsidRPr="00E20530" w:rsidR="001A789D">
        <w:t>. 1 TO THE CONVENTION</w:t>
      </w:r>
    </w:p>
    <w:p w:rsidRPr="00E20530" w:rsidR="00D420F3" w:rsidP="00E20530" w:rsidRDefault="00D26F2B">
      <w:pPr>
        <w:pStyle w:val="ECHRPara"/>
      </w:pPr>
      <w:r w:rsidRPr="00E20530">
        <w:fldChar w:fldCharType="begin"/>
      </w:r>
      <w:r w:rsidRPr="00E20530">
        <w:instrText xml:space="preserve"> SEQ level0 \*arabic </w:instrText>
      </w:r>
      <w:r w:rsidRPr="00E20530">
        <w:fldChar w:fldCharType="separate"/>
      </w:r>
      <w:r w:rsidRPr="00E20530" w:rsidR="00E20530">
        <w:rPr>
          <w:noProof/>
        </w:rPr>
        <w:t>31</w:t>
      </w:r>
      <w:r w:rsidRPr="00E20530">
        <w:fldChar w:fldCharType="end"/>
      </w:r>
      <w:r w:rsidRPr="00E20530" w:rsidR="0077175D">
        <w:t>.  The applicant</w:t>
      </w:r>
      <w:r w:rsidRPr="00E20530">
        <w:t>s</w:t>
      </w:r>
      <w:r w:rsidRPr="00E20530" w:rsidR="0077175D">
        <w:t xml:space="preserve"> complained </w:t>
      </w:r>
      <w:r w:rsidRPr="00E20530" w:rsidR="004A0A1E">
        <w:t xml:space="preserve">about the non-enforcement of the judgments </w:t>
      </w:r>
      <w:r w:rsidRPr="00E20530" w:rsidR="002665EA">
        <w:t xml:space="preserve">of 28 February 2005 and 26 July 2011 </w:t>
      </w:r>
      <w:r w:rsidRPr="00E20530" w:rsidR="004A0A1E">
        <w:t>in their favour. They referred to Article 6</w:t>
      </w:r>
      <w:r w:rsidRPr="00E20530" w:rsidR="0077175D">
        <w:t xml:space="preserve"> of the Convention</w:t>
      </w:r>
      <w:r w:rsidRPr="00E20530" w:rsidR="004A0A1E">
        <w:t xml:space="preserve"> and Article 1 of Protocol No.</w:t>
      </w:r>
      <w:r w:rsidRPr="00E20530" w:rsidR="00A4344D">
        <w:t> </w:t>
      </w:r>
      <w:r w:rsidRPr="00E20530" w:rsidR="004A0A1E">
        <w:t>1 which, in so far as relevant, read as follows:</w:t>
      </w:r>
    </w:p>
    <w:p w:rsidRPr="00E20530" w:rsidR="00A15816" w:rsidP="00E20530" w:rsidRDefault="00A15816">
      <w:pPr>
        <w:pStyle w:val="ECHRTitleCentre3"/>
        <w:keepNext w:val="0"/>
        <w:keepLines w:val="0"/>
      </w:pPr>
      <w:r w:rsidRPr="00E20530">
        <w:t>Article 6 § 1</w:t>
      </w:r>
    </w:p>
    <w:p w:rsidRPr="00E20530" w:rsidR="00A15816" w:rsidP="00E20530" w:rsidRDefault="00A15816">
      <w:pPr>
        <w:pStyle w:val="ECHRParaQuote"/>
      </w:pPr>
      <w:r w:rsidRPr="00E20530">
        <w:t>“In the determination of his civil rights and obligations ..., everyone is entitled to a fair ... hearing ... by [a] ... tribunal ...”</w:t>
      </w:r>
    </w:p>
    <w:p w:rsidRPr="00E20530" w:rsidR="00A15816" w:rsidP="00E20530" w:rsidRDefault="00A15816">
      <w:pPr>
        <w:pStyle w:val="ECHRTitleCentre3"/>
      </w:pPr>
      <w:r w:rsidRPr="00E20530">
        <w:t>Article 1 of Protocol No. 1</w:t>
      </w:r>
    </w:p>
    <w:p w:rsidRPr="00E20530" w:rsidR="00A15816" w:rsidP="00E20530" w:rsidRDefault="00A15816">
      <w:pPr>
        <w:pStyle w:val="ECHRParaQuote"/>
      </w:pPr>
      <w:r w:rsidRPr="00E20530">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20530" w:rsidR="00A15816" w:rsidP="00E20530" w:rsidRDefault="00A15816">
      <w:pPr>
        <w:pStyle w:val="ECHRParaQuote"/>
      </w:pPr>
      <w:r w:rsidRPr="00E20530">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20530" w:rsidR="00BB629A" w:rsidP="00E20530" w:rsidRDefault="00577113">
      <w:pPr>
        <w:pStyle w:val="ECHRPara"/>
      </w:pPr>
      <w:r w:rsidRPr="00E20530">
        <w:fldChar w:fldCharType="begin"/>
      </w:r>
      <w:r w:rsidRPr="00E20530">
        <w:instrText xml:space="preserve"> SEQ level0 \*arabic </w:instrText>
      </w:r>
      <w:r w:rsidRPr="00E20530">
        <w:fldChar w:fldCharType="separate"/>
      </w:r>
      <w:r w:rsidRPr="00E20530" w:rsidR="00E20530">
        <w:rPr>
          <w:noProof/>
        </w:rPr>
        <w:t>32</w:t>
      </w:r>
      <w:r w:rsidRPr="00E20530">
        <w:fldChar w:fldCharType="end"/>
      </w:r>
      <w:r w:rsidRPr="00E20530">
        <w:t>.  </w:t>
      </w:r>
      <w:r w:rsidRPr="00E20530" w:rsidR="0077175D">
        <w:t xml:space="preserve">The Government </w:t>
      </w:r>
      <w:r w:rsidRPr="00E20530" w:rsidR="009748ED">
        <w:t xml:space="preserve">initially acknowledged their obligations under the </w:t>
      </w:r>
      <w:r w:rsidRPr="00E20530" w:rsidR="009748ED">
        <w:rPr>
          <w:i/>
        </w:rPr>
        <w:t>Gerasimov and Others</w:t>
      </w:r>
      <w:r w:rsidRPr="00E20530" w:rsidR="009748ED">
        <w:t xml:space="preserve"> pilot judgment (cited above) and stated that they would deploy all means to enforce the judgments which had remained without execution or resolve the issues by any appropriate means. In their further observations the</w:t>
      </w:r>
      <w:r w:rsidRPr="00E20530" w:rsidR="000E6C1D">
        <w:t xml:space="preserve"> Government</w:t>
      </w:r>
      <w:r w:rsidRPr="00E20530" w:rsidR="009748ED">
        <w:t xml:space="preserve"> submitted that </w:t>
      </w:r>
      <w:r w:rsidRPr="00E20530" w:rsidR="00A15816">
        <w:t xml:space="preserve">the Commission at its final meeting </w:t>
      </w:r>
      <w:r w:rsidRPr="00E20530" w:rsidR="00C67FBA">
        <w:t>o</w:t>
      </w:r>
      <w:r w:rsidRPr="00E20530" w:rsidR="002665EA">
        <w:t>f</w:t>
      </w:r>
      <w:r w:rsidRPr="00E20530" w:rsidR="00C67FBA">
        <w:t xml:space="preserve"> 16 </w:t>
      </w:r>
      <w:r w:rsidRPr="00E20530" w:rsidR="00A15816">
        <w:t>September 2013 had rejected the applicants</w:t>
      </w:r>
      <w:r w:rsidRPr="00E20530" w:rsidR="00E20530">
        <w:t>’</w:t>
      </w:r>
      <w:r w:rsidRPr="00E20530" w:rsidR="00A15816">
        <w:t xml:space="preserve"> claims, as they had not been entered in the register of destroyed </w:t>
      </w:r>
      <w:r w:rsidRPr="00E20530" w:rsidR="002665EA">
        <w:t>housing</w:t>
      </w:r>
      <w:r w:rsidRPr="00E20530" w:rsidR="00A15816">
        <w:t>.</w:t>
      </w:r>
      <w:r w:rsidRPr="00E20530" w:rsidR="0087267C">
        <w:t xml:space="preserve"> Accordingly, it </w:t>
      </w:r>
      <w:r w:rsidRPr="00E20530" w:rsidR="007052BA">
        <w:t>was no longer</w:t>
      </w:r>
      <w:r w:rsidRPr="00E20530" w:rsidR="003A790A">
        <w:t xml:space="preserve"> </w:t>
      </w:r>
      <w:r w:rsidRPr="00E20530" w:rsidR="0087267C">
        <w:t>po</w:t>
      </w:r>
      <w:r w:rsidRPr="00E20530" w:rsidR="007052BA">
        <w:t>ssible to enforce the judgments.</w:t>
      </w:r>
    </w:p>
    <w:p w:rsidRPr="00E20530" w:rsidR="00BB629A" w:rsidP="00E20530" w:rsidRDefault="004A0A1E">
      <w:pPr>
        <w:pStyle w:val="ECHRPara"/>
      </w:pPr>
      <w:r w:rsidRPr="00E20530">
        <w:fldChar w:fldCharType="begin"/>
      </w:r>
      <w:r w:rsidRPr="00E20530">
        <w:instrText xml:space="preserve"> SEQ level0 \*arabic </w:instrText>
      </w:r>
      <w:r w:rsidRPr="00E20530">
        <w:fldChar w:fldCharType="separate"/>
      </w:r>
      <w:r w:rsidRPr="00E20530" w:rsidR="00E20530">
        <w:rPr>
          <w:noProof/>
        </w:rPr>
        <w:t>33</w:t>
      </w:r>
      <w:r w:rsidRPr="00E20530">
        <w:fldChar w:fldCharType="end"/>
      </w:r>
      <w:r w:rsidRPr="00E20530">
        <w:t>.  The applicants</w:t>
      </w:r>
      <w:r w:rsidRPr="00E20530" w:rsidR="005B6128">
        <w:t xml:space="preserve"> maintained their claims. They argued that the Government had undertaken to compensate damage to </w:t>
      </w:r>
      <w:r w:rsidRPr="00E20530" w:rsidR="003A790A">
        <w:t>them</w:t>
      </w:r>
      <w:r w:rsidRPr="00E20530" w:rsidR="005B6128">
        <w:t>, but had failed to do so for formal reasons. The applicant</w:t>
      </w:r>
      <w:r w:rsidRPr="00E20530" w:rsidR="00A01353">
        <w:t>s</w:t>
      </w:r>
      <w:r w:rsidRPr="00E20530" w:rsidR="005B6128">
        <w:t xml:space="preserve"> had duly cooperated with the authorities and </w:t>
      </w:r>
      <w:r w:rsidRPr="00E20530" w:rsidR="00C631F5">
        <w:t>moreover</w:t>
      </w:r>
      <w:r w:rsidRPr="00E20530" w:rsidR="005B6128">
        <w:t xml:space="preserve"> </w:t>
      </w:r>
      <w:r w:rsidRPr="00E20530" w:rsidR="003A790A">
        <w:t xml:space="preserve">had </w:t>
      </w:r>
      <w:r w:rsidRPr="00E20530" w:rsidR="005B6128">
        <w:t xml:space="preserve">brought </w:t>
      </w:r>
      <w:r w:rsidRPr="00E20530" w:rsidR="00693B6E">
        <w:t>their</w:t>
      </w:r>
      <w:r w:rsidRPr="00E20530" w:rsidR="005B6128">
        <w:t xml:space="preserve"> claim</w:t>
      </w:r>
      <w:r w:rsidRPr="00E20530" w:rsidR="000E6C1D">
        <w:t>s</w:t>
      </w:r>
      <w:r w:rsidRPr="00E20530" w:rsidR="005B6128">
        <w:t xml:space="preserve"> to domestic court</w:t>
      </w:r>
      <w:r w:rsidRPr="00E20530" w:rsidR="000E6C1D">
        <w:t>s</w:t>
      </w:r>
      <w:r w:rsidRPr="00E20530" w:rsidR="005B6128">
        <w:t xml:space="preserve"> which </w:t>
      </w:r>
      <w:r w:rsidRPr="00E20530" w:rsidR="003A790A">
        <w:t xml:space="preserve">had </w:t>
      </w:r>
      <w:r w:rsidRPr="00E20530" w:rsidR="005B6128">
        <w:t xml:space="preserve">granted </w:t>
      </w:r>
      <w:r w:rsidRPr="00E20530" w:rsidR="003A790A">
        <w:t>them</w:t>
      </w:r>
      <w:r w:rsidRPr="00E20530" w:rsidR="005B6128">
        <w:t>. However, the</w:t>
      </w:r>
      <w:r w:rsidRPr="00E20530" w:rsidR="00816DD1">
        <w:t>ir</w:t>
      </w:r>
      <w:r w:rsidRPr="00E20530" w:rsidR="005B6128">
        <w:t xml:space="preserve"> applications had not been processed for years, in breach of the domestic courts</w:t>
      </w:r>
      <w:r w:rsidRPr="00E20530" w:rsidR="00E20530">
        <w:t>’</w:t>
      </w:r>
      <w:r w:rsidRPr="00E20530" w:rsidR="005B6128">
        <w:t xml:space="preserve"> orders.</w:t>
      </w:r>
    </w:p>
    <w:p w:rsidRPr="00E20530" w:rsidR="00D420F3" w:rsidP="00E20530" w:rsidRDefault="0077175D">
      <w:pPr>
        <w:pStyle w:val="ECHRHeading2"/>
      </w:pPr>
      <w:r w:rsidRPr="00E20530">
        <w:t>A.  Admissibility</w:t>
      </w:r>
    </w:p>
    <w:p w:rsidRPr="00E20530" w:rsidR="00D420F3" w:rsidP="00E20530" w:rsidRDefault="0031660B">
      <w:pPr>
        <w:pStyle w:val="ECHRPara"/>
      </w:pPr>
      <w:r w:rsidRPr="00E20530">
        <w:fldChar w:fldCharType="begin"/>
      </w:r>
      <w:r w:rsidRPr="00E20530">
        <w:instrText xml:space="preserve"> SEQ level0 \*arabic </w:instrText>
      </w:r>
      <w:r w:rsidRPr="00E20530">
        <w:fldChar w:fldCharType="separate"/>
      </w:r>
      <w:r w:rsidRPr="00E20530" w:rsidR="00E20530">
        <w:rPr>
          <w:noProof/>
        </w:rPr>
        <w:t>34</w:t>
      </w:r>
      <w:r w:rsidRPr="00E20530">
        <w:fldChar w:fldCharType="end"/>
      </w:r>
      <w:r w:rsidRPr="00E20530">
        <w:t xml:space="preserve">.  The Court </w:t>
      </w:r>
      <w:r w:rsidRPr="00E20530" w:rsidR="0077175D">
        <w:t xml:space="preserve">notes that </w:t>
      </w:r>
      <w:r w:rsidRPr="00E20530" w:rsidR="00CE50A6">
        <w:t>th</w:t>
      </w:r>
      <w:r w:rsidRPr="00E20530">
        <w:t>e applicants</w:t>
      </w:r>
      <w:r w:rsidRPr="00E20530" w:rsidR="00E20530">
        <w:t>’</w:t>
      </w:r>
      <w:r w:rsidRPr="00E20530" w:rsidR="00CE50A6">
        <w:t xml:space="preserve"> </w:t>
      </w:r>
      <w:r w:rsidRPr="00E20530" w:rsidR="00C3518D">
        <w:t>complaint is not manifestly ill</w:t>
      </w:r>
      <w:r w:rsidRPr="00E20530" w:rsidR="00C3518D">
        <w:noBreakHyphen/>
      </w:r>
      <w:r w:rsidRPr="00E20530" w:rsidR="0077175D">
        <w:t>founde</w:t>
      </w:r>
      <w:r w:rsidRPr="00E20530" w:rsidR="00E20530">
        <w:t xml:space="preserve">d within the meaning of Article </w:t>
      </w:r>
      <w:r w:rsidRPr="00E20530" w:rsidR="0077175D">
        <w:t>35</w:t>
      </w:r>
      <w:r w:rsidRPr="00E20530" w:rsidR="00577113">
        <w:t> </w:t>
      </w:r>
      <w:r w:rsidRPr="00E20530" w:rsidR="0077175D">
        <w:t>§</w:t>
      </w:r>
      <w:r w:rsidRPr="00E20530" w:rsidR="00577113">
        <w:t> </w:t>
      </w:r>
      <w:r w:rsidRPr="00E20530" w:rsidR="0077175D">
        <w:t>3</w:t>
      </w:r>
      <w:r w:rsidRPr="00E20530" w:rsidR="00577113">
        <w:t> </w:t>
      </w:r>
      <w:r w:rsidRPr="00E20530" w:rsidR="0077175D">
        <w:t>(a) of the Convention. It further notes that it is not inadmissible on any other grounds. It must therefore be declared admissible.</w:t>
      </w:r>
    </w:p>
    <w:p w:rsidRPr="00E20530" w:rsidR="00D420F3" w:rsidP="00E20530" w:rsidRDefault="0077175D">
      <w:pPr>
        <w:pStyle w:val="ECHRHeading2"/>
      </w:pPr>
      <w:r w:rsidRPr="00E20530">
        <w:t>B.  Merits</w:t>
      </w:r>
    </w:p>
    <w:p w:rsidRPr="00E20530" w:rsidR="00D420F3" w:rsidP="00E20530" w:rsidRDefault="00D26F2B">
      <w:pPr>
        <w:pStyle w:val="ECHRPara"/>
      </w:pPr>
      <w:r w:rsidRPr="00E20530">
        <w:fldChar w:fldCharType="begin"/>
      </w:r>
      <w:r w:rsidRPr="00E20530">
        <w:instrText xml:space="preserve"> SEQ level0 \*arabic </w:instrText>
      </w:r>
      <w:r w:rsidRPr="00E20530">
        <w:fldChar w:fldCharType="separate"/>
      </w:r>
      <w:r w:rsidRPr="00E20530" w:rsidR="00E20530">
        <w:rPr>
          <w:noProof/>
        </w:rPr>
        <w:t>35</w:t>
      </w:r>
      <w:r w:rsidRPr="00E20530">
        <w:fldChar w:fldCharType="end"/>
      </w:r>
      <w:r w:rsidRPr="00E20530" w:rsidR="0077175D">
        <w:t>.  </w:t>
      </w:r>
      <w:r w:rsidRPr="00E20530" w:rsidR="00577113">
        <w:t>The Court reiterates that the execution of a judgment given by any court must be regarded as an integral part of a “hearing” for the purposes of Article</w:t>
      </w:r>
      <w:r w:rsidRPr="00E20530" w:rsidR="000E7168">
        <w:t> </w:t>
      </w:r>
      <w:r w:rsidRPr="00E20530" w:rsidR="00577113">
        <w:t xml:space="preserve">6. It also refers to its case-law concerning the non-enforcement or delayed enforcement of final domestic judgments (see </w:t>
      </w:r>
      <w:r w:rsidRPr="00E20530" w:rsidR="00577113">
        <w:rPr>
          <w:i/>
        </w:rPr>
        <w:t>Hornsby v. Greece</w:t>
      </w:r>
      <w:r w:rsidRPr="00E20530" w:rsidR="00577113">
        <w:t>, no. 18357/91, § 40, Reports of Judgments and Decisions 1997</w:t>
      </w:r>
      <w:r w:rsidRPr="00E20530" w:rsidR="00577113">
        <w:noBreakHyphen/>
        <w:t>II).</w:t>
      </w:r>
    </w:p>
    <w:p w:rsidRPr="00E20530" w:rsidR="00A470C2" w:rsidP="00E20530" w:rsidRDefault="00D26F2B">
      <w:pPr>
        <w:pStyle w:val="ECHRPara"/>
      </w:pPr>
      <w:r w:rsidRPr="00E20530">
        <w:fldChar w:fldCharType="begin"/>
      </w:r>
      <w:r w:rsidRPr="00E20530">
        <w:instrText xml:space="preserve"> SEQ level0 \*arabic </w:instrText>
      </w:r>
      <w:r w:rsidRPr="00E20530">
        <w:fldChar w:fldCharType="separate"/>
      </w:r>
      <w:r w:rsidRPr="00E20530" w:rsidR="00E20530">
        <w:rPr>
          <w:noProof/>
        </w:rPr>
        <w:t>36</w:t>
      </w:r>
      <w:r w:rsidRPr="00E20530">
        <w:fldChar w:fldCharType="end"/>
      </w:r>
      <w:r w:rsidRPr="00E20530" w:rsidR="0077175D">
        <w:t xml:space="preserve">.  The Court </w:t>
      </w:r>
      <w:r w:rsidRPr="00E20530" w:rsidR="00577113">
        <w:t xml:space="preserve">further recalls </w:t>
      </w:r>
      <w:r w:rsidRPr="00E20530" w:rsidR="00693B6E">
        <w:t>its findings in</w:t>
      </w:r>
      <w:r w:rsidRPr="00E20530" w:rsidR="00577113">
        <w:t xml:space="preserve"> </w:t>
      </w:r>
      <w:r w:rsidRPr="00E20530" w:rsidR="00577113">
        <w:rPr>
          <w:i/>
        </w:rPr>
        <w:t>Arzhiyeva</w:t>
      </w:r>
      <w:r w:rsidRPr="00E20530" w:rsidR="00577113">
        <w:t xml:space="preserve"> and </w:t>
      </w:r>
      <w:r w:rsidRPr="00E20530" w:rsidR="00577113">
        <w:rPr>
          <w:i/>
          <w:iCs/>
        </w:rPr>
        <w:t xml:space="preserve">Tsadayev </w:t>
      </w:r>
      <w:r w:rsidRPr="00E20530" w:rsidR="00577113">
        <w:rPr>
          <w:iCs/>
        </w:rPr>
        <w:t>(cited above,</w:t>
      </w:r>
      <w:r w:rsidRPr="00E20530" w:rsidR="00577113">
        <w:rPr>
          <w:i/>
          <w:iCs/>
        </w:rPr>
        <w:t xml:space="preserve"> </w:t>
      </w:r>
      <w:r w:rsidRPr="00E20530" w:rsidR="00577113">
        <w:rPr>
          <w:iCs/>
        </w:rPr>
        <w:t xml:space="preserve">§§ 41-48) </w:t>
      </w:r>
      <w:r w:rsidRPr="00E20530" w:rsidR="000903E9">
        <w:rPr>
          <w:iCs/>
        </w:rPr>
        <w:t xml:space="preserve">to the effect </w:t>
      </w:r>
      <w:r w:rsidRPr="00E20530" w:rsidR="000903E9">
        <w:t>that</w:t>
      </w:r>
      <w:r w:rsidRPr="00E20530" w:rsidR="00577113">
        <w:t xml:space="preserve"> the applicants had at least a “legitimate expectation” that their claims would be determined in line with </w:t>
      </w:r>
      <w:r w:rsidRPr="00E20530" w:rsidR="00A35324">
        <w:t xml:space="preserve">the provisions of the </w:t>
      </w:r>
      <w:r w:rsidRPr="00E20530" w:rsidR="00577113">
        <w:t xml:space="preserve">Decree </w:t>
      </w:r>
      <w:r w:rsidRPr="00E20530" w:rsidR="00A35324">
        <w:t>no. 404</w:t>
      </w:r>
      <w:r w:rsidRPr="00E20530" w:rsidR="00577113">
        <w:t xml:space="preserve">, and that </w:t>
      </w:r>
      <w:r w:rsidRPr="00E20530" w:rsidR="000903E9">
        <w:t xml:space="preserve">such </w:t>
      </w:r>
      <w:r w:rsidRPr="00E20530" w:rsidR="00577113">
        <w:t>expectation had been sufficiently established in the national law to give rise to the notion of “possessions” within the meaning of Article 1 of Protocol No. 1 to the Convention.</w:t>
      </w:r>
      <w:r w:rsidRPr="00E20530" w:rsidR="00A01353">
        <w:t xml:space="preserve"> </w:t>
      </w:r>
      <w:r w:rsidRPr="00E20530" w:rsidR="00435418">
        <w:t>The Court does not have any reason to depart from that finding</w:t>
      </w:r>
      <w:r w:rsidRPr="00E20530" w:rsidR="00F10C72">
        <w:t xml:space="preserve"> in the present two cases</w:t>
      </w:r>
      <w:r w:rsidRPr="00E20530" w:rsidR="00435418">
        <w:t xml:space="preserve">. </w:t>
      </w:r>
      <w:r w:rsidRPr="00E20530" w:rsidR="00DB7CDB">
        <w:t xml:space="preserve">As in the above case, the applicants produced strong </w:t>
      </w:r>
      <w:r w:rsidRPr="00E20530" w:rsidR="00DB7CDB">
        <w:rPr>
          <w:i/>
        </w:rPr>
        <w:t>prima facie</w:t>
      </w:r>
      <w:r w:rsidRPr="00E20530" w:rsidR="00DB7CDB">
        <w:t xml:space="preserve"> evidence of ownership and destruction of their property during the hostilities (see paragraphs </w:t>
      </w:r>
      <w:r w:rsidRPr="00E20530" w:rsidR="00DB7CDB">
        <w:fldChar w:fldCharType="begin"/>
      </w:r>
      <w:r w:rsidRPr="00E20530" w:rsidR="00DB7CDB">
        <w:instrText xml:space="preserve"> REF Indayeva_ownership \h </w:instrText>
      </w:r>
      <w:r w:rsidRPr="00E20530" w:rsidR="00DB7CDB">
        <w:fldChar w:fldCharType="separate"/>
      </w:r>
      <w:r w:rsidRPr="00E20530" w:rsidR="00E20530">
        <w:rPr>
          <w:noProof/>
        </w:rPr>
        <w:t>7</w:t>
      </w:r>
      <w:r w:rsidRPr="00E20530" w:rsidR="00DB7CDB">
        <w:fldChar w:fldCharType="end"/>
      </w:r>
      <w:r w:rsidRPr="00E20530" w:rsidR="00DB7CDB">
        <w:t xml:space="preserve"> and </w:t>
      </w:r>
      <w:r w:rsidRPr="00E20530" w:rsidR="00DB7CDB">
        <w:fldChar w:fldCharType="begin"/>
      </w:r>
      <w:r w:rsidRPr="00E20530" w:rsidR="00DB7CDB">
        <w:instrText xml:space="preserve"> REF Sultanov_ownership \h </w:instrText>
      </w:r>
      <w:r w:rsidRPr="00E20530" w:rsidR="00DB7CDB">
        <w:fldChar w:fldCharType="separate"/>
      </w:r>
      <w:r w:rsidRPr="00E20530" w:rsidR="00E20530">
        <w:rPr>
          <w:noProof/>
        </w:rPr>
        <w:t>13</w:t>
      </w:r>
      <w:r w:rsidRPr="00E20530" w:rsidR="00DB7CDB">
        <w:fldChar w:fldCharType="end"/>
      </w:r>
      <w:r w:rsidRPr="00E20530" w:rsidR="00DB7CDB">
        <w:t xml:space="preserve"> above). Their claims and accompanying documents were accepted for review by the Commission (see paragraphs </w:t>
      </w:r>
      <w:r w:rsidRPr="00E20530" w:rsidR="00DB7CDB">
        <w:fldChar w:fldCharType="begin"/>
      </w:r>
      <w:r w:rsidRPr="00E20530" w:rsidR="00DB7CDB">
        <w:instrText xml:space="preserve"> REF Indayeva_Commission_accepts_application \h </w:instrText>
      </w:r>
      <w:r w:rsidRPr="00E20530" w:rsidR="00DB7CDB">
        <w:fldChar w:fldCharType="separate"/>
      </w:r>
      <w:r w:rsidRPr="00E20530" w:rsidR="00E20530">
        <w:rPr>
          <w:noProof/>
        </w:rPr>
        <w:t>8</w:t>
      </w:r>
      <w:r w:rsidRPr="00E20530" w:rsidR="00DB7CDB">
        <w:fldChar w:fldCharType="end"/>
      </w:r>
      <w:r w:rsidRPr="00E20530" w:rsidR="00DB7CDB">
        <w:t xml:space="preserve"> and </w:t>
      </w:r>
      <w:r w:rsidRPr="00E20530" w:rsidR="00DB7CDB">
        <w:fldChar w:fldCharType="begin"/>
      </w:r>
      <w:r w:rsidRPr="00E20530" w:rsidR="00DB7CDB">
        <w:instrText xml:space="preserve"> REF Sultanov_Commission_accepts_application \h </w:instrText>
      </w:r>
      <w:r w:rsidRPr="00E20530" w:rsidR="00DB7CDB">
        <w:fldChar w:fldCharType="separate"/>
      </w:r>
      <w:r w:rsidRPr="00E20530" w:rsidR="00E20530">
        <w:rPr>
          <w:noProof/>
        </w:rPr>
        <w:t>14</w:t>
      </w:r>
      <w:r w:rsidRPr="00E20530" w:rsidR="00DB7CDB">
        <w:fldChar w:fldCharType="end"/>
      </w:r>
      <w:r w:rsidRPr="00E20530" w:rsidR="00DB7CDB">
        <w:t xml:space="preserve"> above), and</w:t>
      </w:r>
      <w:r w:rsidRPr="00E20530" w:rsidR="0081061E">
        <w:t xml:space="preserve">, furthermore, </w:t>
      </w:r>
      <w:r w:rsidRPr="00E20530" w:rsidR="00DB7CDB">
        <w:t xml:space="preserve">their entitlement to </w:t>
      </w:r>
      <w:r w:rsidRPr="00E20530" w:rsidR="00BB70EB">
        <w:t>have their respective claims processed</w:t>
      </w:r>
      <w:r w:rsidRPr="00E20530" w:rsidR="00D26698">
        <w:t xml:space="preserve"> by the Commission</w:t>
      </w:r>
      <w:r w:rsidRPr="00E20530" w:rsidR="00BB70EB">
        <w:t xml:space="preserve"> was in each </w:t>
      </w:r>
      <w:r w:rsidRPr="00E20530" w:rsidR="00D26698">
        <w:t>of the two present cases</w:t>
      </w:r>
      <w:r w:rsidRPr="00E20530" w:rsidR="00BB70EB">
        <w:t xml:space="preserve"> confirmed by the final judgments of the </w:t>
      </w:r>
      <w:r w:rsidRPr="00E20530" w:rsidR="00D26698">
        <w:t>domestic</w:t>
      </w:r>
      <w:r w:rsidRPr="00E20530" w:rsidR="00BB70EB">
        <w:t xml:space="preserve"> courts. </w:t>
      </w:r>
      <w:r w:rsidRPr="00E20530" w:rsidR="00DB7CDB">
        <w:t xml:space="preserve">As in </w:t>
      </w:r>
      <w:r w:rsidRPr="00E20530" w:rsidR="00DB7CDB">
        <w:rPr>
          <w:i/>
        </w:rPr>
        <w:t>Arzhiyeva and Tsadayev</w:t>
      </w:r>
      <w:r w:rsidRPr="00E20530" w:rsidR="00D26698">
        <w:rPr>
          <w:i/>
        </w:rPr>
        <w:t xml:space="preserve"> </w:t>
      </w:r>
      <w:r w:rsidRPr="00E20530" w:rsidR="00D26698">
        <w:t>(cited above, § 54)</w:t>
      </w:r>
      <w:r w:rsidRPr="00E20530" w:rsidR="00DB7CDB">
        <w:t>, various authorities cited the absence of entry in the register as the only reason why their claims had not been processed earlier (see paragraphs </w:t>
      </w:r>
      <w:r w:rsidRPr="00E20530" w:rsidR="00DB7CDB">
        <w:fldChar w:fldCharType="begin"/>
      </w:r>
      <w:r w:rsidRPr="00E20530" w:rsidR="00DB7CDB">
        <w:instrText xml:space="preserve"> REF Indayeva_no_decision_as_no_register1 \h </w:instrText>
      </w:r>
      <w:r w:rsidRPr="00E20530" w:rsidR="00DB7CDB">
        <w:fldChar w:fldCharType="separate"/>
      </w:r>
      <w:r w:rsidRPr="00E20530" w:rsidR="00E20530">
        <w:rPr>
          <w:noProof/>
        </w:rPr>
        <w:t>10</w:t>
      </w:r>
      <w:r w:rsidRPr="00E20530" w:rsidR="00DB7CDB">
        <w:fldChar w:fldCharType="end"/>
      </w:r>
      <w:r w:rsidRPr="00E20530" w:rsidR="00DB7CDB">
        <w:t>-</w:t>
      </w:r>
      <w:r w:rsidRPr="00E20530" w:rsidR="00DB7CDB">
        <w:fldChar w:fldCharType="begin"/>
      </w:r>
      <w:r w:rsidRPr="00E20530" w:rsidR="00DB7CDB">
        <w:instrText xml:space="preserve"> REF Indayeva_no_decision_as_no_register \h </w:instrText>
      </w:r>
      <w:r w:rsidRPr="00E20530" w:rsidR="00DB7CDB">
        <w:fldChar w:fldCharType="separate"/>
      </w:r>
      <w:r w:rsidRPr="00E20530" w:rsidR="00E20530">
        <w:rPr>
          <w:noProof/>
        </w:rPr>
        <w:t>11</w:t>
      </w:r>
      <w:r w:rsidRPr="00E20530" w:rsidR="00DB7CDB">
        <w:fldChar w:fldCharType="end"/>
      </w:r>
      <w:r w:rsidRPr="00E20530" w:rsidR="00DB7CDB">
        <w:t xml:space="preserve">, </w:t>
      </w:r>
      <w:r w:rsidRPr="00E20530" w:rsidR="00DB7CDB">
        <w:fldChar w:fldCharType="begin"/>
      </w:r>
      <w:r w:rsidRPr="00E20530" w:rsidR="00DB7CDB">
        <w:instrText xml:space="preserve"> REF Sultanov_no_dec_as_no_register \h </w:instrText>
      </w:r>
      <w:r w:rsidRPr="00E20530" w:rsidR="00DB7CDB">
        <w:fldChar w:fldCharType="separate"/>
      </w:r>
      <w:r w:rsidRPr="00E20530" w:rsidR="00E20530">
        <w:rPr>
          <w:noProof/>
        </w:rPr>
        <w:t>16</w:t>
      </w:r>
      <w:r w:rsidRPr="00E20530" w:rsidR="00DB7CDB">
        <w:fldChar w:fldCharType="end"/>
      </w:r>
      <w:r w:rsidRPr="00E20530" w:rsidR="00DB7CDB">
        <w:t xml:space="preserve">, </w:t>
      </w:r>
      <w:r w:rsidRPr="00E20530" w:rsidR="00DB7CDB">
        <w:fldChar w:fldCharType="begin"/>
      </w:r>
      <w:r w:rsidRPr="00E20530" w:rsidR="00DB7CDB">
        <w:instrText xml:space="preserve"> REF Sultanov_no_dec_no_register2 \h </w:instrText>
      </w:r>
      <w:r w:rsidRPr="00E20530" w:rsidR="00DB7CDB">
        <w:fldChar w:fldCharType="separate"/>
      </w:r>
      <w:r w:rsidRPr="00E20530" w:rsidR="00E20530">
        <w:rPr>
          <w:noProof/>
        </w:rPr>
        <w:t>19</w:t>
      </w:r>
      <w:r w:rsidRPr="00E20530" w:rsidR="00DB7CDB">
        <w:fldChar w:fldCharType="end"/>
      </w:r>
      <w:r w:rsidRPr="00E20530" w:rsidR="00DB7CDB">
        <w:t xml:space="preserve"> and </w:t>
      </w:r>
      <w:r w:rsidRPr="00E20530" w:rsidR="00DB7CDB">
        <w:fldChar w:fldCharType="begin"/>
      </w:r>
      <w:r w:rsidRPr="00E20530" w:rsidR="00DB7CDB">
        <w:instrText xml:space="preserve"> REF Jan2014CommissionCeasesToExist \h </w:instrText>
      </w:r>
      <w:r w:rsidRPr="00E20530" w:rsidR="00DB7CDB">
        <w:fldChar w:fldCharType="separate"/>
      </w:r>
      <w:r w:rsidRPr="00E20530" w:rsidR="00E20530">
        <w:rPr>
          <w:noProof/>
        </w:rPr>
        <w:t>23</w:t>
      </w:r>
      <w:r w:rsidRPr="00E20530" w:rsidR="00DB7CDB">
        <w:fldChar w:fldCharType="end"/>
      </w:r>
      <w:r w:rsidRPr="00E20530" w:rsidR="00DB7CDB">
        <w:t xml:space="preserve"> above). Against this background, and having </w:t>
      </w:r>
      <w:r w:rsidRPr="00E20530" w:rsidR="00A470C2">
        <w:t xml:space="preserve">regard to the nature of the domestic </w:t>
      </w:r>
      <w:r w:rsidRPr="00E20530" w:rsidR="000E7168">
        <w:t xml:space="preserve">judicial </w:t>
      </w:r>
      <w:r w:rsidRPr="00E20530" w:rsidR="00A470C2">
        <w:t>awards</w:t>
      </w:r>
      <w:r w:rsidRPr="00E20530" w:rsidR="002665EA">
        <w:t xml:space="preserve"> (see paragraphs </w:t>
      </w:r>
      <w:r w:rsidRPr="00E20530" w:rsidR="002665EA">
        <w:fldChar w:fldCharType="begin"/>
      </w:r>
      <w:r w:rsidRPr="00E20530" w:rsidR="002665EA">
        <w:instrText xml:space="preserve"> REF Judgment28022005_firstAPPT \h </w:instrText>
      </w:r>
      <w:r w:rsidRPr="00E20530" w:rsidR="002665EA">
        <w:fldChar w:fldCharType="separate"/>
      </w:r>
      <w:r w:rsidRPr="00E20530" w:rsidR="00E20530">
        <w:rPr>
          <w:noProof/>
        </w:rPr>
        <w:t>9</w:t>
      </w:r>
      <w:r w:rsidRPr="00E20530" w:rsidR="002665EA">
        <w:fldChar w:fldCharType="end"/>
      </w:r>
      <w:r w:rsidRPr="00E20530" w:rsidR="002665EA">
        <w:t xml:space="preserve"> and </w:t>
      </w:r>
      <w:r w:rsidRPr="00E20530" w:rsidR="002665EA">
        <w:fldChar w:fldCharType="begin"/>
      </w:r>
      <w:r w:rsidRPr="00E20530" w:rsidR="002665EA">
        <w:instrText xml:space="preserve"> REF Judgment27072011_secondAPPT \h </w:instrText>
      </w:r>
      <w:r w:rsidRPr="00E20530" w:rsidR="002665EA">
        <w:fldChar w:fldCharType="separate"/>
      </w:r>
      <w:r w:rsidRPr="00E20530" w:rsidR="00E20530">
        <w:rPr>
          <w:noProof/>
        </w:rPr>
        <w:t>17</w:t>
      </w:r>
      <w:r w:rsidRPr="00E20530" w:rsidR="002665EA">
        <w:fldChar w:fldCharType="end"/>
      </w:r>
      <w:r w:rsidRPr="00E20530" w:rsidR="002665EA">
        <w:t xml:space="preserve"> above)</w:t>
      </w:r>
      <w:r w:rsidRPr="00E20530" w:rsidR="00A470C2">
        <w:t xml:space="preserve">, the Court considers that the applicants </w:t>
      </w:r>
      <w:r w:rsidRPr="00E20530" w:rsidR="007052BA">
        <w:t>had</w:t>
      </w:r>
      <w:r w:rsidRPr="00E20530" w:rsidR="00A470C2">
        <w:t>, by virtue of the judgments in their favour</w:t>
      </w:r>
      <w:r w:rsidRPr="00E20530" w:rsidR="000E7168">
        <w:t xml:space="preserve"> confirming their entitlement under the domestic law to have their claims determined under the no-fault compensation scheme</w:t>
      </w:r>
      <w:r w:rsidRPr="00E20530" w:rsidR="00A470C2">
        <w:t xml:space="preserve">, a “legitimate expectation” to acquire a pecuniary asset which was sufficiently established to constitute a “possession” falling within the ambit of Article 1 of Protocol No. 1 to the Convention (see </w:t>
      </w:r>
      <w:r w:rsidRPr="00E20530" w:rsidR="00A470C2">
        <w:rPr>
          <w:i/>
        </w:rPr>
        <w:t>Gerasimov and Others</w:t>
      </w:r>
      <w:r w:rsidRPr="00E20530" w:rsidR="00A470C2">
        <w:t>, cited above, §§177-79, with further references).</w:t>
      </w:r>
    </w:p>
    <w:p w:rsidRPr="00E20530" w:rsidR="00013096" w:rsidP="00E20530" w:rsidRDefault="00D26F2B">
      <w:pPr>
        <w:pStyle w:val="ECHRPara"/>
      </w:pPr>
      <w:r w:rsidRPr="00E20530">
        <w:fldChar w:fldCharType="begin"/>
      </w:r>
      <w:r w:rsidRPr="00E20530">
        <w:instrText xml:space="preserve"> SEQ level0 \*arabic </w:instrText>
      </w:r>
      <w:r w:rsidRPr="00E20530">
        <w:fldChar w:fldCharType="separate"/>
      </w:r>
      <w:r w:rsidRPr="00E20530" w:rsidR="00E20530">
        <w:rPr>
          <w:noProof/>
        </w:rPr>
        <w:t>37</w:t>
      </w:r>
      <w:r w:rsidRPr="00E20530">
        <w:fldChar w:fldCharType="end"/>
      </w:r>
      <w:r w:rsidRPr="00E20530" w:rsidR="0077175D">
        <w:t>.  </w:t>
      </w:r>
      <w:r w:rsidRPr="00E20530" w:rsidR="00013096">
        <w:t>The judgments in the applicants</w:t>
      </w:r>
      <w:r w:rsidRPr="00E20530" w:rsidR="00E20530">
        <w:t>’</w:t>
      </w:r>
      <w:r w:rsidRPr="00E20530" w:rsidR="00013096">
        <w:t xml:space="preserve"> favour dated 28 February 2005 and </w:t>
      </w:r>
      <w:r w:rsidRPr="00E20530" w:rsidR="002665EA">
        <w:t>26</w:t>
      </w:r>
      <w:r w:rsidRPr="00E20530" w:rsidR="00013096">
        <w:t xml:space="preserve"> July 2011 </w:t>
      </w:r>
      <w:r w:rsidRPr="00E20530" w:rsidR="00B12D22">
        <w:t>obliging</w:t>
      </w:r>
      <w:r w:rsidRPr="00E20530" w:rsidR="00013096">
        <w:t xml:space="preserve"> the </w:t>
      </w:r>
      <w:r w:rsidRPr="00E20530" w:rsidR="001704A2">
        <w:t>Commission</w:t>
      </w:r>
      <w:r w:rsidRPr="00E20530" w:rsidR="00013096">
        <w:t xml:space="preserve"> to take </w:t>
      </w:r>
      <w:r w:rsidRPr="00E20530" w:rsidR="001704A2">
        <w:t xml:space="preserve">certain actions </w:t>
      </w:r>
      <w:r w:rsidRPr="00E20530" w:rsidR="007052BA">
        <w:t>were</w:t>
      </w:r>
      <w:r w:rsidRPr="00E20530" w:rsidR="001704A2">
        <w:t xml:space="preserve"> enforceable until at least January 2014, </w:t>
      </w:r>
      <w:r w:rsidRPr="00E20530" w:rsidR="00F10C72">
        <w:t xml:space="preserve">the </w:t>
      </w:r>
      <w:r w:rsidRPr="00E20530" w:rsidR="001704A2">
        <w:t>date on which the Commission ceased to exist</w:t>
      </w:r>
      <w:r w:rsidRPr="00E20530" w:rsidR="002665EA">
        <w:t xml:space="preserve"> (see paragraph </w:t>
      </w:r>
      <w:r w:rsidRPr="00E20530" w:rsidR="002665EA">
        <w:fldChar w:fldCharType="begin"/>
      </w:r>
      <w:r w:rsidRPr="00E20530" w:rsidR="002665EA">
        <w:instrText xml:space="preserve"> REF Jan2014CommissionCeasesToExist \h </w:instrText>
      </w:r>
      <w:r w:rsidRPr="00E20530" w:rsidR="002665EA">
        <w:fldChar w:fldCharType="separate"/>
      </w:r>
      <w:r w:rsidRPr="00E20530" w:rsidR="00E20530">
        <w:rPr>
          <w:noProof/>
        </w:rPr>
        <w:t>23</w:t>
      </w:r>
      <w:r w:rsidRPr="00E20530" w:rsidR="002665EA">
        <w:fldChar w:fldCharType="end"/>
      </w:r>
      <w:r w:rsidRPr="00E20530" w:rsidR="002665EA">
        <w:t xml:space="preserve"> above)</w:t>
      </w:r>
      <w:r w:rsidRPr="00E20530" w:rsidR="001704A2">
        <w:t>.</w:t>
      </w:r>
      <w:r w:rsidRPr="00E20530" w:rsidR="009A130A">
        <w:t xml:space="preserve"> However, they had remained without execution for formal reasons.</w:t>
      </w:r>
    </w:p>
    <w:p w:rsidRPr="00E20530" w:rsidR="00D420F3" w:rsidP="00E20530" w:rsidRDefault="00B12D22">
      <w:pPr>
        <w:pStyle w:val="ECHRPara"/>
      </w:pPr>
      <w:r w:rsidRPr="00E20530">
        <w:fldChar w:fldCharType="begin"/>
      </w:r>
      <w:r w:rsidRPr="00E20530">
        <w:instrText xml:space="preserve"> SEQ level0 \*arabic </w:instrText>
      </w:r>
      <w:r w:rsidRPr="00E20530">
        <w:fldChar w:fldCharType="separate"/>
      </w:r>
      <w:r w:rsidRPr="00E20530" w:rsidR="00E20530">
        <w:rPr>
          <w:noProof/>
        </w:rPr>
        <w:t>38</w:t>
      </w:r>
      <w:r w:rsidRPr="00E20530">
        <w:fldChar w:fldCharType="end"/>
      </w:r>
      <w:r w:rsidRPr="00E20530">
        <w:t>.  </w:t>
      </w:r>
      <w:r w:rsidRPr="00E20530" w:rsidR="00B30F64">
        <w:t xml:space="preserve">Having regard </w:t>
      </w:r>
      <w:r w:rsidRPr="00E20530" w:rsidR="00C51BF5">
        <w:t>to its case-law on the matter (</w:t>
      </w:r>
      <w:r w:rsidRPr="00E20530" w:rsidR="00B30F64">
        <w:t xml:space="preserve">see the leading case of </w:t>
      </w:r>
      <w:r w:rsidRPr="00E20530" w:rsidR="00B30F64">
        <w:rPr>
          <w:i/>
        </w:rPr>
        <w:t>Gerasimov and Others</w:t>
      </w:r>
      <w:r w:rsidRPr="00E20530" w:rsidR="00B30F64">
        <w:t xml:space="preserve">, </w:t>
      </w:r>
      <w:r w:rsidRPr="00E20530" w:rsidR="00AC2A83">
        <w:t xml:space="preserve">and, in so far as relevant, </w:t>
      </w:r>
      <w:r w:rsidRPr="00E20530" w:rsidR="00AC2A83">
        <w:rPr>
          <w:i/>
        </w:rPr>
        <w:t>Arzhiyeva and Tsadayev</w:t>
      </w:r>
      <w:r w:rsidRPr="00E20530" w:rsidR="00AC2A83">
        <w:t xml:space="preserve">, </w:t>
      </w:r>
      <w:r w:rsidRPr="00E20530" w:rsidR="007E1F4F">
        <w:t xml:space="preserve">both cited </w:t>
      </w:r>
      <w:r w:rsidRPr="00E20530" w:rsidR="00AC2A83">
        <w:t>above)</w:t>
      </w:r>
      <w:r w:rsidRPr="00E20530" w:rsidR="00B30F64">
        <w:t>, th</w:t>
      </w:r>
      <w:r w:rsidRPr="00E20530" w:rsidR="009748ED">
        <w:t xml:space="preserve">e Court finds that by failing, for </w:t>
      </w:r>
      <w:r w:rsidRPr="00E20530" w:rsidR="00491FAE">
        <w:t>years</w:t>
      </w:r>
      <w:r w:rsidRPr="00E20530" w:rsidR="009748ED">
        <w:t>, to comply with the enforceable judgment</w:t>
      </w:r>
      <w:r w:rsidRPr="00E20530" w:rsidR="00491FAE">
        <w:t>s in the applicant</w:t>
      </w:r>
      <w:r w:rsidRPr="00E20530" w:rsidR="009748ED">
        <w:t>s</w:t>
      </w:r>
      <w:r w:rsidRPr="00E20530" w:rsidR="00E20530">
        <w:t>’</w:t>
      </w:r>
      <w:r w:rsidRPr="00E20530" w:rsidR="009748ED">
        <w:t xml:space="preserve"> favour the domestic authorities impaired the essence of </w:t>
      </w:r>
      <w:r w:rsidRPr="00E20530" w:rsidR="00491FAE">
        <w:t>their</w:t>
      </w:r>
      <w:r w:rsidRPr="00E20530" w:rsidR="009748ED">
        <w:t xml:space="preserve"> right to a court</w:t>
      </w:r>
      <w:r w:rsidRPr="00E20530">
        <w:t>,</w:t>
      </w:r>
      <w:r w:rsidRPr="00E20530" w:rsidR="009748ED">
        <w:t xml:space="preserve"> and that such failure </w:t>
      </w:r>
      <w:r w:rsidRPr="00E20530" w:rsidR="00A470C2">
        <w:t xml:space="preserve">also </w:t>
      </w:r>
      <w:r w:rsidRPr="00E20530" w:rsidR="009748ED">
        <w:t xml:space="preserve">constituted an unjustified </w:t>
      </w:r>
      <w:r w:rsidRPr="00E20530" w:rsidR="00491FAE">
        <w:t>interference with the applicant</w:t>
      </w:r>
      <w:r w:rsidRPr="00E20530" w:rsidR="009748ED">
        <w:t>s</w:t>
      </w:r>
      <w:r w:rsidRPr="00E20530" w:rsidR="00E20530">
        <w:t>’</w:t>
      </w:r>
      <w:r w:rsidRPr="00E20530" w:rsidR="009748ED">
        <w:t xml:space="preserve"> right to peaceful enjoyment of possessions.</w:t>
      </w:r>
    </w:p>
    <w:p w:rsidRPr="00E20530" w:rsidR="00D420F3" w:rsidP="00E20530" w:rsidRDefault="00B8409B">
      <w:pPr>
        <w:pStyle w:val="ECHRPara"/>
      </w:pPr>
      <w:r w:rsidRPr="00E20530">
        <w:fldChar w:fldCharType="begin"/>
      </w:r>
      <w:r w:rsidRPr="00E20530">
        <w:instrText xml:space="preserve"> SEQ level0 \*arabic </w:instrText>
      </w:r>
      <w:r w:rsidRPr="00E20530">
        <w:fldChar w:fldCharType="separate"/>
      </w:r>
      <w:r w:rsidRPr="00E20530" w:rsidR="00E20530">
        <w:rPr>
          <w:noProof/>
        </w:rPr>
        <w:t>39</w:t>
      </w:r>
      <w:r w:rsidRPr="00E20530">
        <w:fldChar w:fldCharType="end"/>
      </w:r>
      <w:r w:rsidRPr="00E20530">
        <w:t>.  </w:t>
      </w:r>
      <w:r w:rsidRPr="00E20530" w:rsidR="0077175D">
        <w:t>There has accordingly been a violation of Article</w:t>
      </w:r>
      <w:r w:rsidRPr="00E20530">
        <w:t> 6</w:t>
      </w:r>
      <w:r w:rsidRPr="00E20530" w:rsidR="0077175D">
        <w:t xml:space="preserve"> of the Convention</w:t>
      </w:r>
      <w:r w:rsidRPr="00E20530">
        <w:t xml:space="preserve"> and Article 1 of Proto</w:t>
      </w:r>
      <w:r w:rsidRPr="00E20530" w:rsidR="00E15746">
        <w:t>col No. 1 on account of the non</w:t>
      </w:r>
      <w:r w:rsidRPr="00E20530" w:rsidR="00E15746">
        <w:noBreakHyphen/>
      </w:r>
      <w:r w:rsidRPr="00E20530">
        <w:t>enforcement</w:t>
      </w:r>
      <w:r w:rsidRPr="00E20530" w:rsidR="002665EA">
        <w:t xml:space="preserve"> in both cases at hand</w:t>
      </w:r>
      <w:r w:rsidRPr="00E20530" w:rsidR="0077175D">
        <w:t>.</w:t>
      </w:r>
    </w:p>
    <w:p w:rsidRPr="00E20530" w:rsidR="00D420F3" w:rsidP="00E20530" w:rsidRDefault="001A789D">
      <w:pPr>
        <w:pStyle w:val="ECHRHeading1"/>
      </w:pPr>
      <w:r w:rsidRPr="00E20530">
        <w:t>I</w:t>
      </w:r>
      <w:r w:rsidRPr="00E20530" w:rsidR="00740BBF">
        <w:t>V</w:t>
      </w:r>
      <w:r w:rsidRPr="00E20530">
        <w:t>.  ALLEGED VIOLATION OF ARTICLE 13</w:t>
      </w:r>
      <w:r w:rsidRPr="00E20530" w:rsidR="0077175D">
        <w:t xml:space="preserve"> OF THE CONVENTION</w:t>
      </w:r>
    </w:p>
    <w:p w:rsidRPr="00E20530" w:rsidR="00BB629A" w:rsidP="00E20530" w:rsidRDefault="001F7DE2">
      <w:pPr>
        <w:pStyle w:val="ECHRPara"/>
      </w:pPr>
      <w:r w:rsidRPr="00E20530">
        <w:fldChar w:fldCharType="begin"/>
      </w:r>
      <w:r w:rsidRPr="00E20530">
        <w:instrText xml:space="preserve"> SEQ level0 \*arabic </w:instrText>
      </w:r>
      <w:r w:rsidRPr="00E20530">
        <w:fldChar w:fldCharType="separate"/>
      </w:r>
      <w:r w:rsidRPr="00E20530" w:rsidR="00E20530">
        <w:rPr>
          <w:noProof/>
        </w:rPr>
        <w:t>40</w:t>
      </w:r>
      <w:r w:rsidRPr="00E20530">
        <w:fldChar w:fldCharType="end"/>
      </w:r>
      <w:r w:rsidRPr="00E20530">
        <w:t xml:space="preserve">.  The Court has already noted the existence of a new domestic remedy against the non-enforcement of domestic judgments imposing obligations of a pecuniary and non-pecuniary nature on the Russian authorities, introduced in the wake of the pilot judgment by Federal Law No. 450-FZ amending the Compensation Act of 2010. That statute, which entered into force on 1 January 2017, enables those concerned to seek compensation for damage sustained as a result of excessive delays in the enforcement of court judgments ordering the domestic authorities to fulfil various obligations in kind. The Court has found that the amended Compensation Act in principle meets the criteria set out in the </w:t>
      </w:r>
      <w:r w:rsidRPr="00E20530">
        <w:rPr>
          <w:i/>
        </w:rPr>
        <w:t>Gerasimov and Others</w:t>
      </w:r>
      <w:r w:rsidRPr="00E20530">
        <w:t xml:space="preserve"> pilot judgment and provides the applicants with a potentially</w:t>
      </w:r>
      <w:r w:rsidRPr="00E20530" w:rsidR="00861663">
        <w:t xml:space="preserve"> effective remedy for their non</w:t>
      </w:r>
      <w:r w:rsidRPr="00E20530" w:rsidR="00861663">
        <w:noBreakHyphen/>
      </w:r>
      <w:r w:rsidRPr="00E20530">
        <w:t xml:space="preserve">enforcement complaint (see </w:t>
      </w:r>
      <w:r w:rsidRPr="00E20530">
        <w:rPr>
          <w:i/>
        </w:rPr>
        <w:t>Shtolts and Others</w:t>
      </w:r>
      <w:r w:rsidRPr="00E20530">
        <w:t xml:space="preserve">, </w:t>
      </w:r>
      <w:r w:rsidRPr="00E20530" w:rsidR="00861663">
        <w:t>cited above, §§ 87-116 and § 123</w:t>
      </w:r>
      <w:r w:rsidRPr="00E20530">
        <w:t>).</w:t>
      </w:r>
    </w:p>
    <w:p w:rsidRPr="00E20530" w:rsidR="001F7DE2" w:rsidP="00E20530" w:rsidRDefault="001F7DE2">
      <w:pPr>
        <w:pStyle w:val="ECHRPara"/>
      </w:pPr>
      <w:r w:rsidRPr="00E20530">
        <w:fldChar w:fldCharType="begin"/>
      </w:r>
      <w:r w:rsidRPr="00E20530">
        <w:instrText xml:space="preserve"> SEQ level0 \*arabic </w:instrText>
      </w:r>
      <w:r w:rsidRPr="00E20530">
        <w:fldChar w:fldCharType="separate"/>
      </w:r>
      <w:r w:rsidRPr="00E20530" w:rsidR="00E20530">
        <w:rPr>
          <w:noProof/>
        </w:rPr>
        <w:t>41</w:t>
      </w:r>
      <w:r w:rsidRPr="00E20530">
        <w:fldChar w:fldCharType="end"/>
      </w:r>
      <w:r w:rsidRPr="00E20530">
        <w:t xml:space="preserve">.  The Court reiterates that it would be unfair to request the applicants whose cases have already been pending for many years in the domestic system and who have come to seek relief at the Court, to bring again their claims before domestic tribunals (see </w:t>
      </w:r>
      <w:r w:rsidRPr="00E20530">
        <w:rPr>
          <w:i/>
        </w:rPr>
        <w:t>Gerasimov and Others</w:t>
      </w:r>
      <w:r w:rsidRPr="00E20530">
        <w:t>, cited above, § 230).</w:t>
      </w:r>
    </w:p>
    <w:p w:rsidRPr="00E20530" w:rsidR="00BB629A" w:rsidP="00E20530" w:rsidRDefault="001F7DE2">
      <w:pPr>
        <w:pStyle w:val="ECHRPara"/>
      </w:pPr>
      <w:r w:rsidRPr="00E20530">
        <w:fldChar w:fldCharType="begin"/>
      </w:r>
      <w:r w:rsidRPr="00E20530">
        <w:instrText xml:space="preserve"> SEQ level0 \*arabic </w:instrText>
      </w:r>
      <w:r w:rsidRPr="00E20530">
        <w:fldChar w:fldCharType="separate"/>
      </w:r>
      <w:r w:rsidRPr="00E20530" w:rsidR="00E20530">
        <w:rPr>
          <w:noProof/>
        </w:rPr>
        <w:t>42</w:t>
      </w:r>
      <w:r w:rsidRPr="00E20530">
        <w:fldChar w:fldCharType="end"/>
      </w:r>
      <w:r w:rsidRPr="00E20530">
        <w:t>.  On the other hand, in the light of the adoption of the new domestic remedy, the Court, as in its previous decisions, considers that it is not necessary to examine separately the admissibility and merits of the applicants</w:t>
      </w:r>
      <w:r w:rsidRPr="00E20530" w:rsidR="00E20530">
        <w:t>’</w:t>
      </w:r>
      <w:r w:rsidRPr="00E20530">
        <w:t xml:space="preserve"> complaint under Article 13 in the present case (see, </w:t>
      </w:r>
      <w:r w:rsidRPr="00E20530">
        <w:rPr>
          <w:i/>
        </w:rPr>
        <w:t>mutatis mutandis</w:t>
      </w:r>
      <w:r w:rsidRPr="00E20530">
        <w:t xml:space="preserve">, </w:t>
      </w:r>
      <w:r w:rsidRPr="00E20530">
        <w:rPr>
          <w:i/>
        </w:rPr>
        <w:t>Tkhyegepso and Others v. Russia</w:t>
      </w:r>
      <w:r w:rsidRPr="00E20530">
        <w:t>, nos. 44387/04 and 11 others, §§ 21-24, 25 October 2011).</w:t>
      </w:r>
    </w:p>
    <w:p w:rsidRPr="00E20530" w:rsidR="00D420F3" w:rsidP="00E20530" w:rsidRDefault="001A789D">
      <w:pPr>
        <w:pStyle w:val="ECHRHeading1"/>
      </w:pPr>
      <w:r w:rsidRPr="00E20530">
        <w:t>V.  APPLICATION OF ARTICLE </w:t>
      </w:r>
      <w:r w:rsidRPr="00E20530" w:rsidR="0077175D">
        <w:t>41 OF THE CONVENTION</w:t>
      </w:r>
    </w:p>
    <w:p w:rsidRPr="00E20530" w:rsidR="00D420F3" w:rsidP="00E20530" w:rsidRDefault="00D26F2B">
      <w:pPr>
        <w:pStyle w:val="ECHRPara"/>
      </w:pPr>
      <w:r w:rsidRPr="00E20530">
        <w:fldChar w:fldCharType="begin"/>
      </w:r>
      <w:r w:rsidRPr="00E20530">
        <w:instrText xml:space="preserve"> SEQ level0 \*arabic </w:instrText>
      </w:r>
      <w:r w:rsidRPr="00E20530">
        <w:fldChar w:fldCharType="separate"/>
      </w:r>
      <w:r w:rsidRPr="00E20530" w:rsidR="00E20530">
        <w:rPr>
          <w:noProof/>
        </w:rPr>
        <w:t>43</w:t>
      </w:r>
      <w:r w:rsidRPr="00E20530">
        <w:fldChar w:fldCharType="end"/>
      </w:r>
      <w:r w:rsidRPr="00E20530" w:rsidR="00B8409B">
        <w:t>.  Article </w:t>
      </w:r>
      <w:r w:rsidRPr="00E20530" w:rsidR="0077175D">
        <w:t>41 of the Convention provides:</w:t>
      </w:r>
    </w:p>
    <w:p w:rsidRPr="00E20530" w:rsidR="00D420F3" w:rsidP="00E20530" w:rsidRDefault="0077175D">
      <w:pPr>
        <w:pStyle w:val="ECHRParaQuote"/>
      </w:pPr>
      <w:r w:rsidRPr="00E2053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20530" w:rsidR="00D420F3" w:rsidP="00E20530" w:rsidRDefault="0077175D">
      <w:pPr>
        <w:pStyle w:val="ECHRHeading2"/>
      </w:pPr>
      <w:r w:rsidRPr="00E20530">
        <w:t>A.  Damage</w:t>
      </w:r>
    </w:p>
    <w:p w:rsidRPr="00E20530" w:rsidR="00B8409B" w:rsidP="00E20530" w:rsidRDefault="00B8409B">
      <w:pPr>
        <w:pStyle w:val="ECHRPara"/>
        <w:keepNext/>
        <w:keepLines/>
      </w:pPr>
      <w:r w:rsidRPr="00E20530">
        <w:fldChar w:fldCharType="begin"/>
      </w:r>
      <w:r w:rsidRPr="00E20530">
        <w:instrText xml:space="preserve"> SEQ level0 \*arabic </w:instrText>
      </w:r>
      <w:r w:rsidRPr="00E20530">
        <w:fldChar w:fldCharType="separate"/>
      </w:r>
      <w:r w:rsidRPr="00E20530" w:rsidR="00E20530">
        <w:rPr>
          <w:noProof/>
        </w:rPr>
        <w:t>44</w:t>
      </w:r>
      <w:r w:rsidRPr="00E20530">
        <w:fldChar w:fldCharType="end"/>
      </w:r>
      <w:r w:rsidRPr="00E20530">
        <w:t xml:space="preserve">.  The first applicant </w:t>
      </w:r>
      <w:r w:rsidRPr="00E20530" w:rsidR="00FC1C5C">
        <w:t xml:space="preserve">claimed </w:t>
      </w:r>
      <w:r w:rsidRPr="00E20530" w:rsidR="00E21B6F">
        <w:t xml:space="preserve">the following amounts </w:t>
      </w:r>
      <w:r w:rsidRPr="00E20530">
        <w:t>in respect of pecuniary damage</w:t>
      </w:r>
      <w:r w:rsidRPr="00E20530" w:rsidR="00E21B6F">
        <w:t xml:space="preserve">: 100,000 </w:t>
      </w:r>
      <w:r w:rsidRPr="00E20530" w:rsidR="00E15746">
        <w:t xml:space="preserve">euros (EUR) </w:t>
      </w:r>
      <w:r w:rsidRPr="00E20530" w:rsidR="00E21B6F">
        <w:t>representing the cost of a house at an average price in the area the applicant lived in; EUR 15,000 corresponding to the cost of furniture and other persona</w:t>
      </w:r>
      <w:r w:rsidRPr="00E20530" w:rsidR="00C631F5">
        <w:t xml:space="preserve">l belongings; and EUR 7,000 of rental </w:t>
      </w:r>
      <w:r w:rsidRPr="00E20530" w:rsidR="00E21B6F">
        <w:t xml:space="preserve">expenses for ten years. </w:t>
      </w:r>
      <w:r w:rsidRPr="00E20530">
        <w:t xml:space="preserve">She </w:t>
      </w:r>
      <w:r w:rsidRPr="00E20530" w:rsidR="00E21B6F">
        <w:t>further</w:t>
      </w:r>
      <w:r w:rsidRPr="00E20530">
        <w:t xml:space="preserve"> claimed </w:t>
      </w:r>
      <w:r w:rsidRPr="00E20530" w:rsidR="00E21B6F">
        <w:t>EUR 2</w:t>
      </w:r>
      <w:r w:rsidRPr="00E20530">
        <w:t>0,000 in non-pecuniary damage.</w:t>
      </w:r>
    </w:p>
    <w:p w:rsidRPr="00E20530" w:rsidR="00B8409B" w:rsidP="00E20530" w:rsidRDefault="00B8409B">
      <w:pPr>
        <w:pStyle w:val="ECHRPara"/>
      </w:pPr>
      <w:r w:rsidRPr="00E20530">
        <w:fldChar w:fldCharType="begin"/>
      </w:r>
      <w:r w:rsidRPr="00E20530">
        <w:instrText xml:space="preserve"> SEQ level0 \*arabic </w:instrText>
      </w:r>
      <w:r w:rsidRPr="00E20530">
        <w:fldChar w:fldCharType="separate"/>
      </w:r>
      <w:r w:rsidRPr="00E20530" w:rsidR="00E20530">
        <w:rPr>
          <w:noProof/>
        </w:rPr>
        <w:t>45</w:t>
      </w:r>
      <w:r w:rsidRPr="00E20530">
        <w:fldChar w:fldCharType="end"/>
      </w:r>
      <w:r w:rsidRPr="00E20530">
        <w:t xml:space="preserve">.  The second applicant </w:t>
      </w:r>
      <w:r w:rsidRPr="00E20530" w:rsidR="00E21B6F">
        <w:t xml:space="preserve">made the following claims in respect of pecuniary damage: </w:t>
      </w:r>
      <w:r w:rsidRPr="00E20530" w:rsidR="006F3765">
        <w:t xml:space="preserve">EUR 40,000 for purchase of </w:t>
      </w:r>
      <w:r w:rsidRPr="00E20530" w:rsidR="00E21B6F">
        <w:t xml:space="preserve">an </w:t>
      </w:r>
      <w:r w:rsidRPr="00E20530" w:rsidR="006F3765">
        <w:t>apartment at an average price of housing in the area; EUR 45,000 of the cost of furniture and house belongings, at an average cost of EUR 5,000 per family member; and EUR 10,600 of ren</w:t>
      </w:r>
      <w:r w:rsidRPr="00E20530" w:rsidR="00E21B6F">
        <w:t>t expenses</w:t>
      </w:r>
      <w:r w:rsidRPr="00E20530" w:rsidR="006F3765">
        <w:t xml:space="preserve">. He further </w:t>
      </w:r>
      <w:r w:rsidRPr="00E20530" w:rsidR="00E21B6F">
        <w:t xml:space="preserve">claimed </w:t>
      </w:r>
      <w:r w:rsidRPr="00E20530" w:rsidR="00F61625">
        <w:t>EUR 4</w:t>
      </w:r>
      <w:r w:rsidRPr="00E20530">
        <w:t xml:space="preserve">5,000 in </w:t>
      </w:r>
      <w:r w:rsidRPr="00E20530" w:rsidR="006F3765">
        <w:t>respect of</w:t>
      </w:r>
      <w:r w:rsidRPr="00E20530">
        <w:t xml:space="preserve"> non-pecuniary damage.</w:t>
      </w:r>
    </w:p>
    <w:p w:rsidRPr="00E20530" w:rsidR="00B8409B" w:rsidP="00E20530" w:rsidRDefault="00B8409B">
      <w:pPr>
        <w:pStyle w:val="ECHRPara"/>
      </w:pPr>
      <w:r w:rsidRPr="00E20530">
        <w:fldChar w:fldCharType="begin"/>
      </w:r>
      <w:r w:rsidRPr="00E20530">
        <w:instrText xml:space="preserve"> SEQ level0 \*arabic </w:instrText>
      </w:r>
      <w:r w:rsidRPr="00E20530">
        <w:fldChar w:fldCharType="separate"/>
      </w:r>
      <w:r w:rsidRPr="00E20530" w:rsidR="00E20530">
        <w:rPr>
          <w:noProof/>
        </w:rPr>
        <w:t>46</w:t>
      </w:r>
      <w:r w:rsidRPr="00E20530">
        <w:fldChar w:fldCharType="end"/>
      </w:r>
      <w:r w:rsidRPr="00E20530">
        <w:t>.  The Government observed that the applicants</w:t>
      </w:r>
      <w:r w:rsidRPr="00E20530" w:rsidR="00E20530">
        <w:t>’</w:t>
      </w:r>
      <w:r w:rsidRPr="00E20530">
        <w:t xml:space="preserve"> claims </w:t>
      </w:r>
      <w:r w:rsidRPr="00E20530" w:rsidR="00C631F5">
        <w:t xml:space="preserve">in respect of pecuniary damage </w:t>
      </w:r>
      <w:r w:rsidRPr="00E20530">
        <w:t>were based on their inability to obtain compensation, the maximum amo</w:t>
      </w:r>
      <w:r w:rsidRPr="00E20530" w:rsidR="003F157C">
        <w:t>unt of which was limited to RUB </w:t>
      </w:r>
      <w:r w:rsidRPr="00E20530">
        <w:t xml:space="preserve">350,000. They </w:t>
      </w:r>
      <w:r w:rsidRPr="00E20530" w:rsidR="006F3765">
        <w:t>considered any claim beyond that amount unreasonable</w:t>
      </w:r>
      <w:r w:rsidRPr="00E20530" w:rsidR="00CF415E">
        <w:t>, speculative and, in any event, un</w:t>
      </w:r>
      <w:r w:rsidRPr="00E20530">
        <w:t xml:space="preserve">supported by </w:t>
      </w:r>
      <w:r w:rsidRPr="00E20530" w:rsidR="000A0D01">
        <w:t xml:space="preserve">any </w:t>
      </w:r>
      <w:r w:rsidRPr="00E20530">
        <w:t>evidence.</w:t>
      </w:r>
      <w:r w:rsidRPr="00E20530" w:rsidR="006F3765">
        <w:t xml:space="preserve"> They </w:t>
      </w:r>
      <w:r w:rsidRPr="00E20530" w:rsidR="00C631F5">
        <w:t>disputed the</w:t>
      </w:r>
      <w:r w:rsidRPr="00E20530" w:rsidR="00E15746">
        <w:t xml:space="preserve"> claims in respect of non</w:t>
      </w:r>
      <w:r w:rsidRPr="00E20530" w:rsidR="00E15746">
        <w:noBreakHyphen/>
      </w:r>
      <w:r w:rsidRPr="00E20530" w:rsidR="006F3765">
        <w:t>pecuniary damage as excessive.</w:t>
      </w:r>
    </w:p>
    <w:p w:rsidRPr="00E20530" w:rsidR="00B8409B" w:rsidP="00E20530" w:rsidRDefault="00B8409B">
      <w:pPr>
        <w:pStyle w:val="ECHRPara"/>
        <w:rPr>
          <w:i/>
        </w:rPr>
      </w:pPr>
      <w:r w:rsidRPr="00E20530">
        <w:fldChar w:fldCharType="begin"/>
      </w:r>
      <w:r w:rsidRPr="00E20530">
        <w:instrText xml:space="preserve"> SEQ level0 \*arabic </w:instrText>
      </w:r>
      <w:r w:rsidRPr="00E20530">
        <w:fldChar w:fldCharType="separate"/>
      </w:r>
      <w:r w:rsidRPr="00E20530" w:rsidR="00E20530">
        <w:rPr>
          <w:noProof/>
        </w:rPr>
        <w:t>47</w:t>
      </w:r>
      <w:r w:rsidRPr="00E20530">
        <w:fldChar w:fldCharType="end"/>
      </w:r>
      <w:r w:rsidRPr="00E20530">
        <w:t xml:space="preserve">.  The Court finds that there exists a causal link between the violation </w:t>
      </w:r>
      <w:r w:rsidRPr="00E20530" w:rsidR="00CF415E">
        <w:t>found</w:t>
      </w:r>
      <w:r w:rsidRPr="00E20530">
        <w:t xml:space="preserve"> and the pecuniary loss incurred. Taking into account the parties</w:t>
      </w:r>
      <w:r w:rsidRPr="00E20530" w:rsidR="00E20530">
        <w:t>’</w:t>
      </w:r>
      <w:r w:rsidRPr="00E20530">
        <w:t xml:space="preserve"> submissions and the nature of the violation found, it awards each of the applicants EUR</w:t>
      </w:r>
      <w:r w:rsidRPr="00E20530" w:rsidR="004A0A1E">
        <w:t> </w:t>
      </w:r>
      <w:r w:rsidRPr="00E20530">
        <w:t xml:space="preserve">4,600 in respect of pecuniary damage (see </w:t>
      </w:r>
      <w:r w:rsidRPr="00E20530" w:rsidR="00E20530">
        <w:rPr>
          <w:i/>
          <w:iCs/>
        </w:rPr>
        <w:t>Arzhiyeva and </w:t>
      </w:r>
      <w:r w:rsidRPr="00E20530" w:rsidR="005521B9">
        <w:rPr>
          <w:i/>
          <w:iCs/>
        </w:rPr>
        <w:t xml:space="preserve">Tsadayev, </w:t>
      </w:r>
      <w:r w:rsidRPr="00E20530" w:rsidR="005521B9">
        <w:rPr>
          <w:iCs/>
        </w:rPr>
        <w:t>cited above</w:t>
      </w:r>
      <w:r w:rsidRPr="00E20530" w:rsidR="005521B9">
        <w:rPr>
          <w:i/>
          <w:iCs/>
        </w:rPr>
        <w:t xml:space="preserve">, </w:t>
      </w:r>
      <w:r w:rsidRPr="00E20530" w:rsidR="005521B9">
        <w:t>§ 66</w:t>
      </w:r>
      <w:r w:rsidRPr="00E20530">
        <w:t>).</w:t>
      </w:r>
      <w:r w:rsidRPr="00E20530" w:rsidR="00FC1C5C">
        <w:t xml:space="preserve"> It further rejects the remainder of the claims under this head as not supported by any evidence.</w:t>
      </w:r>
    </w:p>
    <w:p w:rsidRPr="00E20530" w:rsidR="00B8409B" w:rsidP="00E20530" w:rsidRDefault="00B8409B">
      <w:pPr>
        <w:pStyle w:val="ECHRPara"/>
      </w:pPr>
      <w:r w:rsidRPr="00E20530">
        <w:fldChar w:fldCharType="begin"/>
      </w:r>
      <w:r w:rsidRPr="00E20530">
        <w:instrText xml:space="preserve"> SEQ level0 \*arabic </w:instrText>
      </w:r>
      <w:r w:rsidRPr="00E20530">
        <w:fldChar w:fldCharType="separate"/>
      </w:r>
      <w:r w:rsidRPr="00E20530" w:rsidR="00E20530">
        <w:rPr>
          <w:noProof/>
        </w:rPr>
        <w:t>48</w:t>
      </w:r>
      <w:r w:rsidRPr="00E20530">
        <w:fldChar w:fldCharType="end"/>
      </w:r>
      <w:r w:rsidRPr="00E20530">
        <w:t>.  It furthe</w:t>
      </w:r>
      <w:r w:rsidRPr="00E20530" w:rsidR="00D6420C">
        <w:t>r awards each of the applicants </w:t>
      </w:r>
      <w:r w:rsidRPr="00E20530">
        <w:t>EUR 5,000</w:t>
      </w:r>
      <w:r w:rsidRPr="00E20530" w:rsidR="00E15746">
        <w:t xml:space="preserve"> in respect of non</w:t>
      </w:r>
      <w:r w:rsidRPr="00E20530" w:rsidR="00E15746">
        <w:noBreakHyphen/>
      </w:r>
      <w:r w:rsidRPr="00E20530">
        <w:t>pecuniary damage</w:t>
      </w:r>
      <w:r w:rsidRPr="00E20530" w:rsidR="006F3765">
        <w:t xml:space="preserve">, </w:t>
      </w:r>
      <w:r w:rsidRPr="00E20530" w:rsidR="00D6420C">
        <w:t xml:space="preserve">plus any tax that may be chargeable, </w:t>
      </w:r>
      <w:r w:rsidRPr="00E20530" w:rsidR="006F3765">
        <w:t>and rejects the remainder of their claims under this head.</w:t>
      </w:r>
    </w:p>
    <w:p w:rsidRPr="00E20530" w:rsidR="00D420F3" w:rsidP="00E20530" w:rsidRDefault="0077175D">
      <w:pPr>
        <w:pStyle w:val="ECHRHeading2"/>
      </w:pPr>
      <w:r w:rsidRPr="00E20530">
        <w:t>B.  Costs and expenses</w:t>
      </w:r>
    </w:p>
    <w:p w:rsidRPr="00E20530" w:rsidR="00D420F3" w:rsidP="00E20530" w:rsidRDefault="00D26F2B">
      <w:pPr>
        <w:pStyle w:val="ECHRPara"/>
      </w:pPr>
      <w:r w:rsidRPr="00E20530">
        <w:fldChar w:fldCharType="begin"/>
      </w:r>
      <w:r w:rsidRPr="00E20530">
        <w:instrText xml:space="preserve"> SEQ level0 \*arabic </w:instrText>
      </w:r>
      <w:r w:rsidRPr="00E20530">
        <w:fldChar w:fldCharType="separate"/>
      </w:r>
      <w:r w:rsidRPr="00E20530" w:rsidR="00E20530">
        <w:rPr>
          <w:noProof/>
        </w:rPr>
        <w:t>49</w:t>
      </w:r>
      <w:r w:rsidRPr="00E20530">
        <w:fldChar w:fldCharType="end"/>
      </w:r>
      <w:r w:rsidRPr="00E20530" w:rsidR="0077175D">
        <w:t>.  </w:t>
      </w:r>
      <w:r w:rsidRPr="00E20530" w:rsidR="000E154D">
        <w:t>The first applicant claimed</w:t>
      </w:r>
      <w:r w:rsidRPr="00E20530" w:rsidR="00113537">
        <w:t xml:space="preserve"> EUR 2,940 in legal fees for the costs and expenses incurred in the domestic proceedings and before the Court. That amount</w:t>
      </w:r>
      <w:r w:rsidRPr="00E20530" w:rsidR="00E15746">
        <w:t xml:space="preserve"> comprised (a) </w:t>
      </w:r>
      <w:r w:rsidRPr="00E20530" w:rsidR="00113537">
        <w:t xml:space="preserve">EUR 1,820 for </w:t>
      </w:r>
      <w:r w:rsidRPr="00E20530" w:rsidR="00E15746">
        <w:t>26 hours of legal work of Mr </w:t>
      </w:r>
      <w:r w:rsidRPr="00E20530" w:rsidR="00EF1568">
        <w:t>U. </w:t>
      </w:r>
      <w:r w:rsidRPr="00E20530" w:rsidR="00113537">
        <w:t>Khasiyev, lawyer who represented the applicant at the domestic proceedings and at the time of the introduction of the application, at an hourly rate</w:t>
      </w:r>
      <w:r w:rsidRPr="00E20530" w:rsidR="00E15746">
        <w:t xml:space="preserve"> of EUR 70; and (b) </w:t>
      </w:r>
      <w:r w:rsidRPr="00E20530" w:rsidR="00113537">
        <w:t>EUR 1,190 for 17 hours of w</w:t>
      </w:r>
      <w:r w:rsidRPr="00E20530" w:rsidR="00E15746">
        <w:t>ork of Ms </w:t>
      </w:r>
      <w:r w:rsidRPr="00E20530" w:rsidR="00113537">
        <w:t>Khalimova) at an hourly rate of EUR 70. She submitted copies of legal agreements couched in similar terms an</w:t>
      </w:r>
      <w:r w:rsidRPr="00E20530" w:rsidR="00E15746">
        <w:t>d dated 4 October 2007 (with Mr </w:t>
      </w:r>
      <w:r w:rsidRPr="00E20530" w:rsidR="00113537">
        <w:t>Khasiyev) and 8 December 2016 (with Ms Khalimova). In accordance to them, the applicant undertook to pay the lawyers</w:t>
      </w:r>
      <w:r w:rsidRPr="00E20530" w:rsidR="00E20530">
        <w:t>’</w:t>
      </w:r>
      <w:r w:rsidRPr="00E20530" w:rsidR="00113537">
        <w:t xml:space="preserve"> services “within ten days of the receipt of money on the [applicant</w:t>
      </w:r>
      <w:r w:rsidRPr="00E20530" w:rsidR="00E20530">
        <w:t>’</w:t>
      </w:r>
      <w:r w:rsidRPr="00E20530" w:rsidR="00113537">
        <w:t xml:space="preserve">s] banking account”, without any further details. She further provided </w:t>
      </w:r>
      <w:r w:rsidRPr="00E20530" w:rsidR="001A3D36">
        <w:t>cop</w:t>
      </w:r>
      <w:r w:rsidRPr="00E20530" w:rsidR="00D6420C">
        <w:t>ies</w:t>
      </w:r>
      <w:r w:rsidRPr="00E20530" w:rsidR="001A3D36">
        <w:t xml:space="preserve"> of </w:t>
      </w:r>
      <w:r w:rsidRPr="00E20530" w:rsidR="000A0D01">
        <w:t xml:space="preserve">the </w:t>
      </w:r>
      <w:r w:rsidRPr="00E20530" w:rsidR="00D6420C">
        <w:t xml:space="preserve">two </w:t>
      </w:r>
      <w:r w:rsidRPr="00E20530" w:rsidR="001A3D36">
        <w:t>report</w:t>
      </w:r>
      <w:r w:rsidRPr="00E20530" w:rsidR="00D6420C">
        <w:t>s</w:t>
      </w:r>
      <w:r w:rsidRPr="00E20530" w:rsidR="001A3D36">
        <w:t xml:space="preserve"> on the work performed containing </w:t>
      </w:r>
      <w:r w:rsidRPr="00E20530" w:rsidR="00113537">
        <w:t>itemised schedules of the representatives</w:t>
      </w:r>
      <w:r w:rsidRPr="00E20530" w:rsidR="00E20530">
        <w:t>’</w:t>
      </w:r>
      <w:r w:rsidRPr="00E20530" w:rsidR="00113537">
        <w:t xml:space="preserve"> legal fees</w:t>
      </w:r>
      <w:r w:rsidRPr="00E20530" w:rsidR="001A3D36">
        <w:t xml:space="preserve"> and signed by the applicant and the lawyers. The schedules</w:t>
      </w:r>
      <w:r w:rsidRPr="00E20530" w:rsidR="00E15746">
        <w:t xml:space="preserve"> included, for Mr </w:t>
      </w:r>
      <w:r w:rsidRPr="00E20530" w:rsidR="00113537">
        <w:t xml:space="preserve">Khasiyev, </w:t>
      </w:r>
      <w:r w:rsidRPr="00E20530" w:rsidR="0086646B">
        <w:t>the representation</w:t>
      </w:r>
      <w:r w:rsidRPr="00E20530" w:rsidR="00113537">
        <w:t xml:space="preserve"> at the domestic level and </w:t>
      </w:r>
      <w:r w:rsidRPr="00E20530" w:rsidR="0086646B">
        <w:t xml:space="preserve">the </w:t>
      </w:r>
      <w:r w:rsidRPr="00E20530" w:rsidR="00113537">
        <w:t>submission of the application form. In respect of Ms Kha</w:t>
      </w:r>
      <w:r w:rsidRPr="00E20530" w:rsidR="000605C5">
        <w:t>limova</w:t>
      </w:r>
      <w:r w:rsidRPr="00E20530" w:rsidR="00113537">
        <w:t>, the table referred to the preparation of the comments in reply to the Government</w:t>
      </w:r>
      <w:r w:rsidRPr="00E20530" w:rsidR="00E20530">
        <w:t>’</w:t>
      </w:r>
      <w:r w:rsidRPr="00E20530" w:rsidR="00113537">
        <w:t xml:space="preserve">s observations dated December 2016, as well as preparation </w:t>
      </w:r>
      <w:r w:rsidRPr="00E20530" w:rsidR="00D6420C">
        <w:t xml:space="preserve">in 2011 of </w:t>
      </w:r>
      <w:r w:rsidRPr="00E20530" w:rsidR="00113537">
        <w:t>replies to the Government</w:t>
      </w:r>
      <w:r w:rsidRPr="00E20530" w:rsidR="00E20530">
        <w:t>’</w:t>
      </w:r>
      <w:r w:rsidRPr="00E20530" w:rsidR="00113537">
        <w:t>s submissions.</w:t>
      </w:r>
    </w:p>
    <w:p w:rsidRPr="00E20530" w:rsidR="00BB629A" w:rsidP="00E20530" w:rsidRDefault="000E154D">
      <w:pPr>
        <w:pStyle w:val="ECHRPara"/>
      </w:pPr>
      <w:r w:rsidRPr="00E20530">
        <w:fldChar w:fldCharType="begin"/>
      </w:r>
      <w:r w:rsidRPr="00E20530">
        <w:instrText xml:space="preserve"> SEQ level0 \*arabic </w:instrText>
      </w:r>
      <w:r w:rsidRPr="00E20530">
        <w:fldChar w:fldCharType="separate"/>
      </w:r>
      <w:r w:rsidRPr="00E20530" w:rsidR="00E20530">
        <w:rPr>
          <w:noProof/>
        </w:rPr>
        <w:t>50</w:t>
      </w:r>
      <w:r w:rsidRPr="00E20530">
        <w:fldChar w:fldCharType="end"/>
      </w:r>
      <w:r w:rsidRPr="00E20530">
        <w:t>.  The second applicant claimed EUR</w:t>
      </w:r>
      <w:r w:rsidRPr="00E20530" w:rsidR="0070699E">
        <w:t> 2,940</w:t>
      </w:r>
      <w:r w:rsidRPr="00E20530">
        <w:t xml:space="preserve"> in legal fees for the costs and expenses incurred </w:t>
      </w:r>
      <w:r w:rsidRPr="00E20530" w:rsidR="0070699E">
        <w:t xml:space="preserve">in the domestic proceedings and </w:t>
      </w:r>
      <w:r w:rsidRPr="00E20530">
        <w:t xml:space="preserve">before the Court. </w:t>
      </w:r>
      <w:r w:rsidRPr="00E20530" w:rsidR="0070699E">
        <w:t>He</w:t>
      </w:r>
      <w:r w:rsidRPr="00E20530">
        <w:t xml:space="preserve"> submitted </w:t>
      </w:r>
      <w:r w:rsidRPr="00E20530" w:rsidR="00FD22CF">
        <w:t xml:space="preserve">a copy of the representation agreement dated 11 March 2011, in accordance to which </w:t>
      </w:r>
      <w:r w:rsidRPr="00E20530" w:rsidR="002B0993">
        <w:t>he</w:t>
      </w:r>
      <w:r w:rsidRPr="00E20530" w:rsidR="00113537">
        <w:t xml:space="preserve"> undertook to pay the </w:t>
      </w:r>
      <w:r w:rsidRPr="00E20530" w:rsidR="0086646B">
        <w:t>representative</w:t>
      </w:r>
      <w:r w:rsidRPr="00E20530" w:rsidR="00E20530">
        <w:t>’</w:t>
      </w:r>
      <w:r w:rsidRPr="00E20530" w:rsidR="00113537">
        <w:t>s services “</w:t>
      </w:r>
      <w:r w:rsidRPr="00E20530" w:rsidR="00FD22CF">
        <w:t>within ten days of the receipt of money on the [applicant</w:t>
      </w:r>
      <w:r w:rsidRPr="00E20530" w:rsidR="00E20530">
        <w:t>’</w:t>
      </w:r>
      <w:r w:rsidRPr="00E20530" w:rsidR="00FD22CF">
        <w:t>s] banking account”. He further submitted</w:t>
      </w:r>
      <w:r w:rsidRPr="00E20530" w:rsidR="001A3D36">
        <w:t xml:space="preserve"> a copy of the report on the work performed containing </w:t>
      </w:r>
      <w:r w:rsidRPr="00E20530">
        <w:t xml:space="preserve">an itemised schedule of </w:t>
      </w:r>
      <w:r w:rsidRPr="00E20530" w:rsidR="0026181A">
        <w:t>the lawyer</w:t>
      </w:r>
      <w:r w:rsidRPr="00E20530" w:rsidR="00E20530">
        <w:t>’</w:t>
      </w:r>
      <w:r w:rsidRPr="00E20530" w:rsidR="0026181A">
        <w:t>s</w:t>
      </w:r>
      <w:r w:rsidRPr="00E20530">
        <w:t xml:space="preserve"> fees </w:t>
      </w:r>
      <w:r w:rsidRPr="00E20530" w:rsidR="0026181A">
        <w:t>for 70 </w:t>
      </w:r>
      <w:r w:rsidRPr="00E20530" w:rsidR="0070699E">
        <w:t xml:space="preserve">hours of legal work </w:t>
      </w:r>
      <w:r w:rsidRPr="00E20530">
        <w:t>at an hourly rate of EUR 70</w:t>
      </w:r>
      <w:r w:rsidRPr="00E20530" w:rsidR="00FD22CF">
        <w:t xml:space="preserve">, signed by the </w:t>
      </w:r>
      <w:r w:rsidRPr="00E20530" w:rsidR="001A3D36">
        <w:t xml:space="preserve">lawyer and the </w:t>
      </w:r>
      <w:r w:rsidRPr="00E20530" w:rsidR="002B0993">
        <w:t>applicant</w:t>
      </w:r>
      <w:r w:rsidRPr="00E20530" w:rsidR="00FD22CF">
        <w:t>.</w:t>
      </w:r>
    </w:p>
    <w:p w:rsidRPr="00E20530" w:rsidR="00D420F3" w:rsidP="00E20530" w:rsidRDefault="00D26F2B">
      <w:pPr>
        <w:pStyle w:val="ECHRPara"/>
        <w:rPr>
          <w:b/>
        </w:rPr>
      </w:pPr>
      <w:r w:rsidRPr="00E20530">
        <w:fldChar w:fldCharType="begin"/>
      </w:r>
      <w:r w:rsidRPr="00E20530">
        <w:instrText xml:space="preserve"> SEQ level0 \*arabic </w:instrText>
      </w:r>
      <w:r w:rsidRPr="00E20530">
        <w:fldChar w:fldCharType="separate"/>
      </w:r>
      <w:r w:rsidRPr="00E20530" w:rsidR="00E20530">
        <w:rPr>
          <w:noProof/>
        </w:rPr>
        <w:t>51</w:t>
      </w:r>
      <w:r w:rsidRPr="00E20530">
        <w:fldChar w:fldCharType="end"/>
      </w:r>
      <w:r w:rsidRPr="00E20530" w:rsidR="0077175D">
        <w:t>.  </w:t>
      </w:r>
      <w:r w:rsidRPr="00E20530" w:rsidR="00825BF5">
        <w:t xml:space="preserve">In </w:t>
      </w:r>
      <w:r w:rsidRPr="00E20530" w:rsidR="002F36C1">
        <w:t>both cases the Government</w:t>
      </w:r>
      <w:r w:rsidRPr="00E20530" w:rsidR="00825BF5">
        <w:t xml:space="preserve"> submitted that the applicant</w:t>
      </w:r>
      <w:r w:rsidRPr="00E20530" w:rsidR="002F36C1">
        <w:t>s</w:t>
      </w:r>
      <w:r w:rsidRPr="00E20530" w:rsidR="00825BF5">
        <w:t xml:space="preserve"> had not actually incurred the costs and expenses claimed.</w:t>
      </w:r>
      <w:r w:rsidRPr="00E20530" w:rsidR="002F36C1">
        <w:t xml:space="preserve"> In </w:t>
      </w:r>
      <w:r w:rsidRPr="00E20530" w:rsidR="002F36C1">
        <w:rPr>
          <w:i/>
        </w:rPr>
        <w:t xml:space="preserve">Indayeva </w:t>
      </w:r>
      <w:r w:rsidRPr="00E20530" w:rsidR="002F36C1">
        <w:t xml:space="preserve">they specified </w:t>
      </w:r>
      <w:r w:rsidRPr="00E20530" w:rsidR="005E4D9F">
        <w:t>that the legal services agreements between the applicant and her representatives provided that those expenses were payable to the representative only in the event of a successful outcome of the proceedings before the Court, which made such agreements unenforceable against the applicant in Russia.</w:t>
      </w:r>
    </w:p>
    <w:p w:rsidRPr="00E20530" w:rsidR="00BB629A" w:rsidP="00E20530" w:rsidRDefault="0081061E">
      <w:pPr>
        <w:pStyle w:val="ECHRPara"/>
      </w:pPr>
      <w:r w:rsidRPr="00E20530">
        <w:fldChar w:fldCharType="begin"/>
      </w:r>
      <w:r w:rsidRPr="00E20530">
        <w:instrText xml:space="preserve"> SEQ level0 \*arabic </w:instrText>
      </w:r>
      <w:r w:rsidRPr="00E20530">
        <w:fldChar w:fldCharType="separate"/>
      </w:r>
      <w:r w:rsidRPr="00E20530" w:rsidR="00E20530">
        <w:rPr>
          <w:noProof/>
        </w:rPr>
        <w:t>52</w:t>
      </w:r>
      <w:r w:rsidRPr="00E20530">
        <w:rPr>
          <w:noProof/>
        </w:rPr>
        <w:fldChar w:fldCharType="end"/>
      </w:r>
      <w:r w:rsidRPr="00E20530" w:rsidR="00DB7CDB">
        <w:t>.  </w:t>
      </w:r>
      <w:r w:rsidRPr="00E20530" w:rsidR="00FD22CF">
        <w:t>According to the Court</w:t>
      </w:r>
      <w:r w:rsidRPr="00E20530" w:rsidR="00E20530">
        <w:t>’</w:t>
      </w:r>
      <w:r w:rsidRPr="00E20530" w:rsidR="00FD22CF">
        <w:t xml:space="preserve">s case-law, an applicant is entitled to the reimbursement of his costs and expenses in so far as it has been shown that these have been actually and necessarily incurred and are reasonable as to quantum (see, among others, </w:t>
      </w:r>
      <w:r w:rsidRPr="00E20530" w:rsidR="00FD22CF">
        <w:rPr>
          <w:i/>
        </w:rPr>
        <w:t>Merabishvili v. Georgia</w:t>
      </w:r>
      <w:r w:rsidRPr="00E20530" w:rsidR="00FD22CF">
        <w:t xml:space="preserve"> [GC], no. 72508/13, § 370, ECHR 2017).</w:t>
      </w:r>
    </w:p>
    <w:p w:rsidRPr="00E20530" w:rsidR="00D420F3" w:rsidP="00E20530" w:rsidRDefault="0081615D">
      <w:pPr>
        <w:pStyle w:val="ECHRPara"/>
      </w:pPr>
      <w:r w:rsidRPr="00E20530">
        <w:fldChar w:fldCharType="begin"/>
      </w:r>
      <w:r w:rsidRPr="00E20530">
        <w:instrText xml:space="preserve"> SEQ level0 \*arabic </w:instrText>
      </w:r>
      <w:r w:rsidRPr="00E20530">
        <w:fldChar w:fldCharType="separate"/>
      </w:r>
      <w:r w:rsidRPr="00E20530" w:rsidR="00E20530">
        <w:rPr>
          <w:noProof/>
        </w:rPr>
        <w:t>53</w:t>
      </w:r>
      <w:r w:rsidRPr="00E20530">
        <w:fldChar w:fldCharType="end"/>
      </w:r>
      <w:r w:rsidRPr="00E20530">
        <w:t>.  </w:t>
      </w:r>
      <w:r w:rsidRPr="00E20530" w:rsidR="00D72CE7">
        <w:t>Regard</w:t>
      </w:r>
      <w:r w:rsidRPr="00E20530" w:rsidR="00FD22CF">
        <w:t xml:space="preserve"> being had to the documents in its possession and the above criteria (in particular, the straightforward nature of the issues raised under the Convention</w:t>
      </w:r>
      <w:r w:rsidRPr="00E20530" w:rsidR="008711C4">
        <w:t xml:space="preserve"> and some apparent discrepancies in the dates in the schedules submitted </w:t>
      </w:r>
      <w:r w:rsidRPr="00E20530" w:rsidR="00FD22CF">
        <w:t>)</w:t>
      </w:r>
      <w:r w:rsidRPr="00E20530" w:rsidR="00BE0328">
        <w:t>,</w:t>
      </w:r>
      <w:r w:rsidRPr="00E20530" w:rsidR="00FD22CF">
        <w:t xml:space="preserve"> and in so far as the expenses </w:t>
      </w:r>
      <w:r w:rsidRPr="00E20530" w:rsidR="007E1F4F">
        <w:t xml:space="preserve">claimed </w:t>
      </w:r>
      <w:r w:rsidRPr="00E20530" w:rsidR="00FD22CF">
        <w:t>are related to the violations found by the Court,</w:t>
      </w:r>
      <w:r w:rsidRPr="00E20530" w:rsidR="00170093">
        <w:t xml:space="preserve"> </w:t>
      </w:r>
      <w:r w:rsidRPr="00E20530" w:rsidR="0077175D">
        <w:t xml:space="preserve">the Court considers it reasonable to award </w:t>
      </w:r>
      <w:r w:rsidRPr="00E20530" w:rsidR="008A25DA">
        <w:t>(a) </w:t>
      </w:r>
      <w:r w:rsidRPr="00E20530" w:rsidR="0077175D">
        <w:t>EUR</w:t>
      </w:r>
      <w:r w:rsidRPr="00E20530" w:rsidR="0086646B">
        <w:t> </w:t>
      </w:r>
      <w:r w:rsidRPr="00E20530" w:rsidR="00861D40">
        <w:t>49</w:t>
      </w:r>
      <w:r w:rsidRPr="00E20530" w:rsidR="00D72CE7">
        <w:t>0</w:t>
      </w:r>
      <w:r w:rsidRPr="00E20530" w:rsidR="0086646B">
        <w:t xml:space="preserve"> to Ms Indayeva </w:t>
      </w:r>
      <w:r w:rsidRPr="00E20530" w:rsidR="00861D40">
        <w:t xml:space="preserve">in respect of the costs and expenses </w:t>
      </w:r>
      <w:r w:rsidRPr="00E20530" w:rsidR="00B5502F">
        <w:t>related to the domestic proceedings</w:t>
      </w:r>
      <w:r w:rsidRPr="00E20530" w:rsidR="00861D40">
        <w:t xml:space="preserve"> </w:t>
      </w:r>
      <w:r w:rsidRPr="00E20530" w:rsidR="0086646B">
        <w:t>and EUR </w:t>
      </w:r>
      <w:r w:rsidRPr="00E20530" w:rsidR="002C7FA1">
        <w:t>3</w:t>
      </w:r>
      <w:r w:rsidRPr="00E20530" w:rsidR="00D72CE7">
        <w:t>00</w:t>
      </w:r>
      <w:r w:rsidRPr="00E20530" w:rsidR="0086646B">
        <w:t xml:space="preserve"> </w:t>
      </w:r>
      <w:r w:rsidRPr="00E20530" w:rsidR="00861D40">
        <w:t>in respect of</w:t>
      </w:r>
      <w:r w:rsidRPr="00E20530" w:rsidR="0077175D">
        <w:t xml:space="preserve"> </w:t>
      </w:r>
      <w:r w:rsidRPr="00E20530" w:rsidR="00861D40">
        <w:t>the proceedings before the Court</w:t>
      </w:r>
      <w:r w:rsidRPr="00E20530" w:rsidR="0086646B">
        <w:t xml:space="preserve">, </w:t>
      </w:r>
      <w:r w:rsidRPr="00E20530" w:rsidR="002C7FA1">
        <w:t>and (b) EUR 2</w:t>
      </w:r>
      <w:r w:rsidRPr="00E20530" w:rsidR="00DD0A1C">
        <w:t xml:space="preserve">00 to Mr Sultanov in respect of the proceedings before the Court, </w:t>
      </w:r>
      <w:r w:rsidRPr="00E20530" w:rsidR="0086646B">
        <w:t xml:space="preserve">plus any tax chargeable </w:t>
      </w:r>
      <w:r w:rsidRPr="00E20530" w:rsidR="00170093">
        <w:t>to</w:t>
      </w:r>
      <w:r w:rsidRPr="00E20530" w:rsidR="0086646B">
        <w:t xml:space="preserve"> the applicants</w:t>
      </w:r>
      <w:r w:rsidRPr="00E20530" w:rsidR="00170093">
        <w:t xml:space="preserve">. The Court further </w:t>
      </w:r>
      <w:r w:rsidRPr="00E20530" w:rsidR="0086646B">
        <w:t>dismiss</w:t>
      </w:r>
      <w:r w:rsidRPr="00E20530" w:rsidR="00170093">
        <w:t>es</w:t>
      </w:r>
      <w:r w:rsidRPr="00E20530" w:rsidR="0086646B">
        <w:t xml:space="preserve"> the remainder of their claims under this head</w:t>
      </w:r>
      <w:r w:rsidRPr="00E20530" w:rsidR="0077175D">
        <w:t>.</w:t>
      </w:r>
    </w:p>
    <w:p w:rsidRPr="00E20530" w:rsidR="00D420F3" w:rsidP="00E20530" w:rsidRDefault="0077175D">
      <w:pPr>
        <w:pStyle w:val="ECHRHeading2"/>
      </w:pPr>
      <w:r w:rsidRPr="00E20530">
        <w:t>C.  Default interest</w:t>
      </w:r>
    </w:p>
    <w:p w:rsidRPr="00E20530" w:rsidR="00D420F3" w:rsidP="00E20530" w:rsidRDefault="00D26F2B">
      <w:pPr>
        <w:pStyle w:val="ECHRPara"/>
      </w:pPr>
      <w:r w:rsidRPr="00E20530">
        <w:fldChar w:fldCharType="begin"/>
      </w:r>
      <w:r w:rsidRPr="00E20530">
        <w:instrText xml:space="preserve"> SEQ level0 \*arabic </w:instrText>
      </w:r>
      <w:r w:rsidRPr="00E20530">
        <w:fldChar w:fldCharType="separate"/>
      </w:r>
      <w:r w:rsidRPr="00E20530" w:rsidR="00E20530">
        <w:rPr>
          <w:noProof/>
        </w:rPr>
        <w:t>54</w:t>
      </w:r>
      <w:r w:rsidRPr="00E20530">
        <w:fldChar w:fldCharType="end"/>
      </w:r>
      <w:r w:rsidRPr="00E20530" w:rsidR="0077175D">
        <w:t>.  The Court considers it appropriate that the default interest rate should be based on the marginal lending rate of the European Central Bank, to which should be added three percentage points.</w:t>
      </w:r>
    </w:p>
    <w:p w:rsidRPr="00E20530" w:rsidR="00D420F3" w:rsidP="00E20530" w:rsidRDefault="0077175D">
      <w:pPr>
        <w:pStyle w:val="ECHRTitle1"/>
      </w:pPr>
      <w:r w:rsidRPr="00E20530">
        <w:t>FOR THESE REASONS, THE COURT</w:t>
      </w:r>
      <w:r w:rsidRPr="00E20530" w:rsidR="00D26F2B">
        <w:t>, UNANIMOUSLY,</w:t>
      </w:r>
    </w:p>
    <w:p w:rsidRPr="00E20530" w:rsidR="00BB629A" w:rsidP="00E20530" w:rsidRDefault="0077175D">
      <w:pPr>
        <w:pStyle w:val="JuList"/>
        <w:rPr>
          <w:i/>
        </w:rPr>
      </w:pPr>
      <w:r w:rsidRPr="00E20530">
        <w:t>1.  </w:t>
      </w:r>
      <w:r w:rsidRPr="00E20530">
        <w:rPr>
          <w:i/>
        </w:rPr>
        <w:t>Dec</w:t>
      </w:r>
      <w:r w:rsidRPr="00E20530" w:rsidR="00557C6A">
        <w:rPr>
          <w:i/>
        </w:rPr>
        <w:t xml:space="preserve">ides </w:t>
      </w:r>
      <w:r w:rsidRPr="00E20530" w:rsidR="00557C6A">
        <w:t>to join the applications;</w:t>
      </w:r>
    </w:p>
    <w:p w:rsidRPr="00E20530" w:rsidR="00D40A3C" w:rsidP="00E20530" w:rsidRDefault="00D40A3C">
      <w:pPr>
        <w:pStyle w:val="JuList"/>
        <w:rPr>
          <w:i/>
        </w:rPr>
      </w:pPr>
    </w:p>
    <w:p w:rsidRPr="00E20530" w:rsidR="00D40A3C" w:rsidP="00E20530" w:rsidRDefault="00D40A3C">
      <w:pPr>
        <w:pStyle w:val="JuList"/>
        <w:rPr>
          <w:i/>
        </w:rPr>
      </w:pPr>
      <w:r w:rsidRPr="00E20530">
        <w:rPr>
          <w:i/>
        </w:rPr>
        <w:t xml:space="preserve">2.  Decides </w:t>
      </w:r>
      <w:r w:rsidRPr="00E20530" w:rsidR="00451013">
        <w:t>not to include Ms Manash G</w:t>
      </w:r>
      <w:r w:rsidRPr="00E20530" w:rsidR="008A25DA">
        <w:t>azhayeva, Mr Islam Sultanov, Mr </w:t>
      </w:r>
      <w:r w:rsidRPr="00E20530" w:rsidR="00451013">
        <w:t xml:space="preserve">Beslan Sultanov, Ms Petimat Sultanova, </w:t>
      </w:r>
      <w:r w:rsidRPr="00E20530" w:rsidR="008A25DA">
        <w:t>Mr Imam-Taleran Sultanov, Ms </w:t>
      </w:r>
      <w:r w:rsidRPr="00E20530" w:rsidR="00451013">
        <w:t>Inian Sultanova and Ms Maryam Sultanova in the list of the applicants in case no. 18360/13.</w:t>
      </w:r>
    </w:p>
    <w:p w:rsidRPr="00E20530" w:rsidR="00557C6A" w:rsidP="00E20530" w:rsidRDefault="00557C6A">
      <w:pPr>
        <w:pStyle w:val="JuList"/>
      </w:pPr>
    </w:p>
    <w:p w:rsidRPr="00E20530" w:rsidR="00D420F3" w:rsidP="00E20530" w:rsidRDefault="00D40A3C">
      <w:pPr>
        <w:pStyle w:val="JuList"/>
      </w:pPr>
      <w:r w:rsidRPr="00E20530">
        <w:t>3</w:t>
      </w:r>
      <w:r w:rsidRPr="00E20530" w:rsidR="0077175D">
        <w:t>.  </w:t>
      </w:r>
      <w:r w:rsidRPr="00E20530" w:rsidR="0077175D">
        <w:rPr>
          <w:i/>
        </w:rPr>
        <w:t>Declares</w:t>
      </w:r>
      <w:r w:rsidRPr="00E20530" w:rsidR="0077175D">
        <w:t xml:space="preserve"> the </w:t>
      </w:r>
      <w:r w:rsidRPr="00E20530" w:rsidR="00451013">
        <w:t>applicants</w:t>
      </w:r>
      <w:r w:rsidRPr="00E20530" w:rsidR="00E20530">
        <w:t>’</w:t>
      </w:r>
      <w:r w:rsidRPr="00E20530" w:rsidR="00451013">
        <w:t xml:space="preserve"> </w:t>
      </w:r>
      <w:r w:rsidRPr="00E20530" w:rsidR="0086642E">
        <w:t>complaints under Article 6 of the Convention and Article</w:t>
      </w:r>
      <w:r w:rsidRPr="00E20530" w:rsidR="004D5474">
        <w:t> </w:t>
      </w:r>
      <w:r w:rsidRPr="00E20530" w:rsidR="0086642E">
        <w:t>1 of Protocol No.</w:t>
      </w:r>
      <w:r w:rsidRPr="00E20530" w:rsidR="001852BC">
        <w:t> </w:t>
      </w:r>
      <w:r w:rsidRPr="00E20530" w:rsidR="0086642E">
        <w:t>1 to the Convention</w:t>
      </w:r>
      <w:r w:rsidRPr="00E20530" w:rsidR="008A25DA">
        <w:t xml:space="preserve"> about the non</w:t>
      </w:r>
      <w:r w:rsidRPr="00E20530" w:rsidR="008A25DA">
        <w:noBreakHyphen/>
      </w:r>
      <w:r w:rsidRPr="00E20530" w:rsidR="0086642E">
        <w:t>enforcement of the final judgments in the applicants</w:t>
      </w:r>
      <w:r w:rsidRPr="00E20530" w:rsidR="00E20530">
        <w:t>’</w:t>
      </w:r>
      <w:r w:rsidRPr="00E20530" w:rsidR="0086642E">
        <w:t xml:space="preserve"> favour </w:t>
      </w:r>
      <w:r w:rsidRPr="00E20530" w:rsidR="006E003D">
        <w:t>admissible;</w:t>
      </w:r>
    </w:p>
    <w:p w:rsidRPr="00E20530" w:rsidR="00D420F3" w:rsidP="00E20530" w:rsidRDefault="00D420F3">
      <w:pPr>
        <w:pStyle w:val="JuList"/>
        <w:ind w:left="0" w:firstLine="0"/>
      </w:pPr>
    </w:p>
    <w:p w:rsidRPr="00E20530" w:rsidR="00D420F3" w:rsidP="00E20530" w:rsidRDefault="00D40A3C">
      <w:pPr>
        <w:pStyle w:val="JuList"/>
      </w:pPr>
      <w:r w:rsidRPr="00E20530">
        <w:t>4</w:t>
      </w:r>
      <w:r w:rsidRPr="00E20530" w:rsidR="0077175D">
        <w:t>.  </w:t>
      </w:r>
      <w:r w:rsidRPr="00E20530" w:rsidR="0077175D">
        <w:rPr>
          <w:i/>
        </w:rPr>
        <w:t>Holds</w:t>
      </w:r>
      <w:r w:rsidRPr="00E20530" w:rsidR="0077175D">
        <w:rPr>
          <w:color w:val="000000"/>
        </w:rPr>
        <w:t xml:space="preserve"> </w:t>
      </w:r>
      <w:r w:rsidRPr="00E20530" w:rsidR="0077175D">
        <w:t>that there has been a violation of Article</w:t>
      </w:r>
      <w:r w:rsidRPr="00E20530" w:rsidR="006E003D">
        <w:t xml:space="preserve"> 6 of the </w:t>
      </w:r>
      <w:r w:rsidRPr="00E20530" w:rsidR="00DF61F9">
        <w:t>Convention and Article </w:t>
      </w:r>
      <w:r w:rsidRPr="00E20530" w:rsidR="006E003D">
        <w:t>1 of Protocol No.</w:t>
      </w:r>
      <w:r w:rsidRPr="00E20530" w:rsidR="00DF61F9">
        <w:t> </w:t>
      </w:r>
      <w:r w:rsidRPr="00E20530" w:rsidR="006E003D">
        <w:t>1 to</w:t>
      </w:r>
      <w:r w:rsidRPr="00E20530" w:rsidR="0077175D">
        <w:t xml:space="preserve"> the Convention</w:t>
      </w:r>
      <w:r w:rsidRPr="00E20530" w:rsidR="008A25DA">
        <w:t xml:space="preserve"> on account of the non</w:t>
      </w:r>
      <w:r w:rsidRPr="00E20530" w:rsidR="008A25DA">
        <w:noBreakHyphen/>
      </w:r>
      <w:r w:rsidRPr="00E20530" w:rsidR="0086642E">
        <w:t>enforcement of the judgments in the applicants</w:t>
      </w:r>
      <w:r w:rsidRPr="00E20530" w:rsidR="00E20530">
        <w:t>’</w:t>
      </w:r>
      <w:r w:rsidRPr="00E20530" w:rsidR="0086642E">
        <w:t xml:space="preserve"> favour</w:t>
      </w:r>
      <w:r w:rsidRPr="00E20530" w:rsidR="0077175D">
        <w:t>;</w:t>
      </w:r>
    </w:p>
    <w:p w:rsidRPr="00E20530" w:rsidR="00D420F3" w:rsidP="00E20530" w:rsidRDefault="00D420F3">
      <w:pPr>
        <w:pStyle w:val="JuList"/>
      </w:pPr>
    </w:p>
    <w:p w:rsidRPr="00E20530" w:rsidR="00D420F3" w:rsidP="00E20530" w:rsidRDefault="00D40A3C">
      <w:pPr>
        <w:pStyle w:val="JuList"/>
      </w:pPr>
      <w:r w:rsidRPr="00E20530">
        <w:t>5</w:t>
      </w:r>
      <w:r w:rsidRPr="00E20530" w:rsidR="0077175D">
        <w:t>.  </w:t>
      </w:r>
      <w:r w:rsidRPr="00E20530" w:rsidR="00752D46">
        <w:rPr>
          <w:i/>
        </w:rPr>
        <w:t xml:space="preserve">Decides </w:t>
      </w:r>
      <w:r w:rsidRPr="00E20530" w:rsidR="00752D46">
        <w:t>that it is not necessary to examine separately the admissibility and merits of the applicants</w:t>
      </w:r>
      <w:r w:rsidRPr="00E20530" w:rsidR="00E20530">
        <w:t>’</w:t>
      </w:r>
      <w:r w:rsidRPr="00E20530" w:rsidR="00752D46">
        <w:t xml:space="preserve"> complaint under Article 13</w:t>
      </w:r>
      <w:r w:rsidRPr="00E20530" w:rsidR="003935CD">
        <w:t xml:space="preserve"> of the Convention</w:t>
      </w:r>
      <w:r w:rsidRPr="00E20530" w:rsidR="00752D46">
        <w:t>;</w:t>
      </w:r>
    </w:p>
    <w:p w:rsidRPr="00E20530" w:rsidR="00D420F3" w:rsidP="00E20530" w:rsidRDefault="00D420F3">
      <w:pPr>
        <w:pStyle w:val="JuList"/>
      </w:pPr>
    </w:p>
    <w:p w:rsidRPr="00E20530" w:rsidR="00AB1F29" w:rsidP="00E20530" w:rsidRDefault="00D40A3C">
      <w:pPr>
        <w:pStyle w:val="JuList"/>
      </w:pPr>
      <w:r w:rsidRPr="00E20530">
        <w:t>6</w:t>
      </w:r>
      <w:r w:rsidRPr="00E20530" w:rsidR="0077175D">
        <w:t>.  </w:t>
      </w:r>
      <w:r w:rsidRPr="00E20530" w:rsidR="0077175D">
        <w:rPr>
          <w:i/>
        </w:rPr>
        <w:t>Holds</w:t>
      </w:r>
    </w:p>
    <w:p w:rsidRPr="00E20530" w:rsidR="00D420F3" w:rsidP="00E20530" w:rsidRDefault="0077175D">
      <w:pPr>
        <w:pStyle w:val="JuLista"/>
      </w:pPr>
      <w:r w:rsidRPr="00E20530">
        <w:t>(a)  that the respondent State is to pay the applicant</w:t>
      </w:r>
      <w:r w:rsidRPr="00E20530" w:rsidR="00D26F2B">
        <w:t>s</w:t>
      </w:r>
      <w:r w:rsidRPr="00E20530">
        <w:t xml:space="preserve"> within three months</w:t>
      </w:r>
      <w:r w:rsidRPr="00E20530" w:rsidR="00AB1F29">
        <w:t xml:space="preserve"> </w:t>
      </w:r>
      <w:r w:rsidRPr="00E20530">
        <w:t xml:space="preserve">the following amounts, to be converted into </w:t>
      </w:r>
      <w:r w:rsidRPr="00E20530">
        <w:rPr>
          <w:color w:val="000000"/>
        </w:rPr>
        <w:t>the currency of the respondent State</w:t>
      </w:r>
      <w:r w:rsidRPr="00E20530" w:rsidR="0086642E">
        <w:rPr>
          <w:color w:val="000000"/>
        </w:rPr>
        <w:t xml:space="preserve"> </w:t>
      </w:r>
      <w:r w:rsidRPr="00E20530">
        <w:t>at the rate applicable at the date of settlement:</w:t>
      </w:r>
    </w:p>
    <w:p w:rsidRPr="00E20530" w:rsidR="00D420F3" w:rsidP="00E20530" w:rsidRDefault="0077175D">
      <w:pPr>
        <w:pStyle w:val="JuListi"/>
      </w:pPr>
      <w:r w:rsidRPr="00E20530">
        <w:t>(i)  </w:t>
      </w:r>
      <w:r w:rsidRPr="00E20530" w:rsidR="0051282E">
        <w:t>EUR </w:t>
      </w:r>
      <w:r w:rsidRPr="00E20530" w:rsidR="0086642E">
        <w:t>4,600</w:t>
      </w:r>
      <w:r w:rsidRPr="00E20530">
        <w:t xml:space="preserve"> (</w:t>
      </w:r>
      <w:r w:rsidRPr="00E20530" w:rsidR="0086642E">
        <w:t>four thousand and six hundred</w:t>
      </w:r>
      <w:r w:rsidRPr="00E20530" w:rsidR="00724CFC">
        <w:t xml:space="preserve"> euros)</w:t>
      </w:r>
      <w:r w:rsidRPr="00E20530">
        <w:t>, plus any tax that may be chargeable,</w:t>
      </w:r>
      <w:r w:rsidRPr="00E20530" w:rsidR="0086642E">
        <w:t xml:space="preserve"> to each applicant </w:t>
      </w:r>
      <w:r w:rsidRPr="00E20530">
        <w:t>in respect of pecuniary damage;</w:t>
      </w:r>
    </w:p>
    <w:p w:rsidRPr="00E20530" w:rsidR="00D420F3" w:rsidP="00E20530" w:rsidRDefault="0086642E">
      <w:pPr>
        <w:pStyle w:val="JuListi"/>
      </w:pPr>
      <w:r w:rsidRPr="00E20530">
        <w:t>(ii)  EUR 5,000</w:t>
      </w:r>
      <w:r w:rsidRPr="00E20530" w:rsidR="0077175D">
        <w:t xml:space="preserve"> (</w:t>
      </w:r>
      <w:r w:rsidRPr="00E20530">
        <w:t>five thousand</w:t>
      </w:r>
      <w:r w:rsidRPr="00E20530" w:rsidR="0077175D">
        <w:t xml:space="preserve"> euros), plus any tax that may be chargeable, </w:t>
      </w:r>
      <w:r w:rsidRPr="00E20530" w:rsidR="00724CFC">
        <w:t xml:space="preserve">to each applicant </w:t>
      </w:r>
      <w:r w:rsidRPr="00E20530" w:rsidR="0077175D">
        <w:t>in respect of non-pecuniary damage;</w:t>
      </w:r>
    </w:p>
    <w:p w:rsidRPr="00E20530" w:rsidR="00B21D5C" w:rsidP="00E20530" w:rsidRDefault="0077175D">
      <w:pPr>
        <w:pStyle w:val="JuListi"/>
      </w:pPr>
      <w:r w:rsidRPr="00E20530">
        <w:t>(iii)  </w:t>
      </w:r>
      <w:r w:rsidRPr="00E20530" w:rsidR="00B21D5C">
        <w:t xml:space="preserve">in respect of costs and expenses, </w:t>
      </w:r>
      <w:r w:rsidRPr="00E20530" w:rsidR="00E643B0">
        <w:t xml:space="preserve">the following amounts, </w:t>
      </w:r>
      <w:r w:rsidRPr="00E20530" w:rsidR="00B21D5C">
        <w:t>plus any tax that may be chargeable to the applicants:</w:t>
      </w:r>
    </w:p>
    <w:p w:rsidRPr="00E20530" w:rsidR="00BB629A" w:rsidP="00E20530" w:rsidRDefault="00861D40">
      <w:pPr>
        <w:pStyle w:val="JuListi"/>
      </w:pPr>
      <w:r w:rsidRPr="00E20530">
        <w:rPr>
          <w:rFonts w:cstheme="minorHAnsi"/>
        </w:rPr>
        <w:t>‒</w:t>
      </w:r>
      <w:r w:rsidRPr="00E20530" w:rsidR="00B21D5C">
        <w:t>  </w:t>
      </w:r>
      <w:r w:rsidRPr="00E20530" w:rsidR="00C43FD9">
        <w:t>EUR </w:t>
      </w:r>
      <w:r w:rsidRPr="00E20530" w:rsidR="002C7FA1">
        <w:t>7</w:t>
      </w:r>
      <w:r w:rsidRPr="00E20530">
        <w:t>90</w:t>
      </w:r>
      <w:r w:rsidRPr="00E20530" w:rsidR="00B21D5C">
        <w:t xml:space="preserve"> (</w:t>
      </w:r>
      <w:r w:rsidRPr="00E20530" w:rsidR="002C7FA1">
        <w:t xml:space="preserve">seven </w:t>
      </w:r>
      <w:r w:rsidRPr="00E20530">
        <w:t xml:space="preserve">hundred and ninety </w:t>
      </w:r>
      <w:r w:rsidRPr="00E20530" w:rsidR="008A25DA">
        <w:t>euros) to Ms </w:t>
      </w:r>
      <w:r w:rsidRPr="00E20530" w:rsidR="00B21D5C">
        <w:t>Indayeva,</w:t>
      </w:r>
    </w:p>
    <w:p w:rsidRPr="00E20530" w:rsidR="00B21D5C" w:rsidP="00E20530" w:rsidRDefault="00861D40">
      <w:pPr>
        <w:pStyle w:val="JuListi"/>
      </w:pPr>
      <w:r w:rsidRPr="00E20530">
        <w:rPr>
          <w:rFonts w:cstheme="minorHAnsi"/>
        </w:rPr>
        <w:t>‒</w:t>
      </w:r>
      <w:r w:rsidRPr="00E20530" w:rsidR="00B21D5C">
        <w:t>  EUR</w:t>
      </w:r>
      <w:r w:rsidRPr="00E20530" w:rsidR="00C43FD9">
        <w:t> </w:t>
      </w:r>
      <w:r w:rsidRPr="00E20530" w:rsidR="002C7FA1">
        <w:t>2</w:t>
      </w:r>
      <w:r w:rsidRPr="00E20530">
        <w:t>00</w:t>
      </w:r>
      <w:r w:rsidRPr="00E20530" w:rsidR="00B21D5C">
        <w:t xml:space="preserve"> (</w:t>
      </w:r>
      <w:r w:rsidRPr="00E20530" w:rsidR="002C7FA1">
        <w:t>two</w:t>
      </w:r>
      <w:r w:rsidRPr="00E20530">
        <w:t xml:space="preserve"> hundred</w:t>
      </w:r>
      <w:r w:rsidRPr="00E20530" w:rsidR="00C43FD9">
        <w:t xml:space="preserve"> </w:t>
      </w:r>
      <w:r w:rsidRPr="00E20530" w:rsidR="00B21D5C">
        <w:t>euros) to Mr Sultanov;</w:t>
      </w:r>
    </w:p>
    <w:p w:rsidRPr="00E20530" w:rsidR="00B21D5C" w:rsidP="00E20530" w:rsidRDefault="00B21D5C">
      <w:pPr>
        <w:pStyle w:val="JuLista"/>
      </w:pPr>
    </w:p>
    <w:p w:rsidRPr="00E20530" w:rsidR="00D420F3" w:rsidP="00E20530" w:rsidRDefault="0077175D">
      <w:pPr>
        <w:pStyle w:val="JuLista"/>
      </w:pPr>
      <w:r w:rsidRPr="00E20530">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20530" w:rsidR="00D420F3" w:rsidP="00E20530" w:rsidRDefault="00D420F3">
      <w:pPr>
        <w:pStyle w:val="JuList"/>
      </w:pPr>
    </w:p>
    <w:p w:rsidRPr="00E20530" w:rsidR="00D420F3" w:rsidP="00E20530" w:rsidRDefault="00D40A3C">
      <w:pPr>
        <w:pStyle w:val="JuList"/>
      </w:pPr>
      <w:r w:rsidRPr="00E20530">
        <w:t>7</w:t>
      </w:r>
      <w:r w:rsidRPr="00E20530" w:rsidR="0077175D">
        <w:t>.  </w:t>
      </w:r>
      <w:r w:rsidRPr="00E20530" w:rsidR="0077175D">
        <w:rPr>
          <w:i/>
        </w:rPr>
        <w:t>Dismisses</w:t>
      </w:r>
      <w:r w:rsidRPr="00E20530" w:rsidR="0077175D">
        <w:rPr>
          <w:color w:val="000000"/>
        </w:rPr>
        <w:t xml:space="preserve"> </w:t>
      </w:r>
      <w:r w:rsidRPr="00E20530" w:rsidR="0077175D">
        <w:t>the remainder of the applicant</w:t>
      </w:r>
      <w:r w:rsidRPr="00E20530" w:rsidR="00D26F2B">
        <w:t>s</w:t>
      </w:r>
      <w:r w:rsidRPr="00E20530" w:rsidR="00E20530">
        <w:t>’</w:t>
      </w:r>
      <w:r w:rsidRPr="00E20530" w:rsidR="0077175D">
        <w:t xml:space="preserve"> claim for just satisfaction.</w:t>
      </w:r>
    </w:p>
    <w:p w:rsidRPr="00E20530" w:rsidR="00D420F3" w:rsidP="00E20530" w:rsidRDefault="0077175D">
      <w:pPr>
        <w:pStyle w:val="JuParaLast"/>
      </w:pPr>
      <w:r w:rsidRPr="00E20530">
        <w:t xml:space="preserve">Done in English, and notified in writing on </w:t>
      </w:r>
      <w:r w:rsidRPr="00E20530" w:rsidR="00F85A16">
        <w:t>10 March 2020</w:t>
      </w:r>
      <w:r w:rsidRPr="00E20530">
        <w:t>, pursuant to Rule 77 §§ 2 and 3 of the Rules of Court.</w:t>
      </w:r>
    </w:p>
    <w:p w:rsidRPr="00E20530" w:rsidR="00BF3596" w:rsidP="00E20530" w:rsidRDefault="00F85A16">
      <w:pPr>
        <w:pStyle w:val="JuSigned"/>
        <w:ind w:left="284" w:hanging="284"/>
      </w:pPr>
      <w:r w:rsidRPr="00E20530">
        <w:t>Stephen Phillips</w:t>
      </w:r>
      <w:r w:rsidRPr="00E20530" w:rsidR="0077175D">
        <w:tab/>
      </w:r>
      <w:r w:rsidRPr="00E20530">
        <w:t>Georgios A. Serghides</w:t>
      </w:r>
      <w:r w:rsidRPr="00E20530" w:rsidR="0077175D">
        <w:rPr>
          <w:szCs w:val="24"/>
        </w:rPr>
        <w:br/>
      </w:r>
      <w:r w:rsidRPr="00E20530" w:rsidR="00D26F2B">
        <w:rPr>
          <w:iCs/>
        </w:rPr>
        <w:t>Registrar</w:t>
      </w:r>
      <w:r w:rsidRPr="00E20530" w:rsidR="0077175D">
        <w:tab/>
        <w:t>President</w:t>
      </w:r>
    </w:p>
    <w:sectPr w:rsidRPr="00E20530" w:rsidR="00BF3596" w:rsidSect="00CD544F">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3FBF" w:rsidRPr="009C0C45" w:rsidRDefault="00B73FBF">
      <w:r w:rsidRPr="009C0C45">
        <w:separator/>
      </w:r>
    </w:p>
  </w:endnote>
  <w:endnote w:type="continuationSeparator" w:id="0">
    <w:p w:rsidR="00B73FBF" w:rsidRPr="009C0C45" w:rsidRDefault="00B73FBF">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4F" w:rsidRPr="00150BFA" w:rsidRDefault="00CD544F" w:rsidP="0020718E">
    <w:pPr>
      <w:jc w:val="center"/>
    </w:pPr>
    <w:r>
      <w:rPr>
        <w:noProof/>
        <w:lang w:val="en-US" w:eastAsia="ja-JP"/>
      </w:rPr>
      <w:drawing>
        <wp:inline distT="0" distB="0" distL="0" distR="0" wp14:anchorId="6946FAC0" wp14:editId="630E833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D544F" w:rsidRDefault="00CD544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A16" w:rsidRDefault="00F85A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A16" w:rsidRDefault="00F85A1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A16" w:rsidRPr="00150BFA" w:rsidRDefault="00F85A16" w:rsidP="0020718E">
    <w:pPr>
      <w:jc w:val="center"/>
    </w:pPr>
    <w:r>
      <w:rPr>
        <w:noProof/>
        <w:lang w:val="en-US" w:eastAsia="ja-JP"/>
      </w:rPr>
      <w:drawing>
        <wp:inline distT="0" distB="0" distL="0" distR="0" wp14:anchorId="3502B46C" wp14:editId="43D058EB">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85A16" w:rsidRDefault="00F85A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3FBF" w:rsidRPr="009C0C45" w:rsidRDefault="00B73FBF" w:rsidP="00D420F3">
      <w:r w:rsidRPr="009C0C45">
        <w:separator/>
      </w:r>
    </w:p>
  </w:footnote>
  <w:footnote w:type="continuationSeparator" w:id="0">
    <w:p w:rsidR="00B73FBF" w:rsidRPr="009C0C45" w:rsidRDefault="00B73FBF"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FBF" w:rsidRPr="00CD544F" w:rsidRDefault="00B73FBF" w:rsidP="00CD544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4F" w:rsidRPr="00A45145" w:rsidRDefault="00CD544F" w:rsidP="00A45145">
    <w:pPr>
      <w:jc w:val="center"/>
    </w:pPr>
    <w:r>
      <w:rPr>
        <w:noProof/>
        <w:lang w:val="en-US" w:eastAsia="ja-JP"/>
      </w:rPr>
      <w:drawing>
        <wp:inline distT="0" distB="0" distL="0" distR="0" wp14:anchorId="7BA00010" wp14:editId="442F651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27016" w:rsidRDefault="009270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4F" w:rsidRPr="009C0C45" w:rsidRDefault="00CD544F"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E20530">
      <w:rPr>
        <w:rStyle w:val="PageNumber"/>
        <w:noProof/>
        <w:szCs w:val="18"/>
      </w:rPr>
      <w:t>12</w:t>
    </w:r>
    <w:r>
      <w:rPr>
        <w:rStyle w:val="PageNumber"/>
        <w:szCs w:val="18"/>
      </w:rPr>
      <w:fldChar w:fldCharType="end"/>
    </w:r>
    <w:r w:rsidRPr="009C0C45">
      <w:tab/>
    </w:r>
    <w:r w:rsidR="00E20530">
      <w:tab/>
    </w:r>
    <w:r>
      <w:t>INDAYEVA AND SULTANOV v. RUSSIA</w:t>
    </w:r>
    <w:r w:rsidRPr="009C0C45">
      <w:t xml:space="preserve"> </w:t>
    </w:r>
    <w:r w:rsidR="00F85A16" w:rsidRPr="00F85A16">
      <w:t>JUDGMENT</w:t>
    </w:r>
    <w:r w:rsidR="00E20530">
      <w:tab/>
    </w:r>
    <w:r w:rsidR="00E20530">
      <w:tab/>
    </w:r>
    <w:r w:rsidR="00E20530">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4F" w:rsidRPr="009C0C45" w:rsidRDefault="00CD544F" w:rsidP="00D420F3">
    <w:pPr>
      <w:pStyle w:val="ECHRHeader"/>
    </w:pPr>
    <w:r w:rsidRPr="009C0C45">
      <w:tab/>
    </w:r>
    <w:r w:rsidR="00E20530">
      <w:tab/>
    </w:r>
    <w:r>
      <w:t>INDAYEVA AND SULTANOV v. RUSSIA</w:t>
    </w:r>
    <w:r w:rsidR="00F85A16">
      <w:t xml:space="preserve"> </w:t>
    </w:r>
    <w:r w:rsidRPr="009C0C45">
      <w:rPr>
        <w:noProof/>
      </w:rPr>
      <w:t>J</w:t>
    </w:r>
    <w:r w:rsidR="00F85A16">
      <w:rPr>
        <w:noProof/>
      </w:rPr>
      <w:t>UDGMENT</w:t>
    </w:r>
    <w:r w:rsidR="00E20530">
      <w:rPr>
        <w:noProof/>
      </w:rPr>
      <w:tab/>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E20530">
      <w:rPr>
        <w:rStyle w:val="PageNumber"/>
        <w:noProof/>
        <w:szCs w:val="18"/>
      </w:rPr>
      <w:t>11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A16" w:rsidRPr="00A45145" w:rsidRDefault="00F85A16" w:rsidP="00A45145">
    <w:pPr>
      <w:jc w:val="center"/>
    </w:pPr>
    <w:r>
      <w:rPr>
        <w:noProof/>
        <w:lang w:val="en-US" w:eastAsia="ja-JP"/>
      </w:rPr>
      <w:drawing>
        <wp:inline distT="0" distB="0" distL="0" distR="0" wp14:anchorId="06C5F695" wp14:editId="73917616">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85A16" w:rsidRDefault="00F85A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D26F2B"/>
    <w:rsid w:val="00005D96"/>
    <w:rsid w:val="00013096"/>
    <w:rsid w:val="00021A66"/>
    <w:rsid w:val="00032426"/>
    <w:rsid w:val="000345F1"/>
    <w:rsid w:val="00042214"/>
    <w:rsid w:val="00052C9E"/>
    <w:rsid w:val="000605C5"/>
    <w:rsid w:val="000608F4"/>
    <w:rsid w:val="00077860"/>
    <w:rsid w:val="000903E9"/>
    <w:rsid w:val="00092B75"/>
    <w:rsid w:val="000962CE"/>
    <w:rsid w:val="000A0D01"/>
    <w:rsid w:val="000C1C56"/>
    <w:rsid w:val="000D2F9F"/>
    <w:rsid w:val="000D75D1"/>
    <w:rsid w:val="000E154D"/>
    <w:rsid w:val="000E4618"/>
    <w:rsid w:val="000E6C1D"/>
    <w:rsid w:val="000E7168"/>
    <w:rsid w:val="000F0D00"/>
    <w:rsid w:val="00100B9B"/>
    <w:rsid w:val="00113537"/>
    <w:rsid w:val="00116C1F"/>
    <w:rsid w:val="00117BD6"/>
    <w:rsid w:val="001323D9"/>
    <w:rsid w:val="00135D2D"/>
    <w:rsid w:val="00135F67"/>
    <w:rsid w:val="00142F45"/>
    <w:rsid w:val="001561BF"/>
    <w:rsid w:val="001637DE"/>
    <w:rsid w:val="00170093"/>
    <w:rsid w:val="001704A2"/>
    <w:rsid w:val="00170608"/>
    <w:rsid w:val="001840B9"/>
    <w:rsid w:val="001852BC"/>
    <w:rsid w:val="00191CBF"/>
    <w:rsid w:val="001963DF"/>
    <w:rsid w:val="00197100"/>
    <w:rsid w:val="001A359B"/>
    <w:rsid w:val="001A3D36"/>
    <w:rsid w:val="001A5497"/>
    <w:rsid w:val="001A789D"/>
    <w:rsid w:val="001D41B4"/>
    <w:rsid w:val="001E2108"/>
    <w:rsid w:val="001F7DE2"/>
    <w:rsid w:val="002140C4"/>
    <w:rsid w:val="00223369"/>
    <w:rsid w:val="002325AB"/>
    <w:rsid w:val="00237081"/>
    <w:rsid w:val="0026181A"/>
    <w:rsid w:val="002665EA"/>
    <w:rsid w:val="00280BCD"/>
    <w:rsid w:val="002842EC"/>
    <w:rsid w:val="002B0993"/>
    <w:rsid w:val="002B09EA"/>
    <w:rsid w:val="002C7FA1"/>
    <w:rsid w:val="002E7C01"/>
    <w:rsid w:val="002F36C1"/>
    <w:rsid w:val="002F419C"/>
    <w:rsid w:val="00303CCE"/>
    <w:rsid w:val="0031328F"/>
    <w:rsid w:val="00313DA2"/>
    <w:rsid w:val="00315C08"/>
    <w:rsid w:val="0031660B"/>
    <w:rsid w:val="003640EC"/>
    <w:rsid w:val="00391045"/>
    <w:rsid w:val="003935CD"/>
    <w:rsid w:val="003A790A"/>
    <w:rsid w:val="003F157C"/>
    <w:rsid w:val="00403E58"/>
    <w:rsid w:val="004046DA"/>
    <w:rsid w:val="004054CC"/>
    <w:rsid w:val="0040727A"/>
    <w:rsid w:val="00414DBB"/>
    <w:rsid w:val="00420648"/>
    <w:rsid w:val="00435418"/>
    <w:rsid w:val="0043680F"/>
    <w:rsid w:val="004434CB"/>
    <w:rsid w:val="00451013"/>
    <w:rsid w:val="004529D4"/>
    <w:rsid w:val="00491FAE"/>
    <w:rsid w:val="004942E3"/>
    <w:rsid w:val="004A0A1E"/>
    <w:rsid w:val="004B1C0B"/>
    <w:rsid w:val="004B61BF"/>
    <w:rsid w:val="004C0868"/>
    <w:rsid w:val="004D3061"/>
    <w:rsid w:val="004D5474"/>
    <w:rsid w:val="004D7618"/>
    <w:rsid w:val="004E1139"/>
    <w:rsid w:val="0051282E"/>
    <w:rsid w:val="00520645"/>
    <w:rsid w:val="0053663C"/>
    <w:rsid w:val="005374D3"/>
    <w:rsid w:val="00545909"/>
    <w:rsid w:val="005521B9"/>
    <w:rsid w:val="00557C6A"/>
    <w:rsid w:val="005752A3"/>
    <w:rsid w:val="00577113"/>
    <w:rsid w:val="005A4C38"/>
    <w:rsid w:val="005B6128"/>
    <w:rsid w:val="005D1737"/>
    <w:rsid w:val="005D4615"/>
    <w:rsid w:val="005E3685"/>
    <w:rsid w:val="005E4D9F"/>
    <w:rsid w:val="005E5B09"/>
    <w:rsid w:val="00611664"/>
    <w:rsid w:val="00611824"/>
    <w:rsid w:val="00624141"/>
    <w:rsid w:val="00627251"/>
    <w:rsid w:val="00630F58"/>
    <w:rsid w:val="00634512"/>
    <w:rsid w:val="00655E4B"/>
    <w:rsid w:val="0066159F"/>
    <w:rsid w:val="006640DD"/>
    <w:rsid w:val="006905D1"/>
    <w:rsid w:val="00693B6E"/>
    <w:rsid w:val="006967DD"/>
    <w:rsid w:val="006A6CCF"/>
    <w:rsid w:val="006A7029"/>
    <w:rsid w:val="006D592C"/>
    <w:rsid w:val="006E003D"/>
    <w:rsid w:val="006F3765"/>
    <w:rsid w:val="006F727A"/>
    <w:rsid w:val="00704D3E"/>
    <w:rsid w:val="007052BA"/>
    <w:rsid w:val="0070699E"/>
    <w:rsid w:val="00707E91"/>
    <w:rsid w:val="00724CFC"/>
    <w:rsid w:val="00740BBF"/>
    <w:rsid w:val="00742D72"/>
    <w:rsid w:val="00746783"/>
    <w:rsid w:val="00752D46"/>
    <w:rsid w:val="0075366C"/>
    <w:rsid w:val="007632E7"/>
    <w:rsid w:val="00767AC3"/>
    <w:rsid w:val="00770277"/>
    <w:rsid w:val="0077175D"/>
    <w:rsid w:val="007839F2"/>
    <w:rsid w:val="00784B3C"/>
    <w:rsid w:val="0079251F"/>
    <w:rsid w:val="00792721"/>
    <w:rsid w:val="007A562C"/>
    <w:rsid w:val="007A6975"/>
    <w:rsid w:val="007C012D"/>
    <w:rsid w:val="007E1F4F"/>
    <w:rsid w:val="0081061E"/>
    <w:rsid w:val="00811B1E"/>
    <w:rsid w:val="00812DD0"/>
    <w:rsid w:val="0081615D"/>
    <w:rsid w:val="00816DD1"/>
    <w:rsid w:val="008239D5"/>
    <w:rsid w:val="00825BF5"/>
    <w:rsid w:val="00830DAC"/>
    <w:rsid w:val="008318E9"/>
    <w:rsid w:val="00856A13"/>
    <w:rsid w:val="00861663"/>
    <w:rsid w:val="00861D40"/>
    <w:rsid w:val="0086642E"/>
    <w:rsid w:val="0086646B"/>
    <w:rsid w:val="008702FC"/>
    <w:rsid w:val="008711C4"/>
    <w:rsid w:val="0087267C"/>
    <w:rsid w:val="0087399C"/>
    <w:rsid w:val="00877670"/>
    <w:rsid w:val="00892176"/>
    <w:rsid w:val="008941EA"/>
    <w:rsid w:val="008A25DA"/>
    <w:rsid w:val="008A31DC"/>
    <w:rsid w:val="008E41FD"/>
    <w:rsid w:val="008F7D59"/>
    <w:rsid w:val="00905BEE"/>
    <w:rsid w:val="00927016"/>
    <w:rsid w:val="009331B3"/>
    <w:rsid w:val="00953A54"/>
    <w:rsid w:val="00954823"/>
    <w:rsid w:val="009559D6"/>
    <w:rsid w:val="00956679"/>
    <w:rsid w:val="009748ED"/>
    <w:rsid w:val="00980CB0"/>
    <w:rsid w:val="0099069E"/>
    <w:rsid w:val="009A130A"/>
    <w:rsid w:val="009A3F5D"/>
    <w:rsid w:val="009A4648"/>
    <w:rsid w:val="009A7479"/>
    <w:rsid w:val="009A79EB"/>
    <w:rsid w:val="009B020F"/>
    <w:rsid w:val="009B5705"/>
    <w:rsid w:val="009C0C45"/>
    <w:rsid w:val="009D3A16"/>
    <w:rsid w:val="009D4192"/>
    <w:rsid w:val="009F3566"/>
    <w:rsid w:val="00A01353"/>
    <w:rsid w:val="00A044A5"/>
    <w:rsid w:val="00A04948"/>
    <w:rsid w:val="00A06235"/>
    <w:rsid w:val="00A06288"/>
    <w:rsid w:val="00A062F4"/>
    <w:rsid w:val="00A155CB"/>
    <w:rsid w:val="00A15816"/>
    <w:rsid w:val="00A277C6"/>
    <w:rsid w:val="00A35324"/>
    <w:rsid w:val="00A4344D"/>
    <w:rsid w:val="00A43F33"/>
    <w:rsid w:val="00A46883"/>
    <w:rsid w:val="00A470C2"/>
    <w:rsid w:val="00A51BDE"/>
    <w:rsid w:val="00A554AA"/>
    <w:rsid w:val="00A65F14"/>
    <w:rsid w:val="00A7493C"/>
    <w:rsid w:val="00A81B86"/>
    <w:rsid w:val="00A821C8"/>
    <w:rsid w:val="00A845E7"/>
    <w:rsid w:val="00A87FEF"/>
    <w:rsid w:val="00AA0B36"/>
    <w:rsid w:val="00AB067B"/>
    <w:rsid w:val="00AB1F29"/>
    <w:rsid w:val="00AC142A"/>
    <w:rsid w:val="00AC2A83"/>
    <w:rsid w:val="00AC3E1B"/>
    <w:rsid w:val="00AD1AD6"/>
    <w:rsid w:val="00AE5B6F"/>
    <w:rsid w:val="00AE6A77"/>
    <w:rsid w:val="00AF135B"/>
    <w:rsid w:val="00B00286"/>
    <w:rsid w:val="00B0786B"/>
    <w:rsid w:val="00B12D22"/>
    <w:rsid w:val="00B21D5C"/>
    <w:rsid w:val="00B30F64"/>
    <w:rsid w:val="00B5502F"/>
    <w:rsid w:val="00B600B2"/>
    <w:rsid w:val="00B60403"/>
    <w:rsid w:val="00B622EE"/>
    <w:rsid w:val="00B64159"/>
    <w:rsid w:val="00B73FBF"/>
    <w:rsid w:val="00B8409B"/>
    <w:rsid w:val="00B84395"/>
    <w:rsid w:val="00B9738F"/>
    <w:rsid w:val="00BB32C3"/>
    <w:rsid w:val="00BB3AD7"/>
    <w:rsid w:val="00BB629A"/>
    <w:rsid w:val="00BB70EB"/>
    <w:rsid w:val="00BC05B2"/>
    <w:rsid w:val="00BC1050"/>
    <w:rsid w:val="00BC334C"/>
    <w:rsid w:val="00BC624B"/>
    <w:rsid w:val="00BD59E8"/>
    <w:rsid w:val="00BD5B15"/>
    <w:rsid w:val="00BE0328"/>
    <w:rsid w:val="00BE185F"/>
    <w:rsid w:val="00BE7611"/>
    <w:rsid w:val="00BF3596"/>
    <w:rsid w:val="00BF5C64"/>
    <w:rsid w:val="00C16B04"/>
    <w:rsid w:val="00C31A1F"/>
    <w:rsid w:val="00C34DAC"/>
    <w:rsid w:val="00C3518D"/>
    <w:rsid w:val="00C36299"/>
    <w:rsid w:val="00C40216"/>
    <w:rsid w:val="00C43FD9"/>
    <w:rsid w:val="00C51BF5"/>
    <w:rsid w:val="00C52829"/>
    <w:rsid w:val="00C538D7"/>
    <w:rsid w:val="00C55015"/>
    <w:rsid w:val="00C57C53"/>
    <w:rsid w:val="00C631F5"/>
    <w:rsid w:val="00C65F9E"/>
    <w:rsid w:val="00C67FBA"/>
    <w:rsid w:val="00C81A34"/>
    <w:rsid w:val="00C87BB8"/>
    <w:rsid w:val="00C91488"/>
    <w:rsid w:val="00C917F6"/>
    <w:rsid w:val="00CA1053"/>
    <w:rsid w:val="00CA3F5F"/>
    <w:rsid w:val="00CB20C3"/>
    <w:rsid w:val="00CB7FEC"/>
    <w:rsid w:val="00CC3DE3"/>
    <w:rsid w:val="00CD544F"/>
    <w:rsid w:val="00CE50A6"/>
    <w:rsid w:val="00CF415E"/>
    <w:rsid w:val="00D003BE"/>
    <w:rsid w:val="00D207A8"/>
    <w:rsid w:val="00D226C4"/>
    <w:rsid w:val="00D26698"/>
    <w:rsid w:val="00D26F2B"/>
    <w:rsid w:val="00D40A3C"/>
    <w:rsid w:val="00D40D63"/>
    <w:rsid w:val="00D40FE1"/>
    <w:rsid w:val="00D420F3"/>
    <w:rsid w:val="00D44FC5"/>
    <w:rsid w:val="00D515A2"/>
    <w:rsid w:val="00D63FEA"/>
    <w:rsid w:val="00D6420C"/>
    <w:rsid w:val="00D65A5C"/>
    <w:rsid w:val="00D72CE7"/>
    <w:rsid w:val="00D80301"/>
    <w:rsid w:val="00D82B05"/>
    <w:rsid w:val="00D93CA9"/>
    <w:rsid w:val="00DA1A24"/>
    <w:rsid w:val="00DA78EB"/>
    <w:rsid w:val="00DB7CDB"/>
    <w:rsid w:val="00DD0A1C"/>
    <w:rsid w:val="00DF523B"/>
    <w:rsid w:val="00DF5991"/>
    <w:rsid w:val="00DF61F9"/>
    <w:rsid w:val="00DF7D47"/>
    <w:rsid w:val="00E028F4"/>
    <w:rsid w:val="00E051CA"/>
    <w:rsid w:val="00E13E82"/>
    <w:rsid w:val="00E14A56"/>
    <w:rsid w:val="00E15746"/>
    <w:rsid w:val="00E20530"/>
    <w:rsid w:val="00E20E6B"/>
    <w:rsid w:val="00E21B6F"/>
    <w:rsid w:val="00E30624"/>
    <w:rsid w:val="00E534EB"/>
    <w:rsid w:val="00E54BE6"/>
    <w:rsid w:val="00E54CBE"/>
    <w:rsid w:val="00E6357F"/>
    <w:rsid w:val="00E643B0"/>
    <w:rsid w:val="00E6661D"/>
    <w:rsid w:val="00E71CDE"/>
    <w:rsid w:val="00E86173"/>
    <w:rsid w:val="00E87134"/>
    <w:rsid w:val="00EA1D15"/>
    <w:rsid w:val="00EC4ACB"/>
    <w:rsid w:val="00EC64D3"/>
    <w:rsid w:val="00ED4885"/>
    <w:rsid w:val="00EF1568"/>
    <w:rsid w:val="00EF3A6B"/>
    <w:rsid w:val="00EF58C2"/>
    <w:rsid w:val="00F10C72"/>
    <w:rsid w:val="00F11D8F"/>
    <w:rsid w:val="00F30E50"/>
    <w:rsid w:val="00F32CF5"/>
    <w:rsid w:val="00F4003B"/>
    <w:rsid w:val="00F57EC0"/>
    <w:rsid w:val="00F61625"/>
    <w:rsid w:val="00F62D54"/>
    <w:rsid w:val="00F67934"/>
    <w:rsid w:val="00F716FD"/>
    <w:rsid w:val="00F83ED5"/>
    <w:rsid w:val="00F85A16"/>
    <w:rsid w:val="00F93305"/>
    <w:rsid w:val="00FA01A4"/>
    <w:rsid w:val="00FA0D70"/>
    <w:rsid w:val="00FA4B2D"/>
    <w:rsid w:val="00FA4F8F"/>
    <w:rsid w:val="00FC0DAC"/>
    <w:rsid w:val="00FC1C5C"/>
    <w:rsid w:val="00FD22CF"/>
    <w:rsid w:val="00FF6A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20530"/>
    <w:pPr>
      <w:jc w:val="both"/>
    </w:pPr>
    <w:rPr>
      <w:rFonts w:eastAsiaTheme="minorEastAsia"/>
      <w:sz w:val="24"/>
      <w:lang w:val="en-GB"/>
    </w:rPr>
  </w:style>
  <w:style w:type="paragraph" w:styleId="Heading1">
    <w:name w:val="heading 1"/>
    <w:basedOn w:val="Normal"/>
    <w:next w:val="Normal"/>
    <w:link w:val="Heading1Char"/>
    <w:uiPriority w:val="99"/>
    <w:semiHidden/>
    <w:rsid w:val="00E2053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2053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2053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2053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2053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2053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2053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2053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2053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20530"/>
    <w:rPr>
      <w:rFonts w:ascii="Tahoma" w:hAnsi="Tahoma" w:cs="Tahoma"/>
      <w:sz w:val="16"/>
      <w:szCs w:val="16"/>
    </w:rPr>
  </w:style>
  <w:style w:type="character" w:customStyle="1" w:styleId="BalloonTextChar">
    <w:name w:val="Balloon Text Char"/>
    <w:basedOn w:val="DefaultParagraphFont"/>
    <w:link w:val="BalloonText"/>
    <w:uiPriority w:val="99"/>
    <w:semiHidden/>
    <w:rsid w:val="00E20530"/>
    <w:rPr>
      <w:rFonts w:ascii="Tahoma" w:eastAsiaTheme="minorEastAsia" w:hAnsi="Tahoma" w:cs="Tahoma"/>
      <w:sz w:val="16"/>
      <w:szCs w:val="16"/>
      <w:lang w:val="en-GB"/>
    </w:rPr>
  </w:style>
  <w:style w:type="character" w:styleId="BookTitle">
    <w:name w:val="Book Title"/>
    <w:uiPriority w:val="99"/>
    <w:semiHidden/>
    <w:qFormat/>
    <w:rsid w:val="00E20530"/>
    <w:rPr>
      <w:i/>
      <w:iCs/>
      <w:smallCaps/>
      <w:spacing w:val="5"/>
    </w:rPr>
  </w:style>
  <w:style w:type="paragraph" w:customStyle="1" w:styleId="ECHRHeader">
    <w:name w:val="ECHR_Header"/>
    <w:aliases w:val="Ju_Header"/>
    <w:basedOn w:val="Header"/>
    <w:uiPriority w:val="4"/>
    <w:qFormat/>
    <w:rsid w:val="00E20530"/>
    <w:pPr>
      <w:tabs>
        <w:tab w:val="clear" w:pos="4536"/>
        <w:tab w:val="clear" w:pos="9072"/>
      </w:tabs>
      <w:jc w:val="center"/>
    </w:pPr>
    <w:rPr>
      <w:sz w:val="18"/>
    </w:rPr>
  </w:style>
  <w:style w:type="paragraph" w:customStyle="1" w:styleId="ECHRFooter">
    <w:name w:val="ECHR_Footer"/>
    <w:aliases w:val="Footer_ECHR"/>
    <w:basedOn w:val="Footer"/>
    <w:uiPriority w:val="57"/>
    <w:semiHidden/>
    <w:rsid w:val="00E20530"/>
    <w:pPr>
      <w:jc w:val="left"/>
    </w:pPr>
    <w:rPr>
      <w:sz w:val="8"/>
    </w:rPr>
  </w:style>
  <w:style w:type="character" w:styleId="Strong">
    <w:name w:val="Strong"/>
    <w:uiPriority w:val="99"/>
    <w:semiHidden/>
    <w:qFormat/>
    <w:rsid w:val="00E20530"/>
    <w:rPr>
      <w:b/>
      <w:bCs/>
    </w:rPr>
  </w:style>
  <w:style w:type="paragraph" w:styleId="NoSpacing">
    <w:name w:val="No Spacing"/>
    <w:basedOn w:val="Normal"/>
    <w:link w:val="NoSpacingChar"/>
    <w:semiHidden/>
    <w:qFormat/>
    <w:rsid w:val="00E20530"/>
    <w:rPr>
      <w:sz w:val="22"/>
      <w:lang w:val="en-US"/>
    </w:rPr>
  </w:style>
  <w:style w:type="character" w:customStyle="1" w:styleId="NoSpacingChar">
    <w:name w:val="No Spacing Char"/>
    <w:basedOn w:val="DefaultParagraphFont"/>
    <w:link w:val="NoSpacing"/>
    <w:semiHidden/>
    <w:rsid w:val="00E20530"/>
    <w:rPr>
      <w:rFonts w:eastAsiaTheme="minorEastAsia"/>
    </w:rPr>
  </w:style>
  <w:style w:type="paragraph" w:customStyle="1" w:styleId="ECHRFooterLine">
    <w:name w:val="ECHR_Footer_Line"/>
    <w:aliases w:val="Footer_Line"/>
    <w:basedOn w:val="Normal"/>
    <w:next w:val="ECHRFooter"/>
    <w:uiPriority w:val="57"/>
    <w:semiHidden/>
    <w:rsid w:val="00E20530"/>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E20530"/>
    <w:pPr>
      <w:numPr>
        <w:numId w:val="20"/>
      </w:numPr>
      <w:jc w:val="left"/>
    </w:pPr>
    <w:rPr>
      <w:b/>
    </w:rPr>
  </w:style>
  <w:style w:type="paragraph" w:customStyle="1" w:styleId="DummyStyle">
    <w:name w:val="Dummy_Style"/>
    <w:basedOn w:val="Normal"/>
    <w:semiHidden/>
    <w:qFormat/>
    <w:rsid w:val="00E20530"/>
    <w:rPr>
      <w:color w:val="00B050"/>
    </w:rPr>
  </w:style>
  <w:style w:type="paragraph" w:customStyle="1" w:styleId="JuParaSub">
    <w:name w:val="Ju_Para_Sub"/>
    <w:basedOn w:val="ECHRPara"/>
    <w:uiPriority w:val="13"/>
    <w:qFormat/>
    <w:rsid w:val="00E20530"/>
    <w:pPr>
      <w:ind w:left="284"/>
    </w:pPr>
  </w:style>
  <w:style w:type="paragraph" w:customStyle="1" w:styleId="ECHRTitleCentre3">
    <w:name w:val="ECHR_Title_Centre_3"/>
    <w:aliases w:val="Ju_H_Article"/>
    <w:basedOn w:val="Normal"/>
    <w:next w:val="ECHRParaQuote"/>
    <w:uiPriority w:val="27"/>
    <w:qFormat/>
    <w:rsid w:val="00E2053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20530"/>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E20530"/>
    <w:pPr>
      <w:ind w:left="635" w:hanging="357"/>
      <w:outlineLvl w:val="2"/>
    </w:pPr>
  </w:style>
  <w:style w:type="paragraph" w:customStyle="1" w:styleId="OpiHa">
    <w:name w:val="Opi_H_a"/>
    <w:basedOn w:val="ECHRHeading3"/>
    <w:uiPriority w:val="43"/>
    <w:qFormat/>
    <w:rsid w:val="00E20530"/>
    <w:pPr>
      <w:ind w:left="833" w:hanging="357"/>
      <w:outlineLvl w:val="3"/>
    </w:pPr>
    <w:rPr>
      <w:b/>
      <w:i w:val="0"/>
      <w:sz w:val="20"/>
    </w:rPr>
  </w:style>
  <w:style w:type="paragraph" w:customStyle="1" w:styleId="OpiHA0">
    <w:name w:val="Opi_H_A"/>
    <w:basedOn w:val="ECHRHeading1"/>
    <w:next w:val="OpiPara"/>
    <w:uiPriority w:val="41"/>
    <w:qFormat/>
    <w:rsid w:val="00E20530"/>
    <w:pPr>
      <w:tabs>
        <w:tab w:val="clear" w:pos="357"/>
      </w:tabs>
      <w:outlineLvl w:val="1"/>
    </w:pPr>
    <w:rPr>
      <w:b/>
    </w:rPr>
  </w:style>
  <w:style w:type="paragraph" w:customStyle="1" w:styleId="ECHRTitleCentre2">
    <w:name w:val="ECHR_Title_Centre_2"/>
    <w:aliases w:val="Dec_H_Case"/>
    <w:basedOn w:val="Normal"/>
    <w:next w:val="ECHRPara"/>
    <w:uiPriority w:val="8"/>
    <w:qFormat/>
    <w:rsid w:val="00E20530"/>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E20530"/>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E2053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2053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E20530"/>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2053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20530"/>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2053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20530"/>
    <w:pPr>
      <w:keepNext/>
      <w:keepLines/>
      <w:spacing w:before="240" w:after="120"/>
      <w:ind w:left="1236"/>
    </w:pPr>
    <w:rPr>
      <w:sz w:val="20"/>
      <w:lang w:val="en-GB"/>
    </w:rPr>
  </w:style>
  <w:style w:type="paragraph" w:customStyle="1" w:styleId="JuQuotSub">
    <w:name w:val="Ju_Quot_Sub"/>
    <w:basedOn w:val="ECHRParaQuote"/>
    <w:uiPriority w:val="15"/>
    <w:qFormat/>
    <w:rsid w:val="00E20530"/>
    <w:pPr>
      <w:ind w:left="567"/>
    </w:pPr>
  </w:style>
  <w:style w:type="paragraph" w:customStyle="1" w:styleId="JuInitialled">
    <w:name w:val="Ju_Initialled"/>
    <w:basedOn w:val="Normal"/>
    <w:uiPriority w:val="31"/>
    <w:qFormat/>
    <w:rsid w:val="00E20530"/>
    <w:pPr>
      <w:tabs>
        <w:tab w:val="center" w:pos="6407"/>
      </w:tabs>
      <w:spacing w:before="720"/>
      <w:jc w:val="right"/>
    </w:pPr>
  </w:style>
  <w:style w:type="paragraph" w:customStyle="1" w:styleId="OpiHi">
    <w:name w:val="Opi_H_i"/>
    <w:basedOn w:val="ECHRHeading4"/>
    <w:uiPriority w:val="44"/>
    <w:qFormat/>
    <w:rsid w:val="00E20530"/>
    <w:pPr>
      <w:ind w:left="1037" w:hanging="357"/>
      <w:outlineLvl w:val="4"/>
    </w:pPr>
    <w:rPr>
      <w:b w:val="0"/>
      <w:i/>
    </w:rPr>
  </w:style>
  <w:style w:type="paragraph" w:styleId="Header">
    <w:name w:val="header"/>
    <w:basedOn w:val="Normal"/>
    <w:link w:val="HeaderChar"/>
    <w:uiPriority w:val="57"/>
    <w:semiHidden/>
    <w:rsid w:val="00E2053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20530"/>
    <w:rPr>
      <w:sz w:val="24"/>
      <w:lang w:val="en-GB"/>
    </w:rPr>
  </w:style>
  <w:style w:type="character" w:customStyle="1" w:styleId="Heading1Char">
    <w:name w:val="Heading 1 Char"/>
    <w:basedOn w:val="DefaultParagraphFont"/>
    <w:link w:val="Heading1"/>
    <w:uiPriority w:val="99"/>
    <w:semiHidden/>
    <w:rsid w:val="00E20530"/>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E2053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20530"/>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20530"/>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E20530"/>
    <w:rPr>
      <w:caps w:val="0"/>
      <w:smallCaps/>
    </w:rPr>
  </w:style>
  <w:style w:type="paragraph" w:customStyle="1" w:styleId="JuCase">
    <w:name w:val="Ju_Case"/>
    <w:basedOn w:val="Normal"/>
    <w:next w:val="ECHRPara"/>
    <w:uiPriority w:val="10"/>
    <w:rsid w:val="00E20530"/>
    <w:pPr>
      <w:ind w:firstLine="284"/>
    </w:pPr>
    <w:rPr>
      <w:b/>
    </w:rPr>
  </w:style>
  <w:style w:type="character" w:customStyle="1" w:styleId="Heading3Char">
    <w:name w:val="Heading 3 Char"/>
    <w:basedOn w:val="DefaultParagraphFont"/>
    <w:link w:val="Heading3"/>
    <w:uiPriority w:val="99"/>
    <w:semiHidden/>
    <w:rsid w:val="00E20530"/>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E20530"/>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E20530"/>
    <w:rPr>
      <w:rFonts w:asciiTheme="majorHAnsi" w:eastAsiaTheme="majorEastAsia" w:hAnsiTheme="majorHAnsi" w:cstheme="majorBidi"/>
      <w:b/>
      <w:bCs/>
      <w:color w:val="808080"/>
    </w:rPr>
  </w:style>
  <w:style w:type="character" w:styleId="SubtleEmphasis">
    <w:name w:val="Subtle Emphasis"/>
    <w:uiPriority w:val="99"/>
    <w:semiHidden/>
    <w:qFormat/>
    <w:rsid w:val="00E2053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20530"/>
    <w:pPr>
      <w:keepNext/>
      <w:keepLines/>
      <w:spacing w:before="720" w:after="240"/>
      <w:outlineLvl w:val="0"/>
    </w:pPr>
    <w:rPr>
      <w:rFonts w:asciiTheme="majorHAnsi" w:hAnsiTheme="majorHAnsi"/>
      <w:sz w:val="28"/>
    </w:rPr>
  </w:style>
  <w:style w:type="character" w:styleId="Emphasis">
    <w:name w:val="Emphasis"/>
    <w:uiPriority w:val="99"/>
    <w:semiHidden/>
    <w:qFormat/>
    <w:rsid w:val="00E20530"/>
    <w:rPr>
      <w:b/>
      <w:bCs/>
      <w:i/>
      <w:iCs/>
      <w:spacing w:val="10"/>
      <w:bdr w:val="none" w:sz="0" w:space="0" w:color="auto"/>
      <w:shd w:val="clear" w:color="auto" w:fill="auto"/>
    </w:rPr>
  </w:style>
  <w:style w:type="paragraph" w:styleId="Footer">
    <w:name w:val="footer"/>
    <w:basedOn w:val="Normal"/>
    <w:link w:val="FooterChar"/>
    <w:uiPriority w:val="57"/>
    <w:semiHidden/>
    <w:rsid w:val="00E2053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20530"/>
    <w:rPr>
      <w:sz w:val="24"/>
      <w:lang w:val="en-GB"/>
    </w:rPr>
  </w:style>
  <w:style w:type="character" w:styleId="FootnoteReference">
    <w:name w:val="footnote reference"/>
    <w:basedOn w:val="DefaultParagraphFont"/>
    <w:uiPriority w:val="99"/>
    <w:semiHidden/>
    <w:rsid w:val="00E20530"/>
    <w:rPr>
      <w:vertAlign w:val="superscript"/>
    </w:rPr>
  </w:style>
  <w:style w:type="paragraph" w:styleId="FootnoteText">
    <w:name w:val="footnote text"/>
    <w:basedOn w:val="Normal"/>
    <w:link w:val="FootnoteTextChar"/>
    <w:uiPriority w:val="99"/>
    <w:semiHidden/>
    <w:rsid w:val="00E20530"/>
    <w:rPr>
      <w:sz w:val="20"/>
      <w:szCs w:val="20"/>
    </w:rPr>
  </w:style>
  <w:style w:type="character" w:customStyle="1" w:styleId="FootnoteTextChar">
    <w:name w:val="Footnote Text Char"/>
    <w:basedOn w:val="DefaultParagraphFont"/>
    <w:link w:val="FootnoteText"/>
    <w:uiPriority w:val="99"/>
    <w:semiHidden/>
    <w:rsid w:val="00E20530"/>
    <w:rPr>
      <w:rFonts w:eastAsiaTheme="minorEastAsia"/>
      <w:sz w:val="20"/>
      <w:szCs w:val="20"/>
      <w:lang w:val="en-GB"/>
    </w:rPr>
  </w:style>
  <w:style w:type="character" w:customStyle="1" w:styleId="Heading6Char">
    <w:name w:val="Heading 6 Char"/>
    <w:basedOn w:val="DefaultParagraphFont"/>
    <w:link w:val="Heading6"/>
    <w:uiPriority w:val="99"/>
    <w:semiHidden/>
    <w:rsid w:val="00E2053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2053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2053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2053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20530"/>
    <w:rPr>
      <w:color w:val="0072BC" w:themeColor="hyperlink"/>
      <w:u w:val="single"/>
    </w:rPr>
  </w:style>
  <w:style w:type="character" w:styleId="IntenseEmphasis">
    <w:name w:val="Intense Emphasis"/>
    <w:uiPriority w:val="99"/>
    <w:semiHidden/>
    <w:qFormat/>
    <w:rsid w:val="00E20530"/>
    <w:rPr>
      <w:b/>
      <w:bCs/>
    </w:rPr>
  </w:style>
  <w:style w:type="paragraph" w:styleId="IntenseQuote">
    <w:name w:val="Intense Quote"/>
    <w:basedOn w:val="Normal"/>
    <w:next w:val="Normal"/>
    <w:link w:val="IntenseQuoteChar"/>
    <w:uiPriority w:val="99"/>
    <w:semiHidden/>
    <w:qFormat/>
    <w:rsid w:val="00E2053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20530"/>
    <w:rPr>
      <w:rFonts w:eastAsiaTheme="minorEastAsia"/>
      <w:b/>
      <w:bCs/>
      <w:i/>
      <w:iCs/>
      <w:lang w:bidi="en-US"/>
    </w:rPr>
  </w:style>
  <w:style w:type="character" w:styleId="IntenseReference">
    <w:name w:val="Intense Reference"/>
    <w:uiPriority w:val="99"/>
    <w:semiHidden/>
    <w:qFormat/>
    <w:rsid w:val="00E20530"/>
    <w:rPr>
      <w:smallCaps/>
      <w:spacing w:val="5"/>
      <w:u w:val="single"/>
    </w:rPr>
  </w:style>
  <w:style w:type="paragraph" w:styleId="ListParagraph">
    <w:name w:val="List Paragraph"/>
    <w:basedOn w:val="Normal"/>
    <w:uiPriority w:val="99"/>
    <w:semiHidden/>
    <w:qFormat/>
    <w:rsid w:val="00E2053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2053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20530"/>
    <w:rPr>
      <w:rFonts w:eastAsiaTheme="minorEastAsia"/>
      <w:i/>
      <w:iCs/>
      <w:lang w:bidi="en-US"/>
    </w:rPr>
  </w:style>
  <w:style w:type="character" w:styleId="SubtleReference">
    <w:name w:val="Subtle Reference"/>
    <w:uiPriority w:val="99"/>
    <w:semiHidden/>
    <w:qFormat/>
    <w:rsid w:val="00E20530"/>
    <w:rPr>
      <w:smallCaps/>
    </w:rPr>
  </w:style>
  <w:style w:type="table" w:styleId="TableGrid">
    <w:name w:val="Table Grid"/>
    <w:basedOn w:val="TableNormal"/>
    <w:uiPriority w:val="59"/>
    <w:semiHidden/>
    <w:rsid w:val="00E2053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2053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2053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2053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2053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2053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2053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2053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E20530"/>
    <w:pPr>
      <w:spacing w:before="120" w:after="120"/>
      <w:ind w:left="425" w:firstLine="142"/>
    </w:pPr>
    <w:rPr>
      <w:sz w:val="20"/>
    </w:rPr>
  </w:style>
  <w:style w:type="paragraph" w:customStyle="1" w:styleId="ECHRPara">
    <w:name w:val="ECHR_Para"/>
    <w:aliases w:val="Ju_Para"/>
    <w:basedOn w:val="Normal"/>
    <w:link w:val="ECHRParaChar"/>
    <w:uiPriority w:val="12"/>
    <w:qFormat/>
    <w:rsid w:val="00E20530"/>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205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E20530"/>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E20530"/>
    <w:pPr>
      <w:ind w:left="340" w:hanging="340"/>
    </w:pPr>
  </w:style>
  <w:style w:type="paragraph" w:customStyle="1" w:styleId="JuSigned">
    <w:name w:val="Ju_Signed"/>
    <w:basedOn w:val="Normal"/>
    <w:next w:val="JuParaLast"/>
    <w:uiPriority w:val="32"/>
    <w:qFormat/>
    <w:rsid w:val="00E20530"/>
    <w:pPr>
      <w:tabs>
        <w:tab w:val="center" w:pos="851"/>
        <w:tab w:val="center" w:pos="6407"/>
      </w:tabs>
      <w:spacing w:before="720"/>
      <w:jc w:val="left"/>
    </w:pPr>
  </w:style>
  <w:style w:type="paragraph" w:customStyle="1" w:styleId="JuParaLast">
    <w:name w:val="Ju_Para_Last"/>
    <w:basedOn w:val="Normal"/>
    <w:next w:val="ECHRPara"/>
    <w:uiPriority w:val="30"/>
    <w:qFormat/>
    <w:rsid w:val="00E20530"/>
    <w:pPr>
      <w:keepNext/>
      <w:keepLines/>
      <w:spacing w:before="240"/>
      <w:ind w:firstLine="284"/>
    </w:pPr>
  </w:style>
  <w:style w:type="paragraph" w:customStyle="1" w:styleId="JuCourt">
    <w:name w:val="Ju_Court"/>
    <w:basedOn w:val="Normal"/>
    <w:next w:val="Normal"/>
    <w:uiPriority w:val="16"/>
    <w:qFormat/>
    <w:rsid w:val="00E20530"/>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E20530"/>
    <w:pPr>
      <w:ind w:left="346" w:firstLine="0"/>
    </w:pPr>
  </w:style>
  <w:style w:type="paragraph" w:customStyle="1" w:styleId="JuListi">
    <w:name w:val="Ju_List_i"/>
    <w:basedOn w:val="Normal"/>
    <w:next w:val="JuLista"/>
    <w:uiPriority w:val="28"/>
    <w:qFormat/>
    <w:rsid w:val="00E20530"/>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E20530"/>
    <w:rPr>
      <w:vertAlign w:val="superscript"/>
    </w:rPr>
  </w:style>
  <w:style w:type="paragraph" w:styleId="EndnoteText">
    <w:name w:val="endnote text"/>
    <w:basedOn w:val="Normal"/>
    <w:link w:val="EndnoteTextChar"/>
    <w:uiPriority w:val="99"/>
    <w:semiHidden/>
    <w:rsid w:val="00E20530"/>
    <w:rPr>
      <w:sz w:val="20"/>
      <w:szCs w:val="20"/>
    </w:rPr>
  </w:style>
  <w:style w:type="character" w:customStyle="1" w:styleId="EndnoteTextChar">
    <w:name w:val="Endnote Text Char"/>
    <w:basedOn w:val="DefaultParagraphFont"/>
    <w:link w:val="EndnoteText"/>
    <w:uiPriority w:val="99"/>
    <w:semiHidden/>
    <w:rsid w:val="00E20530"/>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E20530"/>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E20530"/>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2053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unhideWhenUsed/>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Para">
    <w:name w:val="Opi_Para"/>
    <w:basedOn w:val="ECHRPara"/>
    <w:uiPriority w:val="46"/>
    <w:qFormat/>
    <w:rsid w:val="00E20530"/>
  </w:style>
  <w:style w:type="paragraph" w:customStyle="1" w:styleId="OpiParaSub">
    <w:name w:val="Opi_Para_Sub"/>
    <w:basedOn w:val="JuParaSub"/>
    <w:uiPriority w:val="47"/>
    <w:qFormat/>
    <w:rsid w:val="00E20530"/>
  </w:style>
  <w:style w:type="character" w:styleId="PlaceholderText">
    <w:name w:val="Placeholder Text"/>
    <w:basedOn w:val="DefaultParagraphFont"/>
    <w:uiPriority w:val="99"/>
    <w:semiHidden/>
    <w:rsid w:val="00E2053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2053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2053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
    <w:name w:val="Opi_Quot"/>
    <w:basedOn w:val="ECHRParaQuote"/>
    <w:uiPriority w:val="48"/>
    <w:qFormat/>
    <w:rsid w:val="00E20530"/>
  </w:style>
  <w:style w:type="paragraph" w:customStyle="1" w:styleId="DecHTitle">
    <w:name w:val="Dec_H_Title"/>
    <w:basedOn w:val="ECHRTitleCentre1"/>
    <w:uiPriority w:val="7"/>
    <w:qFormat/>
    <w:rsid w:val="00E20530"/>
  </w:style>
  <w:style w:type="paragraph" w:customStyle="1" w:styleId="DecList">
    <w:name w:val="Dec_List"/>
    <w:basedOn w:val="Normal"/>
    <w:uiPriority w:val="9"/>
    <w:qFormat/>
    <w:rsid w:val="00E20530"/>
    <w:pPr>
      <w:spacing w:before="240"/>
      <w:ind w:left="284"/>
    </w:pPr>
  </w:style>
  <w:style w:type="paragraph" w:customStyle="1" w:styleId="OpiQuotSub">
    <w:name w:val="Opi_Quot_Sub"/>
    <w:basedOn w:val="JuQuotSub"/>
    <w:uiPriority w:val="49"/>
    <w:qFormat/>
    <w:rsid w:val="00E20530"/>
  </w:style>
  <w:style w:type="paragraph" w:customStyle="1" w:styleId="OpiTranslation">
    <w:name w:val="Opi_Translation"/>
    <w:basedOn w:val="Normal"/>
    <w:next w:val="OpiPara"/>
    <w:uiPriority w:val="40"/>
    <w:qFormat/>
    <w:rsid w:val="00E20530"/>
    <w:pPr>
      <w:jc w:val="center"/>
      <w:outlineLvl w:val="0"/>
    </w:pPr>
    <w:rPr>
      <w:i/>
    </w:rPr>
  </w:style>
  <w:style w:type="paragraph" w:styleId="NoteHeading">
    <w:name w:val="Note Heading"/>
    <w:basedOn w:val="Normal"/>
    <w:next w:val="Normal"/>
    <w:link w:val="NoteHeadingChar"/>
    <w:uiPriority w:val="99"/>
    <w:semiHidden/>
    <w:rsid w:val="00BB629A"/>
  </w:style>
  <w:style w:type="character" w:customStyle="1" w:styleId="NoteHeadingChar">
    <w:name w:val="Note Heading Char"/>
    <w:basedOn w:val="DefaultParagraphFont"/>
    <w:link w:val="NoteHeading"/>
    <w:uiPriority w:val="99"/>
    <w:semiHidden/>
    <w:rsid w:val="00BB629A"/>
    <w:rPr>
      <w:rFonts w:eastAsiaTheme="minorEastAsia"/>
      <w:sz w:val="24"/>
      <w:lang w:val="en-GB"/>
    </w:rPr>
  </w:style>
  <w:style w:type="paragraph" w:customStyle="1" w:styleId="JuHeaderLandscape">
    <w:name w:val="Ju_Header_Landscape"/>
    <w:basedOn w:val="ECHRHeader"/>
    <w:uiPriority w:val="4"/>
    <w:rsid w:val="00BB629A"/>
    <w:pPr>
      <w:tabs>
        <w:tab w:val="center" w:pos="6146"/>
        <w:tab w:val="right" w:pos="12293"/>
      </w:tabs>
    </w:pPr>
  </w:style>
  <w:style w:type="character" w:customStyle="1" w:styleId="ECHRParaChar">
    <w:name w:val="ECHR_Para Char"/>
    <w:aliases w:val="Ju_Para Char"/>
    <w:link w:val="ECHRPara"/>
    <w:uiPriority w:val="12"/>
    <w:rsid w:val="00BC334C"/>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699628">
      <w:bodyDiv w:val="1"/>
      <w:marLeft w:val="0"/>
      <w:marRight w:val="0"/>
      <w:marTop w:val="0"/>
      <w:marBottom w:val="0"/>
      <w:divBdr>
        <w:top w:val="none" w:sz="0" w:space="0" w:color="auto"/>
        <w:left w:val="none" w:sz="0" w:space="0" w:color="auto"/>
        <w:bottom w:val="none" w:sz="0" w:space="0" w:color="auto"/>
        <w:right w:val="none" w:sz="0" w:space="0" w:color="auto"/>
      </w:divBdr>
      <w:divsChild>
        <w:div w:id="1683509549">
          <w:marLeft w:val="0"/>
          <w:marRight w:val="0"/>
          <w:marTop w:val="0"/>
          <w:marBottom w:val="0"/>
          <w:divBdr>
            <w:top w:val="none" w:sz="0" w:space="0" w:color="auto"/>
            <w:left w:val="none" w:sz="0" w:space="0" w:color="auto"/>
            <w:bottom w:val="none" w:sz="0" w:space="0" w:color="auto"/>
            <w:right w:val="none" w:sz="0" w:space="0" w:color="auto"/>
          </w:divBdr>
          <w:divsChild>
            <w:div w:id="1754475192">
              <w:marLeft w:val="0"/>
              <w:marRight w:val="0"/>
              <w:marTop w:val="0"/>
              <w:marBottom w:val="0"/>
              <w:divBdr>
                <w:top w:val="none" w:sz="0" w:space="0" w:color="auto"/>
                <w:left w:val="none" w:sz="0" w:space="0" w:color="auto"/>
                <w:bottom w:val="none" w:sz="0" w:space="0" w:color="auto"/>
                <w:right w:val="none" w:sz="0" w:space="0" w:color="auto"/>
              </w:divBdr>
              <w:divsChild>
                <w:div w:id="247347950">
                  <w:marLeft w:val="0"/>
                  <w:marRight w:val="0"/>
                  <w:marTop w:val="0"/>
                  <w:marBottom w:val="0"/>
                  <w:divBdr>
                    <w:top w:val="none" w:sz="0" w:space="0" w:color="auto"/>
                    <w:left w:val="none" w:sz="0" w:space="0" w:color="auto"/>
                    <w:bottom w:val="none" w:sz="0" w:space="0" w:color="auto"/>
                    <w:right w:val="none" w:sz="0" w:space="0" w:color="auto"/>
                  </w:divBdr>
                  <w:divsChild>
                    <w:div w:id="553350463">
                      <w:marLeft w:val="0"/>
                      <w:marRight w:val="0"/>
                      <w:marTop w:val="0"/>
                      <w:marBottom w:val="0"/>
                      <w:divBdr>
                        <w:top w:val="none" w:sz="0" w:space="0" w:color="auto"/>
                        <w:left w:val="none" w:sz="0" w:space="0" w:color="auto"/>
                        <w:bottom w:val="none" w:sz="0" w:space="0" w:color="auto"/>
                        <w:right w:val="none" w:sz="0" w:space="0" w:color="auto"/>
                      </w:divBdr>
                      <w:divsChild>
                        <w:div w:id="2112431551">
                          <w:marLeft w:val="0"/>
                          <w:marRight w:val="0"/>
                          <w:marTop w:val="0"/>
                          <w:marBottom w:val="0"/>
                          <w:divBdr>
                            <w:top w:val="none" w:sz="0" w:space="0" w:color="auto"/>
                            <w:left w:val="none" w:sz="0" w:space="0" w:color="auto"/>
                            <w:bottom w:val="none" w:sz="0" w:space="0" w:color="auto"/>
                            <w:right w:val="none" w:sz="0" w:space="0" w:color="auto"/>
                          </w:divBdr>
                          <w:divsChild>
                            <w:div w:id="172683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416020">
      <w:bodyDiv w:val="1"/>
      <w:marLeft w:val="0"/>
      <w:marRight w:val="0"/>
      <w:marTop w:val="0"/>
      <w:marBottom w:val="0"/>
      <w:divBdr>
        <w:top w:val="none" w:sz="0" w:space="0" w:color="auto"/>
        <w:left w:val="none" w:sz="0" w:space="0" w:color="auto"/>
        <w:bottom w:val="none" w:sz="0" w:space="0" w:color="auto"/>
        <w:right w:val="none" w:sz="0" w:space="0" w:color="auto"/>
      </w:divBdr>
      <w:divsChild>
        <w:div w:id="1830563105">
          <w:marLeft w:val="0"/>
          <w:marRight w:val="0"/>
          <w:marTop w:val="0"/>
          <w:marBottom w:val="0"/>
          <w:divBdr>
            <w:top w:val="none" w:sz="0" w:space="0" w:color="auto"/>
            <w:left w:val="none" w:sz="0" w:space="0" w:color="auto"/>
            <w:bottom w:val="none" w:sz="0" w:space="0" w:color="auto"/>
            <w:right w:val="none" w:sz="0" w:space="0" w:color="auto"/>
          </w:divBdr>
          <w:divsChild>
            <w:div w:id="1483961769">
              <w:marLeft w:val="0"/>
              <w:marRight w:val="0"/>
              <w:marTop w:val="0"/>
              <w:marBottom w:val="0"/>
              <w:divBdr>
                <w:top w:val="none" w:sz="0" w:space="0" w:color="auto"/>
                <w:left w:val="none" w:sz="0" w:space="0" w:color="auto"/>
                <w:bottom w:val="none" w:sz="0" w:space="0" w:color="auto"/>
                <w:right w:val="none" w:sz="0" w:space="0" w:color="auto"/>
              </w:divBdr>
              <w:divsChild>
                <w:div w:id="1661539095">
                  <w:marLeft w:val="0"/>
                  <w:marRight w:val="0"/>
                  <w:marTop w:val="0"/>
                  <w:marBottom w:val="0"/>
                  <w:divBdr>
                    <w:top w:val="none" w:sz="0" w:space="0" w:color="auto"/>
                    <w:left w:val="none" w:sz="0" w:space="0" w:color="auto"/>
                    <w:bottom w:val="none" w:sz="0" w:space="0" w:color="auto"/>
                    <w:right w:val="none" w:sz="0" w:space="0" w:color="auto"/>
                  </w:divBdr>
                  <w:divsChild>
                    <w:div w:id="1571500772">
                      <w:marLeft w:val="0"/>
                      <w:marRight w:val="0"/>
                      <w:marTop w:val="0"/>
                      <w:marBottom w:val="0"/>
                      <w:divBdr>
                        <w:top w:val="none" w:sz="0" w:space="0" w:color="auto"/>
                        <w:left w:val="none" w:sz="0" w:space="0" w:color="auto"/>
                        <w:bottom w:val="none" w:sz="0" w:space="0" w:color="auto"/>
                        <w:right w:val="none" w:sz="0" w:space="0" w:color="auto"/>
                      </w:divBdr>
                      <w:divsChild>
                        <w:div w:id="1193688227">
                          <w:marLeft w:val="0"/>
                          <w:marRight w:val="0"/>
                          <w:marTop w:val="0"/>
                          <w:marBottom w:val="0"/>
                          <w:divBdr>
                            <w:top w:val="none" w:sz="0" w:space="0" w:color="auto"/>
                            <w:left w:val="none" w:sz="0" w:space="0" w:color="auto"/>
                            <w:bottom w:val="none" w:sz="0" w:space="0" w:color="auto"/>
                            <w:right w:val="none" w:sz="0" w:space="0" w:color="auto"/>
                          </w:divBdr>
                          <w:divsChild>
                            <w:div w:id="109046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130616">
      <w:bodyDiv w:val="1"/>
      <w:marLeft w:val="0"/>
      <w:marRight w:val="0"/>
      <w:marTop w:val="0"/>
      <w:marBottom w:val="0"/>
      <w:divBdr>
        <w:top w:val="none" w:sz="0" w:space="0" w:color="auto"/>
        <w:left w:val="none" w:sz="0" w:space="0" w:color="auto"/>
        <w:bottom w:val="none" w:sz="0" w:space="0" w:color="auto"/>
        <w:right w:val="none" w:sz="0" w:space="0" w:color="auto"/>
      </w:divBdr>
      <w:divsChild>
        <w:div w:id="247157158">
          <w:marLeft w:val="0"/>
          <w:marRight w:val="0"/>
          <w:marTop w:val="0"/>
          <w:marBottom w:val="0"/>
          <w:divBdr>
            <w:top w:val="none" w:sz="0" w:space="0" w:color="auto"/>
            <w:left w:val="none" w:sz="0" w:space="0" w:color="auto"/>
            <w:bottom w:val="none" w:sz="0" w:space="0" w:color="auto"/>
            <w:right w:val="none" w:sz="0" w:space="0" w:color="auto"/>
          </w:divBdr>
          <w:divsChild>
            <w:div w:id="1064992290">
              <w:marLeft w:val="0"/>
              <w:marRight w:val="0"/>
              <w:marTop w:val="0"/>
              <w:marBottom w:val="0"/>
              <w:divBdr>
                <w:top w:val="none" w:sz="0" w:space="0" w:color="auto"/>
                <w:left w:val="none" w:sz="0" w:space="0" w:color="auto"/>
                <w:bottom w:val="none" w:sz="0" w:space="0" w:color="auto"/>
                <w:right w:val="none" w:sz="0" w:space="0" w:color="auto"/>
              </w:divBdr>
              <w:divsChild>
                <w:div w:id="587544268">
                  <w:marLeft w:val="0"/>
                  <w:marRight w:val="0"/>
                  <w:marTop w:val="0"/>
                  <w:marBottom w:val="0"/>
                  <w:divBdr>
                    <w:top w:val="none" w:sz="0" w:space="0" w:color="auto"/>
                    <w:left w:val="none" w:sz="0" w:space="0" w:color="auto"/>
                    <w:bottom w:val="none" w:sz="0" w:space="0" w:color="auto"/>
                    <w:right w:val="none" w:sz="0" w:space="0" w:color="auto"/>
                  </w:divBdr>
                  <w:divsChild>
                    <w:div w:id="929699045">
                      <w:marLeft w:val="0"/>
                      <w:marRight w:val="0"/>
                      <w:marTop w:val="0"/>
                      <w:marBottom w:val="0"/>
                      <w:divBdr>
                        <w:top w:val="none" w:sz="0" w:space="0" w:color="auto"/>
                        <w:left w:val="none" w:sz="0" w:space="0" w:color="auto"/>
                        <w:bottom w:val="none" w:sz="0" w:space="0" w:color="auto"/>
                        <w:right w:val="none" w:sz="0" w:space="0" w:color="auto"/>
                      </w:divBdr>
                      <w:divsChild>
                        <w:div w:id="362169063">
                          <w:marLeft w:val="0"/>
                          <w:marRight w:val="0"/>
                          <w:marTop w:val="0"/>
                          <w:marBottom w:val="0"/>
                          <w:divBdr>
                            <w:top w:val="none" w:sz="0" w:space="0" w:color="auto"/>
                            <w:left w:val="none" w:sz="0" w:space="0" w:color="auto"/>
                            <w:bottom w:val="none" w:sz="0" w:space="0" w:color="auto"/>
                            <w:right w:val="none" w:sz="0" w:space="0" w:color="auto"/>
                          </w:divBdr>
                          <w:divsChild>
                            <w:div w:id="123667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CF413F-F1A5-4E4C-8930-039B845D6650}"/>
</file>

<file path=customXml/itemProps2.xml><?xml version="1.0" encoding="utf-8"?>
<ds:datastoreItem xmlns:ds="http://schemas.openxmlformats.org/officeDocument/2006/customXml" ds:itemID="{DE7BBA01-881A-4879-856B-0361FDADB387}"/>
</file>

<file path=customXml/itemProps3.xml><?xml version="1.0" encoding="utf-8"?>
<ds:datastoreItem xmlns:ds="http://schemas.openxmlformats.org/officeDocument/2006/customXml" ds:itemID="{AAA8080A-4A67-4EB8-9857-7E475543CD09}"/>
</file>

<file path=customXml/itemProps4.xml><?xml version="1.0" encoding="utf-8"?>
<ds:datastoreItem xmlns:ds="http://schemas.openxmlformats.org/officeDocument/2006/customXml" ds:itemID="{EDA9B90A-63C5-4F6C-9307-57B7D6104A58}"/>
</file>

<file path=docProps/app.xml><?xml version="1.0" encoding="utf-8"?>
<Properties xmlns="http://schemas.openxmlformats.org/officeDocument/2006/extended-properties" xmlns:vt="http://schemas.openxmlformats.org/officeDocument/2006/docPropsVTypes">
  <Template>Normal.dotm</Template>
  <TotalTime>0</TotalTime>
  <Pages>1</Pages>
  <Words>4272</Words>
  <Characters>24354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28569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2020-03-10T08:50:00Z</dcterms:created>
  <dcterms:modified xsi:type="dcterms:W3CDTF">2020-03-10T08:50:00Z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58821/08</vt:lpwstr>
  </property>
  <property fmtid="{D5CDD505-2E9C-101B-9397-08002B2CF9AE}" pid="4" name="CASEID">
    <vt:lpwstr>542798</vt:lpwstr>
  </property>
  <property fmtid="{D5CDD505-2E9C-101B-9397-08002B2CF9AE}" pid="5" name="ContentTypeId">
    <vt:lpwstr>0x010100558EB02BDB9E204AB350EDD385B68E10</vt:lpwstr>
  </property>
</Properties>
</file>