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3E6C" w:rsidR="00A83CB2" w:rsidP="00133E6C" w:rsidRDefault="00A83CB2">
      <w:pPr>
        <w:rPr>
          <w:rFonts w:ascii="Times New Roman" w:hAnsi="Times New Roman" w:cs="Times New Roman"/>
        </w:rPr>
      </w:pPr>
    </w:p>
    <w:p w:rsidRPr="00133E6C" w:rsidR="007A4070" w:rsidP="00133E6C" w:rsidRDefault="0048609C">
      <w:pPr>
        <w:pStyle w:val="DecHCase"/>
        <w:rPr>
          <w:lang w:val="fr-FR"/>
        </w:rPr>
      </w:pPr>
      <w:r w:rsidRPr="00133E6C">
        <w:rPr>
          <w:lang w:val="fr-FR"/>
        </w:rPr>
        <w:t>DEUXIÈME SECTION</w:t>
      </w:r>
    </w:p>
    <w:p w:rsidRPr="00133E6C" w:rsidR="00A83CB2" w:rsidP="00133E6C" w:rsidRDefault="00A83CB2">
      <w:pPr>
        <w:pStyle w:val="JuTitle"/>
        <w:jc w:val="left"/>
        <w:rPr>
          <w:lang w:val="fr-FR"/>
        </w:rPr>
      </w:pPr>
    </w:p>
    <w:p w:rsidRPr="00133E6C" w:rsidR="00A83CB2" w:rsidP="00133E6C" w:rsidRDefault="00A83CB2">
      <w:pPr>
        <w:pStyle w:val="JuTitle"/>
        <w:rPr>
          <w:lang w:val="fr-FR"/>
        </w:rPr>
      </w:pPr>
    </w:p>
    <w:p w:rsidRPr="00133E6C" w:rsidR="007A4070" w:rsidP="00133E6C" w:rsidRDefault="007A4070">
      <w:pPr>
        <w:pStyle w:val="JuTitle"/>
        <w:rPr>
          <w:lang w:val="fr-FR"/>
        </w:rPr>
      </w:pPr>
      <w:r w:rsidRPr="00133E6C">
        <w:rPr>
          <w:lang w:val="fr-FR"/>
        </w:rPr>
        <w:t xml:space="preserve">AFFAIRE </w:t>
      </w:r>
      <w:r w:rsidRPr="00133E6C" w:rsidR="0048609C">
        <w:rPr>
          <w:lang w:val="fr-FR"/>
        </w:rPr>
        <w:t>ÖZER c. TURQUIE (N</w:t>
      </w:r>
      <w:r w:rsidRPr="00133E6C" w:rsidR="00AE16D3">
        <w:rPr>
          <w:vertAlign w:val="superscript"/>
          <w:lang w:val="fr-FR"/>
        </w:rPr>
        <w:t>o</w:t>
      </w:r>
      <w:r w:rsidRPr="00133E6C" w:rsidR="0048609C">
        <w:rPr>
          <w:lang w:val="fr-FR"/>
        </w:rPr>
        <w:t xml:space="preserve"> 3)</w:t>
      </w:r>
    </w:p>
    <w:p w:rsidRPr="00133E6C" w:rsidR="007A4070" w:rsidP="00133E6C" w:rsidRDefault="007A4070">
      <w:pPr>
        <w:pStyle w:val="ECHRCoverTitle4"/>
        <w:rPr>
          <w:lang w:val="fr-FR"/>
        </w:rPr>
      </w:pPr>
      <w:r w:rsidRPr="00133E6C">
        <w:rPr>
          <w:lang w:val="fr-FR"/>
        </w:rPr>
        <w:t>(</w:t>
      </w:r>
      <w:r w:rsidRPr="00133E6C" w:rsidR="0048609C">
        <w:rPr>
          <w:lang w:val="fr-FR"/>
        </w:rPr>
        <w:t>Requête n</w:t>
      </w:r>
      <w:r w:rsidRPr="00133E6C" w:rsidR="0048609C">
        <w:rPr>
          <w:vertAlign w:val="superscript"/>
          <w:lang w:val="fr-FR"/>
        </w:rPr>
        <w:t>o</w:t>
      </w:r>
      <w:r w:rsidRPr="00133E6C">
        <w:rPr>
          <w:lang w:val="fr-FR"/>
        </w:rPr>
        <w:t xml:space="preserve"> </w:t>
      </w:r>
      <w:r w:rsidRPr="00133E6C" w:rsidR="0048609C">
        <w:rPr>
          <w:lang w:val="fr-FR"/>
        </w:rPr>
        <w:t>69270/12</w:t>
      </w:r>
      <w:r w:rsidRPr="00133E6C">
        <w:rPr>
          <w:lang w:val="fr-FR"/>
        </w:rPr>
        <w:t>)</w:t>
      </w:r>
    </w:p>
    <w:p w:rsidRPr="00133E6C" w:rsidR="007A4070" w:rsidP="00133E6C" w:rsidRDefault="007A4070">
      <w:pPr>
        <w:pStyle w:val="DecHCase"/>
        <w:rPr>
          <w:lang w:val="fr-FR"/>
        </w:rPr>
      </w:pPr>
    </w:p>
    <w:p w:rsidRPr="00133E6C" w:rsidR="007A4070" w:rsidP="00133E6C" w:rsidRDefault="007A4070">
      <w:pPr>
        <w:pStyle w:val="DecHCase"/>
        <w:jc w:val="left"/>
        <w:rPr>
          <w:lang w:val="fr-FR"/>
        </w:rPr>
      </w:pPr>
    </w:p>
    <w:p w:rsidRPr="00133E6C" w:rsidR="007A4070" w:rsidP="00133E6C" w:rsidRDefault="007A4070">
      <w:pPr>
        <w:pStyle w:val="DecHCase"/>
        <w:rPr>
          <w:lang w:val="fr-FR"/>
        </w:rPr>
      </w:pPr>
      <w:bookmarkStart w:name="_GoBack" w:id="0"/>
      <w:bookmarkEnd w:id="0"/>
      <w:r w:rsidRPr="00133E6C">
        <w:rPr>
          <w:lang w:val="fr-FR"/>
        </w:rPr>
        <w:t>ARRÊT</w:t>
      </w:r>
      <w:r w:rsidRPr="00133E6C">
        <w:rPr>
          <w:lang w:val="fr-FR"/>
        </w:rPr>
        <w:br/>
      </w:r>
    </w:p>
    <w:p w:rsidRPr="00133E6C" w:rsidR="00A83CB2" w:rsidP="00133E6C" w:rsidRDefault="00610E98">
      <w:pPr>
        <w:pStyle w:val="JuPara"/>
        <w:pBdr>
          <w:top w:val="single" w:color="auto" w:sz="4" w:space="1"/>
          <w:left w:val="single" w:color="auto" w:sz="4" w:space="4"/>
          <w:bottom w:val="single" w:color="auto" w:sz="4" w:space="1"/>
          <w:right w:val="single" w:color="auto" w:sz="4" w:space="4"/>
        </w:pBdr>
        <w:rPr>
          <w:lang w:val="fr-FR"/>
        </w:rPr>
      </w:pPr>
      <w:r w:rsidRPr="00133E6C">
        <w:rPr>
          <w:lang w:val="fr-FR"/>
        </w:rPr>
        <w:t>Art 10 • Liberté d</w:t>
      </w:r>
      <w:r w:rsidRPr="00133E6C" w:rsidR="00133E6C">
        <w:rPr>
          <w:lang w:val="fr-FR"/>
        </w:rPr>
        <w:t>’</w:t>
      </w:r>
      <w:r w:rsidRPr="00133E6C">
        <w:rPr>
          <w:lang w:val="fr-FR"/>
        </w:rPr>
        <w:t>expression • Condamnation du propriétaire et éditeur d</w:t>
      </w:r>
      <w:r w:rsidRPr="00133E6C" w:rsidR="00133E6C">
        <w:rPr>
          <w:lang w:val="fr-FR"/>
        </w:rPr>
        <w:t>’</w:t>
      </w:r>
      <w:r w:rsidRPr="00133E6C">
        <w:rPr>
          <w:lang w:val="fr-FR"/>
        </w:rPr>
        <w:t>un périodique pour propagande en faveur d</w:t>
      </w:r>
      <w:r w:rsidRPr="00133E6C" w:rsidR="00133E6C">
        <w:rPr>
          <w:lang w:val="fr-FR"/>
        </w:rPr>
        <w:t>’</w:t>
      </w:r>
      <w:r w:rsidRPr="00133E6C">
        <w:rPr>
          <w:lang w:val="fr-FR"/>
        </w:rPr>
        <w:t>une organisation terroriste, à raison d</w:t>
      </w:r>
      <w:r w:rsidRPr="00133E6C" w:rsidR="00133E6C">
        <w:rPr>
          <w:lang w:val="fr-FR"/>
        </w:rPr>
        <w:t>’</w:t>
      </w:r>
      <w:r w:rsidRPr="00133E6C">
        <w:rPr>
          <w:lang w:val="fr-FR"/>
        </w:rPr>
        <w:t xml:space="preserve">un article publié dans son périodique • Manquement des </w:t>
      </w:r>
      <w:proofErr w:type="gramStart"/>
      <w:r w:rsidRPr="00133E6C">
        <w:rPr>
          <w:lang w:val="fr-FR"/>
        </w:rPr>
        <w:t>juridictions</w:t>
      </w:r>
      <w:proofErr w:type="gramEnd"/>
      <w:r w:rsidRPr="00133E6C">
        <w:rPr>
          <w:lang w:val="fr-FR"/>
        </w:rPr>
        <w:t xml:space="preserve"> internes à analyser si l</w:t>
      </w:r>
      <w:r w:rsidRPr="00133E6C" w:rsidR="00133E6C">
        <w:rPr>
          <w:lang w:val="fr-FR"/>
        </w:rPr>
        <w:t>’</w:t>
      </w:r>
      <w:r w:rsidRPr="00133E6C">
        <w:rPr>
          <w:lang w:val="fr-FR"/>
        </w:rPr>
        <w:t>article litigieux incitait à l</w:t>
      </w:r>
      <w:r w:rsidRPr="00133E6C" w:rsidR="00133E6C">
        <w:rPr>
          <w:lang w:val="fr-FR"/>
        </w:rPr>
        <w:t>’</w:t>
      </w:r>
      <w:r w:rsidRPr="00133E6C">
        <w:rPr>
          <w:lang w:val="fr-FR"/>
        </w:rPr>
        <w:t>usage de la violence ou constituait un discours de haine</w:t>
      </w:r>
    </w:p>
    <w:p w:rsidRPr="00133E6C" w:rsidR="00A83CB2" w:rsidP="00133E6C" w:rsidRDefault="00A83CB2">
      <w:pPr>
        <w:pStyle w:val="JuPara"/>
        <w:rPr>
          <w:lang w:val="fr-FR"/>
        </w:rPr>
      </w:pPr>
    </w:p>
    <w:p w:rsidRPr="00133E6C" w:rsidR="00A83CB2" w:rsidP="00133E6C" w:rsidRDefault="00A83CB2">
      <w:pPr>
        <w:pStyle w:val="JuPara"/>
        <w:rPr>
          <w:lang w:val="fr-FR"/>
        </w:rPr>
      </w:pPr>
    </w:p>
    <w:p w:rsidRPr="00133E6C" w:rsidR="007A4070" w:rsidP="00133E6C" w:rsidRDefault="007A4070">
      <w:pPr>
        <w:pStyle w:val="DecHCase"/>
        <w:rPr>
          <w:lang w:val="fr-FR"/>
        </w:rPr>
      </w:pPr>
      <w:r w:rsidRPr="00133E6C">
        <w:rPr>
          <w:lang w:val="fr-FR"/>
        </w:rPr>
        <w:t>STRASBOURG</w:t>
      </w:r>
    </w:p>
    <w:p w:rsidRPr="00133E6C" w:rsidR="007A4070" w:rsidP="00133E6C" w:rsidRDefault="0048609C">
      <w:pPr>
        <w:pStyle w:val="DecHCase"/>
        <w:rPr>
          <w:lang w:val="fr-FR"/>
        </w:rPr>
      </w:pPr>
      <w:r w:rsidRPr="00133E6C">
        <w:rPr>
          <w:lang w:val="fr-FR"/>
        </w:rPr>
        <w:t>11 février 2020</w:t>
      </w:r>
    </w:p>
    <w:p w:rsidR="00BC0996" w:rsidP="00BC0996" w:rsidRDefault="00BC0996">
      <w:pPr>
        <w:pStyle w:val="jucase0"/>
        <w:ind w:firstLine="0"/>
        <w:jc w:val="center"/>
        <w:rPr>
          <w:color w:val="FF0000"/>
          <w:sz w:val="28"/>
          <w:szCs w:val="28"/>
          <w:u w:val="single"/>
          <w:lang w:val="fr-FR"/>
        </w:rPr>
      </w:pPr>
      <w:r>
        <w:rPr>
          <w:color w:val="FF0000"/>
          <w:sz w:val="28"/>
          <w:szCs w:val="28"/>
          <w:u w:val="single"/>
          <w:lang w:val="fr-FR"/>
        </w:rPr>
        <w:t>DÉFINITIF</w:t>
      </w:r>
    </w:p>
    <w:p w:rsidR="00BC0996" w:rsidP="00BC0996" w:rsidRDefault="00BC0996">
      <w:pPr>
        <w:pStyle w:val="jupara0"/>
        <w:ind w:firstLine="0"/>
        <w:jc w:val="center"/>
        <w:rPr>
          <w:color w:val="FF0000"/>
          <w:sz w:val="28"/>
          <w:szCs w:val="28"/>
          <w:lang w:val="fr-FR"/>
        </w:rPr>
      </w:pPr>
    </w:p>
    <w:p w:rsidR="00BC0996" w:rsidP="00BC0996" w:rsidRDefault="00BC0996">
      <w:pPr>
        <w:pStyle w:val="jupara0"/>
        <w:ind w:firstLine="0"/>
        <w:jc w:val="center"/>
        <w:rPr>
          <w:color w:val="FF0000"/>
          <w:sz w:val="28"/>
          <w:szCs w:val="28"/>
          <w:lang w:val="fr-FR"/>
        </w:rPr>
      </w:pPr>
      <w:r>
        <w:rPr>
          <w:color w:val="FF0000"/>
          <w:sz w:val="28"/>
          <w:szCs w:val="28"/>
          <w:lang w:val="fr-FR"/>
        </w:rPr>
        <w:t>11/06/2020</w:t>
      </w:r>
    </w:p>
    <w:p w:rsidRPr="00BC0996" w:rsidR="00BC0996" w:rsidP="00BC0996" w:rsidRDefault="00BC0996">
      <w:pPr>
        <w:jc w:val="center"/>
        <w:rPr>
          <w:u w:val="single"/>
          <w:lang w:val="fr-FR"/>
        </w:rPr>
      </w:pPr>
    </w:p>
    <w:p w:rsidRPr="004C73AF" w:rsidR="00BC0996" w:rsidP="00BC0996" w:rsidRDefault="00BC0996">
      <w:pPr>
        <w:jc w:val="center"/>
        <w:rPr>
          <w:i/>
          <w:iCs/>
          <w:sz w:val="22"/>
          <w:szCs w:val="22"/>
        </w:rPr>
      </w:pPr>
      <w:r w:rsidRPr="00BC0996">
        <w:rPr>
          <w:i/>
          <w:iCs/>
          <w:sz w:val="22"/>
          <w:szCs w:val="22"/>
          <w:lang w:val="fr-FR"/>
        </w:rPr>
        <w:t xml:space="preserve">Cet arrêt est devenu définitif en vertu de l’article 44 § 2 de la Convention. </w:t>
      </w:r>
      <w:proofErr w:type="gramStart"/>
      <w:r w:rsidRPr="004C73AF">
        <w:rPr>
          <w:i/>
          <w:iCs/>
          <w:sz w:val="22"/>
          <w:szCs w:val="22"/>
        </w:rPr>
        <w:t>Il</w:t>
      </w:r>
      <w:proofErr w:type="gramEnd"/>
      <w:r w:rsidRPr="004C73AF">
        <w:rPr>
          <w:i/>
          <w:iCs/>
          <w:sz w:val="22"/>
          <w:szCs w:val="22"/>
        </w:rPr>
        <w:t xml:space="preserve"> </w:t>
      </w:r>
      <w:proofErr w:type="spellStart"/>
      <w:r w:rsidRPr="004C73AF">
        <w:rPr>
          <w:i/>
          <w:iCs/>
          <w:sz w:val="22"/>
          <w:szCs w:val="22"/>
        </w:rPr>
        <w:t>peut</w:t>
      </w:r>
      <w:proofErr w:type="spellEnd"/>
      <w:r w:rsidRPr="004C73AF">
        <w:rPr>
          <w:i/>
          <w:iCs/>
          <w:sz w:val="22"/>
          <w:szCs w:val="22"/>
        </w:rPr>
        <w:t xml:space="preserve"> </w:t>
      </w:r>
      <w:proofErr w:type="spellStart"/>
      <w:r w:rsidRPr="004C73AF">
        <w:rPr>
          <w:i/>
          <w:iCs/>
          <w:sz w:val="22"/>
          <w:szCs w:val="22"/>
        </w:rPr>
        <w:t>subir</w:t>
      </w:r>
      <w:proofErr w:type="spellEnd"/>
      <w:r w:rsidRPr="004C73AF">
        <w:rPr>
          <w:i/>
          <w:iCs/>
          <w:sz w:val="22"/>
          <w:szCs w:val="22"/>
        </w:rPr>
        <w:t xml:space="preserve"> des retouches de </w:t>
      </w:r>
      <w:proofErr w:type="spellStart"/>
      <w:r w:rsidRPr="004C73AF">
        <w:rPr>
          <w:i/>
          <w:iCs/>
          <w:sz w:val="22"/>
          <w:szCs w:val="22"/>
        </w:rPr>
        <w:t>forme</w:t>
      </w:r>
      <w:proofErr w:type="spellEnd"/>
      <w:r w:rsidRPr="004C73AF">
        <w:rPr>
          <w:i/>
          <w:iCs/>
          <w:sz w:val="22"/>
          <w:szCs w:val="22"/>
        </w:rPr>
        <w:t>.</w:t>
      </w:r>
    </w:p>
    <w:p w:rsidRPr="00133E6C" w:rsidR="00516B59" w:rsidP="00133E6C" w:rsidRDefault="00516B59">
      <w:pPr>
        <w:rPr>
          <w:rFonts w:ascii="Times New Roman" w:hAnsi="Times New Roman" w:cs="Times New Roman"/>
          <w:i/>
          <w:sz w:val="22"/>
          <w:lang w:val="fr-FR"/>
        </w:rPr>
      </w:pPr>
    </w:p>
    <w:p w:rsidRPr="00133E6C" w:rsidR="00516B59" w:rsidP="00133E6C" w:rsidRDefault="00516B59">
      <w:pPr>
        <w:ind w:left="720"/>
        <w:rPr>
          <w:rFonts w:ascii="Times New Roman" w:hAnsi="Times New Roman" w:cs="Times New Roman"/>
          <w:sz w:val="22"/>
          <w:lang w:val="fr-FR"/>
        </w:rPr>
        <w:sectPr w:rsidRPr="00133E6C"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133E6C" w:rsidR="004344E6" w:rsidP="00133E6C" w:rsidRDefault="004344E6">
      <w:pPr>
        <w:pStyle w:val="JuCase"/>
        <w:rPr>
          <w:lang w:val="fr-FR"/>
        </w:rPr>
      </w:pPr>
      <w:r w:rsidRPr="00133E6C">
        <w:rPr>
          <w:lang w:val="fr-FR"/>
        </w:rPr>
        <w:t>En l</w:t>
      </w:r>
      <w:r w:rsidRPr="00133E6C" w:rsidR="00133E6C">
        <w:rPr>
          <w:lang w:val="fr-FR"/>
        </w:rPr>
        <w:t>’</w:t>
      </w:r>
      <w:r w:rsidRPr="00133E6C">
        <w:rPr>
          <w:lang w:val="fr-FR"/>
        </w:rPr>
        <w:t xml:space="preserve">affaire </w:t>
      </w:r>
      <w:proofErr w:type="spellStart"/>
      <w:r w:rsidRPr="00133E6C" w:rsidR="0048609C">
        <w:rPr>
          <w:lang w:val="fr-FR"/>
        </w:rPr>
        <w:t>Özer</w:t>
      </w:r>
      <w:proofErr w:type="spellEnd"/>
      <w:r w:rsidRPr="00133E6C" w:rsidR="0048609C">
        <w:rPr>
          <w:lang w:val="fr-FR"/>
        </w:rPr>
        <w:t xml:space="preserve"> c. Turquie (</w:t>
      </w:r>
      <w:r w:rsidRPr="00133E6C" w:rsidR="00E24F36">
        <w:rPr>
          <w:lang w:val="fr-FR"/>
        </w:rPr>
        <w:t>n</w:t>
      </w:r>
      <w:r w:rsidRPr="00133E6C" w:rsidR="0048609C">
        <w:rPr>
          <w:vertAlign w:val="superscript"/>
          <w:lang w:val="fr-FR"/>
        </w:rPr>
        <w:t>o</w:t>
      </w:r>
      <w:r w:rsidRPr="00133E6C" w:rsidR="0048609C">
        <w:rPr>
          <w:lang w:val="fr-FR"/>
        </w:rPr>
        <w:t xml:space="preserve"> 3)</w:t>
      </w:r>
      <w:r w:rsidRPr="00133E6C">
        <w:rPr>
          <w:lang w:val="fr-FR"/>
        </w:rPr>
        <w:t>,</w:t>
      </w:r>
    </w:p>
    <w:p w:rsidRPr="00133E6C" w:rsidR="004344E6" w:rsidP="00133E6C" w:rsidRDefault="004344E6">
      <w:pPr>
        <w:pStyle w:val="JuPara"/>
        <w:rPr>
          <w:lang w:val="fr-FR"/>
        </w:rPr>
      </w:pPr>
      <w:r w:rsidRPr="00133E6C">
        <w:rPr>
          <w:lang w:val="fr-FR"/>
        </w:rPr>
        <w:t>La Cour européenne des droits de l</w:t>
      </w:r>
      <w:r w:rsidRPr="00133E6C" w:rsidR="00133E6C">
        <w:rPr>
          <w:lang w:val="fr-FR"/>
        </w:rPr>
        <w:t>’</w:t>
      </w:r>
      <w:r w:rsidRPr="00133E6C">
        <w:rPr>
          <w:lang w:val="fr-FR"/>
        </w:rPr>
        <w:t>homme (</w:t>
      </w:r>
      <w:r w:rsidRPr="00133E6C" w:rsidR="0048609C">
        <w:rPr>
          <w:lang w:val="fr-FR"/>
        </w:rPr>
        <w:t>deuxième section</w:t>
      </w:r>
      <w:r w:rsidRPr="00133E6C">
        <w:rPr>
          <w:lang w:val="fr-FR"/>
        </w:rPr>
        <w:t xml:space="preserve">), siégeant en </w:t>
      </w:r>
      <w:r w:rsidRPr="00133E6C" w:rsidR="0048609C">
        <w:rPr>
          <w:color w:val="000000"/>
          <w:lang w:val="fr-FR"/>
        </w:rPr>
        <w:t>une</w:t>
      </w:r>
      <w:r w:rsidRPr="00133E6C" w:rsidR="0048609C">
        <w:rPr>
          <w:lang w:val="fr-FR"/>
        </w:rPr>
        <w:t xml:space="preserve"> Chambre composée</w:t>
      </w:r>
      <w:r w:rsidRPr="00133E6C">
        <w:rPr>
          <w:lang w:val="fr-FR"/>
        </w:rPr>
        <w:t xml:space="preserve"> de :</w:t>
      </w:r>
    </w:p>
    <w:p w:rsidRPr="00133E6C" w:rsidR="004344E6" w:rsidP="00133E6C" w:rsidRDefault="002B644E">
      <w:pPr>
        <w:pStyle w:val="JuJudges"/>
        <w:rPr>
          <w:lang w:val="fr-FR"/>
        </w:rPr>
      </w:pPr>
      <w:r w:rsidRPr="00133E6C">
        <w:rPr>
          <w:lang w:val="fr-FR"/>
        </w:rPr>
        <w:tab/>
        <w:t>Robert Spano,</w:t>
      </w:r>
      <w:r w:rsidRPr="00133E6C">
        <w:rPr>
          <w:i/>
          <w:lang w:val="fr-FR"/>
        </w:rPr>
        <w:t xml:space="preserve"> président,</w:t>
      </w:r>
      <w:r w:rsidRPr="00133E6C">
        <w:rPr>
          <w:i/>
          <w:lang w:val="fr-FR"/>
        </w:rPr>
        <w:br/>
      </w:r>
      <w:r w:rsidRPr="00133E6C">
        <w:rPr>
          <w:lang w:val="fr-FR"/>
        </w:rPr>
        <w:tab/>
        <w:t xml:space="preserve">Marko </w:t>
      </w:r>
      <w:proofErr w:type="spellStart"/>
      <w:r w:rsidRPr="00133E6C">
        <w:rPr>
          <w:lang w:val="fr-FR"/>
        </w:rPr>
        <w:t>Bošnjak</w:t>
      </w:r>
      <w:proofErr w:type="spellEnd"/>
      <w:r w:rsidRPr="00133E6C">
        <w:rPr>
          <w:lang w:val="fr-FR"/>
        </w:rPr>
        <w:t>,</w:t>
      </w:r>
      <w:r w:rsidRPr="00133E6C">
        <w:rPr>
          <w:i/>
          <w:lang w:val="fr-FR"/>
        </w:rPr>
        <w:br/>
      </w:r>
      <w:r w:rsidRPr="00133E6C">
        <w:rPr>
          <w:lang w:val="fr-FR"/>
        </w:rPr>
        <w:tab/>
      </w:r>
      <w:proofErr w:type="spellStart"/>
      <w:r w:rsidRPr="00133E6C">
        <w:rPr>
          <w:lang w:val="fr-FR"/>
        </w:rPr>
        <w:t>Valeriu</w:t>
      </w:r>
      <w:proofErr w:type="spellEnd"/>
      <w:r w:rsidRPr="00133E6C">
        <w:rPr>
          <w:lang w:val="fr-FR"/>
        </w:rPr>
        <w:t xml:space="preserve"> </w:t>
      </w:r>
      <w:proofErr w:type="spellStart"/>
      <w:r w:rsidRPr="00133E6C">
        <w:rPr>
          <w:lang w:val="fr-FR"/>
        </w:rPr>
        <w:t>Griţco</w:t>
      </w:r>
      <w:proofErr w:type="spellEnd"/>
      <w:r w:rsidRPr="00133E6C">
        <w:rPr>
          <w:lang w:val="fr-FR"/>
        </w:rPr>
        <w:t>,</w:t>
      </w:r>
      <w:r w:rsidRPr="00133E6C">
        <w:rPr>
          <w:i/>
          <w:lang w:val="fr-FR"/>
        </w:rPr>
        <w:br/>
      </w:r>
      <w:r w:rsidRPr="00133E6C">
        <w:rPr>
          <w:lang w:val="fr-FR"/>
        </w:rPr>
        <w:tab/>
      </w:r>
      <w:proofErr w:type="spellStart"/>
      <w:r w:rsidRPr="00133E6C">
        <w:rPr>
          <w:lang w:val="fr-FR"/>
        </w:rPr>
        <w:t>Egidijus</w:t>
      </w:r>
      <w:proofErr w:type="spellEnd"/>
      <w:r w:rsidRPr="00133E6C">
        <w:rPr>
          <w:lang w:val="fr-FR"/>
        </w:rPr>
        <w:t xml:space="preserve"> </w:t>
      </w:r>
      <w:proofErr w:type="spellStart"/>
      <w:r w:rsidRPr="00133E6C">
        <w:rPr>
          <w:lang w:val="fr-FR"/>
        </w:rPr>
        <w:t>Kūris</w:t>
      </w:r>
      <w:proofErr w:type="spellEnd"/>
      <w:r w:rsidRPr="00133E6C">
        <w:rPr>
          <w:lang w:val="fr-FR"/>
        </w:rPr>
        <w:t>,</w:t>
      </w:r>
      <w:r w:rsidRPr="00133E6C">
        <w:rPr>
          <w:i/>
          <w:lang w:val="fr-FR"/>
        </w:rPr>
        <w:br/>
      </w:r>
      <w:r w:rsidRPr="00133E6C">
        <w:rPr>
          <w:lang w:val="fr-FR"/>
        </w:rPr>
        <w:tab/>
      </w:r>
      <w:proofErr w:type="spellStart"/>
      <w:r w:rsidRPr="00133E6C">
        <w:rPr>
          <w:lang w:val="fr-FR"/>
        </w:rPr>
        <w:t>Darian</w:t>
      </w:r>
      <w:proofErr w:type="spellEnd"/>
      <w:r w:rsidRPr="00133E6C">
        <w:rPr>
          <w:lang w:val="fr-FR"/>
        </w:rPr>
        <w:t xml:space="preserve"> </w:t>
      </w:r>
      <w:proofErr w:type="spellStart"/>
      <w:r w:rsidRPr="00133E6C">
        <w:rPr>
          <w:lang w:val="fr-FR"/>
        </w:rPr>
        <w:t>Pavli</w:t>
      </w:r>
      <w:proofErr w:type="spellEnd"/>
      <w:r w:rsidRPr="00133E6C">
        <w:rPr>
          <w:lang w:val="fr-FR"/>
        </w:rPr>
        <w:t>,</w:t>
      </w:r>
      <w:r w:rsidRPr="00133E6C">
        <w:rPr>
          <w:i/>
          <w:lang w:val="fr-FR"/>
        </w:rPr>
        <w:br/>
      </w:r>
      <w:r w:rsidRPr="00133E6C">
        <w:rPr>
          <w:lang w:val="fr-FR"/>
        </w:rPr>
        <w:tab/>
      </w:r>
      <w:proofErr w:type="spellStart"/>
      <w:r w:rsidRPr="00133E6C">
        <w:rPr>
          <w:lang w:val="fr-FR"/>
        </w:rPr>
        <w:t>Saadet</w:t>
      </w:r>
      <w:proofErr w:type="spellEnd"/>
      <w:r w:rsidRPr="00133E6C">
        <w:rPr>
          <w:lang w:val="fr-FR"/>
        </w:rPr>
        <w:t xml:space="preserve"> </w:t>
      </w:r>
      <w:proofErr w:type="spellStart"/>
      <w:r w:rsidRPr="00133E6C">
        <w:rPr>
          <w:lang w:val="fr-FR"/>
        </w:rPr>
        <w:t>Yüksel</w:t>
      </w:r>
      <w:proofErr w:type="spellEnd"/>
      <w:r w:rsidRPr="00133E6C">
        <w:rPr>
          <w:lang w:val="fr-FR"/>
        </w:rPr>
        <w:t>,</w:t>
      </w:r>
      <w:r w:rsidRPr="00133E6C">
        <w:rPr>
          <w:i/>
          <w:lang w:val="fr-FR"/>
        </w:rPr>
        <w:br/>
      </w:r>
      <w:r w:rsidRPr="00133E6C">
        <w:rPr>
          <w:lang w:val="fr-FR"/>
        </w:rPr>
        <w:tab/>
      </w:r>
      <w:proofErr w:type="spellStart"/>
      <w:r w:rsidRPr="00133E6C">
        <w:rPr>
          <w:lang w:val="fr-FR"/>
        </w:rPr>
        <w:t>Peeter</w:t>
      </w:r>
      <w:proofErr w:type="spellEnd"/>
      <w:r w:rsidRPr="00133E6C">
        <w:rPr>
          <w:lang w:val="fr-FR"/>
        </w:rPr>
        <w:t xml:space="preserve"> </w:t>
      </w:r>
      <w:proofErr w:type="spellStart"/>
      <w:r w:rsidRPr="00133E6C">
        <w:rPr>
          <w:lang w:val="fr-FR"/>
        </w:rPr>
        <w:t>Roosma</w:t>
      </w:r>
      <w:proofErr w:type="spellEnd"/>
      <w:r w:rsidRPr="00133E6C">
        <w:rPr>
          <w:lang w:val="fr-FR"/>
        </w:rPr>
        <w:t>,</w:t>
      </w:r>
      <w:r w:rsidRPr="00133E6C">
        <w:rPr>
          <w:i/>
          <w:lang w:val="fr-FR"/>
        </w:rPr>
        <w:t xml:space="preserve"> juges</w:t>
      </w:r>
      <w:proofErr w:type="gramStart"/>
      <w:r w:rsidRPr="00133E6C">
        <w:rPr>
          <w:i/>
          <w:lang w:val="fr-FR"/>
        </w:rPr>
        <w:t>,</w:t>
      </w:r>
      <w:proofErr w:type="gramEnd"/>
      <w:r w:rsidRPr="00133E6C">
        <w:rPr>
          <w:i/>
          <w:lang w:val="fr-FR"/>
        </w:rPr>
        <w:br/>
      </w:r>
      <w:r w:rsidRPr="00133E6C" w:rsidR="004344E6">
        <w:rPr>
          <w:lang w:val="fr-FR"/>
        </w:rPr>
        <w:t xml:space="preserve">et de </w:t>
      </w:r>
      <w:r w:rsidRPr="00133E6C" w:rsidR="0048609C">
        <w:rPr>
          <w:lang w:val="fr-FR"/>
        </w:rPr>
        <w:t xml:space="preserve">Stanley </w:t>
      </w:r>
      <w:proofErr w:type="spellStart"/>
      <w:r w:rsidRPr="00133E6C" w:rsidR="0048609C">
        <w:rPr>
          <w:lang w:val="fr-FR"/>
        </w:rPr>
        <w:t>Naismith</w:t>
      </w:r>
      <w:proofErr w:type="spellEnd"/>
      <w:r w:rsidRPr="00133E6C" w:rsidR="004344E6">
        <w:rPr>
          <w:lang w:val="fr-FR"/>
        </w:rPr>
        <w:t xml:space="preserve">, </w:t>
      </w:r>
      <w:r w:rsidRPr="00133E6C" w:rsidR="0048609C">
        <w:rPr>
          <w:i/>
          <w:lang w:val="fr-FR"/>
        </w:rPr>
        <w:t>greffier</w:t>
      </w:r>
      <w:r w:rsidRPr="00133E6C" w:rsidR="0048609C">
        <w:rPr>
          <w:iCs/>
          <w:lang w:val="fr-FR"/>
        </w:rPr>
        <w:t xml:space="preserve"> </w:t>
      </w:r>
      <w:r w:rsidRPr="00133E6C" w:rsidR="0048609C">
        <w:rPr>
          <w:i/>
          <w:iCs/>
          <w:lang w:val="fr-FR"/>
        </w:rPr>
        <w:t>d</w:t>
      </w:r>
      <w:r w:rsidRPr="00133E6C" w:rsidR="0048609C">
        <w:rPr>
          <w:i/>
          <w:lang w:val="fr-FR"/>
        </w:rPr>
        <w:t>e section</w:t>
      </w:r>
      <w:r w:rsidRPr="00133E6C" w:rsidR="004344E6">
        <w:rPr>
          <w:lang w:val="fr-FR"/>
        </w:rPr>
        <w:t>,</w:t>
      </w:r>
    </w:p>
    <w:p w:rsidRPr="00133E6C" w:rsidR="004344E6" w:rsidP="00133E6C" w:rsidRDefault="004344E6">
      <w:pPr>
        <w:pStyle w:val="JuPara"/>
        <w:rPr>
          <w:lang w:val="fr-FR"/>
        </w:rPr>
      </w:pPr>
      <w:bookmarkStart w:name="ITMARKHavingStart" w:id="1"/>
      <w:bookmarkEnd w:id="1"/>
      <w:r w:rsidRPr="00133E6C">
        <w:rPr>
          <w:lang w:val="fr-FR"/>
        </w:rPr>
        <w:t xml:space="preserve">Après en avoir délibéré en chambre du conseil le </w:t>
      </w:r>
      <w:r w:rsidRPr="00133E6C" w:rsidR="0048609C">
        <w:rPr>
          <w:lang w:val="fr-FR"/>
        </w:rPr>
        <w:t>21 janvier 2020</w:t>
      </w:r>
      <w:r w:rsidRPr="00133E6C">
        <w:rPr>
          <w:lang w:val="fr-FR"/>
        </w:rPr>
        <w:t>,</w:t>
      </w:r>
    </w:p>
    <w:p w:rsidRPr="00133E6C" w:rsidR="00876F03" w:rsidP="00133E6C" w:rsidRDefault="004344E6">
      <w:pPr>
        <w:pStyle w:val="JuPara"/>
        <w:rPr>
          <w:lang w:val="fr-FR"/>
        </w:rPr>
      </w:pPr>
      <w:r w:rsidRPr="00133E6C">
        <w:rPr>
          <w:lang w:val="fr-FR"/>
        </w:rPr>
        <w:t>Rend l</w:t>
      </w:r>
      <w:r w:rsidRPr="00133E6C" w:rsidR="00133E6C">
        <w:rPr>
          <w:lang w:val="fr-FR"/>
        </w:rPr>
        <w:t>’</w:t>
      </w:r>
      <w:r w:rsidRPr="00133E6C">
        <w:rPr>
          <w:lang w:val="fr-FR"/>
        </w:rPr>
        <w:t>arrêt que voici</w:t>
      </w:r>
      <w:r w:rsidRPr="00133E6C" w:rsidR="00876F03">
        <w:rPr>
          <w:lang w:val="fr-FR"/>
        </w:rPr>
        <w:t>, adopté à cette date :</w:t>
      </w:r>
    </w:p>
    <w:p w:rsidRPr="00133E6C" w:rsidR="0048609C" w:rsidP="00133E6C" w:rsidRDefault="0048609C">
      <w:pPr>
        <w:pStyle w:val="JuHHead"/>
        <w:numPr>
          <w:ilvl w:val="0"/>
          <w:numId w:val="1"/>
        </w:numPr>
      </w:pPr>
      <w:r w:rsidRPr="00133E6C">
        <w:t>PROCÉDURE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w:t>
      </w:r>
      <w:r w:rsidRPr="00133E6C">
        <w:fldChar w:fldCharType="end"/>
      </w:r>
      <w:r w:rsidRPr="00133E6C">
        <w:rPr>
          <w:lang w:val="fr-FR"/>
        </w:rPr>
        <w:t>.  À l</w:t>
      </w:r>
      <w:r w:rsidRPr="00133E6C" w:rsidR="00133E6C">
        <w:rPr>
          <w:lang w:val="fr-FR"/>
        </w:rPr>
        <w:t>’</w:t>
      </w:r>
      <w:r w:rsidRPr="00133E6C">
        <w:rPr>
          <w:lang w:val="fr-FR"/>
        </w:rPr>
        <w:t>origine de l</w:t>
      </w:r>
      <w:r w:rsidRPr="00133E6C" w:rsidR="00133E6C">
        <w:rPr>
          <w:lang w:val="fr-FR"/>
        </w:rPr>
        <w:t>’</w:t>
      </w:r>
      <w:r w:rsidRPr="00133E6C">
        <w:rPr>
          <w:lang w:val="fr-FR"/>
        </w:rPr>
        <w:t>affaire se trouve une requête (n</w:t>
      </w:r>
      <w:r w:rsidRPr="00133E6C">
        <w:rPr>
          <w:vertAlign w:val="superscript"/>
          <w:lang w:val="fr-FR"/>
        </w:rPr>
        <w:t>o</w:t>
      </w:r>
      <w:r w:rsidRPr="00133E6C">
        <w:rPr>
          <w:lang w:val="fr-FR"/>
        </w:rPr>
        <w:t xml:space="preserve"> 69270/12) dirigée contre la République de Turquie et dont un ressortissant de cet État, M. Aziz </w:t>
      </w:r>
      <w:proofErr w:type="spellStart"/>
      <w:r w:rsidRPr="00133E6C">
        <w:rPr>
          <w:lang w:val="fr-FR"/>
        </w:rPr>
        <w:t>Özer</w:t>
      </w:r>
      <w:proofErr w:type="spellEnd"/>
      <w:r w:rsidRPr="00133E6C">
        <w:rPr>
          <w:lang w:val="fr-FR"/>
        </w:rPr>
        <w:t xml:space="preserve"> (« le requérant »), a saisi la Cour le 22 juin 2012 en vertu de l</w:t>
      </w:r>
      <w:r w:rsidRPr="00133E6C" w:rsidR="00133E6C">
        <w:rPr>
          <w:lang w:val="fr-FR"/>
        </w:rPr>
        <w:t>’</w:t>
      </w:r>
      <w:r w:rsidRPr="00133E6C">
        <w:rPr>
          <w:lang w:val="fr-FR"/>
        </w:rPr>
        <w:t>article 34 de la Convention de sauvegarde des droits de l</w:t>
      </w:r>
      <w:r w:rsidRPr="00133E6C" w:rsidR="00133E6C">
        <w:rPr>
          <w:lang w:val="fr-FR"/>
        </w:rPr>
        <w:t>’</w:t>
      </w:r>
      <w:r w:rsidRPr="00133E6C">
        <w:rPr>
          <w:lang w:val="fr-FR"/>
        </w:rPr>
        <w:t>homme et des libertés fondamentales (« la Convention »).</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2</w:t>
      </w:r>
      <w:r w:rsidRPr="00133E6C">
        <w:fldChar w:fldCharType="end"/>
      </w:r>
      <w:r w:rsidRPr="00133E6C">
        <w:rPr>
          <w:lang w:val="fr-FR"/>
        </w:rPr>
        <w:t>.  Le requérant a été représenté par M</w:t>
      </w:r>
      <w:r w:rsidRPr="00133E6C">
        <w:rPr>
          <w:vertAlign w:val="superscript"/>
          <w:lang w:val="fr-FR"/>
        </w:rPr>
        <w:t>e</w:t>
      </w:r>
      <w:r w:rsidRPr="00133E6C">
        <w:rPr>
          <w:lang w:val="fr-FR"/>
        </w:rPr>
        <w:t xml:space="preserve"> Ö. </w:t>
      </w:r>
      <w:proofErr w:type="spellStart"/>
      <w:r w:rsidRPr="00133E6C">
        <w:rPr>
          <w:lang w:val="fr-FR"/>
        </w:rPr>
        <w:t>Kılıç</w:t>
      </w:r>
      <w:proofErr w:type="spellEnd"/>
      <w:r w:rsidRPr="00133E6C">
        <w:rPr>
          <w:lang w:val="fr-FR"/>
        </w:rPr>
        <w:t>, avocat à Istanbul. Le gouvernement turc (« le Gouvernement ») a été représenté par son agent.</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w:t>
      </w:r>
      <w:r w:rsidRPr="00133E6C">
        <w:fldChar w:fldCharType="end"/>
      </w:r>
      <w:r w:rsidRPr="00133E6C">
        <w:rPr>
          <w:lang w:val="fr-FR"/>
        </w:rPr>
        <w:t>.  Le requérant alléguait une atteinte à son droit à la liberté d</w:t>
      </w:r>
      <w:r w:rsidRPr="00133E6C" w:rsidR="00133E6C">
        <w:rPr>
          <w:lang w:val="fr-FR"/>
        </w:rPr>
        <w:t>’</w:t>
      </w:r>
      <w:r w:rsidRPr="00133E6C">
        <w:rPr>
          <w:lang w:val="fr-FR"/>
        </w:rPr>
        <w:t>expression à raison de la procédure pénale diligentée contre lui.</w:t>
      </w:r>
    </w:p>
    <w:p w:rsidRPr="00133E6C" w:rsidR="0048609C" w:rsidP="00133E6C" w:rsidRDefault="0048609C">
      <w:pPr>
        <w:pStyle w:val="JuPara"/>
        <w:rPr>
          <w:lang w:val="fr-FR" w:eastAsia="en-GB"/>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w:t>
      </w:r>
      <w:r w:rsidRPr="00133E6C">
        <w:fldChar w:fldCharType="end"/>
      </w:r>
      <w:r w:rsidRPr="00133E6C">
        <w:rPr>
          <w:lang w:val="fr-FR"/>
        </w:rPr>
        <w:t>.  Le 8 décembre 2017, le grief concernant l</w:t>
      </w:r>
      <w:r w:rsidRPr="00133E6C" w:rsidR="00133E6C">
        <w:rPr>
          <w:lang w:val="fr-FR"/>
        </w:rPr>
        <w:t>’</w:t>
      </w:r>
      <w:r w:rsidRPr="00133E6C">
        <w:rPr>
          <w:lang w:val="fr-FR"/>
        </w:rPr>
        <w:t>atteinte qui aurait été portée au droit du requérant à la liberté d</w:t>
      </w:r>
      <w:r w:rsidRPr="00133E6C" w:rsidR="00133E6C">
        <w:rPr>
          <w:lang w:val="fr-FR"/>
        </w:rPr>
        <w:t>’</w:t>
      </w:r>
      <w:r w:rsidRPr="00133E6C">
        <w:rPr>
          <w:lang w:val="fr-FR"/>
        </w:rPr>
        <w:t>expression a été communiqué au Gouvernement et la requête a été déclarée irrecevable pour le surplus conformément à l</w:t>
      </w:r>
      <w:r w:rsidRPr="00133E6C" w:rsidR="00133E6C">
        <w:rPr>
          <w:lang w:val="fr-FR"/>
        </w:rPr>
        <w:t>’</w:t>
      </w:r>
      <w:r w:rsidRPr="00133E6C">
        <w:rPr>
          <w:lang w:val="fr-FR"/>
        </w:rPr>
        <w:t>article 54 § 3 du règlement de la Cour.</w:t>
      </w:r>
    </w:p>
    <w:p w:rsidRPr="00133E6C" w:rsidR="0048609C" w:rsidP="00133E6C" w:rsidRDefault="0048609C">
      <w:pPr>
        <w:pStyle w:val="JuHHead"/>
        <w:numPr>
          <w:ilvl w:val="0"/>
          <w:numId w:val="1"/>
        </w:numPr>
        <w:tabs>
          <w:tab w:val="left" w:pos="5387"/>
        </w:tabs>
      </w:pPr>
      <w:r w:rsidRPr="00133E6C">
        <w:t>EN FAIT</w:t>
      </w:r>
    </w:p>
    <w:p w:rsidRPr="00133E6C" w:rsidR="0048609C" w:rsidP="00133E6C" w:rsidRDefault="0048609C">
      <w:pPr>
        <w:pStyle w:val="JuHIRoman"/>
        <w:numPr>
          <w:ilvl w:val="1"/>
          <w:numId w:val="1"/>
        </w:numPr>
      </w:pPr>
      <w:r w:rsidRPr="00133E6C">
        <w:t>  LES CIRCONSTANCES DE L</w:t>
      </w:r>
      <w:r w:rsidRPr="00133E6C" w:rsidR="00133E6C">
        <w:t>’</w:t>
      </w:r>
      <w:r w:rsidRPr="00133E6C">
        <w:t>ESPÈCE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5</w:t>
      </w:r>
      <w:r w:rsidRPr="00133E6C">
        <w:fldChar w:fldCharType="end"/>
      </w:r>
      <w:r w:rsidRPr="00133E6C">
        <w:rPr>
          <w:lang w:val="fr-FR"/>
        </w:rPr>
        <w:t>.  Le requérant est né en 1964 et réside à Istanbul.</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6</w:t>
      </w:r>
      <w:r w:rsidRPr="00133E6C">
        <w:fldChar w:fldCharType="end"/>
      </w:r>
      <w:r w:rsidRPr="00133E6C">
        <w:rPr>
          <w:lang w:val="fr-FR"/>
        </w:rPr>
        <w:t>.  À l</w:t>
      </w:r>
      <w:r w:rsidRPr="00133E6C" w:rsidR="00133E6C">
        <w:rPr>
          <w:lang w:val="fr-FR"/>
        </w:rPr>
        <w:t>’</w:t>
      </w:r>
      <w:r w:rsidRPr="00133E6C">
        <w:rPr>
          <w:lang w:val="fr-FR"/>
        </w:rPr>
        <w:t>époque des faits, il était le propriétaire et l</w:t>
      </w:r>
      <w:r w:rsidRPr="00133E6C" w:rsidR="00133E6C">
        <w:rPr>
          <w:lang w:val="fr-FR"/>
        </w:rPr>
        <w:t>’</w:t>
      </w:r>
      <w:r w:rsidRPr="00133E6C">
        <w:rPr>
          <w:lang w:val="fr-FR"/>
        </w:rPr>
        <w:t>éditeur du périodique mensuel « </w:t>
      </w:r>
      <w:proofErr w:type="spellStart"/>
      <w:r w:rsidRPr="00133E6C">
        <w:rPr>
          <w:i/>
          <w:lang w:val="fr-FR"/>
        </w:rPr>
        <w:t>Yeni</w:t>
      </w:r>
      <w:proofErr w:type="spellEnd"/>
      <w:r w:rsidRPr="00133E6C">
        <w:rPr>
          <w:i/>
          <w:lang w:val="fr-FR"/>
        </w:rPr>
        <w:t xml:space="preserve"> </w:t>
      </w:r>
      <w:proofErr w:type="spellStart"/>
      <w:r w:rsidRPr="00133E6C">
        <w:rPr>
          <w:i/>
          <w:lang w:val="fr-FR"/>
        </w:rPr>
        <w:t>Dünya</w:t>
      </w:r>
      <w:proofErr w:type="spellEnd"/>
      <w:r w:rsidRPr="00133E6C">
        <w:rPr>
          <w:i/>
          <w:lang w:val="fr-FR"/>
        </w:rPr>
        <w:t xml:space="preserve"> </w:t>
      </w:r>
      <w:proofErr w:type="spellStart"/>
      <w:r w:rsidRPr="00133E6C">
        <w:rPr>
          <w:rFonts w:cstheme="minorHAnsi"/>
          <w:i/>
          <w:lang w:val="fr-FR"/>
        </w:rPr>
        <w:t>İ</w:t>
      </w:r>
      <w:r w:rsidRPr="00133E6C">
        <w:rPr>
          <w:i/>
          <w:lang w:val="fr-FR"/>
        </w:rPr>
        <w:t>çin</w:t>
      </w:r>
      <w:proofErr w:type="spellEnd"/>
      <w:r w:rsidRPr="00133E6C">
        <w:rPr>
          <w:i/>
          <w:lang w:val="fr-FR"/>
        </w:rPr>
        <w:t xml:space="preserve"> </w:t>
      </w:r>
      <w:proofErr w:type="spellStart"/>
      <w:r w:rsidRPr="00133E6C">
        <w:rPr>
          <w:rFonts w:cstheme="minorHAnsi"/>
          <w:i/>
          <w:lang w:val="fr-FR"/>
        </w:rPr>
        <w:t>Çağrı</w:t>
      </w:r>
      <w:proofErr w:type="spellEnd"/>
      <w:r w:rsidRPr="00133E6C">
        <w:rPr>
          <w:i/>
          <w:lang w:val="fr-FR"/>
        </w:rPr>
        <w:t> </w:t>
      </w:r>
      <w:r w:rsidRPr="00133E6C">
        <w:rPr>
          <w:lang w:val="fr-FR"/>
        </w:rPr>
        <w:t>»</w:t>
      </w:r>
      <w:r w:rsidRPr="00133E6C">
        <w:rPr>
          <w:i/>
          <w:lang w:val="fr-FR"/>
        </w:rPr>
        <w:t xml:space="preserve"> </w:t>
      </w:r>
      <w:r w:rsidRPr="00133E6C">
        <w:rPr>
          <w:lang w:val="fr-FR"/>
        </w:rPr>
        <w:t>(Appel pour un nouveau monde).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7</w:t>
      </w:r>
      <w:r w:rsidRPr="00133E6C">
        <w:fldChar w:fldCharType="end"/>
      </w:r>
      <w:r w:rsidRPr="00133E6C">
        <w:rPr>
          <w:lang w:val="fr-FR"/>
        </w:rPr>
        <w:t>.  Par un acte d</w:t>
      </w:r>
      <w:r w:rsidRPr="00133E6C" w:rsidR="00133E6C">
        <w:rPr>
          <w:lang w:val="fr-FR"/>
        </w:rPr>
        <w:t>’</w:t>
      </w:r>
      <w:r w:rsidRPr="00133E6C">
        <w:rPr>
          <w:lang w:val="fr-FR"/>
        </w:rPr>
        <w:t>accusation du 12 février 2007, le procureur de la République d</w:t>
      </w:r>
      <w:r w:rsidRPr="00133E6C" w:rsidR="00133E6C">
        <w:rPr>
          <w:lang w:val="fr-FR"/>
        </w:rPr>
        <w:t>’</w:t>
      </w:r>
      <w:r w:rsidRPr="00133E6C">
        <w:rPr>
          <w:lang w:val="fr-FR"/>
        </w:rPr>
        <w:t>Istanbul inculpa le requérant du chef de propagande en faveur d</w:t>
      </w:r>
      <w:r w:rsidRPr="00133E6C" w:rsidR="00133E6C">
        <w:rPr>
          <w:lang w:val="fr-FR"/>
        </w:rPr>
        <w:t>’</w:t>
      </w:r>
      <w:r w:rsidRPr="00133E6C">
        <w:rPr>
          <w:lang w:val="fr-FR"/>
        </w:rPr>
        <w:t>une organisation terroriste à raison du contenu d</w:t>
      </w:r>
      <w:r w:rsidRPr="00133E6C" w:rsidR="00133E6C">
        <w:rPr>
          <w:lang w:val="fr-FR"/>
        </w:rPr>
        <w:t>’</w:t>
      </w:r>
      <w:r w:rsidRPr="00133E6C">
        <w:rPr>
          <w:lang w:val="fr-FR"/>
        </w:rPr>
        <w:t>un article publié dans l</w:t>
      </w:r>
      <w:r w:rsidRPr="00133E6C" w:rsidR="00133E6C">
        <w:rPr>
          <w:lang w:val="fr-FR"/>
        </w:rPr>
        <w:t>’</w:t>
      </w:r>
      <w:r w:rsidRPr="00133E6C">
        <w:rPr>
          <w:lang w:val="fr-FR"/>
        </w:rPr>
        <w:t>édition de janvier 2007 de son périodique.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8</w:t>
      </w:r>
      <w:r w:rsidRPr="00133E6C">
        <w:fldChar w:fldCharType="end"/>
      </w:r>
      <w:r w:rsidRPr="00133E6C">
        <w:rPr>
          <w:lang w:val="fr-FR"/>
        </w:rPr>
        <w:t>.  Le 28 mars 2008, la cour d</w:t>
      </w:r>
      <w:r w:rsidRPr="00133E6C" w:rsidR="00133E6C">
        <w:rPr>
          <w:lang w:val="fr-FR"/>
        </w:rPr>
        <w:t>’</w:t>
      </w:r>
      <w:r w:rsidRPr="00133E6C">
        <w:rPr>
          <w:lang w:val="fr-FR"/>
        </w:rPr>
        <w:t>assises d</w:t>
      </w:r>
      <w:r w:rsidRPr="00133E6C" w:rsidR="00133E6C">
        <w:rPr>
          <w:lang w:val="fr-FR"/>
        </w:rPr>
        <w:t>’</w:t>
      </w:r>
      <w:r w:rsidRPr="00133E6C">
        <w:rPr>
          <w:lang w:val="fr-FR"/>
        </w:rPr>
        <w:t>Istanbul (« la cour d</w:t>
      </w:r>
      <w:r w:rsidRPr="00133E6C" w:rsidR="00133E6C">
        <w:rPr>
          <w:lang w:val="fr-FR"/>
        </w:rPr>
        <w:t>’</w:t>
      </w:r>
      <w:r w:rsidRPr="00133E6C">
        <w:rPr>
          <w:lang w:val="fr-FR"/>
        </w:rPr>
        <w:t>assises ») reconnut le requérant coupable de l</w:t>
      </w:r>
      <w:r w:rsidRPr="00133E6C" w:rsidR="00133E6C">
        <w:rPr>
          <w:lang w:val="fr-FR"/>
        </w:rPr>
        <w:t>’</w:t>
      </w:r>
      <w:r w:rsidRPr="00133E6C">
        <w:rPr>
          <w:lang w:val="fr-FR"/>
        </w:rPr>
        <w:t>infraction reprochée et le condamna à une peine d</w:t>
      </w:r>
      <w:r w:rsidRPr="00133E6C" w:rsidR="00133E6C">
        <w:rPr>
          <w:lang w:val="fr-FR"/>
        </w:rPr>
        <w:t>’</w:t>
      </w:r>
      <w:r w:rsidRPr="00133E6C">
        <w:rPr>
          <w:lang w:val="fr-FR"/>
        </w:rPr>
        <w:t>emprisonnement d</w:t>
      </w:r>
      <w:r w:rsidRPr="00133E6C" w:rsidR="00133E6C">
        <w:rPr>
          <w:lang w:val="fr-FR"/>
        </w:rPr>
        <w:t>’</w:t>
      </w:r>
      <w:r w:rsidRPr="00133E6C">
        <w:rPr>
          <w:lang w:val="fr-FR"/>
        </w:rPr>
        <w:t>un an et trois mois sur le fondement de l</w:t>
      </w:r>
      <w:r w:rsidRPr="00133E6C" w:rsidR="00133E6C">
        <w:rPr>
          <w:lang w:val="fr-FR"/>
        </w:rPr>
        <w:t>’</w:t>
      </w:r>
      <w:r w:rsidRPr="00133E6C">
        <w:rPr>
          <w:lang w:val="fr-FR"/>
        </w:rPr>
        <w:t>article</w:t>
      </w:r>
      <w:r w:rsidRPr="00133E6C" w:rsidR="00AE16D3">
        <w:rPr>
          <w:lang w:val="fr-FR"/>
        </w:rPr>
        <w:t xml:space="preserve"> </w:t>
      </w:r>
      <w:r w:rsidRPr="00133E6C">
        <w:rPr>
          <w:lang w:val="fr-FR"/>
        </w:rPr>
        <w:t>7 § 2 de la loi n</w:t>
      </w:r>
      <w:r w:rsidRPr="00133E6C">
        <w:rPr>
          <w:vertAlign w:val="superscript"/>
          <w:lang w:val="fr-FR"/>
        </w:rPr>
        <w:t>o</w:t>
      </w:r>
      <w:r w:rsidRPr="00133E6C">
        <w:rPr>
          <w:lang w:val="fr-FR"/>
        </w:rPr>
        <w:t xml:space="preserve"> 3713. À cet égard, elle considéra que certains passages de l</w:t>
      </w:r>
      <w:r w:rsidRPr="00133E6C" w:rsidR="00133E6C">
        <w:rPr>
          <w:lang w:val="fr-FR"/>
        </w:rPr>
        <w:t>’</w:t>
      </w:r>
      <w:r w:rsidRPr="00133E6C">
        <w:rPr>
          <w:lang w:val="fr-FR"/>
        </w:rPr>
        <w:t xml:space="preserve">article en cause, intitulé </w:t>
      </w:r>
      <w:r w:rsidRPr="00133E6C">
        <w:rPr>
          <w:i/>
          <w:lang w:val="fr-FR"/>
        </w:rPr>
        <w:t>« La question kurde, les recherches de solution et nos devoirs »</w:t>
      </w:r>
      <w:r w:rsidRPr="00133E6C">
        <w:rPr>
          <w:lang w:val="fr-FR"/>
        </w:rPr>
        <w:t>, dépassaient les limites du but d</w:t>
      </w:r>
      <w:r w:rsidRPr="00133E6C" w:rsidR="00133E6C">
        <w:rPr>
          <w:lang w:val="fr-FR"/>
        </w:rPr>
        <w:t>’</w:t>
      </w:r>
      <w:r w:rsidRPr="00133E6C">
        <w:rPr>
          <w:lang w:val="fr-FR"/>
        </w:rPr>
        <w:t>information de la société et étaient de nature à faire de la propagande en faveur de l</w:t>
      </w:r>
      <w:r w:rsidRPr="00133E6C" w:rsidR="00133E6C">
        <w:rPr>
          <w:lang w:val="fr-FR"/>
        </w:rPr>
        <w:t>’</w:t>
      </w:r>
      <w:r w:rsidRPr="00133E6C">
        <w:rPr>
          <w:lang w:val="fr-FR"/>
        </w:rPr>
        <w:t>organisation illégale armée PKK (Parti des travailleurs du Kurdistan), et qu</w:t>
      </w:r>
      <w:r w:rsidRPr="00133E6C" w:rsidR="00133E6C">
        <w:rPr>
          <w:lang w:val="fr-FR"/>
        </w:rPr>
        <w:t>’</w:t>
      </w:r>
      <w:r w:rsidRPr="00133E6C">
        <w:rPr>
          <w:lang w:val="fr-FR"/>
        </w:rPr>
        <w:t>ils ne correspondaient donc pas à un exercice de la liberté d</w:t>
      </w:r>
      <w:r w:rsidRPr="00133E6C" w:rsidR="00133E6C">
        <w:rPr>
          <w:lang w:val="fr-FR"/>
        </w:rPr>
        <w:t>’</w:t>
      </w:r>
      <w:r w:rsidRPr="00133E6C">
        <w:rPr>
          <w:lang w:val="fr-FR"/>
        </w:rPr>
        <w:t>expression au sens de l</w:t>
      </w:r>
      <w:r w:rsidRPr="00133E6C" w:rsidR="00133E6C">
        <w:rPr>
          <w:lang w:val="fr-FR"/>
        </w:rPr>
        <w:t>’</w:t>
      </w:r>
      <w:r w:rsidRPr="00133E6C">
        <w:rPr>
          <w:lang w:val="fr-FR"/>
        </w:rPr>
        <w:t>article 10 de la Convention, mais à un abus de cette liberté au sens du deuxième paragraphe de cette disposition. Les passages de l</w:t>
      </w:r>
      <w:r w:rsidRPr="00133E6C" w:rsidR="00133E6C">
        <w:rPr>
          <w:lang w:val="fr-FR"/>
        </w:rPr>
        <w:t>’</w:t>
      </w:r>
      <w:r w:rsidRPr="00133E6C">
        <w:rPr>
          <w:lang w:val="fr-FR"/>
        </w:rPr>
        <w:t>article litigieux, retenus par la cour d</w:t>
      </w:r>
      <w:r w:rsidRPr="00133E6C" w:rsidR="00133E6C">
        <w:rPr>
          <w:lang w:val="fr-FR"/>
        </w:rPr>
        <w:t>’</w:t>
      </w:r>
      <w:r w:rsidRPr="00133E6C">
        <w:rPr>
          <w:lang w:val="fr-FR"/>
        </w:rPr>
        <w:t>assises à l</w:t>
      </w:r>
      <w:r w:rsidRPr="00133E6C" w:rsidR="00133E6C">
        <w:rPr>
          <w:lang w:val="fr-FR"/>
        </w:rPr>
        <w:t>’</w:t>
      </w:r>
      <w:r w:rsidRPr="00133E6C">
        <w:rPr>
          <w:lang w:val="fr-FR"/>
        </w:rPr>
        <w:t>appui de la condamnation du requérant, se lisaient comme suit :</w:t>
      </w:r>
    </w:p>
    <w:p w:rsidRPr="00133E6C" w:rsidR="004E3323" w:rsidP="00133E6C" w:rsidRDefault="0048609C">
      <w:pPr>
        <w:pStyle w:val="JuQuot"/>
        <w:rPr>
          <w:lang w:val="fr-FR"/>
        </w:rPr>
      </w:pPr>
      <w:r w:rsidRPr="00133E6C">
        <w:rPr>
          <w:lang w:val="fr-FR"/>
        </w:rPr>
        <w:t>« Par le biais de la protection du tribalisme et de [l</w:t>
      </w:r>
      <w:r w:rsidRPr="00133E6C" w:rsidR="00133E6C">
        <w:rPr>
          <w:lang w:val="fr-FR"/>
        </w:rPr>
        <w:t>’</w:t>
      </w:r>
      <w:r w:rsidRPr="00133E6C">
        <w:rPr>
          <w:lang w:val="fr-FR"/>
        </w:rPr>
        <w:t>ordre des] seigneurs féodaux par la main de l</w:t>
      </w:r>
      <w:r w:rsidRPr="00133E6C" w:rsidR="00133E6C">
        <w:rPr>
          <w:lang w:val="fr-FR"/>
        </w:rPr>
        <w:t>’</w:t>
      </w:r>
      <w:r w:rsidRPr="00133E6C">
        <w:rPr>
          <w:lang w:val="fr-FR"/>
        </w:rPr>
        <w:t>État dans la région la plus peuplée de Kurdes, une pression plus [intense] que les pressions de l</w:t>
      </w:r>
      <w:r w:rsidRPr="00133E6C" w:rsidR="00133E6C">
        <w:rPr>
          <w:lang w:val="fr-FR"/>
        </w:rPr>
        <w:t>’</w:t>
      </w:r>
      <w:r w:rsidRPr="00133E6C">
        <w:rPr>
          <w:lang w:val="fr-FR"/>
        </w:rPr>
        <w:t>État a été créée sur les travailleurs et les villageois kurdes. La réclamation par la nation kurde de son droit le plus démocratique a été une raison suffisante pour faire pourrir les gens dans les geôles pendant des années. À la suite de la lutte armée lancée par le PKK en 1984, une conscience nationale jamais vue jusqu</w:t>
      </w:r>
      <w:r w:rsidRPr="00133E6C" w:rsidR="00133E6C">
        <w:rPr>
          <w:lang w:val="fr-FR"/>
        </w:rPr>
        <w:t>’</w:t>
      </w:r>
      <w:r w:rsidRPr="00133E6C">
        <w:rPr>
          <w:lang w:val="fr-FR"/>
        </w:rPr>
        <w:t>alors et irréversible s</w:t>
      </w:r>
      <w:r w:rsidRPr="00133E6C" w:rsidR="00133E6C">
        <w:rPr>
          <w:lang w:val="fr-FR"/>
        </w:rPr>
        <w:t>’</w:t>
      </w:r>
      <w:r w:rsidRPr="00133E6C">
        <w:rPr>
          <w:lang w:val="fr-FR"/>
        </w:rPr>
        <w:t>est développée au sein de (...) la nation kurde. La réponse de l</w:t>
      </w:r>
      <w:r w:rsidRPr="00133E6C" w:rsidR="00133E6C">
        <w:rPr>
          <w:lang w:val="fr-FR"/>
        </w:rPr>
        <w:t>’</w:t>
      </w:r>
      <w:r w:rsidRPr="00133E6C">
        <w:rPr>
          <w:lang w:val="fr-FR"/>
        </w:rPr>
        <w:t>État à ce réveil national a été, comme toujours, la pression, le massacre, l</w:t>
      </w:r>
      <w:r w:rsidRPr="00133E6C" w:rsidR="00133E6C">
        <w:rPr>
          <w:lang w:val="fr-FR"/>
        </w:rPr>
        <w:t>’</w:t>
      </w:r>
      <w:r w:rsidRPr="00133E6C">
        <w:rPr>
          <w:lang w:val="fr-FR"/>
        </w:rPr>
        <w:t>incendie des maisons et des villages et la migration forcée des Kurdes. La réponse de l</w:t>
      </w:r>
      <w:r w:rsidRPr="00133E6C" w:rsidR="00133E6C">
        <w:rPr>
          <w:lang w:val="fr-FR"/>
        </w:rPr>
        <w:t>’</w:t>
      </w:r>
      <w:r w:rsidRPr="00133E6C">
        <w:rPr>
          <w:lang w:val="fr-FR"/>
        </w:rPr>
        <w:t>État aux trêves [déclarées] à certains intervalles par le PKK était claire : la guerre jusqu</w:t>
      </w:r>
      <w:r w:rsidRPr="00133E6C" w:rsidR="00133E6C">
        <w:rPr>
          <w:lang w:val="fr-FR"/>
        </w:rPr>
        <w:t>’</w:t>
      </w:r>
      <w:r w:rsidRPr="00133E6C">
        <w:rPr>
          <w:lang w:val="fr-FR"/>
        </w:rPr>
        <w:t>à ce qu</w:t>
      </w:r>
      <w:r w:rsidRPr="00133E6C" w:rsidR="00133E6C">
        <w:rPr>
          <w:lang w:val="fr-FR"/>
        </w:rPr>
        <w:t>’</w:t>
      </w:r>
      <w:r w:rsidRPr="00133E6C">
        <w:rPr>
          <w:lang w:val="fr-FR"/>
        </w:rPr>
        <w:t>il n</w:t>
      </w:r>
      <w:r w:rsidRPr="00133E6C" w:rsidR="00133E6C">
        <w:rPr>
          <w:lang w:val="fr-FR"/>
        </w:rPr>
        <w:t>’</w:t>
      </w:r>
      <w:r w:rsidRPr="00133E6C">
        <w:rPr>
          <w:lang w:val="fr-FR"/>
        </w:rPr>
        <w:t>y ait plus un seul terroriste. Cette guerre est toujours poursuivie. Après la trêve, le PKK a averti l</w:t>
      </w:r>
      <w:r w:rsidRPr="00133E6C" w:rsidR="00133E6C">
        <w:rPr>
          <w:lang w:val="fr-FR"/>
        </w:rPr>
        <w:t>’</w:t>
      </w:r>
      <w:r w:rsidRPr="00133E6C">
        <w:rPr>
          <w:lang w:val="fr-FR"/>
        </w:rPr>
        <w:t>État [en demandant] la fin des opérations et en indiquant que [dans le cas contraire] (...) la trêve serait compromise et il a demandé aux pacifistes et aux intellectuels de faire plus d</w:t>
      </w:r>
      <w:r w:rsidRPr="00133E6C" w:rsidR="00133E6C">
        <w:rPr>
          <w:lang w:val="fr-FR"/>
        </w:rPr>
        <w:t>’</w:t>
      </w:r>
      <w:r w:rsidRPr="00133E6C">
        <w:rPr>
          <w:lang w:val="fr-FR"/>
        </w:rPr>
        <w:t>efforts. »</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9</w:t>
      </w:r>
      <w:r w:rsidRPr="00133E6C">
        <w:fldChar w:fldCharType="end"/>
      </w:r>
      <w:r w:rsidRPr="00133E6C">
        <w:rPr>
          <w:lang w:val="fr-FR"/>
        </w:rPr>
        <w:t>.  Le 12 janvier 2012, la Cour de cassation, saisie d</w:t>
      </w:r>
      <w:r w:rsidRPr="00133E6C" w:rsidR="00133E6C">
        <w:rPr>
          <w:lang w:val="fr-FR"/>
        </w:rPr>
        <w:t>’</w:t>
      </w:r>
      <w:r w:rsidRPr="00133E6C">
        <w:rPr>
          <w:lang w:val="fr-FR"/>
        </w:rPr>
        <w:t>un pourvoi en cassation formé par le requérant, confirma l</w:t>
      </w:r>
      <w:r w:rsidRPr="00133E6C" w:rsidR="00133E6C">
        <w:rPr>
          <w:lang w:val="fr-FR"/>
        </w:rPr>
        <w:t>’</w:t>
      </w:r>
      <w:r w:rsidRPr="00133E6C">
        <w:rPr>
          <w:lang w:val="fr-FR"/>
        </w:rPr>
        <w:t>arrêt de la cour d</w:t>
      </w:r>
      <w:r w:rsidRPr="00133E6C" w:rsidR="00133E6C">
        <w:rPr>
          <w:lang w:val="fr-FR"/>
        </w:rPr>
        <w:t>’</w:t>
      </w:r>
      <w:r w:rsidRPr="00133E6C">
        <w:rPr>
          <w:lang w:val="fr-FR"/>
        </w:rPr>
        <w:t>assises au motif qu</w:t>
      </w:r>
      <w:r w:rsidRPr="00133E6C" w:rsidR="00133E6C">
        <w:rPr>
          <w:lang w:val="fr-FR"/>
        </w:rPr>
        <w:t>’</w:t>
      </w:r>
      <w:r w:rsidRPr="00133E6C">
        <w:rPr>
          <w:lang w:val="fr-FR"/>
        </w:rPr>
        <w:t>elle n</w:t>
      </w:r>
      <w:r w:rsidRPr="00133E6C" w:rsidR="00133E6C">
        <w:rPr>
          <w:lang w:val="fr-FR"/>
        </w:rPr>
        <w:t>’</w:t>
      </w:r>
      <w:r w:rsidRPr="00133E6C">
        <w:rPr>
          <w:lang w:val="fr-FR"/>
        </w:rPr>
        <w:t>avait décelé aucun défaut de pertinence dans cet arrêt.</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10</w:t>
      </w:r>
      <w:r w:rsidRPr="00133E6C">
        <w:fldChar w:fldCharType="end"/>
      </w:r>
      <w:r w:rsidRPr="00133E6C">
        <w:rPr>
          <w:lang w:val="fr-FR"/>
        </w:rPr>
        <w:t>.  Le 26 septembre 2012, la cour d</w:t>
      </w:r>
      <w:r w:rsidRPr="00133E6C" w:rsidR="00133E6C">
        <w:rPr>
          <w:lang w:val="fr-FR"/>
        </w:rPr>
        <w:t>’</w:t>
      </w:r>
      <w:r w:rsidRPr="00133E6C">
        <w:rPr>
          <w:lang w:val="fr-FR"/>
        </w:rPr>
        <w:t>assises, prenant acte de l</w:t>
      </w:r>
      <w:r w:rsidRPr="00133E6C" w:rsidR="00133E6C">
        <w:rPr>
          <w:lang w:val="fr-FR"/>
        </w:rPr>
        <w:t>’</w:t>
      </w:r>
      <w:r w:rsidRPr="00133E6C">
        <w:rPr>
          <w:lang w:val="fr-FR"/>
        </w:rPr>
        <w:t>entrée en vigueur de la loi n</w:t>
      </w:r>
      <w:r w:rsidRPr="00133E6C">
        <w:rPr>
          <w:vertAlign w:val="superscript"/>
          <w:lang w:val="fr-FR"/>
        </w:rPr>
        <w:t>o</w:t>
      </w:r>
      <w:r w:rsidRPr="00133E6C">
        <w:rPr>
          <w:lang w:val="fr-FR"/>
        </w:rPr>
        <w:t xml:space="preserve"> 6352 (paragraphe 15 ci-dessous), décida de surseoir à l</w:t>
      </w:r>
      <w:r w:rsidRPr="00133E6C" w:rsidR="00133E6C">
        <w:rPr>
          <w:lang w:val="fr-FR"/>
        </w:rPr>
        <w:t>’</w:t>
      </w:r>
      <w:r w:rsidRPr="00133E6C">
        <w:rPr>
          <w:lang w:val="fr-FR"/>
        </w:rPr>
        <w:t>exécution de la peine infligée au requérant pendant une période de trois ans, en application de l</w:t>
      </w:r>
      <w:r w:rsidRPr="00133E6C" w:rsidR="00133E6C">
        <w:rPr>
          <w:lang w:val="fr-FR"/>
        </w:rPr>
        <w:t>’</w:t>
      </w:r>
      <w:r w:rsidRPr="00133E6C">
        <w:rPr>
          <w:lang w:val="fr-FR"/>
        </w:rPr>
        <w:t>article 1 provisoire de cette loi.</w:t>
      </w:r>
    </w:p>
    <w:p w:rsidRPr="00133E6C" w:rsidR="0048609C" w:rsidP="00133E6C" w:rsidRDefault="0048609C">
      <w:pPr>
        <w:pStyle w:val="JuHIRoman"/>
        <w:numPr>
          <w:ilvl w:val="0"/>
          <w:numId w:val="0"/>
        </w:numPr>
        <w:ind w:left="357"/>
        <w:rPr>
          <w:lang w:val="fr-FR"/>
        </w:rPr>
      </w:pPr>
      <w:r w:rsidRPr="00133E6C">
        <w:rPr>
          <w:lang w:val="fr-FR"/>
        </w:rPr>
        <w:t>II.  LE DROIT INTERNE PERTINENT</w:t>
      </w:r>
    </w:p>
    <w:p w:rsidRPr="00133E6C" w:rsidR="0048609C" w:rsidP="00133E6C" w:rsidRDefault="0048609C">
      <w:pPr>
        <w:pStyle w:val="JuHA"/>
        <w:numPr>
          <w:ilvl w:val="0"/>
          <w:numId w:val="0"/>
        </w:numPr>
        <w:ind w:left="584"/>
        <w:rPr>
          <w:rFonts w:eastAsiaTheme="majorEastAsia"/>
          <w:lang w:val="fr-FR"/>
        </w:rPr>
      </w:pPr>
      <w:r w:rsidRPr="00133E6C">
        <w:rPr>
          <w:rFonts w:eastAsiaTheme="majorEastAsia"/>
          <w:lang w:val="fr-FR"/>
        </w:rPr>
        <w:t>A.  L</w:t>
      </w:r>
      <w:r w:rsidRPr="00133E6C" w:rsidR="00133E6C">
        <w:rPr>
          <w:rFonts w:eastAsiaTheme="majorEastAsia"/>
          <w:lang w:val="fr-FR"/>
        </w:rPr>
        <w:t>’</w:t>
      </w:r>
      <w:r w:rsidRPr="00133E6C">
        <w:rPr>
          <w:rFonts w:eastAsiaTheme="majorEastAsia"/>
          <w:lang w:val="fr-FR"/>
        </w:rPr>
        <w:t>article 7 § 2 de la loi n</w:t>
      </w:r>
      <w:r w:rsidRPr="00133E6C">
        <w:rPr>
          <w:rFonts w:eastAsiaTheme="majorEastAsia"/>
          <w:vertAlign w:val="superscript"/>
          <w:lang w:val="fr-FR"/>
        </w:rPr>
        <w:t>o</w:t>
      </w:r>
      <w:r w:rsidRPr="00133E6C">
        <w:rPr>
          <w:rFonts w:eastAsiaTheme="majorEastAsia"/>
          <w:lang w:val="fr-FR"/>
        </w:rPr>
        <w:t xml:space="preserve"> 3713</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11</w:t>
      </w:r>
      <w:r w:rsidRPr="00133E6C">
        <w:fldChar w:fldCharType="end"/>
      </w:r>
      <w:r w:rsidRPr="00133E6C">
        <w:rPr>
          <w:lang w:val="fr-FR"/>
        </w:rPr>
        <w:t>.  L</w:t>
      </w:r>
      <w:r w:rsidRPr="00133E6C" w:rsidR="00133E6C">
        <w:rPr>
          <w:lang w:val="fr-FR"/>
        </w:rPr>
        <w:t>’</w:t>
      </w:r>
      <w:r w:rsidRPr="00133E6C">
        <w:rPr>
          <w:lang w:val="fr-FR"/>
        </w:rPr>
        <w:t>article 7 § 2 de la loi n</w:t>
      </w:r>
      <w:r w:rsidRPr="00133E6C">
        <w:rPr>
          <w:vertAlign w:val="superscript"/>
          <w:lang w:val="fr-FR"/>
        </w:rPr>
        <w:t>o</w:t>
      </w:r>
      <w:r w:rsidRPr="00133E6C">
        <w:rPr>
          <w:lang w:val="fr-FR"/>
        </w:rPr>
        <w:t xml:space="preserve"> 3713 relative à la lutte contre le terrorisme, entrée en vigueur le 12 avril 1991, se lisait comme suit :</w:t>
      </w:r>
    </w:p>
    <w:p w:rsidRPr="00133E6C" w:rsidR="0048609C" w:rsidP="00133E6C" w:rsidRDefault="0048609C">
      <w:pPr>
        <w:pStyle w:val="JuQuot"/>
        <w:rPr>
          <w:lang w:val="fr-FR"/>
        </w:rPr>
      </w:pPr>
      <w:r w:rsidRPr="00133E6C">
        <w:rPr>
          <w:lang w:val="fr-FR"/>
        </w:rPr>
        <w:t>« Quiconque apporte une assistance aux organisations mentionnées [à l</w:t>
      </w:r>
      <w:r w:rsidRPr="00133E6C" w:rsidR="00133E6C">
        <w:rPr>
          <w:lang w:val="fr-FR"/>
        </w:rPr>
        <w:t>’</w:t>
      </w:r>
      <w:r w:rsidRPr="00133E6C">
        <w:rPr>
          <w:lang w:val="fr-FR"/>
        </w:rPr>
        <w:t>alinéa ci</w:t>
      </w:r>
      <w:r w:rsidRPr="00133E6C">
        <w:rPr>
          <w:lang w:val="fr-FR"/>
        </w:rPr>
        <w:noBreakHyphen/>
        <w:t>dessus] et fait de la propagande en leur faveur sera condamné à une peine de un an à cinq ans d</w:t>
      </w:r>
      <w:r w:rsidRPr="00133E6C" w:rsidR="00133E6C">
        <w:rPr>
          <w:lang w:val="fr-FR"/>
        </w:rPr>
        <w:t>’</w:t>
      </w:r>
      <w:r w:rsidRPr="00133E6C">
        <w:rPr>
          <w:lang w:val="fr-FR"/>
        </w:rPr>
        <w:t>emprisonnement ainsi qu</w:t>
      </w:r>
      <w:r w:rsidRPr="00133E6C" w:rsidR="00133E6C">
        <w:rPr>
          <w:lang w:val="fr-FR"/>
        </w:rPr>
        <w:t>’</w:t>
      </w:r>
      <w:r w:rsidRPr="00133E6C">
        <w:rPr>
          <w:lang w:val="fr-FR"/>
        </w:rPr>
        <w:t>à une peine d</w:t>
      </w:r>
      <w:r w:rsidRPr="00133E6C" w:rsidR="00133E6C">
        <w:rPr>
          <w:lang w:val="fr-FR"/>
        </w:rPr>
        <w:t>’</w:t>
      </w:r>
      <w:r w:rsidRPr="00133E6C">
        <w:rPr>
          <w:lang w:val="fr-FR"/>
        </w:rPr>
        <w:t>amende de 50 millions à 100 millions de livres (...) »</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12</w:t>
      </w:r>
      <w:r w:rsidRPr="00133E6C">
        <w:fldChar w:fldCharType="end"/>
      </w:r>
      <w:r w:rsidRPr="00133E6C">
        <w:rPr>
          <w:lang w:val="fr-FR"/>
        </w:rPr>
        <w:t>.  Après avoir été modifiée par la loi n</w:t>
      </w:r>
      <w:r w:rsidRPr="00133E6C">
        <w:rPr>
          <w:vertAlign w:val="superscript"/>
          <w:lang w:val="fr-FR"/>
        </w:rPr>
        <w:t>o</w:t>
      </w:r>
      <w:r w:rsidRPr="00133E6C">
        <w:rPr>
          <w:lang w:val="fr-FR"/>
        </w:rPr>
        <w:t xml:space="preserve"> 4963 du 30 juillet 2003, cette disposition était ainsi rédigée :</w:t>
      </w:r>
    </w:p>
    <w:p w:rsidRPr="00133E6C" w:rsidR="0048609C" w:rsidP="00133E6C" w:rsidRDefault="0048609C">
      <w:pPr>
        <w:pStyle w:val="JuQuot"/>
        <w:rPr>
          <w:lang w:val="fr-FR"/>
        </w:rPr>
      </w:pPr>
      <w:r w:rsidRPr="00133E6C">
        <w:rPr>
          <w:lang w:val="fr-FR"/>
        </w:rPr>
        <w:t>« Quiconque (...) fait de la propagande de manière à inciter à l</w:t>
      </w:r>
      <w:r w:rsidRPr="00133E6C" w:rsidR="00133E6C">
        <w:rPr>
          <w:lang w:val="fr-FR"/>
        </w:rPr>
        <w:t>’</w:t>
      </w:r>
      <w:r w:rsidRPr="00133E6C">
        <w:rPr>
          <w:lang w:val="fr-FR"/>
        </w:rPr>
        <w:t>utilisation de la violence ou des méthodes relevant du terrorisme sera condamné à une peine allant de un à cinq ans d</w:t>
      </w:r>
      <w:r w:rsidRPr="00133E6C" w:rsidR="00133E6C">
        <w:rPr>
          <w:lang w:val="fr-FR"/>
        </w:rPr>
        <w:t>’</w:t>
      </w:r>
      <w:r w:rsidRPr="00133E6C">
        <w:rPr>
          <w:lang w:val="fr-FR"/>
        </w:rPr>
        <w:t>emprisonnement ainsi qu</w:t>
      </w:r>
      <w:r w:rsidRPr="00133E6C" w:rsidR="00133E6C">
        <w:rPr>
          <w:lang w:val="fr-FR"/>
        </w:rPr>
        <w:t>’</w:t>
      </w:r>
      <w:r w:rsidRPr="00133E6C">
        <w:rPr>
          <w:lang w:val="fr-FR"/>
        </w:rPr>
        <w:t>à une amende lourde allant de cinq cents millions à un milliard de livres turques (...) »</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13</w:t>
      </w:r>
      <w:r w:rsidRPr="00133E6C">
        <w:fldChar w:fldCharType="end"/>
      </w:r>
      <w:r w:rsidRPr="00133E6C">
        <w:rPr>
          <w:lang w:val="fr-FR"/>
        </w:rPr>
        <w:t>.  Après avoir été à nouveau modifié, par la loi n</w:t>
      </w:r>
      <w:r w:rsidRPr="00133E6C">
        <w:rPr>
          <w:vertAlign w:val="superscript"/>
          <w:lang w:val="fr-FR"/>
        </w:rPr>
        <w:t>o</w:t>
      </w:r>
      <w:r w:rsidRPr="00133E6C">
        <w:rPr>
          <w:lang w:val="fr-FR"/>
        </w:rPr>
        <w:t xml:space="preserve"> 5532, entrée en vigueur le 18</w:t>
      </w:r>
      <w:r w:rsidRPr="00133E6C" w:rsidR="00AE16D3">
        <w:rPr>
          <w:lang w:val="fr-FR"/>
        </w:rPr>
        <w:t xml:space="preserve"> </w:t>
      </w:r>
      <w:r w:rsidRPr="00133E6C">
        <w:rPr>
          <w:lang w:val="fr-FR"/>
        </w:rPr>
        <w:t>juillet 2006, l</w:t>
      </w:r>
      <w:r w:rsidRPr="00133E6C" w:rsidR="00133E6C">
        <w:rPr>
          <w:lang w:val="fr-FR"/>
        </w:rPr>
        <w:t>’</w:t>
      </w:r>
      <w:r w:rsidRPr="00133E6C">
        <w:rPr>
          <w:lang w:val="fr-FR"/>
        </w:rPr>
        <w:t>article 7 § 2 de la loi n</w:t>
      </w:r>
      <w:r w:rsidRPr="00133E6C">
        <w:rPr>
          <w:vertAlign w:val="superscript"/>
          <w:lang w:val="fr-FR"/>
        </w:rPr>
        <w:t>o</w:t>
      </w:r>
      <w:r w:rsidRPr="00133E6C">
        <w:rPr>
          <w:lang w:val="fr-FR"/>
        </w:rPr>
        <w:t xml:space="preserve"> 3713 disposait ce qui suit :</w:t>
      </w:r>
    </w:p>
    <w:p w:rsidRPr="00133E6C" w:rsidR="0048609C" w:rsidP="00133E6C" w:rsidRDefault="0048609C">
      <w:pPr>
        <w:pStyle w:val="JuQuot"/>
        <w:rPr>
          <w:lang w:val="fr-FR"/>
        </w:rPr>
      </w:pPr>
      <w:r w:rsidRPr="00133E6C">
        <w:rPr>
          <w:lang w:val="fr-FR"/>
        </w:rPr>
        <w:t>« Quiconque fait de la propagande en faveur d</w:t>
      </w:r>
      <w:r w:rsidRPr="00133E6C" w:rsidR="00133E6C">
        <w:rPr>
          <w:lang w:val="fr-FR"/>
        </w:rPr>
        <w:t>’</w:t>
      </w:r>
      <w:r w:rsidRPr="00133E6C">
        <w:rPr>
          <w:lang w:val="fr-FR"/>
        </w:rPr>
        <w:t>une organisation terroriste sera condamné à une peine de un an à cinq ans d</w:t>
      </w:r>
      <w:r w:rsidRPr="00133E6C" w:rsidR="00133E6C">
        <w:rPr>
          <w:lang w:val="fr-FR"/>
        </w:rPr>
        <w:t>’</w:t>
      </w:r>
      <w:r w:rsidRPr="00133E6C">
        <w:rPr>
          <w:lang w:val="fr-FR"/>
        </w:rPr>
        <w:t>emprisonnement (...) »</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14</w:t>
      </w:r>
      <w:r w:rsidRPr="00133E6C">
        <w:fldChar w:fldCharType="end"/>
      </w:r>
      <w:r w:rsidRPr="00133E6C">
        <w:rPr>
          <w:lang w:val="fr-FR"/>
        </w:rPr>
        <w:t>.  Depuis la modification opérée par la loi n</w:t>
      </w:r>
      <w:r w:rsidRPr="00133E6C">
        <w:rPr>
          <w:vertAlign w:val="superscript"/>
          <w:lang w:val="fr-FR"/>
        </w:rPr>
        <w:t>o</w:t>
      </w:r>
      <w:r w:rsidRPr="00133E6C">
        <w:rPr>
          <w:lang w:val="fr-FR"/>
        </w:rPr>
        <w:t xml:space="preserve"> 6459, entrée en vigueur le 30 avril 2013, cette disposition est ainsi libellée :</w:t>
      </w:r>
    </w:p>
    <w:p w:rsidRPr="00133E6C" w:rsidR="0048609C" w:rsidP="00133E6C" w:rsidRDefault="0048609C">
      <w:pPr>
        <w:pStyle w:val="JuQuot"/>
        <w:rPr>
          <w:lang w:val="fr-FR"/>
        </w:rPr>
      </w:pPr>
      <w:r w:rsidRPr="00133E6C">
        <w:rPr>
          <w:lang w:val="fr-FR"/>
        </w:rPr>
        <w:t>« Quiconque fait de la propagande en faveur d</w:t>
      </w:r>
      <w:r w:rsidRPr="00133E6C" w:rsidR="00133E6C">
        <w:rPr>
          <w:lang w:val="fr-FR"/>
        </w:rPr>
        <w:t>’</w:t>
      </w:r>
      <w:r w:rsidRPr="00133E6C">
        <w:rPr>
          <w:lang w:val="fr-FR"/>
        </w:rPr>
        <w:t>une organisation terroriste en légitimant les méthodes de contrainte, de violence ou de menace de ce type d</w:t>
      </w:r>
      <w:r w:rsidRPr="00133E6C" w:rsidR="00133E6C">
        <w:rPr>
          <w:lang w:val="fr-FR"/>
        </w:rPr>
        <w:t>’</w:t>
      </w:r>
      <w:r w:rsidRPr="00133E6C">
        <w:rPr>
          <w:lang w:val="fr-FR"/>
        </w:rPr>
        <w:t>organisations, en faisant leur apologie ou en incitant à leur utilisation sera condamné à une peine de un an à cinq ans d</w:t>
      </w:r>
      <w:r w:rsidRPr="00133E6C" w:rsidR="00133E6C">
        <w:rPr>
          <w:lang w:val="fr-FR"/>
        </w:rPr>
        <w:t>’</w:t>
      </w:r>
      <w:r w:rsidRPr="00133E6C">
        <w:rPr>
          <w:lang w:val="fr-FR"/>
        </w:rPr>
        <w:t>emprisonnement (...) »</w:t>
      </w:r>
    </w:p>
    <w:p w:rsidRPr="00133E6C" w:rsidR="0048609C" w:rsidP="00133E6C" w:rsidRDefault="0048609C">
      <w:pPr>
        <w:pStyle w:val="JuHA"/>
        <w:numPr>
          <w:ilvl w:val="0"/>
          <w:numId w:val="0"/>
        </w:numPr>
        <w:ind w:left="584"/>
        <w:rPr>
          <w:rFonts w:eastAsiaTheme="majorEastAsia"/>
          <w:lang w:val="fr-FR"/>
        </w:rPr>
      </w:pPr>
      <w:r w:rsidRPr="00133E6C">
        <w:rPr>
          <w:rFonts w:eastAsiaTheme="majorEastAsia"/>
          <w:lang w:val="fr-FR"/>
        </w:rPr>
        <w:t>B.  La loi n</w:t>
      </w:r>
      <w:r w:rsidRPr="00133E6C">
        <w:rPr>
          <w:rFonts w:eastAsiaTheme="majorEastAsia"/>
          <w:vertAlign w:val="superscript"/>
          <w:lang w:val="fr-FR"/>
        </w:rPr>
        <w:t>o</w:t>
      </w:r>
      <w:r w:rsidRPr="00133E6C">
        <w:rPr>
          <w:rFonts w:eastAsiaTheme="majorEastAsia"/>
          <w:lang w:val="fr-FR"/>
        </w:rPr>
        <w:t xml:space="preserve"> 6352</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15</w:t>
      </w:r>
      <w:r w:rsidRPr="00133E6C">
        <w:fldChar w:fldCharType="end"/>
      </w:r>
      <w:r w:rsidRPr="00133E6C">
        <w:rPr>
          <w:lang w:val="fr-FR"/>
        </w:rPr>
        <w:t>.  La loi n</w:t>
      </w:r>
      <w:r w:rsidRPr="00133E6C">
        <w:rPr>
          <w:vertAlign w:val="superscript"/>
          <w:lang w:val="fr-FR"/>
        </w:rPr>
        <w:t>o</w:t>
      </w:r>
      <w:r w:rsidRPr="00133E6C">
        <w:rPr>
          <w:lang w:val="fr-FR"/>
        </w:rPr>
        <w:t xml:space="preserve"> 6352, intitulée « loi portant modification de diverses lois aux fins de l</w:t>
      </w:r>
      <w:r w:rsidRPr="00133E6C" w:rsidR="00133E6C">
        <w:rPr>
          <w:lang w:val="fr-FR"/>
        </w:rPr>
        <w:t>’</w:t>
      </w:r>
      <w:r w:rsidRPr="00133E6C">
        <w:rPr>
          <w:lang w:val="fr-FR"/>
        </w:rPr>
        <w:t>optimisation de l</w:t>
      </w:r>
      <w:r w:rsidRPr="00133E6C" w:rsidR="00133E6C">
        <w:rPr>
          <w:lang w:val="fr-FR"/>
        </w:rPr>
        <w:t>’</w:t>
      </w:r>
      <w:r w:rsidRPr="00133E6C">
        <w:rPr>
          <w:lang w:val="fr-FR"/>
        </w:rPr>
        <w:t>efficacité des services judiciaires et de la suspension des procès et des peines imposées dans les affaires concernant les infractions commises par le biais de la presse et des médias », est entrée en vigueur le 5 juillet 2012. Elle prévoit en son article 1 provisoire, alinéas 1 c) et 3, qu</w:t>
      </w:r>
      <w:r w:rsidRPr="00133E6C" w:rsidR="00133E6C">
        <w:rPr>
          <w:lang w:val="fr-FR"/>
        </w:rPr>
        <w:t>’</w:t>
      </w:r>
      <w:r w:rsidRPr="00133E6C">
        <w:rPr>
          <w:lang w:val="fr-FR"/>
        </w:rPr>
        <w:t>il sera sursis pendant une période de trois ans à l</w:t>
      </w:r>
      <w:r w:rsidRPr="00133E6C" w:rsidR="00133E6C">
        <w:rPr>
          <w:lang w:val="fr-FR"/>
        </w:rPr>
        <w:t>’</w:t>
      </w:r>
      <w:r w:rsidRPr="00133E6C">
        <w:rPr>
          <w:lang w:val="fr-FR"/>
        </w:rPr>
        <w:t>exécution de toute peine devenue définitive consistant en une amende ou en un emprisonnement inférieur à cinq ans, infligée pour la commission d</w:t>
      </w:r>
      <w:r w:rsidRPr="00133E6C" w:rsidR="00133E6C">
        <w:rPr>
          <w:lang w:val="fr-FR"/>
        </w:rPr>
        <w:t>’</w:t>
      </w:r>
      <w:r w:rsidRPr="00133E6C">
        <w:rPr>
          <w:lang w:val="fr-FR"/>
        </w:rPr>
        <w:t>une infraction réalisée par le biais de la presse, des médias ou d</w:t>
      </w:r>
      <w:r w:rsidRPr="00133E6C" w:rsidR="00133E6C">
        <w:rPr>
          <w:lang w:val="fr-FR"/>
        </w:rPr>
        <w:t>’</w:t>
      </w:r>
      <w:r w:rsidRPr="00133E6C">
        <w:rPr>
          <w:lang w:val="fr-FR"/>
        </w:rPr>
        <w:t>autres moyens de communication de la pensée et de l</w:t>
      </w:r>
      <w:r w:rsidRPr="00133E6C" w:rsidR="00133E6C">
        <w:rPr>
          <w:lang w:val="fr-FR"/>
        </w:rPr>
        <w:t>’</w:t>
      </w:r>
      <w:r w:rsidRPr="00133E6C">
        <w:rPr>
          <w:lang w:val="fr-FR"/>
        </w:rPr>
        <w:t>opinion, à la condition que l</w:t>
      </w:r>
      <w:r w:rsidRPr="00133E6C" w:rsidR="00133E6C">
        <w:rPr>
          <w:lang w:val="fr-FR"/>
        </w:rPr>
        <w:t>’</w:t>
      </w:r>
      <w:r w:rsidRPr="00133E6C">
        <w:rPr>
          <w:lang w:val="fr-FR"/>
        </w:rPr>
        <w:t>infraction sanctionnée par une telle peine ait été commise avant le 31 décembre 2011.</w:t>
      </w:r>
    </w:p>
    <w:p w:rsidRPr="00133E6C" w:rsidR="0048609C" w:rsidP="00133E6C" w:rsidRDefault="0048609C">
      <w:pPr>
        <w:pStyle w:val="JuHHead"/>
        <w:numPr>
          <w:ilvl w:val="0"/>
          <w:numId w:val="1"/>
        </w:numPr>
      </w:pPr>
      <w:r w:rsidRPr="00133E6C">
        <w:t>EN DROIT</w:t>
      </w:r>
    </w:p>
    <w:p w:rsidRPr="00133E6C" w:rsidR="0048609C" w:rsidP="00133E6C" w:rsidRDefault="0048609C">
      <w:pPr>
        <w:pStyle w:val="JuHIRoman"/>
        <w:numPr>
          <w:ilvl w:val="0"/>
          <w:numId w:val="0"/>
        </w:numPr>
        <w:rPr>
          <w:lang w:val="fr-FR"/>
        </w:rPr>
      </w:pPr>
      <w:r w:rsidRPr="00133E6C">
        <w:rPr>
          <w:lang w:val="fr-FR"/>
        </w:rPr>
        <w:t>I.  SUR LA VIOLATION ALLÉGUÉE DE L</w:t>
      </w:r>
      <w:r w:rsidRPr="00133E6C" w:rsidR="00133E6C">
        <w:rPr>
          <w:lang w:val="fr-FR"/>
        </w:rPr>
        <w:t>’</w:t>
      </w:r>
      <w:r w:rsidRPr="00133E6C">
        <w:rPr>
          <w:lang w:val="fr-FR"/>
        </w:rPr>
        <w:t>ARTICLE 10 DE LA CONVENTION</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16</w:t>
      </w:r>
      <w:r w:rsidRPr="00133E6C">
        <w:fldChar w:fldCharType="end"/>
      </w:r>
      <w:r w:rsidRPr="00133E6C">
        <w:rPr>
          <w:lang w:val="fr-FR"/>
        </w:rPr>
        <w:t>.  Le requérant allègue que la procédure pénale diligentée contre lui à raison d</w:t>
      </w:r>
      <w:r w:rsidRPr="00133E6C" w:rsidR="00133E6C">
        <w:rPr>
          <w:lang w:val="fr-FR"/>
        </w:rPr>
        <w:t>’</w:t>
      </w:r>
      <w:r w:rsidRPr="00133E6C">
        <w:rPr>
          <w:lang w:val="fr-FR"/>
        </w:rPr>
        <w:t>un article publié dans son périodique constitue une atteinte à son droit à la liberté d</w:t>
      </w:r>
      <w:r w:rsidRPr="00133E6C" w:rsidR="00133E6C">
        <w:rPr>
          <w:lang w:val="fr-FR"/>
        </w:rPr>
        <w:t>’</w:t>
      </w:r>
      <w:r w:rsidRPr="00133E6C">
        <w:rPr>
          <w:lang w:val="fr-FR"/>
        </w:rPr>
        <w:t>expression tel que prévu par l</w:t>
      </w:r>
      <w:r w:rsidRPr="00133E6C" w:rsidR="00133E6C">
        <w:rPr>
          <w:lang w:val="fr-FR"/>
        </w:rPr>
        <w:t>’</w:t>
      </w:r>
      <w:r w:rsidRPr="00133E6C">
        <w:rPr>
          <w:lang w:val="fr-FR"/>
        </w:rPr>
        <w:t>article 10 de la Convention, ainsi libellé :</w:t>
      </w:r>
    </w:p>
    <w:p w:rsidRPr="00133E6C" w:rsidR="0048609C" w:rsidP="00133E6C" w:rsidRDefault="0048609C">
      <w:pPr>
        <w:pStyle w:val="JuQuot"/>
        <w:rPr>
          <w:lang w:val="fr-FR"/>
        </w:rPr>
      </w:pPr>
      <w:r w:rsidRPr="00133E6C">
        <w:rPr>
          <w:lang w:val="fr-FR"/>
        </w:rPr>
        <w:t>« 1.  Toute personne a droit à la liberté d</w:t>
      </w:r>
      <w:r w:rsidRPr="00133E6C" w:rsidR="00133E6C">
        <w:rPr>
          <w:lang w:val="fr-FR"/>
        </w:rPr>
        <w:t>’</w:t>
      </w:r>
      <w:r w:rsidRPr="00133E6C">
        <w:rPr>
          <w:lang w:val="fr-FR"/>
        </w:rPr>
        <w:t>expression. Ce droit comprend la liberté d</w:t>
      </w:r>
      <w:r w:rsidRPr="00133E6C" w:rsidR="00133E6C">
        <w:rPr>
          <w:lang w:val="fr-FR"/>
        </w:rPr>
        <w:t>’</w:t>
      </w:r>
      <w:r w:rsidRPr="00133E6C">
        <w:rPr>
          <w:lang w:val="fr-FR"/>
        </w:rPr>
        <w:t>opinion et la liberté de recevoir ou de communiquer des informations ou des idées sans qu</w:t>
      </w:r>
      <w:r w:rsidRPr="00133E6C" w:rsidR="00133E6C">
        <w:rPr>
          <w:lang w:val="fr-FR"/>
        </w:rPr>
        <w:t>’</w:t>
      </w:r>
      <w:r w:rsidRPr="00133E6C">
        <w:rPr>
          <w:lang w:val="fr-FR"/>
        </w:rPr>
        <w:t>il puisse y avoir ingérence d</w:t>
      </w:r>
      <w:r w:rsidRPr="00133E6C" w:rsidR="00133E6C">
        <w:rPr>
          <w:lang w:val="fr-FR"/>
        </w:rPr>
        <w:t>’</w:t>
      </w:r>
      <w:r w:rsidRPr="00133E6C">
        <w:rPr>
          <w:lang w:val="fr-FR"/>
        </w:rPr>
        <w:t>autorités publiques et sans considération de frontière. Le présent article n</w:t>
      </w:r>
      <w:r w:rsidRPr="00133E6C" w:rsidR="00133E6C">
        <w:rPr>
          <w:lang w:val="fr-FR"/>
        </w:rPr>
        <w:t>’</w:t>
      </w:r>
      <w:r w:rsidRPr="00133E6C">
        <w:rPr>
          <w:lang w:val="fr-FR"/>
        </w:rPr>
        <w:t>empêche pas les États de soumettre les entreprises de radiodiffusion, de cinéma ou de télévision à un régime d</w:t>
      </w:r>
      <w:r w:rsidRPr="00133E6C" w:rsidR="00133E6C">
        <w:rPr>
          <w:lang w:val="fr-FR"/>
        </w:rPr>
        <w:t>’</w:t>
      </w:r>
      <w:r w:rsidRPr="00133E6C">
        <w:rPr>
          <w:lang w:val="fr-FR"/>
        </w:rPr>
        <w:t>autorisations.</w:t>
      </w:r>
    </w:p>
    <w:p w:rsidRPr="00133E6C" w:rsidR="0048609C" w:rsidP="00133E6C" w:rsidRDefault="0048609C">
      <w:pPr>
        <w:pStyle w:val="JuQuot"/>
        <w:rPr>
          <w:lang w:val="fr-FR"/>
        </w:rPr>
      </w:pPr>
      <w:r w:rsidRPr="00133E6C">
        <w:rPr>
          <w:lang w:val="fr-FR"/>
        </w:rPr>
        <w:t>2.  L</w:t>
      </w:r>
      <w:r w:rsidRPr="00133E6C" w:rsidR="00133E6C">
        <w:rPr>
          <w:lang w:val="fr-FR"/>
        </w:rPr>
        <w:t>’</w:t>
      </w:r>
      <w:r w:rsidRPr="00133E6C">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133E6C" w:rsidR="00133E6C">
        <w:rPr>
          <w:lang w:val="fr-FR"/>
        </w:rPr>
        <w:t>’</w:t>
      </w:r>
      <w:r w:rsidRPr="00133E6C">
        <w:rPr>
          <w:lang w:val="fr-FR"/>
        </w:rPr>
        <w:t>intégrité territoriale ou à la sûreté publique, à la défense de l</w:t>
      </w:r>
      <w:r w:rsidRPr="00133E6C" w:rsidR="00133E6C">
        <w:rPr>
          <w:lang w:val="fr-FR"/>
        </w:rPr>
        <w:t>’</w:t>
      </w:r>
      <w:r w:rsidRPr="00133E6C">
        <w:rPr>
          <w:lang w:val="fr-FR"/>
        </w:rPr>
        <w:t>ordre et à la prévention du crime, à la protection de la santé ou de la morale, à la protection de la réputation ou des droits d</w:t>
      </w:r>
      <w:r w:rsidRPr="00133E6C" w:rsidR="00133E6C">
        <w:rPr>
          <w:lang w:val="fr-FR"/>
        </w:rPr>
        <w:t>’</w:t>
      </w:r>
      <w:r w:rsidRPr="00133E6C">
        <w:rPr>
          <w:lang w:val="fr-FR"/>
        </w:rPr>
        <w:t>autrui, pour empêcher la divulgation d</w:t>
      </w:r>
      <w:r w:rsidRPr="00133E6C" w:rsidR="00133E6C">
        <w:rPr>
          <w:lang w:val="fr-FR"/>
        </w:rPr>
        <w:t>’</w:t>
      </w:r>
      <w:r w:rsidRPr="00133E6C">
        <w:rPr>
          <w:lang w:val="fr-FR"/>
        </w:rPr>
        <w:t>informations confidentielles ou pour garantir l</w:t>
      </w:r>
      <w:r w:rsidRPr="00133E6C" w:rsidR="00133E6C">
        <w:rPr>
          <w:lang w:val="fr-FR"/>
        </w:rPr>
        <w:t>’</w:t>
      </w:r>
      <w:r w:rsidRPr="00133E6C">
        <w:rPr>
          <w:lang w:val="fr-FR"/>
        </w:rPr>
        <w:t>autorité et l</w:t>
      </w:r>
      <w:r w:rsidRPr="00133E6C" w:rsidR="00133E6C">
        <w:rPr>
          <w:lang w:val="fr-FR"/>
        </w:rPr>
        <w:t>’</w:t>
      </w:r>
      <w:r w:rsidRPr="00133E6C">
        <w:rPr>
          <w:lang w:val="fr-FR"/>
        </w:rPr>
        <w:t>impartialité du pouvoir judiciaire. »</w:t>
      </w:r>
    </w:p>
    <w:p w:rsidRPr="00133E6C" w:rsidR="0048609C" w:rsidP="00133E6C" w:rsidRDefault="0048609C">
      <w:pPr>
        <w:pStyle w:val="JuHA"/>
        <w:numPr>
          <w:ilvl w:val="0"/>
          <w:numId w:val="0"/>
        </w:numPr>
        <w:ind w:left="232"/>
        <w:rPr>
          <w:lang w:val="fr-FR"/>
        </w:rPr>
      </w:pPr>
      <w:r w:rsidRPr="00133E6C">
        <w:rPr>
          <w:lang w:val="fr-FR"/>
        </w:rPr>
        <w:t>A.  Sur la recevabilité</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17</w:t>
      </w:r>
      <w:r w:rsidRPr="00133E6C">
        <w:fldChar w:fldCharType="end"/>
      </w:r>
      <w:r w:rsidRPr="00133E6C">
        <w:rPr>
          <w:lang w:val="fr-FR"/>
        </w:rPr>
        <w:t>.  Le Gouvernement soulève deux exceptions d</w:t>
      </w:r>
      <w:r w:rsidRPr="00133E6C" w:rsidR="00133E6C">
        <w:rPr>
          <w:lang w:val="fr-FR"/>
        </w:rPr>
        <w:t>’</w:t>
      </w:r>
      <w:r w:rsidRPr="00133E6C">
        <w:rPr>
          <w:lang w:val="fr-FR"/>
        </w:rPr>
        <w:t>irrecevabilité relatives, l</w:t>
      </w:r>
      <w:r w:rsidRPr="00133E6C" w:rsidR="00133E6C">
        <w:rPr>
          <w:lang w:val="fr-FR"/>
        </w:rPr>
        <w:t>’</w:t>
      </w:r>
      <w:r w:rsidRPr="00133E6C">
        <w:rPr>
          <w:lang w:val="fr-FR"/>
        </w:rPr>
        <w:t>une, à l</w:t>
      </w:r>
      <w:r w:rsidRPr="00133E6C" w:rsidR="00133E6C">
        <w:rPr>
          <w:lang w:val="fr-FR"/>
        </w:rPr>
        <w:t>’</w:t>
      </w:r>
      <w:r w:rsidRPr="00133E6C">
        <w:rPr>
          <w:lang w:val="fr-FR"/>
        </w:rPr>
        <w:t>exercice préalable des voies de recours internes et, l</w:t>
      </w:r>
      <w:r w:rsidRPr="00133E6C" w:rsidR="00133E6C">
        <w:rPr>
          <w:lang w:val="fr-FR"/>
        </w:rPr>
        <w:t>’</w:t>
      </w:r>
      <w:r w:rsidRPr="00133E6C">
        <w:rPr>
          <w:lang w:val="fr-FR"/>
        </w:rPr>
        <w:t>autre, à la qualité de victime du requérant. En ce qui concerne la première exception, il expose que la décision portant sursis à l</w:t>
      </w:r>
      <w:r w:rsidRPr="00133E6C" w:rsidR="00133E6C">
        <w:rPr>
          <w:lang w:val="fr-FR"/>
        </w:rPr>
        <w:t>’</w:t>
      </w:r>
      <w:r w:rsidRPr="00133E6C">
        <w:rPr>
          <w:lang w:val="fr-FR"/>
        </w:rPr>
        <w:t>exécution de la peine a été prononcée par la cour d</w:t>
      </w:r>
      <w:r w:rsidRPr="00133E6C" w:rsidR="00133E6C">
        <w:rPr>
          <w:lang w:val="fr-FR"/>
        </w:rPr>
        <w:t>’</w:t>
      </w:r>
      <w:r w:rsidRPr="00133E6C">
        <w:rPr>
          <w:lang w:val="fr-FR"/>
        </w:rPr>
        <w:t>assises le 26 septembre 2012, soit après l</w:t>
      </w:r>
      <w:r w:rsidRPr="00133E6C" w:rsidR="00133E6C">
        <w:rPr>
          <w:lang w:val="fr-FR"/>
        </w:rPr>
        <w:t>’</w:t>
      </w:r>
      <w:r w:rsidRPr="00133E6C">
        <w:rPr>
          <w:lang w:val="fr-FR"/>
        </w:rPr>
        <w:t>entrée en vigueur du recours individuel devant la Cour constitutionnelle le 23 septembre 2012 (paragraphe 19 ci-dessous), mais que le requérant n</w:t>
      </w:r>
      <w:r w:rsidRPr="00133E6C" w:rsidR="00133E6C">
        <w:rPr>
          <w:lang w:val="fr-FR"/>
        </w:rPr>
        <w:t>’</w:t>
      </w:r>
      <w:r w:rsidRPr="00133E6C">
        <w:rPr>
          <w:lang w:val="fr-FR"/>
        </w:rPr>
        <w:t>a pas saisi cette haute juridiction d</w:t>
      </w:r>
      <w:r w:rsidRPr="00133E6C" w:rsidR="00133E6C">
        <w:rPr>
          <w:lang w:val="fr-FR"/>
        </w:rPr>
        <w:t>’</w:t>
      </w:r>
      <w:r w:rsidRPr="00133E6C">
        <w:rPr>
          <w:lang w:val="fr-FR"/>
        </w:rPr>
        <w:t>un tel recours. Il estime par conséquent que la requête doit être déclarée irrecevable pour non-épuisement des voies de recours internes. Quant à la deuxième exception, le Gouvernement considère que, compte tenu de la décision de sursis à l</w:t>
      </w:r>
      <w:r w:rsidRPr="00133E6C" w:rsidR="00133E6C">
        <w:rPr>
          <w:lang w:val="fr-FR"/>
        </w:rPr>
        <w:t>’</w:t>
      </w:r>
      <w:r w:rsidRPr="00133E6C">
        <w:rPr>
          <w:lang w:val="fr-FR"/>
        </w:rPr>
        <w:t>exécution de la peine, le requérant ne peut pas prétendre à la qualité de victime.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18</w:t>
      </w:r>
      <w:r w:rsidRPr="00133E6C">
        <w:fldChar w:fldCharType="end"/>
      </w:r>
      <w:r w:rsidRPr="00133E6C">
        <w:rPr>
          <w:lang w:val="fr-FR"/>
        </w:rPr>
        <w:t>.  Le requérant conteste ces exceptions.</w:t>
      </w:r>
    </w:p>
    <w:p w:rsidRPr="00133E6C" w:rsidR="0048609C" w:rsidP="00133E6C" w:rsidRDefault="0048609C">
      <w:pPr>
        <w:pStyle w:val="JuPara"/>
        <w:rPr>
          <w:i/>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19</w:t>
      </w:r>
      <w:r w:rsidRPr="00133E6C">
        <w:fldChar w:fldCharType="end"/>
      </w:r>
      <w:r w:rsidRPr="00133E6C">
        <w:rPr>
          <w:lang w:val="fr-FR"/>
        </w:rPr>
        <w:t>.  En ce qui concerne l</w:t>
      </w:r>
      <w:r w:rsidRPr="00133E6C" w:rsidR="00133E6C">
        <w:rPr>
          <w:lang w:val="fr-FR"/>
        </w:rPr>
        <w:t>’</w:t>
      </w:r>
      <w:r w:rsidRPr="00133E6C">
        <w:rPr>
          <w:lang w:val="fr-FR"/>
        </w:rPr>
        <w:t>exception de non-épuisement des voies de recours internes, la Cour rappelle avoir déjà jugé que le sursis à l</w:t>
      </w:r>
      <w:r w:rsidRPr="00133E6C" w:rsidR="00133E6C">
        <w:rPr>
          <w:lang w:val="fr-FR"/>
        </w:rPr>
        <w:t>’</w:t>
      </w:r>
      <w:r w:rsidRPr="00133E6C">
        <w:rPr>
          <w:lang w:val="fr-FR"/>
        </w:rPr>
        <w:t>exécution des peines prévu par la loi n</w:t>
      </w:r>
      <w:r w:rsidRPr="00133E6C">
        <w:rPr>
          <w:vertAlign w:val="superscript"/>
          <w:lang w:val="fr-FR"/>
        </w:rPr>
        <w:t>o</w:t>
      </w:r>
      <w:r w:rsidRPr="00133E6C">
        <w:rPr>
          <w:lang w:val="fr-FR"/>
        </w:rPr>
        <w:t xml:space="preserve"> 6352 ne consistait pas en une révision du fond de la procédure pénale, mais seulement en une modification portant sur la peine prononcée à l</w:t>
      </w:r>
      <w:r w:rsidRPr="00133E6C" w:rsidR="00133E6C">
        <w:rPr>
          <w:lang w:val="fr-FR"/>
        </w:rPr>
        <w:t>’</w:t>
      </w:r>
      <w:r w:rsidRPr="00133E6C">
        <w:rPr>
          <w:lang w:val="fr-FR"/>
        </w:rPr>
        <w:t>issue de cette procédure (</w:t>
      </w:r>
      <w:proofErr w:type="spellStart"/>
      <w:r w:rsidRPr="00133E6C">
        <w:rPr>
          <w:i/>
          <w:lang w:val="fr-FR"/>
        </w:rPr>
        <w:t>Öner</w:t>
      </w:r>
      <w:proofErr w:type="spellEnd"/>
      <w:r w:rsidRPr="00133E6C">
        <w:rPr>
          <w:i/>
          <w:lang w:val="fr-FR"/>
        </w:rPr>
        <w:t xml:space="preserve"> et Türk</w:t>
      </w:r>
      <w:r w:rsidRPr="00133E6C">
        <w:rPr>
          <w:lang w:val="fr-FR"/>
        </w:rPr>
        <w:t xml:space="preserve"> </w:t>
      </w:r>
      <w:r w:rsidRPr="00133E6C">
        <w:rPr>
          <w:i/>
          <w:lang w:val="fr-FR"/>
        </w:rPr>
        <w:t>c. Turquie</w:t>
      </w:r>
      <w:r w:rsidRPr="00133E6C">
        <w:rPr>
          <w:lang w:val="fr-FR"/>
        </w:rPr>
        <w:t>, n</w:t>
      </w:r>
      <w:r w:rsidRPr="00133E6C">
        <w:rPr>
          <w:vertAlign w:val="superscript"/>
          <w:lang w:val="fr-FR"/>
        </w:rPr>
        <w:t>o </w:t>
      </w:r>
      <w:r w:rsidRPr="00133E6C">
        <w:rPr>
          <w:lang w:val="fr-FR"/>
        </w:rPr>
        <w:t>51962/12</w:t>
      </w:r>
      <w:r w:rsidRPr="00133E6C">
        <w:rPr>
          <w:snapToGrid w:val="0"/>
          <w:lang w:val="fr-FR"/>
        </w:rPr>
        <w:t xml:space="preserve">, § 17, 31 </w:t>
      </w:r>
      <w:r w:rsidRPr="00133E6C">
        <w:rPr>
          <w:lang w:val="fr-FR"/>
        </w:rPr>
        <w:t>mars</w:t>
      </w:r>
      <w:r w:rsidRPr="00133E6C">
        <w:rPr>
          <w:snapToGrid w:val="0"/>
          <w:lang w:val="fr-FR"/>
        </w:rPr>
        <w:t xml:space="preserve"> 2015</w:t>
      </w:r>
      <w:r w:rsidRPr="00133E6C">
        <w:rPr>
          <w:lang w:val="fr-FR"/>
        </w:rPr>
        <w:t>). En l</w:t>
      </w:r>
      <w:r w:rsidRPr="00133E6C" w:rsidR="00133E6C">
        <w:rPr>
          <w:lang w:val="fr-FR"/>
        </w:rPr>
        <w:t>’</w:t>
      </w:r>
      <w:r w:rsidRPr="00133E6C">
        <w:rPr>
          <w:lang w:val="fr-FR"/>
        </w:rPr>
        <w:t>espèce, la condamnation pénale du requérant étant devenue définitive à la suite de l</w:t>
      </w:r>
      <w:r w:rsidRPr="00133E6C" w:rsidR="00133E6C">
        <w:rPr>
          <w:lang w:val="fr-FR"/>
        </w:rPr>
        <w:t>’</w:t>
      </w:r>
      <w:r w:rsidRPr="00133E6C">
        <w:rPr>
          <w:lang w:val="fr-FR"/>
        </w:rPr>
        <w:t>arrêt de la Cour de cassation du 12 janvier 2012, soit avant l</w:t>
      </w:r>
      <w:r w:rsidRPr="00133E6C" w:rsidR="00133E6C">
        <w:rPr>
          <w:lang w:val="fr-FR"/>
        </w:rPr>
        <w:t>’</w:t>
      </w:r>
      <w:r w:rsidRPr="00133E6C">
        <w:rPr>
          <w:lang w:val="fr-FR"/>
        </w:rPr>
        <w:t>entrée en vigueur du recours individuel devant la Cour constitutionnelle le 23 septembre 2012 (</w:t>
      </w:r>
      <w:r w:rsidRPr="00133E6C">
        <w:rPr>
          <w:i/>
          <w:lang w:val="fr-FR"/>
        </w:rPr>
        <w:t>Hasan Uzun c. Turquie</w:t>
      </w:r>
      <w:r w:rsidRPr="00133E6C">
        <w:rPr>
          <w:lang w:val="fr-FR"/>
        </w:rPr>
        <w:t xml:space="preserve"> (déc.), n</w:t>
      </w:r>
      <w:r w:rsidRPr="00133E6C">
        <w:rPr>
          <w:vertAlign w:val="superscript"/>
          <w:lang w:val="fr-FR"/>
        </w:rPr>
        <w:t>o</w:t>
      </w:r>
      <w:r w:rsidRPr="00133E6C">
        <w:rPr>
          <w:lang w:val="fr-FR"/>
        </w:rPr>
        <w:t xml:space="preserve"> 10755/13, §§ 25-27, 30 avril 2013), l</w:t>
      </w:r>
      <w:r w:rsidRPr="00133E6C" w:rsidR="00133E6C">
        <w:rPr>
          <w:lang w:val="fr-FR"/>
        </w:rPr>
        <w:t>’</w:t>
      </w:r>
      <w:r w:rsidRPr="00133E6C">
        <w:rPr>
          <w:lang w:val="fr-FR"/>
        </w:rPr>
        <w:t>intéressé ne pouvait pas saisir cette haute juridiction d</w:t>
      </w:r>
      <w:r w:rsidRPr="00133E6C" w:rsidR="00133E6C">
        <w:rPr>
          <w:lang w:val="fr-FR"/>
        </w:rPr>
        <w:t>’</w:t>
      </w:r>
      <w:r w:rsidRPr="00133E6C">
        <w:rPr>
          <w:lang w:val="fr-FR"/>
        </w:rPr>
        <w:t>un tel recours et lui présenter ses griefs relatifs à la procédure pénale diligentée contre lui (</w:t>
      </w:r>
      <w:r w:rsidRPr="00133E6C">
        <w:rPr>
          <w:i/>
          <w:lang w:val="fr-FR"/>
        </w:rPr>
        <w:t>ibidem</w:t>
      </w:r>
      <w:r w:rsidRPr="00133E6C">
        <w:rPr>
          <w:lang w:val="fr-FR"/>
        </w:rPr>
        <w:t>). Dès lors, il convient de rejeter l</w:t>
      </w:r>
      <w:r w:rsidRPr="00133E6C" w:rsidR="00133E6C">
        <w:rPr>
          <w:lang w:val="fr-FR"/>
        </w:rPr>
        <w:t>’</w:t>
      </w:r>
      <w:r w:rsidRPr="00133E6C">
        <w:rPr>
          <w:lang w:val="fr-FR"/>
        </w:rPr>
        <w:t>exception de non-épuisement des voies de recours internes soulevée par le Gouvernement.</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20</w:t>
      </w:r>
      <w:r w:rsidRPr="00133E6C">
        <w:fldChar w:fldCharType="end"/>
      </w:r>
      <w:r w:rsidRPr="00133E6C">
        <w:rPr>
          <w:lang w:val="fr-FR"/>
        </w:rPr>
        <w:t>.  Pour ce qui est de l</w:t>
      </w:r>
      <w:r w:rsidRPr="00133E6C" w:rsidR="00133E6C">
        <w:rPr>
          <w:lang w:val="fr-FR"/>
        </w:rPr>
        <w:t>’</w:t>
      </w:r>
      <w:r w:rsidRPr="00133E6C">
        <w:rPr>
          <w:lang w:val="fr-FR"/>
        </w:rPr>
        <w:t>exception relative à la qualité de victime du requérant, la Cour estime que la mesure de sursis à l</w:t>
      </w:r>
      <w:r w:rsidRPr="00133E6C" w:rsidR="00133E6C">
        <w:rPr>
          <w:lang w:val="fr-FR"/>
        </w:rPr>
        <w:t>’</w:t>
      </w:r>
      <w:r w:rsidRPr="00133E6C">
        <w:rPr>
          <w:lang w:val="fr-FR"/>
        </w:rPr>
        <w:t>exécution de la peine était inapte à prévenir ou réparer les conséquences préjudiciables de la procédure pénale et de la condamnation directement subies par l</w:t>
      </w:r>
      <w:r w:rsidRPr="00133E6C" w:rsidR="00133E6C">
        <w:rPr>
          <w:lang w:val="fr-FR"/>
        </w:rPr>
        <w:t>’</w:t>
      </w:r>
      <w:r w:rsidRPr="00133E6C">
        <w:rPr>
          <w:lang w:val="fr-FR"/>
        </w:rPr>
        <w:t>intéressé à raison de l</w:t>
      </w:r>
      <w:r w:rsidRPr="00133E6C" w:rsidR="00133E6C">
        <w:rPr>
          <w:lang w:val="fr-FR"/>
        </w:rPr>
        <w:t>’</w:t>
      </w:r>
      <w:r w:rsidRPr="00133E6C">
        <w:rPr>
          <w:lang w:val="fr-FR"/>
        </w:rPr>
        <w:t>atteinte portée à sa liberté d</w:t>
      </w:r>
      <w:r w:rsidRPr="00133E6C" w:rsidR="00133E6C">
        <w:rPr>
          <w:lang w:val="fr-FR"/>
        </w:rPr>
        <w:t>’</w:t>
      </w:r>
      <w:r w:rsidRPr="00133E6C">
        <w:rPr>
          <w:lang w:val="fr-FR"/>
        </w:rPr>
        <w:t xml:space="preserve">expression (voir, </w:t>
      </w:r>
      <w:r w:rsidRPr="00133E6C">
        <w:rPr>
          <w:i/>
          <w:lang w:val="fr-FR"/>
        </w:rPr>
        <w:t>mutatis mutandis</w:t>
      </w:r>
      <w:r w:rsidRPr="00133E6C">
        <w:rPr>
          <w:lang w:val="fr-FR"/>
        </w:rPr>
        <w:t xml:space="preserve">, </w:t>
      </w:r>
      <w:proofErr w:type="spellStart"/>
      <w:r w:rsidRPr="00133E6C">
        <w:rPr>
          <w:i/>
          <w:lang w:val="fr-FR"/>
        </w:rPr>
        <w:t>Aslı</w:t>
      </w:r>
      <w:proofErr w:type="spellEnd"/>
      <w:r w:rsidRPr="00133E6C">
        <w:rPr>
          <w:i/>
          <w:lang w:val="fr-FR"/>
        </w:rPr>
        <w:t xml:space="preserve"> </w:t>
      </w:r>
      <w:proofErr w:type="spellStart"/>
      <w:r w:rsidRPr="00133E6C">
        <w:rPr>
          <w:i/>
          <w:lang w:val="fr-FR"/>
        </w:rPr>
        <w:t>Güneş</w:t>
      </w:r>
      <w:proofErr w:type="spellEnd"/>
      <w:r w:rsidRPr="00133E6C">
        <w:rPr>
          <w:i/>
          <w:lang w:val="fr-FR"/>
        </w:rPr>
        <w:t xml:space="preserve"> c.</w:t>
      </w:r>
      <w:r w:rsidRPr="00133E6C" w:rsidR="00AE16D3">
        <w:rPr>
          <w:i/>
          <w:lang w:val="fr-FR"/>
        </w:rPr>
        <w:t xml:space="preserve"> </w:t>
      </w:r>
      <w:r w:rsidRPr="00133E6C">
        <w:rPr>
          <w:i/>
          <w:lang w:val="fr-FR"/>
        </w:rPr>
        <w:t>Turquie</w:t>
      </w:r>
      <w:r w:rsidRPr="00133E6C">
        <w:rPr>
          <w:lang w:val="fr-FR"/>
        </w:rPr>
        <w:t xml:space="preserve"> (déc.), n</w:t>
      </w:r>
      <w:r w:rsidRPr="00133E6C">
        <w:rPr>
          <w:vertAlign w:val="superscript"/>
          <w:lang w:val="fr-FR"/>
        </w:rPr>
        <w:t>o </w:t>
      </w:r>
      <w:r w:rsidRPr="00133E6C">
        <w:rPr>
          <w:lang w:val="fr-FR"/>
        </w:rPr>
        <w:t xml:space="preserve">53916/00, 13 mai 2004, </w:t>
      </w:r>
      <w:proofErr w:type="spellStart"/>
      <w:r w:rsidRPr="00133E6C">
        <w:rPr>
          <w:i/>
          <w:lang w:val="fr-FR"/>
        </w:rPr>
        <w:t>Yaşar</w:t>
      </w:r>
      <w:proofErr w:type="spellEnd"/>
      <w:r w:rsidRPr="00133E6C">
        <w:rPr>
          <w:i/>
          <w:lang w:val="fr-FR"/>
        </w:rPr>
        <w:t xml:space="preserve"> Kaplan c. Turquie</w:t>
      </w:r>
      <w:r w:rsidRPr="00133E6C">
        <w:rPr>
          <w:lang w:val="fr-FR"/>
        </w:rPr>
        <w:t>, n</w:t>
      </w:r>
      <w:r w:rsidRPr="00133E6C">
        <w:rPr>
          <w:vertAlign w:val="superscript"/>
          <w:lang w:val="fr-FR"/>
        </w:rPr>
        <w:t>o</w:t>
      </w:r>
      <w:r w:rsidRPr="00133E6C">
        <w:rPr>
          <w:lang w:val="fr-FR"/>
        </w:rPr>
        <w:t xml:space="preserve"> 56566/00, §§ 32 et 33, 24 janvier 2006, et </w:t>
      </w:r>
      <w:proofErr w:type="spellStart"/>
      <w:r w:rsidRPr="00133E6C">
        <w:rPr>
          <w:i/>
          <w:iCs/>
          <w:lang w:val="fr-FR"/>
        </w:rPr>
        <w:t>Ergündoğan</w:t>
      </w:r>
      <w:proofErr w:type="spellEnd"/>
      <w:r w:rsidRPr="00133E6C">
        <w:rPr>
          <w:i/>
          <w:iCs/>
          <w:lang w:val="fr-FR"/>
        </w:rPr>
        <w:t xml:space="preserve"> c. Turquie</w:t>
      </w:r>
      <w:r w:rsidRPr="00133E6C">
        <w:rPr>
          <w:lang w:val="fr-FR"/>
        </w:rPr>
        <w:t>, n</w:t>
      </w:r>
      <w:r w:rsidRPr="00133E6C">
        <w:rPr>
          <w:vertAlign w:val="superscript"/>
          <w:lang w:val="fr-FR"/>
        </w:rPr>
        <w:t>o</w:t>
      </w:r>
      <w:r w:rsidRPr="00133E6C">
        <w:rPr>
          <w:lang w:val="fr-FR"/>
        </w:rPr>
        <w:t> 48979/10, § 17, 17 avril 2018). Il convient donc de rejeter également cette exception.</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21</w:t>
      </w:r>
      <w:r w:rsidRPr="00133E6C">
        <w:fldChar w:fldCharType="end"/>
      </w:r>
      <w:r w:rsidRPr="00133E6C">
        <w:rPr>
          <w:lang w:val="fr-FR"/>
        </w:rPr>
        <w:t>.  Constatant par ailleurs que la requête n</w:t>
      </w:r>
      <w:r w:rsidRPr="00133E6C" w:rsidR="00133E6C">
        <w:rPr>
          <w:lang w:val="fr-FR"/>
        </w:rPr>
        <w:t>’</w:t>
      </w:r>
      <w:r w:rsidRPr="00133E6C">
        <w:rPr>
          <w:lang w:val="fr-FR"/>
        </w:rPr>
        <w:t>est pas manifestement mal fondée au sens de l</w:t>
      </w:r>
      <w:r w:rsidRPr="00133E6C" w:rsidR="00133E6C">
        <w:rPr>
          <w:lang w:val="fr-FR"/>
        </w:rPr>
        <w:t>’</w:t>
      </w:r>
      <w:r w:rsidRPr="00133E6C">
        <w:rPr>
          <w:lang w:val="fr-FR"/>
        </w:rPr>
        <w:t>article 35 § 3 a) de la Convention et qu</w:t>
      </w:r>
      <w:r w:rsidRPr="00133E6C" w:rsidR="00133E6C">
        <w:rPr>
          <w:lang w:val="fr-FR"/>
        </w:rPr>
        <w:t>’</w:t>
      </w:r>
      <w:r w:rsidRPr="00133E6C">
        <w:rPr>
          <w:lang w:val="fr-FR"/>
        </w:rPr>
        <w:t>elle ne se heurte en outre à aucun autre motif d</w:t>
      </w:r>
      <w:r w:rsidRPr="00133E6C" w:rsidR="00133E6C">
        <w:rPr>
          <w:lang w:val="fr-FR"/>
        </w:rPr>
        <w:t>’</w:t>
      </w:r>
      <w:r w:rsidRPr="00133E6C">
        <w:rPr>
          <w:lang w:val="fr-FR"/>
        </w:rPr>
        <w:t>irrecevabilité, la Cour la déclare recevable.</w:t>
      </w:r>
    </w:p>
    <w:p w:rsidRPr="00133E6C" w:rsidR="0048609C" w:rsidP="00133E6C" w:rsidRDefault="0048609C">
      <w:pPr>
        <w:pStyle w:val="JuHA"/>
        <w:numPr>
          <w:ilvl w:val="0"/>
          <w:numId w:val="0"/>
        </w:numPr>
        <w:ind w:left="584"/>
        <w:rPr>
          <w:lang w:val="fr-FR"/>
        </w:rPr>
      </w:pPr>
      <w:r w:rsidRPr="00133E6C">
        <w:rPr>
          <w:lang w:val="fr-FR"/>
        </w:rPr>
        <w:t>B.  Sur le fond</w:t>
      </w:r>
    </w:p>
    <w:p w:rsidRPr="00133E6C" w:rsidR="0048609C" w:rsidP="00133E6C" w:rsidRDefault="0048609C">
      <w:pPr>
        <w:pStyle w:val="JuH1"/>
        <w:numPr>
          <w:ilvl w:val="0"/>
          <w:numId w:val="0"/>
        </w:numPr>
        <w:ind w:left="731"/>
        <w:rPr>
          <w:lang w:val="fr-FR"/>
        </w:rPr>
      </w:pPr>
      <w:r w:rsidRPr="00133E6C">
        <w:rPr>
          <w:lang w:val="fr-FR"/>
        </w:rPr>
        <w:t>1.  Arguments des parties</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22</w:t>
      </w:r>
      <w:r w:rsidRPr="00133E6C">
        <w:fldChar w:fldCharType="end"/>
      </w:r>
      <w:r w:rsidRPr="00133E6C">
        <w:rPr>
          <w:lang w:val="fr-FR"/>
        </w:rPr>
        <w:t>.  Le requérant réitère les arguments qu</w:t>
      </w:r>
      <w:r w:rsidRPr="00133E6C" w:rsidR="00133E6C">
        <w:rPr>
          <w:lang w:val="fr-FR"/>
        </w:rPr>
        <w:t>’</w:t>
      </w:r>
      <w:r w:rsidRPr="00133E6C">
        <w:rPr>
          <w:lang w:val="fr-FR"/>
        </w:rPr>
        <w:t>il a présentés dans son formulaire de requête et soutient que la procédure pénale diligentée contre lui a porté atteinte à son droit à la liberté d</w:t>
      </w:r>
      <w:r w:rsidRPr="00133E6C" w:rsidR="00133E6C">
        <w:rPr>
          <w:lang w:val="fr-FR"/>
        </w:rPr>
        <w:t>’</w:t>
      </w:r>
      <w:r w:rsidRPr="00133E6C">
        <w:rPr>
          <w:lang w:val="fr-FR"/>
        </w:rPr>
        <w:t>expression.</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23</w:t>
      </w:r>
      <w:r w:rsidRPr="00133E6C">
        <w:fldChar w:fldCharType="end"/>
      </w:r>
      <w:r w:rsidRPr="00133E6C">
        <w:rPr>
          <w:lang w:val="fr-FR"/>
        </w:rPr>
        <w:t>.  Le Gouvernement considère qu</w:t>
      </w:r>
      <w:r w:rsidRPr="00133E6C" w:rsidR="00133E6C">
        <w:rPr>
          <w:lang w:val="fr-FR"/>
        </w:rPr>
        <w:t>’</w:t>
      </w:r>
      <w:r w:rsidRPr="00133E6C">
        <w:rPr>
          <w:lang w:val="fr-FR"/>
        </w:rPr>
        <w:t>en l</w:t>
      </w:r>
      <w:r w:rsidRPr="00133E6C" w:rsidR="00133E6C">
        <w:rPr>
          <w:lang w:val="fr-FR"/>
        </w:rPr>
        <w:t>’</w:t>
      </w:r>
      <w:r w:rsidRPr="00133E6C">
        <w:rPr>
          <w:lang w:val="fr-FR"/>
        </w:rPr>
        <w:t>espèce il n</w:t>
      </w:r>
      <w:r w:rsidRPr="00133E6C" w:rsidR="00133E6C">
        <w:rPr>
          <w:lang w:val="fr-FR"/>
        </w:rPr>
        <w:t>’</w:t>
      </w:r>
      <w:r w:rsidRPr="00133E6C">
        <w:rPr>
          <w:lang w:val="fr-FR"/>
        </w:rPr>
        <w:t>y a pas eu une ingérence dans l</w:t>
      </w:r>
      <w:r w:rsidRPr="00133E6C" w:rsidR="00133E6C">
        <w:rPr>
          <w:lang w:val="fr-FR"/>
        </w:rPr>
        <w:t>’</w:t>
      </w:r>
      <w:r w:rsidRPr="00133E6C">
        <w:rPr>
          <w:lang w:val="fr-FR"/>
        </w:rPr>
        <w:t>exercice par le requérant de son droit à la liberté d</w:t>
      </w:r>
      <w:r w:rsidRPr="00133E6C" w:rsidR="00133E6C">
        <w:rPr>
          <w:lang w:val="fr-FR"/>
        </w:rPr>
        <w:t>’</w:t>
      </w:r>
      <w:r w:rsidRPr="00133E6C">
        <w:rPr>
          <w:lang w:val="fr-FR"/>
        </w:rPr>
        <w:t>expression, dès lors que l</w:t>
      </w:r>
      <w:r w:rsidRPr="00133E6C" w:rsidR="00133E6C">
        <w:rPr>
          <w:lang w:val="fr-FR"/>
        </w:rPr>
        <w:t>’</w:t>
      </w:r>
      <w:r w:rsidRPr="00133E6C">
        <w:rPr>
          <w:lang w:val="fr-FR"/>
        </w:rPr>
        <w:t>intéressé n</w:t>
      </w:r>
      <w:r w:rsidRPr="00133E6C" w:rsidR="00133E6C">
        <w:rPr>
          <w:lang w:val="fr-FR"/>
        </w:rPr>
        <w:t>’</w:t>
      </w:r>
      <w:r w:rsidRPr="00133E6C">
        <w:rPr>
          <w:lang w:val="fr-FR"/>
        </w:rPr>
        <w:t>a pas été placé en garde à vue ou en détention provisoire dans le cadre de la procédure pénale diligentée contre lui et qu</w:t>
      </w:r>
      <w:r w:rsidRPr="00133E6C" w:rsidR="00133E6C">
        <w:rPr>
          <w:lang w:val="fr-FR"/>
        </w:rPr>
        <w:t>’</w:t>
      </w:r>
      <w:r w:rsidRPr="00133E6C">
        <w:rPr>
          <w:lang w:val="fr-FR"/>
        </w:rPr>
        <w:t>il n</w:t>
      </w:r>
      <w:r w:rsidRPr="00133E6C" w:rsidR="00133E6C">
        <w:rPr>
          <w:lang w:val="fr-FR"/>
        </w:rPr>
        <w:t>’</w:t>
      </w:r>
      <w:r w:rsidRPr="00133E6C">
        <w:rPr>
          <w:lang w:val="fr-FR"/>
        </w:rPr>
        <w:t>a pas purgé la peine qui lui a été infligée à l</w:t>
      </w:r>
      <w:r w:rsidRPr="00133E6C" w:rsidR="00133E6C">
        <w:rPr>
          <w:lang w:val="fr-FR"/>
        </w:rPr>
        <w:t>’</w:t>
      </w:r>
      <w:r w:rsidRPr="00133E6C">
        <w:rPr>
          <w:lang w:val="fr-FR"/>
        </w:rPr>
        <w:t>issue de cette procédure. Pour le cas où l</w:t>
      </w:r>
      <w:r w:rsidRPr="00133E6C" w:rsidR="00133E6C">
        <w:rPr>
          <w:lang w:val="fr-FR"/>
        </w:rPr>
        <w:t>’</w:t>
      </w:r>
      <w:r w:rsidRPr="00133E6C">
        <w:rPr>
          <w:lang w:val="fr-FR"/>
        </w:rPr>
        <w:t>existence d</w:t>
      </w:r>
      <w:r w:rsidRPr="00133E6C" w:rsidR="00133E6C">
        <w:rPr>
          <w:lang w:val="fr-FR"/>
        </w:rPr>
        <w:t>’</w:t>
      </w:r>
      <w:r w:rsidRPr="00133E6C">
        <w:rPr>
          <w:lang w:val="fr-FR"/>
        </w:rPr>
        <w:t>une ingérence serait admise par la Cour, il soutient que cette ingérence était prévue par l</w:t>
      </w:r>
      <w:r w:rsidRPr="00133E6C" w:rsidR="00133E6C">
        <w:rPr>
          <w:lang w:val="fr-FR"/>
        </w:rPr>
        <w:t>’</w:t>
      </w:r>
      <w:r w:rsidRPr="00133E6C">
        <w:rPr>
          <w:lang w:val="fr-FR"/>
        </w:rPr>
        <w:t>article 7 § 2 de la loi n</w:t>
      </w:r>
      <w:r w:rsidRPr="00133E6C">
        <w:rPr>
          <w:vertAlign w:val="superscript"/>
          <w:lang w:val="fr-FR"/>
        </w:rPr>
        <w:t>o</w:t>
      </w:r>
      <w:r w:rsidRPr="00133E6C">
        <w:rPr>
          <w:lang w:val="fr-FR"/>
        </w:rPr>
        <w:t xml:space="preserve"> 3713 et poursuivait les buts légitimes de la protection de la sécurité nationale et de la sûreté publique, de la défense de l</w:t>
      </w:r>
      <w:r w:rsidRPr="00133E6C" w:rsidR="00133E6C">
        <w:rPr>
          <w:lang w:val="fr-FR"/>
        </w:rPr>
        <w:t>’</w:t>
      </w:r>
      <w:r w:rsidRPr="00133E6C">
        <w:rPr>
          <w:lang w:val="fr-FR"/>
        </w:rPr>
        <w:t>ordre et de la prévention du crime. Il estime aussi que, eu égard au contenu de l</w:t>
      </w:r>
      <w:r w:rsidRPr="00133E6C" w:rsidR="00133E6C">
        <w:rPr>
          <w:lang w:val="fr-FR"/>
        </w:rPr>
        <w:t>’</w:t>
      </w:r>
      <w:r w:rsidRPr="00133E6C">
        <w:rPr>
          <w:lang w:val="fr-FR"/>
        </w:rPr>
        <w:t>article litigieux, qui, selon lui, légitimait les actes de violence et incitait à la violence, l</w:t>
      </w:r>
      <w:r w:rsidRPr="00133E6C" w:rsidR="00133E6C">
        <w:rPr>
          <w:lang w:val="fr-FR"/>
        </w:rPr>
        <w:t>’</w:t>
      </w:r>
      <w:r w:rsidRPr="00133E6C">
        <w:rPr>
          <w:lang w:val="fr-FR"/>
        </w:rPr>
        <w:t>ingérence litigieuse était nécessaire dans une société démocratique et proportionnée aux buts légitimes poursuivis.</w:t>
      </w:r>
    </w:p>
    <w:p w:rsidRPr="00133E6C" w:rsidR="0048609C" w:rsidP="00133E6C" w:rsidRDefault="0048609C">
      <w:pPr>
        <w:pStyle w:val="JuH1"/>
        <w:numPr>
          <w:ilvl w:val="0"/>
          <w:numId w:val="0"/>
        </w:numPr>
        <w:ind w:left="731"/>
        <w:rPr>
          <w:lang w:val="fr-FR"/>
        </w:rPr>
      </w:pPr>
      <w:r w:rsidRPr="00133E6C">
        <w:rPr>
          <w:lang w:val="fr-FR"/>
        </w:rPr>
        <w:t>2.  Appréciation de la Cour</w:t>
      </w:r>
    </w:p>
    <w:p w:rsidRPr="00133E6C" w:rsidR="0048609C" w:rsidP="00133E6C" w:rsidRDefault="0048609C">
      <w:pPr>
        <w:pStyle w:val="JuHa0"/>
        <w:numPr>
          <w:ilvl w:val="0"/>
          <w:numId w:val="0"/>
        </w:numPr>
        <w:ind w:left="975"/>
        <w:rPr>
          <w:rFonts w:eastAsiaTheme="majorEastAsia"/>
          <w:lang w:val="fr-FR"/>
        </w:rPr>
      </w:pPr>
      <w:r w:rsidRPr="00133E6C">
        <w:rPr>
          <w:rFonts w:eastAsiaTheme="majorEastAsia"/>
          <w:lang w:val="fr-FR"/>
        </w:rPr>
        <w:t>a)  Principes relatifs aux poursuites pénales engagées sur le fondement de l</w:t>
      </w:r>
      <w:r w:rsidRPr="00133E6C" w:rsidR="00133E6C">
        <w:rPr>
          <w:rFonts w:eastAsiaTheme="majorEastAsia"/>
          <w:lang w:val="fr-FR"/>
        </w:rPr>
        <w:t>’</w:t>
      </w:r>
      <w:r w:rsidRPr="00133E6C">
        <w:rPr>
          <w:rFonts w:eastAsiaTheme="majorEastAsia"/>
          <w:lang w:val="fr-FR"/>
        </w:rPr>
        <w:t xml:space="preserve">article 7 § 2 de la loi </w:t>
      </w:r>
      <w:r w:rsidRPr="00133E6C">
        <w:rPr>
          <w:lang w:val="fr-FR"/>
        </w:rPr>
        <w:t>n</w:t>
      </w:r>
      <w:r w:rsidRPr="00133E6C">
        <w:rPr>
          <w:vertAlign w:val="superscript"/>
          <w:lang w:val="fr-FR"/>
        </w:rPr>
        <w:t>o</w:t>
      </w:r>
      <w:r w:rsidRPr="00133E6C">
        <w:rPr>
          <w:lang w:val="fr-FR"/>
        </w:rPr>
        <w:t xml:space="preserve"> </w:t>
      </w:r>
      <w:r w:rsidRPr="00133E6C">
        <w:rPr>
          <w:rFonts w:eastAsiaTheme="majorEastAsia"/>
          <w:lang w:val="fr-FR"/>
        </w:rPr>
        <w:t>3713</w:t>
      </w:r>
    </w:p>
    <w:p w:rsidRPr="00133E6C" w:rsidR="0048609C" w:rsidP="00133E6C" w:rsidRDefault="0048609C">
      <w:pPr>
        <w:pStyle w:val="JuPara"/>
        <w:rPr>
          <w:rFonts w:eastAsiaTheme="majorEastAsia"/>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24</w:t>
      </w:r>
      <w:r w:rsidRPr="00133E6C">
        <w:rPr>
          <w:rFonts w:eastAsiaTheme="majorEastAsia"/>
        </w:rPr>
        <w:fldChar w:fldCharType="end"/>
      </w:r>
      <w:r w:rsidRPr="00133E6C">
        <w:rPr>
          <w:rFonts w:eastAsiaTheme="majorEastAsia"/>
          <w:lang w:val="fr-FR"/>
        </w:rPr>
        <w:t>.  La Cour rappelle qu</w:t>
      </w:r>
      <w:r w:rsidRPr="00133E6C" w:rsidR="00133E6C">
        <w:rPr>
          <w:rFonts w:eastAsiaTheme="majorEastAsia"/>
          <w:lang w:val="fr-FR"/>
        </w:rPr>
        <w:t>’</w:t>
      </w:r>
      <w:r w:rsidRPr="00133E6C">
        <w:rPr>
          <w:rFonts w:eastAsiaTheme="majorEastAsia"/>
          <w:lang w:val="fr-FR"/>
        </w:rPr>
        <w:t>elle a déjà eu l</w:t>
      </w:r>
      <w:r w:rsidRPr="00133E6C" w:rsidR="00133E6C">
        <w:rPr>
          <w:rFonts w:eastAsiaTheme="majorEastAsia"/>
          <w:lang w:val="fr-FR"/>
        </w:rPr>
        <w:t>’</w:t>
      </w:r>
      <w:r w:rsidRPr="00133E6C">
        <w:rPr>
          <w:rFonts w:eastAsiaTheme="majorEastAsia"/>
          <w:lang w:val="fr-FR"/>
        </w:rPr>
        <w:t>occasion d</w:t>
      </w:r>
      <w:r w:rsidRPr="00133E6C" w:rsidR="00133E6C">
        <w:rPr>
          <w:rFonts w:eastAsiaTheme="majorEastAsia"/>
          <w:lang w:val="fr-FR"/>
        </w:rPr>
        <w:t>’</w:t>
      </w:r>
      <w:r w:rsidRPr="00133E6C">
        <w:rPr>
          <w:rFonts w:eastAsiaTheme="majorEastAsia"/>
          <w:lang w:val="fr-FR"/>
        </w:rPr>
        <w:t>examiner un nombre considérable d</w:t>
      </w:r>
      <w:r w:rsidRPr="00133E6C" w:rsidR="00133E6C">
        <w:rPr>
          <w:rFonts w:eastAsiaTheme="majorEastAsia"/>
          <w:lang w:val="fr-FR"/>
        </w:rPr>
        <w:t>’</w:t>
      </w:r>
      <w:r w:rsidRPr="00133E6C">
        <w:rPr>
          <w:rFonts w:eastAsiaTheme="majorEastAsia"/>
          <w:lang w:val="fr-FR"/>
        </w:rPr>
        <w:t>affaires portant sur les procédures pénales engagées sur le fondement de l</w:t>
      </w:r>
      <w:r w:rsidRPr="00133E6C" w:rsidR="00133E6C">
        <w:rPr>
          <w:rFonts w:eastAsiaTheme="majorEastAsia"/>
          <w:lang w:val="fr-FR"/>
        </w:rPr>
        <w:t>’</w:t>
      </w:r>
      <w:r w:rsidRPr="00133E6C">
        <w:rPr>
          <w:rFonts w:eastAsiaTheme="majorEastAsia"/>
          <w:lang w:val="fr-FR"/>
        </w:rPr>
        <w:t xml:space="preserve">article 7 § 2 de la loi </w:t>
      </w:r>
      <w:r w:rsidRPr="00133E6C">
        <w:rPr>
          <w:lang w:val="fr-FR"/>
        </w:rPr>
        <w:t>n</w:t>
      </w:r>
      <w:r w:rsidRPr="00133E6C">
        <w:rPr>
          <w:vertAlign w:val="superscript"/>
          <w:lang w:val="fr-FR"/>
        </w:rPr>
        <w:t>o</w:t>
      </w:r>
      <w:r w:rsidRPr="00133E6C">
        <w:rPr>
          <w:rFonts w:eastAsiaTheme="majorEastAsia"/>
          <w:lang w:val="fr-FR"/>
        </w:rPr>
        <w:t xml:space="preserve"> 3713, réprimant l</w:t>
      </w:r>
      <w:r w:rsidRPr="00133E6C" w:rsidR="00133E6C">
        <w:rPr>
          <w:rFonts w:eastAsiaTheme="majorEastAsia"/>
          <w:lang w:val="fr-FR"/>
        </w:rPr>
        <w:t>’</w:t>
      </w:r>
      <w:r w:rsidRPr="00133E6C">
        <w:rPr>
          <w:rFonts w:eastAsiaTheme="majorEastAsia"/>
          <w:lang w:val="fr-FR"/>
        </w:rPr>
        <w:t>infraction de propagande en faveur d</w:t>
      </w:r>
      <w:r w:rsidRPr="00133E6C" w:rsidR="00133E6C">
        <w:rPr>
          <w:rFonts w:eastAsiaTheme="majorEastAsia"/>
          <w:lang w:val="fr-FR"/>
        </w:rPr>
        <w:t>’</w:t>
      </w:r>
      <w:r w:rsidRPr="00133E6C">
        <w:rPr>
          <w:rFonts w:eastAsiaTheme="majorEastAsia"/>
          <w:lang w:val="fr-FR"/>
        </w:rPr>
        <w:t>une organisation terroriste, et que ses formations de chambre et de comité ont déjà rendu une soixantaine d</w:t>
      </w:r>
      <w:r w:rsidRPr="00133E6C" w:rsidR="00133E6C">
        <w:rPr>
          <w:rFonts w:eastAsiaTheme="majorEastAsia"/>
          <w:lang w:val="fr-FR"/>
        </w:rPr>
        <w:t>’</w:t>
      </w:r>
      <w:r w:rsidRPr="00133E6C">
        <w:rPr>
          <w:rFonts w:eastAsiaTheme="majorEastAsia"/>
          <w:lang w:val="fr-FR"/>
        </w:rPr>
        <w:t>arrêts et de décisions d</w:t>
      </w:r>
      <w:r w:rsidRPr="00133E6C" w:rsidR="00133E6C">
        <w:rPr>
          <w:rFonts w:eastAsiaTheme="majorEastAsia"/>
          <w:lang w:val="fr-FR"/>
        </w:rPr>
        <w:t>’</w:t>
      </w:r>
      <w:r w:rsidRPr="00133E6C">
        <w:rPr>
          <w:rFonts w:eastAsiaTheme="majorEastAsia"/>
          <w:lang w:val="fr-FR"/>
        </w:rPr>
        <w:t>irrecevabilité dans ces affaires. Les principes se dégageant de sa jurisprudence relativement à ces procédures pénales de droit turc peuvent se résumer comme suit.</w:t>
      </w:r>
    </w:p>
    <w:p w:rsidRPr="00133E6C" w:rsidR="0048609C" w:rsidP="00133E6C" w:rsidRDefault="0048609C">
      <w:pPr>
        <w:pStyle w:val="JuHi"/>
        <w:numPr>
          <w:ilvl w:val="0"/>
          <w:numId w:val="0"/>
        </w:numPr>
        <w:ind w:left="1191"/>
        <w:rPr>
          <w:rFonts w:eastAsiaTheme="majorEastAsia"/>
          <w:lang w:val="fr-FR"/>
        </w:rPr>
      </w:pPr>
      <w:r w:rsidRPr="00133E6C">
        <w:rPr>
          <w:rFonts w:eastAsiaTheme="majorEastAsia"/>
          <w:lang w:val="fr-FR"/>
        </w:rPr>
        <w:t>i.  Principes relatifs à la qualité de loi de l</w:t>
      </w:r>
      <w:r w:rsidRPr="00133E6C" w:rsidR="00133E6C">
        <w:rPr>
          <w:rFonts w:eastAsiaTheme="majorEastAsia"/>
          <w:lang w:val="fr-FR"/>
        </w:rPr>
        <w:t>’</w:t>
      </w:r>
      <w:r w:rsidRPr="00133E6C">
        <w:rPr>
          <w:rFonts w:eastAsiaTheme="majorEastAsia"/>
          <w:lang w:val="fr-FR"/>
        </w:rPr>
        <w:t xml:space="preserve">article 7 § 2 de la loi </w:t>
      </w:r>
      <w:r w:rsidRPr="00133E6C">
        <w:rPr>
          <w:lang w:val="fr-FR"/>
        </w:rPr>
        <w:t>n</w:t>
      </w:r>
      <w:r w:rsidRPr="00133E6C">
        <w:rPr>
          <w:vertAlign w:val="superscript"/>
          <w:lang w:val="fr-FR"/>
        </w:rPr>
        <w:t>o</w:t>
      </w:r>
      <w:r w:rsidRPr="00133E6C">
        <w:rPr>
          <w:rFonts w:eastAsiaTheme="majorEastAsia"/>
          <w:lang w:val="fr-FR"/>
        </w:rPr>
        <w:t xml:space="preserve"> 3713</w:t>
      </w:r>
    </w:p>
    <w:p w:rsidRPr="00133E6C" w:rsidR="0048609C" w:rsidP="00133E6C" w:rsidRDefault="0048609C">
      <w:pPr>
        <w:pStyle w:val="JuPara"/>
        <w:rPr>
          <w:rFonts w:eastAsiaTheme="majorEastAsia"/>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25</w:t>
      </w:r>
      <w:r w:rsidRPr="00133E6C">
        <w:rPr>
          <w:rFonts w:eastAsiaTheme="majorEastAsia"/>
        </w:rPr>
        <w:fldChar w:fldCharType="end"/>
      </w:r>
      <w:r w:rsidRPr="00133E6C">
        <w:rPr>
          <w:rFonts w:eastAsiaTheme="majorEastAsia"/>
          <w:lang w:val="fr-FR"/>
        </w:rPr>
        <w:t>.  La Cour note d</w:t>
      </w:r>
      <w:r w:rsidRPr="00133E6C" w:rsidR="00133E6C">
        <w:rPr>
          <w:rFonts w:eastAsiaTheme="majorEastAsia"/>
          <w:lang w:val="fr-FR"/>
        </w:rPr>
        <w:t>’</w:t>
      </w:r>
      <w:r w:rsidRPr="00133E6C">
        <w:rPr>
          <w:rFonts w:eastAsiaTheme="majorEastAsia"/>
          <w:lang w:val="fr-FR"/>
        </w:rPr>
        <w:t>emblée que l</w:t>
      </w:r>
      <w:r w:rsidRPr="00133E6C" w:rsidR="00133E6C">
        <w:rPr>
          <w:rFonts w:eastAsiaTheme="majorEastAsia"/>
          <w:lang w:val="fr-FR"/>
        </w:rPr>
        <w:t>’</w:t>
      </w:r>
      <w:r w:rsidRPr="00133E6C">
        <w:rPr>
          <w:rFonts w:eastAsiaTheme="majorEastAsia"/>
          <w:lang w:val="fr-FR"/>
        </w:rPr>
        <w:t xml:space="preserve">article 7 § 2 de la loi </w:t>
      </w:r>
      <w:r w:rsidRPr="00133E6C">
        <w:rPr>
          <w:lang w:val="fr-FR"/>
        </w:rPr>
        <w:t>n</w:t>
      </w:r>
      <w:r w:rsidRPr="00133E6C">
        <w:rPr>
          <w:vertAlign w:val="superscript"/>
          <w:lang w:val="fr-FR"/>
        </w:rPr>
        <w:t>o</w:t>
      </w:r>
      <w:r w:rsidRPr="00133E6C">
        <w:rPr>
          <w:rFonts w:eastAsiaTheme="majorEastAsia"/>
          <w:lang w:val="fr-FR"/>
        </w:rPr>
        <w:t xml:space="preserve"> 3713 a subi plusieurs modifications depuis l</w:t>
      </w:r>
      <w:r w:rsidRPr="00133E6C" w:rsidR="00133E6C">
        <w:rPr>
          <w:rFonts w:eastAsiaTheme="majorEastAsia"/>
          <w:lang w:val="fr-FR"/>
        </w:rPr>
        <w:t>’</w:t>
      </w:r>
      <w:r w:rsidRPr="00133E6C">
        <w:rPr>
          <w:rFonts w:eastAsiaTheme="majorEastAsia"/>
          <w:lang w:val="fr-FR"/>
        </w:rPr>
        <w:t>entrée en vigueur de ladite loi en 1991 (paragraphes 11-14 ci-dessus) et que les arrêts et décisions qu</w:t>
      </w:r>
      <w:r w:rsidRPr="00133E6C" w:rsidR="00133E6C">
        <w:rPr>
          <w:rFonts w:eastAsiaTheme="majorEastAsia"/>
          <w:lang w:val="fr-FR"/>
        </w:rPr>
        <w:t>’</w:t>
      </w:r>
      <w:r w:rsidRPr="00133E6C">
        <w:rPr>
          <w:rFonts w:eastAsiaTheme="majorEastAsia"/>
          <w:lang w:val="fr-FR"/>
        </w:rPr>
        <w:t>elle a déjà rendus relativement aux procédures pénales engagées pour l</w:t>
      </w:r>
      <w:r w:rsidRPr="00133E6C" w:rsidR="00133E6C">
        <w:rPr>
          <w:rFonts w:eastAsiaTheme="majorEastAsia"/>
          <w:lang w:val="fr-FR"/>
        </w:rPr>
        <w:t>’</w:t>
      </w:r>
      <w:r w:rsidRPr="00133E6C">
        <w:rPr>
          <w:rFonts w:eastAsiaTheme="majorEastAsia"/>
          <w:lang w:val="fr-FR"/>
        </w:rPr>
        <w:t>infraction de propagande en faveur d</w:t>
      </w:r>
      <w:r w:rsidRPr="00133E6C" w:rsidR="00133E6C">
        <w:rPr>
          <w:rFonts w:eastAsiaTheme="majorEastAsia"/>
          <w:lang w:val="fr-FR"/>
        </w:rPr>
        <w:t>’</w:t>
      </w:r>
      <w:r w:rsidRPr="00133E6C">
        <w:rPr>
          <w:rFonts w:eastAsiaTheme="majorEastAsia"/>
          <w:lang w:val="fr-FR"/>
        </w:rPr>
        <w:t>une organisation terroriste concernaient deux versions de la disposition en question, qui étaient respectivement en vigueur de 2003 à 2006 (paragraphe 12 ci-dessus) et de 2006 à 2013 (paragraphe</w:t>
      </w:r>
      <w:r w:rsidRPr="00133E6C" w:rsidR="00A83CB2">
        <w:rPr>
          <w:rFonts w:eastAsiaTheme="majorEastAsia"/>
          <w:lang w:val="fr-FR"/>
        </w:rPr>
        <w:t> </w:t>
      </w:r>
      <w:r w:rsidRPr="00133E6C">
        <w:rPr>
          <w:rFonts w:eastAsiaTheme="majorEastAsia"/>
          <w:lang w:val="fr-FR"/>
        </w:rPr>
        <w:t>13 ci-dessus).</w:t>
      </w:r>
    </w:p>
    <w:p w:rsidRPr="00133E6C" w:rsidR="0048609C" w:rsidP="00133E6C" w:rsidRDefault="0048609C">
      <w:pPr>
        <w:pStyle w:val="JuPara"/>
        <w:rPr>
          <w:snapToGrid w:val="0"/>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26</w:t>
      </w:r>
      <w:r w:rsidRPr="00133E6C">
        <w:rPr>
          <w:rFonts w:eastAsiaTheme="majorEastAsia"/>
        </w:rPr>
        <w:fldChar w:fldCharType="end"/>
      </w:r>
      <w:r w:rsidRPr="00133E6C">
        <w:rPr>
          <w:rFonts w:eastAsiaTheme="majorEastAsia"/>
          <w:lang w:val="fr-FR"/>
        </w:rPr>
        <w:t>.  Elle note à ce sujet avoir déjà estimé que, eu égard au libellé de l</w:t>
      </w:r>
      <w:r w:rsidRPr="00133E6C" w:rsidR="00133E6C">
        <w:rPr>
          <w:rFonts w:eastAsiaTheme="majorEastAsia"/>
          <w:lang w:val="fr-FR"/>
        </w:rPr>
        <w:t>’</w:t>
      </w:r>
      <w:r w:rsidRPr="00133E6C">
        <w:rPr>
          <w:rFonts w:eastAsiaTheme="majorEastAsia"/>
          <w:lang w:val="fr-FR"/>
        </w:rPr>
        <w:t xml:space="preserve">article 7 § 2 de la loi susmentionnée dans ses deux versions qui étaient successivement en vigueur de 2003 à 2013 et à la manière dont les juridictions nationales avaient interprété cette disposition pour condamner les requérants, de sérieux doutes se posaient quant à la prévisibilité de son application (voir, concernant la version de la disposition en vigueur de 2003 à 2006, </w:t>
      </w:r>
      <w:r w:rsidRPr="00133E6C">
        <w:rPr>
          <w:i/>
          <w:lang w:val="fr-FR"/>
        </w:rPr>
        <w:t xml:space="preserve">Faruk </w:t>
      </w:r>
      <w:proofErr w:type="spellStart"/>
      <w:r w:rsidRPr="00133E6C">
        <w:rPr>
          <w:i/>
          <w:lang w:val="fr-FR"/>
        </w:rPr>
        <w:t>Temel</w:t>
      </w:r>
      <w:proofErr w:type="spellEnd"/>
      <w:r w:rsidRPr="00133E6C">
        <w:rPr>
          <w:i/>
          <w:lang w:val="fr-FR"/>
        </w:rPr>
        <w:t xml:space="preserve"> c. Turquie</w:t>
      </w:r>
      <w:r w:rsidRPr="00133E6C">
        <w:rPr>
          <w:lang w:val="fr-FR"/>
        </w:rPr>
        <w:t>, n</w:t>
      </w:r>
      <w:r w:rsidRPr="00133E6C">
        <w:rPr>
          <w:vertAlign w:val="superscript"/>
          <w:lang w:val="fr-FR"/>
        </w:rPr>
        <w:t>o</w:t>
      </w:r>
      <w:r w:rsidRPr="00133E6C">
        <w:rPr>
          <w:lang w:val="fr-FR"/>
        </w:rPr>
        <w:t xml:space="preserve"> 16853/05</w:t>
      </w:r>
      <w:r w:rsidRPr="00133E6C">
        <w:rPr>
          <w:snapToGrid w:val="0"/>
          <w:lang w:val="fr-FR"/>
        </w:rPr>
        <w:t>, § 49, 1</w:t>
      </w:r>
      <w:r w:rsidRPr="00133E6C">
        <w:rPr>
          <w:snapToGrid w:val="0"/>
          <w:vertAlign w:val="superscript"/>
          <w:lang w:val="fr-FR"/>
        </w:rPr>
        <w:t>er</w:t>
      </w:r>
      <w:r w:rsidRPr="00133E6C">
        <w:rPr>
          <w:snapToGrid w:val="0"/>
          <w:lang w:val="fr-FR"/>
        </w:rPr>
        <w:t xml:space="preserve"> </w:t>
      </w:r>
      <w:r w:rsidRPr="00133E6C">
        <w:rPr>
          <w:lang w:val="fr-FR"/>
        </w:rPr>
        <w:t>février</w:t>
      </w:r>
      <w:r w:rsidRPr="00133E6C">
        <w:rPr>
          <w:snapToGrid w:val="0"/>
          <w:lang w:val="fr-FR"/>
        </w:rPr>
        <w:t xml:space="preserve"> 2011 ; voir aussi, s</w:t>
      </w:r>
      <w:r w:rsidRPr="00133E6C" w:rsidR="00133E6C">
        <w:rPr>
          <w:snapToGrid w:val="0"/>
          <w:lang w:val="fr-FR"/>
        </w:rPr>
        <w:t>’</w:t>
      </w:r>
      <w:r w:rsidRPr="00133E6C">
        <w:rPr>
          <w:snapToGrid w:val="0"/>
          <w:lang w:val="fr-FR"/>
        </w:rPr>
        <w:t>agissant de la version de la disposition en vigueur de 2006 à 2013,</w:t>
      </w:r>
      <w:r w:rsidRPr="00133E6C">
        <w:rPr>
          <w:rFonts w:eastAsiaTheme="majorEastAsia"/>
          <w:lang w:val="fr-FR"/>
        </w:rPr>
        <w:t xml:space="preserve"> </w:t>
      </w:r>
      <w:proofErr w:type="spellStart"/>
      <w:r w:rsidRPr="00133E6C">
        <w:rPr>
          <w:i/>
          <w:lang w:val="fr-FR"/>
        </w:rPr>
        <w:t>Yavuz</w:t>
      </w:r>
      <w:proofErr w:type="spellEnd"/>
      <w:r w:rsidRPr="00133E6C">
        <w:rPr>
          <w:i/>
          <w:lang w:val="fr-FR"/>
        </w:rPr>
        <w:t xml:space="preserve"> et </w:t>
      </w:r>
      <w:proofErr w:type="spellStart"/>
      <w:r w:rsidRPr="00133E6C">
        <w:rPr>
          <w:i/>
          <w:lang w:val="fr-FR"/>
        </w:rPr>
        <w:t>Yaylalı</w:t>
      </w:r>
      <w:proofErr w:type="spellEnd"/>
      <w:r w:rsidRPr="00133E6C">
        <w:rPr>
          <w:lang w:val="fr-FR"/>
        </w:rPr>
        <w:t xml:space="preserve"> </w:t>
      </w:r>
      <w:r w:rsidRPr="00133E6C">
        <w:rPr>
          <w:i/>
          <w:lang w:val="fr-FR"/>
        </w:rPr>
        <w:t>c. Turquie</w:t>
      </w:r>
      <w:r w:rsidRPr="00133E6C">
        <w:rPr>
          <w:lang w:val="fr-FR"/>
        </w:rPr>
        <w:t>, n</w:t>
      </w:r>
      <w:r w:rsidRPr="00133E6C">
        <w:rPr>
          <w:vertAlign w:val="superscript"/>
          <w:lang w:val="fr-FR"/>
        </w:rPr>
        <w:t>o</w:t>
      </w:r>
      <w:r w:rsidRPr="00133E6C">
        <w:rPr>
          <w:lang w:val="fr-FR"/>
        </w:rPr>
        <w:t xml:space="preserve"> 12606/11</w:t>
      </w:r>
      <w:r w:rsidRPr="00133E6C">
        <w:rPr>
          <w:snapToGrid w:val="0"/>
          <w:lang w:val="fr-FR"/>
        </w:rPr>
        <w:t xml:space="preserve">, § 38, 17 </w:t>
      </w:r>
      <w:r w:rsidRPr="00133E6C">
        <w:rPr>
          <w:lang w:val="fr-FR"/>
        </w:rPr>
        <w:t>décembre</w:t>
      </w:r>
      <w:r w:rsidRPr="00133E6C">
        <w:rPr>
          <w:snapToGrid w:val="0"/>
          <w:lang w:val="fr-FR"/>
        </w:rPr>
        <w:t xml:space="preserve"> 2013, </w:t>
      </w:r>
      <w:proofErr w:type="spellStart"/>
      <w:r w:rsidRPr="00133E6C">
        <w:rPr>
          <w:i/>
          <w:lang w:val="fr-FR"/>
        </w:rPr>
        <w:t>Öner</w:t>
      </w:r>
      <w:proofErr w:type="spellEnd"/>
      <w:r w:rsidRPr="00133E6C">
        <w:rPr>
          <w:i/>
          <w:lang w:val="fr-FR"/>
        </w:rPr>
        <w:t xml:space="preserve"> et Türk</w:t>
      </w:r>
      <w:r w:rsidRPr="00133E6C">
        <w:rPr>
          <w:snapToGrid w:val="0"/>
          <w:lang w:val="fr-FR"/>
        </w:rPr>
        <w:t xml:space="preserve">, précité, § 21, </w:t>
      </w:r>
      <w:proofErr w:type="spellStart"/>
      <w:r w:rsidRPr="00133E6C">
        <w:rPr>
          <w:i/>
          <w:lang w:val="fr-FR"/>
        </w:rPr>
        <w:t>Selahattin</w:t>
      </w:r>
      <w:proofErr w:type="spellEnd"/>
      <w:r w:rsidRPr="00133E6C">
        <w:rPr>
          <w:i/>
          <w:lang w:val="fr-FR"/>
        </w:rPr>
        <w:t xml:space="preserve"> </w:t>
      </w:r>
      <w:proofErr w:type="spellStart"/>
      <w:r w:rsidRPr="00133E6C">
        <w:rPr>
          <w:i/>
          <w:lang w:val="fr-FR"/>
        </w:rPr>
        <w:t>Demirtaş</w:t>
      </w:r>
      <w:proofErr w:type="spellEnd"/>
      <w:r w:rsidRPr="00133E6C">
        <w:rPr>
          <w:i/>
          <w:lang w:val="fr-FR"/>
        </w:rPr>
        <w:t xml:space="preserve"> c. Turquie (n</w:t>
      </w:r>
      <w:r w:rsidRPr="00133E6C">
        <w:rPr>
          <w:i/>
          <w:vertAlign w:val="superscript"/>
          <w:lang w:val="fr-FR"/>
        </w:rPr>
        <w:t>o</w:t>
      </w:r>
      <w:r w:rsidRPr="00133E6C">
        <w:rPr>
          <w:i/>
          <w:lang w:val="fr-FR"/>
        </w:rPr>
        <w:t xml:space="preserve"> 3)</w:t>
      </w:r>
      <w:r w:rsidRPr="00133E6C">
        <w:rPr>
          <w:lang w:val="fr-FR"/>
        </w:rPr>
        <w:t>, n</w:t>
      </w:r>
      <w:r w:rsidRPr="00133E6C">
        <w:rPr>
          <w:vertAlign w:val="superscript"/>
          <w:lang w:val="fr-FR"/>
        </w:rPr>
        <w:t>o</w:t>
      </w:r>
      <w:r w:rsidRPr="00133E6C">
        <w:rPr>
          <w:lang w:val="fr-FR"/>
        </w:rPr>
        <w:t xml:space="preserve"> 8732/11, § 28, 9 juillet 2019, </w:t>
      </w:r>
      <w:proofErr w:type="spellStart"/>
      <w:r w:rsidRPr="00133E6C">
        <w:rPr>
          <w:i/>
          <w:lang w:val="fr-FR"/>
        </w:rPr>
        <w:t>Nejdet</w:t>
      </w:r>
      <w:proofErr w:type="spellEnd"/>
      <w:r w:rsidRPr="00133E6C">
        <w:rPr>
          <w:i/>
          <w:lang w:val="fr-FR"/>
        </w:rPr>
        <w:t xml:space="preserve"> </w:t>
      </w:r>
      <w:proofErr w:type="spellStart"/>
      <w:r w:rsidRPr="00133E6C">
        <w:rPr>
          <w:i/>
          <w:lang w:val="fr-FR"/>
        </w:rPr>
        <w:t>Atalay</w:t>
      </w:r>
      <w:proofErr w:type="spellEnd"/>
      <w:r w:rsidRPr="00133E6C">
        <w:rPr>
          <w:i/>
          <w:lang w:val="fr-FR"/>
        </w:rPr>
        <w:t xml:space="preserve"> c. Turquie</w:t>
      </w:r>
      <w:r w:rsidRPr="00133E6C">
        <w:rPr>
          <w:lang w:val="fr-FR"/>
        </w:rPr>
        <w:t>, n</w:t>
      </w:r>
      <w:r w:rsidRPr="00133E6C">
        <w:rPr>
          <w:vertAlign w:val="superscript"/>
          <w:lang w:val="fr-FR"/>
        </w:rPr>
        <w:t>o</w:t>
      </w:r>
      <w:r w:rsidRPr="00133E6C">
        <w:rPr>
          <w:lang w:val="fr-FR"/>
        </w:rPr>
        <w:t xml:space="preserve"> 76224/12, </w:t>
      </w:r>
      <w:r w:rsidRPr="00133E6C">
        <w:rPr>
          <w:lang w:val="pt-PT"/>
        </w:rPr>
        <w:t xml:space="preserve">§ 17, 19 </w:t>
      </w:r>
      <w:proofErr w:type="spellStart"/>
      <w:r w:rsidRPr="00133E6C">
        <w:rPr>
          <w:lang w:val="pt-PT"/>
        </w:rPr>
        <w:t>novembre</w:t>
      </w:r>
      <w:proofErr w:type="spellEnd"/>
      <w:r w:rsidRPr="00133E6C">
        <w:rPr>
          <w:lang w:val="pt-PT"/>
        </w:rPr>
        <w:t xml:space="preserve"> 2019, </w:t>
      </w:r>
      <w:proofErr w:type="spellStart"/>
      <w:r w:rsidRPr="00133E6C">
        <w:rPr>
          <w:i/>
          <w:lang w:val="pt-PT"/>
        </w:rPr>
        <w:t>Yüksel</w:t>
      </w:r>
      <w:proofErr w:type="spellEnd"/>
      <w:r w:rsidRPr="00133E6C">
        <w:rPr>
          <w:i/>
          <w:lang w:val="pt-PT"/>
        </w:rPr>
        <w:t xml:space="preserve"> c. </w:t>
      </w:r>
      <w:proofErr w:type="spellStart"/>
      <w:r w:rsidRPr="00133E6C">
        <w:rPr>
          <w:i/>
          <w:lang w:val="pt-PT"/>
        </w:rPr>
        <w:t>Turquie</w:t>
      </w:r>
      <w:proofErr w:type="spellEnd"/>
      <w:r w:rsidRPr="00133E6C">
        <w:rPr>
          <w:lang w:val="pt-PT"/>
        </w:rPr>
        <w:t xml:space="preserve"> [comité], </w:t>
      </w:r>
      <w:r w:rsidRPr="00133E6C">
        <w:rPr>
          <w:lang w:val="fr-FR"/>
        </w:rPr>
        <w:t>n</w:t>
      </w:r>
      <w:r w:rsidRPr="00133E6C">
        <w:rPr>
          <w:vertAlign w:val="superscript"/>
          <w:lang w:val="fr-FR"/>
        </w:rPr>
        <w:t>o</w:t>
      </w:r>
      <w:r w:rsidRPr="00133E6C">
        <w:rPr>
          <w:lang w:val="pt-PT"/>
        </w:rPr>
        <w:t xml:space="preserve"> 30682/11, § 22, 25 </w:t>
      </w:r>
      <w:proofErr w:type="spellStart"/>
      <w:r w:rsidRPr="00133E6C">
        <w:rPr>
          <w:lang w:val="pt-PT"/>
        </w:rPr>
        <w:t>septembre</w:t>
      </w:r>
      <w:proofErr w:type="spellEnd"/>
      <w:r w:rsidRPr="00133E6C">
        <w:rPr>
          <w:lang w:val="pt-PT"/>
        </w:rPr>
        <w:t xml:space="preserve"> 2018, </w:t>
      </w:r>
      <w:proofErr w:type="spellStart"/>
      <w:r w:rsidRPr="00133E6C" w:rsidR="00A83CB2">
        <w:rPr>
          <w:i/>
          <w:lang w:val="pt-PT"/>
        </w:rPr>
        <w:t>Gül</w:t>
      </w:r>
      <w:proofErr w:type="spellEnd"/>
      <w:r w:rsidRPr="00133E6C" w:rsidR="00A83CB2">
        <w:rPr>
          <w:i/>
          <w:lang w:val="pt-PT"/>
        </w:rPr>
        <w:t xml:space="preserve"> c. </w:t>
      </w:r>
      <w:proofErr w:type="spellStart"/>
      <w:r w:rsidRPr="00133E6C">
        <w:rPr>
          <w:i/>
          <w:lang w:val="pt-PT"/>
        </w:rPr>
        <w:t>Turquie</w:t>
      </w:r>
      <w:proofErr w:type="spellEnd"/>
      <w:r w:rsidRPr="00133E6C">
        <w:rPr>
          <w:lang w:val="pt-PT"/>
        </w:rPr>
        <w:t xml:space="preserve"> [comité], </w:t>
      </w:r>
      <w:r w:rsidRPr="00133E6C">
        <w:rPr>
          <w:lang w:val="fr-FR"/>
        </w:rPr>
        <w:t>n</w:t>
      </w:r>
      <w:r w:rsidRPr="00133E6C">
        <w:rPr>
          <w:vertAlign w:val="superscript"/>
          <w:lang w:val="fr-FR"/>
        </w:rPr>
        <w:t>o</w:t>
      </w:r>
      <w:r w:rsidRPr="00133E6C">
        <w:rPr>
          <w:lang w:val="pt-PT"/>
        </w:rPr>
        <w:t xml:space="preserve"> 14619/12, 9 </w:t>
      </w:r>
      <w:proofErr w:type="spellStart"/>
      <w:r w:rsidRPr="00133E6C">
        <w:rPr>
          <w:lang w:val="pt-PT"/>
        </w:rPr>
        <w:t>octobre</w:t>
      </w:r>
      <w:proofErr w:type="spellEnd"/>
      <w:r w:rsidRPr="00133E6C">
        <w:rPr>
          <w:lang w:val="pt-PT"/>
        </w:rPr>
        <w:t xml:space="preserve"> 2018, </w:t>
      </w:r>
      <w:proofErr w:type="spellStart"/>
      <w:r w:rsidRPr="00133E6C">
        <w:rPr>
          <w:i/>
          <w:lang w:val="pt-PT"/>
        </w:rPr>
        <w:t>Özbay</w:t>
      </w:r>
      <w:proofErr w:type="spellEnd"/>
      <w:r w:rsidRPr="00133E6C">
        <w:rPr>
          <w:i/>
          <w:lang w:val="pt-PT"/>
        </w:rPr>
        <w:t xml:space="preserve"> c. </w:t>
      </w:r>
      <w:proofErr w:type="spellStart"/>
      <w:r w:rsidRPr="00133E6C">
        <w:rPr>
          <w:i/>
          <w:lang w:val="pt-PT"/>
        </w:rPr>
        <w:t>Turquie</w:t>
      </w:r>
      <w:proofErr w:type="spellEnd"/>
      <w:r w:rsidRPr="00133E6C">
        <w:rPr>
          <w:lang w:val="pt-PT"/>
        </w:rPr>
        <w:t xml:space="preserve"> [comité], </w:t>
      </w:r>
      <w:r w:rsidRPr="00133E6C">
        <w:rPr>
          <w:lang w:val="fr-FR"/>
        </w:rPr>
        <w:t>n</w:t>
      </w:r>
      <w:r w:rsidRPr="00133E6C">
        <w:rPr>
          <w:vertAlign w:val="superscript"/>
          <w:lang w:val="fr-FR"/>
        </w:rPr>
        <w:t>o</w:t>
      </w:r>
      <w:r w:rsidRPr="00133E6C">
        <w:rPr>
          <w:lang w:val="pt-PT"/>
        </w:rPr>
        <w:t xml:space="preserve"> 62610/12, 12 </w:t>
      </w:r>
      <w:proofErr w:type="spellStart"/>
      <w:r w:rsidRPr="00133E6C">
        <w:rPr>
          <w:lang w:val="pt-PT"/>
        </w:rPr>
        <w:t>février</w:t>
      </w:r>
      <w:proofErr w:type="spellEnd"/>
      <w:r w:rsidRPr="00133E6C">
        <w:rPr>
          <w:lang w:val="pt-PT"/>
        </w:rPr>
        <w:t xml:space="preserve"> 2019, </w:t>
      </w:r>
      <w:proofErr w:type="spellStart"/>
      <w:r w:rsidRPr="00133E6C">
        <w:rPr>
          <w:lang w:val="pt-PT"/>
        </w:rPr>
        <w:t>et</w:t>
      </w:r>
      <w:proofErr w:type="spellEnd"/>
      <w:r w:rsidRPr="00133E6C">
        <w:rPr>
          <w:lang w:val="pt-PT"/>
        </w:rPr>
        <w:t xml:space="preserve"> </w:t>
      </w:r>
      <w:proofErr w:type="spellStart"/>
      <w:r w:rsidRPr="00133E6C">
        <w:rPr>
          <w:i/>
          <w:lang w:val="pt-PT"/>
        </w:rPr>
        <w:t>Polat</w:t>
      </w:r>
      <w:proofErr w:type="spellEnd"/>
      <w:r w:rsidRPr="00133E6C">
        <w:rPr>
          <w:i/>
          <w:lang w:val="pt-PT"/>
        </w:rPr>
        <w:t xml:space="preserve"> c. </w:t>
      </w:r>
      <w:proofErr w:type="spellStart"/>
      <w:r w:rsidRPr="00133E6C">
        <w:rPr>
          <w:i/>
          <w:lang w:val="pt-PT"/>
        </w:rPr>
        <w:t>Turquie</w:t>
      </w:r>
      <w:proofErr w:type="spellEnd"/>
      <w:r w:rsidRPr="00133E6C">
        <w:rPr>
          <w:lang w:val="pt-PT"/>
        </w:rPr>
        <w:t xml:space="preserve"> [comité], </w:t>
      </w:r>
      <w:r w:rsidRPr="00133E6C">
        <w:rPr>
          <w:lang w:val="fr-FR"/>
        </w:rPr>
        <w:t>n</w:t>
      </w:r>
      <w:r w:rsidRPr="00133E6C">
        <w:rPr>
          <w:vertAlign w:val="superscript"/>
          <w:lang w:val="fr-FR"/>
        </w:rPr>
        <w:t>o</w:t>
      </w:r>
      <w:r w:rsidRPr="00133E6C">
        <w:rPr>
          <w:lang w:val="pt-PT"/>
        </w:rPr>
        <w:t> 64138/11, 7</w:t>
      </w:r>
      <w:r w:rsidRPr="00133E6C" w:rsidR="00A83CB2">
        <w:rPr>
          <w:lang w:val="pt-PT"/>
        </w:rPr>
        <w:t> </w:t>
      </w:r>
      <w:proofErr w:type="spellStart"/>
      <w:r w:rsidRPr="00133E6C">
        <w:rPr>
          <w:lang w:val="pt-PT"/>
        </w:rPr>
        <w:t>mai</w:t>
      </w:r>
      <w:proofErr w:type="spellEnd"/>
      <w:r w:rsidRPr="00133E6C">
        <w:rPr>
          <w:lang w:val="pt-PT"/>
        </w:rPr>
        <w:t xml:space="preserve"> 2019). </w:t>
      </w:r>
      <w:r w:rsidRPr="00133E6C">
        <w:rPr>
          <w:snapToGrid w:val="0"/>
          <w:lang w:val="fr-FR"/>
        </w:rPr>
        <w:t xml:space="preserve">Elle a en outre considéré dans son arrêt </w:t>
      </w:r>
      <w:r w:rsidRPr="00133E6C">
        <w:rPr>
          <w:i/>
          <w:lang w:val="fr-FR"/>
        </w:rPr>
        <w:t>Belge c. Turquie</w:t>
      </w:r>
      <w:r w:rsidRPr="00133E6C">
        <w:rPr>
          <w:lang w:val="fr-FR"/>
        </w:rPr>
        <w:t xml:space="preserve"> (n</w:t>
      </w:r>
      <w:r w:rsidRPr="00133E6C">
        <w:rPr>
          <w:vertAlign w:val="superscript"/>
          <w:lang w:val="fr-FR"/>
        </w:rPr>
        <w:t>o</w:t>
      </w:r>
      <w:r w:rsidRPr="00133E6C">
        <w:rPr>
          <w:lang w:val="fr-FR"/>
        </w:rPr>
        <w:t> 50171/09, 6 décembre 2016)</w:t>
      </w:r>
      <w:r w:rsidRPr="00133E6C">
        <w:rPr>
          <w:snapToGrid w:val="0"/>
          <w:lang w:val="fr-FR"/>
        </w:rPr>
        <w:t xml:space="preserve"> que l</w:t>
      </w:r>
      <w:r w:rsidRPr="00133E6C" w:rsidR="00133E6C">
        <w:rPr>
          <w:snapToGrid w:val="0"/>
          <w:lang w:val="fr-FR"/>
        </w:rPr>
        <w:t>’</w:t>
      </w:r>
      <w:r w:rsidRPr="00133E6C">
        <w:rPr>
          <w:snapToGrid w:val="0"/>
          <w:lang w:val="fr-FR"/>
        </w:rPr>
        <w:t>infraction de propagande en faveur d</w:t>
      </w:r>
      <w:r w:rsidRPr="00133E6C" w:rsidR="00133E6C">
        <w:rPr>
          <w:snapToGrid w:val="0"/>
          <w:lang w:val="fr-FR"/>
        </w:rPr>
        <w:t>’</w:t>
      </w:r>
      <w:r w:rsidRPr="00133E6C">
        <w:rPr>
          <w:snapToGrid w:val="0"/>
          <w:lang w:val="fr-FR"/>
        </w:rPr>
        <w:t>une organisation terroriste, prévue par l</w:t>
      </w:r>
      <w:r w:rsidRPr="00133E6C" w:rsidR="00133E6C">
        <w:rPr>
          <w:snapToGrid w:val="0"/>
          <w:lang w:val="fr-FR"/>
        </w:rPr>
        <w:t>’</w:t>
      </w:r>
      <w:r w:rsidRPr="00133E6C">
        <w:rPr>
          <w:snapToGrid w:val="0"/>
          <w:lang w:val="fr-FR"/>
        </w:rPr>
        <w:t xml:space="preserve">article 7 § 2 de la loi </w:t>
      </w:r>
      <w:r w:rsidRPr="00133E6C">
        <w:rPr>
          <w:lang w:val="fr-FR"/>
        </w:rPr>
        <w:t>n</w:t>
      </w:r>
      <w:r w:rsidRPr="00133E6C">
        <w:rPr>
          <w:vertAlign w:val="superscript"/>
          <w:lang w:val="fr-FR"/>
        </w:rPr>
        <w:t>o</w:t>
      </w:r>
      <w:r w:rsidRPr="00133E6C">
        <w:rPr>
          <w:snapToGrid w:val="0"/>
          <w:lang w:val="fr-FR"/>
        </w:rPr>
        <w:t> 3713 tel qu</w:t>
      </w:r>
      <w:r w:rsidRPr="00133E6C" w:rsidR="00133E6C">
        <w:rPr>
          <w:snapToGrid w:val="0"/>
          <w:lang w:val="fr-FR"/>
        </w:rPr>
        <w:t>’</w:t>
      </w:r>
      <w:r w:rsidRPr="00133E6C">
        <w:rPr>
          <w:snapToGrid w:val="0"/>
          <w:lang w:val="fr-FR"/>
        </w:rPr>
        <w:t>il était en vigueur de 2006 à 2013, ainsi que son interprétation par les juridictions nationales dans cette affaire ne semblaient pas entièrement claires (§ 29).</w:t>
      </w:r>
    </w:p>
    <w:p w:rsidRPr="00133E6C" w:rsidR="0048609C" w:rsidP="00133E6C" w:rsidRDefault="0048609C">
      <w:pPr>
        <w:pStyle w:val="JuPara"/>
        <w:rPr>
          <w:snapToGrid w:val="0"/>
          <w:lang w:val="fr-FR"/>
        </w:rPr>
      </w:pPr>
      <w:r w:rsidRPr="00133E6C">
        <w:rPr>
          <w:snapToGrid w:val="0"/>
        </w:rPr>
        <w:fldChar w:fldCharType="begin"/>
      </w:r>
      <w:r w:rsidRPr="00133E6C">
        <w:rPr>
          <w:snapToGrid w:val="0"/>
          <w:lang w:val="fr-FR"/>
        </w:rPr>
        <w:instrText xml:space="preserve"> SEQ level0 \*arabic </w:instrText>
      </w:r>
      <w:r w:rsidRPr="00133E6C">
        <w:rPr>
          <w:snapToGrid w:val="0"/>
        </w:rPr>
        <w:fldChar w:fldCharType="separate"/>
      </w:r>
      <w:r w:rsidRPr="00133E6C" w:rsidR="00133E6C">
        <w:rPr>
          <w:noProof/>
          <w:snapToGrid w:val="0"/>
          <w:lang w:val="fr-FR"/>
        </w:rPr>
        <w:t>27</w:t>
      </w:r>
      <w:r w:rsidRPr="00133E6C">
        <w:rPr>
          <w:snapToGrid w:val="0"/>
        </w:rPr>
        <w:fldChar w:fldCharType="end"/>
      </w:r>
      <w:r w:rsidRPr="00133E6C">
        <w:rPr>
          <w:snapToGrid w:val="0"/>
          <w:lang w:val="fr-FR"/>
        </w:rPr>
        <w:t>.  La Cour a toutefois jugé inutile, dans les affaires susmentionnées, de trancher la question de la qualité de loi de cette disposition, eu égard à la conclusion à laquelle elle était parvenue quant à la nécessité de l</w:t>
      </w:r>
      <w:r w:rsidRPr="00133E6C" w:rsidR="00133E6C">
        <w:rPr>
          <w:snapToGrid w:val="0"/>
          <w:lang w:val="fr-FR"/>
        </w:rPr>
        <w:t>’</w:t>
      </w:r>
      <w:r w:rsidRPr="00133E6C">
        <w:rPr>
          <w:snapToGrid w:val="0"/>
          <w:lang w:val="fr-FR"/>
        </w:rPr>
        <w:t>ingérence et au fait que le libellé de l</w:t>
      </w:r>
      <w:r w:rsidRPr="00133E6C" w:rsidR="00133E6C">
        <w:rPr>
          <w:snapToGrid w:val="0"/>
          <w:lang w:val="fr-FR"/>
        </w:rPr>
        <w:t>’</w:t>
      </w:r>
      <w:r w:rsidRPr="00133E6C">
        <w:rPr>
          <w:snapToGrid w:val="0"/>
          <w:lang w:val="fr-FR"/>
        </w:rPr>
        <w:t xml:space="preserve">article 7 § 2 de la loi </w:t>
      </w:r>
      <w:r w:rsidRPr="00133E6C">
        <w:rPr>
          <w:lang w:val="fr-FR"/>
        </w:rPr>
        <w:t>n</w:t>
      </w:r>
      <w:r w:rsidRPr="00133E6C">
        <w:rPr>
          <w:vertAlign w:val="superscript"/>
          <w:lang w:val="fr-FR"/>
        </w:rPr>
        <w:t>o</w:t>
      </w:r>
      <w:r w:rsidRPr="00133E6C">
        <w:rPr>
          <w:snapToGrid w:val="0"/>
          <w:lang w:val="fr-FR"/>
        </w:rPr>
        <w:t xml:space="preserve"> 3713 avait subi une nouvelle modification en 2013.</w:t>
      </w:r>
    </w:p>
    <w:p w:rsidRPr="00133E6C" w:rsidR="0048609C" w:rsidP="00133E6C" w:rsidRDefault="0048609C">
      <w:pPr>
        <w:pStyle w:val="JuHi"/>
        <w:numPr>
          <w:ilvl w:val="0"/>
          <w:numId w:val="0"/>
        </w:numPr>
        <w:ind w:left="1191"/>
        <w:rPr>
          <w:rFonts w:eastAsiaTheme="majorEastAsia"/>
          <w:lang w:val="fr-FR"/>
        </w:rPr>
      </w:pPr>
      <w:r w:rsidRPr="00133E6C">
        <w:rPr>
          <w:snapToGrid w:val="0"/>
          <w:lang w:val="fr-FR"/>
        </w:rPr>
        <w:t>ii.  Principes relatifs à la nécessité dans une société démocratique d</w:t>
      </w:r>
      <w:r w:rsidRPr="00133E6C" w:rsidR="00133E6C">
        <w:rPr>
          <w:snapToGrid w:val="0"/>
          <w:lang w:val="fr-FR"/>
        </w:rPr>
        <w:t>’</w:t>
      </w:r>
      <w:r w:rsidRPr="00133E6C">
        <w:rPr>
          <w:snapToGrid w:val="0"/>
          <w:lang w:val="fr-FR"/>
        </w:rPr>
        <w:t>une ingérence portée par une procédure pénale engagée sur le fondement de</w:t>
      </w:r>
      <w:r w:rsidRPr="00133E6C">
        <w:rPr>
          <w:lang w:val="fr-FR"/>
        </w:rPr>
        <w:t xml:space="preserve"> </w:t>
      </w:r>
      <w:r w:rsidRPr="00133E6C">
        <w:rPr>
          <w:snapToGrid w:val="0"/>
          <w:lang w:val="fr-FR"/>
        </w:rPr>
        <w:t>l</w:t>
      </w:r>
      <w:r w:rsidRPr="00133E6C" w:rsidR="00133E6C">
        <w:rPr>
          <w:snapToGrid w:val="0"/>
          <w:lang w:val="fr-FR"/>
        </w:rPr>
        <w:t>’</w:t>
      </w:r>
      <w:r w:rsidRPr="00133E6C">
        <w:rPr>
          <w:snapToGrid w:val="0"/>
          <w:lang w:val="fr-FR"/>
        </w:rPr>
        <w:t xml:space="preserve">article 7 § 2 de la loi </w:t>
      </w:r>
      <w:r w:rsidRPr="00133E6C">
        <w:rPr>
          <w:lang w:val="fr-FR"/>
        </w:rPr>
        <w:t>n</w:t>
      </w:r>
      <w:r w:rsidRPr="00133E6C">
        <w:rPr>
          <w:vertAlign w:val="superscript"/>
          <w:lang w:val="fr-FR"/>
        </w:rPr>
        <w:t>o</w:t>
      </w:r>
      <w:r w:rsidRPr="00133E6C">
        <w:rPr>
          <w:snapToGrid w:val="0"/>
          <w:lang w:val="fr-FR"/>
        </w:rPr>
        <w:t xml:space="preserve"> 3713</w:t>
      </w:r>
    </w:p>
    <w:p w:rsidRPr="00133E6C" w:rsidR="0048609C" w:rsidP="00133E6C" w:rsidRDefault="0048609C">
      <w:pPr>
        <w:pStyle w:val="JuPara"/>
        <w:rPr>
          <w:rFonts w:eastAsiaTheme="majorEastAsia"/>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28</w:t>
      </w:r>
      <w:r w:rsidRPr="00133E6C">
        <w:rPr>
          <w:rFonts w:eastAsiaTheme="majorEastAsia"/>
        </w:rPr>
        <w:fldChar w:fldCharType="end"/>
      </w:r>
      <w:r w:rsidRPr="00133E6C">
        <w:rPr>
          <w:rFonts w:eastAsiaTheme="majorEastAsia"/>
          <w:lang w:val="fr-FR"/>
        </w:rPr>
        <w:t>.  La Cour note que, lorsqu</w:t>
      </w:r>
      <w:r w:rsidRPr="00133E6C" w:rsidR="00133E6C">
        <w:rPr>
          <w:rFonts w:eastAsiaTheme="majorEastAsia"/>
          <w:lang w:val="fr-FR"/>
        </w:rPr>
        <w:t>’</w:t>
      </w:r>
      <w:r w:rsidRPr="00133E6C">
        <w:rPr>
          <w:rFonts w:eastAsiaTheme="majorEastAsia"/>
          <w:lang w:val="fr-FR"/>
        </w:rPr>
        <w:t>elle a conclu, dans les affaires relatives aux procédures pénales engagées sur le fondement de l</w:t>
      </w:r>
      <w:r w:rsidRPr="00133E6C" w:rsidR="00133E6C">
        <w:rPr>
          <w:rFonts w:eastAsiaTheme="majorEastAsia"/>
          <w:lang w:val="fr-FR"/>
        </w:rPr>
        <w:t>’</w:t>
      </w:r>
      <w:r w:rsidRPr="00133E6C">
        <w:rPr>
          <w:rFonts w:eastAsiaTheme="majorEastAsia"/>
          <w:lang w:val="fr-FR"/>
        </w:rPr>
        <w:t>article 7 § 2 de la loi n</w:t>
      </w:r>
      <w:r w:rsidRPr="00133E6C">
        <w:rPr>
          <w:rFonts w:eastAsiaTheme="majorEastAsia"/>
          <w:vertAlign w:val="superscript"/>
          <w:lang w:val="fr-FR"/>
        </w:rPr>
        <w:t>o</w:t>
      </w:r>
      <w:r w:rsidRPr="00133E6C">
        <w:rPr>
          <w:rFonts w:eastAsiaTheme="majorEastAsia"/>
          <w:lang w:val="fr-FR"/>
        </w:rPr>
        <w:t> 3713, à une violation de l</w:t>
      </w:r>
      <w:r w:rsidRPr="00133E6C" w:rsidR="00133E6C">
        <w:rPr>
          <w:rFonts w:eastAsiaTheme="majorEastAsia"/>
          <w:lang w:val="fr-FR"/>
        </w:rPr>
        <w:t>’</w:t>
      </w:r>
      <w:r w:rsidRPr="00133E6C">
        <w:rPr>
          <w:rFonts w:eastAsiaTheme="majorEastAsia"/>
          <w:lang w:val="fr-FR"/>
        </w:rPr>
        <w:t>article 10 de la Convention au motif que l</w:t>
      </w:r>
      <w:r w:rsidRPr="00133E6C" w:rsidR="00133E6C">
        <w:rPr>
          <w:rFonts w:eastAsiaTheme="majorEastAsia"/>
          <w:lang w:val="fr-FR"/>
        </w:rPr>
        <w:t>’</w:t>
      </w:r>
      <w:r w:rsidRPr="00133E6C">
        <w:rPr>
          <w:rFonts w:eastAsiaTheme="majorEastAsia"/>
          <w:lang w:val="fr-FR"/>
        </w:rPr>
        <w:t>ingérence litigieuse n</w:t>
      </w:r>
      <w:r w:rsidRPr="00133E6C" w:rsidR="00133E6C">
        <w:rPr>
          <w:rFonts w:eastAsiaTheme="majorEastAsia"/>
          <w:lang w:val="fr-FR"/>
        </w:rPr>
        <w:t>’</w:t>
      </w:r>
      <w:r w:rsidRPr="00133E6C">
        <w:rPr>
          <w:rFonts w:eastAsiaTheme="majorEastAsia"/>
          <w:lang w:val="fr-FR"/>
        </w:rPr>
        <w:t>était pas nécessaire dans une société démocratique, elle a principalement eu recours à deux types d</w:t>
      </w:r>
      <w:r w:rsidRPr="00133E6C" w:rsidR="00133E6C">
        <w:rPr>
          <w:rFonts w:eastAsiaTheme="majorEastAsia"/>
          <w:lang w:val="fr-FR"/>
        </w:rPr>
        <w:t>’</w:t>
      </w:r>
      <w:r w:rsidRPr="00133E6C">
        <w:rPr>
          <w:rFonts w:eastAsiaTheme="majorEastAsia"/>
          <w:lang w:val="fr-FR"/>
        </w:rPr>
        <w:t>examen.</w:t>
      </w:r>
    </w:p>
    <w:p w:rsidRPr="00133E6C" w:rsidR="0048609C" w:rsidP="00133E6C" w:rsidRDefault="0048609C">
      <w:pPr>
        <w:pStyle w:val="JuPara"/>
        <w:rPr>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29</w:t>
      </w:r>
      <w:r w:rsidRPr="00133E6C">
        <w:rPr>
          <w:rFonts w:eastAsiaTheme="majorEastAsia"/>
        </w:rPr>
        <w:fldChar w:fldCharType="end"/>
      </w:r>
      <w:r w:rsidRPr="00133E6C">
        <w:rPr>
          <w:rFonts w:eastAsiaTheme="majorEastAsia"/>
          <w:lang w:val="fr-FR"/>
        </w:rPr>
        <w:t>.  Ainsi, dans certaines affaires relatives aux procédures pénales susmentionnées où elle a rendu un arrêt de violation, la Cour a elle-même procédé à l</w:t>
      </w:r>
      <w:r w:rsidRPr="00133E6C" w:rsidR="00133E6C">
        <w:rPr>
          <w:rFonts w:eastAsiaTheme="majorEastAsia"/>
          <w:lang w:val="fr-FR"/>
        </w:rPr>
        <w:t>’</w:t>
      </w:r>
      <w:r w:rsidRPr="00133E6C">
        <w:rPr>
          <w:rFonts w:eastAsiaTheme="majorEastAsia"/>
          <w:lang w:val="fr-FR"/>
        </w:rPr>
        <w:t>analyse des écrits et déclarations litigieux ainsi que d</w:t>
      </w:r>
      <w:r w:rsidRPr="00133E6C" w:rsidR="00133E6C">
        <w:rPr>
          <w:rFonts w:eastAsiaTheme="majorEastAsia"/>
          <w:lang w:val="fr-FR"/>
        </w:rPr>
        <w:t>’</w:t>
      </w:r>
      <w:r w:rsidRPr="00133E6C">
        <w:rPr>
          <w:rFonts w:eastAsiaTheme="majorEastAsia"/>
          <w:lang w:val="fr-FR"/>
        </w:rPr>
        <w:t>autres actes reprochés aux requérants, qui étaient à l</w:t>
      </w:r>
      <w:r w:rsidRPr="00133E6C" w:rsidR="00133E6C">
        <w:rPr>
          <w:rFonts w:eastAsiaTheme="majorEastAsia"/>
          <w:lang w:val="fr-FR"/>
        </w:rPr>
        <w:t>’</w:t>
      </w:r>
      <w:r w:rsidRPr="00133E6C">
        <w:rPr>
          <w:rFonts w:eastAsiaTheme="majorEastAsia"/>
          <w:lang w:val="fr-FR"/>
        </w:rPr>
        <w:t>origine de la condamnation pénale des intéressés. Elle a conclu, dans ces affaires, que ces écrits, déclarations et actes, même s</w:t>
      </w:r>
      <w:r w:rsidRPr="00133E6C" w:rsidR="00133E6C">
        <w:rPr>
          <w:rFonts w:eastAsiaTheme="majorEastAsia"/>
          <w:lang w:val="fr-FR"/>
        </w:rPr>
        <w:t>’</w:t>
      </w:r>
      <w:r w:rsidRPr="00133E6C">
        <w:rPr>
          <w:rFonts w:eastAsiaTheme="majorEastAsia"/>
          <w:lang w:val="fr-FR"/>
        </w:rPr>
        <w:t>ils avaient parfois un caractère hostile et véhiculaient des critiques acerbes à l</w:t>
      </w:r>
      <w:r w:rsidRPr="00133E6C" w:rsidR="00133E6C">
        <w:rPr>
          <w:rFonts w:eastAsiaTheme="majorEastAsia"/>
          <w:lang w:val="fr-FR"/>
        </w:rPr>
        <w:t>’</w:t>
      </w:r>
      <w:r w:rsidRPr="00133E6C">
        <w:rPr>
          <w:rFonts w:eastAsiaTheme="majorEastAsia"/>
          <w:lang w:val="fr-FR"/>
        </w:rPr>
        <w:t>égard des autorités étatiques ou des opinions susceptibles d</w:t>
      </w:r>
      <w:r w:rsidRPr="00133E6C" w:rsidR="00133E6C">
        <w:rPr>
          <w:rFonts w:eastAsiaTheme="majorEastAsia"/>
          <w:lang w:val="fr-FR"/>
        </w:rPr>
        <w:t>’</w:t>
      </w:r>
      <w:r w:rsidRPr="00133E6C">
        <w:rPr>
          <w:rFonts w:eastAsiaTheme="majorEastAsia"/>
          <w:lang w:val="fr-FR"/>
        </w:rPr>
        <w:t>être considérées favorables à l</w:t>
      </w:r>
      <w:r w:rsidRPr="00133E6C" w:rsidR="00133E6C">
        <w:rPr>
          <w:rFonts w:eastAsiaTheme="majorEastAsia"/>
          <w:lang w:val="fr-FR"/>
        </w:rPr>
        <w:t>’</w:t>
      </w:r>
      <w:r w:rsidRPr="00133E6C">
        <w:rPr>
          <w:rFonts w:eastAsiaTheme="majorEastAsia"/>
          <w:lang w:val="fr-FR"/>
        </w:rPr>
        <w:t>égard de certaines organisations illégales ou de leurs dirigeants ou membres, pris dans leur ensemble, ne pouvaient être regardés comme contenant un appel à l</w:t>
      </w:r>
      <w:r w:rsidRPr="00133E6C" w:rsidR="00133E6C">
        <w:rPr>
          <w:rFonts w:eastAsiaTheme="majorEastAsia"/>
          <w:lang w:val="fr-FR"/>
        </w:rPr>
        <w:t>’</w:t>
      </w:r>
      <w:r w:rsidRPr="00133E6C">
        <w:rPr>
          <w:rFonts w:eastAsiaTheme="majorEastAsia"/>
          <w:lang w:val="fr-FR"/>
        </w:rPr>
        <w:t>usage de la violence, à la résistance armée ou au soulèvement, ni comme constituant un discours de haine,</w:t>
      </w:r>
      <w:r w:rsidRPr="00133E6C">
        <w:rPr>
          <w:lang w:val="fr-FR"/>
        </w:rPr>
        <w:t xml:space="preserve"> et qu</w:t>
      </w:r>
      <w:r w:rsidRPr="00133E6C" w:rsidR="00133E6C">
        <w:rPr>
          <w:lang w:val="fr-FR"/>
        </w:rPr>
        <w:t>’</w:t>
      </w:r>
      <w:r w:rsidRPr="00133E6C">
        <w:rPr>
          <w:lang w:val="fr-FR"/>
        </w:rPr>
        <w:t xml:space="preserve">ils </w:t>
      </w:r>
      <w:r w:rsidRPr="00133E6C">
        <w:rPr>
          <w:rFonts w:eastAsiaTheme="majorEastAsia"/>
          <w:lang w:val="fr-FR"/>
        </w:rPr>
        <w:t>n</w:t>
      </w:r>
      <w:r w:rsidRPr="00133E6C" w:rsidR="00133E6C">
        <w:rPr>
          <w:rFonts w:eastAsiaTheme="majorEastAsia"/>
          <w:lang w:val="fr-FR"/>
        </w:rPr>
        <w:t>’</w:t>
      </w:r>
      <w:r w:rsidRPr="00133E6C">
        <w:rPr>
          <w:rFonts w:eastAsiaTheme="majorEastAsia"/>
          <w:lang w:val="fr-FR"/>
        </w:rPr>
        <w:t>étaient pas non plus susceptibles de favoriser la violence en insufflant une haine profonde et irrationnelle envers des personnes identifiées, tout en précisant qu</w:t>
      </w:r>
      <w:r w:rsidRPr="00133E6C" w:rsidR="00133E6C">
        <w:rPr>
          <w:rFonts w:eastAsiaTheme="majorEastAsia"/>
          <w:lang w:val="fr-FR"/>
        </w:rPr>
        <w:t>’</w:t>
      </w:r>
      <w:r w:rsidRPr="00133E6C">
        <w:rPr>
          <w:rFonts w:eastAsiaTheme="majorEastAsia"/>
          <w:lang w:val="fr-FR"/>
        </w:rPr>
        <w:t>il s</w:t>
      </w:r>
      <w:r w:rsidRPr="00133E6C" w:rsidR="00133E6C">
        <w:rPr>
          <w:rFonts w:eastAsiaTheme="majorEastAsia"/>
          <w:lang w:val="fr-FR"/>
        </w:rPr>
        <w:t>’</w:t>
      </w:r>
      <w:r w:rsidRPr="00133E6C">
        <w:rPr>
          <w:rFonts w:eastAsiaTheme="majorEastAsia"/>
          <w:lang w:val="fr-FR"/>
        </w:rPr>
        <w:t>agissait là, à ses yeux, d</w:t>
      </w:r>
      <w:r w:rsidRPr="00133E6C" w:rsidR="00133E6C">
        <w:rPr>
          <w:rFonts w:eastAsiaTheme="majorEastAsia"/>
          <w:lang w:val="fr-FR"/>
        </w:rPr>
        <w:t>’</w:t>
      </w:r>
      <w:r w:rsidRPr="00133E6C">
        <w:rPr>
          <w:rFonts w:eastAsiaTheme="majorEastAsia"/>
          <w:lang w:val="fr-FR"/>
        </w:rPr>
        <w:t xml:space="preserve">éléments essentiels à prendre en considération (voir, à cet égard, </w:t>
      </w:r>
      <w:proofErr w:type="spellStart"/>
      <w:r w:rsidRPr="00133E6C" w:rsidR="00A83CB2">
        <w:rPr>
          <w:i/>
          <w:lang w:val="fr-FR"/>
        </w:rPr>
        <w:t>Ayhan</w:t>
      </w:r>
      <w:proofErr w:type="spellEnd"/>
      <w:r w:rsidRPr="00133E6C" w:rsidR="00A83CB2">
        <w:rPr>
          <w:i/>
          <w:lang w:val="fr-FR"/>
        </w:rPr>
        <w:t xml:space="preserve"> c. </w:t>
      </w:r>
      <w:r w:rsidRPr="00133E6C">
        <w:rPr>
          <w:i/>
          <w:lang w:val="fr-FR"/>
        </w:rPr>
        <w:t>Turquie (n</w:t>
      </w:r>
      <w:r w:rsidRPr="00133E6C">
        <w:rPr>
          <w:rFonts w:cs="Times New Roman"/>
          <w:i/>
          <w:vertAlign w:val="superscript"/>
          <w:lang w:val="fr-FR"/>
        </w:rPr>
        <w:t>o</w:t>
      </w:r>
      <w:r w:rsidRPr="00133E6C">
        <w:rPr>
          <w:i/>
          <w:lang w:val="fr-FR"/>
        </w:rPr>
        <w:t xml:space="preserve"> 1)</w:t>
      </w:r>
      <w:r w:rsidRPr="00133E6C">
        <w:rPr>
          <w:lang w:val="fr-FR"/>
        </w:rPr>
        <w:t>, n</w:t>
      </w:r>
      <w:r w:rsidRPr="00133E6C">
        <w:rPr>
          <w:vertAlign w:val="superscript"/>
          <w:lang w:val="fr-FR"/>
        </w:rPr>
        <w:t>o</w:t>
      </w:r>
      <w:r w:rsidRPr="00133E6C">
        <w:rPr>
          <w:lang w:val="fr-FR"/>
        </w:rPr>
        <w:t xml:space="preserve"> 45585/99, § 38, 10 novembre 2004, </w:t>
      </w:r>
      <w:proofErr w:type="spellStart"/>
      <w:r w:rsidRPr="00133E6C" w:rsidR="00A83CB2">
        <w:rPr>
          <w:i/>
          <w:lang w:val="fr-FR"/>
        </w:rPr>
        <w:t>Gül</w:t>
      </w:r>
      <w:proofErr w:type="spellEnd"/>
      <w:r w:rsidRPr="00133E6C" w:rsidR="00A83CB2">
        <w:rPr>
          <w:i/>
          <w:lang w:val="fr-FR"/>
        </w:rPr>
        <w:t xml:space="preserve"> et autres c. </w:t>
      </w:r>
      <w:r w:rsidRPr="00133E6C">
        <w:rPr>
          <w:i/>
          <w:lang w:val="fr-FR"/>
        </w:rPr>
        <w:t>Turquie</w:t>
      </w:r>
      <w:r w:rsidRPr="00133E6C">
        <w:rPr>
          <w:lang w:val="fr-FR"/>
        </w:rPr>
        <w:t>, n</w:t>
      </w:r>
      <w:r w:rsidRPr="00133E6C">
        <w:rPr>
          <w:vertAlign w:val="superscript"/>
          <w:lang w:val="fr-FR"/>
        </w:rPr>
        <w:t>o</w:t>
      </w:r>
      <w:r w:rsidRPr="00133E6C">
        <w:rPr>
          <w:lang w:val="fr-FR"/>
        </w:rPr>
        <w:t xml:space="preserve"> 4870/02, §§ 41 et 42, 8 juin 2010, </w:t>
      </w:r>
      <w:proofErr w:type="spellStart"/>
      <w:r w:rsidRPr="00133E6C" w:rsidR="00A83CB2">
        <w:rPr>
          <w:i/>
          <w:lang w:val="fr-FR"/>
        </w:rPr>
        <w:t>Çamyar</w:t>
      </w:r>
      <w:proofErr w:type="spellEnd"/>
      <w:r w:rsidRPr="00133E6C" w:rsidR="00A83CB2">
        <w:rPr>
          <w:i/>
          <w:lang w:val="fr-FR"/>
        </w:rPr>
        <w:t xml:space="preserve"> et </w:t>
      </w:r>
      <w:proofErr w:type="spellStart"/>
      <w:r w:rsidRPr="00133E6C" w:rsidR="00A83CB2">
        <w:rPr>
          <w:i/>
          <w:lang w:val="fr-FR"/>
        </w:rPr>
        <w:t>Berktaş</w:t>
      </w:r>
      <w:proofErr w:type="spellEnd"/>
      <w:r w:rsidRPr="00133E6C" w:rsidR="00A83CB2">
        <w:rPr>
          <w:i/>
          <w:lang w:val="fr-FR"/>
        </w:rPr>
        <w:t xml:space="preserve"> c. </w:t>
      </w:r>
      <w:r w:rsidRPr="00133E6C">
        <w:rPr>
          <w:i/>
          <w:lang w:val="fr-FR"/>
        </w:rPr>
        <w:t>Turquie</w:t>
      </w:r>
      <w:r w:rsidRPr="00133E6C">
        <w:rPr>
          <w:lang w:val="fr-FR"/>
        </w:rPr>
        <w:t>, n</w:t>
      </w:r>
      <w:r w:rsidRPr="00133E6C">
        <w:rPr>
          <w:vertAlign w:val="superscript"/>
          <w:lang w:val="fr-FR"/>
        </w:rPr>
        <w:t>o</w:t>
      </w:r>
      <w:r w:rsidRPr="00133E6C">
        <w:rPr>
          <w:lang w:val="fr-FR"/>
        </w:rPr>
        <w:t xml:space="preserve"> 41959/02</w:t>
      </w:r>
      <w:r w:rsidRPr="00133E6C">
        <w:rPr>
          <w:snapToGrid w:val="0"/>
          <w:lang w:val="fr-FR"/>
        </w:rPr>
        <w:t>, §§ 40-42, 1</w:t>
      </w:r>
      <w:r w:rsidRPr="00133E6C">
        <w:rPr>
          <w:lang w:val="fr-FR"/>
        </w:rPr>
        <w:t>5</w:t>
      </w:r>
      <w:r w:rsidRPr="00133E6C">
        <w:rPr>
          <w:snapToGrid w:val="0"/>
          <w:lang w:val="fr-FR"/>
        </w:rPr>
        <w:t xml:space="preserve"> </w:t>
      </w:r>
      <w:r w:rsidRPr="00133E6C">
        <w:rPr>
          <w:lang w:val="fr-FR"/>
        </w:rPr>
        <w:t>février</w:t>
      </w:r>
      <w:r w:rsidRPr="00133E6C">
        <w:rPr>
          <w:snapToGrid w:val="0"/>
          <w:lang w:val="fr-FR"/>
        </w:rPr>
        <w:t xml:space="preserve"> 2011, </w:t>
      </w:r>
      <w:proofErr w:type="spellStart"/>
      <w:r w:rsidRPr="00133E6C">
        <w:rPr>
          <w:i/>
          <w:snapToGrid w:val="0"/>
          <w:lang w:val="fr-FR"/>
        </w:rPr>
        <w:t>Yavuz</w:t>
      </w:r>
      <w:proofErr w:type="spellEnd"/>
      <w:r w:rsidRPr="00133E6C">
        <w:rPr>
          <w:i/>
          <w:snapToGrid w:val="0"/>
          <w:lang w:val="fr-FR"/>
        </w:rPr>
        <w:t xml:space="preserve"> et </w:t>
      </w:r>
      <w:proofErr w:type="spellStart"/>
      <w:r w:rsidRPr="00133E6C">
        <w:rPr>
          <w:i/>
          <w:snapToGrid w:val="0"/>
          <w:lang w:val="fr-FR"/>
        </w:rPr>
        <w:t>Yaylalı</w:t>
      </w:r>
      <w:proofErr w:type="spellEnd"/>
      <w:r w:rsidRPr="00133E6C" w:rsidR="00A83CB2">
        <w:rPr>
          <w:snapToGrid w:val="0"/>
          <w:lang w:val="fr-FR"/>
        </w:rPr>
        <w:t>, précité, § </w:t>
      </w:r>
      <w:r w:rsidRPr="00133E6C">
        <w:rPr>
          <w:snapToGrid w:val="0"/>
          <w:lang w:val="fr-FR"/>
        </w:rPr>
        <w:t>52,</w:t>
      </w:r>
      <w:r w:rsidRPr="00133E6C">
        <w:rPr>
          <w:i/>
          <w:lang w:val="fr-FR"/>
        </w:rPr>
        <w:t xml:space="preserve"> Faruk </w:t>
      </w:r>
      <w:proofErr w:type="spellStart"/>
      <w:r w:rsidRPr="00133E6C">
        <w:rPr>
          <w:i/>
          <w:lang w:val="fr-FR"/>
        </w:rPr>
        <w:t>Temel</w:t>
      </w:r>
      <w:proofErr w:type="spellEnd"/>
      <w:r w:rsidRPr="00133E6C">
        <w:rPr>
          <w:snapToGrid w:val="0"/>
          <w:lang w:val="fr-FR"/>
        </w:rPr>
        <w:t xml:space="preserve">, précité, § 62, </w:t>
      </w:r>
      <w:proofErr w:type="spellStart"/>
      <w:r w:rsidRPr="00133E6C">
        <w:rPr>
          <w:i/>
          <w:lang w:val="fr-FR"/>
        </w:rPr>
        <w:t>Öner</w:t>
      </w:r>
      <w:proofErr w:type="spellEnd"/>
      <w:r w:rsidRPr="00133E6C">
        <w:rPr>
          <w:i/>
          <w:lang w:val="fr-FR"/>
        </w:rPr>
        <w:t xml:space="preserve"> et Türk</w:t>
      </w:r>
      <w:r w:rsidRPr="00133E6C">
        <w:rPr>
          <w:lang w:val="fr-FR"/>
        </w:rPr>
        <w:t xml:space="preserve">, </w:t>
      </w:r>
      <w:r w:rsidRPr="00133E6C">
        <w:rPr>
          <w:snapToGrid w:val="0"/>
          <w:lang w:val="fr-FR"/>
        </w:rPr>
        <w:t xml:space="preserve">précité, § 24, </w:t>
      </w:r>
      <w:r w:rsidRPr="00133E6C">
        <w:rPr>
          <w:i/>
          <w:lang w:val="fr-FR"/>
        </w:rPr>
        <w:t>Belge</w:t>
      </w:r>
      <w:r w:rsidRPr="00133E6C" w:rsidR="00A83CB2">
        <w:rPr>
          <w:snapToGrid w:val="0"/>
          <w:lang w:val="fr-FR"/>
        </w:rPr>
        <w:t>, précité, §§ </w:t>
      </w:r>
      <w:r w:rsidRPr="00133E6C">
        <w:rPr>
          <w:snapToGrid w:val="0"/>
          <w:lang w:val="fr-FR"/>
        </w:rPr>
        <w:t xml:space="preserve">34 et 35, </w:t>
      </w:r>
      <w:proofErr w:type="spellStart"/>
      <w:r w:rsidRPr="00133E6C">
        <w:rPr>
          <w:i/>
          <w:iCs/>
          <w:lang w:val="it-IT"/>
        </w:rPr>
        <w:t>Fatih</w:t>
      </w:r>
      <w:proofErr w:type="spellEnd"/>
      <w:r w:rsidRPr="00133E6C">
        <w:rPr>
          <w:i/>
          <w:iCs/>
          <w:lang w:val="it-IT"/>
        </w:rPr>
        <w:t xml:space="preserve"> </w:t>
      </w:r>
      <w:proofErr w:type="spellStart"/>
      <w:r w:rsidRPr="00133E6C">
        <w:rPr>
          <w:i/>
          <w:iCs/>
          <w:lang w:val="it-IT"/>
        </w:rPr>
        <w:t>Taş</w:t>
      </w:r>
      <w:proofErr w:type="spellEnd"/>
      <w:r w:rsidRPr="00133E6C">
        <w:rPr>
          <w:i/>
          <w:iCs/>
          <w:lang w:val="it-IT"/>
        </w:rPr>
        <w:t xml:space="preserve"> c. </w:t>
      </w:r>
      <w:proofErr w:type="spellStart"/>
      <w:r w:rsidRPr="00133E6C">
        <w:rPr>
          <w:i/>
          <w:iCs/>
          <w:lang w:val="it-IT"/>
        </w:rPr>
        <w:t>Turquie</w:t>
      </w:r>
      <w:proofErr w:type="spellEnd"/>
      <w:r w:rsidRPr="00133E6C">
        <w:rPr>
          <w:i/>
          <w:iCs/>
          <w:lang w:val="it-IT"/>
        </w:rPr>
        <w:t xml:space="preserve"> (n</w:t>
      </w:r>
      <w:r w:rsidRPr="00133E6C">
        <w:rPr>
          <w:i/>
          <w:iCs/>
          <w:vertAlign w:val="superscript"/>
          <w:lang w:val="it-IT"/>
        </w:rPr>
        <w:t>o</w:t>
      </w:r>
      <w:r w:rsidRPr="00133E6C">
        <w:rPr>
          <w:i/>
          <w:iCs/>
          <w:lang w:val="it-IT"/>
        </w:rPr>
        <w:t xml:space="preserve"> 2)</w:t>
      </w:r>
      <w:r w:rsidRPr="00133E6C">
        <w:rPr>
          <w:lang w:val="it-IT" w:eastAsia="en-GB"/>
        </w:rPr>
        <w:t>, n</w:t>
      </w:r>
      <w:r w:rsidRPr="00133E6C">
        <w:rPr>
          <w:vertAlign w:val="superscript"/>
          <w:lang w:val="it-IT" w:eastAsia="en-GB"/>
        </w:rPr>
        <w:t>o</w:t>
      </w:r>
      <w:r w:rsidRPr="00133E6C">
        <w:rPr>
          <w:lang w:val="it-IT" w:eastAsia="en-GB"/>
        </w:rPr>
        <w:t> </w:t>
      </w:r>
      <w:r w:rsidRPr="00133E6C">
        <w:rPr>
          <w:lang w:val="it-IT"/>
        </w:rPr>
        <w:t>6813/09</w:t>
      </w:r>
      <w:r w:rsidRPr="00133E6C">
        <w:rPr>
          <w:lang w:val="it-IT" w:eastAsia="en-GB"/>
        </w:rPr>
        <w:t xml:space="preserve">, </w:t>
      </w:r>
      <w:r w:rsidRPr="00133E6C">
        <w:rPr>
          <w:lang w:val="it-IT"/>
        </w:rPr>
        <w:t xml:space="preserve">§ 18, 10 </w:t>
      </w:r>
      <w:proofErr w:type="spellStart"/>
      <w:r w:rsidRPr="00133E6C">
        <w:rPr>
          <w:lang w:val="it-IT"/>
        </w:rPr>
        <w:t>octobre</w:t>
      </w:r>
      <w:proofErr w:type="spellEnd"/>
      <w:r w:rsidRPr="00133E6C">
        <w:rPr>
          <w:lang w:val="it-IT"/>
        </w:rPr>
        <w:t xml:space="preserve"> 2017, </w:t>
      </w:r>
      <w:proofErr w:type="spellStart"/>
      <w:r w:rsidRPr="00133E6C">
        <w:rPr>
          <w:i/>
          <w:lang w:val="fr-FR"/>
        </w:rPr>
        <w:t>Selahattin</w:t>
      </w:r>
      <w:proofErr w:type="spellEnd"/>
      <w:r w:rsidRPr="00133E6C">
        <w:rPr>
          <w:i/>
          <w:lang w:val="fr-FR"/>
        </w:rPr>
        <w:t xml:space="preserve"> </w:t>
      </w:r>
      <w:proofErr w:type="spellStart"/>
      <w:r w:rsidRPr="00133E6C">
        <w:rPr>
          <w:i/>
          <w:lang w:val="fr-FR"/>
        </w:rPr>
        <w:t>Demirtaş</w:t>
      </w:r>
      <w:proofErr w:type="spellEnd"/>
      <w:r w:rsidRPr="00133E6C">
        <w:rPr>
          <w:lang w:val="fr-FR"/>
        </w:rPr>
        <w:t xml:space="preserve">, précité, § 31, </w:t>
      </w:r>
      <w:r w:rsidRPr="00133E6C">
        <w:rPr>
          <w:i/>
          <w:lang w:val="fr-FR"/>
        </w:rPr>
        <w:t>Bayar c. Turquie</w:t>
      </w:r>
      <w:r w:rsidRPr="00133E6C">
        <w:rPr>
          <w:lang w:val="fr-FR"/>
        </w:rPr>
        <w:t xml:space="preserve"> [comité], n</w:t>
      </w:r>
      <w:r w:rsidRPr="00133E6C">
        <w:rPr>
          <w:vertAlign w:val="superscript"/>
          <w:lang w:val="fr-FR"/>
        </w:rPr>
        <w:t>o</w:t>
      </w:r>
      <w:r w:rsidRPr="00133E6C" w:rsidR="00A83CB2">
        <w:rPr>
          <w:lang w:val="fr-FR"/>
        </w:rPr>
        <w:t xml:space="preserve"> 24548/10, § </w:t>
      </w:r>
      <w:r w:rsidRPr="00133E6C">
        <w:rPr>
          <w:lang w:val="fr-FR"/>
        </w:rPr>
        <w:t xml:space="preserve">23, 19 juin 2018, </w:t>
      </w:r>
      <w:proofErr w:type="spellStart"/>
      <w:r w:rsidRPr="00133E6C">
        <w:rPr>
          <w:rFonts w:cstheme="minorHAnsi"/>
          <w:i/>
          <w:lang w:val="fr-FR"/>
        </w:rPr>
        <w:t>Sarıtaş</w:t>
      </w:r>
      <w:proofErr w:type="spellEnd"/>
      <w:r w:rsidRPr="00133E6C">
        <w:rPr>
          <w:rFonts w:cstheme="minorHAnsi"/>
          <w:i/>
          <w:lang w:val="fr-FR"/>
        </w:rPr>
        <w:t xml:space="preserve"> et</w:t>
      </w:r>
      <w:r w:rsidRPr="00133E6C">
        <w:rPr>
          <w:i/>
          <w:lang w:val="fr-FR"/>
        </w:rPr>
        <w:t xml:space="preserve"> </w:t>
      </w:r>
      <w:proofErr w:type="spellStart"/>
      <w:r w:rsidRPr="00133E6C">
        <w:rPr>
          <w:i/>
          <w:lang w:val="fr-FR"/>
        </w:rPr>
        <w:t>Geyik</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xml:space="preserve"> 70107/11, § 26, 19 </w:t>
      </w:r>
      <w:r w:rsidRPr="00133E6C">
        <w:rPr>
          <w:lang w:val="fr-FR"/>
        </w:rPr>
        <w:t xml:space="preserve">juin 2018, </w:t>
      </w:r>
      <w:proofErr w:type="spellStart"/>
      <w:r w:rsidRPr="00133E6C">
        <w:rPr>
          <w:i/>
          <w:lang w:val="fr-FR"/>
        </w:rPr>
        <w:t>Arslan</w:t>
      </w:r>
      <w:proofErr w:type="spellEnd"/>
      <w:r w:rsidRPr="00133E6C">
        <w:rPr>
          <w:i/>
          <w:lang w:val="fr-FR"/>
        </w:rPr>
        <w:t xml:space="preserve"> et autres c. Turquie</w:t>
      </w:r>
      <w:r w:rsidRPr="00133E6C">
        <w:rPr>
          <w:lang w:val="fr-FR"/>
        </w:rPr>
        <w:t xml:space="preserve"> [comité], n</w:t>
      </w:r>
      <w:r w:rsidRPr="00133E6C">
        <w:rPr>
          <w:vertAlign w:val="superscript"/>
          <w:lang w:val="fr-FR"/>
        </w:rPr>
        <w:t>o</w:t>
      </w:r>
      <w:r w:rsidRPr="00133E6C">
        <w:rPr>
          <w:lang w:val="fr-FR"/>
        </w:rPr>
        <w:t xml:space="preserve"> 3752/11, § 29, 10 juillet 2018, </w:t>
      </w:r>
      <w:proofErr w:type="spellStart"/>
      <w:r w:rsidRPr="00133E6C">
        <w:rPr>
          <w:i/>
          <w:lang w:val="fr-FR"/>
        </w:rPr>
        <w:t>Dündar</w:t>
      </w:r>
      <w:proofErr w:type="spellEnd"/>
      <w:r w:rsidRPr="00133E6C">
        <w:rPr>
          <w:i/>
          <w:lang w:val="fr-FR"/>
        </w:rPr>
        <w:t xml:space="preserve"> et </w:t>
      </w:r>
      <w:proofErr w:type="spellStart"/>
      <w:r w:rsidRPr="00133E6C">
        <w:rPr>
          <w:rFonts w:cstheme="minorHAnsi"/>
          <w:i/>
          <w:lang w:val="fr-FR"/>
        </w:rPr>
        <w:t>Aydınkaya</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37091/11, § 24, 10 juillet 2018, </w:t>
      </w:r>
      <w:proofErr w:type="spellStart"/>
      <w:r w:rsidRPr="00133E6C">
        <w:rPr>
          <w:i/>
          <w:lang w:val="fr-FR"/>
        </w:rPr>
        <w:t>Polat</w:t>
      </w:r>
      <w:proofErr w:type="spellEnd"/>
      <w:r w:rsidRPr="00133E6C">
        <w:rPr>
          <w:i/>
          <w:lang w:val="fr-FR"/>
        </w:rPr>
        <w:t xml:space="preserve"> et </w:t>
      </w:r>
      <w:proofErr w:type="spellStart"/>
      <w:r w:rsidRPr="00133E6C">
        <w:rPr>
          <w:i/>
          <w:lang w:val="fr-FR"/>
        </w:rPr>
        <w:t>Tali</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xml:space="preserve"> 5782/10, §§ 31 et 32, 25 </w:t>
      </w:r>
      <w:r w:rsidRPr="00133E6C">
        <w:rPr>
          <w:lang w:val="fr-FR"/>
        </w:rPr>
        <w:t xml:space="preserve">septembre 2018, </w:t>
      </w:r>
      <w:proofErr w:type="spellStart"/>
      <w:r w:rsidRPr="00133E6C">
        <w:rPr>
          <w:i/>
          <w:lang w:val="fr-FR"/>
        </w:rPr>
        <w:t>Özbay</w:t>
      </w:r>
      <w:proofErr w:type="spellEnd"/>
      <w:r w:rsidRPr="00133E6C">
        <w:rPr>
          <w:lang w:val="fr-FR"/>
        </w:rPr>
        <w:t xml:space="preserve"> [comité], précité, § 45, </w:t>
      </w:r>
      <w:proofErr w:type="spellStart"/>
      <w:r w:rsidRPr="00133E6C">
        <w:rPr>
          <w:i/>
          <w:lang w:val="fr-FR"/>
        </w:rPr>
        <w:t>Uçar</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w:t>
      </w:r>
      <w:r w:rsidRPr="00133E6C">
        <w:rPr>
          <w:lang w:val="fr-FR"/>
        </w:rPr>
        <w:t xml:space="preserve">53319/10, § 24, 5 mars 2019, </w:t>
      </w:r>
      <w:proofErr w:type="spellStart"/>
      <w:r w:rsidRPr="00133E6C">
        <w:rPr>
          <w:i/>
          <w:lang w:val="fr-FR"/>
        </w:rPr>
        <w:t>Polat</w:t>
      </w:r>
      <w:proofErr w:type="spellEnd"/>
      <w:r w:rsidRPr="00133E6C">
        <w:rPr>
          <w:lang w:val="fr-FR"/>
        </w:rPr>
        <w:t xml:space="preserve"> [comité], précité, § 30, </w:t>
      </w:r>
      <w:proofErr w:type="spellStart"/>
      <w:r w:rsidRPr="00133E6C">
        <w:rPr>
          <w:i/>
          <w:lang w:val="fr-FR"/>
        </w:rPr>
        <w:t>Da</w:t>
      </w:r>
      <w:r w:rsidRPr="00133E6C">
        <w:rPr>
          <w:rFonts w:cstheme="minorHAnsi"/>
          <w:i/>
          <w:lang w:val="fr-FR"/>
        </w:rPr>
        <w:t>ğ</w:t>
      </w:r>
      <w:r w:rsidRPr="00133E6C" w:rsidR="00A83CB2">
        <w:rPr>
          <w:i/>
          <w:lang w:val="fr-FR"/>
        </w:rPr>
        <w:t>tekin</w:t>
      </w:r>
      <w:proofErr w:type="spellEnd"/>
      <w:r w:rsidRPr="00133E6C" w:rsidR="00A83CB2">
        <w:rPr>
          <w:i/>
          <w:lang w:val="fr-FR"/>
        </w:rPr>
        <w:t xml:space="preserve"> c. </w:t>
      </w:r>
      <w:r w:rsidRPr="00133E6C">
        <w:rPr>
          <w:i/>
          <w:lang w:val="fr-FR"/>
        </w:rPr>
        <w:t>Turquie</w:t>
      </w:r>
      <w:r w:rsidRPr="00133E6C">
        <w:rPr>
          <w:lang w:val="fr-FR"/>
        </w:rPr>
        <w:t xml:space="preserve"> [comité], n</w:t>
      </w:r>
      <w:r w:rsidRPr="00133E6C">
        <w:rPr>
          <w:vertAlign w:val="superscript"/>
          <w:lang w:val="fr-FR"/>
        </w:rPr>
        <w:t>o</w:t>
      </w:r>
      <w:r w:rsidRPr="00133E6C">
        <w:rPr>
          <w:lang w:val="fr-FR"/>
        </w:rPr>
        <w:t xml:space="preserve"> 69448/10, § 25, 28 mai 2019, </w:t>
      </w:r>
      <w:proofErr w:type="spellStart"/>
      <w:r w:rsidRPr="00133E6C">
        <w:rPr>
          <w:i/>
          <w:lang w:val="fr-FR"/>
        </w:rPr>
        <w:t>Ta</w:t>
      </w:r>
      <w:r w:rsidRPr="00133E6C">
        <w:rPr>
          <w:rFonts w:cstheme="minorHAnsi"/>
          <w:i/>
          <w:lang w:val="fr-FR"/>
        </w:rPr>
        <w:t>ş</w:t>
      </w:r>
      <w:proofErr w:type="spellEnd"/>
      <w:r w:rsidRPr="00133E6C">
        <w:rPr>
          <w:i/>
          <w:lang w:val="fr-FR"/>
        </w:rPr>
        <w:t xml:space="preserve"> </w:t>
      </w:r>
      <w:proofErr w:type="spellStart"/>
      <w:r w:rsidRPr="00133E6C">
        <w:rPr>
          <w:rFonts w:cstheme="minorHAnsi"/>
          <w:i/>
          <w:lang w:val="fr-FR"/>
        </w:rPr>
        <w:t>Ç</w:t>
      </w:r>
      <w:r w:rsidRPr="00133E6C">
        <w:rPr>
          <w:i/>
          <w:lang w:val="fr-FR"/>
        </w:rPr>
        <w:t>akar</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73487/12, § 23, 28 mai 2019, </w:t>
      </w:r>
      <w:proofErr w:type="spellStart"/>
      <w:r w:rsidRPr="00133E6C">
        <w:rPr>
          <w:rFonts w:cstheme="minorHAnsi"/>
          <w:i/>
          <w:lang w:val="fr-FR"/>
        </w:rPr>
        <w:t>Kılınç</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w:t>
      </w:r>
      <w:r w:rsidRPr="00133E6C">
        <w:rPr>
          <w:lang w:val="fr-FR"/>
        </w:rPr>
        <w:t xml:space="preserve">73954/11, 2 juillet 2019, </w:t>
      </w:r>
      <w:proofErr w:type="spellStart"/>
      <w:r w:rsidRPr="00133E6C">
        <w:rPr>
          <w:i/>
          <w:lang w:val="fr-FR"/>
        </w:rPr>
        <w:t>Ete</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xml:space="preserve"> 35575/12, § 25, 3 </w:t>
      </w:r>
      <w:r w:rsidRPr="00133E6C">
        <w:rPr>
          <w:lang w:val="fr-FR"/>
        </w:rPr>
        <w:t xml:space="preserve">septembre 2019, </w:t>
      </w:r>
      <w:proofErr w:type="spellStart"/>
      <w:r w:rsidRPr="00133E6C">
        <w:rPr>
          <w:i/>
          <w:lang w:val="fr-FR"/>
        </w:rPr>
        <w:t>Kalkan</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21196/12, § 22, 1</w:t>
      </w:r>
      <w:r w:rsidRPr="00133E6C">
        <w:rPr>
          <w:vertAlign w:val="superscript"/>
          <w:lang w:val="fr-FR"/>
        </w:rPr>
        <w:t>er</w:t>
      </w:r>
      <w:r w:rsidRPr="00133E6C">
        <w:rPr>
          <w:lang w:val="fr-FR"/>
        </w:rPr>
        <w:t xml:space="preserve"> octobre 2019, </w:t>
      </w:r>
      <w:proofErr w:type="spellStart"/>
      <w:r w:rsidRPr="00133E6C">
        <w:rPr>
          <w:i/>
          <w:lang w:val="fr-FR"/>
        </w:rPr>
        <w:t>Aramaz</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62928/12, §§ 19 et 20, 1</w:t>
      </w:r>
      <w:r w:rsidRPr="00133E6C">
        <w:rPr>
          <w:vertAlign w:val="superscript"/>
          <w:lang w:val="fr-FR"/>
        </w:rPr>
        <w:t>er</w:t>
      </w:r>
      <w:r w:rsidRPr="00133E6C">
        <w:rPr>
          <w:lang w:val="fr-FR"/>
        </w:rPr>
        <w:t xml:space="preserve"> octobre 2019, </w:t>
      </w:r>
      <w:proofErr w:type="spellStart"/>
      <w:r w:rsidRPr="00133E6C">
        <w:rPr>
          <w:i/>
          <w:lang w:val="fr-FR"/>
        </w:rPr>
        <w:t>Yamaç</w:t>
      </w:r>
      <w:proofErr w:type="spellEnd"/>
      <w:r w:rsidRPr="00133E6C">
        <w:rPr>
          <w:i/>
          <w:lang w:val="fr-FR"/>
        </w:rPr>
        <w:t xml:space="preserve"> c. Turquie</w:t>
      </w:r>
      <w:r w:rsidRPr="00133E6C">
        <w:rPr>
          <w:lang w:val="fr-FR"/>
        </w:rPr>
        <w:t xml:space="preserve"> [comité], n</w:t>
      </w:r>
      <w:r w:rsidRPr="00133E6C">
        <w:rPr>
          <w:vertAlign w:val="superscript"/>
          <w:lang w:val="fr-FR"/>
        </w:rPr>
        <w:t>os</w:t>
      </w:r>
      <w:r w:rsidRPr="00133E6C">
        <w:rPr>
          <w:lang w:val="fr-FR"/>
        </w:rPr>
        <w:t xml:space="preserve"> 69604/12 et 5642/13, § 34, 1</w:t>
      </w:r>
      <w:r w:rsidRPr="00133E6C">
        <w:rPr>
          <w:vertAlign w:val="superscript"/>
          <w:lang w:val="fr-FR"/>
        </w:rPr>
        <w:t>er</w:t>
      </w:r>
      <w:r w:rsidRPr="00133E6C">
        <w:rPr>
          <w:lang w:val="fr-FR"/>
        </w:rPr>
        <w:t xml:space="preserve"> octobre 2019, et </w:t>
      </w:r>
      <w:proofErr w:type="spellStart"/>
      <w:r w:rsidRPr="00133E6C">
        <w:rPr>
          <w:i/>
          <w:lang w:val="fr-FR"/>
        </w:rPr>
        <w:t>Kalkan</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54698/13, 1</w:t>
      </w:r>
      <w:r w:rsidRPr="00133E6C">
        <w:rPr>
          <w:vertAlign w:val="superscript"/>
          <w:lang w:val="fr-FR"/>
        </w:rPr>
        <w:t>er</w:t>
      </w:r>
      <w:r w:rsidRPr="00133E6C">
        <w:rPr>
          <w:lang w:val="fr-FR"/>
        </w:rPr>
        <w:t xml:space="preserve"> octobre 2019).</w:t>
      </w:r>
    </w:p>
    <w:p w:rsidRPr="00133E6C" w:rsidR="0048609C" w:rsidP="00133E6C" w:rsidRDefault="0048609C">
      <w:pPr>
        <w:pStyle w:val="JuPara"/>
        <w:rPr>
          <w:rFonts w:eastAsiaTheme="majorEastAsia"/>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30</w:t>
      </w:r>
      <w:r w:rsidRPr="00133E6C">
        <w:rPr>
          <w:rFonts w:eastAsiaTheme="majorEastAsia"/>
        </w:rPr>
        <w:fldChar w:fldCharType="end"/>
      </w:r>
      <w:r w:rsidRPr="00133E6C">
        <w:rPr>
          <w:rFonts w:eastAsiaTheme="majorEastAsia"/>
          <w:lang w:val="fr-FR"/>
        </w:rPr>
        <w:t>.  En revanche, dans certaines autres affaires</w:t>
      </w:r>
      <w:r w:rsidRPr="00133E6C">
        <w:rPr>
          <w:lang w:val="fr-FR"/>
        </w:rPr>
        <w:t xml:space="preserve"> </w:t>
      </w:r>
      <w:r w:rsidRPr="00133E6C">
        <w:rPr>
          <w:rFonts w:eastAsiaTheme="majorEastAsia"/>
          <w:lang w:val="fr-FR"/>
        </w:rPr>
        <w:t>relatives aux procédures pénales engagées sur le fondement de l</w:t>
      </w:r>
      <w:r w:rsidRPr="00133E6C" w:rsidR="00133E6C">
        <w:rPr>
          <w:rFonts w:eastAsiaTheme="majorEastAsia"/>
          <w:lang w:val="fr-FR"/>
        </w:rPr>
        <w:t>’</w:t>
      </w:r>
      <w:r w:rsidRPr="00133E6C">
        <w:rPr>
          <w:rFonts w:eastAsiaTheme="majorEastAsia"/>
          <w:lang w:val="fr-FR"/>
        </w:rPr>
        <w:t>article 7 § 2 de la loi</w:t>
      </w:r>
      <w:r w:rsidRPr="00133E6C">
        <w:rPr>
          <w:lang w:val="fr-FR"/>
        </w:rPr>
        <w:t xml:space="preserve"> n</w:t>
      </w:r>
      <w:r w:rsidRPr="00133E6C">
        <w:rPr>
          <w:vertAlign w:val="superscript"/>
          <w:lang w:val="fr-FR"/>
        </w:rPr>
        <w:t>o</w:t>
      </w:r>
      <w:r w:rsidRPr="00133E6C">
        <w:rPr>
          <w:rFonts w:eastAsiaTheme="majorEastAsia"/>
          <w:lang w:val="fr-FR"/>
        </w:rPr>
        <w:t xml:space="preserve"> 3713 où elle a conclu à une violation de l</w:t>
      </w:r>
      <w:r w:rsidRPr="00133E6C" w:rsidR="00133E6C">
        <w:rPr>
          <w:rFonts w:eastAsiaTheme="majorEastAsia"/>
          <w:lang w:val="fr-FR"/>
        </w:rPr>
        <w:t>’</w:t>
      </w:r>
      <w:r w:rsidRPr="00133E6C">
        <w:rPr>
          <w:rFonts w:eastAsiaTheme="majorEastAsia"/>
          <w:lang w:val="fr-FR"/>
        </w:rPr>
        <w:t>article 10 de la Convention, la Cour n</w:t>
      </w:r>
      <w:r w:rsidRPr="00133E6C" w:rsidR="00133E6C">
        <w:rPr>
          <w:rFonts w:eastAsiaTheme="majorEastAsia"/>
          <w:lang w:val="fr-FR"/>
        </w:rPr>
        <w:t>’</w:t>
      </w:r>
      <w:r w:rsidRPr="00133E6C">
        <w:rPr>
          <w:rFonts w:eastAsiaTheme="majorEastAsia"/>
          <w:lang w:val="fr-FR"/>
        </w:rPr>
        <w:t>a pas analysé elle-même les écrits, déclarations ou actes litigieux, pour lesquels les requérants avaient été condamnés par les juridictions nationales, mais elle a plutôt basé son examen, dans une optique procédurale,</w:t>
      </w:r>
      <w:r w:rsidRPr="00133E6C">
        <w:rPr>
          <w:lang w:val="fr-FR"/>
        </w:rPr>
        <w:t xml:space="preserve"> sur la motivation retenue par les juridictions nationales dans leurs décisions à l</w:t>
      </w:r>
      <w:r w:rsidRPr="00133E6C" w:rsidR="00133E6C">
        <w:rPr>
          <w:lang w:val="fr-FR"/>
        </w:rPr>
        <w:t>’</w:t>
      </w:r>
      <w:r w:rsidRPr="00133E6C">
        <w:rPr>
          <w:lang w:val="fr-FR"/>
        </w:rPr>
        <w:t>appui de leur condamnation des intéressés</w:t>
      </w:r>
      <w:r w:rsidRPr="00133E6C">
        <w:rPr>
          <w:rFonts w:eastAsiaTheme="majorEastAsia"/>
          <w:lang w:val="fr-FR"/>
        </w:rPr>
        <w:t>. Elle a eu recours à cette méthode d</w:t>
      </w:r>
      <w:r w:rsidRPr="00133E6C" w:rsidR="00133E6C">
        <w:rPr>
          <w:rFonts w:eastAsiaTheme="majorEastAsia"/>
          <w:lang w:val="fr-FR"/>
        </w:rPr>
        <w:t>’</w:t>
      </w:r>
      <w:r w:rsidRPr="00133E6C">
        <w:rPr>
          <w:rFonts w:eastAsiaTheme="majorEastAsia"/>
          <w:lang w:val="fr-FR"/>
        </w:rPr>
        <w:t>analyse en particulier lorsqu</w:t>
      </w:r>
      <w:r w:rsidRPr="00133E6C" w:rsidR="00133E6C">
        <w:rPr>
          <w:rFonts w:eastAsiaTheme="majorEastAsia"/>
          <w:lang w:val="fr-FR"/>
        </w:rPr>
        <w:t>’</w:t>
      </w:r>
      <w:r w:rsidRPr="00133E6C">
        <w:rPr>
          <w:rFonts w:eastAsiaTheme="majorEastAsia"/>
          <w:lang w:val="fr-FR"/>
        </w:rPr>
        <w:t>il n</w:t>
      </w:r>
      <w:r w:rsidRPr="00133E6C" w:rsidR="00133E6C">
        <w:rPr>
          <w:rFonts w:eastAsiaTheme="majorEastAsia"/>
          <w:lang w:val="fr-FR"/>
        </w:rPr>
        <w:t>’</w:t>
      </w:r>
      <w:r w:rsidRPr="00133E6C">
        <w:rPr>
          <w:rFonts w:eastAsiaTheme="majorEastAsia"/>
          <w:lang w:val="fr-FR"/>
        </w:rPr>
        <w:t>était pas clair et manifeste que les écrits, déclarations ou actes litigieux ne pouvaient pas être considérés comme contenant un appel à l</w:t>
      </w:r>
      <w:r w:rsidRPr="00133E6C" w:rsidR="00133E6C">
        <w:rPr>
          <w:rFonts w:eastAsiaTheme="majorEastAsia"/>
          <w:lang w:val="fr-FR"/>
        </w:rPr>
        <w:t>’</w:t>
      </w:r>
      <w:r w:rsidRPr="00133E6C">
        <w:rPr>
          <w:rFonts w:eastAsiaTheme="majorEastAsia"/>
          <w:lang w:val="fr-FR"/>
        </w:rPr>
        <w:t>usage de la violence, à la résistance armée ou au soulèvement, ou comme constituant un discours de haine et que cette question appelait notamment un examen</w:t>
      </w:r>
      <w:r w:rsidRPr="00133E6C">
        <w:rPr>
          <w:lang w:val="fr-FR"/>
        </w:rPr>
        <w:t xml:space="preserve"> </w:t>
      </w:r>
      <w:r w:rsidRPr="00133E6C">
        <w:rPr>
          <w:rFonts w:eastAsiaTheme="majorEastAsia"/>
          <w:lang w:val="fr-FR"/>
        </w:rPr>
        <w:t>quant au contenu des écrits, déclarations ou actes en cause, au contexte dans lequel ils s</w:t>
      </w:r>
      <w:r w:rsidRPr="00133E6C" w:rsidR="00133E6C">
        <w:rPr>
          <w:rFonts w:eastAsiaTheme="majorEastAsia"/>
          <w:lang w:val="fr-FR"/>
        </w:rPr>
        <w:t>’</w:t>
      </w:r>
      <w:r w:rsidRPr="00133E6C">
        <w:rPr>
          <w:rFonts w:eastAsiaTheme="majorEastAsia"/>
          <w:lang w:val="fr-FR"/>
        </w:rPr>
        <w:t>inscrivaient, à leur capacité de nuire</w:t>
      </w:r>
      <w:r w:rsidRPr="00133E6C">
        <w:rPr>
          <w:lang w:val="fr-FR"/>
        </w:rPr>
        <w:t xml:space="preserve"> </w:t>
      </w:r>
      <w:r w:rsidRPr="00133E6C">
        <w:rPr>
          <w:rFonts w:eastAsiaTheme="majorEastAsia"/>
          <w:lang w:val="fr-FR"/>
        </w:rPr>
        <w:t>et aux circonstances de l</w:t>
      </w:r>
      <w:r w:rsidRPr="00133E6C" w:rsidR="00133E6C">
        <w:rPr>
          <w:rFonts w:eastAsiaTheme="majorEastAsia"/>
          <w:lang w:val="fr-FR"/>
        </w:rPr>
        <w:t>’</w:t>
      </w:r>
      <w:r w:rsidRPr="00133E6C">
        <w:rPr>
          <w:rFonts w:eastAsiaTheme="majorEastAsia"/>
          <w:lang w:val="fr-FR"/>
        </w:rPr>
        <w:t>affaire conformément aux principes établis dans sa jurisprudence sous l</w:t>
      </w:r>
      <w:r w:rsidRPr="00133E6C" w:rsidR="00133E6C">
        <w:rPr>
          <w:rFonts w:eastAsiaTheme="majorEastAsia"/>
          <w:lang w:val="fr-FR"/>
        </w:rPr>
        <w:t>’</w:t>
      </w:r>
      <w:r w:rsidRPr="00133E6C">
        <w:rPr>
          <w:rFonts w:eastAsiaTheme="majorEastAsia"/>
          <w:lang w:val="fr-FR"/>
        </w:rPr>
        <w:t>angle de l</w:t>
      </w:r>
      <w:r w:rsidRPr="00133E6C" w:rsidR="00133E6C">
        <w:rPr>
          <w:rFonts w:eastAsiaTheme="majorEastAsia"/>
          <w:lang w:val="fr-FR"/>
        </w:rPr>
        <w:t>’</w:t>
      </w:r>
      <w:r w:rsidRPr="00133E6C">
        <w:rPr>
          <w:rFonts w:eastAsiaTheme="majorEastAsia"/>
          <w:lang w:val="fr-FR"/>
        </w:rPr>
        <w:t>article 10 de la Convention concernant les propos, verbaux ou écrits, présentés comme alimentant ou justifiant la violence, la haine ou l</w:t>
      </w:r>
      <w:r w:rsidRPr="00133E6C" w:rsidR="00133E6C">
        <w:rPr>
          <w:rFonts w:eastAsiaTheme="majorEastAsia"/>
          <w:lang w:val="fr-FR"/>
        </w:rPr>
        <w:t>’</w:t>
      </w:r>
      <w:r w:rsidRPr="00133E6C">
        <w:rPr>
          <w:rFonts w:eastAsiaTheme="majorEastAsia"/>
          <w:lang w:val="fr-FR"/>
        </w:rPr>
        <w:t>intolérance (</w:t>
      </w:r>
      <w:proofErr w:type="spellStart"/>
      <w:r w:rsidRPr="00133E6C">
        <w:rPr>
          <w:rFonts w:eastAsiaTheme="majorEastAsia"/>
          <w:i/>
          <w:lang w:val="pt-PT"/>
        </w:rPr>
        <w:t>Perinçek</w:t>
      </w:r>
      <w:proofErr w:type="spellEnd"/>
      <w:r w:rsidRPr="00133E6C">
        <w:rPr>
          <w:rFonts w:eastAsiaTheme="majorEastAsia"/>
          <w:i/>
          <w:lang w:val="pt-PT"/>
        </w:rPr>
        <w:t xml:space="preserve"> c  </w:t>
      </w:r>
      <w:proofErr w:type="spellStart"/>
      <w:r w:rsidRPr="00133E6C">
        <w:rPr>
          <w:rFonts w:eastAsiaTheme="majorEastAsia"/>
          <w:i/>
          <w:lang w:val="pt-PT"/>
        </w:rPr>
        <w:t>Suisse</w:t>
      </w:r>
      <w:proofErr w:type="spellEnd"/>
      <w:r w:rsidRPr="00133E6C">
        <w:rPr>
          <w:rFonts w:eastAsiaTheme="majorEastAsia"/>
          <w:lang w:val="pt-PT"/>
        </w:rPr>
        <w:t xml:space="preserve"> ([GC], n</w:t>
      </w:r>
      <w:r w:rsidRPr="00133E6C">
        <w:rPr>
          <w:rFonts w:eastAsiaTheme="majorEastAsia"/>
          <w:vertAlign w:val="superscript"/>
          <w:lang w:val="pt-PT"/>
        </w:rPr>
        <w:t>o</w:t>
      </w:r>
      <w:r w:rsidRPr="00133E6C">
        <w:rPr>
          <w:rFonts w:eastAsiaTheme="majorEastAsia"/>
          <w:lang w:val="pt-PT"/>
        </w:rPr>
        <w:t xml:space="preserve"> 27510/08, §</w:t>
      </w:r>
      <w:r w:rsidRPr="00133E6C" w:rsidR="00A83CB2">
        <w:rPr>
          <w:rFonts w:eastAsiaTheme="majorEastAsia"/>
          <w:lang w:val="pt-PT"/>
        </w:rPr>
        <w:t> </w:t>
      </w:r>
      <w:r w:rsidRPr="00133E6C">
        <w:rPr>
          <w:rFonts w:eastAsiaTheme="majorEastAsia"/>
          <w:lang w:val="pt-PT"/>
        </w:rPr>
        <w:t>208, CEDH 2015 (</w:t>
      </w:r>
      <w:proofErr w:type="spellStart"/>
      <w:r w:rsidRPr="00133E6C">
        <w:rPr>
          <w:rFonts w:eastAsiaTheme="majorEastAsia"/>
          <w:lang w:val="pt-PT"/>
        </w:rPr>
        <w:t>extraits</w:t>
      </w:r>
      <w:proofErr w:type="spellEnd"/>
      <w:r w:rsidRPr="00133E6C">
        <w:rPr>
          <w:rFonts w:eastAsiaTheme="majorEastAsia"/>
          <w:lang w:val="pt-PT"/>
        </w:rPr>
        <w:t>)</w:t>
      </w:r>
      <w:r w:rsidRPr="00133E6C">
        <w:rPr>
          <w:rFonts w:eastAsiaTheme="majorEastAsia"/>
          <w:lang w:val="fr-FR"/>
        </w:rPr>
        <w:t>).</w:t>
      </w:r>
    </w:p>
    <w:p w:rsidRPr="00133E6C" w:rsidR="004E3323" w:rsidP="00133E6C" w:rsidRDefault="0048609C">
      <w:pPr>
        <w:pStyle w:val="JuPara"/>
        <w:rPr>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31</w:t>
      </w:r>
      <w:r w:rsidRPr="00133E6C">
        <w:rPr>
          <w:rFonts w:eastAsiaTheme="majorEastAsia"/>
        </w:rPr>
        <w:fldChar w:fldCharType="end"/>
      </w:r>
      <w:r w:rsidRPr="00133E6C">
        <w:rPr>
          <w:rFonts w:eastAsiaTheme="majorEastAsia"/>
          <w:lang w:val="fr-FR"/>
        </w:rPr>
        <w:t>.  La Cour a ainsi considéré dans ce deuxième groupe d</w:t>
      </w:r>
      <w:r w:rsidRPr="00133E6C" w:rsidR="00133E6C">
        <w:rPr>
          <w:rFonts w:eastAsiaTheme="majorEastAsia"/>
          <w:lang w:val="fr-FR"/>
        </w:rPr>
        <w:t>’</w:t>
      </w:r>
      <w:r w:rsidRPr="00133E6C">
        <w:rPr>
          <w:rFonts w:eastAsiaTheme="majorEastAsia"/>
          <w:lang w:val="fr-FR"/>
        </w:rPr>
        <w:t>affaires que : les autorités nationales n</w:t>
      </w:r>
      <w:r w:rsidRPr="00133E6C" w:rsidR="00133E6C">
        <w:rPr>
          <w:rFonts w:eastAsiaTheme="majorEastAsia"/>
          <w:lang w:val="fr-FR"/>
        </w:rPr>
        <w:t>’</w:t>
      </w:r>
      <w:r w:rsidRPr="00133E6C">
        <w:rPr>
          <w:rFonts w:eastAsiaTheme="majorEastAsia"/>
          <w:lang w:val="fr-FR"/>
        </w:rPr>
        <w:t>avaient pas apporté une motivation satisfaisante ou des motifs pertinents et suffisants pour justifier la condamnation pénale des requérants et des explications suffisantes notamment sur la question de savoir si les écrits, déclarations ou actes litigieux pouvaient, eu égard à leur contenu, au contexte dans lequel ils s</w:t>
      </w:r>
      <w:r w:rsidRPr="00133E6C" w:rsidR="00133E6C">
        <w:rPr>
          <w:rFonts w:eastAsiaTheme="majorEastAsia"/>
          <w:lang w:val="fr-FR"/>
        </w:rPr>
        <w:t>’</w:t>
      </w:r>
      <w:r w:rsidRPr="00133E6C">
        <w:rPr>
          <w:rFonts w:eastAsiaTheme="majorEastAsia"/>
          <w:lang w:val="fr-FR"/>
        </w:rPr>
        <w:t>inscrivaient et à leur capacité de nuire, être considérés comme renfermant une incitation à l</w:t>
      </w:r>
      <w:r w:rsidRPr="00133E6C" w:rsidR="00133E6C">
        <w:rPr>
          <w:rFonts w:eastAsiaTheme="majorEastAsia"/>
          <w:lang w:val="fr-FR"/>
        </w:rPr>
        <w:t>’</w:t>
      </w:r>
      <w:r w:rsidRPr="00133E6C">
        <w:rPr>
          <w:rFonts w:eastAsiaTheme="majorEastAsia"/>
          <w:lang w:val="fr-FR"/>
        </w:rPr>
        <w:t>usage de la violence, à la résistance armée ou au soulèvement, ou comme constituant un discours de haine ; elles n</w:t>
      </w:r>
      <w:r w:rsidRPr="00133E6C" w:rsidR="00133E6C">
        <w:rPr>
          <w:rFonts w:eastAsiaTheme="majorEastAsia"/>
          <w:lang w:val="fr-FR"/>
        </w:rPr>
        <w:t>’</w:t>
      </w:r>
      <w:r w:rsidRPr="00133E6C">
        <w:rPr>
          <w:rFonts w:eastAsiaTheme="majorEastAsia"/>
          <w:lang w:val="fr-FR"/>
        </w:rPr>
        <w:t>avaient pas procédé à une analyse appropriée au regard de tous les critères énoncés et mis en œuvre par elle dans les affaires relatives à la liberté d</w:t>
      </w:r>
      <w:r w:rsidRPr="00133E6C" w:rsidR="00133E6C">
        <w:rPr>
          <w:rFonts w:eastAsiaTheme="majorEastAsia"/>
          <w:lang w:val="fr-FR"/>
        </w:rPr>
        <w:t>’</w:t>
      </w:r>
      <w:r w:rsidRPr="00133E6C">
        <w:rPr>
          <w:rFonts w:eastAsiaTheme="majorEastAsia"/>
          <w:lang w:val="fr-FR"/>
        </w:rPr>
        <w:t>expression ; ou elles n</w:t>
      </w:r>
      <w:r w:rsidRPr="00133E6C" w:rsidR="00133E6C">
        <w:rPr>
          <w:rFonts w:eastAsiaTheme="majorEastAsia"/>
          <w:lang w:val="fr-FR"/>
        </w:rPr>
        <w:t>’</w:t>
      </w:r>
      <w:r w:rsidRPr="00133E6C">
        <w:rPr>
          <w:rFonts w:eastAsiaTheme="majorEastAsia"/>
          <w:lang w:val="fr-FR"/>
        </w:rPr>
        <w:t>avaient pas effectué une mise en balance adéquate et conforme aux critères établis par sa jurisprudence entre le droit du requérant à la liberté d</w:t>
      </w:r>
      <w:r w:rsidRPr="00133E6C" w:rsidR="00133E6C">
        <w:rPr>
          <w:rFonts w:eastAsiaTheme="majorEastAsia"/>
          <w:lang w:val="fr-FR"/>
        </w:rPr>
        <w:t>’</w:t>
      </w:r>
      <w:r w:rsidRPr="00133E6C">
        <w:rPr>
          <w:rFonts w:eastAsiaTheme="majorEastAsia"/>
          <w:lang w:val="fr-FR"/>
        </w:rPr>
        <w:t xml:space="preserve">expression et les buts légitimes poursuivis (voir, à cet égard, </w:t>
      </w:r>
      <w:proofErr w:type="spellStart"/>
      <w:r w:rsidRPr="00133E6C">
        <w:rPr>
          <w:i/>
          <w:lang w:val="es-ES_tradnl"/>
        </w:rPr>
        <w:t>Halis</w:t>
      </w:r>
      <w:proofErr w:type="spellEnd"/>
      <w:r w:rsidRPr="00133E6C">
        <w:rPr>
          <w:i/>
          <w:lang w:val="es-ES_tradnl"/>
        </w:rPr>
        <w:t xml:space="preserve"> c. </w:t>
      </w:r>
      <w:proofErr w:type="spellStart"/>
      <w:r w:rsidRPr="00133E6C">
        <w:rPr>
          <w:i/>
          <w:lang w:val="es-ES_tradnl"/>
        </w:rPr>
        <w:t>Turquie</w:t>
      </w:r>
      <w:proofErr w:type="spellEnd"/>
      <w:r w:rsidRPr="00133E6C">
        <w:rPr>
          <w:lang w:val="es-ES_tradnl"/>
        </w:rPr>
        <w:t>, n</w:t>
      </w:r>
      <w:r w:rsidRPr="00133E6C">
        <w:rPr>
          <w:vertAlign w:val="superscript"/>
          <w:lang w:val="es-ES_tradnl"/>
        </w:rPr>
        <w:t>o</w:t>
      </w:r>
      <w:r w:rsidRPr="00133E6C">
        <w:rPr>
          <w:lang w:val="es-ES_tradnl"/>
        </w:rPr>
        <w:t xml:space="preserve"> 30007/96, § 35, 11 </w:t>
      </w:r>
      <w:proofErr w:type="spellStart"/>
      <w:r w:rsidRPr="00133E6C">
        <w:rPr>
          <w:lang w:val="es-ES_tradnl"/>
        </w:rPr>
        <w:t>janvier</w:t>
      </w:r>
      <w:proofErr w:type="spellEnd"/>
      <w:r w:rsidRPr="00133E6C">
        <w:rPr>
          <w:lang w:val="es-ES_tradnl"/>
        </w:rPr>
        <w:t xml:space="preserve"> 2005, </w:t>
      </w:r>
      <w:proofErr w:type="spellStart"/>
      <w:r w:rsidRPr="00133E6C">
        <w:rPr>
          <w:i/>
          <w:lang w:val="fr-FR"/>
        </w:rPr>
        <w:t>Menteş</w:t>
      </w:r>
      <w:proofErr w:type="spellEnd"/>
      <w:r w:rsidRPr="00133E6C">
        <w:rPr>
          <w:i/>
          <w:lang w:val="fr-FR"/>
        </w:rPr>
        <w:t xml:space="preserve"> c. Turquie (n</w:t>
      </w:r>
      <w:r w:rsidRPr="00133E6C">
        <w:rPr>
          <w:rFonts w:cs="Times New Roman"/>
          <w:i/>
          <w:vertAlign w:val="superscript"/>
          <w:lang w:val="fr-FR"/>
        </w:rPr>
        <w:t>o</w:t>
      </w:r>
      <w:r w:rsidRPr="00133E6C">
        <w:rPr>
          <w:i/>
          <w:lang w:val="fr-FR"/>
        </w:rPr>
        <w:t xml:space="preserve"> 2)</w:t>
      </w:r>
      <w:r w:rsidRPr="00133E6C">
        <w:rPr>
          <w:lang w:val="fr-FR"/>
        </w:rPr>
        <w:t>, n</w:t>
      </w:r>
      <w:r w:rsidRPr="00133E6C">
        <w:rPr>
          <w:vertAlign w:val="superscript"/>
          <w:lang w:val="fr-FR"/>
        </w:rPr>
        <w:t>o</w:t>
      </w:r>
      <w:r w:rsidRPr="00133E6C">
        <w:rPr>
          <w:lang w:val="fr-FR"/>
        </w:rPr>
        <w:t xml:space="preserve"> 33347/04</w:t>
      </w:r>
      <w:r w:rsidRPr="00133E6C">
        <w:rPr>
          <w:snapToGrid w:val="0"/>
          <w:lang w:val="fr-FR"/>
        </w:rPr>
        <w:t xml:space="preserve">, § 51, 25 </w:t>
      </w:r>
      <w:r w:rsidRPr="00133E6C">
        <w:rPr>
          <w:lang w:val="fr-FR"/>
        </w:rPr>
        <w:t>janvier</w:t>
      </w:r>
      <w:r w:rsidRPr="00133E6C">
        <w:rPr>
          <w:snapToGrid w:val="0"/>
          <w:lang w:val="fr-FR"/>
        </w:rPr>
        <w:t xml:space="preserve"> 2011, </w:t>
      </w:r>
      <w:proofErr w:type="spellStart"/>
      <w:r w:rsidRPr="00133E6C">
        <w:rPr>
          <w:i/>
          <w:iCs/>
          <w:lang w:val="pt-PT"/>
        </w:rPr>
        <w:t>Fatih</w:t>
      </w:r>
      <w:proofErr w:type="spellEnd"/>
      <w:r w:rsidRPr="00133E6C">
        <w:rPr>
          <w:i/>
          <w:iCs/>
          <w:lang w:val="pt-PT"/>
        </w:rPr>
        <w:t xml:space="preserve"> </w:t>
      </w:r>
      <w:proofErr w:type="spellStart"/>
      <w:r w:rsidRPr="00133E6C">
        <w:rPr>
          <w:i/>
          <w:iCs/>
          <w:lang w:val="pt-PT"/>
        </w:rPr>
        <w:t>Taş</w:t>
      </w:r>
      <w:proofErr w:type="spellEnd"/>
      <w:r w:rsidRPr="00133E6C">
        <w:rPr>
          <w:i/>
          <w:iCs/>
          <w:lang w:val="pt-PT"/>
        </w:rPr>
        <w:t xml:space="preserve"> c. </w:t>
      </w:r>
      <w:proofErr w:type="spellStart"/>
      <w:r w:rsidRPr="00133E6C">
        <w:rPr>
          <w:i/>
          <w:iCs/>
          <w:lang w:val="pt-PT"/>
        </w:rPr>
        <w:t>Turquie</w:t>
      </w:r>
      <w:proofErr w:type="spellEnd"/>
      <w:r w:rsidRPr="00133E6C">
        <w:rPr>
          <w:i/>
          <w:iCs/>
          <w:lang w:val="pt-PT"/>
        </w:rPr>
        <w:t xml:space="preserve"> (</w:t>
      </w:r>
      <w:r w:rsidRPr="00133E6C">
        <w:rPr>
          <w:i/>
          <w:lang w:val="pt-PT"/>
        </w:rPr>
        <w:t>n</w:t>
      </w:r>
      <w:r w:rsidRPr="00133E6C">
        <w:rPr>
          <w:i/>
          <w:vertAlign w:val="superscript"/>
          <w:lang w:val="pt-PT"/>
        </w:rPr>
        <w:t xml:space="preserve">o </w:t>
      </w:r>
      <w:r w:rsidRPr="00133E6C">
        <w:rPr>
          <w:i/>
          <w:lang w:val="pt-PT"/>
        </w:rPr>
        <w:t>4</w:t>
      </w:r>
      <w:r w:rsidRPr="00133E6C">
        <w:rPr>
          <w:i/>
          <w:iCs/>
          <w:lang w:val="pt-PT"/>
        </w:rPr>
        <w:t>)</w:t>
      </w:r>
      <w:r w:rsidRPr="00133E6C">
        <w:rPr>
          <w:lang w:val="pt-PT" w:eastAsia="en-GB"/>
        </w:rPr>
        <w:t xml:space="preserve">, </w:t>
      </w:r>
      <w:r w:rsidRPr="00133E6C">
        <w:rPr>
          <w:lang w:val="pt-PT"/>
        </w:rPr>
        <w:t>n</w:t>
      </w:r>
      <w:r w:rsidRPr="00133E6C">
        <w:rPr>
          <w:vertAlign w:val="superscript"/>
          <w:lang w:val="pt-PT"/>
        </w:rPr>
        <w:t>o</w:t>
      </w:r>
      <w:r w:rsidRPr="00133E6C">
        <w:rPr>
          <w:lang w:val="pt-PT"/>
        </w:rPr>
        <w:t xml:space="preserve"> 51511/08</w:t>
      </w:r>
      <w:r w:rsidRPr="00133E6C">
        <w:rPr>
          <w:lang w:val="pt-PT" w:eastAsia="en-GB"/>
        </w:rPr>
        <w:t xml:space="preserve">, </w:t>
      </w:r>
      <w:r w:rsidRPr="00133E6C">
        <w:rPr>
          <w:snapToGrid w:val="0"/>
          <w:lang w:val="pt-PT"/>
        </w:rPr>
        <w:t xml:space="preserve">§ 38, 24 </w:t>
      </w:r>
      <w:proofErr w:type="spellStart"/>
      <w:r w:rsidRPr="00133E6C">
        <w:rPr>
          <w:snapToGrid w:val="0"/>
          <w:lang w:val="pt-PT"/>
        </w:rPr>
        <w:t>avril</w:t>
      </w:r>
      <w:proofErr w:type="spellEnd"/>
      <w:r w:rsidRPr="00133E6C">
        <w:rPr>
          <w:snapToGrid w:val="0"/>
          <w:lang w:val="pt-PT"/>
        </w:rPr>
        <w:t xml:space="preserve"> 2018, </w:t>
      </w:r>
      <w:proofErr w:type="spellStart"/>
      <w:r w:rsidRPr="00133E6C">
        <w:rPr>
          <w:i/>
          <w:lang w:val="fr-FR"/>
        </w:rPr>
        <w:t>Mart</w:t>
      </w:r>
      <w:proofErr w:type="spellEnd"/>
      <w:r w:rsidRPr="00133E6C">
        <w:rPr>
          <w:i/>
          <w:lang w:val="fr-FR"/>
        </w:rPr>
        <w:t xml:space="preserve"> et autres c.</w:t>
      </w:r>
      <w:r w:rsidRPr="00133E6C" w:rsidR="00AE16D3">
        <w:rPr>
          <w:i/>
          <w:lang w:val="fr-FR"/>
        </w:rPr>
        <w:t xml:space="preserve"> </w:t>
      </w:r>
      <w:r w:rsidRPr="00133E6C">
        <w:rPr>
          <w:i/>
          <w:lang w:val="fr-FR"/>
        </w:rPr>
        <w:t>Turquie</w:t>
      </w:r>
      <w:r w:rsidRPr="00133E6C">
        <w:rPr>
          <w:lang w:val="fr-FR"/>
        </w:rPr>
        <w:t>, n</w:t>
      </w:r>
      <w:r w:rsidRPr="00133E6C">
        <w:rPr>
          <w:vertAlign w:val="superscript"/>
          <w:lang w:val="fr-FR"/>
        </w:rPr>
        <w:t>o</w:t>
      </w:r>
      <w:r w:rsidRPr="00133E6C">
        <w:rPr>
          <w:lang w:val="fr-FR"/>
        </w:rPr>
        <w:t xml:space="preserve"> 57031/10, § 31, 19 mars 2019, </w:t>
      </w:r>
      <w:proofErr w:type="spellStart"/>
      <w:r w:rsidRPr="00133E6C">
        <w:rPr>
          <w:rFonts w:cstheme="minorHAnsi"/>
          <w:i/>
          <w:lang w:val="fr-FR"/>
        </w:rPr>
        <w:t>Yigin</w:t>
      </w:r>
      <w:proofErr w:type="spellEnd"/>
      <w:r w:rsidRPr="00133E6C">
        <w:rPr>
          <w:rFonts w:cstheme="minorHAnsi"/>
          <w:i/>
          <w:lang w:val="fr-FR"/>
        </w:rPr>
        <w:t xml:space="preserve"> </w:t>
      </w:r>
      <w:r w:rsidRPr="00133E6C">
        <w:rPr>
          <w:i/>
          <w:lang w:val="fr-FR"/>
        </w:rPr>
        <w:t>c. Turquie</w:t>
      </w:r>
      <w:r w:rsidRPr="00133E6C">
        <w:rPr>
          <w:lang w:val="fr-FR"/>
        </w:rPr>
        <w:t xml:space="preserve"> [comité], n</w:t>
      </w:r>
      <w:r w:rsidRPr="00133E6C">
        <w:rPr>
          <w:vertAlign w:val="superscript"/>
          <w:lang w:val="fr-FR"/>
        </w:rPr>
        <w:t>o</w:t>
      </w:r>
      <w:r w:rsidRPr="00133E6C">
        <w:rPr>
          <w:lang w:val="fr-FR"/>
        </w:rPr>
        <w:t xml:space="preserve"> 36643/09, § 23, 30 janvier 2018, </w:t>
      </w:r>
      <w:proofErr w:type="spellStart"/>
      <w:r w:rsidRPr="00133E6C">
        <w:rPr>
          <w:i/>
          <w:lang w:val="fr-FR"/>
        </w:rPr>
        <w:t>Zengin</w:t>
      </w:r>
      <w:proofErr w:type="spellEnd"/>
      <w:r w:rsidRPr="00133E6C">
        <w:rPr>
          <w:i/>
          <w:lang w:val="fr-FR"/>
        </w:rPr>
        <w:t xml:space="preserve"> et </w:t>
      </w:r>
      <w:proofErr w:type="spellStart"/>
      <w:r w:rsidRPr="00133E6C">
        <w:rPr>
          <w:rFonts w:cstheme="minorHAnsi"/>
          <w:i/>
          <w:lang w:val="fr-FR"/>
        </w:rPr>
        <w:t>Çakır</w:t>
      </w:r>
      <w:proofErr w:type="spellEnd"/>
      <w:r w:rsidRPr="00133E6C">
        <w:rPr>
          <w:rFonts w:cstheme="minorHAnsi"/>
          <w:i/>
          <w:lang w:val="fr-FR"/>
        </w:rPr>
        <w:t xml:space="preserve"> </w:t>
      </w:r>
      <w:r w:rsidRPr="00133E6C">
        <w:rPr>
          <w:i/>
          <w:lang w:val="fr-FR"/>
        </w:rPr>
        <w:t>c. Turquie</w:t>
      </w:r>
      <w:r w:rsidRPr="00133E6C">
        <w:rPr>
          <w:lang w:val="fr-FR"/>
        </w:rPr>
        <w:t xml:space="preserve"> [comité], n</w:t>
      </w:r>
      <w:r w:rsidRPr="00133E6C">
        <w:rPr>
          <w:vertAlign w:val="superscript"/>
          <w:lang w:val="fr-FR"/>
        </w:rPr>
        <w:t>o</w:t>
      </w:r>
      <w:r w:rsidRPr="00133E6C">
        <w:rPr>
          <w:lang w:val="fr-FR"/>
        </w:rPr>
        <w:t xml:space="preserve"> 57069/09, § 19, 13 février 2018, </w:t>
      </w:r>
      <w:proofErr w:type="spellStart"/>
      <w:r w:rsidRPr="00133E6C">
        <w:rPr>
          <w:i/>
          <w:lang w:val="fr-FR"/>
        </w:rPr>
        <w:t>Yüksel</w:t>
      </w:r>
      <w:proofErr w:type="spellEnd"/>
      <w:r w:rsidRPr="00133E6C">
        <w:rPr>
          <w:i/>
          <w:lang w:val="fr-FR"/>
        </w:rPr>
        <w:t xml:space="preserve"> </w:t>
      </w:r>
      <w:r w:rsidRPr="00133E6C">
        <w:rPr>
          <w:lang w:val="fr-FR"/>
        </w:rPr>
        <w:t xml:space="preserve">[comité], précité, §§ 24-26, </w:t>
      </w:r>
      <w:proofErr w:type="spellStart"/>
      <w:r w:rsidRPr="00133E6C">
        <w:rPr>
          <w:rFonts w:cstheme="minorHAnsi"/>
          <w:i/>
          <w:lang w:val="fr-FR"/>
        </w:rPr>
        <w:t>Ayaydın</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20509/10, § 20, 25 septembre 2018, </w:t>
      </w:r>
      <w:proofErr w:type="spellStart"/>
      <w:r w:rsidRPr="00133E6C">
        <w:rPr>
          <w:i/>
          <w:lang w:val="fr-FR"/>
        </w:rPr>
        <w:t>Varhan</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w:t>
      </w:r>
      <w:r w:rsidRPr="00133E6C">
        <w:rPr>
          <w:lang w:val="fr-FR"/>
        </w:rPr>
        <w:t xml:space="preserve">2433/12, § 22, 25 septembre 2018, </w:t>
      </w:r>
      <w:proofErr w:type="spellStart"/>
      <w:r w:rsidRPr="00133E6C">
        <w:rPr>
          <w:rFonts w:cstheme="minorHAnsi"/>
          <w:i/>
          <w:lang w:val="fr-FR"/>
        </w:rPr>
        <w:t>Kınık</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39047/11, § </w:t>
      </w:r>
      <w:r w:rsidRPr="00133E6C">
        <w:rPr>
          <w:lang w:val="fr-FR"/>
        </w:rPr>
        <w:t xml:space="preserve">29, 25 septembre 2018, </w:t>
      </w:r>
      <w:proofErr w:type="spellStart"/>
      <w:r w:rsidRPr="00133E6C">
        <w:rPr>
          <w:i/>
          <w:lang w:val="fr-FR"/>
        </w:rPr>
        <w:t>Düzel</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64375/12, § 21, 25 </w:t>
      </w:r>
      <w:r w:rsidRPr="00133E6C">
        <w:rPr>
          <w:lang w:val="fr-FR"/>
        </w:rPr>
        <w:t xml:space="preserve">septembre 2018, </w:t>
      </w:r>
      <w:proofErr w:type="spellStart"/>
      <w:r w:rsidRPr="00133E6C">
        <w:rPr>
          <w:rFonts w:cstheme="minorHAnsi"/>
          <w:i/>
          <w:lang w:val="fr-FR"/>
        </w:rPr>
        <w:t>Yıldırım</w:t>
      </w:r>
      <w:proofErr w:type="spellEnd"/>
      <w:r w:rsidRPr="00133E6C">
        <w:rPr>
          <w:rFonts w:cstheme="minorHAnsi"/>
          <w:i/>
          <w:lang w:val="fr-FR"/>
        </w:rPr>
        <w:t xml:space="preserve"> </w:t>
      </w:r>
      <w:r w:rsidRPr="00133E6C">
        <w:rPr>
          <w:i/>
          <w:lang w:val="fr-FR"/>
        </w:rPr>
        <w:t>c. Turquie</w:t>
      </w:r>
      <w:r w:rsidRPr="00133E6C">
        <w:rPr>
          <w:lang w:val="fr-FR"/>
        </w:rPr>
        <w:t xml:space="preserve"> [comité], n</w:t>
      </w:r>
      <w:r w:rsidRPr="00133E6C">
        <w:rPr>
          <w:vertAlign w:val="superscript"/>
          <w:lang w:val="fr-FR"/>
        </w:rPr>
        <w:t>o</w:t>
      </w:r>
      <w:r w:rsidRPr="00133E6C" w:rsidR="00A83CB2">
        <w:rPr>
          <w:lang w:val="fr-FR"/>
        </w:rPr>
        <w:t> 74054/11, §§ 20-22, 25 </w:t>
      </w:r>
      <w:r w:rsidRPr="00133E6C">
        <w:rPr>
          <w:lang w:val="fr-FR"/>
        </w:rPr>
        <w:t xml:space="preserve">septembre 2018, </w:t>
      </w:r>
      <w:proofErr w:type="spellStart"/>
      <w:r w:rsidRPr="00133E6C">
        <w:rPr>
          <w:i/>
          <w:lang w:val="fr-FR"/>
        </w:rPr>
        <w:t>Gül</w:t>
      </w:r>
      <w:proofErr w:type="spellEnd"/>
      <w:r w:rsidRPr="00133E6C">
        <w:rPr>
          <w:lang w:val="fr-FR"/>
        </w:rPr>
        <w:t xml:space="preserve"> [comité], précité, §§ 23-25 , </w:t>
      </w:r>
      <w:proofErr w:type="spellStart"/>
      <w:r w:rsidRPr="00133E6C" w:rsidR="00A83CB2">
        <w:rPr>
          <w:i/>
          <w:lang w:val="fr-FR"/>
        </w:rPr>
        <w:t>Aydemir</w:t>
      </w:r>
      <w:proofErr w:type="spellEnd"/>
      <w:r w:rsidRPr="00133E6C" w:rsidR="00A83CB2">
        <w:rPr>
          <w:i/>
          <w:lang w:val="fr-FR"/>
        </w:rPr>
        <w:t xml:space="preserve"> et </w:t>
      </w:r>
      <w:proofErr w:type="spellStart"/>
      <w:r w:rsidRPr="00133E6C" w:rsidR="00A83CB2">
        <w:rPr>
          <w:i/>
          <w:lang w:val="fr-FR"/>
        </w:rPr>
        <w:t>Karavil</w:t>
      </w:r>
      <w:proofErr w:type="spellEnd"/>
      <w:r w:rsidRPr="00133E6C" w:rsidR="00A83CB2">
        <w:rPr>
          <w:i/>
          <w:lang w:val="fr-FR"/>
        </w:rPr>
        <w:t xml:space="preserve"> c. </w:t>
      </w:r>
      <w:r w:rsidRPr="00133E6C">
        <w:rPr>
          <w:i/>
          <w:lang w:val="fr-FR"/>
        </w:rPr>
        <w:t>Turquie</w:t>
      </w:r>
      <w:r w:rsidRPr="00133E6C">
        <w:rPr>
          <w:lang w:val="fr-FR"/>
        </w:rPr>
        <w:t xml:space="preserve"> [comité], n</w:t>
      </w:r>
      <w:r w:rsidRPr="00133E6C">
        <w:rPr>
          <w:vertAlign w:val="superscript"/>
          <w:lang w:val="fr-FR"/>
        </w:rPr>
        <w:t>o</w:t>
      </w:r>
      <w:r w:rsidRPr="00133E6C">
        <w:rPr>
          <w:lang w:val="fr-FR"/>
        </w:rPr>
        <w:t xml:space="preserve"> 16624/12, § 21, 9 octobre 2018, </w:t>
      </w:r>
      <w:proofErr w:type="spellStart"/>
      <w:r w:rsidRPr="00133E6C">
        <w:rPr>
          <w:i/>
          <w:lang w:val="fr-FR"/>
        </w:rPr>
        <w:t>Akyüz</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63681/12, § 21, 7 mai 2019, </w:t>
      </w:r>
      <w:proofErr w:type="spellStart"/>
      <w:r w:rsidRPr="00133E6C">
        <w:rPr>
          <w:i/>
          <w:lang w:val="fr-FR"/>
        </w:rPr>
        <w:t>Da</w:t>
      </w:r>
      <w:r w:rsidRPr="00133E6C">
        <w:rPr>
          <w:rFonts w:cstheme="minorHAnsi"/>
          <w:i/>
          <w:lang w:val="fr-FR"/>
        </w:rPr>
        <w:t>ğ</w:t>
      </w:r>
      <w:r w:rsidRPr="00133E6C">
        <w:rPr>
          <w:i/>
          <w:lang w:val="fr-FR"/>
        </w:rPr>
        <w:t>tekin</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sidR="00A83CB2">
        <w:rPr>
          <w:lang w:val="fr-FR"/>
        </w:rPr>
        <w:t> </w:t>
      </w:r>
      <w:r w:rsidRPr="00133E6C">
        <w:rPr>
          <w:lang w:val="fr-FR"/>
        </w:rPr>
        <w:t xml:space="preserve">33513/11, § 25, 28 mai 2019, </w:t>
      </w:r>
      <w:r w:rsidRPr="00133E6C">
        <w:rPr>
          <w:i/>
          <w:lang w:val="fr-FR"/>
        </w:rPr>
        <w:t>Kok c. Turquie</w:t>
      </w:r>
      <w:r w:rsidRPr="00133E6C">
        <w:rPr>
          <w:lang w:val="fr-FR"/>
        </w:rPr>
        <w:t xml:space="preserve"> [comité], n</w:t>
      </w:r>
      <w:r w:rsidRPr="00133E6C">
        <w:rPr>
          <w:vertAlign w:val="superscript"/>
          <w:lang w:val="fr-FR"/>
        </w:rPr>
        <w:t>o</w:t>
      </w:r>
      <w:r w:rsidRPr="00133E6C" w:rsidR="00A83CB2">
        <w:rPr>
          <w:lang w:val="fr-FR"/>
        </w:rPr>
        <w:t xml:space="preserve"> 32954/12, § </w:t>
      </w:r>
      <w:r w:rsidRPr="00133E6C">
        <w:rPr>
          <w:lang w:val="fr-FR"/>
        </w:rPr>
        <w:t>22, 2</w:t>
      </w:r>
      <w:r w:rsidRPr="00133E6C" w:rsidR="00A83CB2">
        <w:rPr>
          <w:lang w:val="fr-FR"/>
        </w:rPr>
        <w:t> </w:t>
      </w:r>
      <w:r w:rsidRPr="00133E6C">
        <w:rPr>
          <w:lang w:val="fr-FR"/>
        </w:rPr>
        <w:t xml:space="preserve">juillet 2019, </w:t>
      </w:r>
      <w:proofErr w:type="spellStart"/>
      <w:r w:rsidRPr="00133E6C">
        <w:rPr>
          <w:rFonts w:cstheme="minorHAnsi"/>
          <w:i/>
          <w:lang w:val="fr-FR"/>
        </w:rPr>
        <w:t>Yıldız</w:t>
      </w:r>
      <w:proofErr w:type="spellEnd"/>
      <w:r w:rsidRPr="00133E6C">
        <w:rPr>
          <w:rFonts w:cstheme="minorHAnsi"/>
          <w:i/>
          <w:lang w:val="fr-FR"/>
        </w:rPr>
        <w:t xml:space="preserve"> c.</w:t>
      </w:r>
      <w:r w:rsidRPr="00133E6C">
        <w:rPr>
          <w:i/>
          <w:lang w:val="fr-FR"/>
        </w:rPr>
        <w:t xml:space="preserve"> Turquie</w:t>
      </w:r>
      <w:r w:rsidRPr="00133E6C">
        <w:rPr>
          <w:lang w:val="fr-FR"/>
        </w:rPr>
        <w:t xml:space="preserve"> [comité], n</w:t>
      </w:r>
      <w:r w:rsidRPr="00133E6C">
        <w:rPr>
          <w:vertAlign w:val="superscript"/>
          <w:lang w:val="fr-FR"/>
        </w:rPr>
        <w:t>o</w:t>
      </w:r>
      <w:r w:rsidRPr="00133E6C">
        <w:rPr>
          <w:lang w:val="fr-FR"/>
        </w:rPr>
        <w:t xml:space="preserve"> 66575/12, 3 septembre 2019, </w:t>
      </w:r>
      <w:proofErr w:type="spellStart"/>
      <w:r w:rsidRPr="00133E6C">
        <w:rPr>
          <w:rFonts w:cstheme="minorHAnsi"/>
          <w:i/>
          <w:lang w:val="fr-FR"/>
        </w:rPr>
        <w:t>Yıldız</w:t>
      </w:r>
      <w:proofErr w:type="spellEnd"/>
      <w:r w:rsidRPr="00133E6C">
        <w:rPr>
          <w:lang w:val="fr-FR"/>
        </w:rPr>
        <w:t xml:space="preserve"> </w:t>
      </w:r>
      <w:r w:rsidRPr="00133E6C">
        <w:rPr>
          <w:i/>
          <w:lang w:val="fr-FR"/>
        </w:rPr>
        <w:t>et autres c. Turquie</w:t>
      </w:r>
      <w:r w:rsidRPr="00133E6C">
        <w:rPr>
          <w:lang w:val="fr-FR"/>
        </w:rPr>
        <w:t xml:space="preserve"> [comité], n</w:t>
      </w:r>
      <w:r w:rsidRPr="00133E6C">
        <w:rPr>
          <w:vertAlign w:val="superscript"/>
          <w:lang w:val="fr-FR"/>
        </w:rPr>
        <w:t>o</w:t>
      </w:r>
      <w:r w:rsidRPr="00133E6C">
        <w:rPr>
          <w:lang w:val="fr-FR"/>
        </w:rPr>
        <w:t> 39543/11, §§ 25-26, 1</w:t>
      </w:r>
      <w:r w:rsidRPr="00133E6C">
        <w:rPr>
          <w:vertAlign w:val="superscript"/>
          <w:lang w:val="fr-FR"/>
        </w:rPr>
        <w:t>er</w:t>
      </w:r>
      <w:r w:rsidRPr="00133E6C">
        <w:rPr>
          <w:lang w:val="fr-FR"/>
        </w:rPr>
        <w:t xml:space="preserve"> octobre 2019, </w:t>
      </w:r>
      <w:proofErr w:type="spellStart"/>
      <w:r w:rsidRPr="00133E6C">
        <w:rPr>
          <w:i/>
          <w:lang w:val="fr-FR"/>
        </w:rPr>
        <w:t>Akta</w:t>
      </w:r>
      <w:r w:rsidRPr="00133E6C">
        <w:rPr>
          <w:rFonts w:cstheme="minorHAnsi"/>
          <w:i/>
          <w:lang w:val="fr-FR"/>
        </w:rPr>
        <w:t>ş</w:t>
      </w:r>
      <w:proofErr w:type="spellEnd"/>
      <w:r w:rsidRPr="00133E6C">
        <w:rPr>
          <w:i/>
          <w:lang w:val="fr-FR"/>
        </w:rPr>
        <w:t xml:space="preserve"> et autres c. Turquie</w:t>
      </w:r>
      <w:r w:rsidRPr="00133E6C">
        <w:rPr>
          <w:lang w:val="fr-FR"/>
        </w:rPr>
        <w:t xml:space="preserve"> [comité], n</w:t>
      </w:r>
      <w:r w:rsidRPr="00133E6C">
        <w:rPr>
          <w:vertAlign w:val="superscript"/>
          <w:lang w:val="fr-FR"/>
        </w:rPr>
        <w:t>o</w:t>
      </w:r>
      <w:r w:rsidRPr="00133E6C">
        <w:rPr>
          <w:lang w:val="fr-FR"/>
        </w:rPr>
        <w:t xml:space="preserve"> 22112/12, § 21, 1</w:t>
      </w:r>
      <w:r w:rsidRPr="00133E6C">
        <w:rPr>
          <w:vertAlign w:val="superscript"/>
          <w:lang w:val="fr-FR"/>
        </w:rPr>
        <w:t>er</w:t>
      </w:r>
      <w:r w:rsidRPr="00133E6C">
        <w:rPr>
          <w:lang w:val="fr-FR"/>
        </w:rPr>
        <w:t xml:space="preserve"> octobre 2019, et </w:t>
      </w:r>
      <w:proofErr w:type="spellStart"/>
      <w:r w:rsidRPr="00133E6C">
        <w:rPr>
          <w:i/>
          <w:lang w:val="fr-FR"/>
        </w:rPr>
        <w:t>Cin</w:t>
      </w:r>
      <w:proofErr w:type="spellEnd"/>
      <w:r w:rsidRPr="00133E6C">
        <w:rPr>
          <w:i/>
          <w:lang w:val="fr-FR"/>
        </w:rPr>
        <w:t xml:space="preserve"> c. Turquie</w:t>
      </w:r>
      <w:r w:rsidRPr="00133E6C">
        <w:rPr>
          <w:lang w:val="fr-FR"/>
        </w:rPr>
        <w:t xml:space="preserve"> [comité], n</w:t>
      </w:r>
      <w:r w:rsidRPr="00133E6C">
        <w:rPr>
          <w:vertAlign w:val="superscript"/>
          <w:lang w:val="fr-FR"/>
        </w:rPr>
        <w:t>o</w:t>
      </w:r>
      <w:r w:rsidRPr="00133E6C">
        <w:rPr>
          <w:lang w:val="fr-FR"/>
        </w:rPr>
        <w:t xml:space="preserve"> 31605/12, § 20, 1</w:t>
      </w:r>
      <w:r w:rsidRPr="00133E6C">
        <w:rPr>
          <w:vertAlign w:val="superscript"/>
          <w:lang w:val="fr-FR"/>
        </w:rPr>
        <w:t>er</w:t>
      </w:r>
      <w:r w:rsidRPr="00133E6C">
        <w:rPr>
          <w:lang w:val="fr-FR"/>
        </w:rPr>
        <w:t xml:space="preserve"> octobre 2019).</w:t>
      </w:r>
    </w:p>
    <w:p w:rsidRPr="00133E6C" w:rsidR="0048609C" w:rsidP="00133E6C" w:rsidRDefault="0048609C">
      <w:pPr>
        <w:pStyle w:val="JuPara"/>
        <w:rPr>
          <w:rFonts w:eastAsiaTheme="majorEastAsia"/>
          <w:lang w:val="fr-FR"/>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32</w:t>
      </w:r>
      <w:r w:rsidRPr="00133E6C">
        <w:rPr>
          <w:rFonts w:eastAsiaTheme="majorEastAsia"/>
        </w:rPr>
        <w:fldChar w:fldCharType="end"/>
      </w:r>
      <w:r w:rsidRPr="00133E6C">
        <w:rPr>
          <w:rFonts w:eastAsiaTheme="majorEastAsia"/>
          <w:lang w:val="fr-FR"/>
        </w:rPr>
        <w:t xml:space="preserve">.  Par ailleurs, dans son arrêt </w:t>
      </w:r>
      <w:proofErr w:type="spellStart"/>
      <w:r w:rsidRPr="00133E6C">
        <w:rPr>
          <w:i/>
          <w:lang w:val="fr-FR"/>
        </w:rPr>
        <w:t>Hatice</w:t>
      </w:r>
      <w:proofErr w:type="spellEnd"/>
      <w:r w:rsidRPr="00133E6C">
        <w:rPr>
          <w:i/>
          <w:lang w:val="fr-FR"/>
        </w:rPr>
        <w:t xml:space="preserve"> </w:t>
      </w:r>
      <w:proofErr w:type="spellStart"/>
      <w:r w:rsidRPr="00133E6C">
        <w:rPr>
          <w:i/>
          <w:lang w:val="fr-FR"/>
        </w:rPr>
        <w:t>Çoban</w:t>
      </w:r>
      <w:proofErr w:type="spellEnd"/>
      <w:r w:rsidRPr="00133E6C">
        <w:rPr>
          <w:i/>
          <w:lang w:val="fr-FR"/>
        </w:rPr>
        <w:t xml:space="preserve"> c. Turquie</w:t>
      </w:r>
      <w:r w:rsidRPr="00133E6C">
        <w:rPr>
          <w:lang w:val="fr-FR"/>
        </w:rPr>
        <w:t xml:space="preserve"> (n</w:t>
      </w:r>
      <w:r w:rsidRPr="00133E6C">
        <w:rPr>
          <w:vertAlign w:val="superscript"/>
          <w:lang w:val="fr-FR"/>
        </w:rPr>
        <w:t>o</w:t>
      </w:r>
      <w:r w:rsidRPr="00133E6C">
        <w:rPr>
          <w:lang w:val="fr-FR"/>
        </w:rPr>
        <w:t xml:space="preserve"> 36226/11, 29 octobre 2019), </w:t>
      </w:r>
      <w:r w:rsidRPr="00133E6C">
        <w:rPr>
          <w:rFonts w:eastAsiaTheme="majorEastAsia"/>
          <w:lang w:val="fr-FR"/>
        </w:rPr>
        <w:t>se plaçant sur le terrain des garanties procédurales, qui</w:t>
      </w:r>
      <w:r w:rsidRPr="00133E6C">
        <w:rPr>
          <w:lang w:val="fr-FR"/>
        </w:rPr>
        <w:t xml:space="preserve"> </w:t>
      </w:r>
      <w:r w:rsidRPr="00133E6C">
        <w:rPr>
          <w:rFonts w:eastAsiaTheme="majorEastAsia"/>
          <w:lang w:val="fr-FR"/>
        </w:rPr>
        <w:t>sont des facteurs à prendre en considération lorsqu</w:t>
      </w:r>
      <w:r w:rsidRPr="00133E6C" w:rsidR="00133E6C">
        <w:rPr>
          <w:rFonts w:eastAsiaTheme="majorEastAsia"/>
          <w:lang w:val="fr-FR"/>
        </w:rPr>
        <w:t>’</w:t>
      </w:r>
      <w:r w:rsidRPr="00133E6C">
        <w:rPr>
          <w:rFonts w:eastAsiaTheme="majorEastAsia"/>
          <w:lang w:val="fr-FR"/>
        </w:rPr>
        <w:t>il s</w:t>
      </w:r>
      <w:r w:rsidRPr="00133E6C" w:rsidR="00133E6C">
        <w:rPr>
          <w:rFonts w:eastAsiaTheme="majorEastAsia"/>
          <w:lang w:val="fr-FR"/>
        </w:rPr>
        <w:t>’</w:t>
      </w:r>
      <w:r w:rsidRPr="00133E6C">
        <w:rPr>
          <w:rFonts w:eastAsiaTheme="majorEastAsia"/>
          <w:lang w:val="fr-FR"/>
        </w:rPr>
        <w:t>agit d</w:t>
      </w:r>
      <w:r w:rsidRPr="00133E6C" w:rsidR="00133E6C">
        <w:rPr>
          <w:rFonts w:eastAsiaTheme="majorEastAsia"/>
          <w:lang w:val="fr-FR"/>
        </w:rPr>
        <w:t>’</w:t>
      </w:r>
      <w:r w:rsidRPr="00133E6C">
        <w:rPr>
          <w:rFonts w:eastAsiaTheme="majorEastAsia"/>
          <w:lang w:val="fr-FR"/>
        </w:rPr>
        <w:t>apprécier la proportionnalité d</w:t>
      </w:r>
      <w:r w:rsidRPr="00133E6C" w:rsidR="00133E6C">
        <w:rPr>
          <w:rFonts w:eastAsiaTheme="majorEastAsia"/>
          <w:lang w:val="fr-FR"/>
        </w:rPr>
        <w:t>’</w:t>
      </w:r>
      <w:r w:rsidRPr="00133E6C">
        <w:rPr>
          <w:rFonts w:eastAsiaTheme="majorEastAsia"/>
          <w:lang w:val="fr-FR"/>
        </w:rPr>
        <w:t>une ingérence dans l</w:t>
      </w:r>
      <w:r w:rsidRPr="00133E6C" w:rsidR="00133E6C">
        <w:rPr>
          <w:rFonts w:eastAsiaTheme="majorEastAsia"/>
          <w:lang w:val="fr-FR"/>
        </w:rPr>
        <w:t>’</w:t>
      </w:r>
      <w:r w:rsidRPr="00133E6C">
        <w:rPr>
          <w:rFonts w:eastAsiaTheme="majorEastAsia"/>
          <w:lang w:val="fr-FR"/>
        </w:rPr>
        <w:t>exercice de la liberté d</w:t>
      </w:r>
      <w:r w:rsidRPr="00133E6C" w:rsidR="00133E6C">
        <w:rPr>
          <w:rFonts w:eastAsiaTheme="majorEastAsia"/>
          <w:lang w:val="fr-FR"/>
        </w:rPr>
        <w:t>’</w:t>
      </w:r>
      <w:r w:rsidRPr="00133E6C">
        <w:rPr>
          <w:rFonts w:eastAsiaTheme="majorEastAsia"/>
          <w:lang w:val="fr-FR"/>
        </w:rPr>
        <w:t>expression garantie par l</w:t>
      </w:r>
      <w:r w:rsidRPr="00133E6C" w:rsidR="00133E6C">
        <w:rPr>
          <w:rFonts w:eastAsiaTheme="majorEastAsia"/>
          <w:lang w:val="fr-FR"/>
        </w:rPr>
        <w:t>’</w:t>
      </w:r>
      <w:r w:rsidRPr="00133E6C">
        <w:rPr>
          <w:rFonts w:eastAsiaTheme="majorEastAsia"/>
          <w:lang w:val="fr-FR"/>
        </w:rPr>
        <w:t>article 10 de la Convention (</w:t>
      </w:r>
      <w:proofErr w:type="spellStart"/>
      <w:r w:rsidRPr="00133E6C">
        <w:rPr>
          <w:rFonts w:eastAsiaTheme="majorEastAsia"/>
          <w:i/>
          <w:lang w:val="fr-FR"/>
        </w:rPr>
        <w:t>Baka</w:t>
      </w:r>
      <w:proofErr w:type="spellEnd"/>
      <w:r w:rsidRPr="00133E6C">
        <w:rPr>
          <w:rFonts w:eastAsiaTheme="majorEastAsia"/>
          <w:i/>
          <w:lang w:val="fr-FR"/>
        </w:rPr>
        <w:t xml:space="preserve"> c. Hongrie</w:t>
      </w:r>
      <w:r w:rsidRPr="00133E6C">
        <w:rPr>
          <w:rFonts w:eastAsiaTheme="majorEastAsia"/>
          <w:lang w:val="fr-FR"/>
        </w:rPr>
        <w:t xml:space="preserve"> [GC], </w:t>
      </w:r>
      <w:r w:rsidRPr="00133E6C">
        <w:rPr>
          <w:lang w:val="fr-FR"/>
        </w:rPr>
        <w:t>n</w:t>
      </w:r>
      <w:r w:rsidRPr="00133E6C">
        <w:rPr>
          <w:vertAlign w:val="superscript"/>
          <w:lang w:val="fr-FR"/>
        </w:rPr>
        <w:t>o</w:t>
      </w:r>
      <w:r w:rsidRPr="00133E6C">
        <w:rPr>
          <w:rFonts w:eastAsiaTheme="majorEastAsia"/>
          <w:lang w:val="fr-FR"/>
        </w:rPr>
        <w:t> 20261/12, § 161, 29 mars 2016, et les références qui y figurent), la Cour a considéré que, faute d</w:t>
      </w:r>
      <w:r w:rsidRPr="00133E6C" w:rsidR="00133E6C">
        <w:rPr>
          <w:rFonts w:eastAsiaTheme="majorEastAsia"/>
          <w:lang w:val="fr-FR"/>
        </w:rPr>
        <w:t>’</w:t>
      </w:r>
      <w:r w:rsidRPr="00133E6C">
        <w:rPr>
          <w:rFonts w:eastAsiaTheme="majorEastAsia"/>
          <w:lang w:val="fr-FR"/>
        </w:rPr>
        <w:t>avoir répondu aux arguments pertinents soulevés par la requérante quant à la fiabilité et à l</w:t>
      </w:r>
      <w:r w:rsidRPr="00133E6C" w:rsidR="00133E6C">
        <w:rPr>
          <w:rFonts w:eastAsiaTheme="majorEastAsia"/>
          <w:lang w:val="fr-FR"/>
        </w:rPr>
        <w:t>’</w:t>
      </w:r>
      <w:r w:rsidRPr="00133E6C">
        <w:rPr>
          <w:rFonts w:eastAsiaTheme="majorEastAsia"/>
          <w:lang w:val="fr-FR"/>
        </w:rPr>
        <w:t>exactitude du contenu du principal élément de preuve qu</w:t>
      </w:r>
      <w:r w:rsidRPr="00133E6C" w:rsidR="00133E6C">
        <w:rPr>
          <w:rFonts w:eastAsiaTheme="majorEastAsia"/>
          <w:lang w:val="fr-FR"/>
        </w:rPr>
        <w:t>’</w:t>
      </w:r>
      <w:r w:rsidRPr="00133E6C">
        <w:rPr>
          <w:rFonts w:eastAsiaTheme="majorEastAsia"/>
          <w:lang w:val="fr-FR"/>
        </w:rPr>
        <w:t>elles avaient retenu à l</w:t>
      </w:r>
      <w:r w:rsidRPr="00133E6C" w:rsidR="00133E6C">
        <w:rPr>
          <w:rFonts w:eastAsiaTheme="majorEastAsia"/>
          <w:lang w:val="fr-FR"/>
        </w:rPr>
        <w:t>’</w:t>
      </w:r>
      <w:r w:rsidRPr="00133E6C">
        <w:rPr>
          <w:rFonts w:eastAsiaTheme="majorEastAsia"/>
          <w:lang w:val="fr-FR"/>
        </w:rPr>
        <w:t>appui de la condamnation pénale de l</w:t>
      </w:r>
      <w:r w:rsidRPr="00133E6C" w:rsidR="00133E6C">
        <w:rPr>
          <w:rFonts w:eastAsiaTheme="majorEastAsia"/>
          <w:lang w:val="fr-FR"/>
        </w:rPr>
        <w:t>’</w:t>
      </w:r>
      <w:r w:rsidRPr="00133E6C">
        <w:rPr>
          <w:rFonts w:eastAsiaTheme="majorEastAsia"/>
          <w:lang w:val="fr-FR"/>
        </w:rPr>
        <w:t>intéressée, les juridictions nationales n</w:t>
      </w:r>
      <w:r w:rsidRPr="00133E6C" w:rsidR="00133E6C">
        <w:rPr>
          <w:rFonts w:eastAsiaTheme="majorEastAsia"/>
          <w:lang w:val="fr-FR"/>
        </w:rPr>
        <w:t>’</w:t>
      </w:r>
      <w:r w:rsidRPr="00133E6C">
        <w:rPr>
          <w:rFonts w:eastAsiaTheme="majorEastAsia"/>
          <w:lang w:val="fr-FR"/>
        </w:rPr>
        <w:t>avaient pas pu remplir leur tâche consistant à mettre en balance les différents intérêts en jeu, au sens de l</w:t>
      </w:r>
      <w:r w:rsidRPr="00133E6C" w:rsidR="00133E6C">
        <w:rPr>
          <w:rFonts w:eastAsiaTheme="majorEastAsia"/>
          <w:lang w:val="fr-FR"/>
        </w:rPr>
        <w:t>’</w:t>
      </w:r>
      <w:r w:rsidRPr="00133E6C">
        <w:rPr>
          <w:rFonts w:eastAsiaTheme="majorEastAsia"/>
          <w:lang w:val="fr-FR"/>
        </w:rPr>
        <w:t>article 10 de la Convention (§§ 38-40).</w:t>
      </w:r>
    </w:p>
    <w:p w:rsidRPr="00133E6C" w:rsidR="0048609C" w:rsidP="00133E6C" w:rsidRDefault="0048609C">
      <w:pPr>
        <w:pStyle w:val="JuPara"/>
        <w:rPr>
          <w:snapToGrid w:val="0"/>
          <w:lang w:val="it-IT"/>
        </w:rPr>
      </w:pPr>
      <w:r w:rsidRPr="00133E6C">
        <w:rPr>
          <w:rFonts w:eastAsiaTheme="majorEastAsia"/>
        </w:rPr>
        <w:fldChar w:fldCharType="begin"/>
      </w:r>
      <w:r w:rsidRPr="00133E6C">
        <w:rPr>
          <w:rFonts w:eastAsiaTheme="majorEastAsia"/>
          <w:lang w:val="fr-FR"/>
        </w:rPr>
        <w:instrText xml:space="preserve"> SEQ level0 \*arabic </w:instrText>
      </w:r>
      <w:r w:rsidRPr="00133E6C">
        <w:rPr>
          <w:rFonts w:eastAsiaTheme="majorEastAsia"/>
        </w:rPr>
        <w:fldChar w:fldCharType="separate"/>
      </w:r>
      <w:r w:rsidRPr="00133E6C" w:rsidR="00133E6C">
        <w:rPr>
          <w:rFonts w:eastAsiaTheme="majorEastAsia"/>
          <w:noProof/>
          <w:lang w:val="fr-FR"/>
        </w:rPr>
        <w:t>33</w:t>
      </w:r>
      <w:r w:rsidRPr="00133E6C">
        <w:rPr>
          <w:rFonts w:eastAsiaTheme="majorEastAsia"/>
        </w:rPr>
        <w:fldChar w:fldCharType="end"/>
      </w:r>
      <w:r w:rsidRPr="00133E6C">
        <w:rPr>
          <w:rFonts w:eastAsiaTheme="majorEastAsia"/>
          <w:lang w:val="fr-FR"/>
        </w:rPr>
        <w:t>.  La Cour note qu</w:t>
      </w:r>
      <w:r w:rsidRPr="00133E6C" w:rsidR="00133E6C">
        <w:rPr>
          <w:rFonts w:eastAsiaTheme="majorEastAsia"/>
          <w:lang w:val="fr-FR"/>
        </w:rPr>
        <w:t>’</w:t>
      </w:r>
      <w:r w:rsidRPr="00133E6C">
        <w:rPr>
          <w:rFonts w:eastAsiaTheme="majorEastAsia"/>
          <w:lang w:val="fr-FR"/>
        </w:rPr>
        <w:t>elle a aussi rendu, dans certaines affaires, un arrêt de non-violation ou une décision d</w:t>
      </w:r>
      <w:r w:rsidRPr="00133E6C" w:rsidR="00133E6C">
        <w:rPr>
          <w:rFonts w:eastAsiaTheme="majorEastAsia"/>
          <w:lang w:val="fr-FR"/>
        </w:rPr>
        <w:t>’</w:t>
      </w:r>
      <w:r w:rsidRPr="00133E6C">
        <w:rPr>
          <w:rFonts w:eastAsiaTheme="majorEastAsia"/>
          <w:lang w:val="fr-FR"/>
        </w:rPr>
        <w:t>irrecevabilité pour défaut manifeste de fondement du grief des requérants, après une analyse qu</w:t>
      </w:r>
      <w:r w:rsidRPr="00133E6C" w:rsidR="00133E6C">
        <w:rPr>
          <w:rFonts w:eastAsiaTheme="majorEastAsia"/>
          <w:lang w:val="fr-FR"/>
        </w:rPr>
        <w:t>’</w:t>
      </w:r>
      <w:r w:rsidRPr="00133E6C">
        <w:rPr>
          <w:rFonts w:eastAsiaTheme="majorEastAsia"/>
          <w:lang w:val="fr-FR"/>
        </w:rPr>
        <w:t>elle avait effectuée sur les écrits, déclarations ou actes litigieux au regard de ses critères concernant les propos, verbaux ou écrits, présentés comme alimentant ou justifiant la violence, la haine ou l</w:t>
      </w:r>
      <w:r w:rsidRPr="00133E6C" w:rsidR="00133E6C">
        <w:rPr>
          <w:rFonts w:eastAsiaTheme="majorEastAsia"/>
          <w:lang w:val="fr-FR"/>
        </w:rPr>
        <w:t>’</w:t>
      </w:r>
      <w:r w:rsidRPr="00133E6C">
        <w:rPr>
          <w:rFonts w:eastAsiaTheme="majorEastAsia"/>
          <w:lang w:val="fr-FR"/>
        </w:rPr>
        <w:t>intolérance (</w:t>
      </w:r>
      <w:proofErr w:type="spellStart"/>
      <w:r w:rsidRPr="00133E6C">
        <w:rPr>
          <w:rFonts w:eastAsiaTheme="majorEastAsia"/>
          <w:i/>
          <w:lang w:val="fr-FR"/>
        </w:rPr>
        <w:t>Perinçek</w:t>
      </w:r>
      <w:proofErr w:type="spellEnd"/>
      <w:r w:rsidRPr="00133E6C">
        <w:rPr>
          <w:rFonts w:eastAsiaTheme="majorEastAsia"/>
          <w:lang w:val="fr-FR"/>
        </w:rPr>
        <w:t>, précité, § 208). Pour arriver à ces conclusions dans ces affaires, elle a estimé que les écrits, déclarations ou actes en question louaient la violence, en faisaient l</w:t>
      </w:r>
      <w:r w:rsidRPr="00133E6C" w:rsidR="00133E6C">
        <w:rPr>
          <w:rFonts w:eastAsiaTheme="majorEastAsia"/>
          <w:lang w:val="fr-FR"/>
        </w:rPr>
        <w:t>’</w:t>
      </w:r>
      <w:r w:rsidRPr="00133E6C">
        <w:rPr>
          <w:rFonts w:eastAsiaTheme="majorEastAsia"/>
          <w:lang w:val="fr-FR"/>
        </w:rPr>
        <w:t>apologie, ou présentaient les actes violents, les combats armés et les actions violentes d</w:t>
      </w:r>
      <w:r w:rsidRPr="00133E6C" w:rsidR="00133E6C">
        <w:rPr>
          <w:rFonts w:eastAsiaTheme="majorEastAsia"/>
          <w:lang w:val="fr-FR"/>
        </w:rPr>
        <w:t>’</w:t>
      </w:r>
      <w:r w:rsidRPr="00133E6C">
        <w:rPr>
          <w:rFonts w:eastAsiaTheme="majorEastAsia"/>
          <w:lang w:val="fr-FR"/>
        </w:rPr>
        <w:t xml:space="preserve">une organisation illégale ou de ses membres dans des termes approbatifs et élogieux (voir, à cet égard, </w:t>
      </w:r>
      <w:proofErr w:type="spellStart"/>
      <w:r w:rsidRPr="00133E6C">
        <w:rPr>
          <w:i/>
          <w:iCs/>
          <w:lang w:val="it-IT"/>
        </w:rPr>
        <w:t>Fatih</w:t>
      </w:r>
      <w:proofErr w:type="spellEnd"/>
      <w:r w:rsidRPr="00133E6C">
        <w:rPr>
          <w:i/>
          <w:iCs/>
          <w:lang w:val="it-IT"/>
        </w:rPr>
        <w:t xml:space="preserve"> </w:t>
      </w:r>
      <w:proofErr w:type="spellStart"/>
      <w:r w:rsidRPr="00133E6C">
        <w:rPr>
          <w:i/>
          <w:iCs/>
          <w:lang w:val="it-IT"/>
        </w:rPr>
        <w:t>Taş</w:t>
      </w:r>
      <w:proofErr w:type="spellEnd"/>
      <w:r w:rsidRPr="00133E6C">
        <w:rPr>
          <w:i/>
          <w:iCs/>
          <w:lang w:val="it-IT"/>
        </w:rPr>
        <w:t xml:space="preserve"> c. </w:t>
      </w:r>
      <w:proofErr w:type="spellStart"/>
      <w:r w:rsidRPr="00133E6C">
        <w:rPr>
          <w:i/>
          <w:iCs/>
          <w:lang w:val="it-IT"/>
        </w:rPr>
        <w:t>Turquie</w:t>
      </w:r>
      <w:proofErr w:type="spellEnd"/>
      <w:r w:rsidRPr="00133E6C">
        <w:rPr>
          <w:i/>
          <w:iCs/>
          <w:lang w:val="it-IT"/>
        </w:rPr>
        <w:t xml:space="preserve"> (</w:t>
      </w:r>
      <w:r w:rsidRPr="00133E6C">
        <w:rPr>
          <w:i/>
          <w:lang w:val="it-IT"/>
        </w:rPr>
        <w:t>n</w:t>
      </w:r>
      <w:r w:rsidRPr="00133E6C">
        <w:rPr>
          <w:i/>
          <w:vertAlign w:val="superscript"/>
          <w:lang w:val="it-IT"/>
        </w:rPr>
        <w:t>o</w:t>
      </w:r>
      <w:r w:rsidRPr="00133E6C">
        <w:rPr>
          <w:i/>
          <w:lang w:val="it-IT"/>
        </w:rPr>
        <w:t xml:space="preserve"> 3</w:t>
      </w:r>
      <w:r w:rsidRPr="00133E6C">
        <w:rPr>
          <w:i/>
          <w:iCs/>
          <w:lang w:val="it-IT"/>
        </w:rPr>
        <w:t>)</w:t>
      </w:r>
      <w:r w:rsidRPr="00133E6C">
        <w:rPr>
          <w:lang w:val="it-IT" w:eastAsia="en-GB"/>
        </w:rPr>
        <w:t xml:space="preserve">, </w:t>
      </w:r>
      <w:r w:rsidRPr="00133E6C">
        <w:rPr>
          <w:lang w:val="it-IT"/>
        </w:rPr>
        <w:t>n</w:t>
      </w:r>
      <w:r w:rsidRPr="00133E6C">
        <w:rPr>
          <w:vertAlign w:val="superscript"/>
          <w:lang w:val="it-IT"/>
        </w:rPr>
        <w:t>o</w:t>
      </w:r>
      <w:r w:rsidRPr="00133E6C">
        <w:rPr>
          <w:lang w:val="it-IT"/>
        </w:rPr>
        <w:t xml:space="preserve"> 45281/08</w:t>
      </w:r>
      <w:r w:rsidRPr="00133E6C">
        <w:rPr>
          <w:lang w:val="it-IT" w:eastAsia="en-GB"/>
        </w:rPr>
        <w:t xml:space="preserve">, </w:t>
      </w:r>
      <w:r w:rsidRPr="00133E6C">
        <w:rPr>
          <w:snapToGrid w:val="0"/>
          <w:lang w:val="it-IT"/>
        </w:rPr>
        <w:t>§ 34</w:t>
      </w:r>
      <w:r w:rsidRPr="00133E6C" w:rsidR="00A83CB2">
        <w:rPr>
          <w:snapToGrid w:val="0"/>
          <w:lang w:val="it-IT"/>
        </w:rPr>
        <w:t>, 24 </w:t>
      </w:r>
      <w:proofErr w:type="spellStart"/>
      <w:r w:rsidRPr="00133E6C">
        <w:rPr>
          <w:snapToGrid w:val="0"/>
          <w:lang w:val="it-IT"/>
        </w:rPr>
        <w:t>avril</w:t>
      </w:r>
      <w:proofErr w:type="spellEnd"/>
      <w:r w:rsidRPr="00133E6C">
        <w:rPr>
          <w:snapToGrid w:val="0"/>
          <w:lang w:val="it-IT"/>
        </w:rPr>
        <w:t xml:space="preserve"> 2018, </w:t>
      </w:r>
      <w:proofErr w:type="spellStart"/>
      <w:r w:rsidRPr="00133E6C">
        <w:rPr>
          <w:i/>
          <w:snapToGrid w:val="0"/>
          <w:lang w:val="it-IT"/>
        </w:rPr>
        <w:t>Altay</w:t>
      </w:r>
      <w:proofErr w:type="spellEnd"/>
      <w:r w:rsidRPr="00133E6C">
        <w:rPr>
          <w:i/>
          <w:snapToGrid w:val="0"/>
          <w:lang w:val="it-IT"/>
        </w:rPr>
        <w:t xml:space="preserve"> c. </w:t>
      </w:r>
      <w:proofErr w:type="spellStart"/>
      <w:r w:rsidRPr="00133E6C">
        <w:rPr>
          <w:i/>
          <w:snapToGrid w:val="0"/>
          <w:lang w:val="it-IT"/>
        </w:rPr>
        <w:t>Turquie</w:t>
      </w:r>
      <w:proofErr w:type="spellEnd"/>
      <w:r w:rsidRPr="00133E6C">
        <w:rPr>
          <w:snapToGrid w:val="0"/>
          <w:lang w:val="it-IT"/>
        </w:rPr>
        <w:t xml:space="preserve"> (</w:t>
      </w:r>
      <w:proofErr w:type="spellStart"/>
      <w:r w:rsidRPr="00133E6C">
        <w:rPr>
          <w:snapToGrid w:val="0"/>
          <w:lang w:val="it-IT"/>
        </w:rPr>
        <w:t>déc</w:t>
      </w:r>
      <w:proofErr w:type="spellEnd"/>
      <w:r w:rsidRPr="00133E6C">
        <w:rPr>
          <w:snapToGrid w:val="0"/>
          <w:lang w:val="it-IT"/>
        </w:rPr>
        <w:t>.) [</w:t>
      </w:r>
      <w:proofErr w:type="spellStart"/>
      <w:r w:rsidRPr="00133E6C">
        <w:rPr>
          <w:snapToGrid w:val="0"/>
          <w:lang w:val="it-IT"/>
        </w:rPr>
        <w:t>comité</w:t>
      </w:r>
      <w:proofErr w:type="spellEnd"/>
      <w:r w:rsidRPr="00133E6C">
        <w:rPr>
          <w:snapToGrid w:val="0"/>
          <w:lang w:val="it-IT"/>
        </w:rPr>
        <w:t>], n</w:t>
      </w:r>
      <w:r w:rsidRPr="00133E6C">
        <w:rPr>
          <w:snapToGrid w:val="0"/>
          <w:vertAlign w:val="superscript"/>
          <w:lang w:val="it-IT"/>
        </w:rPr>
        <w:t>o</w:t>
      </w:r>
      <w:r w:rsidRPr="00133E6C">
        <w:rPr>
          <w:snapToGrid w:val="0"/>
          <w:lang w:val="it-IT"/>
        </w:rPr>
        <w:t xml:space="preserve"> 10783/09, § 19, 22/01/2019, </w:t>
      </w:r>
      <w:proofErr w:type="spellStart"/>
      <w:r w:rsidRPr="00133E6C">
        <w:rPr>
          <w:i/>
          <w:snapToGrid w:val="0"/>
          <w:lang w:val="it-IT"/>
        </w:rPr>
        <w:t>Ta</w:t>
      </w:r>
      <w:r w:rsidRPr="00133E6C">
        <w:rPr>
          <w:rFonts w:cstheme="minorHAnsi"/>
          <w:i/>
          <w:snapToGrid w:val="0"/>
          <w:lang w:val="it-IT"/>
        </w:rPr>
        <w:t>ş</w:t>
      </w:r>
      <w:proofErr w:type="spellEnd"/>
      <w:r w:rsidRPr="00133E6C">
        <w:rPr>
          <w:i/>
          <w:snapToGrid w:val="0"/>
          <w:lang w:val="it-IT"/>
        </w:rPr>
        <w:t xml:space="preserve"> c. </w:t>
      </w:r>
      <w:proofErr w:type="spellStart"/>
      <w:r w:rsidRPr="00133E6C">
        <w:rPr>
          <w:i/>
          <w:snapToGrid w:val="0"/>
          <w:lang w:val="it-IT"/>
        </w:rPr>
        <w:t>Turquie</w:t>
      </w:r>
      <w:proofErr w:type="spellEnd"/>
      <w:r w:rsidRPr="00133E6C">
        <w:rPr>
          <w:snapToGrid w:val="0"/>
          <w:lang w:val="it-IT"/>
        </w:rPr>
        <w:t xml:space="preserve"> (</w:t>
      </w:r>
      <w:proofErr w:type="spellStart"/>
      <w:r w:rsidRPr="00133E6C">
        <w:rPr>
          <w:snapToGrid w:val="0"/>
          <w:lang w:val="it-IT"/>
        </w:rPr>
        <w:t>déc</w:t>
      </w:r>
      <w:proofErr w:type="spellEnd"/>
      <w:r w:rsidRPr="00133E6C">
        <w:rPr>
          <w:snapToGrid w:val="0"/>
          <w:lang w:val="it-IT"/>
        </w:rPr>
        <w:t>.) [</w:t>
      </w:r>
      <w:proofErr w:type="spellStart"/>
      <w:r w:rsidRPr="00133E6C">
        <w:rPr>
          <w:snapToGrid w:val="0"/>
          <w:lang w:val="it-IT"/>
        </w:rPr>
        <w:t>comité</w:t>
      </w:r>
      <w:proofErr w:type="spellEnd"/>
      <w:r w:rsidRPr="00133E6C">
        <w:rPr>
          <w:snapToGrid w:val="0"/>
          <w:lang w:val="it-IT"/>
        </w:rPr>
        <w:t>], n</w:t>
      </w:r>
      <w:r w:rsidRPr="00133E6C">
        <w:rPr>
          <w:snapToGrid w:val="0"/>
          <w:vertAlign w:val="superscript"/>
          <w:lang w:val="it-IT"/>
        </w:rPr>
        <w:t>o</w:t>
      </w:r>
      <w:r w:rsidRPr="00133E6C">
        <w:rPr>
          <w:snapToGrid w:val="0"/>
          <w:lang w:val="it-IT"/>
        </w:rPr>
        <w:t xml:space="preserve"> 33528/10, § 21, 22 </w:t>
      </w:r>
      <w:proofErr w:type="spellStart"/>
      <w:r w:rsidRPr="00133E6C">
        <w:rPr>
          <w:snapToGrid w:val="0"/>
          <w:lang w:val="it-IT"/>
        </w:rPr>
        <w:t>janvier</w:t>
      </w:r>
      <w:proofErr w:type="spellEnd"/>
      <w:r w:rsidRPr="00133E6C">
        <w:rPr>
          <w:snapToGrid w:val="0"/>
          <w:lang w:val="it-IT"/>
        </w:rPr>
        <w:t xml:space="preserve"> 2019, </w:t>
      </w:r>
      <w:proofErr w:type="spellStart"/>
      <w:r w:rsidRPr="00133E6C">
        <w:rPr>
          <w:i/>
          <w:snapToGrid w:val="0"/>
          <w:lang w:val="it-IT"/>
        </w:rPr>
        <w:t>Ta</w:t>
      </w:r>
      <w:r w:rsidRPr="00133E6C">
        <w:rPr>
          <w:rFonts w:cstheme="minorHAnsi"/>
          <w:i/>
          <w:snapToGrid w:val="0"/>
          <w:lang w:val="it-IT"/>
        </w:rPr>
        <w:t>ş</w:t>
      </w:r>
      <w:proofErr w:type="spellEnd"/>
      <w:r w:rsidRPr="00133E6C">
        <w:rPr>
          <w:i/>
          <w:snapToGrid w:val="0"/>
          <w:lang w:val="it-IT"/>
        </w:rPr>
        <w:t xml:space="preserve"> c. </w:t>
      </w:r>
      <w:proofErr w:type="spellStart"/>
      <w:r w:rsidRPr="00133E6C">
        <w:rPr>
          <w:i/>
          <w:snapToGrid w:val="0"/>
          <w:lang w:val="it-IT"/>
        </w:rPr>
        <w:t>Turquie</w:t>
      </w:r>
      <w:proofErr w:type="spellEnd"/>
      <w:r w:rsidRPr="00133E6C">
        <w:rPr>
          <w:snapToGrid w:val="0"/>
          <w:lang w:val="it-IT"/>
        </w:rPr>
        <w:t xml:space="preserve"> (</w:t>
      </w:r>
      <w:proofErr w:type="spellStart"/>
      <w:r w:rsidRPr="00133E6C">
        <w:rPr>
          <w:snapToGrid w:val="0"/>
          <w:lang w:val="it-IT"/>
        </w:rPr>
        <w:t>déc</w:t>
      </w:r>
      <w:proofErr w:type="spellEnd"/>
      <w:r w:rsidRPr="00133E6C">
        <w:rPr>
          <w:snapToGrid w:val="0"/>
          <w:lang w:val="it-IT"/>
        </w:rPr>
        <w:t>.) [</w:t>
      </w:r>
      <w:proofErr w:type="spellStart"/>
      <w:r w:rsidRPr="00133E6C">
        <w:rPr>
          <w:snapToGrid w:val="0"/>
          <w:lang w:val="it-IT"/>
        </w:rPr>
        <w:t>comité</w:t>
      </w:r>
      <w:proofErr w:type="spellEnd"/>
      <w:r w:rsidRPr="00133E6C">
        <w:rPr>
          <w:snapToGrid w:val="0"/>
          <w:lang w:val="it-IT"/>
        </w:rPr>
        <w:t>], n</w:t>
      </w:r>
      <w:r w:rsidRPr="00133E6C">
        <w:rPr>
          <w:snapToGrid w:val="0"/>
          <w:vertAlign w:val="superscript"/>
          <w:lang w:val="it-IT"/>
        </w:rPr>
        <w:t>o</w:t>
      </w:r>
      <w:r w:rsidRPr="00133E6C">
        <w:rPr>
          <w:snapToGrid w:val="0"/>
          <w:lang w:val="it-IT"/>
        </w:rPr>
        <w:t xml:space="preserve"> 51508/08, § 19, 22 </w:t>
      </w:r>
      <w:proofErr w:type="spellStart"/>
      <w:r w:rsidRPr="00133E6C">
        <w:rPr>
          <w:snapToGrid w:val="0"/>
          <w:lang w:val="it-IT"/>
        </w:rPr>
        <w:t>janvier</w:t>
      </w:r>
      <w:proofErr w:type="spellEnd"/>
      <w:r w:rsidRPr="00133E6C">
        <w:rPr>
          <w:snapToGrid w:val="0"/>
          <w:lang w:val="it-IT"/>
        </w:rPr>
        <w:t xml:space="preserve"> 2019, </w:t>
      </w:r>
      <w:proofErr w:type="spellStart"/>
      <w:r w:rsidRPr="00133E6C">
        <w:rPr>
          <w:i/>
          <w:snapToGrid w:val="0"/>
          <w:lang w:val="it-IT"/>
        </w:rPr>
        <w:t>Ta</w:t>
      </w:r>
      <w:r w:rsidRPr="00133E6C">
        <w:rPr>
          <w:rFonts w:cstheme="minorHAnsi"/>
          <w:i/>
          <w:snapToGrid w:val="0"/>
          <w:lang w:val="it-IT"/>
        </w:rPr>
        <w:t>ş</w:t>
      </w:r>
      <w:proofErr w:type="spellEnd"/>
      <w:r w:rsidRPr="00133E6C" w:rsidR="00A83CB2">
        <w:rPr>
          <w:i/>
          <w:snapToGrid w:val="0"/>
          <w:lang w:val="it-IT"/>
        </w:rPr>
        <w:t xml:space="preserve"> c. </w:t>
      </w:r>
      <w:proofErr w:type="spellStart"/>
      <w:r w:rsidRPr="00133E6C">
        <w:rPr>
          <w:i/>
          <w:snapToGrid w:val="0"/>
          <w:lang w:val="it-IT"/>
        </w:rPr>
        <w:t>Turquie</w:t>
      </w:r>
      <w:proofErr w:type="spellEnd"/>
      <w:r w:rsidRPr="00133E6C">
        <w:rPr>
          <w:snapToGrid w:val="0"/>
          <w:lang w:val="it-IT"/>
        </w:rPr>
        <w:t xml:space="preserve"> (</w:t>
      </w:r>
      <w:proofErr w:type="spellStart"/>
      <w:r w:rsidRPr="00133E6C">
        <w:rPr>
          <w:snapToGrid w:val="0"/>
          <w:lang w:val="it-IT"/>
        </w:rPr>
        <w:t>déc</w:t>
      </w:r>
      <w:proofErr w:type="spellEnd"/>
      <w:r w:rsidRPr="00133E6C">
        <w:rPr>
          <w:snapToGrid w:val="0"/>
          <w:lang w:val="it-IT"/>
        </w:rPr>
        <w:t>.) [</w:t>
      </w:r>
      <w:proofErr w:type="spellStart"/>
      <w:r w:rsidRPr="00133E6C">
        <w:rPr>
          <w:snapToGrid w:val="0"/>
          <w:lang w:val="it-IT"/>
        </w:rPr>
        <w:t>comité</w:t>
      </w:r>
      <w:proofErr w:type="spellEnd"/>
      <w:r w:rsidRPr="00133E6C">
        <w:rPr>
          <w:snapToGrid w:val="0"/>
          <w:lang w:val="it-IT"/>
        </w:rPr>
        <w:t>], n</w:t>
      </w:r>
      <w:r w:rsidRPr="00133E6C">
        <w:rPr>
          <w:snapToGrid w:val="0"/>
          <w:vertAlign w:val="superscript"/>
          <w:lang w:val="it-IT"/>
        </w:rPr>
        <w:t>o</w:t>
      </w:r>
      <w:r w:rsidRPr="00133E6C">
        <w:rPr>
          <w:snapToGrid w:val="0"/>
          <w:lang w:val="it-IT"/>
        </w:rPr>
        <w:t xml:space="preserve"> 51512/08, § 21, 22/01/2019, et </w:t>
      </w:r>
      <w:proofErr w:type="spellStart"/>
      <w:r w:rsidRPr="00133E6C">
        <w:rPr>
          <w:i/>
          <w:snapToGrid w:val="0"/>
          <w:lang w:val="it-IT"/>
        </w:rPr>
        <w:t>Eye</w:t>
      </w:r>
      <w:proofErr w:type="spellEnd"/>
      <w:r w:rsidRPr="00133E6C">
        <w:rPr>
          <w:i/>
          <w:snapToGrid w:val="0"/>
          <w:lang w:val="it-IT"/>
        </w:rPr>
        <w:t xml:space="preserve"> c. </w:t>
      </w:r>
      <w:proofErr w:type="spellStart"/>
      <w:r w:rsidRPr="00133E6C">
        <w:rPr>
          <w:i/>
          <w:snapToGrid w:val="0"/>
          <w:lang w:val="it-IT"/>
        </w:rPr>
        <w:t>Turquie</w:t>
      </w:r>
      <w:proofErr w:type="spellEnd"/>
      <w:r w:rsidRPr="00133E6C">
        <w:rPr>
          <w:snapToGrid w:val="0"/>
          <w:lang w:val="it-IT"/>
        </w:rPr>
        <w:t xml:space="preserve"> (</w:t>
      </w:r>
      <w:proofErr w:type="spellStart"/>
      <w:r w:rsidRPr="00133E6C">
        <w:rPr>
          <w:snapToGrid w:val="0"/>
          <w:lang w:val="it-IT"/>
        </w:rPr>
        <w:t>déc</w:t>
      </w:r>
      <w:proofErr w:type="spellEnd"/>
      <w:r w:rsidRPr="00133E6C">
        <w:rPr>
          <w:snapToGrid w:val="0"/>
          <w:lang w:val="it-IT"/>
        </w:rPr>
        <w:t>.) [</w:t>
      </w:r>
      <w:proofErr w:type="spellStart"/>
      <w:r w:rsidRPr="00133E6C">
        <w:rPr>
          <w:snapToGrid w:val="0"/>
          <w:lang w:val="it-IT"/>
        </w:rPr>
        <w:t>comité</w:t>
      </w:r>
      <w:proofErr w:type="spellEnd"/>
      <w:r w:rsidRPr="00133E6C">
        <w:rPr>
          <w:snapToGrid w:val="0"/>
          <w:lang w:val="it-IT"/>
        </w:rPr>
        <w:t>], n</w:t>
      </w:r>
      <w:r w:rsidRPr="00133E6C">
        <w:rPr>
          <w:snapToGrid w:val="0"/>
          <w:vertAlign w:val="superscript"/>
          <w:lang w:val="it-IT"/>
        </w:rPr>
        <w:t>o</w:t>
      </w:r>
      <w:r w:rsidRPr="00133E6C">
        <w:rPr>
          <w:snapToGrid w:val="0"/>
          <w:lang w:val="it-IT"/>
        </w:rPr>
        <w:t xml:space="preserve"> 52310/12, § 18, 2 </w:t>
      </w:r>
      <w:proofErr w:type="spellStart"/>
      <w:r w:rsidRPr="00133E6C">
        <w:rPr>
          <w:snapToGrid w:val="0"/>
          <w:lang w:val="it-IT"/>
        </w:rPr>
        <w:t>avril</w:t>
      </w:r>
      <w:proofErr w:type="spellEnd"/>
      <w:r w:rsidRPr="00133E6C">
        <w:rPr>
          <w:snapToGrid w:val="0"/>
          <w:lang w:val="it-IT"/>
        </w:rPr>
        <w:t xml:space="preserve"> 2019).</w:t>
      </w:r>
    </w:p>
    <w:p w:rsidRPr="00133E6C" w:rsidR="0048609C" w:rsidP="00133E6C" w:rsidRDefault="0048609C">
      <w:pPr>
        <w:pStyle w:val="JuHa0"/>
        <w:numPr>
          <w:ilvl w:val="0"/>
          <w:numId w:val="0"/>
        </w:numPr>
        <w:ind w:left="975"/>
        <w:rPr>
          <w:lang w:val="fr-FR"/>
        </w:rPr>
      </w:pPr>
      <w:r w:rsidRPr="00133E6C">
        <w:rPr>
          <w:lang w:val="fr-FR"/>
        </w:rPr>
        <w:t>b)  Application de ces principes en l</w:t>
      </w:r>
      <w:r w:rsidRPr="00133E6C" w:rsidR="00133E6C">
        <w:rPr>
          <w:lang w:val="fr-FR"/>
        </w:rPr>
        <w:t>’</w:t>
      </w:r>
      <w:r w:rsidRPr="00133E6C">
        <w:rPr>
          <w:lang w:val="fr-FR"/>
        </w:rPr>
        <w:t>espèce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34</w:t>
      </w:r>
      <w:r w:rsidRPr="00133E6C">
        <w:fldChar w:fldCharType="end"/>
      </w:r>
      <w:r w:rsidRPr="00133E6C">
        <w:rPr>
          <w:lang w:val="fr-FR"/>
        </w:rPr>
        <w:t>.  La Cour note en l</w:t>
      </w:r>
      <w:r w:rsidRPr="00133E6C" w:rsidR="00133E6C">
        <w:rPr>
          <w:lang w:val="fr-FR"/>
        </w:rPr>
        <w:t>’</w:t>
      </w:r>
      <w:r w:rsidRPr="00133E6C">
        <w:rPr>
          <w:lang w:val="fr-FR"/>
        </w:rPr>
        <w:t>espèce que le requérant, propriétaire et éditeur d</w:t>
      </w:r>
      <w:r w:rsidRPr="00133E6C" w:rsidR="00133E6C">
        <w:rPr>
          <w:lang w:val="fr-FR"/>
        </w:rPr>
        <w:t>’</w:t>
      </w:r>
      <w:r w:rsidRPr="00133E6C">
        <w:rPr>
          <w:lang w:val="fr-FR"/>
        </w:rPr>
        <w:t>un périodique à l</w:t>
      </w:r>
      <w:r w:rsidRPr="00133E6C" w:rsidR="00133E6C">
        <w:rPr>
          <w:lang w:val="fr-FR"/>
        </w:rPr>
        <w:t>’</w:t>
      </w:r>
      <w:r w:rsidRPr="00133E6C">
        <w:rPr>
          <w:lang w:val="fr-FR"/>
        </w:rPr>
        <w:t>époque des faits, a été condamné à un an et trois mois d</w:t>
      </w:r>
      <w:r w:rsidRPr="00133E6C" w:rsidR="00133E6C">
        <w:rPr>
          <w:lang w:val="fr-FR"/>
        </w:rPr>
        <w:t>’</w:t>
      </w:r>
      <w:r w:rsidRPr="00133E6C">
        <w:rPr>
          <w:lang w:val="fr-FR"/>
        </w:rPr>
        <w:t>emprisonnement à l</w:t>
      </w:r>
      <w:r w:rsidRPr="00133E6C" w:rsidR="00133E6C">
        <w:rPr>
          <w:lang w:val="fr-FR"/>
        </w:rPr>
        <w:t>’</w:t>
      </w:r>
      <w:r w:rsidRPr="00133E6C">
        <w:rPr>
          <w:lang w:val="fr-FR"/>
        </w:rPr>
        <w:t>issue d</w:t>
      </w:r>
      <w:r w:rsidRPr="00133E6C" w:rsidR="00133E6C">
        <w:rPr>
          <w:lang w:val="fr-FR"/>
        </w:rPr>
        <w:t>’</w:t>
      </w:r>
      <w:r w:rsidRPr="00133E6C">
        <w:rPr>
          <w:lang w:val="fr-FR"/>
        </w:rPr>
        <w:t>une procédure pénale engagée contre lui pour propagande en faveur d</w:t>
      </w:r>
      <w:r w:rsidRPr="00133E6C" w:rsidR="00133E6C">
        <w:rPr>
          <w:lang w:val="fr-FR"/>
        </w:rPr>
        <w:t>’</w:t>
      </w:r>
      <w:r w:rsidRPr="00133E6C">
        <w:rPr>
          <w:lang w:val="fr-FR"/>
        </w:rPr>
        <w:t>une organisation terroriste à raison d</w:t>
      </w:r>
      <w:r w:rsidRPr="00133E6C" w:rsidR="00133E6C">
        <w:rPr>
          <w:lang w:val="fr-FR"/>
        </w:rPr>
        <w:t>’</w:t>
      </w:r>
      <w:r w:rsidRPr="00133E6C">
        <w:rPr>
          <w:lang w:val="fr-FR"/>
        </w:rPr>
        <w:t>un article publié dans son périodique (paragraphes 7-9 ci-dessus) et que par la suite il a été sursis à l</w:t>
      </w:r>
      <w:r w:rsidRPr="00133E6C" w:rsidR="00133E6C">
        <w:rPr>
          <w:lang w:val="fr-FR"/>
        </w:rPr>
        <w:t>’</w:t>
      </w:r>
      <w:r w:rsidRPr="00133E6C">
        <w:rPr>
          <w:lang w:val="fr-FR"/>
        </w:rPr>
        <w:t>exécution de la peine infligée à l</w:t>
      </w:r>
      <w:r w:rsidRPr="00133E6C" w:rsidR="00133E6C">
        <w:rPr>
          <w:lang w:val="fr-FR"/>
        </w:rPr>
        <w:t>’</w:t>
      </w:r>
      <w:r w:rsidRPr="00133E6C" w:rsidR="00A83CB2">
        <w:rPr>
          <w:lang w:val="fr-FR"/>
        </w:rPr>
        <w:t>intéressé (paragraphe </w:t>
      </w:r>
      <w:r w:rsidRPr="00133E6C">
        <w:rPr>
          <w:lang w:val="fr-FR"/>
        </w:rPr>
        <w:t>10 ci</w:t>
      </w:r>
      <w:r w:rsidRPr="00133E6C">
        <w:rPr>
          <w:lang w:val="fr-FR"/>
        </w:rPr>
        <w:noBreakHyphen/>
        <w:t>dessus).</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35</w:t>
      </w:r>
      <w:r w:rsidRPr="00133E6C">
        <w:fldChar w:fldCharType="end"/>
      </w:r>
      <w:r w:rsidRPr="00133E6C">
        <w:rPr>
          <w:lang w:val="fr-FR"/>
        </w:rPr>
        <w:t>.  Elle considère que, compte tenu de l</w:t>
      </w:r>
      <w:r w:rsidRPr="00133E6C" w:rsidR="00133E6C">
        <w:rPr>
          <w:lang w:val="fr-FR"/>
        </w:rPr>
        <w:t>’</w:t>
      </w:r>
      <w:r w:rsidRPr="00133E6C">
        <w:rPr>
          <w:lang w:val="fr-FR"/>
        </w:rPr>
        <w:t>effet dissuasif que la procédure pénale engagée contre le requérant, qui a duré environ quatre ans et onze mois, la condamnation à une peine d</w:t>
      </w:r>
      <w:r w:rsidRPr="00133E6C" w:rsidR="00133E6C">
        <w:rPr>
          <w:lang w:val="fr-FR"/>
        </w:rPr>
        <w:t>’</w:t>
      </w:r>
      <w:r w:rsidRPr="00133E6C">
        <w:rPr>
          <w:lang w:val="fr-FR"/>
        </w:rPr>
        <w:t>emprisonnement d</w:t>
      </w:r>
      <w:r w:rsidRPr="00133E6C" w:rsidR="00133E6C">
        <w:rPr>
          <w:lang w:val="fr-FR"/>
        </w:rPr>
        <w:t>’</w:t>
      </w:r>
      <w:r w:rsidRPr="00133E6C">
        <w:rPr>
          <w:lang w:val="fr-FR"/>
        </w:rPr>
        <w:t>un an et trois mois prononcée à l</w:t>
      </w:r>
      <w:r w:rsidRPr="00133E6C" w:rsidR="00133E6C">
        <w:rPr>
          <w:lang w:val="fr-FR"/>
        </w:rPr>
        <w:t>’</w:t>
      </w:r>
      <w:r w:rsidRPr="00133E6C">
        <w:rPr>
          <w:lang w:val="fr-FR"/>
        </w:rPr>
        <w:t>issue de cette procédure, ainsi que la décision de sursis à l</w:t>
      </w:r>
      <w:r w:rsidRPr="00133E6C" w:rsidR="00133E6C">
        <w:rPr>
          <w:lang w:val="fr-FR"/>
        </w:rPr>
        <w:t>’</w:t>
      </w:r>
      <w:r w:rsidRPr="00133E6C">
        <w:rPr>
          <w:lang w:val="fr-FR"/>
        </w:rPr>
        <w:t>exécution de la peine, qui a soumis l</w:t>
      </w:r>
      <w:r w:rsidRPr="00133E6C" w:rsidR="00133E6C">
        <w:rPr>
          <w:lang w:val="fr-FR"/>
        </w:rPr>
        <w:t>’</w:t>
      </w:r>
      <w:r w:rsidRPr="00133E6C">
        <w:rPr>
          <w:lang w:val="fr-FR"/>
        </w:rPr>
        <w:t>intéressé à une période de sursis de trois ans, ont pu provoquer, celles-ci s</w:t>
      </w:r>
      <w:r w:rsidRPr="00133E6C" w:rsidR="00133E6C">
        <w:rPr>
          <w:lang w:val="fr-FR"/>
        </w:rPr>
        <w:t>’</w:t>
      </w:r>
      <w:r w:rsidRPr="00133E6C">
        <w:rPr>
          <w:lang w:val="fr-FR"/>
        </w:rPr>
        <w:t>analysent en une ingérence dans l</w:t>
      </w:r>
      <w:r w:rsidRPr="00133E6C" w:rsidR="00133E6C">
        <w:rPr>
          <w:lang w:val="fr-FR"/>
        </w:rPr>
        <w:t>’</w:t>
      </w:r>
      <w:r w:rsidRPr="00133E6C">
        <w:rPr>
          <w:lang w:val="fr-FR"/>
        </w:rPr>
        <w:t>exercice par le requérant de son droit à la liberté d</w:t>
      </w:r>
      <w:r w:rsidRPr="00133E6C" w:rsidR="00133E6C">
        <w:rPr>
          <w:lang w:val="fr-FR"/>
        </w:rPr>
        <w:t>’</w:t>
      </w:r>
      <w:r w:rsidRPr="00133E6C">
        <w:rPr>
          <w:lang w:val="fr-FR"/>
        </w:rPr>
        <w:t>expression (</w:t>
      </w:r>
      <w:proofErr w:type="spellStart"/>
      <w:r w:rsidRPr="00133E6C">
        <w:rPr>
          <w:i/>
          <w:lang w:val="fr-FR"/>
        </w:rPr>
        <w:t>Erdoğdu</w:t>
      </w:r>
      <w:proofErr w:type="spellEnd"/>
      <w:r w:rsidRPr="00133E6C">
        <w:rPr>
          <w:i/>
          <w:lang w:val="fr-FR"/>
        </w:rPr>
        <w:t xml:space="preserve"> c. Turquie</w:t>
      </w:r>
      <w:r w:rsidRPr="00133E6C">
        <w:rPr>
          <w:lang w:val="fr-FR"/>
        </w:rPr>
        <w:t>, n</w:t>
      </w:r>
      <w:r w:rsidRPr="00133E6C">
        <w:rPr>
          <w:vertAlign w:val="superscript"/>
          <w:lang w:val="fr-FR"/>
        </w:rPr>
        <w:t>o</w:t>
      </w:r>
      <w:r w:rsidRPr="00133E6C">
        <w:rPr>
          <w:lang w:val="fr-FR"/>
        </w:rPr>
        <w:t> 25723/94, § 72, CEDH 2000</w:t>
      </w:r>
      <w:r w:rsidRPr="00133E6C">
        <w:rPr>
          <w:rFonts w:hint="eastAsia" w:ascii="MS Mincho" w:hAnsi="MS Mincho" w:eastAsia="MS Mincho" w:cs="MS Mincho"/>
          <w:lang w:val="fr-FR"/>
        </w:rPr>
        <w:t>‑</w:t>
      </w:r>
      <w:r w:rsidRPr="00133E6C">
        <w:rPr>
          <w:lang w:val="fr-FR"/>
        </w:rPr>
        <w:t xml:space="preserve">VI, </w:t>
      </w:r>
      <w:proofErr w:type="spellStart"/>
      <w:r w:rsidRPr="00133E6C">
        <w:rPr>
          <w:i/>
          <w:lang w:val="fr-FR"/>
        </w:rPr>
        <w:t>Dilipak</w:t>
      </w:r>
      <w:proofErr w:type="spellEnd"/>
      <w:r w:rsidRPr="00133E6C">
        <w:rPr>
          <w:i/>
          <w:lang w:val="fr-FR"/>
        </w:rPr>
        <w:t xml:space="preserve"> c. Turquie</w:t>
      </w:r>
      <w:r w:rsidRPr="00133E6C">
        <w:rPr>
          <w:lang w:val="fr-FR"/>
        </w:rPr>
        <w:t>, n</w:t>
      </w:r>
      <w:r w:rsidRPr="00133E6C">
        <w:rPr>
          <w:vertAlign w:val="superscript"/>
          <w:lang w:val="fr-FR"/>
        </w:rPr>
        <w:t>o</w:t>
      </w:r>
      <w:r w:rsidRPr="00133E6C">
        <w:rPr>
          <w:lang w:val="fr-FR"/>
        </w:rPr>
        <w:t xml:space="preserve"> 29680/05, § 51, 15 septembre 2015, </w:t>
      </w:r>
      <w:proofErr w:type="spellStart"/>
      <w:r w:rsidRPr="00133E6C">
        <w:rPr>
          <w:i/>
          <w:iCs/>
          <w:lang w:val="fr-FR"/>
        </w:rPr>
        <w:t>Ergündoğan</w:t>
      </w:r>
      <w:proofErr w:type="spellEnd"/>
      <w:r w:rsidRPr="00133E6C">
        <w:rPr>
          <w:lang w:val="fr-FR"/>
        </w:rPr>
        <w:t xml:space="preserve">, précité, § 26, et </w:t>
      </w:r>
      <w:proofErr w:type="spellStart"/>
      <w:r w:rsidRPr="00133E6C">
        <w:rPr>
          <w:i/>
          <w:lang w:val="fr-FR"/>
        </w:rPr>
        <w:t>Selahattin</w:t>
      </w:r>
      <w:proofErr w:type="spellEnd"/>
      <w:r w:rsidRPr="00133E6C">
        <w:rPr>
          <w:i/>
          <w:lang w:val="fr-FR"/>
        </w:rPr>
        <w:t xml:space="preserve"> </w:t>
      </w:r>
      <w:proofErr w:type="spellStart"/>
      <w:r w:rsidRPr="00133E6C">
        <w:rPr>
          <w:i/>
          <w:lang w:val="fr-FR"/>
        </w:rPr>
        <w:t>Demirtaş</w:t>
      </w:r>
      <w:proofErr w:type="spellEnd"/>
      <w:r w:rsidRPr="00133E6C">
        <w:rPr>
          <w:lang w:val="fr-FR"/>
        </w:rPr>
        <w:t xml:space="preserve">, précité, § 26 ; voir aussi, </w:t>
      </w:r>
      <w:r w:rsidRPr="00133E6C">
        <w:rPr>
          <w:i/>
          <w:lang w:val="fr-FR"/>
        </w:rPr>
        <w:t>a contrario</w:t>
      </w:r>
      <w:r w:rsidRPr="00133E6C">
        <w:rPr>
          <w:lang w:val="fr-FR"/>
        </w:rPr>
        <w:t xml:space="preserve">, </w:t>
      </w:r>
      <w:proofErr w:type="spellStart"/>
      <w:r w:rsidRPr="00133E6C" w:rsidR="00A83CB2">
        <w:rPr>
          <w:i/>
          <w:lang w:val="fr-FR"/>
        </w:rPr>
        <w:t>Otegi</w:t>
      </w:r>
      <w:proofErr w:type="spellEnd"/>
      <w:r w:rsidRPr="00133E6C" w:rsidR="00A83CB2">
        <w:rPr>
          <w:i/>
          <w:lang w:val="fr-FR"/>
        </w:rPr>
        <w:t xml:space="preserve"> </w:t>
      </w:r>
      <w:proofErr w:type="spellStart"/>
      <w:r w:rsidRPr="00133E6C" w:rsidR="00A83CB2">
        <w:rPr>
          <w:i/>
          <w:lang w:val="fr-FR"/>
        </w:rPr>
        <w:t>Mondragon</w:t>
      </w:r>
      <w:proofErr w:type="spellEnd"/>
      <w:r w:rsidRPr="00133E6C" w:rsidR="00A83CB2">
        <w:rPr>
          <w:i/>
          <w:lang w:val="fr-FR"/>
        </w:rPr>
        <w:t xml:space="preserve"> c. </w:t>
      </w:r>
      <w:r w:rsidRPr="00133E6C">
        <w:rPr>
          <w:i/>
          <w:lang w:val="fr-FR"/>
        </w:rPr>
        <w:t>Espagne</w:t>
      </w:r>
      <w:r w:rsidRPr="00133E6C">
        <w:rPr>
          <w:lang w:val="fr-FR"/>
        </w:rPr>
        <w:t>, n</w:t>
      </w:r>
      <w:r w:rsidRPr="00133E6C">
        <w:rPr>
          <w:vertAlign w:val="superscript"/>
          <w:lang w:val="fr-FR"/>
        </w:rPr>
        <w:t>o</w:t>
      </w:r>
      <w:r w:rsidRPr="00133E6C">
        <w:rPr>
          <w:lang w:val="fr-FR"/>
        </w:rPr>
        <w:t xml:space="preserve"> 2034/07, § 60, CEDH 2011).</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36</w:t>
      </w:r>
      <w:r w:rsidRPr="00133E6C">
        <w:fldChar w:fldCharType="end"/>
      </w:r>
      <w:r w:rsidRPr="00133E6C">
        <w:rPr>
          <w:lang w:val="fr-FR"/>
        </w:rPr>
        <w:t>.  La Cour observe ensuite qu</w:t>
      </w:r>
      <w:r w:rsidRPr="00133E6C" w:rsidR="00133E6C">
        <w:rPr>
          <w:lang w:val="fr-FR"/>
        </w:rPr>
        <w:t>’</w:t>
      </w:r>
      <w:r w:rsidRPr="00133E6C">
        <w:rPr>
          <w:lang w:val="fr-FR"/>
        </w:rPr>
        <w:t>il ne prête pas à controverse entre les parties que cette ingérence était prévue par la loi, plus précisément par l</w:t>
      </w:r>
      <w:r w:rsidRPr="00133E6C" w:rsidR="00133E6C">
        <w:rPr>
          <w:lang w:val="fr-FR"/>
        </w:rPr>
        <w:t>’</w:t>
      </w:r>
      <w:r w:rsidRPr="00133E6C">
        <w:rPr>
          <w:lang w:val="fr-FR"/>
        </w:rPr>
        <w:t>article 7 § 2 de la loi n</w:t>
      </w:r>
      <w:r w:rsidRPr="00133E6C">
        <w:rPr>
          <w:vertAlign w:val="superscript"/>
          <w:lang w:val="fr-FR"/>
        </w:rPr>
        <w:t>o</w:t>
      </w:r>
      <w:r w:rsidRPr="00133E6C">
        <w:rPr>
          <w:lang w:val="fr-FR"/>
        </w:rPr>
        <w:t> 3713 (paragraphes 11-14 ci-dessus), et qu</w:t>
      </w:r>
      <w:r w:rsidRPr="00133E6C" w:rsidR="00133E6C">
        <w:rPr>
          <w:lang w:val="fr-FR"/>
        </w:rPr>
        <w:t>’</w:t>
      </w:r>
      <w:r w:rsidRPr="00133E6C">
        <w:rPr>
          <w:lang w:val="fr-FR"/>
        </w:rPr>
        <w:t>elle poursuivait des buts légitimes au regard de l</w:t>
      </w:r>
      <w:r w:rsidRPr="00133E6C" w:rsidR="00133E6C">
        <w:rPr>
          <w:lang w:val="fr-FR"/>
        </w:rPr>
        <w:t>’</w:t>
      </w:r>
      <w:r w:rsidRPr="00133E6C">
        <w:rPr>
          <w:lang w:val="fr-FR"/>
        </w:rPr>
        <w:t>article 10 § 2 de la Convention, à savoir la protection de la sécurité nationale et de la sûreté publique, la défense de l</w:t>
      </w:r>
      <w:r w:rsidRPr="00133E6C" w:rsidR="00133E6C">
        <w:rPr>
          <w:lang w:val="fr-FR"/>
        </w:rPr>
        <w:t>’</w:t>
      </w:r>
      <w:r w:rsidRPr="00133E6C">
        <w:rPr>
          <w:lang w:val="fr-FR"/>
        </w:rPr>
        <w:t>ordre et la prévention du crime.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37</w:t>
      </w:r>
      <w:r w:rsidRPr="00133E6C">
        <w:fldChar w:fldCharType="end"/>
      </w:r>
      <w:r w:rsidRPr="00133E6C">
        <w:rPr>
          <w:lang w:val="fr-FR"/>
        </w:rPr>
        <w:t>.  Quant à la nécessité de l</w:t>
      </w:r>
      <w:r w:rsidRPr="00133E6C" w:rsidR="00133E6C">
        <w:rPr>
          <w:lang w:val="fr-FR"/>
        </w:rPr>
        <w:t>’</w:t>
      </w:r>
      <w:r w:rsidRPr="00133E6C">
        <w:rPr>
          <w:lang w:val="fr-FR"/>
        </w:rPr>
        <w:t>ingérence, la Cour renvoie aux principes susmentionnés qu</w:t>
      </w:r>
      <w:r w:rsidRPr="00133E6C" w:rsidR="00133E6C">
        <w:rPr>
          <w:lang w:val="fr-FR"/>
        </w:rPr>
        <w:t>’</w:t>
      </w:r>
      <w:r w:rsidRPr="00133E6C">
        <w:rPr>
          <w:lang w:val="fr-FR"/>
        </w:rPr>
        <w:t>elle a résumés (paragraphes 28-33 ci-dessus). Elle estime que, pour apprécier si la « nécessité » de l</w:t>
      </w:r>
      <w:r w:rsidRPr="00133E6C" w:rsidR="00133E6C">
        <w:rPr>
          <w:lang w:val="fr-FR"/>
        </w:rPr>
        <w:t>’</w:t>
      </w:r>
      <w:r w:rsidRPr="00133E6C">
        <w:rPr>
          <w:lang w:val="fr-FR"/>
        </w:rPr>
        <w:t>atteinte portée au droit à la liberté d</w:t>
      </w:r>
      <w:r w:rsidRPr="00133E6C" w:rsidR="00133E6C">
        <w:rPr>
          <w:lang w:val="fr-FR"/>
        </w:rPr>
        <w:t>’</w:t>
      </w:r>
      <w:r w:rsidRPr="00133E6C">
        <w:rPr>
          <w:lang w:val="fr-FR"/>
        </w:rPr>
        <w:t>expression du requérant est établie de manière convaincante en l</w:t>
      </w:r>
      <w:r w:rsidRPr="00133E6C" w:rsidR="00133E6C">
        <w:rPr>
          <w:lang w:val="fr-FR"/>
        </w:rPr>
        <w:t>’</w:t>
      </w:r>
      <w:r w:rsidRPr="00133E6C">
        <w:rPr>
          <w:lang w:val="fr-FR"/>
        </w:rPr>
        <w:t>espèce, elle doit, conformément à sa jurisprudence, se déterminer essentiellement à la lumière de la motivation retenue par les juridictions turques à l</w:t>
      </w:r>
      <w:r w:rsidRPr="00133E6C" w:rsidR="00133E6C">
        <w:rPr>
          <w:lang w:val="fr-FR"/>
        </w:rPr>
        <w:t>’</w:t>
      </w:r>
      <w:r w:rsidRPr="00133E6C">
        <w:rPr>
          <w:lang w:val="fr-FR"/>
        </w:rPr>
        <w:t>appui de leur condamnation de l</w:t>
      </w:r>
      <w:r w:rsidRPr="00133E6C" w:rsidR="00133E6C">
        <w:rPr>
          <w:lang w:val="fr-FR"/>
        </w:rPr>
        <w:t>’</w:t>
      </w:r>
      <w:r w:rsidRPr="00133E6C">
        <w:rPr>
          <w:lang w:val="fr-FR"/>
        </w:rPr>
        <w:t>intéressé (</w:t>
      </w:r>
      <w:proofErr w:type="spellStart"/>
      <w:r w:rsidRPr="00133E6C">
        <w:rPr>
          <w:i/>
          <w:iCs/>
          <w:lang w:val="fr-FR"/>
        </w:rPr>
        <w:t>Gözel</w:t>
      </w:r>
      <w:proofErr w:type="spellEnd"/>
      <w:r w:rsidRPr="00133E6C">
        <w:rPr>
          <w:i/>
          <w:iCs/>
          <w:lang w:val="fr-FR"/>
        </w:rPr>
        <w:t xml:space="preserve"> et </w:t>
      </w:r>
      <w:proofErr w:type="spellStart"/>
      <w:r w:rsidRPr="00133E6C">
        <w:rPr>
          <w:i/>
          <w:iCs/>
          <w:lang w:val="fr-FR"/>
        </w:rPr>
        <w:t>Özer</w:t>
      </w:r>
      <w:proofErr w:type="spellEnd"/>
      <w:r w:rsidRPr="00133E6C">
        <w:rPr>
          <w:lang w:val="fr-FR"/>
        </w:rPr>
        <w:t xml:space="preserve">, </w:t>
      </w:r>
      <w:r w:rsidRPr="00133E6C">
        <w:rPr>
          <w:lang w:val="pt-PT"/>
        </w:rPr>
        <w:t>n</w:t>
      </w:r>
      <w:r w:rsidRPr="00133E6C">
        <w:rPr>
          <w:vertAlign w:val="superscript"/>
          <w:lang w:val="pt-PT"/>
        </w:rPr>
        <w:t>os</w:t>
      </w:r>
      <w:r w:rsidRPr="00133E6C" w:rsidR="00A83CB2">
        <w:rPr>
          <w:lang w:val="fr-FR"/>
        </w:rPr>
        <w:t xml:space="preserve"> 43453/04 et 31098/05, § </w:t>
      </w:r>
      <w:r w:rsidRPr="00133E6C">
        <w:rPr>
          <w:lang w:val="fr-FR"/>
        </w:rPr>
        <w:t>51, 6 juillet 2010).</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38</w:t>
      </w:r>
      <w:r w:rsidRPr="00133E6C">
        <w:fldChar w:fldCharType="end"/>
      </w:r>
      <w:r w:rsidRPr="00133E6C">
        <w:rPr>
          <w:lang w:val="fr-FR"/>
        </w:rPr>
        <w:t>.  Procédant à une analyse de l</w:t>
      </w:r>
      <w:r w:rsidRPr="00133E6C" w:rsidR="00133E6C">
        <w:rPr>
          <w:lang w:val="fr-FR"/>
        </w:rPr>
        <w:t>’</w:t>
      </w:r>
      <w:r w:rsidRPr="00133E6C">
        <w:rPr>
          <w:lang w:val="fr-FR"/>
        </w:rPr>
        <w:t>arrêt de condamnation de la cour d</w:t>
      </w:r>
      <w:r w:rsidRPr="00133E6C" w:rsidR="00133E6C">
        <w:rPr>
          <w:lang w:val="fr-FR"/>
        </w:rPr>
        <w:t>’</w:t>
      </w:r>
      <w:r w:rsidRPr="00133E6C">
        <w:rPr>
          <w:lang w:val="fr-FR"/>
        </w:rPr>
        <w:t>assises, la Cour note que cette juridiction a considéré que certains passages de l</w:t>
      </w:r>
      <w:r w:rsidRPr="00133E6C" w:rsidR="00133E6C">
        <w:rPr>
          <w:lang w:val="fr-FR"/>
        </w:rPr>
        <w:t>’</w:t>
      </w:r>
      <w:r w:rsidRPr="00133E6C">
        <w:rPr>
          <w:lang w:val="fr-FR"/>
        </w:rPr>
        <w:t>article litigieux, qu</w:t>
      </w:r>
      <w:r w:rsidRPr="00133E6C" w:rsidR="00133E6C">
        <w:rPr>
          <w:lang w:val="fr-FR"/>
        </w:rPr>
        <w:t>’</w:t>
      </w:r>
      <w:r w:rsidRPr="00133E6C">
        <w:rPr>
          <w:lang w:val="fr-FR"/>
        </w:rPr>
        <w:t>elle a relatés dans son arrêt, dépassaient les limites du but d</w:t>
      </w:r>
      <w:r w:rsidRPr="00133E6C" w:rsidR="00133E6C">
        <w:rPr>
          <w:lang w:val="fr-FR"/>
        </w:rPr>
        <w:t>’</w:t>
      </w:r>
      <w:r w:rsidRPr="00133E6C">
        <w:rPr>
          <w:lang w:val="fr-FR"/>
        </w:rPr>
        <w:t>information de la société et étaient de nature à faire de la propagande en faveur du PKK et qu</w:t>
      </w:r>
      <w:r w:rsidRPr="00133E6C" w:rsidR="00133E6C">
        <w:rPr>
          <w:lang w:val="fr-FR"/>
        </w:rPr>
        <w:t>’</w:t>
      </w:r>
      <w:r w:rsidRPr="00133E6C">
        <w:rPr>
          <w:lang w:val="fr-FR"/>
        </w:rPr>
        <w:t>ils ne correspondaient donc pas à un exercice de la liberté d</w:t>
      </w:r>
      <w:r w:rsidRPr="00133E6C" w:rsidR="00133E6C">
        <w:rPr>
          <w:lang w:val="fr-FR"/>
        </w:rPr>
        <w:t>’</w:t>
      </w:r>
      <w:r w:rsidRPr="00133E6C">
        <w:rPr>
          <w:lang w:val="fr-FR"/>
        </w:rPr>
        <w:t>expression au sens de l</w:t>
      </w:r>
      <w:r w:rsidRPr="00133E6C" w:rsidR="00133E6C">
        <w:rPr>
          <w:lang w:val="fr-FR"/>
        </w:rPr>
        <w:t>’</w:t>
      </w:r>
      <w:r w:rsidRPr="00133E6C">
        <w:rPr>
          <w:lang w:val="fr-FR"/>
        </w:rPr>
        <w:t>article 10 de la Convention, mais à un abus de cette liberté au sens du deuxième paragraphe de cette disposition (paragraphe 8 ci-dessus). La Cour de cassation, quant à elle, a confirmé l</w:t>
      </w:r>
      <w:r w:rsidRPr="00133E6C" w:rsidR="00133E6C">
        <w:rPr>
          <w:lang w:val="fr-FR"/>
        </w:rPr>
        <w:t>’</w:t>
      </w:r>
      <w:r w:rsidRPr="00133E6C">
        <w:rPr>
          <w:lang w:val="fr-FR"/>
        </w:rPr>
        <w:t>arrêt de la cour d</w:t>
      </w:r>
      <w:r w:rsidRPr="00133E6C" w:rsidR="00133E6C">
        <w:rPr>
          <w:lang w:val="fr-FR"/>
        </w:rPr>
        <w:t>’</w:t>
      </w:r>
      <w:r w:rsidRPr="00133E6C">
        <w:rPr>
          <w:lang w:val="fr-FR"/>
        </w:rPr>
        <w:t>assises au motif qu</w:t>
      </w:r>
      <w:r w:rsidRPr="00133E6C" w:rsidR="00133E6C">
        <w:rPr>
          <w:lang w:val="fr-FR"/>
        </w:rPr>
        <w:t>’</w:t>
      </w:r>
      <w:r w:rsidRPr="00133E6C">
        <w:rPr>
          <w:lang w:val="fr-FR"/>
        </w:rPr>
        <w:t>elle n</w:t>
      </w:r>
      <w:r w:rsidRPr="00133E6C" w:rsidR="00133E6C">
        <w:rPr>
          <w:lang w:val="fr-FR"/>
        </w:rPr>
        <w:t>’</w:t>
      </w:r>
      <w:r w:rsidRPr="00133E6C">
        <w:rPr>
          <w:lang w:val="fr-FR"/>
        </w:rPr>
        <w:t>avait décelé aucun défaut de pertinence dans cet arrêt (paragraphe 9 ci-dessus).</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39</w:t>
      </w:r>
      <w:r w:rsidRPr="00133E6C">
        <w:fldChar w:fldCharType="end"/>
      </w:r>
      <w:r w:rsidRPr="00133E6C">
        <w:rPr>
          <w:lang w:val="fr-FR"/>
        </w:rPr>
        <w:t>.  La Cour ne peut que constater en l</w:t>
      </w:r>
      <w:r w:rsidRPr="00133E6C" w:rsidR="00133E6C">
        <w:rPr>
          <w:lang w:val="fr-FR"/>
        </w:rPr>
        <w:t>’</w:t>
      </w:r>
      <w:r w:rsidRPr="00133E6C">
        <w:rPr>
          <w:lang w:val="fr-FR"/>
        </w:rPr>
        <w:t>occurrence que l</w:t>
      </w:r>
      <w:r w:rsidRPr="00133E6C" w:rsidR="00133E6C">
        <w:rPr>
          <w:lang w:val="fr-FR"/>
        </w:rPr>
        <w:t>’</w:t>
      </w:r>
      <w:r w:rsidRPr="00133E6C">
        <w:rPr>
          <w:lang w:val="fr-FR"/>
        </w:rPr>
        <w:t>examen effectué par les juridictions nationales en l</w:t>
      </w:r>
      <w:r w:rsidRPr="00133E6C" w:rsidR="00133E6C">
        <w:rPr>
          <w:lang w:val="fr-FR"/>
        </w:rPr>
        <w:t>’</w:t>
      </w:r>
      <w:r w:rsidRPr="00133E6C">
        <w:rPr>
          <w:lang w:val="fr-FR"/>
        </w:rPr>
        <w:t>espèce n</w:t>
      </w:r>
      <w:r w:rsidRPr="00133E6C" w:rsidR="00133E6C">
        <w:rPr>
          <w:lang w:val="fr-FR"/>
        </w:rPr>
        <w:t>’</w:t>
      </w:r>
      <w:r w:rsidRPr="00133E6C">
        <w:rPr>
          <w:lang w:val="fr-FR"/>
        </w:rPr>
        <w:t>a pas pris en compte tous les principes établis dans sa jurisprudence sous l</w:t>
      </w:r>
      <w:r w:rsidRPr="00133E6C" w:rsidR="00133E6C">
        <w:rPr>
          <w:lang w:val="fr-FR"/>
        </w:rPr>
        <w:t>’</w:t>
      </w:r>
      <w:r w:rsidRPr="00133E6C">
        <w:rPr>
          <w:lang w:val="fr-FR"/>
        </w:rPr>
        <w:t>angle de l</w:t>
      </w:r>
      <w:r w:rsidRPr="00133E6C" w:rsidR="00133E6C">
        <w:rPr>
          <w:lang w:val="fr-FR"/>
        </w:rPr>
        <w:t>’</w:t>
      </w:r>
      <w:r w:rsidRPr="00133E6C">
        <w:rPr>
          <w:lang w:val="fr-FR"/>
        </w:rPr>
        <w:t>article 10 de la Convention concernant les propos, verbaux ou écrits, présentés comme alimentant ou justifiant la violence, la haine ou l</w:t>
      </w:r>
      <w:r w:rsidRPr="00133E6C" w:rsidR="00133E6C">
        <w:rPr>
          <w:lang w:val="fr-FR"/>
        </w:rPr>
        <w:t>’</w:t>
      </w:r>
      <w:r w:rsidRPr="00133E6C">
        <w:rPr>
          <w:lang w:val="fr-FR"/>
        </w:rPr>
        <w:t>intolérance (</w:t>
      </w:r>
      <w:proofErr w:type="spellStart"/>
      <w:r w:rsidRPr="00133E6C">
        <w:rPr>
          <w:i/>
          <w:lang w:val="pt-PT"/>
        </w:rPr>
        <w:t>Perinçek</w:t>
      </w:r>
      <w:proofErr w:type="spellEnd"/>
      <w:r w:rsidRPr="00133E6C">
        <w:rPr>
          <w:lang w:val="pt-PT"/>
        </w:rPr>
        <w:t xml:space="preserve">, </w:t>
      </w:r>
      <w:proofErr w:type="spellStart"/>
      <w:r w:rsidRPr="00133E6C">
        <w:rPr>
          <w:lang w:val="pt-PT"/>
        </w:rPr>
        <w:t>précité</w:t>
      </w:r>
      <w:proofErr w:type="spellEnd"/>
      <w:r w:rsidRPr="00133E6C">
        <w:rPr>
          <w:lang w:val="pt-PT"/>
        </w:rPr>
        <w:t>, § 208</w:t>
      </w:r>
      <w:r w:rsidRPr="00133E6C">
        <w:rPr>
          <w:lang w:val="fr-FR"/>
        </w:rPr>
        <w:t>), dès lors qu</w:t>
      </w:r>
      <w:r w:rsidRPr="00133E6C" w:rsidR="00133E6C">
        <w:rPr>
          <w:lang w:val="fr-FR"/>
        </w:rPr>
        <w:t>’</w:t>
      </w:r>
      <w:r w:rsidRPr="00133E6C">
        <w:rPr>
          <w:lang w:val="fr-FR"/>
        </w:rPr>
        <w:t>il ne répond pas à la question de savoir si les passages litigieux de l</w:t>
      </w:r>
      <w:r w:rsidRPr="00133E6C" w:rsidR="00133E6C">
        <w:rPr>
          <w:lang w:val="fr-FR"/>
        </w:rPr>
        <w:t>’</w:t>
      </w:r>
      <w:r w:rsidRPr="00133E6C">
        <w:rPr>
          <w:lang w:val="fr-FR"/>
        </w:rPr>
        <w:t>article en cause pouvaient être considérés, eu égard à leur contenu, au contexte dans lequel ils s</w:t>
      </w:r>
      <w:r w:rsidRPr="00133E6C" w:rsidR="00133E6C">
        <w:rPr>
          <w:lang w:val="fr-FR"/>
        </w:rPr>
        <w:t>’</w:t>
      </w:r>
      <w:r w:rsidRPr="00133E6C">
        <w:rPr>
          <w:lang w:val="fr-FR"/>
        </w:rPr>
        <w:t>inscrivaient et à leur capacité de nuire comme renfermant une incitation à l</w:t>
      </w:r>
      <w:r w:rsidRPr="00133E6C" w:rsidR="00133E6C">
        <w:rPr>
          <w:lang w:val="fr-FR"/>
        </w:rPr>
        <w:t>’</w:t>
      </w:r>
      <w:r w:rsidRPr="00133E6C">
        <w:rPr>
          <w:lang w:val="fr-FR"/>
        </w:rPr>
        <w:t>usage de la violence, à la résistance armée ou au soulèvement, ou comme constituant un discours de haine</w:t>
      </w:r>
      <w:r w:rsidRPr="00133E6C">
        <w:rPr>
          <w:i/>
          <w:lang w:val="fr-FR"/>
        </w:rPr>
        <w:t xml:space="preserve"> </w:t>
      </w:r>
      <w:r w:rsidRPr="00133E6C">
        <w:rPr>
          <w:lang w:val="fr-FR"/>
        </w:rPr>
        <w:t>(paragraphe 31 ci-dessus). Elle estime, par conséquent, que les autorités nationales n</w:t>
      </w:r>
      <w:r w:rsidRPr="00133E6C" w:rsidR="00133E6C">
        <w:rPr>
          <w:lang w:val="fr-FR"/>
        </w:rPr>
        <w:t>’</w:t>
      </w:r>
      <w:r w:rsidRPr="00133E6C">
        <w:rPr>
          <w:lang w:val="fr-FR"/>
        </w:rPr>
        <w:t>ont pas procédé à une analyse appropriée au regard de tous les critères énoncés et mis en œuvre par elle dans les affaires relatives à la liberté d</w:t>
      </w:r>
      <w:r w:rsidRPr="00133E6C" w:rsidR="00133E6C">
        <w:rPr>
          <w:lang w:val="fr-FR"/>
        </w:rPr>
        <w:t>’</w:t>
      </w:r>
      <w:r w:rsidRPr="00133E6C">
        <w:rPr>
          <w:lang w:val="fr-FR"/>
        </w:rPr>
        <w:t>expression (</w:t>
      </w:r>
      <w:r w:rsidRPr="00133E6C">
        <w:rPr>
          <w:i/>
          <w:lang w:val="fr-FR"/>
        </w:rPr>
        <w:t>ibidem</w:t>
      </w:r>
      <w:r w:rsidRPr="00133E6C">
        <w:rPr>
          <w:lang w:val="fr-FR"/>
        </w:rPr>
        <w:t>).</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40</w:t>
      </w:r>
      <w:r w:rsidRPr="00133E6C">
        <w:fldChar w:fldCharType="end"/>
      </w:r>
      <w:r w:rsidRPr="00133E6C">
        <w:rPr>
          <w:lang w:val="fr-FR"/>
        </w:rPr>
        <w:t>.  Elle estime dès lors que le Gouvernement n</w:t>
      </w:r>
      <w:r w:rsidRPr="00133E6C" w:rsidR="00133E6C">
        <w:rPr>
          <w:lang w:val="fr-FR"/>
        </w:rPr>
        <w:t>’</w:t>
      </w:r>
      <w:r w:rsidRPr="00133E6C">
        <w:rPr>
          <w:lang w:val="fr-FR"/>
        </w:rPr>
        <w:t>a pas démontré que la mesure incriminée répondait à un besoin social impérieux, qu</w:t>
      </w:r>
      <w:r w:rsidRPr="00133E6C" w:rsidR="00133E6C">
        <w:rPr>
          <w:lang w:val="fr-FR"/>
        </w:rPr>
        <w:t>’</w:t>
      </w:r>
      <w:r w:rsidRPr="00133E6C">
        <w:rPr>
          <w:lang w:val="fr-FR"/>
        </w:rPr>
        <w:t>elle était proportionnée aux buts légitimes visés et qu</w:t>
      </w:r>
      <w:r w:rsidRPr="00133E6C" w:rsidR="00133E6C">
        <w:rPr>
          <w:lang w:val="fr-FR"/>
        </w:rPr>
        <w:t>’</w:t>
      </w:r>
      <w:r w:rsidRPr="00133E6C">
        <w:rPr>
          <w:lang w:val="fr-FR"/>
        </w:rPr>
        <w:t>elle était nécessaire dans une société démocratique.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41</w:t>
      </w:r>
      <w:r w:rsidRPr="00133E6C">
        <w:fldChar w:fldCharType="end"/>
      </w:r>
      <w:r w:rsidRPr="00133E6C">
        <w:rPr>
          <w:lang w:val="fr-FR"/>
        </w:rPr>
        <w:t>.  Partant, il y a eu violation de l</w:t>
      </w:r>
      <w:r w:rsidRPr="00133E6C" w:rsidR="00133E6C">
        <w:rPr>
          <w:lang w:val="fr-FR"/>
        </w:rPr>
        <w:t>’</w:t>
      </w:r>
      <w:r w:rsidRPr="00133E6C">
        <w:rPr>
          <w:lang w:val="fr-FR"/>
        </w:rPr>
        <w:t>article 10 de la Convention.</w:t>
      </w:r>
    </w:p>
    <w:p w:rsidRPr="00133E6C" w:rsidR="0048609C" w:rsidP="00133E6C" w:rsidRDefault="0048609C">
      <w:pPr>
        <w:pStyle w:val="JuHIRoman"/>
        <w:numPr>
          <w:ilvl w:val="0"/>
          <w:numId w:val="0"/>
        </w:numPr>
        <w:ind w:left="357"/>
        <w:rPr>
          <w:lang w:val="fr-FR"/>
        </w:rPr>
      </w:pPr>
      <w:r w:rsidRPr="00133E6C">
        <w:rPr>
          <w:rFonts w:asciiTheme="majorHAnsi" w:hAnsiTheme="majorHAnsi" w:eastAsiaTheme="majorEastAsia" w:cstheme="majorBidi"/>
          <w:bCs/>
          <w:szCs w:val="28"/>
          <w:lang w:val="es-ES_tradnl"/>
        </w:rPr>
        <w:t>II.  </w:t>
      </w:r>
      <w:r w:rsidRPr="00133E6C">
        <w:rPr>
          <w:lang w:val="fr-FR"/>
        </w:rPr>
        <w:t>SUR L</w:t>
      </w:r>
      <w:r w:rsidRPr="00133E6C" w:rsidR="00133E6C">
        <w:rPr>
          <w:lang w:val="fr-FR"/>
        </w:rPr>
        <w:t>’</w:t>
      </w:r>
      <w:r w:rsidRPr="00133E6C">
        <w:rPr>
          <w:lang w:val="fr-FR"/>
        </w:rPr>
        <w:t>APPLICATION DE L</w:t>
      </w:r>
      <w:r w:rsidRPr="00133E6C" w:rsidR="00133E6C">
        <w:rPr>
          <w:lang w:val="fr-FR"/>
        </w:rPr>
        <w:t>’</w:t>
      </w:r>
      <w:r w:rsidRPr="00133E6C">
        <w:rPr>
          <w:lang w:val="fr-FR"/>
        </w:rPr>
        <w:t>ARTICLE 41 DE LA CONVENTION</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42</w:t>
      </w:r>
      <w:r w:rsidRPr="00133E6C">
        <w:fldChar w:fldCharType="end"/>
      </w:r>
      <w:r w:rsidRPr="00133E6C">
        <w:rPr>
          <w:lang w:val="fr-FR"/>
        </w:rPr>
        <w:t>.  Aux termes de l</w:t>
      </w:r>
      <w:r w:rsidRPr="00133E6C" w:rsidR="00133E6C">
        <w:rPr>
          <w:lang w:val="fr-FR"/>
        </w:rPr>
        <w:t>’</w:t>
      </w:r>
      <w:r w:rsidRPr="00133E6C">
        <w:rPr>
          <w:lang w:val="fr-FR"/>
        </w:rPr>
        <w:t>article 41 de la Convention,</w:t>
      </w:r>
    </w:p>
    <w:p w:rsidRPr="00133E6C" w:rsidR="0048609C" w:rsidP="00133E6C" w:rsidRDefault="0048609C">
      <w:pPr>
        <w:pStyle w:val="JuQuot"/>
        <w:keepNext/>
        <w:keepLines/>
        <w:rPr>
          <w:lang w:val="fr-FR"/>
        </w:rPr>
      </w:pPr>
      <w:r w:rsidRPr="00133E6C">
        <w:rPr>
          <w:lang w:val="fr-FR"/>
        </w:rPr>
        <w:t>« Si la Cour déclare qu</w:t>
      </w:r>
      <w:r w:rsidRPr="00133E6C" w:rsidR="00133E6C">
        <w:rPr>
          <w:lang w:val="fr-FR"/>
        </w:rPr>
        <w:t>’</w:t>
      </w:r>
      <w:r w:rsidRPr="00133E6C">
        <w:rPr>
          <w:lang w:val="fr-FR"/>
        </w:rPr>
        <w:t>il y a eu violation de la Convention ou de ses Protocoles, et si le droit interne de la Haute Partie contractante ne permet d</w:t>
      </w:r>
      <w:r w:rsidRPr="00133E6C" w:rsidR="00133E6C">
        <w:rPr>
          <w:lang w:val="fr-FR"/>
        </w:rPr>
        <w:t>’</w:t>
      </w:r>
      <w:r w:rsidRPr="00133E6C">
        <w:rPr>
          <w:lang w:val="fr-FR"/>
        </w:rPr>
        <w:t>effacer qu</w:t>
      </w:r>
      <w:r w:rsidRPr="00133E6C" w:rsidR="00133E6C">
        <w:rPr>
          <w:lang w:val="fr-FR"/>
        </w:rPr>
        <w:t>’</w:t>
      </w:r>
      <w:r w:rsidRPr="00133E6C">
        <w:rPr>
          <w:lang w:val="fr-FR"/>
        </w:rPr>
        <w:t>imparfaitement les conséquences de cette violation, la Cour accorde à la partie lésée, s</w:t>
      </w:r>
      <w:r w:rsidRPr="00133E6C" w:rsidR="00133E6C">
        <w:rPr>
          <w:lang w:val="fr-FR"/>
        </w:rPr>
        <w:t>’</w:t>
      </w:r>
      <w:r w:rsidRPr="00133E6C">
        <w:rPr>
          <w:lang w:val="fr-FR"/>
        </w:rPr>
        <w:t>il y a lieu, une satisfaction équitable. »</w:t>
      </w:r>
    </w:p>
    <w:p w:rsidRPr="00133E6C" w:rsidR="0048609C" w:rsidP="00133E6C" w:rsidRDefault="0048609C">
      <w:pPr>
        <w:pStyle w:val="JuHA"/>
        <w:numPr>
          <w:ilvl w:val="0"/>
          <w:numId w:val="0"/>
        </w:numPr>
        <w:ind w:left="584" w:hanging="352"/>
        <w:rPr>
          <w:lang w:val="fr-FR"/>
        </w:rPr>
      </w:pPr>
      <w:r w:rsidRPr="00133E6C">
        <w:rPr>
          <w:lang w:val="fr-FR"/>
        </w:rPr>
        <w:t>A.  Dommage</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43</w:t>
      </w:r>
      <w:r w:rsidRPr="00133E6C">
        <w:fldChar w:fldCharType="end"/>
      </w:r>
      <w:r w:rsidRPr="00133E6C">
        <w:rPr>
          <w:lang w:val="fr-FR"/>
        </w:rPr>
        <w:t>.  Le requérant réclame 3 000 euros (EUR) au titre du préjudice matériel qu</w:t>
      </w:r>
      <w:r w:rsidRPr="00133E6C" w:rsidR="00133E6C">
        <w:rPr>
          <w:lang w:val="fr-FR"/>
        </w:rPr>
        <w:t>’</w:t>
      </w:r>
      <w:r w:rsidRPr="00133E6C">
        <w:rPr>
          <w:lang w:val="fr-FR"/>
        </w:rPr>
        <w:t>il dit avoir subi, soutenant, à ce propos, qu</w:t>
      </w:r>
      <w:r w:rsidRPr="00133E6C" w:rsidR="00133E6C">
        <w:rPr>
          <w:lang w:val="fr-FR"/>
        </w:rPr>
        <w:t>’</w:t>
      </w:r>
      <w:r w:rsidRPr="00133E6C">
        <w:rPr>
          <w:lang w:val="fr-FR"/>
        </w:rPr>
        <w:t>il a été contraint de quitter son poste d</w:t>
      </w:r>
      <w:r w:rsidRPr="00133E6C" w:rsidR="00133E6C">
        <w:rPr>
          <w:lang w:val="fr-FR"/>
        </w:rPr>
        <w:t>’</w:t>
      </w:r>
      <w:r w:rsidRPr="00133E6C">
        <w:rPr>
          <w:lang w:val="fr-FR"/>
        </w:rPr>
        <w:t>éditeur en raison de sa condamnation pénale. Il ne présente aucun document à cet égard. Il sollicite en outre 5 000 EUR au titre du préjudice moral qu</w:t>
      </w:r>
      <w:r w:rsidRPr="00133E6C" w:rsidR="00133E6C">
        <w:rPr>
          <w:lang w:val="fr-FR"/>
        </w:rPr>
        <w:t>’</w:t>
      </w:r>
      <w:r w:rsidRPr="00133E6C">
        <w:rPr>
          <w:lang w:val="fr-FR"/>
        </w:rPr>
        <w:t>il estime avoir subi.</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44</w:t>
      </w:r>
      <w:r w:rsidRPr="00133E6C">
        <w:fldChar w:fldCharType="end"/>
      </w:r>
      <w:r w:rsidRPr="00133E6C">
        <w:rPr>
          <w:lang w:val="fr-FR"/>
        </w:rPr>
        <w:t>.  Le Gouvernement considère qu</w:t>
      </w:r>
      <w:r w:rsidRPr="00133E6C" w:rsidR="00133E6C">
        <w:rPr>
          <w:lang w:val="fr-FR"/>
        </w:rPr>
        <w:t>’</w:t>
      </w:r>
      <w:r w:rsidRPr="00133E6C">
        <w:rPr>
          <w:lang w:val="fr-FR"/>
        </w:rPr>
        <w:t>il n</w:t>
      </w:r>
      <w:r w:rsidRPr="00133E6C" w:rsidR="00133E6C">
        <w:rPr>
          <w:lang w:val="fr-FR"/>
        </w:rPr>
        <w:t>’</w:t>
      </w:r>
      <w:r w:rsidRPr="00133E6C">
        <w:rPr>
          <w:lang w:val="fr-FR"/>
        </w:rPr>
        <w:t>y a pas de lien de causalité entre la violation alléguée et la demande présentée pour préjudice matériel, qui, selon lui, est non étayée par des documents pertinents. Il estime</w:t>
      </w:r>
      <w:r w:rsidRPr="00133E6C">
        <w:rPr>
          <w:lang w:val="fr-FR" w:eastAsia="en-GB"/>
        </w:rPr>
        <w:t xml:space="preserve"> en outre que les montants sollicités au titre des préjudices matériel et moral sont excessifs et qu</w:t>
      </w:r>
      <w:r w:rsidRPr="00133E6C" w:rsidR="00133E6C">
        <w:rPr>
          <w:lang w:val="fr-FR" w:eastAsia="en-GB"/>
        </w:rPr>
        <w:t>’</w:t>
      </w:r>
      <w:r w:rsidRPr="00133E6C">
        <w:rPr>
          <w:lang w:val="fr-FR" w:eastAsia="en-GB"/>
        </w:rPr>
        <w:t>ils ne correspondent pas aux montants accordés dans la jurisprudence de la Cour.</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45</w:t>
      </w:r>
      <w:r w:rsidRPr="00133E6C">
        <w:fldChar w:fldCharType="end"/>
      </w:r>
      <w:r w:rsidRPr="00133E6C">
        <w:rPr>
          <w:lang w:val="fr-FR"/>
        </w:rPr>
        <w:t>.  La Cour observe que le requérant n</w:t>
      </w:r>
      <w:r w:rsidRPr="00133E6C" w:rsidR="00133E6C">
        <w:rPr>
          <w:lang w:val="fr-FR"/>
        </w:rPr>
        <w:t>’</w:t>
      </w:r>
      <w:r w:rsidRPr="00133E6C">
        <w:rPr>
          <w:lang w:val="fr-FR"/>
        </w:rPr>
        <w:t>a pas démontré le lien de causalité entre la violation constatée et le dommage matériel allégué, et elle rejette la demande y afférente. En revanche, elle considère qu</w:t>
      </w:r>
      <w:r w:rsidRPr="00133E6C" w:rsidR="00133E6C">
        <w:rPr>
          <w:lang w:val="fr-FR"/>
        </w:rPr>
        <w:t>’</w:t>
      </w:r>
      <w:r w:rsidRPr="00133E6C">
        <w:rPr>
          <w:lang w:val="fr-FR"/>
        </w:rPr>
        <w:t>il y a lieu d</w:t>
      </w:r>
      <w:r w:rsidRPr="00133E6C" w:rsidR="00133E6C">
        <w:rPr>
          <w:lang w:val="fr-FR"/>
        </w:rPr>
        <w:t>’</w:t>
      </w:r>
      <w:r w:rsidRPr="00133E6C">
        <w:rPr>
          <w:lang w:val="fr-FR"/>
        </w:rPr>
        <w:t>octroyer au requérant 2 000 EUR au titre du préjudice moral.</w:t>
      </w:r>
    </w:p>
    <w:p w:rsidRPr="00133E6C" w:rsidR="0048609C" w:rsidP="00133E6C" w:rsidRDefault="0048609C">
      <w:pPr>
        <w:pStyle w:val="JuHA"/>
        <w:numPr>
          <w:ilvl w:val="0"/>
          <w:numId w:val="0"/>
        </w:numPr>
        <w:ind w:left="232"/>
        <w:rPr>
          <w:lang w:val="fr-FR"/>
        </w:rPr>
      </w:pPr>
      <w:r w:rsidRPr="00133E6C">
        <w:rPr>
          <w:lang w:val="fr-FR"/>
        </w:rPr>
        <w:t>B.  Frais et dépens</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46</w:t>
      </w:r>
      <w:r w:rsidRPr="00133E6C">
        <w:fldChar w:fldCharType="end"/>
      </w:r>
      <w:r w:rsidRPr="00133E6C">
        <w:rPr>
          <w:lang w:val="fr-FR"/>
        </w:rPr>
        <w:t>.  Le requérant réclame également 2 000 EUR au titre des frais et dépens. Il ne présente aucun document à l</w:t>
      </w:r>
      <w:r w:rsidRPr="00133E6C" w:rsidR="00133E6C">
        <w:rPr>
          <w:lang w:val="fr-FR"/>
        </w:rPr>
        <w:t>’</w:t>
      </w:r>
      <w:r w:rsidRPr="00133E6C">
        <w:rPr>
          <w:lang w:val="fr-FR"/>
        </w:rPr>
        <w:t>appui de cette demande.</w:t>
      </w:r>
    </w:p>
    <w:p w:rsidRPr="00133E6C" w:rsidR="0048609C" w:rsidP="00133E6C" w:rsidRDefault="0048609C">
      <w:pPr>
        <w:pStyle w:val="JuPara"/>
        <w:rPr>
          <w:lang w:val="fr-FR" w:eastAsia="en-GB"/>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47</w:t>
      </w:r>
      <w:r w:rsidRPr="00133E6C">
        <w:fldChar w:fldCharType="end"/>
      </w:r>
      <w:r w:rsidRPr="00133E6C">
        <w:rPr>
          <w:lang w:val="fr-FR"/>
        </w:rPr>
        <w:t xml:space="preserve">.  Le Gouvernement </w:t>
      </w:r>
      <w:r w:rsidRPr="00133E6C">
        <w:rPr>
          <w:lang w:val="fr-FR" w:eastAsia="en-GB"/>
        </w:rPr>
        <w:t>expose que le requérant n</w:t>
      </w:r>
      <w:r w:rsidRPr="00133E6C" w:rsidR="00133E6C">
        <w:rPr>
          <w:lang w:val="fr-FR" w:eastAsia="en-GB"/>
        </w:rPr>
        <w:t>’</w:t>
      </w:r>
      <w:r w:rsidRPr="00133E6C">
        <w:rPr>
          <w:lang w:val="fr-FR" w:eastAsia="en-GB"/>
        </w:rPr>
        <w:t>a présenté aucun justificatif de paiement ou autre document pour étayer les frais allégués, qui, selon lui, ne sont pas suffisamment détaillés.</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48</w:t>
      </w:r>
      <w:r w:rsidRPr="00133E6C">
        <w:fldChar w:fldCharType="end"/>
      </w:r>
      <w:r w:rsidRPr="00133E6C">
        <w:rPr>
          <w:lang w:val="fr-FR"/>
        </w:rPr>
        <w:t>.  Selon la jurisprudence de la Cour, un requérant ne peut obtenir le remboursement de ses frais et dépens que dans la mesure où se trouvent établis leur réalité, leur nécessité et le caractère raisonnable de leur taux. En l</w:t>
      </w:r>
      <w:r w:rsidRPr="00133E6C" w:rsidR="00133E6C">
        <w:rPr>
          <w:lang w:val="fr-FR"/>
        </w:rPr>
        <w:t>’</w:t>
      </w:r>
      <w:r w:rsidRPr="00133E6C">
        <w:rPr>
          <w:lang w:val="fr-FR"/>
        </w:rPr>
        <w:t>espèce, compte tenu des documents dont elle dispose et de sa jurisprudence, la Cour rejette la demande relative aux frais et dépens faute pour le requérant d</w:t>
      </w:r>
      <w:r w:rsidRPr="00133E6C" w:rsidR="00133E6C">
        <w:rPr>
          <w:lang w:val="fr-FR"/>
        </w:rPr>
        <w:t>’</w:t>
      </w:r>
      <w:r w:rsidRPr="00133E6C">
        <w:rPr>
          <w:lang w:val="fr-FR"/>
        </w:rPr>
        <w:t>avoir fourni de justificatifs à cet égard.</w:t>
      </w:r>
    </w:p>
    <w:p w:rsidRPr="00133E6C" w:rsidR="0048609C" w:rsidP="00133E6C" w:rsidRDefault="0048609C">
      <w:pPr>
        <w:pStyle w:val="JuHA"/>
        <w:numPr>
          <w:ilvl w:val="0"/>
          <w:numId w:val="0"/>
        </w:numPr>
        <w:ind w:left="584"/>
        <w:rPr>
          <w:lang w:val="fr-FR"/>
        </w:rPr>
      </w:pPr>
      <w:r w:rsidRPr="00133E6C">
        <w:rPr>
          <w:lang w:val="fr-FR"/>
        </w:rPr>
        <w:t>C.  Intérêts moratoires</w:t>
      </w:r>
    </w:p>
    <w:p w:rsidRPr="00133E6C" w:rsidR="0048609C" w:rsidP="00133E6C" w:rsidRDefault="0048609C">
      <w:pPr>
        <w:pStyle w:val="JuPara"/>
        <w:rPr>
          <w:lang w:val="fr-FR"/>
        </w:rPr>
      </w:pPr>
      <w:r w:rsidRPr="00133E6C">
        <w:fldChar w:fldCharType="begin"/>
      </w:r>
      <w:r w:rsidRPr="00133E6C">
        <w:rPr>
          <w:lang w:val="fr-FR"/>
        </w:rPr>
        <w:instrText xml:space="preserve"> SEQ level0 \*arabic </w:instrText>
      </w:r>
      <w:r w:rsidRPr="00133E6C">
        <w:fldChar w:fldCharType="separate"/>
      </w:r>
      <w:r w:rsidRPr="00133E6C" w:rsidR="00133E6C">
        <w:rPr>
          <w:noProof/>
          <w:lang w:val="fr-FR"/>
        </w:rPr>
        <w:t>49</w:t>
      </w:r>
      <w:r w:rsidRPr="00133E6C">
        <w:fldChar w:fldCharType="end"/>
      </w:r>
      <w:r w:rsidRPr="00133E6C">
        <w:rPr>
          <w:lang w:val="fr-FR"/>
        </w:rPr>
        <w:t>.  La Cour juge approprié de calquer le taux des intérêts moratoires sur le taux d</w:t>
      </w:r>
      <w:r w:rsidRPr="00133E6C" w:rsidR="00133E6C">
        <w:rPr>
          <w:lang w:val="fr-FR"/>
        </w:rPr>
        <w:t>’</w:t>
      </w:r>
      <w:r w:rsidRPr="00133E6C">
        <w:rPr>
          <w:lang w:val="fr-FR"/>
        </w:rPr>
        <w:t>intérêt de la facilité de prêt marginal de la Banque centrale européenne majoré de trois points de pourcentage.</w:t>
      </w:r>
    </w:p>
    <w:p w:rsidRPr="00133E6C" w:rsidR="0048609C" w:rsidP="00133E6C" w:rsidRDefault="0048609C">
      <w:pPr>
        <w:pStyle w:val="JuHHead"/>
        <w:numPr>
          <w:ilvl w:val="0"/>
          <w:numId w:val="1"/>
        </w:numPr>
        <w:rPr>
          <w:lang w:val="fr-FR"/>
        </w:rPr>
      </w:pPr>
      <w:r w:rsidRPr="00133E6C">
        <w:rPr>
          <w:lang w:val="fr-FR"/>
        </w:rPr>
        <w:t>PAR CES MOTIFS, LA COUR, À L</w:t>
      </w:r>
      <w:r w:rsidRPr="00133E6C" w:rsidR="00133E6C">
        <w:rPr>
          <w:lang w:val="fr-FR"/>
        </w:rPr>
        <w:t>’</w:t>
      </w:r>
      <w:r w:rsidRPr="00133E6C">
        <w:rPr>
          <w:lang w:val="fr-FR"/>
        </w:rPr>
        <w:t>UNANIMITÉ,</w:t>
      </w:r>
    </w:p>
    <w:p w:rsidRPr="00133E6C" w:rsidR="0048609C" w:rsidP="00133E6C" w:rsidRDefault="0048609C">
      <w:pPr>
        <w:pStyle w:val="JuList"/>
        <w:numPr>
          <w:ilvl w:val="0"/>
          <w:numId w:val="2"/>
        </w:numPr>
        <w:ind w:left="0" w:firstLine="0"/>
        <w:rPr>
          <w:lang w:val="fr-FR"/>
        </w:rPr>
      </w:pPr>
      <w:r w:rsidRPr="00133E6C">
        <w:rPr>
          <w:i/>
          <w:lang w:val="fr-FR"/>
        </w:rPr>
        <w:t>Déclare</w:t>
      </w:r>
      <w:r w:rsidRPr="00133E6C">
        <w:rPr>
          <w:lang w:val="fr-FR"/>
        </w:rPr>
        <w:t xml:space="preserve"> la requête recevable ;</w:t>
      </w:r>
    </w:p>
    <w:p w:rsidRPr="00133E6C" w:rsidR="0048609C" w:rsidP="00133E6C" w:rsidRDefault="0048609C">
      <w:pPr>
        <w:pStyle w:val="JuList"/>
        <w:numPr>
          <w:ilvl w:val="0"/>
          <w:numId w:val="2"/>
        </w:numPr>
        <w:rPr>
          <w:lang w:val="fr-FR"/>
        </w:rPr>
      </w:pPr>
      <w:r w:rsidRPr="00133E6C">
        <w:rPr>
          <w:i/>
          <w:lang w:val="fr-FR"/>
        </w:rPr>
        <w:t>Dit</w:t>
      </w:r>
      <w:r w:rsidRPr="00133E6C">
        <w:rPr>
          <w:lang w:val="fr-FR"/>
        </w:rPr>
        <w:t xml:space="preserve"> qu</w:t>
      </w:r>
      <w:r w:rsidRPr="00133E6C" w:rsidR="00133E6C">
        <w:rPr>
          <w:lang w:val="fr-FR"/>
        </w:rPr>
        <w:t>’</w:t>
      </w:r>
      <w:r w:rsidRPr="00133E6C">
        <w:rPr>
          <w:lang w:val="fr-FR"/>
        </w:rPr>
        <w:t>il y a eu violation de l</w:t>
      </w:r>
      <w:r w:rsidRPr="00133E6C" w:rsidR="00133E6C">
        <w:rPr>
          <w:lang w:val="fr-FR"/>
        </w:rPr>
        <w:t>’</w:t>
      </w:r>
      <w:r w:rsidRPr="00133E6C">
        <w:rPr>
          <w:lang w:val="fr-FR"/>
        </w:rPr>
        <w:t>article 10 de la Convention ;</w:t>
      </w:r>
    </w:p>
    <w:p w:rsidRPr="00133E6C" w:rsidR="00A83CB2" w:rsidP="00133E6C" w:rsidRDefault="0048609C">
      <w:pPr>
        <w:pStyle w:val="JuList"/>
        <w:numPr>
          <w:ilvl w:val="0"/>
          <w:numId w:val="2"/>
        </w:numPr>
        <w:rPr>
          <w:lang w:val="fr-FR"/>
        </w:rPr>
      </w:pPr>
      <w:r w:rsidRPr="00133E6C">
        <w:rPr>
          <w:i/>
          <w:lang w:val="fr-FR"/>
        </w:rPr>
        <w:t>Dit</w:t>
      </w:r>
    </w:p>
    <w:p w:rsidRPr="00133E6C" w:rsidR="0048609C" w:rsidP="00133E6C" w:rsidRDefault="0048609C">
      <w:pPr>
        <w:pStyle w:val="JuLista"/>
        <w:numPr>
          <w:ilvl w:val="1"/>
          <w:numId w:val="2"/>
        </w:numPr>
        <w:rPr>
          <w:lang w:val="fr-FR"/>
        </w:rPr>
      </w:pPr>
      <w:r w:rsidRPr="00133E6C">
        <w:rPr>
          <w:lang w:val="fr-FR"/>
        </w:rPr>
        <w:t>que l</w:t>
      </w:r>
      <w:r w:rsidRPr="00133E6C" w:rsidR="00133E6C">
        <w:rPr>
          <w:lang w:val="fr-FR"/>
        </w:rPr>
        <w:t>’</w:t>
      </w:r>
      <w:r w:rsidRPr="00133E6C">
        <w:rPr>
          <w:lang w:val="fr-FR"/>
        </w:rPr>
        <w:t>État défendeur doit verser au requérant, dans les trois mois à compter du jour où l</w:t>
      </w:r>
      <w:r w:rsidRPr="00133E6C" w:rsidR="00133E6C">
        <w:rPr>
          <w:lang w:val="fr-FR"/>
        </w:rPr>
        <w:t>’</w:t>
      </w:r>
      <w:r w:rsidRPr="00133E6C">
        <w:rPr>
          <w:lang w:val="fr-FR"/>
        </w:rPr>
        <w:t>arrêt sera devenu définitif conformément à l</w:t>
      </w:r>
      <w:r w:rsidRPr="00133E6C" w:rsidR="00133E6C">
        <w:rPr>
          <w:lang w:val="fr-FR"/>
        </w:rPr>
        <w:t>’</w:t>
      </w:r>
      <w:r w:rsidRPr="00133E6C">
        <w:rPr>
          <w:lang w:val="fr-FR"/>
        </w:rPr>
        <w:t xml:space="preserve">article 44 § 2 de la Convention, </w:t>
      </w:r>
      <w:r w:rsidRPr="00133E6C">
        <w:rPr>
          <w:lang w:val="fr-FR" w:eastAsia="en-GB"/>
        </w:rPr>
        <w:t>2 000 EUR (deux mille</w:t>
      </w:r>
      <w:r w:rsidRPr="00133E6C" w:rsidR="00F21BC1">
        <w:rPr>
          <w:lang w:val="fr-FR" w:eastAsia="en-GB"/>
        </w:rPr>
        <w:t xml:space="preserve"> </w:t>
      </w:r>
      <w:r w:rsidRPr="00133E6C">
        <w:rPr>
          <w:lang w:val="fr-FR" w:eastAsia="en-GB"/>
        </w:rPr>
        <w:t>euros), plus tout montant pouvant être dû à titre d</w:t>
      </w:r>
      <w:r w:rsidRPr="00133E6C" w:rsidR="00133E6C">
        <w:rPr>
          <w:lang w:val="fr-FR" w:eastAsia="en-GB"/>
        </w:rPr>
        <w:t>’</w:t>
      </w:r>
      <w:r w:rsidRPr="00133E6C">
        <w:rPr>
          <w:lang w:val="fr-FR" w:eastAsia="en-GB"/>
        </w:rPr>
        <w:t>impôt sur cette somme, pour dommage moral</w:t>
      </w:r>
      <w:r w:rsidRPr="00133E6C">
        <w:rPr>
          <w:lang w:val="fr-FR"/>
        </w:rPr>
        <w:t>, à convertir dans la monnaie de l</w:t>
      </w:r>
      <w:r w:rsidRPr="00133E6C" w:rsidR="00133E6C">
        <w:rPr>
          <w:lang w:val="fr-FR"/>
        </w:rPr>
        <w:t>’</w:t>
      </w:r>
      <w:r w:rsidRPr="00133E6C">
        <w:rPr>
          <w:lang w:val="fr-FR"/>
        </w:rPr>
        <w:t>État défendeur, au taux applicable à la date du règlement,</w:t>
      </w:r>
    </w:p>
    <w:p w:rsidRPr="00133E6C" w:rsidR="0048609C" w:rsidP="00133E6C" w:rsidRDefault="0048609C">
      <w:pPr>
        <w:pStyle w:val="JuLista"/>
        <w:numPr>
          <w:ilvl w:val="1"/>
          <w:numId w:val="2"/>
        </w:numPr>
        <w:rPr>
          <w:lang w:val="fr-FR"/>
        </w:rPr>
      </w:pPr>
      <w:r w:rsidRPr="00133E6C">
        <w:rPr>
          <w:lang w:val="fr-FR"/>
        </w:rPr>
        <w:t>qu</w:t>
      </w:r>
      <w:r w:rsidRPr="00133E6C" w:rsidR="00133E6C">
        <w:rPr>
          <w:lang w:val="fr-FR"/>
        </w:rPr>
        <w:t>’</w:t>
      </w:r>
      <w:r w:rsidRPr="00133E6C">
        <w:rPr>
          <w:lang w:val="fr-FR"/>
        </w:rPr>
        <w:t>à compter de l</w:t>
      </w:r>
      <w:r w:rsidRPr="00133E6C" w:rsidR="00133E6C">
        <w:rPr>
          <w:lang w:val="fr-FR"/>
        </w:rPr>
        <w:t>’</w:t>
      </w:r>
      <w:r w:rsidRPr="00133E6C">
        <w:rPr>
          <w:lang w:val="fr-FR"/>
        </w:rPr>
        <w:t>expiration dudit délai et jusqu</w:t>
      </w:r>
      <w:r w:rsidRPr="00133E6C" w:rsidR="00133E6C">
        <w:rPr>
          <w:lang w:val="fr-FR"/>
        </w:rPr>
        <w:t>’</w:t>
      </w:r>
      <w:r w:rsidRPr="00133E6C">
        <w:rPr>
          <w:lang w:val="fr-FR"/>
        </w:rPr>
        <w:t>au versement, ce montant sera à majorer d</w:t>
      </w:r>
      <w:r w:rsidRPr="00133E6C" w:rsidR="00133E6C">
        <w:rPr>
          <w:lang w:val="fr-FR"/>
        </w:rPr>
        <w:t>’</w:t>
      </w:r>
      <w:r w:rsidRPr="00133E6C">
        <w:rPr>
          <w:lang w:val="fr-FR"/>
        </w:rPr>
        <w:t>un intérêt simple à un taux égal à celui de la facilité de prêt marginal de la Banque centrale européenne applicable pendant cette période, augmenté de trois points de pourcentage ;</w:t>
      </w:r>
    </w:p>
    <w:p w:rsidRPr="00133E6C" w:rsidR="00876F03" w:rsidP="00133E6C" w:rsidRDefault="004E3323">
      <w:pPr>
        <w:pStyle w:val="JuList"/>
        <w:numPr>
          <w:ilvl w:val="0"/>
          <w:numId w:val="0"/>
        </w:numPr>
        <w:rPr>
          <w:lang w:val="fr-FR"/>
        </w:rPr>
      </w:pPr>
      <w:r w:rsidRPr="00133E6C">
        <w:rPr>
          <w:lang w:val="fr-FR"/>
        </w:rPr>
        <w:t>4.  </w:t>
      </w:r>
      <w:r w:rsidRPr="00133E6C" w:rsidR="0048609C">
        <w:rPr>
          <w:i/>
          <w:lang w:val="fr-FR"/>
        </w:rPr>
        <w:t>Rejette</w:t>
      </w:r>
      <w:r w:rsidRPr="00133E6C" w:rsidR="0048609C">
        <w:rPr>
          <w:lang w:val="fr-FR"/>
        </w:rPr>
        <w:t xml:space="preserve"> la demande de satisfaction équitable pour le surplus.</w:t>
      </w:r>
    </w:p>
    <w:p w:rsidRPr="00133E6C" w:rsidR="00893F30" w:rsidP="00133E6C" w:rsidRDefault="00893F30">
      <w:pPr>
        <w:pStyle w:val="JuParaLast"/>
        <w:rPr>
          <w:lang w:val="fr-FR"/>
        </w:rPr>
      </w:pPr>
      <w:r w:rsidRPr="00133E6C">
        <w:rPr>
          <w:lang w:val="fr-FR"/>
        </w:rPr>
        <w:t xml:space="preserve">Fait en français, puis communiqué par écrit le </w:t>
      </w:r>
      <w:r w:rsidRPr="00133E6C" w:rsidR="0048609C">
        <w:rPr>
          <w:lang w:val="fr-FR"/>
        </w:rPr>
        <w:t>11 février 2020</w:t>
      </w:r>
      <w:r w:rsidRPr="00133E6C">
        <w:rPr>
          <w:lang w:val="fr-FR"/>
        </w:rPr>
        <w:t>, en application de l</w:t>
      </w:r>
      <w:r w:rsidRPr="00133E6C" w:rsidR="00133E6C">
        <w:rPr>
          <w:lang w:val="fr-FR"/>
        </w:rPr>
        <w:t>’</w:t>
      </w:r>
      <w:r w:rsidRPr="00133E6C">
        <w:rPr>
          <w:lang w:val="fr-FR"/>
        </w:rPr>
        <w:t>article 77 §§ 2 et 3 du règlement.</w:t>
      </w:r>
    </w:p>
    <w:p w:rsidRPr="00133E6C" w:rsidR="00876F03" w:rsidP="00133E6C" w:rsidRDefault="0048609C">
      <w:pPr>
        <w:pStyle w:val="JuSigned"/>
      </w:pPr>
      <w:r w:rsidRPr="00133E6C">
        <w:rPr>
          <w:lang w:val="fr-FR"/>
        </w:rPr>
        <w:tab/>
      </w:r>
      <w:r w:rsidRPr="00133E6C">
        <w:t>Stanley Naismith</w:t>
      </w:r>
      <w:r w:rsidRPr="00133E6C" w:rsidR="004344E6">
        <w:tab/>
      </w:r>
      <w:r w:rsidRPr="00133E6C" w:rsidR="004E3323">
        <w:rPr>
          <w:lang w:val="fr-FR"/>
        </w:rPr>
        <w:t>Robert Spano</w:t>
      </w:r>
      <w:r w:rsidRPr="00133E6C" w:rsidR="004344E6">
        <w:br/>
      </w:r>
      <w:r w:rsidRPr="00133E6C" w:rsidR="004344E6">
        <w:tab/>
      </w:r>
      <w:proofErr w:type="spellStart"/>
      <w:r w:rsidRPr="00133E6C">
        <w:t>Greffier</w:t>
      </w:r>
      <w:proofErr w:type="spellEnd"/>
      <w:r w:rsidRPr="00133E6C" w:rsidR="004344E6">
        <w:tab/>
      </w:r>
      <w:proofErr w:type="spellStart"/>
      <w:r w:rsidRPr="00133E6C" w:rsidR="004E3323">
        <w:t>Président</w:t>
      </w:r>
      <w:proofErr w:type="spellEnd"/>
    </w:p>
    <w:p w:rsidRPr="00133E6C" w:rsidR="00A83CB2" w:rsidP="00133E6C" w:rsidRDefault="00A83CB2">
      <w:pPr>
        <w:pStyle w:val="JuPara"/>
      </w:pPr>
    </w:p>
    <w:sectPr w:rsidRPr="00133E6C" w:rsidR="00A83CB2">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09C" w:rsidRPr="00AB5628" w:rsidRDefault="0048609C" w:rsidP="00516B59">
      <w:r w:rsidRPr="00AB5628">
        <w:separator/>
      </w:r>
    </w:p>
  </w:endnote>
  <w:endnote w:type="continuationSeparator" w:id="0">
    <w:p w:rsidR="0048609C" w:rsidRPr="00AB5628" w:rsidRDefault="0048609C"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09C" w:rsidRPr="00150BFA" w:rsidRDefault="0048609C" w:rsidP="0020718E">
    <w:pPr>
      <w:jc w:val="center"/>
    </w:pPr>
    <w:r>
      <w:rPr>
        <w:noProof/>
        <w:lang w:eastAsia="ja-JP"/>
      </w:rPr>
      <w:drawing>
        <wp:inline distT="0" distB="0" distL="0" distR="0" wp14:anchorId="18D63869" wp14:editId="6D3ED13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AB5628" w:rsidRDefault="009F0491"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9F0491" w:rsidP="00C4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09C" w:rsidRPr="00AB5628" w:rsidRDefault="0048609C" w:rsidP="00516B59">
      <w:r w:rsidRPr="00AB5628">
        <w:separator/>
      </w:r>
    </w:p>
  </w:footnote>
  <w:footnote w:type="continuationSeparator" w:id="0">
    <w:p w:rsidR="0048609C" w:rsidRPr="00AB5628" w:rsidRDefault="0048609C" w:rsidP="00516B59">
      <w:r w:rsidRPr="00AB56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09C" w:rsidRPr="00A45145" w:rsidRDefault="0048609C" w:rsidP="00A45145">
    <w:pPr>
      <w:jc w:val="center"/>
    </w:pPr>
    <w:r>
      <w:rPr>
        <w:noProof/>
        <w:lang w:eastAsia="ja-JP"/>
      </w:rPr>
      <w:drawing>
        <wp:inline distT="0" distB="0" distL="0" distR="0" wp14:anchorId="4FC8D4FD" wp14:editId="669FBB02">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AB5628" w:rsidRDefault="009F0491"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48609C" w:rsidRDefault="0048609C" w:rsidP="00A21624">
    <w:pPr>
      <w:pStyle w:val="JuHeader"/>
      <w:rPr>
        <w:lang w:val="fr-FR"/>
      </w:rPr>
    </w:pPr>
    <w:r>
      <w:rPr>
        <w:rStyle w:val="PageNumber"/>
      </w:rPr>
      <w:fldChar w:fldCharType="begin"/>
    </w:r>
    <w:r w:rsidRPr="0048609C">
      <w:rPr>
        <w:rStyle w:val="PageNumber"/>
        <w:lang w:val="fr-FR"/>
      </w:rPr>
      <w:instrText xml:space="preserve"> PAGE </w:instrText>
    </w:r>
    <w:r>
      <w:rPr>
        <w:rStyle w:val="PageNumber"/>
      </w:rPr>
      <w:fldChar w:fldCharType="separate"/>
    </w:r>
    <w:r w:rsidR="00BC0996">
      <w:rPr>
        <w:rStyle w:val="PageNumber"/>
        <w:noProof/>
        <w:lang w:val="fr-FR"/>
      </w:rPr>
      <w:t>12</w:t>
    </w:r>
    <w:r>
      <w:rPr>
        <w:rStyle w:val="PageNumber"/>
      </w:rPr>
      <w:fldChar w:fldCharType="end"/>
    </w:r>
    <w:r w:rsidR="007971FF" w:rsidRPr="0048609C">
      <w:rPr>
        <w:lang w:val="fr-FR"/>
      </w:rPr>
      <w:tab/>
    </w:r>
    <w:r w:rsidR="00A21624" w:rsidRPr="0048609C">
      <w:rPr>
        <w:lang w:val="fr-FR"/>
      </w:rPr>
      <w:t>ARRÊT</w:t>
    </w:r>
    <w:r w:rsidR="00256F45" w:rsidRPr="0048609C">
      <w:rPr>
        <w:lang w:val="fr-FR"/>
      </w:rPr>
      <w:t xml:space="preserve"> </w:t>
    </w:r>
    <w:r w:rsidRPr="0048609C">
      <w:rPr>
        <w:lang w:val="fr-FR"/>
      </w:rPr>
      <w:t>ÖZER c. TURQUIE (N</w:t>
    </w:r>
    <w:r w:rsidR="00AE16D3" w:rsidRPr="00AE16D3">
      <w:rPr>
        <w:vertAlign w:val="superscript"/>
        <w:lang w:val="fr-FR"/>
      </w:rPr>
      <w:t>o</w:t>
    </w:r>
    <w:r w:rsidRPr="0048609C">
      <w:rPr>
        <w:lang w:val="fr-FR"/>
      </w:rPr>
      <w:t xml:space="preserve"> 3)</w:t>
    </w:r>
    <w:r w:rsidRPr="0048609C">
      <w:rPr>
        <w:noProof/>
        <w:lang w:val="fr-F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F22D5C" w:rsidRDefault="007612E2" w:rsidP="00522ABA">
    <w:pPr>
      <w:pStyle w:val="JuHeader"/>
      <w:jc w:val="both"/>
    </w:pPr>
    <w:r>
      <w:tab/>
    </w:r>
    <w:r w:rsidR="00256F45" w:rsidRPr="00592C8D">
      <w:t>ARRÊT</w:t>
    </w:r>
    <w:r w:rsidR="00162967" w:rsidRPr="00592C8D">
      <w:t xml:space="preserve"> </w:t>
    </w:r>
    <w:r w:rsidR="0048609C">
      <w:t>ÖZER c. TURQUIE (N</w:t>
    </w:r>
    <w:r w:rsidR="00AE16D3" w:rsidRPr="00AE16D3">
      <w:rPr>
        <w:vertAlign w:val="superscript"/>
      </w:rPr>
      <w:t>o</w:t>
    </w:r>
    <w:r w:rsidR="0048609C">
      <w:t xml:space="preserve"> 3)</w:t>
    </w:r>
    <w:r w:rsidR="007971FF" w:rsidRPr="00592C8D">
      <w:t xml:space="preserve"> </w:t>
    </w:r>
    <w:r w:rsidR="007971FF" w:rsidRPr="007100AD">
      <w:tab/>
    </w:r>
    <w:r w:rsidR="0048609C">
      <w:rPr>
        <w:rStyle w:val="PageNumber"/>
      </w:rPr>
      <w:fldChar w:fldCharType="begin"/>
    </w:r>
    <w:r w:rsidR="0048609C">
      <w:rPr>
        <w:rStyle w:val="PageNumber"/>
      </w:rPr>
      <w:instrText xml:space="preserve"> PAGE </w:instrText>
    </w:r>
    <w:r w:rsidR="0048609C">
      <w:rPr>
        <w:rStyle w:val="PageNumber"/>
      </w:rPr>
      <w:fldChar w:fldCharType="separate"/>
    </w:r>
    <w:r w:rsidR="00BC0996">
      <w:rPr>
        <w:rStyle w:val="PageNumber"/>
        <w:noProof/>
      </w:rPr>
      <w:t>1</w:t>
    </w:r>
    <w:r w:rsidR="0048609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5649B0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2"/>
  </w:num>
  <w:num w:numId="3">
    <w:abstractNumId w:val="16"/>
  </w:num>
  <w:num w:numId="4">
    <w:abstractNumId w:val="13"/>
  </w:num>
  <w:num w:numId="5">
    <w:abstractNumId w:val="10"/>
  </w:num>
  <w:num w:numId="6">
    <w:abstractNumId w:val="9"/>
  </w:num>
  <w:num w:numId="7">
    <w:abstractNumId w:val="14"/>
  </w:num>
  <w:num w:numId="8">
    <w:abstractNumId w:val="11"/>
  </w:num>
  <w:num w:numId="9">
    <w:abstractNumId w:val="15"/>
  </w:num>
  <w:num w:numId="10">
    <w:abstractNumId w:val="18"/>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8609C"/>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3E6C"/>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644E"/>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B8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8609C"/>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E3323"/>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0E98"/>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1679C"/>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3CB2"/>
    <w:rsid w:val="00A865D2"/>
    <w:rsid w:val="00A94C20"/>
    <w:rsid w:val="00AA227F"/>
    <w:rsid w:val="00AA3BC7"/>
    <w:rsid w:val="00AA754A"/>
    <w:rsid w:val="00AB099E"/>
    <w:rsid w:val="00AB4328"/>
    <w:rsid w:val="00AB5628"/>
    <w:rsid w:val="00AC00C2"/>
    <w:rsid w:val="00AC5872"/>
    <w:rsid w:val="00AE0A2E"/>
    <w:rsid w:val="00AE16D3"/>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0996"/>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0122"/>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3C5"/>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4F36"/>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1"/>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E3323"/>
    <w:rPr>
      <w:sz w:val="24"/>
      <w:szCs w:val="24"/>
    </w:rPr>
  </w:style>
  <w:style w:type="paragraph" w:styleId="Heading1">
    <w:name w:val="heading 1"/>
    <w:basedOn w:val="Normal"/>
    <w:next w:val="Normal"/>
    <w:link w:val="Heading1Char"/>
    <w:uiPriority w:val="98"/>
    <w:semiHidden/>
    <w:rsid w:val="004E3323"/>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E3323"/>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E3323"/>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4E3323"/>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4E3323"/>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4E3323"/>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4E3323"/>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4E3323"/>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E3323"/>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E3323"/>
    <w:rPr>
      <w:rFonts w:ascii="Tahoma" w:hAnsi="Tahoma" w:cs="Tahoma"/>
      <w:sz w:val="16"/>
      <w:szCs w:val="16"/>
    </w:rPr>
  </w:style>
  <w:style w:type="character" w:customStyle="1" w:styleId="BalloonTextChar">
    <w:name w:val="Balloon Text Char"/>
    <w:basedOn w:val="DefaultParagraphFont"/>
    <w:link w:val="BalloonText"/>
    <w:uiPriority w:val="98"/>
    <w:semiHidden/>
    <w:rsid w:val="004E3323"/>
    <w:rPr>
      <w:rFonts w:ascii="Tahoma" w:hAnsi="Tahoma" w:cs="Tahoma"/>
      <w:sz w:val="16"/>
      <w:szCs w:val="16"/>
    </w:rPr>
  </w:style>
  <w:style w:type="character" w:styleId="BookTitle">
    <w:name w:val="Book Title"/>
    <w:uiPriority w:val="98"/>
    <w:semiHidden/>
    <w:qFormat/>
    <w:rsid w:val="004E3323"/>
    <w:rPr>
      <w:i/>
      <w:iCs/>
      <w:smallCaps/>
      <w:spacing w:val="5"/>
    </w:rPr>
  </w:style>
  <w:style w:type="paragraph" w:customStyle="1" w:styleId="JuHeader">
    <w:name w:val="Ju_Header"/>
    <w:aliases w:val="_Header"/>
    <w:basedOn w:val="Header"/>
    <w:uiPriority w:val="29"/>
    <w:qFormat/>
    <w:rsid w:val="004E3323"/>
    <w:pPr>
      <w:tabs>
        <w:tab w:val="clear" w:pos="4536"/>
        <w:tab w:val="clear" w:pos="9072"/>
        <w:tab w:val="center" w:pos="3686"/>
        <w:tab w:val="right" w:pos="7371"/>
      </w:tabs>
    </w:pPr>
    <w:rPr>
      <w:sz w:val="18"/>
    </w:rPr>
  </w:style>
  <w:style w:type="character" w:styleId="Strong">
    <w:name w:val="Strong"/>
    <w:uiPriority w:val="98"/>
    <w:semiHidden/>
    <w:qFormat/>
    <w:rsid w:val="004E3323"/>
    <w:rPr>
      <w:b/>
      <w:bCs/>
    </w:rPr>
  </w:style>
  <w:style w:type="paragraph" w:styleId="NoSpacing">
    <w:name w:val="No Spacing"/>
    <w:basedOn w:val="Normal"/>
    <w:link w:val="NoSpacingChar"/>
    <w:uiPriority w:val="98"/>
    <w:semiHidden/>
    <w:qFormat/>
    <w:rsid w:val="004E3323"/>
  </w:style>
  <w:style w:type="character" w:customStyle="1" w:styleId="NoSpacingChar">
    <w:name w:val="No Spacing Char"/>
    <w:basedOn w:val="DefaultParagraphFont"/>
    <w:link w:val="NoSpacing"/>
    <w:uiPriority w:val="98"/>
    <w:semiHidden/>
    <w:rsid w:val="004E3323"/>
    <w:rPr>
      <w:sz w:val="24"/>
      <w:szCs w:val="24"/>
    </w:rPr>
  </w:style>
  <w:style w:type="paragraph" w:customStyle="1" w:styleId="JuQuot">
    <w:name w:val="Ju_Quot"/>
    <w:aliases w:val="_Quote"/>
    <w:basedOn w:val="NormalJustified"/>
    <w:uiPriority w:val="20"/>
    <w:qFormat/>
    <w:rsid w:val="004E3323"/>
    <w:pPr>
      <w:spacing w:before="120" w:after="120"/>
      <w:ind w:left="425" w:firstLine="142"/>
    </w:pPr>
    <w:rPr>
      <w:sz w:val="20"/>
    </w:rPr>
  </w:style>
  <w:style w:type="paragraph" w:customStyle="1" w:styleId="JuList">
    <w:name w:val="Ju_List"/>
    <w:aliases w:val="_List_1"/>
    <w:basedOn w:val="NormalJustified"/>
    <w:uiPriority w:val="23"/>
    <w:qFormat/>
    <w:rsid w:val="004E3323"/>
    <w:pPr>
      <w:numPr>
        <w:numId w:val="8"/>
      </w:numPr>
      <w:spacing w:before="280" w:after="60"/>
    </w:pPr>
  </w:style>
  <w:style w:type="paragraph" w:customStyle="1" w:styleId="JuLista">
    <w:name w:val="Ju_List_a"/>
    <w:aliases w:val="_List_2"/>
    <w:basedOn w:val="NormalJustified"/>
    <w:uiPriority w:val="23"/>
    <w:rsid w:val="004E3323"/>
    <w:pPr>
      <w:numPr>
        <w:ilvl w:val="1"/>
        <w:numId w:val="8"/>
      </w:numPr>
    </w:pPr>
  </w:style>
  <w:style w:type="paragraph" w:customStyle="1" w:styleId="JuListi">
    <w:name w:val="Ju_List_i"/>
    <w:aliases w:val="_List_3"/>
    <w:basedOn w:val="NormalJustified"/>
    <w:uiPriority w:val="23"/>
    <w:rsid w:val="004E3323"/>
    <w:pPr>
      <w:numPr>
        <w:ilvl w:val="2"/>
        <w:numId w:val="8"/>
      </w:numPr>
    </w:pPr>
  </w:style>
  <w:style w:type="paragraph" w:customStyle="1" w:styleId="DecHTitle">
    <w:name w:val="Dec_H_Title"/>
    <w:aliases w:val="_Title_1"/>
    <w:basedOn w:val="JuPara"/>
    <w:next w:val="JuPara"/>
    <w:uiPriority w:val="38"/>
    <w:qFormat/>
    <w:rsid w:val="004E3323"/>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4E3323"/>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4E3323"/>
    <w:pPr>
      <w:keepNext/>
      <w:keepLines/>
      <w:tabs>
        <w:tab w:val="right" w:pos="7938"/>
      </w:tabs>
      <w:ind w:firstLine="0"/>
      <w:jc w:val="center"/>
    </w:pPr>
    <w:rPr>
      <w:i/>
    </w:rPr>
  </w:style>
  <w:style w:type="numbering" w:customStyle="1" w:styleId="ECHRA1StyleBulletedSquare">
    <w:name w:val="ECHR_A1_Style_Bulleted_Square"/>
    <w:basedOn w:val="NoList"/>
    <w:rsid w:val="004E3323"/>
    <w:pPr>
      <w:numPr>
        <w:numId w:val="7"/>
      </w:numPr>
    </w:pPr>
  </w:style>
  <w:style w:type="paragraph" w:customStyle="1" w:styleId="JuHHead">
    <w:name w:val="Ju_H_Head"/>
    <w:aliases w:val="_Head_1"/>
    <w:basedOn w:val="Normal"/>
    <w:next w:val="JuPara"/>
    <w:uiPriority w:val="17"/>
    <w:qFormat/>
    <w:rsid w:val="004E3323"/>
    <w:pPr>
      <w:keepNext/>
      <w:keepLines/>
      <w:numPr>
        <w:numId w:val="3"/>
      </w:numPr>
      <w:spacing w:before="100" w:beforeAutospacing="1" w:after="240"/>
      <w:jc w:val="both"/>
      <w:outlineLvl w:val="0"/>
    </w:pPr>
    <w:rPr>
      <w:caps/>
      <w:sz w:val="28"/>
    </w:rPr>
  </w:style>
  <w:style w:type="numbering" w:customStyle="1" w:styleId="ECHRA1StyleList">
    <w:name w:val="ECHR_A1_Style_List"/>
    <w:basedOn w:val="NoList"/>
    <w:uiPriority w:val="99"/>
    <w:rsid w:val="004E3323"/>
    <w:pPr>
      <w:numPr>
        <w:numId w:val="8"/>
      </w:numPr>
    </w:pPr>
  </w:style>
  <w:style w:type="paragraph" w:customStyle="1" w:styleId="JuSigned">
    <w:name w:val="Ju_Signed"/>
    <w:aliases w:val="_Signature"/>
    <w:basedOn w:val="Normal"/>
    <w:next w:val="JuPara"/>
    <w:uiPriority w:val="31"/>
    <w:qFormat/>
    <w:rsid w:val="004E3323"/>
    <w:pPr>
      <w:tabs>
        <w:tab w:val="center" w:pos="851"/>
        <w:tab w:val="center" w:pos="6407"/>
      </w:tabs>
      <w:spacing w:before="720"/>
    </w:pPr>
  </w:style>
  <w:style w:type="paragraph" w:styleId="Title">
    <w:name w:val="Title"/>
    <w:basedOn w:val="Normal"/>
    <w:next w:val="Normal"/>
    <w:link w:val="TitleChar"/>
    <w:uiPriority w:val="98"/>
    <w:semiHidden/>
    <w:qFormat/>
    <w:rsid w:val="004E332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E3323"/>
    <w:rPr>
      <w:rFonts w:asciiTheme="majorHAnsi" w:eastAsiaTheme="majorEastAsia" w:hAnsiTheme="majorHAnsi" w:cstheme="majorBidi"/>
      <w:spacing w:val="5"/>
      <w:sz w:val="52"/>
      <w:szCs w:val="52"/>
      <w:lang w:bidi="en-US"/>
    </w:rPr>
  </w:style>
  <w:style w:type="numbering" w:customStyle="1" w:styleId="ECHRA1StyleNumberedList">
    <w:name w:val="ECHR_A1_Style_Numbered_List"/>
    <w:basedOn w:val="NoList"/>
    <w:rsid w:val="004E3323"/>
    <w:pPr>
      <w:numPr>
        <w:numId w:val="9"/>
      </w:numPr>
    </w:pPr>
  </w:style>
  <w:style w:type="table" w:customStyle="1" w:styleId="ECHRTable2019">
    <w:name w:val="ECHR_Table_2019"/>
    <w:basedOn w:val="TableNormal"/>
    <w:uiPriority w:val="99"/>
    <w:rsid w:val="004E332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E3323"/>
    <w:rPr>
      <w:sz w:val="8"/>
    </w:rPr>
  </w:style>
  <w:style w:type="paragraph" w:customStyle="1" w:styleId="JuCourt">
    <w:name w:val="Ju_Court"/>
    <w:aliases w:val="_Court_Names"/>
    <w:basedOn w:val="Normal"/>
    <w:next w:val="Normal"/>
    <w:uiPriority w:val="32"/>
    <w:qFormat/>
    <w:rsid w:val="004E332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4E3323"/>
    <w:pPr>
      <w:tabs>
        <w:tab w:val="center" w:pos="6407"/>
      </w:tabs>
      <w:spacing w:before="720"/>
      <w:jc w:val="right"/>
    </w:pPr>
  </w:style>
  <w:style w:type="paragraph" w:customStyle="1" w:styleId="JuHIRoman">
    <w:name w:val="Ju_H_I_Roman"/>
    <w:aliases w:val="_Head_2"/>
    <w:basedOn w:val="Normal"/>
    <w:next w:val="JuPara"/>
    <w:uiPriority w:val="17"/>
    <w:qFormat/>
    <w:rsid w:val="004E3323"/>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4E3323"/>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uiPriority w:val="17"/>
    <w:rsid w:val="004E3323"/>
    <w:pPr>
      <w:keepNext/>
      <w:keepLines/>
      <w:numPr>
        <w:ilvl w:val="3"/>
        <w:numId w:val="3"/>
      </w:numPr>
      <w:spacing w:before="100" w:beforeAutospacing="1" w:after="120"/>
      <w:jc w:val="both"/>
      <w:outlineLvl w:val="3"/>
    </w:pPr>
    <w:rPr>
      <w:i/>
    </w:rPr>
  </w:style>
  <w:style w:type="paragraph" w:styleId="Header">
    <w:name w:val="header"/>
    <w:basedOn w:val="Normal"/>
    <w:link w:val="HeaderChar"/>
    <w:uiPriority w:val="98"/>
    <w:semiHidden/>
    <w:rsid w:val="004E3323"/>
    <w:pPr>
      <w:tabs>
        <w:tab w:val="center" w:pos="4536"/>
        <w:tab w:val="right" w:pos="9072"/>
      </w:tabs>
    </w:pPr>
  </w:style>
  <w:style w:type="character" w:customStyle="1" w:styleId="HeaderChar">
    <w:name w:val="Header Char"/>
    <w:basedOn w:val="DefaultParagraphFont"/>
    <w:link w:val="Header"/>
    <w:uiPriority w:val="98"/>
    <w:semiHidden/>
    <w:rsid w:val="004E3323"/>
    <w:rPr>
      <w:sz w:val="24"/>
      <w:szCs w:val="24"/>
    </w:rPr>
  </w:style>
  <w:style w:type="character" w:customStyle="1" w:styleId="Heading1Char">
    <w:name w:val="Heading 1 Char"/>
    <w:basedOn w:val="DefaultParagraphFont"/>
    <w:link w:val="Heading1"/>
    <w:uiPriority w:val="98"/>
    <w:semiHidden/>
    <w:rsid w:val="004E3323"/>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4E3323"/>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4E3323"/>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4E3323"/>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4E3323"/>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4E3323"/>
    <w:pPr>
      <w:keepNext/>
      <w:keepLines/>
      <w:numPr>
        <w:ilvl w:val="7"/>
        <w:numId w:val="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4E3323"/>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4E3323"/>
    <w:pPr>
      <w:keepNext/>
      <w:keepLines/>
      <w:spacing w:before="240" w:after="240"/>
      <w:ind w:firstLine="284"/>
    </w:pPr>
  </w:style>
  <w:style w:type="paragraph" w:customStyle="1" w:styleId="JuJudges">
    <w:name w:val="Ju_Judges"/>
    <w:aliases w:val="_Judges"/>
    <w:basedOn w:val="Normal"/>
    <w:uiPriority w:val="32"/>
    <w:qFormat/>
    <w:rsid w:val="004E3323"/>
    <w:pPr>
      <w:tabs>
        <w:tab w:val="left" w:pos="567"/>
        <w:tab w:val="left" w:pos="1134"/>
      </w:tabs>
    </w:pPr>
  </w:style>
  <w:style w:type="character" w:customStyle="1" w:styleId="Heading4Char">
    <w:name w:val="Heading 4 Char"/>
    <w:basedOn w:val="DefaultParagraphFont"/>
    <w:link w:val="Heading4"/>
    <w:uiPriority w:val="98"/>
    <w:semiHidden/>
    <w:rsid w:val="004E3323"/>
    <w:rPr>
      <w:rFonts w:asciiTheme="majorHAnsi" w:eastAsiaTheme="majorEastAsia" w:hAnsiTheme="majorHAnsi" w:cstheme="majorBidi"/>
      <w:b/>
      <w:bCs/>
      <w:i/>
      <w:iCs/>
      <w:color w:val="777777"/>
      <w:sz w:val="24"/>
      <w:szCs w:val="24"/>
    </w:rPr>
  </w:style>
  <w:style w:type="character" w:customStyle="1" w:styleId="JuITMark">
    <w:name w:val="Ju_ITMark"/>
    <w:aliases w:val="_ITMark"/>
    <w:basedOn w:val="DefaultParagraphFont"/>
    <w:uiPriority w:val="43"/>
    <w:qFormat/>
    <w:rsid w:val="004E3323"/>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4E3323"/>
    <w:rPr>
      <w:rFonts w:asciiTheme="majorHAnsi" w:eastAsiaTheme="majorEastAsia" w:hAnsiTheme="majorHAnsi" w:cstheme="majorBidi"/>
      <w:b/>
      <w:bCs/>
      <w:color w:val="808080"/>
      <w:sz w:val="24"/>
      <w:szCs w:val="24"/>
    </w:rPr>
  </w:style>
  <w:style w:type="character" w:customStyle="1" w:styleId="JUNAMES">
    <w:name w:val="JU_NAMES"/>
    <w:aliases w:val="_Ju_Names"/>
    <w:uiPriority w:val="33"/>
    <w:qFormat/>
    <w:rsid w:val="004E3323"/>
    <w:rPr>
      <w:caps w:val="0"/>
      <w:smallCaps/>
    </w:rPr>
  </w:style>
  <w:style w:type="paragraph" w:customStyle="1" w:styleId="NormalJustified">
    <w:name w:val="Normal_Justified"/>
    <w:basedOn w:val="Normal"/>
    <w:semiHidden/>
    <w:rsid w:val="004E3323"/>
    <w:pPr>
      <w:jc w:val="both"/>
    </w:pPr>
  </w:style>
  <w:style w:type="character" w:styleId="SubtleEmphasis">
    <w:name w:val="Subtle Emphasis"/>
    <w:uiPriority w:val="98"/>
    <w:semiHidden/>
    <w:qFormat/>
    <w:rsid w:val="004E3323"/>
    <w:rPr>
      <w:i/>
      <w:iCs/>
    </w:rPr>
  </w:style>
  <w:style w:type="table" w:customStyle="1" w:styleId="ECHRTable">
    <w:name w:val="ECHR_Table"/>
    <w:basedOn w:val="TableNormal"/>
    <w:rsid w:val="004E332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E332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E3323"/>
    <w:rPr>
      <w:b/>
      <w:bCs/>
      <w:i/>
      <w:iCs/>
      <w:spacing w:val="10"/>
      <w:bdr w:val="none" w:sz="0" w:space="0" w:color="auto"/>
      <w:shd w:val="clear" w:color="auto" w:fill="auto"/>
    </w:rPr>
  </w:style>
  <w:style w:type="paragraph" w:styleId="Footer0">
    <w:name w:val="footer"/>
    <w:basedOn w:val="Normal"/>
    <w:link w:val="FooterChar"/>
    <w:uiPriority w:val="98"/>
    <w:semiHidden/>
    <w:rsid w:val="004E3323"/>
    <w:pPr>
      <w:tabs>
        <w:tab w:val="center" w:pos="3686"/>
        <w:tab w:val="right" w:pos="7371"/>
      </w:tabs>
    </w:pPr>
  </w:style>
  <w:style w:type="character" w:customStyle="1" w:styleId="FooterChar">
    <w:name w:val="Footer Char"/>
    <w:basedOn w:val="DefaultParagraphFont"/>
    <w:link w:val="Footer0"/>
    <w:uiPriority w:val="98"/>
    <w:semiHidden/>
    <w:rsid w:val="004E3323"/>
    <w:rPr>
      <w:sz w:val="24"/>
      <w:szCs w:val="24"/>
    </w:rPr>
  </w:style>
  <w:style w:type="character" w:styleId="FootnoteReference">
    <w:name w:val="footnote reference"/>
    <w:basedOn w:val="DefaultParagraphFont"/>
    <w:uiPriority w:val="98"/>
    <w:semiHidden/>
    <w:rsid w:val="004E3323"/>
    <w:rPr>
      <w:vertAlign w:val="superscript"/>
    </w:rPr>
  </w:style>
  <w:style w:type="paragraph" w:styleId="FootnoteText">
    <w:name w:val="footnote text"/>
    <w:basedOn w:val="Normal"/>
    <w:link w:val="FootnoteTextChar"/>
    <w:uiPriority w:val="98"/>
    <w:semiHidden/>
    <w:rsid w:val="004E3323"/>
    <w:rPr>
      <w:sz w:val="20"/>
      <w:szCs w:val="20"/>
    </w:rPr>
  </w:style>
  <w:style w:type="character" w:customStyle="1" w:styleId="FootnoteTextChar">
    <w:name w:val="Footnote Text Char"/>
    <w:basedOn w:val="DefaultParagraphFont"/>
    <w:link w:val="FootnoteText"/>
    <w:uiPriority w:val="98"/>
    <w:semiHidden/>
    <w:rsid w:val="004E3323"/>
    <w:rPr>
      <w:sz w:val="20"/>
      <w:szCs w:val="20"/>
    </w:rPr>
  </w:style>
  <w:style w:type="character" w:customStyle="1" w:styleId="Heading6Char">
    <w:name w:val="Heading 6 Char"/>
    <w:basedOn w:val="DefaultParagraphFont"/>
    <w:link w:val="Heading6"/>
    <w:uiPriority w:val="98"/>
    <w:semiHidden/>
    <w:rsid w:val="004E3323"/>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4E3323"/>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4E332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4E332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4E3323"/>
    <w:rPr>
      <w:color w:val="0072BC" w:themeColor="hyperlink"/>
      <w:u w:val="single"/>
    </w:rPr>
  </w:style>
  <w:style w:type="character" w:styleId="IntenseEmphasis">
    <w:name w:val="Intense Emphasis"/>
    <w:uiPriority w:val="98"/>
    <w:semiHidden/>
    <w:qFormat/>
    <w:rsid w:val="004E3323"/>
    <w:rPr>
      <w:b/>
      <w:bCs/>
    </w:rPr>
  </w:style>
  <w:style w:type="paragraph" w:styleId="IntenseQuote">
    <w:name w:val="Intense Quote"/>
    <w:basedOn w:val="Normal"/>
    <w:next w:val="Normal"/>
    <w:link w:val="IntenseQuoteChar"/>
    <w:uiPriority w:val="98"/>
    <w:semiHidden/>
    <w:qFormat/>
    <w:rsid w:val="004E332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E3323"/>
    <w:rPr>
      <w:b/>
      <w:bCs/>
      <w:i/>
      <w:iCs/>
      <w:sz w:val="24"/>
      <w:szCs w:val="24"/>
      <w:lang w:bidi="en-US"/>
    </w:rPr>
  </w:style>
  <w:style w:type="character" w:styleId="IntenseReference">
    <w:name w:val="Intense Reference"/>
    <w:uiPriority w:val="98"/>
    <w:semiHidden/>
    <w:qFormat/>
    <w:rsid w:val="004E3323"/>
    <w:rPr>
      <w:smallCaps/>
      <w:spacing w:val="5"/>
      <w:u w:val="single"/>
    </w:rPr>
  </w:style>
  <w:style w:type="paragraph" w:styleId="ListParagraph">
    <w:name w:val="List Paragraph"/>
    <w:basedOn w:val="Normal"/>
    <w:uiPriority w:val="98"/>
    <w:semiHidden/>
    <w:qFormat/>
    <w:rsid w:val="004E3323"/>
    <w:pPr>
      <w:ind w:left="720"/>
      <w:contextualSpacing/>
    </w:pPr>
  </w:style>
  <w:style w:type="table" w:customStyle="1" w:styleId="LtrTableAddress">
    <w:name w:val="Ltr_Table_Address"/>
    <w:aliases w:val="ECHR_Ltr_Table_Address"/>
    <w:basedOn w:val="TableNormal"/>
    <w:uiPriority w:val="99"/>
    <w:rsid w:val="004E3323"/>
    <w:rPr>
      <w:sz w:val="24"/>
      <w:szCs w:val="24"/>
    </w:rPr>
    <w:tblPr>
      <w:tblInd w:w="5103" w:type="dxa"/>
    </w:tblPr>
  </w:style>
  <w:style w:type="paragraph" w:styleId="Quote">
    <w:name w:val="Quote"/>
    <w:basedOn w:val="Normal"/>
    <w:next w:val="Normal"/>
    <w:link w:val="QuoteChar"/>
    <w:uiPriority w:val="98"/>
    <w:semiHidden/>
    <w:qFormat/>
    <w:rsid w:val="004E3323"/>
    <w:pPr>
      <w:spacing w:before="200"/>
      <w:ind w:left="360" w:right="360"/>
    </w:pPr>
    <w:rPr>
      <w:i/>
      <w:iCs/>
      <w:lang w:bidi="en-US"/>
    </w:rPr>
  </w:style>
  <w:style w:type="character" w:customStyle="1" w:styleId="QuoteChar">
    <w:name w:val="Quote Char"/>
    <w:basedOn w:val="DefaultParagraphFont"/>
    <w:link w:val="Quote"/>
    <w:uiPriority w:val="98"/>
    <w:semiHidden/>
    <w:rsid w:val="004E3323"/>
    <w:rPr>
      <w:i/>
      <w:iCs/>
      <w:sz w:val="24"/>
      <w:szCs w:val="24"/>
      <w:lang w:bidi="en-US"/>
    </w:rPr>
  </w:style>
  <w:style w:type="character" w:styleId="SubtleReference">
    <w:name w:val="Subtle Reference"/>
    <w:uiPriority w:val="98"/>
    <w:semiHidden/>
    <w:qFormat/>
    <w:rsid w:val="004E3323"/>
    <w:rPr>
      <w:smallCaps/>
    </w:rPr>
  </w:style>
  <w:style w:type="table" w:styleId="TableGrid">
    <w:name w:val="Table Grid"/>
    <w:basedOn w:val="TableNormal"/>
    <w:uiPriority w:val="59"/>
    <w:semiHidden/>
    <w:rsid w:val="004E332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E332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E332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E332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E332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E332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E332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E332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E332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E332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E332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E332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E332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E332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E332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E332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4E3323"/>
    <w:pPr>
      <w:numPr>
        <w:numId w:val="4"/>
      </w:numPr>
    </w:pPr>
  </w:style>
  <w:style w:type="paragraph" w:customStyle="1" w:styleId="JuPara">
    <w:name w:val="Ju_Para"/>
    <w:aliases w:val="_Para"/>
    <w:basedOn w:val="NormalJustified"/>
    <w:link w:val="JuParaChar"/>
    <w:uiPriority w:val="4"/>
    <w:qFormat/>
    <w:rsid w:val="004E3323"/>
    <w:pPr>
      <w:ind w:firstLine="284"/>
    </w:pPr>
  </w:style>
  <w:style w:type="numbering" w:styleId="1ai">
    <w:name w:val="Outline List 1"/>
    <w:basedOn w:val="NoList"/>
    <w:uiPriority w:val="99"/>
    <w:semiHidden/>
    <w:unhideWhenUsed/>
    <w:rsid w:val="004E3323"/>
    <w:pPr>
      <w:numPr>
        <w:numId w:val="5"/>
      </w:numPr>
    </w:pPr>
  </w:style>
  <w:style w:type="table" w:customStyle="1" w:styleId="ECHRTableSimpleBox">
    <w:name w:val="ECHR_Table_Simple_Box"/>
    <w:basedOn w:val="TableNormal"/>
    <w:uiPriority w:val="99"/>
    <w:rsid w:val="004E332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E332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E3323"/>
    <w:pPr>
      <w:numPr>
        <w:numId w:val="6"/>
      </w:numPr>
    </w:pPr>
  </w:style>
  <w:style w:type="table" w:customStyle="1" w:styleId="ECHRTableForInternalUse">
    <w:name w:val="ECHR_Table_For_Internal_Use"/>
    <w:basedOn w:val="TableNormal"/>
    <w:uiPriority w:val="99"/>
    <w:rsid w:val="004E332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332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E3323"/>
  </w:style>
  <w:style w:type="paragraph" w:styleId="BlockText">
    <w:name w:val="Block Text"/>
    <w:basedOn w:val="Normal"/>
    <w:uiPriority w:val="98"/>
    <w:semiHidden/>
    <w:rsid w:val="004E332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E332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E3323"/>
    <w:pPr>
      <w:spacing w:after="120"/>
    </w:pPr>
  </w:style>
  <w:style w:type="character" w:customStyle="1" w:styleId="BodyTextChar">
    <w:name w:val="Body Text Char"/>
    <w:basedOn w:val="DefaultParagraphFont"/>
    <w:link w:val="BodyText"/>
    <w:uiPriority w:val="98"/>
    <w:semiHidden/>
    <w:rsid w:val="004E3323"/>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E3323"/>
    <w:pPr>
      <w:spacing w:after="120" w:line="480" w:lineRule="auto"/>
    </w:pPr>
  </w:style>
  <w:style w:type="table" w:customStyle="1" w:styleId="ECHRHeaderTableReduced">
    <w:name w:val="ECHR_Header_Table_Reduced"/>
    <w:basedOn w:val="TableNormal"/>
    <w:uiPriority w:val="99"/>
    <w:rsid w:val="004E3323"/>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E3323"/>
    <w:pPr>
      <w:ind w:firstLine="284"/>
    </w:pPr>
    <w:rPr>
      <w:b/>
    </w:rPr>
  </w:style>
  <w:style w:type="character" w:styleId="PageNumber">
    <w:name w:val="page number"/>
    <w:uiPriority w:val="98"/>
    <w:semiHidden/>
    <w:rsid w:val="004E3323"/>
    <w:rPr>
      <w:sz w:val="18"/>
    </w:rPr>
  </w:style>
  <w:style w:type="paragraph" w:styleId="ListBullet2">
    <w:name w:val="List Bullet 2"/>
    <w:basedOn w:val="Normal"/>
    <w:uiPriority w:val="98"/>
    <w:semiHidden/>
    <w:rsid w:val="004E3323"/>
    <w:pPr>
      <w:numPr>
        <w:numId w:val="12"/>
      </w:numPr>
      <w:contextualSpacing/>
    </w:pPr>
  </w:style>
  <w:style w:type="character" w:customStyle="1" w:styleId="BodyText2Char">
    <w:name w:val="Body Text 2 Char"/>
    <w:basedOn w:val="DefaultParagraphFont"/>
    <w:link w:val="BodyText2"/>
    <w:uiPriority w:val="98"/>
    <w:semiHidden/>
    <w:rsid w:val="004E3323"/>
    <w:rPr>
      <w:sz w:val="24"/>
      <w:szCs w:val="24"/>
    </w:rPr>
  </w:style>
  <w:style w:type="paragraph" w:styleId="BodyText3">
    <w:name w:val="Body Text 3"/>
    <w:basedOn w:val="Normal"/>
    <w:link w:val="BodyText3Char"/>
    <w:uiPriority w:val="98"/>
    <w:semiHidden/>
    <w:rsid w:val="004E3323"/>
    <w:pPr>
      <w:spacing w:after="120"/>
    </w:pPr>
    <w:rPr>
      <w:sz w:val="16"/>
      <w:szCs w:val="16"/>
    </w:rPr>
  </w:style>
  <w:style w:type="character" w:customStyle="1" w:styleId="BodyText3Char">
    <w:name w:val="Body Text 3 Char"/>
    <w:basedOn w:val="DefaultParagraphFont"/>
    <w:link w:val="BodyText3"/>
    <w:uiPriority w:val="98"/>
    <w:semiHidden/>
    <w:rsid w:val="004E3323"/>
    <w:rPr>
      <w:sz w:val="16"/>
      <w:szCs w:val="16"/>
    </w:rPr>
  </w:style>
  <w:style w:type="paragraph" w:styleId="BodyTextFirstIndent">
    <w:name w:val="Body Text First Indent"/>
    <w:basedOn w:val="BodyText"/>
    <w:link w:val="BodyTextFirstIndentChar"/>
    <w:uiPriority w:val="98"/>
    <w:semiHidden/>
    <w:rsid w:val="004E3323"/>
    <w:pPr>
      <w:spacing w:after="0"/>
      <w:ind w:firstLine="360"/>
    </w:pPr>
  </w:style>
  <w:style w:type="character" w:customStyle="1" w:styleId="BodyTextFirstIndentChar">
    <w:name w:val="Body Text First Indent Char"/>
    <w:basedOn w:val="BodyTextChar"/>
    <w:link w:val="BodyTextFirstIndent"/>
    <w:uiPriority w:val="98"/>
    <w:semiHidden/>
    <w:rsid w:val="004E3323"/>
    <w:rPr>
      <w:sz w:val="24"/>
      <w:szCs w:val="24"/>
    </w:rPr>
  </w:style>
  <w:style w:type="paragraph" w:styleId="BodyTextIndent">
    <w:name w:val="Body Text Indent"/>
    <w:basedOn w:val="Normal"/>
    <w:link w:val="BodyTextIndentChar"/>
    <w:uiPriority w:val="98"/>
    <w:semiHidden/>
    <w:rsid w:val="004E3323"/>
    <w:pPr>
      <w:spacing w:after="120"/>
      <w:ind w:left="283"/>
    </w:pPr>
  </w:style>
  <w:style w:type="character" w:customStyle="1" w:styleId="BodyTextIndentChar">
    <w:name w:val="Body Text Indent Char"/>
    <w:basedOn w:val="DefaultParagraphFont"/>
    <w:link w:val="BodyTextIndent"/>
    <w:uiPriority w:val="98"/>
    <w:semiHidden/>
    <w:rsid w:val="004E3323"/>
    <w:rPr>
      <w:sz w:val="24"/>
      <w:szCs w:val="24"/>
    </w:rPr>
  </w:style>
  <w:style w:type="paragraph" w:styleId="BodyTextFirstIndent2">
    <w:name w:val="Body Text First Indent 2"/>
    <w:basedOn w:val="BodyTextIndent"/>
    <w:link w:val="BodyTextFirstIndent2Char"/>
    <w:uiPriority w:val="98"/>
    <w:semiHidden/>
    <w:rsid w:val="004E3323"/>
    <w:pPr>
      <w:spacing w:after="0"/>
      <w:ind w:left="360" w:firstLine="360"/>
    </w:pPr>
  </w:style>
  <w:style w:type="character" w:customStyle="1" w:styleId="BodyTextFirstIndent2Char">
    <w:name w:val="Body Text First Indent 2 Char"/>
    <w:basedOn w:val="BodyTextIndentChar"/>
    <w:link w:val="BodyTextFirstIndent2"/>
    <w:uiPriority w:val="98"/>
    <w:semiHidden/>
    <w:rsid w:val="004E3323"/>
    <w:rPr>
      <w:sz w:val="24"/>
      <w:szCs w:val="24"/>
    </w:rPr>
  </w:style>
  <w:style w:type="paragraph" w:styleId="BodyTextIndent2">
    <w:name w:val="Body Text Indent 2"/>
    <w:basedOn w:val="Normal"/>
    <w:link w:val="BodyTextIndent2Char"/>
    <w:uiPriority w:val="98"/>
    <w:semiHidden/>
    <w:rsid w:val="004E3323"/>
    <w:pPr>
      <w:spacing w:after="120" w:line="480" w:lineRule="auto"/>
      <w:ind w:left="283"/>
    </w:pPr>
  </w:style>
  <w:style w:type="character" w:customStyle="1" w:styleId="BodyTextIndent2Char">
    <w:name w:val="Body Text Indent 2 Char"/>
    <w:basedOn w:val="DefaultParagraphFont"/>
    <w:link w:val="BodyTextIndent2"/>
    <w:uiPriority w:val="98"/>
    <w:semiHidden/>
    <w:rsid w:val="004E3323"/>
    <w:rPr>
      <w:sz w:val="24"/>
      <w:szCs w:val="24"/>
    </w:rPr>
  </w:style>
  <w:style w:type="paragraph" w:styleId="BodyTextIndent3">
    <w:name w:val="Body Text Indent 3"/>
    <w:basedOn w:val="Normal"/>
    <w:link w:val="BodyTextIndent3Char"/>
    <w:uiPriority w:val="98"/>
    <w:semiHidden/>
    <w:rsid w:val="004E332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E3323"/>
    <w:rPr>
      <w:sz w:val="16"/>
      <w:szCs w:val="16"/>
    </w:rPr>
  </w:style>
  <w:style w:type="paragraph" w:styleId="Caption">
    <w:name w:val="caption"/>
    <w:basedOn w:val="Normal"/>
    <w:next w:val="Normal"/>
    <w:uiPriority w:val="98"/>
    <w:semiHidden/>
    <w:qFormat/>
    <w:rsid w:val="004E3323"/>
    <w:pPr>
      <w:spacing w:after="200"/>
    </w:pPr>
    <w:rPr>
      <w:b/>
      <w:bCs/>
      <w:color w:val="0072BC" w:themeColor="accent1"/>
      <w:sz w:val="18"/>
      <w:szCs w:val="18"/>
    </w:rPr>
  </w:style>
  <w:style w:type="paragraph" w:styleId="Closing">
    <w:name w:val="Closing"/>
    <w:basedOn w:val="Normal"/>
    <w:link w:val="ClosingChar"/>
    <w:uiPriority w:val="98"/>
    <w:semiHidden/>
    <w:rsid w:val="004E3323"/>
    <w:pPr>
      <w:ind w:left="4252"/>
    </w:pPr>
  </w:style>
  <w:style w:type="character" w:customStyle="1" w:styleId="ClosingChar">
    <w:name w:val="Closing Char"/>
    <w:basedOn w:val="DefaultParagraphFont"/>
    <w:link w:val="Closing"/>
    <w:uiPriority w:val="98"/>
    <w:semiHidden/>
    <w:rsid w:val="004E3323"/>
    <w:rPr>
      <w:sz w:val="24"/>
      <w:szCs w:val="24"/>
    </w:rPr>
  </w:style>
  <w:style w:type="table" w:styleId="ColorfulGrid">
    <w:name w:val="Colorful Grid"/>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E332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E332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E332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E332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E332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E332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E332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E332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E332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E332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E332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E332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E332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E332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E332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E3323"/>
    <w:rPr>
      <w:sz w:val="16"/>
      <w:szCs w:val="16"/>
    </w:rPr>
  </w:style>
  <w:style w:type="paragraph" w:styleId="CommentText">
    <w:name w:val="annotation text"/>
    <w:basedOn w:val="Normal"/>
    <w:link w:val="CommentTextChar"/>
    <w:uiPriority w:val="98"/>
    <w:semiHidden/>
    <w:rsid w:val="004E3323"/>
    <w:rPr>
      <w:sz w:val="20"/>
      <w:szCs w:val="20"/>
    </w:rPr>
  </w:style>
  <w:style w:type="character" w:customStyle="1" w:styleId="CommentTextChar">
    <w:name w:val="Comment Text Char"/>
    <w:basedOn w:val="DefaultParagraphFont"/>
    <w:link w:val="CommentText"/>
    <w:uiPriority w:val="98"/>
    <w:semiHidden/>
    <w:rsid w:val="004E3323"/>
    <w:rPr>
      <w:sz w:val="20"/>
      <w:szCs w:val="20"/>
    </w:rPr>
  </w:style>
  <w:style w:type="paragraph" w:styleId="CommentSubject">
    <w:name w:val="annotation subject"/>
    <w:basedOn w:val="CommentText"/>
    <w:next w:val="CommentText"/>
    <w:link w:val="CommentSubjectChar"/>
    <w:uiPriority w:val="98"/>
    <w:semiHidden/>
    <w:rsid w:val="004E3323"/>
    <w:rPr>
      <w:b/>
      <w:bCs/>
    </w:rPr>
  </w:style>
  <w:style w:type="character" w:customStyle="1" w:styleId="CommentSubjectChar">
    <w:name w:val="Comment Subject Char"/>
    <w:basedOn w:val="CommentTextChar"/>
    <w:link w:val="CommentSubject"/>
    <w:uiPriority w:val="98"/>
    <w:semiHidden/>
    <w:rsid w:val="004E3323"/>
    <w:rPr>
      <w:b/>
      <w:bCs/>
      <w:sz w:val="20"/>
      <w:szCs w:val="20"/>
    </w:rPr>
  </w:style>
  <w:style w:type="table" w:styleId="DarkList">
    <w:name w:val="Dark List"/>
    <w:basedOn w:val="TableNormal"/>
    <w:uiPriority w:val="70"/>
    <w:semiHidden/>
    <w:rsid w:val="004E332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E332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E332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E332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E332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E332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E332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E3323"/>
  </w:style>
  <w:style w:type="character" w:customStyle="1" w:styleId="DateChar">
    <w:name w:val="Date Char"/>
    <w:basedOn w:val="DefaultParagraphFont"/>
    <w:link w:val="Date"/>
    <w:uiPriority w:val="98"/>
    <w:semiHidden/>
    <w:rsid w:val="004E3323"/>
    <w:rPr>
      <w:sz w:val="24"/>
      <w:szCs w:val="24"/>
    </w:rPr>
  </w:style>
  <w:style w:type="paragraph" w:styleId="DocumentMap">
    <w:name w:val="Document Map"/>
    <w:basedOn w:val="Normal"/>
    <w:link w:val="DocumentMapChar"/>
    <w:uiPriority w:val="98"/>
    <w:semiHidden/>
    <w:rsid w:val="004E3323"/>
    <w:rPr>
      <w:rFonts w:ascii="Tahoma" w:hAnsi="Tahoma" w:cs="Tahoma"/>
      <w:sz w:val="16"/>
      <w:szCs w:val="16"/>
    </w:rPr>
  </w:style>
  <w:style w:type="character" w:customStyle="1" w:styleId="DocumentMapChar">
    <w:name w:val="Document Map Char"/>
    <w:basedOn w:val="DefaultParagraphFont"/>
    <w:link w:val="DocumentMap"/>
    <w:uiPriority w:val="98"/>
    <w:semiHidden/>
    <w:rsid w:val="004E3323"/>
    <w:rPr>
      <w:rFonts w:ascii="Tahoma" w:hAnsi="Tahoma" w:cs="Tahoma"/>
      <w:sz w:val="16"/>
      <w:szCs w:val="16"/>
    </w:rPr>
  </w:style>
  <w:style w:type="paragraph" w:styleId="E-mailSignature">
    <w:name w:val="E-mail Signature"/>
    <w:basedOn w:val="Normal"/>
    <w:link w:val="E-mailSignatureChar"/>
    <w:uiPriority w:val="98"/>
    <w:semiHidden/>
    <w:rsid w:val="004E3323"/>
  </w:style>
  <w:style w:type="character" w:customStyle="1" w:styleId="E-mailSignatureChar">
    <w:name w:val="E-mail Signature Char"/>
    <w:basedOn w:val="DefaultParagraphFont"/>
    <w:link w:val="E-mailSignature"/>
    <w:uiPriority w:val="98"/>
    <w:semiHidden/>
    <w:rsid w:val="004E3323"/>
    <w:rPr>
      <w:sz w:val="24"/>
      <w:szCs w:val="24"/>
    </w:rPr>
  </w:style>
  <w:style w:type="character" w:styleId="EndnoteReference">
    <w:name w:val="endnote reference"/>
    <w:basedOn w:val="DefaultParagraphFont"/>
    <w:uiPriority w:val="98"/>
    <w:semiHidden/>
    <w:rsid w:val="004E3323"/>
    <w:rPr>
      <w:vertAlign w:val="superscript"/>
    </w:rPr>
  </w:style>
  <w:style w:type="paragraph" w:styleId="EndnoteText">
    <w:name w:val="endnote text"/>
    <w:basedOn w:val="Normal"/>
    <w:link w:val="EndnoteTextChar"/>
    <w:uiPriority w:val="98"/>
    <w:semiHidden/>
    <w:rsid w:val="004E3323"/>
    <w:rPr>
      <w:sz w:val="20"/>
      <w:szCs w:val="20"/>
    </w:rPr>
  </w:style>
  <w:style w:type="character" w:customStyle="1" w:styleId="EndnoteTextChar">
    <w:name w:val="Endnote Text Char"/>
    <w:basedOn w:val="DefaultParagraphFont"/>
    <w:link w:val="EndnoteText"/>
    <w:uiPriority w:val="98"/>
    <w:semiHidden/>
    <w:rsid w:val="004E3323"/>
    <w:rPr>
      <w:sz w:val="20"/>
      <w:szCs w:val="20"/>
    </w:rPr>
  </w:style>
  <w:style w:type="paragraph" w:styleId="EnvelopeAddress">
    <w:name w:val="envelope address"/>
    <w:basedOn w:val="Normal"/>
    <w:uiPriority w:val="98"/>
    <w:semiHidden/>
    <w:rsid w:val="004E332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E332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E3323"/>
    <w:rPr>
      <w:color w:val="7030A0" w:themeColor="followedHyperlink"/>
      <w:u w:val="single"/>
    </w:rPr>
  </w:style>
  <w:style w:type="character" w:styleId="HTMLAcronym">
    <w:name w:val="HTML Acronym"/>
    <w:basedOn w:val="DefaultParagraphFont"/>
    <w:uiPriority w:val="98"/>
    <w:semiHidden/>
    <w:rsid w:val="004E3323"/>
  </w:style>
  <w:style w:type="paragraph" w:styleId="HTMLAddress">
    <w:name w:val="HTML Address"/>
    <w:basedOn w:val="Normal"/>
    <w:link w:val="HTMLAddressChar"/>
    <w:uiPriority w:val="98"/>
    <w:semiHidden/>
    <w:rsid w:val="004E3323"/>
    <w:rPr>
      <w:i/>
      <w:iCs/>
    </w:rPr>
  </w:style>
  <w:style w:type="character" w:customStyle="1" w:styleId="HTMLAddressChar">
    <w:name w:val="HTML Address Char"/>
    <w:basedOn w:val="DefaultParagraphFont"/>
    <w:link w:val="HTMLAddress"/>
    <w:uiPriority w:val="98"/>
    <w:semiHidden/>
    <w:rsid w:val="004E3323"/>
    <w:rPr>
      <w:i/>
      <w:iCs/>
      <w:sz w:val="24"/>
      <w:szCs w:val="24"/>
    </w:rPr>
  </w:style>
  <w:style w:type="character" w:styleId="HTMLCite">
    <w:name w:val="HTML Cite"/>
    <w:basedOn w:val="DefaultParagraphFont"/>
    <w:uiPriority w:val="98"/>
    <w:semiHidden/>
    <w:rsid w:val="004E3323"/>
    <w:rPr>
      <w:i/>
      <w:iCs/>
    </w:rPr>
  </w:style>
  <w:style w:type="character" w:styleId="HTMLCode">
    <w:name w:val="HTML Code"/>
    <w:basedOn w:val="DefaultParagraphFont"/>
    <w:uiPriority w:val="98"/>
    <w:semiHidden/>
    <w:rsid w:val="004E3323"/>
    <w:rPr>
      <w:rFonts w:ascii="Consolas" w:hAnsi="Consolas" w:cs="Consolas"/>
      <w:sz w:val="20"/>
      <w:szCs w:val="20"/>
    </w:rPr>
  </w:style>
  <w:style w:type="character" w:styleId="HTMLDefinition">
    <w:name w:val="HTML Definition"/>
    <w:basedOn w:val="DefaultParagraphFont"/>
    <w:uiPriority w:val="98"/>
    <w:semiHidden/>
    <w:rsid w:val="004E3323"/>
    <w:rPr>
      <w:i/>
      <w:iCs/>
    </w:rPr>
  </w:style>
  <w:style w:type="character" w:styleId="HTMLKeyboard">
    <w:name w:val="HTML Keyboard"/>
    <w:basedOn w:val="DefaultParagraphFont"/>
    <w:uiPriority w:val="98"/>
    <w:semiHidden/>
    <w:rsid w:val="004E3323"/>
    <w:rPr>
      <w:rFonts w:ascii="Consolas" w:hAnsi="Consolas" w:cs="Consolas"/>
      <w:sz w:val="20"/>
      <w:szCs w:val="20"/>
    </w:rPr>
  </w:style>
  <w:style w:type="paragraph" w:styleId="HTMLPreformatted">
    <w:name w:val="HTML Preformatted"/>
    <w:basedOn w:val="Normal"/>
    <w:link w:val="HTMLPreformattedChar"/>
    <w:uiPriority w:val="98"/>
    <w:semiHidden/>
    <w:rsid w:val="004E332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E3323"/>
    <w:rPr>
      <w:rFonts w:ascii="Consolas" w:hAnsi="Consolas" w:cs="Consolas"/>
      <w:sz w:val="20"/>
      <w:szCs w:val="20"/>
    </w:rPr>
  </w:style>
  <w:style w:type="character" w:styleId="HTMLSample">
    <w:name w:val="HTML Sample"/>
    <w:basedOn w:val="DefaultParagraphFont"/>
    <w:uiPriority w:val="98"/>
    <w:semiHidden/>
    <w:rsid w:val="004E3323"/>
    <w:rPr>
      <w:rFonts w:ascii="Consolas" w:hAnsi="Consolas" w:cs="Consolas"/>
      <w:sz w:val="24"/>
      <w:szCs w:val="24"/>
    </w:rPr>
  </w:style>
  <w:style w:type="character" w:styleId="HTMLTypewriter">
    <w:name w:val="HTML Typewriter"/>
    <w:basedOn w:val="DefaultParagraphFont"/>
    <w:uiPriority w:val="98"/>
    <w:semiHidden/>
    <w:rsid w:val="004E3323"/>
    <w:rPr>
      <w:rFonts w:ascii="Consolas" w:hAnsi="Consolas" w:cs="Consolas"/>
      <w:sz w:val="20"/>
      <w:szCs w:val="20"/>
    </w:rPr>
  </w:style>
  <w:style w:type="character" w:styleId="HTMLVariable">
    <w:name w:val="HTML Variable"/>
    <w:basedOn w:val="DefaultParagraphFont"/>
    <w:uiPriority w:val="98"/>
    <w:semiHidden/>
    <w:rsid w:val="004E3323"/>
    <w:rPr>
      <w:i/>
      <w:iCs/>
    </w:rPr>
  </w:style>
  <w:style w:type="paragraph" w:styleId="Index1">
    <w:name w:val="index 1"/>
    <w:basedOn w:val="Normal"/>
    <w:next w:val="Normal"/>
    <w:autoRedefine/>
    <w:uiPriority w:val="98"/>
    <w:semiHidden/>
    <w:rsid w:val="004E3323"/>
    <w:pPr>
      <w:ind w:left="240" w:hanging="240"/>
    </w:pPr>
  </w:style>
  <w:style w:type="paragraph" w:styleId="Index2">
    <w:name w:val="index 2"/>
    <w:basedOn w:val="Normal"/>
    <w:next w:val="Normal"/>
    <w:autoRedefine/>
    <w:uiPriority w:val="98"/>
    <w:semiHidden/>
    <w:rsid w:val="004E3323"/>
    <w:pPr>
      <w:ind w:left="480" w:hanging="240"/>
    </w:pPr>
  </w:style>
  <w:style w:type="paragraph" w:styleId="Index3">
    <w:name w:val="index 3"/>
    <w:basedOn w:val="Normal"/>
    <w:next w:val="Normal"/>
    <w:autoRedefine/>
    <w:uiPriority w:val="98"/>
    <w:semiHidden/>
    <w:rsid w:val="004E3323"/>
    <w:pPr>
      <w:ind w:left="720" w:hanging="240"/>
    </w:pPr>
  </w:style>
  <w:style w:type="paragraph" w:styleId="Index4">
    <w:name w:val="index 4"/>
    <w:basedOn w:val="Normal"/>
    <w:next w:val="Normal"/>
    <w:autoRedefine/>
    <w:uiPriority w:val="98"/>
    <w:semiHidden/>
    <w:rsid w:val="004E3323"/>
    <w:pPr>
      <w:ind w:left="960" w:hanging="240"/>
    </w:pPr>
  </w:style>
  <w:style w:type="paragraph" w:styleId="Index5">
    <w:name w:val="index 5"/>
    <w:basedOn w:val="Normal"/>
    <w:next w:val="Normal"/>
    <w:autoRedefine/>
    <w:uiPriority w:val="98"/>
    <w:semiHidden/>
    <w:rsid w:val="004E3323"/>
    <w:pPr>
      <w:ind w:left="1200" w:hanging="240"/>
    </w:pPr>
  </w:style>
  <w:style w:type="paragraph" w:styleId="Index6">
    <w:name w:val="index 6"/>
    <w:basedOn w:val="Normal"/>
    <w:next w:val="Normal"/>
    <w:autoRedefine/>
    <w:uiPriority w:val="98"/>
    <w:semiHidden/>
    <w:rsid w:val="004E3323"/>
    <w:pPr>
      <w:ind w:left="1440" w:hanging="240"/>
    </w:pPr>
  </w:style>
  <w:style w:type="paragraph" w:styleId="Index7">
    <w:name w:val="index 7"/>
    <w:basedOn w:val="Normal"/>
    <w:next w:val="Normal"/>
    <w:autoRedefine/>
    <w:uiPriority w:val="98"/>
    <w:semiHidden/>
    <w:rsid w:val="004E3323"/>
    <w:pPr>
      <w:ind w:left="1680" w:hanging="240"/>
    </w:pPr>
  </w:style>
  <w:style w:type="paragraph" w:styleId="Index8">
    <w:name w:val="index 8"/>
    <w:basedOn w:val="Normal"/>
    <w:next w:val="Normal"/>
    <w:autoRedefine/>
    <w:uiPriority w:val="98"/>
    <w:semiHidden/>
    <w:rsid w:val="004E3323"/>
    <w:pPr>
      <w:ind w:left="1920" w:hanging="240"/>
    </w:pPr>
  </w:style>
  <w:style w:type="paragraph" w:styleId="Index9">
    <w:name w:val="index 9"/>
    <w:basedOn w:val="Normal"/>
    <w:next w:val="Normal"/>
    <w:autoRedefine/>
    <w:uiPriority w:val="98"/>
    <w:semiHidden/>
    <w:rsid w:val="004E3323"/>
    <w:pPr>
      <w:ind w:left="2160" w:hanging="240"/>
    </w:pPr>
  </w:style>
  <w:style w:type="paragraph" w:styleId="IndexHeading">
    <w:name w:val="index heading"/>
    <w:basedOn w:val="Normal"/>
    <w:next w:val="Index1"/>
    <w:uiPriority w:val="98"/>
    <w:semiHidden/>
    <w:rsid w:val="004E3323"/>
    <w:rPr>
      <w:rFonts w:asciiTheme="majorHAnsi" w:eastAsiaTheme="majorEastAsia" w:hAnsiTheme="majorHAnsi" w:cstheme="majorBidi"/>
      <w:b/>
      <w:bCs/>
    </w:rPr>
  </w:style>
  <w:style w:type="table" w:styleId="LightGrid">
    <w:name w:val="Light Grid"/>
    <w:basedOn w:val="TableNormal"/>
    <w:uiPriority w:val="62"/>
    <w:semiHidden/>
    <w:rsid w:val="004E332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E332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E332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E332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E332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E332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E332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E332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E332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E332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E332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E332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E332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E332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E332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E332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E332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E332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E332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E332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E332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E3323"/>
  </w:style>
  <w:style w:type="paragraph" w:styleId="List">
    <w:name w:val="List"/>
    <w:basedOn w:val="Normal"/>
    <w:uiPriority w:val="98"/>
    <w:semiHidden/>
    <w:rsid w:val="004E3323"/>
    <w:pPr>
      <w:ind w:left="283" w:hanging="283"/>
      <w:contextualSpacing/>
    </w:pPr>
  </w:style>
  <w:style w:type="paragraph" w:styleId="List2">
    <w:name w:val="List 2"/>
    <w:basedOn w:val="Normal"/>
    <w:uiPriority w:val="98"/>
    <w:semiHidden/>
    <w:rsid w:val="004E3323"/>
    <w:pPr>
      <w:ind w:left="566" w:hanging="283"/>
      <w:contextualSpacing/>
    </w:pPr>
  </w:style>
  <w:style w:type="paragraph" w:styleId="List3">
    <w:name w:val="List 3"/>
    <w:basedOn w:val="Normal"/>
    <w:uiPriority w:val="98"/>
    <w:semiHidden/>
    <w:rsid w:val="004E3323"/>
    <w:pPr>
      <w:ind w:left="849" w:hanging="283"/>
      <w:contextualSpacing/>
    </w:pPr>
  </w:style>
  <w:style w:type="paragraph" w:styleId="List4">
    <w:name w:val="List 4"/>
    <w:basedOn w:val="Normal"/>
    <w:uiPriority w:val="98"/>
    <w:semiHidden/>
    <w:rsid w:val="004E3323"/>
    <w:pPr>
      <w:ind w:left="1132" w:hanging="283"/>
      <w:contextualSpacing/>
    </w:pPr>
  </w:style>
  <w:style w:type="paragraph" w:styleId="List5">
    <w:name w:val="List 5"/>
    <w:basedOn w:val="Normal"/>
    <w:uiPriority w:val="98"/>
    <w:semiHidden/>
    <w:rsid w:val="004E3323"/>
    <w:pPr>
      <w:ind w:left="1415" w:hanging="283"/>
      <w:contextualSpacing/>
    </w:pPr>
  </w:style>
  <w:style w:type="paragraph" w:styleId="ListBullet">
    <w:name w:val="List Bullet"/>
    <w:basedOn w:val="Normal"/>
    <w:uiPriority w:val="98"/>
    <w:semiHidden/>
    <w:rsid w:val="004E3323"/>
    <w:pPr>
      <w:numPr>
        <w:numId w:val="11"/>
      </w:numPr>
    </w:pPr>
  </w:style>
  <w:style w:type="paragraph" w:styleId="ListBullet3">
    <w:name w:val="List Bullet 3"/>
    <w:basedOn w:val="Normal"/>
    <w:uiPriority w:val="98"/>
    <w:semiHidden/>
    <w:rsid w:val="004E3323"/>
    <w:pPr>
      <w:numPr>
        <w:numId w:val="13"/>
      </w:numPr>
      <w:contextualSpacing/>
    </w:pPr>
  </w:style>
  <w:style w:type="paragraph" w:styleId="ListBullet4">
    <w:name w:val="List Bullet 4"/>
    <w:basedOn w:val="Normal"/>
    <w:uiPriority w:val="98"/>
    <w:semiHidden/>
    <w:rsid w:val="004E3323"/>
    <w:pPr>
      <w:numPr>
        <w:numId w:val="14"/>
      </w:numPr>
      <w:contextualSpacing/>
    </w:pPr>
  </w:style>
  <w:style w:type="paragraph" w:styleId="ListBullet5">
    <w:name w:val="List Bullet 5"/>
    <w:basedOn w:val="Normal"/>
    <w:uiPriority w:val="98"/>
    <w:semiHidden/>
    <w:rsid w:val="004E3323"/>
    <w:pPr>
      <w:numPr>
        <w:numId w:val="15"/>
      </w:numPr>
      <w:contextualSpacing/>
    </w:pPr>
  </w:style>
  <w:style w:type="paragraph" w:styleId="ListContinue">
    <w:name w:val="List Continue"/>
    <w:basedOn w:val="Normal"/>
    <w:uiPriority w:val="98"/>
    <w:semiHidden/>
    <w:rsid w:val="004E3323"/>
    <w:pPr>
      <w:spacing w:after="120"/>
      <w:ind w:left="283"/>
      <w:contextualSpacing/>
    </w:pPr>
  </w:style>
  <w:style w:type="paragraph" w:styleId="ListContinue2">
    <w:name w:val="List Continue 2"/>
    <w:basedOn w:val="Normal"/>
    <w:uiPriority w:val="98"/>
    <w:semiHidden/>
    <w:rsid w:val="004E3323"/>
    <w:pPr>
      <w:spacing w:after="120"/>
      <w:ind w:left="566"/>
      <w:contextualSpacing/>
    </w:pPr>
  </w:style>
  <w:style w:type="paragraph" w:styleId="ListContinue3">
    <w:name w:val="List Continue 3"/>
    <w:basedOn w:val="Normal"/>
    <w:uiPriority w:val="98"/>
    <w:semiHidden/>
    <w:rsid w:val="004E3323"/>
    <w:pPr>
      <w:spacing w:after="120"/>
      <w:ind w:left="849"/>
      <w:contextualSpacing/>
    </w:pPr>
  </w:style>
  <w:style w:type="paragraph" w:styleId="ListContinue4">
    <w:name w:val="List Continue 4"/>
    <w:basedOn w:val="Normal"/>
    <w:uiPriority w:val="98"/>
    <w:semiHidden/>
    <w:rsid w:val="004E3323"/>
    <w:pPr>
      <w:spacing w:after="120"/>
      <w:ind w:left="1132"/>
      <w:contextualSpacing/>
    </w:pPr>
  </w:style>
  <w:style w:type="paragraph" w:styleId="ListContinue5">
    <w:name w:val="List Continue 5"/>
    <w:basedOn w:val="Normal"/>
    <w:uiPriority w:val="98"/>
    <w:semiHidden/>
    <w:rsid w:val="004E3323"/>
    <w:pPr>
      <w:spacing w:after="120"/>
      <w:ind w:left="1415"/>
      <w:contextualSpacing/>
    </w:pPr>
  </w:style>
  <w:style w:type="paragraph" w:styleId="ListNumber">
    <w:name w:val="List Number"/>
    <w:basedOn w:val="Normal"/>
    <w:uiPriority w:val="98"/>
    <w:semiHidden/>
    <w:rsid w:val="004E3323"/>
    <w:pPr>
      <w:numPr>
        <w:numId w:val="16"/>
      </w:numPr>
      <w:contextualSpacing/>
    </w:pPr>
  </w:style>
  <w:style w:type="paragraph" w:styleId="ListNumber2">
    <w:name w:val="List Number 2"/>
    <w:basedOn w:val="Normal"/>
    <w:uiPriority w:val="98"/>
    <w:semiHidden/>
    <w:rsid w:val="004E3323"/>
    <w:pPr>
      <w:numPr>
        <w:numId w:val="17"/>
      </w:numPr>
      <w:contextualSpacing/>
    </w:pPr>
  </w:style>
  <w:style w:type="paragraph" w:styleId="ListNumber3">
    <w:name w:val="List Number 3"/>
    <w:basedOn w:val="Normal"/>
    <w:uiPriority w:val="98"/>
    <w:semiHidden/>
    <w:rsid w:val="004E3323"/>
    <w:pPr>
      <w:numPr>
        <w:numId w:val="18"/>
      </w:numPr>
      <w:contextualSpacing/>
    </w:pPr>
  </w:style>
  <w:style w:type="paragraph" w:styleId="ListNumber4">
    <w:name w:val="List Number 4"/>
    <w:basedOn w:val="Normal"/>
    <w:uiPriority w:val="98"/>
    <w:semiHidden/>
    <w:rsid w:val="004E3323"/>
    <w:pPr>
      <w:numPr>
        <w:numId w:val="19"/>
      </w:numPr>
      <w:contextualSpacing/>
    </w:pPr>
  </w:style>
  <w:style w:type="paragraph" w:styleId="ListNumber5">
    <w:name w:val="List Number 5"/>
    <w:basedOn w:val="Normal"/>
    <w:uiPriority w:val="98"/>
    <w:semiHidden/>
    <w:rsid w:val="004E3323"/>
    <w:pPr>
      <w:numPr>
        <w:numId w:val="20"/>
      </w:numPr>
      <w:contextualSpacing/>
    </w:pPr>
  </w:style>
  <w:style w:type="paragraph" w:styleId="MacroText">
    <w:name w:val="macro"/>
    <w:link w:val="MacroTextChar"/>
    <w:uiPriority w:val="98"/>
    <w:semiHidden/>
    <w:rsid w:val="004E332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E3323"/>
    <w:rPr>
      <w:rFonts w:ascii="Consolas" w:eastAsiaTheme="minorEastAsia" w:hAnsi="Consolas" w:cs="Consolas"/>
      <w:sz w:val="20"/>
      <w:szCs w:val="20"/>
    </w:rPr>
  </w:style>
  <w:style w:type="table" w:styleId="MediumGrid1">
    <w:name w:val="Medium Grid 1"/>
    <w:basedOn w:val="TableNormal"/>
    <w:uiPriority w:val="67"/>
    <w:semiHidden/>
    <w:rsid w:val="004E332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E332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E332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E332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E332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E332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E332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E332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E332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E332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E332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E332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E332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E332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E332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E332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E332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E332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E332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E332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E332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E332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E332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E332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E332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E3323"/>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4E3323"/>
    <w:rPr>
      <w:rFonts w:ascii="Times New Roman" w:hAnsi="Times New Roman" w:cs="Times New Roman"/>
    </w:rPr>
  </w:style>
  <w:style w:type="paragraph" w:styleId="NormalIndent">
    <w:name w:val="Normal Indent"/>
    <w:basedOn w:val="Normal"/>
    <w:uiPriority w:val="98"/>
    <w:semiHidden/>
    <w:rsid w:val="004E3323"/>
    <w:pPr>
      <w:ind w:left="720"/>
    </w:pPr>
  </w:style>
  <w:style w:type="paragraph" w:styleId="NoteHeading">
    <w:name w:val="Note Heading"/>
    <w:basedOn w:val="Normal"/>
    <w:next w:val="Normal"/>
    <w:link w:val="NoteHeadingChar"/>
    <w:uiPriority w:val="98"/>
    <w:semiHidden/>
    <w:rsid w:val="004E3323"/>
  </w:style>
  <w:style w:type="character" w:customStyle="1" w:styleId="NoteHeadingChar">
    <w:name w:val="Note Heading Char"/>
    <w:basedOn w:val="DefaultParagraphFont"/>
    <w:link w:val="NoteHeading"/>
    <w:uiPriority w:val="98"/>
    <w:semiHidden/>
    <w:rsid w:val="004E3323"/>
    <w:rPr>
      <w:sz w:val="24"/>
      <w:szCs w:val="24"/>
    </w:rPr>
  </w:style>
  <w:style w:type="character" w:styleId="PlaceholderText">
    <w:name w:val="Placeholder Text"/>
    <w:basedOn w:val="DefaultParagraphFont"/>
    <w:uiPriority w:val="98"/>
    <w:semiHidden/>
    <w:rsid w:val="004E332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E3323"/>
    <w:rPr>
      <w:rFonts w:ascii="Consolas" w:hAnsi="Consolas" w:cs="Consolas"/>
      <w:sz w:val="21"/>
      <w:szCs w:val="21"/>
    </w:rPr>
  </w:style>
  <w:style w:type="character" w:customStyle="1" w:styleId="PlainTextChar">
    <w:name w:val="Plain Text Char"/>
    <w:basedOn w:val="DefaultParagraphFont"/>
    <w:link w:val="PlainText"/>
    <w:uiPriority w:val="98"/>
    <w:semiHidden/>
    <w:rsid w:val="004E3323"/>
    <w:rPr>
      <w:rFonts w:ascii="Consolas" w:hAnsi="Consolas" w:cs="Consolas"/>
      <w:sz w:val="21"/>
      <w:szCs w:val="21"/>
    </w:rPr>
  </w:style>
  <w:style w:type="paragraph" w:styleId="Salutation">
    <w:name w:val="Salutation"/>
    <w:basedOn w:val="Normal"/>
    <w:next w:val="Normal"/>
    <w:link w:val="SalutationChar"/>
    <w:uiPriority w:val="98"/>
    <w:semiHidden/>
    <w:rsid w:val="004E3323"/>
  </w:style>
  <w:style w:type="character" w:customStyle="1" w:styleId="SalutationChar">
    <w:name w:val="Salutation Char"/>
    <w:basedOn w:val="DefaultParagraphFont"/>
    <w:link w:val="Salutation"/>
    <w:uiPriority w:val="98"/>
    <w:semiHidden/>
    <w:rsid w:val="004E3323"/>
    <w:rPr>
      <w:sz w:val="24"/>
      <w:szCs w:val="24"/>
    </w:rPr>
  </w:style>
  <w:style w:type="paragraph" w:styleId="Signature">
    <w:name w:val="Signature"/>
    <w:basedOn w:val="Normal"/>
    <w:link w:val="SignatureChar"/>
    <w:uiPriority w:val="98"/>
    <w:semiHidden/>
    <w:rsid w:val="004E3323"/>
    <w:pPr>
      <w:ind w:left="4252"/>
    </w:pPr>
  </w:style>
  <w:style w:type="character" w:customStyle="1" w:styleId="SignatureChar">
    <w:name w:val="Signature Char"/>
    <w:basedOn w:val="DefaultParagraphFont"/>
    <w:link w:val="Signature"/>
    <w:uiPriority w:val="98"/>
    <w:semiHidden/>
    <w:rsid w:val="004E3323"/>
    <w:rPr>
      <w:sz w:val="24"/>
      <w:szCs w:val="24"/>
    </w:rPr>
  </w:style>
  <w:style w:type="table" w:styleId="Table3Deffects1">
    <w:name w:val="Table 3D effects 1"/>
    <w:basedOn w:val="TableNormal"/>
    <w:uiPriority w:val="99"/>
    <w:semiHidden/>
    <w:unhideWhenUsed/>
    <w:rsid w:val="004E332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E332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E332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E332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E332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E332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E332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E332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E332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E332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E332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E332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E332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E332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E332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E332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E332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E332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E332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E332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E332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E332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E332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E332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E332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E332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E332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E332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E332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E332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E332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E332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E332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E3323"/>
    <w:pPr>
      <w:ind w:left="240" w:hanging="240"/>
    </w:pPr>
  </w:style>
  <w:style w:type="paragraph" w:styleId="TableofFigures">
    <w:name w:val="table of figures"/>
    <w:basedOn w:val="Normal"/>
    <w:next w:val="Normal"/>
    <w:uiPriority w:val="98"/>
    <w:semiHidden/>
    <w:rsid w:val="004E3323"/>
  </w:style>
  <w:style w:type="table" w:styleId="TableProfessional">
    <w:name w:val="Table Professional"/>
    <w:basedOn w:val="TableNormal"/>
    <w:uiPriority w:val="99"/>
    <w:semiHidden/>
    <w:unhideWhenUsed/>
    <w:rsid w:val="004E332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E332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E332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E332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E332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E332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E332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E332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E332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E332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E332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E332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E3323"/>
    <w:pPr>
      <w:spacing w:after="100"/>
      <w:ind w:left="1680"/>
    </w:pPr>
  </w:style>
  <w:style w:type="paragraph" w:styleId="TOC9">
    <w:name w:val="toc 9"/>
    <w:basedOn w:val="Normal"/>
    <w:next w:val="Normal"/>
    <w:autoRedefine/>
    <w:uiPriority w:val="98"/>
    <w:semiHidden/>
    <w:rsid w:val="004E3323"/>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4E332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E3323"/>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4E3323"/>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4E3323"/>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4E3323"/>
    <w:pPr>
      <w:numPr>
        <w:numId w:val="7"/>
      </w:numPr>
      <w:spacing w:before="60" w:after="60"/>
    </w:pPr>
  </w:style>
  <w:style w:type="character" w:customStyle="1" w:styleId="JuNames0">
    <w:name w:val="Ju_Names"/>
    <w:rsid w:val="0048609C"/>
    <w:rPr>
      <w:rFonts w:ascii="Times New Roman" w:hAnsi="Times New Roman" w:cs="Times New Roman"/>
      <w:smallCaps/>
    </w:rPr>
  </w:style>
  <w:style w:type="character" w:customStyle="1" w:styleId="JuParaChar">
    <w:name w:val="Ju_Para Char"/>
    <w:aliases w:val="_Para Char"/>
    <w:link w:val="JuPara"/>
    <w:uiPriority w:val="4"/>
    <w:rsid w:val="0048609C"/>
    <w:rPr>
      <w:sz w:val="24"/>
      <w:szCs w:val="24"/>
    </w:rPr>
  </w:style>
  <w:style w:type="paragraph" w:customStyle="1" w:styleId="ECHRBullet2">
    <w:name w:val="ECHR_Bullet_2"/>
    <w:aliases w:val="_Bul_2"/>
    <w:basedOn w:val="ECHRBullet1"/>
    <w:uiPriority w:val="23"/>
    <w:semiHidden/>
    <w:rsid w:val="004E3323"/>
    <w:pPr>
      <w:numPr>
        <w:ilvl w:val="1"/>
      </w:numPr>
    </w:pPr>
  </w:style>
  <w:style w:type="character" w:customStyle="1" w:styleId="JuParaCar">
    <w:name w:val="Ju_Para Car"/>
    <w:uiPriority w:val="12"/>
    <w:rsid w:val="0048609C"/>
    <w:rPr>
      <w:rFonts w:eastAsiaTheme="minorEastAsia"/>
      <w:sz w:val="24"/>
      <w:lang w:val="fr-FR"/>
    </w:rPr>
  </w:style>
  <w:style w:type="paragraph" w:customStyle="1" w:styleId="ECHRBullet3">
    <w:name w:val="ECHR_Bullet_3"/>
    <w:aliases w:val="_Bul_3"/>
    <w:basedOn w:val="ECHRBullet2"/>
    <w:uiPriority w:val="23"/>
    <w:semiHidden/>
    <w:rsid w:val="004E3323"/>
    <w:pPr>
      <w:numPr>
        <w:ilvl w:val="2"/>
      </w:numPr>
    </w:pPr>
  </w:style>
  <w:style w:type="paragraph" w:customStyle="1" w:styleId="ECHRBullet4">
    <w:name w:val="ECHR_Bullet_4"/>
    <w:aliases w:val="_Bul_4"/>
    <w:basedOn w:val="ECHRBullet3"/>
    <w:uiPriority w:val="23"/>
    <w:semiHidden/>
    <w:rsid w:val="004E3323"/>
    <w:pPr>
      <w:numPr>
        <w:ilvl w:val="3"/>
      </w:numPr>
    </w:pPr>
  </w:style>
  <w:style w:type="paragraph" w:customStyle="1" w:styleId="ECHRConfidential">
    <w:name w:val="ECHR_Confidential"/>
    <w:aliases w:val="_Confidential"/>
    <w:basedOn w:val="Normal"/>
    <w:next w:val="Normal"/>
    <w:uiPriority w:val="42"/>
    <w:semiHidden/>
    <w:qFormat/>
    <w:rsid w:val="004E3323"/>
    <w:pPr>
      <w:jc w:val="right"/>
    </w:pPr>
    <w:rPr>
      <w:color w:val="C00000"/>
      <w:sz w:val="20"/>
    </w:rPr>
  </w:style>
  <w:style w:type="paragraph" w:customStyle="1" w:styleId="ECHRDecisionBody">
    <w:name w:val="ECHR_Decision_Body"/>
    <w:aliases w:val="_Decision_Body"/>
    <w:basedOn w:val="NormalJustified"/>
    <w:uiPriority w:val="54"/>
    <w:semiHidden/>
    <w:rsid w:val="004E332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E3323"/>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4E3323"/>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4E332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4E3323"/>
    <w:pPr>
      <w:ind w:left="567" w:hanging="567"/>
      <w:jc w:val="both"/>
    </w:pPr>
  </w:style>
  <w:style w:type="paragraph" w:customStyle="1" w:styleId="ECHRHeading9">
    <w:name w:val="ECHR_Heading_9"/>
    <w:aliases w:val="_Head_9"/>
    <w:basedOn w:val="Heading9"/>
    <w:next w:val="Normal"/>
    <w:uiPriority w:val="19"/>
    <w:semiHidden/>
    <w:rsid w:val="004E3323"/>
    <w:pPr>
      <w:numPr>
        <w:numId w:val="3"/>
      </w:numPr>
    </w:pPr>
    <w:rPr>
      <w:i w:val="0"/>
      <w:sz w:val="18"/>
    </w:rPr>
  </w:style>
  <w:style w:type="paragraph" w:customStyle="1" w:styleId="ECHRParaIndent">
    <w:name w:val="ECHR_Para_Indent"/>
    <w:aliases w:val="_Indent"/>
    <w:basedOn w:val="Normal"/>
    <w:uiPriority w:val="7"/>
    <w:semiHidden/>
    <w:qFormat/>
    <w:rsid w:val="004E3323"/>
    <w:pPr>
      <w:spacing w:before="120" w:after="120"/>
      <w:ind w:left="567"/>
      <w:jc w:val="both"/>
    </w:pPr>
  </w:style>
  <w:style w:type="paragraph" w:customStyle="1" w:styleId="ECHRLine">
    <w:name w:val="ECHR_Line"/>
    <w:aliases w:val="_Line"/>
    <w:basedOn w:val="NormalJustified"/>
    <w:next w:val="Normal"/>
    <w:uiPriority w:val="46"/>
    <w:semiHidden/>
    <w:rsid w:val="004E332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E3323"/>
    <w:pPr>
      <w:numPr>
        <w:numId w:val="9"/>
      </w:numPr>
      <w:spacing w:before="60" w:after="60"/>
    </w:pPr>
  </w:style>
  <w:style w:type="paragraph" w:customStyle="1" w:styleId="ECHRNumberedList2">
    <w:name w:val="ECHR_Numbered_List_2"/>
    <w:aliases w:val="_Num_2"/>
    <w:basedOn w:val="ECHRNumberedList1"/>
    <w:uiPriority w:val="23"/>
    <w:semiHidden/>
    <w:rsid w:val="004E3323"/>
    <w:pPr>
      <w:numPr>
        <w:ilvl w:val="1"/>
      </w:numPr>
    </w:pPr>
  </w:style>
  <w:style w:type="paragraph" w:customStyle="1" w:styleId="ECHRNumberedList3">
    <w:name w:val="ECHR_Numbered_List_3"/>
    <w:aliases w:val="_Num_3"/>
    <w:basedOn w:val="ECHRNumberedList2"/>
    <w:uiPriority w:val="23"/>
    <w:semiHidden/>
    <w:rsid w:val="004E3323"/>
    <w:pPr>
      <w:numPr>
        <w:ilvl w:val="2"/>
      </w:numPr>
    </w:pPr>
  </w:style>
  <w:style w:type="character" w:customStyle="1" w:styleId="ECHRRed">
    <w:name w:val="ECHR_Red"/>
    <w:aliases w:val="_Red"/>
    <w:basedOn w:val="DefaultParagraphFont"/>
    <w:uiPriority w:val="15"/>
    <w:semiHidden/>
    <w:qFormat/>
    <w:rsid w:val="004E3323"/>
    <w:rPr>
      <w:color w:val="C00000" w:themeColor="accent2"/>
    </w:rPr>
  </w:style>
  <w:style w:type="paragraph" w:customStyle="1" w:styleId="ECHRHeaderDate">
    <w:name w:val="ECHR_Header_Date"/>
    <w:aliases w:val="_Ref_Date"/>
    <w:basedOn w:val="Normal"/>
    <w:uiPriority w:val="44"/>
    <w:semiHidden/>
    <w:qFormat/>
    <w:rsid w:val="004E3323"/>
    <w:pPr>
      <w:jc w:val="right"/>
    </w:pPr>
    <w:rPr>
      <w:sz w:val="20"/>
    </w:rPr>
  </w:style>
  <w:style w:type="paragraph" w:customStyle="1" w:styleId="ECHRHeaderRefIt">
    <w:name w:val="ECHR_Header_Ref_It"/>
    <w:aliases w:val="_Ref_Ital"/>
    <w:basedOn w:val="Normal"/>
    <w:next w:val="ECHRHeaderDate"/>
    <w:uiPriority w:val="43"/>
    <w:semiHidden/>
    <w:qFormat/>
    <w:rsid w:val="004E3323"/>
    <w:pPr>
      <w:jc w:val="right"/>
    </w:pPr>
    <w:rPr>
      <w:i/>
      <w:sz w:val="20"/>
    </w:rPr>
  </w:style>
  <w:style w:type="paragraph" w:customStyle="1" w:styleId="DecList">
    <w:name w:val="Dec_List"/>
    <w:aliases w:val="_List"/>
    <w:basedOn w:val="JuList"/>
    <w:uiPriority w:val="22"/>
    <w:rsid w:val="004E3323"/>
    <w:pPr>
      <w:numPr>
        <w:numId w:val="0"/>
      </w:numPr>
      <w:ind w:left="284"/>
    </w:pPr>
  </w:style>
  <w:style w:type="paragraph" w:customStyle="1" w:styleId="ECHRTitleCentre1">
    <w:name w:val="ECHR_Title_Centre_1"/>
    <w:aliases w:val="_Title_C_1"/>
    <w:basedOn w:val="Normal"/>
    <w:next w:val="Normal"/>
    <w:uiPriority w:val="26"/>
    <w:semiHidden/>
    <w:qFormat/>
    <w:rsid w:val="004E332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E332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E332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E3323"/>
    <w:pPr>
      <w:outlineLvl w:val="0"/>
    </w:pPr>
  </w:style>
  <w:style w:type="paragraph" w:customStyle="1" w:styleId="ECHRTitle1">
    <w:name w:val="ECHR_Title_1"/>
    <w:aliases w:val="_Title_L_1"/>
    <w:basedOn w:val="Normal"/>
    <w:next w:val="Normal"/>
    <w:uiPriority w:val="28"/>
    <w:semiHidden/>
    <w:qFormat/>
    <w:rsid w:val="004E332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E332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E3323"/>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E3323"/>
    <w:pPr>
      <w:outlineLvl w:val="0"/>
    </w:pPr>
  </w:style>
  <w:style w:type="table" w:customStyle="1" w:styleId="ECHRTable2">
    <w:name w:val="ECHR_Table_2"/>
    <w:basedOn w:val="TableNormal"/>
    <w:uiPriority w:val="99"/>
    <w:rsid w:val="004E332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E332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Spacer">
    <w:name w:val="ECHR_Spacer"/>
    <w:aliases w:val="_Spacer"/>
    <w:basedOn w:val="Normal"/>
    <w:uiPriority w:val="45"/>
    <w:semiHidden/>
    <w:rsid w:val="004E3323"/>
    <w:rPr>
      <w:sz w:val="4"/>
    </w:rPr>
  </w:style>
  <w:style w:type="paragraph" w:customStyle="1" w:styleId="jupara0">
    <w:name w:val="jupara"/>
    <w:basedOn w:val="Normal"/>
    <w:rsid w:val="00BC0996"/>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C0996"/>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389694-FFBA-4FC4-92F9-7B7EF218CF34}"/>
</file>

<file path=customXml/itemProps2.xml><?xml version="1.0" encoding="utf-8"?>
<ds:datastoreItem xmlns:ds="http://schemas.openxmlformats.org/officeDocument/2006/customXml" ds:itemID="{68DD9CF4-F7AB-4EC5-B875-DC03E7A53244}"/>
</file>

<file path=customXml/itemProps3.xml><?xml version="1.0" encoding="utf-8"?>
<ds:datastoreItem xmlns:ds="http://schemas.openxmlformats.org/officeDocument/2006/customXml" ds:itemID="{8B8217EF-AC1F-4191-940F-B2A8AA5CEC06}"/>
</file>

<file path=customXml/itemProps4.xml><?xml version="1.0" encoding="utf-8"?>
<ds:datastoreItem xmlns:ds="http://schemas.openxmlformats.org/officeDocument/2006/customXml" ds:itemID="{B3F61256-44FA-4D41-B4FA-33D17C6F2C0A}"/>
</file>

<file path=docProps/app.xml><?xml version="1.0" encoding="utf-8"?>
<Properties xmlns="http://schemas.openxmlformats.org/officeDocument/2006/extended-properties" xmlns:vt="http://schemas.openxmlformats.org/officeDocument/2006/docPropsVTypes">
  <Template>Normal.dotm</Template>
  <TotalTime>0</TotalTime>
  <Pages>1</Pages>
  <Words>5024</Words>
  <Characters>28637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33594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2020-06-19T12:32:00Z</dcterms:created>
  <dcterms:modified xsi:type="dcterms:W3CDTF">2020-06-19T12:32:00Z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69270/12</vt:lpwstr>
  </property>
  <property fmtid="{D5CDD505-2E9C-101B-9397-08002B2CF9AE}" pid="4" name="CASEID">
    <vt:lpwstr>837908</vt:lpwstr>
  </property>
  <property fmtid="{D5CDD505-2E9C-101B-9397-08002B2CF9AE}" pid="5" name="ContentTypeId">
    <vt:lpwstr>0x010100558EB02BDB9E204AB350EDD385B68E10</vt:lpwstr>
  </property>
</Properties>
</file>