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D2401" w:rsidR="0098410D" w:rsidP="00BD2401" w:rsidRDefault="00D47E55">
      <w:pPr>
        <w:pStyle w:val="DecHCase"/>
      </w:pPr>
      <w:bookmarkStart w:name="_GoBack" w:id="0"/>
      <w:bookmarkEnd w:id="0"/>
    </w:p>
    <w:p w:rsidRPr="00BD2401" w:rsidR="0098410D" w:rsidP="00BD2401" w:rsidRDefault="005B2B44">
      <w:pPr>
        <w:pStyle w:val="DecHCase"/>
      </w:pPr>
      <w:r w:rsidRPr="00BD2401">
        <w:t>FIFTH SECTION</w:t>
      </w:r>
    </w:p>
    <w:p w:rsidRPr="00BD2401" w:rsidR="008E6217" w:rsidP="00BD2401" w:rsidRDefault="00475200">
      <w:pPr>
        <w:pStyle w:val="JuTitle"/>
      </w:pPr>
      <w:bookmarkStart w:name="To" w:id="1"/>
      <w:r w:rsidRPr="00BD2401">
        <w:t xml:space="preserve">CASE OF </w:t>
      </w:r>
      <w:bookmarkEnd w:id="1"/>
      <w:r w:rsidRPr="00BD2401" w:rsidR="005B2B44">
        <w:t>KLOPCOVS v. LATVIA</w:t>
      </w:r>
    </w:p>
    <w:p w:rsidRPr="00BD2401" w:rsidR="00D74888" w:rsidP="00BD2401" w:rsidRDefault="00475200">
      <w:pPr>
        <w:pStyle w:val="ECHRCoverTitle4"/>
      </w:pPr>
      <w:r w:rsidRPr="00BD2401">
        <w:t>(</w:t>
      </w:r>
      <w:r w:rsidRPr="00BD2401" w:rsidR="005B2B44">
        <w:t>Application no.</w:t>
      </w:r>
      <w:r w:rsidRPr="00BD2401">
        <w:t xml:space="preserve"> </w:t>
      </w:r>
      <w:r w:rsidRPr="00BD2401" w:rsidR="005B2B44">
        <w:t>26902/13</w:t>
      </w:r>
      <w:r w:rsidRPr="00BD2401">
        <w:t>)</w:t>
      </w:r>
    </w:p>
    <w:p w:rsidRPr="00BD2401" w:rsidR="0098410D" w:rsidP="00BD2401" w:rsidRDefault="00D47E55">
      <w:pPr>
        <w:pStyle w:val="DecHCase"/>
      </w:pPr>
    </w:p>
    <w:p w:rsidRPr="00BD2401" w:rsidR="0098410D" w:rsidP="00BD2401" w:rsidRDefault="00D47E55">
      <w:pPr>
        <w:pStyle w:val="DecHCase"/>
      </w:pPr>
    </w:p>
    <w:p w:rsidRPr="00BD2401" w:rsidR="0098410D" w:rsidP="00BD2401" w:rsidRDefault="00D47E55">
      <w:pPr>
        <w:pStyle w:val="DecHCase"/>
      </w:pPr>
    </w:p>
    <w:p w:rsidRPr="00BD2401" w:rsidR="0098410D" w:rsidP="00BD2401" w:rsidRDefault="00D47E55">
      <w:pPr>
        <w:pStyle w:val="DecHCase"/>
      </w:pPr>
    </w:p>
    <w:p w:rsidRPr="00BD2401" w:rsidR="0098410D" w:rsidP="00BD2401" w:rsidRDefault="00D47E55">
      <w:pPr>
        <w:pStyle w:val="DecHCase"/>
      </w:pPr>
    </w:p>
    <w:p w:rsidRPr="00BD2401" w:rsidR="0098410D" w:rsidP="00BD2401" w:rsidRDefault="00D47E55">
      <w:pPr>
        <w:pStyle w:val="DecHCase"/>
      </w:pPr>
    </w:p>
    <w:p w:rsidRPr="00BD2401" w:rsidR="0098410D" w:rsidP="00BD2401" w:rsidRDefault="00475200">
      <w:pPr>
        <w:pStyle w:val="DecHCase"/>
      </w:pPr>
      <w:r w:rsidRPr="00BD2401">
        <w:t>JUDGMENT</w:t>
      </w:r>
    </w:p>
    <w:p w:rsidRPr="00BD2401" w:rsidR="0098410D" w:rsidP="00BD2401" w:rsidRDefault="00D47E55">
      <w:pPr>
        <w:pStyle w:val="DecHCase"/>
        <w:rPr>
          <w:i/>
        </w:rPr>
      </w:pPr>
    </w:p>
    <w:p w:rsidRPr="00BD2401" w:rsidR="0098410D" w:rsidP="00BD2401" w:rsidRDefault="00475200">
      <w:pPr>
        <w:pStyle w:val="DecHCase"/>
      </w:pPr>
      <w:r w:rsidRPr="00BD2401">
        <w:t>STRASBOURG</w:t>
      </w:r>
    </w:p>
    <w:p w:rsidRPr="00BD2401" w:rsidR="0098410D" w:rsidP="00BD2401" w:rsidRDefault="005B2B44">
      <w:pPr>
        <w:pStyle w:val="DecHCase"/>
      </w:pPr>
      <w:r w:rsidRPr="00BD2401">
        <w:rPr>
          <w:rFonts w:ascii="Times New Roman" w:hAnsi="Times New Roman" w:cs="Times New Roman"/>
        </w:rPr>
        <w:t>13 February 2020</w:t>
      </w:r>
    </w:p>
    <w:p w:rsidRPr="00BD2401" w:rsidR="0098410D" w:rsidP="00BD2401" w:rsidRDefault="00D47E55">
      <w:pPr>
        <w:jc w:val="center"/>
      </w:pPr>
    </w:p>
    <w:p w:rsidRPr="00BD2401" w:rsidR="002422B6" w:rsidP="00BD2401" w:rsidRDefault="00475200">
      <w:pPr>
        <w:rPr>
          <w:i/>
          <w:sz w:val="22"/>
        </w:rPr>
      </w:pPr>
      <w:r w:rsidRPr="00BD2401">
        <w:rPr>
          <w:i/>
          <w:sz w:val="22"/>
        </w:rPr>
        <w:t xml:space="preserve">This judgment </w:t>
      </w:r>
      <w:r w:rsidRPr="00BD2401" w:rsidR="005B2B44">
        <w:rPr>
          <w:i/>
          <w:sz w:val="22"/>
        </w:rPr>
        <w:t>is final but it</w:t>
      </w:r>
      <w:r w:rsidRPr="00BD2401">
        <w:rPr>
          <w:i/>
          <w:sz w:val="22"/>
        </w:rPr>
        <w:t xml:space="preserve"> may be subject to editorial revision.</w:t>
      </w:r>
    </w:p>
    <w:p w:rsidRPr="00BD2401" w:rsidR="0098410D" w:rsidP="00BD2401" w:rsidRDefault="00D47E55">
      <w:pPr>
        <w:sectPr w:rsidRPr="00BD240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D2401" w:rsidR="0098410D" w:rsidP="00BD2401" w:rsidRDefault="00475200">
      <w:pPr>
        <w:pStyle w:val="JuCase"/>
      </w:pPr>
      <w:r w:rsidRPr="00BD2401">
        <w:t xml:space="preserve">In the case of </w:t>
      </w:r>
      <w:r w:rsidRPr="00BD2401" w:rsidR="005B2B44">
        <w:t>Klopcovs v. Latvia</w:t>
      </w:r>
      <w:r w:rsidRPr="00BD2401">
        <w:t>,</w:t>
      </w:r>
    </w:p>
    <w:p w:rsidRPr="00BD2401" w:rsidR="009F4C8F" w:rsidP="00BD2401" w:rsidRDefault="00475200">
      <w:pPr>
        <w:pStyle w:val="JuPara"/>
      </w:pPr>
      <w:r w:rsidRPr="00BD2401">
        <w:t>The European Court of Human Rights (</w:t>
      </w:r>
      <w:r w:rsidRPr="00BD2401" w:rsidR="005B2B44">
        <w:t>Fifth Section</w:t>
      </w:r>
      <w:r w:rsidRPr="00BD2401">
        <w:t xml:space="preserve">), sitting as a </w:t>
      </w:r>
      <w:r w:rsidRPr="00BD2401" w:rsidR="005B2B44">
        <w:t>Committee</w:t>
      </w:r>
      <w:r w:rsidRPr="00BD2401">
        <w:t xml:space="preserve"> composed of:</w:t>
      </w:r>
    </w:p>
    <w:p w:rsidRPr="00BD2401" w:rsidR="009F4C8F" w:rsidP="00BD2401" w:rsidRDefault="008756FA">
      <w:pPr>
        <w:pStyle w:val="ECHRDecisionBody"/>
      </w:pPr>
      <w:r w:rsidRPr="00BD2401">
        <w:tab/>
        <w:t>Gabriele Kucsko-Stadlmayer,</w:t>
      </w:r>
      <w:r w:rsidRPr="00BD2401">
        <w:rPr>
          <w:i/>
        </w:rPr>
        <w:t xml:space="preserve"> President,</w:t>
      </w:r>
      <w:r w:rsidRPr="00BD2401">
        <w:rPr>
          <w:i/>
        </w:rPr>
        <w:br/>
      </w:r>
      <w:r w:rsidRPr="00BD2401">
        <w:tab/>
        <w:t>Síofra O</w:t>
      </w:r>
      <w:r w:rsidRPr="00BD2401" w:rsidR="00BD2401">
        <w:t>’</w:t>
      </w:r>
      <w:r w:rsidRPr="00BD2401">
        <w:t>Leary,</w:t>
      </w:r>
      <w:r w:rsidRPr="00BD2401">
        <w:rPr>
          <w:i/>
        </w:rPr>
        <w:br/>
      </w:r>
      <w:r w:rsidRPr="00BD2401">
        <w:tab/>
        <w:t>Lado Chanturia,</w:t>
      </w:r>
      <w:r w:rsidRPr="00BD2401">
        <w:rPr>
          <w:i/>
        </w:rPr>
        <w:t xml:space="preserve"> judges,</w:t>
      </w:r>
      <w:r w:rsidRPr="00BD2401" w:rsidR="00475200">
        <w:br/>
        <w:t xml:space="preserve">and </w:t>
      </w:r>
      <w:r w:rsidRPr="00BD2401" w:rsidR="005B2B44">
        <w:t>Milan Blaško</w:t>
      </w:r>
      <w:r w:rsidRPr="00BD2401" w:rsidR="00475200">
        <w:t xml:space="preserve">, </w:t>
      </w:r>
      <w:r w:rsidRPr="00BD2401" w:rsidR="005B2B44">
        <w:rPr>
          <w:i/>
        </w:rPr>
        <w:t xml:space="preserve">Deputy Section </w:t>
      </w:r>
      <w:r w:rsidRPr="00BD2401" w:rsidR="005B2B44">
        <w:rPr>
          <w:i/>
          <w:iCs/>
        </w:rPr>
        <w:t>Registrar</w:t>
      </w:r>
      <w:r w:rsidRPr="00BD2401" w:rsidR="00475200">
        <w:rPr>
          <w:i/>
        </w:rPr>
        <w:t>,</w:t>
      </w:r>
    </w:p>
    <w:p w:rsidRPr="00BD2401" w:rsidR="009F4C8F" w:rsidP="00BD2401" w:rsidRDefault="00475200">
      <w:pPr>
        <w:pStyle w:val="JuPara"/>
      </w:pPr>
      <w:bookmarkStart w:name="ITMARKHavingStart" w:id="2"/>
      <w:bookmarkEnd w:id="2"/>
      <w:r w:rsidRPr="00BD2401">
        <w:t xml:space="preserve">Having deliberated in private on </w:t>
      </w:r>
      <w:r w:rsidRPr="00BD2401" w:rsidR="005B2B44">
        <w:t>21 January 2020</w:t>
      </w:r>
      <w:r w:rsidRPr="00BD2401">
        <w:t>,</w:t>
      </w:r>
    </w:p>
    <w:p w:rsidRPr="00BD2401" w:rsidR="009F4C8F" w:rsidP="00BD2401" w:rsidRDefault="00475200">
      <w:pPr>
        <w:pStyle w:val="JuPara"/>
      </w:pPr>
      <w:r w:rsidRPr="00BD2401">
        <w:t>Delivers the following judgment, which was adopted on that date:</w:t>
      </w:r>
    </w:p>
    <w:p w:rsidRPr="00BD2401" w:rsidR="005B2B44" w:rsidP="00BD2401" w:rsidRDefault="005B2B44">
      <w:pPr>
        <w:pStyle w:val="JuHHead"/>
        <w:numPr>
          <w:ilvl w:val="0"/>
          <w:numId w:val="1"/>
        </w:numPr>
      </w:pPr>
      <w:r w:rsidRPr="00BD2401">
        <w:t>PROCEDURE</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1</w:t>
      </w:r>
      <w:r w:rsidRPr="00BD2401">
        <w:rPr>
          <w:noProof/>
        </w:rPr>
        <w:fldChar w:fldCharType="end"/>
      </w:r>
      <w:r w:rsidRPr="00BD2401" w:rsidR="005B2B44">
        <w:t>.  The case originated in an application (no. 26902/13) against the Republic of Latvia lodged with the Court under Article 34 of the Convention for the Protection of Human Rights and Fundamental Freedoms (“the Convention”) by a Latvian national, Mr Boriss Klopcovs (“the applicant”), on 11 April 2013.</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w:t>
      </w:r>
      <w:r w:rsidRPr="00BD2401">
        <w:rPr>
          <w:noProof/>
        </w:rPr>
        <w:fldChar w:fldCharType="end"/>
      </w:r>
      <w:r w:rsidRPr="00BD2401" w:rsidR="005B2B44">
        <w:t>.  The Latvian Government (“the Government”) were represented by their Agent, Ms K. Līce.</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w:t>
      </w:r>
      <w:r w:rsidRPr="00BD2401">
        <w:rPr>
          <w:noProof/>
        </w:rPr>
        <w:fldChar w:fldCharType="end"/>
      </w:r>
      <w:r w:rsidRPr="00BD2401" w:rsidR="005B2B44">
        <w:t>.  On 18 December 2013 the Government were given notice of the complaint concerning the length of the proceedings and the remainder of the application was declared inadmissible pursuant to Rule 54 § 3 of the Rules of Court.</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4</w:t>
      </w:r>
      <w:r w:rsidRPr="00BD2401">
        <w:rPr>
          <w:noProof/>
        </w:rPr>
        <w:fldChar w:fldCharType="end"/>
      </w:r>
      <w:r w:rsidRPr="00BD2401" w:rsidR="005B2B44">
        <w:t>.  Written observations were received from the Government and a just satisfaction claim was received from the applicant.</w:t>
      </w:r>
    </w:p>
    <w:p w:rsidRPr="00BD2401" w:rsidR="005B2B44" w:rsidP="00BD2401" w:rsidRDefault="005B2B44">
      <w:pPr>
        <w:pStyle w:val="JuHHead"/>
      </w:pPr>
      <w:r w:rsidRPr="00BD2401">
        <w:t>THE FACTS</w:t>
      </w:r>
    </w:p>
    <w:p w:rsidRPr="00BD2401" w:rsidR="005B2B44" w:rsidP="00BD2401" w:rsidRDefault="005B2B44">
      <w:pPr>
        <w:pStyle w:val="JuHIRoman"/>
      </w:pPr>
      <w:r w:rsidRPr="00BD2401">
        <w:t>THE CIRCUMSTANCES OF THE CASE</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5</w:t>
      </w:r>
      <w:r w:rsidRPr="00BD2401">
        <w:rPr>
          <w:noProof/>
        </w:rPr>
        <w:fldChar w:fldCharType="end"/>
      </w:r>
      <w:r w:rsidRPr="00BD2401" w:rsidR="005B2B44">
        <w:t>.  The applicant was born in 1951 and lives in Riga.</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6</w:t>
      </w:r>
      <w:r w:rsidRPr="00BD2401">
        <w:rPr>
          <w:noProof/>
        </w:rPr>
        <w:fldChar w:fldCharType="end"/>
      </w:r>
      <w:r w:rsidRPr="00BD2401" w:rsidR="005B2B44">
        <w:t>.  In 2005 the applicant was detained in the Riga Central Prison pending trial. Throughout the months of June, July and August 2005 the Riga Central Prison administration controlled and stopped the applicant</w:t>
      </w:r>
      <w:r w:rsidRPr="00BD2401">
        <w:t>’</w:t>
      </w:r>
      <w:r w:rsidRPr="00BD2401" w:rsidR="005B2B44">
        <w:t>s correspondence addressed to private persons and institutions.</w:t>
      </w:r>
    </w:p>
    <w:bookmarkStart w:name="begin_proceedings" w:id="3"/>
    <w:p w:rsidRPr="00BD2401" w:rsidR="005B2B44" w:rsidP="00BD2401" w:rsidRDefault="005B2B44">
      <w:pPr>
        <w:pStyle w:val="JuPara"/>
        <w:rPr>
          <w:rFonts w:ascii="Times New Roman" w:hAnsi="Times New Roman"/>
        </w:rPr>
      </w:pPr>
      <w:r w:rsidRPr="00BD2401">
        <w:rPr>
          <w:rFonts w:ascii="Times New Roman" w:hAnsi="Times New Roman"/>
        </w:rPr>
        <w:fldChar w:fldCharType="begin"/>
      </w:r>
      <w:r w:rsidRPr="00BD2401">
        <w:rPr>
          <w:rFonts w:ascii="Times New Roman" w:hAnsi="Times New Roman"/>
        </w:rPr>
        <w:instrText xml:space="preserve"> SEQ level0 \*arabic </w:instrText>
      </w:r>
      <w:r w:rsidRPr="00BD2401">
        <w:rPr>
          <w:rFonts w:ascii="Times New Roman" w:hAnsi="Times New Roman"/>
        </w:rPr>
        <w:fldChar w:fldCharType="separate"/>
      </w:r>
      <w:r w:rsidRPr="00BD2401" w:rsidR="00BD2401">
        <w:rPr>
          <w:rFonts w:ascii="Times New Roman" w:hAnsi="Times New Roman"/>
          <w:noProof/>
        </w:rPr>
        <w:t>7</w:t>
      </w:r>
      <w:r w:rsidRPr="00BD2401">
        <w:rPr>
          <w:rFonts w:ascii="Times New Roman" w:hAnsi="Times New Roman"/>
        </w:rPr>
        <w:fldChar w:fldCharType="end"/>
      </w:r>
      <w:bookmarkEnd w:id="3"/>
      <w:r w:rsidRPr="00BD2401">
        <w:rPr>
          <w:rFonts w:ascii="Times New Roman" w:hAnsi="Times New Roman"/>
        </w:rPr>
        <w:t>.  On 14 and 25 September 2005 the applicant complained to the Prisons Administration about the actions of the Riga Central Prison administration, controlling and stopping his correspondence, and the reasons for these actions.</w:t>
      </w:r>
    </w:p>
    <w:p w:rsidRPr="00BD2401" w:rsidR="005B2B44" w:rsidP="00BD2401" w:rsidRDefault="005B2B44">
      <w:pPr>
        <w:pStyle w:val="JuPara"/>
        <w:rPr>
          <w:rFonts w:ascii="Times New Roman" w:hAnsi="Times New Roman"/>
        </w:rPr>
      </w:pPr>
      <w:r w:rsidRPr="00BD2401">
        <w:rPr>
          <w:rFonts w:ascii="Times New Roman" w:hAnsi="Times New Roman"/>
        </w:rPr>
        <w:fldChar w:fldCharType="begin"/>
      </w:r>
      <w:r w:rsidRPr="00BD2401">
        <w:rPr>
          <w:rFonts w:ascii="Times New Roman" w:hAnsi="Times New Roman"/>
        </w:rPr>
        <w:instrText xml:space="preserve"> SEQ level0 \*arabic </w:instrText>
      </w:r>
      <w:r w:rsidRPr="00BD2401">
        <w:rPr>
          <w:rFonts w:ascii="Times New Roman" w:hAnsi="Times New Roman"/>
        </w:rPr>
        <w:fldChar w:fldCharType="separate"/>
      </w:r>
      <w:r w:rsidRPr="00BD2401" w:rsidR="00BD2401">
        <w:rPr>
          <w:rFonts w:ascii="Times New Roman" w:hAnsi="Times New Roman"/>
          <w:noProof/>
        </w:rPr>
        <w:t>8</w:t>
      </w:r>
      <w:r w:rsidRPr="00BD2401">
        <w:rPr>
          <w:rFonts w:ascii="Times New Roman" w:hAnsi="Times New Roman"/>
        </w:rPr>
        <w:fldChar w:fldCharType="end"/>
      </w:r>
      <w:r w:rsidRPr="00BD2401">
        <w:rPr>
          <w:rFonts w:ascii="Times New Roman" w:hAnsi="Times New Roman"/>
        </w:rPr>
        <w:t>.  On 11 October and 24 October 2005 the Prisons Administration rejected the applicant</w:t>
      </w:r>
      <w:r w:rsidRPr="00BD2401" w:rsidR="00BD2401">
        <w:rPr>
          <w:rFonts w:ascii="Times New Roman" w:hAnsi="Times New Roman"/>
        </w:rPr>
        <w:t>’</w:t>
      </w:r>
      <w:r w:rsidRPr="00BD2401">
        <w:rPr>
          <w:rFonts w:ascii="Times New Roman" w:hAnsi="Times New Roman"/>
        </w:rPr>
        <w:t>s complaints. On 4 October and 16 December 2005 the Ministry of Justice found the actions of the Riga Central Prison administration, and the answers given by the Prisons Administration, lawful.</w:t>
      </w:r>
    </w:p>
    <w:p w:rsidRPr="00BD2401" w:rsidR="005B2B44" w:rsidP="00BD2401" w:rsidRDefault="00BD2401">
      <w:pPr>
        <w:pStyle w:val="JuPara"/>
        <w:rPr>
          <w:rFonts w:ascii="Times New Roman" w:hAnsi="Times New Roman" w:cs="Times New Roman"/>
        </w:rPr>
      </w:pPr>
      <w:r w:rsidRPr="00BD2401">
        <w:fldChar w:fldCharType="begin"/>
      </w:r>
      <w:r w:rsidRPr="00BD2401">
        <w:instrText xml:space="preserve"> SEQ level0 \*arabic </w:instrText>
      </w:r>
      <w:r w:rsidRPr="00BD2401">
        <w:fldChar w:fldCharType="separate"/>
      </w:r>
      <w:r w:rsidRPr="00BD2401">
        <w:rPr>
          <w:noProof/>
        </w:rPr>
        <w:t>9</w:t>
      </w:r>
      <w:r w:rsidRPr="00BD2401">
        <w:rPr>
          <w:noProof/>
        </w:rPr>
        <w:fldChar w:fldCharType="end"/>
      </w:r>
      <w:r w:rsidRPr="00BD2401" w:rsidR="005B2B44">
        <w:t>.  O</w:t>
      </w:r>
      <w:r w:rsidRPr="00BD2401" w:rsidR="005B2B44">
        <w:rPr>
          <w:rFonts w:ascii="Times New Roman" w:hAnsi="Times New Roman"/>
        </w:rPr>
        <w:t>n 22 September 2006 the applicant brought proceedings against the Ministry of Justice before the administrative courts. Subsequently the Prisons Administration joined the proceedings.</w:t>
      </w:r>
    </w:p>
    <w:p w:rsidRPr="00BD2401" w:rsidR="005B2B44" w:rsidP="00BD2401" w:rsidRDefault="005B2B44">
      <w:pPr>
        <w:pStyle w:val="JuPara"/>
        <w:rPr>
          <w:rFonts w:ascii="Times New Roman" w:hAnsi="Times New Roman"/>
        </w:rPr>
      </w:pPr>
      <w:r w:rsidRPr="00BD2401">
        <w:rPr>
          <w:rFonts w:ascii="Times New Roman" w:hAnsi="Times New Roman" w:cs="Times New Roman"/>
        </w:rPr>
        <w:fldChar w:fldCharType="begin"/>
      </w:r>
      <w:r w:rsidRPr="00BD2401">
        <w:rPr>
          <w:rFonts w:ascii="Times New Roman" w:hAnsi="Times New Roman" w:cs="Times New Roman"/>
        </w:rPr>
        <w:instrText xml:space="preserve"> SEQ level0 \*arabic </w:instrText>
      </w:r>
      <w:r w:rsidRPr="00BD2401">
        <w:rPr>
          <w:rFonts w:ascii="Times New Roman" w:hAnsi="Times New Roman" w:cs="Times New Roman"/>
        </w:rPr>
        <w:fldChar w:fldCharType="separate"/>
      </w:r>
      <w:r w:rsidRPr="00BD2401" w:rsidR="00BD2401">
        <w:rPr>
          <w:rFonts w:ascii="Times New Roman" w:hAnsi="Times New Roman" w:cs="Times New Roman"/>
          <w:noProof/>
        </w:rPr>
        <w:t>10</w:t>
      </w:r>
      <w:r w:rsidRPr="00BD2401">
        <w:rPr>
          <w:rFonts w:ascii="Times New Roman" w:hAnsi="Times New Roman" w:cs="Times New Roman"/>
        </w:rPr>
        <w:fldChar w:fldCharType="end"/>
      </w:r>
      <w:r w:rsidRPr="00BD2401">
        <w:rPr>
          <w:rFonts w:ascii="Times New Roman" w:hAnsi="Times New Roman" w:cs="Times New Roman"/>
        </w:rPr>
        <w:t>.  On 21 October 2008 the Administrative District Court found the actions of the Riga Central Prison administration unlawful. However, it rejected the applicant</w:t>
      </w:r>
      <w:r w:rsidRPr="00BD2401" w:rsidR="00BD2401">
        <w:rPr>
          <w:rFonts w:ascii="Times New Roman" w:hAnsi="Times New Roman" w:cs="Times New Roman"/>
        </w:rPr>
        <w:t>’</w:t>
      </w:r>
      <w:r w:rsidRPr="00BD2401">
        <w:rPr>
          <w:rFonts w:ascii="Times New Roman" w:hAnsi="Times New Roman" w:cs="Times New Roman"/>
        </w:rPr>
        <w:t>s claim for pecuniary and non-pecuniary damages of 5,406 Latvian lats (LVL) (approximately 7,692 euros (EUR)).</w:t>
      </w:r>
    </w:p>
    <w:p w:rsidRPr="00BD2401" w:rsidR="005B2B44" w:rsidP="00BD2401" w:rsidRDefault="005B2B44">
      <w:pPr>
        <w:pStyle w:val="JuPara"/>
        <w:rPr>
          <w:rFonts w:ascii="Times New Roman" w:hAnsi="Times New Roman" w:cs="Times New Roman"/>
        </w:rPr>
      </w:pPr>
      <w:r w:rsidRPr="00BD2401">
        <w:rPr>
          <w:rFonts w:ascii="Times New Roman" w:hAnsi="Times New Roman"/>
        </w:rPr>
        <w:fldChar w:fldCharType="begin"/>
      </w:r>
      <w:r w:rsidRPr="00BD2401">
        <w:rPr>
          <w:rFonts w:ascii="Times New Roman" w:hAnsi="Times New Roman"/>
        </w:rPr>
        <w:instrText xml:space="preserve"> SEQ level0 \*arabic </w:instrText>
      </w:r>
      <w:r w:rsidRPr="00BD2401">
        <w:rPr>
          <w:rFonts w:ascii="Times New Roman" w:hAnsi="Times New Roman"/>
        </w:rPr>
        <w:fldChar w:fldCharType="separate"/>
      </w:r>
      <w:r w:rsidRPr="00BD2401" w:rsidR="00BD2401">
        <w:rPr>
          <w:rFonts w:ascii="Times New Roman" w:hAnsi="Times New Roman"/>
          <w:noProof/>
        </w:rPr>
        <w:t>11</w:t>
      </w:r>
      <w:r w:rsidRPr="00BD2401">
        <w:rPr>
          <w:rFonts w:ascii="Times New Roman" w:hAnsi="Times New Roman"/>
        </w:rPr>
        <w:fldChar w:fldCharType="end"/>
      </w:r>
      <w:r w:rsidRPr="00BD2401">
        <w:rPr>
          <w:rFonts w:ascii="Times New Roman" w:hAnsi="Times New Roman"/>
        </w:rPr>
        <w:t xml:space="preserve">.  On 3 December 2009 the Administrative Regional Court </w:t>
      </w:r>
      <w:r w:rsidRPr="00BD2401">
        <w:rPr>
          <w:rFonts w:ascii="Times New Roman" w:hAnsi="Times New Roman" w:cs="Times New Roman"/>
        </w:rPr>
        <w:t>quashed the first-instance court</w:t>
      </w:r>
      <w:r w:rsidRPr="00BD2401" w:rsidR="00BD2401">
        <w:rPr>
          <w:rFonts w:ascii="Times New Roman" w:hAnsi="Times New Roman" w:cs="Times New Roman"/>
        </w:rPr>
        <w:t>’</w:t>
      </w:r>
      <w:r w:rsidRPr="00BD2401">
        <w:rPr>
          <w:rFonts w:ascii="Times New Roman" w:hAnsi="Times New Roman" w:cs="Times New Roman"/>
        </w:rPr>
        <w:t>s decision and remitted the case to the first-instance court.</w:t>
      </w:r>
    </w:p>
    <w:bookmarkStart w:name="appeal" w:id="4"/>
    <w:p w:rsidRPr="00BD2401" w:rsidR="005B2B44" w:rsidP="00BD2401" w:rsidRDefault="005B2B44">
      <w:pPr>
        <w:pStyle w:val="JuPara"/>
        <w:rPr>
          <w:rFonts w:ascii="Times New Roman" w:hAnsi="Times New Roman" w:cs="Times New Roman"/>
        </w:rPr>
      </w:pPr>
      <w:r w:rsidRPr="00BD2401">
        <w:rPr>
          <w:rFonts w:ascii="Times New Roman" w:hAnsi="Times New Roman" w:cs="Times New Roman"/>
        </w:rPr>
        <w:fldChar w:fldCharType="begin"/>
      </w:r>
      <w:r w:rsidRPr="00BD2401">
        <w:rPr>
          <w:rFonts w:ascii="Times New Roman" w:hAnsi="Times New Roman" w:cs="Times New Roman"/>
        </w:rPr>
        <w:instrText xml:space="preserve"> SEQ level0 \*arabic </w:instrText>
      </w:r>
      <w:r w:rsidRPr="00BD2401">
        <w:rPr>
          <w:rFonts w:ascii="Times New Roman" w:hAnsi="Times New Roman" w:cs="Times New Roman"/>
        </w:rPr>
        <w:fldChar w:fldCharType="separate"/>
      </w:r>
      <w:r w:rsidRPr="00BD2401" w:rsidR="00BD2401">
        <w:rPr>
          <w:rFonts w:ascii="Times New Roman" w:hAnsi="Times New Roman" w:cs="Times New Roman"/>
          <w:noProof/>
        </w:rPr>
        <w:t>12</w:t>
      </w:r>
      <w:r w:rsidRPr="00BD2401">
        <w:rPr>
          <w:rFonts w:ascii="Times New Roman" w:hAnsi="Times New Roman" w:cs="Times New Roman"/>
        </w:rPr>
        <w:fldChar w:fldCharType="end"/>
      </w:r>
      <w:bookmarkEnd w:id="4"/>
      <w:r w:rsidRPr="00BD2401">
        <w:rPr>
          <w:rFonts w:ascii="Times New Roman" w:hAnsi="Times New Roman" w:cs="Times New Roman"/>
        </w:rPr>
        <w:t xml:space="preserve">.  On 27 April 2010 the first-instance court again found that the </w:t>
      </w:r>
      <w:r w:rsidRPr="00BD2401">
        <w:rPr>
          <w:rFonts w:ascii="Times New Roman" w:hAnsi="Times New Roman"/>
        </w:rPr>
        <w:t>Riga Central Prison administration</w:t>
      </w:r>
      <w:r w:rsidRPr="00BD2401" w:rsidR="00BD2401">
        <w:rPr>
          <w:rFonts w:ascii="Times New Roman" w:hAnsi="Times New Roman"/>
        </w:rPr>
        <w:t>’</w:t>
      </w:r>
      <w:r w:rsidRPr="00BD2401">
        <w:rPr>
          <w:rFonts w:ascii="Times New Roman" w:hAnsi="Times New Roman"/>
        </w:rPr>
        <w:t xml:space="preserve">s </w:t>
      </w:r>
      <w:r w:rsidRPr="00BD2401">
        <w:rPr>
          <w:rFonts w:ascii="Times New Roman" w:hAnsi="Times New Roman" w:cs="Times New Roman"/>
        </w:rPr>
        <w:t>actions had been unlawful and rejected the applicant</w:t>
      </w:r>
      <w:r w:rsidRPr="00BD2401" w:rsidR="00BD2401">
        <w:rPr>
          <w:rFonts w:ascii="Times New Roman" w:hAnsi="Times New Roman" w:cs="Times New Roman"/>
        </w:rPr>
        <w:t>’</w:t>
      </w:r>
      <w:r w:rsidRPr="00BD2401">
        <w:rPr>
          <w:rFonts w:ascii="Times New Roman" w:hAnsi="Times New Roman" w:cs="Times New Roman"/>
        </w:rPr>
        <w:t>s claim for damages. The applicant appealed against that judgment as regarded the claim for damages; however, the court did not accept his appeal as it was lodged after the expiry of the time-limit. Nevertheless, the opposing parties</w:t>
      </w:r>
      <w:r w:rsidRPr="00BD2401" w:rsidR="00BD2401">
        <w:rPr>
          <w:rFonts w:ascii="Times New Roman" w:hAnsi="Times New Roman" w:cs="Times New Roman"/>
        </w:rPr>
        <w:t>’</w:t>
      </w:r>
      <w:r w:rsidRPr="00BD2401">
        <w:rPr>
          <w:rFonts w:ascii="Times New Roman" w:hAnsi="Times New Roman" w:cs="Times New Roman"/>
        </w:rPr>
        <w:t xml:space="preserve"> appeals were accepted and appellate proceedings were initiated.</w:t>
      </w:r>
    </w:p>
    <w:p w:rsidRPr="00BD2401" w:rsidR="005B2B44" w:rsidP="00BD2401" w:rsidRDefault="005B2B44">
      <w:pPr>
        <w:pStyle w:val="JuPara"/>
        <w:rPr>
          <w:rFonts w:ascii="Times New Roman" w:hAnsi="Times New Roman"/>
        </w:rPr>
      </w:pPr>
      <w:r w:rsidRPr="00BD2401">
        <w:rPr>
          <w:rFonts w:ascii="Times New Roman" w:hAnsi="Times New Roman" w:cs="Times New Roman"/>
        </w:rPr>
        <w:fldChar w:fldCharType="begin"/>
      </w:r>
      <w:r w:rsidRPr="00BD2401">
        <w:rPr>
          <w:rFonts w:ascii="Times New Roman" w:hAnsi="Times New Roman" w:cs="Times New Roman"/>
        </w:rPr>
        <w:instrText xml:space="preserve"> SEQ level0 \*arabic </w:instrText>
      </w:r>
      <w:r w:rsidRPr="00BD2401">
        <w:rPr>
          <w:rFonts w:ascii="Times New Roman" w:hAnsi="Times New Roman" w:cs="Times New Roman"/>
        </w:rPr>
        <w:fldChar w:fldCharType="separate"/>
      </w:r>
      <w:r w:rsidRPr="00BD2401" w:rsidR="00BD2401">
        <w:rPr>
          <w:rFonts w:ascii="Times New Roman" w:hAnsi="Times New Roman" w:cs="Times New Roman"/>
          <w:noProof/>
        </w:rPr>
        <w:t>13</w:t>
      </w:r>
      <w:r w:rsidRPr="00BD2401">
        <w:rPr>
          <w:rFonts w:ascii="Times New Roman" w:hAnsi="Times New Roman" w:cs="Times New Roman"/>
        </w:rPr>
        <w:fldChar w:fldCharType="end"/>
      </w:r>
      <w:r w:rsidRPr="00BD2401">
        <w:rPr>
          <w:rFonts w:ascii="Times New Roman" w:hAnsi="Times New Roman" w:cs="Times New Roman"/>
        </w:rPr>
        <w:t xml:space="preserve">.  On 15 February 2012 </w:t>
      </w:r>
      <w:r w:rsidRPr="00BD2401">
        <w:rPr>
          <w:rFonts w:ascii="Times New Roman" w:hAnsi="Times New Roman"/>
        </w:rPr>
        <w:t>the Administrative Regional Court found that the Riga Central Prison administration</w:t>
      </w:r>
      <w:r w:rsidRPr="00BD2401" w:rsidR="00BD2401">
        <w:rPr>
          <w:rFonts w:ascii="Times New Roman" w:hAnsi="Times New Roman"/>
        </w:rPr>
        <w:t>’</w:t>
      </w:r>
      <w:r w:rsidRPr="00BD2401">
        <w:rPr>
          <w:rFonts w:ascii="Times New Roman" w:hAnsi="Times New Roman"/>
        </w:rPr>
        <w:t xml:space="preserve">s </w:t>
      </w:r>
      <w:r w:rsidRPr="00BD2401">
        <w:rPr>
          <w:rFonts w:ascii="Times New Roman" w:hAnsi="Times New Roman" w:cs="Times New Roman"/>
        </w:rPr>
        <w:t>actions had been unlawful in so far as the applicant had not been informed about the reasons for stopping his letters and also that one of the letters had been stopped unlawfully. The remainder of the applicant</w:t>
      </w:r>
      <w:r w:rsidRPr="00BD2401" w:rsidR="00BD2401">
        <w:rPr>
          <w:rFonts w:ascii="Times New Roman" w:hAnsi="Times New Roman" w:cs="Times New Roman"/>
        </w:rPr>
        <w:t>’</w:t>
      </w:r>
      <w:r w:rsidRPr="00BD2401">
        <w:rPr>
          <w:rFonts w:ascii="Times New Roman" w:hAnsi="Times New Roman" w:cs="Times New Roman"/>
        </w:rPr>
        <w:t>s claims were dismissed.</w:t>
      </w:r>
    </w:p>
    <w:bookmarkStart w:name="end_proceedings" w:id="5"/>
    <w:p w:rsidRPr="00BD2401" w:rsidR="005B2B44" w:rsidP="00BD2401" w:rsidRDefault="005B2B44">
      <w:pPr>
        <w:pStyle w:val="JuPara"/>
        <w:rPr>
          <w:rFonts w:ascii="Times New Roman" w:hAnsi="Times New Roman"/>
        </w:rPr>
      </w:pPr>
      <w:r w:rsidRPr="00BD2401">
        <w:rPr>
          <w:rFonts w:ascii="Times New Roman" w:hAnsi="Times New Roman" w:cs="Times New Roman"/>
        </w:rPr>
        <w:fldChar w:fldCharType="begin"/>
      </w:r>
      <w:r w:rsidRPr="00BD2401">
        <w:rPr>
          <w:rFonts w:ascii="Times New Roman" w:hAnsi="Times New Roman" w:cs="Times New Roman"/>
        </w:rPr>
        <w:instrText xml:space="preserve"> SEQ level0 \*arabic </w:instrText>
      </w:r>
      <w:r w:rsidRPr="00BD2401">
        <w:rPr>
          <w:rFonts w:ascii="Times New Roman" w:hAnsi="Times New Roman" w:cs="Times New Roman"/>
        </w:rPr>
        <w:fldChar w:fldCharType="separate"/>
      </w:r>
      <w:r w:rsidRPr="00BD2401" w:rsidR="00BD2401">
        <w:rPr>
          <w:rFonts w:ascii="Times New Roman" w:hAnsi="Times New Roman" w:cs="Times New Roman"/>
          <w:noProof/>
        </w:rPr>
        <w:t>14</w:t>
      </w:r>
      <w:r w:rsidRPr="00BD2401">
        <w:rPr>
          <w:rFonts w:ascii="Times New Roman" w:hAnsi="Times New Roman" w:cs="Times New Roman"/>
        </w:rPr>
        <w:fldChar w:fldCharType="end"/>
      </w:r>
      <w:bookmarkEnd w:id="5"/>
      <w:r w:rsidRPr="00BD2401">
        <w:rPr>
          <w:rFonts w:ascii="Times New Roman" w:hAnsi="Times New Roman" w:cs="Times New Roman"/>
        </w:rPr>
        <w:t xml:space="preserve">.  On 26 October 2012, in a final decision, </w:t>
      </w:r>
      <w:r w:rsidRPr="00BD2401">
        <w:rPr>
          <w:rFonts w:ascii="Times New Roman" w:hAnsi="Times New Roman"/>
        </w:rPr>
        <w:t>the Senate of the Supreme Court, upheld the judgment of the Administrative Regional Court and dismissed the cassation complaints of the Prisons Administration and the applicant who disagreed with the conclusions of the appellate court</w:t>
      </w:r>
    </w:p>
    <w:bookmarkStart w:name="Stolen_docs" w:id="6"/>
    <w:p w:rsidRPr="00BD2401" w:rsidR="005B2B44" w:rsidP="00BD2401" w:rsidRDefault="005B2B44">
      <w:pPr>
        <w:pStyle w:val="JuPara"/>
      </w:pPr>
      <w:r w:rsidRPr="00BD2401">
        <w:rPr>
          <w:rFonts w:ascii="Times New Roman" w:hAnsi="Times New Roman"/>
        </w:rPr>
        <w:fldChar w:fldCharType="begin"/>
      </w:r>
      <w:r w:rsidRPr="00BD2401">
        <w:rPr>
          <w:rFonts w:ascii="Times New Roman" w:hAnsi="Times New Roman"/>
        </w:rPr>
        <w:instrText xml:space="preserve"> SEQ level0 \*arabic </w:instrText>
      </w:r>
      <w:r w:rsidRPr="00BD2401">
        <w:rPr>
          <w:rFonts w:ascii="Times New Roman" w:hAnsi="Times New Roman"/>
        </w:rPr>
        <w:fldChar w:fldCharType="separate"/>
      </w:r>
      <w:r w:rsidRPr="00BD2401" w:rsidR="00BD2401">
        <w:rPr>
          <w:rFonts w:ascii="Times New Roman" w:hAnsi="Times New Roman"/>
          <w:noProof/>
        </w:rPr>
        <w:t>15</w:t>
      </w:r>
      <w:r w:rsidRPr="00BD2401">
        <w:rPr>
          <w:rFonts w:ascii="Times New Roman" w:hAnsi="Times New Roman"/>
        </w:rPr>
        <w:fldChar w:fldCharType="end"/>
      </w:r>
      <w:bookmarkEnd w:id="6"/>
      <w:r w:rsidRPr="00BD2401">
        <w:rPr>
          <w:rFonts w:ascii="Times New Roman" w:hAnsi="Times New Roman"/>
        </w:rPr>
        <w:t>.  According to the case materials, none of the ten hearings were postponed due to the applicant</w:t>
      </w:r>
      <w:r w:rsidRPr="00BD2401" w:rsidR="00BD2401">
        <w:rPr>
          <w:rFonts w:ascii="Times New Roman" w:hAnsi="Times New Roman"/>
        </w:rPr>
        <w:t>’</w:t>
      </w:r>
      <w:r w:rsidRPr="00BD2401">
        <w:rPr>
          <w:rFonts w:ascii="Times New Roman" w:hAnsi="Times New Roman"/>
        </w:rPr>
        <w:t>s unjustified absence.</w:t>
      </w:r>
      <w:r w:rsidRPr="00BD2401">
        <w:t xml:space="preserve"> Nevertheless, it appears that after the hearing of 22 February 2008 the applicant did not return 77 pages of case documents to the file. On 23 May 2008 the applicant explained to the Administrative District Court that he considered that the documents were given for his personal use and was not aware that they had to be returned. The Administrative District Court was able to reobtain them from another case-file in September 2008. Apparently at least one hearing was adjourned due to this.</w:t>
      </w:r>
      <w:r w:rsidRPr="00BD2401">
        <w:rPr>
          <w:rFonts w:ascii="Times New Roman" w:hAnsi="Times New Roman" w:cs="Times New Roman"/>
        </w:rPr>
        <w:t xml:space="preserve"> </w:t>
      </w:r>
      <w:r w:rsidRPr="00BD2401">
        <w:t>The applicant also initiated several ancillary proceedings challenging various procedural decisions adopted by the first-instance and appellate courts.</w:t>
      </w:r>
    </w:p>
    <w:p w:rsidRPr="00BD2401" w:rsidR="005B2B44" w:rsidP="00BD2401" w:rsidRDefault="005B2B44">
      <w:pPr>
        <w:pStyle w:val="JuHHead"/>
        <w:numPr>
          <w:ilvl w:val="0"/>
          <w:numId w:val="1"/>
        </w:numPr>
      </w:pPr>
      <w:r w:rsidRPr="00BD2401">
        <w:t>THE LAW</w:t>
      </w:r>
    </w:p>
    <w:p w:rsidRPr="00BD2401" w:rsidR="005B2B44" w:rsidP="00BD2401" w:rsidRDefault="005B2B44">
      <w:pPr>
        <w:pStyle w:val="JuHIRoman"/>
        <w:numPr>
          <w:ilvl w:val="1"/>
          <w:numId w:val="1"/>
        </w:numPr>
      </w:pPr>
      <w:r w:rsidRPr="00BD2401">
        <w:t>ALLEGED VIOLATION OF ARTICLE 6 § 1 OF THE CONVENTION</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16</w:t>
      </w:r>
      <w:r w:rsidRPr="00BD2401">
        <w:rPr>
          <w:noProof/>
        </w:rPr>
        <w:fldChar w:fldCharType="end"/>
      </w:r>
      <w:r w:rsidRPr="00BD2401" w:rsidR="005B2B44">
        <w:t>.  The applicant complained that the length of the proceedings had been incompatible with the “reasonable time” requ</w:t>
      </w:r>
      <w:r w:rsidRPr="00BD2401">
        <w:t xml:space="preserve">irement, laid down in Article 6 </w:t>
      </w:r>
      <w:r w:rsidRPr="00BD2401" w:rsidR="005B2B44">
        <w:t>§ 1 of the Convention, which reads as follows:</w:t>
      </w:r>
    </w:p>
    <w:p w:rsidRPr="00BD2401" w:rsidR="005B2B44" w:rsidP="00BD2401" w:rsidRDefault="005B2B44">
      <w:pPr>
        <w:pStyle w:val="JuQuot"/>
      </w:pPr>
      <w:r w:rsidRPr="00BD2401">
        <w:t>“In the determination of his civil rights and obligations ..., everyone is entitled to a ... hearing within a reasonable time by ... tribunal</w:t>
      </w:r>
      <w:r w:rsidRPr="00BD2401" w:rsidR="00BD2401">
        <w:t xml:space="preserve"> </w:t>
      </w:r>
      <w:r w:rsidRPr="00BD2401">
        <w:t>...”</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17</w:t>
      </w:r>
      <w:r w:rsidRPr="00BD2401">
        <w:rPr>
          <w:noProof/>
        </w:rPr>
        <w:fldChar w:fldCharType="end"/>
      </w:r>
      <w:r w:rsidRPr="00BD2401" w:rsidR="005B2B44">
        <w:t>.  The Government contested that argument.</w:t>
      </w:r>
    </w:p>
    <w:p w:rsidRPr="00BD2401" w:rsidR="005B2B44" w:rsidP="00BD2401" w:rsidRDefault="005B2B44">
      <w:pPr>
        <w:pStyle w:val="JuHA"/>
      </w:pPr>
      <w:r w:rsidRPr="00BD2401">
        <w:t>Admissibility</w:t>
      </w:r>
    </w:p>
    <w:p w:rsidRPr="00BD2401" w:rsidR="005B2B44" w:rsidP="00BD2401" w:rsidRDefault="005B2B44">
      <w:pPr>
        <w:pStyle w:val="JuH1"/>
      </w:pPr>
      <w:r w:rsidRPr="00BD2401">
        <w:t xml:space="preserve">Incompatibility </w:t>
      </w:r>
      <w:r w:rsidRPr="00BD2401">
        <w:rPr>
          <w:i w:val="0"/>
        </w:rPr>
        <w:t>ratione materiae</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18</w:t>
      </w:r>
      <w:r w:rsidRPr="00BD2401">
        <w:rPr>
          <w:noProof/>
        </w:rPr>
        <w:fldChar w:fldCharType="end"/>
      </w:r>
      <w:r w:rsidRPr="00BD2401" w:rsidR="005B2B44">
        <w:t>.  The Government argued</w:t>
      </w:r>
      <w:r w:rsidRPr="00BD2401" w:rsidR="005B2B44">
        <w:rPr>
          <w:rFonts w:ascii="Arial" w:hAnsi="Arial" w:cs="Arial"/>
          <w:color w:val="000000"/>
        </w:rPr>
        <w:t xml:space="preserve"> </w:t>
      </w:r>
      <w:r w:rsidRPr="00BD2401" w:rsidR="005B2B44">
        <w:t>that Article 6 was not applicable to the present case under its civil head as the applicant</w:t>
      </w:r>
      <w:r w:rsidRPr="00BD2401">
        <w:t>’</w:t>
      </w:r>
      <w:r w:rsidRPr="00BD2401" w:rsidR="005B2B44">
        <w:t xml:space="preserve">s claim before the domestic courts was not “pecuniary” in nature. It primarily and substantially concerned the </w:t>
      </w:r>
      <w:r w:rsidRPr="00BD2401" w:rsidR="005B2B44">
        <w:rPr>
          <w:i/>
        </w:rPr>
        <w:t>de facto</w:t>
      </w:r>
      <w:r w:rsidRPr="00BD2401" w:rsidR="005B2B44">
        <w:t xml:space="preserve"> action of the Riga Central Prison administration and, therefore, was undoubtedly in the sphere of public law. Furthermore, the applicant</w:t>
      </w:r>
      <w:r w:rsidRPr="00BD2401">
        <w:t>’</w:t>
      </w:r>
      <w:r w:rsidRPr="00BD2401" w:rsidR="005B2B44">
        <w:t xml:space="preserve">s claims for pecuniary and non-pecuniary damages were only accessory. As he failed to appeal against the judgment of 27 April 2010 in due time (see paragraph </w:t>
      </w:r>
      <w:r w:rsidRPr="00BD2401" w:rsidR="005B2B44">
        <w:fldChar w:fldCharType="begin"/>
      </w:r>
      <w:r w:rsidRPr="00BD2401" w:rsidR="005B2B44">
        <w:instrText xml:space="preserve"> REF appeal \h </w:instrText>
      </w:r>
      <w:r w:rsidRPr="00BD2401" w:rsidR="005B2B44">
        <w:fldChar w:fldCharType="separate"/>
      </w:r>
      <w:r w:rsidRPr="00BD2401">
        <w:rPr>
          <w:rFonts w:ascii="Times New Roman" w:hAnsi="Times New Roman" w:cs="Times New Roman"/>
          <w:noProof/>
        </w:rPr>
        <w:t>12</w:t>
      </w:r>
      <w:r w:rsidRPr="00BD2401" w:rsidR="005B2B44">
        <w:fldChar w:fldCharType="end"/>
      </w:r>
      <w:r w:rsidRPr="00BD2401" w:rsidR="005B2B44">
        <w:t xml:space="preserve"> above), he did not continue to maintain his claim for damages.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19</w:t>
      </w:r>
      <w:r w:rsidRPr="00BD2401">
        <w:rPr>
          <w:noProof/>
        </w:rPr>
        <w:fldChar w:fldCharType="end"/>
      </w:r>
      <w:r w:rsidRPr="00BD2401" w:rsidR="005B2B44">
        <w:t>.  The applicant did not respond to the Government</w:t>
      </w:r>
      <w:r w:rsidRPr="00BD2401">
        <w:t>’</w:t>
      </w:r>
      <w:r w:rsidRPr="00BD2401" w:rsidR="005B2B44">
        <w:t>s objections.</w:t>
      </w:r>
    </w:p>
    <w:p w:rsidRPr="00BD2401" w:rsidR="005B2B44" w:rsidP="00BD2401" w:rsidRDefault="00BD2401">
      <w:pPr>
        <w:pStyle w:val="JuPara"/>
        <w:rPr>
          <w:lang w:val="es-ES_tradnl"/>
        </w:rPr>
      </w:pPr>
      <w:r w:rsidRPr="00BD2401">
        <w:fldChar w:fldCharType="begin"/>
      </w:r>
      <w:r w:rsidRPr="00BD2401">
        <w:instrText xml:space="preserve"> SEQ level0 \*arabic </w:instrText>
      </w:r>
      <w:r w:rsidRPr="00BD2401">
        <w:fldChar w:fldCharType="separate"/>
      </w:r>
      <w:r w:rsidRPr="00BD2401">
        <w:rPr>
          <w:noProof/>
        </w:rPr>
        <w:t>20</w:t>
      </w:r>
      <w:r w:rsidRPr="00BD2401">
        <w:rPr>
          <w:noProof/>
        </w:rPr>
        <w:fldChar w:fldCharType="end"/>
      </w:r>
      <w:r w:rsidRPr="00BD2401" w:rsidR="005B2B44">
        <w:t>.  With regard to procedures instituted in the prison context, the Court has held that some restrictions on prisoners</w:t>
      </w:r>
      <w:r w:rsidRPr="00BD2401">
        <w:t>’</w:t>
      </w:r>
      <w:r w:rsidRPr="00BD2401" w:rsidR="005B2B44">
        <w:t xml:space="preserve"> rights fall within the sphere of “civil rights”. For example, the Court has found Article 6 to be applicable to a prisoner</w:t>
      </w:r>
      <w:r w:rsidRPr="00BD2401">
        <w:t>’</w:t>
      </w:r>
      <w:r w:rsidRPr="00BD2401" w:rsidR="005B2B44">
        <w:t xml:space="preserve">s family visits, correspondence or relationships with non-family members and restriction on private meetings with a lawyer (see </w:t>
      </w:r>
      <w:r w:rsidRPr="00BD2401" w:rsidR="005B2B44">
        <w:rPr>
          <w:i/>
          <w:lang w:val="es-ES_tradnl"/>
        </w:rPr>
        <w:t>De Tommaso v. Italy</w:t>
      </w:r>
      <w:r w:rsidRPr="00BD2401" w:rsidR="005B2B44">
        <w:rPr>
          <w:lang w:val="es-ES_tradnl"/>
        </w:rPr>
        <w:t xml:space="preserve"> [GC], no. 43395/09, §§ 147-55, 23 February 2017, and </w:t>
      </w:r>
      <w:r w:rsidRPr="00BD2401" w:rsidR="005B2B44">
        <w:rPr>
          <w:i/>
          <w:lang w:val="es-ES_tradnl"/>
        </w:rPr>
        <w:t>Altay v. Turkey (no. 2)</w:t>
      </w:r>
      <w:r w:rsidRPr="00BD2401" w:rsidR="005B2B44">
        <w:rPr>
          <w:lang w:val="es-ES_tradnl"/>
        </w:rPr>
        <w:t>, no. </w:t>
      </w:r>
      <w:r w:rsidRPr="00BD2401" w:rsidR="005B2B44">
        <w:t>11236/09, § 68, 9 April 2019).</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21</w:t>
      </w:r>
      <w:r w:rsidRPr="00BD2401">
        <w:rPr>
          <w:noProof/>
        </w:rPr>
        <w:fldChar w:fldCharType="end"/>
      </w:r>
      <w:r w:rsidRPr="00BD2401" w:rsidR="005B2B44">
        <w:t>.  In the present case, the Court considers that the above line of case</w:t>
      </w:r>
      <w:r w:rsidRPr="00BD2401" w:rsidR="005B2B44">
        <w:noBreakHyphen/>
        <w:t>law can be validly transposed to the circumstances of the present case. The right to respect for the applicant</w:t>
      </w:r>
      <w:r w:rsidRPr="00BD2401">
        <w:t>’</w:t>
      </w:r>
      <w:r w:rsidRPr="00BD2401" w:rsidR="005B2B44">
        <w:t xml:space="preserve">s correspondence clearly fell within the sphere of personal rights and were civil in nature (compare </w:t>
      </w:r>
      <w:r w:rsidRPr="00BD2401" w:rsidR="005B2B44">
        <w:rPr>
          <w:i/>
        </w:rPr>
        <w:t>De Tommaso</w:t>
      </w:r>
      <w:r w:rsidRPr="00BD2401" w:rsidR="005B2B44">
        <w:t>, cited above, § 154). Accordingly the Court rejects the Government</w:t>
      </w:r>
      <w:r w:rsidRPr="00BD2401">
        <w:t>’</w:t>
      </w:r>
      <w:r w:rsidRPr="00BD2401" w:rsidR="005B2B44">
        <w:t>s objection and finds that Article 6 § 1 is applicable under its civil limb in the instant case.</w:t>
      </w:r>
    </w:p>
    <w:p w:rsidRPr="00BD2401" w:rsidR="005B2B44" w:rsidP="00BD2401" w:rsidRDefault="005B2B44">
      <w:pPr>
        <w:pStyle w:val="JuH1"/>
      </w:pPr>
      <w:r w:rsidRPr="00BD2401">
        <w:t xml:space="preserve">Incompatibility </w:t>
      </w:r>
      <w:r w:rsidRPr="00BD2401">
        <w:rPr>
          <w:i w:val="0"/>
        </w:rPr>
        <w:t xml:space="preserve">ratione personae </w:t>
      </w:r>
      <w:r w:rsidRPr="00BD2401">
        <w:t>and</w:t>
      </w:r>
      <w:r w:rsidRPr="00BD2401">
        <w:rPr>
          <w:i w:val="0"/>
        </w:rPr>
        <w:t xml:space="preserve"> </w:t>
      </w:r>
      <w:r w:rsidRPr="00BD2401">
        <w:t>non-exhaustion of the domestic remedies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22</w:t>
      </w:r>
      <w:r w:rsidRPr="00BD2401">
        <w:rPr>
          <w:noProof/>
        </w:rPr>
        <w:fldChar w:fldCharType="end"/>
      </w:r>
      <w:r w:rsidRPr="00BD2401" w:rsidR="005B2B44">
        <w:t xml:space="preserve">.  Invoking both incompatibility </w:t>
      </w:r>
      <w:r w:rsidRPr="00BD2401" w:rsidR="005B2B44">
        <w:rPr>
          <w:i/>
        </w:rPr>
        <w:t xml:space="preserve">ratione personae </w:t>
      </w:r>
      <w:r w:rsidRPr="00BD2401" w:rsidR="005B2B44">
        <w:t>and non-exhaustion of the domestic remedies, the Government argued that the applicant could have lodged a claim with the courts of general jurisdiction on the basis of Article 92 of the Constitution seeking compensation for the alleged violation of his right to trial within a reasonable time. To demonstrate the effectiveness of this remedy the Government submitted a judgment of 11</w:t>
      </w:r>
      <w:r w:rsidRPr="00BD2401" w:rsidR="00FC36FC">
        <w:t> </w:t>
      </w:r>
      <w:r w:rsidRPr="00BD2401" w:rsidR="005B2B44">
        <w:t>April 2013 of the Riga Regional Court concerning a civil claim about the length of criminal proceedings (domestic case no. C27200511). In that case the plaintiff was awarded LVL 500 (approximately EUR 711), as following six years of criminal trial the first-instance court had not delivered a judgment.</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23</w:t>
      </w:r>
      <w:r w:rsidRPr="00BD2401">
        <w:rPr>
          <w:noProof/>
        </w:rPr>
        <w:fldChar w:fldCharType="end"/>
      </w:r>
      <w:r w:rsidRPr="00BD2401" w:rsidR="005B2B44">
        <w:t>.  The applicant contested the Government</w:t>
      </w:r>
      <w:r w:rsidRPr="00BD2401">
        <w:t>’</w:t>
      </w:r>
      <w:r w:rsidRPr="00BD2401" w:rsidR="005B2B44">
        <w:t>s objections regarding non-exhaustion of the domestic remedies.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24</w:t>
      </w:r>
      <w:r w:rsidRPr="00BD2401">
        <w:rPr>
          <w:noProof/>
        </w:rPr>
        <w:fldChar w:fldCharType="end"/>
      </w:r>
      <w:r w:rsidRPr="00BD2401" w:rsidR="005B2B44">
        <w:t xml:space="preserve">.  In the case of </w:t>
      </w:r>
      <w:r w:rsidRPr="00BD2401" w:rsidR="005B2B44">
        <w:rPr>
          <w:i/>
        </w:rPr>
        <w:t>Veiss v. Latvia</w:t>
      </w:r>
      <w:r w:rsidRPr="00BD2401" w:rsidR="005B2B44">
        <w:t xml:space="preserve"> (no. 15152/12, § 71, 28 January 2014) the Court dismissed a similar argument on the grounds that the Government had failed to submit relevant case-law examples establishing the effectiveness of this remedy under Article 92 of the Constitution for the particular type of claim. The Court notes that the case-law example provided by the Government in the present case was adopted by the appellate court </w:t>
      </w:r>
      <w:r w:rsidRPr="00BD2401">
        <w:t xml:space="preserve">on 11 April 2013 </w:t>
      </w:r>
      <w:r w:rsidRPr="00BD2401">
        <w:noBreakHyphen/>
        <w:t xml:space="preserve"> </w:t>
      </w:r>
      <w:r w:rsidRPr="00BD2401" w:rsidR="005B2B44">
        <w:t xml:space="preserve">almost five months after the adoption of the final judgment in the present case. Hence, it cannot be invoked to conclude that the existence of this particular domestic remedy had been sufficiently certain not only in theory but also in practice at the time the relevant proceedings were concluded (compare </w:t>
      </w:r>
      <w:r w:rsidRPr="00BD2401" w:rsidR="005B2B44">
        <w:rPr>
          <w:i/>
        </w:rPr>
        <w:t>mutatis mutandis</w:t>
      </w:r>
      <w:r w:rsidRPr="00BD2401" w:rsidR="005B2B44">
        <w:t xml:space="preserve"> </w:t>
      </w:r>
      <w:r w:rsidRPr="00BD2401" w:rsidR="005B2B44">
        <w:rPr>
          <w:i/>
        </w:rPr>
        <w:t>Melnītis v. Latvia</w:t>
      </w:r>
      <w:r w:rsidRPr="00BD2401" w:rsidR="005B2B44">
        <w:t>, no. 30779/05, §§ 50-53, 28 February 2012).</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25</w:t>
      </w:r>
      <w:r w:rsidRPr="00BD2401">
        <w:rPr>
          <w:noProof/>
        </w:rPr>
        <w:fldChar w:fldCharType="end"/>
      </w:r>
      <w:r w:rsidRPr="00BD2401" w:rsidR="005B2B44">
        <w:t>.  Therefore, the Court rejects the Government</w:t>
      </w:r>
      <w:r w:rsidRPr="00BD2401">
        <w:t>’</w:t>
      </w:r>
      <w:r w:rsidRPr="00BD2401" w:rsidR="005B2B44">
        <w:t>s objection concerning the non-exhaustion of the domestic remedies without further assessing the effectiveness of the domestic remedy invoked.</w:t>
      </w:r>
    </w:p>
    <w:p w:rsidRPr="00BD2401" w:rsidR="005B2B44" w:rsidP="00BD2401" w:rsidRDefault="005B2B44">
      <w:pPr>
        <w:pStyle w:val="JuH1"/>
      </w:pPr>
      <w:r w:rsidRPr="00BD2401">
        <w:t>Conclusion</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26</w:t>
      </w:r>
      <w:r w:rsidRPr="00BD2401">
        <w:rPr>
          <w:noProof/>
        </w:rPr>
        <w:fldChar w:fldCharType="end"/>
      </w:r>
      <w:r w:rsidRPr="00BD2401" w:rsidR="005B2B44">
        <w:t>.  The Court notes that this complaint is not manifestly ill-founde</w:t>
      </w:r>
      <w:r w:rsidRPr="00BD2401">
        <w:t xml:space="preserve">d within the meaning of Article </w:t>
      </w:r>
      <w:r w:rsidRPr="00BD2401" w:rsidR="005B2B44">
        <w:t>35 § 3 (a) of the Convention. It further notes that it is not inadmissible on any other grounds. It must therefore be declared admissible.</w:t>
      </w:r>
    </w:p>
    <w:p w:rsidRPr="00BD2401" w:rsidR="005B2B44" w:rsidP="00BD2401" w:rsidRDefault="005B2B44">
      <w:pPr>
        <w:pStyle w:val="JuHA"/>
        <w:numPr>
          <w:ilvl w:val="2"/>
          <w:numId w:val="1"/>
        </w:numPr>
      </w:pPr>
      <w:r w:rsidRPr="00BD2401">
        <w:t>Merits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27</w:t>
      </w:r>
      <w:r w:rsidRPr="00BD2401">
        <w:rPr>
          <w:noProof/>
        </w:rPr>
        <w:fldChar w:fldCharType="end"/>
      </w:r>
      <w:r w:rsidRPr="00BD2401" w:rsidR="005B2B44">
        <w:t xml:space="preserve">.  The Government argued that there were no periods of inactivity before the domestic courts and the applicant himself had significantly contributed to the length of proceedings. In particular, he initiated several ancillary proceedings and failed to return some documents to the case file after the hearing of 22 February 2008 (see paragraph </w:t>
      </w:r>
      <w:r w:rsidRPr="00BD2401" w:rsidR="005B2B44">
        <w:fldChar w:fldCharType="begin"/>
      </w:r>
      <w:r w:rsidRPr="00BD2401" w:rsidR="005B2B44">
        <w:instrText xml:space="preserve"> REF Stolen_docs \h </w:instrText>
      </w:r>
      <w:r w:rsidRPr="00BD2401" w:rsidR="005B2B44">
        <w:fldChar w:fldCharType="separate"/>
      </w:r>
      <w:r w:rsidRPr="00BD2401">
        <w:rPr>
          <w:rFonts w:ascii="Times New Roman" w:hAnsi="Times New Roman"/>
          <w:noProof/>
        </w:rPr>
        <w:t>15</w:t>
      </w:r>
      <w:r w:rsidRPr="00BD2401" w:rsidR="005B2B44">
        <w:fldChar w:fldCharType="end"/>
      </w:r>
      <w:r w:rsidRPr="00BD2401" w:rsidR="005B2B44">
        <w:t xml:space="preserve"> above).</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28</w:t>
      </w:r>
      <w:r w:rsidRPr="00BD2401">
        <w:rPr>
          <w:noProof/>
        </w:rPr>
        <w:fldChar w:fldCharType="end"/>
      </w:r>
      <w:r w:rsidRPr="00BD2401" w:rsidR="005B2B44">
        <w:t xml:space="preserve">.  In the instant case the Court considers that the period to be taken into consideration began on 14 September 2005, when the applicant challenged the actions of the Riga Central Prison administration (see paragraph </w:t>
      </w:r>
      <w:r w:rsidRPr="00BD2401" w:rsidR="005B2B44">
        <w:fldChar w:fldCharType="begin"/>
      </w:r>
      <w:r w:rsidRPr="00BD2401" w:rsidR="005B2B44">
        <w:instrText xml:space="preserve"> REF begin_proceedings \h </w:instrText>
      </w:r>
      <w:r w:rsidRPr="00BD2401" w:rsidR="005B2B44">
        <w:fldChar w:fldCharType="separate"/>
      </w:r>
      <w:r w:rsidRPr="00BD2401">
        <w:rPr>
          <w:rFonts w:ascii="Times New Roman" w:hAnsi="Times New Roman"/>
          <w:noProof/>
        </w:rPr>
        <w:t>7</w:t>
      </w:r>
      <w:r w:rsidRPr="00BD2401" w:rsidR="005B2B44">
        <w:fldChar w:fldCharType="end"/>
      </w:r>
      <w:r w:rsidRPr="00BD2401" w:rsidR="005B2B44">
        <w:t xml:space="preserve"> above). The application to the Prisons Administration and the Ministry of Justice was a prerequisite for bringing the proceedings to the court (see </w:t>
      </w:r>
      <w:r w:rsidRPr="00BD2401" w:rsidR="005B2B44">
        <w:rPr>
          <w:i/>
        </w:rPr>
        <w:t>mutatis mutandis</w:t>
      </w:r>
      <w:r w:rsidRPr="00BD2401" w:rsidR="005B2B44">
        <w:t xml:space="preserve"> </w:t>
      </w:r>
      <w:r w:rsidRPr="00BD2401" w:rsidR="005B2B44">
        <w:rPr>
          <w:i/>
        </w:rPr>
        <w:t>König v. Germany</w:t>
      </w:r>
      <w:r w:rsidRPr="00BD2401" w:rsidR="005B2B44">
        <w:t xml:space="preserve">, 28 June 1978, § 98, Series A no. 27, and </w:t>
      </w:r>
      <w:r w:rsidRPr="00BD2401" w:rsidR="005B2B44">
        <w:rPr>
          <w:i/>
        </w:rPr>
        <w:t>Vilho Eskelinen and Others v. Finland</w:t>
      </w:r>
      <w:r w:rsidRPr="00BD2401" w:rsidR="005B2B44">
        <w:t xml:space="preserve"> [GC], no. 63235/00, §§ 65</w:t>
      </w:r>
      <w:r w:rsidRPr="00BD2401" w:rsidR="005B2B44">
        <w:noBreakHyphen/>
        <w:t>66, ECHR 2007</w:t>
      </w:r>
      <w:r w:rsidRPr="00BD2401" w:rsidR="005B2B44">
        <w:noBreakHyphen/>
        <w:t xml:space="preserve">II). It ended on 26 October 2012, when the Supreme Court adopted its final decision (see paragraph </w:t>
      </w:r>
      <w:r w:rsidRPr="00BD2401" w:rsidR="005B2B44">
        <w:fldChar w:fldCharType="begin"/>
      </w:r>
      <w:r w:rsidRPr="00BD2401" w:rsidR="005B2B44">
        <w:instrText xml:space="preserve"> REF end_proceedings \h </w:instrText>
      </w:r>
      <w:r w:rsidRPr="00BD2401" w:rsidR="005B2B44">
        <w:fldChar w:fldCharType="separate"/>
      </w:r>
      <w:r w:rsidRPr="00BD2401">
        <w:rPr>
          <w:rFonts w:ascii="Times New Roman" w:hAnsi="Times New Roman" w:cs="Times New Roman"/>
          <w:noProof/>
        </w:rPr>
        <w:t>14</w:t>
      </w:r>
      <w:r w:rsidRPr="00BD2401" w:rsidR="005B2B44">
        <w:fldChar w:fldCharType="end"/>
      </w:r>
      <w:r w:rsidRPr="00BD2401" w:rsidR="005B2B44">
        <w:t xml:space="preserve"> above). The proceedings before the Prisons Administration, the Ministry of Justice and three levels of jurisdiction, including one remittal of the Administrative District Court</w:t>
      </w:r>
      <w:r w:rsidRPr="00BD2401">
        <w:t>’</w:t>
      </w:r>
      <w:r w:rsidRPr="00BD2401" w:rsidR="005B2B44">
        <w:t>s judgment, lasted 7 years, 1 month and 13 days.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29</w:t>
      </w:r>
      <w:r w:rsidRPr="00BD2401">
        <w:rPr>
          <w:noProof/>
        </w:rPr>
        <w:fldChar w:fldCharType="end"/>
      </w:r>
      <w:r w:rsidRPr="00BD2401" w:rsidR="005B2B44">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r w:rsidRPr="00BD2401" w:rsidR="005B2B44">
        <w:rPr>
          <w:i/>
        </w:rPr>
        <w:t>Frydlender v. France</w:t>
      </w:r>
      <w:r w:rsidRPr="00BD2401" w:rsidR="005B2B44">
        <w:t xml:space="preserve"> [GC], no. 30979/96, § 43, ECHR 2000-VII).</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30</w:t>
      </w:r>
      <w:r w:rsidRPr="00BD2401">
        <w:rPr>
          <w:noProof/>
        </w:rPr>
        <w:fldChar w:fldCharType="end"/>
      </w:r>
      <w:r w:rsidRPr="00BD2401" w:rsidR="005B2B44">
        <w:t>.  The Court observes that the applicant</w:t>
      </w:r>
      <w:r w:rsidRPr="00BD2401">
        <w:t>’</w:t>
      </w:r>
      <w:r w:rsidRPr="00BD2401" w:rsidR="005B2B44">
        <w:t xml:space="preserve">s case was not particularly complex. While it did not belong to a category that by its own nature would call for a special expedition (see </w:t>
      </w:r>
      <w:r w:rsidRPr="00BD2401" w:rsidR="005B2B44">
        <w:rPr>
          <w:i/>
        </w:rPr>
        <w:t>Sürmeli v. Germany</w:t>
      </w:r>
      <w:r w:rsidRPr="00BD2401" w:rsidR="005B2B44">
        <w:t xml:space="preserve"> [GC], no. 75529/01, §</w:t>
      </w:r>
      <w:r w:rsidRPr="00BD2401" w:rsidR="00FC36FC">
        <w:t> </w:t>
      </w:r>
      <w:r w:rsidRPr="00BD2401" w:rsidR="005B2B44">
        <w:t>133, ECHR 2006</w:t>
      </w:r>
      <w:r w:rsidRPr="00BD2401" w:rsidR="005B2B44">
        <w:noBreakHyphen/>
        <w:t>VII), what was at stake to the applicant still required a reasonably expeditious decision given that he was in detention.</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31</w:t>
      </w:r>
      <w:r w:rsidRPr="00BD2401">
        <w:rPr>
          <w:noProof/>
        </w:rPr>
        <w:fldChar w:fldCharType="end"/>
      </w:r>
      <w:r w:rsidRPr="00BD2401" w:rsidR="005B2B44">
        <w:t>.  As to the conduct of the applicant, the Court considers that after the mandatory administrative procedure it was up to him to bring the proceedings before the domestic courts in a timely manner. Thus, the period from 16 December 2005 to 22 September 2006 cannot be attributed to the State. As regards the delays caused by the applicant</w:t>
      </w:r>
      <w:r w:rsidRPr="00BD2401">
        <w:t>’</w:t>
      </w:r>
      <w:r w:rsidRPr="00BD2401" w:rsidR="005B2B44">
        <w:t xml:space="preserve">s alleged failure to return some documents to the case file after the hearing of 22 February 2008 (see paragraph </w:t>
      </w:r>
      <w:r w:rsidRPr="00BD2401" w:rsidR="005B2B44">
        <w:fldChar w:fldCharType="begin"/>
      </w:r>
      <w:r w:rsidRPr="00BD2401" w:rsidR="005B2B44">
        <w:instrText xml:space="preserve"> REF Stolen_docs \h </w:instrText>
      </w:r>
      <w:r w:rsidRPr="00BD2401" w:rsidR="005B2B44">
        <w:fldChar w:fldCharType="separate"/>
      </w:r>
      <w:r w:rsidRPr="00BD2401">
        <w:rPr>
          <w:rFonts w:ascii="Times New Roman" w:hAnsi="Times New Roman"/>
          <w:noProof/>
        </w:rPr>
        <w:t>15</w:t>
      </w:r>
      <w:r w:rsidRPr="00BD2401" w:rsidR="005B2B44">
        <w:fldChar w:fldCharType="end"/>
      </w:r>
      <w:r w:rsidRPr="00BD2401" w:rsidR="005B2B44">
        <w:t xml:space="preserve"> above), the documents submitted before this Court do not allow it to conclude that these delays were wholly imputable to the applicant. It appears that this situation emerged from a miscommunication between the applicant and the Administrative District Court and was followed by some obstacles encountered by the Administrative District Court to reobtain those documents. Finally, whilst some ancillary proceedings initiated by the applicant might have slightly prolonged the proceedings, the applicant cannot be blamed for making use of the remedies available to him under domestic law (see </w:t>
      </w:r>
      <w:r w:rsidRPr="00BD2401" w:rsidR="005B2B44">
        <w:rPr>
          <w:i/>
        </w:rPr>
        <w:t>Gürkan v. Turkey</w:t>
      </w:r>
      <w:r w:rsidRPr="00BD2401" w:rsidR="005B2B44">
        <w:t>, no. 1154/04, §</w:t>
      </w:r>
      <w:r w:rsidRPr="00BD2401" w:rsidR="00FC36FC">
        <w:t> </w:t>
      </w:r>
      <w:r w:rsidRPr="00BD2401" w:rsidR="005B2B44">
        <w:t>28, 29 March 2011).</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32</w:t>
      </w:r>
      <w:r w:rsidRPr="00BD2401">
        <w:rPr>
          <w:noProof/>
        </w:rPr>
        <w:fldChar w:fldCharType="end"/>
      </w:r>
      <w:r w:rsidRPr="00BD2401" w:rsidR="005B2B44">
        <w:t xml:space="preserve">.  The Court has frequently found violations of Article 6 § 1 of the Convention in cases raising issues similar to the one in the present case (see </w:t>
      </w:r>
      <w:r w:rsidRPr="00BD2401" w:rsidR="005B2B44">
        <w:rPr>
          <w:i/>
        </w:rPr>
        <w:t>Frydlender</w:t>
      </w:r>
      <w:r w:rsidRPr="00BD2401" w:rsidR="005B2B44">
        <w:t>, cited above). Having examined all the material submitted to it, the Court considers that the Government have not put forward any fact or argument capable of persuading it to reach a different conclusion in the present case. The applicant</w:t>
      </w:r>
      <w:r w:rsidRPr="00BD2401">
        <w:t>’</w:t>
      </w:r>
      <w:r w:rsidRPr="00BD2401" w:rsidR="005B2B44">
        <w:t>s failure to act expeditiously and any delay imputable to him as a result of the above miscommunication as regards the documents from the file cannot justify the overall duration of proceedings which related to a relatively simple issue and was mainly due to delays in the examination of the case by the State authorities. Having regard to its case-law on the subject, the Court considers that, in the instant case, the length of the proceedings was excessive and failed to meet the “reasonable time” requirement.</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33</w:t>
      </w:r>
      <w:r w:rsidRPr="00BD2401">
        <w:rPr>
          <w:noProof/>
        </w:rPr>
        <w:fldChar w:fldCharType="end"/>
      </w:r>
      <w:r w:rsidRPr="00BD2401" w:rsidR="005B2B44">
        <w:t>.  Accordingly there has been a breach of Article 6 § 1.</w:t>
      </w:r>
    </w:p>
    <w:p w:rsidRPr="00BD2401" w:rsidR="005B2B44" w:rsidP="00BD2401" w:rsidRDefault="005B2B44">
      <w:pPr>
        <w:pStyle w:val="JuHIRoman"/>
      </w:pPr>
      <w:r w:rsidRPr="00BD2401">
        <w:t>APPLICATION OF ARTICLE 41 OF THE CONVENTION</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34</w:t>
      </w:r>
      <w:r w:rsidRPr="00BD2401">
        <w:rPr>
          <w:noProof/>
        </w:rPr>
        <w:fldChar w:fldCharType="end"/>
      </w:r>
      <w:r w:rsidRPr="00BD2401" w:rsidR="005B2B44">
        <w:t>.  Article 41 of the Convention provides:</w:t>
      </w:r>
    </w:p>
    <w:p w:rsidRPr="00BD2401" w:rsidR="005B2B44" w:rsidP="00BD2401" w:rsidRDefault="005B2B44">
      <w:pPr>
        <w:pStyle w:val="JuQuot"/>
        <w:keepNext/>
        <w:keepLines/>
      </w:pPr>
      <w:r w:rsidRPr="00BD240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D2401" w:rsidR="005B2B44" w:rsidP="00BD2401" w:rsidRDefault="005B2B44">
      <w:pPr>
        <w:pStyle w:val="JuHA"/>
        <w:numPr>
          <w:ilvl w:val="2"/>
          <w:numId w:val="1"/>
        </w:numPr>
      </w:pPr>
      <w:r w:rsidRPr="00BD2401">
        <w:t>Damage</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35</w:t>
      </w:r>
      <w:r w:rsidRPr="00BD2401">
        <w:rPr>
          <w:noProof/>
        </w:rPr>
        <w:fldChar w:fldCharType="end"/>
      </w:r>
      <w:r w:rsidRPr="00BD2401" w:rsidR="005B2B44">
        <w:t>.  The applicant submitted a claim for just satisfaction but left the question of the award to the Court</w:t>
      </w:r>
      <w:r w:rsidRPr="00BD2401">
        <w:t>’</w:t>
      </w:r>
      <w:r w:rsidRPr="00BD2401" w:rsidR="005B2B44">
        <w:t>s discretion.</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36</w:t>
      </w:r>
      <w:r w:rsidRPr="00BD2401">
        <w:rPr>
          <w:noProof/>
        </w:rPr>
        <w:fldChar w:fldCharType="end"/>
      </w:r>
      <w:r w:rsidRPr="00BD2401" w:rsidR="005B2B44">
        <w:t>.  The Government contested the applicant had sustained any damage.</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37</w:t>
      </w:r>
      <w:r w:rsidRPr="00BD2401">
        <w:rPr>
          <w:noProof/>
        </w:rPr>
        <w:fldChar w:fldCharType="end"/>
      </w:r>
      <w:r w:rsidRPr="00BD2401" w:rsidR="005B2B44">
        <w:t>.  The Court considers that the applicant must have sustained non-pecuniary damage. Taking into consideration the particular circumstances of the case and the applicant</w:t>
      </w:r>
      <w:r w:rsidRPr="00BD2401">
        <w:t>’</w:t>
      </w:r>
      <w:r w:rsidRPr="00BD2401" w:rsidR="005B2B44">
        <w:t>s contribution to the delay and ruling on an equitable basis, it awards him EUR 1,000 under that head.</w:t>
      </w:r>
    </w:p>
    <w:p w:rsidRPr="00BD2401" w:rsidR="005B2B44" w:rsidP="00BD2401" w:rsidRDefault="005B2B44">
      <w:pPr>
        <w:pStyle w:val="JuHA"/>
        <w:numPr>
          <w:ilvl w:val="2"/>
          <w:numId w:val="1"/>
        </w:numPr>
      </w:pPr>
      <w:r w:rsidRPr="00BD2401">
        <w:t>Costs and expenses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38</w:t>
      </w:r>
      <w:r w:rsidRPr="00BD2401">
        <w:rPr>
          <w:noProof/>
        </w:rPr>
        <w:fldChar w:fldCharType="end"/>
      </w:r>
      <w:r w:rsidRPr="00BD2401" w:rsidR="005B2B44">
        <w:t>.  The applicant also claimed EUR 900 for the costs and expenses incurred before the domestic courts and EUR 769.39 for those incurred before the Court. The applicant has not added any documents justifying these costs and expenses.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39</w:t>
      </w:r>
      <w:r w:rsidRPr="00BD2401">
        <w:rPr>
          <w:noProof/>
        </w:rPr>
        <w:fldChar w:fldCharType="end"/>
      </w:r>
      <w:r w:rsidRPr="00BD2401" w:rsidR="005B2B44">
        <w:t>.  The Government contested these claims.</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40</w:t>
      </w:r>
      <w:r w:rsidRPr="00BD2401">
        <w:rPr>
          <w:noProof/>
        </w:rPr>
        <w:fldChar w:fldCharType="end"/>
      </w:r>
      <w:r w:rsidRPr="00BD2401" w:rsidR="005B2B44">
        <w:t>.  In view of the lack of documents in its possession and to its case-law, the Court rejects the claim for costs and expenses.</w:t>
      </w:r>
    </w:p>
    <w:p w:rsidRPr="00BD2401" w:rsidR="005B2B44" w:rsidP="00BD2401" w:rsidRDefault="005B2B44">
      <w:pPr>
        <w:pStyle w:val="JuHA"/>
        <w:numPr>
          <w:ilvl w:val="2"/>
          <w:numId w:val="1"/>
        </w:numPr>
      </w:pPr>
      <w:r w:rsidRPr="00BD2401">
        <w:t>Default interest</w:t>
      </w:r>
    </w:p>
    <w:p w:rsidRPr="00BD2401" w:rsidR="005B2B44" w:rsidP="00BD2401" w:rsidRDefault="00BD2401">
      <w:pPr>
        <w:pStyle w:val="JuPara"/>
      </w:pPr>
      <w:r w:rsidRPr="00BD2401">
        <w:fldChar w:fldCharType="begin"/>
      </w:r>
      <w:r w:rsidRPr="00BD2401">
        <w:instrText xml:space="preserve"> SEQ level0 \*arabic </w:instrText>
      </w:r>
      <w:r w:rsidRPr="00BD2401">
        <w:fldChar w:fldCharType="separate"/>
      </w:r>
      <w:r w:rsidRPr="00BD2401">
        <w:rPr>
          <w:noProof/>
        </w:rPr>
        <w:t>41</w:t>
      </w:r>
      <w:r w:rsidRPr="00BD2401">
        <w:rPr>
          <w:noProof/>
        </w:rPr>
        <w:fldChar w:fldCharType="end"/>
      </w:r>
      <w:r w:rsidRPr="00BD2401" w:rsidR="005B2B44">
        <w:t>.  The Court considers it appropriate that the default interest rate should be based on the marginal lending rate of the European Central Bank, to which should be added three percentage points.</w:t>
      </w:r>
    </w:p>
    <w:p w:rsidRPr="00BD2401" w:rsidR="005B2B44" w:rsidP="00BD2401" w:rsidRDefault="005B2B44">
      <w:pPr>
        <w:pStyle w:val="JuHHead"/>
        <w:numPr>
          <w:ilvl w:val="0"/>
          <w:numId w:val="1"/>
        </w:numPr>
      </w:pPr>
      <w:r w:rsidRPr="00BD2401">
        <w:t>FOR THESE REASONS, THE COURT, UNANIMOUSLY,</w:t>
      </w:r>
    </w:p>
    <w:p w:rsidRPr="00BD2401" w:rsidR="005B2B44" w:rsidP="00BD2401" w:rsidRDefault="005B2B44">
      <w:pPr>
        <w:pStyle w:val="JuList"/>
      </w:pPr>
      <w:r w:rsidRPr="00BD2401">
        <w:rPr>
          <w:i/>
        </w:rPr>
        <w:t>Declares</w:t>
      </w:r>
      <w:r w:rsidRPr="00BD2401">
        <w:rPr>
          <w:color w:val="000000"/>
        </w:rPr>
        <w:t xml:space="preserve"> </w:t>
      </w:r>
      <w:r w:rsidRPr="00BD2401">
        <w:t>the complaint concerning the length of proceedings admissible;</w:t>
      </w:r>
    </w:p>
    <w:p w:rsidRPr="00BD2401" w:rsidR="005B2B44" w:rsidP="00BD2401" w:rsidRDefault="005B2B44">
      <w:pPr>
        <w:pStyle w:val="JuList"/>
      </w:pPr>
      <w:r w:rsidRPr="00BD2401">
        <w:rPr>
          <w:i/>
        </w:rPr>
        <w:t>Holds</w:t>
      </w:r>
      <w:r w:rsidRPr="00BD2401">
        <w:rPr>
          <w:color w:val="000000"/>
        </w:rPr>
        <w:t xml:space="preserve"> </w:t>
      </w:r>
      <w:r w:rsidRPr="00BD2401">
        <w:t>that there has been a violation of Article 6 § 1 of the Convention;</w:t>
      </w:r>
    </w:p>
    <w:p w:rsidRPr="00BD2401" w:rsidR="005B2B44" w:rsidP="00BD2401" w:rsidRDefault="005B2B44">
      <w:pPr>
        <w:pStyle w:val="JuList"/>
        <w:rPr>
          <w:i/>
        </w:rPr>
      </w:pPr>
      <w:r w:rsidRPr="00BD2401">
        <w:rPr>
          <w:i/>
        </w:rPr>
        <w:t>Holds</w:t>
      </w:r>
    </w:p>
    <w:p w:rsidRPr="00BD2401" w:rsidR="005B2B44" w:rsidP="00BD2401" w:rsidRDefault="005B2B44">
      <w:pPr>
        <w:pStyle w:val="JuLista"/>
      </w:pPr>
      <w:r w:rsidRPr="00BD2401">
        <w:t>that the respondent State is to pay the applicant, within three months,</w:t>
      </w:r>
      <w:r w:rsidRPr="00BD2401" w:rsidR="00BD2401">
        <w:t xml:space="preserve"> </w:t>
      </w:r>
      <w:r w:rsidRPr="00BD2401">
        <w:t>EUR 1,000 (one thousand euros), plus any tax that may be chargeable, in respect of non-pecuniary damage;</w:t>
      </w:r>
    </w:p>
    <w:p w:rsidRPr="00BD2401" w:rsidR="005B2B44" w:rsidP="00BD2401" w:rsidRDefault="005B2B44">
      <w:pPr>
        <w:pStyle w:val="JuLista"/>
      </w:pPr>
      <w:r w:rsidRPr="00BD2401">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D2401" w:rsidR="004D0EC7" w:rsidP="00BD2401" w:rsidRDefault="005B2B44">
      <w:pPr>
        <w:pStyle w:val="JuList"/>
      </w:pPr>
      <w:r w:rsidRPr="00BD2401">
        <w:rPr>
          <w:i/>
        </w:rPr>
        <w:t>Dismisses</w:t>
      </w:r>
      <w:r w:rsidRPr="00BD2401">
        <w:t xml:space="preserve"> the remainder of the applicant</w:t>
      </w:r>
      <w:r w:rsidRPr="00BD2401" w:rsidR="00BD2401">
        <w:t>’</w:t>
      </w:r>
      <w:r w:rsidRPr="00BD2401">
        <w:t>s claim for just satisfaction.</w:t>
      </w:r>
    </w:p>
    <w:p w:rsidRPr="00BD2401" w:rsidR="008E3A08" w:rsidP="00BD2401" w:rsidRDefault="00475200">
      <w:pPr>
        <w:pStyle w:val="JuParaLast"/>
      </w:pPr>
      <w:r w:rsidRPr="00BD2401">
        <w:t xml:space="preserve">Done in English, and notified in writing on </w:t>
      </w:r>
      <w:r w:rsidRPr="00BD2401" w:rsidR="005B2B44">
        <w:rPr>
          <w:rFonts w:ascii="Times New Roman" w:hAnsi="Times New Roman" w:cs="Times New Roman"/>
        </w:rPr>
        <w:t>13 February 2020</w:t>
      </w:r>
      <w:r w:rsidRPr="00BD2401">
        <w:t>, pursuant to Rule 77 §§ 2 and 3 of the Rules of Court.</w:t>
      </w:r>
    </w:p>
    <w:p w:rsidRPr="00BD2401" w:rsidR="002A613A" w:rsidP="00BD2401" w:rsidRDefault="00313E66">
      <w:pPr>
        <w:pStyle w:val="JuSigned"/>
        <w:tabs>
          <w:tab w:val="clear" w:pos="6407"/>
          <w:tab w:val="center" w:pos="6096"/>
        </w:tabs>
      </w:pPr>
      <w:r w:rsidRPr="00BD2401">
        <w:tab/>
      </w:r>
      <w:r w:rsidRPr="00BD2401" w:rsidR="005B2B44">
        <w:t>Milan Blaško</w:t>
      </w:r>
      <w:r w:rsidRPr="00BD2401" w:rsidR="00475200">
        <w:t xml:space="preserve"> </w:t>
      </w:r>
      <w:r w:rsidRPr="00BD2401" w:rsidR="00475200">
        <w:tab/>
      </w:r>
      <w:r w:rsidRPr="00BD2401" w:rsidR="005B2B44">
        <w:t>Gabriele Kucsko-Stadlmayer</w:t>
      </w:r>
      <w:r w:rsidRPr="00BD2401" w:rsidR="00475200">
        <w:br/>
      </w:r>
      <w:r w:rsidRPr="00BD2401" w:rsidR="00475200">
        <w:tab/>
      </w:r>
      <w:r w:rsidRPr="00BD2401" w:rsidR="005B2B44">
        <w:t xml:space="preserve">Deputy </w:t>
      </w:r>
      <w:r w:rsidRPr="00BD2401" w:rsidR="005B2B44">
        <w:rPr>
          <w:iCs/>
        </w:rPr>
        <w:t>Registrar</w:t>
      </w:r>
      <w:r w:rsidRPr="00BD2401" w:rsidR="00475200">
        <w:tab/>
        <w:t>President</w:t>
      </w:r>
    </w:p>
    <w:sectPr w:rsidRPr="00BD2401"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B44" w:rsidRPr="008E437C" w:rsidRDefault="005B2B44">
      <w:r w:rsidRPr="008E437C">
        <w:separator/>
      </w:r>
    </w:p>
  </w:endnote>
  <w:endnote w:type="continuationSeparator" w:id="0">
    <w:p w:rsidR="005B2B44" w:rsidRPr="008E437C" w:rsidRDefault="005B2B44">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B44" w:rsidRPr="00150BFA" w:rsidRDefault="005B2B44" w:rsidP="0020718E">
    <w:pPr>
      <w:jc w:val="center"/>
    </w:pPr>
    <w:r>
      <w:rPr>
        <w:noProof/>
        <w:lang w:val="en-US" w:eastAsia="ja-JP"/>
      </w:rPr>
      <w:drawing>
        <wp:inline distT="0" distB="0" distL="0" distR="0" wp14:anchorId="510A76DC" wp14:editId="197EAE31">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D47E55"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47E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47E5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B44" w:rsidRPr="008E437C" w:rsidRDefault="005B2B44" w:rsidP="0098410D">
      <w:r w:rsidRPr="008E437C">
        <w:separator/>
      </w:r>
    </w:p>
  </w:footnote>
  <w:footnote w:type="continuationSeparator" w:id="0">
    <w:p w:rsidR="005B2B44" w:rsidRPr="008E437C" w:rsidRDefault="005B2B44"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B44" w:rsidRPr="00A45145" w:rsidRDefault="005B2B44" w:rsidP="00A45145">
    <w:pPr>
      <w:jc w:val="center"/>
    </w:pPr>
    <w:r>
      <w:rPr>
        <w:noProof/>
        <w:lang w:val="en-US" w:eastAsia="ja-JP"/>
      </w:rPr>
      <w:drawing>
        <wp:inline distT="0" distB="0" distL="0" distR="0" wp14:anchorId="5BE3F3FF" wp14:editId="531468E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47E55"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B44" w:rsidRPr="00A45145" w:rsidRDefault="005B2B44" w:rsidP="00A45145">
    <w:pPr>
      <w:jc w:val="center"/>
    </w:pPr>
    <w:r>
      <w:rPr>
        <w:noProof/>
        <w:lang w:val="en-US" w:eastAsia="ja-JP"/>
      </w:rPr>
      <w:drawing>
        <wp:inline distT="0" distB="0" distL="0" distR="0" wp14:anchorId="2BED403B" wp14:editId="47C5D446">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47E5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B2B44" w:rsidP="00BD2401">
    <w:pPr>
      <w:pStyle w:val="JuHeader"/>
      <w:jc w:val="left"/>
    </w:pPr>
    <w:r>
      <w:rPr>
        <w:rStyle w:val="PageNumber"/>
      </w:rPr>
      <w:fldChar w:fldCharType="begin"/>
    </w:r>
    <w:r>
      <w:rPr>
        <w:rStyle w:val="PageNumber"/>
      </w:rPr>
      <w:instrText xml:space="preserve"> PAGE </w:instrText>
    </w:r>
    <w:r>
      <w:rPr>
        <w:rStyle w:val="PageNumber"/>
      </w:rPr>
      <w:fldChar w:fldCharType="separate"/>
    </w:r>
    <w:r w:rsidR="00BD2401">
      <w:rPr>
        <w:rStyle w:val="PageNumber"/>
        <w:noProof/>
      </w:rPr>
      <w:t>6</w:t>
    </w:r>
    <w:r>
      <w:rPr>
        <w:rStyle w:val="PageNumber"/>
      </w:rPr>
      <w:fldChar w:fldCharType="end"/>
    </w:r>
    <w:r w:rsidR="00475200" w:rsidRPr="004D0EC7">
      <w:tab/>
    </w:r>
    <w:r w:rsidR="00BD2401">
      <w:tab/>
    </w:r>
    <w:r w:rsidR="00BD2401">
      <w:tab/>
    </w:r>
    <w:r>
      <w:t>KLOPCOVS v. LATVIA</w:t>
    </w:r>
    <w:r w:rsidR="00475200" w:rsidRPr="004D0EC7">
      <w:t xml:space="preserve"> </w:t>
    </w:r>
    <w:r w:rsidR="00475200">
      <w:t>JUDGMENT</w:t>
    </w:r>
    <w:r w:rsidR="00BD2401">
      <w:tab/>
    </w:r>
    <w:r w:rsidR="00BD2401">
      <w:tab/>
    </w:r>
    <w:r w:rsidR="00BD2401">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JuHeader"/>
    </w:pPr>
    <w:r w:rsidRPr="00882CD5">
      <w:tab/>
    </w:r>
    <w:r w:rsidR="00BD2401">
      <w:tab/>
    </w:r>
    <w:r w:rsidR="00BD2401">
      <w:tab/>
    </w:r>
    <w:r w:rsidR="005B2B44">
      <w:t>KLOPCOVS v. LATVIA</w:t>
    </w:r>
    <w:r w:rsidRPr="00882CD5">
      <w:t xml:space="preserve"> JUDGMENT</w:t>
    </w:r>
    <w:r w:rsidR="00BD2401">
      <w:tab/>
    </w:r>
    <w:r w:rsidR="00BD2401">
      <w:tab/>
    </w:r>
    <w:r w:rsidR="00BD2401">
      <w:tab/>
    </w:r>
    <w:r w:rsidRPr="00882CD5">
      <w:tab/>
    </w:r>
    <w:r w:rsidR="005B2B44">
      <w:rPr>
        <w:rStyle w:val="PageNumber"/>
      </w:rPr>
      <w:fldChar w:fldCharType="begin"/>
    </w:r>
    <w:r w:rsidR="005B2B44">
      <w:rPr>
        <w:rStyle w:val="PageNumber"/>
      </w:rPr>
      <w:instrText xml:space="preserve"> PAGE </w:instrText>
    </w:r>
    <w:r w:rsidR="005B2B44">
      <w:rPr>
        <w:rStyle w:val="PageNumber"/>
      </w:rPr>
      <w:fldChar w:fldCharType="separate"/>
    </w:r>
    <w:r w:rsidR="00BD2401">
      <w:rPr>
        <w:rStyle w:val="PageNumber"/>
        <w:noProof/>
      </w:rPr>
      <w:t>7</w:t>
    </w:r>
    <w:r w:rsidR="005B2B4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5"/>
  </w:num>
  <w:num w:numId="3">
    <w:abstractNumId w:val="12"/>
  </w:num>
  <w:num w:numId="4">
    <w:abstractNumId w:val="10"/>
  </w:num>
  <w:num w:numId="5">
    <w:abstractNumId w:val="9"/>
  </w:num>
  <w:num w:numId="6">
    <w:abstractNumId w:val="13"/>
  </w:num>
  <w:num w:numId="7">
    <w:abstractNumId w:val="11"/>
  </w:num>
  <w:num w:numId="8">
    <w:abstractNumId w:val="14"/>
  </w:num>
  <w:num w:numId="9">
    <w:abstractNumId w:val="17"/>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B2B44"/>
    <w:rsid w:val="00156729"/>
    <w:rsid w:val="001E572E"/>
    <w:rsid w:val="001F0501"/>
    <w:rsid w:val="00313E66"/>
    <w:rsid w:val="00413469"/>
    <w:rsid w:val="00475200"/>
    <w:rsid w:val="00547158"/>
    <w:rsid w:val="005B2B44"/>
    <w:rsid w:val="005F0781"/>
    <w:rsid w:val="00804DC5"/>
    <w:rsid w:val="00850DA0"/>
    <w:rsid w:val="008756FA"/>
    <w:rsid w:val="00880D6F"/>
    <w:rsid w:val="008E437C"/>
    <w:rsid w:val="009304CC"/>
    <w:rsid w:val="00B34B81"/>
    <w:rsid w:val="00BB3A2E"/>
    <w:rsid w:val="00BD2401"/>
    <w:rsid w:val="00D47E55"/>
    <w:rsid w:val="00D712BD"/>
    <w:rsid w:val="00DF1A7B"/>
    <w:rsid w:val="00E03F43"/>
    <w:rsid w:val="00EB3288"/>
    <w:rsid w:val="00FC36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2401"/>
    <w:rPr>
      <w:sz w:val="24"/>
      <w:szCs w:val="24"/>
      <w:lang w:val="en-GB"/>
    </w:rPr>
  </w:style>
  <w:style w:type="paragraph" w:styleId="Heading1">
    <w:name w:val="heading 1"/>
    <w:basedOn w:val="Normal"/>
    <w:next w:val="Normal"/>
    <w:link w:val="Heading1Char"/>
    <w:uiPriority w:val="98"/>
    <w:semiHidden/>
    <w:rsid w:val="00BD24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24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24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24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24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24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24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24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24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2401"/>
    <w:rPr>
      <w:rFonts w:ascii="Tahoma" w:hAnsi="Tahoma" w:cs="Tahoma"/>
      <w:sz w:val="16"/>
      <w:szCs w:val="16"/>
    </w:rPr>
  </w:style>
  <w:style w:type="character" w:customStyle="1" w:styleId="BalloonTextChar">
    <w:name w:val="Balloon Text Char"/>
    <w:basedOn w:val="DefaultParagraphFont"/>
    <w:link w:val="BalloonText"/>
    <w:uiPriority w:val="98"/>
    <w:semiHidden/>
    <w:rsid w:val="00BD2401"/>
    <w:rPr>
      <w:rFonts w:ascii="Tahoma" w:hAnsi="Tahoma" w:cs="Tahoma"/>
      <w:sz w:val="16"/>
      <w:szCs w:val="16"/>
      <w:lang w:val="en-GB"/>
    </w:rPr>
  </w:style>
  <w:style w:type="character" w:styleId="BookTitle">
    <w:name w:val="Book Title"/>
    <w:uiPriority w:val="98"/>
    <w:semiHidden/>
    <w:qFormat/>
    <w:rsid w:val="00BD2401"/>
    <w:rPr>
      <w:i/>
      <w:iCs/>
      <w:smallCaps/>
      <w:spacing w:val="5"/>
    </w:rPr>
  </w:style>
  <w:style w:type="paragraph" w:customStyle="1" w:styleId="JuHeader">
    <w:name w:val="Ju_Header"/>
    <w:aliases w:val="_Header"/>
    <w:basedOn w:val="Header"/>
    <w:uiPriority w:val="29"/>
    <w:qFormat/>
    <w:rsid w:val="00BD2401"/>
    <w:pPr>
      <w:tabs>
        <w:tab w:val="clear" w:pos="4536"/>
        <w:tab w:val="clear" w:pos="9072"/>
      </w:tabs>
      <w:jc w:val="center"/>
    </w:pPr>
    <w:rPr>
      <w:sz w:val="18"/>
    </w:rPr>
  </w:style>
  <w:style w:type="paragraph" w:styleId="NoteHeading">
    <w:name w:val="Note Heading"/>
    <w:basedOn w:val="Normal"/>
    <w:next w:val="Normal"/>
    <w:link w:val="NoteHeadingChar"/>
    <w:uiPriority w:val="98"/>
    <w:semiHidden/>
    <w:rsid w:val="00BD2401"/>
  </w:style>
  <w:style w:type="character" w:styleId="Strong">
    <w:name w:val="Strong"/>
    <w:uiPriority w:val="98"/>
    <w:semiHidden/>
    <w:qFormat/>
    <w:rsid w:val="00BD2401"/>
    <w:rPr>
      <w:b/>
      <w:bCs/>
    </w:rPr>
  </w:style>
  <w:style w:type="paragraph" w:styleId="NoSpacing">
    <w:name w:val="No Spacing"/>
    <w:basedOn w:val="Normal"/>
    <w:link w:val="NoSpacingChar"/>
    <w:uiPriority w:val="98"/>
    <w:semiHidden/>
    <w:qFormat/>
    <w:rsid w:val="00BD2401"/>
  </w:style>
  <w:style w:type="character" w:customStyle="1" w:styleId="NoSpacingChar">
    <w:name w:val="No Spacing Char"/>
    <w:basedOn w:val="DefaultParagraphFont"/>
    <w:link w:val="NoSpacing"/>
    <w:uiPriority w:val="98"/>
    <w:semiHidden/>
    <w:rsid w:val="00BD2401"/>
    <w:rPr>
      <w:sz w:val="24"/>
      <w:szCs w:val="24"/>
      <w:lang w:val="en-GB"/>
    </w:rPr>
  </w:style>
  <w:style w:type="paragraph" w:customStyle="1" w:styleId="JuQuot">
    <w:name w:val="Ju_Quot"/>
    <w:aliases w:val="_Quote"/>
    <w:basedOn w:val="NormalJustified"/>
    <w:uiPriority w:val="20"/>
    <w:qFormat/>
    <w:rsid w:val="00BD2401"/>
    <w:pPr>
      <w:spacing w:before="120" w:after="120"/>
      <w:ind w:left="425" w:firstLine="142"/>
    </w:pPr>
    <w:rPr>
      <w:sz w:val="20"/>
    </w:rPr>
  </w:style>
  <w:style w:type="paragraph" w:customStyle="1" w:styleId="ECHRBullet1">
    <w:name w:val="ECHR_Bullet_1"/>
    <w:aliases w:val="_Bul_1"/>
    <w:basedOn w:val="NormalJustified"/>
    <w:uiPriority w:val="23"/>
    <w:semiHidden/>
    <w:qFormat/>
    <w:rsid w:val="00BD2401"/>
    <w:pPr>
      <w:numPr>
        <w:numId w:val="6"/>
      </w:numPr>
      <w:spacing w:before="60" w:after="60"/>
    </w:pPr>
  </w:style>
  <w:style w:type="character" w:customStyle="1" w:styleId="NoteHeadingChar">
    <w:name w:val="Note Heading Char"/>
    <w:basedOn w:val="DefaultParagraphFont"/>
    <w:link w:val="NoteHeading"/>
    <w:uiPriority w:val="98"/>
    <w:semiHidden/>
    <w:rsid w:val="00BD2401"/>
    <w:rPr>
      <w:sz w:val="24"/>
      <w:szCs w:val="24"/>
      <w:lang w:val="en-GB"/>
    </w:rPr>
  </w:style>
  <w:style w:type="paragraph" w:customStyle="1" w:styleId="JuHArticle">
    <w:name w:val="Ju_H_Article"/>
    <w:aliases w:val="_Title_Quote"/>
    <w:basedOn w:val="Normal"/>
    <w:next w:val="JuQuot"/>
    <w:uiPriority w:val="19"/>
    <w:qFormat/>
    <w:rsid w:val="00BD2401"/>
    <w:pPr>
      <w:keepNext/>
      <w:spacing w:before="100" w:beforeAutospacing="1" w:after="120"/>
      <w:contextualSpacing/>
      <w:jc w:val="center"/>
    </w:pPr>
    <w:rPr>
      <w:b/>
      <w:sz w:val="20"/>
    </w:rPr>
  </w:style>
  <w:style w:type="paragraph" w:customStyle="1" w:styleId="ECHRBullet2">
    <w:name w:val="ECHR_Bullet_2"/>
    <w:aliases w:val="_Bul_2"/>
    <w:basedOn w:val="ECHRBullet1"/>
    <w:uiPriority w:val="23"/>
    <w:semiHidden/>
    <w:rsid w:val="00BD2401"/>
    <w:pPr>
      <w:numPr>
        <w:ilvl w:val="1"/>
      </w:numPr>
    </w:pPr>
  </w:style>
  <w:style w:type="paragraph" w:customStyle="1" w:styleId="ECHRBullet3">
    <w:name w:val="ECHR_Bullet_3"/>
    <w:aliases w:val="_Bul_3"/>
    <w:basedOn w:val="ECHRBullet2"/>
    <w:uiPriority w:val="23"/>
    <w:semiHidden/>
    <w:rsid w:val="00BD2401"/>
    <w:pPr>
      <w:numPr>
        <w:ilvl w:val="2"/>
      </w:numPr>
    </w:pPr>
  </w:style>
  <w:style w:type="paragraph" w:customStyle="1" w:styleId="JuHHead">
    <w:name w:val="Ju_H_Head"/>
    <w:aliases w:val="_Head_1"/>
    <w:basedOn w:val="Normal"/>
    <w:next w:val="JuPara"/>
    <w:uiPriority w:val="17"/>
    <w:qFormat/>
    <w:rsid w:val="00BD2401"/>
    <w:pPr>
      <w:keepNext/>
      <w:keepLines/>
      <w:numPr>
        <w:numId w:val="2"/>
      </w:numPr>
      <w:spacing w:before="100" w:beforeAutospacing="1" w:after="240"/>
      <w:jc w:val="both"/>
      <w:outlineLvl w:val="0"/>
    </w:pPr>
    <w:rPr>
      <w:caps/>
      <w:sz w:val="28"/>
    </w:rPr>
  </w:style>
  <w:style w:type="paragraph" w:customStyle="1" w:styleId="JuInitialled">
    <w:name w:val="Ju_Initialled"/>
    <w:aliases w:val="_Right"/>
    <w:basedOn w:val="Normal"/>
    <w:uiPriority w:val="31"/>
    <w:qFormat/>
    <w:rsid w:val="00BD2401"/>
    <w:pPr>
      <w:tabs>
        <w:tab w:val="center" w:pos="6407"/>
      </w:tabs>
      <w:spacing w:before="720"/>
      <w:jc w:val="right"/>
    </w:pPr>
  </w:style>
  <w:style w:type="paragraph" w:customStyle="1" w:styleId="JuSigned">
    <w:name w:val="Ju_Signed"/>
    <w:aliases w:val="_Signature"/>
    <w:basedOn w:val="Normal"/>
    <w:next w:val="JuPara"/>
    <w:uiPriority w:val="31"/>
    <w:qFormat/>
    <w:rsid w:val="00BD2401"/>
    <w:pPr>
      <w:tabs>
        <w:tab w:val="center" w:pos="851"/>
        <w:tab w:val="center" w:pos="6407"/>
      </w:tabs>
      <w:spacing w:before="720"/>
    </w:pPr>
  </w:style>
  <w:style w:type="paragraph" w:styleId="Title">
    <w:name w:val="Title"/>
    <w:basedOn w:val="Normal"/>
    <w:next w:val="Normal"/>
    <w:link w:val="TitleChar"/>
    <w:uiPriority w:val="98"/>
    <w:semiHidden/>
    <w:qFormat/>
    <w:rsid w:val="00BD24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2401"/>
    <w:rPr>
      <w:rFonts w:asciiTheme="majorHAnsi" w:eastAsiaTheme="majorEastAsia" w:hAnsiTheme="majorHAnsi" w:cstheme="majorBidi"/>
      <w:spacing w:val="5"/>
      <w:sz w:val="52"/>
      <w:szCs w:val="52"/>
      <w:lang w:val="en-GB" w:bidi="en-US"/>
    </w:rPr>
  </w:style>
  <w:style w:type="character" w:customStyle="1" w:styleId="JUNAMES">
    <w:name w:val="JU_NAMES"/>
    <w:aliases w:val="_Ju_Names"/>
    <w:uiPriority w:val="33"/>
    <w:qFormat/>
    <w:rsid w:val="00BD2401"/>
    <w:rPr>
      <w:caps w:val="0"/>
      <w:smallCaps/>
    </w:rPr>
  </w:style>
  <w:style w:type="character" w:customStyle="1" w:styleId="JuITMark">
    <w:name w:val="Ju_ITMark"/>
    <w:aliases w:val="_ITMark"/>
    <w:basedOn w:val="DefaultParagraphFont"/>
    <w:uiPriority w:val="43"/>
    <w:qFormat/>
    <w:rsid w:val="00BD2401"/>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BD24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BD2401"/>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BD2401"/>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7"/>
    <w:rsid w:val="00BD2401"/>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98"/>
    <w:semiHidden/>
    <w:rsid w:val="00BD2401"/>
    <w:pPr>
      <w:tabs>
        <w:tab w:val="center" w:pos="4536"/>
        <w:tab w:val="right" w:pos="9072"/>
      </w:tabs>
    </w:pPr>
  </w:style>
  <w:style w:type="character" w:customStyle="1" w:styleId="HeaderChar">
    <w:name w:val="Header Char"/>
    <w:basedOn w:val="DefaultParagraphFont"/>
    <w:link w:val="Header"/>
    <w:uiPriority w:val="98"/>
    <w:semiHidden/>
    <w:rsid w:val="00BD2401"/>
    <w:rPr>
      <w:sz w:val="24"/>
      <w:szCs w:val="24"/>
      <w:lang w:val="en-GB"/>
    </w:rPr>
  </w:style>
  <w:style w:type="character" w:customStyle="1" w:styleId="Heading1Char">
    <w:name w:val="Heading 1 Char"/>
    <w:basedOn w:val="DefaultParagraphFont"/>
    <w:link w:val="Heading1"/>
    <w:uiPriority w:val="98"/>
    <w:semiHidden/>
    <w:rsid w:val="00BD24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BD2401"/>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BD2401"/>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BD24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BD2401"/>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7"/>
    <w:rsid w:val="00BD2401"/>
    <w:pPr>
      <w:keepNext/>
      <w:keepLines/>
      <w:numPr>
        <w:ilvl w:val="7"/>
        <w:numId w:val="2"/>
      </w:numPr>
      <w:spacing w:before="100" w:beforeAutospacing="1" w:after="120"/>
      <w:outlineLvl w:val="7"/>
    </w:pPr>
    <w:rPr>
      <w:i/>
      <w:sz w:val="20"/>
    </w:rPr>
  </w:style>
  <w:style w:type="character" w:customStyle="1" w:styleId="Heading3Char">
    <w:name w:val="Heading 3 Char"/>
    <w:basedOn w:val="DefaultParagraphFont"/>
    <w:link w:val="Heading3"/>
    <w:uiPriority w:val="98"/>
    <w:semiHidden/>
    <w:rsid w:val="00BD24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BD2401"/>
    <w:pPr>
      <w:keepNext/>
      <w:keepLines/>
      <w:spacing w:before="240" w:after="240"/>
      <w:ind w:firstLine="284"/>
    </w:pPr>
  </w:style>
  <w:style w:type="paragraph" w:customStyle="1" w:styleId="ECHRDecisionBody">
    <w:name w:val="ECHR_Decision_Body"/>
    <w:aliases w:val="_Decision_Body"/>
    <w:basedOn w:val="NormalJustified"/>
    <w:uiPriority w:val="54"/>
    <w:rsid w:val="00BD2401"/>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BD2401"/>
    <w:rPr>
      <w:rFonts w:asciiTheme="majorHAnsi" w:eastAsiaTheme="majorEastAsia" w:hAnsiTheme="majorHAnsi" w:cstheme="majorBidi"/>
      <w:b/>
      <w:bCs/>
      <w:i/>
      <w:iCs/>
      <w:color w:val="777777"/>
      <w:sz w:val="24"/>
      <w:szCs w:val="24"/>
      <w:lang w:val="en-GB"/>
    </w:rPr>
  </w:style>
  <w:style w:type="paragraph" w:customStyle="1" w:styleId="JuList">
    <w:name w:val="Ju_List"/>
    <w:aliases w:val="_List_1"/>
    <w:basedOn w:val="NormalJustified"/>
    <w:uiPriority w:val="23"/>
    <w:qFormat/>
    <w:rsid w:val="00BD2401"/>
    <w:pPr>
      <w:numPr>
        <w:numId w:val="7"/>
      </w:numPr>
      <w:spacing w:before="280" w:after="60"/>
    </w:pPr>
  </w:style>
  <w:style w:type="character" w:customStyle="1" w:styleId="Heading5Char">
    <w:name w:val="Heading 5 Char"/>
    <w:basedOn w:val="DefaultParagraphFont"/>
    <w:link w:val="Heading5"/>
    <w:uiPriority w:val="98"/>
    <w:semiHidden/>
    <w:rsid w:val="00BD2401"/>
    <w:rPr>
      <w:rFonts w:asciiTheme="majorHAnsi" w:eastAsiaTheme="majorEastAsia" w:hAnsiTheme="majorHAnsi" w:cstheme="majorBidi"/>
      <w:b/>
      <w:bCs/>
      <w:color w:val="808080"/>
      <w:sz w:val="24"/>
      <w:szCs w:val="24"/>
      <w:lang w:val="en-GB"/>
    </w:rPr>
  </w:style>
  <w:style w:type="paragraph" w:customStyle="1" w:styleId="JuLista">
    <w:name w:val="Ju_List_a"/>
    <w:aliases w:val="_List_2"/>
    <w:basedOn w:val="NormalJustified"/>
    <w:uiPriority w:val="23"/>
    <w:rsid w:val="00BD2401"/>
    <w:pPr>
      <w:numPr>
        <w:ilvl w:val="1"/>
        <w:numId w:val="7"/>
      </w:numPr>
    </w:pPr>
  </w:style>
  <w:style w:type="paragraph" w:customStyle="1" w:styleId="JuListi">
    <w:name w:val="Ju_List_i"/>
    <w:aliases w:val="_List_3"/>
    <w:basedOn w:val="NormalJustified"/>
    <w:uiPriority w:val="23"/>
    <w:rsid w:val="00BD2401"/>
    <w:pPr>
      <w:numPr>
        <w:ilvl w:val="2"/>
        <w:numId w:val="7"/>
      </w:numPr>
    </w:pPr>
  </w:style>
  <w:style w:type="character" w:styleId="SubtleEmphasis">
    <w:name w:val="Subtle Emphasis"/>
    <w:uiPriority w:val="98"/>
    <w:semiHidden/>
    <w:qFormat/>
    <w:rsid w:val="00BD2401"/>
    <w:rPr>
      <w:i/>
      <w:iCs/>
    </w:rPr>
  </w:style>
  <w:style w:type="table" w:customStyle="1" w:styleId="ECHRTable">
    <w:name w:val="ECHR_Table"/>
    <w:basedOn w:val="TableNormal"/>
    <w:rsid w:val="00BD24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24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D2401"/>
    <w:rPr>
      <w:b/>
      <w:bCs/>
      <w:i/>
      <w:iCs/>
      <w:spacing w:val="10"/>
      <w:bdr w:val="none" w:sz="0" w:space="0" w:color="auto"/>
      <w:shd w:val="clear" w:color="auto" w:fill="auto"/>
    </w:rPr>
  </w:style>
  <w:style w:type="paragraph" w:styleId="Footer">
    <w:name w:val="footer"/>
    <w:basedOn w:val="Normal"/>
    <w:link w:val="FooterChar"/>
    <w:uiPriority w:val="98"/>
    <w:semiHidden/>
    <w:rsid w:val="00BD2401"/>
    <w:pPr>
      <w:tabs>
        <w:tab w:val="center" w:pos="3686"/>
        <w:tab w:val="right" w:pos="7371"/>
      </w:tabs>
    </w:pPr>
  </w:style>
  <w:style w:type="character" w:customStyle="1" w:styleId="FooterChar">
    <w:name w:val="Footer Char"/>
    <w:basedOn w:val="DefaultParagraphFont"/>
    <w:link w:val="Footer"/>
    <w:uiPriority w:val="98"/>
    <w:semiHidden/>
    <w:rsid w:val="00BD2401"/>
    <w:rPr>
      <w:sz w:val="24"/>
      <w:szCs w:val="24"/>
      <w:lang w:val="en-GB"/>
    </w:rPr>
  </w:style>
  <w:style w:type="character" w:styleId="FootnoteReference">
    <w:name w:val="footnote reference"/>
    <w:basedOn w:val="DefaultParagraphFont"/>
    <w:uiPriority w:val="98"/>
    <w:semiHidden/>
    <w:rsid w:val="00BD2401"/>
    <w:rPr>
      <w:vertAlign w:val="superscript"/>
    </w:rPr>
  </w:style>
  <w:style w:type="paragraph" w:styleId="FootnoteText">
    <w:name w:val="footnote text"/>
    <w:basedOn w:val="Normal"/>
    <w:link w:val="FootnoteTextChar"/>
    <w:uiPriority w:val="98"/>
    <w:semiHidden/>
    <w:rsid w:val="00BD2401"/>
    <w:rPr>
      <w:sz w:val="20"/>
      <w:szCs w:val="20"/>
    </w:rPr>
  </w:style>
  <w:style w:type="character" w:customStyle="1" w:styleId="FootnoteTextChar">
    <w:name w:val="Footnote Text Char"/>
    <w:basedOn w:val="DefaultParagraphFont"/>
    <w:link w:val="FootnoteText"/>
    <w:uiPriority w:val="98"/>
    <w:semiHidden/>
    <w:rsid w:val="00BD2401"/>
    <w:rPr>
      <w:sz w:val="20"/>
      <w:szCs w:val="20"/>
      <w:lang w:val="en-GB"/>
    </w:rPr>
  </w:style>
  <w:style w:type="character" w:customStyle="1" w:styleId="Heading6Char">
    <w:name w:val="Heading 6 Char"/>
    <w:basedOn w:val="DefaultParagraphFont"/>
    <w:link w:val="Heading6"/>
    <w:uiPriority w:val="98"/>
    <w:semiHidden/>
    <w:rsid w:val="00BD24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24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24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24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D2401"/>
    <w:rPr>
      <w:color w:val="0072BC" w:themeColor="hyperlink"/>
      <w:u w:val="single"/>
    </w:rPr>
  </w:style>
  <w:style w:type="character" w:styleId="IntenseEmphasis">
    <w:name w:val="Intense Emphasis"/>
    <w:uiPriority w:val="98"/>
    <w:semiHidden/>
    <w:qFormat/>
    <w:rsid w:val="00BD2401"/>
    <w:rPr>
      <w:b/>
      <w:bCs/>
    </w:rPr>
  </w:style>
  <w:style w:type="paragraph" w:styleId="IntenseQuote">
    <w:name w:val="Intense Quote"/>
    <w:basedOn w:val="Normal"/>
    <w:next w:val="Normal"/>
    <w:link w:val="IntenseQuoteChar"/>
    <w:uiPriority w:val="98"/>
    <w:semiHidden/>
    <w:qFormat/>
    <w:rsid w:val="00BD24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2401"/>
    <w:rPr>
      <w:b/>
      <w:bCs/>
      <w:i/>
      <w:iCs/>
      <w:sz w:val="24"/>
      <w:szCs w:val="24"/>
      <w:lang w:val="en-GB" w:bidi="en-US"/>
    </w:rPr>
  </w:style>
  <w:style w:type="character" w:styleId="IntenseReference">
    <w:name w:val="Intense Reference"/>
    <w:uiPriority w:val="98"/>
    <w:semiHidden/>
    <w:qFormat/>
    <w:rsid w:val="00BD2401"/>
    <w:rPr>
      <w:smallCaps/>
      <w:spacing w:val="5"/>
      <w:u w:val="single"/>
    </w:rPr>
  </w:style>
  <w:style w:type="paragraph" w:styleId="ListParagraph">
    <w:name w:val="List Paragraph"/>
    <w:basedOn w:val="Normal"/>
    <w:uiPriority w:val="98"/>
    <w:semiHidden/>
    <w:qFormat/>
    <w:rsid w:val="00BD2401"/>
    <w:pPr>
      <w:ind w:left="720"/>
      <w:contextualSpacing/>
    </w:pPr>
  </w:style>
  <w:style w:type="table" w:customStyle="1" w:styleId="LtrTableAddress">
    <w:name w:val="Ltr_Table_Address"/>
    <w:aliases w:val="ECHR_Ltr_Table_Address"/>
    <w:basedOn w:val="TableNormal"/>
    <w:uiPriority w:val="99"/>
    <w:rsid w:val="00BD2401"/>
    <w:rPr>
      <w:sz w:val="24"/>
      <w:szCs w:val="24"/>
    </w:rPr>
    <w:tblPr>
      <w:tblInd w:w="5103" w:type="dxa"/>
    </w:tblPr>
  </w:style>
  <w:style w:type="paragraph" w:styleId="Quote">
    <w:name w:val="Quote"/>
    <w:basedOn w:val="Normal"/>
    <w:next w:val="Normal"/>
    <w:link w:val="QuoteChar"/>
    <w:uiPriority w:val="98"/>
    <w:semiHidden/>
    <w:qFormat/>
    <w:rsid w:val="00BD2401"/>
    <w:pPr>
      <w:spacing w:before="200"/>
      <w:ind w:left="360" w:right="360"/>
    </w:pPr>
    <w:rPr>
      <w:i/>
      <w:iCs/>
      <w:lang w:bidi="en-US"/>
    </w:rPr>
  </w:style>
  <w:style w:type="character" w:customStyle="1" w:styleId="QuoteChar">
    <w:name w:val="Quote Char"/>
    <w:basedOn w:val="DefaultParagraphFont"/>
    <w:link w:val="Quote"/>
    <w:uiPriority w:val="98"/>
    <w:semiHidden/>
    <w:rsid w:val="00BD2401"/>
    <w:rPr>
      <w:i/>
      <w:iCs/>
      <w:sz w:val="24"/>
      <w:szCs w:val="24"/>
      <w:lang w:val="en-GB" w:bidi="en-US"/>
    </w:rPr>
  </w:style>
  <w:style w:type="character" w:styleId="SubtleReference">
    <w:name w:val="Subtle Reference"/>
    <w:uiPriority w:val="98"/>
    <w:semiHidden/>
    <w:qFormat/>
    <w:rsid w:val="00BD2401"/>
    <w:rPr>
      <w:smallCaps/>
    </w:rPr>
  </w:style>
  <w:style w:type="table" w:styleId="TableGrid">
    <w:name w:val="Table Grid"/>
    <w:basedOn w:val="TableNormal"/>
    <w:uiPriority w:val="59"/>
    <w:semiHidden/>
    <w:rsid w:val="00BD24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24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24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24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24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24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24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24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24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24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24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24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24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24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D24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24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D2401"/>
    <w:pPr>
      <w:numPr>
        <w:numId w:val="3"/>
      </w:numPr>
    </w:pPr>
  </w:style>
  <w:style w:type="paragraph" w:customStyle="1" w:styleId="JuPara">
    <w:name w:val="Ju_Para"/>
    <w:aliases w:val="_Para"/>
    <w:basedOn w:val="NormalJustified"/>
    <w:link w:val="ECHRParaChar"/>
    <w:uiPriority w:val="4"/>
    <w:qFormat/>
    <w:rsid w:val="00BD2401"/>
    <w:pPr>
      <w:ind w:firstLine="284"/>
    </w:pPr>
  </w:style>
  <w:style w:type="numbering" w:styleId="1ai">
    <w:name w:val="Outline List 1"/>
    <w:basedOn w:val="NoList"/>
    <w:uiPriority w:val="99"/>
    <w:semiHidden/>
    <w:unhideWhenUsed/>
    <w:rsid w:val="00BD2401"/>
    <w:pPr>
      <w:numPr>
        <w:numId w:val="4"/>
      </w:numPr>
    </w:pPr>
  </w:style>
  <w:style w:type="table" w:customStyle="1" w:styleId="ECHRTableSimpleBox">
    <w:name w:val="ECHR_Table_Simple_Box"/>
    <w:basedOn w:val="TableNormal"/>
    <w:uiPriority w:val="99"/>
    <w:rsid w:val="00BD24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24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D2401"/>
    <w:pPr>
      <w:numPr>
        <w:numId w:val="5"/>
      </w:numPr>
    </w:pPr>
  </w:style>
  <w:style w:type="table" w:customStyle="1" w:styleId="ECHRTableForInternalUse">
    <w:name w:val="ECHR_Table_For_Internal_Use"/>
    <w:basedOn w:val="TableNormal"/>
    <w:uiPriority w:val="99"/>
    <w:rsid w:val="00BD24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24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D2401"/>
  </w:style>
  <w:style w:type="paragraph" w:styleId="BlockText">
    <w:name w:val="Block Text"/>
    <w:basedOn w:val="Normal"/>
    <w:uiPriority w:val="98"/>
    <w:semiHidden/>
    <w:rsid w:val="00BD24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D24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D2401"/>
    <w:pPr>
      <w:spacing w:after="120"/>
    </w:pPr>
  </w:style>
  <w:style w:type="character" w:customStyle="1" w:styleId="BodyTextChar">
    <w:name w:val="Body Text Char"/>
    <w:basedOn w:val="DefaultParagraphFont"/>
    <w:link w:val="BodyText"/>
    <w:uiPriority w:val="98"/>
    <w:semiHidden/>
    <w:rsid w:val="00BD24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D2401"/>
    <w:pPr>
      <w:spacing w:after="120" w:line="480" w:lineRule="auto"/>
    </w:pPr>
  </w:style>
  <w:style w:type="table" w:customStyle="1" w:styleId="ECHRHeaderTableReduced">
    <w:name w:val="ECHR_Header_Table_Reduced"/>
    <w:basedOn w:val="TableNormal"/>
    <w:uiPriority w:val="99"/>
    <w:rsid w:val="00BD24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D2401"/>
    <w:pPr>
      <w:ind w:firstLine="284"/>
    </w:pPr>
    <w:rPr>
      <w:b/>
    </w:rPr>
  </w:style>
  <w:style w:type="character" w:styleId="PageNumber">
    <w:name w:val="page number"/>
    <w:uiPriority w:val="98"/>
    <w:semiHidden/>
    <w:rsid w:val="00BD2401"/>
    <w:rPr>
      <w:sz w:val="18"/>
    </w:rPr>
  </w:style>
  <w:style w:type="paragraph" w:styleId="ListBullet">
    <w:name w:val="List Bullet"/>
    <w:basedOn w:val="Normal"/>
    <w:uiPriority w:val="98"/>
    <w:semiHidden/>
    <w:rsid w:val="00BD2401"/>
    <w:pPr>
      <w:numPr>
        <w:numId w:val="10"/>
      </w:numPr>
    </w:pPr>
  </w:style>
  <w:style w:type="paragraph" w:styleId="ListBullet3">
    <w:name w:val="List Bullet 3"/>
    <w:basedOn w:val="Normal"/>
    <w:uiPriority w:val="98"/>
    <w:semiHidden/>
    <w:rsid w:val="00BD2401"/>
    <w:pPr>
      <w:numPr>
        <w:numId w:val="12"/>
      </w:numPr>
      <w:contextualSpacing/>
    </w:pPr>
  </w:style>
  <w:style w:type="character" w:customStyle="1" w:styleId="BodyText2Char">
    <w:name w:val="Body Text 2 Char"/>
    <w:basedOn w:val="DefaultParagraphFont"/>
    <w:link w:val="BodyText2"/>
    <w:uiPriority w:val="98"/>
    <w:semiHidden/>
    <w:rsid w:val="00BD2401"/>
    <w:rPr>
      <w:sz w:val="24"/>
      <w:szCs w:val="24"/>
      <w:lang w:val="en-GB"/>
    </w:rPr>
  </w:style>
  <w:style w:type="paragraph" w:styleId="BodyText3">
    <w:name w:val="Body Text 3"/>
    <w:basedOn w:val="Normal"/>
    <w:link w:val="BodyText3Char"/>
    <w:uiPriority w:val="98"/>
    <w:semiHidden/>
    <w:rsid w:val="00BD2401"/>
    <w:pPr>
      <w:spacing w:after="120"/>
    </w:pPr>
    <w:rPr>
      <w:sz w:val="16"/>
      <w:szCs w:val="16"/>
    </w:rPr>
  </w:style>
  <w:style w:type="character" w:customStyle="1" w:styleId="BodyText3Char">
    <w:name w:val="Body Text 3 Char"/>
    <w:basedOn w:val="DefaultParagraphFont"/>
    <w:link w:val="BodyText3"/>
    <w:uiPriority w:val="98"/>
    <w:semiHidden/>
    <w:rsid w:val="00BD2401"/>
    <w:rPr>
      <w:sz w:val="16"/>
      <w:szCs w:val="16"/>
      <w:lang w:val="en-GB"/>
    </w:rPr>
  </w:style>
  <w:style w:type="paragraph" w:styleId="BodyTextFirstIndent">
    <w:name w:val="Body Text First Indent"/>
    <w:basedOn w:val="BodyText"/>
    <w:link w:val="BodyTextFirstIndentChar"/>
    <w:uiPriority w:val="98"/>
    <w:semiHidden/>
    <w:rsid w:val="00BD2401"/>
    <w:pPr>
      <w:spacing w:after="0"/>
      <w:ind w:firstLine="360"/>
    </w:pPr>
  </w:style>
  <w:style w:type="character" w:customStyle="1" w:styleId="BodyTextFirstIndentChar">
    <w:name w:val="Body Text First Indent Char"/>
    <w:basedOn w:val="BodyTextChar"/>
    <w:link w:val="BodyTextFirstIndent"/>
    <w:uiPriority w:val="98"/>
    <w:semiHidden/>
    <w:rsid w:val="00BD2401"/>
    <w:rPr>
      <w:sz w:val="24"/>
      <w:szCs w:val="24"/>
      <w:lang w:val="en-GB"/>
    </w:rPr>
  </w:style>
  <w:style w:type="paragraph" w:styleId="BodyTextIndent">
    <w:name w:val="Body Text Indent"/>
    <w:basedOn w:val="Normal"/>
    <w:link w:val="BodyTextIndentChar"/>
    <w:uiPriority w:val="98"/>
    <w:semiHidden/>
    <w:rsid w:val="00BD2401"/>
    <w:pPr>
      <w:spacing w:after="120"/>
      <w:ind w:left="283"/>
    </w:pPr>
  </w:style>
  <w:style w:type="character" w:customStyle="1" w:styleId="BodyTextIndentChar">
    <w:name w:val="Body Text Indent Char"/>
    <w:basedOn w:val="DefaultParagraphFont"/>
    <w:link w:val="BodyTextIndent"/>
    <w:uiPriority w:val="98"/>
    <w:semiHidden/>
    <w:rsid w:val="00BD2401"/>
    <w:rPr>
      <w:sz w:val="24"/>
      <w:szCs w:val="24"/>
      <w:lang w:val="en-GB"/>
    </w:rPr>
  </w:style>
  <w:style w:type="paragraph" w:styleId="BodyTextFirstIndent2">
    <w:name w:val="Body Text First Indent 2"/>
    <w:basedOn w:val="BodyTextIndent"/>
    <w:link w:val="BodyTextFirstIndent2Char"/>
    <w:uiPriority w:val="98"/>
    <w:semiHidden/>
    <w:rsid w:val="00BD24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2401"/>
    <w:rPr>
      <w:sz w:val="24"/>
      <w:szCs w:val="24"/>
      <w:lang w:val="en-GB"/>
    </w:rPr>
  </w:style>
  <w:style w:type="paragraph" w:styleId="BodyTextIndent2">
    <w:name w:val="Body Text Indent 2"/>
    <w:basedOn w:val="Normal"/>
    <w:link w:val="BodyTextIndent2Char"/>
    <w:uiPriority w:val="98"/>
    <w:semiHidden/>
    <w:rsid w:val="00BD2401"/>
    <w:pPr>
      <w:spacing w:after="120" w:line="480" w:lineRule="auto"/>
      <w:ind w:left="283"/>
    </w:pPr>
  </w:style>
  <w:style w:type="character" w:customStyle="1" w:styleId="BodyTextIndent2Char">
    <w:name w:val="Body Text Indent 2 Char"/>
    <w:basedOn w:val="DefaultParagraphFont"/>
    <w:link w:val="BodyTextIndent2"/>
    <w:uiPriority w:val="98"/>
    <w:semiHidden/>
    <w:rsid w:val="00BD2401"/>
    <w:rPr>
      <w:sz w:val="24"/>
      <w:szCs w:val="24"/>
      <w:lang w:val="en-GB"/>
    </w:rPr>
  </w:style>
  <w:style w:type="paragraph" w:styleId="BodyTextIndent3">
    <w:name w:val="Body Text Indent 3"/>
    <w:basedOn w:val="Normal"/>
    <w:link w:val="BodyTextIndent3Char"/>
    <w:uiPriority w:val="98"/>
    <w:semiHidden/>
    <w:rsid w:val="00BD24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2401"/>
    <w:rPr>
      <w:sz w:val="16"/>
      <w:szCs w:val="16"/>
      <w:lang w:val="en-GB"/>
    </w:rPr>
  </w:style>
  <w:style w:type="paragraph" w:styleId="Caption">
    <w:name w:val="caption"/>
    <w:basedOn w:val="Normal"/>
    <w:next w:val="Normal"/>
    <w:uiPriority w:val="98"/>
    <w:semiHidden/>
    <w:qFormat/>
    <w:rsid w:val="00BD2401"/>
    <w:pPr>
      <w:spacing w:after="200"/>
    </w:pPr>
    <w:rPr>
      <w:b/>
      <w:bCs/>
      <w:color w:val="0072BC" w:themeColor="accent1"/>
      <w:sz w:val="18"/>
      <w:szCs w:val="18"/>
    </w:rPr>
  </w:style>
  <w:style w:type="paragraph" w:styleId="Closing">
    <w:name w:val="Closing"/>
    <w:basedOn w:val="Normal"/>
    <w:link w:val="ClosingChar"/>
    <w:uiPriority w:val="98"/>
    <w:semiHidden/>
    <w:rsid w:val="00BD2401"/>
    <w:pPr>
      <w:ind w:left="4252"/>
    </w:pPr>
  </w:style>
  <w:style w:type="character" w:customStyle="1" w:styleId="ClosingChar">
    <w:name w:val="Closing Char"/>
    <w:basedOn w:val="DefaultParagraphFont"/>
    <w:link w:val="Closing"/>
    <w:uiPriority w:val="98"/>
    <w:semiHidden/>
    <w:rsid w:val="00BD2401"/>
    <w:rPr>
      <w:sz w:val="24"/>
      <w:szCs w:val="24"/>
      <w:lang w:val="en-GB"/>
    </w:rPr>
  </w:style>
  <w:style w:type="table" w:styleId="ColorfulGrid">
    <w:name w:val="Colorful Grid"/>
    <w:basedOn w:val="TableNormal"/>
    <w:uiPriority w:val="73"/>
    <w:semiHidden/>
    <w:rsid w:val="00BD24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24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24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24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24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24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24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24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24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24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24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24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24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24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24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24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24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24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24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24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24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D2401"/>
    <w:rPr>
      <w:sz w:val="16"/>
      <w:szCs w:val="16"/>
    </w:rPr>
  </w:style>
  <w:style w:type="paragraph" w:styleId="CommentText">
    <w:name w:val="annotation text"/>
    <w:basedOn w:val="Normal"/>
    <w:link w:val="CommentTextChar"/>
    <w:uiPriority w:val="98"/>
    <w:semiHidden/>
    <w:rsid w:val="00BD2401"/>
    <w:rPr>
      <w:sz w:val="20"/>
      <w:szCs w:val="20"/>
    </w:rPr>
  </w:style>
  <w:style w:type="character" w:customStyle="1" w:styleId="CommentTextChar">
    <w:name w:val="Comment Text Char"/>
    <w:basedOn w:val="DefaultParagraphFont"/>
    <w:link w:val="CommentText"/>
    <w:uiPriority w:val="98"/>
    <w:semiHidden/>
    <w:rsid w:val="00BD2401"/>
    <w:rPr>
      <w:sz w:val="20"/>
      <w:szCs w:val="20"/>
      <w:lang w:val="en-GB"/>
    </w:rPr>
  </w:style>
  <w:style w:type="paragraph" w:styleId="CommentSubject">
    <w:name w:val="annotation subject"/>
    <w:basedOn w:val="CommentText"/>
    <w:next w:val="CommentText"/>
    <w:link w:val="CommentSubjectChar"/>
    <w:uiPriority w:val="98"/>
    <w:semiHidden/>
    <w:rsid w:val="00BD2401"/>
    <w:rPr>
      <w:b/>
      <w:bCs/>
    </w:rPr>
  </w:style>
  <w:style w:type="character" w:customStyle="1" w:styleId="CommentSubjectChar">
    <w:name w:val="Comment Subject Char"/>
    <w:basedOn w:val="CommentTextChar"/>
    <w:link w:val="CommentSubject"/>
    <w:uiPriority w:val="98"/>
    <w:semiHidden/>
    <w:rsid w:val="00BD2401"/>
    <w:rPr>
      <w:b/>
      <w:bCs/>
      <w:sz w:val="20"/>
      <w:szCs w:val="20"/>
      <w:lang w:val="en-GB"/>
    </w:rPr>
  </w:style>
  <w:style w:type="table" w:styleId="DarkList">
    <w:name w:val="Dark List"/>
    <w:basedOn w:val="TableNormal"/>
    <w:uiPriority w:val="70"/>
    <w:semiHidden/>
    <w:rsid w:val="00BD24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24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24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24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24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24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24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2401"/>
  </w:style>
  <w:style w:type="character" w:customStyle="1" w:styleId="DateChar">
    <w:name w:val="Date Char"/>
    <w:basedOn w:val="DefaultParagraphFont"/>
    <w:link w:val="Date"/>
    <w:uiPriority w:val="98"/>
    <w:semiHidden/>
    <w:rsid w:val="00BD2401"/>
    <w:rPr>
      <w:sz w:val="24"/>
      <w:szCs w:val="24"/>
      <w:lang w:val="en-GB"/>
    </w:rPr>
  </w:style>
  <w:style w:type="paragraph" w:styleId="DocumentMap">
    <w:name w:val="Document Map"/>
    <w:basedOn w:val="Normal"/>
    <w:link w:val="DocumentMapChar"/>
    <w:uiPriority w:val="98"/>
    <w:semiHidden/>
    <w:rsid w:val="00BD2401"/>
    <w:rPr>
      <w:rFonts w:ascii="Tahoma" w:hAnsi="Tahoma" w:cs="Tahoma"/>
      <w:sz w:val="16"/>
      <w:szCs w:val="16"/>
    </w:rPr>
  </w:style>
  <w:style w:type="character" w:customStyle="1" w:styleId="DocumentMapChar">
    <w:name w:val="Document Map Char"/>
    <w:basedOn w:val="DefaultParagraphFont"/>
    <w:link w:val="DocumentMap"/>
    <w:uiPriority w:val="98"/>
    <w:semiHidden/>
    <w:rsid w:val="00BD2401"/>
    <w:rPr>
      <w:rFonts w:ascii="Tahoma" w:hAnsi="Tahoma" w:cs="Tahoma"/>
      <w:sz w:val="16"/>
      <w:szCs w:val="16"/>
      <w:lang w:val="en-GB"/>
    </w:rPr>
  </w:style>
  <w:style w:type="paragraph" w:styleId="E-mailSignature">
    <w:name w:val="E-mail Signature"/>
    <w:basedOn w:val="Normal"/>
    <w:link w:val="E-mailSignatureChar"/>
    <w:uiPriority w:val="98"/>
    <w:semiHidden/>
    <w:rsid w:val="00BD2401"/>
  </w:style>
  <w:style w:type="character" w:customStyle="1" w:styleId="E-mailSignatureChar">
    <w:name w:val="E-mail Signature Char"/>
    <w:basedOn w:val="DefaultParagraphFont"/>
    <w:link w:val="E-mailSignature"/>
    <w:uiPriority w:val="98"/>
    <w:semiHidden/>
    <w:rsid w:val="00BD2401"/>
    <w:rPr>
      <w:sz w:val="24"/>
      <w:szCs w:val="24"/>
      <w:lang w:val="en-GB"/>
    </w:rPr>
  </w:style>
  <w:style w:type="character" w:styleId="EndnoteReference">
    <w:name w:val="endnote reference"/>
    <w:basedOn w:val="DefaultParagraphFont"/>
    <w:uiPriority w:val="98"/>
    <w:semiHidden/>
    <w:rsid w:val="00BD2401"/>
    <w:rPr>
      <w:vertAlign w:val="superscript"/>
    </w:rPr>
  </w:style>
  <w:style w:type="paragraph" w:styleId="EndnoteText">
    <w:name w:val="endnote text"/>
    <w:basedOn w:val="Normal"/>
    <w:link w:val="EndnoteTextChar"/>
    <w:uiPriority w:val="98"/>
    <w:semiHidden/>
    <w:rsid w:val="00BD2401"/>
    <w:rPr>
      <w:sz w:val="20"/>
      <w:szCs w:val="20"/>
    </w:rPr>
  </w:style>
  <w:style w:type="character" w:customStyle="1" w:styleId="EndnoteTextChar">
    <w:name w:val="Endnote Text Char"/>
    <w:basedOn w:val="DefaultParagraphFont"/>
    <w:link w:val="EndnoteText"/>
    <w:uiPriority w:val="98"/>
    <w:semiHidden/>
    <w:rsid w:val="00BD2401"/>
    <w:rPr>
      <w:sz w:val="20"/>
      <w:szCs w:val="20"/>
      <w:lang w:val="en-GB"/>
    </w:rPr>
  </w:style>
  <w:style w:type="paragraph" w:styleId="EnvelopeAddress">
    <w:name w:val="envelope address"/>
    <w:basedOn w:val="Normal"/>
    <w:uiPriority w:val="98"/>
    <w:semiHidden/>
    <w:rsid w:val="00BD24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24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2401"/>
    <w:rPr>
      <w:color w:val="7030A0" w:themeColor="followedHyperlink"/>
      <w:u w:val="single"/>
    </w:rPr>
  </w:style>
  <w:style w:type="character" w:styleId="HTMLAcronym">
    <w:name w:val="HTML Acronym"/>
    <w:basedOn w:val="DefaultParagraphFont"/>
    <w:uiPriority w:val="98"/>
    <w:semiHidden/>
    <w:rsid w:val="00BD2401"/>
  </w:style>
  <w:style w:type="paragraph" w:styleId="HTMLAddress">
    <w:name w:val="HTML Address"/>
    <w:basedOn w:val="Normal"/>
    <w:link w:val="HTMLAddressChar"/>
    <w:uiPriority w:val="98"/>
    <w:semiHidden/>
    <w:rsid w:val="00BD2401"/>
    <w:rPr>
      <w:i/>
      <w:iCs/>
    </w:rPr>
  </w:style>
  <w:style w:type="character" w:customStyle="1" w:styleId="HTMLAddressChar">
    <w:name w:val="HTML Address Char"/>
    <w:basedOn w:val="DefaultParagraphFont"/>
    <w:link w:val="HTMLAddress"/>
    <w:uiPriority w:val="98"/>
    <w:semiHidden/>
    <w:rsid w:val="00BD2401"/>
    <w:rPr>
      <w:i/>
      <w:iCs/>
      <w:sz w:val="24"/>
      <w:szCs w:val="24"/>
      <w:lang w:val="en-GB"/>
    </w:rPr>
  </w:style>
  <w:style w:type="character" w:styleId="HTMLCite">
    <w:name w:val="HTML Cite"/>
    <w:basedOn w:val="DefaultParagraphFont"/>
    <w:uiPriority w:val="98"/>
    <w:semiHidden/>
    <w:rsid w:val="00BD2401"/>
    <w:rPr>
      <w:i/>
      <w:iCs/>
    </w:rPr>
  </w:style>
  <w:style w:type="character" w:styleId="HTMLCode">
    <w:name w:val="HTML Code"/>
    <w:basedOn w:val="DefaultParagraphFont"/>
    <w:uiPriority w:val="98"/>
    <w:semiHidden/>
    <w:rsid w:val="00BD2401"/>
    <w:rPr>
      <w:rFonts w:ascii="Consolas" w:hAnsi="Consolas" w:cs="Consolas"/>
      <w:sz w:val="20"/>
      <w:szCs w:val="20"/>
    </w:rPr>
  </w:style>
  <w:style w:type="character" w:styleId="HTMLDefinition">
    <w:name w:val="HTML Definition"/>
    <w:basedOn w:val="DefaultParagraphFont"/>
    <w:uiPriority w:val="98"/>
    <w:semiHidden/>
    <w:rsid w:val="00BD2401"/>
    <w:rPr>
      <w:i/>
      <w:iCs/>
    </w:rPr>
  </w:style>
  <w:style w:type="character" w:styleId="HTMLKeyboard">
    <w:name w:val="HTML Keyboard"/>
    <w:basedOn w:val="DefaultParagraphFont"/>
    <w:uiPriority w:val="98"/>
    <w:semiHidden/>
    <w:rsid w:val="00BD2401"/>
    <w:rPr>
      <w:rFonts w:ascii="Consolas" w:hAnsi="Consolas" w:cs="Consolas"/>
      <w:sz w:val="20"/>
      <w:szCs w:val="20"/>
    </w:rPr>
  </w:style>
  <w:style w:type="paragraph" w:styleId="HTMLPreformatted">
    <w:name w:val="HTML Preformatted"/>
    <w:basedOn w:val="Normal"/>
    <w:link w:val="HTMLPreformattedChar"/>
    <w:uiPriority w:val="98"/>
    <w:semiHidden/>
    <w:rsid w:val="00BD24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2401"/>
    <w:rPr>
      <w:rFonts w:ascii="Consolas" w:hAnsi="Consolas" w:cs="Consolas"/>
      <w:sz w:val="20"/>
      <w:szCs w:val="20"/>
      <w:lang w:val="en-GB"/>
    </w:rPr>
  </w:style>
  <w:style w:type="character" w:styleId="HTMLSample">
    <w:name w:val="HTML Sample"/>
    <w:basedOn w:val="DefaultParagraphFont"/>
    <w:uiPriority w:val="98"/>
    <w:semiHidden/>
    <w:rsid w:val="00BD2401"/>
    <w:rPr>
      <w:rFonts w:ascii="Consolas" w:hAnsi="Consolas" w:cs="Consolas"/>
      <w:sz w:val="24"/>
      <w:szCs w:val="24"/>
    </w:rPr>
  </w:style>
  <w:style w:type="character" w:styleId="HTMLTypewriter">
    <w:name w:val="HTML Typewriter"/>
    <w:basedOn w:val="DefaultParagraphFont"/>
    <w:uiPriority w:val="98"/>
    <w:semiHidden/>
    <w:rsid w:val="00BD2401"/>
    <w:rPr>
      <w:rFonts w:ascii="Consolas" w:hAnsi="Consolas" w:cs="Consolas"/>
      <w:sz w:val="20"/>
      <w:szCs w:val="20"/>
    </w:rPr>
  </w:style>
  <w:style w:type="character" w:styleId="HTMLVariable">
    <w:name w:val="HTML Variable"/>
    <w:basedOn w:val="DefaultParagraphFont"/>
    <w:uiPriority w:val="98"/>
    <w:semiHidden/>
    <w:rsid w:val="00BD2401"/>
    <w:rPr>
      <w:i/>
      <w:iCs/>
    </w:rPr>
  </w:style>
  <w:style w:type="paragraph" w:styleId="Index1">
    <w:name w:val="index 1"/>
    <w:basedOn w:val="Normal"/>
    <w:next w:val="Normal"/>
    <w:autoRedefine/>
    <w:uiPriority w:val="98"/>
    <w:semiHidden/>
    <w:rsid w:val="00BD2401"/>
    <w:pPr>
      <w:ind w:left="240" w:hanging="240"/>
    </w:pPr>
  </w:style>
  <w:style w:type="paragraph" w:styleId="Index2">
    <w:name w:val="index 2"/>
    <w:basedOn w:val="Normal"/>
    <w:next w:val="Normal"/>
    <w:autoRedefine/>
    <w:uiPriority w:val="98"/>
    <w:semiHidden/>
    <w:rsid w:val="00BD2401"/>
    <w:pPr>
      <w:ind w:left="480" w:hanging="240"/>
    </w:pPr>
  </w:style>
  <w:style w:type="paragraph" w:styleId="Index3">
    <w:name w:val="index 3"/>
    <w:basedOn w:val="Normal"/>
    <w:next w:val="Normal"/>
    <w:autoRedefine/>
    <w:uiPriority w:val="98"/>
    <w:semiHidden/>
    <w:rsid w:val="00BD2401"/>
    <w:pPr>
      <w:ind w:left="720" w:hanging="240"/>
    </w:pPr>
  </w:style>
  <w:style w:type="paragraph" w:styleId="Index4">
    <w:name w:val="index 4"/>
    <w:basedOn w:val="Normal"/>
    <w:next w:val="Normal"/>
    <w:autoRedefine/>
    <w:uiPriority w:val="98"/>
    <w:semiHidden/>
    <w:rsid w:val="00BD2401"/>
    <w:pPr>
      <w:ind w:left="960" w:hanging="240"/>
    </w:pPr>
  </w:style>
  <w:style w:type="paragraph" w:styleId="Index5">
    <w:name w:val="index 5"/>
    <w:basedOn w:val="Normal"/>
    <w:next w:val="Normal"/>
    <w:autoRedefine/>
    <w:uiPriority w:val="98"/>
    <w:semiHidden/>
    <w:rsid w:val="00BD2401"/>
    <w:pPr>
      <w:ind w:left="1200" w:hanging="240"/>
    </w:pPr>
  </w:style>
  <w:style w:type="paragraph" w:styleId="Index6">
    <w:name w:val="index 6"/>
    <w:basedOn w:val="Normal"/>
    <w:next w:val="Normal"/>
    <w:autoRedefine/>
    <w:uiPriority w:val="98"/>
    <w:semiHidden/>
    <w:rsid w:val="00BD2401"/>
    <w:pPr>
      <w:ind w:left="1440" w:hanging="240"/>
    </w:pPr>
  </w:style>
  <w:style w:type="paragraph" w:styleId="Index7">
    <w:name w:val="index 7"/>
    <w:basedOn w:val="Normal"/>
    <w:next w:val="Normal"/>
    <w:autoRedefine/>
    <w:uiPriority w:val="98"/>
    <w:semiHidden/>
    <w:rsid w:val="00BD2401"/>
    <w:pPr>
      <w:ind w:left="1680" w:hanging="240"/>
    </w:pPr>
  </w:style>
  <w:style w:type="paragraph" w:styleId="Index8">
    <w:name w:val="index 8"/>
    <w:basedOn w:val="Normal"/>
    <w:next w:val="Normal"/>
    <w:autoRedefine/>
    <w:uiPriority w:val="98"/>
    <w:semiHidden/>
    <w:rsid w:val="00BD2401"/>
    <w:pPr>
      <w:ind w:left="1920" w:hanging="240"/>
    </w:pPr>
  </w:style>
  <w:style w:type="paragraph" w:styleId="Index9">
    <w:name w:val="index 9"/>
    <w:basedOn w:val="Normal"/>
    <w:next w:val="Normal"/>
    <w:autoRedefine/>
    <w:uiPriority w:val="98"/>
    <w:semiHidden/>
    <w:rsid w:val="00BD2401"/>
    <w:pPr>
      <w:ind w:left="2160" w:hanging="240"/>
    </w:pPr>
  </w:style>
  <w:style w:type="paragraph" w:styleId="IndexHeading">
    <w:name w:val="index heading"/>
    <w:basedOn w:val="Normal"/>
    <w:next w:val="Index1"/>
    <w:uiPriority w:val="98"/>
    <w:semiHidden/>
    <w:rsid w:val="00BD2401"/>
    <w:rPr>
      <w:rFonts w:asciiTheme="majorHAnsi" w:eastAsiaTheme="majorEastAsia" w:hAnsiTheme="majorHAnsi" w:cstheme="majorBidi"/>
      <w:b/>
      <w:bCs/>
    </w:rPr>
  </w:style>
  <w:style w:type="table" w:styleId="LightGrid">
    <w:name w:val="Light Grid"/>
    <w:basedOn w:val="TableNormal"/>
    <w:uiPriority w:val="62"/>
    <w:semiHidden/>
    <w:rsid w:val="00BD24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24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24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24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24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24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24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24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24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24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24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24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24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24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24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24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24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24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24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24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24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2401"/>
  </w:style>
  <w:style w:type="paragraph" w:styleId="List">
    <w:name w:val="List"/>
    <w:basedOn w:val="Normal"/>
    <w:uiPriority w:val="98"/>
    <w:semiHidden/>
    <w:rsid w:val="00BD2401"/>
    <w:pPr>
      <w:ind w:left="283" w:hanging="283"/>
      <w:contextualSpacing/>
    </w:pPr>
  </w:style>
  <w:style w:type="paragraph" w:styleId="List2">
    <w:name w:val="List 2"/>
    <w:basedOn w:val="Normal"/>
    <w:uiPriority w:val="98"/>
    <w:semiHidden/>
    <w:rsid w:val="00BD2401"/>
    <w:pPr>
      <w:ind w:left="566" w:hanging="283"/>
      <w:contextualSpacing/>
    </w:pPr>
  </w:style>
  <w:style w:type="paragraph" w:styleId="List3">
    <w:name w:val="List 3"/>
    <w:basedOn w:val="Normal"/>
    <w:uiPriority w:val="98"/>
    <w:semiHidden/>
    <w:rsid w:val="00BD2401"/>
    <w:pPr>
      <w:ind w:left="849" w:hanging="283"/>
      <w:contextualSpacing/>
    </w:pPr>
  </w:style>
  <w:style w:type="paragraph" w:styleId="List4">
    <w:name w:val="List 4"/>
    <w:basedOn w:val="Normal"/>
    <w:uiPriority w:val="98"/>
    <w:semiHidden/>
    <w:rsid w:val="00BD2401"/>
    <w:pPr>
      <w:ind w:left="1132" w:hanging="283"/>
      <w:contextualSpacing/>
    </w:pPr>
  </w:style>
  <w:style w:type="paragraph" w:styleId="List5">
    <w:name w:val="List 5"/>
    <w:basedOn w:val="Normal"/>
    <w:uiPriority w:val="98"/>
    <w:semiHidden/>
    <w:rsid w:val="00BD2401"/>
    <w:pPr>
      <w:ind w:left="1415" w:hanging="283"/>
      <w:contextualSpacing/>
    </w:pPr>
  </w:style>
  <w:style w:type="paragraph" w:styleId="ListBullet2">
    <w:name w:val="List Bullet 2"/>
    <w:basedOn w:val="Normal"/>
    <w:uiPriority w:val="98"/>
    <w:semiHidden/>
    <w:rsid w:val="00BD2401"/>
    <w:pPr>
      <w:numPr>
        <w:numId w:val="11"/>
      </w:numPr>
      <w:contextualSpacing/>
    </w:pPr>
  </w:style>
  <w:style w:type="paragraph" w:styleId="ListBullet4">
    <w:name w:val="List Bullet 4"/>
    <w:basedOn w:val="Normal"/>
    <w:uiPriority w:val="98"/>
    <w:semiHidden/>
    <w:rsid w:val="00BD2401"/>
    <w:pPr>
      <w:numPr>
        <w:numId w:val="13"/>
      </w:numPr>
      <w:contextualSpacing/>
    </w:pPr>
  </w:style>
  <w:style w:type="paragraph" w:styleId="ListBullet5">
    <w:name w:val="List Bullet 5"/>
    <w:basedOn w:val="Normal"/>
    <w:uiPriority w:val="98"/>
    <w:semiHidden/>
    <w:rsid w:val="00BD2401"/>
    <w:pPr>
      <w:numPr>
        <w:numId w:val="14"/>
      </w:numPr>
      <w:contextualSpacing/>
    </w:pPr>
  </w:style>
  <w:style w:type="paragraph" w:styleId="ListContinue">
    <w:name w:val="List Continue"/>
    <w:basedOn w:val="Normal"/>
    <w:uiPriority w:val="98"/>
    <w:semiHidden/>
    <w:rsid w:val="00BD2401"/>
    <w:pPr>
      <w:spacing w:after="120"/>
      <w:ind w:left="283"/>
      <w:contextualSpacing/>
    </w:pPr>
  </w:style>
  <w:style w:type="paragraph" w:styleId="ListContinue2">
    <w:name w:val="List Continue 2"/>
    <w:basedOn w:val="Normal"/>
    <w:uiPriority w:val="98"/>
    <w:semiHidden/>
    <w:rsid w:val="00BD2401"/>
    <w:pPr>
      <w:spacing w:after="120"/>
      <w:ind w:left="566"/>
      <w:contextualSpacing/>
    </w:pPr>
  </w:style>
  <w:style w:type="paragraph" w:styleId="ListContinue3">
    <w:name w:val="List Continue 3"/>
    <w:basedOn w:val="Normal"/>
    <w:uiPriority w:val="98"/>
    <w:semiHidden/>
    <w:rsid w:val="00BD2401"/>
    <w:pPr>
      <w:spacing w:after="120"/>
      <w:ind w:left="849"/>
      <w:contextualSpacing/>
    </w:pPr>
  </w:style>
  <w:style w:type="paragraph" w:styleId="ListContinue4">
    <w:name w:val="List Continue 4"/>
    <w:basedOn w:val="Normal"/>
    <w:uiPriority w:val="98"/>
    <w:semiHidden/>
    <w:rsid w:val="00BD2401"/>
    <w:pPr>
      <w:spacing w:after="120"/>
      <w:ind w:left="1132"/>
      <w:contextualSpacing/>
    </w:pPr>
  </w:style>
  <w:style w:type="paragraph" w:styleId="ListContinue5">
    <w:name w:val="List Continue 5"/>
    <w:basedOn w:val="Normal"/>
    <w:uiPriority w:val="98"/>
    <w:semiHidden/>
    <w:rsid w:val="00BD2401"/>
    <w:pPr>
      <w:spacing w:after="120"/>
      <w:ind w:left="1415"/>
      <w:contextualSpacing/>
    </w:pPr>
  </w:style>
  <w:style w:type="paragraph" w:styleId="ListNumber">
    <w:name w:val="List Number"/>
    <w:basedOn w:val="Normal"/>
    <w:uiPriority w:val="98"/>
    <w:semiHidden/>
    <w:rsid w:val="00BD2401"/>
    <w:pPr>
      <w:numPr>
        <w:numId w:val="15"/>
      </w:numPr>
      <w:contextualSpacing/>
    </w:pPr>
  </w:style>
  <w:style w:type="paragraph" w:styleId="ListNumber2">
    <w:name w:val="List Number 2"/>
    <w:basedOn w:val="Normal"/>
    <w:uiPriority w:val="98"/>
    <w:semiHidden/>
    <w:rsid w:val="00BD2401"/>
    <w:pPr>
      <w:numPr>
        <w:numId w:val="16"/>
      </w:numPr>
      <w:contextualSpacing/>
    </w:pPr>
  </w:style>
  <w:style w:type="paragraph" w:styleId="ListNumber3">
    <w:name w:val="List Number 3"/>
    <w:basedOn w:val="Normal"/>
    <w:uiPriority w:val="98"/>
    <w:semiHidden/>
    <w:rsid w:val="00BD2401"/>
    <w:pPr>
      <w:numPr>
        <w:numId w:val="17"/>
      </w:numPr>
      <w:contextualSpacing/>
    </w:pPr>
  </w:style>
  <w:style w:type="paragraph" w:styleId="ListNumber4">
    <w:name w:val="List Number 4"/>
    <w:basedOn w:val="Normal"/>
    <w:uiPriority w:val="98"/>
    <w:semiHidden/>
    <w:rsid w:val="00BD2401"/>
    <w:pPr>
      <w:numPr>
        <w:numId w:val="18"/>
      </w:numPr>
      <w:contextualSpacing/>
    </w:pPr>
  </w:style>
  <w:style w:type="paragraph" w:styleId="ListNumber5">
    <w:name w:val="List Number 5"/>
    <w:basedOn w:val="Normal"/>
    <w:uiPriority w:val="98"/>
    <w:semiHidden/>
    <w:rsid w:val="00BD2401"/>
    <w:pPr>
      <w:numPr>
        <w:numId w:val="19"/>
      </w:numPr>
      <w:contextualSpacing/>
    </w:pPr>
  </w:style>
  <w:style w:type="paragraph" w:styleId="MacroText">
    <w:name w:val="macro"/>
    <w:link w:val="MacroTextChar"/>
    <w:uiPriority w:val="98"/>
    <w:semiHidden/>
    <w:rsid w:val="00BD24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2401"/>
    <w:rPr>
      <w:rFonts w:ascii="Consolas" w:eastAsiaTheme="minorEastAsia" w:hAnsi="Consolas" w:cs="Consolas"/>
      <w:sz w:val="20"/>
      <w:szCs w:val="20"/>
    </w:rPr>
  </w:style>
  <w:style w:type="table" w:styleId="MediumGrid1">
    <w:name w:val="Medium Grid 1"/>
    <w:basedOn w:val="TableNormal"/>
    <w:uiPriority w:val="67"/>
    <w:semiHidden/>
    <w:rsid w:val="00BD24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24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24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24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24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24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24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24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24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24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24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24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24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24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24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24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24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24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24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24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24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24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24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24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24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24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24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24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24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24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24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24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24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24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24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24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24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24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2401"/>
    <w:rPr>
      <w:rFonts w:ascii="Times New Roman" w:hAnsi="Times New Roman" w:cs="Times New Roman"/>
    </w:rPr>
  </w:style>
  <w:style w:type="paragraph" w:styleId="NormalIndent">
    <w:name w:val="Normal Indent"/>
    <w:basedOn w:val="Normal"/>
    <w:uiPriority w:val="98"/>
    <w:semiHidden/>
    <w:rsid w:val="00BD2401"/>
    <w:pPr>
      <w:ind w:left="720"/>
    </w:pPr>
  </w:style>
  <w:style w:type="character" w:styleId="PlaceholderText">
    <w:name w:val="Placeholder Text"/>
    <w:basedOn w:val="DefaultParagraphFont"/>
    <w:uiPriority w:val="98"/>
    <w:semiHidden/>
    <w:rsid w:val="00BD24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D2401"/>
    <w:rPr>
      <w:rFonts w:ascii="Consolas" w:hAnsi="Consolas" w:cs="Consolas"/>
      <w:sz w:val="21"/>
      <w:szCs w:val="21"/>
    </w:rPr>
  </w:style>
  <w:style w:type="character" w:customStyle="1" w:styleId="PlainTextChar">
    <w:name w:val="Plain Text Char"/>
    <w:basedOn w:val="DefaultParagraphFont"/>
    <w:link w:val="PlainText"/>
    <w:uiPriority w:val="98"/>
    <w:semiHidden/>
    <w:rsid w:val="00BD2401"/>
    <w:rPr>
      <w:rFonts w:ascii="Consolas" w:hAnsi="Consolas" w:cs="Consolas"/>
      <w:sz w:val="21"/>
      <w:szCs w:val="21"/>
      <w:lang w:val="en-GB"/>
    </w:rPr>
  </w:style>
  <w:style w:type="paragraph" w:styleId="Salutation">
    <w:name w:val="Salutation"/>
    <w:basedOn w:val="Normal"/>
    <w:next w:val="Normal"/>
    <w:link w:val="SalutationChar"/>
    <w:uiPriority w:val="98"/>
    <w:semiHidden/>
    <w:rsid w:val="00BD2401"/>
  </w:style>
  <w:style w:type="character" w:customStyle="1" w:styleId="SalutationChar">
    <w:name w:val="Salutation Char"/>
    <w:basedOn w:val="DefaultParagraphFont"/>
    <w:link w:val="Salutation"/>
    <w:uiPriority w:val="98"/>
    <w:semiHidden/>
    <w:rsid w:val="00BD2401"/>
    <w:rPr>
      <w:sz w:val="24"/>
      <w:szCs w:val="24"/>
      <w:lang w:val="en-GB"/>
    </w:rPr>
  </w:style>
  <w:style w:type="paragraph" w:styleId="Signature">
    <w:name w:val="Signature"/>
    <w:basedOn w:val="Normal"/>
    <w:link w:val="SignatureChar"/>
    <w:uiPriority w:val="98"/>
    <w:semiHidden/>
    <w:rsid w:val="00BD2401"/>
    <w:pPr>
      <w:ind w:left="4252"/>
    </w:pPr>
  </w:style>
  <w:style w:type="character" w:customStyle="1" w:styleId="SignatureChar">
    <w:name w:val="Signature Char"/>
    <w:basedOn w:val="DefaultParagraphFont"/>
    <w:link w:val="Signature"/>
    <w:uiPriority w:val="98"/>
    <w:semiHidden/>
    <w:rsid w:val="00BD2401"/>
    <w:rPr>
      <w:sz w:val="24"/>
      <w:szCs w:val="24"/>
      <w:lang w:val="en-GB"/>
    </w:rPr>
  </w:style>
  <w:style w:type="table" w:styleId="Table3Deffects1">
    <w:name w:val="Table 3D effects 1"/>
    <w:basedOn w:val="TableNormal"/>
    <w:uiPriority w:val="99"/>
    <w:semiHidden/>
    <w:unhideWhenUsed/>
    <w:rsid w:val="00BD24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24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24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24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24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24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24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24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24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24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24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24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24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24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24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24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24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24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24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24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24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24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24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24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24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24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24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24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24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24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24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24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24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2401"/>
    <w:pPr>
      <w:ind w:left="240" w:hanging="240"/>
    </w:pPr>
  </w:style>
  <w:style w:type="paragraph" w:styleId="TableofFigures">
    <w:name w:val="table of figures"/>
    <w:basedOn w:val="Normal"/>
    <w:next w:val="Normal"/>
    <w:uiPriority w:val="98"/>
    <w:semiHidden/>
    <w:rsid w:val="00BD2401"/>
  </w:style>
  <w:style w:type="table" w:styleId="TableProfessional">
    <w:name w:val="Table Professional"/>
    <w:basedOn w:val="TableNormal"/>
    <w:uiPriority w:val="99"/>
    <w:semiHidden/>
    <w:unhideWhenUsed/>
    <w:rsid w:val="00BD24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24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24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24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24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24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24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24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24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24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24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24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2401"/>
    <w:pPr>
      <w:spacing w:after="100"/>
      <w:ind w:left="1680"/>
    </w:pPr>
  </w:style>
  <w:style w:type="paragraph" w:styleId="TOC9">
    <w:name w:val="toc 9"/>
    <w:basedOn w:val="Normal"/>
    <w:next w:val="Normal"/>
    <w:autoRedefine/>
    <w:uiPriority w:val="98"/>
    <w:semiHidden/>
    <w:rsid w:val="00BD2401"/>
    <w:pPr>
      <w:spacing w:after="100"/>
      <w:ind w:left="1920"/>
    </w:pPr>
  </w:style>
  <w:style w:type="paragraph" w:customStyle="1" w:styleId="DecHTitle">
    <w:name w:val="Dec_H_Title"/>
    <w:aliases w:val="_Title_1"/>
    <w:basedOn w:val="JuPara"/>
    <w:next w:val="JuPara"/>
    <w:uiPriority w:val="38"/>
    <w:qFormat/>
    <w:rsid w:val="00BD2401"/>
    <w:pPr>
      <w:keepNext/>
      <w:keepLines/>
      <w:spacing w:after="240"/>
      <w:ind w:firstLine="0"/>
      <w:jc w:val="center"/>
      <w:outlineLvl w:val="0"/>
    </w:pPr>
    <w:rPr>
      <w:rFonts w:asciiTheme="majorHAnsi" w:hAnsiTheme="majorHAnsi"/>
      <w:sz w:val="28"/>
    </w:rPr>
  </w:style>
  <w:style w:type="paragraph" w:customStyle="1" w:styleId="ECHRBullet4">
    <w:name w:val="ECHR_Bullet_4"/>
    <w:aliases w:val="_Bul_4"/>
    <w:basedOn w:val="ECHRBullet3"/>
    <w:uiPriority w:val="23"/>
    <w:semiHidden/>
    <w:rsid w:val="00BD2401"/>
    <w:pPr>
      <w:numPr>
        <w:ilvl w:val="3"/>
      </w:numPr>
    </w:pPr>
  </w:style>
  <w:style w:type="paragraph" w:customStyle="1" w:styleId="ECHRFooter">
    <w:name w:val="ECHR_Footer"/>
    <w:aliases w:val="Footer_ECHR"/>
    <w:basedOn w:val="Footer"/>
    <w:uiPriority w:val="57"/>
    <w:semiHidden/>
    <w:rsid w:val="0064393B"/>
    <w:rPr>
      <w:sz w:val="8"/>
    </w:rPr>
  </w:style>
  <w:style w:type="paragraph" w:customStyle="1" w:styleId="FooterLine">
    <w:name w:val="_Footer_Line"/>
    <w:aliases w:val="Footer_Line"/>
    <w:basedOn w:val="Normal"/>
    <w:next w:val="Footer0"/>
    <w:uiPriority w:val="57"/>
    <w:semiHidden/>
    <w:rsid w:val="00BD24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D2401"/>
    <w:pPr>
      <w:keepNext/>
      <w:keepLines/>
      <w:spacing w:after="280"/>
      <w:ind w:firstLine="0"/>
      <w:jc w:val="center"/>
    </w:pPr>
    <w:rPr>
      <w:rFonts w:asciiTheme="majorHAnsi" w:hAnsiTheme="majorHAnsi"/>
    </w:rPr>
  </w:style>
  <w:style w:type="paragraph" w:customStyle="1" w:styleId="ECHRConfidential">
    <w:name w:val="ECHR_Confidential"/>
    <w:aliases w:val="_Confidential"/>
    <w:basedOn w:val="Normal"/>
    <w:next w:val="Normal"/>
    <w:uiPriority w:val="42"/>
    <w:semiHidden/>
    <w:qFormat/>
    <w:rsid w:val="00BD2401"/>
    <w:pPr>
      <w:jc w:val="right"/>
    </w:pPr>
    <w:rPr>
      <w:color w:val="C00000"/>
      <w:sz w:val="20"/>
    </w:rPr>
  </w:style>
  <w:style w:type="paragraph" w:customStyle="1" w:styleId="JuHeaderLandscape">
    <w:name w:val="Ju_Header_Landscape"/>
    <w:basedOn w:val="JuHeader"/>
    <w:uiPriority w:val="4"/>
    <w:qFormat/>
    <w:rsid w:val="0064393B"/>
    <w:pPr>
      <w:tabs>
        <w:tab w:val="center" w:pos="6146"/>
        <w:tab w:val="right" w:pos="12293"/>
      </w:tabs>
    </w:pPr>
  </w:style>
  <w:style w:type="paragraph" w:customStyle="1" w:styleId="JuTitle">
    <w:name w:val="Ju_Title"/>
    <w:aliases w:val="_Title_2"/>
    <w:basedOn w:val="Normal"/>
    <w:next w:val="JuPara"/>
    <w:uiPriority w:val="38"/>
    <w:qFormat/>
    <w:rsid w:val="00BD2401"/>
    <w:pPr>
      <w:keepNext/>
      <w:keepLines/>
      <w:spacing w:before="1320" w:after="280"/>
      <w:contextualSpacing/>
      <w:jc w:val="center"/>
    </w:pPr>
    <w:rPr>
      <w:b/>
    </w:rPr>
  </w:style>
  <w:style w:type="character" w:customStyle="1" w:styleId="ECHRParaChar">
    <w:name w:val="ECHR_Para Char"/>
    <w:aliases w:val="Ju_Para Char"/>
    <w:link w:val="JuPara"/>
    <w:uiPriority w:val="4"/>
    <w:rsid w:val="005B2B44"/>
    <w:rPr>
      <w:sz w:val="24"/>
      <w:szCs w:val="24"/>
      <w:lang w:val="en-GB"/>
    </w:rPr>
  </w:style>
  <w:style w:type="paragraph" w:customStyle="1" w:styleId="NormalJustified">
    <w:name w:val="Normal_Justified"/>
    <w:basedOn w:val="Normal"/>
    <w:semiHidden/>
    <w:rsid w:val="00BD2401"/>
    <w:pPr>
      <w:jc w:val="both"/>
    </w:pPr>
  </w:style>
  <w:style w:type="paragraph" w:customStyle="1" w:styleId="ECHRDivisionName">
    <w:name w:val="ECHR_DivisionName"/>
    <w:aliases w:val="_Div_Name"/>
    <w:basedOn w:val="Normal"/>
    <w:link w:val="ECHRDivisionNameChar"/>
    <w:uiPriority w:val="41"/>
    <w:semiHidden/>
    <w:qFormat/>
    <w:rsid w:val="00BD24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2401"/>
    <w:rPr>
      <w:rFonts w:ascii="Arial" w:hAnsi="Arial"/>
      <w:i/>
      <w:color w:val="0072BC" w:themeColor="accent1"/>
      <w:sz w:val="32"/>
      <w:szCs w:val="24"/>
      <w:lang w:val="en-GB"/>
    </w:rPr>
  </w:style>
  <w:style w:type="paragraph" w:customStyle="1" w:styleId="DummyStyle">
    <w:name w:val="Dummy_Style"/>
    <w:aliases w:val="_Dummy"/>
    <w:basedOn w:val="Normal"/>
    <w:semiHidden/>
    <w:qFormat/>
    <w:rsid w:val="00BD2401"/>
    <w:rPr>
      <w:color w:val="00B050"/>
      <w:sz w:val="22"/>
    </w:rPr>
  </w:style>
  <w:style w:type="paragraph" w:customStyle="1" w:styleId="ECHRFooterLineLandscape">
    <w:name w:val="ECHR_Footer_Line_Landscape"/>
    <w:aliases w:val="_Footer_Line_Landscape"/>
    <w:basedOn w:val="Normal"/>
    <w:uiPriority w:val="30"/>
    <w:semiHidden/>
    <w:rsid w:val="00BD24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BD2401"/>
    <w:pPr>
      <w:ind w:left="567" w:hanging="567"/>
    </w:pPr>
  </w:style>
  <w:style w:type="paragraph" w:customStyle="1" w:styleId="ECHRHeading9">
    <w:name w:val="ECHR_Heading_9"/>
    <w:aliases w:val="_Head_9"/>
    <w:basedOn w:val="Heading9"/>
    <w:next w:val="Normal"/>
    <w:uiPriority w:val="19"/>
    <w:semiHidden/>
    <w:rsid w:val="00BD2401"/>
    <w:pPr>
      <w:numPr>
        <w:numId w:val="2"/>
      </w:numPr>
    </w:pPr>
    <w:rPr>
      <w:i w:val="0"/>
      <w:sz w:val="18"/>
    </w:rPr>
  </w:style>
  <w:style w:type="paragraph" w:customStyle="1" w:styleId="ECHRParaIndent">
    <w:name w:val="ECHR_Para_Indent"/>
    <w:aliases w:val="_Indent"/>
    <w:basedOn w:val="Normal"/>
    <w:uiPriority w:val="7"/>
    <w:semiHidden/>
    <w:qFormat/>
    <w:rsid w:val="00BD2401"/>
    <w:pPr>
      <w:spacing w:before="120" w:after="120"/>
      <w:ind w:left="284"/>
    </w:pPr>
  </w:style>
  <w:style w:type="paragraph" w:customStyle="1" w:styleId="JuJudges">
    <w:name w:val="Ju_Judges"/>
    <w:aliases w:val="_Judges"/>
    <w:basedOn w:val="Normal"/>
    <w:uiPriority w:val="32"/>
    <w:qFormat/>
    <w:rsid w:val="00BD2401"/>
    <w:pPr>
      <w:tabs>
        <w:tab w:val="left" w:pos="567"/>
        <w:tab w:val="left" w:pos="1134"/>
      </w:tabs>
    </w:pPr>
  </w:style>
  <w:style w:type="paragraph" w:customStyle="1" w:styleId="ECHRLine">
    <w:name w:val="ECHR_Line"/>
    <w:aliases w:val="_Line"/>
    <w:basedOn w:val="NormalJustified"/>
    <w:next w:val="Normal"/>
    <w:uiPriority w:val="46"/>
    <w:semiHidden/>
    <w:rsid w:val="00BD2401"/>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BD2401"/>
    <w:pPr>
      <w:ind w:left="284" w:firstLine="0"/>
    </w:pPr>
  </w:style>
  <w:style w:type="paragraph" w:customStyle="1" w:styleId="ECHRNumberedList1">
    <w:name w:val="ECHR_Numbered_List_1"/>
    <w:aliases w:val="_Num_1"/>
    <w:basedOn w:val="Normal"/>
    <w:uiPriority w:val="23"/>
    <w:semiHidden/>
    <w:qFormat/>
    <w:rsid w:val="00BD2401"/>
    <w:pPr>
      <w:numPr>
        <w:numId w:val="8"/>
      </w:numPr>
      <w:spacing w:before="60" w:after="60"/>
    </w:pPr>
  </w:style>
  <w:style w:type="paragraph" w:customStyle="1" w:styleId="ECHRNumberedList2">
    <w:name w:val="ECHR_Numbered_List_2"/>
    <w:aliases w:val="_Num_2"/>
    <w:basedOn w:val="ECHRNumberedList1"/>
    <w:uiPriority w:val="23"/>
    <w:semiHidden/>
    <w:rsid w:val="00BD2401"/>
    <w:pPr>
      <w:numPr>
        <w:ilvl w:val="1"/>
      </w:numPr>
    </w:pPr>
  </w:style>
  <w:style w:type="paragraph" w:customStyle="1" w:styleId="ECHRNumberedList3">
    <w:name w:val="ECHR_Numbered_List_3"/>
    <w:aliases w:val="_Num_3"/>
    <w:basedOn w:val="ECHRNumberedList2"/>
    <w:uiPriority w:val="23"/>
    <w:semiHidden/>
    <w:rsid w:val="00BD2401"/>
    <w:pPr>
      <w:numPr>
        <w:ilvl w:val="2"/>
      </w:numPr>
    </w:pPr>
  </w:style>
  <w:style w:type="character" w:customStyle="1" w:styleId="ECHRRed">
    <w:name w:val="ECHR_Red"/>
    <w:aliases w:val="_Red"/>
    <w:basedOn w:val="DefaultParagraphFont"/>
    <w:uiPriority w:val="15"/>
    <w:semiHidden/>
    <w:qFormat/>
    <w:rsid w:val="00BD2401"/>
    <w:rPr>
      <w:color w:val="C00000" w:themeColor="accent2"/>
    </w:rPr>
  </w:style>
  <w:style w:type="paragraph" w:customStyle="1" w:styleId="ECHRHeaderDate">
    <w:name w:val="ECHR_Header_Date"/>
    <w:aliases w:val="_Ref_Date"/>
    <w:basedOn w:val="Normal"/>
    <w:uiPriority w:val="44"/>
    <w:semiHidden/>
    <w:qFormat/>
    <w:rsid w:val="00BD2401"/>
    <w:pPr>
      <w:jc w:val="right"/>
    </w:pPr>
    <w:rPr>
      <w:sz w:val="20"/>
    </w:rPr>
  </w:style>
  <w:style w:type="paragraph" w:customStyle="1" w:styleId="ECHRHeaderRefIt">
    <w:name w:val="ECHR_Header_Ref_It"/>
    <w:aliases w:val="_Ref_Ital"/>
    <w:basedOn w:val="Normal"/>
    <w:next w:val="ECHRHeaderDate"/>
    <w:uiPriority w:val="43"/>
    <w:semiHidden/>
    <w:qFormat/>
    <w:rsid w:val="00BD2401"/>
    <w:pPr>
      <w:jc w:val="right"/>
    </w:pPr>
    <w:rPr>
      <w:i/>
      <w:sz w:val="20"/>
    </w:rPr>
  </w:style>
  <w:style w:type="paragraph" w:customStyle="1" w:styleId="ECHRSpacer">
    <w:name w:val="ECHR_Spacer"/>
    <w:aliases w:val="_Spacer"/>
    <w:basedOn w:val="Normal"/>
    <w:uiPriority w:val="45"/>
    <w:semiHidden/>
    <w:rsid w:val="00BD2401"/>
    <w:rPr>
      <w:sz w:val="4"/>
    </w:rPr>
  </w:style>
  <w:style w:type="paragraph" w:customStyle="1" w:styleId="ECHRCoverTitle4">
    <w:name w:val="ECHR_Cover_Title_4"/>
    <w:aliases w:val="_Title_4"/>
    <w:basedOn w:val="JuPara"/>
    <w:next w:val="JuPara"/>
    <w:uiPriority w:val="38"/>
    <w:qFormat/>
    <w:rsid w:val="00BD2401"/>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BD24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24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24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2401"/>
    <w:pPr>
      <w:outlineLvl w:val="0"/>
    </w:pPr>
  </w:style>
  <w:style w:type="paragraph" w:customStyle="1" w:styleId="ECHRTitle1">
    <w:name w:val="ECHR_Title_1"/>
    <w:aliases w:val="_Title_L_1"/>
    <w:basedOn w:val="Normal"/>
    <w:next w:val="Normal"/>
    <w:uiPriority w:val="28"/>
    <w:semiHidden/>
    <w:qFormat/>
    <w:rsid w:val="00BD24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24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2401"/>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BD2401"/>
    <w:pPr>
      <w:outlineLvl w:val="0"/>
    </w:pPr>
  </w:style>
  <w:style w:type="numbering" w:customStyle="1" w:styleId="ECHRA1StyleBulletedSquare">
    <w:name w:val="ECHR_A1_Style_Bulleted_Square"/>
    <w:basedOn w:val="NoList"/>
    <w:rsid w:val="00BD2401"/>
    <w:pPr>
      <w:numPr>
        <w:numId w:val="6"/>
      </w:numPr>
    </w:pPr>
  </w:style>
  <w:style w:type="numbering" w:customStyle="1" w:styleId="ECHRA1StyleList">
    <w:name w:val="ECHR_A1_Style_List"/>
    <w:basedOn w:val="NoList"/>
    <w:uiPriority w:val="99"/>
    <w:rsid w:val="00BD2401"/>
    <w:pPr>
      <w:numPr>
        <w:numId w:val="7"/>
      </w:numPr>
    </w:pPr>
  </w:style>
  <w:style w:type="numbering" w:customStyle="1" w:styleId="ECHRA1StyleNumberedList">
    <w:name w:val="ECHR_A1_Style_Numbered_List"/>
    <w:basedOn w:val="NoList"/>
    <w:rsid w:val="00BD2401"/>
    <w:pPr>
      <w:numPr>
        <w:numId w:val="8"/>
      </w:numPr>
    </w:pPr>
  </w:style>
  <w:style w:type="table" w:customStyle="1" w:styleId="ECHRTable2">
    <w:name w:val="ECHR_Table_2"/>
    <w:basedOn w:val="TableNormal"/>
    <w:uiPriority w:val="99"/>
    <w:rsid w:val="00BD24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24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BD24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BD2401"/>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D732D8-E3A1-4EF9-A4DE-9F17C4BC50BF}"/>
</file>

<file path=customXml/itemProps2.xml><?xml version="1.0" encoding="utf-8"?>
<ds:datastoreItem xmlns:ds="http://schemas.openxmlformats.org/officeDocument/2006/customXml" ds:itemID="{DD066D6A-098A-4B02-943D-DDBAEC8241AC}"/>
</file>

<file path=customXml/itemProps3.xml><?xml version="1.0" encoding="utf-8"?>
<ds:datastoreItem xmlns:ds="http://schemas.openxmlformats.org/officeDocument/2006/customXml" ds:itemID="{87C09A79-541A-4A12-9738-BF8FC7733454}"/>
</file>

<file path=customXml/itemProps4.xml><?xml version="1.0" encoding="utf-8"?>
<ds:datastoreItem xmlns:ds="http://schemas.openxmlformats.org/officeDocument/2006/customXml" ds:itemID="{ECF6C283-A27A-4C56-B28C-347D35AE9C22}"/>
</file>

<file path=docProps/app.xml><?xml version="1.0" encoding="utf-8"?>
<Properties xmlns="http://schemas.openxmlformats.org/officeDocument/2006/extended-properties" xmlns:vt="http://schemas.openxmlformats.org/officeDocument/2006/docPropsVTypes">
  <Template>Normal.dotm</Template>
  <TotalTime>0</TotalTime>
  <Pages>1</Pages>
  <Words>2467</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2020-02-13T08:50:00Z</dcterms:created>
  <dcterms:modified xsi:type="dcterms:W3CDTF">2020-02-13T08:50:00Z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26902/13</vt:lpwstr>
  </property>
  <property fmtid="{D5CDD505-2E9C-101B-9397-08002B2CF9AE}" pid="4" name="CASEID">
    <vt:lpwstr>877447</vt:lpwstr>
  </property>
  <property fmtid="{D5CDD505-2E9C-101B-9397-08002B2CF9AE}" pid="5" name="ContentTypeId">
    <vt:lpwstr>0x010100558EB02BDB9E204AB350EDD385B68E10</vt:lpwstr>
  </property>
</Properties>
</file>