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header3.xml" ContentType="application/vnd.openxmlformats-officedocument.wordprocessingml.header+xml"/>
  <Override PartName="/word/header5.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footer4.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B77D90" w:rsidR="009E7AAD" w:rsidP="00B77D90" w:rsidRDefault="009E7AAD">
      <w:pPr>
        <w:rPr>
          <w:rFonts w:ascii="Times New Roman" w:hAnsi="Times New Roman" w:cs="Times New Roman"/>
        </w:rPr>
      </w:pPr>
      <w:bookmarkStart w:name="_GoBack" w:id="0"/>
      <w:bookmarkEnd w:id="0"/>
    </w:p>
    <w:p w:rsidRPr="00B77D90" w:rsidR="00B77D90" w:rsidP="00B77D90" w:rsidRDefault="00B77D90">
      <w:pPr>
        <w:rPr>
          <w:rFonts w:ascii="Times New Roman" w:hAnsi="Times New Roman" w:cs="Times New Roman"/>
        </w:rPr>
      </w:pPr>
    </w:p>
    <w:p w:rsidRPr="00B77D90" w:rsidR="007A4070" w:rsidP="00B77D90" w:rsidRDefault="009E7AAD">
      <w:pPr>
        <w:pStyle w:val="DecHCase"/>
        <w:rPr>
          <w:lang w:val="fr-FR"/>
        </w:rPr>
      </w:pPr>
      <w:r w:rsidRPr="00B77D90">
        <w:rPr>
          <w:lang w:val="fr-FR"/>
        </w:rPr>
        <w:t>DEUXIÈME SECTION</w:t>
      </w:r>
    </w:p>
    <w:p w:rsidRPr="00B77D90" w:rsidR="007A4070" w:rsidP="00B77D90" w:rsidRDefault="007A4070">
      <w:pPr>
        <w:pStyle w:val="JuTitle"/>
        <w:rPr>
          <w:lang w:val="fr-FR"/>
        </w:rPr>
      </w:pPr>
      <w:r w:rsidRPr="00B77D90">
        <w:rPr>
          <w:lang w:val="fr-FR"/>
        </w:rPr>
        <w:t xml:space="preserve">AFFAIRE </w:t>
      </w:r>
      <w:r w:rsidRPr="00B77D90" w:rsidR="009E7AAD">
        <w:rPr>
          <w:lang w:val="fr-FR"/>
        </w:rPr>
        <w:t>BAYRAM c. TURQUIE</w:t>
      </w:r>
    </w:p>
    <w:p w:rsidRPr="00B77D90" w:rsidR="007A4070" w:rsidP="00B77D90" w:rsidRDefault="007A4070">
      <w:pPr>
        <w:pStyle w:val="ECHRCoverTitle4"/>
        <w:rPr>
          <w:lang w:val="fr-FR"/>
        </w:rPr>
      </w:pPr>
      <w:r w:rsidRPr="00B77D90">
        <w:rPr>
          <w:lang w:val="fr-FR"/>
        </w:rPr>
        <w:t>(</w:t>
      </w:r>
      <w:r w:rsidRPr="00B77D90" w:rsidR="009E7AAD">
        <w:rPr>
          <w:lang w:val="fr-FR"/>
        </w:rPr>
        <w:t>Requête n</w:t>
      </w:r>
      <w:r w:rsidRPr="00B77D90" w:rsidR="009E7AAD">
        <w:rPr>
          <w:vertAlign w:val="superscript"/>
          <w:lang w:val="fr-FR"/>
        </w:rPr>
        <w:t>o</w:t>
      </w:r>
      <w:r w:rsidRPr="00B77D90">
        <w:rPr>
          <w:lang w:val="fr-FR"/>
        </w:rPr>
        <w:t xml:space="preserve"> </w:t>
      </w:r>
      <w:r w:rsidRPr="00B77D90" w:rsidR="009E7AAD">
        <w:rPr>
          <w:lang w:val="fr-FR"/>
        </w:rPr>
        <w:t>7087/12</w:t>
      </w:r>
      <w:r w:rsidRPr="00B77D90">
        <w:rPr>
          <w:lang w:val="fr-FR"/>
        </w:rPr>
        <w:t>)</w:t>
      </w:r>
    </w:p>
    <w:p w:rsidRPr="00B77D90" w:rsidR="007A4070" w:rsidP="00B77D90" w:rsidRDefault="007A4070">
      <w:pPr>
        <w:pStyle w:val="DecHCase"/>
        <w:rPr>
          <w:lang w:val="fr-FR"/>
        </w:rPr>
      </w:pPr>
    </w:p>
    <w:p w:rsidRPr="00B77D90" w:rsidR="007A4070" w:rsidP="00B77D90" w:rsidRDefault="007A4070">
      <w:pPr>
        <w:pStyle w:val="DecHCase"/>
        <w:rPr>
          <w:lang w:val="fr-FR"/>
        </w:rPr>
      </w:pPr>
    </w:p>
    <w:p w:rsidRPr="00B77D90" w:rsidR="007A4070" w:rsidP="00B77D90" w:rsidRDefault="007A4070">
      <w:pPr>
        <w:pStyle w:val="DecHCase"/>
        <w:rPr>
          <w:lang w:val="fr-FR"/>
        </w:rPr>
      </w:pPr>
    </w:p>
    <w:p w:rsidRPr="00B77D90" w:rsidR="007A4070" w:rsidP="00B77D90" w:rsidRDefault="007A4070">
      <w:pPr>
        <w:pStyle w:val="DecHCase"/>
        <w:rPr>
          <w:lang w:val="fr-FR"/>
        </w:rPr>
      </w:pPr>
    </w:p>
    <w:p w:rsidRPr="00B77D90" w:rsidR="007A4070" w:rsidP="00B77D90" w:rsidRDefault="007A4070">
      <w:pPr>
        <w:pStyle w:val="DecHCase"/>
        <w:rPr>
          <w:lang w:val="fr-FR"/>
        </w:rPr>
      </w:pPr>
    </w:p>
    <w:p w:rsidRPr="00B77D90" w:rsidR="007A4070" w:rsidP="00B77D90" w:rsidRDefault="007A4070">
      <w:pPr>
        <w:pStyle w:val="DecHCase"/>
        <w:rPr>
          <w:lang w:val="fr-FR"/>
        </w:rPr>
      </w:pPr>
      <w:r w:rsidRPr="00B77D90">
        <w:rPr>
          <w:lang w:val="fr-FR"/>
        </w:rPr>
        <w:t>ARRÊT</w:t>
      </w:r>
      <w:r w:rsidRPr="00B77D90">
        <w:rPr>
          <w:lang w:val="fr-FR"/>
        </w:rPr>
        <w:br/>
      </w:r>
    </w:p>
    <w:p w:rsidRPr="00B77D90" w:rsidR="007A4070" w:rsidP="00B77D90" w:rsidRDefault="007A4070">
      <w:pPr>
        <w:pStyle w:val="DecHCase"/>
        <w:rPr>
          <w:lang w:val="fr-FR"/>
        </w:rPr>
      </w:pPr>
      <w:r w:rsidRPr="00B77D90">
        <w:rPr>
          <w:lang w:val="fr-FR"/>
        </w:rPr>
        <w:t>STRASBOURG</w:t>
      </w:r>
    </w:p>
    <w:p w:rsidRPr="00B77D90" w:rsidR="007A4070" w:rsidP="00B77D90" w:rsidRDefault="009E7AAD">
      <w:pPr>
        <w:pStyle w:val="DecHCase"/>
        <w:rPr>
          <w:lang w:val="fr-FR"/>
        </w:rPr>
      </w:pPr>
      <w:r w:rsidRPr="00B77D90">
        <w:rPr>
          <w:lang w:val="fr-FR"/>
        </w:rPr>
        <w:t>4 février 2020</w:t>
      </w:r>
    </w:p>
    <w:p w:rsidRPr="00B77D90" w:rsidR="007A4070" w:rsidP="00B77D90" w:rsidRDefault="007A4070">
      <w:pPr>
        <w:pStyle w:val="DecHCase"/>
        <w:rPr>
          <w:lang w:val="fr-FR"/>
        </w:rPr>
      </w:pPr>
    </w:p>
    <w:p w:rsidRPr="00B77D90" w:rsidR="00B77D90" w:rsidP="00B77D90" w:rsidRDefault="00B77D90">
      <w:pPr>
        <w:pStyle w:val="JuPara"/>
        <w:rPr>
          <w:lang w:val="fr-FR"/>
        </w:rPr>
      </w:pPr>
    </w:p>
    <w:p w:rsidRPr="00B77D90" w:rsidR="00B77D90" w:rsidP="00B77D90" w:rsidRDefault="00B77D90">
      <w:pPr>
        <w:pStyle w:val="JuPara"/>
        <w:rPr>
          <w:lang w:val="fr-FR"/>
        </w:rPr>
      </w:pPr>
    </w:p>
    <w:p w:rsidRPr="00B77D90" w:rsidR="00516B59" w:rsidP="00B77D90" w:rsidRDefault="007A4070">
      <w:pPr>
        <w:rPr>
          <w:rFonts w:ascii="Times New Roman" w:hAnsi="Times New Roman" w:cs="Times New Roman"/>
          <w:i/>
          <w:sz w:val="22"/>
          <w:lang w:val="fr-FR"/>
        </w:rPr>
      </w:pPr>
      <w:r w:rsidRPr="00B77D90">
        <w:rPr>
          <w:i/>
          <w:sz w:val="22"/>
          <w:lang w:val="fr-FR"/>
        </w:rPr>
        <w:t xml:space="preserve">Cet arrêt </w:t>
      </w:r>
      <w:r w:rsidRPr="00B77D90" w:rsidR="009E7AAD">
        <w:rPr>
          <w:i/>
          <w:sz w:val="22"/>
          <w:lang w:val="fr-FR"/>
        </w:rPr>
        <w:t>est définitif</w:t>
      </w:r>
      <w:r w:rsidRPr="00B77D90">
        <w:rPr>
          <w:i/>
          <w:sz w:val="22"/>
          <w:lang w:val="fr-FR"/>
        </w:rPr>
        <w:t>. Il peut subir des retouches de fo</w:t>
      </w:r>
      <w:r w:rsidRPr="00B77D90" w:rsidR="00516B59">
        <w:rPr>
          <w:rFonts w:ascii="Times New Roman" w:hAnsi="Times New Roman" w:cs="Times New Roman"/>
          <w:i/>
          <w:sz w:val="22"/>
          <w:lang w:val="fr-FR"/>
        </w:rPr>
        <w:t>rme.</w:t>
      </w:r>
    </w:p>
    <w:p w:rsidRPr="00B77D90" w:rsidR="00516B59" w:rsidP="00B77D90" w:rsidRDefault="00516B59">
      <w:pPr>
        <w:ind w:left="720"/>
        <w:rPr>
          <w:rFonts w:ascii="Times New Roman" w:hAnsi="Times New Roman" w:cs="Times New Roman"/>
          <w:sz w:val="22"/>
          <w:lang w:val="fr-FR"/>
        </w:rPr>
      </w:pPr>
    </w:p>
    <w:p w:rsidRPr="00B77D90" w:rsidR="00B77D90" w:rsidP="00B77D90" w:rsidRDefault="00B77D90">
      <w:pPr>
        <w:ind w:left="720"/>
        <w:rPr>
          <w:rFonts w:ascii="Times New Roman" w:hAnsi="Times New Roman" w:cs="Times New Roman"/>
          <w:sz w:val="22"/>
          <w:lang w:val="fr-FR"/>
        </w:rPr>
        <w:sectPr w:rsidRPr="00B77D90" w:rsidR="00B77D90">
          <w:headerReference w:type="even" r:id="rId8"/>
          <w:headerReference w:type="default" r:id="rId9"/>
          <w:footerReference w:type="even" r:id="rId10"/>
          <w:footerReference w:type="default" r:id="rId11"/>
          <w:headerReference w:type="first" r:id="rId12"/>
          <w:footerReference w:type="first" r:id="rId13"/>
          <w:footnotePr>
            <w:numRestart w:val="eachSect"/>
          </w:footnotePr>
          <w:pgSz w:w="11906" w:h="16838" w:code="9"/>
          <w:pgMar w:top="2274" w:right="2274" w:bottom="2274" w:left="2274" w:header="1701" w:footer="720" w:gutter="0"/>
          <w:pgNumType w:start="1"/>
          <w:cols w:space="720"/>
          <w:noEndnote/>
        </w:sectPr>
      </w:pPr>
    </w:p>
    <w:p w:rsidRPr="00B77D90" w:rsidR="004344E6" w:rsidP="00B77D90" w:rsidRDefault="004344E6">
      <w:pPr>
        <w:pStyle w:val="JuCase"/>
        <w:rPr>
          <w:lang w:val="fr-FR"/>
        </w:rPr>
      </w:pPr>
      <w:r w:rsidRPr="00B77D90">
        <w:rPr>
          <w:lang w:val="fr-FR"/>
        </w:rPr>
        <w:t>En l</w:t>
      </w:r>
      <w:r w:rsidRPr="00B77D90" w:rsidR="00B77D90">
        <w:rPr>
          <w:lang w:val="fr-FR"/>
        </w:rPr>
        <w:t>’</w:t>
      </w:r>
      <w:r w:rsidRPr="00B77D90">
        <w:rPr>
          <w:lang w:val="fr-FR"/>
        </w:rPr>
        <w:t xml:space="preserve">affaire </w:t>
      </w:r>
      <w:r w:rsidRPr="00B77D90" w:rsidR="009E7AAD">
        <w:rPr>
          <w:lang w:val="fr-FR"/>
        </w:rPr>
        <w:t>Bayram c. Turquie</w:t>
      </w:r>
      <w:r w:rsidRPr="00B77D90">
        <w:rPr>
          <w:lang w:val="fr-FR"/>
        </w:rPr>
        <w:t>,</w:t>
      </w:r>
    </w:p>
    <w:p w:rsidRPr="00B77D90" w:rsidR="004344E6" w:rsidP="00B77D90" w:rsidRDefault="004344E6">
      <w:pPr>
        <w:pStyle w:val="JuPara"/>
        <w:rPr>
          <w:lang w:val="fr-FR"/>
        </w:rPr>
      </w:pPr>
      <w:r w:rsidRPr="00B77D90">
        <w:rPr>
          <w:lang w:val="fr-FR"/>
        </w:rPr>
        <w:t>La Cour européenne des droits de l</w:t>
      </w:r>
      <w:r w:rsidRPr="00B77D90" w:rsidR="00B77D90">
        <w:rPr>
          <w:lang w:val="fr-FR"/>
        </w:rPr>
        <w:t>’</w:t>
      </w:r>
      <w:r w:rsidRPr="00B77D90">
        <w:rPr>
          <w:lang w:val="fr-FR"/>
        </w:rPr>
        <w:t>homme (</w:t>
      </w:r>
      <w:r w:rsidRPr="00B77D90" w:rsidR="009E7AAD">
        <w:rPr>
          <w:lang w:val="fr-FR"/>
        </w:rPr>
        <w:t>deuxième section</w:t>
      </w:r>
      <w:r w:rsidRPr="00B77D90">
        <w:rPr>
          <w:lang w:val="fr-FR"/>
        </w:rPr>
        <w:t xml:space="preserve">), siégeant en </w:t>
      </w:r>
      <w:r w:rsidRPr="00B77D90" w:rsidR="009E7AAD">
        <w:rPr>
          <w:color w:val="000000"/>
          <w:lang w:val="fr-FR"/>
        </w:rPr>
        <w:t xml:space="preserve">un </w:t>
      </w:r>
      <w:r w:rsidRPr="00B77D90" w:rsidR="009E7AAD">
        <w:rPr>
          <w:lang w:val="fr-FR"/>
        </w:rPr>
        <w:t>comité composé</w:t>
      </w:r>
      <w:r w:rsidRPr="00B77D90">
        <w:rPr>
          <w:lang w:val="fr-FR"/>
        </w:rPr>
        <w:t xml:space="preserve"> de :</w:t>
      </w:r>
    </w:p>
    <w:p w:rsidRPr="00B77D90" w:rsidR="004344E6" w:rsidP="00B77D90" w:rsidRDefault="00086F57">
      <w:pPr>
        <w:pStyle w:val="JuJudges"/>
        <w:rPr>
          <w:lang w:val="fr-FR"/>
        </w:rPr>
      </w:pPr>
      <w:r w:rsidRPr="00B77D90">
        <w:rPr>
          <w:lang w:val="fr-FR"/>
        </w:rPr>
        <w:tab/>
      </w:r>
      <w:proofErr w:type="spellStart"/>
      <w:r w:rsidRPr="00B77D90">
        <w:rPr>
          <w:lang w:val="fr-FR"/>
        </w:rPr>
        <w:t>Egidijus</w:t>
      </w:r>
      <w:proofErr w:type="spellEnd"/>
      <w:r w:rsidRPr="00B77D90">
        <w:rPr>
          <w:lang w:val="fr-FR"/>
        </w:rPr>
        <w:t xml:space="preserve"> </w:t>
      </w:r>
      <w:proofErr w:type="spellStart"/>
      <w:r w:rsidRPr="00B77D90">
        <w:rPr>
          <w:lang w:val="fr-FR"/>
        </w:rPr>
        <w:t>Kūris</w:t>
      </w:r>
      <w:proofErr w:type="spellEnd"/>
      <w:r w:rsidRPr="00B77D90">
        <w:rPr>
          <w:lang w:val="fr-FR"/>
        </w:rPr>
        <w:t>,</w:t>
      </w:r>
      <w:r w:rsidRPr="00B77D90">
        <w:rPr>
          <w:i/>
          <w:lang w:val="fr-FR"/>
        </w:rPr>
        <w:t xml:space="preserve"> président,</w:t>
      </w:r>
      <w:r w:rsidRPr="00B77D90">
        <w:rPr>
          <w:i/>
          <w:lang w:val="fr-FR"/>
        </w:rPr>
        <w:br/>
      </w:r>
      <w:r w:rsidRPr="00B77D90">
        <w:rPr>
          <w:lang w:val="fr-FR"/>
        </w:rPr>
        <w:tab/>
        <w:t xml:space="preserve">Ivana </w:t>
      </w:r>
      <w:proofErr w:type="spellStart"/>
      <w:r w:rsidRPr="00B77D90">
        <w:rPr>
          <w:lang w:val="fr-FR"/>
        </w:rPr>
        <w:t>Jelić</w:t>
      </w:r>
      <w:proofErr w:type="spellEnd"/>
      <w:r w:rsidRPr="00B77D90">
        <w:rPr>
          <w:lang w:val="fr-FR"/>
        </w:rPr>
        <w:t>,</w:t>
      </w:r>
      <w:r w:rsidRPr="00B77D90">
        <w:rPr>
          <w:i/>
          <w:lang w:val="fr-FR"/>
        </w:rPr>
        <w:br/>
      </w:r>
      <w:r w:rsidRPr="00B77D90">
        <w:rPr>
          <w:lang w:val="fr-FR"/>
        </w:rPr>
        <w:tab/>
      </w:r>
      <w:proofErr w:type="spellStart"/>
      <w:r w:rsidRPr="00B77D90">
        <w:rPr>
          <w:lang w:val="fr-FR"/>
        </w:rPr>
        <w:t>Darian</w:t>
      </w:r>
      <w:proofErr w:type="spellEnd"/>
      <w:r w:rsidRPr="00B77D90">
        <w:rPr>
          <w:lang w:val="fr-FR"/>
        </w:rPr>
        <w:t xml:space="preserve"> </w:t>
      </w:r>
      <w:proofErr w:type="spellStart"/>
      <w:r w:rsidRPr="00B77D90">
        <w:rPr>
          <w:lang w:val="fr-FR"/>
        </w:rPr>
        <w:t>Pavli</w:t>
      </w:r>
      <w:proofErr w:type="spellEnd"/>
      <w:r w:rsidRPr="00B77D90">
        <w:rPr>
          <w:lang w:val="fr-FR"/>
        </w:rPr>
        <w:t>,</w:t>
      </w:r>
      <w:r w:rsidRPr="00B77D90">
        <w:rPr>
          <w:i/>
          <w:lang w:val="fr-FR"/>
        </w:rPr>
        <w:t xml:space="preserve"> juges</w:t>
      </w:r>
      <w:proofErr w:type="gramStart"/>
      <w:r w:rsidRPr="00B77D90">
        <w:rPr>
          <w:i/>
          <w:lang w:val="fr-FR"/>
        </w:rPr>
        <w:t>,</w:t>
      </w:r>
      <w:proofErr w:type="gramEnd"/>
      <w:r w:rsidRPr="00B77D90" w:rsidR="004344E6">
        <w:rPr>
          <w:lang w:val="fr-FR"/>
        </w:rPr>
        <w:br/>
        <w:t xml:space="preserve">et de </w:t>
      </w:r>
      <w:r w:rsidRPr="00B77D90" w:rsidR="009E7AAD">
        <w:rPr>
          <w:lang w:val="fr-FR"/>
        </w:rPr>
        <w:t>Hasan Bakırcı</w:t>
      </w:r>
      <w:r w:rsidRPr="00B77D90" w:rsidR="004344E6">
        <w:rPr>
          <w:lang w:val="fr-FR"/>
        </w:rPr>
        <w:t xml:space="preserve">, </w:t>
      </w:r>
      <w:r w:rsidRPr="00B77D90" w:rsidR="009E7AAD">
        <w:rPr>
          <w:i/>
          <w:lang w:val="fr-FR"/>
        </w:rPr>
        <w:t>greffier adjoint</w:t>
      </w:r>
      <w:r w:rsidRPr="00B77D90" w:rsidR="009E7AAD">
        <w:rPr>
          <w:iCs/>
          <w:lang w:val="fr-FR"/>
        </w:rPr>
        <w:t xml:space="preserve"> </w:t>
      </w:r>
      <w:r w:rsidRPr="00B77D90" w:rsidR="009E7AAD">
        <w:rPr>
          <w:i/>
          <w:iCs/>
          <w:lang w:val="fr-FR"/>
        </w:rPr>
        <w:t>d</w:t>
      </w:r>
      <w:r w:rsidRPr="00B77D90" w:rsidR="009E7AAD">
        <w:rPr>
          <w:i/>
          <w:lang w:val="fr-FR"/>
        </w:rPr>
        <w:t>e section</w:t>
      </w:r>
      <w:r w:rsidRPr="00B77D90" w:rsidR="004344E6">
        <w:rPr>
          <w:lang w:val="fr-FR"/>
        </w:rPr>
        <w:t>,</w:t>
      </w:r>
    </w:p>
    <w:p w:rsidRPr="00B77D90" w:rsidR="004344E6" w:rsidP="00B77D90" w:rsidRDefault="004344E6">
      <w:pPr>
        <w:pStyle w:val="JuPara"/>
        <w:rPr>
          <w:lang w:val="fr-FR"/>
        </w:rPr>
      </w:pPr>
      <w:bookmarkStart w:name="ITMARKHavingStart" w:id="1"/>
      <w:bookmarkEnd w:id="1"/>
      <w:r w:rsidRPr="00B77D90">
        <w:rPr>
          <w:lang w:val="fr-FR"/>
        </w:rPr>
        <w:t xml:space="preserve">Après en avoir délibéré en chambre du conseil le </w:t>
      </w:r>
      <w:r w:rsidRPr="00B77D90" w:rsidR="009E7AAD">
        <w:rPr>
          <w:lang w:val="fr-FR"/>
        </w:rPr>
        <w:t>14 janvier 2020</w:t>
      </w:r>
      <w:r w:rsidRPr="00B77D90">
        <w:rPr>
          <w:lang w:val="fr-FR"/>
        </w:rPr>
        <w:t>,</w:t>
      </w:r>
    </w:p>
    <w:p w:rsidRPr="00B77D90" w:rsidR="00876F03" w:rsidP="00B77D90" w:rsidRDefault="004344E6">
      <w:pPr>
        <w:pStyle w:val="JuPara"/>
        <w:rPr>
          <w:lang w:val="fr-FR"/>
        </w:rPr>
      </w:pPr>
      <w:r w:rsidRPr="00B77D90">
        <w:rPr>
          <w:lang w:val="fr-FR"/>
        </w:rPr>
        <w:t>Rend l</w:t>
      </w:r>
      <w:r w:rsidRPr="00B77D90" w:rsidR="00B77D90">
        <w:rPr>
          <w:lang w:val="fr-FR"/>
        </w:rPr>
        <w:t>’</w:t>
      </w:r>
      <w:r w:rsidRPr="00B77D90">
        <w:rPr>
          <w:lang w:val="fr-FR"/>
        </w:rPr>
        <w:t>arrêt que voici</w:t>
      </w:r>
      <w:r w:rsidRPr="00B77D90" w:rsidR="00876F03">
        <w:rPr>
          <w:lang w:val="fr-FR"/>
        </w:rPr>
        <w:t>, adopté à cette date :</w:t>
      </w:r>
    </w:p>
    <w:p w:rsidRPr="00B77D90" w:rsidR="009E7AAD" w:rsidP="00B77D90" w:rsidRDefault="009E7AAD">
      <w:pPr>
        <w:pStyle w:val="JuHHead"/>
        <w:jc w:val="left"/>
      </w:pPr>
      <w:r w:rsidRPr="00B77D90">
        <w:t>PROCÉDURE</w:t>
      </w:r>
    </w:p>
    <w:p w:rsidRPr="00B77D90" w:rsidR="009E7AAD" w:rsidP="00B77D90" w:rsidRDefault="009E7AAD">
      <w:pPr>
        <w:pStyle w:val="JuPara"/>
        <w:rPr>
          <w:lang w:val="fr-FR"/>
        </w:rPr>
      </w:pPr>
      <w:r w:rsidRPr="00B77D90">
        <w:rPr>
          <w:lang w:val="fr-FR"/>
        </w:rPr>
        <w:t>1.  À l</w:t>
      </w:r>
      <w:r w:rsidRPr="00B77D90" w:rsidR="00B77D90">
        <w:rPr>
          <w:lang w:val="fr-FR"/>
        </w:rPr>
        <w:t>’</w:t>
      </w:r>
      <w:r w:rsidRPr="00B77D90">
        <w:rPr>
          <w:lang w:val="fr-FR"/>
        </w:rPr>
        <w:t>origine de l</w:t>
      </w:r>
      <w:r w:rsidRPr="00B77D90" w:rsidR="00B77D90">
        <w:rPr>
          <w:lang w:val="fr-FR"/>
        </w:rPr>
        <w:t>’</w:t>
      </w:r>
      <w:r w:rsidRPr="00B77D90">
        <w:rPr>
          <w:lang w:val="fr-FR"/>
        </w:rPr>
        <w:t>affaire se trouve une requête (n</w:t>
      </w:r>
      <w:r w:rsidRPr="00B77D90">
        <w:rPr>
          <w:vertAlign w:val="superscript"/>
          <w:lang w:val="fr-FR"/>
        </w:rPr>
        <w:t xml:space="preserve">o </w:t>
      </w:r>
      <w:r w:rsidRPr="00B77D90">
        <w:rPr>
          <w:lang w:val="fr-FR"/>
        </w:rPr>
        <w:t>7087/12) dirigée contre la République de Turquie et dont un ressortissant de cet État, M. Fikret Bayram (« le requérant »), a saisi la Cour le 28 novembre 2011 en vertu de l</w:t>
      </w:r>
      <w:r w:rsidRPr="00B77D90" w:rsidR="00B77D90">
        <w:rPr>
          <w:lang w:val="fr-FR"/>
        </w:rPr>
        <w:t>’</w:t>
      </w:r>
      <w:r w:rsidRPr="00B77D90">
        <w:rPr>
          <w:lang w:val="fr-FR"/>
        </w:rPr>
        <w:t>article 34 de la Convention de sauvegarde des droits de l</w:t>
      </w:r>
      <w:r w:rsidRPr="00B77D90" w:rsidR="00B77D90">
        <w:rPr>
          <w:lang w:val="fr-FR"/>
        </w:rPr>
        <w:t>’</w:t>
      </w:r>
      <w:r w:rsidRPr="00B77D90">
        <w:rPr>
          <w:lang w:val="fr-FR"/>
        </w:rPr>
        <w:t>homme et des libertés fondamentales (« la Convention »).</w:t>
      </w:r>
    </w:p>
    <w:p w:rsidRPr="00B77D90" w:rsidR="009E7AAD" w:rsidP="00B77D90" w:rsidRDefault="009E7AAD">
      <w:pPr>
        <w:pStyle w:val="JuPara"/>
        <w:rPr>
          <w:lang w:val="fr-FR"/>
        </w:rPr>
      </w:pPr>
      <w:r w:rsidRPr="00B77D90">
        <w:rPr>
          <w:lang w:val="fr-FR"/>
        </w:rPr>
        <w:t>2.  Le 3 juillet 2017, les griefs concernant les conditions de détention du requérant ont été communiqués au gouvernement défendeur (« le Gouvernement ») et la requête a été déclarée irrecevable pour le surplus conformément à l</w:t>
      </w:r>
      <w:r w:rsidRPr="00B77D90" w:rsidR="00B77D90">
        <w:rPr>
          <w:lang w:val="fr-FR"/>
        </w:rPr>
        <w:t>’</w:t>
      </w:r>
      <w:r w:rsidRPr="00B77D90">
        <w:rPr>
          <w:lang w:val="fr-FR"/>
        </w:rPr>
        <w:t>article 54 § 3 du règlement de la Cour.</w:t>
      </w:r>
    </w:p>
    <w:p w:rsidRPr="00B77D90" w:rsidR="009E7AAD" w:rsidP="00B77D90" w:rsidRDefault="009E7AAD">
      <w:pPr>
        <w:pStyle w:val="JuPara"/>
        <w:rPr>
          <w:lang w:val="fr-FR"/>
        </w:rPr>
      </w:pPr>
      <w:bookmarkStart w:name="representation" w:id="2"/>
      <w:r w:rsidRPr="00B77D90">
        <w:rPr>
          <w:lang w:val="fr-FR"/>
        </w:rPr>
        <w:t>3</w:t>
      </w:r>
      <w:bookmarkEnd w:id="2"/>
      <w:r w:rsidRPr="00B77D90">
        <w:rPr>
          <w:lang w:val="fr-FR"/>
        </w:rPr>
        <w:t>.  Le même jour, faisant application de l</w:t>
      </w:r>
      <w:r w:rsidRPr="00B77D90" w:rsidR="00B77D90">
        <w:rPr>
          <w:lang w:val="fr-FR"/>
        </w:rPr>
        <w:t>’</w:t>
      </w:r>
      <w:r w:rsidRPr="00B77D90">
        <w:rPr>
          <w:lang w:val="fr-FR"/>
        </w:rPr>
        <w:t xml:space="preserve">article 36 § 2 </w:t>
      </w:r>
      <w:r w:rsidRPr="00B77D90">
        <w:rPr>
          <w:i/>
          <w:lang w:val="fr-FR"/>
        </w:rPr>
        <w:t>in fine</w:t>
      </w:r>
      <w:r w:rsidRPr="00B77D90">
        <w:rPr>
          <w:lang w:val="fr-FR"/>
        </w:rPr>
        <w:t xml:space="preserve"> du règlement de la Cour, le président de la section à laquelle l</w:t>
      </w:r>
      <w:r w:rsidRPr="00B77D90" w:rsidR="00B77D90">
        <w:rPr>
          <w:lang w:val="fr-FR"/>
        </w:rPr>
        <w:t>’</w:t>
      </w:r>
      <w:r w:rsidRPr="00B77D90">
        <w:rPr>
          <w:lang w:val="fr-FR"/>
        </w:rPr>
        <w:t>affaire avait été attribuée a autorisé le requérant à se représenter lui-même. Le 13 février 2018, M</w:t>
      </w:r>
      <w:r w:rsidRPr="00B77D90">
        <w:rPr>
          <w:vertAlign w:val="superscript"/>
          <w:lang w:val="fr-FR"/>
        </w:rPr>
        <w:t>e</w:t>
      </w:r>
      <w:r w:rsidRPr="00B77D90">
        <w:rPr>
          <w:lang w:val="fr-FR"/>
        </w:rPr>
        <w:t xml:space="preserve"> S. </w:t>
      </w:r>
      <w:proofErr w:type="spellStart"/>
      <w:r w:rsidRPr="00B77D90">
        <w:rPr>
          <w:lang w:val="fr-FR"/>
        </w:rPr>
        <w:t>Ramanlı</w:t>
      </w:r>
      <w:proofErr w:type="spellEnd"/>
      <w:r w:rsidRPr="00B77D90">
        <w:rPr>
          <w:lang w:val="fr-FR"/>
        </w:rPr>
        <w:t>, avocat à Batman, a produit un mandat dûment signé par le requérant et par lui-même, ainsi que les observations et la demande de satisfaction équitable du requérant.</w:t>
      </w:r>
    </w:p>
    <w:p w:rsidRPr="00B77D90" w:rsidR="009E7AAD" w:rsidP="00B77D90" w:rsidRDefault="009E7AAD">
      <w:pPr>
        <w:pStyle w:val="JuPara"/>
        <w:rPr>
          <w:lang w:val="fr-FR"/>
        </w:rPr>
      </w:pPr>
      <w:r w:rsidRPr="00B77D90">
        <w:rPr>
          <w:lang w:val="fr-FR"/>
        </w:rPr>
        <w:t>4.  Le Gouvernement a été représenté par son agent.</w:t>
      </w:r>
    </w:p>
    <w:p w:rsidRPr="00B77D90" w:rsidR="009E7AAD" w:rsidP="00B77D90" w:rsidRDefault="009E7AAD">
      <w:pPr>
        <w:pStyle w:val="JuPara"/>
        <w:rPr>
          <w:lang w:val="fr-FR" w:eastAsia="en-GB"/>
        </w:rPr>
      </w:pPr>
      <w:r w:rsidRPr="00B77D90">
        <w:rPr>
          <w:lang w:val="fr-FR"/>
        </w:rPr>
        <w:t>5.  Le Gouvernement s</w:t>
      </w:r>
      <w:r w:rsidRPr="00B77D90" w:rsidR="00B77D90">
        <w:rPr>
          <w:lang w:val="fr-FR"/>
        </w:rPr>
        <w:t>’</w:t>
      </w:r>
      <w:r w:rsidRPr="00B77D90">
        <w:rPr>
          <w:lang w:val="fr-FR"/>
        </w:rPr>
        <w:t>oppose à l</w:t>
      </w:r>
      <w:r w:rsidRPr="00B77D90" w:rsidR="00B77D90">
        <w:rPr>
          <w:lang w:val="fr-FR"/>
        </w:rPr>
        <w:t>’</w:t>
      </w:r>
      <w:r w:rsidRPr="00B77D90">
        <w:rPr>
          <w:lang w:val="fr-FR"/>
        </w:rPr>
        <w:t>examen de la requête par un comité. Après avoir examiné l</w:t>
      </w:r>
      <w:r w:rsidRPr="00B77D90" w:rsidR="00B77D90">
        <w:rPr>
          <w:lang w:val="fr-FR"/>
        </w:rPr>
        <w:t>’</w:t>
      </w:r>
      <w:r w:rsidRPr="00B77D90">
        <w:rPr>
          <w:lang w:val="fr-FR"/>
        </w:rPr>
        <w:t>objection du Gouvernement, la Cour la rejette.</w:t>
      </w:r>
    </w:p>
    <w:p w:rsidRPr="00B77D90" w:rsidR="009E7AAD" w:rsidP="00B77D90" w:rsidRDefault="009E7AAD">
      <w:pPr>
        <w:pStyle w:val="JuHHead"/>
        <w:tabs>
          <w:tab w:val="left" w:pos="5387"/>
        </w:tabs>
        <w:jc w:val="left"/>
      </w:pPr>
      <w:r w:rsidRPr="00B77D90">
        <w:t>EN FAIT</w:t>
      </w:r>
    </w:p>
    <w:p w:rsidRPr="00B77D90" w:rsidR="009E7AAD" w:rsidP="00B77D90" w:rsidRDefault="009E7AAD">
      <w:pPr>
        <w:pStyle w:val="JuHIRoman"/>
        <w:jc w:val="left"/>
      </w:pPr>
      <w:r w:rsidRPr="00B77D90">
        <w:t>LES CIRCONSTANCES DE L</w:t>
      </w:r>
      <w:r w:rsidRPr="00B77D90" w:rsidR="00B77D90">
        <w:t>’</w:t>
      </w:r>
      <w:r w:rsidRPr="00B77D90">
        <w:t>ESPÈCE</w:t>
      </w:r>
    </w:p>
    <w:p w:rsidRPr="00B77D90" w:rsidR="009E7AAD" w:rsidP="00B77D90" w:rsidRDefault="009E7AAD">
      <w:pPr>
        <w:pStyle w:val="JuPara"/>
        <w:rPr>
          <w:lang w:val="fr-FR"/>
        </w:rPr>
      </w:pPr>
      <w:r w:rsidRPr="00B77D90">
        <w:rPr>
          <w:lang w:val="fr-FR"/>
        </w:rPr>
        <w:t>6.  Le requérant est né en 1972 et réside à Batman.</w:t>
      </w:r>
    </w:p>
    <w:p w:rsidRPr="00B77D90" w:rsidR="009E7AAD" w:rsidP="00B77D90" w:rsidRDefault="009E7AAD">
      <w:pPr>
        <w:pStyle w:val="JuHA"/>
        <w:jc w:val="left"/>
      </w:pPr>
      <w:proofErr w:type="spellStart"/>
      <w:r w:rsidRPr="00B77D90">
        <w:t>Contexte</w:t>
      </w:r>
      <w:proofErr w:type="spellEnd"/>
      <w:r w:rsidRPr="00B77D90">
        <w:t xml:space="preserve"> de </w:t>
      </w:r>
      <w:proofErr w:type="spellStart"/>
      <w:r w:rsidRPr="00B77D90">
        <w:t>l</w:t>
      </w:r>
      <w:r w:rsidRPr="00B77D90" w:rsidR="00B77D90">
        <w:t>’</w:t>
      </w:r>
      <w:r w:rsidRPr="00B77D90">
        <w:t>affaire</w:t>
      </w:r>
      <w:proofErr w:type="spellEnd"/>
    </w:p>
    <w:p w:rsidRPr="00B77D90" w:rsidR="009E7AAD" w:rsidP="00B77D90" w:rsidRDefault="009E7AAD">
      <w:pPr>
        <w:pStyle w:val="JuPara"/>
        <w:rPr>
          <w:lang w:val="fr-FR"/>
        </w:rPr>
      </w:pPr>
      <w:bookmarkStart w:name="contexte" w:id="3"/>
      <w:r w:rsidRPr="00B77D90">
        <w:rPr>
          <w:lang w:val="fr-FR"/>
        </w:rPr>
        <w:t>7</w:t>
      </w:r>
      <w:bookmarkEnd w:id="3"/>
      <w:r w:rsidRPr="00B77D90">
        <w:rPr>
          <w:lang w:val="fr-FR"/>
        </w:rPr>
        <w:t>.  Entre 1990 et 1992, le requérant participa à plusieurs actes terroristes, dont trois homicides, commis au nom d</w:t>
      </w:r>
      <w:r w:rsidRPr="00B77D90" w:rsidR="00B77D90">
        <w:rPr>
          <w:lang w:val="fr-FR"/>
        </w:rPr>
        <w:t>’</w:t>
      </w:r>
      <w:r w:rsidRPr="00B77D90">
        <w:rPr>
          <w:lang w:val="fr-FR"/>
        </w:rPr>
        <w:t xml:space="preserve">une organisation illégale, le </w:t>
      </w:r>
      <w:r w:rsidRPr="00B77D90">
        <w:rPr>
          <w:i/>
          <w:lang w:val="fr-FR"/>
        </w:rPr>
        <w:t>Hezbollah</w:t>
      </w:r>
      <w:r w:rsidRPr="00B77D90">
        <w:rPr>
          <w:lang w:val="fr-FR"/>
        </w:rPr>
        <w:t>. Le 2 avril 1992, au cours de l</w:t>
      </w:r>
      <w:r w:rsidRPr="00B77D90" w:rsidR="00B77D90">
        <w:rPr>
          <w:lang w:val="fr-FR"/>
        </w:rPr>
        <w:t>’</w:t>
      </w:r>
      <w:r w:rsidRPr="00B77D90">
        <w:rPr>
          <w:lang w:val="fr-FR"/>
        </w:rPr>
        <w:t>un de ces actes terroristes, où deux personnes furent tuées, le requérant fut blessé par balles par l</w:t>
      </w:r>
      <w:r w:rsidRPr="00B77D90" w:rsidR="00B77D90">
        <w:rPr>
          <w:lang w:val="fr-FR"/>
        </w:rPr>
        <w:t>’</w:t>
      </w:r>
      <w:r w:rsidRPr="00B77D90">
        <w:rPr>
          <w:lang w:val="fr-FR"/>
        </w:rPr>
        <w:t>une de ses victimes et devint paraplégique. Il fut placé en détention provisoire mais demeura dans l</w:t>
      </w:r>
      <w:r w:rsidRPr="00B77D90" w:rsidR="00B77D90">
        <w:rPr>
          <w:lang w:val="fr-FR"/>
        </w:rPr>
        <w:t>’</w:t>
      </w:r>
      <w:r w:rsidRPr="00B77D90">
        <w:rPr>
          <w:lang w:val="fr-FR"/>
        </w:rPr>
        <w:t>unité carcérale d</w:t>
      </w:r>
      <w:r w:rsidRPr="00B77D90" w:rsidR="00B77D90">
        <w:rPr>
          <w:lang w:val="fr-FR"/>
        </w:rPr>
        <w:t>’</w:t>
      </w:r>
      <w:r w:rsidRPr="00B77D90">
        <w:rPr>
          <w:lang w:val="fr-FR"/>
        </w:rPr>
        <w:t>un hôpital pendant environ un an pour y subir différents traitements médicaux. En 1995, il fut reconnu coupable de certains des actes susmentionnés et se vit infliger une peine de 26 ans de réclusion. En 1997, il bénéficia d</w:t>
      </w:r>
      <w:r w:rsidRPr="00B77D90" w:rsidR="00B77D90">
        <w:rPr>
          <w:lang w:val="fr-FR"/>
        </w:rPr>
        <w:t>’</w:t>
      </w:r>
      <w:r w:rsidRPr="00B77D90">
        <w:rPr>
          <w:lang w:val="fr-FR"/>
        </w:rPr>
        <w:t>une grâce présidentielle et fut libéré.</w:t>
      </w:r>
    </w:p>
    <w:p w:rsidRPr="00B77D90" w:rsidR="009E7AAD" w:rsidP="00B77D90" w:rsidRDefault="009E7AAD">
      <w:pPr>
        <w:pStyle w:val="JuPara"/>
        <w:rPr>
          <w:lang w:val="fr-FR"/>
        </w:rPr>
      </w:pPr>
      <w:bookmarkStart w:name="liberation2004" w:id="4"/>
      <w:r w:rsidRPr="00B77D90">
        <w:rPr>
          <w:lang w:val="fr-FR"/>
        </w:rPr>
        <w:t>8</w:t>
      </w:r>
      <w:bookmarkEnd w:id="4"/>
      <w:r w:rsidRPr="00B77D90">
        <w:rPr>
          <w:lang w:val="fr-FR"/>
        </w:rPr>
        <w:t>.  Le 27 février 2000, il fut à nouveau arrêté et placé en détention provisoire à la suite de la découverte de sa participation à d</w:t>
      </w:r>
      <w:r w:rsidRPr="00B77D90" w:rsidR="00B77D90">
        <w:rPr>
          <w:lang w:val="fr-FR"/>
        </w:rPr>
        <w:t>’</w:t>
      </w:r>
      <w:r w:rsidRPr="00B77D90">
        <w:rPr>
          <w:lang w:val="fr-FR"/>
        </w:rPr>
        <w:t>autres actes, qui avaient été commis sur une période allant jusqu</w:t>
      </w:r>
      <w:r w:rsidRPr="00B77D90" w:rsidR="00B77D90">
        <w:rPr>
          <w:lang w:val="fr-FR"/>
        </w:rPr>
        <w:t>’</w:t>
      </w:r>
      <w:r w:rsidRPr="00B77D90">
        <w:rPr>
          <w:lang w:val="fr-FR"/>
        </w:rPr>
        <w:t>en 1992. Le 10 décembre 2004, il fut remis en liberté alors que la procédure se poursuivait.</w:t>
      </w:r>
    </w:p>
    <w:p w:rsidRPr="00B77D90" w:rsidR="009E7AAD" w:rsidP="00B77D90" w:rsidRDefault="009E7AAD">
      <w:pPr>
        <w:pStyle w:val="JuPara"/>
        <w:rPr>
          <w:lang w:val="fr-FR"/>
        </w:rPr>
      </w:pPr>
      <w:r w:rsidRPr="00B77D90">
        <w:rPr>
          <w:lang w:val="fr-FR"/>
        </w:rPr>
        <w:t>9.  Par un jugement du 28 décembre 2006, il fut condamné à la réclusion criminelle à perpétuité (</w:t>
      </w:r>
      <w:proofErr w:type="spellStart"/>
      <w:r w:rsidRPr="00B77D90">
        <w:rPr>
          <w:i/>
          <w:lang w:val="fr-FR"/>
        </w:rPr>
        <w:t>müebbet</w:t>
      </w:r>
      <w:proofErr w:type="spellEnd"/>
      <w:r w:rsidRPr="00B77D90">
        <w:rPr>
          <w:i/>
          <w:lang w:val="fr-FR"/>
        </w:rPr>
        <w:t xml:space="preserve"> </w:t>
      </w:r>
      <w:proofErr w:type="spellStart"/>
      <w:r w:rsidRPr="00B77D90">
        <w:rPr>
          <w:i/>
          <w:lang w:val="fr-FR"/>
        </w:rPr>
        <w:t>hapis</w:t>
      </w:r>
      <w:proofErr w:type="spellEnd"/>
      <w:r w:rsidRPr="00B77D90">
        <w:rPr>
          <w:i/>
          <w:lang w:val="fr-FR"/>
        </w:rPr>
        <w:t xml:space="preserve"> </w:t>
      </w:r>
      <w:proofErr w:type="spellStart"/>
      <w:r w:rsidRPr="00B77D90">
        <w:rPr>
          <w:i/>
          <w:lang w:val="fr-FR"/>
        </w:rPr>
        <w:t>cezası</w:t>
      </w:r>
      <w:proofErr w:type="spellEnd"/>
      <w:r w:rsidRPr="00B77D90">
        <w:rPr>
          <w:lang w:val="fr-FR"/>
        </w:rPr>
        <w:t>). Au vu de sa condamnation précédente, tous les actes susmentionnés furent considérés globalement comme une atteinte à l</w:t>
      </w:r>
      <w:r w:rsidRPr="00B77D90" w:rsidR="00B77D90">
        <w:rPr>
          <w:lang w:val="fr-FR"/>
        </w:rPr>
        <w:t>’</w:t>
      </w:r>
      <w:r w:rsidRPr="00B77D90">
        <w:rPr>
          <w:lang w:val="fr-FR"/>
        </w:rPr>
        <w:t>ordre constitutionnel de l</w:t>
      </w:r>
      <w:r w:rsidRPr="00B77D90" w:rsidR="00B77D90">
        <w:rPr>
          <w:lang w:val="fr-FR"/>
        </w:rPr>
        <w:t>’</w:t>
      </w:r>
      <w:r w:rsidRPr="00B77D90">
        <w:rPr>
          <w:lang w:val="fr-FR"/>
        </w:rPr>
        <w:t>État et la condamnation précédente à 26 ans de réclusion fut ainsi annulée par ce dernier jugement.</w:t>
      </w:r>
    </w:p>
    <w:p w:rsidRPr="00B77D90" w:rsidR="009E7AAD" w:rsidP="00B77D90" w:rsidRDefault="009E7AAD">
      <w:pPr>
        <w:pStyle w:val="JuPara"/>
        <w:rPr>
          <w:lang w:val="fr-FR"/>
        </w:rPr>
      </w:pPr>
      <w:r w:rsidRPr="00B77D90">
        <w:rPr>
          <w:lang w:val="fr-FR"/>
        </w:rPr>
        <w:t>10.  Le requérant fut réincarcéré à la prison de Batman le 6 avril 2009 après que le dernier jugement fut devenu définitif. L</w:t>
      </w:r>
      <w:r w:rsidRPr="00B77D90" w:rsidR="00B77D90">
        <w:rPr>
          <w:lang w:val="fr-FR"/>
        </w:rPr>
        <w:t>’</w:t>
      </w:r>
      <w:r w:rsidRPr="00B77D90">
        <w:rPr>
          <w:lang w:val="fr-FR"/>
        </w:rPr>
        <w:t>ordonnance d</w:t>
      </w:r>
      <w:r w:rsidRPr="00B77D90" w:rsidR="00B77D90">
        <w:rPr>
          <w:lang w:val="fr-FR"/>
        </w:rPr>
        <w:t>’</w:t>
      </w:r>
      <w:r w:rsidRPr="00B77D90">
        <w:rPr>
          <w:lang w:val="fr-FR"/>
        </w:rPr>
        <w:t>exécution datant du même jour indiquait le 26 décembre 2028 comme date à laquelle le requérant pourrait bénéficier d</w:t>
      </w:r>
      <w:r w:rsidRPr="00B77D90" w:rsidR="00B77D90">
        <w:rPr>
          <w:lang w:val="fr-FR"/>
        </w:rPr>
        <w:t>’</w:t>
      </w:r>
      <w:r w:rsidRPr="00B77D90">
        <w:rPr>
          <w:lang w:val="fr-FR"/>
        </w:rPr>
        <w:t>une libération conditionnelle.</w:t>
      </w:r>
    </w:p>
    <w:p w:rsidRPr="00B77D90" w:rsidR="009E7AAD" w:rsidP="00B77D90" w:rsidRDefault="009E7AAD">
      <w:pPr>
        <w:pStyle w:val="JuPara"/>
        <w:rPr>
          <w:lang w:val="fr-FR"/>
        </w:rPr>
      </w:pPr>
      <w:bookmarkStart w:name="liberation" w:id="5"/>
      <w:r w:rsidRPr="00B77D90">
        <w:rPr>
          <w:lang w:val="fr-FR"/>
        </w:rPr>
        <w:t>11</w:t>
      </w:r>
      <w:bookmarkEnd w:id="5"/>
      <w:r w:rsidRPr="00B77D90">
        <w:rPr>
          <w:lang w:val="fr-FR"/>
        </w:rPr>
        <w:t>.  Par une décision du 14 juin 2013, le procureur de la République de Diyarbakır, faisant application de l</w:t>
      </w:r>
      <w:r w:rsidRPr="00B77D90" w:rsidR="00B77D90">
        <w:rPr>
          <w:lang w:val="fr-FR"/>
        </w:rPr>
        <w:t>’</w:t>
      </w:r>
      <w:r w:rsidRPr="00B77D90">
        <w:rPr>
          <w:lang w:val="fr-FR"/>
        </w:rPr>
        <w:t>article 16 § 6 de la loi n</w:t>
      </w:r>
      <w:r w:rsidRPr="00B77D90">
        <w:rPr>
          <w:vertAlign w:val="superscript"/>
          <w:lang w:val="fr-FR"/>
        </w:rPr>
        <w:t>o</w:t>
      </w:r>
      <w:r w:rsidRPr="00B77D90">
        <w:rPr>
          <w:lang w:val="fr-FR"/>
        </w:rPr>
        <w:t xml:space="preserve"> 5275 sur l</w:t>
      </w:r>
      <w:r w:rsidRPr="00B77D90" w:rsidR="00B77D90">
        <w:rPr>
          <w:lang w:val="fr-FR"/>
        </w:rPr>
        <w:t>’</w:t>
      </w:r>
      <w:r w:rsidRPr="00B77D90">
        <w:rPr>
          <w:lang w:val="fr-FR"/>
        </w:rPr>
        <w:t>exécution des peines et des mesures préventives, décida de surseoir à l</w:t>
      </w:r>
      <w:r w:rsidRPr="00B77D90" w:rsidR="00B77D90">
        <w:rPr>
          <w:lang w:val="fr-FR"/>
        </w:rPr>
        <w:t>’</w:t>
      </w:r>
      <w:r w:rsidRPr="00B77D90">
        <w:rPr>
          <w:lang w:val="fr-FR"/>
        </w:rPr>
        <w:t>exécution de la peine du requérant au vu de l</w:t>
      </w:r>
      <w:r w:rsidRPr="00B77D90" w:rsidR="00B77D90">
        <w:rPr>
          <w:lang w:val="fr-FR"/>
        </w:rPr>
        <w:t>’</w:t>
      </w:r>
      <w:r w:rsidRPr="00B77D90">
        <w:rPr>
          <w:lang w:val="fr-FR"/>
        </w:rPr>
        <w:t>état de santé de ce dernier. Il décida également que, sous peine d</w:t>
      </w:r>
      <w:r w:rsidRPr="00B77D90" w:rsidR="00B77D90">
        <w:rPr>
          <w:lang w:val="fr-FR"/>
        </w:rPr>
        <w:t>’</w:t>
      </w:r>
      <w:r w:rsidRPr="00B77D90">
        <w:rPr>
          <w:lang w:val="fr-FR"/>
        </w:rPr>
        <w:t>annulation de cette décision, l</w:t>
      </w:r>
      <w:r w:rsidRPr="00B77D90" w:rsidR="00B77D90">
        <w:rPr>
          <w:lang w:val="fr-FR"/>
        </w:rPr>
        <w:t>’</w:t>
      </w:r>
      <w:r w:rsidRPr="00B77D90">
        <w:rPr>
          <w:lang w:val="fr-FR"/>
        </w:rPr>
        <w:t>intéressé aurait l</w:t>
      </w:r>
      <w:r w:rsidRPr="00B77D90" w:rsidR="00B77D90">
        <w:rPr>
          <w:lang w:val="fr-FR"/>
        </w:rPr>
        <w:t>’</w:t>
      </w:r>
      <w:r w:rsidRPr="00B77D90">
        <w:rPr>
          <w:lang w:val="fr-FR"/>
        </w:rPr>
        <w:t>obligation de se présenter tous les trois mois pour un examen médical et d</w:t>
      </w:r>
      <w:r w:rsidRPr="00B77D90" w:rsidR="00B77D90">
        <w:rPr>
          <w:lang w:val="fr-FR"/>
        </w:rPr>
        <w:t>’</w:t>
      </w:r>
      <w:r w:rsidRPr="00B77D90">
        <w:rPr>
          <w:lang w:val="fr-FR"/>
        </w:rPr>
        <w:t>informer immédiatement le parquet de tout changement d</w:t>
      </w:r>
      <w:r w:rsidRPr="00B77D90" w:rsidR="00B77D90">
        <w:rPr>
          <w:lang w:val="fr-FR"/>
        </w:rPr>
        <w:t>’</w:t>
      </w:r>
      <w:r w:rsidRPr="00B77D90">
        <w:rPr>
          <w:lang w:val="fr-FR"/>
        </w:rPr>
        <w:t>adresse.</w:t>
      </w:r>
    </w:p>
    <w:p w:rsidRPr="00B77D90" w:rsidR="009E7AAD" w:rsidP="00B77D90" w:rsidRDefault="009E7AAD">
      <w:pPr>
        <w:pStyle w:val="JuHA"/>
        <w:jc w:val="left"/>
      </w:pPr>
      <w:proofErr w:type="spellStart"/>
      <w:r w:rsidRPr="00B77D90">
        <w:t>L</w:t>
      </w:r>
      <w:r w:rsidRPr="00B77D90" w:rsidR="00B77D90">
        <w:t>’</w:t>
      </w:r>
      <w:r w:rsidRPr="00B77D90">
        <w:t>état</w:t>
      </w:r>
      <w:proofErr w:type="spellEnd"/>
      <w:r w:rsidRPr="00B77D90">
        <w:t xml:space="preserve"> de santé du </w:t>
      </w:r>
      <w:proofErr w:type="spellStart"/>
      <w:r w:rsidRPr="00B77D90">
        <w:t>requérant</w:t>
      </w:r>
      <w:proofErr w:type="spellEnd"/>
    </w:p>
    <w:p w:rsidRPr="00B77D90" w:rsidR="009E7AAD" w:rsidP="00B77D90" w:rsidRDefault="009E7AAD">
      <w:pPr>
        <w:pStyle w:val="JuPara"/>
        <w:rPr>
          <w:lang w:val="fr-FR"/>
        </w:rPr>
      </w:pPr>
      <w:r w:rsidRPr="00B77D90">
        <w:rPr>
          <w:lang w:val="fr-FR"/>
        </w:rPr>
        <w:t>12.  Plusieurs dizaines de rapports médicaux établis par différents organismes indiquent que le requérant est paraplégique et que son taux d</w:t>
      </w:r>
      <w:r w:rsidRPr="00B77D90" w:rsidR="00B77D90">
        <w:rPr>
          <w:lang w:val="fr-FR"/>
        </w:rPr>
        <w:t>’</w:t>
      </w:r>
      <w:r w:rsidRPr="00B77D90">
        <w:rPr>
          <w:lang w:val="fr-FR"/>
        </w:rPr>
        <w:t>incapacité physique est de 92 %. Ces rapports exposent aussi le suivi médical dont l</w:t>
      </w:r>
      <w:r w:rsidRPr="00B77D90" w:rsidR="00B77D90">
        <w:rPr>
          <w:lang w:val="fr-FR"/>
        </w:rPr>
        <w:t>’</w:t>
      </w:r>
      <w:r w:rsidRPr="00B77D90">
        <w:rPr>
          <w:lang w:val="fr-FR"/>
        </w:rPr>
        <w:t>intéressé a fait l</w:t>
      </w:r>
      <w:r w:rsidRPr="00B77D90" w:rsidR="00B77D90">
        <w:rPr>
          <w:lang w:val="fr-FR"/>
        </w:rPr>
        <w:t>’</w:t>
      </w:r>
      <w:r w:rsidRPr="00B77D90">
        <w:rPr>
          <w:lang w:val="fr-FR"/>
        </w:rPr>
        <w:t>objet et les traitements qui lui ont été fournis.</w:t>
      </w:r>
    </w:p>
    <w:p w:rsidRPr="00B77D90" w:rsidR="009E7AAD" w:rsidP="00B77D90" w:rsidRDefault="009E7AAD">
      <w:pPr>
        <w:pStyle w:val="JuPara"/>
        <w:rPr>
          <w:lang w:val="fr-FR"/>
        </w:rPr>
      </w:pPr>
      <w:r w:rsidRPr="00B77D90">
        <w:rPr>
          <w:lang w:val="fr-FR"/>
        </w:rPr>
        <w:t>13.  Les rapports médicaux des 25 janvier et 20 septembre 2007 indiquent que le requérant est en pleine possession de ses capacités physiques pour ce qui est de ses membres supérieurs, que la capacité musculaire de ses membres inférieurs est de 0 sur 5, qu</w:t>
      </w:r>
      <w:r w:rsidRPr="00B77D90" w:rsidR="00B77D90">
        <w:rPr>
          <w:lang w:val="fr-FR"/>
        </w:rPr>
        <w:t>’</w:t>
      </w:r>
      <w:r w:rsidRPr="00B77D90">
        <w:rPr>
          <w:lang w:val="fr-FR"/>
        </w:rPr>
        <w:t>il souffre d</w:t>
      </w:r>
      <w:r w:rsidRPr="00B77D90" w:rsidR="00B77D90">
        <w:rPr>
          <w:lang w:val="fr-FR"/>
        </w:rPr>
        <w:t>’</w:t>
      </w:r>
      <w:r w:rsidRPr="00B77D90">
        <w:rPr>
          <w:lang w:val="fr-FR"/>
        </w:rPr>
        <w:t>incontinence et qu</w:t>
      </w:r>
      <w:r w:rsidRPr="00B77D90" w:rsidR="00B77D90">
        <w:rPr>
          <w:lang w:val="fr-FR"/>
        </w:rPr>
        <w:t>’</w:t>
      </w:r>
      <w:r w:rsidRPr="00B77D90">
        <w:rPr>
          <w:lang w:val="fr-FR"/>
        </w:rPr>
        <w:t>il utilise une sonde vésicale.</w:t>
      </w:r>
    </w:p>
    <w:p w:rsidRPr="00B77D90" w:rsidR="009E7AAD" w:rsidP="00B77D90" w:rsidRDefault="009E7AAD">
      <w:pPr>
        <w:pStyle w:val="JuPara"/>
        <w:rPr>
          <w:lang w:val="fr-FR"/>
        </w:rPr>
      </w:pPr>
      <w:r w:rsidRPr="00B77D90">
        <w:rPr>
          <w:lang w:val="fr-FR"/>
        </w:rPr>
        <w:t>14.  Le rapport du 10 septembre 2009 confirme les diagnostics susmentionnés et explique que le requérant a souffert d</w:t>
      </w:r>
      <w:r w:rsidRPr="00B77D90" w:rsidR="00B77D90">
        <w:rPr>
          <w:lang w:val="fr-FR"/>
        </w:rPr>
        <w:t>’</w:t>
      </w:r>
      <w:r w:rsidRPr="00B77D90">
        <w:rPr>
          <w:lang w:val="fr-FR"/>
        </w:rPr>
        <w:t>une blessure vertébrale en 1992, qu</w:t>
      </w:r>
      <w:r w:rsidRPr="00B77D90" w:rsidR="00B77D90">
        <w:rPr>
          <w:lang w:val="fr-FR"/>
        </w:rPr>
        <w:t>’</w:t>
      </w:r>
      <w:r w:rsidRPr="00B77D90">
        <w:rPr>
          <w:lang w:val="fr-FR"/>
        </w:rPr>
        <w:t>il présente une atrophie, qu</w:t>
      </w:r>
      <w:r w:rsidRPr="00B77D90" w:rsidR="00B77D90">
        <w:rPr>
          <w:lang w:val="fr-FR"/>
        </w:rPr>
        <w:t>’</w:t>
      </w:r>
      <w:r w:rsidRPr="00B77D90">
        <w:rPr>
          <w:lang w:val="fr-FR"/>
        </w:rPr>
        <w:t>il est contraint d</w:t>
      </w:r>
      <w:r w:rsidRPr="00B77D90" w:rsidR="00B77D90">
        <w:rPr>
          <w:lang w:val="fr-FR"/>
        </w:rPr>
        <w:t>’</w:t>
      </w:r>
      <w:r w:rsidRPr="00B77D90">
        <w:rPr>
          <w:lang w:val="fr-FR"/>
        </w:rPr>
        <w:t>utiliser un fauteuil roulant et que son handicap est permanent.</w:t>
      </w:r>
    </w:p>
    <w:p w:rsidRPr="00B77D90" w:rsidR="009E7AAD" w:rsidP="00B77D90" w:rsidRDefault="009E7AAD">
      <w:pPr>
        <w:pStyle w:val="JuPara"/>
        <w:rPr>
          <w:lang w:val="fr-FR"/>
        </w:rPr>
      </w:pPr>
      <w:bookmarkStart w:name="proc104" w:id="6"/>
      <w:r w:rsidRPr="00B77D90">
        <w:rPr>
          <w:lang w:val="fr-FR"/>
        </w:rPr>
        <w:t>15</w:t>
      </w:r>
      <w:bookmarkEnd w:id="6"/>
      <w:r w:rsidRPr="00B77D90">
        <w:rPr>
          <w:lang w:val="fr-FR"/>
        </w:rPr>
        <w:t>.  Le 1</w:t>
      </w:r>
      <w:r w:rsidRPr="00B77D90">
        <w:rPr>
          <w:vertAlign w:val="superscript"/>
          <w:lang w:val="fr-FR"/>
        </w:rPr>
        <w:t>er</w:t>
      </w:r>
      <w:r w:rsidRPr="00B77D90">
        <w:rPr>
          <w:lang w:val="fr-FR"/>
        </w:rPr>
        <w:t xml:space="preserve"> octobre 2009, le procureur de la République de Diyarbakır invita l</w:t>
      </w:r>
      <w:r w:rsidRPr="00B77D90" w:rsidR="00B77D90">
        <w:rPr>
          <w:lang w:val="fr-FR"/>
        </w:rPr>
        <w:t>’</w:t>
      </w:r>
      <w:r w:rsidRPr="00B77D90">
        <w:rPr>
          <w:lang w:val="fr-FR"/>
        </w:rPr>
        <w:t>institut médicolégal à évaluer l</w:t>
      </w:r>
      <w:r w:rsidRPr="00B77D90" w:rsidR="00B77D90">
        <w:rPr>
          <w:lang w:val="fr-FR"/>
        </w:rPr>
        <w:t>’</w:t>
      </w:r>
      <w:r w:rsidRPr="00B77D90">
        <w:rPr>
          <w:lang w:val="fr-FR"/>
        </w:rPr>
        <w:t>état de santé du requérant aux fins d</w:t>
      </w:r>
      <w:r w:rsidRPr="00B77D90" w:rsidR="00B77D90">
        <w:rPr>
          <w:lang w:val="fr-FR"/>
        </w:rPr>
        <w:t>’</w:t>
      </w:r>
      <w:r w:rsidRPr="00B77D90">
        <w:rPr>
          <w:lang w:val="fr-FR"/>
        </w:rPr>
        <w:t>appréciation de la possibilité pour l</w:t>
      </w:r>
      <w:r w:rsidRPr="00B77D90" w:rsidR="00B77D90">
        <w:rPr>
          <w:lang w:val="fr-FR"/>
        </w:rPr>
        <w:t>’</w:t>
      </w:r>
      <w:r w:rsidRPr="00B77D90">
        <w:rPr>
          <w:lang w:val="fr-FR"/>
        </w:rPr>
        <w:t>intéressé de bénéficier d</w:t>
      </w:r>
      <w:r w:rsidRPr="00B77D90" w:rsidR="00B77D90">
        <w:rPr>
          <w:lang w:val="fr-FR"/>
        </w:rPr>
        <w:t>’</w:t>
      </w:r>
      <w:r w:rsidRPr="00B77D90">
        <w:rPr>
          <w:lang w:val="fr-FR"/>
        </w:rPr>
        <w:t>une grâce présidentielle. Daté du 8 février 2010, le rapport de la 3</w:t>
      </w:r>
      <w:r w:rsidRPr="00B77D90">
        <w:rPr>
          <w:vertAlign w:val="superscript"/>
          <w:lang w:val="fr-FR"/>
        </w:rPr>
        <w:t>e</w:t>
      </w:r>
      <w:r w:rsidRPr="00B77D90">
        <w:rPr>
          <w:lang w:val="fr-FR"/>
        </w:rPr>
        <w:t xml:space="preserve"> chambre de l</w:t>
      </w:r>
      <w:r w:rsidRPr="00B77D90" w:rsidR="00B77D90">
        <w:rPr>
          <w:lang w:val="fr-FR"/>
        </w:rPr>
        <w:t>’</w:t>
      </w:r>
      <w:r w:rsidRPr="00B77D90">
        <w:rPr>
          <w:lang w:val="fr-FR"/>
        </w:rPr>
        <w:t>institut médicolégal indique que le handicap du requérant ne peut être considéré comme nécessitant une grâce présidentielle et que l</w:t>
      </w:r>
      <w:r w:rsidRPr="00B77D90" w:rsidR="00B77D90">
        <w:rPr>
          <w:lang w:val="fr-FR"/>
        </w:rPr>
        <w:t>’</w:t>
      </w:r>
      <w:r w:rsidRPr="00B77D90">
        <w:rPr>
          <w:lang w:val="fr-FR"/>
        </w:rPr>
        <w:t>exécution de sa peine peut se poursuivre avec un régime alimentaire adapté à son état de santé et un contrôle médical régulier.</w:t>
      </w:r>
    </w:p>
    <w:p w:rsidRPr="00B77D90" w:rsidR="009E7AAD" w:rsidP="00B77D90" w:rsidRDefault="009E7AAD">
      <w:pPr>
        <w:pStyle w:val="JuPara"/>
        <w:rPr>
          <w:lang w:val="fr-FR"/>
        </w:rPr>
      </w:pPr>
      <w:r w:rsidRPr="00B77D90">
        <w:rPr>
          <w:lang w:val="fr-FR"/>
        </w:rPr>
        <w:t>16.  Le 20 mai 2010, l</w:t>
      </w:r>
      <w:r w:rsidRPr="00B77D90" w:rsidR="00B77D90">
        <w:rPr>
          <w:lang w:val="fr-FR"/>
        </w:rPr>
        <w:t>’</w:t>
      </w:r>
      <w:r w:rsidRPr="00B77D90">
        <w:rPr>
          <w:lang w:val="fr-FR"/>
        </w:rPr>
        <w:t>assemblée générale de l</w:t>
      </w:r>
      <w:r w:rsidRPr="00B77D90" w:rsidR="00B77D90">
        <w:rPr>
          <w:lang w:val="fr-FR"/>
        </w:rPr>
        <w:t>’</w:t>
      </w:r>
      <w:r w:rsidRPr="00B77D90">
        <w:rPr>
          <w:lang w:val="fr-FR"/>
        </w:rPr>
        <w:t>institut médicolégal confirma, à la majorité, le rapport susmentionné de la 3</w:t>
      </w:r>
      <w:r w:rsidRPr="00B77D90">
        <w:rPr>
          <w:vertAlign w:val="superscript"/>
          <w:lang w:val="fr-FR"/>
        </w:rPr>
        <w:t>e</w:t>
      </w:r>
      <w:r w:rsidRPr="00B77D90">
        <w:rPr>
          <w:lang w:val="fr-FR"/>
        </w:rPr>
        <w:t> chambre.</w:t>
      </w:r>
    </w:p>
    <w:p w:rsidRPr="00B77D90" w:rsidR="009E7AAD" w:rsidP="00B77D90" w:rsidRDefault="009E7AAD">
      <w:pPr>
        <w:pStyle w:val="JuPara"/>
        <w:rPr>
          <w:lang w:val="fr-FR"/>
        </w:rPr>
      </w:pPr>
      <w:r w:rsidRPr="00B77D90">
        <w:rPr>
          <w:lang w:val="fr-FR"/>
        </w:rPr>
        <w:t>17.  Après la libération le 11 avril 2011 de son frère, qui faisait partie de ses codétenus et qui s</w:t>
      </w:r>
      <w:r w:rsidRPr="00B77D90" w:rsidR="00B77D90">
        <w:rPr>
          <w:lang w:val="fr-FR"/>
        </w:rPr>
        <w:t>’</w:t>
      </w:r>
      <w:r w:rsidRPr="00B77D90">
        <w:rPr>
          <w:lang w:val="fr-FR"/>
        </w:rPr>
        <w:t>occupait de lui, le requérant introduisit plusieurs demandes tendant en particulier à l</w:t>
      </w:r>
      <w:r w:rsidRPr="00B77D90" w:rsidR="00B77D90">
        <w:rPr>
          <w:lang w:val="fr-FR"/>
        </w:rPr>
        <w:t>’</w:t>
      </w:r>
      <w:r w:rsidRPr="00B77D90">
        <w:rPr>
          <w:lang w:val="fr-FR"/>
        </w:rPr>
        <w:t>obtention de la possibilité de purger sa peine à son domicile, expliquant qu</w:t>
      </w:r>
      <w:r w:rsidRPr="00B77D90" w:rsidR="00B77D90">
        <w:rPr>
          <w:lang w:val="fr-FR"/>
        </w:rPr>
        <w:t>’</w:t>
      </w:r>
      <w:r w:rsidRPr="00B77D90">
        <w:rPr>
          <w:lang w:val="fr-FR"/>
        </w:rPr>
        <w:t>il préférait que ce soient les membres de sa famille qui prennent soin de lui.</w:t>
      </w:r>
    </w:p>
    <w:p w:rsidRPr="00B77D90" w:rsidR="009E7AAD" w:rsidP="00B77D90" w:rsidRDefault="009E7AAD">
      <w:pPr>
        <w:pStyle w:val="JuPara"/>
        <w:rPr>
          <w:lang w:val="fr-FR"/>
        </w:rPr>
      </w:pPr>
      <w:r w:rsidRPr="00B77D90">
        <w:rPr>
          <w:lang w:val="fr-FR"/>
        </w:rPr>
        <w:t>18.  Plusieurs examens ou traitements médicaux furent aussi pratiqués entre 2011 et 2013. Les examens révélèrent en particulier un surpoids, un problème rénal et un état dépressif chez le requérant.</w:t>
      </w:r>
    </w:p>
    <w:p w:rsidRPr="00B77D90" w:rsidR="009E7AAD" w:rsidP="00B77D90" w:rsidRDefault="009E7AAD">
      <w:pPr>
        <w:pStyle w:val="JuPara"/>
        <w:rPr>
          <w:lang w:val="fr-FR"/>
        </w:rPr>
      </w:pPr>
      <w:r w:rsidRPr="00B77D90">
        <w:rPr>
          <w:lang w:val="fr-FR"/>
        </w:rPr>
        <w:t>19.  Le rapport médical de la 3</w:t>
      </w:r>
      <w:r w:rsidRPr="00B77D90">
        <w:rPr>
          <w:vertAlign w:val="superscript"/>
          <w:lang w:val="fr-FR"/>
        </w:rPr>
        <w:t>e</w:t>
      </w:r>
      <w:r w:rsidRPr="00B77D90">
        <w:rPr>
          <w:lang w:val="fr-FR"/>
        </w:rPr>
        <w:t xml:space="preserve"> chambre de l</w:t>
      </w:r>
      <w:r w:rsidRPr="00B77D90" w:rsidR="00B77D90">
        <w:rPr>
          <w:lang w:val="fr-FR"/>
        </w:rPr>
        <w:t>’</w:t>
      </w:r>
      <w:r w:rsidRPr="00B77D90">
        <w:rPr>
          <w:lang w:val="fr-FR"/>
        </w:rPr>
        <w:t>institut médicolégal du 28 décembre 2012 indique que le requérant est incapable d</w:t>
      </w:r>
      <w:r w:rsidRPr="00B77D90" w:rsidR="00B77D90">
        <w:rPr>
          <w:lang w:val="fr-FR"/>
        </w:rPr>
        <w:t>’</w:t>
      </w:r>
      <w:r w:rsidRPr="00B77D90">
        <w:rPr>
          <w:lang w:val="fr-FR"/>
        </w:rPr>
        <w:t>accomplir seul les actes essentiels de la vie quotidienne dans un établissement pénitentiaire et qu</w:t>
      </w:r>
      <w:r w:rsidRPr="00B77D90" w:rsidR="00B77D90">
        <w:rPr>
          <w:lang w:val="fr-FR"/>
        </w:rPr>
        <w:t>’</w:t>
      </w:r>
      <w:r w:rsidRPr="00B77D90">
        <w:rPr>
          <w:lang w:val="fr-FR"/>
        </w:rPr>
        <w:t>il a besoin de l</w:t>
      </w:r>
      <w:r w:rsidRPr="00B77D90" w:rsidR="00B77D90">
        <w:rPr>
          <w:lang w:val="fr-FR"/>
        </w:rPr>
        <w:t>’</w:t>
      </w:r>
      <w:r w:rsidRPr="00B77D90">
        <w:rPr>
          <w:lang w:val="fr-FR"/>
        </w:rPr>
        <w:t>assistance d</w:t>
      </w:r>
      <w:r w:rsidRPr="00B77D90" w:rsidR="00B77D90">
        <w:rPr>
          <w:lang w:val="fr-FR"/>
        </w:rPr>
        <w:t>’</w:t>
      </w:r>
      <w:r w:rsidRPr="00B77D90">
        <w:rPr>
          <w:lang w:val="fr-FR"/>
        </w:rPr>
        <w:t>une tierce personne. Le rapport du 21 février 2013 recommande qu</w:t>
      </w:r>
      <w:r w:rsidRPr="00B77D90" w:rsidR="00B77D90">
        <w:rPr>
          <w:lang w:val="fr-FR"/>
        </w:rPr>
        <w:t>’</w:t>
      </w:r>
      <w:r w:rsidRPr="00B77D90">
        <w:rPr>
          <w:lang w:val="fr-FR"/>
        </w:rPr>
        <w:t>il soit sursis à l</w:t>
      </w:r>
      <w:r w:rsidRPr="00B77D90" w:rsidR="00B77D90">
        <w:rPr>
          <w:lang w:val="fr-FR"/>
        </w:rPr>
        <w:t>’</w:t>
      </w:r>
      <w:r w:rsidRPr="00B77D90">
        <w:rPr>
          <w:lang w:val="fr-FR"/>
        </w:rPr>
        <w:t>exécution de sa peine eu égard à son état dépressif.</w:t>
      </w:r>
    </w:p>
    <w:p w:rsidRPr="00B77D90" w:rsidR="009E7AAD" w:rsidP="00B77D90" w:rsidRDefault="009E7AAD">
      <w:pPr>
        <w:pStyle w:val="JuPara"/>
        <w:rPr>
          <w:lang w:val="fr-FR"/>
        </w:rPr>
      </w:pPr>
      <w:bookmarkStart w:name="proc104bis" w:id="7"/>
      <w:r w:rsidRPr="00B77D90">
        <w:rPr>
          <w:lang w:val="fr-FR"/>
        </w:rPr>
        <w:t>20</w:t>
      </w:r>
      <w:bookmarkEnd w:id="7"/>
      <w:r w:rsidRPr="00B77D90">
        <w:rPr>
          <w:lang w:val="fr-FR"/>
        </w:rPr>
        <w:t>.  Le 28 février 2013, le procureur de la République de Diyarbakır saisit à nouveau l</w:t>
      </w:r>
      <w:r w:rsidRPr="00B77D90" w:rsidR="00B77D90">
        <w:rPr>
          <w:lang w:val="fr-FR"/>
        </w:rPr>
        <w:t>’</w:t>
      </w:r>
      <w:r w:rsidRPr="00B77D90">
        <w:rPr>
          <w:lang w:val="fr-FR"/>
        </w:rPr>
        <w:t>institut médicolégal d</w:t>
      </w:r>
      <w:r w:rsidRPr="00B77D90" w:rsidR="00B77D90">
        <w:rPr>
          <w:lang w:val="fr-FR"/>
        </w:rPr>
        <w:t>’</w:t>
      </w:r>
      <w:r w:rsidRPr="00B77D90">
        <w:rPr>
          <w:lang w:val="fr-FR"/>
        </w:rPr>
        <w:t>une demande de réévaluation de l</w:t>
      </w:r>
      <w:r w:rsidRPr="00B77D90" w:rsidR="00B77D90">
        <w:rPr>
          <w:lang w:val="fr-FR"/>
        </w:rPr>
        <w:t>’</w:t>
      </w:r>
      <w:r w:rsidRPr="00B77D90">
        <w:rPr>
          <w:lang w:val="fr-FR"/>
        </w:rPr>
        <w:t>état de santé du requérant afin de pouvoir déterminer si celui-ci pouvait bénéficier d</w:t>
      </w:r>
      <w:r w:rsidRPr="00B77D90" w:rsidR="00B77D90">
        <w:rPr>
          <w:lang w:val="fr-FR"/>
        </w:rPr>
        <w:t>’</w:t>
      </w:r>
      <w:r w:rsidRPr="00B77D90">
        <w:rPr>
          <w:lang w:val="fr-FR"/>
        </w:rPr>
        <w:t>une grâce présidentielle. Le 17 mai 2013, la 3</w:t>
      </w:r>
      <w:r w:rsidRPr="00B77D90">
        <w:rPr>
          <w:vertAlign w:val="superscript"/>
          <w:lang w:val="fr-FR"/>
        </w:rPr>
        <w:t>e</w:t>
      </w:r>
      <w:r w:rsidRPr="00B77D90">
        <w:rPr>
          <w:lang w:val="fr-FR"/>
        </w:rPr>
        <w:t xml:space="preserve"> chambre de l</w:t>
      </w:r>
      <w:r w:rsidRPr="00B77D90" w:rsidR="00B77D90">
        <w:rPr>
          <w:lang w:val="fr-FR"/>
        </w:rPr>
        <w:t>’</w:t>
      </w:r>
      <w:r w:rsidRPr="00B77D90">
        <w:rPr>
          <w:lang w:val="fr-FR"/>
        </w:rPr>
        <w:t>institut médicolégal confirma que le requérant ne pouvait accomplir seul les actes essentiels de la vie quotidienne dans un établissement pénitentiaire ; elle indiqua par ailleurs que l</w:t>
      </w:r>
      <w:r w:rsidRPr="00B77D90" w:rsidR="00B77D90">
        <w:rPr>
          <w:lang w:val="fr-FR"/>
        </w:rPr>
        <w:t>’</w:t>
      </w:r>
      <w:r w:rsidRPr="00B77D90">
        <w:rPr>
          <w:lang w:val="fr-FR"/>
        </w:rPr>
        <w:t>appréciation de la dangerosité de l</w:t>
      </w:r>
      <w:r w:rsidRPr="00B77D90" w:rsidR="00B77D90">
        <w:rPr>
          <w:lang w:val="fr-FR"/>
        </w:rPr>
        <w:t>’</w:t>
      </w:r>
      <w:r w:rsidRPr="00B77D90">
        <w:rPr>
          <w:lang w:val="fr-FR"/>
        </w:rPr>
        <w:t>intéressé n</w:t>
      </w:r>
      <w:r w:rsidRPr="00B77D90" w:rsidR="00B77D90">
        <w:rPr>
          <w:lang w:val="fr-FR"/>
        </w:rPr>
        <w:t>’</w:t>
      </w:r>
      <w:r w:rsidRPr="00B77D90">
        <w:rPr>
          <w:lang w:val="fr-FR"/>
        </w:rPr>
        <w:t>était pas de son ressort.</w:t>
      </w:r>
    </w:p>
    <w:p w:rsidRPr="00B77D90" w:rsidR="009E7AAD" w:rsidP="00B77D90" w:rsidRDefault="009E7AAD">
      <w:pPr>
        <w:pStyle w:val="JuHA"/>
        <w:jc w:val="left"/>
        <w:rPr>
          <w:lang w:val="fr-FR"/>
        </w:rPr>
      </w:pPr>
      <w:r w:rsidRPr="00B77D90">
        <w:rPr>
          <w:lang w:val="fr-FR"/>
        </w:rPr>
        <w:t>Les conditions de détention du requérant</w:t>
      </w:r>
    </w:p>
    <w:p w:rsidRPr="00B77D90" w:rsidR="009E7AAD" w:rsidP="00B77D90" w:rsidRDefault="009E7AAD">
      <w:pPr>
        <w:pStyle w:val="JuH1"/>
        <w:jc w:val="left"/>
        <w:rPr>
          <w:lang w:val="fr-FR"/>
        </w:rPr>
      </w:pPr>
      <w:r w:rsidRPr="00B77D90">
        <w:rPr>
          <w:lang w:val="fr-FR"/>
        </w:rPr>
        <w:t>La prison de type M de Batman</w:t>
      </w:r>
    </w:p>
    <w:p w:rsidRPr="00B77D90" w:rsidR="009E7AAD" w:rsidP="00B77D90" w:rsidRDefault="009E7AAD">
      <w:pPr>
        <w:pStyle w:val="JuPara"/>
        <w:rPr>
          <w:lang w:val="fr-FR"/>
        </w:rPr>
      </w:pPr>
      <w:bookmarkStart w:name="conditions1" w:id="8"/>
      <w:r w:rsidRPr="00B77D90">
        <w:rPr>
          <w:lang w:val="fr-FR"/>
        </w:rPr>
        <w:t>21</w:t>
      </w:r>
      <w:bookmarkEnd w:id="8"/>
      <w:r w:rsidRPr="00B77D90">
        <w:rPr>
          <w:lang w:val="fr-FR"/>
        </w:rPr>
        <w:t>.  Après sa libération en 2004 (paragraphe 8 ci-dessus), le requérant fut réincarcéré dans la prison de Batman le 6 avril 2009. Il y occupa différentes unités de vie composées de huit à quatorze personnes. Ces unités de vie étaient toutes similaires et disposaient, au rez-de-chaussée, d</w:t>
      </w:r>
      <w:r w:rsidRPr="00B77D90" w:rsidR="00B77D90">
        <w:rPr>
          <w:lang w:val="fr-FR"/>
        </w:rPr>
        <w:t>’</w:t>
      </w:r>
      <w:r w:rsidRPr="00B77D90">
        <w:rPr>
          <w:lang w:val="fr-FR"/>
        </w:rPr>
        <w:t>une pièce principale, d</w:t>
      </w:r>
      <w:r w:rsidRPr="00B77D90" w:rsidR="00B77D90">
        <w:rPr>
          <w:lang w:val="fr-FR"/>
        </w:rPr>
        <w:t>’</w:t>
      </w:r>
      <w:r w:rsidRPr="00B77D90">
        <w:rPr>
          <w:lang w:val="fr-FR"/>
        </w:rPr>
        <w:t>un coin cuisine, d</w:t>
      </w:r>
      <w:r w:rsidRPr="00B77D90" w:rsidR="00B77D90">
        <w:rPr>
          <w:lang w:val="fr-FR"/>
        </w:rPr>
        <w:t>’</w:t>
      </w:r>
      <w:r w:rsidRPr="00B77D90">
        <w:rPr>
          <w:lang w:val="fr-FR"/>
        </w:rPr>
        <w:t>une pièce abritant les équipements sanitaires et d</w:t>
      </w:r>
      <w:r w:rsidRPr="00B77D90" w:rsidR="00B77D90">
        <w:rPr>
          <w:lang w:val="fr-FR"/>
        </w:rPr>
        <w:t>’</w:t>
      </w:r>
      <w:r w:rsidRPr="00B77D90">
        <w:rPr>
          <w:lang w:val="fr-FR"/>
        </w:rPr>
        <w:t>une sortie vers la cour de promenade. À l</w:t>
      </w:r>
      <w:r w:rsidRPr="00B77D90" w:rsidR="00B77D90">
        <w:rPr>
          <w:lang w:val="fr-FR"/>
        </w:rPr>
        <w:t>’</w:t>
      </w:r>
      <w:r w:rsidRPr="00B77D90">
        <w:rPr>
          <w:lang w:val="fr-FR"/>
        </w:rPr>
        <w:t>étage supérieur, accessible par des escaliers, se trouvaient des lits et des armoires.</w:t>
      </w:r>
    </w:p>
    <w:p w:rsidRPr="00B77D90" w:rsidR="009E7AAD" w:rsidP="00B77D90" w:rsidRDefault="009E7AAD">
      <w:pPr>
        <w:pStyle w:val="JuPara"/>
        <w:rPr>
          <w:lang w:val="fr-FR"/>
        </w:rPr>
      </w:pPr>
      <w:r w:rsidRPr="00B77D90">
        <w:rPr>
          <w:lang w:val="fr-FR"/>
        </w:rPr>
        <w:t>22.  Le requérant disposait d</w:t>
      </w:r>
      <w:r w:rsidRPr="00B77D90" w:rsidR="00B77D90">
        <w:rPr>
          <w:lang w:val="fr-FR"/>
        </w:rPr>
        <w:t>’</w:t>
      </w:r>
      <w:r w:rsidRPr="00B77D90">
        <w:rPr>
          <w:lang w:val="fr-FR"/>
        </w:rPr>
        <w:t>un fauteuil roulant et avait accès à la cour de promenade quotidiennement (durée non précisée par les parties). Il participait à des activités sociales et à des travaux manuels (modalités et fréquence non précisées par les parties). Ses draps étaient lavés une fois par semaine par des membres de sa famille, qui venaient les récupérer à la prison.</w:t>
      </w:r>
    </w:p>
    <w:p w:rsidRPr="00B77D90" w:rsidR="009E7AAD" w:rsidP="00B77D90" w:rsidRDefault="009E7AAD">
      <w:pPr>
        <w:pStyle w:val="JuPara"/>
        <w:rPr>
          <w:lang w:val="fr-FR"/>
        </w:rPr>
      </w:pPr>
      <w:bookmarkStart w:name="liberationfrere" w:id="9"/>
      <w:r w:rsidRPr="00B77D90">
        <w:rPr>
          <w:lang w:val="fr-FR"/>
        </w:rPr>
        <w:t>23</w:t>
      </w:r>
      <w:bookmarkEnd w:id="9"/>
      <w:r w:rsidRPr="00B77D90">
        <w:rPr>
          <w:lang w:val="fr-FR"/>
        </w:rPr>
        <w:t>.  Une fois réincarcéré, le requérant bénéficia des soins de son frère, qui faisait partie de ses codétenus. Cette situation dura jusqu</w:t>
      </w:r>
      <w:r w:rsidRPr="00B77D90" w:rsidR="00B77D90">
        <w:rPr>
          <w:lang w:val="fr-FR"/>
        </w:rPr>
        <w:t>’</w:t>
      </w:r>
      <w:r w:rsidRPr="00B77D90">
        <w:rPr>
          <w:lang w:val="fr-FR"/>
        </w:rPr>
        <w:t>au 11 avril 2011, date à laquelle son frère, qui avait purgé sa peine, fut libéré.</w:t>
      </w:r>
    </w:p>
    <w:p w:rsidRPr="00B77D90" w:rsidR="009E7AAD" w:rsidP="00B77D90" w:rsidRDefault="009E7AAD">
      <w:pPr>
        <w:pStyle w:val="JuPara"/>
        <w:rPr>
          <w:lang w:val="fr-FR"/>
        </w:rPr>
      </w:pPr>
      <w:bookmarkStart w:name="demandedamelioration" w:id="10"/>
      <w:r w:rsidRPr="00B77D90">
        <w:rPr>
          <w:lang w:val="fr-FR"/>
        </w:rPr>
        <w:t>24</w:t>
      </w:r>
      <w:bookmarkEnd w:id="10"/>
      <w:r w:rsidRPr="00B77D90">
        <w:rPr>
          <w:lang w:val="fr-FR"/>
        </w:rPr>
        <w:t>.  Le 20 avril 2011, le requérant introduisit une demande d</w:t>
      </w:r>
      <w:r w:rsidRPr="00B77D90" w:rsidR="00B77D90">
        <w:rPr>
          <w:lang w:val="fr-FR"/>
        </w:rPr>
        <w:t>’</w:t>
      </w:r>
      <w:r w:rsidRPr="00B77D90">
        <w:rPr>
          <w:lang w:val="fr-FR"/>
        </w:rPr>
        <w:t>amélioration de ses conditions de détention. Il sollicita en particulier son placement dans une unité de vie disposant de facilités propres à lui permettre de pourvoir seul à ses besoins, ainsi qu</w:t>
      </w:r>
      <w:r w:rsidRPr="00B77D90" w:rsidR="00B77D90">
        <w:rPr>
          <w:lang w:val="fr-FR"/>
        </w:rPr>
        <w:t>’</w:t>
      </w:r>
      <w:r w:rsidRPr="00B77D90">
        <w:rPr>
          <w:lang w:val="fr-FR"/>
        </w:rPr>
        <w:t>une autorisation de recevoir de la part de sa famille du pain au blé complet, adapté à son régime alimentaire.</w:t>
      </w:r>
    </w:p>
    <w:p w:rsidRPr="00B77D90" w:rsidR="009E7AAD" w:rsidP="00B77D90" w:rsidRDefault="009E7AAD">
      <w:pPr>
        <w:pStyle w:val="JuPara"/>
        <w:rPr>
          <w:lang w:val="fr-FR"/>
        </w:rPr>
      </w:pPr>
      <w:r w:rsidRPr="00B77D90">
        <w:rPr>
          <w:lang w:val="fr-FR"/>
        </w:rPr>
        <w:t>25.  Le 22 avril 2011, une autorisation d</w:t>
      </w:r>
      <w:r w:rsidRPr="00B77D90" w:rsidR="00B77D90">
        <w:rPr>
          <w:lang w:val="fr-FR"/>
        </w:rPr>
        <w:t>’</w:t>
      </w:r>
      <w:r w:rsidRPr="00B77D90">
        <w:rPr>
          <w:lang w:val="fr-FR"/>
        </w:rPr>
        <w:t>approvisionnement en pain au blé complet fut accordée. L</w:t>
      </w:r>
      <w:r w:rsidRPr="00B77D90" w:rsidR="00B77D90">
        <w:rPr>
          <w:lang w:val="fr-FR"/>
        </w:rPr>
        <w:t>’</w:t>
      </w:r>
      <w:r w:rsidRPr="00B77D90">
        <w:rPr>
          <w:lang w:val="fr-FR"/>
        </w:rPr>
        <w:t>administration pénitentiaire précisa dans sa décision que du pain de cette catégorie était fourni aux détenus qui en faisaient la demande mais que le requérant ne l</w:t>
      </w:r>
      <w:r w:rsidRPr="00B77D90" w:rsidR="00B77D90">
        <w:rPr>
          <w:lang w:val="fr-FR"/>
        </w:rPr>
        <w:t>’</w:t>
      </w:r>
      <w:r w:rsidRPr="00B77D90">
        <w:rPr>
          <w:lang w:val="fr-FR"/>
        </w:rPr>
        <w:t>appréciait pas et qu</w:t>
      </w:r>
      <w:r w:rsidRPr="00B77D90" w:rsidR="00B77D90">
        <w:rPr>
          <w:lang w:val="fr-FR"/>
        </w:rPr>
        <w:t>’</w:t>
      </w:r>
      <w:r w:rsidRPr="00B77D90">
        <w:rPr>
          <w:lang w:val="fr-FR"/>
        </w:rPr>
        <w:t>une autorisation spécifique lui avait donc été accordée au vu de son état de santé, avec mise en place d</w:t>
      </w:r>
      <w:r w:rsidRPr="00B77D90" w:rsidR="00B77D90">
        <w:rPr>
          <w:lang w:val="fr-FR"/>
        </w:rPr>
        <w:t>’</w:t>
      </w:r>
      <w:r w:rsidRPr="00B77D90">
        <w:rPr>
          <w:lang w:val="fr-FR"/>
        </w:rPr>
        <w:t>un dispositif de sécurité.</w:t>
      </w:r>
    </w:p>
    <w:p w:rsidRPr="00B77D90" w:rsidR="009E7AAD" w:rsidP="00B77D90" w:rsidRDefault="009E7AAD">
      <w:pPr>
        <w:pStyle w:val="JuPara"/>
        <w:rPr>
          <w:lang w:val="fr-FR"/>
        </w:rPr>
      </w:pPr>
      <w:r w:rsidRPr="00B77D90">
        <w:rPr>
          <w:lang w:val="fr-FR"/>
        </w:rPr>
        <w:t>26.  Le 27 avril 2011, le comité administratif de la prison décida d</w:t>
      </w:r>
      <w:r w:rsidRPr="00B77D90" w:rsidR="00B77D90">
        <w:rPr>
          <w:lang w:val="fr-FR"/>
        </w:rPr>
        <w:t>’</w:t>
      </w:r>
      <w:r w:rsidRPr="00B77D90">
        <w:rPr>
          <w:lang w:val="fr-FR"/>
        </w:rPr>
        <w:t>attribuer la fonction d</w:t>
      </w:r>
      <w:r w:rsidRPr="00B77D90" w:rsidR="00B77D90">
        <w:rPr>
          <w:lang w:val="fr-FR"/>
        </w:rPr>
        <w:t>’</w:t>
      </w:r>
      <w:r w:rsidRPr="00B77D90">
        <w:rPr>
          <w:lang w:val="fr-FR"/>
        </w:rPr>
        <w:t>aide-soignant à deux codétenus du requérant et de leur accorder un salaire selon les principes qui régissaient le travail des détenus. La décision indiquait que l</w:t>
      </w:r>
      <w:r w:rsidRPr="00B77D90" w:rsidR="00B77D90">
        <w:rPr>
          <w:lang w:val="fr-FR"/>
        </w:rPr>
        <w:t>’</w:t>
      </w:r>
      <w:r w:rsidRPr="00B77D90">
        <w:rPr>
          <w:lang w:val="fr-FR"/>
        </w:rPr>
        <w:t>aide consisterait à porter le requérant entre les étages de son unité de vie et à l</w:t>
      </w:r>
      <w:r w:rsidRPr="00B77D90" w:rsidR="00B77D90">
        <w:rPr>
          <w:lang w:val="fr-FR"/>
        </w:rPr>
        <w:t>’</w:t>
      </w:r>
      <w:r w:rsidRPr="00B77D90">
        <w:rPr>
          <w:lang w:val="fr-FR"/>
        </w:rPr>
        <w:t>assister pour ses besoins d</w:t>
      </w:r>
      <w:r w:rsidRPr="00B77D90" w:rsidR="00B77D90">
        <w:rPr>
          <w:lang w:val="fr-FR"/>
        </w:rPr>
        <w:t>’</w:t>
      </w:r>
      <w:r w:rsidRPr="00B77D90">
        <w:rPr>
          <w:lang w:val="fr-FR"/>
        </w:rPr>
        <w:t>hygiène personnelle.</w:t>
      </w:r>
    </w:p>
    <w:p w:rsidRPr="00B77D90" w:rsidR="009E7AAD" w:rsidP="00B77D90" w:rsidRDefault="009E7AAD">
      <w:pPr>
        <w:pStyle w:val="JuPara"/>
        <w:rPr>
          <w:lang w:val="fr-FR"/>
        </w:rPr>
      </w:pPr>
      <w:r w:rsidRPr="00B77D90">
        <w:rPr>
          <w:lang w:val="fr-FR"/>
        </w:rPr>
        <w:t>27.  Par une demande du 9 août 2012, le requérant fit savoir qu</w:t>
      </w:r>
      <w:r w:rsidRPr="00B77D90" w:rsidR="00B77D90">
        <w:rPr>
          <w:lang w:val="fr-FR"/>
        </w:rPr>
        <w:t>’</w:t>
      </w:r>
      <w:r w:rsidRPr="00B77D90">
        <w:rPr>
          <w:lang w:val="fr-FR"/>
        </w:rPr>
        <w:t>ayant été informé du transfert prochain de ses codétenus il préférait être transféré à la prison de Diyarbakır, qui disposait d</w:t>
      </w:r>
      <w:r w:rsidRPr="00B77D90" w:rsidR="00B77D90">
        <w:rPr>
          <w:lang w:val="fr-FR"/>
        </w:rPr>
        <w:t>’</w:t>
      </w:r>
      <w:r w:rsidRPr="00B77D90">
        <w:rPr>
          <w:lang w:val="fr-FR"/>
        </w:rPr>
        <w:t>unités de vie sur un seul niveau. Le 25 septembre 2012, le requérant fut transféré à cette prison.</w:t>
      </w:r>
    </w:p>
    <w:p w:rsidRPr="00B77D90" w:rsidR="009E7AAD" w:rsidP="00B77D90" w:rsidRDefault="009E7AAD">
      <w:pPr>
        <w:pStyle w:val="JuPara"/>
        <w:rPr>
          <w:lang w:val="fr-FR"/>
        </w:rPr>
      </w:pPr>
      <w:bookmarkStart w:name="jugedexec" w:id="11"/>
      <w:r w:rsidRPr="00B77D90">
        <w:rPr>
          <w:lang w:val="fr-FR"/>
        </w:rPr>
        <w:t>28</w:t>
      </w:r>
      <w:bookmarkEnd w:id="11"/>
      <w:r w:rsidRPr="00B77D90">
        <w:rPr>
          <w:lang w:val="fr-FR"/>
        </w:rPr>
        <w:t>.  Le 26 décembre 2017, le juge de l</w:t>
      </w:r>
      <w:r w:rsidRPr="00B77D90" w:rsidR="00B77D90">
        <w:rPr>
          <w:lang w:val="fr-FR"/>
        </w:rPr>
        <w:t>’</w:t>
      </w:r>
      <w:r w:rsidRPr="00B77D90">
        <w:rPr>
          <w:lang w:val="fr-FR"/>
        </w:rPr>
        <w:t>exécution des peines de Batman rendit relativement à la demande du 20 avril 2011 (paragraphe 24 ci-dessus) une décision qui reprenait les éléments susmentionnés et qui indiquait que, l</w:t>
      </w:r>
      <w:r w:rsidRPr="00B77D90" w:rsidR="00B77D90">
        <w:rPr>
          <w:lang w:val="fr-FR"/>
        </w:rPr>
        <w:t>’</w:t>
      </w:r>
      <w:r w:rsidRPr="00B77D90">
        <w:rPr>
          <w:lang w:val="fr-FR"/>
        </w:rPr>
        <w:t>intéressé ayant été libéré le 14 juin 2013 (paragraphe 11 ci-dessus), il y avait lieu de rayer l</w:t>
      </w:r>
      <w:r w:rsidRPr="00B77D90" w:rsidR="00B77D90">
        <w:rPr>
          <w:lang w:val="fr-FR"/>
        </w:rPr>
        <w:t>’</w:t>
      </w:r>
      <w:r w:rsidRPr="00B77D90">
        <w:rPr>
          <w:lang w:val="fr-FR"/>
        </w:rPr>
        <w:t>affaire du rôle (</w:t>
      </w:r>
      <w:proofErr w:type="spellStart"/>
      <w:r w:rsidRPr="00B77D90">
        <w:rPr>
          <w:i/>
          <w:lang w:val="fr-FR"/>
        </w:rPr>
        <w:t>karar</w:t>
      </w:r>
      <w:proofErr w:type="spellEnd"/>
      <w:r w:rsidRPr="00B77D90">
        <w:rPr>
          <w:i/>
          <w:lang w:val="fr-FR"/>
        </w:rPr>
        <w:t xml:space="preserve"> </w:t>
      </w:r>
      <w:proofErr w:type="spellStart"/>
      <w:r w:rsidRPr="00B77D90">
        <w:rPr>
          <w:i/>
          <w:lang w:val="fr-FR"/>
        </w:rPr>
        <w:t>verilmesine</w:t>
      </w:r>
      <w:proofErr w:type="spellEnd"/>
      <w:r w:rsidRPr="00B77D90">
        <w:rPr>
          <w:i/>
          <w:lang w:val="fr-FR"/>
        </w:rPr>
        <w:t xml:space="preserve"> </w:t>
      </w:r>
      <w:proofErr w:type="spellStart"/>
      <w:r w:rsidRPr="00B77D90">
        <w:rPr>
          <w:i/>
          <w:lang w:val="fr-FR"/>
        </w:rPr>
        <w:t>yer</w:t>
      </w:r>
      <w:proofErr w:type="spellEnd"/>
      <w:r w:rsidRPr="00B77D90">
        <w:rPr>
          <w:i/>
          <w:lang w:val="fr-FR"/>
        </w:rPr>
        <w:t xml:space="preserve"> </w:t>
      </w:r>
      <w:proofErr w:type="spellStart"/>
      <w:r w:rsidRPr="00B77D90">
        <w:rPr>
          <w:i/>
          <w:lang w:val="fr-FR"/>
        </w:rPr>
        <w:t>olmadığına</w:t>
      </w:r>
      <w:proofErr w:type="spellEnd"/>
      <w:r w:rsidRPr="00B77D90">
        <w:rPr>
          <w:lang w:val="fr-FR"/>
        </w:rPr>
        <w:t>).</w:t>
      </w:r>
    </w:p>
    <w:p w:rsidRPr="00B77D90" w:rsidR="009E7AAD" w:rsidP="00B77D90" w:rsidRDefault="009E7AAD">
      <w:pPr>
        <w:pStyle w:val="JuH1"/>
        <w:jc w:val="left"/>
        <w:rPr>
          <w:lang w:val="fr-FR"/>
        </w:rPr>
      </w:pPr>
      <w:r w:rsidRPr="00B77D90">
        <w:rPr>
          <w:lang w:val="fr-FR"/>
        </w:rPr>
        <w:t>La prison de type D de Diyarbakır</w:t>
      </w:r>
    </w:p>
    <w:p w:rsidRPr="00B77D90" w:rsidR="009E7AAD" w:rsidP="00B77D90" w:rsidRDefault="009E7AAD">
      <w:pPr>
        <w:pStyle w:val="JuPara"/>
        <w:rPr>
          <w:lang w:val="fr-FR"/>
        </w:rPr>
      </w:pPr>
      <w:r w:rsidRPr="00B77D90">
        <w:rPr>
          <w:lang w:val="fr-FR"/>
        </w:rPr>
        <w:t>29.  Le 25 septembre 2012, le requérant fut transféré à la prison de Diyarbakır. Il fut placé dans un dortoir de six personnes situé au 1</w:t>
      </w:r>
      <w:r w:rsidRPr="00B77D90">
        <w:rPr>
          <w:vertAlign w:val="superscript"/>
          <w:lang w:val="fr-FR"/>
        </w:rPr>
        <w:t>er</w:t>
      </w:r>
      <w:r w:rsidRPr="00B77D90">
        <w:rPr>
          <w:lang w:val="fr-FR"/>
        </w:rPr>
        <w:t xml:space="preserve"> étage et accessible par un ascenseur. Le dortoir était aménagé sur un seul niveau et disposait d</w:t>
      </w:r>
      <w:r w:rsidRPr="00B77D90" w:rsidR="00B77D90">
        <w:rPr>
          <w:lang w:val="fr-FR"/>
        </w:rPr>
        <w:t>’</w:t>
      </w:r>
      <w:r w:rsidRPr="00B77D90">
        <w:rPr>
          <w:lang w:val="fr-FR"/>
        </w:rPr>
        <w:t>un coin cuisine. Les équipements sanitaires se trouvaient dans une pièce séparée, et des tables et des chaises étaient disponibles dans une autre pièce. Deux fauteuils roulants étaient à la disposition du requérant, l</w:t>
      </w:r>
      <w:r w:rsidRPr="00B77D90" w:rsidR="00B77D90">
        <w:rPr>
          <w:lang w:val="fr-FR"/>
        </w:rPr>
        <w:t>’</w:t>
      </w:r>
      <w:r w:rsidRPr="00B77D90">
        <w:rPr>
          <w:lang w:val="fr-FR"/>
        </w:rPr>
        <w:t>un pour les besoins spécifiques qui pouvaient être les siens lorsqu</w:t>
      </w:r>
      <w:r w:rsidRPr="00B77D90" w:rsidR="00B77D90">
        <w:rPr>
          <w:lang w:val="fr-FR"/>
        </w:rPr>
        <w:t>’</w:t>
      </w:r>
      <w:r w:rsidRPr="00B77D90">
        <w:rPr>
          <w:lang w:val="fr-FR"/>
        </w:rPr>
        <w:t>il séjournait dans la pièce renfermant les équipements sanitaires, l</w:t>
      </w:r>
      <w:r w:rsidRPr="00B77D90" w:rsidR="00B77D90">
        <w:rPr>
          <w:lang w:val="fr-FR"/>
        </w:rPr>
        <w:t>’</w:t>
      </w:r>
      <w:r w:rsidRPr="00B77D90">
        <w:rPr>
          <w:lang w:val="fr-FR"/>
        </w:rPr>
        <w:t>autre pour sa circulation dans l</w:t>
      </w:r>
      <w:r w:rsidRPr="00B77D90" w:rsidR="00B77D90">
        <w:rPr>
          <w:lang w:val="fr-FR"/>
        </w:rPr>
        <w:t>’</w:t>
      </w:r>
      <w:r w:rsidRPr="00B77D90">
        <w:rPr>
          <w:lang w:val="fr-FR"/>
        </w:rPr>
        <w:t>unité de vie et la prison. À une date non précisée, la porte de la salle de bain fut élargie pour permettre de laisser passer les fauteuils roulants.</w:t>
      </w:r>
    </w:p>
    <w:p w:rsidRPr="00B77D90" w:rsidR="009E7AAD" w:rsidP="00B77D90" w:rsidRDefault="009E7AAD">
      <w:pPr>
        <w:pStyle w:val="JuPara"/>
        <w:rPr>
          <w:lang w:val="fr-FR"/>
        </w:rPr>
      </w:pPr>
      <w:r w:rsidRPr="00B77D90">
        <w:rPr>
          <w:lang w:val="fr-FR"/>
        </w:rPr>
        <w:t>30.  Sous réserve des variations saisonnières, les détenus avaient accès environ dix heures par jour à la cour de promenade.</w:t>
      </w:r>
    </w:p>
    <w:p w:rsidRPr="00B77D90" w:rsidR="009E7AAD" w:rsidP="00B77D90" w:rsidRDefault="009E7AAD">
      <w:pPr>
        <w:pStyle w:val="JuPara"/>
        <w:rPr>
          <w:lang w:val="fr-FR"/>
        </w:rPr>
      </w:pPr>
      <w:r w:rsidRPr="00B77D90">
        <w:rPr>
          <w:lang w:val="fr-FR"/>
        </w:rPr>
        <w:t>31.  Le requérant ne participa à aucune activité sociale durant son séjour dans cette prison. D</w:t>
      </w:r>
      <w:r w:rsidRPr="00B77D90" w:rsidR="00B77D90">
        <w:rPr>
          <w:lang w:val="fr-FR"/>
        </w:rPr>
        <w:t>’</w:t>
      </w:r>
      <w:r w:rsidRPr="00B77D90">
        <w:rPr>
          <w:lang w:val="fr-FR"/>
        </w:rPr>
        <w:t>après le Gouvernement, il n</w:t>
      </w:r>
      <w:r w:rsidRPr="00B77D90" w:rsidR="00B77D90">
        <w:rPr>
          <w:lang w:val="fr-FR"/>
        </w:rPr>
        <w:t>’</w:t>
      </w:r>
      <w:r w:rsidRPr="00B77D90">
        <w:rPr>
          <w:lang w:val="fr-FR"/>
        </w:rPr>
        <w:t>exprima jamais le moindre souhait de participer à de telles activités.</w:t>
      </w:r>
    </w:p>
    <w:p w:rsidRPr="00B77D90" w:rsidR="009E7AAD" w:rsidP="00B77D90" w:rsidRDefault="009E7AAD">
      <w:pPr>
        <w:pStyle w:val="JuPara"/>
        <w:rPr>
          <w:lang w:val="fr-FR"/>
        </w:rPr>
      </w:pPr>
      <w:bookmarkStart w:name="conditions2" w:id="12"/>
      <w:r w:rsidRPr="00B77D90">
        <w:rPr>
          <w:lang w:val="fr-FR"/>
        </w:rPr>
        <w:t>32</w:t>
      </w:r>
      <w:bookmarkEnd w:id="12"/>
      <w:r w:rsidRPr="00B77D90">
        <w:rPr>
          <w:lang w:val="fr-FR"/>
        </w:rPr>
        <w:t>.  Le 29 avril 2013, un codétenu du requérant fut désigné comme aide-soignant par le comité administratif de la prison de Diyarbakır et un salaire lui fut versé selon les principes qui régissaient le travail des détenus.</w:t>
      </w:r>
    </w:p>
    <w:p w:rsidRPr="00B77D90" w:rsidR="009E7AAD" w:rsidP="00B77D90" w:rsidRDefault="009E7AAD">
      <w:pPr>
        <w:pStyle w:val="JuPara"/>
        <w:rPr>
          <w:lang w:val="fr-FR"/>
        </w:rPr>
      </w:pPr>
      <w:r w:rsidRPr="00B77D90">
        <w:rPr>
          <w:lang w:val="fr-FR"/>
        </w:rPr>
        <w:t>33.  Le 14 juin 2013, il fut sursis à l</w:t>
      </w:r>
      <w:r w:rsidRPr="00B77D90" w:rsidR="00B77D90">
        <w:rPr>
          <w:lang w:val="fr-FR"/>
        </w:rPr>
        <w:t>’</w:t>
      </w:r>
      <w:r w:rsidRPr="00B77D90">
        <w:rPr>
          <w:lang w:val="fr-FR"/>
        </w:rPr>
        <w:t>exécution de la peine du requérant et celui-ci fut libéré le même jour (paragraphe 11 ci-dessus).</w:t>
      </w:r>
    </w:p>
    <w:p w:rsidRPr="00B77D90" w:rsidR="009E7AAD" w:rsidP="00B77D90" w:rsidRDefault="009E7AAD">
      <w:pPr>
        <w:pStyle w:val="JuHA"/>
        <w:jc w:val="left"/>
      </w:pPr>
      <w:proofErr w:type="spellStart"/>
      <w:r w:rsidRPr="00B77D90">
        <w:t>Autres</w:t>
      </w:r>
      <w:proofErr w:type="spellEnd"/>
      <w:r w:rsidRPr="00B77D90">
        <w:t xml:space="preserve"> </w:t>
      </w:r>
      <w:proofErr w:type="spellStart"/>
      <w:r w:rsidRPr="00B77D90">
        <w:t>informations</w:t>
      </w:r>
      <w:proofErr w:type="spellEnd"/>
      <w:r w:rsidRPr="00B77D90">
        <w:t xml:space="preserve"> </w:t>
      </w:r>
      <w:proofErr w:type="spellStart"/>
      <w:r w:rsidRPr="00B77D90">
        <w:t>pertinentes</w:t>
      </w:r>
      <w:proofErr w:type="spellEnd"/>
    </w:p>
    <w:p w:rsidRPr="00B77D90" w:rsidR="009E7AAD" w:rsidP="00B77D90" w:rsidRDefault="009E7AAD">
      <w:pPr>
        <w:pStyle w:val="JuPara"/>
        <w:rPr>
          <w:lang w:val="fr-FR"/>
        </w:rPr>
      </w:pPr>
      <w:bookmarkStart w:name="Rtype" w:id="13"/>
      <w:r w:rsidRPr="00B77D90">
        <w:rPr>
          <w:lang w:val="fr-FR"/>
        </w:rPr>
        <w:t>34</w:t>
      </w:r>
      <w:bookmarkEnd w:id="13"/>
      <w:r w:rsidRPr="00B77D90">
        <w:rPr>
          <w:lang w:val="fr-FR"/>
        </w:rPr>
        <w:t>.  Le Gouvernement expose que deux prisons de type R, prévues pour les détenus à mobilité réduite ou dont l</w:t>
      </w:r>
      <w:r w:rsidRPr="00B77D90" w:rsidR="00B77D90">
        <w:rPr>
          <w:lang w:val="fr-FR"/>
        </w:rPr>
        <w:t>’</w:t>
      </w:r>
      <w:r w:rsidRPr="00B77D90">
        <w:rPr>
          <w:lang w:val="fr-FR"/>
        </w:rPr>
        <w:t>état de santé peut nécessiter une prise en charge particulière, ont jusqu</w:t>
      </w:r>
      <w:r w:rsidRPr="00B77D90" w:rsidR="00B77D90">
        <w:rPr>
          <w:lang w:val="fr-FR"/>
        </w:rPr>
        <w:t>’</w:t>
      </w:r>
      <w:r w:rsidRPr="00B77D90">
        <w:rPr>
          <w:lang w:val="fr-FR"/>
        </w:rPr>
        <w:t xml:space="preserve">ici été mises en fonction : la première le 11 juin 2009 à </w:t>
      </w:r>
      <w:proofErr w:type="spellStart"/>
      <w:r w:rsidRPr="00B77D90">
        <w:rPr>
          <w:lang w:val="fr-FR"/>
        </w:rPr>
        <w:t>Metris</w:t>
      </w:r>
      <w:proofErr w:type="spellEnd"/>
      <w:r w:rsidRPr="00B77D90">
        <w:rPr>
          <w:lang w:val="fr-FR"/>
        </w:rPr>
        <w:t xml:space="preserve">, la seconde le 13 janvier 2015 à </w:t>
      </w:r>
      <w:proofErr w:type="spellStart"/>
      <w:r w:rsidRPr="00B77D90">
        <w:rPr>
          <w:lang w:val="fr-FR"/>
        </w:rPr>
        <w:t>Menemen</w:t>
      </w:r>
      <w:proofErr w:type="spellEnd"/>
      <w:r w:rsidRPr="00B77D90">
        <w:rPr>
          <w:lang w:val="fr-FR"/>
        </w:rPr>
        <w:t>. Il indique qu</w:t>
      </w:r>
      <w:r w:rsidRPr="00B77D90" w:rsidR="00B77D90">
        <w:rPr>
          <w:lang w:val="fr-FR"/>
        </w:rPr>
        <w:t>’</w:t>
      </w:r>
      <w:r w:rsidRPr="00B77D90">
        <w:rPr>
          <w:lang w:val="fr-FR"/>
        </w:rPr>
        <w:t>une troisième prison de cette catégorie est en construction à Elazığ. Il ajoute que tous les établissements pénitentiaires récents, quelle que soit leur catégorie, sont adaptés à la circulation des personnes à mobilité réduite, notamment du point de vue de la largeur des portes des pièces renfermant les équipements sanitaires.</w:t>
      </w:r>
    </w:p>
    <w:p w:rsidRPr="00B77D90" w:rsidR="009E7AAD" w:rsidP="00B77D90" w:rsidRDefault="009E7AAD">
      <w:pPr>
        <w:pStyle w:val="JuHHead"/>
        <w:jc w:val="left"/>
      </w:pPr>
      <w:r w:rsidRPr="00B77D90">
        <w:t>EN DROIT</w:t>
      </w:r>
    </w:p>
    <w:p w:rsidRPr="00B77D90" w:rsidR="009E7AAD" w:rsidP="00B77D90" w:rsidRDefault="009E7AAD">
      <w:pPr>
        <w:pStyle w:val="JuHIRoman"/>
        <w:jc w:val="left"/>
        <w:rPr>
          <w:lang w:val="fr-FR"/>
        </w:rPr>
      </w:pPr>
      <w:r w:rsidRPr="00B77D90">
        <w:rPr>
          <w:lang w:val="fr-FR"/>
        </w:rPr>
        <w:t>SUR LA VIOLATION ALLÉGUÉE DE L</w:t>
      </w:r>
      <w:r w:rsidRPr="00B77D90" w:rsidR="00B77D90">
        <w:rPr>
          <w:lang w:val="fr-FR"/>
        </w:rPr>
        <w:t>’</w:t>
      </w:r>
      <w:r w:rsidRPr="00B77D90">
        <w:rPr>
          <w:lang w:val="fr-FR"/>
        </w:rPr>
        <w:t>ARTICLE 3 DE LA CONVENTION</w:t>
      </w:r>
    </w:p>
    <w:p w:rsidRPr="00B77D90" w:rsidR="009E7AAD" w:rsidP="00B77D90" w:rsidRDefault="009E7AAD">
      <w:pPr>
        <w:pStyle w:val="JuPara"/>
        <w:rPr>
          <w:lang w:val="fr-FR"/>
        </w:rPr>
      </w:pPr>
      <w:r w:rsidRPr="00B77D90">
        <w:rPr>
          <w:lang w:val="fr-FR"/>
        </w:rPr>
        <w:t>35.  Le requérant se plaint d</w:t>
      </w:r>
      <w:r w:rsidRPr="00B77D90" w:rsidR="00B77D90">
        <w:rPr>
          <w:lang w:val="fr-FR"/>
        </w:rPr>
        <w:t>’</w:t>
      </w:r>
      <w:r w:rsidRPr="00B77D90">
        <w:rPr>
          <w:lang w:val="fr-FR"/>
        </w:rPr>
        <w:t>avoir dû séjourner en prison pendant environ treize ans au total alors qu</w:t>
      </w:r>
      <w:r w:rsidRPr="00B77D90" w:rsidR="00B77D90">
        <w:rPr>
          <w:lang w:val="fr-FR"/>
        </w:rPr>
        <w:t>’</w:t>
      </w:r>
      <w:r w:rsidRPr="00B77D90">
        <w:rPr>
          <w:lang w:val="fr-FR"/>
        </w:rPr>
        <w:t>il est gravement handicapé. Il y voit une violation de l</w:t>
      </w:r>
      <w:r w:rsidRPr="00B77D90" w:rsidR="00B77D90">
        <w:rPr>
          <w:lang w:val="fr-FR"/>
        </w:rPr>
        <w:t>’</w:t>
      </w:r>
      <w:r w:rsidRPr="00B77D90">
        <w:rPr>
          <w:lang w:val="fr-FR"/>
        </w:rPr>
        <w:t>article 3 de la Convention, ainsi libellé :</w:t>
      </w:r>
    </w:p>
    <w:p w:rsidRPr="00B77D90" w:rsidR="009E7AAD" w:rsidP="00B77D90" w:rsidRDefault="009E7AAD">
      <w:pPr>
        <w:pStyle w:val="JuQuot"/>
        <w:rPr>
          <w:lang w:val="fr-FR"/>
        </w:rPr>
      </w:pPr>
      <w:r w:rsidRPr="00B77D90">
        <w:rPr>
          <w:lang w:val="fr-FR"/>
        </w:rPr>
        <w:t>« Nul ne peut être soumis à la torture ni à des peines ou traitements inhumains ou dégradants. »</w:t>
      </w:r>
    </w:p>
    <w:p w:rsidRPr="00B77D90" w:rsidR="009E7AAD" w:rsidP="00B77D90" w:rsidRDefault="009E7AAD">
      <w:pPr>
        <w:pStyle w:val="JuPara"/>
        <w:rPr>
          <w:lang w:val="fr-FR"/>
        </w:rPr>
      </w:pPr>
      <w:r w:rsidRPr="00B77D90">
        <w:rPr>
          <w:lang w:val="fr-FR"/>
        </w:rPr>
        <w:t>36.  Le Gouvernement combat cette thèse.</w:t>
      </w:r>
    </w:p>
    <w:p w:rsidRPr="00B77D90" w:rsidR="009E7AAD" w:rsidP="00B77D90" w:rsidRDefault="009E7AAD">
      <w:pPr>
        <w:pStyle w:val="JuHA"/>
        <w:jc w:val="left"/>
      </w:pPr>
      <w:r w:rsidRPr="00B77D90">
        <w:t xml:space="preserve">Quant à la </w:t>
      </w:r>
      <w:proofErr w:type="spellStart"/>
      <w:r w:rsidRPr="00B77D90">
        <w:t>procédure</w:t>
      </w:r>
      <w:proofErr w:type="spellEnd"/>
    </w:p>
    <w:p w:rsidRPr="00B77D90" w:rsidR="009E7AAD" w:rsidP="00B77D90" w:rsidRDefault="009E7AAD">
      <w:pPr>
        <w:pStyle w:val="JuPara"/>
        <w:rPr>
          <w:lang w:val="fr-FR"/>
        </w:rPr>
      </w:pPr>
      <w:r w:rsidRPr="00B77D90">
        <w:rPr>
          <w:lang w:val="fr-FR"/>
        </w:rPr>
        <w:t>37.  Se référant aux articles 36 § 2 et 47 § 5 du règlement de la Cour, le Gouvernement plaide que la requête doit être rayée du rôle au motif que le requérant n</w:t>
      </w:r>
      <w:r w:rsidRPr="00B77D90" w:rsidR="00B77D90">
        <w:rPr>
          <w:lang w:val="fr-FR"/>
        </w:rPr>
        <w:t>’</w:t>
      </w:r>
      <w:r w:rsidRPr="00B77D90">
        <w:rPr>
          <w:lang w:val="fr-FR"/>
        </w:rPr>
        <w:t>était pas représenté par un avocat au moment de la communication de la requête.</w:t>
      </w:r>
    </w:p>
    <w:p w:rsidRPr="00B77D90" w:rsidR="009E7AAD" w:rsidP="00B77D90" w:rsidRDefault="009E7AAD">
      <w:pPr>
        <w:pStyle w:val="JuPara"/>
      </w:pPr>
      <w:r w:rsidRPr="00B77D90">
        <w:rPr>
          <w:lang w:val="fr-FR"/>
        </w:rPr>
        <w:t>38.  Sans s</w:t>
      </w:r>
      <w:r w:rsidRPr="00B77D90" w:rsidR="00B77D90">
        <w:rPr>
          <w:lang w:val="fr-FR"/>
        </w:rPr>
        <w:t>’</w:t>
      </w:r>
      <w:r w:rsidRPr="00B77D90">
        <w:rPr>
          <w:lang w:val="fr-FR"/>
        </w:rPr>
        <w:t>attarder sur la question de savoir si un tel manquement peut constituer un motif de radiation, la Cour rappelle que le 3 juillet 2017 le président, faisant application de l</w:t>
      </w:r>
      <w:r w:rsidRPr="00B77D90" w:rsidR="00B77D90">
        <w:rPr>
          <w:lang w:val="fr-FR"/>
        </w:rPr>
        <w:t>’</w:t>
      </w:r>
      <w:r w:rsidRPr="00B77D90">
        <w:rPr>
          <w:lang w:val="fr-FR"/>
        </w:rPr>
        <w:t xml:space="preserve">article 36 § 2 </w:t>
      </w:r>
      <w:r w:rsidRPr="00B77D90">
        <w:rPr>
          <w:i/>
          <w:lang w:val="fr-FR"/>
        </w:rPr>
        <w:t>in fine</w:t>
      </w:r>
      <w:r w:rsidRPr="00B77D90">
        <w:rPr>
          <w:lang w:val="fr-FR"/>
        </w:rPr>
        <w:t xml:space="preserve"> de son règlement (paragraphe 3 ci-dessus), a autorisé le requérant à se représenter lui-même. </w:t>
      </w:r>
      <w:proofErr w:type="gramStart"/>
      <w:r w:rsidRPr="00B77D90">
        <w:t>Il</w:t>
      </w:r>
      <w:proofErr w:type="gramEnd"/>
      <w:r w:rsidRPr="00B77D90">
        <w:t xml:space="preserve"> </w:t>
      </w:r>
      <w:proofErr w:type="spellStart"/>
      <w:r w:rsidRPr="00B77D90">
        <w:t>s</w:t>
      </w:r>
      <w:r w:rsidRPr="00B77D90" w:rsidR="00B77D90">
        <w:t>’</w:t>
      </w:r>
      <w:r w:rsidRPr="00B77D90">
        <w:t>ensuit</w:t>
      </w:r>
      <w:proofErr w:type="spellEnd"/>
      <w:r w:rsidRPr="00B77D90">
        <w:t xml:space="preserve"> que </w:t>
      </w:r>
      <w:proofErr w:type="spellStart"/>
      <w:r w:rsidRPr="00B77D90">
        <w:t>l</w:t>
      </w:r>
      <w:r w:rsidRPr="00B77D90" w:rsidR="00B77D90">
        <w:t>’</w:t>
      </w:r>
      <w:r w:rsidRPr="00B77D90">
        <w:t>objection</w:t>
      </w:r>
      <w:proofErr w:type="spellEnd"/>
      <w:r w:rsidRPr="00B77D90">
        <w:t xml:space="preserve"> du </w:t>
      </w:r>
      <w:proofErr w:type="spellStart"/>
      <w:r w:rsidRPr="00B77D90">
        <w:t>Gouvernement</w:t>
      </w:r>
      <w:proofErr w:type="spellEnd"/>
      <w:r w:rsidRPr="00B77D90">
        <w:t xml:space="preserve"> </w:t>
      </w:r>
      <w:proofErr w:type="spellStart"/>
      <w:r w:rsidRPr="00B77D90">
        <w:t>doit</w:t>
      </w:r>
      <w:proofErr w:type="spellEnd"/>
      <w:r w:rsidRPr="00B77D90">
        <w:t xml:space="preserve"> </w:t>
      </w:r>
      <w:proofErr w:type="spellStart"/>
      <w:r w:rsidRPr="00B77D90">
        <w:t>être</w:t>
      </w:r>
      <w:proofErr w:type="spellEnd"/>
      <w:r w:rsidRPr="00B77D90">
        <w:t xml:space="preserve"> </w:t>
      </w:r>
      <w:proofErr w:type="spellStart"/>
      <w:r w:rsidRPr="00B77D90">
        <w:t>rejetée</w:t>
      </w:r>
      <w:proofErr w:type="spellEnd"/>
      <w:r w:rsidRPr="00B77D90">
        <w:t>.</w:t>
      </w:r>
    </w:p>
    <w:p w:rsidRPr="00B77D90" w:rsidR="009E7AAD" w:rsidP="00B77D90" w:rsidRDefault="009E7AAD">
      <w:pPr>
        <w:pStyle w:val="JuHA"/>
        <w:jc w:val="left"/>
      </w:pPr>
      <w:r w:rsidRPr="00B77D90">
        <w:t xml:space="preserve">Sur la </w:t>
      </w:r>
      <w:proofErr w:type="spellStart"/>
      <w:r w:rsidRPr="00B77D90">
        <w:t>recevabilité</w:t>
      </w:r>
      <w:proofErr w:type="spellEnd"/>
    </w:p>
    <w:p w:rsidRPr="00B77D90" w:rsidR="009E7AAD" w:rsidP="00B77D90" w:rsidRDefault="009E7AAD">
      <w:pPr>
        <w:pStyle w:val="JuH1"/>
        <w:jc w:val="left"/>
      </w:pPr>
      <w:r w:rsidRPr="00B77D90">
        <w:t xml:space="preserve">La </w:t>
      </w:r>
      <w:proofErr w:type="spellStart"/>
      <w:r w:rsidRPr="00B77D90">
        <w:t>règle</w:t>
      </w:r>
      <w:proofErr w:type="spellEnd"/>
      <w:r w:rsidRPr="00B77D90">
        <w:t xml:space="preserve"> des six </w:t>
      </w:r>
      <w:proofErr w:type="spellStart"/>
      <w:r w:rsidRPr="00B77D90">
        <w:t>mois</w:t>
      </w:r>
      <w:proofErr w:type="spellEnd"/>
    </w:p>
    <w:p w:rsidRPr="00B77D90" w:rsidR="009E7AAD" w:rsidP="00B77D90" w:rsidRDefault="009E7AAD">
      <w:pPr>
        <w:pStyle w:val="JuPara"/>
        <w:rPr>
          <w:lang w:val="fr-FR"/>
        </w:rPr>
      </w:pPr>
      <w:r w:rsidRPr="00B77D90">
        <w:rPr>
          <w:lang w:val="fr-FR"/>
        </w:rPr>
        <w:t>39.  La Cour observe que le requérant a été incarcéré de 1992 à 1995, du 27 février 2000 au 10 décembre 2004, et enfin du 6 avril 2009 au 14 juin 2013 (paragraphes 7 et suivants ci-dessus).</w:t>
      </w:r>
    </w:p>
    <w:p w:rsidRPr="00B77D90" w:rsidR="009E7AAD" w:rsidP="00B77D90" w:rsidRDefault="009E7AAD">
      <w:pPr>
        <w:pStyle w:val="JuPara"/>
        <w:rPr>
          <w:lang w:val="fr-FR"/>
        </w:rPr>
      </w:pPr>
      <w:r w:rsidRPr="00B77D90">
        <w:rPr>
          <w:lang w:val="fr-FR"/>
        </w:rPr>
        <w:t>40.  Elle rappelle qu</w:t>
      </w:r>
      <w:r w:rsidRPr="00B77D90" w:rsidR="00B77D90">
        <w:rPr>
          <w:lang w:val="fr-FR"/>
        </w:rPr>
        <w:t>’</w:t>
      </w:r>
      <w:r w:rsidRPr="00B77D90">
        <w:rPr>
          <w:lang w:val="fr-FR"/>
        </w:rPr>
        <w:t>en l</w:t>
      </w:r>
      <w:r w:rsidRPr="00B77D90" w:rsidR="00B77D90">
        <w:rPr>
          <w:lang w:val="fr-FR"/>
        </w:rPr>
        <w:t>’</w:t>
      </w:r>
      <w:r w:rsidRPr="00B77D90">
        <w:rPr>
          <w:lang w:val="fr-FR"/>
        </w:rPr>
        <w:t>absence de recours internes le délai de six mois court à partir de l</w:t>
      </w:r>
      <w:r w:rsidRPr="00B77D90" w:rsidR="00B77D90">
        <w:rPr>
          <w:lang w:val="fr-FR"/>
        </w:rPr>
        <w:t>’</w:t>
      </w:r>
      <w:r w:rsidRPr="00B77D90">
        <w:rPr>
          <w:lang w:val="fr-FR"/>
        </w:rPr>
        <w:t>acte dénoncé (voir, parmi beaucoup d</w:t>
      </w:r>
      <w:r w:rsidRPr="00B77D90" w:rsidR="00B77D90">
        <w:rPr>
          <w:lang w:val="fr-FR"/>
        </w:rPr>
        <w:t>’</w:t>
      </w:r>
      <w:r w:rsidRPr="00B77D90">
        <w:rPr>
          <w:lang w:val="fr-FR"/>
        </w:rPr>
        <w:t xml:space="preserve">autres, </w:t>
      </w:r>
      <w:r w:rsidRPr="00B77D90">
        <w:rPr>
          <w:i/>
          <w:lang w:val="fr-FR"/>
        </w:rPr>
        <w:t>Hamza</w:t>
      </w:r>
      <w:r w:rsidRPr="00B77D90" w:rsidR="00670CE9">
        <w:rPr>
          <w:i/>
          <w:lang w:val="fr-FR"/>
        </w:rPr>
        <w:t xml:space="preserve"> </w:t>
      </w:r>
      <w:r w:rsidRPr="00B77D90">
        <w:rPr>
          <w:i/>
          <w:lang w:val="fr-FR"/>
        </w:rPr>
        <w:t xml:space="preserve">Yılmaz c. Turquie </w:t>
      </w:r>
      <w:r w:rsidRPr="00B77D90">
        <w:rPr>
          <w:lang w:val="fr-FR"/>
        </w:rPr>
        <w:t>(déc.), n</w:t>
      </w:r>
      <w:r w:rsidRPr="00B77D90">
        <w:rPr>
          <w:vertAlign w:val="superscript"/>
          <w:lang w:val="fr-FR"/>
        </w:rPr>
        <w:t>o</w:t>
      </w:r>
      <w:r w:rsidRPr="00B77D90">
        <w:rPr>
          <w:lang w:val="fr-FR"/>
        </w:rPr>
        <w:t xml:space="preserve"> 46732/99, 1</w:t>
      </w:r>
      <w:r w:rsidRPr="00B77D90">
        <w:rPr>
          <w:vertAlign w:val="superscript"/>
          <w:lang w:val="fr-FR"/>
        </w:rPr>
        <w:t>er  </w:t>
      </w:r>
      <w:r w:rsidRPr="00B77D90">
        <w:rPr>
          <w:lang w:val="fr-FR"/>
        </w:rPr>
        <w:t>avril 2003). Concernant la règle des six mois, la Cour a déjà considéré qu</w:t>
      </w:r>
      <w:r w:rsidRPr="00B77D90" w:rsidR="00B77D90">
        <w:rPr>
          <w:lang w:val="fr-FR"/>
        </w:rPr>
        <w:t>’</w:t>
      </w:r>
      <w:r w:rsidRPr="00B77D90">
        <w:rPr>
          <w:lang w:val="fr-FR"/>
        </w:rPr>
        <w:t>il s</w:t>
      </w:r>
      <w:r w:rsidRPr="00B77D90" w:rsidR="00B77D90">
        <w:rPr>
          <w:lang w:val="fr-FR"/>
        </w:rPr>
        <w:t>’</w:t>
      </w:r>
      <w:r w:rsidRPr="00B77D90">
        <w:rPr>
          <w:lang w:val="fr-FR"/>
        </w:rPr>
        <w:t>agit d</w:t>
      </w:r>
      <w:r w:rsidRPr="00B77D90" w:rsidR="00B77D90">
        <w:rPr>
          <w:lang w:val="fr-FR"/>
        </w:rPr>
        <w:t>’</w:t>
      </w:r>
      <w:r w:rsidRPr="00B77D90">
        <w:rPr>
          <w:lang w:val="fr-FR"/>
        </w:rPr>
        <w:t>une règle d</w:t>
      </w:r>
      <w:r w:rsidRPr="00B77D90" w:rsidR="00B77D90">
        <w:rPr>
          <w:lang w:val="fr-FR"/>
        </w:rPr>
        <w:t>’</w:t>
      </w:r>
      <w:r w:rsidRPr="00B77D90">
        <w:rPr>
          <w:lang w:val="fr-FR"/>
        </w:rPr>
        <w:t>ordre public et que, par conséquent, elle a compétence pour l</w:t>
      </w:r>
      <w:r w:rsidRPr="00B77D90" w:rsidR="00B77D90">
        <w:rPr>
          <w:lang w:val="fr-FR"/>
        </w:rPr>
        <w:t>’</w:t>
      </w:r>
      <w:r w:rsidRPr="00B77D90">
        <w:rPr>
          <w:lang w:val="fr-FR"/>
        </w:rPr>
        <w:t>appliquer d</w:t>
      </w:r>
      <w:r w:rsidRPr="00B77D90" w:rsidR="00B77D90">
        <w:rPr>
          <w:lang w:val="fr-FR"/>
        </w:rPr>
        <w:t>’</w:t>
      </w:r>
      <w:r w:rsidRPr="00B77D90">
        <w:rPr>
          <w:lang w:val="fr-FR"/>
        </w:rPr>
        <w:t>office (</w:t>
      </w:r>
      <w:proofErr w:type="spellStart"/>
      <w:r w:rsidRPr="00B77D90">
        <w:rPr>
          <w:i/>
          <w:lang w:val="fr-FR"/>
        </w:rPr>
        <w:t>Sabri</w:t>
      </w:r>
      <w:proofErr w:type="spellEnd"/>
      <w:r w:rsidRPr="00B77D90" w:rsidR="00670CE9">
        <w:rPr>
          <w:i/>
          <w:lang w:val="fr-FR"/>
        </w:rPr>
        <w:t xml:space="preserve"> </w:t>
      </w:r>
      <w:proofErr w:type="spellStart"/>
      <w:r w:rsidRPr="00B77D90">
        <w:rPr>
          <w:i/>
          <w:lang w:val="fr-FR"/>
        </w:rPr>
        <w:t>Güneş</w:t>
      </w:r>
      <w:proofErr w:type="spellEnd"/>
      <w:r w:rsidRPr="00B77D90">
        <w:rPr>
          <w:i/>
          <w:lang w:val="fr-FR"/>
        </w:rPr>
        <w:t xml:space="preserve"> c. Turquie</w:t>
      </w:r>
      <w:r w:rsidRPr="00B77D90">
        <w:rPr>
          <w:lang w:val="fr-FR"/>
        </w:rPr>
        <w:t xml:space="preserve"> [GC]</w:t>
      </w:r>
      <w:r w:rsidRPr="00B77D90">
        <w:rPr>
          <w:snapToGrid w:val="0"/>
          <w:lang w:val="fr-FR"/>
        </w:rPr>
        <w:t>, n</w:t>
      </w:r>
      <w:r w:rsidRPr="00B77D90">
        <w:rPr>
          <w:snapToGrid w:val="0"/>
          <w:vertAlign w:val="superscript"/>
          <w:lang w:val="fr-FR"/>
        </w:rPr>
        <w:t>o</w:t>
      </w:r>
      <w:r w:rsidRPr="00B77D90">
        <w:rPr>
          <w:snapToGrid w:val="0"/>
          <w:lang w:val="fr-FR"/>
        </w:rPr>
        <w:t xml:space="preserve"> </w:t>
      </w:r>
      <w:r w:rsidRPr="00B77D90">
        <w:rPr>
          <w:lang w:val="fr-FR"/>
        </w:rPr>
        <w:t>27396/06</w:t>
      </w:r>
      <w:r w:rsidRPr="00B77D90">
        <w:rPr>
          <w:snapToGrid w:val="0"/>
          <w:lang w:val="fr-FR"/>
        </w:rPr>
        <w:t>, § 29, 29 juin 2012),</w:t>
      </w:r>
      <w:r w:rsidRPr="00B77D90">
        <w:rPr>
          <w:lang w:val="fr-FR"/>
        </w:rPr>
        <w:t xml:space="preserve"> m</w:t>
      </w:r>
      <w:r w:rsidRPr="00B77D90">
        <w:rPr>
          <w:rFonts w:ascii="Times New Roman" w:hAnsi="Times New Roman" w:cs="Times New Roman"/>
          <w:lang w:val="fr-FR"/>
        </w:rPr>
        <w:t>ê</w:t>
      </w:r>
      <w:r w:rsidRPr="00B77D90">
        <w:rPr>
          <w:lang w:val="fr-FR"/>
        </w:rPr>
        <w:t>me si le Gouvernement n</w:t>
      </w:r>
      <w:r w:rsidRPr="00B77D90" w:rsidR="00B77D90">
        <w:rPr>
          <w:rFonts w:ascii="Times New Roman" w:hAnsi="Times New Roman" w:cs="Times New Roman"/>
          <w:lang w:val="fr-FR"/>
        </w:rPr>
        <w:t>’</w:t>
      </w:r>
      <w:r w:rsidRPr="00B77D90">
        <w:rPr>
          <w:lang w:val="fr-FR"/>
        </w:rPr>
        <w:t>en a pas excip</w:t>
      </w:r>
      <w:r w:rsidRPr="00B77D90">
        <w:rPr>
          <w:rFonts w:ascii="Times New Roman" w:hAnsi="Times New Roman" w:cs="Times New Roman"/>
          <w:lang w:val="fr-FR"/>
        </w:rPr>
        <w:t>é.</w:t>
      </w:r>
      <w:r w:rsidRPr="00B77D90">
        <w:rPr>
          <w:lang w:val="fr-FR"/>
        </w:rPr>
        <w:t xml:space="preserve"> En l</w:t>
      </w:r>
      <w:r w:rsidRPr="00B77D90" w:rsidR="00B77D90">
        <w:rPr>
          <w:lang w:val="fr-FR"/>
        </w:rPr>
        <w:t>’</w:t>
      </w:r>
      <w:r w:rsidRPr="00B77D90">
        <w:rPr>
          <w:lang w:val="fr-FR"/>
        </w:rPr>
        <w:t>espèce, compte tenu, d</w:t>
      </w:r>
      <w:r w:rsidRPr="00B77D90" w:rsidR="00B77D90">
        <w:rPr>
          <w:lang w:val="fr-FR"/>
        </w:rPr>
        <w:t>’</w:t>
      </w:r>
      <w:r w:rsidRPr="00B77D90">
        <w:rPr>
          <w:lang w:val="fr-FR"/>
        </w:rPr>
        <w:t>une part, des interruptions entre les périodes d</w:t>
      </w:r>
      <w:r w:rsidRPr="00B77D90" w:rsidR="00B77D90">
        <w:rPr>
          <w:lang w:val="fr-FR"/>
        </w:rPr>
        <w:t>’</w:t>
      </w:r>
      <w:r w:rsidRPr="00B77D90">
        <w:rPr>
          <w:lang w:val="fr-FR"/>
        </w:rPr>
        <w:t>emprisonnement subies par le requérant, et, d</w:t>
      </w:r>
      <w:r w:rsidRPr="00B77D90" w:rsidR="00B77D90">
        <w:rPr>
          <w:lang w:val="fr-FR"/>
        </w:rPr>
        <w:t>’</w:t>
      </w:r>
      <w:r w:rsidRPr="00B77D90">
        <w:rPr>
          <w:lang w:val="fr-FR"/>
        </w:rPr>
        <w:t>autre part, du fait qu</w:t>
      </w:r>
      <w:r w:rsidRPr="00B77D90" w:rsidR="00B77D90">
        <w:rPr>
          <w:lang w:val="fr-FR"/>
        </w:rPr>
        <w:t>’</w:t>
      </w:r>
      <w:r w:rsidRPr="00B77D90">
        <w:rPr>
          <w:lang w:val="fr-FR"/>
        </w:rPr>
        <w:t>avant sa dernière incarcération l</w:t>
      </w:r>
      <w:r w:rsidRPr="00B77D90" w:rsidR="00B77D90">
        <w:rPr>
          <w:lang w:val="fr-FR"/>
        </w:rPr>
        <w:t>’</w:t>
      </w:r>
      <w:r w:rsidRPr="00B77D90">
        <w:rPr>
          <w:lang w:val="fr-FR"/>
        </w:rPr>
        <w:t>intéressé n</w:t>
      </w:r>
      <w:r w:rsidRPr="00B77D90" w:rsidR="00B77D90">
        <w:rPr>
          <w:lang w:val="fr-FR"/>
        </w:rPr>
        <w:t>’</w:t>
      </w:r>
      <w:r w:rsidRPr="00B77D90">
        <w:rPr>
          <w:lang w:val="fr-FR"/>
        </w:rPr>
        <w:t>avait jamais entamé la moindre procédure pour se plaindre de ses conditions de détention, la Cour déclare la requête irrecevable pour tardiveté, en application de l</w:t>
      </w:r>
      <w:r w:rsidRPr="00B77D90" w:rsidR="00B77D90">
        <w:rPr>
          <w:lang w:val="fr-FR"/>
        </w:rPr>
        <w:t>’</w:t>
      </w:r>
      <w:r w:rsidRPr="00B77D90">
        <w:rPr>
          <w:lang w:val="fr-FR"/>
        </w:rPr>
        <w:t>article 35 §§ 1 et 4 de la Convention, pour autant qu</w:t>
      </w:r>
      <w:r w:rsidRPr="00B77D90" w:rsidR="00B77D90">
        <w:rPr>
          <w:lang w:val="fr-FR"/>
        </w:rPr>
        <w:t>’</w:t>
      </w:r>
      <w:r w:rsidRPr="00B77D90">
        <w:rPr>
          <w:lang w:val="fr-FR"/>
        </w:rPr>
        <w:t xml:space="preserve">elle concerne les périodes antérieures au 6 avril 2009 (voir également, </w:t>
      </w:r>
      <w:r w:rsidRPr="00B77D90">
        <w:rPr>
          <w:i/>
          <w:lang w:val="fr-FR"/>
        </w:rPr>
        <w:t>mutatis mutandis</w:t>
      </w:r>
      <w:r w:rsidRPr="00B77D90">
        <w:rPr>
          <w:lang w:val="fr-FR"/>
        </w:rPr>
        <w:t xml:space="preserve">, </w:t>
      </w:r>
      <w:proofErr w:type="spellStart"/>
      <w:r w:rsidRPr="00B77D90">
        <w:rPr>
          <w:i/>
          <w:lang w:val="fr-FR"/>
        </w:rPr>
        <w:t>Maltabar</w:t>
      </w:r>
      <w:proofErr w:type="spellEnd"/>
      <w:r w:rsidRPr="00B77D90">
        <w:rPr>
          <w:i/>
          <w:lang w:val="fr-FR"/>
        </w:rPr>
        <w:t xml:space="preserve"> et </w:t>
      </w:r>
      <w:proofErr w:type="spellStart"/>
      <w:r w:rsidRPr="00B77D90">
        <w:rPr>
          <w:i/>
          <w:lang w:val="fr-FR"/>
        </w:rPr>
        <w:t>Maltabar</w:t>
      </w:r>
      <w:proofErr w:type="spellEnd"/>
      <w:r w:rsidRPr="00B77D90">
        <w:rPr>
          <w:i/>
          <w:lang w:val="fr-FR"/>
        </w:rPr>
        <w:t xml:space="preserve"> c. Russie</w:t>
      </w:r>
      <w:r w:rsidRPr="00B77D90">
        <w:rPr>
          <w:lang w:val="fr-FR"/>
        </w:rPr>
        <w:t>, n</w:t>
      </w:r>
      <w:r w:rsidRPr="00B77D90">
        <w:rPr>
          <w:vertAlign w:val="superscript"/>
          <w:lang w:val="fr-FR"/>
        </w:rPr>
        <w:t>o</w:t>
      </w:r>
      <w:r w:rsidRPr="00B77D90">
        <w:rPr>
          <w:lang w:val="fr-FR"/>
        </w:rPr>
        <w:t xml:space="preserve"> 6954/02, §§ 82-84, 29 janvier 2009).</w:t>
      </w:r>
    </w:p>
    <w:p w:rsidRPr="00B77D90" w:rsidR="009E7AAD" w:rsidP="00B77D90" w:rsidRDefault="009E7AAD">
      <w:pPr>
        <w:pStyle w:val="JuH1"/>
        <w:jc w:val="left"/>
      </w:pPr>
      <w:r w:rsidRPr="00B77D90">
        <w:t>Les exceptions</w:t>
      </w:r>
    </w:p>
    <w:p w:rsidRPr="00B77D90" w:rsidR="009E7AAD" w:rsidP="00B77D90" w:rsidRDefault="009E7AAD">
      <w:pPr>
        <w:pStyle w:val="JuPara"/>
        <w:rPr>
          <w:lang w:val="fr-FR"/>
        </w:rPr>
      </w:pPr>
      <w:r w:rsidRPr="00B77D90">
        <w:rPr>
          <w:lang w:val="fr-FR"/>
        </w:rPr>
        <w:t>41.  Le Gouvernement invoque plusieurs exceptions d</w:t>
      </w:r>
      <w:r w:rsidRPr="00B77D90" w:rsidR="00B77D90">
        <w:rPr>
          <w:lang w:val="fr-FR"/>
        </w:rPr>
        <w:t>’</w:t>
      </w:r>
      <w:r w:rsidRPr="00B77D90">
        <w:rPr>
          <w:lang w:val="fr-FR"/>
        </w:rPr>
        <w:t>irrecevabilité. Il plaide d</w:t>
      </w:r>
      <w:r w:rsidRPr="00B77D90" w:rsidR="00B77D90">
        <w:rPr>
          <w:lang w:val="fr-FR"/>
        </w:rPr>
        <w:t>’</w:t>
      </w:r>
      <w:r w:rsidRPr="00B77D90">
        <w:rPr>
          <w:lang w:val="fr-FR"/>
        </w:rPr>
        <w:t>abord que les voies de recours internes n</w:t>
      </w:r>
      <w:r w:rsidRPr="00B77D90" w:rsidR="00B77D90">
        <w:rPr>
          <w:lang w:val="fr-FR"/>
        </w:rPr>
        <w:t>’</w:t>
      </w:r>
      <w:r w:rsidRPr="00B77D90">
        <w:rPr>
          <w:lang w:val="fr-FR"/>
        </w:rPr>
        <w:t>ont pas été épuisées, ensuite que le requérant n</w:t>
      </w:r>
      <w:r w:rsidRPr="00B77D90" w:rsidR="00B77D90">
        <w:rPr>
          <w:lang w:val="fr-FR"/>
        </w:rPr>
        <w:t>’</w:t>
      </w:r>
      <w:r w:rsidRPr="00B77D90">
        <w:rPr>
          <w:lang w:val="fr-FR"/>
        </w:rPr>
        <w:t>a pas la qualité de victime et enfin que le seuil de gravité requis pour faire entrer en jeu l</w:t>
      </w:r>
      <w:r w:rsidRPr="00B77D90" w:rsidR="00B77D90">
        <w:rPr>
          <w:lang w:val="fr-FR"/>
        </w:rPr>
        <w:t>’</w:t>
      </w:r>
      <w:r w:rsidRPr="00B77D90">
        <w:rPr>
          <w:lang w:val="fr-FR"/>
        </w:rPr>
        <w:t>article 3 de la Convention n</w:t>
      </w:r>
      <w:r w:rsidRPr="00B77D90" w:rsidR="00B77D90">
        <w:rPr>
          <w:lang w:val="fr-FR"/>
        </w:rPr>
        <w:t>’</w:t>
      </w:r>
      <w:r w:rsidRPr="00B77D90">
        <w:rPr>
          <w:lang w:val="fr-FR"/>
        </w:rPr>
        <w:t>a pas été atteint.</w:t>
      </w:r>
    </w:p>
    <w:p w:rsidRPr="00B77D90" w:rsidR="009E7AAD" w:rsidP="00B77D90" w:rsidRDefault="009E7AAD">
      <w:pPr>
        <w:pStyle w:val="JuPara"/>
        <w:rPr>
          <w:lang w:val="fr-FR"/>
        </w:rPr>
      </w:pPr>
      <w:r w:rsidRPr="00B77D90">
        <w:rPr>
          <w:lang w:val="fr-FR"/>
        </w:rPr>
        <w:t>42.  Le requérant ne se prononce pas sur ces exceptions. Il expose que les autorités n</w:t>
      </w:r>
      <w:r w:rsidRPr="00B77D90" w:rsidR="00B77D90">
        <w:rPr>
          <w:lang w:val="fr-FR"/>
        </w:rPr>
        <w:t>’</w:t>
      </w:r>
      <w:r w:rsidRPr="00B77D90">
        <w:rPr>
          <w:lang w:val="fr-FR"/>
        </w:rPr>
        <w:t>ont pas pris les mesures adéquates à son égard, que le fait de se faire assister par des inconnus était pour lui humiliant, et qu</w:t>
      </w:r>
      <w:r w:rsidRPr="00B77D90" w:rsidR="00B77D90">
        <w:rPr>
          <w:lang w:val="fr-FR"/>
        </w:rPr>
        <w:t>’</w:t>
      </w:r>
      <w:r w:rsidRPr="00B77D90">
        <w:rPr>
          <w:lang w:val="fr-FR"/>
        </w:rPr>
        <w:t>il aurait dû être autorisé à exécuter sa peine à son domicile, de manière à pouvoir y bénéficier de l</w:t>
      </w:r>
      <w:r w:rsidRPr="00B77D90" w:rsidR="00B77D90">
        <w:rPr>
          <w:lang w:val="fr-FR"/>
        </w:rPr>
        <w:t>’</w:t>
      </w:r>
      <w:r w:rsidRPr="00B77D90">
        <w:rPr>
          <w:lang w:val="fr-FR"/>
        </w:rPr>
        <w:t>assistance de sa famille.</w:t>
      </w:r>
    </w:p>
    <w:p w:rsidRPr="00B77D90" w:rsidR="009E7AAD" w:rsidP="00B77D90" w:rsidRDefault="009E7AAD">
      <w:pPr>
        <w:pStyle w:val="JuHa0"/>
        <w:jc w:val="left"/>
        <w:rPr>
          <w:lang w:val="fr-FR"/>
        </w:rPr>
      </w:pPr>
      <w:r w:rsidRPr="00B77D90">
        <w:rPr>
          <w:lang w:val="fr-FR"/>
        </w:rPr>
        <w:t>Le non-épuisement des voies de recours internes</w:t>
      </w:r>
    </w:p>
    <w:p w:rsidRPr="00B77D90" w:rsidR="009E7AAD" w:rsidP="00B77D90" w:rsidRDefault="009E7AAD">
      <w:pPr>
        <w:pStyle w:val="JuPara"/>
        <w:rPr>
          <w:lang w:val="fr-FR"/>
        </w:rPr>
      </w:pPr>
      <w:bookmarkStart w:name="nex2011" w:id="14"/>
      <w:r w:rsidRPr="00B77D90">
        <w:rPr>
          <w:lang w:val="fr-FR"/>
        </w:rPr>
        <w:t>43</w:t>
      </w:r>
      <w:bookmarkEnd w:id="14"/>
      <w:r w:rsidRPr="00B77D90">
        <w:rPr>
          <w:lang w:val="fr-FR"/>
        </w:rPr>
        <w:t>.  Le Gouvernement plaide le non-épuisement des voies de recours internes sur trois points distincts.</w:t>
      </w:r>
    </w:p>
    <w:p w:rsidRPr="00B77D90" w:rsidR="009E7AAD" w:rsidP="00B77D90" w:rsidRDefault="009E7AAD">
      <w:pPr>
        <w:pStyle w:val="JuPara"/>
        <w:rPr>
          <w:lang w:val="fr-FR"/>
        </w:rPr>
      </w:pPr>
      <w:r w:rsidRPr="00B77D90">
        <w:rPr>
          <w:lang w:val="fr-FR"/>
        </w:rPr>
        <w:t>Il indique d</w:t>
      </w:r>
      <w:r w:rsidRPr="00B77D90" w:rsidR="00B77D90">
        <w:rPr>
          <w:lang w:val="fr-FR"/>
        </w:rPr>
        <w:t>’</w:t>
      </w:r>
      <w:r w:rsidRPr="00B77D90">
        <w:rPr>
          <w:lang w:val="fr-FR"/>
        </w:rPr>
        <w:t>abord qu</w:t>
      </w:r>
      <w:r w:rsidRPr="00B77D90" w:rsidR="00B77D90">
        <w:rPr>
          <w:lang w:val="fr-FR"/>
        </w:rPr>
        <w:t>’</w:t>
      </w:r>
      <w:r w:rsidRPr="00B77D90">
        <w:rPr>
          <w:lang w:val="fr-FR"/>
        </w:rPr>
        <w:t>au départ le requérant était incarcéré avec son frère, que ce dernier s</w:t>
      </w:r>
      <w:r w:rsidRPr="00B77D90" w:rsidR="00B77D90">
        <w:rPr>
          <w:lang w:val="fr-FR"/>
        </w:rPr>
        <w:t>’</w:t>
      </w:r>
      <w:r w:rsidRPr="00B77D90">
        <w:rPr>
          <w:lang w:val="fr-FR"/>
        </w:rPr>
        <w:t>occupait de lui et qu</w:t>
      </w:r>
      <w:r w:rsidRPr="00B77D90" w:rsidR="00B77D90">
        <w:rPr>
          <w:lang w:val="fr-FR"/>
        </w:rPr>
        <w:t>’</w:t>
      </w:r>
      <w:r w:rsidRPr="00B77D90">
        <w:rPr>
          <w:lang w:val="fr-FR"/>
        </w:rPr>
        <w:t>à aucun moment le requérant ne s</w:t>
      </w:r>
      <w:r w:rsidRPr="00B77D90" w:rsidR="00B77D90">
        <w:rPr>
          <w:lang w:val="fr-FR"/>
        </w:rPr>
        <w:t>’</w:t>
      </w:r>
      <w:r w:rsidRPr="00B77D90">
        <w:rPr>
          <w:lang w:val="fr-FR"/>
        </w:rPr>
        <w:t>est plaint de ses conditions de détention quant à cette période.</w:t>
      </w:r>
    </w:p>
    <w:p w:rsidRPr="00B77D90" w:rsidR="009E7AAD" w:rsidP="00B77D90" w:rsidRDefault="009E7AAD">
      <w:pPr>
        <w:pStyle w:val="JuPara"/>
        <w:rPr>
          <w:lang w:val="fr-FR"/>
        </w:rPr>
      </w:pPr>
      <w:r w:rsidRPr="00B77D90">
        <w:rPr>
          <w:lang w:val="fr-FR"/>
        </w:rPr>
        <w:t>Il expose ensuite qu</w:t>
      </w:r>
      <w:r w:rsidRPr="00B77D90" w:rsidR="00B77D90">
        <w:rPr>
          <w:lang w:val="fr-FR"/>
        </w:rPr>
        <w:t>’</w:t>
      </w:r>
      <w:r w:rsidRPr="00B77D90">
        <w:rPr>
          <w:lang w:val="fr-FR"/>
        </w:rPr>
        <w:t>après l</w:t>
      </w:r>
      <w:r w:rsidRPr="00B77D90" w:rsidR="00B77D90">
        <w:rPr>
          <w:lang w:val="fr-FR"/>
        </w:rPr>
        <w:t>’</w:t>
      </w:r>
      <w:r w:rsidRPr="00B77D90">
        <w:rPr>
          <w:lang w:val="fr-FR"/>
        </w:rPr>
        <w:t>adoption, le 27 avril 2011, par le comité administratif de la prison de Batman d</w:t>
      </w:r>
      <w:r w:rsidRPr="00B77D90" w:rsidR="00B77D90">
        <w:rPr>
          <w:lang w:val="fr-FR"/>
        </w:rPr>
        <w:t>’</w:t>
      </w:r>
      <w:r w:rsidRPr="00B77D90">
        <w:rPr>
          <w:lang w:val="fr-FR"/>
        </w:rPr>
        <w:t>une décision portant désignation de deux codétenus comme aides-soignants, le requérant avait la possibilité d</w:t>
      </w:r>
      <w:r w:rsidRPr="00B77D90" w:rsidR="00B77D90">
        <w:rPr>
          <w:lang w:val="fr-FR"/>
        </w:rPr>
        <w:t>’</w:t>
      </w:r>
      <w:r w:rsidRPr="00B77D90">
        <w:rPr>
          <w:lang w:val="fr-FR"/>
        </w:rPr>
        <w:t>introduire un recours devant le juge de l</w:t>
      </w:r>
      <w:r w:rsidRPr="00B77D90" w:rsidR="00B77D90">
        <w:rPr>
          <w:lang w:val="fr-FR"/>
        </w:rPr>
        <w:t>’</w:t>
      </w:r>
      <w:r w:rsidRPr="00B77D90">
        <w:rPr>
          <w:lang w:val="fr-FR"/>
        </w:rPr>
        <w:t>exécution des peines s</w:t>
      </w:r>
      <w:r w:rsidRPr="00B77D90" w:rsidR="00B77D90">
        <w:rPr>
          <w:lang w:val="fr-FR"/>
        </w:rPr>
        <w:t>’</w:t>
      </w:r>
      <w:r w:rsidRPr="00B77D90">
        <w:rPr>
          <w:lang w:val="fr-FR"/>
        </w:rPr>
        <w:t>il considérait que les mesures adoptées par cette décision étaient insuffisantes.</w:t>
      </w:r>
    </w:p>
    <w:p w:rsidRPr="00B77D90" w:rsidR="009E7AAD" w:rsidP="00B77D90" w:rsidRDefault="009E7AAD">
      <w:pPr>
        <w:pStyle w:val="JuPara"/>
        <w:rPr>
          <w:lang w:val="fr-FR"/>
        </w:rPr>
      </w:pPr>
      <w:r w:rsidRPr="00B77D90">
        <w:rPr>
          <w:lang w:val="fr-FR"/>
        </w:rPr>
        <w:t>Il indique enfin, à propos du manque allégué d</w:t>
      </w:r>
      <w:r w:rsidRPr="00B77D90" w:rsidR="00B77D90">
        <w:rPr>
          <w:lang w:val="fr-FR"/>
        </w:rPr>
        <w:t>’</w:t>
      </w:r>
      <w:r w:rsidRPr="00B77D90">
        <w:rPr>
          <w:lang w:val="fr-FR"/>
        </w:rPr>
        <w:t>activités socio-culturelles à la prison de Diyarbakır, que le requérant n</w:t>
      </w:r>
      <w:r w:rsidRPr="00B77D90" w:rsidR="00B77D90">
        <w:rPr>
          <w:lang w:val="fr-FR"/>
        </w:rPr>
        <w:t>’</w:t>
      </w:r>
      <w:r w:rsidRPr="00B77D90">
        <w:rPr>
          <w:lang w:val="fr-FR"/>
        </w:rPr>
        <w:t>a jamais introduit la moindre demande à cet égard.</w:t>
      </w:r>
    </w:p>
    <w:p w:rsidRPr="00B77D90" w:rsidR="009E7AAD" w:rsidP="00B77D90" w:rsidRDefault="009E7AAD">
      <w:pPr>
        <w:pStyle w:val="JuPara"/>
        <w:rPr>
          <w:lang w:val="fr-FR"/>
        </w:rPr>
      </w:pPr>
      <w:r w:rsidRPr="00B77D90">
        <w:rPr>
          <w:lang w:val="fr-FR"/>
        </w:rPr>
        <w:t>44.  La Cour note que durant la période du 6 avril 2009 au 11 avril 2011 où le requérant était incarcéré avec son frère, qui s</w:t>
      </w:r>
      <w:r w:rsidRPr="00B77D90" w:rsidR="00B77D90">
        <w:rPr>
          <w:lang w:val="fr-FR"/>
        </w:rPr>
        <w:t>’</w:t>
      </w:r>
      <w:r w:rsidRPr="00B77D90">
        <w:rPr>
          <w:lang w:val="fr-FR"/>
        </w:rPr>
        <w:t>occupait de lui (paragraphe 23 ci-dessus), il ne s</w:t>
      </w:r>
      <w:r w:rsidRPr="00B77D90" w:rsidR="00B77D90">
        <w:rPr>
          <w:lang w:val="fr-FR"/>
        </w:rPr>
        <w:t>’</w:t>
      </w:r>
      <w:r w:rsidRPr="00B77D90">
        <w:rPr>
          <w:lang w:val="fr-FR"/>
        </w:rPr>
        <w:t>est jamais plaint de ses conditions de détention. Ce n</w:t>
      </w:r>
      <w:r w:rsidRPr="00B77D90" w:rsidR="00B77D90">
        <w:rPr>
          <w:lang w:val="fr-FR"/>
        </w:rPr>
        <w:t>’</w:t>
      </w:r>
      <w:r w:rsidRPr="00B77D90">
        <w:rPr>
          <w:lang w:val="fr-FR"/>
        </w:rPr>
        <w:t>est qu</w:t>
      </w:r>
      <w:r w:rsidRPr="00B77D90" w:rsidR="00B77D90">
        <w:rPr>
          <w:lang w:val="fr-FR"/>
        </w:rPr>
        <w:t>’</w:t>
      </w:r>
      <w:r w:rsidRPr="00B77D90">
        <w:rPr>
          <w:lang w:val="fr-FR"/>
        </w:rPr>
        <w:t>après la libération de son frère, plus précisément le 20 avril 2011, qu</w:t>
      </w:r>
      <w:r w:rsidRPr="00B77D90" w:rsidR="00B77D90">
        <w:rPr>
          <w:lang w:val="fr-FR"/>
        </w:rPr>
        <w:t>’</w:t>
      </w:r>
      <w:r w:rsidRPr="00B77D90">
        <w:rPr>
          <w:lang w:val="fr-FR"/>
        </w:rPr>
        <w:t>il a introduit une demande à cet égard. Aussi la Cour déclare-t-elle la requête irrecevable pour non-épuisement des voies de recours internes, en application de l</w:t>
      </w:r>
      <w:r w:rsidRPr="00B77D90" w:rsidR="00B77D90">
        <w:rPr>
          <w:lang w:val="fr-FR"/>
        </w:rPr>
        <w:t>’</w:t>
      </w:r>
      <w:r w:rsidRPr="00B77D90">
        <w:rPr>
          <w:lang w:val="fr-FR"/>
        </w:rPr>
        <w:t>article 35 §§ 1 et 4 de la Convention, pour autant qu</w:t>
      </w:r>
      <w:r w:rsidRPr="00B77D90" w:rsidR="00B77D90">
        <w:rPr>
          <w:lang w:val="fr-FR"/>
        </w:rPr>
        <w:t>’</w:t>
      </w:r>
      <w:r w:rsidRPr="00B77D90">
        <w:rPr>
          <w:lang w:val="fr-FR"/>
        </w:rPr>
        <w:t>elle concerne ladite période.</w:t>
      </w:r>
    </w:p>
    <w:p w:rsidRPr="00B77D90" w:rsidR="009E7AAD" w:rsidP="00B77D90" w:rsidRDefault="009E7AAD">
      <w:pPr>
        <w:pStyle w:val="JuPara"/>
        <w:rPr>
          <w:lang w:val="fr-FR"/>
        </w:rPr>
      </w:pPr>
      <w:r w:rsidRPr="00B77D90">
        <w:rPr>
          <w:lang w:val="fr-FR"/>
        </w:rPr>
        <w:t>45.  Pour ce qui est, en revanche, de la période postérieure au 11 avril 2011, l</w:t>
      </w:r>
      <w:r w:rsidRPr="00B77D90" w:rsidR="00B77D90">
        <w:rPr>
          <w:lang w:val="fr-FR"/>
        </w:rPr>
        <w:t>’</w:t>
      </w:r>
      <w:r w:rsidRPr="00B77D90">
        <w:rPr>
          <w:lang w:val="fr-FR"/>
        </w:rPr>
        <w:t>exception de non-épuisement relative au recours qui était ouvert devant le juge de l</w:t>
      </w:r>
      <w:r w:rsidRPr="00B77D90" w:rsidR="00B77D90">
        <w:rPr>
          <w:lang w:val="fr-FR"/>
        </w:rPr>
        <w:t>’</w:t>
      </w:r>
      <w:r w:rsidRPr="00B77D90">
        <w:rPr>
          <w:lang w:val="fr-FR"/>
        </w:rPr>
        <w:t>exécution des peines après la décision du 27 avril 2011 (paragraphe 43 ci-dessus) doit être rejetée, dès lors que, même si le dossier ne permet pas de déterminer si c</w:t>
      </w:r>
      <w:r w:rsidRPr="00B77D90" w:rsidR="00B77D90">
        <w:rPr>
          <w:lang w:val="fr-FR"/>
        </w:rPr>
        <w:t>’</w:t>
      </w:r>
      <w:r w:rsidRPr="00B77D90">
        <w:rPr>
          <w:lang w:val="fr-FR"/>
        </w:rPr>
        <w:t>est bien le requérant qui l</w:t>
      </w:r>
      <w:r w:rsidRPr="00B77D90" w:rsidR="00B77D90">
        <w:rPr>
          <w:lang w:val="fr-FR"/>
        </w:rPr>
        <w:t>’</w:t>
      </w:r>
      <w:r w:rsidRPr="00B77D90">
        <w:rPr>
          <w:lang w:val="fr-FR"/>
        </w:rPr>
        <w:t>a portée devant le juge de l</w:t>
      </w:r>
      <w:r w:rsidRPr="00B77D90" w:rsidR="00B77D90">
        <w:rPr>
          <w:lang w:val="fr-FR"/>
        </w:rPr>
        <w:t>’</w:t>
      </w:r>
      <w:r w:rsidRPr="00B77D90">
        <w:rPr>
          <w:lang w:val="fr-FR"/>
        </w:rPr>
        <w:t>exécution des peines, la question a bien été examinée par cette juridiction (paragraphe 28 ci-dessus).</w:t>
      </w:r>
    </w:p>
    <w:p w:rsidRPr="00B77D90" w:rsidR="009E7AAD" w:rsidP="00B77D90" w:rsidRDefault="009E7AAD">
      <w:pPr>
        <w:pStyle w:val="JuPara"/>
        <w:rPr>
          <w:lang w:val="fr-FR"/>
        </w:rPr>
      </w:pPr>
      <w:bookmarkStart w:name="diyarsocioexceprejetee" w:id="15"/>
      <w:r w:rsidRPr="00B77D90">
        <w:rPr>
          <w:lang w:val="fr-FR"/>
        </w:rPr>
        <w:t>46</w:t>
      </w:r>
      <w:bookmarkEnd w:id="15"/>
      <w:r w:rsidRPr="00B77D90">
        <w:rPr>
          <w:lang w:val="fr-FR"/>
        </w:rPr>
        <w:t>.  En ce qui concerne enfin l</w:t>
      </w:r>
      <w:r w:rsidRPr="00B77D90" w:rsidR="00B77D90">
        <w:rPr>
          <w:lang w:val="fr-FR"/>
        </w:rPr>
        <w:t>’</w:t>
      </w:r>
      <w:r w:rsidRPr="00B77D90">
        <w:rPr>
          <w:lang w:val="fr-FR"/>
        </w:rPr>
        <w:t>exception concernant les activités socioculturelles à la prison de Diyarbakır, et même si l</w:t>
      </w:r>
      <w:r w:rsidRPr="00B77D90" w:rsidR="00B77D90">
        <w:rPr>
          <w:lang w:val="fr-FR"/>
        </w:rPr>
        <w:t>’</w:t>
      </w:r>
      <w:r w:rsidRPr="00B77D90">
        <w:rPr>
          <w:lang w:val="fr-FR"/>
        </w:rPr>
        <w:t>administration pénitentiaire peut être critiquée pour ne pas avoir pris d</w:t>
      </w:r>
      <w:r w:rsidRPr="00B77D90" w:rsidR="00B77D90">
        <w:rPr>
          <w:lang w:val="fr-FR"/>
        </w:rPr>
        <w:t>’</w:t>
      </w:r>
      <w:r w:rsidRPr="00B77D90">
        <w:rPr>
          <w:lang w:val="fr-FR"/>
        </w:rPr>
        <w:t>office des mesures propres à assurer la participation du requérant à de telles activités, la Cour observe que le requérant n</w:t>
      </w:r>
      <w:r w:rsidRPr="00B77D90" w:rsidR="00B77D90">
        <w:rPr>
          <w:lang w:val="fr-FR"/>
        </w:rPr>
        <w:t>’</w:t>
      </w:r>
      <w:r w:rsidRPr="00B77D90">
        <w:rPr>
          <w:lang w:val="fr-FR"/>
        </w:rPr>
        <w:t>a en réalité formulé aucune demande ou contestation à cet égard. Il s</w:t>
      </w:r>
      <w:r w:rsidRPr="00B77D90" w:rsidR="00B77D90">
        <w:rPr>
          <w:lang w:val="fr-FR"/>
        </w:rPr>
        <w:t>’</w:t>
      </w:r>
      <w:r w:rsidRPr="00B77D90">
        <w:rPr>
          <w:lang w:val="fr-FR"/>
        </w:rPr>
        <w:t>ensuit que ce grief doit être rejeté pour non-épuisement des voies de recours internes, en application de l</w:t>
      </w:r>
      <w:r w:rsidRPr="00B77D90" w:rsidR="00B77D90">
        <w:rPr>
          <w:lang w:val="fr-FR"/>
        </w:rPr>
        <w:t>’</w:t>
      </w:r>
      <w:r w:rsidRPr="00B77D90">
        <w:rPr>
          <w:lang w:val="fr-FR"/>
        </w:rPr>
        <w:t>article 35 §§ 1 et 4 de la Convention.</w:t>
      </w:r>
    </w:p>
    <w:p w:rsidRPr="00B77D90" w:rsidR="009E7AAD" w:rsidP="00B77D90" w:rsidRDefault="009E7AAD">
      <w:pPr>
        <w:pStyle w:val="JuHa0"/>
        <w:jc w:val="left"/>
        <w:rPr>
          <w:lang w:val="fr-FR"/>
        </w:rPr>
      </w:pPr>
      <w:r w:rsidRPr="00B77D90">
        <w:rPr>
          <w:lang w:val="fr-FR"/>
        </w:rPr>
        <w:t>La qualité de victime du requérant et le « seuil de gravité »</w:t>
      </w:r>
    </w:p>
    <w:p w:rsidRPr="00B77D90" w:rsidR="009E7AAD" w:rsidP="00B77D90" w:rsidRDefault="009E7AAD">
      <w:pPr>
        <w:pStyle w:val="JuPara"/>
        <w:rPr>
          <w:lang w:val="fr-FR"/>
        </w:rPr>
      </w:pPr>
      <w:r w:rsidRPr="00B77D90">
        <w:rPr>
          <w:lang w:val="fr-FR"/>
        </w:rPr>
        <w:t>47.  Le Gouvernement conteste au requérant la qualité de victime. Il indique qu</w:t>
      </w:r>
      <w:r w:rsidRPr="00B77D90" w:rsidR="00B77D90">
        <w:rPr>
          <w:lang w:val="fr-FR"/>
        </w:rPr>
        <w:t>’</w:t>
      </w:r>
      <w:r w:rsidRPr="00B77D90">
        <w:rPr>
          <w:lang w:val="fr-FR"/>
        </w:rPr>
        <w:t>après la libération de son frère, qui s</w:t>
      </w:r>
      <w:r w:rsidRPr="00B77D90" w:rsidR="00B77D90">
        <w:rPr>
          <w:lang w:val="fr-FR"/>
        </w:rPr>
        <w:t>’</w:t>
      </w:r>
      <w:r w:rsidRPr="00B77D90">
        <w:rPr>
          <w:lang w:val="fr-FR"/>
        </w:rPr>
        <w:t>occupait de lui, et sept jours seulement après la première demande introduite par lui le 20 avril 2011, deux de ses codétenus furent officiellement désignés comme aides-soignants pour l</w:t>
      </w:r>
      <w:r w:rsidRPr="00B77D90" w:rsidR="00B77D90">
        <w:rPr>
          <w:lang w:val="fr-FR"/>
        </w:rPr>
        <w:t>’</w:t>
      </w:r>
      <w:r w:rsidRPr="00B77D90">
        <w:rPr>
          <w:lang w:val="fr-FR"/>
        </w:rPr>
        <w:t>assister dans les actes de la vie quotidienne. L</w:t>
      </w:r>
      <w:r w:rsidRPr="00B77D90" w:rsidR="00B77D90">
        <w:rPr>
          <w:lang w:val="fr-FR"/>
        </w:rPr>
        <w:t>’</w:t>
      </w:r>
      <w:r w:rsidRPr="00B77D90">
        <w:rPr>
          <w:lang w:val="fr-FR"/>
        </w:rPr>
        <w:t>administration pénitentiaire de Diyarbakır, quant à elle, aurait entamé d</w:t>
      </w:r>
      <w:r w:rsidRPr="00B77D90" w:rsidR="00B77D90">
        <w:rPr>
          <w:lang w:val="fr-FR"/>
        </w:rPr>
        <w:t>’</w:t>
      </w:r>
      <w:r w:rsidRPr="00B77D90">
        <w:rPr>
          <w:lang w:val="fr-FR"/>
        </w:rPr>
        <w:t>office la procédure visant au prononcé d</w:t>
      </w:r>
      <w:r w:rsidRPr="00B77D90" w:rsidR="00B77D90">
        <w:rPr>
          <w:lang w:val="fr-FR"/>
        </w:rPr>
        <w:t>’</w:t>
      </w:r>
      <w:r w:rsidRPr="00B77D90">
        <w:rPr>
          <w:lang w:val="fr-FR"/>
        </w:rPr>
        <w:t>une grâce présidentielle. Par ailleurs, le requérant bénéficia d</w:t>
      </w:r>
      <w:r w:rsidRPr="00B77D90" w:rsidR="00B77D90">
        <w:rPr>
          <w:lang w:val="fr-FR"/>
        </w:rPr>
        <w:t>’</w:t>
      </w:r>
      <w:r w:rsidRPr="00B77D90">
        <w:rPr>
          <w:lang w:val="fr-FR"/>
        </w:rPr>
        <w:t>un sursis à l</w:t>
      </w:r>
      <w:r w:rsidRPr="00B77D90" w:rsidR="00B77D90">
        <w:rPr>
          <w:lang w:val="fr-FR"/>
        </w:rPr>
        <w:t>’</w:t>
      </w:r>
      <w:r w:rsidRPr="00B77D90">
        <w:rPr>
          <w:lang w:val="fr-FR"/>
        </w:rPr>
        <w:t>exécution de sa peine au vu de son état de santé et fut libéré le 14 juin 2013.</w:t>
      </w:r>
    </w:p>
    <w:p w:rsidRPr="00B77D90" w:rsidR="009E7AAD" w:rsidP="00B77D90" w:rsidRDefault="009E7AAD">
      <w:pPr>
        <w:pStyle w:val="JuPara"/>
        <w:rPr>
          <w:lang w:val="fr-FR"/>
        </w:rPr>
      </w:pPr>
      <w:r w:rsidRPr="00B77D90">
        <w:rPr>
          <w:lang w:val="fr-FR"/>
        </w:rPr>
        <w:t>48.  Le Gouvernement expose enfin que la durée pendant laquelle le requérant a été privé d</w:t>
      </w:r>
      <w:r w:rsidRPr="00B77D90" w:rsidR="00B77D90">
        <w:rPr>
          <w:lang w:val="fr-FR"/>
        </w:rPr>
        <w:t>’</w:t>
      </w:r>
      <w:r w:rsidRPr="00B77D90">
        <w:rPr>
          <w:lang w:val="fr-FR"/>
        </w:rPr>
        <w:t>assistance après s</w:t>
      </w:r>
      <w:r w:rsidRPr="00B77D90" w:rsidR="00B77D90">
        <w:rPr>
          <w:lang w:val="fr-FR"/>
        </w:rPr>
        <w:t>’</w:t>
      </w:r>
      <w:r w:rsidRPr="00B77D90">
        <w:rPr>
          <w:lang w:val="fr-FR"/>
        </w:rPr>
        <w:t>être plaint pour la première fois de ses conditions de détention n</w:t>
      </w:r>
      <w:r w:rsidRPr="00B77D90" w:rsidR="00B77D90">
        <w:rPr>
          <w:lang w:val="fr-FR"/>
        </w:rPr>
        <w:t>’</w:t>
      </w:r>
      <w:r w:rsidRPr="00B77D90">
        <w:rPr>
          <w:lang w:val="fr-FR"/>
        </w:rPr>
        <w:t>est que de sept jours. Il considère dès lors que le seuil de gravité nécessaire pour l</w:t>
      </w:r>
      <w:r w:rsidRPr="00B77D90" w:rsidR="00B77D90">
        <w:rPr>
          <w:lang w:val="fr-FR"/>
        </w:rPr>
        <w:t>’</w:t>
      </w:r>
      <w:r w:rsidRPr="00B77D90">
        <w:rPr>
          <w:lang w:val="fr-FR"/>
        </w:rPr>
        <w:t>application de l</w:t>
      </w:r>
      <w:r w:rsidRPr="00B77D90" w:rsidR="00B77D90">
        <w:rPr>
          <w:lang w:val="fr-FR"/>
        </w:rPr>
        <w:t>’</w:t>
      </w:r>
      <w:r w:rsidRPr="00B77D90">
        <w:rPr>
          <w:lang w:val="fr-FR"/>
        </w:rPr>
        <w:t>article 3 de la Convention n</w:t>
      </w:r>
      <w:r w:rsidRPr="00B77D90" w:rsidR="00B77D90">
        <w:rPr>
          <w:lang w:val="fr-FR"/>
        </w:rPr>
        <w:t>’</w:t>
      </w:r>
      <w:r w:rsidRPr="00B77D90">
        <w:rPr>
          <w:lang w:val="fr-FR"/>
        </w:rPr>
        <w:t>a pas été atteint en l</w:t>
      </w:r>
      <w:r w:rsidRPr="00B77D90" w:rsidR="00B77D90">
        <w:rPr>
          <w:lang w:val="fr-FR"/>
        </w:rPr>
        <w:t>’</w:t>
      </w:r>
      <w:r w:rsidRPr="00B77D90">
        <w:rPr>
          <w:lang w:val="fr-FR"/>
        </w:rPr>
        <w:t>espèce.</w:t>
      </w:r>
    </w:p>
    <w:p w:rsidRPr="00B77D90" w:rsidR="009E7AAD" w:rsidP="00B77D90" w:rsidRDefault="009E7AAD">
      <w:pPr>
        <w:pStyle w:val="JuPara"/>
        <w:rPr>
          <w:lang w:val="fr-FR"/>
        </w:rPr>
      </w:pPr>
      <w:r w:rsidRPr="00B77D90">
        <w:rPr>
          <w:lang w:val="fr-FR"/>
        </w:rPr>
        <w:t>49.  La Cour ne peut souscrire à l</w:t>
      </w:r>
      <w:r w:rsidRPr="00B77D90" w:rsidR="00B77D90">
        <w:rPr>
          <w:lang w:val="fr-FR"/>
        </w:rPr>
        <w:t>’</w:t>
      </w:r>
      <w:r w:rsidRPr="00B77D90">
        <w:rPr>
          <w:lang w:val="fr-FR"/>
        </w:rPr>
        <w:t>argument du Gouvernement selon lequel les conditions litigieuses n</w:t>
      </w:r>
      <w:r w:rsidRPr="00B77D90" w:rsidR="00B77D90">
        <w:rPr>
          <w:lang w:val="fr-FR"/>
        </w:rPr>
        <w:t>’</w:t>
      </w:r>
      <w:r w:rsidRPr="00B77D90">
        <w:rPr>
          <w:lang w:val="fr-FR"/>
        </w:rPr>
        <w:t>ont perduré que sept jours après que le requérant se fut plaint pour la première fois de ses conditions de détention. Elle relève tout d</w:t>
      </w:r>
      <w:r w:rsidRPr="00B77D90" w:rsidR="00B77D90">
        <w:rPr>
          <w:lang w:val="fr-FR"/>
        </w:rPr>
        <w:t>’</w:t>
      </w:r>
      <w:r w:rsidRPr="00B77D90">
        <w:rPr>
          <w:lang w:val="fr-FR"/>
        </w:rPr>
        <w:t>abord que, l</w:t>
      </w:r>
      <w:r w:rsidRPr="00B77D90" w:rsidR="00B77D90">
        <w:rPr>
          <w:lang w:val="fr-FR"/>
        </w:rPr>
        <w:t>’</w:t>
      </w:r>
      <w:r w:rsidRPr="00B77D90">
        <w:rPr>
          <w:lang w:val="fr-FR"/>
        </w:rPr>
        <w:t>intéressé étant gravement handicapé, sa situation était bien différente de celle d</w:t>
      </w:r>
      <w:r w:rsidRPr="00B77D90" w:rsidR="00B77D90">
        <w:rPr>
          <w:lang w:val="fr-FR"/>
        </w:rPr>
        <w:t>’</w:t>
      </w:r>
      <w:r w:rsidRPr="00B77D90">
        <w:rPr>
          <w:lang w:val="fr-FR"/>
        </w:rPr>
        <w:t>un détenu quelconque qui se serait plaint de ses conditions de détention. Or aucune mesure adéquate n</w:t>
      </w:r>
      <w:r w:rsidRPr="00B77D90" w:rsidR="00B77D90">
        <w:rPr>
          <w:lang w:val="fr-FR"/>
        </w:rPr>
        <w:t>’</w:t>
      </w:r>
      <w:r w:rsidRPr="00B77D90">
        <w:rPr>
          <w:lang w:val="fr-FR"/>
        </w:rPr>
        <w:t>a été prise d</w:t>
      </w:r>
      <w:r w:rsidRPr="00B77D90" w:rsidR="00B77D90">
        <w:rPr>
          <w:lang w:val="fr-FR"/>
        </w:rPr>
        <w:t>’</w:t>
      </w:r>
      <w:r w:rsidRPr="00B77D90">
        <w:rPr>
          <w:lang w:val="fr-FR"/>
        </w:rPr>
        <w:t>office, notamment lorsqu</w:t>
      </w:r>
      <w:r w:rsidRPr="00B77D90" w:rsidR="00B77D90">
        <w:rPr>
          <w:lang w:val="fr-FR"/>
        </w:rPr>
        <w:t>’</w:t>
      </w:r>
      <w:r w:rsidRPr="00B77D90">
        <w:rPr>
          <w:lang w:val="fr-FR"/>
        </w:rPr>
        <w:t>il est apparu que le frère du requérant, qui s</w:t>
      </w:r>
      <w:r w:rsidRPr="00B77D90" w:rsidR="00B77D90">
        <w:rPr>
          <w:lang w:val="fr-FR"/>
        </w:rPr>
        <w:t>’</w:t>
      </w:r>
      <w:r w:rsidRPr="00B77D90">
        <w:rPr>
          <w:lang w:val="fr-FR"/>
        </w:rPr>
        <w:t>occupait de lui, allait être libéré. Ensuite, la Cour considère qu</w:t>
      </w:r>
      <w:r w:rsidRPr="00B77D90" w:rsidR="00B77D90">
        <w:rPr>
          <w:lang w:val="fr-FR"/>
        </w:rPr>
        <w:t>’</w:t>
      </w:r>
      <w:r w:rsidRPr="00B77D90">
        <w:rPr>
          <w:lang w:val="fr-FR"/>
        </w:rPr>
        <w:t>il lui faut examiner la situation qui a été celle du requérant jusqu</w:t>
      </w:r>
      <w:r w:rsidRPr="00B77D90" w:rsidR="00B77D90">
        <w:rPr>
          <w:lang w:val="fr-FR"/>
        </w:rPr>
        <w:t>’</w:t>
      </w:r>
      <w:r w:rsidRPr="00B77D90">
        <w:rPr>
          <w:lang w:val="fr-FR"/>
        </w:rPr>
        <w:t>à sa propre libération, ses réponses aux exceptions du Gouvernement relatives à la qualité de victime et au seuil de gravité dépendant de cet examen. Dans les circonstances particulières de l</w:t>
      </w:r>
      <w:r w:rsidRPr="00B77D90" w:rsidR="00B77D90">
        <w:rPr>
          <w:lang w:val="fr-FR"/>
        </w:rPr>
        <w:t>’</w:t>
      </w:r>
      <w:r w:rsidRPr="00B77D90">
        <w:rPr>
          <w:lang w:val="fr-FR"/>
        </w:rPr>
        <w:t>espèce, elle estime que lesdites exceptions sont si étroitement liées à la substance du grief tiré de l</w:t>
      </w:r>
      <w:r w:rsidRPr="00B77D90" w:rsidR="00B77D90">
        <w:rPr>
          <w:lang w:val="fr-FR"/>
        </w:rPr>
        <w:t>’</w:t>
      </w:r>
      <w:r w:rsidRPr="00B77D90">
        <w:rPr>
          <w:lang w:val="fr-FR"/>
        </w:rPr>
        <w:t>article 3 de la Convention qu</w:t>
      </w:r>
      <w:r w:rsidRPr="00B77D90" w:rsidR="00B77D90">
        <w:rPr>
          <w:lang w:val="fr-FR"/>
        </w:rPr>
        <w:t>’</w:t>
      </w:r>
      <w:r w:rsidRPr="00B77D90">
        <w:rPr>
          <w:lang w:val="fr-FR"/>
        </w:rPr>
        <w:t>il y a lieu de les joindre au fond.</w:t>
      </w:r>
    </w:p>
    <w:p w:rsidRPr="00B77D90" w:rsidR="009E7AAD" w:rsidP="00B77D90" w:rsidRDefault="009E7AAD">
      <w:pPr>
        <w:pStyle w:val="JuPara"/>
      </w:pPr>
      <w:r w:rsidRPr="00B77D90">
        <w:rPr>
          <w:lang w:val="fr-FR"/>
        </w:rPr>
        <w:t>50.  Ainsi, quant aux conditions matérielles de la détention (paragraphe 46 ci-dessus) subie par le requérant du 11 avril 2011 au 14 juin 2013, la Cour constate que cette partie de la requête n</w:t>
      </w:r>
      <w:r w:rsidRPr="00B77D90" w:rsidR="00B77D90">
        <w:rPr>
          <w:lang w:val="fr-FR"/>
        </w:rPr>
        <w:t>’</w:t>
      </w:r>
      <w:r w:rsidRPr="00B77D90">
        <w:rPr>
          <w:lang w:val="fr-FR"/>
        </w:rPr>
        <w:t>est pas manifestement mal fondée au sens de l</w:t>
      </w:r>
      <w:r w:rsidRPr="00B77D90" w:rsidR="00B77D90">
        <w:rPr>
          <w:lang w:val="fr-FR"/>
        </w:rPr>
        <w:t>’</w:t>
      </w:r>
      <w:r w:rsidRPr="00B77D90">
        <w:rPr>
          <w:lang w:val="fr-FR"/>
        </w:rPr>
        <w:t>article 35 § 3a) de la Convention et qu</w:t>
      </w:r>
      <w:r w:rsidRPr="00B77D90" w:rsidR="00B77D90">
        <w:rPr>
          <w:lang w:val="fr-FR"/>
        </w:rPr>
        <w:t>’</w:t>
      </w:r>
      <w:r w:rsidRPr="00B77D90">
        <w:rPr>
          <w:lang w:val="fr-FR"/>
        </w:rPr>
        <w:t>elle ne se heurte à aucun autre motif d</w:t>
      </w:r>
      <w:r w:rsidRPr="00B77D90" w:rsidR="00B77D90">
        <w:rPr>
          <w:lang w:val="fr-FR"/>
        </w:rPr>
        <w:t>’</w:t>
      </w:r>
      <w:r w:rsidRPr="00B77D90">
        <w:rPr>
          <w:lang w:val="fr-FR"/>
        </w:rPr>
        <w:t xml:space="preserve">irrecevabilité. </w:t>
      </w:r>
      <w:proofErr w:type="gramStart"/>
      <w:r w:rsidRPr="00B77D90">
        <w:t xml:space="preserve">Elle le </w:t>
      </w:r>
      <w:proofErr w:type="spellStart"/>
      <w:r w:rsidRPr="00B77D90">
        <w:t>déclare</w:t>
      </w:r>
      <w:proofErr w:type="spellEnd"/>
      <w:r w:rsidRPr="00B77D90">
        <w:t xml:space="preserve"> </w:t>
      </w:r>
      <w:proofErr w:type="spellStart"/>
      <w:r w:rsidRPr="00B77D90">
        <w:t>donc</w:t>
      </w:r>
      <w:proofErr w:type="spellEnd"/>
      <w:r w:rsidRPr="00B77D90">
        <w:t xml:space="preserve"> </w:t>
      </w:r>
      <w:proofErr w:type="spellStart"/>
      <w:r w:rsidRPr="00B77D90">
        <w:t>recevable</w:t>
      </w:r>
      <w:proofErr w:type="spellEnd"/>
      <w:r w:rsidRPr="00B77D90">
        <w:t>.</w:t>
      </w:r>
      <w:proofErr w:type="gramEnd"/>
    </w:p>
    <w:p w:rsidRPr="00B77D90" w:rsidR="009E7AAD" w:rsidP="00B77D90" w:rsidRDefault="009E7AAD">
      <w:pPr>
        <w:pStyle w:val="JuHA"/>
        <w:jc w:val="left"/>
      </w:pPr>
      <w:r w:rsidRPr="00B77D90">
        <w:t>Sur le fond</w:t>
      </w:r>
    </w:p>
    <w:p w:rsidRPr="00B77D90" w:rsidR="009E7AAD" w:rsidP="00B77D90" w:rsidRDefault="009E7AAD">
      <w:pPr>
        <w:pStyle w:val="JuPara"/>
        <w:rPr>
          <w:lang w:val="fr-FR"/>
        </w:rPr>
      </w:pPr>
      <w:r w:rsidRPr="00B77D90">
        <w:rPr>
          <w:lang w:val="fr-FR"/>
        </w:rPr>
        <w:t>51.  Le requérant expose qu</w:t>
      </w:r>
      <w:r w:rsidRPr="00B77D90" w:rsidR="00B77D90">
        <w:rPr>
          <w:lang w:val="fr-FR"/>
        </w:rPr>
        <w:t>’</w:t>
      </w:r>
      <w:r w:rsidRPr="00B77D90">
        <w:rPr>
          <w:lang w:val="fr-FR"/>
        </w:rPr>
        <w:t>il était humiliant pour lui, lorsqu</w:t>
      </w:r>
      <w:r w:rsidRPr="00B77D90" w:rsidR="00B77D90">
        <w:rPr>
          <w:lang w:val="fr-FR"/>
        </w:rPr>
        <w:t>’</w:t>
      </w:r>
      <w:r w:rsidRPr="00B77D90">
        <w:rPr>
          <w:lang w:val="fr-FR"/>
        </w:rPr>
        <w:t>il séjournait à la prison de Batman, de devoir être porté par des inconnus sur une vingtaine de marches d</w:t>
      </w:r>
      <w:r w:rsidRPr="00B77D90" w:rsidR="00B77D90">
        <w:rPr>
          <w:lang w:val="fr-FR"/>
        </w:rPr>
        <w:t>’</w:t>
      </w:r>
      <w:r w:rsidRPr="00B77D90">
        <w:rPr>
          <w:lang w:val="fr-FR"/>
        </w:rPr>
        <w:t>escalier afin de pouvoir accéder aux équipements sanitaires. Sans détailler son grief, il se plaint également de ne pas avoir pu sortir dans la cour de promenade autant que les autres détenus. Il considère ainsi qu</w:t>
      </w:r>
      <w:r w:rsidRPr="00B77D90" w:rsidR="00B77D90">
        <w:rPr>
          <w:lang w:val="fr-FR"/>
        </w:rPr>
        <w:t>’</w:t>
      </w:r>
      <w:r w:rsidRPr="00B77D90">
        <w:rPr>
          <w:lang w:val="fr-FR"/>
        </w:rPr>
        <w:t>eu égard à son grave handicap</w:t>
      </w:r>
      <w:r w:rsidRPr="00B77D90" w:rsidDel="00D3731D">
        <w:rPr>
          <w:lang w:val="fr-FR"/>
        </w:rPr>
        <w:t xml:space="preserve"> </w:t>
      </w:r>
      <w:r w:rsidRPr="00B77D90">
        <w:rPr>
          <w:lang w:val="fr-FR"/>
        </w:rPr>
        <w:t>son emprisonnement était incompatible avec l</w:t>
      </w:r>
      <w:r w:rsidRPr="00B77D90" w:rsidR="00B77D90">
        <w:rPr>
          <w:lang w:val="fr-FR"/>
        </w:rPr>
        <w:t>’</w:t>
      </w:r>
      <w:r w:rsidRPr="00B77D90">
        <w:rPr>
          <w:lang w:val="fr-FR"/>
        </w:rPr>
        <w:t>article 3 de la Convention, que sa place était auprès de sa famille et qu</w:t>
      </w:r>
      <w:r w:rsidRPr="00B77D90" w:rsidR="00B77D90">
        <w:rPr>
          <w:lang w:val="fr-FR"/>
        </w:rPr>
        <w:t>’</w:t>
      </w:r>
      <w:r w:rsidRPr="00B77D90">
        <w:rPr>
          <w:lang w:val="fr-FR"/>
        </w:rPr>
        <w:t>il aurait dû pouvoir exécuter sa peine à son domicile.</w:t>
      </w:r>
    </w:p>
    <w:p w:rsidRPr="00B77D90" w:rsidR="009E7AAD" w:rsidP="00B77D90" w:rsidRDefault="009E7AAD">
      <w:pPr>
        <w:pStyle w:val="JuPara"/>
        <w:rPr>
          <w:lang w:val="fr-FR"/>
        </w:rPr>
      </w:pPr>
      <w:r w:rsidRPr="00B77D90">
        <w:rPr>
          <w:lang w:val="fr-FR"/>
        </w:rPr>
        <w:t>52.  Le Gouvernement rétorque que des détenus furent désignés comme aides-soignants aux frais de l</w:t>
      </w:r>
      <w:r w:rsidRPr="00B77D90" w:rsidR="00B77D90">
        <w:rPr>
          <w:lang w:val="fr-FR"/>
        </w:rPr>
        <w:t>’</w:t>
      </w:r>
      <w:r w:rsidRPr="00B77D90">
        <w:rPr>
          <w:lang w:val="fr-FR"/>
        </w:rPr>
        <w:t>administration pénitentiaire, que des fauteuils roulants furent mis à la disposition du requérant, dont un pour une utilisation spécifique à son hygiène personnelle dans la prison de Diyarbakır, et que dans cet établissement la porte de la pièce renfermant les équipements sanitaires fut élargie de manière à permettre une plus grande autonomie de l</w:t>
      </w:r>
      <w:r w:rsidRPr="00B77D90" w:rsidR="00B77D90">
        <w:rPr>
          <w:lang w:val="fr-FR"/>
        </w:rPr>
        <w:t>’</w:t>
      </w:r>
      <w:r w:rsidRPr="00B77D90">
        <w:rPr>
          <w:lang w:val="fr-FR"/>
        </w:rPr>
        <w:t>intéressé.</w:t>
      </w:r>
    </w:p>
    <w:p w:rsidRPr="00B77D90" w:rsidR="009E7AAD" w:rsidP="00B77D90" w:rsidRDefault="009E7AAD">
      <w:pPr>
        <w:pStyle w:val="JuH1"/>
        <w:jc w:val="left"/>
      </w:pPr>
      <w:proofErr w:type="spellStart"/>
      <w:r w:rsidRPr="00B77D90">
        <w:t>Principes</w:t>
      </w:r>
      <w:proofErr w:type="spellEnd"/>
      <w:r w:rsidRPr="00B77D90">
        <w:t xml:space="preserve"> </w:t>
      </w:r>
      <w:proofErr w:type="spellStart"/>
      <w:r w:rsidRPr="00B77D90">
        <w:t>généraux</w:t>
      </w:r>
      <w:proofErr w:type="spellEnd"/>
    </w:p>
    <w:p w:rsidRPr="00B77D90" w:rsidR="009E7AAD" w:rsidP="00B77D90" w:rsidRDefault="009E7AAD">
      <w:pPr>
        <w:pStyle w:val="JuPara"/>
        <w:rPr>
          <w:lang w:val="fr-FR"/>
        </w:rPr>
      </w:pPr>
      <w:r w:rsidRPr="00B77D90">
        <w:rPr>
          <w:lang w:val="fr-FR"/>
        </w:rPr>
        <w:t>53.  La Cour rappelle que, selon sa jurisprudence, pour tomber sous le coup de l</w:t>
      </w:r>
      <w:r w:rsidRPr="00B77D90" w:rsidR="00B77D90">
        <w:rPr>
          <w:lang w:val="fr-FR"/>
        </w:rPr>
        <w:t>’</w:t>
      </w:r>
      <w:r w:rsidRPr="00B77D90">
        <w:rPr>
          <w:lang w:val="fr-FR"/>
        </w:rPr>
        <w:t>article 3 de la Convention, un mauvais traitement doit atteindre un minimum de gravité. L</w:t>
      </w:r>
      <w:r w:rsidRPr="00B77D90" w:rsidR="00B77D90">
        <w:rPr>
          <w:lang w:val="fr-FR"/>
        </w:rPr>
        <w:t>’</w:t>
      </w:r>
      <w:r w:rsidRPr="00B77D90">
        <w:rPr>
          <w:lang w:val="fr-FR"/>
        </w:rPr>
        <w:t>appréciation de ce minimum est relative par essence ; elle dépend de l</w:t>
      </w:r>
      <w:r w:rsidRPr="00B77D90" w:rsidR="00B77D90">
        <w:rPr>
          <w:lang w:val="fr-FR"/>
        </w:rPr>
        <w:t>’</w:t>
      </w:r>
      <w:r w:rsidRPr="00B77D90">
        <w:rPr>
          <w:lang w:val="fr-FR"/>
        </w:rPr>
        <w:t>ensemble des données de la cause, notamment de la durée du traitement et de ses effets physiques et mentaux, ainsi que, parfois, du sexe, de l</w:t>
      </w:r>
      <w:r w:rsidRPr="00B77D90" w:rsidR="00B77D90">
        <w:rPr>
          <w:lang w:val="fr-FR"/>
        </w:rPr>
        <w:t>’</w:t>
      </w:r>
      <w:r w:rsidRPr="00B77D90">
        <w:rPr>
          <w:lang w:val="fr-FR"/>
        </w:rPr>
        <w:t>âge et de l</w:t>
      </w:r>
      <w:r w:rsidRPr="00B77D90" w:rsidR="00B77D90">
        <w:rPr>
          <w:lang w:val="fr-FR"/>
        </w:rPr>
        <w:t>’</w:t>
      </w:r>
      <w:r w:rsidRPr="00B77D90">
        <w:rPr>
          <w:lang w:val="fr-FR"/>
        </w:rPr>
        <w:t>état de santé de la victime, etc. (</w:t>
      </w:r>
      <w:proofErr w:type="spellStart"/>
      <w:r w:rsidRPr="00B77D90">
        <w:rPr>
          <w:i/>
          <w:lang w:val="fr-FR"/>
        </w:rPr>
        <w:t>Gäfgen</w:t>
      </w:r>
      <w:proofErr w:type="spellEnd"/>
      <w:r w:rsidRPr="00B77D90">
        <w:rPr>
          <w:i/>
          <w:lang w:val="fr-FR"/>
        </w:rPr>
        <w:t xml:space="preserve"> c. Allemagne</w:t>
      </w:r>
      <w:r w:rsidRPr="00B77D90">
        <w:rPr>
          <w:lang w:val="fr-FR"/>
        </w:rPr>
        <w:t xml:space="preserve"> [GC], n</w:t>
      </w:r>
      <w:r w:rsidRPr="00B77D90">
        <w:rPr>
          <w:vertAlign w:val="superscript"/>
          <w:lang w:val="fr-FR"/>
        </w:rPr>
        <w:t>o</w:t>
      </w:r>
      <w:r w:rsidRPr="00B77D90">
        <w:rPr>
          <w:lang w:val="fr-FR"/>
        </w:rPr>
        <w:t xml:space="preserve"> 22978/05, § 88, CEDH 2010, et </w:t>
      </w:r>
      <w:proofErr w:type="spellStart"/>
      <w:r w:rsidRPr="00B77D90">
        <w:rPr>
          <w:i/>
          <w:lang w:val="fr-FR"/>
        </w:rPr>
        <w:t>Bouyid</w:t>
      </w:r>
      <w:proofErr w:type="spellEnd"/>
      <w:r w:rsidRPr="00B77D90">
        <w:rPr>
          <w:i/>
          <w:lang w:val="fr-FR"/>
        </w:rPr>
        <w:t xml:space="preserve"> c. Belgique</w:t>
      </w:r>
      <w:r w:rsidRPr="00B77D90">
        <w:rPr>
          <w:lang w:val="fr-FR"/>
        </w:rPr>
        <w:t xml:space="preserve"> [GC], n</w:t>
      </w:r>
      <w:r w:rsidRPr="00B77D90">
        <w:rPr>
          <w:vertAlign w:val="superscript"/>
          <w:lang w:val="fr-FR"/>
        </w:rPr>
        <w:t>o</w:t>
      </w:r>
      <w:r w:rsidRPr="00B77D90">
        <w:rPr>
          <w:lang w:val="fr-FR"/>
        </w:rPr>
        <w:t xml:space="preserve"> 23380/09, § 86, CEDH 2015). Dans cette perspective, il ne suffit pas que le traitement comporte des aspects désagréables (</w:t>
      </w:r>
      <w:proofErr w:type="spellStart"/>
      <w:r w:rsidRPr="00B77D90">
        <w:rPr>
          <w:i/>
          <w:lang w:val="fr-FR"/>
        </w:rPr>
        <w:t>Guzzardi</w:t>
      </w:r>
      <w:proofErr w:type="spellEnd"/>
      <w:r w:rsidRPr="00B77D90">
        <w:rPr>
          <w:i/>
          <w:lang w:val="fr-FR"/>
        </w:rPr>
        <w:t xml:space="preserve"> c. Italie</w:t>
      </w:r>
      <w:r w:rsidRPr="00B77D90">
        <w:rPr>
          <w:lang w:val="fr-FR"/>
        </w:rPr>
        <w:t>, 6 novembre 1980, § 107, série A n</w:t>
      </w:r>
      <w:r w:rsidRPr="00B77D90">
        <w:rPr>
          <w:vertAlign w:val="superscript"/>
          <w:lang w:val="fr-FR"/>
        </w:rPr>
        <w:t>o</w:t>
      </w:r>
      <w:r w:rsidRPr="00B77D90">
        <w:rPr>
          <w:lang w:val="fr-FR"/>
        </w:rPr>
        <w:t xml:space="preserve"> 39, et </w:t>
      </w:r>
      <w:proofErr w:type="spellStart"/>
      <w:r w:rsidRPr="00B77D90">
        <w:rPr>
          <w:i/>
          <w:lang w:val="fr-FR"/>
        </w:rPr>
        <w:t>Messina</w:t>
      </w:r>
      <w:proofErr w:type="spellEnd"/>
      <w:r w:rsidRPr="00B77D90">
        <w:rPr>
          <w:i/>
          <w:lang w:val="fr-FR"/>
        </w:rPr>
        <w:t xml:space="preserve"> c. Italie</w:t>
      </w:r>
      <w:r w:rsidRPr="00B77D90">
        <w:rPr>
          <w:lang w:val="fr-FR"/>
        </w:rPr>
        <w:t xml:space="preserve"> (n</w:t>
      </w:r>
      <w:r w:rsidRPr="00B77D90">
        <w:rPr>
          <w:vertAlign w:val="superscript"/>
          <w:lang w:val="fr-FR"/>
        </w:rPr>
        <w:t>o</w:t>
      </w:r>
      <w:r w:rsidRPr="00B77D90">
        <w:rPr>
          <w:lang w:val="fr-FR"/>
        </w:rPr>
        <w:t xml:space="preserve"> 2) (déc.), n</w:t>
      </w:r>
      <w:r w:rsidRPr="00B77D90">
        <w:rPr>
          <w:vertAlign w:val="superscript"/>
          <w:lang w:val="fr-FR"/>
        </w:rPr>
        <w:t>o</w:t>
      </w:r>
      <w:r w:rsidRPr="00B77D90">
        <w:rPr>
          <w:lang w:val="fr-FR"/>
        </w:rPr>
        <w:t> 25498/94, CEDH 1999-V).</w:t>
      </w:r>
    </w:p>
    <w:p w:rsidRPr="00B77D90" w:rsidR="009E7AAD" w:rsidP="00B77D90" w:rsidRDefault="009E7AAD">
      <w:pPr>
        <w:pStyle w:val="JuPara"/>
        <w:rPr>
          <w:lang w:val="fr-FR"/>
        </w:rPr>
      </w:pPr>
      <w:r w:rsidRPr="00B77D90">
        <w:rPr>
          <w:lang w:val="fr-FR"/>
        </w:rPr>
        <w:t>54.  L</w:t>
      </w:r>
      <w:r w:rsidRPr="00B77D90" w:rsidR="00B77D90">
        <w:rPr>
          <w:lang w:val="fr-FR"/>
        </w:rPr>
        <w:t>’</w:t>
      </w:r>
      <w:r w:rsidRPr="00B77D90">
        <w:rPr>
          <w:lang w:val="fr-FR"/>
        </w:rPr>
        <w:t>article 3 de la Convention impose aussi à l</w:t>
      </w:r>
      <w:r w:rsidRPr="00B77D90" w:rsidR="00B77D90">
        <w:rPr>
          <w:lang w:val="fr-FR"/>
        </w:rPr>
        <w:t>’</w:t>
      </w:r>
      <w:r w:rsidRPr="00B77D90">
        <w:rPr>
          <w:lang w:val="fr-FR"/>
        </w:rPr>
        <w:t>État de s</w:t>
      </w:r>
      <w:r w:rsidRPr="00B77D90" w:rsidR="00B77D90">
        <w:rPr>
          <w:lang w:val="fr-FR"/>
        </w:rPr>
        <w:t>’</w:t>
      </w:r>
      <w:r w:rsidRPr="00B77D90">
        <w:rPr>
          <w:lang w:val="fr-FR"/>
        </w:rPr>
        <w:t>assurer que tout prisonnier est détenu dans des conditions qui sont compatibles avec le respect de la dignité humaine, que les modalités d</w:t>
      </w:r>
      <w:r w:rsidRPr="00B77D90" w:rsidR="00B77D90">
        <w:rPr>
          <w:lang w:val="fr-FR"/>
        </w:rPr>
        <w:t>’</w:t>
      </w:r>
      <w:r w:rsidRPr="00B77D90">
        <w:rPr>
          <w:lang w:val="fr-FR"/>
        </w:rPr>
        <w:t>exécution de la mesure ne soumettent pas l</w:t>
      </w:r>
      <w:r w:rsidRPr="00B77D90" w:rsidR="00B77D90">
        <w:rPr>
          <w:lang w:val="fr-FR"/>
        </w:rPr>
        <w:t>’</w:t>
      </w:r>
      <w:r w:rsidRPr="00B77D90">
        <w:rPr>
          <w:lang w:val="fr-FR"/>
        </w:rPr>
        <w:t>intéressé à une détresse ou à une épreuve d</w:t>
      </w:r>
      <w:r w:rsidRPr="00B77D90" w:rsidR="00B77D90">
        <w:rPr>
          <w:lang w:val="fr-FR"/>
        </w:rPr>
        <w:t>’</w:t>
      </w:r>
      <w:r w:rsidRPr="00B77D90">
        <w:rPr>
          <w:lang w:val="fr-FR"/>
        </w:rPr>
        <w:t>une intensité qui excède le niveau inévitable de souffrance inhérent à la détention et que, eu égard aux exigences pratiques de l</w:t>
      </w:r>
      <w:r w:rsidRPr="00B77D90" w:rsidR="00B77D90">
        <w:rPr>
          <w:lang w:val="fr-FR"/>
        </w:rPr>
        <w:t>’</w:t>
      </w:r>
      <w:r w:rsidRPr="00B77D90">
        <w:rPr>
          <w:lang w:val="fr-FR"/>
        </w:rPr>
        <w:t xml:space="preserve">emprisonnement, la santé et le bien-être du prisonnier sont assurés de manière adéquate (pour un détenu handicapé, voir </w:t>
      </w:r>
      <w:r w:rsidRPr="00B77D90">
        <w:rPr>
          <w:i/>
          <w:lang w:val="fr-FR"/>
        </w:rPr>
        <w:t>Vincent c. France</w:t>
      </w:r>
      <w:r w:rsidRPr="00B77D90">
        <w:rPr>
          <w:lang w:val="fr-FR"/>
        </w:rPr>
        <w:t>, n</w:t>
      </w:r>
      <w:r w:rsidRPr="00B77D90">
        <w:rPr>
          <w:vertAlign w:val="superscript"/>
          <w:lang w:val="fr-FR"/>
        </w:rPr>
        <w:t>o</w:t>
      </w:r>
      <w:r w:rsidRPr="00B77D90">
        <w:rPr>
          <w:lang w:val="fr-FR"/>
        </w:rPr>
        <w:t xml:space="preserve"> 6253/03, § 98, 24 octobre 2006 ; voir également l</w:t>
      </w:r>
      <w:r w:rsidRPr="00B77D90" w:rsidR="00B77D90">
        <w:rPr>
          <w:lang w:val="fr-FR"/>
        </w:rPr>
        <w:t>’</w:t>
      </w:r>
      <w:r w:rsidRPr="00B77D90">
        <w:rPr>
          <w:lang w:val="fr-FR"/>
        </w:rPr>
        <w:t xml:space="preserve">arrêt </w:t>
      </w:r>
      <w:r w:rsidRPr="00B77D90">
        <w:rPr>
          <w:i/>
          <w:lang w:val="fr-FR"/>
        </w:rPr>
        <w:t>Price c. Royaume-Uni</w:t>
      </w:r>
      <w:r w:rsidRPr="00B77D90">
        <w:rPr>
          <w:lang w:val="fr-FR"/>
        </w:rPr>
        <w:t>, n</w:t>
      </w:r>
      <w:r w:rsidRPr="00B77D90">
        <w:rPr>
          <w:vertAlign w:val="superscript"/>
          <w:lang w:val="fr-FR"/>
        </w:rPr>
        <w:t>o</w:t>
      </w:r>
      <w:r w:rsidRPr="00B77D90">
        <w:rPr>
          <w:lang w:val="fr-FR"/>
        </w:rPr>
        <w:t xml:space="preserve"> 33394/96, CEDH 2001-VII, où la Cour a jugé que le fait d</w:t>
      </w:r>
      <w:r w:rsidRPr="00B77D90" w:rsidR="00B77D90">
        <w:rPr>
          <w:lang w:val="fr-FR"/>
        </w:rPr>
        <w:t>’</w:t>
      </w:r>
      <w:r w:rsidRPr="00B77D90">
        <w:rPr>
          <w:lang w:val="fr-FR"/>
        </w:rPr>
        <w:t>avoir maintenu la requérante, handicapée des quatre membres, en détention dans des conditions inadaptées à son état de santé s</w:t>
      </w:r>
      <w:r w:rsidRPr="00B77D90" w:rsidR="00B77D90">
        <w:rPr>
          <w:lang w:val="fr-FR"/>
        </w:rPr>
        <w:t>’</w:t>
      </w:r>
      <w:r w:rsidRPr="00B77D90">
        <w:rPr>
          <w:lang w:val="fr-FR"/>
        </w:rPr>
        <w:t xml:space="preserve">analysait en un traitement dégradant ; pour les conditions de détention en général, voir, </w:t>
      </w:r>
      <w:proofErr w:type="spellStart"/>
      <w:r w:rsidRPr="00B77D90">
        <w:rPr>
          <w:i/>
          <w:lang w:val="fr-FR"/>
        </w:rPr>
        <w:t>Idalov</w:t>
      </w:r>
      <w:proofErr w:type="spellEnd"/>
      <w:r w:rsidRPr="00B77D90">
        <w:rPr>
          <w:i/>
          <w:lang w:val="fr-FR"/>
        </w:rPr>
        <w:t xml:space="preserve"> c. Russie</w:t>
      </w:r>
      <w:r w:rsidRPr="00B77D90">
        <w:rPr>
          <w:lang w:val="fr-FR"/>
        </w:rPr>
        <w:t xml:space="preserve"> [GC], n</w:t>
      </w:r>
      <w:r w:rsidRPr="00B77D90">
        <w:rPr>
          <w:vertAlign w:val="superscript"/>
          <w:lang w:val="fr-FR"/>
        </w:rPr>
        <w:t>o</w:t>
      </w:r>
      <w:r w:rsidRPr="00B77D90">
        <w:rPr>
          <w:lang w:val="fr-FR"/>
        </w:rPr>
        <w:t xml:space="preserve"> 5826/03, § 93, 22 mai 2012 et </w:t>
      </w:r>
      <w:proofErr w:type="spellStart"/>
      <w:r w:rsidRPr="00B77D90">
        <w:rPr>
          <w:i/>
          <w:lang w:val="fr-FR"/>
        </w:rPr>
        <w:t>Muršić</w:t>
      </w:r>
      <w:proofErr w:type="spellEnd"/>
      <w:r w:rsidRPr="00B77D90">
        <w:rPr>
          <w:i/>
          <w:lang w:val="fr-FR"/>
        </w:rPr>
        <w:t xml:space="preserve"> c. Croatie</w:t>
      </w:r>
      <w:r w:rsidRPr="00B77D90">
        <w:rPr>
          <w:lang w:val="fr-FR"/>
        </w:rPr>
        <w:t xml:space="preserve"> [GC], n</w:t>
      </w:r>
      <w:r w:rsidRPr="00B77D90">
        <w:rPr>
          <w:vertAlign w:val="superscript"/>
          <w:lang w:val="fr-FR"/>
        </w:rPr>
        <w:t>o</w:t>
      </w:r>
      <w:r w:rsidRPr="00B77D90">
        <w:rPr>
          <w:lang w:val="fr-FR"/>
        </w:rPr>
        <w:t xml:space="preserve"> 7334/13, § 99, 20 octobre 2016).</w:t>
      </w:r>
    </w:p>
    <w:p w:rsidRPr="00B77D90" w:rsidR="009E7AAD" w:rsidP="00B77D90" w:rsidRDefault="009E7AAD">
      <w:pPr>
        <w:pStyle w:val="JuH1"/>
        <w:jc w:val="left"/>
      </w:pPr>
      <w:r w:rsidRPr="00B77D90">
        <w:t xml:space="preserve">Application </w:t>
      </w:r>
      <w:proofErr w:type="spellStart"/>
      <w:r w:rsidRPr="00B77D90">
        <w:t>en</w:t>
      </w:r>
      <w:proofErr w:type="spellEnd"/>
      <w:r w:rsidRPr="00B77D90">
        <w:t xml:space="preserve"> </w:t>
      </w:r>
      <w:proofErr w:type="spellStart"/>
      <w:r w:rsidRPr="00B77D90">
        <w:t>l</w:t>
      </w:r>
      <w:r w:rsidRPr="00B77D90" w:rsidR="00B77D90">
        <w:t>’</w:t>
      </w:r>
      <w:r w:rsidRPr="00B77D90">
        <w:t>espèce</w:t>
      </w:r>
      <w:proofErr w:type="spellEnd"/>
    </w:p>
    <w:p w:rsidRPr="00B77D90" w:rsidR="009E7AAD" w:rsidP="00B77D90" w:rsidRDefault="009E7AAD">
      <w:pPr>
        <w:pStyle w:val="JuPara"/>
        <w:rPr>
          <w:lang w:val="fr-FR"/>
        </w:rPr>
      </w:pPr>
      <w:r w:rsidRPr="00B77D90">
        <w:rPr>
          <w:lang w:val="fr-FR"/>
        </w:rPr>
        <w:t>55.  La Cour observe que le requérant, dont le taux d</w:t>
      </w:r>
      <w:r w:rsidRPr="00B77D90" w:rsidR="00B77D90">
        <w:rPr>
          <w:lang w:val="fr-FR"/>
        </w:rPr>
        <w:t>’</w:t>
      </w:r>
      <w:r w:rsidRPr="00B77D90">
        <w:rPr>
          <w:lang w:val="fr-FR"/>
        </w:rPr>
        <w:t>incapacité physique est de 92%, n</w:t>
      </w:r>
      <w:r w:rsidRPr="00B77D90" w:rsidR="00B77D90">
        <w:rPr>
          <w:lang w:val="fr-FR"/>
        </w:rPr>
        <w:t>’</w:t>
      </w:r>
      <w:r w:rsidRPr="00B77D90">
        <w:rPr>
          <w:lang w:val="fr-FR"/>
        </w:rPr>
        <w:t>a reçu officiellement aucune assistance entre le 11 avril 2011, date de la libération de son frère, qui s</w:t>
      </w:r>
      <w:r w:rsidRPr="00B77D90" w:rsidR="00B77D90">
        <w:rPr>
          <w:lang w:val="fr-FR"/>
        </w:rPr>
        <w:t>’</w:t>
      </w:r>
      <w:r w:rsidRPr="00B77D90">
        <w:rPr>
          <w:lang w:val="fr-FR"/>
        </w:rPr>
        <w:t>occupait de lui, et le 27 avril 2011, date à laquelle l</w:t>
      </w:r>
      <w:r w:rsidRPr="00B77D90" w:rsidR="00B77D90">
        <w:rPr>
          <w:lang w:val="fr-FR"/>
        </w:rPr>
        <w:t>’</w:t>
      </w:r>
      <w:r w:rsidRPr="00B77D90">
        <w:rPr>
          <w:lang w:val="fr-FR"/>
        </w:rPr>
        <w:t>administration pénitentiaire de Batman décida que deux des codétenus de l</w:t>
      </w:r>
      <w:r w:rsidRPr="00B77D90" w:rsidR="00B77D90">
        <w:rPr>
          <w:lang w:val="fr-FR"/>
        </w:rPr>
        <w:t>’</w:t>
      </w:r>
      <w:r w:rsidRPr="00B77D90">
        <w:rPr>
          <w:lang w:val="fr-FR"/>
        </w:rPr>
        <w:t>intéressé seraient rémunérés pour officier comme aides-soignants à son égard. Le rôle de ces personnes était de porter le requérant entre les deux étages de son unité de vie et de l</w:t>
      </w:r>
      <w:r w:rsidRPr="00B77D90" w:rsidR="00B77D90">
        <w:rPr>
          <w:lang w:val="fr-FR"/>
        </w:rPr>
        <w:t>’</w:t>
      </w:r>
      <w:r w:rsidRPr="00B77D90">
        <w:rPr>
          <w:lang w:val="fr-FR"/>
        </w:rPr>
        <w:t>assister dans ses besoins d</w:t>
      </w:r>
      <w:r w:rsidRPr="00B77D90" w:rsidR="00B77D90">
        <w:rPr>
          <w:lang w:val="fr-FR"/>
        </w:rPr>
        <w:t>’</w:t>
      </w:r>
      <w:r w:rsidRPr="00B77D90">
        <w:rPr>
          <w:lang w:val="fr-FR"/>
        </w:rPr>
        <w:t>hygiène personnelle. Les parties ne donnent aucun détail sur ce dernier point. Le requérant avait un fauteuil roulant à sa disposition, et il a selon toute vraisemblance participé à des activités socioculturelles dans cet établissement. Il avait aussi accès à la cour de promenade, située au rez-de-chaussée, à condition d</w:t>
      </w:r>
      <w:r w:rsidRPr="00B77D90" w:rsidR="00B77D90">
        <w:rPr>
          <w:lang w:val="fr-FR"/>
        </w:rPr>
        <w:t>’</w:t>
      </w:r>
      <w:r w:rsidRPr="00B77D90">
        <w:rPr>
          <w:lang w:val="fr-FR"/>
        </w:rPr>
        <w:t>être porté à ce niveau.</w:t>
      </w:r>
    </w:p>
    <w:p w:rsidRPr="00B77D90" w:rsidR="009E7AAD" w:rsidP="00B77D90" w:rsidRDefault="009E7AAD">
      <w:pPr>
        <w:pStyle w:val="JuPara"/>
        <w:rPr>
          <w:lang w:val="fr-FR"/>
        </w:rPr>
      </w:pPr>
      <w:r w:rsidRPr="00B77D90">
        <w:rPr>
          <w:lang w:val="fr-FR"/>
        </w:rPr>
        <w:t>56.  Par la suite, le 25 septembre 2012, le requérant fut transféré à la prison de type D de Diyarbakır, où il fut placé dans un dortoir aménagé sur un seul niveau. Les équipements sanitaires se trouvaient dans une pièce dont la porte fut élargie pour permettre le passage des fauteuils roulants. Le requérant avait à sa disposition deux fauteuils roulants, dont un pour une utilisation spécifique à la pièce renfermant les équipements sanitaires. Les parties ne donnent aucun détail sur ce dernier point non plus. Le 29 avril 2013, le comité administratif de la prison de Diyarbakır désigna un codétenu du requérant pour l</w:t>
      </w:r>
      <w:r w:rsidRPr="00B77D90" w:rsidR="00B77D90">
        <w:rPr>
          <w:lang w:val="fr-FR"/>
        </w:rPr>
        <w:t>’</w:t>
      </w:r>
      <w:r w:rsidRPr="00B77D90">
        <w:rPr>
          <w:lang w:val="fr-FR"/>
        </w:rPr>
        <w:t>assister en tant qu</w:t>
      </w:r>
      <w:r w:rsidRPr="00B77D90" w:rsidR="00B77D90">
        <w:rPr>
          <w:lang w:val="fr-FR"/>
        </w:rPr>
        <w:t>’</w:t>
      </w:r>
      <w:r w:rsidRPr="00B77D90">
        <w:rPr>
          <w:lang w:val="fr-FR"/>
        </w:rPr>
        <w:t>aide-soignant rémunéré. Les parties ne donnent pas davantage de détails sur la situation qui fut concrètement celle de l</w:t>
      </w:r>
      <w:r w:rsidRPr="00B77D90" w:rsidR="00B77D90">
        <w:rPr>
          <w:lang w:val="fr-FR"/>
        </w:rPr>
        <w:t>’</w:t>
      </w:r>
      <w:r w:rsidRPr="00B77D90">
        <w:rPr>
          <w:lang w:val="fr-FR"/>
        </w:rPr>
        <w:t>intéressé entre ces deux dernières dates. Le requérant ne se plaint pas non plus, par exemple, de l</w:t>
      </w:r>
      <w:r w:rsidRPr="00B77D90" w:rsidR="00B77D90">
        <w:rPr>
          <w:lang w:val="fr-FR"/>
        </w:rPr>
        <w:t>’</w:t>
      </w:r>
      <w:r w:rsidRPr="00B77D90">
        <w:rPr>
          <w:lang w:val="fr-FR"/>
        </w:rPr>
        <w:t>impossibilité de passer avec son fauteuil roulant les portes séparant les autres pièces de l</w:t>
      </w:r>
      <w:r w:rsidRPr="00B77D90" w:rsidR="00B77D90">
        <w:rPr>
          <w:lang w:val="fr-FR"/>
        </w:rPr>
        <w:t>’</w:t>
      </w:r>
      <w:r w:rsidRPr="00B77D90">
        <w:rPr>
          <w:lang w:val="fr-FR"/>
        </w:rPr>
        <w:t>unité de vie ou bien la porte d</w:t>
      </w:r>
      <w:r w:rsidRPr="00B77D90" w:rsidR="00B77D90">
        <w:rPr>
          <w:lang w:val="fr-FR"/>
        </w:rPr>
        <w:t>’</w:t>
      </w:r>
      <w:r w:rsidRPr="00B77D90">
        <w:rPr>
          <w:lang w:val="fr-FR"/>
        </w:rPr>
        <w:t>entrée principale de celle-ci.</w:t>
      </w:r>
    </w:p>
    <w:p w:rsidRPr="00B77D90" w:rsidR="009E7AAD" w:rsidP="00B77D90" w:rsidRDefault="009E7AAD">
      <w:pPr>
        <w:pStyle w:val="JuPara"/>
        <w:rPr>
          <w:lang w:val="fr-FR"/>
        </w:rPr>
      </w:pPr>
      <w:r w:rsidRPr="00B77D90">
        <w:rPr>
          <w:lang w:val="fr-FR"/>
        </w:rPr>
        <w:t>57.  La Cour note que le requérant ne formule pas non plus, relativement à l</w:t>
      </w:r>
      <w:r w:rsidRPr="00B77D90" w:rsidR="00B77D90">
        <w:rPr>
          <w:lang w:val="fr-FR"/>
        </w:rPr>
        <w:t>’</w:t>
      </w:r>
      <w:r w:rsidRPr="00B77D90">
        <w:rPr>
          <w:lang w:val="fr-FR"/>
        </w:rPr>
        <w:t>une ou l</w:t>
      </w:r>
      <w:r w:rsidRPr="00B77D90" w:rsidR="00B77D90">
        <w:rPr>
          <w:lang w:val="fr-FR"/>
        </w:rPr>
        <w:t>’</w:t>
      </w:r>
      <w:r w:rsidRPr="00B77D90">
        <w:rPr>
          <w:lang w:val="fr-FR"/>
        </w:rPr>
        <w:t>autre des périodes passées par lui dans les prisons de Batman et de Diyarbakır, de griefs spécifiques concernant la compatibilité des équipements sanitaires avec son handicap ou la nature de l</w:t>
      </w:r>
      <w:r w:rsidRPr="00B77D90" w:rsidR="00B77D90">
        <w:rPr>
          <w:lang w:val="fr-FR"/>
        </w:rPr>
        <w:t>’</w:t>
      </w:r>
      <w:r w:rsidRPr="00B77D90">
        <w:rPr>
          <w:lang w:val="fr-FR"/>
        </w:rPr>
        <w:t>aide qui lui était nécessaire pour son hygiène personnelle. Elle relève également que l</w:t>
      </w:r>
      <w:r w:rsidRPr="00B77D90" w:rsidR="00B77D90">
        <w:rPr>
          <w:lang w:val="fr-FR"/>
        </w:rPr>
        <w:t>’</w:t>
      </w:r>
      <w:r w:rsidRPr="00B77D90">
        <w:rPr>
          <w:lang w:val="fr-FR"/>
        </w:rPr>
        <w:t>intéressé ne conteste pas l</w:t>
      </w:r>
      <w:r w:rsidRPr="00B77D90" w:rsidR="00B77D90">
        <w:rPr>
          <w:lang w:val="fr-FR"/>
        </w:rPr>
        <w:t>’</w:t>
      </w:r>
      <w:r w:rsidRPr="00B77D90">
        <w:rPr>
          <w:lang w:val="fr-FR"/>
        </w:rPr>
        <w:t>affirmation du Gouvernement selon laquelle il a participé à des activités socioculturelles à la prison de Batman.</w:t>
      </w:r>
    </w:p>
    <w:p w:rsidRPr="00B77D90" w:rsidR="009E7AAD" w:rsidP="00B77D90" w:rsidRDefault="009E7AAD">
      <w:pPr>
        <w:pStyle w:val="JuPara"/>
        <w:rPr>
          <w:lang w:val="fr-FR"/>
        </w:rPr>
      </w:pPr>
      <w:r w:rsidRPr="00B77D90">
        <w:rPr>
          <w:lang w:val="fr-FR"/>
        </w:rPr>
        <w:t>58.  D</w:t>
      </w:r>
      <w:r w:rsidRPr="00B77D90" w:rsidR="00B77D90">
        <w:rPr>
          <w:lang w:val="fr-FR"/>
        </w:rPr>
        <w:t>’</w:t>
      </w:r>
      <w:r w:rsidRPr="00B77D90">
        <w:rPr>
          <w:lang w:val="fr-FR"/>
        </w:rPr>
        <w:t>une manière générale, la Cour observe que les autorités ont montré une certaine diligence pour prendre en charge le requérant et pour améliorer ses conditions de détention (paragraphes 21-32 ci-dessus). Elle relève par ailleurs que rien ne permet de dire qu</w:t>
      </w:r>
      <w:r w:rsidRPr="00B77D90" w:rsidR="00B77D90">
        <w:rPr>
          <w:lang w:val="fr-FR"/>
        </w:rPr>
        <w:t>’</w:t>
      </w:r>
      <w:r w:rsidRPr="00B77D90">
        <w:rPr>
          <w:lang w:val="fr-FR"/>
        </w:rPr>
        <w:t>il y ait eu intention d</w:t>
      </w:r>
      <w:r w:rsidRPr="00B77D90" w:rsidR="00B77D90">
        <w:rPr>
          <w:lang w:val="fr-FR"/>
        </w:rPr>
        <w:t>’</w:t>
      </w:r>
      <w:r w:rsidRPr="00B77D90">
        <w:rPr>
          <w:lang w:val="fr-FR"/>
        </w:rPr>
        <w:t>humilier ou de rabaisser l</w:t>
      </w:r>
      <w:r w:rsidRPr="00B77D90" w:rsidR="00B77D90">
        <w:rPr>
          <w:lang w:val="fr-FR"/>
        </w:rPr>
        <w:t>’</w:t>
      </w:r>
      <w:r w:rsidRPr="00B77D90">
        <w:rPr>
          <w:lang w:val="fr-FR"/>
        </w:rPr>
        <w:t>intéressé durant sa détention. Des procédures tendant à son admission au bénéfice d</w:t>
      </w:r>
      <w:r w:rsidRPr="00B77D90" w:rsidR="00B77D90">
        <w:rPr>
          <w:lang w:val="fr-FR"/>
        </w:rPr>
        <w:t>’</w:t>
      </w:r>
      <w:r w:rsidRPr="00B77D90">
        <w:rPr>
          <w:lang w:val="fr-FR"/>
        </w:rPr>
        <w:t>une grâce présidentielle furent également engagées à deux reprises (paragraphes 15 et 20 ci-dessus). En définitive, il fut sursis à l</w:t>
      </w:r>
      <w:r w:rsidRPr="00B77D90" w:rsidR="00B77D90">
        <w:rPr>
          <w:lang w:val="fr-FR"/>
        </w:rPr>
        <w:t>’</w:t>
      </w:r>
      <w:r w:rsidRPr="00B77D90">
        <w:rPr>
          <w:lang w:val="fr-FR"/>
        </w:rPr>
        <w:t>exécution de la peine du requérant et celui-ci fut libéré le 14 juin 2013 (paragraphe 11 ci-dessus).</w:t>
      </w:r>
    </w:p>
    <w:p w:rsidRPr="00B77D90" w:rsidR="009E7AAD" w:rsidP="00B77D90" w:rsidRDefault="009E7AAD">
      <w:pPr>
        <w:pStyle w:val="JuPara"/>
        <w:rPr>
          <w:lang w:val="fr-FR"/>
        </w:rPr>
      </w:pPr>
      <w:r w:rsidRPr="00B77D90">
        <w:rPr>
          <w:lang w:val="fr-FR"/>
        </w:rPr>
        <w:t>59.  La Cour rappelle toutefois avoir déjà dit que la détention d</w:t>
      </w:r>
      <w:r w:rsidRPr="00B77D90" w:rsidR="00B77D90">
        <w:rPr>
          <w:lang w:val="fr-FR"/>
        </w:rPr>
        <w:t>’</w:t>
      </w:r>
      <w:r w:rsidRPr="00B77D90">
        <w:rPr>
          <w:lang w:val="fr-FR"/>
        </w:rPr>
        <w:t>une personne handicapée dans un établissement où elle ne peut pas se déplacer par ses propres moyens constitue un « traitement dégradant » au sens de l</w:t>
      </w:r>
      <w:r w:rsidRPr="00B77D90" w:rsidR="00B77D90">
        <w:rPr>
          <w:lang w:val="fr-FR"/>
        </w:rPr>
        <w:t>’</w:t>
      </w:r>
      <w:r w:rsidRPr="00B77D90">
        <w:rPr>
          <w:lang w:val="fr-FR"/>
        </w:rPr>
        <w:t>article 3 de la Convention (</w:t>
      </w:r>
      <w:r w:rsidRPr="00B77D90">
        <w:rPr>
          <w:i/>
          <w:lang w:val="fr-FR"/>
        </w:rPr>
        <w:t>Vincent</w:t>
      </w:r>
      <w:r w:rsidRPr="00B77D90">
        <w:rPr>
          <w:lang w:val="fr-FR"/>
        </w:rPr>
        <w:t>, précité, § 103). En l</w:t>
      </w:r>
      <w:r w:rsidRPr="00B77D90" w:rsidR="00B77D90">
        <w:rPr>
          <w:lang w:val="fr-FR"/>
        </w:rPr>
        <w:t>’</w:t>
      </w:r>
      <w:r w:rsidRPr="00B77D90">
        <w:rPr>
          <w:lang w:val="fr-FR"/>
        </w:rPr>
        <w:t>espèce, il est évident que pour ce qui est de la période du 11 au 27 avril 2011, que le requérant s</w:t>
      </w:r>
      <w:r w:rsidRPr="00B77D90" w:rsidR="00B77D90">
        <w:rPr>
          <w:lang w:val="fr-FR"/>
        </w:rPr>
        <w:t>’</w:t>
      </w:r>
      <w:r w:rsidRPr="00B77D90">
        <w:rPr>
          <w:lang w:val="fr-FR"/>
        </w:rPr>
        <w:t>est trouvé dans l</w:t>
      </w:r>
      <w:r w:rsidRPr="00B77D90" w:rsidR="00B77D90">
        <w:rPr>
          <w:lang w:val="fr-FR"/>
        </w:rPr>
        <w:t>’</w:t>
      </w:r>
      <w:r w:rsidRPr="00B77D90">
        <w:rPr>
          <w:lang w:val="fr-FR"/>
        </w:rPr>
        <w:t>incapacité de se déplacer de manière autonome dans la prison de Batman, où l</w:t>
      </w:r>
      <w:r w:rsidRPr="00B77D90" w:rsidR="00B77D90">
        <w:rPr>
          <w:lang w:val="fr-FR"/>
        </w:rPr>
        <w:t>’</w:t>
      </w:r>
      <w:r w:rsidRPr="00B77D90">
        <w:rPr>
          <w:lang w:val="fr-FR"/>
        </w:rPr>
        <w:t>unité de vie était aménagée sur deux niveaux : son lit se trouvait à l</w:t>
      </w:r>
      <w:r w:rsidRPr="00B77D90" w:rsidR="00B77D90">
        <w:rPr>
          <w:lang w:val="fr-FR"/>
        </w:rPr>
        <w:t>’</w:t>
      </w:r>
      <w:r w:rsidRPr="00B77D90">
        <w:rPr>
          <w:lang w:val="fr-FR"/>
        </w:rPr>
        <w:t>étage supérieur, tandis que les équipements sanitaires et la sortie vers la cour de promenade se situaient au rez-de-chaussée. Bien qu</w:t>
      </w:r>
      <w:r w:rsidRPr="00B77D90" w:rsidR="00B77D90">
        <w:rPr>
          <w:lang w:val="fr-FR"/>
        </w:rPr>
        <w:t>’</w:t>
      </w:r>
      <w:r w:rsidRPr="00B77D90">
        <w:rPr>
          <w:lang w:val="fr-FR"/>
        </w:rPr>
        <w:t>il s</w:t>
      </w:r>
      <w:r w:rsidRPr="00B77D90" w:rsidR="00B77D90">
        <w:rPr>
          <w:lang w:val="fr-FR"/>
        </w:rPr>
        <w:t>’</w:t>
      </w:r>
      <w:r w:rsidRPr="00B77D90">
        <w:rPr>
          <w:lang w:val="fr-FR"/>
        </w:rPr>
        <w:t>agisse là d</w:t>
      </w:r>
      <w:r w:rsidRPr="00B77D90" w:rsidR="00B77D90">
        <w:rPr>
          <w:lang w:val="fr-FR"/>
        </w:rPr>
        <w:t>’</w:t>
      </w:r>
      <w:r w:rsidRPr="00B77D90">
        <w:rPr>
          <w:lang w:val="fr-FR"/>
        </w:rPr>
        <w:t>une durée relativement courte, il n</w:t>
      </w:r>
      <w:r w:rsidRPr="00B77D90" w:rsidR="00B77D90">
        <w:rPr>
          <w:lang w:val="fr-FR"/>
        </w:rPr>
        <w:t>’</w:t>
      </w:r>
      <w:r w:rsidRPr="00B77D90">
        <w:rPr>
          <w:lang w:val="fr-FR"/>
        </w:rPr>
        <w:t>en reste pas moins que le requérant a été obligé de demander l</w:t>
      </w:r>
      <w:r w:rsidRPr="00B77D90" w:rsidR="00B77D90">
        <w:rPr>
          <w:lang w:val="fr-FR"/>
        </w:rPr>
        <w:t>’</w:t>
      </w:r>
      <w:r w:rsidRPr="00B77D90">
        <w:rPr>
          <w:lang w:val="fr-FR"/>
        </w:rPr>
        <w:t>assistance bienveillante de ses codétenus pour se rendre aux toilettes. Le 27 avril 2011, deux de ses codétenus furent chargés, contre rémunération, de lui servir d</w:t>
      </w:r>
      <w:r w:rsidRPr="00B77D90" w:rsidR="00B77D90">
        <w:rPr>
          <w:lang w:val="fr-FR"/>
        </w:rPr>
        <w:t>’</w:t>
      </w:r>
      <w:r w:rsidRPr="00B77D90">
        <w:rPr>
          <w:lang w:val="fr-FR"/>
        </w:rPr>
        <w:t>aides-soignants. Assez pragmatique dans les cas où l</w:t>
      </w:r>
      <w:r w:rsidRPr="00B77D90" w:rsidR="00B77D90">
        <w:rPr>
          <w:lang w:val="fr-FR"/>
        </w:rPr>
        <w:t>’</w:t>
      </w:r>
      <w:r w:rsidRPr="00B77D90">
        <w:rPr>
          <w:lang w:val="fr-FR"/>
        </w:rPr>
        <w:t>assistance ne requiert pas les connaissances d</w:t>
      </w:r>
      <w:r w:rsidRPr="00B77D90" w:rsidR="00B77D90">
        <w:rPr>
          <w:lang w:val="fr-FR"/>
        </w:rPr>
        <w:t>’</w:t>
      </w:r>
      <w:r w:rsidRPr="00B77D90">
        <w:rPr>
          <w:lang w:val="fr-FR"/>
        </w:rPr>
        <w:t>un infirmier, cette solution semble également exister dans d</w:t>
      </w:r>
      <w:r w:rsidRPr="00B77D90" w:rsidR="00B77D90">
        <w:rPr>
          <w:lang w:val="fr-FR"/>
        </w:rPr>
        <w:t>’</w:t>
      </w:r>
      <w:r w:rsidRPr="00B77D90">
        <w:rPr>
          <w:lang w:val="fr-FR"/>
        </w:rPr>
        <w:t>autres pays (</w:t>
      </w:r>
      <w:r w:rsidRPr="00B77D90">
        <w:rPr>
          <w:i/>
          <w:lang w:val="fr-FR"/>
        </w:rPr>
        <w:t>Vincent,</w:t>
      </w:r>
      <w:r w:rsidRPr="00B77D90">
        <w:rPr>
          <w:lang w:val="fr-FR"/>
        </w:rPr>
        <w:t xml:space="preserve"> précité, § 31). Cela dit, la période au cours de laquelle le requérant a eu besoin d</w:t>
      </w:r>
      <w:r w:rsidRPr="00B77D90" w:rsidR="00B77D90">
        <w:rPr>
          <w:lang w:val="fr-FR"/>
        </w:rPr>
        <w:t>’</w:t>
      </w:r>
      <w:r w:rsidRPr="00B77D90">
        <w:rPr>
          <w:lang w:val="fr-FR"/>
        </w:rPr>
        <w:t>être porté entre les étages a perduré jusqu</w:t>
      </w:r>
      <w:r w:rsidRPr="00B77D90" w:rsidR="00B77D90">
        <w:rPr>
          <w:lang w:val="fr-FR"/>
        </w:rPr>
        <w:t>’</w:t>
      </w:r>
      <w:r w:rsidRPr="00B77D90">
        <w:rPr>
          <w:lang w:val="fr-FR"/>
        </w:rPr>
        <w:t>au 25 septembre 2012. Elle s</w:t>
      </w:r>
      <w:r w:rsidRPr="00B77D90" w:rsidR="00B77D90">
        <w:rPr>
          <w:lang w:val="fr-FR"/>
        </w:rPr>
        <w:t>’</w:t>
      </w:r>
      <w:r w:rsidRPr="00B77D90">
        <w:rPr>
          <w:lang w:val="fr-FR"/>
        </w:rPr>
        <w:t>est donc étendue sur quelque dix-sept mois. Aux yeux de la Cour, cette durée est beaucoup trop longue pour que la solution en question puisse être validée en l</w:t>
      </w:r>
      <w:r w:rsidRPr="00B77D90" w:rsidR="00B77D90">
        <w:rPr>
          <w:lang w:val="fr-FR"/>
        </w:rPr>
        <w:t>’</w:t>
      </w:r>
      <w:r w:rsidRPr="00B77D90">
        <w:rPr>
          <w:lang w:val="fr-FR"/>
        </w:rPr>
        <w:t>espèce, et elle emporte par là même dépassement du seuil de gravité nécessaire pour faire entrer en jeu l</w:t>
      </w:r>
      <w:r w:rsidRPr="00B77D90" w:rsidR="00B77D90">
        <w:rPr>
          <w:lang w:val="fr-FR"/>
        </w:rPr>
        <w:t>’</w:t>
      </w:r>
      <w:r w:rsidRPr="00B77D90">
        <w:rPr>
          <w:lang w:val="fr-FR"/>
        </w:rPr>
        <w:t>article 3 de la Convention. Pour les mêmes motifs, l</w:t>
      </w:r>
      <w:r w:rsidRPr="00B77D90" w:rsidR="00B77D90">
        <w:rPr>
          <w:lang w:val="fr-FR"/>
        </w:rPr>
        <w:t>’</w:t>
      </w:r>
      <w:r w:rsidRPr="00B77D90">
        <w:rPr>
          <w:lang w:val="fr-FR"/>
        </w:rPr>
        <w:t>argument du Gouvernement relatif à la qualité de victime du requérant doit être rejeté.</w:t>
      </w:r>
    </w:p>
    <w:p w:rsidRPr="00B77D90" w:rsidR="009E7AAD" w:rsidP="00B77D90" w:rsidRDefault="009E7AAD">
      <w:pPr>
        <w:pStyle w:val="JuPara"/>
        <w:rPr>
          <w:lang w:val="fr-FR"/>
        </w:rPr>
      </w:pPr>
      <w:bookmarkStart w:name="nvdiyarbakir" w:id="16"/>
      <w:r w:rsidRPr="00B77D90">
        <w:rPr>
          <w:lang w:val="fr-FR"/>
        </w:rPr>
        <w:t>60</w:t>
      </w:r>
      <w:bookmarkEnd w:id="16"/>
      <w:r w:rsidRPr="00B77D90">
        <w:rPr>
          <w:lang w:val="fr-FR"/>
        </w:rPr>
        <w:t>.  Par ailleurs, le Gouvernement n</w:t>
      </w:r>
      <w:r w:rsidRPr="00B77D90" w:rsidR="00B77D90">
        <w:rPr>
          <w:lang w:val="fr-FR"/>
        </w:rPr>
        <w:t>’</w:t>
      </w:r>
      <w:r w:rsidRPr="00B77D90">
        <w:rPr>
          <w:lang w:val="fr-FR"/>
        </w:rPr>
        <w:t>explique pas pourquoi le requérant n</w:t>
      </w:r>
      <w:r w:rsidRPr="00B77D90" w:rsidR="00B77D90">
        <w:rPr>
          <w:lang w:val="fr-FR"/>
        </w:rPr>
        <w:t>’</w:t>
      </w:r>
      <w:r w:rsidRPr="00B77D90">
        <w:rPr>
          <w:lang w:val="fr-FR"/>
        </w:rPr>
        <w:t xml:space="preserve">a, pendant cette période, pas été transféré à la prison de type R de </w:t>
      </w:r>
      <w:proofErr w:type="spellStart"/>
      <w:r w:rsidRPr="00B77D90">
        <w:rPr>
          <w:lang w:val="fr-FR"/>
        </w:rPr>
        <w:t>Metris</w:t>
      </w:r>
      <w:proofErr w:type="spellEnd"/>
      <w:r w:rsidRPr="00B77D90">
        <w:rPr>
          <w:lang w:val="fr-FR"/>
        </w:rPr>
        <w:t>, qui était adaptée aux personnes à mobilité réduite (paragraphe 34 ci-dessus), ou bien, après un délai raisonnable – et sous réserve que l</w:t>
      </w:r>
      <w:r w:rsidRPr="00B77D90" w:rsidR="00B77D90">
        <w:rPr>
          <w:lang w:val="fr-FR"/>
        </w:rPr>
        <w:t>’</w:t>
      </w:r>
      <w:r w:rsidRPr="00B77D90">
        <w:rPr>
          <w:lang w:val="fr-FR"/>
        </w:rPr>
        <w:t>intéressé n</w:t>
      </w:r>
      <w:r w:rsidRPr="00B77D90" w:rsidR="00B77D90">
        <w:rPr>
          <w:lang w:val="fr-FR"/>
        </w:rPr>
        <w:t>’</w:t>
      </w:r>
      <w:r w:rsidRPr="00B77D90">
        <w:rPr>
          <w:lang w:val="fr-FR"/>
        </w:rPr>
        <w:t>eût pas opposé un refus pour des motifs valables, liés par exemple à la proximité géographique de ses proches – dans un établissement pénitentiaire disposant d</w:t>
      </w:r>
      <w:r w:rsidRPr="00B77D90" w:rsidR="00B77D90">
        <w:rPr>
          <w:lang w:val="fr-FR"/>
        </w:rPr>
        <w:t>’</w:t>
      </w:r>
      <w:r w:rsidRPr="00B77D90">
        <w:rPr>
          <w:lang w:val="fr-FR"/>
        </w:rPr>
        <w:t>unités de vie aménagées sur un seul niveau et plus facilement adaptables à sa situation.</w:t>
      </w:r>
    </w:p>
    <w:p w:rsidRPr="00B77D90" w:rsidR="009E7AAD" w:rsidP="00B77D90" w:rsidRDefault="009E7AAD">
      <w:pPr>
        <w:pStyle w:val="JuPara"/>
        <w:rPr>
          <w:lang w:val="fr-FR"/>
        </w:rPr>
      </w:pPr>
      <w:bookmarkStart w:name="diyarbakirNV" w:id="17"/>
      <w:r w:rsidRPr="00B77D90">
        <w:rPr>
          <w:lang w:val="fr-FR"/>
        </w:rPr>
        <w:t>61</w:t>
      </w:r>
      <w:bookmarkEnd w:id="17"/>
      <w:r w:rsidRPr="00B77D90">
        <w:rPr>
          <w:lang w:val="fr-FR"/>
        </w:rPr>
        <w:t>.  C</w:t>
      </w:r>
      <w:r w:rsidRPr="00B77D90" w:rsidR="00B77D90">
        <w:rPr>
          <w:lang w:val="fr-FR"/>
        </w:rPr>
        <w:t>’</w:t>
      </w:r>
      <w:r w:rsidRPr="00B77D90">
        <w:rPr>
          <w:lang w:val="fr-FR"/>
        </w:rPr>
        <w:t>était le cas de la prison de Diyarbakır, où le requérant fut transféré le 25 septembre 2012 : l</w:t>
      </w:r>
      <w:r w:rsidRPr="00B77D90" w:rsidR="00B77D90">
        <w:rPr>
          <w:lang w:val="fr-FR"/>
        </w:rPr>
        <w:t>’</w:t>
      </w:r>
      <w:r w:rsidRPr="00B77D90">
        <w:rPr>
          <w:lang w:val="fr-FR"/>
        </w:rPr>
        <w:t>unité de vie se situait sur un seul niveau, un fauteuil roulant supplémentaire spécifiquement conçu pour pouvoir être utilisé dans la pièce renfermant les équipements sanitaires fut mis à la disposition de l</w:t>
      </w:r>
      <w:r w:rsidRPr="00B77D90" w:rsidR="00B77D90">
        <w:rPr>
          <w:lang w:val="fr-FR"/>
        </w:rPr>
        <w:t>’</w:t>
      </w:r>
      <w:r w:rsidRPr="00B77D90">
        <w:rPr>
          <w:lang w:val="fr-FR"/>
        </w:rPr>
        <w:t>intéressé et la porte de la pièce donnant accès à ces équipements fut élargie pour permettre le passage des fauteuils roulants.</w:t>
      </w:r>
    </w:p>
    <w:p w:rsidRPr="00B77D90" w:rsidR="009E7AAD" w:rsidP="00B77D90" w:rsidRDefault="009E7AAD">
      <w:pPr>
        <w:pStyle w:val="JuPara"/>
        <w:rPr>
          <w:lang w:val="fr-FR"/>
        </w:rPr>
      </w:pPr>
      <w:bookmarkStart w:name="violation" w:id="18"/>
      <w:r w:rsidRPr="00B77D90">
        <w:rPr>
          <w:lang w:val="fr-FR"/>
        </w:rPr>
        <w:t>62</w:t>
      </w:r>
      <w:bookmarkEnd w:id="18"/>
      <w:r w:rsidRPr="00B77D90">
        <w:rPr>
          <w:lang w:val="fr-FR"/>
        </w:rPr>
        <w:t>.  Au vu de ce qui précède, la Cour conclut qu</w:t>
      </w:r>
      <w:r w:rsidRPr="00B77D90" w:rsidR="00B77D90">
        <w:rPr>
          <w:lang w:val="fr-FR"/>
        </w:rPr>
        <w:t>’</w:t>
      </w:r>
      <w:r w:rsidRPr="00B77D90">
        <w:rPr>
          <w:lang w:val="fr-FR"/>
        </w:rPr>
        <w:t>il y a eu violation de l</w:t>
      </w:r>
      <w:r w:rsidRPr="00B77D90" w:rsidR="00B77D90">
        <w:rPr>
          <w:lang w:val="fr-FR"/>
        </w:rPr>
        <w:t>’</w:t>
      </w:r>
      <w:r w:rsidRPr="00B77D90">
        <w:rPr>
          <w:lang w:val="fr-FR"/>
        </w:rPr>
        <w:t>article 3 de la Convention à raison des conditions dans lesquelles le requérant a dû séjourner dans la prison de Batman du 11 avril 2011 au 25 septembre 2012.</w:t>
      </w:r>
    </w:p>
    <w:p w:rsidRPr="00B77D90" w:rsidR="009E7AAD" w:rsidP="00B77D90" w:rsidRDefault="009E7AAD">
      <w:pPr>
        <w:pStyle w:val="JuPara"/>
        <w:rPr>
          <w:lang w:val="fr-FR"/>
        </w:rPr>
      </w:pPr>
      <w:r w:rsidRPr="00B77D90">
        <w:rPr>
          <w:lang w:val="fr-FR"/>
        </w:rPr>
        <w:t>63.  Pour les motifs indiqués au paragraphe 61 ci-dessus quant à la prison de Diyarbakır, elle conclut en revanche qu</w:t>
      </w:r>
      <w:r w:rsidRPr="00B77D90" w:rsidR="00B77D90">
        <w:rPr>
          <w:lang w:val="fr-FR"/>
        </w:rPr>
        <w:t>’</w:t>
      </w:r>
      <w:r w:rsidRPr="00B77D90">
        <w:rPr>
          <w:lang w:val="fr-FR"/>
        </w:rPr>
        <w:t>il n</w:t>
      </w:r>
      <w:r w:rsidRPr="00B77D90" w:rsidR="00B77D90">
        <w:rPr>
          <w:lang w:val="fr-FR"/>
        </w:rPr>
        <w:t>’</w:t>
      </w:r>
      <w:r w:rsidRPr="00B77D90">
        <w:rPr>
          <w:lang w:val="fr-FR"/>
        </w:rPr>
        <w:t>y a pas eu violation de cette disposition relativement à la période du 25 septembre 2012 au 14 juin 2013, durant laquelle le requérant a séjourné dans cette dernière prison.</w:t>
      </w:r>
    </w:p>
    <w:p w:rsidRPr="00B77D90" w:rsidR="009E7AAD" w:rsidP="00B77D90" w:rsidRDefault="009E7AAD">
      <w:pPr>
        <w:pStyle w:val="JuHIRoman"/>
        <w:jc w:val="left"/>
        <w:rPr>
          <w:lang w:val="fr-FR"/>
        </w:rPr>
      </w:pPr>
      <w:r w:rsidRPr="00B77D90">
        <w:rPr>
          <w:lang w:val="fr-FR"/>
        </w:rPr>
        <w:t>SUR L</w:t>
      </w:r>
      <w:r w:rsidRPr="00B77D90" w:rsidR="00B77D90">
        <w:rPr>
          <w:lang w:val="fr-FR"/>
        </w:rPr>
        <w:t>’</w:t>
      </w:r>
      <w:r w:rsidRPr="00B77D90">
        <w:rPr>
          <w:lang w:val="fr-FR"/>
        </w:rPr>
        <w:t>APPLICATION DE L</w:t>
      </w:r>
      <w:r w:rsidRPr="00B77D90" w:rsidR="00B77D90">
        <w:rPr>
          <w:lang w:val="fr-FR"/>
        </w:rPr>
        <w:t>’</w:t>
      </w:r>
      <w:r w:rsidRPr="00B77D90">
        <w:rPr>
          <w:lang w:val="fr-FR"/>
        </w:rPr>
        <w:t>ARTICLE 41 DE LA CONVENTION</w:t>
      </w:r>
    </w:p>
    <w:p w:rsidRPr="00B77D90" w:rsidR="009E7AAD" w:rsidP="00B77D90" w:rsidRDefault="009E7AAD">
      <w:pPr>
        <w:pStyle w:val="JuPara"/>
        <w:rPr>
          <w:lang w:val="fr-FR"/>
        </w:rPr>
      </w:pPr>
      <w:r w:rsidRPr="00B77D90">
        <w:rPr>
          <w:lang w:val="fr-FR"/>
        </w:rPr>
        <w:t>64.  Aux termes de l</w:t>
      </w:r>
      <w:r w:rsidRPr="00B77D90" w:rsidR="00B77D90">
        <w:rPr>
          <w:lang w:val="fr-FR"/>
        </w:rPr>
        <w:t>’</w:t>
      </w:r>
      <w:r w:rsidRPr="00B77D90">
        <w:rPr>
          <w:lang w:val="fr-FR"/>
        </w:rPr>
        <w:t>article 41 de la Convention,</w:t>
      </w:r>
    </w:p>
    <w:p w:rsidRPr="00B77D90" w:rsidR="009E7AAD" w:rsidP="00B77D90" w:rsidRDefault="009E7AAD">
      <w:pPr>
        <w:pStyle w:val="JuQuot"/>
        <w:keepNext/>
        <w:keepLines/>
        <w:rPr>
          <w:lang w:val="fr-FR"/>
        </w:rPr>
      </w:pPr>
      <w:r w:rsidRPr="00B77D90">
        <w:rPr>
          <w:lang w:val="fr-FR"/>
        </w:rPr>
        <w:t>« Si la Cour déclare qu</w:t>
      </w:r>
      <w:r w:rsidRPr="00B77D90" w:rsidR="00B77D90">
        <w:rPr>
          <w:lang w:val="fr-FR"/>
        </w:rPr>
        <w:t>’</w:t>
      </w:r>
      <w:r w:rsidRPr="00B77D90">
        <w:rPr>
          <w:lang w:val="fr-FR"/>
        </w:rPr>
        <w:t>il y a eu violation de la Convention ou de ses Protocoles, et si le droit interne de la Haute Partie contractante ne permet d</w:t>
      </w:r>
      <w:r w:rsidRPr="00B77D90" w:rsidR="00B77D90">
        <w:rPr>
          <w:lang w:val="fr-FR"/>
        </w:rPr>
        <w:t>’</w:t>
      </w:r>
      <w:r w:rsidRPr="00B77D90">
        <w:rPr>
          <w:lang w:val="fr-FR"/>
        </w:rPr>
        <w:t>effacer qu</w:t>
      </w:r>
      <w:r w:rsidRPr="00B77D90" w:rsidR="00B77D90">
        <w:rPr>
          <w:lang w:val="fr-FR"/>
        </w:rPr>
        <w:t>’</w:t>
      </w:r>
      <w:r w:rsidRPr="00B77D90">
        <w:rPr>
          <w:lang w:val="fr-FR"/>
        </w:rPr>
        <w:t>imparfaitement les conséquences de cette violation, la Cour accorde à la partie lésée, s</w:t>
      </w:r>
      <w:r w:rsidRPr="00B77D90" w:rsidR="00B77D90">
        <w:rPr>
          <w:lang w:val="fr-FR"/>
        </w:rPr>
        <w:t>’</w:t>
      </w:r>
      <w:r w:rsidRPr="00B77D90">
        <w:rPr>
          <w:lang w:val="fr-FR"/>
        </w:rPr>
        <w:t>il y a lieu, une satisfaction équitable. »</w:t>
      </w:r>
    </w:p>
    <w:p w:rsidRPr="00B77D90" w:rsidR="009E7AAD" w:rsidP="00B77D90" w:rsidRDefault="009E7AAD">
      <w:pPr>
        <w:pStyle w:val="JuPara"/>
        <w:rPr>
          <w:lang w:val="fr-FR"/>
        </w:rPr>
      </w:pPr>
      <w:r w:rsidRPr="00B77D90">
        <w:rPr>
          <w:lang w:val="fr-FR"/>
        </w:rPr>
        <w:t>65.  Le requérant réclame 100 000 euros (EUR) pour préjudice moral.</w:t>
      </w:r>
    </w:p>
    <w:p w:rsidRPr="00B77D90" w:rsidR="009E7AAD" w:rsidP="00B77D90" w:rsidRDefault="009E7AAD">
      <w:pPr>
        <w:pStyle w:val="JuPara"/>
        <w:rPr>
          <w:lang w:val="fr-FR"/>
        </w:rPr>
      </w:pPr>
      <w:r w:rsidRPr="00B77D90">
        <w:rPr>
          <w:lang w:val="fr-FR"/>
        </w:rPr>
        <w:t>66.  Le Gouvernement conteste cette demande.</w:t>
      </w:r>
    </w:p>
    <w:p w:rsidRPr="00B77D90" w:rsidR="009E7AAD" w:rsidP="00B77D90" w:rsidRDefault="009E7AAD">
      <w:pPr>
        <w:pStyle w:val="JuPara"/>
        <w:rPr>
          <w:lang w:val="fr-FR"/>
        </w:rPr>
      </w:pPr>
      <w:r w:rsidRPr="00B77D90">
        <w:rPr>
          <w:lang w:val="fr-FR"/>
        </w:rPr>
        <w:t>67.  Eu égard au fait qu</w:t>
      </w:r>
      <w:r w:rsidRPr="00B77D90" w:rsidR="00B77D90">
        <w:rPr>
          <w:lang w:val="fr-FR"/>
        </w:rPr>
        <w:t>’</w:t>
      </w:r>
      <w:r w:rsidRPr="00B77D90">
        <w:rPr>
          <w:lang w:val="fr-FR"/>
        </w:rPr>
        <w:t>à partir du 25 septembre 2012 les autorités ont pris des mesures propres à améliorer les conditions de détention du requérant et qu</w:t>
      </w:r>
      <w:r w:rsidRPr="00B77D90" w:rsidR="00B77D90">
        <w:rPr>
          <w:lang w:val="fr-FR"/>
        </w:rPr>
        <w:t>’</w:t>
      </w:r>
      <w:r w:rsidRPr="00B77D90">
        <w:rPr>
          <w:lang w:val="fr-FR"/>
        </w:rPr>
        <w:t>elles l</w:t>
      </w:r>
      <w:r w:rsidRPr="00B77D90" w:rsidR="00B77D90">
        <w:rPr>
          <w:lang w:val="fr-FR"/>
        </w:rPr>
        <w:t>’</w:t>
      </w:r>
      <w:r w:rsidRPr="00B77D90">
        <w:rPr>
          <w:lang w:val="fr-FR"/>
        </w:rPr>
        <w:t>ont fait bénéficier d</w:t>
      </w:r>
      <w:r w:rsidRPr="00B77D90" w:rsidR="00B77D90">
        <w:rPr>
          <w:lang w:val="fr-FR"/>
        </w:rPr>
        <w:t>’</w:t>
      </w:r>
      <w:r w:rsidRPr="00B77D90">
        <w:rPr>
          <w:lang w:val="fr-FR"/>
        </w:rPr>
        <w:t>un sursis à l</w:t>
      </w:r>
      <w:r w:rsidRPr="00B77D90" w:rsidR="00B77D90">
        <w:rPr>
          <w:lang w:val="fr-FR"/>
        </w:rPr>
        <w:t>’</w:t>
      </w:r>
      <w:r w:rsidRPr="00B77D90">
        <w:rPr>
          <w:lang w:val="fr-FR"/>
        </w:rPr>
        <w:t>exécution de sa peine le 14 juin 2013, la Cour considère que le dommage moral subi par le requérant se trouve, dans les circonstances particulières de l</w:t>
      </w:r>
      <w:r w:rsidRPr="00B77D90" w:rsidR="00B77D90">
        <w:rPr>
          <w:lang w:val="fr-FR"/>
        </w:rPr>
        <w:t>’</w:t>
      </w:r>
      <w:r w:rsidRPr="00B77D90">
        <w:rPr>
          <w:lang w:val="fr-FR"/>
        </w:rPr>
        <w:t>espèce, suffisamment réparé par le constat de violation auquel elle a abouti au paragraphe 62 ci-dessus.</w:t>
      </w:r>
    </w:p>
    <w:p w:rsidRPr="00B77D90" w:rsidR="009E7AAD" w:rsidP="00B77D90" w:rsidRDefault="009E7AAD">
      <w:pPr>
        <w:pStyle w:val="JuPara"/>
        <w:rPr>
          <w:lang w:val="fr-FR"/>
        </w:rPr>
      </w:pPr>
      <w:r w:rsidRPr="00B77D90">
        <w:rPr>
          <w:lang w:val="fr-FR"/>
        </w:rPr>
        <w:t>68.  Le requérant n</w:t>
      </w:r>
      <w:r w:rsidRPr="00B77D90" w:rsidR="00B77D90">
        <w:rPr>
          <w:lang w:val="fr-FR"/>
        </w:rPr>
        <w:t>’</w:t>
      </w:r>
      <w:r w:rsidRPr="00B77D90">
        <w:rPr>
          <w:lang w:val="fr-FR"/>
        </w:rPr>
        <w:t>ayant présenté aucune demande pour frais et dépens, il n</w:t>
      </w:r>
      <w:r w:rsidRPr="00B77D90" w:rsidR="00B77D90">
        <w:rPr>
          <w:lang w:val="fr-FR"/>
        </w:rPr>
        <w:t>’</w:t>
      </w:r>
      <w:r w:rsidRPr="00B77D90">
        <w:rPr>
          <w:lang w:val="fr-FR"/>
        </w:rPr>
        <w:t>y a pas lieu de se prononcer sur cette question.</w:t>
      </w:r>
    </w:p>
    <w:p w:rsidRPr="00B77D90" w:rsidR="009E7AAD" w:rsidP="00B77D90" w:rsidRDefault="009E7AAD">
      <w:pPr>
        <w:pStyle w:val="JuHHead"/>
        <w:jc w:val="left"/>
        <w:rPr>
          <w:lang w:val="fr-FR"/>
        </w:rPr>
      </w:pPr>
      <w:r w:rsidRPr="00B77D90">
        <w:rPr>
          <w:lang w:val="fr-FR"/>
        </w:rPr>
        <w:t>PAR CES MOTIFS, LA COUR, À L</w:t>
      </w:r>
      <w:r w:rsidRPr="00B77D90" w:rsidR="00B77D90">
        <w:rPr>
          <w:lang w:val="fr-FR"/>
        </w:rPr>
        <w:t>’</w:t>
      </w:r>
      <w:r w:rsidRPr="00B77D90">
        <w:rPr>
          <w:lang w:val="fr-FR"/>
        </w:rPr>
        <w:t>UNANIMITÉ,</w:t>
      </w:r>
    </w:p>
    <w:p w:rsidRPr="00B77D90" w:rsidR="009E7AAD" w:rsidP="00B77D90" w:rsidRDefault="009E7AAD">
      <w:pPr>
        <w:pStyle w:val="JuList"/>
        <w:rPr>
          <w:lang w:val="fr-FR"/>
        </w:rPr>
      </w:pPr>
      <w:r w:rsidRPr="00B77D90">
        <w:rPr>
          <w:i/>
          <w:lang w:val="fr-FR"/>
        </w:rPr>
        <w:t>Joint au fond</w:t>
      </w:r>
      <w:r w:rsidRPr="00B77D90">
        <w:rPr>
          <w:lang w:val="fr-FR"/>
        </w:rPr>
        <w:t>, les exceptions préliminaires soulevées par le Gouvernement concernant le seuil de gravité de l</w:t>
      </w:r>
      <w:r w:rsidRPr="00B77D90" w:rsidR="00B77D90">
        <w:rPr>
          <w:lang w:val="fr-FR"/>
        </w:rPr>
        <w:t>’</w:t>
      </w:r>
      <w:r w:rsidRPr="00B77D90">
        <w:rPr>
          <w:lang w:val="fr-FR"/>
        </w:rPr>
        <w:t>article 3 de la Convention et la qualité de victime du requérant et les rejette ;</w:t>
      </w:r>
    </w:p>
    <w:p w:rsidRPr="00B77D90" w:rsidR="009E7AAD" w:rsidP="00B77D90" w:rsidRDefault="009E7AAD">
      <w:pPr>
        <w:pStyle w:val="JuList"/>
        <w:rPr>
          <w:lang w:val="fr-FR"/>
        </w:rPr>
      </w:pPr>
      <w:r w:rsidRPr="00B77D90">
        <w:rPr>
          <w:i/>
          <w:lang w:val="fr-FR"/>
        </w:rPr>
        <w:t>Déclare</w:t>
      </w:r>
      <w:r w:rsidRPr="00B77D90">
        <w:rPr>
          <w:lang w:val="fr-FR"/>
        </w:rPr>
        <w:t>, la requête recevable en ce qui concerne les conditions de détention du requérant pour la période du 11</w:t>
      </w:r>
      <w:r w:rsidRPr="00B77D90" w:rsidR="00670CE9">
        <w:rPr>
          <w:lang w:val="fr-FR"/>
        </w:rPr>
        <w:t xml:space="preserve"> </w:t>
      </w:r>
      <w:r w:rsidRPr="00B77D90">
        <w:rPr>
          <w:lang w:val="fr-FR"/>
        </w:rPr>
        <w:t>avril 2011 au 14 juin 2013 et irrecevable pour le surplus ;</w:t>
      </w:r>
    </w:p>
    <w:p w:rsidRPr="00B77D90" w:rsidR="009E7AAD" w:rsidP="00B77D90" w:rsidRDefault="009E7AAD">
      <w:pPr>
        <w:pStyle w:val="JuList"/>
        <w:rPr>
          <w:lang w:val="fr-FR"/>
        </w:rPr>
      </w:pPr>
      <w:r w:rsidRPr="00B77D90">
        <w:rPr>
          <w:i/>
          <w:lang w:val="fr-FR"/>
        </w:rPr>
        <w:t>Dit</w:t>
      </w:r>
      <w:r w:rsidRPr="00B77D90">
        <w:rPr>
          <w:lang w:val="fr-FR"/>
        </w:rPr>
        <w:t>, qu</w:t>
      </w:r>
      <w:r w:rsidRPr="00B77D90" w:rsidR="00B77D90">
        <w:rPr>
          <w:lang w:val="fr-FR"/>
        </w:rPr>
        <w:t>’</w:t>
      </w:r>
      <w:r w:rsidRPr="00B77D90">
        <w:rPr>
          <w:lang w:val="fr-FR"/>
        </w:rPr>
        <w:t>il y a eu violation de l</w:t>
      </w:r>
      <w:r w:rsidRPr="00B77D90" w:rsidR="00B77D90">
        <w:rPr>
          <w:lang w:val="fr-FR"/>
        </w:rPr>
        <w:t>’</w:t>
      </w:r>
      <w:r w:rsidRPr="00B77D90">
        <w:rPr>
          <w:lang w:val="fr-FR"/>
        </w:rPr>
        <w:t>article 3 de la Convention en ce qui concerne les conditions dans lesquelles le requérant a séjourné à la prison de Batman du 11 avril 2011 au 25 septembre 2012 ;</w:t>
      </w:r>
    </w:p>
    <w:p w:rsidRPr="00B77D90" w:rsidR="009E7AAD" w:rsidP="00B77D90" w:rsidRDefault="009E7AAD">
      <w:pPr>
        <w:pStyle w:val="JuList"/>
        <w:rPr>
          <w:lang w:val="fr-FR"/>
        </w:rPr>
      </w:pPr>
      <w:r w:rsidRPr="00B77D90">
        <w:rPr>
          <w:i/>
          <w:lang w:val="fr-FR"/>
        </w:rPr>
        <w:t>Dit</w:t>
      </w:r>
      <w:r w:rsidRPr="00B77D90">
        <w:rPr>
          <w:lang w:val="fr-FR"/>
        </w:rPr>
        <w:t>, qu</w:t>
      </w:r>
      <w:r w:rsidRPr="00B77D90" w:rsidR="00B77D90">
        <w:rPr>
          <w:lang w:val="fr-FR"/>
        </w:rPr>
        <w:t>’</w:t>
      </w:r>
      <w:r w:rsidRPr="00B77D90">
        <w:rPr>
          <w:lang w:val="fr-FR"/>
        </w:rPr>
        <w:t>il n</w:t>
      </w:r>
      <w:r w:rsidRPr="00B77D90" w:rsidR="00B77D90">
        <w:rPr>
          <w:lang w:val="fr-FR"/>
        </w:rPr>
        <w:t>’</w:t>
      </w:r>
      <w:r w:rsidRPr="00B77D90">
        <w:rPr>
          <w:lang w:val="fr-FR"/>
        </w:rPr>
        <w:t>y a pas eu violation de l</w:t>
      </w:r>
      <w:r w:rsidRPr="00B77D90" w:rsidR="00B77D90">
        <w:rPr>
          <w:lang w:val="fr-FR"/>
        </w:rPr>
        <w:t>’</w:t>
      </w:r>
      <w:r w:rsidRPr="00B77D90">
        <w:rPr>
          <w:lang w:val="fr-FR"/>
        </w:rPr>
        <w:t>article 3 de la Convention en ce qui concerne les conditions dans lesquelles le requérant a séjourné à la prison de Diyarbakır du 25 septembre 2012 au 14 juin 2013 ;</w:t>
      </w:r>
    </w:p>
    <w:p w:rsidRPr="00B77D90" w:rsidR="009E7AAD" w:rsidP="00B77D90" w:rsidRDefault="009E7AAD">
      <w:pPr>
        <w:pStyle w:val="JuList"/>
        <w:rPr>
          <w:lang w:val="fr-FR"/>
        </w:rPr>
      </w:pPr>
      <w:r w:rsidRPr="00B77D90">
        <w:rPr>
          <w:i/>
          <w:lang w:val="fr-FR"/>
        </w:rPr>
        <w:t>Dit</w:t>
      </w:r>
      <w:r w:rsidRPr="00B77D90">
        <w:rPr>
          <w:lang w:val="fr-FR"/>
        </w:rPr>
        <w:t>, que le constat d</w:t>
      </w:r>
      <w:r w:rsidRPr="00B77D90" w:rsidR="00B77D90">
        <w:rPr>
          <w:lang w:val="fr-FR"/>
        </w:rPr>
        <w:t>’</w:t>
      </w:r>
      <w:r w:rsidRPr="00B77D90">
        <w:rPr>
          <w:lang w:val="fr-FR"/>
        </w:rPr>
        <w:t>une violation fournit en soi une satisfaction équitable suffisante pour le dommage moral subi par le requérant ;</w:t>
      </w:r>
    </w:p>
    <w:p w:rsidRPr="00B77D90" w:rsidR="00876F03" w:rsidP="00B77D90" w:rsidRDefault="009E7AAD">
      <w:pPr>
        <w:pStyle w:val="JuList"/>
        <w:rPr>
          <w:lang w:val="fr-FR"/>
        </w:rPr>
      </w:pPr>
      <w:r w:rsidRPr="00B77D90">
        <w:rPr>
          <w:i/>
          <w:lang w:val="fr-FR"/>
        </w:rPr>
        <w:t>Rejette</w:t>
      </w:r>
      <w:r w:rsidRPr="00B77D90">
        <w:rPr>
          <w:lang w:val="fr-FR"/>
        </w:rPr>
        <w:t xml:space="preserve"> la demande de satisfaction équitable pour le surplus.</w:t>
      </w:r>
    </w:p>
    <w:p w:rsidRPr="00B77D90" w:rsidR="00893F30" w:rsidP="00B77D90" w:rsidRDefault="00893F30">
      <w:pPr>
        <w:pStyle w:val="JuParaLast"/>
        <w:rPr>
          <w:lang w:val="fr-FR"/>
        </w:rPr>
      </w:pPr>
      <w:r w:rsidRPr="00B77D90">
        <w:rPr>
          <w:lang w:val="fr-FR"/>
        </w:rPr>
        <w:t xml:space="preserve">Fait en français, puis communiqué par écrit le </w:t>
      </w:r>
      <w:r w:rsidRPr="00B77D90" w:rsidR="009E7AAD">
        <w:rPr>
          <w:lang w:val="fr-FR"/>
        </w:rPr>
        <w:t>4 février 2020</w:t>
      </w:r>
      <w:r w:rsidRPr="00B77D90">
        <w:rPr>
          <w:lang w:val="fr-FR"/>
        </w:rPr>
        <w:t>, en application de l</w:t>
      </w:r>
      <w:r w:rsidRPr="00B77D90" w:rsidR="00B77D90">
        <w:rPr>
          <w:lang w:val="fr-FR"/>
        </w:rPr>
        <w:t>’</w:t>
      </w:r>
      <w:r w:rsidRPr="00B77D90">
        <w:rPr>
          <w:lang w:val="fr-FR"/>
        </w:rPr>
        <w:t>article</w:t>
      </w:r>
      <w:r w:rsidRPr="00B77D90" w:rsidR="00670CE9">
        <w:rPr>
          <w:lang w:val="fr-FR"/>
        </w:rPr>
        <w:t xml:space="preserve"> </w:t>
      </w:r>
      <w:r w:rsidRPr="00B77D90">
        <w:rPr>
          <w:lang w:val="fr-FR"/>
        </w:rPr>
        <w:t>77</w:t>
      </w:r>
      <w:r w:rsidRPr="00B77D90" w:rsidR="00670CE9">
        <w:rPr>
          <w:lang w:val="fr-FR"/>
        </w:rPr>
        <w:t xml:space="preserve"> </w:t>
      </w:r>
      <w:r w:rsidRPr="00B77D90">
        <w:rPr>
          <w:lang w:val="fr-FR"/>
        </w:rPr>
        <w:t>§§</w:t>
      </w:r>
      <w:r w:rsidRPr="00B77D90" w:rsidR="00670CE9">
        <w:rPr>
          <w:lang w:val="fr-FR"/>
        </w:rPr>
        <w:t xml:space="preserve"> </w:t>
      </w:r>
      <w:r w:rsidRPr="00B77D90">
        <w:rPr>
          <w:lang w:val="fr-FR"/>
        </w:rPr>
        <w:t>2 et</w:t>
      </w:r>
      <w:r w:rsidRPr="00B77D90" w:rsidR="00670CE9">
        <w:rPr>
          <w:lang w:val="fr-FR"/>
        </w:rPr>
        <w:t xml:space="preserve"> </w:t>
      </w:r>
      <w:r w:rsidRPr="00B77D90">
        <w:rPr>
          <w:lang w:val="fr-FR"/>
        </w:rPr>
        <w:t>3 du règlement.</w:t>
      </w:r>
    </w:p>
    <w:p w:rsidRPr="00B77D90" w:rsidR="00876F03" w:rsidP="00B77D90" w:rsidRDefault="00670CE9">
      <w:pPr>
        <w:pStyle w:val="JuSigned"/>
        <w:rPr>
          <w:lang w:val="fr-FR"/>
        </w:rPr>
      </w:pPr>
      <w:r w:rsidRPr="00B77D90">
        <w:rPr>
          <w:lang w:val="fr-FR"/>
        </w:rPr>
        <w:tab/>
      </w:r>
      <w:r w:rsidRPr="00B77D90" w:rsidR="009E7AAD">
        <w:rPr>
          <w:lang w:val="fr-FR"/>
        </w:rPr>
        <w:t>Hasan Bakırcı</w:t>
      </w:r>
      <w:r w:rsidRPr="00B77D90" w:rsidR="004344E6">
        <w:rPr>
          <w:lang w:val="fr-FR"/>
        </w:rPr>
        <w:tab/>
      </w:r>
      <w:proofErr w:type="spellStart"/>
      <w:r w:rsidRPr="00B77D90" w:rsidR="009E7AAD">
        <w:rPr>
          <w:lang w:val="fr-FR"/>
        </w:rPr>
        <w:t>Egidijus</w:t>
      </w:r>
      <w:proofErr w:type="spellEnd"/>
      <w:r w:rsidRPr="00B77D90" w:rsidR="009E7AAD">
        <w:rPr>
          <w:lang w:val="fr-FR"/>
        </w:rPr>
        <w:t xml:space="preserve"> </w:t>
      </w:r>
      <w:proofErr w:type="spellStart"/>
      <w:r w:rsidRPr="00B77D90" w:rsidR="009E7AAD">
        <w:rPr>
          <w:lang w:val="fr-FR"/>
        </w:rPr>
        <w:t>Kūris</w:t>
      </w:r>
      <w:proofErr w:type="spellEnd"/>
      <w:r w:rsidRPr="00B77D90" w:rsidR="009E7AAD">
        <w:rPr>
          <w:lang w:val="fr-FR"/>
        </w:rPr>
        <w:t xml:space="preserve"> </w:t>
      </w:r>
      <w:r w:rsidRPr="00B77D90" w:rsidR="004344E6">
        <w:rPr>
          <w:lang w:val="fr-FR"/>
        </w:rPr>
        <w:br/>
      </w:r>
      <w:r w:rsidRPr="00B77D90" w:rsidR="004344E6">
        <w:rPr>
          <w:lang w:val="fr-FR"/>
        </w:rPr>
        <w:tab/>
      </w:r>
      <w:r w:rsidRPr="00B77D90" w:rsidR="009E7AAD">
        <w:rPr>
          <w:lang w:val="fr-FR"/>
        </w:rPr>
        <w:t>Greffier adjoint</w:t>
      </w:r>
      <w:r w:rsidRPr="00B77D90" w:rsidR="004344E6">
        <w:rPr>
          <w:lang w:val="fr-FR"/>
        </w:rPr>
        <w:tab/>
      </w:r>
      <w:r w:rsidRPr="00B77D90" w:rsidR="009E7AAD">
        <w:rPr>
          <w:lang w:val="fr-FR"/>
        </w:rPr>
        <w:t>Président</w:t>
      </w:r>
    </w:p>
    <w:p w:rsidRPr="00B77D90" w:rsidR="00B77D90" w:rsidP="00B77D90" w:rsidRDefault="00B77D90">
      <w:pPr>
        <w:pStyle w:val="JuPara"/>
        <w:rPr>
          <w:lang w:val="fr-FR"/>
        </w:rPr>
      </w:pPr>
    </w:p>
    <w:sectPr w:rsidRPr="00B77D90" w:rsidR="00B77D90">
      <w:headerReference w:type="even" r:id="rId14"/>
      <w:headerReference w:type="default" r:id="rId15"/>
      <w:footerReference w:type="default" r:id="rId16"/>
      <w:footnotePr>
        <w:numRestart w:val="eachSect"/>
      </w:footnotePr>
      <w:pgSz w:w="11906" w:h="16838" w:code="9"/>
      <w:pgMar w:top="2274" w:right="2274" w:bottom="2274" w:left="2274" w:header="1701" w:footer="720" w:gutter="0"/>
      <w:pgNumType w:start="1"/>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E7AAD" w:rsidRPr="00AB5628" w:rsidRDefault="009E7AAD" w:rsidP="00516B59">
      <w:r w:rsidRPr="00AB5628">
        <w:separator/>
      </w:r>
    </w:p>
  </w:endnote>
  <w:endnote w:type="continuationSeparator" w:id="0">
    <w:p w:rsidR="009E7AAD" w:rsidRPr="00AB5628" w:rsidRDefault="009E7AAD" w:rsidP="00516B59">
      <w:r w:rsidRPr="00AB562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E7AAD" w:rsidRDefault="009E7AAD">
    <w:pPr>
      <w:pStyle w:val="Footer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E7AAD" w:rsidRPr="00150BFA" w:rsidRDefault="009E7AAD" w:rsidP="0020718E">
    <w:pPr>
      <w:jc w:val="center"/>
    </w:pPr>
    <w:r>
      <w:rPr>
        <w:noProof/>
        <w:lang w:eastAsia="ja-JP"/>
      </w:rPr>
      <w:drawing>
        <wp:inline distT="0" distB="0" distL="0" distR="0" wp14:anchorId="322F2A44" wp14:editId="56753371">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F22D5C" w:rsidRPr="00AB5628" w:rsidRDefault="007925B9" w:rsidP="00F27D13">
    <w:pPr>
      <w:pStyle w:val="Footer0"/>
      <w:jc w:val="center"/>
      <w:rPr>
        <w:sz w:val="4"/>
        <w:szCs w:val="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E7AAD" w:rsidRDefault="009E7AAD">
    <w:pPr>
      <w:pStyle w:val="Footer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22D5C" w:rsidRPr="00D01935" w:rsidRDefault="007925B9" w:rsidP="00C41986"/>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E7AAD" w:rsidRPr="00AB5628" w:rsidRDefault="009E7AAD" w:rsidP="00516B59">
      <w:r w:rsidRPr="00AB5628">
        <w:separator/>
      </w:r>
    </w:p>
  </w:footnote>
  <w:footnote w:type="continuationSeparator" w:id="0">
    <w:p w:rsidR="009E7AAD" w:rsidRPr="00AB5628" w:rsidRDefault="009E7AAD" w:rsidP="00516B59">
      <w:r w:rsidRPr="00AB5628">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E7AAD" w:rsidRDefault="009E7AA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E7AAD" w:rsidRPr="00A45145" w:rsidRDefault="009E7AAD" w:rsidP="00A45145">
    <w:pPr>
      <w:jc w:val="center"/>
    </w:pPr>
    <w:r>
      <w:rPr>
        <w:noProof/>
        <w:lang w:eastAsia="ja-JP"/>
      </w:rPr>
      <w:drawing>
        <wp:inline distT="0" distB="0" distL="0" distR="0" wp14:anchorId="02B27858" wp14:editId="13BF6FC2">
          <wp:extent cx="2962275" cy="1219200"/>
          <wp:effectExtent l="0" t="0" r="9525" b="0"/>
          <wp:docPr id="8" name="Picture 8"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F22D5C" w:rsidRPr="00AB5628" w:rsidRDefault="007925B9" w:rsidP="009840A2"/>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E7AAD" w:rsidRDefault="009E7AAD">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22D5C" w:rsidRPr="00592C8D" w:rsidRDefault="009E7AAD" w:rsidP="00A21624">
    <w:pPr>
      <w:pStyle w:val="JuHeader"/>
    </w:pPr>
    <w:r>
      <w:rPr>
        <w:rStyle w:val="PageNumber"/>
      </w:rPr>
      <w:fldChar w:fldCharType="begin"/>
    </w:r>
    <w:r>
      <w:rPr>
        <w:rStyle w:val="PageNumber"/>
      </w:rPr>
      <w:instrText xml:space="preserve"> PAGE </w:instrText>
    </w:r>
    <w:r>
      <w:rPr>
        <w:rStyle w:val="PageNumber"/>
      </w:rPr>
      <w:fldChar w:fldCharType="separate"/>
    </w:r>
    <w:r w:rsidR="00B77D90">
      <w:rPr>
        <w:rStyle w:val="PageNumber"/>
        <w:noProof/>
      </w:rPr>
      <w:t>12</w:t>
    </w:r>
    <w:r>
      <w:rPr>
        <w:rStyle w:val="PageNumber"/>
      </w:rPr>
      <w:fldChar w:fldCharType="end"/>
    </w:r>
    <w:r w:rsidR="007971FF" w:rsidRPr="00592C8D">
      <w:tab/>
    </w:r>
    <w:r w:rsidR="00A21624" w:rsidRPr="00592C8D">
      <w:t>ARRÊT</w:t>
    </w:r>
    <w:r w:rsidR="00256F45" w:rsidRPr="00592C8D">
      <w:t xml:space="preserve"> </w:t>
    </w:r>
    <w:r>
      <w:t>BAYRAM c. TURQUIE</w:t>
    </w:r>
    <w:r w:rsidRPr="00592C8D">
      <w:rPr>
        <w:noProof/>
      </w:rPr>
      <w:t xml:space="preserve"> </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22D5C" w:rsidRPr="00F22D5C" w:rsidRDefault="007612E2" w:rsidP="00522ABA">
    <w:pPr>
      <w:pStyle w:val="JuHeader"/>
      <w:jc w:val="both"/>
    </w:pPr>
    <w:r>
      <w:tab/>
    </w:r>
    <w:r w:rsidR="00256F45" w:rsidRPr="00592C8D">
      <w:t>ARRÊT</w:t>
    </w:r>
    <w:r w:rsidR="00162967" w:rsidRPr="00592C8D">
      <w:t xml:space="preserve"> </w:t>
    </w:r>
    <w:r w:rsidR="009E7AAD">
      <w:t>BAYRAM c. TURQUIE</w:t>
    </w:r>
    <w:r w:rsidR="007971FF" w:rsidRPr="00592C8D">
      <w:t xml:space="preserve"> </w:t>
    </w:r>
    <w:r w:rsidR="007971FF" w:rsidRPr="007100AD">
      <w:tab/>
    </w:r>
    <w:r w:rsidR="009E7AAD">
      <w:rPr>
        <w:rStyle w:val="PageNumber"/>
      </w:rPr>
      <w:fldChar w:fldCharType="begin"/>
    </w:r>
    <w:r w:rsidR="009E7AAD">
      <w:rPr>
        <w:rStyle w:val="PageNumber"/>
      </w:rPr>
      <w:instrText xml:space="preserve"> PAGE </w:instrText>
    </w:r>
    <w:r w:rsidR="009E7AAD">
      <w:rPr>
        <w:rStyle w:val="PageNumber"/>
      </w:rPr>
      <w:fldChar w:fldCharType="separate"/>
    </w:r>
    <w:r w:rsidR="00B77D90">
      <w:rPr>
        <w:rStyle w:val="PageNumber"/>
        <w:noProof/>
      </w:rPr>
      <w:t>11</w:t>
    </w:r>
    <w:r w:rsidR="009E7AAD">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0">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27D5546B"/>
    <w:multiLevelType w:val="multilevel"/>
    <w:tmpl w:val="7222064C"/>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907" w:hanging="22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4">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5">
    <w:nsid w:val="56B9429C"/>
    <w:multiLevelType w:val="multilevel"/>
    <w:tmpl w:val="03263022"/>
    <w:lvl w:ilvl="0">
      <w:start w:val="1"/>
      <w:numFmt w:val="none"/>
      <w:pStyle w:val="JuHHead"/>
      <w:suff w:val="nothing"/>
      <w:lvlText w:val=""/>
      <w:lvlJc w:val="left"/>
      <w:pPr>
        <w:ind w:left="0" w:firstLine="0"/>
      </w:pPr>
      <w:rPr>
        <w:rFonts w:hint="default"/>
      </w:rPr>
    </w:lvl>
    <w:lvl w:ilvl="1">
      <w:start w:val="1"/>
      <w:numFmt w:val="upperRoman"/>
      <w:pStyle w:val="JuHIRoman"/>
      <w:suff w:val="space"/>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372" w:hanging="334"/>
      </w:pPr>
      <w:rPr>
        <w:rFonts w:ascii="Times New Roman" w:hAnsi="Times New Roman" w:hint="default"/>
        <w:sz w:val="20"/>
      </w:rPr>
    </w:lvl>
    <w:lvl w:ilvl="7">
      <w:start w:val="1"/>
      <w:numFmt w:val="bullet"/>
      <w:pStyle w:val="JuH"/>
      <w:lvlText w:val="‒"/>
      <w:lvlJc w:val="left"/>
      <w:pPr>
        <w:ind w:left="1304" w:hanging="68"/>
      </w:pPr>
      <w:rPr>
        <w:rFonts w:ascii="Calibri" w:hAnsi="Calibri" w:hint="default"/>
        <w:color w:val="auto"/>
      </w:rPr>
    </w:lvl>
    <w:lvl w:ilvl="8">
      <w:start w:val="1"/>
      <w:numFmt w:val="bullet"/>
      <w:pStyle w:val="ECHRHeading9"/>
      <w:lvlText w:val="▪"/>
      <w:lvlJc w:val="left"/>
      <w:pPr>
        <w:ind w:left="1644" w:hanging="226"/>
      </w:pPr>
      <w:rPr>
        <w:rFonts w:ascii="Calibri" w:hAnsi="Calibri" w:hint="default"/>
        <w:b w:val="0"/>
        <w:i w:val="0"/>
        <w:color w:val="auto"/>
        <w:sz w:val="18"/>
      </w:rPr>
    </w:lvl>
  </w:abstractNum>
  <w:abstractNum w:abstractNumId="16">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17">
    <w:nsid w:val="69B170C5"/>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abstractNumId w:val="15"/>
  </w:num>
  <w:num w:numId="2">
    <w:abstractNumId w:val="12"/>
  </w:num>
  <w:num w:numId="3">
    <w:abstractNumId w:val="10"/>
  </w:num>
  <w:num w:numId="4">
    <w:abstractNumId w:val="9"/>
  </w:num>
  <w:num w:numId="5">
    <w:abstractNumId w:val="13"/>
  </w:num>
  <w:num w:numId="6">
    <w:abstractNumId w:val="11"/>
  </w:num>
  <w:num w:numId="7">
    <w:abstractNumId w:val="14"/>
  </w:num>
  <w:num w:numId="8">
    <w:abstractNumId w:val="17"/>
  </w:num>
  <w:num w:numId="9">
    <w:abstractNumId w:val="16"/>
  </w:num>
  <w:num w:numId="10">
    <w:abstractNumId w:val="7"/>
  </w:num>
  <w:num w:numId="11">
    <w:abstractNumId w:val="6"/>
  </w:num>
  <w:num w:numId="12">
    <w:abstractNumId w:val="5"/>
  </w:num>
  <w:num w:numId="13">
    <w:abstractNumId w:val="4"/>
  </w:num>
  <w:num w:numId="14">
    <w:abstractNumId w:val="8"/>
  </w:num>
  <w:num w:numId="15">
    <w:abstractNumId w:val="3"/>
  </w:num>
  <w:num w:numId="16">
    <w:abstractNumId w:val="2"/>
  </w:num>
  <w:num w:numId="17">
    <w:abstractNumId w:val="1"/>
  </w:num>
  <w:num w:numId="18">
    <w:abstractNumId w:val="0"/>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hideSpellingErrors/>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8193"/>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9E7AAD"/>
    <w:rsid w:val="000041F8"/>
    <w:rsid w:val="000042A8"/>
    <w:rsid w:val="00004308"/>
    <w:rsid w:val="00005BF0"/>
    <w:rsid w:val="00007154"/>
    <w:rsid w:val="000103AE"/>
    <w:rsid w:val="00011D69"/>
    <w:rsid w:val="00012AD3"/>
    <w:rsid w:val="00015C2D"/>
    <w:rsid w:val="00015F00"/>
    <w:rsid w:val="00022C1D"/>
    <w:rsid w:val="00034987"/>
    <w:rsid w:val="00051015"/>
    <w:rsid w:val="000602DF"/>
    <w:rsid w:val="00061B05"/>
    <w:rsid w:val="000632D5"/>
    <w:rsid w:val="000644EE"/>
    <w:rsid w:val="00080ECE"/>
    <w:rsid w:val="00086F57"/>
    <w:rsid w:val="0009057B"/>
    <w:rsid w:val="000925AD"/>
    <w:rsid w:val="000A24EB"/>
    <w:rsid w:val="000B5D17"/>
    <w:rsid w:val="000B6923"/>
    <w:rsid w:val="000C5F3C"/>
    <w:rsid w:val="000C6DCC"/>
    <w:rsid w:val="000D04C2"/>
    <w:rsid w:val="000D47AA"/>
    <w:rsid w:val="000D721F"/>
    <w:rsid w:val="000E069B"/>
    <w:rsid w:val="000E0E82"/>
    <w:rsid w:val="000E1DC5"/>
    <w:rsid w:val="000E223F"/>
    <w:rsid w:val="000E4AC8"/>
    <w:rsid w:val="000E7D45"/>
    <w:rsid w:val="000F19D8"/>
    <w:rsid w:val="000F7851"/>
    <w:rsid w:val="00104E23"/>
    <w:rsid w:val="00111B0C"/>
    <w:rsid w:val="00117CD2"/>
    <w:rsid w:val="00120D6C"/>
    <w:rsid w:val="001257EC"/>
    <w:rsid w:val="00133D33"/>
    <w:rsid w:val="00134D64"/>
    <w:rsid w:val="00135A30"/>
    <w:rsid w:val="0013612C"/>
    <w:rsid w:val="00137FF6"/>
    <w:rsid w:val="00141650"/>
    <w:rsid w:val="001625AD"/>
    <w:rsid w:val="00162967"/>
    <w:rsid w:val="00162A12"/>
    <w:rsid w:val="00166530"/>
    <w:rsid w:val="00181508"/>
    <w:rsid w:val="001832BD"/>
    <w:rsid w:val="001943B5"/>
    <w:rsid w:val="00194C5B"/>
    <w:rsid w:val="00195134"/>
    <w:rsid w:val="001A145B"/>
    <w:rsid w:val="001A674C"/>
    <w:rsid w:val="001B3B24"/>
    <w:rsid w:val="001C0F98"/>
    <w:rsid w:val="001C2A42"/>
    <w:rsid w:val="001D63ED"/>
    <w:rsid w:val="001D7348"/>
    <w:rsid w:val="001E035B"/>
    <w:rsid w:val="001E0961"/>
    <w:rsid w:val="001E3EAE"/>
    <w:rsid w:val="001E6F32"/>
    <w:rsid w:val="001F2145"/>
    <w:rsid w:val="001F39F4"/>
    <w:rsid w:val="001F6262"/>
    <w:rsid w:val="001F67B0"/>
    <w:rsid w:val="001F7B3D"/>
    <w:rsid w:val="00204F24"/>
    <w:rsid w:val="00205F9F"/>
    <w:rsid w:val="00210338"/>
    <w:rsid w:val="002115FC"/>
    <w:rsid w:val="00212184"/>
    <w:rsid w:val="0021423C"/>
    <w:rsid w:val="00230D00"/>
    <w:rsid w:val="00231364"/>
    <w:rsid w:val="00231DF7"/>
    <w:rsid w:val="00231FD1"/>
    <w:rsid w:val="002339E0"/>
    <w:rsid w:val="00233CF8"/>
    <w:rsid w:val="0023575D"/>
    <w:rsid w:val="00237148"/>
    <w:rsid w:val="0024222D"/>
    <w:rsid w:val="00244B0E"/>
    <w:rsid w:val="00244F6C"/>
    <w:rsid w:val="002532C5"/>
    <w:rsid w:val="002546AE"/>
    <w:rsid w:val="00256F45"/>
    <w:rsid w:val="00260C03"/>
    <w:rsid w:val="0026540E"/>
    <w:rsid w:val="00275123"/>
    <w:rsid w:val="00282240"/>
    <w:rsid w:val="002948AD"/>
    <w:rsid w:val="0029739C"/>
    <w:rsid w:val="002A01CC"/>
    <w:rsid w:val="002A61B1"/>
    <w:rsid w:val="002A663C"/>
    <w:rsid w:val="002B444B"/>
    <w:rsid w:val="002B5887"/>
    <w:rsid w:val="002B7E83"/>
    <w:rsid w:val="002C0E27"/>
    <w:rsid w:val="002C3040"/>
    <w:rsid w:val="002D022D"/>
    <w:rsid w:val="002D24BB"/>
    <w:rsid w:val="002F29AA"/>
    <w:rsid w:val="002F2AF7"/>
    <w:rsid w:val="002F7E1C"/>
    <w:rsid w:val="00301A75"/>
    <w:rsid w:val="00302F70"/>
    <w:rsid w:val="0030336F"/>
    <w:rsid w:val="0030375E"/>
    <w:rsid w:val="0030660C"/>
    <w:rsid w:val="00312A30"/>
    <w:rsid w:val="00316323"/>
    <w:rsid w:val="00320F72"/>
    <w:rsid w:val="0032463E"/>
    <w:rsid w:val="00326224"/>
    <w:rsid w:val="00337EE4"/>
    <w:rsid w:val="00340FFD"/>
    <w:rsid w:val="003506B1"/>
    <w:rsid w:val="00356AC7"/>
    <w:rsid w:val="003609FA"/>
    <w:rsid w:val="00361D45"/>
    <w:rsid w:val="00367B4F"/>
    <w:rsid w:val="003710C8"/>
    <w:rsid w:val="003750BE"/>
    <w:rsid w:val="00387B9D"/>
    <w:rsid w:val="0039364F"/>
    <w:rsid w:val="00396686"/>
    <w:rsid w:val="0039778E"/>
    <w:rsid w:val="003A37B8"/>
    <w:rsid w:val="003B4941"/>
    <w:rsid w:val="003B6A2E"/>
    <w:rsid w:val="003C5714"/>
    <w:rsid w:val="003C6B9F"/>
    <w:rsid w:val="003C6E2A"/>
    <w:rsid w:val="003D0299"/>
    <w:rsid w:val="003D32BE"/>
    <w:rsid w:val="003E3FE3"/>
    <w:rsid w:val="003E6D80"/>
    <w:rsid w:val="003E7A9C"/>
    <w:rsid w:val="003F05FA"/>
    <w:rsid w:val="003F244A"/>
    <w:rsid w:val="003F30B8"/>
    <w:rsid w:val="003F4C45"/>
    <w:rsid w:val="003F5F7B"/>
    <w:rsid w:val="003F7D64"/>
    <w:rsid w:val="00401F7D"/>
    <w:rsid w:val="0041177B"/>
    <w:rsid w:val="00414300"/>
    <w:rsid w:val="00425C67"/>
    <w:rsid w:val="00427E7A"/>
    <w:rsid w:val="00431C07"/>
    <w:rsid w:val="004344E6"/>
    <w:rsid w:val="00436C49"/>
    <w:rsid w:val="00445366"/>
    <w:rsid w:val="00447F5B"/>
    <w:rsid w:val="00456549"/>
    <w:rsid w:val="004604A0"/>
    <w:rsid w:val="00461DB0"/>
    <w:rsid w:val="00463926"/>
    <w:rsid w:val="00464C9A"/>
    <w:rsid w:val="00474F3D"/>
    <w:rsid w:val="00477E3A"/>
    <w:rsid w:val="00483E5F"/>
    <w:rsid w:val="00485FF9"/>
    <w:rsid w:val="004907F0"/>
    <w:rsid w:val="0049140B"/>
    <w:rsid w:val="004923A5"/>
    <w:rsid w:val="00496197"/>
    <w:rsid w:val="00496BFB"/>
    <w:rsid w:val="004A15C7"/>
    <w:rsid w:val="004B013B"/>
    <w:rsid w:val="004B112B"/>
    <w:rsid w:val="004C01E4"/>
    <w:rsid w:val="004C086C"/>
    <w:rsid w:val="004C1A3F"/>
    <w:rsid w:val="004C1F56"/>
    <w:rsid w:val="004C27BC"/>
    <w:rsid w:val="004D15F3"/>
    <w:rsid w:val="004D5311"/>
    <w:rsid w:val="004D5DCC"/>
    <w:rsid w:val="004E22F1"/>
    <w:rsid w:val="004F10AF"/>
    <w:rsid w:val="004F11A4"/>
    <w:rsid w:val="004F2389"/>
    <w:rsid w:val="004F304D"/>
    <w:rsid w:val="004F61BE"/>
    <w:rsid w:val="004F66B1"/>
    <w:rsid w:val="00511C07"/>
    <w:rsid w:val="00516B59"/>
    <w:rsid w:val="005173A6"/>
    <w:rsid w:val="00520BAA"/>
    <w:rsid w:val="00522ABA"/>
    <w:rsid w:val="00525208"/>
    <w:rsid w:val="005257A5"/>
    <w:rsid w:val="005264C0"/>
    <w:rsid w:val="00526A8A"/>
    <w:rsid w:val="00531DF2"/>
    <w:rsid w:val="005442EE"/>
    <w:rsid w:val="00547353"/>
    <w:rsid w:val="005474E7"/>
    <w:rsid w:val="005512A3"/>
    <w:rsid w:val="005578CE"/>
    <w:rsid w:val="00562781"/>
    <w:rsid w:val="00566E2B"/>
    <w:rsid w:val="0057271C"/>
    <w:rsid w:val="00572845"/>
    <w:rsid w:val="00576986"/>
    <w:rsid w:val="00592772"/>
    <w:rsid w:val="00592C8D"/>
    <w:rsid w:val="0059574A"/>
    <w:rsid w:val="005A1B9B"/>
    <w:rsid w:val="005A6751"/>
    <w:rsid w:val="005B092E"/>
    <w:rsid w:val="005B152C"/>
    <w:rsid w:val="005B1EE0"/>
    <w:rsid w:val="005B2B24"/>
    <w:rsid w:val="005B4425"/>
    <w:rsid w:val="005B4B94"/>
    <w:rsid w:val="005C353F"/>
    <w:rsid w:val="005C3EE8"/>
    <w:rsid w:val="005D34F9"/>
    <w:rsid w:val="005D4190"/>
    <w:rsid w:val="005D67A3"/>
    <w:rsid w:val="005E2988"/>
    <w:rsid w:val="005E3085"/>
    <w:rsid w:val="005F51E1"/>
    <w:rsid w:val="00611C80"/>
    <w:rsid w:val="00613B21"/>
    <w:rsid w:val="00620692"/>
    <w:rsid w:val="006242CA"/>
    <w:rsid w:val="00627507"/>
    <w:rsid w:val="00633717"/>
    <w:rsid w:val="006344E1"/>
    <w:rsid w:val="006361FD"/>
    <w:rsid w:val="006545C4"/>
    <w:rsid w:val="00661971"/>
    <w:rsid w:val="00661CE8"/>
    <w:rsid w:val="006623D9"/>
    <w:rsid w:val="0066550C"/>
    <w:rsid w:val="00670CE9"/>
    <w:rsid w:val="006716F2"/>
    <w:rsid w:val="00682BF2"/>
    <w:rsid w:val="006859CE"/>
    <w:rsid w:val="00691270"/>
    <w:rsid w:val="00694BA8"/>
    <w:rsid w:val="006A037C"/>
    <w:rsid w:val="006A36F4"/>
    <w:rsid w:val="006A406F"/>
    <w:rsid w:val="006A5D3A"/>
    <w:rsid w:val="006C23D4"/>
    <w:rsid w:val="006C475E"/>
    <w:rsid w:val="006C7BB0"/>
    <w:rsid w:val="006D3237"/>
    <w:rsid w:val="006E2E37"/>
    <w:rsid w:val="006E3CF1"/>
    <w:rsid w:val="006E7E80"/>
    <w:rsid w:val="006F48CA"/>
    <w:rsid w:val="006F64DD"/>
    <w:rsid w:val="00715127"/>
    <w:rsid w:val="00715E8E"/>
    <w:rsid w:val="007172B0"/>
    <w:rsid w:val="00723580"/>
    <w:rsid w:val="00723755"/>
    <w:rsid w:val="00724AE2"/>
    <w:rsid w:val="0073136C"/>
    <w:rsid w:val="00731F0F"/>
    <w:rsid w:val="00733250"/>
    <w:rsid w:val="00735951"/>
    <w:rsid w:val="00741404"/>
    <w:rsid w:val="00743856"/>
    <w:rsid w:val="007449E5"/>
    <w:rsid w:val="00747FF0"/>
    <w:rsid w:val="007612E2"/>
    <w:rsid w:val="00764D4E"/>
    <w:rsid w:val="00765A1F"/>
    <w:rsid w:val="00775B6D"/>
    <w:rsid w:val="00776D68"/>
    <w:rsid w:val="007850EE"/>
    <w:rsid w:val="00785B95"/>
    <w:rsid w:val="00790AAD"/>
    <w:rsid w:val="00790E96"/>
    <w:rsid w:val="00793366"/>
    <w:rsid w:val="007971FF"/>
    <w:rsid w:val="007A4070"/>
    <w:rsid w:val="007A716F"/>
    <w:rsid w:val="007B270A"/>
    <w:rsid w:val="007C0695"/>
    <w:rsid w:val="007C419A"/>
    <w:rsid w:val="007C4CC8"/>
    <w:rsid w:val="007C5426"/>
    <w:rsid w:val="007C5798"/>
    <w:rsid w:val="007D4832"/>
    <w:rsid w:val="007E21B2"/>
    <w:rsid w:val="007E2C4E"/>
    <w:rsid w:val="007F1905"/>
    <w:rsid w:val="00801300"/>
    <w:rsid w:val="00802C64"/>
    <w:rsid w:val="0080523A"/>
    <w:rsid w:val="00805E52"/>
    <w:rsid w:val="008061D0"/>
    <w:rsid w:val="00810B38"/>
    <w:rsid w:val="008204C7"/>
    <w:rsid w:val="00820992"/>
    <w:rsid w:val="00823602"/>
    <w:rsid w:val="008255F5"/>
    <w:rsid w:val="0083014E"/>
    <w:rsid w:val="0083214A"/>
    <w:rsid w:val="00834220"/>
    <w:rsid w:val="00845723"/>
    <w:rsid w:val="00851EF9"/>
    <w:rsid w:val="008577FD"/>
    <w:rsid w:val="00860B03"/>
    <w:rsid w:val="0086497A"/>
    <w:rsid w:val="008713A1"/>
    <w:rsid w:val="00873D9C"/>
    <w:rsid w:val="008748BE"/>
    <w:rsid w:val="008754AB"/>
    <w:rsid w:val="00876A02"/>
    <w:rsid w:val="00876F03"/>
    <w:rsid w:val="0088060C"/>
    <w:rsid w:val="00891107"/>
    <w:rsid w:val="00893576"/>
    <w:rsid w:val="00893E73"/>
    <w:rsid w:val="00893F30"/>
    <w:rsid w:val="00895F5B"/>
    <w:rsid w:val="008B02DC"/>
    <w:rsid w:val="008B2698"/>
    <w:rsid w:val="008B57CE"/>
    <w:rsid w:val="008C26DE"/>
    <w:rsid w:val="008D2225"/>
    <w:rsid w:val="008D4752"/>
    <w:rsid w:val="008E271C"/>
    <w:rsid w:val="008E418E"/>
    <w:rsid w:val="008E5BC6"/>
    <w:rsid w:val="008E6A25"/>
    <w:rsid w:val="008E7A1B"/>
    <w:rsid w:val="008F5193"/>
    <w:rsid w:val="009013A7"/>
    <w:rsid w:val="009017FB"/>
    <w:rsid w:val="009017FC"/>
    <w:rsid w:val="0090506B"/>
    <w:rsid w:val="009050C9"/>
    <w:rsid w:val="009066FC"/>
    <w:rsid w:val="009140A3"/>
    <w:rsid w:val="009144A2"/>
    <w:rsid w:val="0091510C"/>
    <w:rsid w:val="009259AC"/>
    <w:rsid w:val="00926F38"/>
    <w:rsid w:val="00934301"/>
    <w:rsid w:val="00936CD1"/>
    <w:rsid w:val="00941747"/>
    <w:rsid w:val="00941EFB"/>
    <w:rsid w:val="00947AFB"/>
    <w:rsid w:val="00951D7D"/>
    <w:rsid w:val="009630C7"/>
    <w:rsid w:val="00972B55"/>
    <w:rsid w:val="009743B7"/>
    <w:rsid w:val="00975039"/>
    <w:rsid w:val="00977227"/>
    <w:rsid w:val="0098228B"/>
    <w:rsid w:val="009828DA"/>
    <w:rsid w:val="00985BAB"/>
    <w:rsid w:val="009B1B5F"/>
    <w:rsid w:val="009B6673"/>
    <w:rsid w:val="009C191B"/>
    <w:rsid w:val="009C2BD6"/>
    <w:rsid w:val="009D2F52"/>
    <w:rsid w:val="009E16D2"/>
    <w:rsid w:val="009E1F32"/>
    <w:rsid w:val="009E776C"/>
    <w:rsid w:val="009E7AAD"/>
    <w:rsid w:val="00A132AD"/>
    <w:rsid w:val="00A1726E"/>
    <w:rsid w:val="00A204CF"/>
    <w:rsid w:val="00A21624"/>
    <w:rsid w:val="00A23D49"/>
    <w:rsid w:val="00A27004"/>
    <w:rsid w:val="00A30C29"/>
    <w:rsid w:val="00A34DD6"/>
    <w:rsid w:val="00A36819"/>
    <w:rsid w:val="00A36989"/>
    <w:rsid w:val="00A43628"/>
    <w:rsid w:val="00A43AA3"/>
    <w:rsid w:val="00A4783F"/>
    <w:rsid w:val="00A54192"/>
    <w:rsid w:val="00A6035E"/>
    <w:rsid w:val="00A6144C"/>
    <w:rsid w:val="00A66617"/>
    <w:rsid w:val="00A671F8"/>
    <w:rsid w:val="00A673A4"/>
    <w:rsid w:val="00A724AE"/>
    <w:rsid w:val="00A73329"/>
    <w:rsid w:val="00A75785"/>
    <w:rsid w:val="00A82359"/>
    <w:rsid w:val="00A865D2"/>
    <w:rsid w:val="00A94C20"/>
    <w:rsid w:val="00AA227F"/>
    <w:rsid w:val="00AA3BC7"/>
    <w:rsid w:val="00AA754A"/>
    <w:rsid w:val="00AB099E"/>
    <w:rsid w:val="00AB4328"/>
    <w:rsid w:val="00AB5628"/>
    <w:rsid w:val="00AC00C2"/>
    <w:rsid w:val="00AC5872"/>
    <w:rsid w:val="00AE0A2E"/>
    <w:rsid w:val="00AE354C"/>
    <w:rsid w:val="00AF4B07"/>
    <w:rsid w:val="00AF6186"/>
    <w:rsid w:val="00AF7A3A"/>
    <w:rsid w:val="00B009F4"/>
    <w:rsid w:val="00B160DB"/>
    <w:rsid w:val="00B20836"/>
    <w:rsid w:val="00B235BB"/>
    <w:rsid w:val="00B25320"/>
    <w:rsid w:val="00B25D3B"/>
    <w:rsid w:val="00B27A44"/>
    <w:rsid w:val="00B30BBF"/>
    <w:rsid w:val="00B33C03"/>
    <w:rsid w:val="00B44E56"/>
    <w:rsid w:val="00B46543"/>
    <w:rsid w:val="00B47D33"/>
    <w:rsid w:val="00B52BE0"/>
    <w:rsid w:val="00B54133"/>
    <w:rsid w:val="00B701ED"/>
    <w:rsid w:val="00B751F4"/>
    <w:rsid w:val="00B77D90"/>
    <w:rsid w:val="00B8086C"/>
    <w:rsid w:val="00B840F7"/>
    <w:rsid w:val="00B861B4"/>
    <w:rsid w:val="00B86DFE"/>
    <w:rsid w:val="00B90990"/>
    <w:rsid w:val="00B922FF"/>
    <w:rsid w:val="00B9281E"/>
    <w:rsid w:val="00B93925"/>
    <w:rsid w:val="00B95187"/>
    <w:rsid w:val="00BA2D55"/>
    <w:rsid w:val="00BA71B1"/>
    <w:rsid w:val="00BB0637"/>
    <w:rsid w:val="00BB345F"/>
    <w:rsid w:val="00BB68EA"/>
    <w:rsid w:val="00BC1C27"/>
    <w:rsid w:val="00BC1F03"/>
    <w:rsid w:val="00BC6BBF"/>
    <w:rsid w:val="00BD1572"/>
    <w:rsid w:val="00BE14E3"/>
    <w:rsid w:val="00BE3774"/>
    <w:rsid w:val="00BE41E5"/>
    <w:rsid w:val="00BF4109"/>
    <w:rsid w:val="00BF4CC3"/>
    <w:rsid w:val="00C00E59"/>
    <w:rsid w:val="00C054C7"/>
    <w:rsid w:val="00C057B5"/>
    <w:rsid w:val="00C22687"/>
    <w:rsid w:val="00C25983"/>
    <w:rsid w:val="00C32E4D"/>
    <w:rsid w:val="00C333A0"/>
    <w:rsid w:val="00C36408"/>
    <w:rsid w:val="00C36A81"/>
    <w:rsid w:val="00C41974"/>
    <w:rsid w:val="00C45616"/>
    <w:rsid w:val="00C53F4A"/>
    <w:rsid w:val="00C54125"/>
    <w:rsid w:val="00C55B54"/>
    <w:rsid w:val="00C6098E"/>
    <w:rsid w:val="00C6152C"/>
    <w:rsid w:val="00C74810"/>
    <w:rsid w:val="00C81ACF"/>
    <w:rsid w:val="00C90D68"/>
    <w:rsid w:val="00C939FE"/>
    <w:rsid w:val="00CA4BDA"/>
    <w:rsid w:val="00CA7C61"/>
    <w:rsid w:val="00CB1F66"/>
    <w:rsid w:val="00CB2951"/>
    <w:rsid w:val="00CD282B"/>
    <w:rsid w:val="00CD4C35"/>
    <w:rsid w:val="00CD7369"/>
    <w:rsid w:val="00CE0B0E"/>
    <w:rsid w:val="00CE3831"/>
    <w:rsid w:val="00D00ABB"/>
    <w:rsid w:val="00D02781"/>
    <w:rsid w:val="00D02EEC"/>
    <w:rsid w:val="00D03551"/>
    <w:rsid w:val="00D06A63"/>
    <w:rsid w:val="00D07E0E"/>
    <w:rsid w:val="00D11478"/>
    <w:rsid w:val="00D15ED0"/>
    <w:rsid w:val="00D21B3E"/>
    <w:rsid w:val="00D21C26"/>
    <w:rsid w:val="00D21FED"/>
    <w:rsid w:val="00D24251"/>
    <w:rsid w:val="00D343E2"/>
    <w:rsid w:val="00D361A2"/>
    <w:rsid w:val="00D44C2E"/>
    <w:rsid w:val="00D45414"/>
    <w:rsid w:val="00D54FF1"/>
    <w:rsid w:val="00D566BD"/>
    <w:rsid w:val="00D57A4D"/>
    <w:rsid w:val="00D60AA7"/>
    <w:rsid w:val="00D62A67"/>
    <w:rsid w:val="00D6435F"/>
    <w:rsid w:val="00D75E28"/>
    <w:rsid w:val="00D772C2"/>
    <w:rsid w:val="00D8008E"/>
    <w:rsid w:val="00D82C45"/>
    <w:rsid w:val="00D908A8"/>
    <w:rsid w:val="00D977B6"/>
    <w:rsid w:val="00DA3634"/>
    <w:rsid w:val="00DA4A31"/>
    <w:rsid w:val="00DA7B04"/>
    <w:rsid w:val="00DB36C2"/>
    <w:rsid w:val="00DB5CBD"/>
    <w:rsid w:val="00DC169B"/>
    <w:rsid w:val="00DC2AB9"/>
    <w:rsid w:val="00DC63F0"/>
    <w:rsid w:val="00DD5382"/>
    <w:rsid w:val="00DD6EE5"/>
    <w:rsid w:val="00DE2362"/>
    <w:rsid w:val="00DE386C"/>
    <w:rsid w:val="00DE4D35"/>
    <w:rsid w:val="00DF098B"/>
    <w:rsid w:val="00DF11C4"/>
    <w:rsid w:val="00DF210C"/>
    <w:rsid w:val="00DF4B6A"/>
    <w:rsid w:val="00E02C09"/>
    <w:rsid w:val="00E04D59"/>
    <w:rsid w:val="00E07DA1"/>
    <w:rsid w:val="00E123CB"/>
    <w:rsid w:val="00E20E13"/>
    <w:rsid w:val="00E21DBC"/>
    <w:rsid w:val="00E275D7"/>
    <w:rsid w:val="00E27DBE"/>
    <w:rsid w:val="00E32AB1"/>
    <w:rsid w:val="00E36C71"/>
    <w:rsid w:val="00E40404"/>
    <w:rsid w:val="00E459C6"/>
    <w:rsid w:val="00E47589"/>
    <w:rsid w:val="00E64915"/>
    <w:rsid w:val="00E661D4"/>
    <w:rsid w:val="00E70091"/>
    <w:rsid w:val="00E720F5"/>
    <w:rsid w:val="00E76D47"/>
    <w:rsid w:val="00E849F7"/>
    <w:rsid w:val="00E858D9"/>
    <w:rsid w:val="00E90302"/>
    <w:rsid w:val="00E97396"/>
    <w:rsid w:val="00EA185E"/>
    <w:rsid w:val="00EA592A"/>
    <w:rsid w:val="00EB14E4"/>
    <w:rsid w:val="00EB182B"/>
    <w:rsid w:val="00EB32A5"/>
    <w:rsid w:val="00EB34ED"/>
    <w:rsid w:val="00EB4A37"/>
    <w:rsid w:val="00EB7BE0"/>
    <w:rsid w:val="00EC315E"/>
    <w:rsid w:val="00EC58D1"/>
    <w:rsid w:val="00ED077C"/>
    <w:rsid w:val="00ED1190"/>
    <w:rsid w:val="00ED6544"/>
    <w:rsid w:val="00EE0277"/>
    <w:rsid w:val="00EE3E00"/>
    <w:rsid w:val="00EE5DD2"/>
    <w:rsid w:val="00F00A79"/>
    <w:rsid w:val="00F00E86"/>
    <w:rsid w:val="00F07C1E"/>
    <w:rsid w:val="00F105DB"/>
    <w:rsid w:val="00F132BC"/>
    <w:rsid w:val="00F13D80"/>
    <w:rsid w:val="00F16AAA"/>
    <w:rsid w:val="00F21161"/>
    <w:rsid w:val="00F218EF"/>
    <w:rsid w:val="00F21BC7"/>
    <w:rsid w:val="00F266A2"/>
    <w:rsid w:val="00F27D13"/>
    <w:rsid w:val="00F32269"/>
    <w:rsid w:val="00F56A6F"/>
    <w:rsid w:val="00F5709C"/>
    <w:rsid w:val="00F626DA"/>
    <w:rsid w:val="00F64EF1"/>
    <w:rsid w:val="00F659F3"/>
    <w:rsid w:val="00F83589"/>
    <w:rsid w:val="00F8765F"/>
    <w:rsid w:val="00F90767"/>
    <w:rsid w:val="00F9588E"/>
    <w:rsid w:val="00FA685B"/>
    <w:rsid w:val="00FB0C01"/>
    <w:rsid w:val="00FC18F2"/>
    <w:rsid w:val="00FC39E5"/>
    <w:rsid w:val="00FC3A78"/>
    <w:rsid w:val="00FD1005"/>
    <w:rsid w:val="00FD61AA"/>
    <w:rsid w:val="00FD6C75"/>
    <w:rsid w:val="00FD7649"/>
    <w:rsid w:val="00FE71B3"/>
    <w:rsid w:val="00FF42C5"/>
    <w:rsid w:val="00FF5AD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670CE9"/>
    <w:rPr>
      <w:sz w:val="24"/>
      <w:szCs w:val="24"/>
    </w:rPr>
  </w:style>
  <w:style w:type="paragraph" w:styleId="Heading1">
    <w:name w:val="heading 1"/>
    <w:basedOn w:val="Normal"/>
    <w:next w:val="Normal"/>
    <w:link w:val="Heading1Char"/>
    <w:uiPriority w:val="98"/>
    <w:semiHidden/>
    <w:rsid w:val="00670CE9"/>
    <w:pPr>
      <w:numPr>
        <w:numId w:val="8"/>
      </w:num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670CE9"/>
    <w:pPr>
      <w:numPr>
        <w:ilvl w:val="1"/>
        <w:numId w:val="8"/>
      </w:num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670CE9"/>
    <w:pPr>
      <w:numPr>
        <w:ilvl w:val="2"/>
        <w:numId w:val="8"/>
      </w:num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8"/>
    <w:semiHidden/>
    <w:rsid w:val="00670CE9"/>
    <w:pPr>
      <w:numPr>
        <w:ilvl w:val="3"/>
        <w:numId w:val="8"/>
      </w:num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8"/>
    <w:semiHidden/>
    <w:qFormat/>
    <w:rsid w:val="00670CE9"/>
    <w:pPr>
      <w:numPr>
        <w:ilvl w:val="4"/>
        <w:numId w:val="8"/>
      </w:num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8"/>
    <w:semiHidden/>
    <w:rsid w:val="00670CE9"/>
    <w:pPr>
      <w:numPr>
        <w:ilvl w:val="5"/>
        <w:numId w:val="8"/>
      </w:num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8"/>
    <w:semiHidden/>
    <w:qFormat/>
    <w:rsid w:val="00670CE9"/>
    <w:pPr>
      <w:numPr>
        <w:ilvl w:val="6"/>
        <w:numId w:val="8"/>
      </w:num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8"/>
    <w:semiHidden/>
    <w:qFormat/>
    <w:rsid w:val="00670CE9"/>
    <w:pPr>
      <w:numPr>
        <w:ilvl w:val="7"/>
        <w:numId w:val="8"/>
      </w:num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670CE9"/>
    <w:pPr>
      <w:numPr>
        <w:ilvl w:val="8"/>
        <w:numId w:val="8"/>
      </w:num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670CE9"/>
    <w:rPr>
      <w:rFonts w:ascii="Tahoma" w:hAnsi="Tahoma" w:cs="Tahoma"/>
      <w:sz w:val="16"/>
      <w:szCs w:val="16"/>
    </w:rPr>
  </w:style>
  <w:style w:type="character" w:customStyle="1" w:styleId="BalloonTextChar">
    <w:name w:val="Balloon Text Char"/>
    <w:basedOn w:val="DefaultParagraphFont"/>
    <w:link w:val="BalloonText"/>
    <w:uiPriority w:val="98"/>
    <w:semiHidden/>
    <w:rsid w:val="00670CE9"/>
    <w:rPr>
      <w:rFonts w:ascii="Tahoma" w:hAnsi="Tahoma" w:cs="Tahoma"/>
      <w:sz w:val="16"/>
      <w:szCs w:val="16"/>
    </w:rPr>
  </w:style>
  <w:style w:type="character" w:styleId="BookTitle">
    <w:name w:val="Book Title"/>
    <w:uiPriority w:val="98"/>
    <w:semiHidden/>
    <w:qFormat/>
    <w:rsid w:val="00670CE9"/>
    <w:rPr>
      <w:i/>
      <w:iCs/>
      <w:smallCaps/>
      <w:spacing w:val="5"/>
    </w:rPr>
  </w:style>
  <w:style w:type="paragraph" w:customStyle="1" w:styleId="JuHeader">
    <w:name w:val="Ju_Header"/>
    <w:aliases w:val="_Header"/>
    <w:basedOn w:val="Header"/>
    <w:uiPriority w:val="29"/>
    <w:qFormat/>
    <w:rsid w:val="00670CE9"/>
    <w:pPr>
      <w:tabs>
        <w:tab w:val="clear" w:pos="4536"/>
        <w:tab w:val="clear" w:pos="9072"/>
        <w:tab w:val="center" w:pos="3686"/>
        <w:tab w:val="right" w:pos="7371"/>
      </w:tabs>
    </w:pPr>
    <w:rPr>
      <w:sz w:val="18"/>
    </w:rPr>
  </w:style>
  <w:style w:type="paragraph" w:customStyle="1" w:styleId="ECHRBullet1">
    <w:name w:val="ECHR_Bullet_1"/>
    <w:aliases w:val="_Bul_1"/>
    <w:basedOn w:val="NormalJustified"/>
    <w:uiPriority w:val="23"/>
    <w:semiHidden/>
    <w:qFormat/>
    <w:rsid w:val="00670CE9"/>
    <w:pPr>
      <w:numPr>
        <w:numId w:val="5"/>
      </w:numPr>
      <w:spacing w:before="60" w:after="60"/>
    </w:pPr>
  </w:style>
  <w:style w:type="character" w:styleId="Strong">
    <w:name w:val="Strong"/>
    <w:uiPriority w:val="98"/>
    <w:semiHidden/>
    <w:qFormat/>
    <w:rsid w:val="00670CE9"/>
    <w:rPr>
      <w:b/>
      <w:bCs/>
    </w:rPr>
  </w:style>
  <w:style w:type="paragraph" w:styleId="NoSpacing">
    <w:name w:val="No Spacing"/>
    <w:basedOn w:val="Normal"/>
    <w:link w:val="NoSpacingChar"/>
    <w:uiPriority w:val="98"/>
    <w:semiHidden/>
    <w:qFormat/>
    <w:rsid w:val="00670CE9"/>
  </w:style>
  <w:style w:type="character" w:customStyle="1" w:styleId="NoSpacingChar">
    <w:name w:val="No Spacing Char"/>
    <w:basedOn w:val="DefaultParagraphFont"/>
    <w:link w:val="NoSpacing"/>
    <w:uiPriority w:val="98"/>
    <w:semiHidden/>
    <w:rsid w:val="00670CE9"/>
    <w:rPr>
      <w:sz w:val="24"/>
      <w:szCs w:val="24"/>
    </w:rPr>
  </w:style>
  <w:style w:type="paragraph" w:customStyle="1" w:styleId="JuQuot">
    <w:name w:val="Ju_Quot"/>
    <w:aliases w:val="_Quote"/>
    <w:basedOn w:val="NormalJustified"/>
    <w:uiPriority w:val="20"/>
    <w:qFormat/>
    <w:rsid w:val="00670CE9"/>
    <w:pPr>
      <w:spacing w:before="120" w:after="120"/>
      <w:ind w:left="425" w:firstLine="142"/>
    </w:pPr>
    <w:rPr>
      <w:sz w:val="20"/>
    </w:rPr>
  </w:style>
  <w:style w:type="paragraph" w:customStyle="1" w:styleId="JuList">
    <w:name w:val="Ju_List"/>
    <w:aliases w:val="_List_1"/>
    <w:basedOn w:val="NormalJustified"/>
    <w:uiPriority w:val="23"/>
    <w:qFormat/>
    <w:rsid w:val="00670CE9"/>
    <w:pPr>
      <w:numPr>
        <w:numId w:val="6"/>
      </w:numPr>
      <w:spacing w:before="280" w:after="60"/>
    </w:pPr>
  </w:style>
  <w:style w:type="paragraph" w:customStyle="1" w:styleId="JuLista">
    <w:name w:val="Ju_List_a"/>
    <w:aliases w:val="_List_2"/>
    <w:basedOn w:val="NormalJustified"/>
    <w:uiPriority w:val="23"/>
    <w:rsid w:val="00670CE9"/>
    <w:pPr>
      <w:numPr>
        <w:ilvl w:val="1"/>
        <w:numId w:val="6"/>
      </w:numPr>
    </w:pPr>
  </w:style>
  <w:style w:type="paragraph" w:customStyle="1" w:styleId="JuListi">
    <w:name w:val="Ju_List_i"/>
    <w:aliases w:val="_List_3"/>
    <w:basedOn w:val="NormalJustified"/>
    <w:uiPriority w:val="23"/>
    <w:rsid w:val="00670CE9"/>
    <w:pPr>
      <w:numPr>
        <w:ilvl w:val="2"/>
        <w:numId w:val="6"/>
      </w:numPr>
    </w:pPr>
  </w:style>
  <w:style w:type="paragraph" w:customStyle="1" w:styleId="DecHTitle">
    <w:name w:val="Dec_H_Title"/>
    <w:aliases w:val="_Title_1"/>
    <w:basedOn w:val="JuPara"/>
    <w:next w:val="JuPara"/>
    <w:uiPriority w:val="38"/>
    <w:qFormat/>
    <w:rsid w:val="00670CE9"/>
    <w:pPr>
      <w:keepNext/>
      <w:keepLines/>
      <w:spacing w:after="240"/>
      <w:ind w:firstLine="0"/>
      <w:jc w:val="center"/>
      <w:outlineLvl w:val="0"/>
    </w:pPr>
    <w:rPr>
      <w:rFonts w:asciiTheme="majorHAnsi" w:hAnsiTheme="majorHAnsi"/>
      <w:sz w:val="28"/>
    </w:rPr>
  </w:style>
  <w:style w:type="paragraph" w:customStyle="1" w:styleId="JuHArticle">
    <w:name w:val="Ju_H_Article"/>
    <w:aliases w:val="_Title_Quote"/>
    <w:basedOn w:val="Normal"/>
    <w:next w:val="JuQuot"/>
    <w:uiPriority w:val="19"/>
    <w:qFormat/>
    <w:rsid w:val="00670CE9"/>
    <w:pPr>
      <w:keepNext/>
      <w:spacing w:before="100" w:beforeAutospacing="1" w:after="120"/>
      <w:contextualSpacing/>
      <w:jc w:val="center"/>
    </w:pPr>
    <w:rPr>
      <w:b/>
      <w:sz w:val="20"/>
    </w:rPr>
  </w:style>
  <w:style w:type="paragraph" w:customStyle="1" w:styleId="ECHRCoverTitle4">
    <w:name w:val="ECHR_Cover_Title_4"/>
    <w:aliases w:val="_Title_4"/>
    <w:basedOn w:val="JuPara"/>
    <w:next w:val="JuPara"/>
    <w:uiPriority w:val="38"/>
    <w:qFormat/>
    <w:rsid w:val="00670CE9"/>
    <w:pPr>
      <w:keepNext/>
      <w:keepLines/>
      <w:tabs>
        <w:tab w:val="right" w:pos="7938"/>
      </w:tabs>
      <w:ind w:firstLine="0"/>
      <w:jc w:val="center"/>
    </w:pPr>
    <w:rPr>
      <w:i/>
    </w:rPr>
  </w:style>
  <w:style w:type="numbering" w:customStyle="1" w:styleId="ECHRA1StyleBulletedSquare">
    <w:name w:val="ECHR_A1_Style_Bulleted_Square"/>
    <w:basedOn w:val="NoList"/>
    <w:rsid w:val="00670CE9"/>
    <w:pPr>
      <w:numPr>
        <w:numId w:val="5"/>
      </w:numPr>
    </w:pPr>
  </w:style>
  <w:style w:type="paragraph" w:customStyle="1" w:styleId="JuHHead">
    <w:name w:val="Ju_H_Head"/>
    <w:aliases w:val="_Head_1"/>
    <w:basedOn w:val="Normal"/>
    <w:next w:val="JuPara"/>
    <w:uiPriority w:val="17"/>
    <w:qFormat/>
    <w:rsid w:val="00670CE9"/>
    <w:pPr>
      <w:keepNext/>
      <w:keepLines/>
      <w:numPr>
        <w:numId w:val="1"/>
      </w:numPr>
      <w:spacing w:before="100" w:beforeAutospacing="1" w:after="240"/>
      <w:jc w:val="both"/>
      <w:outlineLvl w:val="0"/>
    </w:pPr>
    <w:rPr>
      <w:caps/>
      <w:sz w:val="28"/>
    </w:rPr>
  </w:style>
  <w:style w:type="numbering" w:customStyle="1" w:styleId="ECHRA1StyleList">
    <w:name w:val="ECHR_A1_Style_List"/>
    <w:basedOn w:val="NoList"/>
    <w:uiPriority w:val="99"/>
    <w:rsid w:val="00670CE9"/>
    <w:pPr>
      <w:numPr>
        <w:numId w:val="6"/>
      </w:numPr>
    </w:pPr>
  </w:style>
  <w:style w:type="paragraph" w:customStyle="1" w:styleId="JuSigned">
    <w:name w:val="Ju_Signed"/>
    <w:aliases w:val="_Signature"/>
    <w:basedOn w:val="Normal"/>
    <w:next w:val="JuPara"/>
    <w:uiPriority w:val="31"/>
    <w:qFormat/>
    <w:rsid w:val="00670CE9"/>
    <w:pPr>
      <w:tabs>
        <w:tab w:val="center" w:pos="851"/>
        <w:tab w:val="center" w:pos="6407"/>
      </w:tabs>
      <w:spacing w:before="720"/>
    </w:pPr>
  </w:style>
  <w:style w:type="paragraph" w:styleId="Title">
    <w:name w:val="Title"/>
    <w:basedOn w:val="Normal"/>
    <w:next w:val="Normal"/>
    <w:link w:val="TitleChar"/>
    <w:uiPriority w:val="98"/>
    <w:semiHidden/>
    <w:qFormat/>
    <w:rsid w:val="00670CE9"/>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670CE9"/>
    <w:rPr>
      <w:rFonts w:asciiTheme="majorHAnsi" w:eastAsiaTheme="majorEastAsia" w:hAnsiTheme="majorHAnsi" w:cstheme="majorBidi"/>
      <w:spacing w:val="5"/>
      <w:sz w:val="52"/>
      <w:szCs w:val="52"/>
      <w:lang w:bidi="en-US"/>
    </w:rPr>
  </w:style>
  <w:style w:type="numbering" w:customStyle="1" w:styleId="ECHRA1StyleNumberedList">
    <w:name w:val="ECHR_A1_Style_Numbered_List"/>
    <w:basedOn w:val="NoList"/>
    <w:rsid w:val="00670CE9"/>
    <w:pPr>
      <w:numPr>
        <w:numId w:val="7"/>
      </w:numPr>
    </w:pPr>
  </w:style>
  <w:style w:type="table" w:customStyle="1" w:styleId="ECHRTable2019">
    <w:name w:val="ECHR_Table_2019"/>
    <w:basedOn w:val="TableNormal"/>
    <w:uiPriority w:val="99"/>
    <w:rsid w:val="00670CE9"/>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0"/>
    <w:uiPriority w:val="57"/>
    <w:semiHidden/>
    <w:rsid w:val="00670CE9"/>
    <w:rPr>
      <w:sz w:val="8"/>
    </w:rPr>
  </w:style>
  <w:style w:type="paragraph" w:customStyle="1" w:styleId="JuCourt">
    <w:name w:val="Ju_Court"/>
    <w:aliases w:val="_Court_Names"/>
    <w:basedOn w:val="Normal"/>
    <w:next w:val="Normal"/>
    <w:uiPriority w:val="32"/>
    <w:qFormat/>
    <w:rsid w:val="00670CE9"/>
    <w:pPr>
      <w:tabs>
        <w:tab w:val="left" w:pos="907"/>
        <w:tab w:val="left" w:pos="1701"/>
        <w:tab w:val="right" w:pos="7371"/>
      </w:tabs>
      <w:spacing w:before="240"/>
      <w:ind w:left="397" w:hanging="397"/>
    </w:pPr>
    <w:rPr>
      <w:lang w:bidi="en-US"/>
    </w:rPr>
  </w:style>
  <w:style w:type="paragraph" w:customStyle="1" w:styleId="JuInitialled">
    <w:name w:val="Ju_Initialled"/>
    <w:aliases w:val="_Right"/>
    <w:basedOn w:val="Normal"/>
    <w:uiPriority w:val="31"/>
    <w:qFormat/>
    <w:rsid w:val="00670CE9"/>
    <w:pPr>
      <w:tabs>
        <w:tab w:val="center" w:pos="6407"/>
      </w:tabs>
      <w:spacing w:before="720"/>
      <w:jc w:val="right"/>
    </w:pPr>
  </w:style>
  <w:style w:type="paragraph" w:customStyle="1" w:styleId="JuHIRoman">
    <w:name w:val="Ju_H_I_Roman"/>
    <w:aliases w:val="_Head_2"/>
    <w:basedOn w:val="Normal"/>
    <w:next w:val="JuPara"/>
    <w:uiPriority w:val="17"/>
    <w:qFormat/>
    <w:rsid w:val="00670CE9"/>
    <w:pPr>
      <w:keepNext/>
      <w:keepLines/>
      <w:numPr>
        <w:ilvl w:val="1"/>
        <w:numId w:val="1"/>
      </w:numPr>
      <w:spacing w:before="100" w:beforeAutospacing="1" w:after="240"/>
      <w:jc w:val="both"/>
      <w:outlineLvl w:val="1"/>
    </w:pPr>
    <w:rPr>
      <w:caps/>
    </w:rPr>
  </w:style>
  <w:style w:type="paragraph" w:customStyle="1" w:styleId="JuHA">
    <w:name w:val="Ju_H_A"/>
    <w:aliases w:val="_Head_3"/>
    <w:basedOn w:val="Normal"/>
    <w:next w:val="JuPara"/>
    <w:uiPriority w:val="17"/>
    <w:qFormat/>
    <w:rsid w:val="00670CE9"/>
    <w:pPr>
      <w:keepNext/>
      <w:keepLines/>
      <w:numPr>
        <w:ilvl w:val="2"/>
        <w:numId w:val="1"/>
      </w:numPr>
      <w:spacing w:before="100" w:beforeAutospacing="1" w:after="240"/>
      <w:jc w:val="both"/>
      <w:outlineLvl w:val="2"/>
    </w:pPr>
    <w:rPr>
      <w:b/>
    </w:rPr>
  </w:style>
  <w:style w:type="paragraph" w:customStyle="1" w:styleId="JuH1">
    <w:name w:val="Ju_H_1."/>
    <w:aliases w:val="_Head_4"/>
    <w:basedOn w:val="Normal"/>
    <w:next w:val="JuPara"/>
    <w:uiPriority w:val="17"/>
    <w:rsid w:val="00670CE9"/>
    <w:pPr>
      <w:keepNext/>
      <w:keepLines/>
      <w:numPr>
        <w:ilvl w:val="3"/>
        <w:numId w:val="1"/>
      </w:numPr>
      <w:spacing w:before="100" w:beforeAutospacing="1" w:after="120"/>
      <w:jc w:val="both"/>
      <w:outlineLvl w:val="3"/>
    </w:pPr>
    <w:rPr>
      <w:i/>
    </w:rPr>
  </w:style>
  <w:style w:type="paragraph" w:styleId="Header">
    <w:name w:val="header"/>
    <w:basedOn w:val="Normal"/>
    <w:link w:val="HeaderChar"/>
    <w:uiPriority w:val="98"/>
    <w:semiHidden/>
    <w:rsid w:val="00670CE9"/>
    <w:pPr>
      <w:tabs>
        <w:tab w:val="center" w:pos="4536"/>
        <w:tab w:val="right" w:pos="9072"/>
      </w:tabs>
    </w:pPr>
  </w:style>
  <w:style w:type="character" w:customStyle="1" w:styleId="HeaderChar">
    <w:name w:val="Header Char"/>
    <w:basedOn w:val="DefaultParagraphFont"/>
    <w:link w:val="Header"/>
    <w:uiPriority w:val="98"/>
    <w:semiHidden/>
    <w:rsid w:val="00670CE9"/>
    <w:rPr>
      <w:sz w:val="24"/>
      <w:szCs w:val="24"/>
    </w:rPr>
  </w:style>
  <w:style w:type="character" w:customStyle="1" w:styleId="Heading1Char">
    <w:name w:val="Heading 1 Char"/>
    <w:basedOn w:val="DefaultParagraphFont"/>
    <w:link w:val="Heading1"/>
    <w:uiPriority w:val="98"/>
    <w:semiHidden/>
    <w:rsid w:val="00670CE9"/>
    <w:rPr>
      <w:rFonts w:asciiTheme="majorHAnsi" w:eastAsiaTheme="majorEastAsia" w:hAnsiTheme="majorHAnsi" w:cstheme="majorBidi"/>
      <w:b/>
      <w:bCs/>
      <w:color w:val="333333"/>
      <w:sz w:val="28"/>
      <w:szCs w:val="28"/>
    </w:rPr>
  </w:style>
  <w:style w:type="paragraph" w:customStyle="1" w:styleId="JuHa0">
    <w:name w:val="Ju_H_a"/>
    <w:aliases w:val="_Head_5"/>
    <w:basedOn w:val="Normal"/>
    <w:next w:val="JuPara"/>
    <w:uiPriority w:val="17"/>
    <w:rsid w:val="00670CE9"/>
    <w:pPr>
      <w:keepNext/>
      <w:keepLines/>
      <w:numPr>
        <w:ilvl w:val="4"/>
        <w:numId w:val="1"/>
      </w:numPr>
      <w:spacing w:before="100" w:beforeAutospacing="1" w:after="120"/>
      <w:jc w:val="both"/>
      <w:outlineLvl w:val="4"/>
    </w:pPr>
    <w:rPr>
      <w:b/>
      <w:sz w:val="20"/>
    </w:rPr>
  </w:style>
  <w:style w:type="paragraph" w:customStyle="1" w:styleId="JuHi">
    <w:name w:val="Ju_H_i"/>
    <w:aliases w:val="_Head_6"/>
    <w:basedOn w:val="Normal"/>
    <w:next w:val="JuPara"/>
    <w:uiPriority w:val="17"/>
    <w:rsid w:val="00670CE9"/>
    <w:pPr>
      <w:keepNext/>
      <w:keepLines/>
      <w:numPr>
        <w:ilvl w:val="5"/>
        <w:numId w:val="1"/>
      </w:numPr>
      <w:spacing w:before="100" w:beforeAutospacing="1" w:after="120"/>
      <w:jc w:val="both"/>
      <w:outlineLvl w:val="5"/>
    </w:pPr>
    <w:rPr>
      <w:i/>
      <w:sz w:val="20"/>
    </w:rPr>
  </w:style>
  <w:style w:type="character" w:customStyle="1" w:styleId="Heading2Char">
    <w:name w:val="Heading 2 Char"/>
    <w:basedOn w:val="DefaultParagraphFont"/>
    <w:link w:val="Heading2"/>
    <w:uiPriority w:val="98"/>
    <w:semiHidden/>
    <w:rsid w:val="00670CE9"/>
    <w:rPr>
      <w:rFonts w:asciiTheme="majorHAnsi" w:eastAsiaTheme="majorEastAsia" w:hAnsiTheme="majorHAnsi" w:cstheme="majorBidi"/>
      <w:b/>
      <w:bCs/>
      <w:color w:val="4D4D4D"/>
      <w:sz w:val="26"/>
      <w:szCs w:val="26"/>
    </w:rPr>
  </w:style>
  <w:style w:type="paragraph" w:customStyle="1" w:styleId="JuHalpha">
    <w:name w:val="Ju_H_alpha"/>
    <w:aliases w:val="_Head_7"/>
    <w:basedOn w:val="Normal"/>
    <w:next w:val="JuPara"/>
    <w:uiPriority w:val="17"/>
    <w:rsid w:val="00670CE9"/>
    <w:pPr>
      <w:keepNext/>
      <w:keepLines/>
      <w:numPr>
        <w:ilvl w:val="6"/>
        <w:numId w:val="1"/>
      </w:numPr>
      <w:spacing w:before="100" w:beforeAutospacing="1" w:after="120"/>
      <w:jc w:val="both"/>
      <w:outlineLvl w:val="6"/>
    </w:pPr>
    <w:rPr>
      <w:sz w:val="20"/>
    </w:rPr>
  </w:style>
  <w:style w:type="paragraph" w:customStyle="1" w:styleId="JuH">
    <w:name w:val="Ju_H_–"/>
    <w:aliases w:val="_Head_8"/>
    <w:basedOn w:val="Normal"/>
    <w:next w:val="JuPara"/>
    <w:uiPriority w:val="17"/>
    <w:rsid w:val="00670CE9"/>
    <w:pPr>
      <w:keepNext/>
      <w:keepLines/>
      <w:numPr>
        <w:ilvl w:val="7"/>
        <w:numId w:val="1"/>
      </w:numPr>
      <w:spacing w:before="100" w:beforeAutospacing="1" w:after="120"/>
      <w:jc w:val="both"/>
      <w:outlineLvl w:val="7"/>
    </w:pPr>
    <w:rPr>
      <w:i/>
      <w:sz w:val="20"/>
    </w:rPr>
  </w:style>
  <w:style w:type="character" w:customStyle="1" w:styleId="Heading3Char">
    <w:name w:val="Heading 3 Char"/>
    <w:basedOn w:val="DefaultParagraphFont"/>
    <w:link w:val="Heading3"/>
    <w:uiPriority w:val="98"/>
    <w:semiHidden/>
    <w:rsid w:val="00670CE9"/>
    <w:rPr>
      <w:rFonts w:asciiTheme="majorHAnsi" w:eastAsiaTheme="majorEastAsia" w:hAnsiTheme="majorHAnsi" w:cstheme="majorBidi"/>
      <w:b/>
      <w:bCs/>
      <w:color w:val="5F5F5F"/>
      <w:sz w:val="24"/>
      <w:szCs w:val="24"/>
    </w:rPr>
  </w:style>
  <w:style w:type="paragraph" w:customStyle="1" w:styleId="JuParaLast">
    <w:name w:val="Ju_Para_Last"/>
    <w:aliases w:val="_Para_Spaced"/>
    <w:basedOn w:val="NormalJustified"/>
    <w:uiPriority w:val="5"/>
    <w:qFormat/>
    <w:rsid w:val="00670CE9"/>
    <w:pPr>
      <w:keepNext/>
      <w:keepLines/>
      <w:spacing w:before="240" w:after="240"/>
      <w:ind w:firstLine="284"/>
    </w:pPr>
  </w:style>
  <w:style w:type="paragraph" w:customStyle="1" w:styleId="JuJudges">
    <w:name w:val="Ju_Judges"/>
    <w:aliases w:val="_Judges"/>
    <w:basedOn w:val="Normal"/>
    <w:uiPriority w:val="32"/>
    <w:qFormat/>
    <w:rsid w:val="00670CE9"/>
    <w:pPr>
      <w:tabs>
        <w:tab w:val="left" w:pos="567"/>
        <w:tab w:val="left" w:pos="1134"/>
      </w:tabs>
    </w:pPr>
  </w:style>
  <w:style w:type="character" w:customStyle="1" w:styleId="Heading4Char">
    <w:name w:val="Heading 4 Char"/>
    <w:basedOn w:val="DefaultParagraphFont"/>
    <w:link w:val="Heading4"/>
    <w:uiPriority w:val="98"/>
    <w:semiHidden/>
    <w:rsid w:val="00670CE9"/>
    <w:rPr>
      <w:rFonts w:asciiTheme="majorHAnsi" w:eastAsiaTheme="majorEastAsia" w:hAnsiTheme="majorHAnsi" w:cstheme="majorBidi"/>
      <w:b/>
      <w:bCs/>
      <w:i/>
      <w:iCs/>
      <w:color w:val="777777"/>
      <w:sz w:val="24"/>
      <w:szCs w:val="24"/>
    </w:rPr>
  </w:style>
  <w:style w:type="character" w:customStyle="1" w:styleId="JuITMark">
    <w:name w:val="Ju_ITMark"/>
    <w:aliases w:val="_ITMark"/>
    <w:basedOn w:val="DefaultParagraphFont"/>
    <w:uiPriority w:val="43"/>
    <w:qFormat/>
    <w:rsid w:val="00670CE9"/>
    <w:rPr>
      <w:vanish w:val="0"/>
      <w:color w:val="auto"/>
      <w:sz w:val="14"/>
      <w:bdr w:val="none" w:sz="0" w:space="0" w:color="auto"/>
      <w:shd w:val="clear" w:color="auto" w:fill="BEE5FF" w:themeFill="background1" w:themeFillTint="33"/>
    </w:rPr>
  </w:style>
  <w:style w:type="character" w:customStyle="1" w:styleId="Heading5Char">
    <w:name w:val="Heading 5 Char"/>
    <w:basedOn w:val="DefaultParagraphFont"/>
    <w:link w:val="Heading5"/>
    <w:uiPriority w:val="98"/>
    <w:semiHidden/>
    <w:rsid w:val="00670CE9"/>
    <w:rPr>
      <w:rFonts w:asciiTheme="majorHAnsi" w:eastAsiaTheme="majorEastAsia" w:hAnsiTheme="majorHAnsi" w:cstheme="majorBidi"/>
      <w:b/>
      <w:bCs/>
      <w:color w:val="808080"/>
      <w:sz w:val="24"/>
      <w:szCs w:val="24"/>
    </w:rPr>
  </w:style>
  <w:style w:type="character" w:customStyle="1" w:styleId="JUNAMES">
    <w:name w:val="JU_NAMES"/>
    <w:aliases w:val="_Ju_Names"/>
    <w:uiPriority w:val="33"/>
    <w:qFormat/>
    <w:rsid w:val="00670CE9"/>
    <w:rPr>
      <w:caps w:val="0"/>
      <w:smallCaps/>
    </w:rPr>
  </w:style>
  <w:style w:type="paragraph" w:customStyle="1" w:styleId="NormalJustified">
    <w:name w:val="Normal_Justified"/>
    <w:basedOn w:val="Normal"/>
    <w:semiHidden/>
    <w:rsid w:val="00670CE9"/>
    <w:pPr>
      <w:jc w:val="both"/>
    </w:pPr>
  </w:style>
  <w:style w:type="character" w:styleId="SubtleEmphasis">
    <w:name w:val="Subtle Emphasis"/>
    <w:uiPriority w:val="98"/>
    <w:semiHidden/>
    <w:qFormat/>
    <w:rsid w:val="00670CE9"/>
    <w:rPr>
      <w:i/>
      <w:iCs/>
    </w:rPr>
  </w:style>
  <w:style w:type="table" w:customStyle="1" w:styleId="ECHRTable">
    <w:name w:val="ECHR_Table"/>
    <w:basedOn w:val="TableNormal"/>
    <w:rsid w:val="00670CE9"/>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670CE9"/>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670CE9"/>
    <w:rPr>
      <w:b/>
      <w:bCs/>
      <w:i/>
      <w:iCs/>
      <w:spacing w:val="10"/>
      <w:bdr w:val="none" w:sz="0" w:space="0" w:color="auto"/>
      <w:shd w:val="clear" w:color="auto" w:fill="auto"/>
    </w:rPr>
  </w:style>
  <w:style w:type="paragraph" w:styleId="Footer0">
    <w:name w:val="footer"/>
    <w:basedOn w:val="Normal"/>
    <w:link w:val="FooterChar"/>
    <w:uiPriority w:val="98"/>
    <w:semiHidden/>
    <w:rsid w:val="00670CE9"/>
    <w:pPr>
      <w:tabs>
        <w:tab w:val="center" w:pos="3686"/>
        <w:tab w:val="right" w:pos="7371"/>
      </w:tabs>
    </w:pPr>
  </w:style>
  <w:style w:type="character" w:customStyle="1" w:styleId="FooterChar">
    <w:name w:val="Footer Char"/>
    <w:basedOn w:val="DefaultParagraphFont"/>
    <w:link w:val="Footer0"/>
    <w:uiPriority w:val="98"/>
    <w:semiHidden/>
    <w:rsid w:val="00670CE9"/>
    <w:rPr>
      <w:sz w:val="24"/>
      <w:szCs w:val="24"/>
    </w:rPr>
  </w:style>
  <w:style w:type="character" w:styleId="FootnoteReference">
    <w:name w:val="footnote reference"/>
    <w:basedOn w:val="DefaultParagraphFont"/>
    <w:uiPriority w:val="98"/>
    <w:semiHidden/>
    <w:rsid w:val="00670CE9"/>
    <w:rPr>
      <w:vertAlign w:val="superscript"/>
    </w:rPr>
  </w:style>
  <w:style w:type="paragraph" w:styleId="FootnoteText">
    <w:name w:val="footnote text"/>
    <w:basedOn w:val="Normal"/>
    <w:link w:val="FootnoteTextChar"/>
    <w:uiPriority w:val="98"/>
    <w:semiHidden/>
    <w:rsid w:val="00670CE9"/>
    <w:rPr>
      <w:sz w:val="20"/>
      <w:szCs w:val="20"/>
    </w:rPr>
  </w:style>
  <w:style w:type="character" w:customStyle="1" w:styleId="FootnoteTextChar">
    <w:name w:val="Footnote Text Char"/>
    <w:basedOn w:val="DefaultParagraphFont"/>
    <w:link w:val="FootnoteText"/>
    <w:uiPriority w:val="98"/>
    <w:semiHidden/>
    <w:rsid w:val="00670CE9"/>
    <w:rPr>
      <w:sz w:val="20"/>
      <w:szCs w:val="20"/>
    </w:rPr>
  </w:style>
  <w:style w:type="character" w:customStyle="1" w:styleId="Heading6Char">
    <w:name w:val="Heading 6 Char"/>
    <w:basedOn w:val="DefaultParagraphFont"/>
    <w:link w:val="Heading6"/>
    <w:uiPriority w:val="98"/>
    <w:semiHidden/>
    <w:rsid w:val="00670CE9"/>
    <w:rPr>
      <w:rFonts w:asciiTheme="majorHAnsi" w:eastAsiaTheme="majorEastAsia" w:hAnsiTheme="majorHAnsi" w:cstheme="majorBidi"/>
      <w:b/>
      <w:bCs/>
      <w:i/>
      <w:iCs/>
      <w:color w:val="7F7F7F" w:themeColor="text1" w:themeTint="80"/>
      <w:sz w:val="24"/>
      <w:szCs w:val="24"/>
      <w:lang w:bidi="en-US"/>
    </w:rPr>
  </w:style>
  <w:style w:type="character" w:customStyle="1" w:styleId="Heading7Char">
    <w:name w:val="Heading 7 Char"/>
    <w:basedOn w:val="DefaultParagraphFont"/>
    <w:link w:val="Heading7"/>
    <w:uiPriority w:val="98"/>
    <w:semiHidden/>
    <w:rsid w:val="00670CE9"/>
    <w:rPr>
      <w:rFonts w:asciiTheme="majorHAnsi" w:eastAsiaTheme="majorEastAsia" w:hAnsiTheme="majorHAnsi" w:cstheme="majorBidi"/>
      <w:i/>
      <w:iCs/>
      <w:sz w:val="24"/>
      <w:szCs w:val="24"/>
      <w:lang w:bidi="en-US"/>
    </w:rPr>
  </w:style>
  <w:style w:type="character" w:customStyle="1" w:styleId="Heading8Char">
    <w:name w:val="Heading 8 Char"/>
    <w:basedOn w:val="DefaultParagraphFont"/>
    <w:link w:val="Heading8"/>
    <w:uiPriority w:val="98"/>
    <w:semiHidden/>
    <w:rsid w:val="00670CE9"/>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8"/>
    <w:semiHidden/>
    <w:rsid w:val="00670CE9"/>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8"/>
    <w:semiHidden/>
    <w:rsid w:val="00670CE9"/>
    <w:rPr>
      <w:color w:val="0072BC" w:themeColor="hyperlink"/>
      <w:u w:val="single"/>
    </w:rPr>
  </w:style>
  <w:style w:type="character" w:styleId="IntenseEmphasis">
    <w:name w:val="Intense Emphasis"/>
    <w:uiPriority w:val="98"/>
    <w:semiHidden/>
    <w:qFormat/>
    <w:rsid w:val="00670CE9"/>
    <w:rPr>
      <w:b/>
      <w:bCs/>
    </w:rPr>
  </w:style>
  <w:style w:type="paragraph" w:styleId="IntenseQuote">
    <w:name w:val="Intense Quote"/>
    <w:basedOn w:val="Normal"/>
    <w:next w:val="Normal"/>
    <w:link w:val="IntenseQuoteChar"/>
    <w:uiPriority w:val="98"/>
    <w:semiHidden/>
    <w:qFormat/>
    <w:rsid w:val="00670CE9"/>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670CE9"/>
    <w:rPr>
      <w:b/>
      <w:bCs/>
      <w:i/>
      <w:iCs/>
      <w:sz w:val="24"/>
      <w:szCs w:val="24"/>
      <w:lang w:bidi="en-US"/>
    </w:rPr>
  </w:style>
  <w:style w:type="character" w:styleId="IntenseReference">
    <w:name w:val="Intense Reference"/>
    <w:uiPriority w:val="98"/>
    <w:semiHidden/>
    <w:qFormat/>
    <w:rsid w:val="00670CE9"/>
    <w:rPr>
      <w:smallCaps/>
      <w:spacing w:val="5"/>
      <w:u w:val="single"/>
    </w:rPr>
  </w:style>
  <w:style w:type="paragraph" w:styleId="ListParagraph">
    <w:name w:val="List Paragraph"/>
    <w:basedOn w:val="Normal"/>
    <w:uiPriority w:val="98"/>
    <w:semiHidden/>
    <w:qFormat/>
    <w:rsid w:val="00670CE9"/>
    <w:pPr>
      <w:ind w:left="720"/>
      <w:contextualSpacing/>
    </w:pPr>
  </w:style>
  <w:style w:type="table" w:customStyle="1" w:styleId="LtrTableAddress">
    <w:name w:val="Ltr_Table_Address"/>
    <w:aliases w:val="ECHR_Ltr_Table_Address"/>
    <w:basedOn w:val="TableNormal"/>
    <w:uiPriority w:val="99"/>
    <w:rsid w:val="00670CE9"/>
    <w:rPr>
      <w:sz w:val="24"/>
      <w:szCs w:val="24"/>
    </w:rPr>
    <w:tblPr>
      <w:tblInd w:w="5103" w:type="dxa"/>
    </w:tblPr>
  </w:style>
  <w:style w:type="paragraph" w:styleId="Quote">
    <w:name w:val="Quote"/>
    <w:basedOn w:val="Normal"/>
    <w:next w:val="Normal"/>
    <w:link w:val="QuoteChar"/>
    <w:uiPriority w:val="98"/>
    <w:semiHidden/>
    <w:qFormat/>
    <w:rsid w:val="00670CE9"/>
    <w:pPr>
      <w:spacing w:before="200"/>
      <w:ind w:left="360" w:right="360"/>
    </w:pPr>
    <w:rPr>
      <w:i/>
      <w:iCs/>
      <w:lang w:bidi="en-US"/>
    </w:rPr>
  </w:style>
  <w:style w:type="character" w:customStyle="1" w:styleId="QuoteChar">
    <w:name w:val="Quote Char"/>
    <w:basedOn w:val="DefaultParagraphFont"/>
    <w:link w:val="Quote"/>
    <w:uiPriority w:val="98"/>
    <w:semiHidden/>
    <w:rsid w:val="00670CE9"/>
    <w:rPr>
      <w:i/>
      <w:iCs/>
      <w:sz w:val="24"/>
      <w:szCs w:val="24"/>
      <w:lang w:bidi="en-US"/>
    </w:rPr>
  </w:style>
  <w:style w:type="character" w:styleId="SubtleReference">
    <w:name w:val="Subtle Reference"/>
    <w:uiPriority w:val="98"/>
    <w:semiHidden/>
    <w:qFormat/>
    <w:rsid w:val="00670CE9"/>
    <w:rPr>
      <w:smallCaps/>
    </w:rPr>
  </w:style>
  <w:style w:type="table" w:styleId="TableGrid">
    <w:name w:val="Table Grid"/>
    <w:basedOn w:val="TableNormal"/>
    <w:uiPriority w:val="59"/>
    <w:semiHidden/>
    <w:rsid w:val="00670CE9"/>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670CE9"/>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670CE9"/>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670CE9"/>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670CE9"/>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670CE9"/>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670CE9"/>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670CE9"/>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670CE9"/>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670CE9"/>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670CE9"/>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670CE9"/>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670CE9"/>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670CE9"/>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670CE9"/>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670CE9"/>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unhideWhenUsed/>
    <w:rsid w:val="00670CE9"/>
    <w:pPr>
      <w:numPr>
        <w:numId w:val="2"/>
      </w:numPr>
    </w:pPr>
  </w:style>
  <w:style w:type="paragraph" w:customStyle="1" w:styleId="JuPara">
    <w:name w:val="Ju_Para"/>
    <w:aliases w:val="_Para"/>
    <w:basedOn w:val="NormalJustified"/>
    <w:uiPriority w:val="4"/>
    <w:qFormat/>
    <w:rsid w:val="00670CE9"/>
    <w:pPr>
      <w:ind w:firstLine="284"/>
    </w:pPr>
  </w:style>
  <w:style w:type="numbering" w:styleId="1ai">
    <w:name w:val="Outline List 1"/>
    <w:basedOn w:val="NoList"/>
    <w:uiPriority w:val="99"/>
    <w:semiHidden/>
    <w:unhideWhenUsed/>
    <w:rsid w:val="00670CE9"/>
    <w:pPr>
      <w:numPr>
        <w:numId w:val="3"/>
      </w:numPr>
    </w:pPr>
  </w:style>
  <w:style w:type="table" w:customStyle="1" w:styleId="ECHRTableSimpleBox">
    <w:name w:val="ECHR_Table_Simple_Box"/>
    <w:basedOn w:val="TableNormal"/>
    <w:uiPriority w:val="99"/>
    <w:rsid w:val="00670CE9"/>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670CE9"/>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670CE9"/>
    <w:pPr>
      <w:numPr>
        <w:numId w:val="4"/>
      </w:numPr>
    </w:pPr>
  </w:style>
  <w:style w:type="table" w:customStyle="1" w:styleId="ECHRTableForInternalUse">
    <w:name w:val="ECHR_Table_For_Internal_Use"/>
    <w:basedOn w:val="TableNormal"/>
    <w:uiPriority w:val="99"/>
    <w:rsid w:val="00670CE9"/>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670CE9"/>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670CE9"/>
  </w:style>
  <w:style w:type="paragraph" w:styleId="BlockText">
    <w:name w:val="Block Text"/>
    <w:basedOn w:val="Normal"/>
    <w:uiPriority w:val="98"/>
    <w:semiHidden/>
    <w:rsid w:val="00670CE9"/>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670CE9"/>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670CE9"/>
    <w:pPr>
      <w:spacing w:after="120"/>
    </w:pPr>
  </w:style>
  <w:style w:type="character" w:customStyle="1" w:styleId="BodyTextChar">
    <w:name w:val="Body Text Char"/>
    <w:basedOn w:val="DefaultParagraphFont"/>
    <w:link w:val="BodyText"/>
    <w:uiPriority w:val="98"/>
    <w:semiHidden/>
    <w:rsid w:val="00670CE9"/>
    <w:rPr>
      <w:sz w:val="24"/>
      <w:szCs w:val="24"/>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670CE9"/>
    <w:pPr>
      <w:spacing w:after="120" w:line="480" w:lineRule="auto"/>
    </w:pPr>
  </w:style>
  <w:style w:type="table" w:customStyle="1" w:styleId="ECHRHeaderTableReduced">
    <w:name w:val="ECHR_Header_Table_Reduced"/>
    <w:basedOn w:val="TableNormal"/>
    <w:uiPriority w:val="99"/>
    <w:rsid w:val="00670CE9"/>
    <w:rPr>
      <w:sz w:val="24"/>
      <w:szCs w:val="24"/>
    </w:rPr>
    <w:tblPr>
      <w:tblInd w:w="-1474"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
    <w:next w:val="JuPara"/>
    <w:uiPriority w:val="32"/>
    <w:rsid w:val="00670CE9"/>
    <w:pPr>
      <w:ind w:firstLine="284"/>
    </w:pPr>
    <w:rPr>
      <w:b/>
    </w:rPr>
  </w:style>
  <w:style w:type="character" w:styleId="PageNumber">
    <w:name w:val="page number"/>
    <w:uiPriority w:val="98"/>
    <w:semiHidden/>
    <w:rsid w:val="00670CE9"/>
    <w:rPr>
      <w:sz w:val="18"/>
    </w:rPr>
  </w:style>
  <w:style w:type="paragraph" w:styleId="ListBullet2">
    <w:name w:val="List Bullet 2"/>
    <w:basedOn w:val="Normal"/>
    <w:uiPriority w:val="98"/>
    <w:semiHidden/>
    <w:rsid w:val="00670CE9"/>
    <w:pPr>
      <w:numPr>
        <w:numId w:val="10"/>
      </w:numPr>
      <w:contextualSpacing/>
    </w:pPr>
  </w:style>
  <w:style w:type="character" w:customStyle="1" w:styleId="BodyText2Char">
    <w:name w:val="Body Text 2 Char"/>
    <w:basedOn w:val="DefaultParagraphFont"/>
    <w:link w:val="BodyText2"/>
    <w:uiPriority w:val="98"/>
    <w:semiHidden/>
    <w:rsid w:val="00670CE9"/>
    <w:rPr>
      <w:sz w:val="24"/>
      <w:szCs w:val="24"/>
    </w:rPr>
  </w:style>
  <w:style w:type="paragraph" w:styleId="BodyText3">
    <w:name w:val="Body Text 3"/>
    <w:basedOn w:val="Normal"/>
    <w:link w:val="BodyText3Char"/>
    <w:uiPriority w:val="98"/>
    <w:semiHidden/>
    <w:rsid w:val="00670CE9"/>
    <w:pPr>
      <w:spacing w:after="120"/>
    </w:pPr>
    <w:rPr>
      <w:sz w:val="16"/>
      <w:szCs w:val="16"/>
    </w:rPr>
  </w:style>
  <w:style w:type="character" w:customStyle="1" w:styleId="BodyText3Char">
    <w:name w:val="Body Text 3 Char"/>
    <w:basedOn w:val="DefaultParagraphFont"/>
    <w:link w:val="BodyText3"/>
    <w:uiPriority w:val="98"/>
    <w:semiHidden/>
    <w:rsid w:val="00670CE9"/>
    <w:rPr>
      <w:sz w:val="16"/>
      <w:szCs w:val="16"/>
    </w:rPr>
  </w:style>
  <w:style w:type="paragraph" w:styleId="BodyTextFirstIndent">
    <w:name w:val="Body Text First Indent"/>
    <w:basedOn w:val="BodyText"/>
    <w:link w:val="BodyTextFirstIndentChar"/>
    <w:uiPriority w:val="98"/>
    <w:semiHidden/>
    <w:rsid w:val="00670CE9"/>
    <w:pPr>
      <w:spacing w:after="0"/>
      <w:ind w:firstLine="360"/>
    </w:pPr>
  </w:style>
  <w:style w:type="character" w:customStyle="1" w:styleId="BodyTextFirstIndentChar">
    <w:name w:val="Body Text First Indent Char"/>
    <w:basedOn w:val="BodyTextChar"/>
    <w:link w:val="BodyTextFirstIndent"/>
    <w:uiPriority w:val="98"/>
    <w:semiHidden/>
    <w:rsid w:val="00670CE9"/>
    <w:rPr>
      <w:sz w:val="24"/>
      <w:szCs w:val="24"/>
    </w:rPr>
  </w:style>
  <w:style w:type="paragraph" w:styleId="BodyTextIndent">
    <w:name w:val="Body Text Indent"/>
    <w:basedOn w:val="Normal"/>
    <w:link w:val="BodyTextIndentChar"/>
    <w:uiPriority w:val="98"/>
    <w:semiHidden/>
    <w:rsid w:val="00670CE9"/>
    <w:pPr>
      <w:spacing w:after="120"/>
      <w:ind w:left="283"/>
    </w:pPr>
  </w:style>
  <w:style w:type="character" w:customStyle="1" w:styleId="BodyTextIndentChar">
    <w:name w:val="Body Text Indent Char"/>
    <w:basedOn w:val="DefaultParagraphFont"/>
    <w:link w:val="BodyTextIndent"/>
    <w:uiPriority w:val="98"/>
    <w:semiHidden/>
    <w:rsid w:val="00670CE9"/>
    <w:rPr>
      <w:sz w:val="24"/>
      <w:szCs w:val="24"/>
    </w:rPr>
  </w:style>
  <w:style w:type="paragraph" w:styleId="BodyTextFirstIndent2">
    <w:name w:val="Body Text First Indent 2"/>
    <w:basedOn w:val="BodyTextIndent"/>
    <w:link w:val="BodyTextFirstIndent2Char"/>
    <w:uiPriority w:val="98"/>
    <w:semiHidden/>
    <w:rsid w:val="00670CE9"/>
    <w:pPr>
      <w:spacing w:after="0"/>
      <w:ind w:left="360" w:firstLine="360"/>
    </w:pPr>
  </w:style>
  <w:style w:type="character" w:customStyle="1" w:styleId="BodyTextFirstIndent2Char">
    <w:name w:val="Body Text First Indent 2 Char"/>
    <w:basedOn w:val="BodyTextIndentChar"/>
    <w:link w:val="BodyTextFirstIndent2"/>
    <w:uiPriority w:val="98"/>
    <w:semiHidden/>
    <w:rsid w:val="00670CE9"/>
    <w:rPr>
      <w:sz w:val="24"/>
      <w:szCs w:val="24"/>
    </w:rPr>
  </w:style>
  <w:style w:type="paragraph" w:styleId="BodyTextIndent2">
    <w:name w:val="Body Text Indent 2"/>
    <w:basedOn w:val="Normal"/>
    <w:link w:val="BodyTextIndent2Char"/>
    <w:uiPriority w:val="98"/>
    <w:semiHidden/>
    <w:rsid w:val="00670CE9"/>
    <w:pPr>
      <w:spacing w:after="120" w:line="480" w:lineRule="auto"/>
      <w:ind w:left="283"/>
    </w:pPr>
  </w:style>
  <w:style w:type="character" w:customStyle="1" w:styleId="BodyTextIndent2Char">
    <w:name w:val="Body Text Indent 2 Char"/>
    <w:basedOn w:val="DefaultParagraphFont"/>
    <w:link w:val="BodyTextIndent2"/>
    <w:uiPriority w:val="98"/>
    <w:semiHidden/>
    <w:rsid w:val="00670CE9"/>
    <w:rPr>
      <w:sz w:val="24"/>
      <w:szCs w:val="24"/>
    </w:rPr>
  </w:style>
  <w:style w:type="paragraph" w:styleId="BodyTextIndent3">
    <w:name w:val="Body Text Indent 3"/>
    <w:basedOn w:val="Normal"/>
    <w:link w:val="BodyTextIndent3Char"/>
    <w:uiPriority w:val="98"/>
    <w:semiHidden/>
    <w:rsid w:val="00670CE9"/>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670CE9"/>
    <w:rPr>
      <w:sz w:val="16"/>
      <w:szCs w:val="16"/>
    </w:rPr>
  </w:style>
  <w:style w:type="paragraph" w:styleId="Caption">
    <w:name w:val="caption"/>
    <w:basedOn w:val="Normal"/>
    <w:next w:val="Normal"/>
    <w:uiPriority w:val="98"/>
    <w:semiHidden/>
    <w:qFormat/>
    <w:rsid w:val="00670CE9"/>
    <w:pPr>
      <w:spacing w:after="200"/>
    </w:pPr>
    <w:rPr>
      <w:b/>
      <w:bCs/>
      <w:color w:val="0072BC" w:themeColor="accent1"/>
      <w:sz w:val="18"/>
      <w:szCs w:val="18"/>
    </w:rPr>
  </w:style>
  <w:style w:type="paragraph" w:styleId="Closing">
    <w:name w:val="Closing"/>
    <w:basedOn w:val="Normal"/>
    <w:link w:val="ClosingChar"/>
    <w:uiPriority w:val="98"/>
    <w:semiHidden/>
    <w:rsid w:val="00670CE9"/>
    <w:pPr>
      <w:ind w:left="4252"/>
    </w:pPr>
  </w:style>
  <w:style w:type="character" w:customStyle="1" w:styleId="ClosingChar">
    <w:name w:val="Closing Char"/>
    <w:basedOn w:val="DefaultParagraphFont"/>
    <w:link w:val="Closing"/>
    <w:uiPriority w:val="98"/>
    <w:semiHidden/>
    <w:rsid w:val="00670CE9"/>
    <w:rPr>
      <w:sz w:val="24"/>
      <w:szCs w:val="24"/>
    </w:rPr>
  </w:style>
  <w:style w:type="table" w:styleId="ColorfulGrid">
    <w:name w:val="Colorful Grid"/>
    <w:basedOn w:val="TableNormal"/>
    <w:uiPriority w:val="73"/>
    <w:semiHidden/>
    <w:rsid w:val="00670CE9"/>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670CE9"/>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670CE9"/>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670CE9"/>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670CE9"/>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670CE9"/>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670CE9"/>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670CE9"/>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670CE9"/>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670CE9"/>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670CE9"/>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670CE9"/>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670CE9"/>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670CE9"/>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670CE9"/>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670CE9"/>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670CE9"/>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670CE9"/>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670CE9"/>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670CE9"/>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670CE9"/>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670CE9"/>
    <w:rPr>
      <w:sz w:val="16"/>
      <w:szCs w:val="16"/>
    </w:rPr>
  </w:style>
  <w:style w:type="paragraph" w:styleId="CommentText">
    <w:name w:val="annotation text"/>
    <w:basedOn w:val="Normal"/>
    <w:link w:val="CommentTextChar"/>
    <w:uiPriority w:val="98"/>
    <w:semiHidden/>
    <w:rsid w:val="00670CE9"/>
    <w:rPr>
      <w:sz w:val="20"/>
      <w:szCs w:val="20"/>
    </w:rPr>
  </w:style>
  <w:style w:type="character" w:customStyle="1" w:styleId="CommentTextChar">
    <w:name w:val="Comment Text Char"/>
    <w:basedOn w:val="DefaultParagraphFont"/>
    <w:link w:val="CommentText"/>
    <w:uiPriority w:val="98"/>
    <w:semiHidden/>
    <w:rsid w:val="00670CE9"/>
    <w:rPr>
      <w:sz w:val="20"/>
      <w:szCs w:val="20"/>
    </w:rPr>
  </w:style>
  <w:style w:type="paragraph" w:styleId="CommentSubject">
    <w:name w:val="annotation subject"/>
    <w:basedOn w:val="CommentText"/>
    <w:next w:val="CommentText"/>
    <w:link w:val="CommentSubjectChar"/>
    <w:uiPriority w:val="98"/>
    <w:semiHidden/>
    <w:rsid w:val="00670CE9"/>
    <w:rPr>
      <w:b/>
      <w:bCs/>
    </w:rPr>
  </w:style>
  <w:style w:type="character" w:customStyle="1" w:styleId="CommentSubjectChar">
    <w:name w:val="Comment Subject Char"/>
    <w:basedOn w:val="CommentTextChar"/>
    <w:link w:val="CommentSubject"/>
    <w:uiPriority w:val="98"/>
    <w:semiHidden/>
    <w:rsid w:val="00670CE9"/>
    <w:rPr>
      <w:b/>
      <w:bCs/>
      <w:sz w:val="20"/>
      <w:szCs w:val="20"/>
    </w:rPr>
  </w:style>
  <w:style w:type="table" w:styleId="DarkList">
    <w:name w:val="Dark List"/>
    <w:basedOn w:val="TableNormal"/>
    <w:uiPriority w:val="70"/>
    <w:semiHidden/>
    <w:rsid w:val="00670CE9"/>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670CE9"/>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670CE9"/>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670CE9"/>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670CE9"/>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670CE9"/>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670CE9"/>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670CE9"/>
  </w:style>
  <w:style w:type="character" w:customStyle="1" w:styleId="DateChar">
    <w:name w:val="Date Char"/>
    <w:basedOn w:val="DefaultParagraphFont"/>
    <w:link w:val="Date"/>
    <w:uiPriority w:val="98"/>
    <w:semiHidden/>
    <w:rsid w:val="00670CE9"/>
    <w:rPr>
      <w:sz w:val="24"/>
      <w:szCs w:val="24"/>
    </w:rPr>
  </w:style>
  <w:style w:type="paragraph" w:styleId="DocumentMap">
    <w:name w:val="Document Map"/>
    <w:basedOn w:val="Normal"/>
    <w:link w:val="DocumentMapChar"/>
    <w:uiPriority w:val="98"/>
    <w:semiHidden/>
    <w:rsid w:val="00670CE9"/>
    <w:rPr>
      <w:rFonts w:ascii="Tahoma" w:hAnsi="Tahoma" w:cs="Tahoma"/>
      <w:sz w:val="16"/>
      <w:szCs w:val="16"/>
    </w:rPr>
  </w:style>
  <w:style w:type="character" w:customStyle="1" w:styleId="DocumentMapChar">
    <w:name w:val="Document Map Char"/>
    <w:basedOn w:val="DefaultParagraphFont"/>
    <w:link w:val="DocumentMap"/>
    <w:uiPriority w:val="98"/>
    <w:semiHidden/>
    <w:rsid w:val="00670CE9"/>
    <w:rPr>
      <w:rFonts w:ascii="Tahoma" w:hAnsi="Tahoma" w:cs="Tahoma"/>
      <w:sz w:val="16"/>
      <w:szCs w:val="16"/>
    </w:rPr>
  </w:style>
  <w:style w:type="paragraph" w:styleId="E-mailSignature">
    <w:name w:val="E-mail Signature"/>
    <w:basedOn w:val="Normal"/>
    <w:link w:val="E-mailSignatureChar"/>
    <w:uiPriority w:val="98"/>
    <w:semiHidden/>
    <w:rsid w:val="00670CE9"/>
  </w:style>
  <w:style w:type="character" w:customStyle="1" w:styleId="E-mailSignatureChar">
    <w:name w:val="E-mail Signature Char"/>
    <w:basedOn w:val="DefaultParagraphFont"/>
    <w:link w:val="E-mailSignature"/>
    <w:uiPriority w:val="98"/>
    <w:semiHidden/>
    <w:rsid w:val="00670CE9"/>
    <w:rPr>
      <w:sz w:val="24"/>
      <w:szCs w:val="24"/>
    </w:rPr>
  </w:style>
  <w:style w:type="character" w:styleId="EndnoteReference">
    <w:name w:val="endnote reference"/>
    <w:basedOn w:val="DefaultParagraphFont"/>
    <w:uiPriority w:val="98"/>
    <w:semiHidden/>
    <w:rsid w:val="00670CE9"/>
    <w:rPr>
      <w:vertAlign w:val="superscript"/>
    </w:rPr>
  </w:style>
  <w:style w:type="paragraph" w:styleId="EndnoteText">
    <w:name w:val="endnote text"/>
    <w:basedOn w:val="Normal"/>
    <w:link w:val="EndnoteTextChar"/>
    <w:uiPriority w:val="98"/>
    <w:semiHidden/>
    <w:rsid w:val="00670CE9"/>
    <w:rPr>
      <w:sz w:val="20"/>
      <w:szCs w:val="20"/>
    </w:rPr>
  </w:style>
  <w:style w:type="character" w:customStyle="1" w:styleId="EndnoteTextChar">
    <w:name w:val="Endnote Text Char"/>
    <w:basedOn w:val="DefaultParagraphFont"/>
    <w:link w:val="EndnoteText"/>
    <w:uiPriority w:val="98"/>
    <w:semiHidden/>
    <w:rsid w:val="00670CE9"/>
    <w:rPr>
      <w:sz w:val="20"/>
      <w:szCs w:val="20"/>
    </w:rPr>
  </w:style>
  <w:style w:type="paragraph" w:styleId="EnvelopeAddress">
    <w:name w:val="envelope address"/>
    <w:basedOn w:val="Normal"/>
    <w:uiPriority w:val="98"/>
    <w:semiHidden/>
    <w:rsid w:val="00670CE9"/>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670CE9"/>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670CE9"/>
    <w:rPr>
      <w:color w:val="7030A0" w:themeColor="followedHyperlink"/>
      <w:u w:val="single"/>
    </w:rPr>
  </w:style>
  <w:style w:type="character" w:styleId="HTMLAcronym">
    <w:name w:val="HTML Acronym"/>
    <w:basedOn w:val="DefaultParagraphFont"/>
    <w:uiPriority w:val="98"/>
    <w:semiHidden/>
    <w:rsid w:val="00670CE9"/>
  </w:style>
  <w:style w:type="paragraph" w:styleId="HTMLAddress">
    <w:name w:val="HTML Address"/>
    <w:basedOn w:val="Normal"/>
    <w:link w:val="HTMLAddressChar"/>
    <w:uiPriority w:val="98"/>
    <w:semiHidden/>
    <w:rsid w:val="00670CE9"/>
    <w:rPr>
      <w:i/>
      <w:iCs/>
    </w:rPr>
  </w:style>
  <w:style w:type="character" w:customStyle="1" w:styleId="HTMLAddressChar">
    <w:name w:val="HTML Address Char"/>
    <w:basedOn w:val="DefaultParagraphFont"/>
    <w:link w:val="HTMLAddress"/>
    <w:uiPriority w:val="98"/>
    <w:semiHidden/>
    <w:rsid w:val="00670CE9"/>
    <w:rPr>
      <w:i/>
      <w:iCs/>
      <w:sz w:val="24"/>
      <w:szCs w:val="24"/>
    </w:rPr>
  </w:style>
  <w:style w:type="character" w:styleId="HTMLCite">
    <w:name w:val="HTML Cite"/>
    <w:basedOn w:val="DefaultParagraphFont"/>
    <w:uiPriority w:val="98"/>
    <w:semiHidden/>
    <w:rsid w:val="00670CE9"/>
    <w:rPr>
      <w:i/>
      <w:iCs/>
    </w:rPr>
  </w:style>
  <w:style w:type="character" w:styleId="HTMLCode">
    <w:name w:val="HTML Code"/>
    <w:basedOn w:val="DefaultParagraphFont"/>
    <w:uiPriority w:val="98"/>
    <w:semiHidden/>
    <w:rsid w:val="00670CE9"/>
    <w:rPr>
      <w:rFonts w:ascii="Consolas" w:hAnsi="Consolas" w:cs="Consolas"/>
      <w:sz w:val="20"/>
      <w:szCs w:val="20"/>
    </w:rPr>
  </w:style>
  <w:style w:type="character" w:styleId="HTMLDefinition">
    <w:name w:val="HTML Definition"/>
    <w:basedOn w:val="DefaultParagraphFont"/>
    <w:uiPriority w:val="98"/>
    <w:semiHidden/>
    <w:rsid w:val="00670CE9"/>
    <w:rPr>
      <w:i/>
      <w:iCs/>
    </w:rPr>
  </w:style>
  <w:style w:type="character" w:styleId="HTMLKeyboard">
    <w:name w:val="HTML Keyboard"/>
    <w:basedOn w:val="DefaultParagraphFont"/>
    <w:uiPriority w:val="98"/>
    <w:semiHidden/>
    <w:rsid w:val="00670CE9"/>
    <w:rPr>
      <w:rFonts w:ascii="Consolas" w:hAnsi="Consolas" w:cs="Consolas"/>
      <w:sz w:val="20"/>
      <w:szCs w:val="20"/>
    </w:rPr>
  </w:style>
  <w:style w:type="paragraph" w:styleId="HTMLPreformatted">
    <w:name w:val="HTML Preformatted"/>
    <w:basedOn w:val="Normal"/>
    <w:link w:val="HTMLPreformattedChar"/>
    <w:uiPriority w:val="98"/>
    <w:semiHidden/>
    <w:rsid w:val="00670CE9"/>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670CE9"/>
    <w:rPr>
      <w:rFonts w:ascii="Consolas" w:hAnsi="Consolas" w:cs="Consolas"/>
      <w:sz w:val="20"/>
      <w:szCs w:val="20"/>
    </w:rPr>
  </w:style>
  <w:style w:type="character" w:styleId="HTMLSample">
    <w:name w:val="HTML Sample"/>
    <w:basedOn w:val="DefaultParagraphFont"/>
    <w:uiPriority w:val="98"/>
    <w:semiHidden/>
    <w:rsid w:val="00670CE9"/>
    <w:rPr>
      <w:rFonts w:ascii="Consolas" w:hAnsi="Consolas" w:cs="Consolas"/>
      <w:sz w:val="24"/>
      <w:szCs w:val="24"/>
    </w:rPr>
  </w:style>
  <w:style w:type="character" w:styleId="HTMLTypewriter">
    <w:name w:val="HTML Typewriter"/>
    <w:basedOn w:val="DefaultParagraphFont"/>
    <w:uiPriority w:val="98"/>
    <w:semiHidden/>
    <w:rsid w:val="00670CE9"/>
    <w:rPr>
      <w:rFonts w:ascii="Consolas" w:hAnsi="Consolas" w:cs="Consolas"/>
      <w:sz w:val="20"/>
      <w:szCs w:val="20"/>
    </w:rPr>
  </w:style>
  <w:style w:type="character" w:styleId="HTMLVariable">
    <w:name w:val="HTML Variable"/>
    <w:basedOn w:val="DefaultParagraphFont"/>
    <w:uiPriority w:val="98"/>
    <w:semiHidden/>
    <w:rsid w:val="00670CE9"/>
    <w:rPr>
      <w:i/>
      <w:iCs/>
    </w:rPr>
  </w:style>
  <w:style w:type="paragraph" w:styleId="Index1">
    <w:name w:val="index 1"/>
    <w:basedOn w:val="Normal"/>
    <w:next w:val="Normal"/>
    <w:autoRedefine/>
    <w:uiPriority w:val="98"/>
    <w:semiHidden/>
    <w:rsid w:val="00670CE9"/>
    <w:pPr>
      <w:ind w:left="240" w:hanging="240"/>
    </w:pPr>
  </w:style>
  <w:style w:type="paragraph" w:styleId="Index2">
    <w:name w:val="index 2"/>
    <w:basedOn w:val="Normal"/>
    <w:next w:val="Normal"/>
    <w:autoRedefine/>
    <w:uiPriority w:val="98"/>
    <w:semiHidden/>
    <w:rsid w:val="00670CE9"/>
    <w:pPr>
      <w:ind w:left="480" w:hanging="240"/>
    </w:pPr>
  </w:style>
  <w:style w:type="paragraph" w:styleId="Index3">
    <w:name w:val="index 3"/>
    <w:basedOn w:val="Normal"/>
    <w:next w:val="Normal"/>
    <w:autoRedefine/>
    <w:uiPriority w:val="98"/>
    <w:semiHidden/>
    <w:rsid w:val="00670CE9"/>
    <w:pPr>
      <w:ind w:left="720" w:hanging="240"/>
    </w:pPr>
  </w:style>
  <w:style w:type="paragraph" w:styleId="Index4">
    <w:name w:val="index 4"/>
    <w:basedOn w:val="Normal"/>
    <w:next w:val="Normal"/>
    <w:autoRedefine/>
    <w:uiPriority w:val="98"/>
    <w:semiHidden/>
    <w:rsid w:val="00670CE9"/>
    <w:pPr>
      <w:ind w:left="960" w:hanging="240"/>
    </w:pPr>
  </w:style>
  <w:style w:type="paragraph" w:styleId="Index5">
    <w:name w:val="index 5"/>
    <w:basedOn w:val="Normal"/>
    <w:next w:val="Normal"/>
    <w:autoRedefine/>
    <w:uiPriority w:val="98"/>
    <w:semiHidden/>
    <w:rsid w:val="00670CE9"/>
    <w:pPr>
      <w:ind w:left="1200" w:hanging="240"/>
    </w:pPr>
  </w:style>
  <w:style w:type="paragraph" w:styleId="Index6">
    <w:name w:val="index 6"/>
    <w:basedOn w:val="Normal"/>
    <w:next w:val="Normal"/>
    <w:autoRedefine/>
    <w:uiPriority w:val="98"/>
    <w:semiHidden/>
    <w:rsid w:val="00670CE9"/>
    <w:pPr>
      <w:ind w:left="1440" w:hanging="240"/>
    </w:pPr>
  </w:style>
  <w:style w:type="paragraph" w:styleId="Index7">
    <w:name w:val="index 7"/>
    <w:basedOn w:val="Normal"/>
    <w:next w:val="Normal"/>
    <w:autoRedefine/>
    <w:uiPriority w:val="98"/>
    <w:semiHidden/>
    <w:rsid w:val="00670CE9"/>
    <w:pPr>
      <w:ind w:left="1680" w:hanging="240"/>
    </w:pPr>
  </w:style>
  <w:style w:type="paragraph" w:styleId="Index8">
    <w:name w:val="index 8"/>
    <w:basedOn w:val="Normal"/>
    <w:next w:val="Normal"/>
    <w:autoRedefine/>
    <w:uiPriority w:val="98"/>
    <w:semiHidden/>
    <w:rsid w:val="00670CE9"/>
    <w:pPr>
      <w:ind w:left="1920" w:hanging="240"/>
    </w:pPr>
  </w:style>
  <w:style w:type="paragraph" w:styleId="Index9">
    <w:name w:val="index 9"/>
    <w:basedOn w:val="Normal"/>
    <w:next w:val="Normal"/>
    <w:autoRedefine/>
    <w:uiPriority w:val="98"/>
    <w:semiHidden/>
    <w:rsid w:val="00670CE9"/>
    <w:pPr>
      <w:ind w:left="2160" w:hanging="240"/>
    </w:pPr>
  </w:style>
  <w:style w:type="paragraph" w:styleId="IndexHeading">
    <w:name w:val="index heading"/>
    <w:basedOn w:val="Normal"/>
    <w:next w:val="Index1"/>
    <w:uiPriority w:val="98"/>
    <w:semiHidden/>
    <w:rsid w:val="00670CE9"/>
    <w:rPr>
      <w:rFonts w:asciiTheme="majorHAnsi" w:eastAsiaTheme="majorEastAsia" w:hAnsiTheme="majorHAnsi" w:cstheme="majorBidi"/>
      <w:b/>
      <w:bCs/>
    </w:rPr>
  </w:style>
  <w:style w:type="table" w:styleId="LightGrid">
    <w:name w:val="Light Grid"/>
    <w:basedOn w:val="TableNormal"/>
    <w:uiPriority w:val="62"/>
    <w:semiHidden/>
    <w:rsid w:val="00670CE9"/>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670CE9"/>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670CE9"/>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670CE9"/>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670CE9"/>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670CE9"/>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670CE9"/>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670CE9"/>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670CE9"/>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670CE9"/>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670CE9"/>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670CE9"/>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670CE9"/>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670CE9"/>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670CE9"/>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670CE9"/>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670CE9"/>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670CE9"/>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670CE9"/>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670CE9"/>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670CE9"/>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670CE9"/>
  </w:style>
  <w:style w:type="paragraph" w:styleId="List">
    <w:name w:val="List"/>
    <w:basedOn w:val="Normal"/>
    <w:uiPriority w:val="98"/>
    <w:semiHidden/>
    <w:rsid w:val="00670CE9"/>
    <w:pPr>
      <w:ind w:left="283" w:hanging="283"/>
      <w:contextualSpacing/>
    </w:pPr>
  </w:style>
  <w:style w:type="paragraph" w:styleId="List2">
    <w:name w:val="List 2"/>
    <w:basedOn w:val="Normal"/>
    <w:uiPriority w:val="98"/>
    <w:semiHidden/>
    <w:rsid w:val="00670CE9"/>
    <w:pPr>
      <w:ind w:left="566" w:hanging="283"/>
      <w:contextualSpacing/>
    </w:pPr>
  </w:style>
  <w:style w:type="paragraph" w:styleId="List3">
    <w:name w:val="List 3"/>
    <w:basedOn w:val="Normal"/>
    <w:uiPriority w:val="98"/>
    <w:semiHidden/>
    <w:rsid w:val="00670CE9"/>
    <w:pPr>
      <w:ind w:left="849" w:hanging="283"/>
      <w:contextualSpacing/>
    </w:pPr>
  </w:style>
  <w:style w:type="paragraph" w:styleId="List4">
    <w:name w:val="List 4"/>
    <w:basedOn w:val="Normal"/>
    <w:uiPriority w:val="98"/>
    <w:semiHidden/>
    <w:rsid w:val="00670CE9"/>
    <w:pPr>
      <w:ind w:left="1132" w:hanging="283"/>
      <w:contextualSpacing/>
    </w:pPr>
  </w:style>
  <w:style w:type="paragraph" w:styleId="List5">
    <w:name w:val="List 5"/>
    <w:basedOn w:val="Normal"/>
    <w:uiPriority w:val="98"/>
    <w:semiHidden/>
    <w:rsid w:val="00670CE9"/>
    <w:pPr>
      <w:ind w:left="1415" w:hanging="283"/>
      <w:contextualSpacing/>
    </w:pPr>
  </w:style>
  <w:style w:type="paragraph" w:styleId="ListBullet">
    <w:name w:val="List Bullet"/>
    <w:basedOn w:val="Normal"/>
    <w:uiPriority w:val="98"/>
    <w:semiHidden/>
    <w:rsid w:val="00670CE9"/>
    <w:pPr>
      <w:numPr>
        <w:numId w:val="9"/>
      </w:numPr>
    </w:pPr>
  </w:style>
  <w:style w:type="paragraph" w:styleId="ListBullet3">
    <w:name w:val="List Bullet 3"/>
    <w:basedOn w:val="Normal"/>
    <w:uiPriority w:val="98"/>
    <w:semiHidden/>
    <w:rsid w:val="00670CE9"/>
    <w:pPr>
      <w:numPr>
        <w:numId w:val="11"/>
      </w:numPr>
      <w:contextualSpacing/>
    </w:pPr>
  </w:style>
  <w:style w:type="paragraph" w:styleId="ListBullet4">
    <w:name w:val="List Bullet 4"/>
    <w:basedOn w:val="Normal"/>
    <w:uiPriority w:val="98"/>
    <w:semiHidden/>
    <w:rsid w:val="00670CE9"/>
    <w:pPr>
      <w:numPr>
        <w:numId w:val="12"/>
      </w:numPr>
      <w:contextualSpacing/>
    </w:pPr>
  </w:style>
  <w:style w:type="paragraph" w:styleId="ListBullet5">
    <w:name w:val="List Bullet 5"/>
    <w:basedOn w:val="Normal"/>
    <w:uiPriority w:val="98"/>
    <w:semiHidden/>
    <w:rsid w:val="00670CE9"/>
    <w:pPr>
      <w:numPr>
        <w:numId w:val="13"/>
      </w:numPr>
      <w:contextualSpacing/>
    </w:pPr>
  </w:style>
  <w:style w:type="paragraph" w:styleId="ListContinue">
    <w:name w:val="List Continue"/>
    <w:basedOn w:val="Normal"/>
    <w:uiPriority w:val="98"/>
    <w:semiHidden/>
    <w:rsid w:val="00670CE9"/>
    <w:pPr>
      <w:spacing w:after="120"/>
      <w:ind w:left="283"/>
      <w:contextualSpacing/>
    </w:pPr>
  </w:style>
  <w:style w:type="paragraph" w:styleId="ListContinue2">
    <w:name w:val="List Continue 2"/>
    <w:basedOn w:val="Normal"/>
    <w:uiPriority w:val="98"/>
    <w:semiHidden/>
    <w:rsid w:val="00670CE9"/>
    <w:pPr>
      <w:spacing w:after="120"/>
      <w:ind w:left="566"/>
      <w:contextualSpacing/>
    </w:pPr>
  </w:style>
  <w:style w:type="paragraph" w:styleId="ListContinue3">
    <w:name w:val="List Continue 3"/>
    <w:basedOn w:val="Normal"/>
    <w:uiPriority w:val="98"/>
    <w:semiHidden/>
    <w:rsid w:val="00670CE9"/>
    <w:pPr>
      <w:spacing w:after="120"/>
      <w:ind w:left="849"/>
      <w:contextualSpacing/>
    </w:pPr>
  </w:style>
  <w:style w:type="paragraph" w:styleId="ListContinue4">
    <w:name w:val="List Continue 4"/>
    <w:basedOn w:val="Normal"/>
    <w:uiPriority w:val="98"/>
    <w:semiHidden/>
    <w:rsid w:val="00670CE9"/>
    <w:pPr>
      <w:spacing w:after="120"/>
      <w:ind w:left="1132"/>
      <w:contextualSpacing/>
    </w:pPr>
  </w:style>
  <w:style w:type="paragraph" w:styleId="ListContinue5">
    <w:name w:val="List Continue 5"/>
    <w:basedOn w:val="Normal"/>
    <w:uiPriority w:val="98"/>
    <w:semiHidden/>
    <w:rsid w:val="00670CE9"/>
    <w:pPr>
      <w:spacing w:after="120"/>
      <w:ind w:left="1415"/>
      <w:contextualSpacing/>
    </w:pPr>
  </w:style>
  <w:style w:type="paragraph" w:styleId="ListNumber">
    <w:name w:val="List Number"/>
    <w:basedOn w:val="Normal"/>
    <w:uiPriority w:val="98"/>
    <w:semiHidden/>
    <w:rsid w:val="00670CE9"/>
    <w:pPr>
      <w:numPr>
        <w:numId w:val="14"/>
      </w:numPr>
      <w:contextualSpacing/>
    </w:pPr>
  </w:style>
  <w:style w:type="paragraph" w:styleId="ListNumber2">
    <w:name w:val="List Number 2"/>
    <w:basedOn w:val="Normal"/>
    <w:uiPriority w:val="98"/>
    <w:semiHidden/>
    <w:rsid w:val="00670CE9"/>
    <w:pPr>
      <w:numPr>
        <w:numId w:val="15"/>
      </w:numPr>
      <w:contextualSpacing/>
    </w:pPr>
  </w:style>
  <w:style w:type="paragraph" w:styleId="ListNumber3">
    <w:name w:val="List Number 3"/>
    <w:basedOn w:val="Normal"/>
    <w:uiPriority w:val="98"/>
    <w:semiHidden/>
    <w:rsid w:val="00670CE9"/>
    <w:pPr>
      <w:numPr>
        <w:numId w:val="16"/>
      </w:numPr>
      <w:contextualSpacing/>
    </w:pPr>
  </w:style>
  <w:style w:type="paragraph" w:styleId="ListNumber4">
    <w:name w:val="List Number 4"/>
    <w:basedOn w:val="Normal"/>
    <w:uiPriority w:val="98"/>
    <w:semiHidden/>
    <w:rsid w:val="00670CE9"/>
    <w:pPr>
      <w:numPr>
        <w:numId w:val="17"/>
      </w:numPr>
      <w:contextualSpacing/>
    </w:pPr>
  </w:style>
  <w:style w:type="paragraph" w:styleId="ListNumber5">
    <w:name w:val="List Number 5"/>
    <w:basedOn w:val="Normal"/>
    <w:uiPriority w:val="98"/>
    <w:semiHidden/>
    <w:rsid w:val="00670CE9"/>
    <w:pPr>
      <w:numPr>
        <w:numId w:val="18"/>
      </w:numPr>
      <w:contextualSpacing/>
    </w:pPr>
  </w:style>
  <w:style w:type="paragraph" w:styleId="MacroText">
    <w:name w:val="macro"/>
    <w:link w:val="MacroTextChar"/>
    <w:uiPriority w:val="98"/>
    <w:semiHidden/>
    <w:rsid w:val="00670CE9"/>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8"/>
    <w:semiHidden/>
    <w:rsid w:val="00670CE9"/>
    <w:rPr>
      <w:rFonts w:ascii="Consolas" w:eastAsiaTheme="minorEastAsia" w:hAnsi="Consolas" w:cs="Consolas"/>
      <w:sz w:val="20"/>
      <w:szCs w:val="20"/>
    </w:rPr>
  </w:style>
  <w:style w:type="table" w:styleId="MediumGrid1">
    <w:name w:val="Medium Grid 1"/>
    <w:basedOn w:val="TableNormal"/>
    <w:uiPriority w:val="67"/>
    <w:semiHidden/>
    <w:rsid w:val="00670CE9"/>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670CE9"/>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670CE9"/>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670CE9"/>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670CE9"/>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670CE9"/>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670CE9"/>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670CE9"/>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670CE9"/>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670CE9"/>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670CE9"/>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670CE9"/>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670CE9"/>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670CE9"/>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670CE9"/>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670CE9"/>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670CE9"/>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670CE9"/>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670CE9"/>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670CE9"/>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670CE9"/>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670CE9"/>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670CE9"/>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670CE9"/>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670CE9"/>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670CE9"/>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670CE9"/>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670CE9"/>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670CE9"/>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670CE9"/>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670CE9"/>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670CE9"/>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670CE9"/>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670CE9"/>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670CE9"/>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670CE9"/>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670CE9"/>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670CE9"/>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670CE9"/>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670CE9"/>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670CE9"/>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670CE9"/>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670CE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670CE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670CE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670CE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670CE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670CE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670CE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670CE9"/>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670CE9"/>
    <w:rPr>
      <w:rFonts w:asciiTheme="majorHAnsi" w:eastAsiaTheme="majorEastAsia" w:hAnsiTheme="majorHAnsi" w:cstheme="majorBidi"/>
      <w:sz w:val="24"/>
      <w:szCs w:val="24"/>
      <w:shd w:val="pct20" w:color="auto" w:fill="auto"/>
    </w:rPr>
  </w:style>
  <w:style w:type="paragraph" w:styleId="NormalWeb">
    <w:name w:val="Normal (Web)"/>
    <w:basedOn w:val="Normal"/>
    <w:uiPriority w:val="98"/>
    <w:semiHidden/>
    <w:rsid w:val="00670CE9"/>
    <w:rPr>
      <w:rFonts w:ascii="Times New Roman" w:hAnsi="Times New Roman" w:cs="Times New Roman"/>
    </w:rPr>
  </w:style>
  <w:style w:type="paragraph" w:styleId="NormalIndent">
    <w:name w:val="Normal Indent"/>
    <w:basedOn w:val="Normal"/>
    <w:uiPriority w:val="98"/>
    <w:semiHidden/>
    <w:rsid w:val="00670CE9"/>
    <w:pPr>
      <w:ind w:left="720"/>
    </w:pPr>
  </w:style>
  <w:style w:type="paragraph" w:styleId="NoteHeading">
    <w:name w:val="Note Heading"/>
    <w:basedOn w:val="Normal"/>
    <w:next w:val="Normal"/>
    <w:link w:val="NoteHeadingChar"/>
    <w:uiPriority w:val="98"/>
    <w:semiHidden/>
    <w:rsid w:val="00670CE9"/>
  </w:style>
  <w:style w:type="character" w:customStyle="1" w:styleId="NoteHeadingChar">
    <w:name w:val="Note Heading Char"/>
    <w:basedOn w:val="DefaultParagraphFont"/>
    <w:link w:val="NoteHeading"/>
    <w:uiPriority w:val="98"/>
    <w:semiHidden/>
    <w:rsid w:val="00670CE9"/>
    <w:rPr>
      <w:sz w:val="24"/>
      <w:szCs w:val="24"/>
    </w:rPr>
  </w:style>
  <w:style w:type="character" w:styleId="PlaceholderText">
    <w:name w:val="Placeholder Text"/>
    <w:basedOn w:val="DefaultParagraphFont"/>
    <w:uiPriority w:val="98"/>
    <w:semiHidden/>
    <w:rsid w:val="00670CE9"/>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670CE9"/>
    <w:rPr>
      <w:rFonts w:ascii="Consolas" w:hAnsi="Consolas" w:cs="Consolas"/>
      <w:sz w:val="21"/>
      <w:szCs w:val="21"/>
    </w:rPr>
  </w:style>
  <w:style w:type="character" w:customStyle="1" w:styleId="PlainTextChar">
    <w:name w:val="Plain Text Char"/>
    <w:basedOn w:val="DefaultParagraphFont"/>
    <w:link w:val="PlainText"/>
    <w:uiPriority w:val="98"/>
    <w:semiHidden/>
    <w:rsid w:val="00670CE9"/>
    <w:rPr>
      <w:rFonts w:ascii="Consolas" w:hAnsi="Consolas" w:cs="Consolas"/>
      <w:sz w:val="21"/>
      <w:szCs w:val="21"/>
    </w:rPr>
  </w:style>
  <w:style w:type="paragraph" w:styleId="Salutation">
    <w:name w:val="Salutation"/>
    <w:basedOn w:val="Normal"/>
    <w:next w:val="Normal"/>
    <w:link w:val="SalutationChar"/>
    <w:uiPriority w:val="98"/>
    <w:semiHidden/>
    <w:rsid w:val="00670CE9"/>
  </w:style>
  <w:style w:type="character" w:customStyle="1" w:styleId="SalutationChar">
    <w:name w:val="Salutation Char"/>
    <w:basedOn w:val="DefaultParagraphFont"/>
    <w:link w:val="Salutation"/>
    <w:uiPriority w:val="98"/>
    <w:semiHidden/>
    <w:rsid w:val="00670CE9"/>
    <w:rPr>
      <w:sz w:val="24"/>
      <w:szCs w:val="24"/>
    </w:rPr>
  </w:style>
  <w:style w:type="paragraph" w:styleId="Signature">
    <w:name w:val="Signature"/>
    <w:basedOn w:val="Normal"/>
    <w:link w:val="SignatureChar"/>
    <w:uiPriority w:val="98"/>
    <w:semiHidden/>
    <w:rsid w:val="00670CE9"/>
    <w:pPr>
      <w:ind w:left="4252"/>
    </w:pPr>
  </w:style>
  <w:style w:type="character" w:customStyle="1" w:styleId="SignatureChar">
    <w:name w:val="Signature Char"/>
    <w:basedOn w:val="DefaultParagraphFont"/>
    <w:link w:val="Signature"/>
    <w:uiPriority w:val="98"/>
    <w:semiHidden/>
    <w:rsid w:val="00670CE9"/>
    <w:rPr>
      <w:sz w:val="24"/>
      <w:szCs w:val="24"/>
    </w:rPr>
  </w:style>
  <w:style w:type="table" w:styleId="Table3Deffects1">
    <w:name w:val="Table 3D effects 1"/>
    <w:basedOn w:val="TableNormal"/>
    <w:uiPriority w:val="99"/>
    <w:semiHidden/>
    <w:unhideWhenUsed/>
    <w:rsid w:val="00670CE9"/>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670CE9"/>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670CE9"/>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670CE9"/>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670CE9"/>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670CE9"/>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670CE9"/>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670CE9"/>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670CE9"/>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670CE9"/>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670CE9"/>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670CE9"/>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670CE9"/>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670CE9"/>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670CE9"/>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670CE9"/>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670CE9"/>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670CE9"/>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670CE9"/>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670CE9"/>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670CE9"/>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670CE9"/>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670CE9"/>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670CE9"/>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670CE9"/>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670CE9"/>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670CE9"/>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670CE9"/>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670CE9"/>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670CE9"/>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670CE9"/>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670CE9"/>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670CE9"/>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670CE9"/>
    <w:pPr>
      <w:ind w:left="240" w:hanging="240"/>
    </w:pPr>
  </w:style>
  <w:style w:type="paragraph" w:styleId="TableofFigures">
    <w:name w:val="table of figures"/>
    <w:basedOn w:val="Normal"/>
    <w:next w:val="Normal"/>
    <w:uiPriority w:val="98"/>
    <w:semiHidden/>
    <w:rsid w:val="00670CE9"/>
  </w:style>
  <w:style w:type="table" w:styleId="TableProfessional">
    <w:name w:val="Table Professional"/>
    <w:basedOn w:val="TableNormal"/>
    <w:uiPriority w:val="99"/>
    <w:semiHidden/>
    <w:unhideWhenUsed/>
    <w:rsid w:val="00670CE9"/>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670CE9"/>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670CE9"/>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670CE9"/>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670CE9"/>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670CE9"/>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670CE9"/>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670CE9"/>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670CE9"/>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670CE9"/>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670CE9"/>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670CE9"/>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670CE9"/>
    <w:pPr>
      <w:spacing w:after="100"/>
      <w:ind w:left="1680"/>
    </w:pPr>
  </w:style>
  <w:style w:type="paragraph" w:styleId="TOC9">
    <w:name w:val="toc 9"/>
    <w:basedOn w:val="Normal"/>
    <w:next w:val="Normal"/>
    <w:autoRedefine/>
    <w:uiPriority w:val="98"/>
    <w:semiHidden/>
    <w:rsid w:val="00670CE9"/>
    <w:pPr>
      <w:spacing w:after="100"/>
      <w:ind w:left="1920"/>
    </w:pPr>
  </w:style>
  <w:style w:type="paragraph" w:customStyle="1" w:styleId="ECHRFooter">
    <w:name w:val="ECHR_Footer"/>
    <w:aliases w:val="Footer_ECHR"/>
    <w:basedOn w:val="Footer0"/>
    <w:uiPriority w:val="57"/>
    <w:semiHidden/>
    <w:rsid w:val="00893F30"/>
    <w:rPr>
      <w:sz w:val="8"/>
    </w:rPr>
  </w:style>
  <w:style w:type="paragraph" w:customStyle="1" w:styleId="FooterLine">
    <w:name w:val="_Footer_Line"/>
    <w:aliases w:val="Footer_Line"/>
    <w:basedOn w:val="Normal"/>
    <w:next w:val="Footer"/>
    <w:uiPriority w:val="57"/>
    <w:semiHidden/>
    <w:rsid w:val="00670CE9"/>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670CE9"/>
    <w:pPr>
      <w:keepNext/>
      <w:keepLines/>
      <w:spacing w:after="280"/>
      <w:ind w:firstLine="0"/>
      <w:jc w:val="center"/>
    </w:pPr>
    <w:rPr>
      <w:rFonts w:asciiTheme="majorHAnsi" w:hAnsiTheme="majorHAnsi"/>
    </w:rPr>
  </w:style>
  <w:style w:type="paragraph" w:customStyle="1" w:styleId="JuHeaderLandscape">
    <w:name w:val="Ju_Header_Landscape"/>
    <w:aliases w:val="_Header_Landscape"/>
    <w:basedOn w:val="JuHeader"/>
    <w:uiPriority w:val="29"/>
    <w:qFormat/>
    <w:rsid w:val="00670CE9"/>
    <w:pPr>
      <w:tabs>
        <w:tab w:val="clear" w:pos="3686"/>
        <w:tab w:val="clear" w:pos="7371"/>
        <w:tab w:val="center" w:pos="6146"/>
        <w:tab w:val="right" w:pos="12293"/>
      </w:tabs>
    </w:pPr>
  </w:style>
  <w:style w:type="paragraph" w:customStyle="1" w:styleId="JuTitle">
    <w:name w:val="Ju_Title"/>
    <w:aliases w:val="_Title_2"/>
    <w:basedOn w:val="Normal"/>
    <w:next w:val="JuPara"/>
    <w:uiPriority w:val="38"/>
    <w:qFormat/>
    <w:rsid w:val="00670CE9"/>
    <w:pPr>
      <w:keepNext/>
      <w:keepLines/>
      <w:spacing w:before="1320" w:after="280"/>
      <w:contextualSpacing/>
      <w:jc w:val="center"/>
    </w:pPr>
    <w:rPr>
      <w:b/>
    </w:rPr>
  </w:style>
  <w:style w:type="paragraph" w:customStyle="1" w:styleId="ECHRTitleCentre1">
    <w:name w:val="ECHR_Title_Centre_1"/>
    <w:aliases w:val="_Title_C_1"/>
    <w:basedOn w:val="Normal"/>
    <w:next w:val="Normal"/>
    <w:uiPriority w:val="26"/>
    <w:qFormat/>
    <w:rsid w:val="00670CE9"/>
    <w:pPr>
      <w:keepNext/>
      <w:keepLines/>
      <w:spacing w:before="240"/>
      <w:contextualSpacing/>
      <w:jc w:val="center"/>
    </w:pPr>
    <w:rPr>
      <w:rFonts w:asciiTheme="majorHAnsi" w:hAnsiTheme="majorHAnsi"/>
      <w:b/>
      <w:color w:val="2F2F2F" w:themeColor="accent3" w:themeShade="80"/>
      <w:sz w:val="32"/>
    </w:rPr>
  </w:style>
  <w:style w:type="character" w:customStyle="1" w:styleId="JuNames0">
    <w:name w:val="Ju_Names"/>
    <w:rsid w:val="009E7AAD"/>
    <w:rPr>
      <w:rFonts w:ascii="Times New Roman" w:hAnsi="Times New Roman" w:cs="Times New Roman"/>
      <w:smallCaps/>
    </w:rPr>
  </w:style>
  <w:style w:type="paragraph" w:styleId="Revision">
    <w:name w:val="Revision"/>
    <w:hidden/>
    <w:uiPriority w:val="99"/>
    <w:semiHidden/>
    <w:rsid w:val="009E7AAD"/>
    <w:rPr>
      <w:rFonts w:eastAsiaTheme="minorEastAsia"/>
      <w:sz w:val="24"/>
      <w:lang w:val="en-GB"/>
    </w:rPr>
  </w:style>
  <w:style w:type="paragraph" w:customStyle="1" w:styleId="ECHRBullet2">
    <w:name w:val="ECHR_Bullet_2"/>
    <w:aliases w:val="_Bul_2"/>
    <w:basedOn w:val="ECHRBullet1"/>
    <w:uiPriority w:val="23"/>
    <w:semiHidden/>
    <w:rsid w:val="00670CE9"/>
    <w:pPr>
      <w:numPr>
        <w:ilvl w:val="1"/>
      </w:numPr>
    </w:pPr>
  </w:style>
  <w:style w:type="paragraph" w:customStyle="1" w:styleId="ECHRBullet3">
    <w:name w:val="ECHR_Bullet_3"/>
    <w:aliases w:val="_Bul_3"/>
    <w:basedOn w:val="ECHRBullet2"/>
    <w:uiPriority w:val="23"/>
    <w:semiHidden/>
    <w:rsid w:val="00670CE9"/>
    <w:pPr>
      <w:numPr>
        <w:ilvl w:val="2"/>
      </w:numPr>
    </w:pPr>
  </w:style>
  <w:style w:type="paragraph" w:customStyle="1" w:styleId="ECHRBullet4">
    <w:name w:val="ECHR_Bullet_4"/>
    <w:aliases w:val="_Bul_4"/>
    <w:basedOn w:val="ECHRBullet3"/>
    <w:uiPriority w:val="23"/>
    <w:semiHidden/>
    <w:rsid w:val="00670CE9"/>
    <w:pPr>
      <w:numPr>
        <w:ilvl w:val="3"/>
      </w:numPr>
    </w:pPr>
  </w:style>
  <w:style w:type="paragraph" w:customStyle="1" w:styleId="ECHRConfidential">
    <w:name w:val="ECHR_Confidential"/>
    <w:aliases w:val="_Confidential"/>
    <w:basedOn w:val="Normal"/>
    <w:next w:val="Normal"/>
    <w:uiPriority w:val="42"/>
    <w:semiHidden/>
    <w:qFormat/>
    <w:rsid w:val="00670CE9"/>
    <w:pPr>
      <w:jc w:val="right"/>
    </w:pPr>
    <w:rPr>
      <w:color w:val="C00000"/>
      <w:sz w:val="20"/>
    </w:rPr>
  </w:style>
  <w:style w:type="paragraph" w:customStyle="1" w:styleId="ECHRDecisionBody">
    <w:name w:val="ECHR_Decision_Body"/>
    <w:aliases w:val="_Decision_Body"/>
    <w:basedOn w:val="NormalJustified"/>
    <w:uiPriority w:val="54"/>
    <w:semiHidden/>
    <w:rsid w:val="00670CE9"/>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670CE9"/>
    <w:pPr>
      <w:contextualSpacing/>
      <w:jc w:val="center"/>
    </w:pPr>
    <w:rPr>
      <w:rFonts w:ascii="Arial" w:hAnsi="Arial"/>
      <w:i/>
      <w:color w:val="0072BC" w:themeColor="accent1"/>
      <w:sz w:val="32"/>
    </w:rPr>
  </w:style>
  <w:style w:type="character" w:customStyle="1" w:styleId="ECHRDivisionNameChar">
    <w:name w:val="ECHR_DivisionName Char"/>
    <w:aliases w:val="_Div_Name Char"/>
    <w:basedOn w:val="DefaultParagraphFont"/>
    <w:link w:val="ECHRDivisionName"/>
    <w:uiPriority w:val="41"/>
    <w:semiHidden/>
    <w:rsid w:val="00670CE9"/>
    <w:rPr>
      <w:rFonts w:ascii="Arial" w:hAnsi="Arial"/>
      <w:i/>
      <w:color w:val="0072BC" w:themeColor="accent1"/>
      <w:sz w:val="32"/>
      <w:szCs w:val="24"/>
    </w:rPr>
  </w:style>
  <w:style w:type="paragraph" w:customStyle="1" w:styleId="ECHRFooterLineLandscape">
    <w:name w:val="ECHR_Footer_Line_Landscape"/>
    <w:aliases w:val="_Footer_Line_Landscape"/>
    <w:basedOn w:val="Normal"/>
    <w:uiPriority w:val="30"/>
    <w:semiHidden/>
    <w:rsid w:val="00670CE9"/>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ParaHanging">
    <w:name w:val="ECHR_Para_Hanging"/>
    <w:aliases w:val="_Hanging"/>
    <w:basedOn w:val="Normal"/>
    <w:uiPriority w:val="8"/>
    <w:semiHidden/>
    <w:qFormat/>
    <w:rsid w:val="00670CE9"/>
    <w:pPr>
      <w:ind w:left="567" w:hanging="567"/>
      <w:jc w:val="both"/>
    </w:pPr>
  </w:style>
  <w:style w:type="paragraph" w:customStyle="1" w:styleId="ECHRHeading9">
    <w:name w:val="ECHR_Heading_9"/>
    <w:aliases w:val="_Head_9"/>
    <w:basedOn w:val="Heading9"/>
    <w:next w:val="Normal"/>
    <w:uiPriority w:val="19"/>
    <w:semiHidden/>
    <w:rsid w:val="00670CE9"/>
    <w:pPr>
      <w:numPr>
        <w:numId w:val="1"/>
      </w:numPr>
    </w:pPr>
    <w:rPr>
      <w:i w:val="0"/>
      <w:sz w:val="18"/>
    </w:rPr>
  </w:style>
  <w:style w:type="paragraph" w:customStyle="1" w:styleId="ECHRParaIndent">
    <w:name w:val="ECHR_Para_Indent"/>
    <w:aliases w:val="_Indent"/>
    <w:basedOn w:val="Normal"/>
    <w:uiPriority w:val="7"/>
    <w:semiHidden/>
    <w:qFormat/>
    <w:rsid w:val="00670CE9"/>
    <w:pPr>
      <w:spacing w:before="120" w:after="120"/>
      <w:ind w:left="567"/>
      <w:jc w:val="both"/>
    </w:pPr>
  </w:style>
  <w:style w:type="paragraph" w:customStyle="1" w:styleId="ECHRLine">
    <w:name w:val="ECHR_Line"/>
    <w:aliases w:val="_Line"/>
    <w:basedOn w:val="NormalJustified"/>
    <w:next w:val="Normal"/>
    <w:uiPriority w:val="46"/>
    <w:semiHidden/>
    <w:rsid w:val="00670CE9"/>
    <w:pPr>
      <w:pBdr>
        <w:bottom w:val="single" w:sz="12" w:space="1" w:color="949494" w:themeColor="text2" w:themeShade="BF"/>
      </w:pBdr>
      <w:spacing w:after="120"/>
    </w:pPr>
    <w:rPr>
      <w:sz w:val="12"/>
    </w:rPr>
  </w:style>
  <w:style w:type="paragraph" w:customStyle="1" w:styleId="DecList">
    <w:name w:val="Dec_List"/>
    <w:aliases w:val="_List"/>
    <w:basedOn w:val="JuList"/>
    <w:uiPriority w:val="22"/>
    <w:rsid w:val="00670CE9"/>
    <w:pPr>
      <w:numPr>
        <w:numId w:val="0"/>
      </w:numPr>
      <w:ind w:left="284"/>
    </w:pPr>
  </w:style>
  <w:style w:type="paragraph" w:customStyle="1" w:styleId="ECHRNumberedList1">
    <w:name w:val="ECHR_Numbered_List_1"/>
    <w:aliases w:val="_Num_1"/>
    <w:basedOn w:val="Normal"/>
    <w:uiPriority w:val="23"/>
    <w:semiHidden/>
    <w:qFormat/>
    <w:rsid w:val="00670CE9"/>
    <w:pPr>
      <w:numPr>
        <w:numId w:val="7"/>
      </w:numPr>
      <w:spacing w:before="60" w:after="60"/>
    </w:pPr>
  </w:style>
  <w:style w:type="paragraph" w:customStyle="1" w:styleId="ECHRNumberedList2">
    <w:name w:val="ECHR_Numbered_List_2"/>
    <w:aliases w:val="_Num_2"/>
    <w:basedOn w:val="ECHRNumberedList1"/>
    <w:uiPriority w:val="23"/>
    <w:semiHidden/>
    <w:rsid w:val="00670CE9"/>
    <w:pPr>
      <w:numPr>
        <w:ilvl w:val="1"/>
      </w:numPr>
    </w:pPr>
  </w:style>
  <w:style w:type="paragraph" w:customStyle="1" w:styleId="ECHRNumberedList3">
    <w:name w:val="ECHR_Numbered_List_3"/>
    <w:aliases w:val="_Num_3"/>
    <w:basedOn w:val="ECHRNumberedList2"/>
    <w:uiPriority w:val="23"/>
    <w:semiHidden/>
    <w:rsid w:val="00670CE9"/>
    <w:pPr>
      <w:numPr>
        <w:ilvl w:val="2"/>
      </w:numPr>
    </w:pPr>
  </w:style>
  <w:style w:type="character" w:customStyle="1" w:styleId="ECHRRed">
    <w:name w:val="ECHR_Red"/>
    <w:aliases w:val="_Red"/>
    <w:basedOn w:val="DefaultParagraphFont"/>
    <w:uiPriority w:val="15"/>
    <w:semiHidden/>
    <w:qFormat/>
    <w:rsid w:val="00670CE9"/>
    <w:rPr>
      <w:color w:val="C00000" w:themeColor="accent2"/>
    </w:rPr>
  </w:style>
  <w:style w:type="paragraph" w:customStyle="1" w:styleId="ECHRHeaderDate">
    <w:name w:val="ECHR_Header_Date"/>
    <w:aliases w:val="_Ref_Date"/>
    <w:basedOn w:val="Normal"/>
    <w:uiPriority w:val="44"/>
    <w:semiHidden/>
    <w:qFormat/>
    <w:rsid w:val="00670CE9"/>
    <w:pPr>
      <w:jc w:val="right"/>
    </w:pPr>
    <w:rPr>
      <w:sz w:val="20"/>
    </w:rPr>
  </w:style>
  <w:style w:type="paragraph" w:customStyle="1" w:styleId="ECHRHeaderRefIt">
    <w:name w:val="ECHR_Header_Ref_It"/>
    <w:aliases w:val="_Ref_Ital"/>
    <w:basedOn w:val="Normal"/>
    <w:next w:val="ECHRHeaderDate"/>
    <w:uiPriority w:val="43"/>
    <w:semiHidden/>
    <w:qFormat/>
    <w:rsid w:val="00670CE9"/>
    <w:pPr>
      <w:jc w:val="right"/>
    </w:pPr>
    <w:rPr>
      <w:i/>
      <w:sz w:val="20"/>
    </w:rPr>
  </w:style>
  <w:style w:type="paragraph" w:customStyle="1" w:styleId="ECHRSpacer">
    <w:name w:val="ECHR_Spacer"/>
    <w:aliases w:val="_Spacer"/>
    <w:basedOn w:val="Normal"/>
    <w:uiPriority w:val="45"/>
    <w:semiHidden/>
    <w:rsid w:val="00670CE9"/>
    <w:rPr>
      <w:sz w:val="4"/>
    </w:rPr>
  </w:style>
  <w:style w:type="paragraph" w:customStyle="1" w:styleId="ECHRTitleCentre2">
    <w:name w:val="ECHR_Title_Centre_2"/>
    <w:aliases w:val="_Title_C_2"/>
    <w:basedOn w:val="Normal"/>
    <w:next w:val="Normal"/>
    <w:uiPriority w:val="26"/>
    <w:semiHidden/>
    <w:qFormat/>
    <w:rsid w:val="00670CE9"/>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670CE9"/>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670CE9"/>
    <w:pPr>
      <w:outlineLvl w:val="0"/>
    </w:pPr>
  </w:style>
  <w:style w:type="paragraph" w:customStyle="1" w:styleId="ECHRTitle1">
    <w:name w:val="ECHR_Title_1"/>
    <w:aliases w:val="_Title_L_1"/>
    <w:basedOn w:val="Normal"/>
    <w:next w:val="Normal"/>
    <w:uiPriority w:val="28"/>
    <w:semiHidden/>
    <w:qFormat/>
    <w:rsid w:val="00670CE9"/>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670CE9"/>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670CE9"/>
    <w:pPr>
      <w:keepNext/>
      <w:keepLines/>
      <w:spacing w:before="240"/>
      <w:contextualSpacing/>
    </w:pPr>
    <w:rPr>
      <w:rFonts w:asciiTheme="majorHAnsi" w:hAnsiTheme="majorHAnsi"/>
      <w:b/>
      <w:color w:val="474747" w:themeColor="accent3" w:themeShade="BF"/>
    </w:rPr>
  </w:style>
  <w:style w:type="paragraph" w:customStyle="1" w:styleId="ECHRTitleTOC1">
    <w:name w:val="ECHR_Title_TOC_1"/>
    <w:aliases w:val="_Title_L_TOC"/>
    <w:basedOn w:val="ECHRTitle1"/>
    <w:next w:val="Normal"/>
    <w:uiPriority w:val="27"/>
    <w:semiHidden/>
    <w:qFormat/>
    <w:rsid w:val="00670CE9"/>
    <w:pPr>
      <w:outlineLvl w:val="0"/>
    </w:pPr>
  </w:style>
  <w:style w:type="table" w:customStyle="1" w:styleId="ECHRTable2">
    <w:name w:val="ECHR_Table_2"/>
    <w:basedOn w:val="TableNormal"/>
    <w:uiPriority w:val="99"/>
    <w:rsid w:val="00670CE9"/>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670CE9"/>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E52804B-23D7-4245-971A-68440538F0AB}"/>
</file>

<file path=customXml/itemProps2.xml><?xml version="1.0" encoding="utf-8"?>
<ds:datastoreItem xmlns:ds="http://schemas.openxmlformats.org/officeDocument/2006/customXml" ds:itemID="{3AC8F79A-7E9C-424F-AF5F-F2C2FD40A97C}"/>
</file>

<file path=customXml/itemProps3.xml><?xml version="1.0" encoding="utf-8"?>
<ds:datastoreItem xmlns:ds="http://schemas.openxmlformats.org/officeDocument/2006/customXml" ds:itemID="{F1CE1982-E45B-4E38-8544-FC4039948D3B}"/>
</file>

<file path=customXml/itemProps4.xml><?xml version="1.0" encoding="utf-8"?>
<ds:datastoreItem xmlns:ds="http://schemas.openxmlformats.org/officeDocument/2006/customXml" ds:itemID="{C0E58EAC-2496-41BD-9648-50245DA04E17}"/>
</file>

<file path=docProps/app.xml><?xml version="1.0" encoding="utf-8"?>
<Properties xmlns="http://schemas.openxmlformats.org/officeDocument/2006/extended-properties" xmlns:vt="http://schemas.openxmlformats.org/officeDocument/2006/docPropsVTypes">
  <Template>Normal.dotm</Template>
  <TotalTime>0</TotalTime>
  <Pages>1</Pages>
  <Words>4720</Words>
  <Characters>26910</Characters>
  <Application>Microsoft Office Word</Application>
  <DocSecurity>0</DocSecurity>
  <Lines>224</Lines>
  <Paragraphs>63</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31567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JUDF</dc:subject>
  <dc:creator/>
  <cp:keywords/>
  <cp:lastModifiedBy/>
  <cp:revision>1</cp:revision>
  <dcterms:created xsi:type="dcterms:W3CDTF">2020-06-26T09:55:00Z</dcterms:created>
  <dcterms:modified xsi:type="dcterms:W3CDTF">2020-06-26T09:55:00Z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1036</vt:i4>
  </property>
  <property fmtid="{D5CDD505-2E9C-101B-9397-08002B2CF9AE}" pid="3" name="RegisteredNo">
    <vt:lpwstr>7087/12</vt:lpwstr>
  </property>
  <property fmtid="{D5CDD505-2E9C-101B-9397-08002B2CF9AE}" pid="4" name="CASEID">
    <vt:lpwstr>775765</vt:lpwstr>
  </property>
  <property fmtid="{D5CDD505-2E9C-101B-9397-08002B2CF9AE}" pid="5" name="ContentTypeId">
    <vt:lpwstr>0x010100558EB02BDB9E204AB350EDD385B68E10</vt:lpwstr>
  </property>
</Properties>
</file>