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70228" w:rsidR="00787E12" w:rsidP="00C70228" w:rsidRDefault="00DF2BD5">
      <w:pPr>
        <w:jc w:val="center"/>
      </w:pPr>
      <w:bookmarkStart w:name="_GoBack" w:id="0"/>
      <w:bookmarkEnd w:id="0"/>
    </w:p>
    <w:p w:rsidRPr="00C70228" w:rsidR="00787E12" w:rsidP="00C70228" w:rsidRDefault="001613CE">
      <w:pPr>
        <w:pStyle w:val="DecHCase"/>
      </w:pPr>
      <w:r w:rsidRPr="00C70228">
        <w:t>FOURTH SECTION</w:t>
      </w:r>
    </w:p>
    <w:p w:rsidRPr="00C70228" w:rsidR="00787E12" w:rsidP="00C70228" w:rsidRDefault="0048584C">
      <w:pPr>
        <w:pStyle w:val="JuTitle"/>
      </w:pPr>
      <w:r w:rsidRPr="00C70228">
        <w:t xml:space="preserve">CASE OF </w:t>
      </w:r>
      <w:r w:rsidRPr="00C70228" w:rsidR="001613CE">
        <w:t>SÜVEGES v. HUNGARY</w:t>
      </w:r>
    </w:p>
    <w:p w:rsidRPr="00C70228" w:rsidR="00787E12" w:rsidP="00C70228" w:rsidRDefault="0048584C">
      <w:pPr>
        <w:pStyle w:val="Title4"/>
      </w:pPr>
      <w:r w:rsidRPr="00C70228">
        <w:t>(</w:t>
      </w:r>
      <w:r w:rsidRPr="00C70228" w:rsidR="001613CE">
        <w:t>Application no. 20714/19</w:t>
      </w:r>
      <w:r w:rsidRPr="00C70228">
        <w:t>)</w:t>
      </w:r>
    </w:p>
    <w:p w:rsidRPr="00C70228" w:rsidR="00787E12" w:rsidP="00C70228" w:rsidRDefault="00DF2BD5">
      <w:pPr>
        <w:pStyle w:val="DecHCase"/>
      </w:pPr>
    </w:p>
    <w:p w:rsidRPr="00C70228" w:rsidR="00787E12" w:rsidP="00C70228" w:rsidRDefault="00DF2BD5">
      <w:pPr>
        <w:pStyle w:val="DecHCase"/>
      </w:pPr>
    </w:p>
    <w:p w:rsidRPr="00C70228" w:rsidR="00787E12" w:rsidP="00C70228" w:rsidRDefault="00DF2BD5">
      <w:pPr>
        <w:pStyle w:val="DecHCase"/>
      </w:pPr>
    </w:p>
    <w:p w:rsidRPr="00C70228" w:rsidR="00787E12" w:rsidP="00C70228" w:rsidRDefault="00DF2BD5">
      <w:pPr>
        <w:pStyle w:val="DecHCase"/>
      </w:pPr>
    </w:p>
    <w:p w:rsidRPr="00C70228" w:rsidR="00787E12" w:rsidP="00C70228" w:rsidRDefault="00DF2BD5">
      <w:pPr>
        <w:pStyle w:val="DecHCase"/>
      </w:pPr>
    </w:p>
    <w:p w:rsidRPr="00C70228" w:rsidR="00A062B9" w:rsidP="00C70228" w:rsidRDefault="00DF2BD5">
      <w:pPr>
        <w:pStyle w:val="DecHCase"/>
      </w:pPr>
    </w:p>
    <w:p w:rsidRPr="00C70228" w:rsidR="00787E12" w:rsidP="00C70228" w:rsidRDefault="0048584C">
      <w:pPr>
        <w:pStyle w:val="DecHCase"/>
      </w:pPr>
      <w:r w:rsidRPr="00C70228">
        <w:t>JUDGMENT</w:t>
      </w:r>
    </w:p>
    <w:p w:rsidRPr="00C70228" w:rsidR="00DC0405" w:rsidP="00C70228" w:rsidRDefault="00DC0405">
      <w:pPr>
        <w:jc w:val="center"/>
        <w:rPr>
          <w:i/>
        </w:rPr>
      </w:pPr>
    </w:p>
    <w:p w:rsidRPr="00C70228" w:rsidR="00787E12" w:rsidP="00C70228" w:rsidRDefault="0048584C">
      <w:pPr>
        <w:pStyle w:val="DecHCase"/>
      </w:pPr>
      <w:r w:rsidRPr="00C70228">
        <w:t>STRASBOURG</w:t>
      </w:r>
    </w:p>
    <w:p w:rsidRPr="00C70228" w:rsidR="00787E12" w:rsidP="00C70228" w:rsidRDefault="00474450">
      <w:pPr>
        <w:pStyle w:val="DecHCase"/>
      </w:pPr>
      <w:r w:rsidRPr="00C70228">
        <w:t>6 February</w:t>
      </w:r>
      <w:r w:rsidRPr="00C70228" w:rsidR="001613CE">
        <w:t xml:space="preserve"> 2020</w:t>
      </w:r>
    </w:p>
    <w:p w:rsidRPr="00C70228" w:rsidR="00787E12" w:rsidP="00C70228" w:rsidRDefault="00DF2BD5">
      <w:pPr>
        <w:jc w:val="center"/>
      </w:pPr>
    </w:p>
    <w:p w:rsidRPr="00C70228" w:rsidR="00787E12" w:rsidP="00C70228" w:rsidRDefault="0048584C">
      <w:pPr>
        <w:jc w:val="center"/>
        <w:rPr>
          <w:sz w:val="2"/>
          <w:szCs w:val="2"/>
        </w:rPr>
      </w:pPr>
      <w:r w:rsidRPr="00C70228">
        <w:rPr>
          <w:i/>
        </w:rPr>
        <w:t>This judgment is final but it may be subject to editorial revision.</w:t>
      </w:r>
    </w:p>
    <w:p w:rsidRPr="00C70228" w:rsidR="00787E12" w:rsidP="00C70228" w:rsidRDefault="00DF2BD5">
      <w:pPr>
        <w:pStyle w:val="JuCase"/>
        <w:sectPr w:rsidRPr="00C70228"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C70228" w:rsidR="00787E12" w:rsidP="00C70228" w:rsidRDefault="0048584C">
      <w:pPr>
        <w:pStyle w:val="JuCase"/>
        <w:rPr>
          <w:bCs/>
        </w:rPr>
      </w:pPr>
      <w:r w:rsidRPr="00C70228">
        <w:t xml:space="preserve">In the case of </w:t>
      </w:r>
      <w:proofErr w:type="spellStart"/>
      <w:r w:rsidRPr="00C70228" w:rsidR="001613CE">
        <w:t>Süveges</w:t>
      </w:r>
      <w:proofErr w:type="spellEnd"/>
      <w:r w:rsidRPr="00C70228" w:rsidR="001613CE">
        <w:t xml:space="preserve"> v. Hungary</w:t>
      </w:r>
      <w:r w:rsidRPr="00C70228">
        <w:t>,</w:t>
      </w:r>
    </w:p>
    <w:p w:rsidRPr="00C70228" w:rsidR="00787E12" w:rsidP="00C70228" w:rsidRDefault="0048584C">
      <w:pPr>
        <w:pStyle w:val="JuPara"/>
      </w:pPr>
      <w:r w:rsidRPr="00C70228">
        <w:t>The European Court of Human Rights (</w:t>
      </w:r>
      <w:r w:rsidRPr="00C70228" w:rsidR="001613CE">
        <w:t>Fourth Section</w:t>
      </w:r>
      <w:r w:rsidRPr="00C70228">
        <w:t>), sitting as a Committee composed of:</w:t>
      </w:r>
    </w:p>
    <w:p w:rsidRPr="00C70228" w:rsidR="00787E12" w:rsidP="00C70228" w:rsidRDefault="009F72DF">
      <w:pPr>
        <w:pStyle w:val="JuJudges"/>
      </w:pPr>
      <w:r w:rsidRPr="00C70228">
        <w:tab/>
        <w:t xml:space="preserve">Stéphanie </w:t>
      </w:r>
      <w:proofErr w:type="spellStart"/>
      <w:r w:rsidRPr="00C70228">
        <w:t>Mourou-Vikström</w:t>
      </w:r>
      <w:proofErr w:type="spellEnd"/>
      <w:r w:rsidRPr="00C70228">
        <w:t>,</w:t>
      </w:r>
      <w:r w:rsidRPr="00C70228">
        <w:rPr>
          <w:i/>
        </w:rPr>
        <w:t xml:space="preserve"> President,</w:t>
      </w:r>
      <w:r w:rsidRPr="00C70228">
        <w:rPr>
          <w:i/>
        </w:rPr>
        <w:br/>
      </w:r>
      <w:r w:rsidRPr="00C70228">
        <w:tab/>
        <w:t xml:space="preserve">Georges </w:t>
      </w:r>
      <w:proofErr w:type="spellStart"/>
      <w:r w:rsidRPr="00C70228">
        <w:t>Ravarani</w:t>
      </w:r>
      <w:proofErr w:type="spellEnd"/>
      <w:r w:rsidRPr="00C70228">
        <w:t>,</w:t>
      </w:r>
      <w:r w:rsidRPr="00C70228">
        <w:rPr>
          <w:i/>
        </w:rPr>
        <w:br/>
      </w:r>
      <w:r w:rsidRPr="00C70228">
        <w:tab/>
        <w:t>Jolien Schukking,</w:t>
      </w:r>
      <w:r w:rsidRPr="00C70228">
        <w:rPr>
          <w:i/>
        </w:rPr>
        <w:t xml:space="preserve"> judges,</w:t>
      </w:r>
      <w:r w:rsidRPr="00C70228" w:rsidR="0048584C">
        <w:br/>
        <w:t xml:space="preserve">and </w:t>
      </w:r>
      <w:r w:rsidRPr="00C70228" w:rsidR="001613CE">
        <w:t>Liv</w:t>
      </w:r>
      <w:r w:rsidRPr="00C70228" w:rsidR="0048584C">
        <w:t xml:space="preserve"> </w:t>
      </w:r>
      <w:r w:rsidRPr="00C70228" w:rsidR="001613CE">
        <w:t>Tigerstedt</w:t>
      </w:r>
      <w:r w:rsidRPr="00C70228" w:rsidR="00555A1D">
        <w:t>,</w:t>
      </w:r>
      <w:r w:rsidRPr="00C70228" w:rsidR="0048584C">
        <w:t xml:space="preserve"> </w:t>
      </w:r>
      <w:r w:rsidRPr="00C70228" w:rsidR="0048584C">
        <w:rPr>
          <w:i/>
        </w:rPr>
        <w:t>Acting</w:t>
      </w:r>
      <w:r w:rsidRPr="00C70228" w:rsidR="0048584C">
        <w:t xml:space="preserve"> </w:t>
      </w:r>
      <w:r w:rsidRPr="00C70228" w:rsidR="0048584C">
        <w:rPr>
          <w:rFonts w:cstheme="minorHAnsi"/>
          <w:i/>
        </w:rPr>
        <w:t>Deputy Section Registrar</w:t>
      </w:r>
      <w:r w:rsidRPr="00C70228" w:rsidR="0048584C">
        <w:rPr>
          <w:i/>
        </w:rPr>
        <w:t>,</w:t>
      </w:r>
    </w:p>
    <w:p w:rsidRPr="00C70228" w:rsidR="00787E12" w:rsidP="00C70228" w:rsidRDefault="0048584C">
      <w:pPr>
        <w:pStyle w:val="JuPara"/>
      </w:pPr>
      <w:r w:rsidRPr="00C70228">
        <w:t xml:space="preserve">Having deliberated in private on </w:t>
      </w:r>
      <w:r w:rsidRPr="00C70228" w:rsidR="009F72DF">
        <w:t>16 January 2020</w:t>
      </w:r>
      <w:r w:rsidRPr="00C70228">
        <w:t>,</w:t>
      </w:r>
    </w:p>
    <w:p w:rsidRPr="00C70228" w:rsidR="006372F5" w:rsidP="00C70228" w:rsidRDefault="0048584C">
      <w:pPr>
        <w:pStyle w:val="JuPara"/>
      </w:pPr>
      <w:r w:rsidRPr="00C70228">
        <w:t>Delivers the following judgment, which was adopted on that date:</w:t>
      </w:r>
    </w:p>
    <w:p w:rsidRPr="00C70228" w:rsidR="001613CE" w:rsidP="00C70228" w:rsidRDefault="001613CE">
      <w:pPr>
        <w:pStyle w:val="JuHHead"/>
        <w:numPr>
          <w:ilvl w:val="0"/>
          <w:numId w:val="22"/>
        </w:numPr>
      </w:pPr>
      <w:bookmarkStart w:name="ITMARKStartJudgment" w:id="1"/>
      <w:bookmarkEnd w:id="1"/>
      <w:r w:rsidRPr="00C70228">
        <w:t>PROCEDURE</w:t>
      </w:r>
    </w:p>
    <w:p w:rsidRPr="00C70228" w:rsidR="001613CE" w:rsidP="00C70228" w:rsidRDefault="001613CE">
      <w:pPr>
        <w:pStyle w:val="JuPara"/>
      </w:pPr>
      <w:r w:rsidRPr="00C70228">
        <w:rPr>
          <w:rFonts w:cs="Times New Roman"/>
        </w:rPr>
        <w:fldChar w:fldCharType="begin"/>
      </w:r>
      <w:r w:rsidRPr="00C70228">
        <w:rPr>
          <w:rFonts w:cs="Times New Roman"/>
        </w:rPr>
        <w:instrText xml:space="preserve"> SEQ level0 \*arabic </w:instrText>
      </w:r>
      <w:r w:rsidRPr="00C70228">
        <w:rPr>
          <w:rFonts w:cs="Times New Roman"/>
        </w:rPr>
        <w:fldChar w:fldCharType="separate"/>
      </w:r>
      <w:r w:rsidRPr="00C70228" w:rsidR="00C70228">
        <w:rPr>
          <w:rFonts w:cs="Times New Roman"/>
          <w:noProof/>
        </w:rPr>
        <w:t>1</w:t>
      </w:r>
      <w:r w:rsidRPr="00C70228">
        <w:rPr>
          <w:rFonts w:cs="Times New Roman"/>
        </w:rPr>
        <w:fldChar w:fldCharType="end"/>
      </w:r>
      <w:r w:rsidRPr="00C70228">
        <w:rPr>
          <w:rFonts w:cs="Times New Roman"/>
        </w:rPr>
        <w:t xml:space="preserve">.  The case originated in </w:t>
      </w:r>
      <w:r w:rsidRPr="00C70228">
        <w:t xml:space="preserve">an </w:t>
      </w:r>
      <w:r w:rsidRPr="00C70228">
        <w:rPr>
          <w:rFonts w:cs="Times New Roman"/>
        </w:rPr>
        <w:t>application against Hungary lodged with the Court under Article 34 of the Convention for the Protection of Human Rights and Fundamental Freedoms (“the Convention”) on 10 April 2019.</w:t>
      </w:r>
    </w:p>
    <w:p w:rsidRPr="00C70228" w:rsidR="001613CE" w:rsidP="00C70228" w:rsidRDefault="001613CE">
      <w:pPr>
        <w:pStyle w:val="JuPara"/>
        <w:rPr>
          <w:rFonts w:cs="Times New Roman"/>
        </w:rPr>
      </w:pPr>
      <w:r w:rsidRPr="00C70228">
        <w:rPr>
          <w:rFonts w:cs="Times New Roman"/>
        </w:rPr>
        <w:fldChar w:fldCharType="begin"/>
      </w:r>
      <w:r w:rsidRPr="00C70228">
        <w:rPr>
          <w:rFonts w:cs="Times New Roman"/>
        </w:rPr>
        <w:instrText xml:space="preserve"> SEQ level0 \*arabic </w:instrText>
      </w:r>
      <w:r w:rsidRPr="00C70228">
        <w:rPr>
          <w:rFonts w:cs="Times New Roman"/>
        </w:rPr>
        <w:fldChar w:fldCharType="separate"/>
      </w:r>
      <w:r w:rsidRPr="00C70228" w:rsidR="00C70228">
        <w:rPr>
          <w:rFonts w:cs="Times New Roman"/>
          <w:noProof/>
        </w:rPr>
        <w:t>2</w:t>
      </w:r>
      <w:r w:rsidRPr="00C70228">
        <w:rPr>
          <w:rFonts w:cs="Times New Roman"/>
        </w:rPr>
        <w:fldChar w:fldCharType="end"/>
      </w:r>
      <w:r w:rsidRPr="00C70228">
        <w:rPr>
          <w:rFonts w:cs="Times New Roman"/>
        </w:rPr>
        <w:t>.  The applicant was represented by Mr A.K. Kádár, a lawyer practising in Budapest.</w:t>
      </w:r>
    </w:p>
    <w:p w:rsidRPr="00C70228" w:rsidR="001613CE" w:rsidP="00C70228" w:rsidRDefault="001613CE">
      <w:pPr>
        <w:pStyle w:val="JuPara"/>
      </w:pPr>
      <w:r w:rsidRPr="00C70228">
        <w:rPr>
          <w:rFonts w:cs="Times New Roman"/>
        </w:rPr>
        <w:fldChar w:fldCharType="begin"/>
      </w:r>
      <w:r w:rsidRPr="00C70228">
        <w:rPr>
          <w:rFonts w:cs="Times New Roman"/>
        </w:rPr>
        <w:instrText xml:space="preserve"> SEQ level0 \*arabic </w:instrText>
      </w:r>
      <w:r w:rsidRPr="00C70228">
        <w:rPr>
          <w:rFonts w:cs="Times New Roman"/>
        </w:rPr>
        <w:fldChar w:fldCharType="separate"/>
      </w:r>
      <w:r w:rsidRPr="00C70228" w:rsidR="00C70228">
        <w:rPr>
          <w:rFonts w:cs="Times New Roman"/>
          <w:noProof/>
        </w:rPr>
        <w:t>3</w:t>
      </w:r>
      <w:r w:rsidRPr="00C70228">
        <w:rPr>
          <w:rFonts w:cs="Times New Roman"/>
        </w:rPr>
        <w:fldChar w:fldCharType="end"/>
      </w:r>
      <w:r w:rsidRPr="00C70228">
        <w:rPr>
          <w:rFonts w:cs="Times New Roman"/>
        </w:rPr>
        <w:t>.  </w:t>
      </w:r>
      <w:r w:rsidRPr="00C70228">
        <w:t>The Hungarian</w:t>
      </w:r>
      <w:r w:rsidRPr="00C70228" w:rsidR="00C70228">
        <w:t xml:space="preserve"> Government (“the </w:t>
      </w:r>
      <w:r w:rsidRPr="00C70228">
        <w:t>Government”) were given notice of the application.</w:t>
      </w:r>
    </w:p>
    <w:p w:rsidRPr="00C70228" w:rsidR="001613CE" w:rsidP="00C70228" w:rsidRDefault="001613CE">
      <w:pPr>
        <w:pStyle w:val="JuHHead"/>
        <w:numPr>
          <w:ilvl w:val="0"/>
          <w:numId w:val="22"/>
        </w:numPr>
      </w:pPr>
      <w:r w:rsidRPr="00C70228">
        <w:t>THE FACTS</w:t>
      </w:r>
    </w:p>
    <w:p w:rsidRPr="00C70228" w:rsidR="001613CE" w:rsidP="00C70228" w:rsidRDefault="001613CE">
      <w:pPr>
        <w:pStyle w:val="JuPara"/>
      </w:pPr>
      <w:r w:rsidRPr="00C70228">
        <w:fldChar w:fldCharType="begin"/>
      </w:r>
      <w:r w:rsidRPr="00C70228">
        <w:instrText xml:space="preserve"> SEQ level0 \*arabic </w:instrText>
      </w:r>
      <w:r w:rsidRPr="00C70228">
        <w:fldChar w:fldCharType="separate"/>
      </w:r>
      <w:r w:rsidRPr="00C70228" w:rsidR="00C70228">
        <w:rPr>
          <w:noProof/>
        </w:rPr>
        <w:t>4</w:t>
      </w:r>
      <w:r w:rsidRPr="00C70228">
        <w:fldChar w:fldCharType="end"/>
      </w:r>
      <w:r w:rsidRPr="00C70228">
        <w:t>.  The applicant</w:t>
      </w:r>
      <w:r w:rsidRPr="00C70228" w:rsidR="00C70228">
        <w:t>’</w:t>
      </w:r>
      <w:r w:rsidRPr="00C70228">
        <w:t>s details and information relevant to the application are set out in the appended table.</w:t>
      </w:r>
    </w:p>
    <w:p w:rsidRPr="00C70228" w:rsidR="001613CE" w:rsidP="00C70228" w:rsidRDefault="001613CE">
      <w:pPr>
        <w:pStyle w:val="JuPara"/>
        <w:rPr>
          <w:bCs/>
        </w:rPr>
      </w:pPr>
      <w:r w:rsidRPr="00C70228">
        <w:fldChar w:fldCharType="begin"/>
      </w:r>
      <w:r w:rsidRPr="00C70228">
        <w:instrText xml:space="preserve"> SEQ level0 \*arabic </w:instrText>
      </w:r>
      <w:r w:rsidRPr="00C70228">
        <w:fldChar w:fldCharType="separate"/>
      </w:r>
      <w:r w:rsidRPr="00C70228" w:rsidR="00C70228">
        <w:rPr>
          <w:noProof/>
        </w:rPr>
        <w:t>5</w:t>
      </w:r>
      <w:r w:rsidRPr="00C70228">
        <w:fldChar w:fldCharType="end"/>
      </w:r>
      <w:r w:rsidRPr="00C70228">
        <w:t>.  </w:t>
      </w:r>
      <w:r w:rsidRPr="00C70228">
        <w:rPr>
          <w:bCs/>
        </w:rPr>
        <w:t xml:space="preserve">The applicant complained of the excessive length of </w:t>
      </w:r>
      <w:r w:rsidRPr="00C70228">
        <w:t>his</w:t>
      </w:r>
      <w:r w:rsidRPr="00C70228">
        <w:rPr>
          <w:bCs/>
        </w:rPr>
        <w:t xml:space="preserve"> pre-trial detention</w:t>
      </w:r>
      <w:r w:rsidRPr="00C70228">
        <w:rPr>
          <w:rFonts w:cstheme="minorHAnsi"/>
          <w:bCs/>
          <w:color w:val="000000"/>
        </w:rPr>
        <w:t>.</w:t>
      </w:r>
    </w:p>
    <w:p w:rsidRPr="00C70228" w:rsidR="001613CE" w:rsidP="00C70228" w:rsidRDefault="001613CE">
      <w:pPr>
        <w:pStyle w:val="JuHHead"/>
        <w:numPr>
          <w:ilvl w:val="0"/>
          <w:numId w:val="22"/>
        </w:numPr>
      </w:pPr>
      <w:r w:rsidRPr="00C70228">
        <w:t>THE LAW</w:t>
      </w:r>
    </w:p>
    <w:p w:rsidRPr="00C70228" w:rsidR="001613CE" w:rsidP="00C70228" w:rsidRDefault="001613CE">
      <w:pPr>
        <w:pStyle w:val="JuHIRoman"/>
        <w:numPr>
          <w:ilvl w:val="1"/>
          <w:numId w:val="22"/>
        </w:numPr>
        <w:jc w:val="both"/>
        <w:rPr>
          <w:rFonts w:eastAsia="PMingLiU"/>
        </w:rPr>
      </w:pPr>
      <w:r w:rsidRPr="00C70228">
        <w:t>ALLEGED VIOLATION OF ARTICLE</w:t>
      </w:r>
      <w:r w:rsidRPr="00C70228">
        <w:rPr>
          <w:rFonts w:eastAsia="PMingLiU"/>
        </w:rPr>
        <w:t xml:space="preserve"> 5 § 3 OF THE CONVENTION</w:t>
      </w:r>
    </w:p>
    <w:p w:rsidRPr="00C70228" w:rsidR="001613CE" w:rsidP="00C70228" w:rsidRDefault="001613CE">
      <w:pPr>
        <w:pStyle w:val="JuPara"/>
      </w:pPr>
      <w:r w:rsidRPr="00C70228">
        <w:fldChar w:fldCharType="begin"/>
      </w:r>
      <w:r w:rsidRPr="00C70228">
        <w:instrText xml:space="preserve"> SEQ level0 \*arabic </w:instrText>
      </w:r>
      <w:r w:rsidRPr="00C70228">
        <w:fldChar w:fldCharType="separate"/>
      </w:r>
      <w:r w:rsidRPr="00C70228" w:rsidR="00C70228">
        <w:rPr>
          <w:noProof/>
        </w:rPr>
        <w:t>6</w:t>
      </w:r>
      <w:r w:rsidRPr="00C70228">
        <w:fldChar w:fldCharType="end"/>
      </w:r>
      <w:r w:rsidRPr="00C70228">
        <w:t>.  The applicant complained</w:t>
      </w:r>
      <w:r w:rsidRPr="00C70228">
        <w:rPr>
          <w:bCs/>
        </w:rPr>
        <w:t xml:space="preserve"> that </w:t>
      </w:r>
      <w:r w:rsidRPr="00C70228">
        <w:t>his</w:t>
      </w:r>
      <w:r w:rsidRPr="00C70228">
        <w:rPr>
          <w:bCs/>
        </w:rPr>
        <w:t xml:space="preserve"> pre-trial detention had been unreasonably long</w:t>
      </w:r>
      <w:r w:rsidRPr="00C70228">
        <w:t>. He relied on Article</w:t>
      </w:r>
      <w:r w:rsidRPr="00C70228" w:rsidR="00C70228">
        <w:rPr>
          <w:rFonts w:eastAsia="PMingLiU"/>
        </w:rPr>
        <w:t xml:space="preserve"> </w:t>
      </w:r>
      <w:r w:rsidRPr="00C70228">
        <w:rPr>
          <w:rFonts w:eastAsia="PMingLiU"/>
        </w:rPr>
        <w:t>5 § 3</w:t>
      </w:r>
      <w:r w:rsidRPr="00C70228">
        <w:t xml:space="preserve"> of the Convention, which read</w:t>
      </w:r>
      <w:r w:rsidRPr="00C70228">
        <w:rPr>
          <w:rFonts w:eastAsia="PMingLiU"/>
        </w:rPr>
        <w:t>s</w:t>
      </w:r>
      <w:r w:rsidRPr="00C70228">
        <w:t xml:space="preserve"> as follows:</w:t>
      </w:r>
    </w:p>
    <w:p w:rsidRPr="00C70228" w:rsidR="001613CE" w:rsidP="00C70228" w:rsidRDefault="001613CE">
      <w:pPr>
        <w:pStyle w:val="JuHArticle"/>
      </w:pPr>
      <w:r w:rsidRPr="00C70228">
        <w:t>Article</w:t>
      </w:r>
      <w:r w:rsidRPr="00C70228" w:rsidR="00C70228">
        <w:rPr>
          <w:rFonts w:eastAsia="PMingLiU"/>
        </w:rPr>
        <w:t xml:space="preserve"> </w:t>
      </w:r>
      <w:r w:rsidRPr="00C70228">
        <w:rPr>
          <w:rFonts w:eastAsia="PMingLiU"/>
        </w:rPr>
        <w:t>5 § 3</w:t>
      </w:r>
    </w:p>
    <w:p w:rsidRPr="00C70228" w:rsidR="001613CE" w:rsidP="00C70228" w:rsidRDefault="001613CE">
      <w:pPr>
        <w:pStyle w:val="JuQuot"/>
      </w:pPr>
      <w:r w:rsidRPr="00C70228">
        <w:t>“3.</w:t>
      </w:r>
      <w:proofErr w:type="gramStart"/>
      <w:r w:rsidRPr="00C70228">
        <w:t>  Everyone</w:t>
      </w:r>
      <w:proofErr w:type="gramEnd"/>
      <w:r w:rsidRPr="00C70228">
        <w:t xml:space="preserve"> arrested or detained in accordance with the provisions of paragraph 1 (c) of this Article shall be ... entitled to trial within a reasonable time or to release pending trial. Release may be conditioned by guarantees to appear for trial.”</w:t>
      </w:r>
    </w:p>
    <w:p w:rsidRPr="00C70228" w:rsidR="001613CE" w:rsidP="00C70228" w:rsidRDefault="001613CE">
      <w:pPr>
        <w:pStyle w:val="JuPara"/>
      </w:pPr>
      <w:r w:rsidRPr="00C70228">
        <w:fldChar w:fldCharType="begin"/>
      </w:r>
      <w:r w:rsidRPr="00C70228">
        <w:instrText xml:space="preserve"> SEQ level0 \*arabic </w:instrText>
      </w:r>
      <w:r w:rsidRPr="00C70228">
        <w:fldChar w:fldCharType="separate"/>
      </w:r>
      <w:r w:rsidRPr="00C70228" w:rsidR="00C70228">
        <w:rPr>
          <w:noProof/>
        </w:rPr>
        <w:t>7</w:t>
      </w:r>
      <w:r w:rsidRPr="00C70228">
        <w:fldChar w:fldCharType="end"/>
      </w:r>
      <w:r w:rsidRPr="00C70228">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C70228">
        <w:rPr>
          <w:i/>
        </w:rPr>
        <w:t>Kudła</w:t>
      </w:r>
      <w:proofErr w:type="spellEnd"/>
      <w:r w:rsidRPr="00C70228">
        <w:rPr>
          <w:i/>
        </w:rPr>
        <w:t xml:space="preserve"> v. Poland </w:t>
      </w:r>
      <w:r w:rsidRPr="00C70228">
        <w:t>[GC], no. 30210/96, § 110, ECHR 2000</w:t>
      </w:r>
      <w:r w:rsidRPr="00C70228">
        <w:noBreakHyphen/>
        <w:t xml:space="preserve">XI, and </w:t>
      </w:r>
      <w:r w:rsidRPr="00C70228">
        <w:rPr>
          <w:i/>
        </w:rPr>
        <w:t xml:space="preserve">McKay v. the United Kingdom </w:t>
      </w:r>
      <w:r w:rsidRPr="00C70228">
        <w:t>[GC], no. 543/03, §§ 41-44, ECHR 2006</w:t>
      </w:r>
      <w:r w:rsidRPr="00C70228">
        <w:noBreakHyphen/>
        <w:t>X, with further references).</w:t>
      </w:r>
    </w:p>
    <w:p w:rsidRPr="00C70228" w:rsidR="001613CE" w:rsidP="00C70228" w:rsidRDefault="001613CE">
      <w:pPr>
        <w:pStyle w:val="JuPara"/>
      </w:pPr>
      <w:r w:rsidRPr="00C70228">
        <w:fldChar w:fldCharType="begin"/>
      </w:r>
      <w:r w:rsidRPr="00C70228">
        <w:instrText xml:space="preserve"> SEQ level0 \*arabic </w:instrText>
      </w:r>
      <w:r w:rsidRPr="00C70228">
        <w:fldChar w:fldCharType="separate"/>
      </w:r>
      <w:r w:rsidRPr="00C70228" w:rsidR="00C70228">
        <w:rPr>
          <w:noProof/>
        </w:rPr>
        <w:t>8</w:t>
      </w:r>
      <w:r w:rsidRPr="00C70228">
        <w:fldChar w:fldCharType="end"/>
      </w:r>
      <w:r w:rsidRPr="00C70228">
        <w:t xml:space="preserve">.  In the leading case of </w:t>
      </w:r>
      <w:r w:rsidRPr="00C70228">
        <w:rPr>
          <w:i/>
        </w:rPr>
        <w:t xml:space="preserve">Gál v. Hungary, </w:t>
      </w:r>
      <w:r w:rsidRPr="00C70228">
        <w:t>no. 62631/11, 11 March 2014, the Court already found a violation in respect of issues similar to those in the present case.</w:t>
      </w:r>
    </w:p>
    <w:p w:rsidRPr="00C70228" w:rsidR="001613CE" w:rsidP="00C70228" w:rsidRDefault="001613CE">
      <w:pPr>
        <w:pStyle w:val="JuPara"/>
      </w:pPr>
      <w:r w:rsidRPr="00C70228">
        <w:fldChar w:fldCharType="begin"/>
      </w:r>
      <w:r w:rsidRPr="00C70228">
        <w:instrText xml:space="preserve"> SEQ level0 \*arabic </w:instrText>
      </w:r>
      <w:r w:rsidRPr="00C70228">
        <w:fldChar w:fldCharType="separate"/>
      </w:r>
      <w:r w:rsidRPr="00C70228" w:rsidR="00C70228">
        <w:rPr>
          <w:noProof/>
        </w:rPr>
        <w:t>9</w:t>
      </w:r>
      <w:r w:rsidRPr="00C70228">
        <w:fldChar w:fldCharType="end"/>
      </w:r>
      <w:r w:rsidRPr="00C70228">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C70228" w:rsidR="00C70228">
        <w:t>’</w:t>
      </w:r>
      <w:r w:rsidRPr="00C70228">
        <w:t>s pre-trial detention was excessive.</w:t>
      </w:r>
    </w:p>
    <w:p w:rsidRPr="00C70228" w:rsidR="001613CE" w:rsidP="00C70228" w:rsidRDefault="001613CE">
      <w:pPr>
        <w:pStyle w:val="JuPara"/>
      </w:pPr>
      <w:r w:rsidRPr="00C70228">
        <w:fldChar w:fldCharType="begin"/>
      </w:r>
      <w:r w:rsidRPr="00C70228">
        <w:instrText xml:space="preserve"> SEQ level0 \*arabic </w:instrText>
      </w:r>
      <w:r w:rsidRPr="00C70228">
        <w:fldChar w:fldCharType="separate"/>
      </w:r>
      <w:r w:rsidRPr="00C70228" w:rsidR="00C70228">
        <w:rPr>
          <w:noProof/>
        </w:rPr>
        <w:t>10</w:t>
      </w:r>
      <w:r w:rsidRPr="00C70228">
        <w:fldChar w:fldCharType="end"/>
      </w:r>
      <w:r w:rsidRPr="00C70228">
        <w:t>.  These complaints are therefore admissible and disclose a breach of Article</w:t>
      </w:r>
      <w:r w:rsidRPr="00C70228" w:rsidR="00C70228">
        <w:rPr>
          <w:rFonts w:eastAsia="PMingLiU"/>
        </w:rPr>
        <w:t xml:space="preserve"> 5 </w:t>
      </w:r>
      <w:r w:rsidRPr="00C70228">
        <w:rPr>
          <w:rFonts w:eastAsia="PMingLiU"/>
        </w:rPr>
        <w:t>§ 3</w:t>
      </w:r>
      <w:r w:rsidRPr="00C70228">
        <w:t xml:space="preserve"> of the Convention.</w:t>
      </w:r>
    </w:p>
    <w:p w:rsidRPr="00C70228" w:rsidR="001613CE" w:rsidP="00C70228" w:rsidRDefault="001613CE">
      <w:pPr>
        <w:pStyle w:val="JuHIRoman"/>
        <w:numPr>
          <w:ilvl w:val="1"/>
          <w:numId w:val="22"/>
        </w:numPr>
        <w:jc w:val="both"/>
      </w:pPr>
      <w:r w:rsidRPr="00C70228">
        <w:t>APPLICATION OF ARTICLE 41 OF THE CONVENTION</w:t>
      </w:r>
    </w:p>
    <w:p w:rsidRPr="00C70228" w:rsidR="001613CE" w:rsidP="00C70228" w:rsidRDefault="001613CE">
      <w:pPr>
        <w:pStyle w:val="JuPara"/>
      </w:pPr>
      <w:r w:rsidRPr="00C70228">
        <w:fldChar w:fldCharType="begin"/>
      </w:r>
      <w:r w:rsidRPr="00C70228">
        <w:instrText xml:space="preserve"> SEQ level0 \*arabic </w:instrText>
      </w:r>
      <w:r w:rsidRPr="00C70228">
        <w:fldChar w:fldCharType="separate"/>
      </w:r>
      <w:r w:rsidRPr="00C70228" w:rsidR="00C70228">
        <w:rPr>
          <w:noProof/>
        </w:rPr>
        <w:t>11</w:t>
      </w:r>
      <w:r w:rsidRPr="00C70228">
        <w:fldChar w:fldCharType="end"/>
      </w:r>
      <w:r w:rsidRPr="00C70228">
        <w:t>.  Article 41 of the Convention provides:</w:t>
      </w:r>
    </w:p>
    <w:p w:rsidRPr="00C70228" w:rsidR="001613CE" w:rsidP="00C70228" w:rsidRDefault="001613CE">
      <w:pPr>
        <w:pStyle w:val="JuQuot"/>
        <w:keepNext/>
        <w:keepLines/>
      </w:pPr>
      <w:r w:rsidRPr="00C7022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70228" w:rsidR="001613CE" w:rsidP="00C70228" w:rsidRDefault="001613CE">
      <w:pPr>
        <w:pStyle w:val="JuPara"/>
      </w:pPr>
      <w:r w:rsidRPr="00C70228">
        <w:fldChar w:fldCharType="begin"/>
      </w:r>
      <w:r w:rsidRPr="00C70228">
        <w:instrText xml:space="preserve"> SEQ level0 \*arabic </w:instrText>
      </w:r>
      <w:r w:rsidRPr="00C70228">
        <w:fldChar w:fldCharType="separate"/>
      </w:r>
      <w:r w:rsidRPr="00C70228" w:rsidR="00C70228">
        <w:rPr>
          <w:noProof/>
        </w:rPr>
        <w:t>12</w:t>
      </w:r>
      <w:r w:rsidRPr="00C70228">
        <w:fldChar w:fldCharType="end"/>
      </w:r>
      <w:r w:rsidRPr="00C70228">
        <w:t>.  Regard being had to the documents in its possession and to its case</w:t>
      </w:r>
      <w:r w:rsidRPr="00C70228">
        <w:noBreakHyphen/>
        <w:t xml:space="preserve">law (see, in particular, </w:t>
      </w:r>
      <w:r w:rsidRPr="00C70228">
        <w:rPr>
          <w:i/>
        </w:rPr>
        <w:t xml:space="preserve">Gál v. Hungary, </w:t>
      </w:r>
      <w:r w:rsidRPr="00C70228">
        <w:t>no. 62631/11, 11 March 2014), the Court considers it reasonable to award the sum indicated in the appended table.</w:t>
      </w:r>
    </w:p>
    <w:p w:rsidRPr="00C70228" w:rsidR="001613CE" w:rsidP="00C70228" w:rsidRDefault="001613CE">
      <w:pPr>
        <w:pStyle w:val="JuPara"/>
      </w:pPr>
      <w:r w:rsidRPr="00C70228">
        <w:fldChar w:fldCharType="begin"/>
      </w:r>
      <w:r w:rsidRPr="00C70228">
        <w:instrText xml:space="preserve"> SEQ level0 \*arabic </w:instrText>
      </w:r>
      <w:r w:rsidRPr="00C70228">
        <w:fldChar w:fldCharType="separate"/>
      </w:r>
      <w:r w:rsidRPr="00C70228" w:rsidR="00C70228">
        <w:rPr>
          <w:noProof/>
        </w:rPr>
        <w:t>13</w:t>
      </w:r>
      <w:r w:rsidRPr="00C70228">
        <w:fldChar w:fldCharType="end"/>
      </w:r>
      <w:r w:rsidRPr="00C70228">
        <w:t>.  The Court considers it appropriate that the default interest rate should be based on the marginal lending rate of the European Central Bank, to which should be added three percentage points.</w:t>
      </w:r>
    </w:p>
    <w:p w:rsidRPr="00C70228" w:rsidR="001613CE" w:rsidP="00C70228" w:rsidRDefault="001613CE">
      <w:pPr>
        <w:pStyle w:val="JuHHead"/>
        <w:numPr>
          <w:ilvl w:val="0"/>
          <w:numId w:val="22"/>
        </w:numPr>
      </w:pPr>
      <w:r w:rsidRPr="00C70228">
        <w:t>FOR THESE REASONS, THE COURT</w:t>
      </w:r>
      <w:r w:rsidRPr="00C70228">
        <w:rPr>
          <w:color w:val="000000"/>
        </w:rPr>
        <w:t>,</w:t>
      </w:r>
      <w:r w:rsidRPr="00C70228">
        <w:t xml:space="preserve"> UNANIMOUSLY,</w:t>
      </w:r>
    </w:p>
    <w:p w:rsidRPr="00C70228" w:rsidR="001613CE" w:rsidP="00C70228" w:rsidRDefault="001613CE">
      <w:pPr>
        <w:pStyle w:val="JuList"/>
        <w:numPr>
          <w:ilvl w:val="0"/>
          <w:numId w:val="30"/>
        </w:numPr>
      </w:pPr>
      <w:r w:rsidRPr="00C70228">
        <w:rPr>
          <w:i/>
        </w:rPr>
        <w:t xml:space="preserve">Declares </w:t>
      </w:r>
      <w:r w:rsidRPr="00C70228">
        <w:t>the application admissible;</w:t>
      </w:r>
    </w:p>
    <w:p w:rsidRPr="00C70228" w:rsidR="001613CE" w:rsidP="00C70228" w:rsidRDefault="001613CE">
      <w:pPr>
        <w:pStyle w:val="JuList"/>
        <w:numPr>
          <w:ilvl w:val="0"/>
          <w:numId w:val="30"/>
        </w:numPr>
      </w:pPr>
      <w:r w:rsidRPr="00C70228">
        <w:rPr>
          <w:i/>
        </w:rPr>
        <w:t xml:space="preserve">Holds </w:t>
      </w:r>
      <w:r w:rsidRPr="00C70228">
        <w:t>that it discloses a breach of Article</w:t>
      </w:r>
      <w:r w:rsidRPr="00C70228">
        <w:rPr>
          <w:rFonts w:eastAsia="PMingLiU"/>
        </w:rPr>
        <w:t xml:space="preserve"> 5 § 3 </w:t>
      </w:r>
      <w:r w:rsidRPr="00C70228">
        <w:t xml:space="preserve">of the Convention concerning the </w:t>
      </w:r>
      <w:r w:rsidRPr="00C70228">
        <w:rPr>
          <w:szCs w:val="24"/>
        </w:rPr>
        <w:t>excessive length of pre-trial detention</w:t>
      </w:r>
      <w:r w:rsidRPr="00C70228">
        <w:rPr>
          <w:rFonts w:eastAsia="PMingLiU"/>
        </w:rPr>
        <w:t>;</w:t>
      </w:r>
    </w:p>
    <w:p w:rsidRPr="00C70228" w:rsidR="001613CE" w:rsidP="00C70228" w:rsidRDefault="001613CE">
      <w:pPr>
        <w:pStyle w:val="JuList"/>
        <w:numPr>
          <w:ilvl w:val="0"/>
          <w:numId w:val="30"/>
        </w:numPr>
      </w:pPr>
      <w:r w:rsidRPr="00C70228">
        <w:rPr>
          <w:i/>
        </w:rPr>
        <w:t>Holds</w:t>
      </w:r>
    </w:p>
    <w:p w:rsidRPr="00C70228" w:rsidR="001613CE" w:rsidP="00C70228" w:rsidRDefault="001613CE">
      <w:pPr>
        <w:pStyle w:val="JuLista"/>
        <w:numPr>
          <w:ilvl w:val="1"/>
          <w:numId w:val="30"/>
        </w:numPr>
      </w:pPr>
      <w:r w:rsidRPr="00C70228">
        <w:t>that the respondent State is to pay the applicant, within three months, the amount indicated in the appended table, to be converted into the currency of the respondent State at the rate applicable at the date of settlement;</w:t>
      </w:r>
    </w:p>
    <w:p w:rsidRPr="00C70228" w:rsidR="00787E12" w:rsidP="00C70228" w:rsidRDefault="001613CE">
      <w:pPr>
        <w:pStyle w:val="JuLista"/>
      </w:pPr>
      <w:proofErr w:type="gramStart"/>
      <w:r w:rsidRPr="00C70228">
        <w:t>that</w:t>
      </w:r>
      <w:proofErr w:type="gramEnd"/>
      <w:r w:rsidRPr="00C70228">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C70228" w:rsidR="00C43D38" w:rsidP="00C70228" w:rsidRDefault="0048584C">
      <w:pPr>
        <w:pStyle w:val="JuParaLast"/>
      </w:pPr>
      <w:r w:rsidRPr="00C70228">
        <w:t xml:space="preserve">Done in English, and notified in writing on </w:t>
      </w:r>
      <w:r w:rsidRPr="00C70228" w:rsidR="00474450">
        <w:t>6 February</w:t>
      </w:r>
      <w:r w:rsidRPr="00C70228" w:rsidR="001613CE">
        <w:t xml:space="preserve"> 2020</w:t>
      </w:r>
      <w:r w:rsidRPr="00C70228">
        <w:t>, pursuant to Rule 77 §§ 2 and 3 of the Rules of Court.</w:t>
      </w:r>
    </w:p>
    <w:p w:rsidRPr="00C70228" w:rsidR="00CF644B" w:rsidP="00C70228" w:rsidRDefault="0048584C">
      <w:pPr>
        <w:pStyle w:val="JuSigned"/>
        <w:tabs>
          <w:tab w:val="clear" w:pos="851"/>
          <w:tab w:val="center" w:pos="1134"/>
        </w:tabs>
        <w:rPr>
          <w:rFonts w:eastAsia="PMingLiU"/>
        </w:rPr>
      </w:pPr>
      <w:r w:rsidRPr="00C70228">
        <w:rPr>
          <w:rFonts w:eastAsia="PMingLiU"/>
        </w:rPr>
        <w:tab/>
      </w:r>
      <w:r w:rsidRPr="00C70228" w:rsidR="001613CE">
        <w:rPr>
          <w:rFonts w:eastAsia="PMingLiU"/>
        </w:rPr>
        <w:t>Liv</w:t>
      </w:r>
      <w:r w:rsidRPr="00C70228">
        <w:rPr>
          <w:rFonts w:eastAsia="PMingLiU"/>
        </w:rPr>
        <w:t xml:space="preserve"> </w:t>
      </w:r>
      <w:r w:rsidRPr="00C70228" w:rsidR="001613CE">
        <w:rPr>
          <w:rFonts w:eastAsia="PMingLiU"/>
        </w:rPr>
        <w:t>Tigerstedt</w:t>
      </w:r>
      <w:r w:rsidRPr="00C70228">
        <w:rPr>
          <w:rFonts w:eastAsia="PMingLiU"/>
        </w:rPr>
        <w:tab/>
      </w:r>
      <w:r w:rsidRPr="00C70228" w:rsidR="001613CE">
        <w:rPr>
          <w:rFonts w:eastAsia="PMingLiU"/>
        </w:rPr>
        <w:t xml:space="preserve">Stéphanie </w:t>
      </w:r>
      <w:proofErr w:type="spellStart"/>
      <w:r w:rsidRPr="00C70228" w:rsidR="001613CE">
        <w:rPr>
          <w:rFonts w:eastAsia="PMingLiU"/>
        </w:rPr>
        <w:t>Mourou-Vikström</w:t>
      </w:r>
      <w:proofErr w:type="spellEnd"/>
    </w:p>
    <w:p w:rsidRPr="00C70228" w:rsidR="00787E12" w:rsidP="00C70228" w:rsidRDefault="0048584C">
      <w:pPr>
        <w:pStyle w:val="JuSigned"/>
        <w:tabs>
          <w:tab w:val="clear" w:pos="851"/>
          <w:tab w:val="clear" w:pos="6407"/>
          <w:tab w:val="center" w:pos="1134"/>
          <w:tab w:val="center" w:pos="5954"/>
        </w:tabs>
        <w:contextualSpacing/>
        <w:rPr>
          <w:rFonts w:eastAsia="PMingLiU"/>
        </w:rPr>
      </w:pPr>
      <w:r w:rsidRPr="00C70228">
        <w:rPr>
          <w:rFonts w:eastAsia="PMingLiU"/>
        </w:rPr>
        <w:tab/>
        <w:t>Acting Deputy Registrar</w:t>
      </w:r>
      <w:r w:rsidRPr="00C70228">
        <w:rPr>
          <w:rFonts w:eastAsia="PMingLiU"/>
        </w:rPr>
        <w:tab/>
        <w:t>President</w:t>
      </w:r>
    </w:p>
    <w:p w:rsidRPr="00C70228" w:rsidR="00787E12" w:rsidP="00C70228" w:rsidRDefault="00DF2BD5">
      <w:pPr>
        <w:pStyle w:val="JuParaLast"/>
        <w:sectPr w:rsidRPr="00C70228"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C70228" w:rsidR="00787E12" w:rsidP="00C70228" w:rsidRDefault="0048584C">
      <w:pPr>
        <w:pStyle w:val="DecHTitle"/>
      </w:pPr>
      <w:r w:rsidRPr="00C70228">
        <w:t>APPENDIX</w:t>
      </w:r>
    </w:p>
    <w:p w:rsidRPr="00C70228" w:rsidR="00787E12" w:rsidP="00C70228" w:rsidRDefault="001613CE">
      <w:pPr>
        <w:pStyle w:val="DecHCase"/>
        <w:contextualSpacing/>
        <w:rPr>
          <w:b/>
          <w:i/>
          <w:color w:val="3E3E3E" w:themeColor="background2" w:themeShade="40"/>
        </w:rPr>
      </w:pPr>
      <w:r w:rsidRPr="00C70228">
        <w:rPr>
          <w:color w:val="3E3E3E" w:themeColor="background2" w:themeShade="40"/>
        </w:rPr>
        <w:t>Application</w:t>
      </w:r>
      <w:r w:rsidRPr="00C70228" w:rsidR="0048584C">
        <w:rPr>
          <w:color w:val="3E3E3E" w:themeColor="background2" w:themeShade="40"/>
        </w:rPr>
        <w:t xml:space="preserve"> raising complaints under Article</w:t>
      </w:r>
      <w:r w:rsidRPr="00C70228">
        <w:rPr>
          <w:color w:val="3E3E3E" w:themeColor="background2" w:themeShade="40"/>
        </w:rPr>
        <w:t xml:space="preserve"> 5 § 3 of the Convention</w:t>
      </w:r>
    </w:p>
    <w:p w:rsidRPr="00C70228" w:rsidR="00787E12" w:rsidP="00C70228" w:rsidRDefault="0048584C">
      <w:pPr>
        <w:pStyle w:val="DecHCase"/>
        <w:contextualSpacing/>
        <w:rPr>
          <w:b/>
          <w:i/>
          <w:szCs w:val="24"/>
        </w:rPr>
      </w:pPr>
      <w:r w:rsidRPr="00C70228">
        <w:rPr>
          <w:color w:val="3E3E3E" w:themeColor="background2" w:themeShade="40"/>
        </w:rPr>
        <w:t>(</w:t>
      </w:r>
      <w:proofErr w:type="gramStart"/>
      <w:r w:rsidRPr="00C70228" w:rsidR="001613CE">
        <w:rPr>
          <w:color w:val="3E3E3E" w:themeColor="background2" w:themeShade="40"/>
        </w:rPr>
        <w:t>excessive</w:t>
      </w:r>
      <w:proofErr w:type="gramEnd"/>
      <w:r w:rsidRPr="00C70228" w:rsidR="001613CE">
        <w:rPr>
          <w:color w:val="3E3E3E" w:themeColor="background2" w:themeShade="40"/>
        </w:rPr>
        <w:t xml:space="preserve"> length of pre-trial detention</w:t>
      </w:r>
      <w:r w:rsidRPr="00C70228">
        <w:rPr>
          <w:color w:val="3E3E3E" w:themeColor="background2" w:themeShade="40"/>
          <w:szCs w:val="24"/>
        </w:rPr>
        <w:t>)</w:t>
      </w:r>
    </w:p>
    <w:tbl>
      <w:tblPr>
        <w:tblStyle w:val="ECHRListTable"/>
        <w:tblW w:w="13554" w:type="dxa"/>
        <w:jc w:val="center"/>
        <w:tblLook w:val="0420" w:firstRow="1" w:lastRow="0" w:firstColumn="0" w:lastColumn="0" w:noHBand="0" w:noVBand="1"/>
      </w:tblPr>
      <w:tblGrid>
        <w:gridCol w:w="2095"/>
        <w:gridCol w:w="1798"/>
        <w:gridCol w:w="1862"/>
        <w:gridCol w:w="1540"/>
        <w:gridCol w:w="2835"/>
        <w:gridCol w:w="3424"/>
      </w:tblGrid>
      <w:tr w:rsidRPr="00C70228" w:rsidR="00DC0405" w:rsidTr="00DC0405">
        <w:trPr>
          <w:cnfStyle w:val="100000000000" w:firstRow="1" w:lastRow="0" w:firstColumn="0" w:lastColumn="0" w:oddVBand="0" w:evenVBand="0" w:oddHBand="0" w:evenHBand="0" w:firstRowFirstColumn="0" w:firstRowLastColumn="0" w:lastRowFirstColumn="0" w:lastRowLastColumn="0"/>
          <w:jc w:val="center"/>
        </w:trPr>
        <w:tc>
          <w:tcPr>
            <w:tcW w:w="2095" w:type="dxa"/>
          </w:tcPr>
          <w:p w:rsidRPr="00C70228" w:rsidR="00DC0405" w:rsidP="00C70228" w:rsidRDefault="00DC0405">
            <w:pPr>
              <w:jc w:val="center"/>
              <w:rPr>
                <w:sz w:val="16"/>
              </w:rPr>
            </w:pPr>
            <w:bookmarkStart w:name="WECLListStart" w:id="2"/>
            <w:bookmarkEnd w:id="2"/>
            <w:r w:rsidRPr="00C70228">
              <w:rPr>
                <w:sz w:val="16"/>
              </w:rPr>
              <w:t>Application no.</w:t>
            </w:r>
          </w:p>
          <w:p w:rsidRPr="00C70228" w:rsidR="00DC0405" w:rsidP="00C70228" w:rsidRDefault="00DC0405">
            <w:pPr>
              <w:jc w:val="center"/>
              <w:rPr>
                <w:sz w:val="16"/>
              </w:rPr>
            </w:pPr>
            <w:r w:rsidRPr="00C70228">
              <w:rPr>
                <w:sz w:val="16"/>
              </w:rPr>
              <w:t>Date of introduction</w:t>
            </w:r>
          </w:p>
        </w:tc>
        <w:tc>
          <w:tcPr>
            <w:tcW w:w="1798" w:type="dxa"/>
          </w:tcPr>
          <w:p w:rsidRPr="00C70228" w:rsidR="00DC0405" w:rsidP="00C70228" w:rsidRDefault="00DC0405">
            <w:pPr>
              <w:jc w:val="center"/>
              <w:rPr>
                <w:sz w:val="16"/>
              </w:rPr>
            </w:pPr>
            <w:r w:rsidRPr="00C70228">
              <w:rPr>
                <w:sz w:val="16"/>
              </w:rPr>
              <w:t>Applicant</w:t>
            </w:r>
            <w:r w:rsidRPr="00C70228" w:rsidR="00C70228">
              <w:rPr>
                <w:sz w:val="16"/>
              </w:rPr>
              <w:t>’</w:t>
            </w:r>
            <w:r w:rsidRPr="00C70228">
              <w:rPr>
                <w:sz w:val="16"/>
              </w:rPr>
              <w:t>s name</w:t>
            </w:r>
          </w:p>
          <w:p w:rsidRPr="00C70228" w:rsidR="00DC0405" w:rsidP="00C70228" w:rsidRDefault="00DC0405">
            <w:pPr>
              <w:jc w:val="center"/>
              <w:rPr>
                <w:sz w:val="16"/>
              </w:rPr>
            </w:pPr>
            <w:r w:rsidRPr="00C70228">
              <w:rPr>
                <w:sz w:val="16"/>
              </w:rPr>
              <w:t>Date of birth</w:t>
            </w:r>
          </w:p>
          <w:p w:rsidRPr="00C70228" w:rsidR="00DC0405" w:rsidP="00C70228" w:rsidRDefault="00DC0405">
            <w:pPr>
              <w:jc w:val="center"/>
              <w:rPr>
                <w:sz w:val="16"/>
              </w:rPr>
            </w:pPr>
          </w:p>
        </w:tc>
        <w:tc>
          <w:tcPr>
            <w:tcW w:w="1862" w:type="dxa"/>
          </w:tcPr>
          <w:p w:rsidRPr="00C70228" w:rsidR="00DC0405" w:rsidP="00C70228" w:rsidRDefault="00DC0405">
            <w:pPr>
              <w:jc w:val="center"/>
              <w:rPr>
                <w:sz w:val="16"/>
              </w:rPr>
            </w:pPr>
            <w:r w:rsidRPr="00C70228">
              <w:rPr>
                <w:sz w:val="16"/>
              </w:rPr>
              <w:t>Representative</w:t>
            </w:r>
            <w:r w:rsidRPr="00C70228" w:rsidR="00C70228">
              <w:rPr>
                <w:sz w:val="16"/>
              </w:rPr>
              <w:t>’</w:t>
            </w:r>
            <w:r w:rsidRPr="00C70228">
              <w:rPr>
                <w:sz w:val="16"/>
              </w:rPr>
              <w:t>s name and location</w:t>
            </w:r>
          </w:p>
        </w:tc>
        <w:tc>
          <w:tcPr>
            <w:tcW w:w="1540" w:type="dxa"/>
          </w:tcPr>
          <w:p w:rsidRPr="00C70228" w:rsidR="00DC0405" w:rsidP="00C70228" w:rsidRDefault="00DC0405">
            <w:pPr>
              <w:jc w:val="center"/>
              <w:rPr>
                <w:sz w:val="16"/>
              </w:rPr>
            </w:pPr>
            <w:r w:rsidRPr="00C70228">
              <w:rPr>
                <w:sz w:val="16"/>
              </w:rPr>
              <w:t>Period of detention</w:t>
            </w:r>
          </w:p>
        </w:tc>
        <w:tc>
          <w:tcPr>
            <w:tcW w:w="2835" w:type="dxa"/>
          </w:tcPr>
          <w:p w:rsidRPr="00C70228" w:rsidR="00DC0405" w:rsidP="00C70228" w:rsidRDefault="00DC0405">
            <w:pPr>
              <w:jc w:val="center"/>
              <w:rPr>
                <w:sz w:val="16"/>
              </w:rPr>
            </w:pPr>
            <w:r w:rsidRPr="00C70228">
              <w:rPr>
                <w:sz w:val="16"/>
              </w:rPr>
              <w:t>Length of detention</w:t>
            </w:r>
          </w:p>
        </w:tc>
        <w:tc>
          <w:tcPr>
            <w:tcW w:w="3424" w:type="dxa"/>
          </w:tcPr>
          <w:p w:rsidRPr="00C70228" w:rsidR="00DC0405" w:rsidP="00C70228" w:rsidRDefault="00DC0405">
            <w:pPr>
              <w:jc w:val="center"/>
              <w:rPr>
                <w:sz w:val="16"/>
              </w:rPr>
            </w:pPr>
            <w:r w:rsidRPr="00C70228">
              <w:rPr>
                <w:sz w:val="16"/>
              </w:rPr>
              <w:t>Amount awarded for non-pecuniary damage and costs and expenses per applicant</w:t>
            </w:r>
          </w:p>
          <w:p w:rsidRPr="00C70228" w:rsidR="00DC0405" w:rsidP="00C70228" w:rsidRDefault="00DC0405">
            <w:pPr>
              <w:jc w:val="center"/>
              <w:rPr>
                <w:sz w:val="16"/>
              </w:rPr>
            </w:pPr>
            <w:r w:rsidRPr="00C70228">
              <w:rPr>
                <w:sz w:val="16"/>
              </w:rPr>
              <w:t>(in euros)</w:t>
            </w:r>
            <w:r w:rsidRPr="00C70228">
              <w:rPr>
                <w:rStyle w:val="FootnoteReference"/>
                <w:sz w:val="16"/>
              </w:rPr>
              <w:footnoteReference w:id="1"/>
            </w:r>
          </w:p>
        </w:tc>
      </w:tr>
      <w:tr w:rsidRPr="00C70228" w:rsidR="00DC0405" w:rsidTr="00DC0405">
        <w:trPr>
          <w:jc w:val="center"/>
        </w:trPr>
        <w:tc>
          <w:tcPr>
            <w:tcW w:w="2095" w:type="dxa"/>
          </w:tcPr>
          <w:p w:rsidRPr="00C70228" w:rsidR="00DC0405" w:rsidP="00C70228" w:rsidRDefault="00DC0405">
            <w:pPr>
              <w:jc w:val="center"/>
              <w:rPr>
                <w:sz w:val="16"/>
              </w:rPr>
            </w:pPr>
            <w:r w:rsidRPr="00C70228">
              <w:rPr>
                <w:sz w:val="16"/>
              </w:rPr>
              <w:t>20714/19</w:t>
            </w:r>
          </w:p>
          <w:p w:rsidRPr="00C70228" w:rsidR="00DC0405" w:rsidP="00C70228" w:rsidRDefault="00DC0405">
            <w:pPr>
              <w:jc w:val="center"/>
              <w:rPr>
                <w:sz w:val="16"/>
              </w:rPr>
            </w:pPr>
            <w:r w:rsidRPr="00C70228">
              <w:rPr>
                <w:sz w:val="16"/>
              </w:rPr>
              <w:t>10/04/2019</w:t>
            </w:r>
          </w:p>
        </w:tc>
        <w:tc>
          <w:tcPr>
            <w:tcW w:w="1798" w:type="dxa"/>
          </w:tcPr>
          <w:p w:rsidRPr="00C70228" w:rsidR="00DC0405" w:rsidP="00C70228" w:rsidRDefault="00DC0405">
            <w:pPr>
              <w:jc w:val="center"/>
              <w:rPr>
                <w:b/>
                <w:sz w:val="16"/>
              </w:rPr>
            </w:pPr>
            <w:r w:rsidRPr="00C70228">
              <w:rPr>
                <w:b/>
                <w:sz w:val="16"/>
              </w:rPr>
              <w:t>Péter SÜVEGES</w:t>
            </w:r>
          </w:p>
          <w:p w:rsidRPr="00C70228" w:rsidR="00DC0405" w:rsidP="00C70228" w:rsidRDefault="00DC0405">
            <w:pPr>
              <w:jc w:val="center"/>
              <w:rPr>
                <w:sz w:val="16"/>
              </w:rPr>
            </w:pPr>
            <w:r w:rsidRPr="00C70228">
              <w:rPr>
                <w:sz w:val="16"/>
              </w:rPr>
              <w:t>11/04/1972</w:t>
            </w:r>
          </w:p>
        </w:tc>
        <w:tc>
          <w:tcPr>
            <w:tcW w:w="1862" w:type="dxa"/>
          </w:tcPr>
          <w:p w:rsidRPr="00C70228" w:rsidR="00DC0405" w:rsidP="00C70228" w:rsidRDefault="00DC0405">
            <w:pPr>
              <w:jc w:val="center"/>
              <w:rPr>
                <w:sz w:val="16"/>
              </w:rPr>
            </w:pPr>
            <w:r w:rsidRPr="00C70228">
              <w:rPr>
                <w:sz w:val="16"/>
              </w:rPr>
              <w:t>Kádár András Kristóf</w:t>
            </w:r>
          </w:p>
          <w:p w:rsidRPr="00C70228" w:rsidR="00DC0405" w:rsidP="00C70228" w:rsidRDefault="00DC0405">
            <w:pPr>
              <w:jc w:val="center"/>
              <w:rPr>
                <w:sz w:val="16"/>
              </w:rPr>
            </w:pPr>
            <w:r w:rsidRPr="00C70228">
              <w:rPr>
                <w:sz w:val="16"/>
              </w:rPr>
              <w:t>Budapest</w:t>
            </w:r>
          </w:p>
        </w:tc>
        <w:tc>
          <w:tcPr>
            <w:tcW w:w="1540" w:type="dxa"/>
          </w:tcPr>
          <w:p w:rsidRPr="00C70228" w:rsidR="00DC0405" w:rsidP="00C70228" w:rsidRDefault="00DC0405">
            <w:pPr>
              <w:jc w:val="center"/>
              <w:rPr>
                <w:sz w:val="16"/>
              </w:rPr>
            </w:pPr>
            <w:r w:rsidRPr="00C70228">
              <w:rPr>
                <w:sz w:val="16"/>
              </w:rPr>
              <w:t>05/01/2016 to</w:t>
            </w:r>
          </w:p>
          <w:p w:rsidRPr="00C70228" w:rsidR="00DC0405" w:rsidP="00C70228" w:rsidRDefault="00DC0405">
            <w:pPr>
              <w:jc w:val="center"/>
              <w:rPr>
                <w:sz w:val="16"/>
              </w:rPr>
            </w:pPr>
            <w:r w:rsidRPr="00C70228">
              <w:rPr>
                <w:sz w:val="16"/>
              </w:rPr>
              <w:t>29/05/2019</w:t>
            </w:r>
          </w:p>
        </w:tc>
        <w:tc>
          <w:tcPr>
            <w:tcW w:w="2835" w:type="dxa"/>
          </w:tcPr>
          <w:p w:rsidRPr="00C70228" w:rsidR="00DC0405" w:rsidP="00C70228" w:rsidRDefault="00DC0405">
            <w:pPr>
              <w:jc w:val="center"/>
              <w:rPr>
                <w:sz w:val="16"/>
              </w:rPr>
            </w:pPr>
            <w:r w:rsidRPr="00C70228">
              <w:rPr>
                <w:sz w:val="16"/>
              </w:rPr>
              <w:t>3 year(s) and 4 month(s) and 25 day(s)</w:t>
            </w:r>
          </w:p>
          <w:p w:rsidRPr="00C70228" w:rsidR="00DC0405" w:rsidP="00C70228" w:rsidRDefault="00DC0405">
            <w:pPr>
              <w:jc w:val="center"/>
              <w:rPr>
                <w:sz w:val="16"/>
              </w:rPr>
            </w:pPr>
          </w:p>
        </w:tc>
        <w:tc>
          <w:tcPr>
            <w:tcW w:w="3424" w:type="dxa"/>
          </w:tcPr>
          <w:p w:rsidRPr="00C70228" w:rsidR="00DC0405" w:rsidP="00C70228" w:rsidRDefault="00DC0405">
            <w:pPr>
              <w:jc w:val="center"/>
              <w:rPr>
                <w:sz w:val="16"/>
              </w:rPr>
            </w:pPr>
            <w:r w:rsidRPr="00C70228">
              <w:rPr>
                <w:sz w:val="16"/>
              </w:rPr>
              <w:t>4,600</w:t>
            </w:r>
          </w:p>
        </w:tc>
      </w:tr>
    </w:tbl>
    <w:p w:rsidRPr="00C70228" w:rsidR="00787E12" w:rsidP="00C70228" w:rsidRDefault="00DF2BD5">
      <w:pPr>
        <w:jc w:val="left"/>
      </w:pPr>
    </w:p>
    <w:p w:rsidRPr="00C70228" w:rsidR="00791456" w:rsidP="00C70228" w:rsidRDefault="00DF2BD5">
      <w:pPr>
        <w:jc w:val="left"/>
      </w:pPr>
    </w:p>
    <w:sectPr w:rsidRPr="00C70228"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3CE" w:rsidRPr="00497FF8" w:rsidRDefault="001613CE">
      <w:r w:rsidRPr="00497FF8">
        <w:separator/>
      </w:r>
    </w:p>
  </w:endnote>
  <w:endnote w:type="continuationSeparator" w:id="0">
    <w:p w:rsidR="001613CE" w:rsidRPr="00497FF8" w:rsidRDefault="001613CE">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3CE" w:rsidRPr="00150BFA" w:rsidRDefault="001613CE" w:rsidP="0020718E">
    <w:pPr>
      <w:jc w:val="center"/>
    </w:pPr>
    <w:r>
      <w:rPr>
        <w:noProof/>
        <w:lang w:val="en-US" w:eastAsia="ja-JP"/>
      </w:rPr>
      <w:drawing>
        <wp:inline distT="0" distB="0" distL="0" distR="0" wp14:anchorId="30454732" wp14:editId="6CC9209A">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DF2BD5"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3CE" w:rsidRPr="00497FF8" w:rsidRDefault="001613CE" w:rsidP="00787E12">
      <w:r w:rsidRPr="00497FF8">
        <w:separator/>
      </w:r>
    </w:p>
  </w:footnote>
  <w:footnote w:type="continuationSeparator" w:id="0">
    <w:p w:rsidR="001613CE" w:rsidRPr="00497FF8" w:rsidRDefault="001613CE" w:rsidP="00787E12">
      <w:r w:rsidRPr="00497FF8">
        <w:continuationSeparator/>
      </w:r>
    </w:p>
  </w:footnote>
  <w:footnote w:id="1">
    <w:p w:rsidR="00DC0405" w:rsidRPr="00B94C4D" w:rsidRDefault="00DC0405" w:rsidP="001613CE">
      <w:pPr>
        <w:pStyle w:val="FootnoteText"/>
        <w:rPr>
          <w:lang w:val="hu-HU"/>
        </w:rPr>
      </w:pPr>
      <w:r w:rsidRPr="00AD77EB">
        <w:footnoteRef/>
      </w:r>
      <w:r w:rsidRPr="00AD77EB">
        <w:t>.  </w:t>
      </w:r>
      <w:r w:rsidRPr="00782529">
        <w:rPr>
          <w:sz w:val="16"/>
          <w:szCs w:val="16"/>
          <w:lang w:val="hu-HU"/>
        </w:rPr>
        <w:t xml:space="preserve">Plus </w:t>
      </w:r>
      <w:proofErr w:type="spellStart"/>
      <w:r w:rsidRPr="00782529">
        <w:rPr>
          <w:sz w:val="16"/>
          <w:szCs w:val="16"/>
          <w:lang w:val="hu-HU"/>
        </w:rPr>
        <w:t>any</w:t>
      </w:r>
      <w:proofErr w:type="spellEnd"/>
      <w:r w:rsidRPr="00782529">
        <w:rPr>
          <w:sz w:val="16"/>
          <w:szCs w:val="16"/>
          <w:lang w:val="hu-HU"/>
        </w:rPr>
        <w:t xml:space="preserve"> </w:t>
      </w:r>
      <w:proofErr w:type="spellStart"/>
      <w:r w:rsidRPr="00782529">
        <w:rPr>
          <w:sz w:val="16"/>
          <w:szCs w:val="16"/>
          <w:lang w:val="hu-HU"/>
        </w:rPr>
        <w:t>tax</w:t>
      </w:r>
      <w:proofErr w:type="spellEnd"/>
      <w:r w:rsidRPr="00782529">
        <w:rPr>
          <w:sz w:val="16"/>
          <w:szCs w:val="16"/>
          <w:lang w:val="hu-HU"/>
        </w:rPr>
        <w:t xml:space="preserve"> </w:t>
      </w:r>
      <w:proofErr w:type="spellStart"/>
      <w:r w:rsidRPr="00782529">
        <w:rPr>
          <w:sz w:val="16"/>
          <w:szCs w:val="16"/>
          <w:lang w:val="hu-HU"/>
        </w:rPr>
        <w:t>that</w:t>
      </w:r>
      <w:proofErr w:type="spellEnd"/>
      <w:r w:rsidRPr="00782529">
        <w:rPr>
          <w:sz w:val="16"/>
          <w:szCs w:val="16"/>
          <w:lang w:val="hu-HU"/>
        </w:rPr>
        <w:t xml:space="preserve"> </w:t>
      </w:r>
      <w:proofErr w:type="spellStart"/>
      <w:r w:rsidRPr="00782529">
        <w:rPr>
          <w:sz w:val="16"/>
          <w:szCs w:val="16"/>
          <w:lang w:val="hu-HU"/>
        </w:rPr>
        <w:t>may</w:t>
      </w:r>
      <w:proofErr w:type="spellEnd"/>
      <w:r w:rsidRPr="00782529">
        <w:rPr>
          <w:sz w:val="16"/>
          <w:szCs w:val="16"/>
          <w:lang w:val="hu-HU"/>
        </w:rPr>
        <w:t xml:space="preserve"> be </w:t>
      </w:r>
      <w:proofErr w:type="spellStart"/>
      <w:r w:rsidRPr="00782529">
        <w:rPr>
          <w:sz w:val="16"/>
          <w:szCs w:val="16"/>
          <w:lang w:val="hu-HU"/>
        </w:rPr>
        <w:t>chargeable</w:t>
      </w:r>
      <w:proofErr w:type="spellEnd"/>
      <w:r w:rsidRPr="00782529">
        <w:rPr>
          <w:sz w:val="16"/>
          <w:szCs w:val="16"/>
          <w:lang w:val="hu-HU"/>
        </w:rPr>
        <w:t xml:space="preserve"> </w:t>
      </w:r>
      <w:proofErr w:type="spellStart"/>
      <w:r w:rsidRPr="00782529">
        <w:rPr>
          <w:sz w:val="16"/>
          <w:szCs w:val="16"/>
          <w:lang w:val="hu-HU"/>
        </w:rPr>
        <w:t>to</w:t>
      </w:r>
      <w:proofErr w:type="spellEnd"/>
      <w:r w:rsidRPr="00782529">
        <w:rPr>
          <w:sz w:val="16"/>
          <w:szCs w:val="16"/>
          <w:lang w:val="hu-HU"/>
        </w:rPr>
        <w:t xml:space="preserve"> </w:t>
      </w:r>
      <w:proofErr w:type="spellStart"/>
      <w:r w:rsidRPr="00782529">
        <w:rPr>
          <w:sz w:val="16"/>
          <w:szCs w:val="16"/>
          <w:lang w:val="hu-HU"/>
        </w:rPr>
        <w:t>the</w:t>
      </w:r>
      <w:proofErr w:type="spellEnd"/>
      <w:r w:rsidRPr="00782529">
        <w:rPr>
          <w:sz w:val="16"/>
          <w:szCs w:val="16"/>
          <w:lang w:val="hu-HU"/>
        </w:rPr>
        <w:t xml:space="preserve"> </w:t>
      </w:r>
      <w:proofErr w:type="spellStart"/>
      <w:r w:rsidRPr="00782529">
        <w:rPr>
          <w:sz w:val="16"/>
          <w:szCs w:val="16"/>
          <w:lang w:val="hu-HU"/>
        </w:rPr>
        <w:t>applicant</w:t>
      </w:r>
      <w:proofErr w:type="spellEnd"/>
      <w:r w:rsidRPr="00782529">
        <w:rPr>
          <w:sz w:val="16"/>
          <w:szCs w:val="16"/>
          <w:lang w:val="hu-H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3CE" w:rsidRPr="00A45145" w:rsidRDefault="001613CE" w:rsidP="00A45145">
    <w:pPr>
      <w:jc w:val="center"/>
    </w:pPr>
    <w:r>
      <w:rPr>
        <w:noProof/>
        <w:lang w:val="en-US" w:eastAsia="ja-JP"/>
      </w:rPr>
      <w:drawing>
        <wp:inline distT="0" distB="0" distL="0" distR="0" wp14:anchorId="5F1D4354" wp14:editId="00ACE03C">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DF2BD5" w:rsidP="000318F7">
    <w:pPr>
      <w:jc w:val="center"/>
      <w:rPr>
        <w:sz w:val="4"/>
        <w:szCs w:val="4"/>
      </w:rPr>
    </w:pPr>
  </w:p>
  <w:p w:rsidR="00787E12" w:rsidRPr="00497FF8" w:rsidRDefault="00DF2B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3CE" w:rsidRPr="00A45145" w:rsidRDefault="001613CE" w:rsidP="00A45145">
    <w:pPr>
      <w:jc w:val="center"/>
    </w:pPr>
    <w:r>
      <w:rPr>
        <w:noProof/>
        <w:lang w:val="en-US" w:eastAsia="ja-JP"/>
      </w:rPr>
      <w:drawing>
        <wp:inline distT="0" distB="0" distL="0" distR="0" wp14:anchorId="032314CC" wp14:editId="73E19606">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DF2BD5"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1613CE" w:rsidP="006372F5">
    <w:pPr>
      <w:pStyle w:val="JuHeader"/>
    </w:pPr>
    <w:r>
      <w:rPr>
        <w:rStyle w:val="PageNumber"/>
      </w:rPr>
      <w:fldChar w:fldCharType="begin"/>
    </w:r>
    <w:r>
      <w:rPr>
        <w:rStyle w:val="PageNumber"/>
      </w:rPr>
      <w:instrText xml:space="preserve"> PAGE </w:instrText>
    </w:r>
    <w:r>
      <w:rPr>
        <w:rStyle w:val="PageNumber"/>
      </w:rPr>
      <w:fldChar w:fldCharType="separate"/>
    </w:r>
    <w:r w:rsidR="00C70228">
      <w:rPr>
        <w:rStyle w:val="PageNumber"/>
        <w:noProof/>
      </w:rPr>
      <w:t>2</w:t>
    </w:r>
    <w:r>
      <w:rPr>
        <w:rStyle w:val="PageNumber"/>
      </w:rPr>
      <w:fldChar w:fldCharType="end"/>
    </w:r>
    <w:r w:rsidR="0048584C" w:rsidRPr="004D0EC7">
      <w:tab/>
    </w:r>
    <w:r>
      <w:t>SÜVEGES v. HUNGARY</w:t>
    </w:r>
    <w:r w:rsidR="002A6263">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1613CE">
      <w:t>SÜVEGES v. HUNGARY</w:t>
    </w:r>
    <w:r w:rsidRPr="00DE7D3F">
      <w:t xml:space="preserve"> JUDGMENT</w:t>
    </w:r>
    <w:r w:rsidRPr="00DE7D3F">
      <w:tab/>
    </w:r>
    <w:r w:rsidR="001613CE">
      <w:rPr>
        <w:rStyle w:val="PageNumber"/>
      </w:rPr>
      <w:fldChar w:fldCharType="begin"/>
    </w:r>
    <w:r w:rsidR="001613CE">
      <w:rPr>
        <w:rStyle w:val="PageNumber"/>
      </w:rPr>
      <w:instrText xml:space="preserve"> PAGE </w:instrText>
    </w:r>
    <w:r w:rsidR="001613CE">
      <w:rPr>
        <w:rStyle w:val="PageNumber"/>
      </w:rPr>
      <w:fldChar w:fldCharType="separate"/>
    </w:r>
    <w:r w:rsidR="00C70228">
      <w:rPr>
        <w:rStyle w:val="PageNumber"/>
        <w:noProof/>
      </w:rPr>
      <w:t>3</w:t>
    </w:r>
    <w:r w:rsidR="001613CE">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1613CE"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C70228">
      <w:rPr>
        <w:rStyle w:val="PageNumber"/>
        <w:noProof/>
      </w:rPr>
      <w:t>4</w:t>
    </w:r>
    <w:r>
      <w:rPr>
        <w:rStyle w:val="PageNumber"/>
      </w:rPr>
      <w:fldChar w:fldCharType="end"/>
    </w:r>
    <w:r w:rsidR="0048584C" w:rsidRPr="004D0EC7">
      <w:tab/>
    </w:r>
    <w:r>
      <w:t>SÜVEGES v. HUNGARY</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1613CE">
      <w:t>SÜVEGES v. HUNGARY</w:t>
    </w:r>
    <w:r w:rsidRPr="00DE7D3F">
      <w:t xml:space="preserve"> JUDGMENT</w:t>
    </w:r>
    <w:r w:rsidRPr="00DE7D3F">
      <w:tab/>
    </w:r>
    <w:r w:rsidR="001613CE">
      <w:rPr>
        <w:rStyle w:val="PageNumber"/>
      </w:rPr>
      <w:fldChar w:fldCharType="begin"/>
    </w:r>
    <w:r w:rsidR="001613CE">
      <w:rPr>
        <w:rStyle w:val="PageNumber"/>
      </w:rPr>
      <w:instrText xml:space="preserve"> PAGE </w:instrText>
    </w:r>
    <w:r w:rsidR="001613CE">
      <w:rPr>
        <w:rStyle w:val="PageNumber"/>
      </w:rPr>
      <w:fldChar w:fldCharType="separate"/>
    </w:r>
    <w:r w:rsidR="00A80022">
      <w:rPr>
        <w:rStyle w:val="PageNumber"/>
        <w:noProof/>
      </w:rPr>
      <w:t>4</w:t>
    </w:r>
    <w:r w:rsidR="001613C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613CE"/>
    <w:rsid w:val="00130506"/>
    <w:rsid w:val="001613CE"/>
    <w:rsid w:val="002A6263"/>
    <w:rsid w:val="00337785"/>
    <w:rsid w:val="003A18DE"/>
    <w:rsid w:val="00474450"/>
    <w:rsid w:val="0048584C"/>
    <w:rsid w:val="00497FF8"/>
    <w:rsid w:val="00555A1D"/>
    <w:rsid w:val="006300F7"/>
    <w:rsid w:val="007F018A"/>
    <w:rsid w:val="00860732"/>
    <w:rsid w:val="009522DD"/>
    <w:rsid w:val="009F72DF"/>
    <w:rsid w:val="00A80022"/>
    <w:rsid w:val="00AD77EB"/>
    <w:rsid w:val="00C70228"/>
    <w:rsid w:val="00DC0405"/>
    <w:rsid w:val="00DF2BD5"/>
    <w:rsid w:val="00E7516D"/>
    <w:rsid w:val="00E875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B6A127-3918-4B41-8ADE-3A492C4D312E}"/>
</file>

<file path=customXml/itemProps2.xml><?xml version="1.0" encoding="utf-8"?>
<ds:datastoreItem xmlns:ds="http://schemas.openxmlformats.org/officeDocument/2006/customXml" ds:itemID="{743C511B-7AE3-40E2-8A85-BE09BF9DBA80}"/>
</file>

<file path=customXml/itemProps3.xml><?xml version="1.0" encoding="utf-8"?>
<ds:datastoreItem xmlns:ds="http://schemas.openxmlformats.org/officeDocument/2006/customXml" ds:itemID="{721CD261-16CD-4BAF-BF64-06BE1797C992}"/>
</file>

<file path=customXml/itemProps4.xml><?xml version="1.0" encoding="utf-8"?>
<ds:datastoreItem xmlns:ds="http://schemas.openxmlformats.org/officeDocument/2006/customXml" ds:itemID="{9CF2C1D3-339E-4AFB-9FE0-62007998ECF1}"/>
</file>

<file path=docProps/app.xml><?xml version="1.0" encoding="utf-8"?>
<Properties xmlns="http://schemas.openxmlformats.org/officeDocument/2006/extended-properties" xmlns:vt="http://schemas.openxmlformats.org/officeDocument/2006/docPropsVTypes">
  <Template>Normal.dotm</Template>
  <TotalTime>0</TotalTime>
  <Pages>1</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2020-02-06T08:50:00Z</dcterms:created>
  <dcterms:modified xsi:type="dcterms:W3CDTF">2020-02-06T08:50:00Z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20714/19</vt:lpwstr>
  </property>
  <property fmtid="{D5CDD505-2E9C-101B-9397-08002B2CF9AE}" pid="4" name="CASEID">
    <vt:lpwstr>1448739</vt:lpwstr>
  </property>
  <property fmtid="{D5CDD505-2E9C-101B-9397-08002B2CF9AE}" pid="5" name="ContentTypeId">
    <vt:lpwstr>0x010100558EB02BDB9E204AB350EDD385B68E10</vt:lpwstr>
  </property>
</Properties>
</file>