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04A95" w:rsidR="00DE61E0" w:rsidP="00804A95" w:rsidRDefault="00DE61E0">
      <w:pPr>
        <w:jc w:val="center"/>
      </w:pPr>
      <w:bookmarkStart w:name="_GoBack" w:id="0"/>
      <w:bookmarkEnd w:id="0"/>
    </w:p>
    <w:p w:rsidRPr="00804A95" w:rsidR="00066E99" w:rsidP="00804A95" w:rsidRDefault="00066E99">
      <w:pPr>
        <w:jc w:val="center"/>
      </w:pPr>
    </w:p>
    <w:p w:rsidRPr="00804A95" w:rsidR="00066E99" w:rsidP="00804A95" w:rsidRDefault="00066E99">
      <w:pPr>
        <w:jc w:val="center"/>
      </w:pPr>
    </w:p>
    <w:p w:rsidRPr="00804A95" w:rsidR="00DE61E0" w:rsidP="00804A95" w:rsidRDefault="005743F2">
      <w:pPr>
        <w:jc w:val="center"/>
      </w:pPr>
      <w:r w:rsidRPr="00804A95">
        <w:t>THIRD SECTION</w:t>
      </w:r>
    </w:p>
    <w:p w:rsidRPr="00804A95" w:rsidR="00DE61E0" w:rsidP="00804A95" w:rsidRDefault="00DE61E0">
      <w:pPr>
        <w:jc w:val="center"/>
      </w:pPr>
    </w:p>
    <w:p w:rsidRPr="00804A95" w:rsidR="00066E99" w:rsidP="00804A95" w:rsidRDefault="00066E99">
      <w:pPr>
        <w:jc w:val="center"/>
      </w:pPr>
    </w:p>
    <w:p w:rsidRPr="00804A95" w:rsidR="00066E99" w:rsidP="00804A95" w:rsidRDefault="00066E99">
      <w:pPr>
        <w:jc w:val="center"/>
      </w:pPr>
    </w:p>
    <w:p w:rsidRPr="00804A95" w:rsidR="00066E99" w:rsidP="00804A95" w:rsidRDefault="00066E99">
      <w:pPr>
        <w:jc w:val="center"/>
      </w:pPr>
    </w:p>
    <w:p w:rsidRPr="00804A95" w:rsidR="00066E99" w:rsidP="00804A95" w:rsidRDefault="00066E99">
      <w:pPr>
        <w:jc w:val="center"/>
      </w:pPr>
    </w:p>
    <w:p w:rsidRPr="00804A95" w:rsidR="00066E99" w:rsidP="00804A95" w:rsidRDefault="00066E99">
      <w:pPr>
        <w:jc w:val="center"/>
      </w:pPr>
    </w:p>
    <w:p w:rsidRPr="00804A95" w:rsidR="00E5160F" w:rsidP="00804A95" w:rsidRDefault="005743F2">
      <w:pPr>
        <w:jc w:val="center"/>
        <w:rPr>
          <w:b/>
        </w:rPr>
      </w:pPr>
      <w:bookmarkStart w:name="To" w:id="1"/>
      <w:r w:rsidRPr="00804A95">
        <w:rPr>
          <w:b/>
        </w:rPr>
        <w:t xml:space="preserve">CASE OF </w:t>
      </w:r>
      <w:bookmarkEnd w:id="1"/>
      <w:r w:rsidRPr="00804A95">
        <w:rPr>
          <w:b/>
        </w:rPr>
        <w:t>FRAMIPEK S.R.O.</w:t>
      </w:r>
      <w:r w:rsidRPr="00804A95" w:rsidR="00E5160F">
        <w:rPr>
          <w:b/>
        </w:rPr>
        <w:t xml:space="preserve"> AND AGRORACIO SENICA, A.S.</w:t>
      </w:r>
    </w:p>
    <w:p w:rsidRPr="00804A95" w:rsidR="005743F2" w:rsidP="00804A95" w:rsidRDefault="00E5160F">
      <w:pPr>
        <w:jc w:val="center"/>
        <w:rPr>
          <w:b/>
        </w:rPr>
      </w:pPr>
      <w:r w:rsidRPr="00804A95">
        <w:rPr>
          <w:b/>
        </w:rPr>
        <w:t>v. </w:t>
      </w:r>
      <w:r w:rsidRPr="00804A95" w:rsidR="005743F2">
        <w:rPr>
          <w:b/>
        </w:rPr>
        <w:t>SLOVAKIA</w:t>
      </w:r>
    </w:p>
    <w:p w:rsidRPr="00804A95" w:rsidR="005743F2" w:rsidP="00804A95" w:rsidRDefault="005743F2">
      <w:pPr>
        <w:jc w:val="center"/>
      </w:pPr>
    </w:p>
    <w:p w:rsidRPr="00804A95" w:rsidR="005743F2" w:rsidP="00804A95" w:rsidRDefault="005743F2">
      <w:pPr>
        <w:jc w:val="center"/>
        <w:rPr>
          <w:i/>
        </w:rPr>
      </w:pPr>
      <w:r w:rsidRPr="00804A95">
        <w:rPr>
          <w:i/>
        </w:rPr>
        <w:t xml:space="preserve">(Applications nos. 51894/14 and </w:t>
      </w:r>
      <w:r w:rsidRPr="00804A95" w:rsidR="00E5160F">
        <w:rPr>
          <w:bCs/>
          <w:i/>
        </w:rPr>
        <w:t>52073/14</w:t>
      </w:r>
      <w:r w:rsidRPr="00804A95">
        <w:rPr>
          <w:i/>
        </w:rPr>
        <w:t>)</w:t>
      </w:r>
    </w:p>
    <w:p w:rsidRPr="00804A95" w:rsidR="005743F2" w:rsidP="00804A95" w:rsidRDefault="005743F2">
      <w:pPr>
        <w:jc w:val="center"/>
      </w:pPr>
    </w:p>
    <w:p w:rsidRPr="00804A95" w:rsidR="005743F2" w:rsidP="00804A95" w:rsidRDefault="005743F2">
      <w:pPr>
        <w:jc w:val="center"/>
        <w:rPr>
          <w:szCs w:val="24"/>
        </w:rPr>
      </w:pPr>
    </w:p>
    <w:p w:rsidRPr="00804A95" w:rsidR="005743F2" w:rsidP="00804A95" w:rsidRDefault="005743F2">
      <w:pPr>
        <w:jc w:val="center"/>
        <w:rPr>
          <w:szCs w:val="24"/>
        </w:rPr>
      </w:pPr>
    </w:p>
    <w:p w:rsidRPr="00804A95" w:rsidR="005743F2" w:rsidP="00804A95" w:rsidRDefault="005743F2">
      <w:pPr>
        <w:jc w:val="center"/>
        <w:rPr>
          <w:szCs w:val="24"/>
        </w:rPr>
      </w:pPr>
    </w:p>
    <w:p w:rsidRPr="00804A95" w:rsidR="005743F2" w:rsidP="00804A95" w:rsidRDefault="005743F2">
      <w:pPr>
        <w:jc w:val="center"/>
        <w:rPr>
          <w:szCs w:val="24"/>
        </w:rPr>
      </w:pPr>
    </w:p>
    <w:p w:rsidRPr="00804A95" w:rsidR="005743F2" w:rsidP="00804A95" w:rsidRDefault="005743F2">
      <w:pPr>
        <w:jc w:val="center"/>
        <w:rPr>
          <w:szCs w:val="24"/>
        </w:rPr>
      </w:pPr>
    </w:p>
    <w:p w:rsidRPr="00804A95" w:rsidR="005743F2" w:rsidP="00804A95" w:rsidRDefault="005743F2">
      <w:pPr>
        <w:jc w:val="center"/>
        <w:rPr>
          <w:szCs w:val="24"/>
        </w:rPr>
      </w:pPr>
    </w:p>
    <w:p w:rsidRPr="00804A95" w:rsidR="005743F2" w:rsidP="00804A95" w:rsidRDefault="00066E99">
      <w:pPr>
        <w:jc w:val="center"/>
        <w:rPr>
          <w:szCs w:val="24"/>
        </w:rPr>
      </w:pPr>
      <w:r w:rsidRPr="00804A95">
        <w:rPr>
          <w:szCs w:val="24"/>
        </w:rPr>
        <w:t>JUDGMENT</w:t>
      </w:r>
    </w:p>
    <w:p w:rsidRPr="00804A95" w:rsidR="005743F2" w:rsidP="00804A95" w:rsidRDefault="005743F2">
      <w:pPr>
        <w:jc w:val="center"/>
        <w:rPr>
          <w:szCs w:val="24"/>
        </w:rPr>
      </w:pPr>
    </w:p>
    <w:p w:rsidRPr="00804A95" w:rsidR="00E5160F" w:rsidP="00804A95" w:rsidRDefault="00E5160F">
      <w:pPr>
        <w:jc w:val="center"/>
        <w:rPr>
          <w:szCs w:val="24"/>
        </w:rPr>
      </w:pPr>
    </w:p>
    <w:p w:rsidRPr="00804A95" w:rsidR="00066E99" w:rsidP="00804A95" w:rsidRDefault="00066E99">
      <w:pPr>
        <w:jc w:val="center"/>
        <w:rPr>
          <w:szCs w:val="24"/>
        </w:rPr>
      </w:pPr>
    </w:p>
    <w:p w:rsidRPr="00804A95" w:rsidR="00066E99" w:rsidP="00804A95" w:rsidRDefault="00066E99">
      <w:pPr>
        <w:jc w:val="center"/>
        <w:rPr>
          <w:b/>
        </w:rPr>
      </w:pPr>
    </w:p>
    <w:p w:rsidRPr="00804A95" w:rsidR="00066E99" w:rsidP="00804A95" w:rsidRDefault="00066E99">
      <w:pPr>
        <w:jc w:val="center"/>
        <w:rPr>
          <w:szCs w:val="24"/>
        </w:rPr>
      </w:pPr>
      <w:r w:rsidRPr="00804A95">
        <w:rPr>
          <w:szCs w:val="24"/>
        </w:rPr>
        <w:t>STRASBOURG</w:t>
      </w:r>
    </w:p>
    <w:p w:rsidRPr="00804A95" w:rsidR="00066E99" w:rsidP="00804A95" w:rsidRDefault="00066E99">
      <w:pPr>
        <w:jc w:val="center"/>
        <w:rPr>
          <w:szCs w:val="24"/>
        </w:rPr>
      </w:pPr>
    </w:p>
    <w:p w:rsidRPr="00804A95" w:rsidR="00066E99" w:rsidP="00804A95" w:rsidRDefault="00066E99">
      <w:pPr>
        <w:jc w:val="center"/>
        <w:rPr>
          <w:szCs w:val="24"/>
        </w:rPr>
      </w:pPr>
      <w:r w:rsidRPr="00804A95">
        <w:rPr>
          <w:szCs w:val="24"/>
        </w:rPr>
        <w:t>28 January 2020</w:t>
      </w:r>
    </w:p>
    <w:p w:rsidRPr="00804A95" w:rsidR="00066E99" w:rsidP="00804A95" w:rsidRDefault="00066E99">
      <w:pPr>
        <w:jc w:val="center"/>
      </w:pPr>
    </w:p>
    <w:p w:rsidRPr="00804A95" w:rsidR="00066E99" w:rsidP="00804A95" w:rsidRDefault="00066E99">
      <w:pPr>
        <w:jc w:val="center"/>
      </w:pPr>
    </w:p>
    <w:p w:rsidRPr="00804A95" w:rsidR="00BA3B37" w:rsidP="00804A95" w:rsidRDefault="00BA3B37">
      <w:pPr>
        <w:jc w:val="center"/>
        <w:rPr>
          <w:sz w:val="22"/>
        </w:rPr>
      </w:pPr>
    </w:p>
    <w:p w:rsidRPr="00804A95" w:rsidR="00066E99" w:rsidP="00804A95" w:rsidRDefault="00066E99">
      <w:pPr>
        <w:jc w:val="center"/>
        <w:sectPr w:rsidRPr="00804A95" w:rsidR="00066E99" w:rsidSect="00066E99">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r w:rsidRPr="00804A95">
        <w:rPr>
          <w:i/>
          <w:sz w:val="22"/>
        </w:rPr>
        <w:t>This judgment is final but it may be subject to editorial revision.</w:t>
      </w:r>
    </w:p>
    <w:p w:rsidRPr="00804A95" w:rsidR="005743F2" w:rsidP="00804A95" w:rsidRDefault="005743F2">
      <w:pPr>
        <w:pStyle w:val="JuCase"/>
        <w:rPr>
          <w:b w:val="0"/>
          <w:bCs/>
        </w:rPr>
      </w:pPr>
      <w:r w:rsidRPr="00804A95">
        <w:t>In the case</w:t>
      </w:r>
      <w:r w:rsidRPr="00804A95" w:rsidR="001D799A">
        <w:t>s</w:t>
      </w:r>
      <w:r w:rsidRPr="00804A95">
        <w:t xml:space="preserve"> of </w:t>
      </w:r>
      <w:r w:rsidRPr="00804A95" w:rsidR="00E5160F">
        <w:t>f</w:t>
      </w:r>
      <w:r w:rsidRPr="00804A95">
        <w:t xml:space="preserve">ramipek s.r.o. </w:t>
      </w:r>
      <w:r w:rsidRPr="00804A95" w:rsidR="00E5160F">
        <w:t xml:space="preserve">and AGRORACIO </w:t>
      </w:r>
      <w:r w:rsidRPr="00804A95" w:rsidR="002A4D82">
        <w:t>Senica</w:t>
      </w:r>
      <w:r w:rsidRPr="00804A95" w:rsidR="00E5160F">
        <w:t>, a.s. v. </w:t>
      </w:r>
      <w:r w:rsidRPr="00804A95">
        <w:t>Slovakia,</w:t>
      </w:r>
    </w:p>
    <w:p w:rsidRPr="00804A95" w:rsidR="005743F2" w:rsidP="00804A95" w:rsidRDefault="005743F2">
      <w:pPr>
        <w:pStyle w:val="ECHRPara"/>
        <w:rPr>
          <w:b/>
        </w:rPr>
      </w:pPr>
      <w:r w:rsidRPr="00804A95">
        <w:t>The European Court of Human Rights (Third Section</w:t>
      </w:r>
      <w:r w:rsidRPr="00804A95" w:rsidR="006A5AED">
        <w:t xml:space="preserve">), sitting as a </w:t>
      </w:r>
      <w:r w:rsidRPr="00804A95">
        <w:t>Committee composed of:</w:t>
      </w:r>
    </w:p>
    <w:p w:rsidRPr="00804A95" w:rsidR="005743F2" w:rsidP="00804A95" w:rsidRDefault="00A4065E">
      <w:pPr>
        <w:pStyle w:val="ECHRDecisionBody"/>
      </w:pPr>
      <w:r w:rsidRPr="00804A95">
        <w:tab/>
        <w:t>Dmitry Dedov,</w:t>
      </w:r>
      <w:r w:rsidRPr="00804A95">
        <w:rPr>
          <w:i/>
        </w:rPr>
        <w:t xml:space="preserve"> President,</w:t>
      </w:r>
      <w:r w:rsidRPr="00804A95">
        <w:rPr>
          <w:i/>
        </w:rPr>
        <w:br/>
      </w:r>
      <w:r w:rsidRPr="00804A95">
        <w:tab/>
        <w:t>Alena Poláčková,</w:t>
      </w:r>
      <w:r w:rsidRPr="00804A95">
        <w:rPr>
          <w:i/>
        </w:rPr>
        <w:br/>
      </w:r>
      <w:r w:rsidRPr="00804A95">
        <w:tab/>
        <w:t>Gilberto Felici,</w:t>
      </w:r>
      <w:r w:rsidRPr="00804A95">
        <w:rPr>
          <w:i/>
        </w:rPr>
        <w:t xml:space="preserve"> judges,</w:t>
      </w:r>
    </w:p>
    <w:p w:rsidRPr="00804A95" w:rsidR="005743F2" w:rsidP="00804A95" w:rsidRDefault="005743F2">
      <w:pPr>
        <w:pStyle w:val="ECHRDecisionBody"/>
      </w:pPr>
      <w:r w:rsidRPr="00804A95">
        <w:t xml:space="preserve">and </w:t>
      </w:r>
      <w:r w:rsidRPr="00804A95" w:rsidR="00BA3B37">
        <w:t>Stephen Phillips</w:t>
      </w:r>
      <w:r w:rsidRPr="00804A95">
        <w:t xml:space="preserve">, </w:t>
      </w:r>
      <w:r w:rsidRPr="00804A95">
        <w:rPr>
          <w:i/>
        </w:rPr>
        <w:t xml:space="preserve">Section </w:t>
      </w:r>
      <w:r w:rsidRPr="00804A95">
        <w:rPr>
          <w:i/>
          <w:iCs/>
        </w:rPr>
        <w:t>Registrar</w:t>
      </w:r>
      <w:r w:rsidRPr="00804A95">
        <w:rPr>
          <w:i/>
        </w:rPr>
        <w:t>,</w:t>
      </w:r>
    </w:p>
    <w:p w:rsidRPr="00804A95" w:rsidR="005743F2" w:rsidP="00804A95" w:rsidRDefault="005743F2">
      <w:pPr>
        <w:pStyle w:val="ECHRPara"/>
      </w:pPr>
      <w:r w:rsidRPr="00804A95">
        <w:t xml:space="preserve">Having deliberated in private on </w:t>
      </w:r>
      <w:r w:rsidRPr="00804A95" w:rsidR="00913074">
        <w:t>17 December</w:t>
      </w:r>
      <w:r w:rsidRPr="00804A95" w:rsidR="001D799A">
        <w:t xml:space="preserve"> 2019</w:t>
      </w:r>
      <w:r w:rsidRPr="00804A95">
        <w:t>,</w:t>
      </w:r>
    </w:p>
    <w:p w:rsidRPr="00804A95" w:rsidR="005743F2" w:rsidP="00804A95" w:rsidRDefault="005743F2">
      <w:pPr>
        <w:pStyle w:val="ECHRPara"/>
      </w:pPr>
      <w:r w:rsidRPr="00804A95">
        <w:t>Delivers the following judgment, which was adopted on that date:</w:t>
      </w:r>
    </w:p>
    <w:p w:rsidRPr="00804A95" w:rsidR="005743F2" w:rsidP="00804A95" w:rsidRDefault="005743F2">
      <w:pPr>
        <w:pStyle w:val="ECHRTitle1"/>
      </w:pPr>
      <w:r w:rsidRPr="00804A95">
        <w:t>PROCEDURE</w:t>
      </w:r>
    </w:p>
    <w:p w:rsidRPr="00804A95" w:rsidR="005743F2" w:rsidP="00804A95" w:rsidRDefault="005743F2">
      <w:pPr>
        <w:pStyle w:val="ECHRPara"/>
      </w:pPr>
      <w:r w:rsidRPr="00804A95">
        <w:fldChar w:fldCharType="begin"/>
      </w:r>
      <w:r w:rsidRPr="00804A95">
        <w:instrText xml:space="preserve"> SEQ level0 \*arabic </w:instrText>
      </w:r>
      <w:r w:rsidRPr="00804A95">
        <w:fldChar w:fldCharType="separate"/>
      </w:r>
      <w:r w:rsidRPr="00804A95" w:rsidR="00804A95">
        <w:rPr>
          <w:noProof/>
        </w:rPr>
        <w:t>1</w:t>
      </w:r>
      <w:r w:rsidRPr="00804A95">
        <w:fldChar w:fldCharType="end"/>
      </w:r>
      <w:r w:rsidRPr="00804A95">
        <w:t>.  </w:t>
      </w:r>
      <w:r w:rsidRPr="00804A95" w:rsidR="006807F1">
        <w:t>The case originated in two applications (nos. 51894/14 and 52073/14) against the Slovak Republic lodged with the Court under Article 34 of the Convention for the Protection of Human Rights and Fundamental Freedoms (“the Convention”) by two Slovak companies, framipek s.r.o. and AGRORACIO Senica, a.s. (“the applicant</w:t>
      </w:r>
      <w:r w:rsidRPr="00804A95" w:rsidR="006A5AED">
        <w:t xml:space="preserve"> companies”), on 13 and 15 July </w:t>
      </w:r>
      <w:r w:rsidRPr="00804A95" w:rsidR="006807F1">
        <w:t>2014, respectively.</w:t>
      </w:r>
    </w:p>
    <w:p w:rsidRPr="00804A95" w:rsidR="005743F2" w:rsidP="00804A95" w:rsidRDefault="005743F2">
      <w:pPr>
        <w:pStyle w:val="ECHRPara"/>
      </w:pPr>
      <w:r w:rsidRPr="00804A95">
        <w:fldChar w:fldCharType="begin"/>
      </w:r>
      <w:r w:rsidRPr="00804A95">
        <w:instrText xml:space="preserve"> SEQ level0 \*arabic </w:instrText>
      </w:r>
      <w:r w:rsidRPr="00804A95">
        <w:fldChar w:fldCharType="separate"/>
      </w:r>
      <w:r w:rsidRPr="00804A95" w:rsidR="00804A95">
        <w:rPr>
          <w:noProof/>
        </w:rPr>
        <w:t>2</w:t>
      </w:r>
      <w:r w:rsidRPr="00804A95">
        <w:fldChar w:fldCharType="end"/>
      </w:r>
      <w:r w:rsidRPr="00804A95">
        <w:t>.  </w:t>
      </w:r>
      <w:r w:rsidRPr="00804A95" w:rsidR="006807F1">
        <w:t>The applicant companies were r</w:t>
      </w:r>
      <w:r w:rsidRPr="00804A95" w:rsidR="006A5AED">
        <w:t xml:space="preserve">epresented by Mr B. Fridrich, a </w:t>
      </w:r>
      <w:r w:rsidRPr="00804A95" w:rsidR="006807F1">
        <w:t>lawyer practising in Bratislava. The Government of the Slovak Republic (“the Government”) were represented by their Agent, Ms M. Pirošíková.</w:t>
      </w:r>
    </w:p>
    <w:p w:rsidRPr="00804A95" w:rsidR="005743F2" w:rsidP="00804A95" w:rsidRDefault="005743F2">
      <w:pPr>
        <w:pStyle w:val="ECHRPara"/>
      </w:pPr>
      <w:r w:rsidRPr="00804A95">
        <w:fldChar w:fldCharType="begin"/>
      </w:r>
      <w:r w:rsidRPr="00804A95">
        <w:instrText xml:space="preserve"> SEQ level0 \*arabic </w:instrText>
      </w:r>
      <w:r w:rsidRPr="00804A95">
        <w:fldChar w:fldCharType="separate"/>
      </w:r>
      <w:r w:rsidRPr="00804A95" w:rsidR="00804A95">
        <w:rPr>
          <w:noProof/>
        </w:rPr>
        <w:t>3</w:t>
      </w:r>
      <w:r w:rsidRPr="00804A95">
        <w:fldChar w:fldCharType="end"/>
      </w:r>
      <w:r w:rsidRPr="00804A95">
        <w:t>.  </w:t>
      </w:r>
      <w:r w:rsidRPr="00804A95" w:rsidR="006807F1">
        <w:t xml:space="preserve">On 2 June 2017 </w:t>
      </w:r>
      <w:r w:rsidRPr="00804A95">
        <w:t>notice of the applications were given to the Government.</w:t>
      </w:r>
    </w:p>
    <w:p w:rsidRPr="00804A95" w:rsidR="00331A76" w:rsidP="00804A95" w:rsidRDefault="00331A76">
      <w:pPr>
        <w:pStyle w:val="ECHRPara"/>
      </w:pPr>
      <w:r w:rsidRPr="00804A95">
        <w:fldChar w:fldCharType="begin"/>
      </w:r>
      <w:r w:rsidRPr="00804A95">
        <w:instrText xml:space="preserve"> SEQ level0 \*arabic </w:instrText>
      </w:r>
      <w:r w:rsidRPr="00804A95">
        <w:fldChar w:fldCharType="separate"/>
      </w:r>
      <w:r w:rsidRPr="00804A95" w:rsidR="00804A95">
        <w:rPr>
          <w:noProof/>
        </w:rPr>
        <w:t>4</w:t>
      </w:r>
      <w:r w:rsidRPr="00804A95">
        <w:fldChar w:fldCharType="end"/>
      </w:r>
      <w:r w:rsidRPr="00804A95">
        <w:t>.  </w:t>
      </w:r>
      <w:r w:rsidRPr="00804A95" w:rsidR="000E6A8F">
        <w:t>The Government objected to the examination of the application</w:t>
      </w:r>
      <w:r w:rsidRPr="00804A95" w:rsidR="001D799A">
        <w:t>s</w:t>
      </w:r>
      <w:r w:rsidRPr="00804A95" w:rsidR="000E6A8F">
        <w:t xml:space="preserve"> by a Committee. After having considered the Government</w:t>
      </w:r>
      <w:r w:rsidRPr="00804A95" w:rsidR="00804A95">
        <w:t>’</w:t>
      </w:r>
      <w:r w:rsidRPr="00804A95" w:rsidR="000E6A8F">
        <w:t>s objection, the Court rejects it.</w:t>
      </w:r>
    </w:p>
    <w:p w:rsidRPr="00804A95" w:rsidR="005743F2" w:rsidP="00804A95" w:rsidRDefault="005743F2">
      <w:pPr>
        <w:pStyle w:val="ECHRTitle1"/>
      </w:pPr>
      <w:r w:rsidRPr="00804A95">
        <w:t>THE FACTS</w:t>
      </w:r>
    </w:p>
    <w:p w:rsidRPr="00804A95" w:rsidR="005743F2" w:rsidP="00804A95" w:rsidRDefault="00F97930">
      <w:pPr>
        <w:pStyle w:val="ECHRHeading1"/>
      </w:pPr>
      <w:r w:rsidRPr="00804A95">
        <w:t>I.  </w:t>
      </w:r>
      <w:r w:rsidRPr="00804A95" w:rsidR="005743F2">
        <w:t>THE CIRCUMSTANCES OF THE CASE</w:t>
      </w:r>
    </w:p>
    <w:p w:rsidRPr="00804A95" w:rsidR="005743F2" w:rsidP="00804A95" w:rsidRDefault="005743F2">
      <w:pPr>
        <w:pStyle w:val="ECHRPara"/>
      </w:pPr>
      <w:r w:rsidRPr="00804A95">
        <w:fldChar w:fldCharType="begin"/>
      </w:r>
      <w:r w:rsidRPr="00804A95">
        <w:instrText xml:space="preserve"> SEQ level0 \*arabic </w:instrText>
      </w:r>
      <w:r w:rsidRPr="00804A95">
        <w:fldChar w:fldCharType="separate"/>
      </w:r>
      <w:r w:rsidRPr="00804A95" w:rsidR="00804A95">
        <w:rPr>
          <w:noProof/>
        </w:rPr>
        <w:t>5</w:t>
      </w:r>
      <w:r w:rsidRPr="00804A95">
        <w:fldChar w:fldCharType="end"/>
      </w:r>
      <w:r w:rsidRPr="00804A95">
        <w:t>.  </w:t>
      </w:r>
      <w:r w:rsidRPr="00804A95" w:rsidR="00F97930">
        <w:t>The first applicant company, framipek s.r.o., is a limited liability company with its registered office in Šenkvice. The second applicant company, AGRORACIO Senica, a.s., is a joint stock company with its registered office in Senica Čáčov. On 20 January 2017 the second applicant</w:t>
      </w:r>
      <w:r w:rsidRPr="00804A95" w:rsidR="005D3509">
        <w:t xml:space="preserve"> company</w:t>
      </w:r>
      <w:r w:rsidRPr="00804A95" w:rsidR="00F97930">
        <w:t xml:space="preserve"> changed its name to BALVI INVEST a. s. and its registered office to Bratislava.</w:t>
      </w:r>
    </w:p>
    <w:p w:rsidRPr="00804A95" w:rsidR="00635B65" w:rsidP="00804A95" w:rsidRDefault="005743F2">
      <w:pPr>
        <w:pStyle w:val="ECHRPara"/>
      </w:pPr>
      <w:r w:rsidRPr="00804A95">
        <w:fldChar w:fldCharType="begin"/>
      </w:r>
      <w:r w:rsidRPr="00804A95">
        <w:instrText xml:space="preserve"> SEQ level0 \*arabic </w:instrText>
      </w:r>
      <w:r w:rsidRPr="00804A95">
        <w:fldChar w:fldCharType="separate"/>
      </w:r>
      <w:r w:rsidRPr="00804A95" w:rsidR="00804A95">
        <w:rPr>
          <w:noProof/>
        </w:rPr>
        <w:t>6</w:t>
      </w:r>
      <w:r w:rsidRPr="00804A95">
        <w:fldChar w:fldCharType="end"/>
      </w:r>
      <w:r w:rsidRPr="00804A95">
        <w:t>.  </w:t>
      </w:r>
      <w:r w:rsidRPr="00804A95" w:rsidR="00F97930">
        <w:t>In 2000 both applicant companies conc</w:t>
      </w:r>
      <w:r w:rsidRPr="00804A95" w:rsidR="006A5AED">
        <w:t xml:space="preserve">luded business contracts with a </w:t>
      </w:r>
      <w:r w:rsidRPr="00804A95" w:rsidR="00F97930">
        <w:t xml:space="preserve">company B. with </w:t>
      </w:r>
      <w:r w:rsidRPr="00804A95" w:rsidR="001D799A">
        <w:t>a</w:t>
      </w:r>
      <w:r w:rsidRPr="00804A95" w:rsidR="00F97930">
        <w:t xml:space="preserve"> view to obtain</w:t>
      </w:r>
      <w:r w:rsidRPr="00804A95" w:rsidR="001D799A">
        <w:t>ing</w:t>
      </w:r>
      <w:r w:rsidRPr="00804A95" w:rsidR="00F97930">
        <w:t xml:space="preserve"> financial investment and provided it with </w:t>
      </w:r>
      <w:r w:rsidRPr="00804A95" w:rsidR="006A5AED">
        <w:t xml:space="preserve">a </w:t>
      </w:r>
      <w:r w:rsidRPr="00804A95" w:rsidR="00F97930">
        <w:t>sum of money. However, the latter company failed to perform the contracts whereby both applicant companies withdrew.</w:t>
      </w:r>
    </w:p>
    <w:p w:rsidRPr="00804A95" w:rsidR="00F97930" w:rsidP="00804A95" w:rsidRDefault="005D3509">
      <w:pPr>
        <w:pStyle w:val="ECHRPara"/>
      </w:pPr>
      <w:r w:rsidRPr="00804A95">
        <w:fldChar w:fldCharType="begin"/>
      </w:r>
      <w:r w:rsidRPr="00804A95">
        <w:instrText xml:space="preserve"> SEQ level0 \*arabic </w:instrText>
      </w:r>
      <w:r w:rsidRPr="00804A95">
        <w:fldChar w:fldCharType="separate"/>
      </w:r>
      <w:r w:rsidRPr="00804A95" w:rsidR="00804A95">
        <w:rPr>
          <w:noProof/>
        </w:rPr>
        <w:t>7</w:t>
      </w:r>
      <w:r w:rsidRPr="00804A95">
        <w:fldChar w:fldCharType="end"/>
      </w:r>
      <w:r w:rsidRPr="00804A95">
        <w:t>.  </w:t>
      </w:r>
      <w:r w:rsidRPr="00804A95" w:rsidR="00F97930">
        <w:t>On 18 October 2002 criminal proceedings were brought against an unknown person who</w:t>
      </w:r>
      <w:r w:rsidRPr="00804A95" w:rsidR="002D6E97">
        <w:t>,</w:t>
      </w:r>
      <w:r w:rsidRPr="00804A95" w:rsidR="00F97930">
        <w:t xml:space="preserve"> acting in the name of </w:t>
      </w:r>
      <w:r w:rsidRPr="00804A95" w:rsidR="002D6E97">
        <w:t xml:space="preserve">the </w:t>
      </w:r>
      <w:r w:rsidRPr="00804A95" w:rsidR="00F97930">
        <w:t xml:space="preserve">company B., had concluded contracts with at least fifty-two businesses, had received sums of money from them but failed to perform </w:t>
      </w:r>
      <w:r w:rsidRPr="00804A95" w:rsidR="002D6E97">
        <w:t>the</w:t>
      </w:r>
      <w:r w:rsidRPr="00804A95" w:rsidR="00F97930">
        <w:t xml:space="preserve"> contracts. Thus, those businesses had suffered the equivalent of some 390,000 euros (EUR) worth of damage.</w:t>
      </w:r>
    </w:p>
    <w:bookmarkStart w:name="paragraph8" w:id="2"/>
    <w:p w:rsidRPr="00804A95" w:rsidR="00635B65" w:rsidP="00804A95" w:rsidRDefault="00F97930">
      <w:pPr>
        <w:pStyle w:val="ECHRPara"/>
      </w:pPr>
      <w:r w:rsidRPr="00804A95">
        <w:fldChar w:fldCharType="begin"/>
      </w:r>
      <w:r w:rsidRPr="00804A95">
        <w:instrText xml:space="preserve"> SEQ level0 \*arabic </w:instrText>
      </w:r>
      <w:r w:rsidRPr="00804A95">
        <w:fldChar w:fldCharType="separate"/>
      </w:r>
      <w:r w:rsidRPr="00804A95" w:rsidR="00804A95">
        <w:rPr>
          <w:noProof/>
        </w:rPr>
        <w:t>8</w:t>
      </w:r>
      <w:r w:rsidRPr="00804A95">
        <w:fldChar w:fldCharType="end"/>
      </w:r>
      <w:bookmarkEnd w:id="2"/>
      <w:r w:rsidRPr="00804A95">
        <w:t xml:space="preserve">.  On 6 November 2002 and 29 May 2003, respectively, the statutory representatives of the applicant companies were interviewed by the Banská Bystrica Regional Police Directorate in connection with the above-mentioned criminal proceedings. They specified three representatives of the company B., </w:t>
      </w:r>
      <w:r w:rsidRPr="00804A95" w:rsidR="002D6E97">
        <w:t xml:space="preserve">that is </w:t>
      </w:r>
      <w:r w:rsidRPr="00804A95">
        <w:t>J. B., P. M. and B. Š., who had been present during the negotiation of the contested business contracts. During the interviews the statutory representatives of the applicant companies lodged civil-party claims for damages and specified the sums claimed.</w:t>
      </w:r>
    </w:p>
    <w:bookmarkStart w:name="pragraph9" w:id="3"/>
    <w:bookmarkStart w:name="Questioningofframipek6November2002" w:id="4"/>
    <w:p w:rsidRPr="00804A95" w:rsidR="00635B65" w:rsidP="00804A95" w:rsidRDefault="00F97930">
      <w:pPr>
        <w:pStyle w:val="ECHRPara"/>
      </w:pPr>
      <w:r w:rsidRPr="00804A95">
        <w:fldChar w:fldCharType="begin"/>
      </w:r>
      <w:r w:rsidRPr="00804A95">
        <w:instrText xml:space="preserve"> SEQ level0 \*arabic </w:instrText>
      </w:r>
      <w:r w:rsidRPr="00804A95">
        <w:fldChar w:fldCharType="separate"/>
      </w:r>
      <w:r w:rsidRPr="00804A95" w:rsidR="00804A95">
        <w:rPr>
          <w:noProof/>
        </w:rPr>
        <w:t>9</w:t>
      </w:r>
      <w:r w:rsidRPr="00804A95">
        <w:fldChar w:fldCharType="end"/>
      </w:r>
      <w:bookmarkEnd w:id="3"/>
      <w:r w:rsidRPr="00804A95">
        <w:t>.</w:t>
      </w:r>
      <w:bookmarkEnd w:id="4"/>
      <w:r w:rsidRPr="00804A95">
        <w:t xml:space="preserve">  At the beginning of the interview of 6 November 2002, the statutory representative of the first applicant company, </w:t>
      </w:r>
      <w:r w:rsidRPr="00804A95" w:rsidR="00D45987">
        <w:t>M</w:t>
      </w:r>
      <w:r w:rsidRPr="00804A95">
        <w:t>. Č</w:t>
      </w:r>
      <w:r w:rsidRPr="00804A95" w:rsidR="002D6E97">
        <w:t>.</w:t>
      </w:r>
      <w:r w:rsidRPr="00804A95">
        <w:t>, stated:</w:t>
      </w:r>
    </w:p>
    <w:p w:rsidRPr="00804A95" w:rsidR="00F97930" w:rsidP="00804A95" w:rsidRDefault="00F97930">
      <w:pPr>
        <w:pStyle w:val="ECHRParaQuote"/>
      </w:pPr>
      <w:r w:rsidRPr="00804A95">
        <w:t>“I am self-employed, the co-owner and only statutory representative of the company framipek s.r.o. with its</w:t>
      </w:r>
      <w:r w:rsidRPr="00804A95" w:rsidR="006A5AED">
        <w:t xml:space="preserve"> registered office in Šenkvice </w:t>
      </w:r>
      <w:r w:rsidRPr="00804A95" w:rsidR="00635B65">
        <w:t>...</w:t>
      </w:r>
      <w:r w:rsidRPr="00804A95">
        <w:t>”</w:t>
      </w:r>
    </w:p>
    <w:p w:rsidRPr="00804A95" w:rsidR="00F97930" w:rsidP="00804A95" w:rsidRDefault="00F97930">
      <w:pPr>
        <w:pStyle w:val="ECHRPara"/>
      </w:pPr>
      <w:r w:rsidRPr="00804A95">
        <w:t>After having described the negotiations with the representatives of the company B., he formulated his claim as follows:</w:t>
      </w:r>
    </w:p>
    <w:p w:rsidRPr="00804A95" w:rsidR="00F97930" w:rsidP="00804A95" w:rsidRDefault="00F97930">
      <w:pPr>
        <w:pStyle w:val="ECHRParaQuote"/>
      </w:pPr>
      <w:r w:rsidRPr="00804A95">
        <w:t xml:space="preserve">“Having been informed under Article 43 of the [1961] Code of Criminal Procedure I declare that I request to be paid the amount of SKK 510,766.90 </w:t>
      </w:r>
      <w:r w:rsidRPr="00804A95" w:rsidR="005D3509">
        <w:t xml:space="preserve">[ca. </w:t>
      </w:r>
      <w:r w:rsidRPr="00804A95">
        <w:t>EUR 16,954</w:t>
      </w:r>
      <w:r w:rsidRPr="00804A95" w:rsidR="005D3509">
        <w:t>]</w:t>
      </w:r>
      <w:r w:rsidRPr="00804A95">
        <w:t xml:space="preserve"> as compensation for damage I incurred by the offence.”</w:t>
      </w:r>
    </w:p>
    <w:bookmarkStart w:name="QuestioningofAGRORACIO29May2003" w:id="5"/>
    <w:p w:rsidRPr="00804A95" w:rsidR="00F97930" w:rsidP="00804A95" w:rsidRDefault="00F97930">
      <w:pPr>
        <w:pStyle w:val="ECHRPara"/>
      </w:pPr>
      <w:r w:rsidRPr="00804A95">
        <w:fldChar w:fldCharType="begin"/>
      </w:r>
      <w:r w:rsidRPr="00804A95">
        <w:instrText xml:space="preserve"> SEQ level0 \*arabic </w:instrText>
      </w:r>
      <w:r w:rsidRPr="00804A95">
        <w:fldChar w:fldCharType="separate"/>
      </w:r>
      <w:r w:rsidRPr="00804A95" w:rsidR="00804A95">
        <w:rPr>
          <w:noProof/>
        </w:rPr>
        <w:t>10</w:t>
      </w:r>
      <w:r w:rsidRPr="00804A95">
        <w:fldChar w:fldCharType="end"/>
      </w:r>
      <w:r w:rsidRPr="00804A95">
        <w:t>.</w:t>
      </w:r>
      <w:bookmarkEnd w:id="5"/>
      <w:r w:rsidRPr="00804A95">
        <w:t>  The statutory representative of the second applicant company, M. J</w:t>
      </w:r>
      <w:r w:rsidRPr="00804A95" w:rsidR="002D6E97">
        <w:t>.</w:t>
      </w:r>
      <w:r w:rsidRPr="00804A95">
        <w:t>, formulated the claim as follows:</w:t>
      </w:r>
    </w:p>
    <w:p w:rsidRPr="00804A95" w:rsidR="00635B65" w:rsidP="00804A95" w:rsidRDefault="00F97930">
      <w:pPr>
        <w:pStyle w:val="ECHRParaQuote"/>
      </w:pPr>
      <w:r w:rsidRPr="00804A95">
        <w:t xml:space="preserve">“Finally, as a statutory representative of the company Agroratio Senica s.r.o. Senica – Čáčov, I declare that by the actions of the representatives of </w:t>
      </w:r>
      <w:r w:rsidRPr="00804A95" w:rsidR="002D6E97">
        <w:t xml:space="preserve">the </w:t>
      </w:r>
      <w:r w:rsidRPr="00804A95">
        <w:t>company B</w:t>
      </w:r>
      <w:r w:rsidRPr="00804A95" w:rsidR="006A5AED">
        <w:t xml:space="preserve">. </w:t>
      </w:r>
      <w:r w:rsidRPr="00804A95" w:rsidR="00635B65">
        <w:t>...</w:t>
      </w:r>
      <w:r w:rsidRPr="00804A95">
        <w:t xml:space="preserve"> I incurred damage in the amount of SKK 1,035,672 </w:t>
      </w:r>
      <w:r w:rsidRPr="00804A95" w:rsidR="005D3509">
        <w:t xml:space="preserve">[ca. </w:t>
      </w:r>
      <w:r w:rsidRPr="00804A95">
        <w:t xml:space="preserve">EUR </w:t>
      </w:r>
      <w:r w:rsidRPr="00804A95">
        <w:rPr>
          <w:lang w:val="en-US"/>
        </w:rPr>
        <w:t>34,378</w:t>
      </w:r>
      <w:r w:rsidRPr="00804A95" w:rsidR="005D3509">
        <w:rPr>
          <w:lang w:val="en-US"/>
        </w:rPr>
        <w:t>]</w:t>
      </w:r>
      <w:r w:rsidRPr="00804A95">
        <w:t>. Having been informed under Article 43 of the [1961] Code of Criminal Procedure I state that I req</w:t>
      </w:r>
      <w:r w:rsidRPr="00804A95" w:rsidR="002D6E97">
        <w:t>uest to be reimbursed the abovementioned</w:t>
      </w:r>
      <w:r w:rsidRPr="00804A95">
        <w:t xml:space="preserve"> sum.”</w:t>
      </w:r>
    </w:p>
    <w:p w:rsidRPr="00804A95" w:rsidR="00F97930" w:rsidP="00804A95" w:rsidRDefault="00F97930">
      <w:pPr>
        <w:pStyle w:val="ECHRPara"/>
      </w:pPr>
      <w:r w:rsidRPr="00804A95">
        <w:fldChar w:fldCharType="begin"/>
      </w:r>
      <w:r w:rsidRPr="00804A95">
        <w:instrText xml:space="preserve"> SEQ level0 \*arabic </w:instrText>
      </w:r>
      <w:r w:rsidRPr="00804A95">
        <w:fldChar w:fldCharType="separate"/>
      </w:r>
      <w:r w:rsidRPr="00804A95" w:rsidR="00804A95">
        <w:rPr>
          <w:noProof/>
        </w:rPr>
        <w:t>11</w:t>
      </w:r>
      <w:r w:rsidRPr="00804A95">
        <w:fldChar w:fldCharType="end"/>
      </w:r>
      <w:r w:rsidRPr="00804A95">
        <w:t>.  On 29 December 2008 the criminal proceedings were discontinued on the ground that they did not concern a criminal offence. This decision was overturned by the Prosecutor General following an application lodged by some of the aggrieved parties, including the second applicant company. During subsequent investigation the documentary evidence was secured, witness statements obtained and bank account statements and other correspondence attached to the case file.</w:t>
      </w:r>
    </w:p>
    <w:p w:rsidRPr="00804A95" w:rsidR="00635B65" w:rsidP="00804A95" w:rsidRDefault="00F97930">
      <w:pPr>
        <w:pStyle w:val="ECHRPara"/>
      </w:pPr>
      <w:r w:rsidRPr="00804A95">
        <w:fldChar w:fldCharType="begin"/>
      </w:r>
      <w:r w:rsidRPr="00804A95">
        <w:instrText xml:space="preserve"> SEQ level0 \*arabic </w:instrText>
      </w:r>
      <w:r w:rsidRPr="00804A95">
        <w:fldChar w:fldCharType="separate"/>
      </w:r>
      <w:r w:rsidRPr="00804A95" w:rsidR="00804A95">
        <w:rPr>
          <w:noProof/>
        </w:rPr>
        <w:t>12</w:t>
      </w:r>
      <w:r w:rsidRPr="00804A95">
        <w:fldChar w:fldCharType="end"/>
      </w:r>
      <w:r w:rsidRPr="00804A95">
        <w:t xml:space="preserve">.  On 7 December 2009 charges for a criminal offence of embezzlement were brought against two representatives of the company B., J. B. and P. M. Later, on 29 March 2010, that decision was quashed and </w:t>
      </w:r>
      <w:r w:rsidRPr="00804A95" w:rsidR="00D45987">
        <w:t xml:space="preserve">the case </w:t>
      </w:r>
      <w:r w:rsidRPr="00804A95">
        <w:t>remitted to the investigator for further examination.</w:t>
      </w:r>
    </w:p>
    <w:p w:rsidRPr="00804A95" w:rsidR="00635B65" w:rsidP="00804A95" w:rsidRDefault="00F97930">
      <w:pPr>
        <w:pStyle w:val="ECHRPara"/>
      </w:pPr>
      <w:r w:rsidRPr="00804A95">
        <w:fldChar w:fldCharType="begin"/>
      </w:r>
      <w:r w:rsidRPr="00804A95">
        <w:instrText xml:space="preserve"> SEQ level0 \*arabic </w:instrText>
      </w:r>
      <w:r w:rsidRPr="00804A95">
        <w:fldChar w:fldCharType="separate"/>
      </w:r>
      <w:r w:rsidRPr="00804A95" w:rsidR="00804A95">
        <w:rPr>
          <w:noProof/>
        </w:rPr>
        <w:t>13</w:t>
      </w:r>
      <w:r w:rsidRPr="00804A95">
        <w:fldChar w:fldCharType="end"/>
      </w:r>
      <w:r w:rsidRPr="00804A95">
        <w:t>.  On 28 February 2013, the Bratislava I Police District Department discontinued the criminal proceedings again since there was no case to a</w:t>
      </w:r>
      <w:r w:rsidRPr="00804A95" w:rsidR="00D45987">
        <w:t>ddress</w:t>
      </w:r>
      <w:r w:rsidRPr="00804A95">
        <w:t xml:space="preserve">. The decision was delivered on the </w:t>
      </w:r>
      <w:r w:rsidRPr="00804A95" w:rsidR="006A5AED">
        <w:t xml:space="preserve">applicant companies on 19 April </w:t>
      </w:r>
      <w:r w:rsidRPr="00804A95">
        <w:t>2013.</w:t>
      </w:r>
    </w:p>
    <w:p w:rsidRPr="00804A95" w:rsidR="00F97930" w:rsidP="00804A95" w:rsidRDefault="00D45987">
      <w:pPr>
        <w:pStyle w:val="ECHRPara"/>
      </w:pPr>
      <w:r w:rsidRPr="00804A95">
        <w:fldChar w:fldCharType="begin"/>
      </w:r>
      <w:r w:rsidRPr="00804A95">
        <w:instrText xml:space="preserve"> SEQ level0 \*arabic </w:instrText>
      </w:r>
      <w:r w:rsidRPr="00804A95">
        <w:fldChar w:fldCharType="separate"/>
      </w:r>
      <w:r w:rsidRPr="00804A95" w:rsidR="00804A95">
        <w:rPr>
          <w:noProof/>
        </w:rPr>
        <w:t>14</w:t>
      </w:r>
      <w:r w:rsidRPr="00804A95">
        <w:fldChar w:fldCharType="end"/>
      </w:r>
      <w:r w:rsidRPr="00804A95">
        <w:t>.  </w:t>
      </w:r>
      <w:r w:rsidRPr="00804A95" w:rsidR="00F97930">
        <w:t>Both applicant companies challenged the discontinuation of the proceedings before the Bratislava Regional Prosecutor</w:t>
      </w:r>
      <w:r w:rsidRPr="00804A95" w:rsidR="00804A95">
        <w:t>’</w:t>
      </w:r>
      <w:r w:rsidRPr="00804A95" w:rsidR="00F97930">
        <w:t>s Office which, on 5 August 2013, dismissed the interlocutory appeal of the first applicant company as unfounded and th</w:t>
      </w:r>
      <w:r w:rsidRPr="00804A95">
        <w:t>at</w:t>
      </w:r>
      <w:r w:rsidRPr="00804A95" w:rsidR="00F97930">
        <w:t xml:space="preserve"> of the second applicant company as belated. This decision was delivered on the firs</w:t>
      </w:r>
      <w:r w:rsidRPr="00804A95" w:rsidR="006A5AED">
        <w:t xml:space="preserve">t applicant company on 9 August </w:t>
      </w:r>
      <w:r w:rsidRPr="00804A95" w:rsidR="00F97930">
        <w:t>2013.</w:t>
      </w:r>
    </w:p>
    <w:p w:rsidRPr="00804A95" w:rsidR="00F97930" w:rsidP="00804A95" w:rsidRDefault="00F97930">
      <w:pPr>
        <w:pStyle w:val="ECHRPara"/>
      </w:pPr>
      <w:r w:rsidRPr="00804A95">
        <w:fldChar w:fldCharType="begin"/>
      </w:r>
      <w:r w:rsidRPr="00804A95">
        <w:instrText xml:space="preserve"> SEQ level0 \*arabic </w:instrText>
      </w:r>
      <w:r w:rsidRPr="00804A95">
        <w:fldChar w:fldCharType="separate"/>
      </w:r>
      <w:r w:rsidRPr="00804A95" w:rsidR="00804A95">
        <w:rPr>
          <w:noProof/>
        </w:rPr>
        <w:t>15</w:t>
      </w:r>
      <w:r w:rsidRPr="00804A95">
        <w:fldChar w:fldCharType="end"/>
      </w:r>
      <w:r w:rsidRPr="00804A95">
        <w:t>.  On 3 and 8 October 2013 both applicant</w:t>
      </w:r>
      <w:r w:rsidRPr="00804A95" w:rsidR="0039292A">
        <w:t xml:space="preserve"> companies</w:t>
      </w:r>
      <w:r w:rsidRPr="00804A95">
        <w:t xml:space="preserve"> lodged </w:t>
      </w:r>
      <w:r w:rsidRPr="00804A95" w:rsidR="00D45987">
        <w:t xml:space="preserve">constitutional </w:t>
      </w:r>
      <w:r w:rsidRPr="00804A95">
        <w:t>complaints with the Constitutional Court, c</w:t>
      </w:r>
      <w:r w:rsidRPr="00804A95" w:rsidR="00D45987">
        <w:t xml:space="preserve">hallenging </w:t>
      </w:r>
      <w:r w:rsidRPr="00804A95">
        <w:t xml:space="preserve">the length of the proceedings before the </w:t>
      </w:r>
      <w:r w:rsidRPr="00804A95" w:rsidR="0001189B">
        <w:t xml:space="preserve">law enforcement </w:t>
      </w:r>
      <w:r w:rsidRPr="00804A95" w:rsidR="00D45987">
        <w:t xml:space="preserve">authorities </w:t>
      </w:r>
      <w:r w:rsidRPr="00804A95">
        <w:t>in so far as they concerned their third-party claims for damages.</w:t>
      </w:r>
    </w:p>
    <w:bookmarkStart w:name="CCdecisions12December2013" w:id="6"/>
    <w:p w:rsidRPr="00804A95" w:rsidR="00F97930" w:rsidP="00804A95" w:rsidRDefault="00F97930">
      <w:pPr>
        <w:pStyle w:val="ECHRPara"/>
      </w:pPr>
      <w:r w:rsidRPr="00804A95">
        <w:fldChar w:fldCharType="begin"/>
      </w:r>
      <w:r w:rsidRPr="00804A95">
        <w:instrText xml:space="preserve"> SEQ level0 \*arabic </w:instrText>
      </w:r>
      <w:r w:rsidRPr="00804A95">
        <w:fldChar w:fldCharType="separate"/>
      </w:r>
      <w:r w:rsidRPr="00804A95" w:rsidR="00804A95">
        <w:rPr>
          <w:noProof/>
        </w:rPr>
        <w:t>16</w:t>
      </w:r>
      <w:r w:rsidRPr="00804A95">
        <w:fldChar w:fldCharType="end"/>
      </w:r>
      <w:r w:rsidRPr="00804A95">
        <w:t>.</w:t>
      </w:r>
      <w:bookmarkEnd w:id="6"/>
      <w:r w:rsidRPr="00804A95">
        <w:t>  On 12 December 2013 the Constitutional Court (files nos. II. ÚS 660/2013 and II. ÚS 661/2013) rejected both complaints</w:t>
      </w:r>
      <w:r w:rsidRPr="00804A95" w:rsidR="00D45987">
        <w:t>,</w:t>
      </w:r>
      <w:r w:rsidRPr="00804A95">
        <w:t xml:space="preserve"> noting that an aggrieved party claiming damages in the criminal proceedings only benefited from the right to a hearing within a reasonable time under Article 6 of the Convention after charge</w:t>
      </w:r>
      <w:r w:rsidRPr="00804A95" w:rsidR="00D45987">
        <w:t>s</w:t>
      </w:r>
      <w:r w:rsidRPr="00804A95">
        <w:t xml:space="preserve"> had been brought against </w:t>
      </w:r>
      <w:r w:rsidRPr="00804A95" w:rsidR="006A5AED">
        <w:t xml:space="preserve">a </w:t>
      </w:r>
      <w:r w:rsidRPr="00804A95">
        <w:t>specific person. In that regard, the Constitutional Court observed that no charges against a</w:t>
      </w:r>
      <w:r w:rsidRPr="00804A95" w:rsidR="00D45987">
        <w:t>ny</w:t>
      </w:r>
      <w:r w:rsidRPr="00804A95">
        <w:t xml:space="preserve"> specific person had been brought</w:t>
      </w:r>
      <w:r w:rsidRPr="00804A95" w:rsidR="00D45987">
        <w:t xml:space="preserve"> in the present case</w:t>
      </w:r>
      <w:r w:rsidRPr="00804A95" w:rsidR="006A5AED">
        <w:t xml:space="preserve">. </w:t>
      </w:r>
      <w:r w:rsidRPr="00804A95">
        <w:t>Therefore, the applicant</w:t>
      </w:r>
      <w:r w:rsidRPr="00804A95" w:rsidR="00991898">
        <w:t xml:space="preserve"> companies</w:t>
      </w:r>
      <w:r w:rsidRPr="00804A95">
        <w:t xml:space="preserve"> did not benefit from the constitutional guarantees relied </w:t>
      </w:r>
      <w:r w:rsidRPr="00804A95" w:rsidR="00D45987">
        <w:t>up</w:t>
      </w:r>
      <w:r w:rsidRPr="00804A95">
        <w:t>on.</w:t>
      </w:r>
    </w:p>
    <w:p w:rsidRPr="00804A95" w:rsidR="00D50BB4" w:rsidP="00804A95" w:rsidRDefault="00D50BB4">
      <w:pPr>
        <w:pStyle w:val="ECHRHeading1"/>
      </w:pPr>
      <w:r w:rsidRPr="00804A95">
        <w:t>II.  RELEVANT DOMESTIC LAW AND PRACTICE</w:t>
      </w:r>
    </w:p>
    <w:p w:rsidRPr="00804A95" w:rsidR="00635B65" w:rsidP="00804A95" w:rsidRDefault="00D50BB4">
      <w:pPr>
        <w:pStyle w:val="ECHRPara"/>
        <w:rPr>
          <w:snapToGrid w:val="0"/>
        </w:rPr>
      </w:pPr>
      <w:r w:rsidRPr="00804A95">
        <w:fldChar w:fldCharType="begin"/>
      </w:r>
      <w:r w:rsidRPr="00804A95">
        <w:instrText xml:space="preserve"> SEQ level0 \*arabic </w:instrText>
      </w:r>
      <w:r w:rsidRPr="00804A95">
        <w:fldChar w:fldCharType="separate"/>
      </w:r>
      <w:r w:rsidRPr="00804A95" w:rsidR="00804A95">
        <w:rPr>
          <w:noProof/>
        </w:rPr>
        <w:t>17</w:t>
      </w:r>
      <w:r w:rsidRPr="00804A95">
        <w:fldChar w:fldCharType="end"/>
      </w:r>
      <w:r w:rsidRPr="00804A95">
        <w:t>. The relevant domestic law and practice regarding the third-party claims attached to the criminal proceedings</w:t>
      </w:r>
      <w:r w:rsidRPr="00804A95" w:rsidR="00D45987">
        <w:t xml:space="preserve"> are summaris</w:t>
      </w:r>
      <w:r w:rsidRPr="00804A95">
        <w:t xml:space="preserve">ed in </w:t>
      </w:r>
      <w:r w:rsidRPr="00804A95" w:rsidR="006A5AED">
        <w:rPr>
          <w:i/>
        </w:rPr>
        <w:t xml:space="preserve">Javor </w:t>
      </w:r>
      <w:r w:rsidRPr="00804A95" w:rsidR="00D1075E">
        <w:rPr>
          <w:i/>
        </w:rPr>
        <w:t>and </w:t>
      </w:r>
      <w:r w:rsidRPr="00804A95">
        <w:rPr>
          <w:i/>
        </w:rPr>
        <w:t>Javorová</w:t>
      </w:r>
      <w:r w:rsidRPr="00804A95">
        <w:t xml:space="preserve"> </w:t>
      </w:r>
      <w:r w:rsidRPr="00804A95">
        <w:rPr>
          <w:i/>
        </w:rPr>
        <w:t>v. Slovakia</w:t>
      </w:r>
      <w:r w:rsidRPr="00804A95">
        <w:t xml:space="preserve"> (no. 42360/10</w:t>
      </w:r>
      <w:r w:rsidRPr="00804A95" w:rsidR="006A5AED">
        <w:rPr>
          <w:snapToGrid w:val="0"/>
        </w:rPr>
        <w:t xml:space="preserve">, §§ 17 et seq., 15 September </w:t>
      </w:r>
      <w:r w:rsidRPr="00804A95">
        <w:rPr>
          <w:snapToGrid w:val="0"/>
        </w:rPr>
        <w:t>2015).</w:t>
      </w:r>
    </w:p>
    <w:p w:rsidRPr="00804A95" w:rsidR="005743F2" w:rsidP="00804A95" w:rsidRDefault="005743F2">
      <w:pPr>
        <w:pStyle w:val="ECHRTitle1"/>
      </w:pPr>
      <w:r w:rsidRPr="00804A95">
        <w:t>THE LAW</w:t>
      </w:r>
    </w:p>
    <w:p w:rsidRPr="00804A95" w:rsidR="005743F2" w:rsidP="00804A95" w:rsidRDefault="005743F2">
      <w:pPr>
        <w:pStyle w:val="ECHRHeading1"/>
      </w:pPr>
      <w:r w:rsidRPr="00804A95">
        <w:t>I.  JOINDER OF THE APPLICATIONS</w:t>
      </w:r>
    </w:p>
    <w:p w:rsidRPr="00804A95" w:rsidR="00D50BB4" w:rsidP="00804A95" w:rsidRDefault="00D50BB4">
      <w:pPr>
        <w:pStyle w:val="ECHRPara"/>
      </w:pPr>
      <w:r w:rsidRPr="00804A95">
        <w:fldChar w:fldCharType="begin"/>
      </w:r>
      <w:r w:rsidRPr="00804A95">
        <w:instrText xml:space="preserve"> SEQ level0 \*arabic </w:instrText>
      </w:r>
      <w:r w:rsidRPr="00804A95">
        <w:fldChar w:fldCharType="separate"/>
      </w:r>
      <w:r w:rsidRPr="00804A95" w:rsidR="00804A95">
        <w:rPr>
          <w:noProof/>
        </w:rPr>
        <w:t>18</w:t>
      </w:r>
      <w:r w:rsidRPr="00804A95">
        <w:fldChar w:fldCharType="end"/>
      </w:r>
      <w:r w:rsidRPr="00804A95">
        <w:t>.  The Court considers that the two applications should be joined in accordance with Rule 42 § 1 of the Rules of Court, given their common factual and legal background.</w:t>
      </w:r>
    </w:p>
    <w:p w:rsidRPr="00804A95" w:rsidR="005743F2" w:rsidP="00804A95" w:rsidRDefault="005743F2">
      <w:pPr>
        <w:pStyle w:val="ECHRHeading1"/>
      </w:pPr>
      <w:r w:rsidRPr="00804A95">
        <w:t>II.  ALLEGED VIOLATION OF ARTICLE 6 § 1 OF THE CONVENTION</w:t>
      </w:r>
    </w:p>
    <w:p w:rsidRPr="00804A95" w:rsidR="005743F2" w:rsidP="00804A95" w:rsidRDefault="005743F2">
      <w:pPr>
        <w:pStyle w:val="ECHRPara"/>
      </w:pPr>
      <w:r w:rsidRPr="00804A95">
        <w:fldChar w:fldCharType="begin"/>
      </w:r>
      <w:r w:rsidRPr="00804A95">
        <w:instrText xml:space="preserve"> SEQ level0 \*arabic </w:instrText>
      </w:r>
      <w:r w:rsidRPr="00804A95">
        <w:fldChar w:fldCharType="separate"/>
      </w:r>
      <w:r w:rsidRPr="00804A95" w:rsidR="00804A95">
        <w:rPr>
          <w:noProof/>
        </w:rPr>
        <w:t>19</w:t>
      </w:r>
      <w:r w:rsidRPr="00804A95">
        <w:fldChar w:fldCharType="end"/>
      </w:r>
      <w:r w:rsidRPr="00804A95">
        <w:t>.  </w:t>
      </w:r>
      <w:r w:rsidRPr="00804A95" w:rsidR="00991898">
        <w:t>The applicant companies</w:t>
      </w:r>
      <w:r w:rsidRPr="00804A95" w:rsidR="00D50BB4">
        <w:t xml:space="preserve"> complained that the length of the proceedings on their third-party claim for damages attached to the criminal proceedings had been incompatible with the “reasonable time” requirement, laid down in Article 6 § 1 of the Convention, which reads as follows:</w:t>
      </w:r>
    </w:p>
    <w:p w:rsidRPr="00804A95" w:rsidR="005743F2" w:rsidP="00804A95" w:rsidRDefault="005743F2">
      <w:pPr>
        <w:pStyle w:val="ECHRParaQuote"/>
      </w:pPr>
      <w:r w:rsidRPr="00804A95">
        <w:t>“In the determination of his civil rights and obligations ..., everyone is entitled to a ... hearing within a reasonable time by [a] ... tribunal</w:t>
      </w:r>
      <w:r w:rsidRPr="00804A95" w:rsidR="006A5AED">
        <w:t xml:space="preserve"> </w:t>
      </w:r>
      <w:r w:rsidRPr="00804A95">
        <w:t>...”</w:t>
      </w:r>
    </w:p>
    <w:p w:rsidRPr="00804A95" w:rsidR="00014A37" w:rsidP="00804A95" w:rsidRDefault="00014A37">
      <w:pPr>
        <w:pStyle w:val="ECHRHeading2"/>
      </w:pPr>
      <w:r w:rsidRPr="00804A95">
        <w:t>A.  Admissibility</w:t>
      </w:r>
    </w:p>
    <w:p w:rsidRPr="00804A95" w:rsidR="00014A37" w:rsidP="00804A95" w:rsidRDefault="00014A37">
      <w:pPr>
        <w:pStyle w:val="ECHRHeading3"/>
      </w:pPr>
      <w:r w:rsidRPr="00804A95">
        <w:t>1.  The parties</w:t>
      </w:r>
      <w:r w:rsidRPr="00804A95" w:rsidR="00804A95">
        <w:t>’</w:t>
      </w:r>
      <w:r w:rsidRPr="00804A95">
        <w:t xml:space="preserve"> arguments</w:t>
      </w:r>
    </w:p>
    <w:p w:rsidRPr="00804A95" w:rsidR="00635B65" w:rsidP="00804A95" w:rsidRDefault="00014A37">
      <w:pPr>
        <w:pStyle w:val="ECHRPara"/>
      </w:pPr>
      <w:r w:rsidRPr="00804A95">
        <w:fldChar w:fldCharType="begin"/>
      </w:r>
      <w:r w:rsidRPr="00804A95">
        <w:instrText xml:space="preserve"> SEQ level0 \*arabic </w:instrText>
      </w:r>
      <w:r w:rsidRPr="00804A95">
        <w:fldChar w:fldCharType="separate"/>
      </w:r>
      <w:r w:rsidRPr="00804A95" w:rsidR="00804A95">
        <w:rPr>
          <w:noProof/>
        </w:rPr>
        <w:t>20</w:t>
      </w:r>
      <w:r w:rsidRPr="00804A95">
        <w:fldChar w:fldCharType="end"/>
      </w:r>
      <w:r w:rsidRPr="00804A95">
        <w:t xml:space="preserve">.  The Government objected that the applications are incompatible </w:t>
      </w:r>
      <w:r w:rsidRPr="00804A95">
        <w:rPr>
          <w:i/>
        </w:rPr>
        <w:t>ratione materiae</w:t>
      </w:r>
      <w:r w:rsidRPr="00804A95">
        <w:t xml:space="preserve"> with the provisions of the Convention. They relied on the position taken by the Constitutional Court </w:t>
      </w:r>
      <w:r w:rsidRPr="00804A95" w:rsidR="006A5AED">
        <w:t xml:space="preserve">in its decisions of 12 December </w:t>
      </w:r>
      <w:r w:rsidRPr="00804A95">
        <w:t xml:space="preserve">2013 and </w:t>
      </w:r>
      <w:r w:rsidRPr="00804A95" w:rsidR="00C863B0">
        <w:t xml:space="preserve">on </w:t>
      </w:r>
      <w:r w:rsidRPr="00804A95">
        <w:t>the Court</w:t>
      </w:r>
      <w:r w:rsidRPr="00804A95" w:rsidR="00804A95">
        <w:t>’</w:t>
      </w:r>
      <w:r w:rsidRPr="00804A95">
        <w:t xml:space="preserve">s decision in </w:t>
      </w:r>
      <w:r w:rsidRPr="00804A95">
        <w:rPr>
          <w:i/>
        </w:rPr>
        <w:t xml:space="preserve">Podhradský v. Slovakia </w:t>
      </w:r>
      <w:r w:rsidRPr="00804A95">
        <w:t xml:space="preserve">(no. 10212/11, 25 August 2015), </w:t>
      </w:r>
      <w:r w:rsidRPr="00804A95" w:rsidR="00C863B0">
        <w:t xml:space="preserve">considering </w:t>
      </w:r>
      <w:r w:rsidRPr="00804A95">
        <w:t xml:space="preserve">that the applicant companies could </w:t>
      </w:r>
      <w:r w:rsidRPr="00804A95" w:rsidR="00BD5106">
        <w:t>not benefit fr</w:t>
      </w:r>
      <w:r w:rsidRPr="00804A95">
        <w:t>om Article 6 guarantees because under the domestic law such guarantees only extended to compensation claims in cri</w:t>
      </w:r>
      <w:r w:rsidRPr="00804A95" w:rsidR="006A5AED">
        <w:t xml:space="preserve">minal proceedings after </w:t>
      </w:r>
      <w:r w:rsidRPr="00804A95">
        <w:t>charge</w:t>
      </w:r>
      <w:r w:rsidRPr="00804A95" w:rsidR="00C863B0">
        <w:t>s</w:t>
      </w:r>
      <w:r w:rsidRPr="00804A95">
        <w:t xml:space="preserve"> had been brought against </w:t>
      </w:r>
      <w:r w:rsidRPr="00804A95" w:rsidR="006A5AED">
        <w:t xml:space="preserve">a </w:t>
      </w:r>
      <w:r w:rsidRPr="00804A95">
        <w:t>specific person, whereas the criminal proceedings in the present cases were led against unknown persons.</w:t>
      </w:r>
    </w:p>
    <w:p w:rsidRPr="00804A95" w:rsidR="00635B65" w:rsidP="00804A95" w:rsidRDefault="00014A37">
      <w:pPr>
        <w:pStyle w:val="ECHRPara"/>
      </w:pPr>
      <w:r w:rsidRPr="00804A95">
        <w:fldChar w:fldCharType="begin"/>
      </w:r>
      <w:r w:rsidRPr="00804A95">
        <w:instrText xml:space="preserve"> SEQ level0 \*arabic </w:instrText>
      </w:r>
      <w:r w:rsidRPr="00804A95">
        <w:fldChar w:fldCharType="separate"/>
      </w:r>
      <w:r w:rsidRPr="00804A95" w:rsidR="00804A95">
        <w:rPr>
          <w:noProof/>
        </w:rPr>
        <w:t>21</w:t>
      </w:r>
      <w:r w:rsidRPr="00804A95">
        <w:fldChar w:fldCharType="end"/>
      </w:r>
      <w:r w:rsidRPr="00804A95">
        <w:t>.  The Government further challenged the formulation of the third</w:t>
      </w:r>
      <w:r w:rsidRPr="00804A95">
        <w:noBreakHyphen/>
        <w:t>party claims</w:t>
      </w:r>
      <w:r w:rsidRPr="00804A95">
        <w:rPr>
          <w:b/>
        </w:rPr>
        <w:t xml:space="preserve"> </w:t>
      </w:r>
      <w:r w:rsidRPr="00804A95">
        <w:t>by the applicant companies and argued that they had not directed their claims against specific persons. In the case of the first applicant company they also pointed out that its representative ha</w:t>
      </w:r>
      <w:r w:rsidRPr="00804A95" w:rsidR="00991898">
        <w:t>d</w:t>
      </w:r>
      <w:r w:rsidRPr="00804A95">
        <w:t xml:space="preserve"> not filed the compensation claim on behalf of the company.</w:t>
      </w:r>
    </w:p>
    <w:p w:rsidRPr="00804A95" w:rsidR="00635B65" w:rsidP="00804A95" w:rsidRDefault="00014A37">
      <w:pPr>
        <w:pStyle w:val="ECHRPara"/>
      </w:pPr>
      <w:r w:rsidRPr="00804A95">
        <w:fldChar w:fldCharType="begin"/>
      </w:r>
      <w:r w:rsidRPr="00804A95">
        <w:instrText xml:space="preserve"> SEQ level0 \*arabic </w:instrText>
      </w:r>
      <w:r w:rsidRPr="00804A95">
        <w:fldChar w:fldCharType="separate"/>
      </w:r>
      <w:r w:rsidRPr="00804A95" w:rsidR="00804A95">
        <w:rPr>
          <w:noProof/>
        </w:rPr>
        <w:t>22</w:t>
      </w:r>
      <w:r w:rsidRPr="00804A95">
        <w:fldChar w:fldCharType="end"/>
      </w:r>
      <w:r w:rsidRPr="00804A95">
        <w:t>.  Referring to the Court</w:t>
      </w:r>
      <w:r w:rsidRPr="00804A95" w:rsidR="00804A95">
        <w:t>’</w:t>
      </w:r>
      <w:r w:rsidRPr="00804A95">
        <w:t xml:space="preserve">s judgment in </w:t>
      </w:r>
      <w:r w:rsidRPr="00804A95">
        <w:rPr>
          <w:i/>
        </w:rPr>
        <w:t>Javor and Javorová v. Slovakia</w:t>
      </w:r>
      <w:r w:rsidRPr="00804A95">
        <w:t xml:space="preserve"> (no. 42360/10, 15 September 2015), the applicant companies submitted that Article 6 guarantees apply to the third-party claims attached to the criminal proceedings from the moment th</w:t>
      </w:r>
      <w:r w:rsidRPr="00804A95" w:rsidR="00C863B0">
        <w:t xml:space="preserve">ose were </w:t>
      </w:r>
      <w:r w:rsidRPr="00804A95">
        <w:t xml:space="preserve">made and in so far as they </w:t>
      </w:r>
      <w:r w:rsidRPr="00804A95" w:rsidR="00C863B0">
        <w:t>were</w:t>
      </w:r>
      <w:r w:rsidRPr="00804A95">
        <w:t xml:space="preserve"> joined to a criminal complaint against </w:t>
      </w:r>
      <w:r w:rsidRPr="00804A95" w:rsidR="006A5AED">
        <w:t xml:space="preserve">a </w:t>
      </w:r>
      <w:r w:rsidRPr="00804A95">
        <w:t>specific defendant. They further argued that during the interviews their statutory representatives had specifically mentioned the names of the representatives of the company B. with whom they had negotiated and therefore their claims for damages were made against specific individuals.</w:t>
      </w:r>
    </w:p>
    <w:p w:rsidRPr="00804A95" w:rsidR="00014A37" w:rsidP="00804A95" w:rsidRDefault="00014A37">
      <w:pPr>
        <w:pStyle w:val="ECHRHeading3"/>
      </w:pPr>
      <w:r w:rsidRPr="00804A95">
        <w:t>2.  The Court</w:t>
      </w:r>
      <w:r w:rsidRPr="00804A95" w:rsidR="00804A95">
        <w:t>’</w:t>
      </w:r>
      <w:r w:rsidRPr="00804A95">
        <w:t>s assessment</w:t>
      </w:r>
    </w:p>
    <w:p w:rsidRPr="00804A95" w:rsidR="00014A37" w:rsidP="00804A95" w:rsidRDefault="00014A37">
      <w:pPr>
        <w:pStyle w:val="ECHRPara"/>
      </w:pPr>
      <w:r w:rsidRPr="00804A95">
        <w:fldChar w:fldCharType="begin"/>
      </w:r>
      <w:r w:rsidRPr="00804A95">
        <w:instrText xml:space="preserve"> SEQ level0 \*arabic </w:instrText>
      </w:r>
      <w:r w:rsidRPr="00804A95">
        <w:fldChar w:fldCharType="separate"/>
      </w:r>
      <w:r w:rsidRPr="00804A95" w:rsidR="00804A95">
        <w:rPr>
          <w:noProof/>
        </w:rPr>
        <w:t>23</w:t>
      </w:r>
      <w:r w:rsidRPr="00804A95">
        <w:fldChar w:fldCharType="end"/>
      </w:r>
      <w:r w:rsidRPr="00804A95">
        <w:t xml:space="preserve">.  The Court reminds that the applicability of the reasonable time </w:t>
      </w:r>
      <w:r w:rsidRPr="00804A95" w:rsidR="00C863B0">
        <w:t xml:space="preserve">requirement under </w:t>
      </w:r>
      <w:r w:rsidRPr="00804A95">
        <w:t xml:space="preserve">Article 6 § 1 of the Convention to the civil party claims for damages attached to the criminal proceedings in Slovakia was established in </w:t>
      </w:r>
      <w:r w:rsidRPr="00804A95" w:rsidR="00C863B0">
        <w:t>its</w:t>
      </w:r>
      <w:r w:rsidRPr="00804A95">
        <w:t xml:space="preserve"> previous case-law (see </w:t>
      </w:r>
      <w:r w:rsidRPr="00804A95">
        <w:rPr>
          <w:i/>
        </w:rPr>
        <w:t>Javor and Javorová</w:t>
      </w:r>
      <w:r w:rsidRPr="00804A95">
        <w:t xml:space="preserve">, cited above, §§ 46-48, with further references). The Court </w:t>
      </w:r>
      <w:r w:rsidRPr="00804A95" w:rsidR="00991898">
        <w:t xml:space="preserve">has </w:t>
      </w:r>
      <w:r w:rsidRPr="00804A95">
        <w:t>also resolved the de</w:t>
      </w:r>
      <w:r w:rsidRPr="00804A95" w:rsidR="00C863B0">
        <w:t xml:space="preserve">termination </w:t>
      </w:r>
      <w:r w:rsidRPr="00804A95">
        <w:t xml:space="preserve">of the specific moment </w:t>
      </w:r>
      <w:r w:rsidRPr="00804A95" w:rsidR="00DE74C5">
        <w:t>of</w:t>
      </w:r>
      <w:r w:rsidRPr="00804A95">
        <w:t xml:space="preserve"> the pre-trial stage of the proceedings from which </w:t>
      </w:r>
      <w:r w:rsidRPr="00804A95" w:rsidR="006A5AED">
        <w:t xml:space="preserve">a </w:t>
      </w:r>
      <w:r w:rsidRPr="00804A95">
        <w:t>third</w:t>
      </w:r>
      <w:r w:rsidRPr="00804A95">
        <w:noBreakHyphen/>
        <w:t xml:space="preserve">party claimant may benefit from the guarantees in question, namely the moment when </w:t>
      </w:r>
      <w:r w:rsidRPr="00804A95" w:rsidR="00DE74C5">
        <w:t xml:space="preserve">his or her </w:t>
      </w:r>
      <w:r w:rsidRPr="00804A95">
        <w:t xml:space="preserve">claims are made (ibid., § 48). In addition, the Court ruled that to be considered as having been properly made, </w:t>
      </w:r>
      <w:r w:rsidRPr="00804A95" w:rsidR="00DE74C5">
        <w:t xml:space="preserve">such claim </w:t>
      </w:r>
      <w:r w:rsidRPr="00804A95">
        <w:t xml:space="preserve">has to specify </w:t>
      </w:r>
      <w:r w:rsidRPr="00804A95" w:rsidR="00DE74C5">
        <w:t>its</w:t>
      </w:r>
      <w:r w:rsidRPr="00804A95">
        <w:t xml:space="preserve"> defendant, legal basis and amount (ibid., § 63). Finally, the Court concluded that the above said guarantees apply to the third-party claims for damages only in so far as they are joined to </w:t>
      </w:r>
      <w:r w:rsidRPr="00804A95" w:rsidR="006A5AED">
        <w:t xml:space="preserve">a </w:t>
      </w:r>
      <w:r w:rsidRPr="00804A95">
        <w:t>criminal complaint against a specific defendant or made su</w:t>
      </w:r>
      <w:r w:rsidRPr="00804A95" w:rsidR="00CA59C9">
        <w:t>bsequently to it (ibid., § 66).</w:t>
      </w:r>
    </w:p>
    <w:p w:rsidRPr="00804A95" w:rsidR="00CA59C9"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24</w:t>
      </w:r>
      <w:r w:rsidRPr="00804A95">
        <w:fldChar w:fldCharType="end"/>
      </w:r>
      <w:r w:rsidRPr="00804A95">
        <w:t>.  Turning to the first part of the Government</w:t>
      </w:r>
      <w:r w:rsidRPr="00804A95" w:rsidR="00804A95">
        <w:t>’</w:t>
      </w:r>
      <w:r w:rsidRPr="00804A95">
        <w:t xml:space="preserve">s objection </w:t>
      </w:r>
      <w:r w:rsidRPr="00804A95" w:rsidR="00DE74C5">
        <w:t>to the</w:t>
      </w:r>
      <w:r w:rsidRPr="00804A95">
        <w:t xml:space="preserve"> applicability of Article 6, the Court notes that </w:t>
      </w:r>
      <w:r w:rsidRPr="00804A95" w:rsidR="00DE74C5">
        <w:t xml:space="preserve">it has already examined </w:t>
      </w:r>
      <w:r w:rsidRPr="00804A95">
        <w:t xml:space="preserve">the same arguments in </w:t>
      </w:r>
      <w:r w:rsidRPr="00804A95">
        <w:rPr>
          <w:i/>
        </w:rPr>
        <w:t xml:space="preserve">Javor and Javorová </w:t>
      </w:r>
      <w:r w:rsidRPr="00804A95">
        <w:t xml:space="preserve">and concluded </w:t>
      </w:r>
      <w:r w:rsidRPr="00804A95" w:rsidR="00DE74C5">
        <w:t xml:space="preserve">(ibid., 66) </w:t>
      </w:r>
      <w:r w:rsidRPr="00804A95">
        <w:t xml:space="preserve">that Article 6 guarantees apply to third-party claims attached to the criminal proceedings from the moment they are made, regardless of whether criminal charges were brought against a specific </w:t>
      </w:r>
      <w:r w:rsidRPr="00804A95" w:rsidR="00991898">
        <w:t>person</w:t>
      </w:r>
      <w:r w:rsidRPr="00804A95">
        <w:t>. It sees no reason to depart from this approach in the present case and therefore dismisses this part of the Government</w:t>
      </w:r>
      <w:r w:rsidRPr="00804A95" w:rsidR="00804A95">
        <w:t>’</w:t>
      </w:r>
      <w:r w:rsidRPr="00804A95">
        <w:t>s objection.</w:t>
      </w:r>
    </w:p>
    <w:p w:rsidRPr="00804A95" w:rsidR="00635B65"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25</w:t>
      </w:r>
      <w:r w:rsidRPr="00804A95">
        <w:fldChar w:fldCharType="end"/>
      </w:r>
      <w:r w:rsidRPr="00804A95">
        <w:t>.  The Government further objected that the statutory representatives of the applicant companies failed to direct their claims for damages against</w:t>
      </w:r>
      <w:r w:rsidRPr="00804A95" w:rsidR="00991898">
        <w:t xml:space="preserve"> </w:t>
      </w:r>
      <w:r w:rsidRPr="00804A95">
        <w:t xml:space="preserve">specific persons. The Court observes that during the interviews held on </w:t>
      </w:r>
      <w:r w:rsidRPr="00804A95">
        <w:rPr>
          <w:szCs w:val="24"/>
        </w:rPr>
        <w:t xml:space="preserve">6 November 2002 and 29 May 2003, respectively, </w:t>
      </w:r>
      <w:r w:rsidRPr="00804A95">
        <w:t xml:space="preserve">the statutory representatives of the applicant companies </w:t>
      </w:r>
      <w:r w:rsidRPr="00804A95">
        <w:rPr>
          <w:szCs w:val="24"/>
        </w:rPr>
        <w:t xml:space="preserve">specifically mentioned three representatives of the company B. who had been present during the negotiation of the contested business contracts (see paragraph </w:t>
      </w:r>
      <w:r w:rsidRPr="00804A95">
        <w:rPr>
          <w:szCs w:val="24"/>
        </w:rPr>
        <w:fldChar w:fldCharType="begin"/>
      </w:r>
      <w:r w:rsidRPr="00804A95">
        <w:rPr>
          <w:szCs w:val="24"/>
        </w:rPr>
        <w:instrText xml:space="preserve"> REF paragraph8 \h </w:instrText>
      </w:r>
      <w:r w:rsidRPr="00804A95">
        <w:rPr>
          <w:szCs w:val="24"/>
        </w:rPr>
      </w:r>
      <w:r w:rsidRPr="00804A95">
        <w:rPr>
          <w:szCs w:val="24"/>
        </w:rPr>
        <w:fldChar w:fldCharType="separate"/>
      </w:r>
      <w:r w:rsidRPr="00804A95" w:rsidR="00804A95">
        <w:rPr>
          <w:noProof/>
        </w:rPr>
        <w:t>8</w:t>
      </w:r>
      <w:r w:rsidRPr="00804A95">
        <w:rPr>
          <w:szCs w:val="24"/>
        </w:rPr>
        <w:fldChar w:fldCharType="end"/>
      </w:r>
      <w:r w:rsidRPr="00804A95">
        <w:rPr>
          <w:szCs w:val="24"/>
        </w:rPr>
        <w:t xml:space="preserve"> above). It therefore considers that they had </w:t>
      </w:r>
      <w:r w:rsidRPr="00804A95">
        <w:t xml:space="preserve">specified the defendants and had properly </w:t>
      </w:r>
      <w:r w:rsidRPr="00804A95" w:rsidR="00DE74C5">
        <w:t>submitted</w:t>
      </w:r>
      <w:r w:rsidRPr="00804A95">
        <w:t xml:space="preserve"> their third-party claim for damages.</w:t>
      </w:r>
    </w:p>
    <w:p w:rsidRPr="00804A95" w:rsidR="00635B65"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26</w:t>
      </w:r>
      <w:r w:rsidRPr="00804A95">
        <w:fldChar w:fldCharType="end"/>
      </w:r>
      <w:r w:rsidRPr="00804A95">
        <w:t xml:space="preserve">.  Furthermore, the Government </w:t>
      </w:r>
      <w:r w:rsidRPr="00804A95" w:rsidR="00DE74C5">
        <w:t>asserted</w:t>
      </w:r>
      <w:r w:rsidRPr="00804A95">
        <w:t xml:space="preserve"> that the statutory representative of the first applicant company had not filed the claim for damages on behalf of the company. Referring to the wording of the interview held on 6 November 2002 (see paragraph </w:t>
      </w:r>
      <w:r w:rsidRPr="00804A95">
        <w:fldChar w:fldCharType="begin"/>
      </w:r>
      <w:r w:rsidRPr="00804A95">
        <w:instrText xml:space="preserve"> REF pragraph9 \h </w:instrText>
      </w:r>
      <w:r w:rsidRPr="00804A95">
        <w:fldChar w:fldCharType="separate"/>
      </w:r>
      <w:r w:rsidRPr="00804A95" w:rsidR="00804A95">
        <w:rPr>
          <w:noProof/>
        </w:rPr>
        <w:t>9</w:t>
      </w:r>
      <w:r w:rsidRPr="00804A95">
        <w:fldChar w:fldCharType="end"/>
      </w:r>
      <w:r w:rsidRPr="00804A95">
        <w:t xml:space="preserve"> above) and </w:t>
      </w:r>
      <w:r w:rsidRPr="00804A95" w:rsidR="0001189B">
        <w:t xml:space="preserve">to </w:t>
      </w:r>
      <w:r w:rsidRPr="00804A95">
        <w:t>the fact that the</w:t>
      </w:r>
      <w:r w:rsidRPr="00804A95" w:rsidR="0001189B">
        <w:t xml:space="preserve"> </w:t>
      </w:r>
      <w:r w:rsidRPr="00804A95">
        <w:t xml:space="preserve">domestic authorities </w:t>
      </w:r>
      <w:r w:rsidRPr="00804A95" w:rsidR="0001189B">
        <w:t xml:space="preserve">had no doubt </w:t>
      </w:r>
      <w:r w:rsidRPr="00804A95">
        <w:t>that the first applicant company was an aggrieved party in the criminal proceedings, the Court is satisfied that the claim for damages was lodged on behalf of the first applicant company. This part of the Government</w:t>
      </w:r>
      <w:r w:rsidRPr="00804A95" w:rsidR="00804A95">
        <w:t>’</w:t>
      </w:r>
      <w:r w:rsidRPr="00804A95">
        <w:t>s objection must therefore likewise to be dismissed.</w:t>
      </w:r>
    </w:p>
    <w:p w:rsidRPr="00804A95" w:rsidR="00CA59C9"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27</w:t>
      </w:r>
      <w:r w:rsidRPr="00804A95">
        <w:fldChar w:fldCharType="end"/>
      </w:r>
      <w:r w:rsidRPr="00804A95">
        <w:t>.  The Court concludes that the complaint under Article 6 § 1 is not manifestly ill</w:t>
      </w:r>
      <w:r w:rsidRPr="00804A95">
        <w:noBreakHyphen/>
        <w:t>founded within the meaning of Article 35 § 3 (a) of the Convention, it is not inadmissible on any other grounds and must therefore be declared admissible.</w:t>
      </w:r>
    </w:p>
    <w:p w:rsidRPr="00804A95" w:rsidR="00CA59C9" w:rsidP="00804A95" w:rsidRDefault="00CA59C9">
      <w:pPr>
        <w:pStyle w:val="ECHRHeading2"/>
      </w:pPr>
      <w:r w:rsidRPr="00804A95">
        <w:t>B.  Merits</w:t>
      </w:r>
    </w:p>
    <w:p w:rsidRPr="00804A95" w:rsidR="00635B65"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28</w:t>
      </w:r>
      <w:r w:rsidRPr="00804A95">
        <w:fldChar w:fldCharType="end"/>
      </w:r>
      <w:r w:rsidRPr="00804A95">
        <w:t>.  The applicant</w:t>
      </w:r>
      <w:r w:rsidRPr="00804A95" w:rsidR="0096753A">
        <w:t xml:space="preserve"> companies</w:t>
      </w:r>
      <w:r w:rsidRPr="00804A95">
        <w:t xml:space="preserve"> argued that the proceedings lasted too long due to inadequate and unprofessional approach of the law enforcement authorities.</w:t>
      </w:r>
    </w:p>
    <w:p w:rsidRPr="00804A95" w:rsidR="00CA59C9" w:rsidP="00804A95" w:rsidRDefault="0096753A">
      <w:pPr>
        <w:pStyle w:val="ECHRPara"/>
      </w:pPr>
      <w:r w:rsidRPr="00804A95">
        <w:fldChar w:fldCharType="begin"/>
      </w:r>
      <w:r w:rsidRPr="00804A95">
        <w:instrText xml:space="preserve"> SEQ level0 \*arabic </w:instrText>
      </w:r>
      <w:r w:rsidRPr="00804A95">
        <w:fldChar w:fldCharType="separate"/>
      </w:r>
      <w:r w:rsidRPr="00804A95" w:rsidR="00804A95">
        <w:rPr>
          <w:noProof/>
        </w:rPr>
        <w:t>29</w:t>
      </w:r>
      <w:r w:rsidRPr="00804A95">
        <w:fldChar w:fldCharType="end"/>
      </w:r>
      <w:r w:rsidRPr="00804A95">
        <w:t>.  </w:t>
      </w:r>
      <w:r w:rsidRPr="00804A95" w:rsidR="00CA59C9">
        <w:t xml:space="preserve">The Government </w:t>
      </w:r>
      <w:r w:rsidRPr="00804A95">
        <w:t xml:space="preserve">disagreed and argued that the </w:t>
      </w:r>
      <w:r w:rsidRPr="00804A95" w:rsidR="00E42054">
        <w:t>case</w:t>
      </w:r>
      <w:r w:rsidRPr="00804A95">
        <w:t xml:space="preserve"> w</w:t>
      </w:r>
      <w:r w:rsidRPr="00804A95" w:rsidR="00E42054">
        <w:t>as</w:t>
      </w:r>
      <w:r w:rsidRPr="00804A95">
        <w:t xml:space="preserve"> complex. They submitted </w:t>
      </w:r>
      <w:r w:rsidRPr="00804A95" w:rsidR="00CA59C9">
        <w:t xml:space="preserve">a list of procedural steps </w:t>
      </w:r>
      <w:r w:rsidRPr="00804A95" w:rsidR="00E42054">
        <w:t xml:space="preserve">taken </w:t>
      </w:r>
      <w:r w:rsidRPr="00804A95" w:rsidR="00CA59C9">
        <w:t>by the domestic authorities</w:t>
      </w:r>
      <w:r w:rsidRPr="00804A95" w:rsidR="00E42054">
        <w:t xml:space="preserve"> in the impugned</w:t>
      </w:r>
      <w:r w:rsidRPr="00804A95">
        <w:t xml:space="preserve"> proceedings</w:t>
      </w:r>
      <w:r w:rsidRPr="00804A95" w:rsidR="00E42054">
        <w:t xml:space="preserve">, </w:t>
      </w:r>
      <w:r w:rsidRPr="00804A95">
        <w:t>includ</w:t>
      </w:r>
      <w:r w:rsidRPr="00804A95" w:rsidR="00E42054">
        <w:t>ing</w:t>
      </w:r>
      <w:r w:rsidRPr="00804A95" w:rsidR="00CA59C9">
        <w:t xml:space="preserve"> around 100 witness examinations and several requests for legal assistance from abroad, in particular from the Commonwealth of the Bahamas, United States of America, Antigua and Barbuda and Hungary.</w:t>
      </w:r>
    </w:p>
    <w:p w:rsidRPr="00804A95" w:rsidR="00CA59C9"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30</w:t>
      </w:r>
      <w:r w:rsidRPr="00804A95">
        <w:fldChar w:fldCharType="end"/>
      </w:r>
      <w:r w:rsidRPr="00804A95">
        <w:t xml:space="preserve">.  The Court reiterates that the reasonableness of the length of proceedings must be assessed in the light of the circumstances of the case and with reference to the following criteria: the complexity of the case, the conduct of the applicants and the relevant authorities and what was at stake for the applicants in the dispute (see, among many other authorities, </w:t>
      </w:r>
      <w:r w:rsidRPr="00804A95">
        <w:rPr>
          <w:i/>
        </w:rPr>
        <w:t>Frydlender v. France</w:t>
      </w:r>
      <w:r w:rsidRPr="00804A95">
        <w:t xml:space="preserve"> [GC], no. 30979/96, § 43, ECHR 2000-VII).</w:t>
      </w:r>
    </w:p>
    <w:p w:rsidRPr="00804A95" w:rsidR="00CA59C9"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31</w:t>
      </w:r>
      <w:r w:rsidRPr="00804A95">
        <w:fldChar w:fldCharType="end"/>
      </w:r>
      <w:r w:rsidRPr="00804A95">
        <w:t xml:space="preserve">.  It considers that, when assessing the reasonableness of the length of </w:t>
      </w:r>
      <w:r w:rsidRPr="00804A95" w:rsidR="00E42054">
        <w:t>examination of the</w:t>
      </w:r>
      <w:r w:rsidRPr="00804A95">
        <w:t xml:space="preserve"> third-party claims attached to </w:t>
      </w:r>
      <w:r w:rsidRPr="00804A95" w:rsidR="00E42054">
        <w:t xml:space="preserve">the </w:t>
      </w:r>
      <w:r w:rsidRPr="00804A95">
        <w:t xml:space="preserve">criminal proceedings in the present case, regard should be had to the specific features of the given procedural framework, including the fact that the determination of a third-party claim in criminal proceedings in Slovakia is an auxiliary matter to the primary function of such proceedings </w:t>
      </w:r>
      <w:r w:rsidRPr="00804A95" w:rsidR="00E42054">
        <w:t xml:space="preserve">which is </w:t>
      </w:r>
      <w:r w:rsidRPr="00804A95">
        <w:t>to apply criminal law.</w:t>
      </w:r>
    </w:p>
    <w:bookmarkStart w:name="LOP" w:id="7"/>
    <w:p w:rsidRPr="00804A95" w:rsidR="00CA59C9"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32</w:t>
      </w:r>
      <w:r w:rsidRPr="00804A95">
        <w:fldChar w:fldCharType="end"/>
      </w:r>
      <w:bookmarkEnd w:id="7"/>
      <w:r w:rsidRPr="00804A95">
        <w:t xml:space="preserve">.  The proceedings on </w:t>
      </w:r>
      <w:r w:rsidRPr="00804A95" w:rsidR="00E42054">
        <w:t xml:space="preserve">the </w:t>
      </w:r>
      <w:r w:rsidRPr="00804A95">
        <w:t>applicant compan</w:t>
      </w:r>
      <w:r w:rsidRPr="00804A95" w:rsidR="00E42054">
        <w:t>ies</w:t>
      </w:r>
      <w:r w:rsidRPr="00804A95" w:rsidR="00804A95">
        <w:t>’</w:t>
      </w:r>
      <w:r w:rsidRPr="00804A95">
        <w:t xml:space="preserve"> third</w:t>
      </w:r>
      <w:r w:rsidRPr="00804A95">
        <w:noBreakHyphen/>
        <w:t>party claims commenced on 6 November 2002 and 29 M</w:t>
      </w:r>
      <w:r w:rsidRPr="00804A95" w:rsidR="00B31F3C">
        <w:t>ay 2003, respectively, when the</w:t>
      </w:r>
      <w:r w:rsidRPr="00804A95" w:rsidR="00E42054">
        <w:t xml:space="preserve">ir representatives </w:t>
      </w:r>
      <w:r w:rsidRPr="00804A95">
        <w:t>had made the</w:t>
      </w:r>
      <w:r w:rsidRPr="00804A95" w:rsidR="00E42054">
        <w:t>ir</w:t>
      </w:r>
      <w:r w:rsidRPr="00804A95">
        <w:t xml:space="preserve"> claim</w:t>
      </w:r>
      <w:r w:rsidRPr="00804A95" w:rsidR="00E42054">
        <w:t>s</w:t>
      </w:r>
      <w:r w:rsidRPr="00804A95">
        <w:t xml:space="preserve"> for damages, and ended with the discontinuation of the criminal proceedings with </w:t>
      </w:r>
      <w:r w:rsidRPr="00804A95" w:rsidR="00E42054">
        <w:t xml:space="preserve">a </w:t>
      </w:r>
      <w:r w:rsidRPr="00804A95">
        <w:t xml:space="preserve">final effect for the first applicant company on 9 August 2013 and for the second applicant company on 19 April 2013. </w:t>
      </w:r>
      <w:r w:rsidRPr="00804A95" w:rsidR="00E42054">
        <w:t>Thus t</w:t>
      </w:r>
      <w:r w:rsidRPr="00804A95">
        <w:t>he</w:t>
      </w:r>
      <w:r w:rsidRPr="00804A95" w:rsidR="00E42054">
        <w:t xml:space="preserve"> proceedings </w:t>
      </w:r>
      <w:r w:rsidRPr="00804A95">
        <w:t>lasted more than ten years</w:t>
      </w:r>
      <w:r w:rsidRPr="00804A95" w:rsidR="00E42054">
        <w:t xml:space="preserve"> and nine months in respect of the first</w:t>
      </w:r>
      <w:r w:rsidRPr="00804A95" w:rsidR="00E735A2">
        <w:t xml:space="preserve"> </w:t>
      </w:r>
      <w:r w:rsidRPr="00804A95" w:rsidR="00E42054">
        <w:t>applicant</w:t>
      </w:r>
      <w:r w:rsidRPr="00804A95" w:rsidR="00E735A2">
        <w:t xml:space="preserve"> c</w:t>
      </w:r>
      <w:r w:rsidRPr="00804A95" w:rsidR="00E42054">
        <w:t>ompany</w:t>
      </w:r>
      <w:r w:rsidRPr="00804A95" w:rsidR="00E735A2">
        <w:t xml:space="preserve"> </w:t>
      </w:r>
      <w:r w:rsidRPr="00804A95">
        <w:t xml:space="preserve">and </w:t>
      </w:r>
      <w:r w:rsidRPr="00804A95" w:rsidR="00E735A2">
        <w:t xml:space="preserve">nearly ten years in respect of </w:t>
      </w:r>
      <w:r w:rsidRPr="00804A95">
        <w:t>the second applicant company</w:t>
      </w:r>
      <w:r w:rsidRPr="00804A95" w:rsidR="00E735A2">
        <w:t>, without having gone beyond the</w:t>
      </w:r>
      <w:r w:rsidRPr="00804A95">
        <w:t xml:space="preserve"> pre-trial stage of the criminal proceedings </w:t>
      </w:r>
      <w:r w:rsidRPr="00804A95" w:rsidR="00E735A2">
        <w:t xml:space="preserve">and </w:t>
      </w:r>
      <w:r w:rsidRPr="00804A95">
        <w:t xml:space="preserve">without </w:t>
      </w:r>
      <w:r w:rsidRPr="00804A95" w:rsidR="00E735A2">
        <w:t xml:space="preserve">having led to </w:t>
      </w:r>
      <w:r w:rsidRPr="00804A95">
        <w:t xml:space="preserve">a single decision </w:t>
      </w:r>
      <w:r w:rsidRPr="00804A95" w:rsidR="00E735A2">
        <w:t>on the applicant companies</w:t>
      </w:r>
      <w:r w:rsidRPr="00804A95" w:rsidR="00804A95">
        <w:t>’</w:t>
      </w:r>
      <w:r w:rsidRPr="00804A95">
        <w:t xml:space="preserve"> claims.</w:t>
      </w:r>
    </w:p>
    <w:p w:rsidRPr="00804A95" w:rsidR="00635B65"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33</w:t>
      </w:r>
      <w:r w:rsidRPr="00804A95">
        <w:fldChar w:fldCharType="end"/>
      </w:r>
      <w:r w:rsidRPr="00804A95">
        <w:t xml:space="preserve">.  The Court observes that the </w:t>
      </w:r>
      <w:r w:rsidRPr="00804A95" w:rsidR="00420E61">
        <w:t xml:space="preserve">impugned </w:t>
      </w:r>
      <w:r w:rsidRPr="00804A95">
        <w:t xml:space="preserve">criminal proceedings were complex, involving 50 aggrieved parties, around 100 witnesses and multiple requests for international legal assistance. </w:t>
      </w:r>
      <w:r w:rsidRPr="00804A95" w:rsidR="00420E61">
        <w:t xml:space="preserve">It has not been alleged, </w:t>
      </w:r>
      <w:r w:rsidRPr="00804A95">
        <w:t>and the Court has found no indication</w:t>
      </w:r>
      <w:r w:rsidRPr="00804A95" w:rsidR="00420E61">
        <w:t>,</w:t>
      </w:r>
      <w:r w:rsidRPr="00804A95">
        <w:t xml:space="preserve"> that the applicants contributed to the length of the proceedings. As regards the conduct of the authorities, they regularly carried out investigation</w:t>
      </w:r>
      <w:r w:rsidRPr="00804A95" w:rsidR="00420E61">
        <w:t xml:space="preserve"> steps</w:t>
      </w:r>
      <w:r w:rsidRPr="00804A95">
        <w:t>, examined witnesses, imposed fines on those who had failed to appear for witness examination and cooperated with foreign authorities. Nevertheless, the Court is unable to ignore that the entire proceedings lasted around ten years.</w:t>
      </w:r>
    </w:p>
    <w:p w:rsidRPr="00804A95" w:rsidR="00CA59C9"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34</w:t>
      </w:r>
      <w:r w:rsidRPr="00804A95">
        <w:fldChar w:fldCharType="end"/>
      </w:r>
      <w:r w:rsidRPr="00804A95">
        <w:t xml:space="preserve">.  The foregoing considerations are sufficient to enable the Court to conclude that the </w:t>
      </w:r>
      <w:r w:rsidRPr="00804A95" w:rsidR="00420E61">
        <w:t>length</w:t>
      </w:r>
      <w:r w:rsidRPr="00804A95">
        <w:t xml:space="preserve"> of the proceedings under review did not comply with the “reasonable time” requirement.</w:t>
      </w:r>
    </w:p>
    <w:p w:rsidRPr="00804A95" w:rsidR="00CA59C9" w:rsidP="00804A95" w:rsidRDefault="00CA59C9">
      <w:pPr>
        <w:pStyle w:val="ECHRPara"/>
      </w:pPr>
      <w:r w:rsidRPr="00804A95">
        <w:t>There has accordingly been a violation of Article 6 of the Convention.</w:t>
      </w:r>
    </w:p>
    <w:p w:rsidRPr="00804A95" w:rsidR="005743F2" w:rsidP="00804A95" w:rsidRDefault="005743F2">
      <w:pPr>
        <w:pStyle w:val="ECHRHeading1"/>
      </w:pPr>
      <w:r w:rsidRPr="00804A95">
        <w:t>II</w:t>
      </w:r>
      <w:r w:rsidRPr="00804A95" w:rsidR="00CA59C9">
        <w:t>I</w:t>
      </w:r>
      <w:r w:rsidRPr="00804A95">
        <w:t>.  ALLEGED VIOLATION OF ARTICLE 13 OF THE CONVENTION</w:t>
      </w:r>
    </w:p>
    <w:p w:rsidRPr="00804A95" w:rsidR="005B61C6"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35</w:t>
      </w:r>
      <w:r w:rsidRPr="00804A95">
        <w:fldChar w:fldCharType="end"/>
      </w:r>
      <w:r w:rsidRPr="00804A95">
        <w:t>.  </w:t>
      </w:r>
      <w:r w:rsidRPr="00804A95" w:rsidR="005B61C6">
        <w:t>The applicant companies complained that they did not have an effective remedy in connection with their complaint, contrary to Article 13 of the Convention in conjunction with Artic</w:t>
      </w:r>
      <w:r w:rsidRPr="00804A95" w:rsidR="00C735AC">
        <w:t>le 6 of the Convention. Article </w:t>
      </w:r>
      <w:r w:rsidRPr="00804A95" w:rsidR="005B61C6">
        <w:t>13 reads as follows:</w:t>
      </w:r>
    </w:p>
    <w:p w:rsidRPr="00804A95" w:rsidR="005B61C6" w:rsidP="00804A95" w:rsidRDefault="005B61C6">
      <w:pPr>
        <w:pStyle w:val="ECHRParaQuote"/>
      </w:pPr>
      <w:r w:rsidRPr="00804A95">
        <w:t>“Everyone whose rights and freedoms as set forth in [the] Convention are violated shall have an effective remedy before a national authority notwithstanding that the violation has been committed by persons acting in an official capacity.”</w:t>
      </w:r>
    </w:p>
    <w:p w:rsidRPr="00804A95" w:rsidR="00635B65" w:rsidP="00804A95" w:rsidRDefault="005B61C6">
      <w:pPr>
        <w:pStyle w:val="ECHRPara"/>
      </w:pPr>
      <w:r w:rsidRPr="00804A95">
        <w:fldChar w:fldCharType="begin"/>
      </w:r>
      <w:r w:rsidRPr="00804A95">
        <w:instrText xml:space="preserve"> SEQ level0 \*arabic </w:instrText>
      </w:r>
      <w:r w:rsidRPr="00804A95">
        <w:fldChar w:fldCharType="separate"/>
      </w:r>
      <w:r w:rsidRPr="00804A95" w:rsidR="00804A95">
        <w:rPr>
          <w:noProof/>
        </w:rPr>
        <w:t>36</w:t>
      </w:r>
      <w:r w:rsidRPr="00804A95">
        <w:fldChar w:fldCharType="end"/>
      </w:r>
      <w:r w:rsidRPr="00804A95">
        <w:t>.  </w:t>
      </w:r>
      <w:r w:rsidRPr="00804A95" w:rsidR="00CA59C9">
        <w:t>The applicant</w:t>
      </w:r>
      <w:r w:rsidRPr="00804A95" w:rsidR="0040026D">
        <w:t xml:space="preserve"> companies</w:t>
      </w:r>
      <w:r w:rsidRPr="00804A95" w:rsidR="00CA59C9">
        <w:t xml:space="preserve"> </w:t>
      </w:r>
      <w:r w:rsidRPr="00804A95">
        <w:t xml:space="preserve">asserted </w:t>
      </w:r>
      <w:r w:rsidRPr="00804A95" w:rsidR="00CA59C9">
        <w:t xml:space="preserve">that they had </w:t>
      </w:r>
      <w:r w:rsidRPr="00804A95">
        <w:t>been deprived of an</w:t>
      </w:r>
      <w:r w:rsidRPr="00804A95" w:rsidR="00CA59C9">
        <w:t xml:space="preserve"> effective remedy </w:t>
      </w:r>
      <w:r w:rsidRPr="00804A95" w:rsidR="003A67DE">
        <w:t xml:space="preserve">in regard to </w:t>
      </w:r>
      <w:r w:rsidRPr="00804A95" w:rsidR="00CA59C9">
        <w:t xml:space="preserve">their complaint about the length of proceedings. They relied on Article 13 of the Convention and referred to the case of </w:t>
      </w:r>
      <w:r w:rsidRPr="00804A95" w:rsidR="00CA59C9">
        <w:rPr>
          <w:i/>
        </w:rPr>
        <w:t>Bíro v. Slovakia</w:t>
      </w:r>
      <w:r w:rsidRPr="00804A95" w:rsidR="00280201">
        <w:rPr>
          <w:i/>
        </w:rPr>
        <w:t xml:space="preserve"> </w:t>
      </w:r>
      <w:r w:rsidRPr="00804A95" w:rsidR="00CA59C9">
        <w:rPr>
          <w:i/>
        </w:rPr>
        <w:t>(no.2)</w:t>
      </w:r>
      <w:r w:rsidRPr="00804A95" w:rsidR="00CA59C9">
        <w:t xml:space="preserve"> (no. 57678/00, 27 June 2006) where the Court found a violation of this provision in similar circumstances.</w:t>
      </w:r>
    </w:p>
    <w:p w:rsidRPr="00804A95" w:rsidR="00635B65"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37</w:t>
      </w:r>
      <w:r w:rsidRPr="00804A95">
        <w:fldChar w:fldCharType="end"/>
      </w:r>
      <w:r w:rsidRPr="00804A95" w:rsidR="00A759BB">
        <w:t>.  </w:t>
      </w:r>
      <w:r w:rsidRPr="00804A95">
        <w:t>The Government argued that the applicants had no arguable claim under Article 13 of the Convention.</w:t>
      </w:r>
    </w:p>
    <w:p w:rsidRPr="00804A95" w:rsidR="00CA59C9"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38</w:t>
      </w:r>
      <w:r w:rsidRPr="00804A95">
        <w:fldChar w:fldCharType="end"/>
      </w:r>
      <w:r w:rsidRPr="00804A95">
        <w:t>.</w:t>
      </w:r>
      <w:r w:rsidRPr="00804A95" w:rsidR="00A759BB">
        <w:t>  </w:t>
      </w:r>
      <w:r w:rsidRPr="00804A95">
        <w:t>In light of the above the Court notes that this complaint is linked to the one already examined and must therefore be declared admissible.</w:t>
      </w:r>
    </w:p>
    <w:p w:rsidRPr="00804A95" w:rsidR="00CA59C9"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39</w:t>
      </w:r>
      <w:r w:rsidRPr="00804A95">
        <w:fldChar w:fldCharType="end"/>
      </w:r>
      <w:r w:rsidRPr="00804A95" w:rsidR="00A759BB">
        <w:t>.  </w:t>
      </w:r>
      <w:r w:rsidRPr="00804A95">
        <w:t>The Court reiterates that Article 13 guarantees an effective remedy before a national authority for an alleged breach of the requirement under Article 6 § 1 to hear a case within a reasonable time (</w:t>
      </w:r>
      <w:r w:rsidRPr="00804A95">
        <w:rPr>
          <w:i/>
        </w:rPr>
        <w:t>Kudła v. Poland</w:t>
      </w:r>
      <w:r w:rsidRPr="00804A95">
        <w:t xml:space="preserve"> [GC], no. 30210/96, § 156, ECHR 2000-XI).</w:t>
      </w:r>
    </w:p>
    <w:p w:rsidRPr="00804A95" w:rsidR="00635B65"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40</w:t>
      </w:r>
      <w:r w:rsidRPr="00804A95">
        <w:fldChar w:fldCharType="end"/>
      </w:r>
      <w:r w:rsidRPr="00804A95">
        <w:t>.  On 12 December 2013 the Constitutional Court declared inadmissible the constitutional complaints of the applicant companies concerning the length of the proceedings on the</w:t>
      </w:r>
      <w:r w:rsidRPr="00804A95" w:rsidR="003A67DE">
        <w:t>ir</w:t>
      </w:r>
      <w:r w:rsidRPr="00804A95">
        <w:t xml:space="preserve"> third-party claims for compensation attached to criminal proceedings</w:t>
      </w:r>
      <w:r w:rsidRPr="00804A95" w:rsidR="003A67DE">
        <w:t xml:space="preserve">, considering </w:t>
      </w:r>
      <w:r w:rsidRPr="00804A95">
        <w:t>that they did not enjoy a right to have their claims determined expeditiously because no charges against a specific person had been brought.</w:t>
      </w:r>
    </w:p>
    <w:p w:rsidRPr="00804A95" w:rsidR="00A974D9" w:rsidP="00804A95" w:rsidRDefault="00FE51ED">
      <w:pPr>
        <w:pStyle w:val="ECHRPara"/>
      </w:pPr>
      <w:r w:rsidRPr="00804A95">
        <w:fldChar w:fldCharType="begin"/>
      </w:r>
      <w:r w:rsidRPr="00804A95">
        <w:instrText xml:space="preserve"> SEQ level0 \*arabic </w:instrText>
      </w:r>
      <w:r w:rsidRPr="00804A95">
        <w:fldChar w:fldCharType="separate"/>
      </w:r>
      <w:r w:rsidRPr="00804A95" w:rsidR="00804A95">
        <w:rPr>
          <w:noProof/>
        </w:rPr>
        <w:t>41</w:t>
      </w:r>
      <w:r w:rsidRPr="00804A95">
        <w:fldChar w:fldCharType="end"/>
      </w:r>
      <w:r w:rsidRPr="00804A95">
        <w:t>.  The Court has already found</w:t>
      </w:r>
      <w:r w:rsidRPr="00804A95" w:rsidR="00C83B16">
        <w:t xml:space="preserve"> </w:t>
      </w:r>
      <w:r w:rsidRPr="00804A95">
        <w:t xml:space="preserve">that </w:t>
      </w:r>
      <w:r w:rsidRPr="00804A95" w:rsidR="00C83B16">
        <w:t xml:space="preserve">such position of the </w:t>
      </w:r>
      <w:r w:rsidRPr="00804A95">
        <w:t>Constitutional Court as regards the applicability of the Article 6 guarantees to third-party claims prior to the bringing of charges against a specific person lacks the basis in the practice of the ordinary courts on which it relies</w:t>
      </w:r>
      <w:r w:rsidRPr="00804A95" w:rsidR="00C83B16">
        <w:t xml:space="preserve"> (see </w:t>
      </w:r>
      <w:r w:rsidRPr="00804A95" w:rsidR="006A5AED">
        <w:rPr>
          <w:i/>
        </w:rPr>
        <w:t>Javor and </w:t>
      </w:r>
      <w:r w:rsidRPr="00804A95" w:rsidR="00C83B16">
        <w:rPr>
          <w:i/>
        </w:rPr>
        <w:t>Javorová</w:t>
      </w:r>
      <w:r w:rsidRPr="00804A95" w:rsidR="00C83B16">
        <w:t xml:space="preserve">, cited above, § 58); it has also observed that, once a criminal complaint is lodged, the law enforcement authorities in Slovakia are under a duty to follow it through (see see </w:t>
      </w:r>
      <w:r w:rsidRPr="00804A95" w:rsidR="00C83B16">
        <w:rPr>
          <w:i/>
        </w:rPr>
        <w:t>Javor and Javorová</w:t>
      </w:r>
      <w:r w:rsidRPr="00804A95" w:rsidR="00C83B16">
        <w:t>, cited above, § 65).</w:t>
      </w:r>
    </w:p>
    <w:p w:rsidRPr="00804A95" w:rsidR="00A974D9" w:rsidP="00804A95" w:rsidRDefault="00A974D9">
      <w:pPr>
        <w:pStyle w:val="ECHRPara"/>
      </w:pPr>
      <w:r w:rsidRPr="00804A95">
        <w:fldChar w:fldCharType="begin"/>
      </w:r>
      <w:r w:rsidRPr="00804A95">
        <w:instrText xml:space="preserve"> SEQ level0 \*arabic </w:instrText>
      </w:r>
      <w:r w:rsidRPr="00804A95">
        <w:fldChar w:fldCharType="separate"/>
      </w:r>
      <w:r w:rsidRPr="00804A95" w:rsidR="00804A95">
        <w:rPr>
          <w:noProof/>
        </w:rPr>
        <w:t>42</w:t>
      </w:r>
      <w:r w:rsidRPr="00804A95">
        <w:fldChar w:fldCharType="end"/>
      </w:r>
      <w:r w:rsidRPr="00804A95">
        <w:t>.  It follows from the above considerations that the constitutional complaint made under Article 127 of the Constitution is ineffective in respect of the complaints concerning the length of proceedings on third-party claims for damages</w:t>
      </w:r>
      <w:r w:rsidRPr="00804A95" w:rsidR="0087364E">
        <w:t xml:space="preserve"> in situations where no criminal charges have been brought</w:t>
      </w:r>
      <w:r w:rsidRPr="00804A95" w:rsidR="00437468">
        <w:t xml:space="preserve"> (see, </w:t>
      </w:r>
      <w:r w:rsidRPr="00804A95" w:rsidR="00437468">
        <w:rPr>
          <w:i/>
        </w:rPr>
        <w:t>mutatis mutandis</w:t>
      </w:r>
      <w:r w:rsidRPr="00804A95" w:rsidR="00437468">
        <w:t xml:space="preserve">, </w:t>
      </w:r>
      <w:r w:rsidRPr="00804A95" w:rsidR="00437468">
        <w:rPr>
          <w:i/>
        </w:rPr>
        <w:t>Bíro (no.2)</w:t>
      </w:r>
      <w:r w:rsidRPr="00804A95" w:rsidR="00437468">
        <w:t>, cited above, § 57).</w:t>
      </w:r>
    </w:p>
    <w:p w:rsidRPr="00804A95" w:rsidR="00A974D9" w:rsidP="00804A95" w:rsidRDefault="00A974D9">
      <w:pPr>
        <w:pStyle w:val="ECHRPara"/>
      </w:pPr>
      <w:r w:rsidRPr="00804A95">
        <w:fldChar w:fldCharType="begin"/>
      </w:r>
      <w:r w:rsidRPr="00804A95">
        <w:instrText xml:space="preserve"> SEQ level0 \*arabic </w:instrText>
      </w:r>
      <w:r w:rsidRPr="00804A95">
        <w:fldChar w:fldCharType="separate"/>
      </w:r>
      <w:r w:rsidRPr="00804A95" w:rsidR="00804A95">
        <w:rPr>
          <w:noProof/>
        </w:rPr>
        <w:t>43</w:t>
      </w:r>
      <w:r w:rsidRPr="00804A95">
        <w:fldChar w:fldCharType="end"/>
      </w:r>
      <w:r w:rsidRPr="00804A95">
        <w:t>.  The Court concludes that the applicant companies have not had at their disposal an effective remedy in relation to their length-of-proceedings complaint.</w:t>
      </w:r>
    </w:p>
    <w:p w:rsidRPr="00804A95" w:rsidR="00A974D9" w:rsidP="00804A95" w:rsidRDefault="00A974D9">
      <w:pPr>
        <w:pStyle w:val="ECHRPara"/>
      </w:pPr>
      <w:r w:rsidRPr="00804A95">
        <w:t>There has accordingly been a violation of Article 13</w:t>
      </w:r>
      <w:r w:rsidRPr="00804A95" w:rsidR="000C0356">
        <w:t xml:space="preserve"> </w:t>
      </w:r>
      <w:r w:rsidRPr="00804A95" w:rsidR="004064D7">
        <w:t>of the Convention</w:t>
      </w:r>
      <w:r w:rsidRPr="00804A95" w:rsidR="005B61C6">
        <w:t xml:space="preserve"> in conjunction with Article 6</w:t>
      </w:r>
      <w:r w:rsidRPr="00804A95" w:rsidR="004064D7">
        <w:t>.</w:t>
      </w:r>
    </w:p>
    <w:p w:rsidRPr="00804A95" w:rsidR="005743F2" w:rsidP="00804A95" w:rsidRDefault="005743F2">
      <w:pPr>
        <w:pStyle w:val="ECHRHeading1"/>
      </w:pPr>
      <w:r w:rsidRPr="00804A95">
        <w:t>IV.  APPLICATION OF ARTICLE 41 OF THE CONVENTION</w:t>
      </w:r>
    </w:p>
    <w:p w:rsidRPr="00804A95" w:rsidR="005743F2" w:rsidP="00804A95" w:rsidRDefault="005743F2">
      <w:pPr>
        <w:pStyle w:val="ECHRPara"/>
      </w:pPr>
      <w:r w:rsidRPr="00804A95">
        <w:fldChar w:fldCharType="begin"/>
      </w:r>
      <w:r w:rsidRPr="00804A95">
        <w:instrText xml:space="preserve"> SEQ level0 \*arabic </w:instrText>
      </w:r>
      <w:r w:rsidRPr="00804A95">
        <w:fldChar w:fldCharType="separate"/>
      </w:r>
      <w:r w:rsidRPr="00804A95" w:rsidR="00804A95">
        <w:rPr>
          <w:noProof/>
        </w:rPr>
        <w:t>44</w:t>
      </w:r>
      <w:r w:rsidRPr="00804A95">
        <w:fldChar w:fldCharType="end"/>
      </w:r>
      <w:r w:rsidRPr="00804A95">
        <w:t>.  Article 41 of the Convention provides:</w:t>
      </w:r>
    </w:p>
    <w:p w:rsidRPr="00804A95" w:rsidR="005743F2" w:rsidP="00804A95" w:rsidRDefault="005743F2">
      <w:pPr>
        <w:pStyle w:val="ECHRParaQuote"/>
        <w:keepNext/>
        <w:keepLines/>
      </w:pPr>
      <w:r w:rsidRPr="00804A9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04A95" w:rsidR="005743F2" w:rsidP="00804A95" w:rsidRDefault="005743F2">
      <w:pPr>
        <w:pStyle w:val="ECHRHeading2"/>
      </w:pPr>
      <w:r w:rsidRPr="00804A95">
        <w:t>A.  Damage</w:t>
      </w:r>
    </w:p>
    <w:p w:rsidRPr="00804A95" w:rsidR="00CA59C9"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45</w:t>
      </w:r>
      <w:r w:rsidRPr="00804A95">
        <w:fldChar w:fldCharType="end"/>
      </w:r>
      <w:r w:rsidRPr="00804A95">
        <w:t>.  The applicant companies claimed 10,000 euros (EUR) each in respect of non-pecuniary damage for the violation of Article 6 § 1 of the Convention and EUR 4,000 euros each in respect of non-pecuniary damage for the violation of Article 13 of the Convention.</w:t>
      </w:r>
    </w:p>
    <w:p w:rsidRPr="00804A95" w:rsidR="00CA59C9"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46</w:t>
      </w:r>
      <w:r w:rsidRPr="00804A95">
        <w:fldChar w:fldCharType="end"/>
      </w:r>
      <w:r w:rsidRPr="00804A95">
        <w:t>.  The Government contested these claims and submitted that should the Court find a violation of the Convention, it shall award compensation for non-pecuniary damage in an adequate manner.</w:t>
      </w:r>
    </w:p>
    <w:p w:rsidRPr="00804A95" w:rsidR="005743F2"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47</w:t>
      </w:r>
      <w:r w:rsidRPr="00804A95">
        <w:fldChar w:fldCharType="end"/>
      </w:r>
      <w:r w:rsidRPr="00804A95">
        <w:t>.  The Court considers that the applicant companies must have sustained non-pecuniary damage. Ruling on an equitable basis</w:t>
      </w:r>
      <w:r w:rsidRPr="00804A95" w:rsidR="00280201">
        <w:t xml:space="preserve"> and taking into account all circumstances of the case</w:t>
      </w:r>
      <w:r w:rsidRPr="00804A95">
        <w:t xml:space="preserve">, it awards EUR </w:t>
      </w:r>
      <w:r w:rsidRPr="00804A95" w:rsidR="00A56D8D">
        <w:t>7</w:t>
      </w:r>
      <w:r w:rsidRPr="00804A95">
        <w:t>,</w:t>
      </w:r>
      <w:r w:rsidRPr="00804A95" w:rsidR="00A56D8D">
        <w:t>3</w:t>
      </w:r>
      <w:r w:rsidRPr="00804A95">
        <w:t>00 to</w:t>
      </w:r>
      <w:r w:rsidRPr="00804A95" w:rsidR="00280201">
        <w:t xml:space="preserve"> the first </w:t>
      </w:r>
      <w:r w:rsidRPr="00804A95">
        <w:t xml:space="preserve">applicant company and EUR </w:t>
      </w:r>
      <w:r w:rsidRPr="00804A95" w:rsidR="00A56D8D">
        <w:t>6</w:t>
      </w:r>
      <w:r w:rsidRPr="00804A95">
        <w:t>,</w:t>
      </w:r>
      <w:r w:rsidRPr="00804A95" w:rsidR="00A56D8D">
        <w:t>4</w:t>
      </w:r>
      <w:r w:rsidRPr="00804A95">
        <w:t>00 to the second applicant company, plus any tax that may be chargeable</w:t>
      </w:r>
      <w:r w:rsidRPr="00804A95" w:rsidR="00FF7EED">
        <w:t>, in respect of non-pecuniary damage</w:t>
      </w:r>
      <w:r w:rsidRPr="00804A95">
        <w:t>.</w:t>
      </w:r>
    </w:p>
    <w:p w:rsidRPr="00804A95" w:rsidR="005743F2" w:rsidP="00804A95" w:rsidRDefault="005743F2">
      <w:pPr>
        <w:pStyle w:val="ECHRHeading2"/>
      </w:pPr>
      <w:r w:rsidRPr="00804A95">
        <w:t>B.  Costs and expenses</w:t>
      </w:r>
    </w:p>
    <w:p w:rsidRPr="00804A95" w:rsidR="00CA59C9"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48</w:t>
      </w:r>
      <w:r w:rsidRPr="00804A95">
        <w:fldChar w:fldCharType="end"/>
      </w:r>
      <w:r w:rsidRPr="00804A95">
        <w:t xml:space="preserve">.  The applicant companies claimed EUR 1,638 and EUR 1,470, respectively, </w:t>
      </w:r>
      <w:r w:rsidRPr="00804A95" w:rsidR="00280201">
        <w:t xml:space="preserve">in respect of </w:t>
      </w:r>
      <w:r w:rsidRPr="00804A95">
        <w:t xml:space="preserve">legal costs incurred in the proceedings before the Court. In addition, they claimed EUR 1,020 each </w:t>
      </w:r>
      <w:r w:rsidRPr="00804A95" w:rsidR="00280201">
        <w:t xml:space="preserve">in respect of </w:t>
      </w:r>
      <w:r w:rsidRPr="00804A95">
        <w:t xml:space="preserve">legal costs incurred </w:t>
      </w:r>
      <w:r w:rsidRPr="00804A95" w:rsidR="00280201">
        <w:t>at the domestic level</w:t>
      </w:r>
      <w:r w:rsidRPr="00804A95">
        <w:t xml:space="preserve">. Furthermore, the second applicant company claimed EUR 68.30 </w:t>
      </w:r>
      <w:r w:rsidRPr="00804A95" w:rsidR="00280201">
        <w:t xml:space="preserve">in respect of </w:t>
      </w:r>
      <w:r w:rsidRPr="00804A95">
        <w:t>the costs related to obtaining photocopies of the documents from the investigation file.</w:t>
      </w:r>
    </w:p>
    <w:p w:rsidRPr="00804A95" w:rsidR="00635B65"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49</w:t>
      </w:r>
      <w:r w:rsidRPr="00804A95">
        <w:fldChar w:fldCharType="end"/>
      </w:r>
      <w:r w:rsidRPr="00804A95">
        <w:t xml:space="preserve">.  The Government contested the claims in respect </w:t>
      </w:r>
      <w:r w:rsidRPr="00804A95" w:rsidR="00280201">
        <w:t xml:space="preserve">of </w:t>
      </w:r>
      <w:r w:rsidRPr="00804A95">
        <w:t xml:space="preserve">legal costs incurred </w:t>
      </w:r>
      <w:r w:rsidRPr="00804A95" w:rsidR="00280201">
        <w:t xml:space="preserve">at the domestic level </w:t>
      </w:r>
      <w:r w:rsidRPr="00804A95">
        <w:t>as insufficiently specified and asked the Court to dismiss this part of the claim.</w:t>
      </w:r>
    </w:p>
    <w:p w:rsidRPr="00804A95" w:rsidR="005743F2" w:rsidP="00804A95" w:rsidRDefault="00CA59C9">
      <w:pPr>
        <w:pStyle w:val="ECHRPara"/>
      </w:pPr>
      <w:r w:rsidRPr="00804A95">
        <w:fldChar w:fldCharType="begin"/>
      </w:r>
      <w:r w:rsidRPr="00804A95">
        <w:instrText xml:space="preserve"> SEQ level0 \*arabic </w:instrText>
      </w:r>
      <w:r w:rsidRPr="00804A95">
        <w:fldChar w:fldCharType="separate"/>
      </w:r>
      <w:r w:rsidRPr="00804A95" w:rsidR="00804A95">
        <w:rPr>
          <w:noProof/>
        </w:rPr>
        <w:t>50</w:t>
      </w:r>
      <w:r w:rsidRPr="00804A95">
        <w:fldChar w:fldCharType="end"/>
      </w:r>
      <w:r w:rsidRPr="00804A95">
        <w:t>.  According to the Court</w:t>
      </w:r>
      <w:r w:rsidRPr="00804A95" w:rsidR="00804A95">
        <w:t>’</w:t>
      </w:r>
      <w:r w:rsidRPr="00804A95">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w:t>
      </w:r>
      <w:r w:rsidRPr="00804A95" w:rsidR="00867E96">
        <w:t xml:space="preserve"> </w:t>
      </w:r>
      <w:r w:rsidRPr="00804A95">
        <w:t xml:space="preserve">EUR </w:t>
      </w:r>
      <w:r w:rsidRPr="00804A95" w:rsidR="000B3376">
        <w:t>2</w:t>
      </w:r>
      <w:r w:rsidRPr="00804A95">
        <w:t>,</w:t>
      </w:r>
      <w:r w:rsidRPr="00804A95" w:rsidR="000B3376">
        <w:t>658</w:t>
      </w:r>
      <w:r w:rsidRPr="00804A95">
        <w:t xml:space="preserve"> to the first applicant company and EUR </w:t>
      </w:r>
      <w:r w:rsidRPr="00804A95" w:rsidR="000B3376">
        <w:t>2</w:t>
      </w:r>
      <w:r w:rsidRPr="00804A95">
        <w:t>,</w:t>
      </w:r>
      <w:r w:rsidRPr="00804A95" w:rsidR="000B3376">
        <w:t>558</w:t>
      </w:r>
      <w:r w:rsidRPr="00804A95">
        <w:t xml:space="preserve"> to the second applicant company, plus any tax that may be chargeable to the applicant</w:t>
      </w:r>
      <w:r w:rsidRPr="00804A95" w:rsidR="00280201">
        <w:t xml:space="preserve"> companie</w:t>
      </w:r>
      <w:r w:rsidRPr="00804A95">
        <w:t>s, covering costs under all heads.</w:t>
      </w:r>
    </w:p>
    <w:p w:rsidRPr="00804A95" w:rsidR="005743F2" w:rsidP="00804A95" w:rsidRDefault="005743F2">
      <w:pPr>
        <w:pStyle w:val="ECHRHeading2"/>
      </w:pPr>
      <w:r w:rsidRPr="00804A95">
        <w:t>C.  Default interest</w:t>
      </w:r>
    </w:p>
    <w:p w:rsidRPr="00804A95" w:rsidR="005743F2" w:rsidP="00804A95" w:rsidRDefault="005743F2">
      <w:pPr>
        <w:pStyle w:val="ECHRPara"/>
      </w:pPr>
      <w:r w:rsidRPr="00804A95">
        <w:fldChar w:fldCharType="begin"/>
      </w:r>
      <w:r w:rsidRPr="00804A95">
        <w:instrText xml:space="preserve"> SEQ level0 \*arabic </w:instrText>
      </w:r>
      <w:r w:rsidRPr="00804A95">
        <w:fldChar w:fldCharType="separate"/>
      </w:r>
      <w:r w:rsidRPr="00804A95" w:rsidR="00804A95">
        <w:rPr>
          <w:noProof/>
        </w:rPr>
        <w:t>51</w:t>
      </w:r>
      <w:r w:rsidRPr="00804A95">
        <w:fldChar w:fldCharType="end"/>
      </w:r>
      <w:r w:rsidRPr="00804A95">
        <w:t>.  The Court considers it appropriate that the default interest rate should be based on the marginal lending rate of the European Central Bank, to which should be added three percentage points.</w:t>
      </w:r>
    </w:p>
    <w:p w:rsidRPr="00804A95" w:rsidR="005743F2" w:rsidP="00804A95" w:rsidRDefault="005743F2">
      <w:pPr>
        <w:pStyle w:val="ECHRTitle1"/>
      </w:pPr>
      <w:r w:rsidRPr="00804A95">
        <w:t>FOR THESE REASONS, THE COURT, UNANIMOUSLY,</w:t>
      </w:r>
    </w:p>
    <w:p w:rsidRPr="00804A95" w:rsidR="005743F2" w:rsidP="00804A95" w:rsidRDefault="005743F2">
      <w:pPr>
        <w:pStyle w:val="JuList"/>
        <w:ind w:left="0" w:firstLine="0"/>
      </w:pPr>
      <w:r w:rsidRPr="00804A95">
        <w:t>1.  </w:t>
      </w:r>
      <w:r w:rsidRPr="00804A95">
        <w:rPr>
          <w:i/>
        </w:rPr>
        <w:t xml:space="preserve">Decides </w:t>
      </w:r>
      <w:r w:rsidRPr="00804A95">
        <w:t>to join the applications;</w:t>
      </w:r>
    </w:p>
    <w:p w:rsidRPr="00804A95" w:rsidR="005743F2" w:rsidP="00804A95" w:rsidRDefault="005743F2">
      <w:pPr>
        <w:pStyle w:val="JuList"/>
      </w:pPr>
    </w:p>
    <w:p w:rsidRPr="00804A95" w:rsidR="005743F2" w:rsidP="00804A95" w:rsidRDefault="005743F2">
      <w:pPr>
        <w:pStyle w:val="JuList"/>
        <w:ind w:left="0" w:firstLine="0"/>
      </w:pPr>
      <w:r w:rsidRPr="00804A95">
        <w:t>2.  </w:t>
      </w:r>
      <w:r w:rsidRPr="00804A95">
        <w:rPr>
          <w:i/>
        </w:rPr>
        <w:t>Declares</w:t>
      </w:r>
      <w:r w:rsidRPr="00804A95">
        <w:rPr>
          <w:color w:val="000000"/>
        </w:rPr>
        <w:t xml:space="preserve"> </w:t>
      </w:r>
      <w:r w:rsidRPr="00804A95">
        <w:t>the applications admissible;</w:t>
      </w:r>
    </w:p>
    <w:p w:rsidRPr="00804A95" w:rsidR="005743F2" w:rsidP="00804A95" w:rsidRDefault="005743F2">
      <w:pPr>
        <w:pStyle w:val="JuList"/>
      </w:pPr>
    </w:p>
    <w:p w:rsidRPr="00804A95" w:rsidR="005743F2" w:rsidP="00804A95" w:rsidRDefault="00EF0432">
      <w:pPr>
        <w:pStyle w:val="JuList"/>
      </w:pPr>
      <w:r w:rsidRPr="00804A95">
        <w:t>3.  </w:t>
      </w:r>
      <w:r w:rsidRPr="00804A95" w:rsidR="005743F2">
        <w:rPr>
          <w:i/>
        </w:rPr>
        <w:t>Holds</w:t>
      </w:r>
      <w:r w:rsidRPr="00804A95" w:rsidR="005743F2">
        <w:rPr>
          <w:color w:val="000000"/>
        </w:rPr>
        <w:t xml:space="preserve"> </w:t>
      </w:r>
      <w:r w:rsidRPr="00804A95" w:rsidR="005743F2">
        <w:t>that there has been a violation of Article 6 § 1 of the Convention;</w:t>
      </w:r>
    </w:p>
    <w:p w:rsidRPr="00804A95" w:rsidR="005743F2" w:rsidP="00804A95" w:rsidRDefault="005743F2">
      <w:pPr>
        <w:pStyle w:val="JuList"/>
      </w:pPr>
    </w:p>
    <w:p w:rsidRPr="00804A95" w:rsidR="005743F2" w:rsidP="00804A95" w:rsidRDefault="00EF0432">
      <w:pPr>
        <w:pStyle w:val="JuList"/>
      </w:pPr>
      <w:r w:rsidRPr="00804A95">
        <w:t>4</w:t>
      </w:r>
      <w:r w:rsidRPr="00804A95" w:rsidR="005743F2">
        <w:t>.  </w:t>
      </w:r>
      <w:r w:rsidRPr="00804A95" w:rsidR="005743F2">
        <w:rPr>
          <w:i/>
        </w:rPr>
        <w:t>Holds</w:t>
      </w:r>
      <w:r w:rsidRPr="00804A95" w:rsidR="005743F2">
        <w:rPr>
          <w:color w:val="000000"/>
        </w:rPr>
        <w:t xml:space="preserve"> </w:t>
      </w:r>
      <w:r w:rsidRPr="00804A95" w:rsidR="005743F2">
        <w:t>that there has been a violation of Article 13 of the Convention</w:t>
      </w:r>
      <w:r w:rsidRPr="00804A95" w:rsidR="006A154F">
        <w:t xml:space="preserve"> in conjunction with Article 6 § 1 of the Convention</w:t>
      </w:r>
      <w:r w:rsidRPr="00804A95" w:rsidR="005743F2">
        <w:t>;</w:t>
      </w:r>
    </w:p>
    <w:p w:rsidRPr="00804A95" w:rsidR="005743F2" w:rsidP="00804A95" w:rsidRDefault="005743F2">
      <w:pPr>
        <w:pStyle w:val="JuList"/>
      </w:pPr>
    </w:p>
    <w:p w:rsidRPr="00804A95" w:rsidR="005743F2" w:rsidP="00804A95" w:rsidRDefault="00EF0432">
      <w:pPr>
        <w:pStyle w:val="JuList"/>
        <w:rPr>
          <w:i/>
        </w:rPr>
      </w:pPr>
      <w:r w:rsidRPr="00804A95">
        <w:t>5</w:t>
      </w:r>
      <w:r w:rsidRPr="00804A95" w:rsidR="005743F2">
        <w:t>.  </w:t>
      </w:r>
      <w:r w:rsidRPr="00804A95" w:rsidR="005743F2">
        <w:rPr>
          <w:i/>
        </w:rPr>
        <w:t>Holds</w:t>
      </w:r>
    </w:p>
    <w:p w:rsidRPr="00804A95" w:rsidR="00EF0432" w:rsidP="00804A95" w:rsidRDefault="00EF0432">
      <w:pPr>
        <w:pStyle w:val="JuLista"/>
      </w:pPr>
      <w:r w:rsidRPr="00804A95">
        <w:t>(a)  that the respondent State is to pay the applicant</w:t>
      </w:r>
      <w:r w:rsidRPr="00804A95" w:rsidR="00FF7EED">
        <w:t xml:space="preserve"> companie</w:t>
      </w:r>
      <w:r w:rsidRPr="00804A95">
        <w:t>s, within three months, the following amounts:</w:t>
      </w:r>
    </w:p>
    <w:p w:rsidRPr="00804A95" w:rsidR="00EF0432" w:rsidP="00804A95" w:rsidRDefault="00EF0432">
      <w:pPr>
        <w:pStyle w:val="JuListi"/>
      </w:pPr>
      <w:r w:rsidRPr="00804A95">
        <w:t xml:space="preserve">(i)  EUR </w:t>
      </w:r>
      <w:r w:rsidRPr="00804A95" w:rsidR="00A56D8D">
        <w:t>7</w:t>
      </w:r>
      <w:r w:rsidRPr="00804A95">
        <w:t>,</w:t>
      </w:r>
      <w:r w:rsidRPr="00804A95" w:rsidR="00A56D8D">
        <w:t>3</w:t>
      </w:r>
      <w:r w:rsidRPr="00804A95">
        <w:t xml:space="preserve">00 </w:t>
      </w:r>
      <w:r w:rsidRPr="00804A95" w:rsidR="00214971">
        <w:t>(</w:t>
      </w:r>
      <w:r w:rsidRPr="00804A95" w:rsidR="00A56D8D">
        <w:t>seven</w:t>
      </w:r>
      <w:r w:rsidRPr="00804A95" w:rsidR="00214971">
        <w:t xml:space="preserve"> thousand </w:t>
      </w:r>
      <w:r w:rsidRPr="00804A95" w:rsidR="00A56D8D">
        <w:t>three</w:t>
      </w:r>
      <w:r w:rsidRPr="00804A95" w:rsidR="00214971">
        <w:t xml:space="preserve"> hundred euros) </w:t>
      </w:r>
      <w:r w:rsidRPr="00804A95">
        <w:t xml:space="preserve">to the first applicant company and EUR </w:t>
      </w:r>
      <w:r w:rsidRPr="00804A95" w:rsidR="00A56D8D">
        <w:t>6</w:t>
      </w:r>
      <w:r w:rsidRPr="00804A95">
        <w:t>,</w:t>
      </w:r>
      <w:r w:rsidRPr="00804A95" w:rsidR="00A56D8D">
        <w:t>4</w:t>
      </w:r>
      <w:r w:rsidRPr="00804A95">
        <w:t>00</w:t>
      </w:r>
      <w:r w:rsidRPr="00804A95" w:rsidR="00214971">
        <w:t xml:space="preserve"> (</w:t>
      </w:r>
      <w:r w:rsidRPr="00804A95" w:rsidR="00A56D8D">
        <w:t>six</w:t>
      </w:r>
      <w:r w:rsidRPr="00804A95" w:rsidR="00214971">
        <w:t xml:space="preserve"> thousand </w:t>
      </w:r>
      <w:r w:rsidRPr="00804A95" w:rsidR="00A56D8D">
        <w:t>four</w:t>
      </w:r>
      <w:r w:rsidRPr="00804A95" w:rsidR="00214971">
        <w:t xml:space="preserve"> hundred euros) </w:t>
      </w:r>
      <w:r w:rsidRPr="00804A95">
        <w:t>to the second applicant company, plus any tax that may be chargeable, in respect of non-pecuniary damage;</w:t>
      </w:r>
    </w:p>
    <w:p w:rsidRPr="00804A95" w:rsidR="00EF0432" w:rsidP="00804A95" w:rsidRDefault="00EF0432">
      <w:pPr>
        <w:pStyle w:val="JuListi"/>
      </w:pPr>
      <w:r w:rsidRPr="00804A95">
        <w:t>(ii)  </w:t>
      </w:r>
      <w:r w:rsidRPr="00804A95" w:rsidR="00B3332F">
        <w:t xml:space="preserve">EUR 2,658 </w:t>
      </w:r>
      <w:r w:rsidRPr="00804A95" w:rsidR="00214971">
        <w:t>(</w:t>
      </w:r>
      <w:r w:rsidRPr="00804A95" w:rsidR="00B3332F">
        <w:t xml:space="preserve">two </w:t>
      </w:r>
      <w:r w:rsidRPr="00804A95" w:rsidR="00214971">
        <w:t>thousand</w:t>
      </w:r>
      <w:r w:rsidRPr="00804A95" w:rsidR="00B3332F">
        <w:t>s</w:t>
      </w:r>
      <w:r w:rsidRPr="00804A95" w:rsidR="00214971">
        <w:t xml:space="preserve"> </w:t>
      </w:r>
      <w:r w:rsidRPr="00804A95" w:rsidR="00B3332F">
        <w:t xml:space="preserve">six </w:t>
      </w:r>
      <w:r w:rsidRPr="00804A95" w:rsidR="00214971">
        <w:t xml:space="preserve">hundred and </w:t>
      </w:r>
      <w:r w:rsidRPr="00804A95" w:rsidR="00B3332F">
        <w:t>fifty</w:t>
      </w:r>
      <w:r w:rsidRPr="00804A95" w:rsidR="00214971">
        <w:t>-</w:t>
      </w:r>
      <w:r w:rsidRPr="00804A95" w:rsidR="00B3332F">
        <w:t>eight</w:t>
      </w:r>
      <w:r w:rsidRPr="00804A95" w:rsidR="00214971">
        <w:t xml:space="preserve"> euros) </w:t>
      </w:r>
      <w:r w:rsidRPr="00804A95">
        <w:t xml:space="preserve">to the first applicant company and </w:t>
      </w:r>
      <w:r w:rsidRPr="00804A95" w:rsidR="00B3332F">
        <w:t xml:space="preserve">EUR 2,558 </w:t>
      </w:r>
      <w:r w:rsidRPr="00804A95" w:rsidR="00214971">
        <w:t>(</w:t>
      </w:r>
      <w:r w:rsidRPr="00804A95" w:rsidR="00B3332F">
        <w:t xml:space="preserve">two </w:t>
      </w:r>
      <w:r w:rsidRPr="00804A95" w:rsidR="00214971">
        <w:t>thousand</w:t>
      </w:r>
      <w:r w:rsidRPr="00804A95" w:rsidR="00B3332F">
        <w:t>s</w:t>
      </w:r>
      <w:r w:rsidRPr="00804A95" w:rsidR="00214971">
        <w:t xml:space="preserve"> </w:t>
      </w:r>
      <w:r w:rsidRPr="00804A95" w:rsidR="00B3332F">
        <w:t xml:space="preserve">five </w:t>
      </w:r>
      <w:r w:rsidRPr="00804A95" w:rsidR="00214971">
        <w:t xml:space="preserve">hundred and </w:t>
      </w:r>
      <w:r w:rsidRPr="00804A95" w:rsidR="00B3332F">
        <w:t>fifty</w:t>
      </w:r>
      <w:r w:rsidRPr="00804A95" w:rsidR="00214971">
        <w:t>-</w:t>
      </w:r>
      <w:r w:rsidRPr="00804A95" w:rsidR="00B3332F">
        <w:t>eight</w:t>
      </w:r>
      <w:r w:rsidRPr="00804A95" w:rsidR="00214971">
        <w:t xml:space="preserve"> euros) </w:t>
      </w:r>
      <w:r w:rsidRPr="00804A95">
        <w:t>to the second applicant company, plus any tax that may be chargeable to the applicant</w:t>
      </w:r>
      <w:r w:rsidRPr="00804A95" w:rsidR="00B3332F">
        <w:t xml:space="preserve"> companies</w:t>
      </w:r>
      <w:r w:rsidRPr="00804A95">
        <w:t>, in respect of costs and expenses;</w:t>
      </w:r>
    </w:p>
    <w:p w:rsidRPr="00804A95" w:rsidR="00EF0432" w:rsidP="00804A95" w:rsidRDefault="00EF0432">
      <w:pPr>
        <w:pStyle w:val="JuLista"/>
      </w:pPr>
      <w:r w:rsidRPr="00804A95">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804A95" w:rsidR="00EF0432" w:rsidP="00804A95" w:rsidRDefault="00EF0432">
      <w:pPr>
        <w:pStyle w:val="JuList"/>
      </w:pPr>
    </w:p>
    <w:p w:rsidRPr="00804A95" w:rsidR="00EF0432" w:rsidP="00804A95" w:rsidRDefault="00214971">
      <w:pPr>
        <w:pStyle w:val="JuList"/>
      </w:pPr>
      <w:r w:rsidRPr="00804A95">
        <w:t>6</w:t>
      </w:r>
      <w:r w:rsidRPr="00804A95" w:rsidR="00EF0432">
        <w:t>.  </w:t>
      </w:r>
      <w:r w:rsidRPr="00804A95" w:rsidR="00EF0432">
        <w:rPr>
          <w:i/>
        </w:rPr>
        <w:t>Dismisses</w:t>
      </w:r>
      <w:r w:rsidRPr="00804A95" w:rsidR="00EF0432">
        <w:t xml:space="preserve"> the remainder of the applicant</w:t>
      </w:r>
      <w:r w:rsidRPr="00804A95" w:rsidR="000C0356">
        <w:t xml:space="preserve"> companie</w:t>
      </w:r>
      <w:r w:rsidRPr="00804A95" w:rsidR="00EF0432">
        <w:t>s</w:t>
      </w:r>
      <w:r w:rsidRPr="00804A95" w:rsidR="00804A95">
        <w:t>’</w:t>
      </w:r>
      <w:r w:rsidRPr="00804A95" w:rsidR="00EF0432">
        <w:t xml:space="preserve"> claim</w:t>
      </w:r>
      <w:r w:rsidRPr="00804A95" w:rsidR="000C0356">
        <w:t>s</w:t>
      </w:r>
      <w:r w:rsidRPr="00804A95" w:rsidR="00EF0432">
        <w:t xml:space="preserve"> for just satisfaction.</w:t>
      </w:r>
    </w:p>
    <w:p w:rsidRPr="00804A95" w:rsidR="005743F2" w:rsidP="00804A95" w:rsidRDefault="005743F2">
      <w:pPr>
        <w:pStyle w:val="JuParaLast"/>
      </w:pPr>
      <w:r w:rsidRPr="00804A95">
        <w:t xml:space="preserve">Done in English, and notified in writing on </w:t>
      </w:r>
      <w:r w:rsidRPr="00804A95" w:rsidR="00A4065E">
        <w:t>2</w:t>
      </w:r>
      <w:r w:rsidRPr="00804A95" w:rsidR="00867731">
        <w:t>8</w:t>
      </w:r>
      <w:r w:rsidRPr="00804A95" w:rsidR="00A4065E">
        <w:t xml:space="preserve"> January 2020</w:t>
      </w:r>
      <w:r w:rsidRPr="00804A95">
        <w:t>, pursuant to Rule 77 §§ 2 and 3 of the Rules of Court.</w:t>
      </w:r>
    </w:p>
    <w:p w:rsidRPr="00804A95" w:rsidR="00913074" w:rsidP="00804A95" w:rsidRDefault="00913074">
      <w:pPr>
        <w:pStyle w:val="JuSigned"/>
      </w:pPr>
      <w:r w:rsidRPr="00804A95">
        <w:tab/>
        <w:t>Stephen Phillips</w:t>
      </w:r>
      <w:r w:rsidRPr="00804A95">
        <w:tab/>
        <w:t>Dmitry Dedov</w:t>
      </w:r>
      <w:r w:rsidRPr="00804A95">
        <w:br/>
      </w:r>
      <w:r w:rsidRPr="00804A95">
        <w:tab/>
        <w:t>Registrar</w:t>
      </w:r>
      <w:r w:rsidRPr="00804A95">
        <w:tab/>
        <w:t>President</w:t>
      </w:r>
    </w:p>
    <w:sectPr w:rsidRPr="00804A95" w:rsidR="00913074" w:rsidSect="00066E99">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3F2" w:rsidRPr="00B35A81" w:rsidRDefault="005743F2" w:rsidP="000055E6">
      <w:r w:rsidRPr="00B35A81">
        <w:separator/>
      </w:r>
    </w:p>
  </w:endnote>
  <w:endnote w:type="continuationSeparator" w:id="0">
    <w:p w:rsidR="005743F2" w:rsidRPr="00B35A81" w:rsidRDefault="005743F2" w:rsidP="000055E6">
      <w:r w:rsidRPr="00B35A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6E99" w:rsidRPr="00150BFA" w:rsidRDefault="00066E99" w:rsidP="0020718E">
    <w:pPr>
      <w:jc w:val="center"/>
    </w:pPr>
    <w:r>
      <w:rPr>
        <w:noProof/>
        <w:lang w:val="en-US" w:eastAsia="ja-JP"/>
      </w:rPr>
      <w:drawing>
        <wp:inline distT="0" distB="0" distL="0" distR="0" wp14:anchorId="06954F2D" wp14:editId="290B30A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66E99" w:rsidRDefault="00066E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3F2" w:rsidRPr="00B35A81" w:rsidRDefault="005743F2" w:rsidP="000055E6">
      <w:r w:rsidRPr="00B35A81">
        <w:separator/>
      </w:r>
    </w:p>
  </w:footnote>
  <w:footnote w:type="continuationSeparator" w:id="0">
    <w:p w:rsidR="005743F2" w:rsidRPr="00B35A81" w:rsidRDefault="005743F2" w:rsidP="000055E6">
      <w:r w:rsidRPr="00B35A8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984" w:rsidRPr="00066E99" w:rsidRDefault="004D6984" w:rsidP="00066E99">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6E99" w:rsidRPr="00A45145" w:rsidRDefault="00066E99" w:rsidP="00A45145">
    <w:pPr>
      <w:jc w:val="center"/>
    </w:pPr>
    <w:r>
      <w:rPr>
        <w:noProof/>
        <w:lang w:val="en-US" w:eastAsia="ja-JP"/>
      </w:rPr>
      <w:drawing>
        <wp:inline distT="0" distB="0" distL="0" distR="0" wp14:anchorId="5FA9DB7B" wp14:editId="1255F49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35B65" w:rsidRDefault="00635B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6E99" w:rsidRPr="00B35A81" w:rsidRDefault="00066E99" w:rsidP="00D0189E">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804A95">
      <w:rPr>
        <w:rStyle w:val="PageNumber"/>
        <w:noProof/>
        <w:szCs w:val="18"/>
      </w:rPr>
      <w:t>10</w:t>
    </w:r>
    <w:r>
      <w:rPr>
        <w:rStyle w:val="PageNumber"/>
        <w:szCs w:val="18"/>
      </w:rPr>
      <w:fldChar w:fldCharType="end"/>
    </w:r>
    <w:r w:rsidRPr="00B35A81">
      <w:tab/>
    </w:r>
    <w:r>
      <w:t xml:space="preserve">FRAMIPEK S.R.O. AND </w:t>
    </w:r>
    <w:r w:rsidRPr="00E5160F">
      <w:t>AGRORACIO SENICA, A.S.</w:t>
    </w:r>
    <w:r>
      <w:t xml:space="preserve"> v. SLOVAKIA</w:t>
    </w:r>
    <w:r w:rsidRPr="00B35A81">
      <w:t xml:space="preserve"> J</w:t>
    </w:r>
    <w:r w:rsidR="00AB4BEC">
      <w:t>UDGEMENT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6E99" w:rsidRPr="00B35A81" w:rsidRDefault="00066E99" w:rsidP="00D0189E">
    <w:pPr>
      <w:pStyle w:val="ECHRHeader"/>
    </w:pPr>
    <w:r w:rsidRPr="00B35A81">
      <w:tab/>
    </w:r>
    <w:r>
      <w:t xml:space="preserve">FRAMIPEK S.R.O. AND </w:t>
    </w:r>
    <w:r w:rsidRPr="00E5160F">
      <w:t>AGRORACIO SENICA, A.S.</w:t>
    </w:r>
    <w:r>
      <w:rPr>
        <w:b/>
      </w:rPr>
      <w:t xml:space="preserve"> </w:t>
    </w:r>
    <w:r>
      <w:t>v. SLOVAKIA</w:t>
    </w:r>
    <w:r w:rsidR="00AB4BEC">
      <w:t xml:space="preserve"> </w:t>
    </w:r>
    <w:r w:rsidRPr="00B35A81">
      <w:t>J</w:t>
    </w:r>
    <w:r w:rsidR="00AB4BEC">
      <w:t>UDGEMENT</w:t>
    </w:r>
    <w:r w:rsidRPr="00B35A81">
      <w:tab/>
    </w:r>
    <w:r>
      <w:rPr>
        <w:rStyle w:val="PageNumber"/>
      </w:rPr>
      <w:fldChar w:fldCharType="begin"/>
    </w:r>
    <w:r>
      <w:rPr>
        <w:rStyle w:val="PageNumber"/>
      </w:rPr>
      <w:instrText xml:space="preserve"> PAGE </w:instrText>
    </w:r>
    <w:r>
      <w:rPr>
        <w:rStyle w:val="PageNumber"/>
      </w:rPr>
      <w:fldChar w:fldCharType="separate"/>
    </w:r>
    <w:r w:rsidR="00804A95">
      <w:rPr>
        <w:rStyle w:val="PageNumber"/>
        <w:noProof/>
      </w:rPr>
      <w:t>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7648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521F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1E3B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A6C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8685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F4E0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A341D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AF4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6542F8A"/>
    <w:lvl w:ilvl="0">
      <w:start w:val="1"/>
      <w:numFmt w:val="decimal"/>
      <w:pStyle w:val="ListNumber"/>
      <w:lvlText w:val="%1."/>
      <w:lvlJc w:val="left"/>
      <w:pPr>
        <w:tabs>
          <w:tab w:val="num" w:pos="360"/>
        </w:tabs>
        <w:ind w:left="360" w:hanging="360"/>
      </w:pPr>
    </w:lvl>
  </w:abstractNum>
  <w:abstractNum w:abstractNumId="9">
    <w:nsid w:val="10165EA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632A0EF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48A1952"/>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1"/>
  </w:num>
  <w:num w:numId="2">
    <w:abstractNumId w:val="9"/>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LetCode" w:val="DE2.1b "/>
    <w:docVar w:name="NBEMMDOC" w:val="0"/>
  </w:docVars>
  <w:rsids>
    <w:rsidRoot w:val="005743F2"/>
    <w:rsid w:val="000041F8"/>
    <w:rsid w:val="000042A8"/>
    <w:rsid w:val="00004308"/>
    <w:rsid w:val="000055E6"/>
    <w:rsid w:val="00005BF0"/>
    <w:rsid w:val="00006FEE"/>
    <w:rsid w:val="00007154"/>
    <w:rsid w:val="000103AE"/>
    <w:rsid w:val="0001189B"/>
    <w:rsid w:val="00011D69"/>
    <w:rsid w:val="00012AD3"/>
    <w:rsid w:val="00014A37"/>
    <w:rsid w:val="00015C2D"/>
    <w:rsid w:val="00015F00"/>
    <w:rsid w:val="00022C1D"/>
    <w:rsid w:val="000242AC"/>
    <w:rsid w:val="00027F51"/>
    <w:rsid w:val="00030DDF"/>
    <w:rsid w:val="00034987"/>
    <w:rsid w:val="00043AC8"/>
    <w:rsid w:val="000602DF"/>
    <w:rsid w:val="00061B05"/>
    <w:rsid w:val="000632D5"/>
    <w:rsid w:val="000644EE"/>
    <w:rsid w:val="00066E99"/>
    <w:rsid w:val="00072C68"/>
    <w:rsid w:val="00077118"/>
    <w:rsid w:val="000925AD"/>
    <w:rsid w:val="000A24EB"/>
    <w:rsid w:val="000B3376"/>
    <w:rsid w:val="000B6923"/>
    <w:rsid w:val="000C0356"/>
    <w:rsid w:val="000C2AA3"/>
    <w:rsid w:val="000C5F3C"/>
    <w:rsid w:val="000C6DCC"/>
    <w:rsid w:val="000D47AA"/>
    <w:rsid w:val="000D721F"/>
    <w:rsid w:val="000E069B"/>
    <w:rsid w:val="000E0E82"/>
    <w:rsid w:val="000E1DC5"/>
    <w:rsid w:val="000E223F"/>
    <w:rsid w:val="000E6A8F"/>
    <w:rsid w:val="000E7D45"/>
    <w:rsid w:val="000F7851"/>
    <w:rsid w:val="00104E23"/>
    <w:rsid w:val="00111B0C"/>
    <w:rsid w:val="00120D6C"/>
    <w:rsid w:val="001257EC"/>
    <w:rsid w:val="00131F25"/>
    <w:rsid w:val="00133D33"/>
    <w:rsid w:val="00134D64"/>
    <w:rsid w:val="00135A30"/>
    <w:rsid w:val="0013612C"/>
    <w:rsid w:val="00137FF6"/>
    <w:rsid w:val="00141650"/>
    <w:rsid w:val="0016071E"/>
    <w:rsid w:val="00162A12"/>
    <w:rsid w:val="00166530"/>
    <w:rsid w:val="001832BD"/>
    <w:rsid w:val="001943B5"/>
    <w:rsid w:val="00195134"/>
    <w:rsid w:val="001A145B"/>
    <w:rsid w:val="001A1FAB"/>
    <w:rsid w:val="001A674C"/>
    <w:rsid w:val="001B3B24"/>
    <w:rsid w:val="001C0F98"/>
    <w:rsid w:val="001C2A42"/>
    <w:rsid w:val="001C41DE"/>
    <w:rsid w:val="001C6731"/>
    <w:rsid w:val="001D5048"/>
    <w:rsid w:val="001D63ED"/>
    <w:rsid w:val="001D7348"/>
    <w:rsid w:val="001D799A"/>
    <w:rsid w:val="001E035B"/>
    <w:rsid w:val="001E0961"/>
    <w:rsid w:val="001E3EAE"/>
    <w:rsid w:val="001E6F32"/>
    <w:rsid w:val="001F2145"/>
    <w:rsid w:val="001F3D06"/>
    <w:rsid w:val="001F6262"/>
    <w:rsid w:val="001F66FE"/>
    <w:rsid w:val="001F67B0"/>
    <w:rsid w:val="001F7B3D"/>
    <w:rsid w:val="00205F9F"/>
    <w:rsid w:val="0020655F"/>
    <w:rsid w:val="00210338"/>
    <w:rsid w:val="002115FC"/>
    <w:rsid w:val="002126FC"/>
    <w:rsid w:val="0021423C"/>
    <w:rsid w:val="00214971"/>
    <w:rsid w:val="00230D00"/>
    <w:rsid w:val="00231DF7"/>
    <w:rsid w:val="00231FD1"/>
    <w:rsid w:val="002339E0"/>
    <w:rsid w:val="00233CF8"/>
    <w:rsid w:val="0023575D"/>
    <w:rsid w:val="00237148"/>
    <w:rsid w:val="0024222D"/>
    <w:rsid w:val="00244B0E"/>
    <w:rsid w:val="00244F6C"/>
    <w:rsid w:val="002532C5"/>
    <w:rsid w:val="00260C03"/>
    <w:rsid w:val="00260CFD"/>
    <w:rsid w:val="0026540E"/>
    <w:rsid w:val="00275123"/>
    <w:rsid w:val="00280201"/>
    <w:rsid w:val="00282240"/>
    <w:rsid w:val="002948AD"/>
    <w:rsid w:val="002A01CC"/>
    <w:rsid w:val="002A4D82"/>
    <w:rsid w:val="002A61B1"/>
    <w:rsid w:val="002A663C"/>
    <w:rsid w:val="002B444B"/>
    <w:rsid w:val="002B5887"/>
    <w:rsid w:val="002C0E27"/>
    <w:rsid w:val="002C3040"/>
    <w:rsid w:val="002C53C5"/>
    <w:rsid w:val="002D022D"/>
    <w:rsid w:val="002D24BB"/>
    <w:rsid w:val="002D6181"/>
    <w:rsid w:val="002D6E97"/>
    <w:rsid w:val="002E044C"/>
    <w:rsid w:val="002E2EEB"/>
    <w:rsid w:val="002F1A45"/>
    <w:rsid w:val="002F2AF7"/>
    <w:rsid w:val="002F7E1C"/>
    <w:rsid w:val="00301A75"/>
    <w:rsid w:val="00302F70"/>
    <w:rsid w:val="0030336F"/>
    <w:rsid w:val="0030375E"/>
    <w:rsid w:val="00312A30"/>
    <w:rsid w:val="00320F72"/>
    <w:rsid w:val="0032463E"/>
    <w:rsid w:val="003249B0"/>
    <w:rsid w:val="00326224"/>
    <w:rsid w:val="003314BD"/>
    <w:rsid w:val="00331A76"/>
    <w:rsid w:val="00337EE4"/>
    <w:rsid w:val="00340FFD"/>
    <w:rsid w:val="003470E0"/>
    <w:rsid w:val="00347B85"/>
    <w:rsid w:val="003506B1"/>
    <w:rsid w:val="00356AC7"/>
    <w:rsid w:val="003609FA"/>
    <w:rsid w:val="00361CB4"/>
    <w:rsid w:val="003710C8"/>
    <w:rsid w:val="003726D0"/>
    <w:rsid w:val="003750BE"/>
    <w:rsid w:val="003802D6"/>
    <w:rsid w:val="00387B9D"/>
    <w:rsid w:val="0039292A"/>
    <w:rsid w:val="0039364F"/>
    <w:rsid w:val="00394565"/>
    <w:rsid w:val="00396686"/>
    <w:rsid w:val="0039778E"/>
    <w:rsid w:val="003A67DE"/>
    <w:rsid w:val="003B4941"/>
    <w:rsid w:val="003B4D4E"/>
    <w:rsid w:val="003C3D56"/>
    <w:rsid w:val="003C5714"/>
    <w:rsid w:val="003C6B9F"/>
    <w:rsid w:val="003C6E2A"/>
    <w:rsid w:val="003D0299"/>
    <w:rsid w:val="003E6D80"/>
    <w:rsid w:val="003F05FA"/>
    <w:rsid w:val="003F244A"/>
    <w:rsid w:val="003F2CE2"/>
    <w:rsid w:val="003F30B8"/>
    <w:rsid w:val="003F321F"/>
    <w:rsid w:val="003F4C45"/>
    <w:rsid w:val="003F5F7B"/>
    <w:rsid w:val="003F7D64"/>
    <w:rsid w:val="0040026D"/>
    <w:rsid w:val="004064D7"/>
    <w:rsid w:val="00414300"/>
    <w:rsid w:val="00420E61"/>
    <w:rsid w:val="00425C67"/>
    <w:rsid w:val="00427E7A"/>
    <w:rsid w:val="00436C49"/>
    <w:rsid w:val="00437468"/>
    <w:rsid w:val="00442D20"/>
    <w:rsid w:val="00445366"/>
    <w:rsid w:val="00447F5B"/>
    <w:rsid w:val="00451F65"/>
    <w:rsid w:val="00452109"/>
    <w:rsid w:val="0045568E"/>
    <w:rsid w:val="00461DB0"/>
    <w:rsid w:val="00463926"/>
    <w:rsid w:val="00463A8F"/>
    <w:rsid w:val="00464C9A"/>
    <w:rsid w:val="00472E8A"/>
    <w:rsid w:val="00474F3D"/>
    <w:rsid w:val="00477E3A"/>
    <w:rsid w:val="00481E69"/>
    <w:rsid w:val="00483E5F"/>
    <w:rsid w:val="00485FF9"/>
    <w:rsid w:val="004907F0"/>
    <w:rsid w:val="0049140B"/>
    <w:rsid w:val="004923A5"/>
    <w:rsid w:val="00496BFB"/>
    <w:rsid w:val="004A15C7"/>
    <w:rsid w:val="004A5A55"/>
    <w:rsid w:val="004B013B"/>
    <w:rsid w:val="004B112B"/>
    <w:rsid w:val="004C01E4"/>
    <w:rsid w:val="004C086C"/>
    <w:rsid w:val="004C1F56"/>
    <w:rsid w:val="004C2793"/>
    <w:rsid w:val="004C27BC"/>
    <w:rsid w:val="004C6C2B"/>
    <w:rsid w:val="004D15F3"/>
    <w:rsid w:val="004D5311"/>
    <w:rsid w:val="004D5DCC"/>
    <w:rsid w:val="004D6984"/>
    <w:rsid w:val="004F10AF"/>
    <w:rsid w:val="004F11A4"/>
    <w:rsid w:val="004F2389"/>
    <w:rsid w:val="004F304D"/>
    <w:rsid w:val="004F61BE"/>
    <w:rsid w:val="004F66B1"/>
    <w:rsid w:val="0050258B"/>
    <w:rsid w:val="00511C07"/>
    <w:rsid w:val="00515534"/>
    <w:rsid w:val="005173A6"/>
    <w:rsid w:val="00520BAA"/>
    <w:rsid w:val="00525208"/>
    <w:rsid w:val="005257A5"/>
    <w:rsid w:val="005264C0"/>
    <w:rsid w:val="00526A8A"/>
    <w:rsid w:val="00531DF2"/>
    <w:rsid w:val="00531E86"/>
    <w:rsid w:val="005359B5"/>
    <w:rsid w:val="00541F00"/>
    <w:rsid w:val="005442EE"/>
    <w:rsid w:val="00547353"/>
    <w:rsid w:val="005474E7"/>
    <w:rsid w:val="005512A3"/>
    <w:rsid w:val="005578CE"/>
    <w:rsid w:val="00562781"/>
    <w:rsid w:val="0057271C"/>
    <w:rsid w:val="00572845"/>
    <w:rsid w:val="005743F2"/>
    <w:rsid w:val="00592772"/>
    <w:rsid w:val="005946D5"/>
    <w:rsid w:val="0059574A"/>
    <w:rsid w:val="00597C22"/>
    <w:rsid w:val="005A1B9B"/>
    <w:rsid w:val="005A6751"/>
    <w:rsid w:val="005B092E"/>
    <w:rsid w:val="005B152C"/>
    <w:rsid w:val="005B1EE0"/>
    <w:rsid w:val="005B2B24"/>
    <w:rsid w:val="005B4425"/>
    <w:rsid w:val="005B4B94"/>
    <w:rsid w:val="005B61C6"/>
    <w:rsid w:val="005C1C5D"/>
    <w:rsid w:val="005C3EE8"/>
    <w:rsid w:val="005D22AC"/>
    <w:rsid w:val="005D34F9"/>
    <w:rsid w:val="005D3509"/>
    <w:rsid w:val="005D4190"/>
    <w:rsid w:val="005D67A3"/>
    <w:rsid w:val="005D6FDB"/>
    <w:rsid w:val="005E2988"/>
    <w:rsid w:val="005E3085"/>
    <w:rsid w:val="005F51E1"/>
    <w:rsid w:val="00611C80"/>
    <w:rsid w:val="00620692"/>
    <w:rsid w:val="006242CA"/>
    <w:rsid w:val="00627507"/>
    <w:rsid w:val="00633717"/>
    <w:rsid w:val="006344E1"/>
    <w:rsid w:val="00635B65"/>
    <w:rsid w:val="00637248"/>
    <w:rsid w:val="00637E60"/>
    <w:rsid w:val="006538BA"/>
    <w:rsid w:val="00653C66"/>
    <w:rsid w:val="006545C4"/>
    <w:rsid w:val="00661971"/>
    <w:rsid w:val="00661CE8"/>
    <w:rsid w:val="006623D9"/>
    <w:rsid w:val="00664DF1"/>
    <w:rsid w:val="0066550C"/>
    <w:rsid w:val="006716F2"/>
    <w:rsid w:val="00671DBA"/>
    <w:rsid w:val="006807F1"/>
    <w:rsid w:val="00682BF2"/>
    <w:rsid w:val="006859CE"/>
    <w:rsid w:val="006859D3"/>
    <w:rsid w:val="00691270"/>
    <w:rsid w:val="00694BA8"/>
    <w:rsid w:val="006A037C"/>
    <w:rsid w:val="006A154F"/>
    <w:rsid w:val="006A36F4"/>
    <w:rsid w:val="006A406F"/>
    <w:rsid w:val="006A5AED"/>
    <w:rsid w:val="006A5D3A"/>
    <w:rsid w:val="006A79AF"/>
    <w:rsid w:val="006B2773"/>
    <w:rsid w:val="006C23D4"/>
    <w:rsid w:val="006C7BB0"/>
    <w:rsid w:val="006D028D"/>
    <w:rsid w:val="006D3237"/>
    <w:rsid w:val="006D35B8"/>
    <w:rsid w:val="006D4B81"/>
    <w:rsid w:val="006E2E37"/>
    <w:rsid w:val="006E3CF1"/>
    <w:rsid w:val="006E7E80"/>
    <w:rsid w:val="006F48CA"/>
    <w:rsid w:val="006F64DD"/>
    <w:rsid w:val="0070100D"/>
    <w:rsid w:val="00710B99"/>
    <w:rsid w:val="00715127"/>
    <w:rsid w:val="00715E8E"/>
    <w:rsid w:val="00723580"/>
    <w:rsid w:val="00723755"/>
    <w:rsid w:val="0073136C"/>
    <w:rsid w:val="00731F0F"/>
    <w:rsid w:val="00733250"/>
    <w:rsid w:val="007350E0"/>
    <w:rsid w:val="00740B6A"/>
    <w:rsid w:val="00741404"/>
    <w:rsid w:val="007449E5"/>
    <w:rsid w:val="00747FF0"/>
    <w:rsid w:val="00755B96"/>
    <w:rsid w:val="00761DA2"/>
    <w:rsid w:val="00764D4E"/>
    <w:rsid w:val="00765A1F"/>
    <w:rsid w:val="00775B6D"/>
    <w:rsid w:val="00776D68"/>
    <w:rsid w:val="007850EE"/>
    <w:rsid w:val="00785B95"/>
    <w:rsid w:val="00790E96"/>
    <w:rsid w:val="007910FA"/>
    <w:rsid w:val="00793366"/>
    <w:rsid w:val="007A716F"/>
    <w:rsid w:val="007B270A"/>
    <w:rsid w:val="007C0695"/>
    <w:rsid w:val="007C419A"/>
    <w:rsid w:val="007C4CC8"/>
    <w:rsid w:val="007C5426"/>
    <w:rsid w:val="007C5798"/>
    <w:rsid w:val="007D4832"/>
    <w:rsid w:val="007D61D9"/>
    <w:rsid w:val="007E21B2"/>
    <w:rsid w:val="007E2C4E"/>
    <w:rsid w:val="007E5E77"/>
    <w:rsid w:val="007F1905"/>
    <w:rsid w:val="00802C64"/>
    <w:rsid w:val="008047BC"/>
    <w:rsid w:val="00804A95"/>
    <w:rsid w:val="00805E52"/>
    <w:rsid w:val="008061D0"/>
    <w:rsid w:val="008062C2"/>
    <w:rsid w:val="00810B38"/>
    <w:rsid w:val="008204C7"/>
    <w:rsid w:val="00820992"/>
    <w:rsid w:val="00823602"/>
    <w:rsid w:val="008255F5"/>
    <w:rsid w:val="0082561B"/>
    <w:rsid w:val="0083014E"/>
    <w:rsid w:val="0083214A"/>
    <w:rsid w:val="00834220"/>
    <w:rsid w:val="00841B85"/>
    <w:rsid w:val="00845723"/>
    <w:rsid w:val="00851EF9"/>
    <w:rsid w:val="008574C4"/>
    <w:rsid w:val="008577FD"/>
    <w:rsid w:val="00860B03"/>
    <w:rsid w:val="0086497A"/>
    <w:rsid w:val="00867731"/>
    <w:rsid w:val="00867E96"/>
    <w:rsid w:val="008713A1"/>
    <w:rsid w:val="0087364E"/>
    <w:rsid w:val="008754AB"/>
    <w:rsid w:val="0088060C"/>
    <w:rsid w:val="00893576"/>
    <w:rsid w:val="00893E73"/>
    <w:rsid w:val="008A7883"/>
    <w:rsid w:val="008B02DC"/>
    <w:rsid w:val="008B36F3"/>
    <w:rsid w:val="008B57CE"/>
    <w:rsid w:val="008B62C5"/>
    <w:rsid w:val="008C26DE"/>
    <w:rsid w:val="008D2225"/>
    <w:rsid w:val="008D3300"/>
    <w:rsid w:val="008D376D"/>
    <w:rsid w:val="008D4752"/>
    <w:rsid w:val="008D78F3"/>
    <w:rsid w:val="008E271C"/>
    <w:rsid w:val="008E418E"/>
    <w:rsid w:val="008E5BC6"/>
    <w:rsid w:val="008E6A25"/>
    <w:rsid w:val="008F4198"/>
    <w:rsid w:val="008F5193"/>
    <w:rsid w:val="009013A7"/>
    <w:rsid w:val="009017FB"/>
    <w:rsid w:val="009017FC"/>
    <w:rsid w:val="0090506B"/>
    <w:rsid w:val="009050C9"/>
    <w:rsid w:val="009066FC"/>
    <w:rsid w:val="00913074"/>
    <w:rsid w:val="009140A3"/>
    <w:rsid w:val="009144A2"/>
    <w:rsid w:val="0091510C"/>
    <w:rsid w:val="009259AC"/>
    <w:rsid w:val="00926F38"/>
    <w:rsid w:val="00934144"/>
    <w:rsid w:val="00934301"/>
    <w:rsid w:val="00936CD1"/>
    <w:rsid w:val="00941747"/>
    <w:rsid w:val="00941EFB"/>
    <w:rsid w:val="00943304"/>
    <w:rsid w:val="00946E19"/>
    <w:rsid w:val="00947AFB"/>
    <w:rsid w:val="00951D7D"/>
    <w:rsid w:val="009630C7"/>
    <w:rsid w:val="009670A9"/>
    <w:rsid w:val="0096753A"/>
    <w:rsid w:val="00972B55"/>
    <w:rsid w:val="00973109"/>
    <w:rsid w:val="009743B7"/>
    <w:rsid w:val="0098228B"/>
    <w:rsid w:val="009828DA"/>
    <w:rsid w:val="00985BAB"/>
    <w:rsid w:val="0098725D"/>
    <w:rsid w:val="00991898"/>
    <w:rsid w:val="00993008"/>
    <w:rsid w:val="009A4187"/>
    <w:rsid w:val="009B1B5F"/>
    <w:rsid w:val="009B6673"/>
    <w:rsid w:val="009C191B"/>
    <w:rsid w:val="009C2BD6"/>
    <w:rsid w:val="009E1F32"/>
    <w:rsid w:val="009E46E2"/>
    <w:rsid w:val="009E776C"/>
    <w:rsid w:val="00A01F8B"/>
    <w:rsid w:val="00A02D3B"/>
    <w:rsid w:val="00A13F30"/>
    <w:rsid w:val="00A1726E"/>
    <w:rsid w:val="00A204CF"/>
    <w:rsid w:val="00A23D49"/>
    <w:rsid w:val="00A26026"/>
    <w:rsid w:val="00A27004"/>
    <w:rsid w:val="00A30C29"/>
    <w:rsid w:val="00A34DD6"/>
    <w:rsid w:val="00A3532B"/>
    <w:rsid w:val="00A36819"/>
    <w:rsid w:val="00A36989"/>
    <w:rsid w:val="00A4065E"/>
    <w:rsid w:val="00A43628"/>
    <w:rsid w:val="00A54192"/>
    <w:rsid w:val="00A54809"/>
    <w:rsid w:val="00A56D8D"/>
    <w:rsid w:val="00A6035E"/>
    <w:rsid w:val="00A6144C"/>
    <w:rsid w:val="00A63CC6"/>
    <w:rsid w:val="00A66617"/>
    <w:rsid w:val="00A671F8"/>
    <w:rsid w:val="00A673A4"/>
    <w:rsid w:val="00A724AE"/>
    <w:rsid w:val="00A73329"/>
    <w:rsid w:val="00A759BB"/>
    <w:rsid w:val="00A82359"/>
    <w:rsid w:val="00A865D2"/>
    <w:rsid w:val="00A94C20"/>
    <w:rsid w:val="00A974D9"/>
    <w:rsid w:val="00AA227F"/>
    <w:rsid w:val="00AA3BC7"/>
    <w:rsid w:val="00AA754A"/>
    <w:rsid w:val="00AB099E"/>
    <w:rsid w:val="00AB180F"/>
    <w:rsid w:val="00AB4328"/>
    <w:rsid w:val="00AB4BEC"/>
    <w:rsid w:val="00AC7CC4"/>
    <w:rsid w:val="00AD289C"/>
    <w:rsid w:val="00AE0A2E"/>
    <w:rsid w:val="00AE354C"/>
    <w:rsid w:val="00AE3905"/>
    <w:rsid w:val="00AF2C8B"/>
    <w:rsid w:val="00AF4B07"/>
    <w:rsid w:val="00AF6186"/>
    <w:rsid w:val="00AF6511"/>
    <w:rsid w:val="00AF7969"/>
    <w:rsid w:val="00AF7A3A"/>
    <w:rsid w:val="00B13592"/>
    <w:rsid w:val="00B160DB"/>
    <w:rsid w:val="00B20836"/>
    <w:rsid w:val="00B235BB"/>
    <w:rsid w:val="00B27A44"/>
    <w:rsid w:val="00B30BBF"/>
    <w:rsid w:val="00B31F3C"/>
    <w:rsid w:val="00B3332F"/>
    <w:rsid w:val="00B33C03"/>
    <w:rsid w:val="00B35A81"/>
    <w:rsid w:val="00B44E56"/>
    <w:rsid w:val="00B46543"/>
    <w:rsid w:val="00B47D33"/>
    <w:rsid w:val="00B50C7A"/>
    <w:rsid w:val="00B52BE0"/>
    <w:rsid w:val="00B54133"/>
    <w:rsid w:val="00B54D38"/>
    <w:rsid w:val="00B701ED"/>
    <w:rsid w:val="00B8086C"/>
    <w:rsid w:val="00B861B4"/>
    <w:rsid w:val="00B865E3"/>
    <w:rsid w:val="00B86DFE"/>
    <w:rsid w:val="00B90990"/>
    <w:rsid w:val="00B922FF"/>
    <w:rsid w:val="00B9281E"/>
    <w:rsid w:val="00B93925"/>
    <w:rsid w:val="00B95187"/>
    <w:rsid w:val="00BA2D55"/>
    <w:rsid w:val="00BA3B37"/>
    <w:rsid w:val="00BA71B1"/>
    <w:rsid w:val="00BB0637"/>
    <w:rsid w:val="00BB345F"/>
    <w:rsid w:val="00BB68EA"/>
    <w:rsid w:val="00BC1C27"/>
    <w:rsid w:val="00BC6BBF"/>
    <w:rsid w:val="00BD1572"/>
    <w:rsid w:val="00BD2C33"/>
    <w:rsid w:val="00BD3880"/>
    <w:rsid w:val="00BD5106"/>
    <w:rsid w:val="00BE14E3"/>
    <w:rsid w:val="00BE29DB"/>
    <w:rsid w:val="00BE3774"/>
    <w:rsid w:val="00BE41E5"/>
    <w:rsid w:val="00BF36AC"/>
    <w:rsid w:val="00BF4109"/>
    <w:rsid w:val="00BF4CC3"/>
    <w:rsid w:val="00C054C7"/>
    <w:rsid w:val="00C057B5"/>
    <w:rsid w:val="00C22687"/>
    <w:rsid w:val="00C3194F"/>
    <w:rsid w:val="00C32E4D"/>
    <w:rsid w:val="00C333A0"/>
    <w:rsid w:val="00C36A81"/>
    <w:rsid w:val="00C41974"/>
    <w:rsid w:val="00C438F3"/>
    <w:rsid w:val="00C472E4"/>
    <w:rsid w:val="00C53F4A"/>
    <w:rsid w:val="00C54125"/>
    <w:rsid w:val="00C55B54"/>
    <w:rsid w:val="00C6098E"/>
    <w:rsid w:val="00C6152C"/>
    <w:rsid w:val="00C72A42"/>
    <w:rsid w:val="00C735AC"/>
    <w:rsid w:val="00C74810"/>
    <w:rsid w:val="00C80D18"/>
    <w:rsid w:val="00C83B16"/>
    <w:rsid w:val="00C863B0"/>
    <w:rsid w:val="00C90D68"/>
    <w:rsid w:val="00C939FE"/>
    <w:rsid w:val="00CA4BDA"/>
    <w:rsid w:val="00CA59C9"/>
    <w:rsid w:val="00CB1F66"/>
    <w:rsid w:val="00CB2951"/>
    <w:rsid w:val="00CB5BD7"/>
    <w:rsid w:val="00CD282B"/>
    <w:rsid w:val="00CD4C35"/>
    <w:rsid w:val="00CD7369"/>
    <w:rsid w:val="00CE0B0E"/>
    <w:rsid w:val="00CE3831"/>
    <w:rsid w:val="00D00ABB"/>
    <w:rsid w:val="00D0189E"/>
    <w:rsid w:val="00D02EEC"/>
    <w:rsid w:val="00D03551"/>
    <w:rsid w:val="00D06A63"/>
    <w:rsid w:val="00D07E0E"/>
    <w:rsid w:val="00D1075E"/>
    <w:rsid w:val="00D11478"/>
    <w:rsid w:val="00D15ED0"/>
    <w:rsid w:val="00D21B3E"/>
    <w:rsid w:val="00D21FED"/>
    <w:rsid w:val="00D24251"/>
    <w:rsid w:val="00D343E2"/>
    <w:rsid w:val="00D361A2"/>
    <w:rsid w:val="00D4178A"/>
    <w:rsid w:val="00D44C2E"/>
    <w:rsid w:val="00D45414"/>
    <w:rsid w:val="00D45987"/>
    <w:rsid w:val="00D46837"/>
    <w:rsid w:val="00D50BB4"/>
    <w:rsid w:val="00D566BD"/>
    <w:rsid w:val="00D57A4D"/>
    <w:rsid w:val="00D60AA7"/>
    <w:rsid w:val="00D6435F"/>
    <w:rsid w:val="00D66777"/>
    <w:rsid w:val="00D75E28"/>
    <w:rsid w:val="00D772C2"/>
    <w:rsid w:val="00D8008E"/>
    <w:rsid w:val="00D82C45"/>
    <w:rsid w:val="00D908A8"/>
    <w:rsid w:val="00D977B6"/>
    <w:rsid w:val="00D97BAE"/>
    <w:rsid w:val="00DA4A31"/>
    <w:rsid w:val="00DA7B04"/>
    <w:rsid w:val="00DB36C2"/>
    <w:rsid w:val="00DC169B"/>
    <w:rsid w:val="00DC2AB9"/>
    <w:rsid w:val="00DC48B4"/>
    <w:rsid w:val="00DC63F0"/>
    <w:rsid w:val="00DD6EE5"/>
    <w:rsid w:val="00DE386C"/>
    <w:rsid w:val="00DE4D35"/>
    <w:rsid w:val="00DE61E0"/>
    <w:rsid w:val="00DE74C5"/>
    <w:rsid w:val="00DF098B"/>
    <w:rsid w:val="00DF11C4"/>
    <w:rsid w:val="00DF210C"/>
    <w:rsid w:val="00DF4B6A"/>
    <w:rsid w:val="00E01C46"/>
    <w:rsid w:val="00E02C09"/>
    <w:rsid w:val="00E04D59"/>
    <w:rsid w:val="00E060E7"/>
    <w:rsid w:val="00E07DA1"/>
    <w:rsid w:val="00E123CB"/>
    <w:rsid w:val="00E20E13"/>
    <w:rsid w:val="00E21DBC"/>
    <w:rsid w:val="00E275D7"/>
    <w:rsid w:val="00E27DBE"/>
    <w:rsid w:val="00E32AB1"/>
    <w:rsid w:val="00E36C71"/>
    <w:rsid w:val="00E40404"/>
    <w:rsid w:val="00E42054"/>
    <w:rsid w:val="00E459C6"/>
    <w:rsid w:val="00E47589"/>
    <w:rsid w:val="00E5160F"/>
    <w:rsid w:val="00E53C1B"/>
    <w:rsid w:val="00E64915"/>
    <w:rsid w:val="00E661D4"/>
    <w:rsid w:val="00E70091"/>
    <w:rsid w:val="00E720F5"/>
    <w:rsid w:val="00E735A2"/>
    <w:rsid w:val="00E75400"/>
    <w:rsid w:val="00E760EB"/>
    <w:rsid w:val="00E765F8"/>
    <w:rsid w:val="00E76D47"/>
    <w:rsid w:val="00E849F7"/>
    <w:rsid w:val="00E90302"/>
    <w:rsid w:val="00E97396"/>
    <w:rsid w:val="00EA185E"/>
    <w:rsid w:val="00EA51B0"/>
    <w:rsid w:val="00EA592A"/>
    <w:rsid w:val="00EB14E4"/>
    <w:rsid w:val="00EB32A5"/>
    <w:rsid w:val="00EB34ED"/>
    <w:rsid w:val="00EB447C"/>
    <w:rsid w:val="00EB7BE0"/>
    <w:rsid w:val="00EC315E"/>
    <w:rsid w:val="00ED077C"/>
    <w:rsid w:val="00ED1190"/>
    <w:rsid w:val="00ED6544"/>
    <w:rsid w:val="00EE0277"/>
    <w:rsid w:val="00EE3E00"/>
    <w:rsid w:val="00EE5DD2"/>
    <w:rsid w:val="00EF0432"/>
    <w:rsid w:val="00F0049F"/>
    <w:rsid w:val="00F00A79"/>
    <w:rsid w:val="00F00E86"/>
    <w:rsid w:val="00F04A5D"/>
    <w:rsid w:val="00F05270"/>
    <w:rsid w:val="00F07C1E"/>
    <w:rsid w:val="00F105DB"/>
    <w:rsid w:val="00F132BC"/>
    <w:rsid w:val="00F13D80"/>
    <w:rsid w:val="00F16AAA"/>
    <w:rsid w:val="00F21161"/>
    <w:rsid w:val="00F218EF"/>
    <w:rsid w:val="00F21BC7"/>
    <w:rsid w:val="00F266A2"/>
    <w:rsid w:val="00F32269"/>
    <w:rsid w:val="00F33670"/>
    <w:rsid w:val="00F33C4F"/>
    <w:rsid w:val="00F35CA5"/>
    <w:rsid w:val="00F43F2D"/>
    <w:rsid w:val="00F47654"/>
    <w:rsid w:val="00F56A6F"/>
    <w:rsid w:val="00F5709C"/>
    <w:rsid w:val="00F64EF1"/>
    <w:rsid w:val="00F74B33"/>
    <w:rsid w:val="00F8765F"/>
    <w:rsid w:val="00F90767"/>
    <w:rsid w:val="00F91520"/>
    <w:rsid w:val="00F97930"/>
    <w:rsid w:val="00FA685B"/>
    <w:rsid w:val="00FB0C01"/>
    <w:rsid w:val="00FB0F60"/>
    <w:rsid w:val="00FB2EE0"/>
    <w:rsid w:val="00FB4952"/>
    <w:rsid w:val="00FC11A0"/>
    <w:rsid w:val="00FC18F2"/>
    <w:rsid w:val="00FC39E5"/>
    <w:rsid w:val="00FC3A78"/>
    <w:rsid w:val="00FD1005"/>
    <w:rsid w:val="00FD6C75"/>
    <w:rsid w:val="00FE2699"/>
    <w:rsid w:val="00FE51ED"/>
    <w:rsid w:val="00FE71B3"/>
    <w:rsid w:val="00FF0BF1"/>
    <w:rsid w:val="00FF42C5"/>
    <w:rsid w:val="00FF7E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A5AED"/>
    <w:pPr>
      <w:jc w:val="both"/>
    </w:pPr>
    <w:rPr>
      <w:rFonts w:eastAsiaTheme="minorEastAsia"/>
      <w:sz w:val="24"/>
      <w:lang w:val="en-GB"/>
    </w:rPr>
  </w:style>
  <w:style w:type="paragraph" w:styleId="Heading1">
    <w:name w:val="heading 1"/>
    <w:basedOn w:val="Normal"/>
    <w:next w:val="Normal"/>
    <w:link w:val="Heading1Char"/>
    <w:uiPriority w:val="99"/>
    <w:semiHidden/>
    <w:rsid w:val="006A5AE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A5AE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A5AE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A5AE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A5AE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A5AE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A5AE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A5AE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A5AE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A5AED"/>
    <w:rPr>
      <w:rFonts w:ascii="Tahoma" w:hAnsi="Tahoma" w:cs="Tahoma"/>
      <w:sz w:val="16"/>
      <w:szCs w:val="16"/>
    </w:rPr>
  </w:style>
  <w:style w:type="character" w:customStyle="1" w:styleId="BalloonTextChar">
    <w:name w:val="Balloon Text Char"/>
    <w:basedOn w:val="DefaultParagraphFont"/>
    <w:link w:val="BalloonText"/>
    <w:uiPriority w:val="99"/>
    <w:semiHidden/>
    <w:rsid w:val="006A5AED"/>
    <w:rPr>
      <w:rFonts w:ascii="Tahoma" w:eastAsiaTheme="minorEastAsia" w:hAnsi="Tahoma" w:cs="Tahoma"/>
      <w:sz w:val="16"/>
      <w:szCs w:val="16"/>
      <w:lang w:val="en-GB"/>
    </w:rPr>
  </w:style>
  <w:style w:type="character" w:styleId="BookTitle">
    <w:name w:val="Book Title"/>
    <w:uiPriority w:val="99"/>
    <w:semiHidden/>
    <w:qFormat/>
    <w:rsid w:val="006A5AED"/>
    <w:rPr>
      <w:i/>
      <w:iCs/>
      <w:smallCaps/>
      <w:spacing w:val="5"/>
    </w:rPr>
  </w:style>
  <w:style w:type="paragraph" w:customStyle="1" w:styleId="ECHRHeader">
    <w:name w:val="ECHR_Header"/>
    <w:aliases w:val="Ju_Header"/>
    <w:basedOn w:val="Header"/>
    <w:uiPriority w:val="4"/>
    <w:qFormat/>
    <w:rsid w:val="006A5AED"/>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6A5AED"/>
    <w:pPr>
      <w:jc w:val="left"/>
    </w:pPr>
    <w:rPr>
      <w:sz w:val="8"/>
    </w:rPr>
  </w:style>
  <w:style w:type="character" w:styleId="Strong">
    <w:name w:val="Strong"/>
    <w:uiPriority w:val="99"/>
    <w:semiHidden/>
    <w:qFormat/>
    <w:rsid w:val="006A5AED"/>
    <w:rPr>
      <w:b/>
      <w:bCs/>
    </w:rPr>
  </w:style>
  <w:style w:type="paragraph" w:styleId="NoSpacing">
    <w:name w:val="No Spacing"/>
    <w:basedOn w:val="Normal"/>
    <w:link w:val="NoSpacingChar"/>
    <w:semiHidden/>
    <w:qFormat/>
    <w:rsid w:val="006A5AED"/>
    <w:rPr>
      <w:sz w:val="22"/>
      <w:lang w:val="en-US"/>
    </w:rPr>
  </w:style>
  <w:style w:type="character" w:customStyle="1" w:styleId="NoSpacingChar">
    <w:name w:val="No Spacing Char"/>
    <w:basedOn w:val="DefaultParagraphFont"/>
    <w:link w:val="NoSpacing"/>
    <w:semiHidden/>
    <w:rsid w:val="006A5AED"/>
    <w:rPr>
      <w:rFonts w:eastAsiaTheme="minorEastAsia"/>
    </w:rPr>
  </w:style>
  <w:style w:type="paragraph" w:customStyle="1" w:styleId="ECHRFooterLine">
    <w:name w:val="ECHR_Footer_Line"/>
    <w:aliases w:val="Footer_Line"/>
    <w:basedOn w:val="Normal"/>
    <w:next w:val="ECHRFooter"/>
    <w:uiPriority w:val="57"/>
    <w:semiHidden/>
    <w:rsid w:val="006A5AED"/>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6A5AED"/>
    <w:pPr>
      <w:numPr>
        <w:numId w:val="23"/>
      </w:numPr>
      <w:jc w:val="left"/>
    </w:pPr>
    <w:rPr>
      <w:b/>
    </w:rPr>
  </w:style>
  <w:style w:type="paragraph" w:customStyle="1" w:styleId="DummyStyle">
    <w:name w:val="Dummy_Style"/>
    <w:basedOn w:val="Normal"/>
    <w:semiHidden/>
    <w:qFormat/>
    <w:rsid w:val="006A5AED"/>
    <w:rPr>
      <w:color w:val="00B050"/>
    </w:rPr>
  </w:style>
  <w:style w:type="paragraph" w:customStyle="1" w:styleId="JuParaSub">
    <w:name w:val="Ju_Para_Sub"/>
    <w:basedOn w:val="ECHRPara"/>
    <w:uiPriority w:val="13"/>
    <w:qFormat/>
    <w:rsid w:val="006A5AED"/>
    <w:pPr>
      <w:ind w:left="284"/>
    </w:pPr>
  </w:style>
  <w:style w:type="paragraph" w:customStyle="1" w:styleId="ECHRTitleCentre3">
    <w:name w:val="ECHR_Title_Centre_3"/>
    <w:aliases w:val="Ju_H_Article"/>
    <w:basedOn w:val="Normal"/>
    <w:next w:val="ECHRParaQuote"/>
    <w:uiPriority w:val="27"/>
    <w:qFormat/>
    <w:rsid w:val="006A5AE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A5AED"/>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6A5AED"/>
    <w:pPr>
      <w:ind w:left="635" w:hanging="357"/>
      <w:outlineLvl w:val="2"/>
    </w:pPr>
  </w:style>
  <w:style w:type="paragraph" w:customStyle="1" w:styleId="OpiHa">
    <w:name w:val="Opi_H_a"/>
    <w:basedOn w:val="ECHRHeading3"/>
    <w:uiPriority w:val="43"/>
    <w:qFormat/>
    <w:rsid w:val="006A5AED"/>
    <w:pPr>
      <w:ind w:left="833" w:hanging="357"/>
      <w:outlineLvl w:val="3"/>
    </w:pPr>
    <w:rPr>
      <w:b/>
      <w:i w:val="0"/>
      <w:sz w:val="20"/>
    </w:rPr>
  </w:style>
  <w:style w:type="paragraph" w:customStyle="1" w:styleId="OpiHA0">
    <w:name w:val="Opi_H_A"/>
    <w:basedOn w:val="ECHRHeading1"/>
    <w:next w:val="OpiPara"/>
    <w:uiPriority w:val="41"/>
    <w:qFormat/>
    <w:rsid w:val="006A5AED"/>
    <w:pPr>
      <w:tabs>
        <w:tab w:val="clear" w:pos="357"/>
      </w:tabs>
      <w:outlineLvl w:val="1"/>
    </w:pPr>
    <w:rPr>
      <w:b/>
    </w:rPr>
  </w:style>
  <w:style w:type="paragraph" w:customStyle="1" w:styleId="ECHRTitleCentre2">
    <w:name w:val="ECHR_Title_Centre_2"/>
    <w:aliases w:val="Dec_H_Case"/>
    <w:basedOn w:val="Normal"/>
    <w:next w:val="ECHRPara"/>
    <w:uiPriority w:val="8"/>
    <w:qFormat/>
    <w:rsid w:val="006A5AED"/>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6A5AED"/>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6A5AE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A5AED"/>
    <w:rPr>
      <w:rFonts w:asciiTheme="majorHAnsi" w:eastAsiaTheme="majorEastAsia" w:hAnsiTheme="majorHAnsi" w:cstheme="majorBidi"/>
      <w:spacing w:val="5"/>
      <w:sz w:val="52"/>
      <w:szCs w:val="52"/>
      <w:lang w:bidi="en-US"/>
    </w:rPr>
  </w:style>
  <w:style w:type="paragraph" w:customStyle="1" w:styleId="JuQuotSub">
    <w:name w:val="Ju_Quot_Sub"/>
    <w:basedOn w:val="ECHRParaQuote"/>
    <w:uiPriority w:val="15"/>
    <w:qFormat/>
    <w:rsid w:val="006A5AED"/>
    <w:pPr>
      <w:ind w:left="567"/>
    </w:pPr>
  </w:style>
  <w:style w:type="paragraph" w:customStyle="1" w:styleId="ECHRHeading3">
    <w:name w:val="ECHR_Heading_3"/>
    <w:aliases w:val="Ju_H_1."/>
    <w:basedOn w:val="Heading3"/>
    <w:next w:val="ECHRPara"/>
    <w:uiPriority w:val="21"/>
    <w:qFormat/>
    <w:rsid w:val="006A5AED"/>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A5AE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A5AED"/>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6A5AE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A5AED"/>
    <w:pPr>
      <w:keepNext/>
      <w:keepLines/>
      <w:spacing w:before="240" w:after="120"/>
      <w:ind w:left="1236"/>
    </w:pPr>
    <w:rPr>
      <w:sz w:val="20"/>
      <w:lang w:val="en-GB"/>
    </w:rPr>
  </w:style>
  <w:style w:type="paragraph" w:customStyle="1" w:styleId="JuInitialled">
    <w:name w:val="Ju_Initialled"/>
    <w:basedOn w:val="Normal"/>
    <w:uiPriority w:val="31"/>
    <w:qFormat/>
    <w:rsid w:val="006A5AED"/>
    <w:pPr>
      <w:tabs>
        <w:tab w:val="center" w:pos="6407"/>
      </w:tabs>
      <w:spacing w:before="720"/>
      <w:jc w:val="right"/>
    </w:pPr>
  </w:style>
  <w:style w:type="paragraph" w:customStyle="1" w:styleId="OpiHi">
    <w:name w:val="Opi_H_i"/>
    <w:basedOn w:val="ECHRHeading4"/>
    <w:uiPriority w:val="44"/>
    <w:qFormat/>
    <w:rsid w:val="006A5AED"/>
    <w:pPr>
      <w:ind w:left="1037" w:hanging="357"/>
      <w:outlineLvl w:val="4"/>
    </w:pPr>
    <w:rPr>
      <w:b w:val="0"/>
      <w:i/>
    </w:rPr>
  </w:style>
  <w:style w:type="paragraph" w:styleId="Header">
    <w:name w:val="header"/>
    <w:basedOn w:val="Normal"/>
    <w:link w:val="HeaderChar"/>
    <w:uiPriority w:val="57"/>
    <w:semiHidden/>
    <w:rsid w:val="006A5AE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A5AED"/>
    <w:rPr>
      <w:sz w:val="24"/>
      <w:lang w:val="en-GB"/>
    </w:rPr>
  </w:style>
  <w:style w:type="character" w:customStyle="1" w:styleId="Heading1Char">
    <w:name w:val="Heading 1 Char"/>
    <w:basedOn w:val="DefaultParagraphFont"/>
    <w:link w:val="Heading1"/>
    <w:uiPriority w:val="99"/>
    <w:semiHidden/>
    <w:rsid w:val="006A5AED"/>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6A5AE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A5AED"/>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6A5AED"/>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6A5AED"/>
    <w:rPr>
      <w:caps w:val="0"/>
      <w:smallCaps/>
    </w:rPr>
  </w:style>
  <w:style w:type="paragraph" w:customStyle="1" w:styleId="OpiPara">
    <w:name w:val="Opi_Para"/>
    <w:basedOn w:val="ECHRPara"/>
    <w:uiPriority w:val="46"/>
    <w:qFormat/>
    <w:rsid w:val="006A5AED"/>
  </w:style>
  <w:style w:type="character" w:customStyle="1" w:styleId="Heading3Char">
    <w:name w:val="Heading 3 Char"/>
    <w:basedOn w:val="DefaultParagraphFont"/>
    <w:link w:val="Heading3"/>
    <w:uiPriority w:val="99"/>
    <w:semiHidden/>
    <w:rsid w:val="006A5AED"/>
    <w:rPr>
      <w:rFonts w:asciiTheme="majorHAnsi" w:eastAsiaTheme="majorEastAsia" w:hAnsiTheme="majorHAnsi" w:cstheme="majorBidi"/>
      <w:b/>
      <w:bCs/>
      <w:color w:val="5F5F5F"/>
      <w:sz w:val="24"/>
      <w:lang w:val="en-GB"/>
    </w:rPr>
  </w:style>
  <w:style w:type="paragraph" w:customStyle="1" w:styleId="ECHRDecisionBody">
    <w:name w:val="ECHR_Decision_Body"/>
    <w:aliases w:val="Ju_Judges"/>
    <w:basedOn w:val="Normal"/>
    <w:uiPriority w:val="11"/>
    <w:qFormat/>
    <w:rsid w:val="006A5AED"/>
    <w:pPr>
      <w:tabs>
        <w:tab w:val="left" w:pos="567"/>
        <w:tab w:val="left" w:pos="1134"/>
      </w:tabs>
      <w:jc w:val="left"/>
    </w:pPr>
  </w:style>
  <w:style w:type="paragraph" w:customStyle="1" w:styleId="ECHRPara">
    <w:name w:val="ECHR_Para"/>
    <w:aliases w:val="Ju_Para"/>
    <w:basedOn w:val="Normal"/>
    <w:link w:val="ECHRParaChar"/>
    <w:uiPriority w:val="12"/>
    <w:qFormat/>
    <w:rsid w:val="006A5AED"/>
    <w:pPr>
      <w:ind w:firstLine="284"/>
    </w:pPr>
  </w:style>
  <w:style w:type="character" w:customStyle="1" w:styleId="Heading4Char">
    <w:name w:val="Heading 4 Char"/>
    <w:basedOn w:val="DefaultParagraphFont"/>
    <w:link w:val="Heading4"/>
    <w:uiPriority w:val="99"/>
    <w:semiHidden/>
    <w:rsid w:val="006A5AED"/>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6A5AED"/>
    <w:pPr>
      <w:ind w:left="340" w:hanging="340"/>
    </w:pPr>
  </w:style>
  <w:style w:type="character" w:customStyle="1" w:styleId="Heading5Char">
    <w:name w:val="Heading 5 Char"/>
    <w:basedOn w:val="DefaultParagraphFont"/>
    <w:link w:val="Heading5"/>
    <w:uiPriority w:val="99"/>
    <w:semiHidden/>
    <w:rsid w:val="006A5AED"/>
    <w:rPr>
      <w:rFonts w:asciiTheme="majorHAnsi" w:eastAsiaTheme="majorEastAsia" w:hAnsiTheme="majorHAnsi" w:cstheme="majorBidi"/>
      <w:b/>
      <w:bCs/>
      <w:color w:val="808080"/>
    </w:rPr>
  </w:style>
  <w:style w:type="paragraph" w:customStyle="1" w:styleId="JuSigned">
    <w:name w:val="Ju_Signed"/>
    <w:basedOn w:val="Normal"/>
    <w:next w:val="JuParaLast"/>
    <w:uiPriority w:val="32"/>
    <w:qFormat/>
    <w:rsid w:val="006A5AED"/>
    <w:pPr>
      <w:tabs>
        <w:tab w:val="center" w:pos="851"/>
        <w:tab w:val="center" w:pos="6407"/>
      </w:tabs>
      <w:spacing w:before="720"/>
      <w:jc w:val="left"/>
    </w:pPr>
  </w:style>
  <w:style w:type="paragraph" w:styleId="Revision">
    <w:name w:val="Revision"/>
    <w:hidden/>
    <w:uiPriority w:val="99"/>
    <w:semiHidden/>
    <w:rsid w:val="000055E6"/>
    <w:rPr>
      <w:rFonts w:eastAsiaTheme="minorEastAsia"/>
      <w:sz w:val="24"/>
    </w:rPr>
  </w:style>
  <w:style w:type="character" w:styleId="SubtleEmphasis">
    <w:name w:val="Subtle Emphasis"/>
    <w:uiPriority w:val="99"/>
    <w:semiHidden/>
    <w:qFormat/>
    <w:rsid w:val="006A5AE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6A5AED"/>
    <w:pPr>
      <w:keepNext/>
      <w:keepLines/>
      <w:spacing w:before="720" w:after="240"/>
      <w:outlineLvl w:val="0"/>
    </w:pPr>
    <w:rPr>
      <w:rFonts w:asciiTheme="majorHAnsi" w:hAnsiTheme="majorHAnsi"/>
      <w:sz w:val="28"/>
    </w:rPr>
  </w:style>
  <w:style w:type="character" w:styleId="Emphasis">
    <w:name w:val="Emphasis"/>
    <w:uiPriority w:val="99"/>
    <w:semiHidden/>
    <w:qFormat/>
    <w:rsid w:val="006A5AED"/>
    <w:rPr>
      <w:b/>
      <w:bCs/>
      <w:i/>
      <w:iCs/>
      <w:spacing w:val="10"/>
      <w:bdr w:val="none" w:sz="0" w:space="0" w:color="auto"/>
      <w:shd w:val="clear" w:color="auto" w:fill="auto"/>
    </w:rPr>
  </w:style>
  <w:style w:type="paragraph" w:styleId="Footer">
    <w:name w:val="footer"/>
    <w:basedOn w:val="Normal"/>
    <w:link w:val="FooterChar"/>
    <w:uiPriority w:val="57"/>
    <w:semiHidden/>
    <w:rsid w:val="006A5AE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A5AED"/>
    <w:rPr>
      <w:sz w:val="24"/>
      <w:lang w:val="en-GB"/>
    </w:rPr>
  </w:style>
  <w:style w:type="character" w:styleId="FootnoteReference">
    <w:name w:val="footnote reference"/>
    <w:basedOn w:val="DefaultParagraphFont"/>
    <w:uiPriority w:val="99"/>
    <w:semiHidden/>
    <w:rsid w:val="006A5AED"/>
    <w:rPr>
      <w:vertAlign w:val="superscript"/>
    </w:rPr>
  </w:style>
  <w:style w:type="paragraph" w:styleId="FootnoteText">
    <w:name w:val="footnote text"/>
    <w:basedOn w:val="Normal"/>
    <w:link w:val="FootnoteTextChar"/>
    <w:uiPriority w:val="99"/>
    <w:semiHidden/>
    <w:rsid w:val="006A5AED"/>
    <w:rPr>
      <w:sz w:val="20"/>
      <w:szCs w:val="20"/>
    </w:rPr>
  </w:style>
  <w:style w:type="character" w:customStyle="1" w:styleId="FootnoteTextChar">
    <w:name w:val="Footnote Text Char"/>
    <w:basedOn w:val="DefaultParagraphFont"/>
    <w:link w:val="FootnoteText"/>
    <w:uiPriority w:val="99"/>
    <w:semiHidden/>
    <w:rsid w:val="006A5AED"/>
    <w:rPr>
      <w:rFonts w:eastAsiaTheme="minorEastAsia"/>
      <w:sz w:val="20"/>
      <w:szCs w:val="20"/>
      <w:lang w:val="en-GB"/>
    </w:rPr>
  </w:style>
  <w:style w:type="character" w:customStyle="1" w:styleId="Heading6Char">
    <w:name w:val="Heading 6 Char"/>
    <w:basedOn w:val="DefaultParagraphFont"/>
    <w:link w:val="Heading6"/>
    <w:uiPriority w:val="99"/>
    <w:semiHidden/>
    <w:rsid w:val="006A5AE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A5AE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A5AE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A5AE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A5AED"/>
    <w:rPr>
      <w:color w:val="0072BC" w:themeColor="hyperlink"/>
      <w:u w:val="single"/>
    </w:rPr>
  </w:style>
  <w:style w:type="character" w:styleId="IntenseEmphasis">
    <w:name w:val="Intense Emphasis"/>
    <w:uiPriority w:val="99"/>
    <w:semiHidden/>
    <w:qFormat/>
    <w:rsid w:val="006A5AED"/>
    <w:rPr>
      <w:b/>
      <w:bCs/>
    </w:rPr>
  </w:style>
  <w:style w:type="paragraph" w:styleId="IntenseQuote">
    <w:name w:val="Intense Quote"/>
    <w:basedOn w:val="Normal"/>
    <w:next w:val="Normal"/>
    <w:link w:val="IntenseQuoteChar"/>
    <w:uiPriority w:val="99"/>
    <w:semiHidden/>
    <w:qFormat/>
    <w:rsid w:val="006A5AE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A5AED"/>
    <w:rPr>
      <w:rFonts w:eastAsiaTheme="minorEastAsia"/>
      <w:b/>
      <w:bCs/>
      <w:i/>
      <w:iCs/>
      <w:lang w:bidi="en-US"/>
    </w:rPr>
  </w:style>
  <w:style w:type="character" w:styleId="IntenseReference">
    <w:name w:val="Intense Reference"/>
    <w:uiPriority w:val="99"/>
    <w:semiHidden/>
    <w:qFormat/>
    <w:rsid w:val="006A5AED"/>
    <w:rPr>
      <w:smallCaps/>
      <w:spacing w:val="5"/>
      <w:u w:val="single"/>
    </w:rPr>
  </w:style>
  <w:style w:type="paragraph" w:styleId="ListParagraph">
    <w:name w:val="List Paragraph"/>
    <w:basedOn w:val="Normal"/>
    <w:uiPriority w:val="99"/>
    <w:semiHidden/>
    <w:qFormat/>
    <w:rsid w:val="006A5AE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A5AE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A5AED"/>
    <w:rPr>
      <w:rFonts w:eastAsiaTheme="minorEastAsia"/>
      <w:i/>
      <w:iCs/>
      <w:lang w:bidi="en-US"/>
    </w:rPr>
  </w:style>
  <w:style w:type="character" w:styleId="SubtleReference">
    <w:name w:val="Subtle Reference"/>
    <w:uiPriority w:val="99"/>
    <w:semiHidden/>
    <w:qFormat/>
    <w:rsid w:val="006A5AED"/>
    <w:rPr>
      <w:smallCaps/>
    </w:rPr>
  </w:style>
  <w:style w:type="table" w:styleId="TableGrid">
    <w:name w:val="Table Grid"/>
    <w:basedOn w:val="TableNormal"/>
    <w:uiPriority w:val="59"/>
    <w:semiHidden/>
    <w:rsid w:val="006A5AE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A5AE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A5AE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A5AE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A5AE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A5AE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A5AE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A5AE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6A5AED"/>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A5AE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ParaLast">
    <w:name w:val="Ju_Para_Last"/>
    <w:basedOn w:val="Normal"/>
    <w:next w:val="ECHRPara"/>
    <w:uiPriority w:val="30"/>
    <w:qFormat/>
    <w:rsid w:val="006A5AED"/>
    <w:pPr>
      <w:keepNext/>
      <w:keepLines/>
      <w:spacing w:before="240"/>
      <w:ind w:firstLine="284"/>
    </w:pPr>
  </w:style>
  <w:style w:type="paragraph" w:customStyle="1" w:styleId="JuCase">
    <w:name w:val="Ju_Case"/>
    <w:basedOn w:val="Normal"/>
    <w:next w:val="ECHRPara"/>
    <w:uiPriority w:val="10"/>
    <w:rsid w:val="006A5AED"/>
    <w:pPr>
      <w:ind w:firstLine="284"/>
    </w:pPr>
    <w:rPr>
      <w:b/>
    </w:rPr>
  </w:style>
  <w:style w:type="character" w:styleId="PageNumber">
    <w:name w:val="page number"/>
    <w:uiPriority w:val="99"/>
    <w:semiHidden/>
    <w:rsid w:val="00DE61E0"/>
    <w:rPr>
      <w:sz w:val="18"/>
    </w:rPr>
  </w:style>
  <w:style w:type="paragraph" w:customStyle="1" w:styleId="JuLista">
    <w:name w:val="Ju_List_a"/>
    <w:basedOn w:val="JuList"/>
    <w:uiPriority w:val="28"/>
    <w:qFormat/>
    <w:rsid w:val="006A5AED"/>
    <w:pPr>
      <w:ind w:left="346" w:firstLine="0"/>
    </w:pPr>
  </w:style>
  <w:style w:type="paragraph" w:customStyle="1" w:styleId="JuListi">
    <w:name w:val="Ju_List_i"/>
    <w:basedOn w:val="Normal"/>
    <w:next w:val="JuLista"/>
    <w:uiPriority w:val="28"/>
    <w:qFormat/>
    <w:rsid w:val="006A5AED"/>
    <w:pPr>
      <w:ind w:left="794"/>
    </w:pPr>
  </w:style>
  <w:style w:type="character" w:styleId="CommentReference">
    <w:name w:val="annotation reference"/>
    <w:uiPriority w:val="99"/>
    <w:semiHidden/>
    <w:rsid w:val="00DE61E0"/>
    <w:rPr>
      <w:sz w:val="16"/>
    </w:rPr>
  </w:style>
  <w:style w:type="paragraph" w:styleId="CommentText">
    <w:name w:val="annotation text"/>
    <w:basedOn w:val="Normal"/>
    <w:link w:val="CommentTextChar"/>
    <w:uiPriority w:val="99"/>
    <w:semiHidden/>
    <w:rsid w:val="00DE61E0"/>
    <w:rPr>
      <w:sz w:val="20"/>
    </w:rPr>
  </w:style>
  <w:style w:type="character" w:customStyle="1" w:styleId="CommentTextChar">
    <w:name w:val="Comment Text Char"/>
    <w:basedOn w:val="DefaultParagraphFont"/>
    <w:link w:val="CommentText"/>
    <w:uiPriority w:val="99"/>
    <w:semiHidden/>
    <w:rsid w:val="00DE61E0"/>
    <w:rPr>
      <w:rFonts w:eastAsiaTheme="minorEastAsia"/>
      <w:sz w:val="20"/>
    </w:rPr>
  </w:style>
  <w:style w:type="paragraph" w:styleId="CommentSubject">
    <w:name w:val="annotation subject"/>
    <w:basedOn w:val="CommentText"/>
    <w:next w:val="CommentText"/>
    <w:link w:val="CommentSubjectChar"/>
    <w:uiPriority w:val="99"/>
    <w:semiHidden/>
    <w:rsid w:val="00DE61E0"/>
    <w:rPr>
      <w:b/>
      <w:bCs/>
    </w:rPr>
  </w:style>
  <w:style w:type="character" w:customStyle="1" w:styleId="CommentSubjectChar">
    <w:name w:val="Comment Subject Char"/>
    <w:basedOn w:val="CommentTextChar"/>
    <w:link w:val="CommentSubject"/>
    <w:uiPriority w:val="99"/>
    <w:semiHidden/>
    <w:rsid w:val="00DE61E0"/>
    <w:rPr>
      <w:rFonts w:eastAsiaTheme="minorEastAsia"/>
      <w:b/>
      <w:bCs/>
      <w:sz w:val="20"/>
    </w:rPr>
  </w:style>
  <w:style w:type="character" w:styleId="EndnoteReference">
    <w:name w:val="endnote reference"/>
    <w:basedOn w:val="DefaultParagraphFont"/>
    <w:uiPriority w:val="99"/>
    <w:semiHidden/>
    <w:rsid w:val="006A5AED"/>
    <w:rPr>
      <w:vertAlign w:val="superscript"/>
    </w:rPr>
  </w:style>
  <w:style w:type="paragraph" w:styleId="EndnoteText">
    <w:name w:val="endnote text"/>
    <w:basedOn w:val="Normal"/>
    <w:link w:val="EndnoteTextChar"/>
    <w:uiPriority w:val="99"/>
    <w:semiHidden/>
    <w:rsid w:val="006A5AED"/>
    <w:rPr>
      <w:sz w:val="20"/>
      <w:szCs w:val="20"/>
    </w:rPr>
  </w:style>
  <w:style w:type="character" w:customStyle="1" w:styleId="EndnoteTextChar">
    <w:name w:val="Endnote Text Char"/>
    <w:basedOn w:val="DefaultParagraphFont"/>
    <w:link w:val="EndnoteText"/>
    <w:uiPriority w:val="99"/>
    <w:semiHidden/>
    <w:rsid w:val="006A5AED"/>
    <w:rPr>
      <w:rFonts w:eastAsiaTheme="minorEastAsia"/>
      <w:sz w:val="20"/>
      <w:szCs w:val="20"/>
      <w:lang w:val="en-GB"/>
    </w:rPr>
  </w:style>
  <w:style w:type="character" w:styleId="FollowedHyperlink">
    <w:name w:val="FollowedHyperlink"/>
    <w:uiPriority w:val="99"/>
    <w:semiHidden/>
    <w:rsid w:val="00DE61E0"/>
    <w:rPr>
      <w:color w:val="800080"/>
      <w:u w:val="single"/>
    </w:rPr>
  </w:style>
  <w:style w:type="paragraph" w:styleId="DocumentMap">
    <w:name w:val="Document Map"/>
    <w:basedOn w:val="Normal"/>
    <w:link w:val="DocumentMapChar"/>
    <w:uiPriority w:val="99"/>
    <w:semiHidden/>
    <w:rsid w:val="00DE61E0"/>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DE61E0"/>
    <w:rPr>
      <w:rFonts w:ascii="Tahoma" w:eastAsiaTheme="minorEastAsia" w:hAnsi="Tahoma" w:cs="Tahoma"/>
      <w:sz w:val="20"/>
      <w:shd w:val="clear" w:color="auto" w:fill="000080"/>
    </w:rPr>
  </w:style>
  <w:style w:type="paragraph" w:styleId="ListBullet">
    <w:name w:val="List Bullet"/>
    <w:basedOn w:val="Normal"/>
    <w:uiPriority w:val="99"/>
    <w:semiHidden/>
    <w:rsid w:val="00DE61E0"/>
    <w:pPr>
      <w:numPr>
        <w:numId w:val="1"/>
      </w:numPr>
    </w:pPr>
  </w:style>
  <w:style w:type="character" w:customStyle="1" w:styleId="JuITMark">
    <w:name w:val="Ju_ITMark"/>
    <w:basedOn w:val="DefaultParagraphFont"/>
    <w:uiPriority w:val="38"/>
    <w:qFormat/>
    <w:rsid w:val="006A5AED"/>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6A5AE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A5AE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DE61E0"/>
    <w:pPr>
      <w:numPr>
        <w:numId w:val="2"/>
      </w:numPr>
    </w:pPr>
  </w:style>
  <w:style w:type="numbering" w:styleId="1ai">
    <w:name w:val="Outline List 1"/>
    <w:basedOn w:val="NoList"/>
    <w:uiPriority w:val="99"/>
    <w:semiHidden/>
    <w:rsid w:val="00DE61E0"/>
    <w:pPr>
      <w:numPr>
        <w:numId w:val="3"/>
      </w:numPr>
    </w:pPr>
  </w:style>
  <w:style w:type="numbering" w:styleId="ArticleSection">
    <w:name w:val="Outline List 3"/>
    <w:basedOn w:val="NoList"/>
    <w:uiPriority w:val="99"/>
    <w:semiHidden/>
    <w:rsid w:val="00DE61E0"/>
    <w:pPr>
      <w:numPr>
        <w:numId w:val="4"/>
      </w:numPr>
    </w:pPr>
  </w:style>
  <w:style w:type="paragraph" w:styleId="Bibliography">
    <w:name w:val="Bibliography"/>
    <w:basedOn w:val="Normal"/>
    <w:next w:val="Normal"/>
    <w:uiPriority w:val="99"/>
    <w:semiHidden/>
    <w:unhideWhenUsed/>
    <w:rsid w:val="00DE61E0"/>
  </w:style>
  <w:style w:type="paragraph" w:styleId="BlockText">
    <w:name w:val="Block Text"/>
    <w:basedOn w:val="Normal"/>
    <w:uiPriority w:val="99"/>
    <w:semiHidden/>
    <w:rsid w:val="00DE61E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DE61E0"/>
    <w:pPr>
      <w:spacing w:after="120"/>
    </w:pPr>
  </w:style>
  <w:style w:type="character" w:customStyle="1" w:styleId="BodyTextChar">
    <w:name w:val="Body Text Char"/>
    <w:basedOn w:val="DefaultParagraphFont"/>
    <w:link w:val="BodyText"/>
    <w:uiPriority w:val="99"/>
    <w:semiHidden/>
    <w:rsid w:val="00DE61E0"/>
    <w:rPr>
      <w:rFonts w:eastAsiaTheme="minorEastAsia"/>
      <w:sz w:val="24"/>
    </w:rPr>
  </w:style>
  <w:style w:type="paragraph" w:styleId="BodyText2">
    <w:name w:val="Body Text 2"/>
    <w:basedOn w:val="Normal"/>
    <w:link w:val="BodyText2Char"/>
    <w:uiPriority w:val="99"/>
    <w:semiHidden/>
    <w:rsid w:val="00DE61E0"/>
    <w:pPr>
      <w:spacing w:after="120" w:line="480" w:lineRule="auto"/>
    </w:pPr>
  </w:style>
  <w:style w:type="character" w:customStyle="1" w:styleId="BodyText2Char">
    <w:name w:val="Body Text 2 Char"/>
    <w:basedOn w:val="DefaultParagraphFont"/>
    <w:link w:val="BodyText2"/>
    <w:uiPriority w:val="99"/>
    <w:semiHidden/>
    <w:rsid w:val="00DE61E0"/>
    <w:rPr>
      <w:rFonts w:eastAsiaTheme="minorEastAsia"/>
      <w:sz w:val="24"/>
    </w:rPr>
  </w:style>
  <w:style w:type="paragraph" w:styleId="BodyText3">
    <w:name w:val="Body Text 3"/>
    <w:basedOn w:val="Normal"/>
    <w:link w:val="BodyText3Char"/>
    <w:uiPriority w:val="99"/>
    <w:semiHidden/>
    <w:rsid w:val="00DE61E0"/>
    <w:pPr>
      <w:spacing w:after="120"/>
    </w:pPr>
    <w:rPr>
      <w:sz w:val="16"/>
      <w:szCs w:val="16"/>
    </w:rPr>
  </w:style>
  <w:style w:type="character" w:customStyle="1" w:styleId="BodyText3Char">
    <w:name w:val="Body Text 3 Char"/>
    <w:basedOn w:val="DefaultParagraphFont"/>
    <w:link w:val="BodyText3"/>
    <w:uiPriority w:val="99"/>
    <w:semiHidden/>
    <w:rsid w:val="00DE61E0"/>
    <w:rPr>
      <w:rFonts w:eastAsiaTheme="minorEastAsia"/>
      <w:sz w:val="16"/>
      <w:szCs w:val="16"/>
    </w:rPr>
  </w:style>
  <w:style w:type="paragraph" w:styleId="BodyTextFirstIndent">
    <w:name w:val="Body Text First Indent"/>
    <w:basedOn w:val="BodyText"/>
    <w:link w:val="BodyTextFirstIndentChar"/>
    <w:uiPriority w:val="99"/>
    <w:semiHidden/>
    <w:rsid w:val="00DE61E0"/>
    <w:pPr>
      <w:spacing w:after="0"/>
      <w:ind w:firstLine="360"/>
    </w:pPr>
  </w:style>
  <w:style w:type="character" w:customStyle="1" w:styleId="BodyTextFirstIndentChar">
    <w:name w:val="Body Text First Indent Char"/>
    <w:basedOn w:val="BodyTextChar"/>
    <w:link w:val="BodyTextFirstIndent"/>
    <w:uiPriority w:val="99"/>
    <w:semiHidden/>
    <w:rsid w:val="00DE61E0"/>
    <w:rPr>
      <w:rFonts w:eastAsiaTheme="minorEastAsia"/>
      <w:sz w:val="24"/>
    </w:rPr>
  </w:style>
  <w:style w:type="paragraph" w:styleId="BodyTextIndent">
    <w:name w:val="Body Text Indent"/>
    <w:basedOn w:val="Normal"/>
    <w:link w:val="BodyTextIndentChar"/>
    <w:uiPriority w:val="99"/>
    <w:semiHidden/>
    <w:rsid w:val="00DE61E0"/>
    <w:pPr>
      <w:spacing w:after="120"/>
      <w:ind w:left="283"/>
    </w:pPr>
  </w:style>
  <w:style w:type="character" w:customStyle="1" w:styleId="BodyTextIndentChar">
    <w:name w:val="Body Text Indent Char"/>
    <w:basedOn w:val="DefaultParagraphFont"/>
    <w:link w:val="BodyTextIndent"/>
    <w:uiPriority w:val="99"/>
    <w:semiHidden/>
    <w:rsid w:val="00DE61E0"/>
    <w:rPr>
      <w:rFonts w:eastAsiaTheme="minorEastAsia"/>
      <w:sz w:val="24"/>
    </w:rPr>
  </w:style>
  <w:style w:type="paragraph" w:styleId="BodyTextFirstIndent2">
    <w:name w:val="Body Text First Indent 2"/>
    <w:basedOn w:val="BodyTextIndent"/>
    <w:link w:val="BodyTextFirstIndent2Char"/>
    <w:uiPriority w:val="99"/>
    <w:semiHidden/>
    <w:rsid w:val="00DE61E0"/>
    <w:pPr>
      <w:spacing w:after="0"/>
      <w:ind w:left="360" w:firstLine="360"/>
    </w:pPr>
  </w:style>
  <w:style w:type="character" w:customStyle="1" w:styleId="BodyTextFirstIndent2Char">
    <w:name w:val="Body Text First Indent 2 Char"/>
    <w:basedOn w:val="BodyTextIndentChar"/>
    <w:link w:val="BodyTextFirstIndent2"/>
    <w:uiPriority w:val="99"/>
    <w:semiHidden/>
    <w:rsid w:val="00DE61E0"/>
    <w:rPr>
      <w:rFonts w:eastAsiaTheme="minorEastAsia"/>
      <w:sz w:val="24"/>
    </w:rPr>
  </w:style>
  <w:style w:type="paragraph" w:styleId="BodyTextIndent2">
    <w:name w:val="Body Text Indent 2"/>
    <w:basedOn w:val="Normal"/>
    <w:link w:val="BodyTextIndent2Char"/>
    <w:uiPriority w:val="99"/>
    <w:semiHidden/>
    <w:rsid w:val="00DE61E0"/>
    <w:pPr>
      <w:spacing w:after="120" w:line="480" w:lineRule="auto"/>
      <w:ind w:left="283"/>
    </w:pPr>
  </w:style>
  <w:style w:type="character" w:customStyle="1" w:styleId="BodyTextIndent2Char">
    <w:name w:val="Body Text Indent 2 Char"/>
    <w:basedOn w:val="DefaultParagraphFont"/>
    <w:link w:val="BodyTextIndent2"/>
    <w:uiPriority w:val="99"/>
    <w:semiHidden/>
    <w:rsid w:val="00DE61E0"/>
    <w:rPr>
      <w:rFonts w:eastAsiaTheme="minorEastAsia"/>
      <w:sz w:val="24"/>
    </w:rPr>
  </w:style>
  <w:style w:type="paragraph" w:styleId="BodyTextIndent3">
    <w:name w:val="Body Text Indent 3"/>
    <w:basedOn w:val="Normal"/>
    <w:link w:val="BodyTextIndent3Char"/>
    <w:uiPriority w:val="99"/>
    <w:semiHidden/>
    <w:rsid w:val="00DE61E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E61E0"/>
    <w:rPr>
      <w:rFonts w:eastAsiaTheme="minorEastAsia"/>
      <w:sz w:val="16"/>
      <w:szCs w:val="16"/>
    </w:rPr>
  </w:style>
  <w:style w:type="paragraph" w:styleId="Caption">
    <w:name w:val="caption"/>
    <w:basedOn w:val="Normal"/>
    <w:next w:val="Normal"/>
    <w:uiPriority w:val="99"/>
    <w:semiHidden/>
    <w:qFormat/>
    <w:rsid w:val="00DE61E0"/>
    <w:pPr>
      <w:spacing w:after="200"/>
    </w:pPr>
    <w:rPr>
      <w:b/>
      <w:bCs/>
      <w:color w:val="0072BC" w:themeColor="accent1"/>
      <w:sz w:val="18"/>
      <w:szCs w:val="18"/>
    </w:rPr>
  </w:style>
  <w:style w:type="paragraph" w:styleId="Closing">
    <w:name w:val="Closing"/>
    <w:basedOn w:val="Normal"/>
    <w:link w:val="ClosingChar"/>
    <w:uiPriority w:val="99"/>
    <w:semiHidden/>
    <w:rsid w:val="00DE61E0"/>
    <w:pPr>
      <w:ind w:left="4252"/>
    </w:pPr>
  </w:style>
  <w:style w:type="character" w:customStyle="1" w:styleId="ClosingChar">
    <w:name w:val="Closing Char"/>
    <w:basedOn w:val="DefaultParagraphFont"/>
    <w:link w:val="Closing"/>
    <w:uiPriority w:val="99"/>
    <w:semiHidden/>
    <w:rsid w:val="00DE61E0"/>
    <w:rPr>
      <w:rFonts w:eastAsiaTheme="minorEastAsia"/>
      <w:sz w:val="24"/>
    </w:rPr>
  </w:style>
  <w:style w:type="table" w:styleId="ColorfulGrid">
    <w:name w:val="Colorful Grid"/>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E61E0"/>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E61E0"/>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E61E0"/>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E61E0"/>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E61E0"/>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E61E0"/>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E61E0"/>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E61E0"/>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E61E0"/>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E61E0"/>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E61E0"/>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DE61E0"/>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E61E0"/>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E61E0"/>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E61E0"/>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E61E0"/>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E61E0"/>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E61E0"/>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E61E0"/>
  </w:style>
  <w:style w:type="character" w:customStyle="1" w:styleId="DateChar">
    <w:name w:val="Date Char"/>
    <w:basedOn w:val="DefaultParagraphFont"/>
    <w:link w:val="Date"/>
    <w:uiPriority w:val="99"/>
    <w:semiHidden/>
    <w:rsid w:val="00DE61E0"/>
    <w:rPr>
      <w:rFonts w:eastAsiaTheme="minorEastAsia"/>
      <w:sz w:val="24"/>
    </w:rPr>
  </w:style>
  <w:style w:type="paragraph" w:styleId="E-mailSignature">
    <w:name w:val="E-mail Signature"/>
    <w:basedOn w:val="Normal"/>
    <w:link w:val="E-mailSignatureChar"/>
    <w:uiPriority w:val="99"/>
    <w:semiHidden/>
    <w:rsid w:val="00DE61E0"/>
  </w:style>
  <w:style w:type="character" w:customStyle="1" w:styleId="E-mailSignatureChar">
    <w:name w:val="E-mail Signature Char"/>
    <w:basedOn w:val="DefaultParagraphFont"/>
    <w:link w:val="E-mailSignature"/>
    <w:uiPriority w:val="99"/>
    <w:semiHidden/>
    <w:rsid w:val="00DE61E0"/>
    <w:rPr>
      <w:rFonts w:eastAsiaTheme="minorEastAsia"/>
      <w:sz w:val="24"/>
    </w:rPr>
  </w:style>
  <w:style w:type="paragraph" w:styleId="EnvelopeAddress">
    <w:name w:val="envelope address"/>
    <w:basedOn w:val="Normal"/>
    <w:uiPriority w:val="99"/>
    <w:semiHidden/>
    <w:rsid w:val="00DE61E0"/>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E61E0"/>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DE61E0"/>
  </w:style>
  <w:style w:type="paragraph" w:styleId="HTMLAddress">
    <w:name w:val="HTML Address"/>
    <w:basedOn w:val="Normal"/>
    <w:link w:val="HTMLAddressChar"/>
    <w:uiPriority w:val="99"/>
    <w:semiHidden/>
    <w:rsid w:val="00DE61E0"/>
    <w:rPr>
      <w:i/>
      <w:iCs/>
    </w:rPr>
  </w:style>
  <w:style w:type="character" w:customStyle="1" w:styleId="HTMLAddressChar">
    <w:name w:val="HTML Address Char"/>
    <w:basedOn w:val="DefaultParagraphFont"/>
    <w:link w:val="HTMLAddress"/>
    <w:uiPriority w:val="99"/>
    <w:semiHidden/>
    <w:rsid w:val="00DE61E0"/>
    <w:rPr>
      <w:rFonts w:eastAsiaTheme="minorEastAsia"/>
      <w:i/>
      <w:iCs/>
      <w:sz w:val="24"/>
    </w:rPr>
  </w:style>
  <w:style w:type="character" w:styleId="HTMLCite">
    <w:name w:val="HTML Cite"/>
    <w:basedOn w:val="DefaultParagraphFont"/>
    <w:uiPriority w:val="99"/>
    <w:semiHidden/>
    <w:rsid w:val="00DE61E0"/>
    <w:rPr>
      <w:i/>
      <w:iCs/>
    </w:rPr>
  </w:style>
  <w:style w:type="character" w:styleId="HTMLCode">
    <w:name w:val="HTML Code"/>
    <w:basedOn w:val="DefaultParagraphFont"/>
    <w:uiPriority w:val="99"/>
    <w:semiHidden/>
    <w:rsid w:val="00DE61E0"/>
    <w:rPr>
      <w:rFonts w:ascii="Consolas" w:hAnsi="Consolas" w:cs="Consolas"/>
      <w:sz w:val="20"/>
      <w:szCs w:val="20"/>
    </w:rPr>
  </w:style>
  <w:style w:type="character" w:styleId="HTMLDefinition">
    <w:name w:val="HTML Definition"/>
    <w:basedOn w:val="DefaultParagraphFont"/>
    <w:uiPriority w:val="99"/>
    <w:semiHidden/>
    <w:rsid w:val="00DE61E0"/>
    <w:rPr>
      <w:i/>
      <w:iCs/>
    </w:rPr>
  </w:style>
  <w:style w:type="character" w:styleId="HTMLKeyboard">
    <w:name w:val="HTML Keyboard"/>
    <w:basedOn w:val="DefaultParagraphFont"/>
    <w:uiPriority w:val="99"/>
    <w:semiHidden/>
    <w:rsid w:val="00DE61E0"/>
    <w:rPr>
      <w:rFonts w:ascii="Consolas" w:hAnsi="Consolas" w:cs="Consolas"/>
      <w:sz w:val="20"/>
      <w:szCs w:val="20"/>
    </w:rPr>
  </w:style>
  <w:style w:type="paragraph" w:styleId="HTMLPreformatted">
    <w:name w:val="HTML Preformatted"/>
    <w:basedOn w:val="Normal"/>
    <w:link w:val="HTMLPreformattedChar"/>
    <w:uiPriority w:val="99"/>
    <w:semiHidden/>
    <w:rsid w:val="00DE61E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E61E0"/>
    <w:rPr>
      <w:rFonts w:ascii="Consolas" w:eastAsiaTheme="minorEastAsia" w:hAnsi="Consolas" w:cs="Consolas"/>
      <w:sz w:val="20"/>
      <w:szCs w:val="20"/>
    </w:rPr>
  </w:style>
  <w:style w:type="character" w:styleId="HTMLSample">
    <w:name w:val="HTML Sample"/>
    <w:basedOn w:val="DefaultParagraphFont"/>
    <w:uiPriority w:val="99"/>
    <w:semiHidden/>
    <w:rsid w:val="00DE61E0"/>
    <w:rPr>
      <w:rFonts w:ascii="Consolas" w:hAnsi="Consolas" w:cs="Consolas"/>
      <w:sz w:val="24"/>
      <w:szCs w:val="24"/>
    </w:rPr>
  </w:style>
  <w:style w:type="character" w:styleId="HTMLTypewriter">
    <w:name w:val="HTML Typewriter"/>
    <w:basedOn w:val="DefaultParagraphFont"/>
    <w:uiPriority w:val="99"/>
    <w:semiHidden/>
    <w:rsid w:val="00DE61E0"/>
    <w:rPr>
      <w:rFonts w:ascii="Consolas" w:hAnsi="Consolas" w:cs="Consolas"/>
      <w:sz w:val="20"/>
      <w:szCs w:val="20"/>
    </w:rPr>
  </w:style>
  <w:style w:type="character" w:styleId="HTMLVariable">
    <w:name w:val="HTML Variable"/>
    <w:basedOn w:val="DefaultParagraphFont"/>
    <w:uiPriority w:val="99"/>
    <w:semiHidden/>
    <w:rsid w:val="00DE61E0"/>
    <w:rPr>
      <w:i/>
      <w:iCs/>
    </w:rPr>
  </w:style>
  <w:style w:type="paragraph" w:styleId="Index1">
    <w:name w:val="index 1"/>
    <w:basedOn w:val="Normal"/>
    <w:next w:val="Normal"/>
    <w:autoRedefine/>
    <w:uiPriority w:val="99"/>
    <w:semiHidden/>
    <w:rsid w:val="00DE61E0"/>
    <w:pPr>
      <w:ind w:left="240" w:hanging="240"/>
    </w:pPr>
  </w:style>
  <w:style w:type="paragraph" w:styleId="Index2">
    <w:name w:val="index 2"/>
    <w:basedOn w:val="Normal"/>
    <w:next w:val="Normal"/>
    <w:autoRedefine/>
    <w:uiPriority w:val="99"/>
    <w:semiHidden/>
    <w:rsid w:val="00DE61E0"/>
    <w:pPr>
      <w:ind w:left="480" w:hanging="240"/>
    </w:pPr>
  </w:style>
  <w:style w:type="paragraph" w:styleId="Index3">
    <w:name w:val="index 3"/>
    <w:basedOn w:val="Normal"/>
    <w:next w:val="Normal"/>
    <w:autoRedefine/>
    <w:uiPriority w:val="99"/>
    <w:semiHidden/>
    <w:rsid w:val="00DE61E0"/>
    <w:pPr>
      <w:ind w:left="720" w:hanging="240"/>
    </w:pPr>
  </w:style>
  <w:style w:type="paragraph" w:styleId="Index4">
    <w:name w:val="index 4"/>
    <w:basedOn w:val="Normal"/>
    <w:next w:val="Normal"/>
    <w:autoRedefine/>
    <w:uiPriority w:val="99"/>
    <w:semiHidden/>
    <w:rsid w:val="00DE61E0"/>
    <w:pPr>
      <w:ind w:left="960" w:hanging="240"/>
    </w:pPr>
  </w:style>
  <w:style w:type="paragraph" w:styleId="Index5">
    <w:name w:val="index 5"/>
    <w:basedOn w:val="Normal"/>
    <w:next w:val="Normal"/>
    <w:autoRedefine/>
    <w:uiPriority w:val="99"/>
    <w:semiHidden/>
    <w:rsid w:val="00DE61E0"/>
    <w:pPr>
      <w:ind w:left="1200" w:hanging="240"/>
    </w:pPr>
  </w:style>
  <w:style w:type="paragraph" w:styleId="Index6">
    <w:name w:val="index 6"/>
    <w:basedOn w:val="Normal"/>
    <w:next w:val="Normal"/>
    <w:autoRedefine/>
    <w:uiPriority w:val="99"/>
    <w:semiHidden/>
    <w:rsid w:val="00DE61E0"/>
    <w:pPr>
      <w:ind w:left="1440" w:hanging="240"/>
    </w:pPr>
  </w:style>
  <w:style w:type="paragraph" w:styleId="Index7">
    <w:name w:val="index 7"/>
    <w:basedOn w:val="Normal"/>
    <w:next w:val="Normal"/>
    <w:autoRedefine/>
    <w:uiPriority w:val="99"/>
    <w:semiHidden/>
    <w:rsid w:val="00DE61E0"/>
    <w:pPr>
      <w:ind w:left="1680" w:hanging="240"/>
    </w:pPr>
  </w:style>
  <w:style w:type="paragraph" w:styleId="Index8">
    <w:name w:val="index 8"/>
    <w:basedOn w:val="Normal"/>
    <w:next w:val="Normal"/>
    <w:autoRedefine/>
    <w:uiPriority w:val="99"/>
    <w:semiHidden/>
    <w:rsid w:val="00DE61E0"/>
    <w:pPr>
      <w:ind w:left="1920" w:hanging="240"/>
    </w:pPr>
  </w:style>
  <w:style w:type="paragraph" w:styleId="Index9">
    <w:name w:val="index 9"/>
    <w:basedOn w:val="Normal"/>
    <w:next w:val="Normal"/>
    <w:autoRedefine/>
    <w:uiPriority w:val="99"/>
    <w:semiHidden/>
    <w:rsid w:val="00DE61E0"/>
    <w:pPr>
      <w:ind w:left="2160" w:hanging="240"/>
    </w:pPr>
  </w:style>
  <w:style w:type="paragraph" w:styleId="IndexHeading">
    <w:name w:val="index heading"/>
    <w:basedOn w:val="Normal"/>
    <w:next w:val="Index1"/>
    <w:uiPriority w:val="99"/>
    <w:semiHidden/>
    <w:rsid w:val="00DE61E0"/>
    <w:rPr>
      <w:rFonts w:asciiTheme="majorHAnsi" w:eastAsiaTheme="majorEastAsia" w:hAnsiTheme="majorHAnsi" w:cstheme="majorBidi"/>
      <w:b/>
      <w:bCs/>
    </w:rPr>
  </w:style>
  <w:style w:type="table" w:styleId="LightGrid">
    <w:name w:val="Light Grid"/>
    <w:basedOn w:val="TableNormal"/>
    <w:uiPriority w:val="99"/>
    <w:semiHidden/>
    <w:rsid w:val="00DE61E0"/>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E61E0"/>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E61E0"/>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E61E0"/>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E61E0"/>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E61E0"/>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E61E0"/>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E61E0"/>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E61E0"/>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E61E0"/>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E61E0"/>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E61E0"/>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E61E0"/>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E61E0"/>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E61E0"/>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E61E0"/>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E61E0"/>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E61E0"/>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E61E0"/>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E61E0"/>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E61E0"/>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E61E0"/>
  </w:style>
  <w:style w:type="paragraph" w:styleId="List">
    <w:name w:val="List"/>
    <w:basedOn w:val="Normal"/>
    <w:uiPriority w:val="99"/>
    <w:semiHidden/>
    <w:rsid w:val="00DE61E0"/>
    <w:pPr>
      <w:ind w:left="283" w:hanging="283"/>
      <w:contextualSpacing/>
    </w:pPr>
  </w:style>
  <w:style w:type="paragraph" w:styleId="List2">
    <w:name w:val="List 2"/>
    <w:basedOn w:val="Normal"/>
    <w:uiPriority w:val="99"/>
    <w:semiHidden/>
    <w:rsid w:val="00DE61E0"/>
    <w:pPr>
      <w:ind w:left="566" w:hanging="283"/>
      <w:contextualSpacing/>
    </w:pPr>
  </w:style>
  <w:style w:type="paragraph" w:styleId="List3">
    <w:name w:val="List 3"/>
    <w:basedOn w:val="Normal"/>
    <w:uiPriority w:val="99"/>
    <w:semiHidden/>
    <w:rsid w:val="00DE61E0"/>
    <w:pPr>
      <w:ind w:left="849" w:hanging="283"/>
      <w:contextualSpacing/>
    </w:pPr>
  </w:style>
  <w:style w:type="paragraph" w:styleId="List4">
    <w:name w:val="List 4"/>
    <w:basedOn w:val="Normal"/>
    <w:uiPriority w:val="99"/>
    <w:semiHidden/>
    <w:rsid w:val="00DE61E0"/>
    <w:pPr>
      <w:ind w:left="1132" w:hanging="283"/>
      <w:contextualSpacing/>
    </w:pPr>
  </w:style>
  <w:style w:type="paragraph" w:styleId="List5">
    <w:name w:val="List 5"/>
    <w:basedOn w:val="Normal"/>
    <w:uiPriority w:val="99"/>
    <w:semiHidden/>
    <w:rsid w:val="00DE61E0"/>
    <w:pPr>
      <w:ind w:left="1415" w:hanging="283"/>
      <w:contextualSpacing/>
    </w:pPr>
  </w:style>
  <w:style w:type="paragraph" w:styleId="ListBullet2">
    <w:name w:val="List Bullet 2"/>
    <w:basedOn w:val="Normal"/>
    <w:uiPriority w:val="99"/>
    <w:semiHidden/>
    <w:rsid w:val="00DE61E0"/>
    <w:pPr>
      <w:numPr>
        <w:numId w:val="5"/>
      </w:numPr>
      <w:contextualSpacing/>
    </w:pPr>
  </w:style>
  <w:style w:type="paragraph" w:styleId="ListBullet3">
    <w:name w:val="List Bullet 3"/>
    <w:basedOn w:val="Normal"/>
    <w:uiPriority w:val="99"/>
    <w:semiHidden/>
    <w:rsid w:val="00DE61E0"/>
    <w:pPr>
      <w:numPr>
        <w:numId w:val="6"/>
      </w:numPr>
      <w:contextualSpacing/>
    </w:pPr>
  </w:style>
  <w:style w:type="paragraph" w:styleId="ListBullet4">
    <w:name w:val="List Bullet 4"/>
    <w:basedOn w:val="Normal"/>
    <w:uiPriority w:val="99"/>
    <w:semiHidden/>
    <w:rsid w:val="00DE61E0"/>
    <w:pPr>
      <w:numPr>
        <w:numId w:val="7"/>
      </w:numPr>
      <w:contextualSpacing/>
    </w:pPr>
  </w:style>
  <w:style w:type="paragraph" w:styleId="ListBullet5">
    <w:name w:val="List Bullet 5"/>
    <w:basedOn w:val="Normal"/>
    <w:uiPriority w:val="99"/>
    <w:semiHidden/>
    <w:rsid w:val="00DE61E0"/>
    <w:pPr>
      <w:numPr>
        <w:numId w:val="8"/>
      </w:numPr>
      <w:contextualSpacing/>
    </w:pPr>
  </w:style>
  <w:style w:type="paragraph" w:styleId="ListContinue">
    <w:name w:val="List Continue"/>
    <w:basedOn w:val="Normal"/>
    <w:uiPriority w:val="99"/>
    <w:semiHidden/>
    <w:rsid w:val="00DE61E0"/>
    <w:pPr>
      <w:spacing w:after="120"/>
      <w:ind w:left="283"/>
      <w:contextualSpacing/>
    </w:pPr>
  </w:style>
  <w:style w:type="paragraph" w:styleId="ListContinue2">
    <w:name w:val="List Continue 2"/>
    <w:basedOn w:val="Normal"/>
    <w:uiPriority w:val="99"/>
    <w:semiHidden/>
    <w:rsid w:val="00DE61E0"/>
    <w:pPr>
      <w:spacing w:after="120"/>
      <w:ind w:left="566"/>
      <w:contextualSpacing/>
    </w:pPr>
  </w:style>
  <w:style w:type="paragraph" w:styleId="ListContinue3">
    <w:name w:val="List Continue 3"/>
    <w:basedOn w:val="Normal"/>
    <w:uiPriority w:val="99"/>
    <w:semiHidden/>
    <w:rsid w:val="00DE61E0"/>
    <w:pPr>
      <w:spacing w:after="120"/>
      <w:ind w:left="849"/>
      <w:contextualSpacing/>
    </w:pPr>
  </w:style>
  <w:style w:type="paragraph" w:styleId="ListContinue4">
    <w:name w:val="List Continue 4"/>
    <w:basedOn w:val="Normal"/>
    <w:uiPriority w:val="99"/>
    <w:semiHidden/>
    <w:rsid w:val="00DE61E0"/>
    <w:pPr>
      <w:spacing w:after="120"/>
      <w:ind w:left="1132"/>
      <w:contextualSpacing/>
    </w:pPr>
  </w:style>
  <w:style w:type="paragraph" w:styleId="ListContinue5">
    <w:name w:val="List Continue 5"/>
    <w:basedOn w:val="Normal"/>
    <w:uiPriority w:val="99"/>
    <w:semiHidden/>
    <w:rsid w:val="00DE61E0"/>
    <w:pPr>
      <w:spacing w:after="120"/>
      <w:ind w:left="1415"/>
      <w:contextualSpacing/>
    </w:pPr>
  </w:style>
  <w:style w:type="paragraph" w:styleId="ListNumber">
    <w:name w:val="List Number"/>
    <w:basedOn w:val="Normal"/>
    <w:uiPriority w:val="99"/>
    <w:semiHidden/>
    <w:rsid w:val="00DE61E0"/>
    <w:pPr>
      <w:numPr>
        <w:numId w:val="9"/>
      </w:numPr>
      <w:contextualSpacing/>
    </w:pPr>
  </w:style>
  <w:style w:type="paragraph" w:styleId="ListNumber2">
    <w:name w:val="List Number 2"/>
    <w:basedOn w:val="Normal"/>
    <w:uiPriority w:val="99"/>
    <w:semiHidden/>
    <w:rsid w:val="00DE61E0"/>
    <w:pPr>
      <w:numPr>
        <w:numId w:val="10"/>
      </w:numPr>
      <w:contextualSpacing/>
    </w:pPr>
  </w:style>
  <w:style w:type="paragraph" w:styleId="ListNumber3">
    <w:name w:val="List Number 3"/>
    <w:basedOn w:val="Normal"/>
    <w:uiPriority w:val="99"/>
    <w:semiHidden/>
    <w:rsid w:val="00DE61E0"/>
    <w:pPr>
      <w:numPr>
        <w:numId w:val="11"/>
      </w:numPr>
      <w:contextualSpacing/>
    </w:pPr>
  </w:style>
  <w:style w:type="paragraph" w:styleId="ListNumber4">
    <w:name w:val="List Number 4"/>
    <w:basedOn w:val="Normal"/>
    <w:uiPriority w:val="99"/>
    <w:semiHidden/>
    <w:rsid w:val="00DE61E0"/>
    <w:pPr>
      <w:numPr>
        <w:numId w:val="12"/>
      </w:numPr>
      <w:contextualSpacing/>
    </w:pPr>
  </w:style>
  <w:style w:type="paragraph" w:styleId="ListNumber5">
    <w:name w:val="List Number 5"/>
    <w:basedOn w:val="Normal"/>
    <w:uiPriority w:val="99"/>
    <w:semiHidden/>
    <w:rsid w:val="00DE61E0"/>
    <w:pPr>
      <w:numPr>
        <w:numId w:val="13"/>
      </w:numPr>
      <w:contextualSpacing/>
    </w:pPr>
  </w:style>
  <w:style w:type="paragraph" w:styleId="MacroText">
    <w:name w:val="macro"/>
    <w:link w:val="MacroTextChar"/>
    <w:uiPriority w:val="99"/>
    <w:semiHidden/>
    <w:rsid w:val="00DE61E0"/>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DE61E0"/>
    <w:rPr>
      <w:rFonts w:ascii="Consolas" w:hAnsi="Consolas" w:cs="Consolas"/>
      <w:sz w:val="20"/>
      <w:szCs w:val="20"/>
      <w:lang w:val="en-GB" w:eastAsia="fr-FR"/>
    </w:rPr>
  </w:style>
  <w:style w:type="table" w:styleId="MediumGrid1">
    <w:name w:val="Medium Grid 1"/>
    <w:basedOn w:val="TableNormal"/>
    <w:uiPriority w:val="99"/>
    <w:semiHidden/>
    <w:rsid w:val="00DE61E0"/>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E61E0"/>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E61E0"/>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E61E0"/>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E61E0"/>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E61E0"/>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E61E0"/>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E61E0"/>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E61E0"/>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E61E0"/>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E61E0"/>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E61E0"/>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E61E0"/>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E61E0"/>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E61E0"/>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E61E0"/>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E61E0"/>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E61E0"/>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E61E0"/>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E61E0"/>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E61E0"/>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E61E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E61E0"/>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E61E0"/>
    <w:rPr>
      <w:rFonts w:ascii="Times New Roman" w:hAnsi="Times New Roman" w:cs="Times New Roman"/>
      <w:szCs w:val="24"/>
    </w:rPr>
  </w:style>
  <w:style w:type="paragraph" w:styleId="NormalIndent">
    <w:name w:val="Normal Indent"/>
    <w:basedOn w:val="Normal"/>
    <w:uiPriority w:val="99"/>
    <w:semiHidden/>
    <w:rsid w:val="00DE61E0"/>
    <w:pPr>
      <w:ind w:left="720"/>
    </w:pPr>
  </w:style>
  <w:style w:type="paragraph" w:styleId="NoteHeading">
    <w:name w:val="Note Heading"/>
    <w:basedOn w:val="Normal"/>
    <w:next w:val="Normal"/>
    <w:link w:val="NoteHeadingChar"/>
    <w:uiPriority w:val="99"/>
    <w:semiHidden/>
    <w:rsid w:val="00DE61E0"/>
  </w:style>
  <w:style w:type="character" w:customStyle="1" w:styleId="NoteHeadingChar">
    <w:name w:val="Note Heading Char"/>
    <w:basedOn w:val="DefaultParagraphFont"/>
    <w:link w:val="NoteHeading"/>
    <w:uiPriority w:val="99"/>
    <w:semiHidden/>
    <w:rsid w:val="00DE61E0"/>
    <w:rPr>
      <w:rFonts w:eastAsiaTheme="minorEastAsia"/>
      <w:sz w:val="24"/>
    </w:rPr>
  </w:style>
  <w:style w:type="character" w:styleId="PlaceholderText">
    <w:name w:val="Placeholder Text"/>
    <w:basedOn w:val="DefaultParagraphFont"/>
    <w:uiPriority w:val="99"/>
    <w:semiHidden/>
    <w:rsid w:val="006A5AE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E61E0"/>
    <w:rPr>
      <w:rFonts w:ascii="Consolas" w:hAnsi="Consolas" w:cs="Consolas"/>
      <w:sz w:val="21"/>
      <w:szCs w:val="21"/>
    </w:rPr>
  </w:style>
  <w:style w:type="character" w:customStyle="1" w:styleId="PlainTextChar">
    <w:name w:val="Plain Text Char"/>
    <w:basedOn w:val="DefaultParagraphFont"/>
    <w:link w:val="PlainText"/>
    <w:uiPriority w:val="99"/>
    <w:semiHidden/>
    <w:rsid w:val="00DE61E0"/>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DE61E0"/>
  </w:style>
  <w:style w:type="character" w:customStyle="1" w:styleId="SalutationChar">
    <w:name w:val="Salutation Char"/>
    <w:basedOn w:val="DefaultParagraphFont"/>
    <w:link w:val="Salutation"/>
    <w:uiPriority w:val="99"/>
    <w:semiHidden/>
    <w:rsid w:val="00DE61E0"/>
    <w:rPr>
      <w:rFonts w:eastAsiaTheme="minorEastAsia"/>
      <w:sz w:val="24"/>
    </w:rPr>
  </w:style>
  <w:style w:type="paragraph" w:styleId="Signature">
    <w:name w:val="Signature"/>
    <w:basedOn w:val="Normal"/>
    <w:link w:val="SignatureChar"/>
    <w:uiPriority w:val="99"/>
    <w:semiHidden/>
    <w:rsid w:val="00DE61E0"/>
    <w:pPr>
      <w:ind w:left="4252"/>
    </w:pPr>
  </w:style>
  <w:style w:type="character" w:customStyle="1" w:styleId="SignatureChar">
    <w:name w:val="Signature Char"/>
    <w:basedOn w:val="DefaultParagraphFont"/>
    <w:link w:val="Signature"/>
    <w:uiPriority w:val="99"/>
    <w:semiHidden/>
    <w:rsid w:val="00DE61E0"/>
    <w:rPr>
      <w:rFonts w:eastAsiaTheme="minorEastAsia"/>
      <w:sz w:val="24"/>
    </w:rPr>
  </w:style>
  <w:style w:type="table" w:styleId="Table3Deffects1">
    <w:name w:val="Table 3D effects 1"/>
    <w:basedOn w:val="TableNormal"/>
    <w:uiPriority w:val="99"/>
    <w:semiHidden/>
    <w:rsid w:val="00DE61E0"/>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DE61E0"/>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DE61E0"/>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DE61E0"/>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DE61E0"/>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DE61E0"/>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DE61E0"/>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DE61E0"/>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DE61E0"/>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DE61E0"/>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DE61E0"/>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DE61E0"/>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DE61E0"/>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DE61E0"/>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DE61E0"/>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DE61E0"/>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DE61E0"/>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DE61E0"/>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DE61E0"/>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DE61E0"/>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DE61E0"/>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DE61E0"/>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DE61E0"/>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DE61E0"/>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DE61E0"/>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DE61E0"/>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DE61E0"/>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DE61E0"/>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E61E0"/>
    <w:pPr>
      <w:ind w:left="240" w:hanging="240"/>
    </w:pPr>
  </w:style>
  <w:style w:type="paragraph" w:styleId="TableofFigures">
    <w:name w:val="table of figures"/>
    <w:basedOn w:val="Normal"/>
    <w:next w:val="Normal"/>
    <w:uiPriority w:val="99"/>
    <w:semiHidden/>
    <w:rsid w:val="00DE61E0"/>
  </w:style>
  <w:style w:type="table" w:styleId="TableProfessional">
    <w:name w:val="Table Professional"/>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DE61E0"/>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DE61E0"/>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DE61E0"/>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DE61E0"/>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DE61E0"/>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DE61E0"/>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DE61E0"/>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DE61E0"/>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A5AE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A5AE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E61E0"/>
    <w:pPr>
      <w:spacing w:after="100"/>
      <w:ind w:left="1680"/>
    </w:pPr>
  </w:style>
  <w:style w:type="paragraph" w:styleId="TOC9">
    <w:name w:val="toc 9"/>
    <w:basedOn w:val="Normal"/>
    <w:next w:val="Normal"/>
    <w:autoRedefine/>
    <w:uiPriority w:val="99"/>
    <w:semiHidden/>
    <w:rsid w:val="00DE61E0"/>
    <w:pPr>
      <w:spacing w:after="100"/>
      <w:ind w:left="1920"/>
    </w:pPr>
  </w:style>
  <w:style w:type="paragraph" w:customStyle="1" w:styleId="DecHTitle">
    <w:name w:val="Dec_H_Title"/>
    <w:basedOn w:val="ECHRTitleCentre1"/>
    <w:uiPriority w:val="7"/>
    <w:qFormat/>
    <w:rsid w:val="006A5AED"/>
  </w:style>
  <w:style w:type="paragraph" w:customStyle="1" w:styleId="JuCourt">
    <w:name w:val="Ju_Court"/>
    <w:basedOn w:val="Normal"/>
    <w:next w:val="Normal"/>
    <w:uiPriority w:val="16"/>
    <w:qFormat/>
    <w:rsid w:val="006A5AED"/>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6A5AED"/>
    <w:pPr>
      <w:spacing w:before="240"/>
      <w:ind w:left="284"/>
    </w:pPr>
  </w:style>
  <w:style w:type="paragraph" w:customStyle="1" w:styleId="OpiParaSub">
    <w:name w:val="Opi_Para_Sub"/>
    <w:basedOn w:val="JuParaSub"/>
    <w:uiPriority w:val="47"/>
    <w:qFormat/>
    <w:rsid w:val="006A5AED"/>
  </w:style>
  <w:style w:type="paragraph" w:customStyle="1" w:styleId="OpiQuot">
    <w:name w:val="Opi_Quot"/>
    <w:basedOn w:val="ECHRParaQuote"/>
    <w:uiPriority w:val="48"/>
    <w:qFormat/>
    <w:rsid w:val="006A5AED"/>
  </w:style>
  <w:style w:type="paragraph" w:customStyle="1" w:styleId="OpiQuotSub">
    <w:name w:val="Opi_Quot_Sub"/>
    <w:basedOn w:val="JuQuotSub"/>
    <w:uiPriority w:val="49"/>
    <w:qFormat/>
    <w:rsid w:val="006A5AED"/>
  </w:style>
  <w:style w:type="paragraph" w:customStyle="1" w:styleId="OpiTranslation">
    <w:name w:val="Opi_Translation"/>
    <w:basedOn w:val="Normal"/>
    <w:next w:val="OpiPara"/>
    <w:uiPriority w:val="40"/>
    <w:qFormat/>
    <w:rsid w:val="006A5AED"/>
    <w:pPr>
      <w:jc w:val="center"/>
      <w:outlineLvl w:val="0"/>
    </w:pPr>
    <w:rPr>
      <w:i/>
    </w:rPr>
  </w:style>
  <w:style w:type="paragraph" w:customStyle="1" w:styleId="JuHeaderLandscape">
    <w:name w:val="Ju_Header_Landscape"/>
    <w:basedOn w:val="ECHRHeader"/>
    <w:uiPriority w:val="4"/>
    <w:qFormat/>
    <w:rsid w:val="006A5AED"/>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5359B5"/>
    <w:rPr>
      <w:rFonts w:eastAsiaTheme="minorEastAsia"/>
      <w:sz w:val="24"/>
      <w:lang w:val="en-GB"/>
    </w:rPr>
  </w:style>
  <w:style w:type="character" w:customStyle="1" w:styleId="JuNames0">
    <w:name w:val="Ju_Names"/>
    <w:rsid w:val="005743F2"/>
    <w:rPr>
      <w:smallCaps/>
    </w:rPr>
  </w:style>
  <w:style w:type="paragraph" w:customStyle="1" w:styleId="ECHRHeaderRefIt">
    <w:name w:val="ECHR_Header_Ref_It"/>
    <w:aliases w:val="Ref_Ital"/>
    <w:basedOn w:val="Normal"/>
    <w:next w:val="Normal"/>
    <w:uiPriority w:val="38"/>
    <w:rsid w:val="005743F2"/>
    <w:pPr>
      <w:jc w:val="right"/>
    </w:pPr>
    <w:rPr>
      <w:rFonts w:eastAsiaTheme="minorHAnsi"/>
      <w:i/>
      <w:sz w:val="20"/>
    </w:rPr>
  </w:style>
  <w:style w:type="character" w:customStyle="1" w:styleId="JuParaCar">
    <w:name w:val="Ju_Para Car"/>
    <w:uiPriority w:val="12"/>
    <w:rsid w:val="00077118"/>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456367">
      <w:bodyDiv w:val="1"/>
      <w:marLeft w:val="0"/>
      <w:marRight w:val="0"/>
      <w:marTop w:val="0"/>
      <w:marBottom w:val="0"/>
      <w:divBdr>
        <w:top w:val="none" w:sz="0" w:space="0" w:color="auto"/>
        <w:left w:val="none" w:sz="0" w:space="0" w:color="auto"/>
        <w:bottom w:val="none" w:sz="0" w:space="0" w:color="auto"/>
        <w:right w:val="none" w:sz="0" w:space="0" w:color="auto"/>
      </w:divBdr>
      <w:divsChild>
        <w:div w:id="1819421893">
          <w:marLeft w:val="0"/>
          <w:marRight w:val="0"/>
          <w:marTop w:val="0"/>
          <w:marBottom w:val="0"/>
          <w:divBdr>
            <w:top w:val="none" w:sz="0" w:space="0" w:color="auto"/>
            <w:left w:val="none" w:sz="0" w:space="0" w:color="auto"/>
            <w:bottom w:val="none" w:sz="0" w:space="0" w:color="auto"/>
            <w:right w:val="none" w:sz="0" w:space="0" w:color="auto"/>
          </w:divBdr>
          <w:divsChild>
            <w:div w:id="656349575">
              <w:marLeft w:val="0"/>
              <w:marRight w:val="0"/>
              <w:marTop w:val="0"/>
              <w:marBottom w:val="0"/>
              <w:divBdr>
                <w:top w:val="none" w:sz="0" w:space="0" w:color="auto"/>
                <w:left w:val="none" w:sz="0" w:space="0" w:color="auto"/>
                <w:bottom w:val="none" w:sz="0" w:space="0" w:color="auto"/>
                <w:right w:val="none" w:sz="0" w:space="0" w:color="auto"/>
              </w:divBdr>
              <w:divsChild>
                <w:div w:id="1616522494">
                  <w:marLeft w:val="0"/>
                  <w:marRight w:val="0"/>
                  <w:marTop w:val="0"/>
                  <w:marBottom w:val="0"/>
                  <w:divBdr>
                    <w:top w:val="none" w:sz="0" w:space="0" w:color="auto"/>
                    <w:left w:val="none" w:sz="0" w:space="0" w:color="auto"/>
                    <w:bottom w:val="none" w:sz="0" w:space="0" w:color="auto"/>
                    <w:right w:val="none" w:sz="0" w:space="0" w:color="auto"/>
                  </w:divBdr>
                  <w:divsChild>
                    <w:div w:id="1748571060">
                      <w:marLeft w:val="0"/>
                      <w:marRight w:val="0"/>
                      <w:marTop w:val="0"/>
                      <w:marBottom w:val="0"/>
                      <w:divBdr>
                        <w:top w:val="none" w:sz="0" w:space="0" w:color="auto"/>
                        <w:left w:val="none" w:sz="0" w:space="0" w:color="auto"/>
                        <w:bottom w:val="none" w:sz="0" w:space="0" w:color="auto"/>
                        <w:right w:val="none" w:sz="0" w:space="0" w:color="auto"/>
                      </w:divBdr>
                      <w:divsChild>
                        <w:div w:id="761147905">
                          <w:marLeft w:val="0"/>
                          <w:marRight w:val="0"/>
                          <w:marTop w:val="0"/>
                          <w:marBottom w:val="0"/>
                          <w:divBdr>
                            <w:top w:val="none" w:sz="0" w:space="0" w:color="auto"/>
                            <w:left w:val="none" w:sz="0" w:space="0" w:color="auto"/>
                            <w:bottom w:val="none" w:sz="0" w:space="0" w:color="auto"/>
                            <w:right w:val="none" w:sz="0" w:space="0" w:color="auto"/>
                          </w:divBdr>
                          <w:divsChild>
                            <w:div w:id="193431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9754348">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9017A4-22DC-4903-9812-F36DB4CC8787}"/>
</file>

<file path=customXml/itemProps2.xml><?xml version="1.0" encoding="utf-8"?>
<ds:datastoreItem xmlns:ds="http://schemas.openxmlformats.org/officeDocument/2006/customXml" ds:itemID="{9DF2583A-C8F6-4760-B6ED-CB9EFB389DF6}"/>
</file>

<file path=customXml/itemProps3.xml><?xml version="1.0" encoding="utf-8"?>
<ds:datastoreItem xmlns:ds="http://schemas.openxmlformats.org/officeDocument/2006/customXml" ds:itemID="{73EF8AF7-E858-45DC-A519-634AA12358A3}"/>
</file>

<file path=customXml/itemProps4.xml><?xml version="1.0" encoding="utf-8"?>
<ds:datastoreItem xmlns:ds="http://schemas.openxmlformats.org/officeDocument/2006/customXml" ds:itemID="{DE894935-23F4-463B-B077-B43DC7D33FBB}"/>
</file>

<file path=docProps/app.xml><?xml version="1.0" encoding="utf-8"?>
<Properties xmlns="http://schemas.openxmlformats.org/officeDocument/2006/extended-properties" xmlns:vt="http://schemas.openxmlformats.org/officeDocument/2006/docPropsVTypes">
  <Template>Normal.dotm</Template>
  <TotalTime>0</TotalTime>
  <Pages>1</Pages>
  <Words>3468</Words>
  <Characters>19774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23196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2020-01-28T09:12:00Z</dcterms:created>
  <dcterms:modified xsi:type="dcterms:W3CDTF">2020-01-28T09:12:00Z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lpwstr>2057</vt:lpwstr>
  </property>
  <property fmtid="{D5CDD505-2E9C-101B-9397-08002B2CF9AE}" pid="3" name="RegisteredNo">
    <vt:lpwstr>51894/14</vt:lpwstr>
  </property>
  <property fmtid="{D5CDD505-2E9C-101B-9397-08002B2CF9AE}" pid="4" name="CASEID">
    <vt:lpwstr>1043608</vt:lpwstr>
  </property>
  <property fmtid="{D5CDD505-2E9C-101B-9397-08002B2CF9AE}" pid="5" name="ContentTypeId">
    <vt:lpwstr>0x010100558EB02BDB9E204AB350EDD385B68E10</vt:lpwstr>
  </property>
</Properties>
</file>