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C6742" w:rsidR="00F711FA" w:rsidP="00BC6742" w:rsidRDefault="00F711FA">
      <w:pPr>
        <w:jc w:val="center"/>
        <w:rPr>
          <w:rFonts w:ascii="Times New Roman" w:hAnsi="Times New Roman" w:cs="Times New Roman"/>
        </w:rPr>
      </w:pPr>
      <w:bookmarkStart w:name="_GoBack" w:id="0"/>
      <w:bookmarkEnd w:id="0"/>
    </w:p>
    <w:p w:rsidRPr="00BC6742" w:rsidR="0098410D" w:rsidP="00BC6742" w:rsidRDefault="0098410D">
      <w:pPr>
        <w:jc w:val="center"/>
      </w:pPr>
    </w:p>
    <w:p w:rsidRPr="00BC6742" w:rsidR="0098410D" w:rsidP="00BC6742" w:rsidRDefault="00F711FA">
      <w:pPr>
        <w:pStyle w:val="DecHCase"/>
      </w:pPr>
      <w:r w:rsidRPr="00BC6742">
        <w:t>FOURTH SECTION</w:t>
      </w:r>
    </w:p>
    <w:p w:rsidRPr="00BC6742" w:rsidR="00283F56" w:rsidP="00BC6742" w:rsidRDefault="00283F56">
      <w:pPr>
        <w:pStyle w:val="JuPara"/>
      </w:pPr>
    </w:p>
    <w:p w:rsidRPr="00BC6742" w:rsidR="008E6217" w:rsidP="00BC6742" w:rsidRDefault="008E6217">
      <w:pPr>
        <w:pStyle w:val="JuTitle"/>
      </w:pPr>
      <w:bookmarkStart w:name="To" w:id="1"/>
      <w:r w:rsidRPr="00BC6742">
        <w:rPr>
          <w:color w:val="000000" w:themeColor="text1"/>
        </w:rPr>
        <w:t xml:space="preserve">CASE OF </w:t>
      </w:r>
      <w:bookmarkEnd w:id="1"/>
      <w:r w:rsidRPr="00BC6742" w:rsidR="00F711FA">
        <w:t xml:space="preserve">KRUCHIÓ </w:t>
      </w:r>
      <w:r w:rsidRPr="00BC6742" w:rsidR="008F4A2B">
        <w:t xml:space="preserve">AND LEHÓCZKI </w:t>
      </w:r>
      <w:r w:rsidRPr="00BC6742" w:rsidR="00F711FA">
        <w:t>v. HUNGARY</w:t>
      </w:r>
    </w:p>
    <w:p w:rsidRPr="00BC6742" w:rsidR="00D74888" w:rsidP="00BC6742" w:rsidRDefault="008E6217">
      <w:pPr>
        <w:pStyle w:val="ECHRCoverTitle4"/>
      </w:pPr>
      <w:r w:rsidRPr="00BC6742">
        <w:t>(</w:t>
      </w:r>
      <w:r w:rsidRPr="00BC6742" w:rsidR="00F711FA">
        <w:t>Applications nos.</w:t>
      </w:r>
      <w:r w:rsidRPr="00BC6742">
        <w:t xml:space="preserve"> </w:t>
      </w:r>
      <w:r w:rsidRPr="00BC6742" w:rsidR="00F711FA">
        <w:t>43444/15 and 53441/15</w:t>
      </w:r>
      <w:r w:rsidRPr="00BC6742">
        <w:t>)</w:t>
      </w:r>
    </w:p>
    <w:p w:rsidRPr="00BC6742" w:rsidR="0098410D" w:rsidP="00BC6742" w:rsidRDefault="0098410D">
      <w:pPr>
        <w:pStyle w:val="DecHCase"/>
      </w:pPr>
    </w:p>
    <w:p w:rsidRPr="00BC6742" w:rsidR="0098410D" w:rsidP="00BC6742" w:rsidRDefault="0098410D">
      <w:pPr>
        <w:pStyle w:val="DecHCase"/>
      </w:pPr>
    </w:p>
    <w:p w:rsidRPr="00BC6742" w:rsidR="00AC4CD4" w:rsidP="00BC6742" w:rsidRDefault="00AC4CD4">
      <w:pPr>
        <w:pStyle w:val="DecHCase"/>
      </w:pPr>
    </w:p>
    <w:p w:rsidRPr="00BC6742" w:rsidR="00B27CD7" w:rsidP="00BC6742" w:rsidRDefault="00B27CD7">
      <w:pPr>
        <w:pStyle w:val="JuPara"/>
      </w:pPr>
    </w:p>
    <w:p w:rsidRPr="00BC6742" w:rsidR="0098410D" w:rsidP="00BC6742" w:rsidRDefault="0098410D">
      <w:pPr>
        <w:pStyle w:val="DecHCase"/>
      </w:pPr>
    </w:p>
    <w:p w:rsidRPr="00BC6742" w:rsidR="00B27CD7" w:rsidP="00BC6742" w:rsidRDefault="00B27CD7">
      <w:pPr>
        <w:pStyle w:val="JuPara"/>
        <w:ind w:firstLine="0"/>
      </w:pPr>
    </w:p>
    <w:p w:rsidRPr="00BC6742" w:rsidR="0098410D" w:rsidP="00BC6742" w:rsidRDefault="0098410D">
      <w:pPr>
        <w:pStyle w:val="DecHCase"/>
      </w:pPr>
      <w:r w:rsidRPr="00BC6742">
        <w:t>JUDGMENT</w:t>
      </w:r>
      <w:r w:rsidRPr="00BC6742" w:rsidR="00AC4CD4">
        <w:br/>
      </w:r>
    </w:p>
    <w:p w:rsidRPr="00BC6742" w:rsidR="0098410D" w:rsidP="00BC6742" w:rsidRDefault="0098410D">
      <w:pPr>
        <w:pStyle w:val="DecHCase"/>
      </w:pPr>
      <w:r w:rsidRPr="00BC6742">
        <w:t>STRASBOURG</w:t>
      </w:r>
    </w:p>
    <w:p w:rsidRPr="00BC6742" w:rsidR="0098410D" w:rsidP="00BC6742" w:rsidRDefault="00F711FA">
      <w:pPr>
        <w:pStyle w:val="DecHCase"/>
        <w:rPr>
          <w:rFonts w:ascii="Times New Roman" w:hAnsi="Times New Roman" w:cs="Times New Roman"/>
        </w:rPr>
      </w:pPr>
      <w:r w:rsidRPr="00BC6742">
        <w:rPr>
          <w:rFonts w:ascii="Times New Roman" w:hAnsi="Times New Roman" w:cs="Times New Roman"/>
        </w:rPr>
        <w:t>14 January 2020</w:t>
      </w:r>
    </w:p>
    <w:p w:rsidRPr="00BC6742" w:rsidR="00B27CD7" w:rsidP="00BC6742" w:rsidRDefault="00B27CD7">
      <w:pPr>
        <w:pStyle w:val="JuPara"/>
      </w:pPr>
    </w:p>
    <w:p w:rsidRPr="00BC6742" w:rsidR="00B27CD7" w:rsidP="00BC6742" w:rsidRDefault="00B27CD7">
      <w:pPr>
        <w:pStyle w:val="JuPara"/>
      </w:pPr>
    </w:p>
    <w:p w:rsidRPr="00BC6742" w:rsidR="00B27CD7" w:rsidP="00BC6742" w:rsidRDefault="00B27CD7">
      <w:pPr>
        <w:pStyle w:val="JuPara"/>
      </w:pPr>
    </w:p>
    <w:p w:rsidRPr="00BC6742" w:rsidR="00B27CD7" w:rsidP="00BC6742" w:rsidRDefault="00B27CD7">
      <w:pPr>
        <w:pStyle w:val="JuPara"/>
      </w:pPr>
    </w:p>
    <w:p w:rsidRPr="00BC6742" w:rsidR="00B27CD7" w:rsidP="00BC6742" w:rsidRDefault="00B27CD7">
      <w:pPr>
        <w:pStyle w:val="JuPara"/>
      </w:pPr>
    </w:p>
    <w:p w:rsidRPr="00BC6742" w:rsidR="00AC4CD4" w:rsidP="00BC6742" w:rsidRDefault="00AC4CD4">
      <w:pPr>
        <w:pStyle w:val="JuPara"/>
      </w:pPr>
    </w:p>
    <w:p w:rsidRPr="00BC6742" w:rsidR="002422B6" w:rsidP="00BC6742" w:rsidRDefault="0098410D">
      <w:pPr>
        <w:rPr>
          <w:i/>
          <w:sz w:val="22"/>
        </w:rPr>
      </w:pPr>
      <w:r w:rsidRPr="00BC6742">
        <w:rPr>
          <w:i/>
          <w:sz w:val="22"/>
        </w:rPr>
        <w:t xml:space="preserve">This judgment </w:t>
      </w:r>
      <w:r w:rsidRPr="00BC6742" w:rsidR="00F711FA">
        <w:rPr>
          <w:i/>
          <w:sz w:val="22"/>
        </w:rPr>
        <w:t>is final but it</w:t>
      </w:r>
      <w:r w:rsidRPr="00BC6742">
        <w:rPr>
          <w:i/>
          <w:sz w:val="22"/>
        </w:rPr>
        <w:t xml:space="preserve"> may be subject to editorial revision.</w:t>
      </w:r>
    </w:p>
    <w:p w:rsidRPr="00BC6742" w:rsidR="0098410D" w:rsidP="00BC6742" w:rsidRDefault="0098410D"/>
    <w:p w:rsidRPr="00BC6742" w:rsidR="00283F56" w:rsidP="00BC6742" w:rsidRDefault="00283F56">
      <w:pPr>
        <w:sectPr w:rsidRPr="00BC6742" w:rsidR="00283F5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BC6742" w:rsidR="0098410D" w:rsidP="00BC6742" w:rsidRDefault="0098410D">
      <w:pPr>
        <w:pStyle w:val="JuCase"/>
      </w:pPr>
      <w:r w:rsidRPr="00BC6742">
        <w:t xml:space="preserve">In the case of </w:t>
      </w:r>
      <w:proofErr w:type="spellStart"/>
      <w:r w:rsidRPr="00BC6742" w:rsidR="00F711FA">
        <w:t>Kruchió</w:t>
      </w:r>
      <w:proofErr w:type="spellEnd"/>
      <w:r w:rsidRPr="00BC6742" w:rsidR="00F711FA">
        <w:t xml:space="preserve"> </w:t>
      </w:r>
      <w:r w:rsidRPr="00BC6742" w:rsidR="006860D2">
        <w:t xml:space="preserve">and </w:t>
      </w:r>
      <w:proofErr w:type="spellStart"/>
      <w:r w:rsidRPr="00BC6742" w:rsidR="006860D2">
        <w:t>Lehóczki</w:t>
      </w:r>
      <w:proofErr w:type="spellEnd"/>
      <w:r w:rsidRPr="00BC6742" w:rsidR="006860D2">
        <w:t xml:space="preserve"> </w:t>
      </w:r>
      <w:r w:rsidRPr="00BC6742" w:rsidR="00F711FA">
        <w:t>v. Hungary</w:t>
      </w:r>
      <w:r w:rsidRPr="00BC6742">
        <w:t>,</w:t>
      </w:r>
    </w:p>
    <w:p w:rsidRPr="00BC6742" w:rsidR="009F4C8F" w:rsidP="00BC6742" w:rsidRDefault="009F4C8F">
      <w:pPr>
        <w:pStyle w:val="JuPara"/>
      </w:pPr>
      <w:r w:rsidRPr="00BC6742">
        <w:t>The European Court of Human Rights (</w:t>
      </w:r>
      <w:r w:rsidRPr="00BC6742" w:rsidR="00F711FA">
        <w:t>Fourth Section</w:t>
      </w:r>
      <w:r w:rsidRPr="00BC6742">
        <w:t xml:space="preserve">), sitting as a </w:t>
      </w:r>
      <w:r w:rsidRPr="00BC6742" w:rsidR="00F711FA">
        <w:t>Committee</w:t>
      </w:r>
      <w:r w:rsidRPr="00BC6742">
        <w:t xml:space="preserve"> composed of:</w:t>
      </w:r>
    </w:p>
    <w:p w:rsidRPr="00BC6742" w:rsidR="009F4C8F" w:rsidP="00BC6742" w:rsidRDefault="00B27CD7">
      <w:pPr>
        <w:pStyle w:val="JuJudges"/>
      </w:pPr>
      <w:r w:rsidRPr="00BC6742">
        <w:tab/>
      </w:r>
      <w:proofErr w:type="spellStart"/>
      <w:r w:rsidRPr="00BC6742">
        <w:t>Branko</w:t>
      </w:r>
      <w:proofErr w:type="spellEnd"/>
      <w:r w:rsidRPr="00BC6742">
        <w:t xml:space="preserve"> </w:t>
      </w:r>
      <w:proofErr w:type="spellStart"/>
      <w:r w:rsidRPr="00BC6742">
        <w:t>Lubarda</w:t>
      </w:r>
      <w:proofErr w:type="spellEnd"/>
      <w:r w:rsidRPr="00BC6742">
        <w:t>,</w:t>
      </w:r>
      <w:r w:rsidRPr="00BC6742">
        <w:rPr>
          <w:i/>
        </w:rPr>
        <w:t xml:space="preserve"> President,</w:t>
      </w:r>
      <w:r w:rsidRPr="00BC6742">
        <w:rPr>
          <w:i/>
        </w:rPr>
        <w:br/>
      </w:r>
      <w:r w:rsidRPr="00BC6742">
        <w:tab/>
        <w:t xml:space="preserve">Carlo </w:t>
      </w:r>
      <w:proofErr w:type="spellStart"/>
      <w:r w:rsidRPr="00BC6742">
        <w:t>Ranzoni</w:t>
      </w:r>
      <w:proofErr w:type="spellEnd"/>
      <w:r w:rsidRPr="00BC6742">
        <w:t>,</w:t>
      </w:r>
      <w:r w:rsidRPr="00BC6742">
        <w:rPr>
          <w:i/>
        </w:rPr>
        <w:br/>
      </w:r>
      <w:r w:rsidRPr="00BC6742">
        <w:tab/>
      </w:r>
      <w:proofErr w:type="spellStart"/>
      <w:r w:rsidRPr="00BC6742">
        <w:t>Péter</w:t>
      </w:r>
      <w:proofErr w:type="spellEnd"/>
      <w:r w:rsidRPr="00BC6742">
        <w:t xml:space="preserve"> </w:t>
      </w:r>
      <w:proofErr w:type="spellStart"/>
      <w:r w:rsidRPr="00BC6742">
        <w:t>Paczolay</w:t>
      </w:r>
      <w:proofErr w:type="spellEnd"/>
      <w:r w:rsidRPr="00BC6742">
        <w:t>,</w:t>
      </w:r>
      <w:r w:rsidRPr="00BC6742">
        <w:rPr>
          <w:i/>
        </w:rPr>
        <w:t xml:space="preserve"> judges,</w:t>
      </w:r>
      <w:r w:rsidRPr="00BC6742" w:rsidR="009F4C8F">
        <w:rPr>
          <w:szCs w:val="24"/>
        </w:rPr>
        <w:br/>
      </w:r>
      <w:r w:rsidRPr="00BC6742" w:rsidR="009F4C8F">
        <w:t xml:space="preserve">and </w:t>
      </w:r>
      <w:r w:rsidRPr="00BC6742" w:rsidR="00F711FA">
        <w:t>Andrea Tamietti</w:t>
      </w:r>
      <w:r w:rsidRPr="00BC6742" w:rsidR="009F4C8F">
        <w:t xml:space="preserve">, </w:t>
      </w:r>
      <w:r w:rsidRPr="00BC6742" w:rsidR="00F711FA">
        <w:rPr>
          <w:i/>
        </w:rPr>
        <w:t xml:space="preserve">Deputy Section </w:t>
      </w:r>
      <w:r w:rsidRPr="00BC6742" w:rsidR="00F711FA">
        <w:rPr>
          <w:i/>
          <w:iCs/>
        </w:rPr>
        <w:t>Registrar</w:t>
      </w:r>
      <w:r w:rsidRPr="00BC6742" w:rsidR="009F4C8F">
        <w:rPr>
          <w:i/>
        </w:rPr>
        <w:t>,</w:t>
      </w:r>
    </w:p>
    <w:p w:rsidRPr="00BC6742" w:rsidR="009F4C8F" w:rsidP="00BC6742" w:rsidRDefault="009F4C8F">
      <w:pPr>
        <w:pStyle w:val="JuPara"/>
      </w:pPr>
      <w:bookmarkStart w:name="ITMARKHavingStart" w:id="2"/>
      <w:bookmarkEnd w:id="2"/>
      <w:r w:rsidRPr="00BC6742">
        <w:t xml:space="preserve">Having deliberated in private on </w:t>
      </w:r>
      <w:r w:rsidRPr="00BC6742" w:rsidR="00F711FA">
        <w:rPr>
          <w:szCs w:val="24"/>
        </w:rPr>
        <w:t>17 December 2019</w:t>
      </w:r>
      <w:r w:rsidRPr="00BC6742">
        <w:t>,</w:t>
      </w:r>
    </w:p>
    <w:p w:rsidRPr="00BC6742" w:rsidR="009F4C8F" w:rsidP="00BC6742" w:rsidRDefault="009F4C8F">
      <w:pPr>
        <w:pStyle w:val="JuPara"/>
      </w:pPr>
      <w:r w:rsidRPr="00BC6742">
        <w:t>Delivers the following judgment, which was adopted on that date:</w:t>
      </w:r>
    </w:p>
    <w:p w:rsidRPr="00BC6742" w:rsidR="00F711FA" w:rsidP="00BC6742" w:rsidRDefault="00F711FA">
      <w:pPr>
        <w:pStyle w:val="JuHHead"/>
      </w:pPr>
      <w:r w:rsidRPr="00BC6742">
        <w:t>PROCEDURE</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1</w:t>
      </w:r>
      <w:r w:rsidRPr="00BC6742">
        <w:fldChar w:fldCharType="end"/>
      </w:r>
      <w:r w:rsidRPr="00BC6742">
        <w:t xml:space="preserve">.  The case originated in two applications (nos. 43444/15 and 53441/15) against Hungary lodged with the Court under Article 34 of the Convention for the Protection of Human Rights and Fundamental Freedoms (“the Convention”) by two Hungarian nationals, Mr T. </w:t>
      </w:r>
      <w:proofErr w:type="spellStart"/>
      <w:r w:rsidRPr="00BC6742">
        <w:t>Kruchió</w:t>
      </w:r>
      <w:proofErr w:type="spellEnd"/>
      <w:r w:rsidRPr="00BC6742">
        <w:t xml:space="preserve"> (“the first applicant”) and Mr L. </w:t>
      </w:r>
      <w:proofErr w:type="spellStart"/>
      <w:r w:rsidRPr="00BC6742">
        <w:t>Lehóczki</w:t>
      </w:r>
      <w:proofErr w:type="spellEnd"/>
      <w:r w:rsidRPr="00BC6742">
        <w:t xml:space="preserve"> (“the second applicant”), on 28 August 2015 and 21 October 2015 respectively.</w:t>
      </w:r>
    </w:p>
    <w:p w:rsidRPr="00BC6742" w:rsidR="00F711FA" w:rsidP="00BC6742" w:rsidRDefault="00F711FA">
      <w:pPr>
        <w:pStyle w:val="JuPara"/>
        <w:rPr>
          <w:rFonts w:asciiTheme="majorHAnsi" w:hAnsiTheme="majorHAnsi" w:cstheme="majorHAnsi"/>
          <w:color w:val="000000"/>
        </w:rPr>
      </w:pPr>
      <w:r w:rsidRPr="00BC6742">
        <w:rPr>
          <w:rFonts w:asciiTheme="majorHAnsi" w:hAnsiTheme="majorHAnsi" w:cstheme="majorHAnsi"/>
        </w:rPr>
        <w:fldChar w:fldCharType="begin"/>
      </w:r>
      <w:r w:rsidRPr="00BC6742">
        <w:rPr>
          <w:rFonts w:asciiTheme="majorHAnsi" w:hAnsiTheme="majorHAnsi" w:cstheme="majorHAnsi"/>
        </w:rPr>
        <w:instrText xml:space="preserve"> SEQ level0 \*arabic </w:instrText>
      </w:r>
      <w:r w:rsidRPr="00BC6742">
        <w:rPr>
          <w:rFonts w:asciiTheme="majorHAnsi" w:hAnsiTheme="majorHAnsi" w:cstheme="majorHAnsi"/>
        </w:rPr>
        <w:fldChar w:fldCharType="separate"/>
      </w:r>
      <w:r w:rsidRPr="00BC6742" w:rsidR="00BC6742">
        <w:rPr>
          <w:rFonts w:asciiTheme="majorHAnsi" w:hAnsiTheme="majorHAnsi" w:cstheme="majorHAnsi"/>
          <w:noProof/>
        </w:rPr>
        <w:t>2</w:t>
      </w:r>
      <w:r w:rsidRPr="00BC6742">
        <w:rPr>
          <w:rFonts w:asciiTheme="majorHAnsi" w:hAnsiTheme="majorHAnsi" w:cstheme="majorHAnsi"/>
        </w:rPr>
        <w:fldChar w:fldCharType="end"/>
      </w:r>
      <w:r w:rsidRPr="00BC6742">
        <w:rPr>
          <w:rFonts w:asciiTheme="majorHAnsi" w:hAnsiTheme="majorHAnsi" w:cstheme="majorHAnsi"/>
        </w:rPr>
        <w:t>.</w:t>
      </w:r>
      <w:r w:rsidRPr="00BC6742">
        <w:t>  </w:t>
      </w:r>
      <w:r w:rsidRPr="00BC6742">
        <w:rPr>
          <w:rFonts w:asciiTheme="majorHAnsi" w:hAnsiTheme="majorHAnsi" w:cstheme="majorHAnsi"/>
        </w:rPr>
        <w:t xml:space="preserve">The applicants were represented by Ms L. </w:t>
      </w:r>
      <w:proofErr w:type="spellStart"/>
      <w:r w:rsidRPr="00BC6742">
        <w:rPr>
          <w:rFonts w:asciiTheme="majorHAnsi" w:hAnsiTheme="majorHAnsi" w:cstheme="majorHAnsi"/>
        </w:rPr>
        <w:t>Lakatos</w:t>
      </w:r>
      <w:proofErr w:type="spellEnd"/>
      <w:r w:rsidRPr="00BC6742">
        <w:rPr>
          <w:rFonts w:asciiTheme="majorHAnsi" w:hAnsiTheme="majorHAnsi" w:cstheme="majorHAnsi"/>
        </w:rPr>
        <w:t xml:space="preserve">, a lawyer practising in Miskolc, and Mr A. </w:t>
      </w:r>
      <w:proofErr w:type="spellStart"/>
      <w:r w:rsidRPr="00BC6742">
        <w:rPr>
          <w:rFonts w:asciiTheme="majorHAnsi" w:hAnsiTheme="majorHAnsi" w:cstheme="majorHAnsi"/>
        </w:rPr>
        <w:t>Kovács</w:t>
      </w:r>
      <w:proofErr w:type="spellEnd"/>
      <w:r w:rsidRPr="00BC6742">
        <w:rPr>
          <w:rFonts w:asciiTheme="majorHAnsi" w:hAnsiTheme="majorHAnsi" w:cstheme="majorHAnsi"/>
        </w:rPr>
        <w:t>, a lawyer practising in Szeged. T</w:t>
      </w:r>
      <w:r w:rsidRPr="00BC6742" w:rsidR="00430B3D">
        <w:rPr>
          <w:rFonts w:asciiTheme="majorHAnsi" w:hAnsiTheme="majorHAnsi" w:cstheme="majorHAnsi"/>
          <w:color w:val="000000"/>
        </w:rPr>
        <w:t xml:space="preserve">he Hungarian </w:t>
      </w:r>
      <w:r w:rsidRPr="00BC6742">
        <w:rPr>
          <w:rFonts w:asciiTheme="majorHAnsi" w:hAnsiTheme="majorHAnsi" w:cstheme="majorHAnsi"/>
          <w:color w:val="000000"/>
        </w:rPr>
        <w:t>Government (“th</w:t>
      </w:r>
      <w:r w:rsidRPr="00BC6742" w:rsidR="00430B3D">
        <w:rPr>
          <w:rFonts w:asciiTheme="majorHAnsi" w:hAnsiTheme="majorHAnsi" w:cstheme="majorHAnsi"/>
          <w:color w:val="000000"/>
        </w:rPr>
        <w:t xml:space="preserve">e Government”) were represented by </w:t>
      </w:r>
      <w:r w:rsidRPr="00BC6742">
        <w:rPr>
          <w:rFonts w:asciiTheme="majorHAnsi" w:hAnsiTheme="majorHAnsi" w:cstheme="majorHAnsi"/>
          <w:color w:val="000000"/>
        </w:rPr>
        <w:t>Mr Z. </w:t>
      </w:r>
      <w:proofErr w:type="spellStart"/>
      <w:r w:rsidRPr="00BC6742">
        <w:rPr>
          <w:rFonts w:asciiTheme="majorHAnsi" w:hAnsiTheme="majorHAnsi" w:cstheme="majorHAnsi"/>
          <w:color w:val="000000"/>
        </w:rPr>
        <w:t>Tallódi</w:t>
      </w:r>
      <w:proofErr w:type="spellEnd"/>
      <w:r w:rsidRPr="00BC6742">
        <w:rPr>
          <w:rFonts w:asciiTheme="majorHAnsi" w:hAnsiTheme="majorHAnsi" w:cstheme="majorHAnsi"/>
          <w:color w:val="000000"/>
        </w:rPr>
        <w:t xml:space="preserve">, Agent, </w:t>
      </w:r>
      <w:proofErr w:type="gramStart"/>
      <w:r w:rsidRPr="00BC6742">
        <w:rPr>
          <w:rFonts w:asciiTheme="majorHAnsi" w:hAnsiTheme="majorHAnsi" w:cstheme="majorHAnsi"/>
          <w:color w:val="000000"/>
        </w:rPr>
        <w:t>Ministry</w:t>
      </w:r>
      <w:proofErr w:type="gramEnd"/>
      <w:r w:rsidRPr="00BC6742">
        <w:rPr>
          <w:rFonts w:asciiTheme="majorHAnsi" w:hAnsiTheme="majorHAnsi" w:cstheme="majorHAnsi"/>
          <w:color w:val="000000"/>
        </w:rPr>
        <w:t xml:space="preserve"> of Justice.</w:t>
      </w:r>
    </w:p>
    <w:p w:rsidRPr="00BC6742" w:rsidR="00F711FA" w:rsidP="00BC6742" w:rsidRDefault="00F711FA">
      <w:pPr>
        <w:pStyle w:val="JuPara"/>
        <w:rPr>
          <w:rFonts w:asciiTheme="majorHAnsi" w:hAnsiTheme="majorHAnsi" w:cstheme="majorHAnsi"/>
        </w:rPr>
      </w:pPr>
      <w:r w:rsidRPr="00BC6742">
        <w:rPr>
          <w:rFonts w:asciiTheme="majorHAnsi" w:hAnsiTheme="majorHAnsi" w:cstheme="majorHAnsi"/>
        </w:rPr>
        <w:fldChar w:fldCharType="begin"/>
      </w:r>
      <w:r w:rsidRPr="00BC6742">
        <w:rPr>
          <w:rFonts w:asciiTheme="majorHAnsi" w:hAnsiTheme="majorHAnsi" w:cstheme="majorHAnsi"/>
        </w:rPr>
        <w:instrText xml:space="preserve"> SEQ level0 \*arabic </w:instrText>
      </w:r>
      <w:r w:rsidRPr="00BC6742">
        <w:rPr>
          <w:rFonts w:asciiTheme="majorHAnsi" w:hAnsiTheme="majorHAnsi" w:cstheme="majorHAnsi"/>
        </w:rPr>
        <w:fldChar w:fldCharType="separate"/>
      </w:r>
      <w:r w:rsidRPr="00BC6742" w:rsidR="00BC6742">
        <w:rPr>
          <w:rFonts w:asciiTheme="majorHAnsi" w:hAnsiTheme="majorHAnsi" w:cstheme="majorHAnsi"/>
          <w:noProof/>
        </w:rPr>
        <w:t>3</w:t>
      </w:r>
      <w:r w:rsidRPr="00BC6742">
        <w:rPr>
          <w:rFonts w:asciiTheme="majorHAnsi" w:hAnsiTheme="majorHAnsi" w:cstheme="majorHAnsi"/>
        </w:rPr>
        <w:fldChar w:fldCharType="end"/>
      </w:r>
      <w:r w:rsidRPr="00BC6742">
        <w:rPr>
          <w:rFonts w:asciiTheme="majorHAnsi" w:hAnsiTheme="majorHAnsi" w:cstheme="majorHAnsi"/>
        </w:rPr>
        <w:t xml:space="preserve">.  On 8 December 2017 and 13 March 2018 </w:t>
      </w:r>
      <w:r w:rsidRPr="00BC6742">
        <w:rPr>
          <w:rFonts w:asciiTheme="majorHAnsi" w:hAnsiTheme="majorHAnsi" w:cstheme="majorHAnsi"/>
          <w:szCs w:val="24"/>
        </w:rPr>
        <w:t>the Government were given</w:t>
      </w:r>
      <w:r w:rsidRPr="00BC6742">
        <w:rPr>
          <w:rFonts w:asciiTheme="majorHAnsi" w:hAnsiTheme="majorHAnsi" w:cstheme="majorHAnsi"/>
        </w:rPr>
        <w:t xml:space="preserve"> notice of the applications.</w:t>
      </w:r>
    </w:p>
    <w:p w:rsidRPr="00BC6742" w:rsidR="00F711FA" w:rsidP="00BC6742" w:rsidRDefault="00F711FA">
      <w:pPr>
        <w:pStyle w:val="JuPara"/>
      </w:pPr>
      <w:r w:rsidRPr="00BC6742">
        <w:rPr>
          <w:rFonts w:asciiTheme="majorHAnsi" w:hAnsiTheme="majorHAnsi" w:cstheme="majorHAnsi"/>
        </w:rPr>
        <w:fldChar w:fldCharType="begin"/>
      </w:r>
      <w:r w:rsidRPr="00BC6742">
        <w:rPr>
          <w:rFonts w:asciiTheme="majorHAnsi" w:hAnsiTheme="majorHAnsi" w:cstheme="majorHAnsi"/>
        </w:rPr>
        <w:instrText xml:space="preserve"> SEQ level0 \*arabic </w:instrText>
      </w:r>
      <w:r w:rsidRPr="00BC6742">
        <w:rPr>
          <w:rFonts w:asciiTheme="majorHAnsi" w:hAnsiTheme="majorHAnsi" w:cstheme="majorHAnsi"/>
        </w:rPr>
        <w:fldChar w:fldCharType="separate"/>
      </w:r>
      <w:r w:rsidRPr="00BC6742" w:rsidR="00BC6742">
        <w:rPr>
          <w:rFonts w:asciiTheme="majorHAnsi" w:hAnsiTheme="majorHAnsi" w:cstheme="majorHAnsi"/>
          <w:noProof/>
        </w:rPr>
        <w:t>4</w:t>
      </w:r>
      <w:r w:rsidRPr="00BC6742">
        <w:rPr>
          <w:rFonts w:asciiTheme="majorHAnsi" w:hAnsiTheme="majorHAnsi" w:cstheme="majorHAnsi"/>
        </w:rPr>
        <w:fldChar w:fldCharType="end"/>
      </w:r>
      <w:r w:rsidRPr="00BC6742">
        <w:rPr>
          <w:rFonts w:asciiTheme="majorHAnsi" w:hAnsiTheme="majorHAnsi" w:cstheme="majorHAnsi"/>
        </w:rPr>
        <w:t>.  </w:t>
      </w:r>
      <w:r w:rsidRPr="00BC6742">
        <w:t>The Government objected to the examination of the applications by a Committee. Having considered the Government</w:t>
      </w:r>
      <w:r w:rsidRPr="00BC6742" w:rsidR="00BC6742">
        <w:t>’</w:t>
      </w:r>
      <w:r w:rsidRPr="00BC6742">
        <w:t>s objection, the Court rejects it.</w:t>
      </w:r>
    </w:p>
    <w:p w:rsidRPr="00BC6742" w:rsidR="00F711FA" w:rsidP="00BC6742" w:rsidRDefault="00F711FA">
      <w:pPr>
        <w:pStyle w:val="JuHHead"/>
        <w:spacing w:before="720" w:beforeAutospacing="0"/>
      </w:pPr>
      <w:r w:rsidRPr="00BC6742">
        <w:t>THE FACTS</w:t>
      </w:r>
    </w:p>
    <w:p w:rsidRPr="00BC6742" w:rsidR="00F711FA" w:rsidP="00BC6742" w:rsidRDefault="00F711FA">
      <w:pPr>
        <w:pStyle w:val="JuHIRoman"/>
        <w:tabs>
          <w:tab w:val="left" w:pos="357"/>
        </w:tabs>
        <w:spacing w:before="360" w:beforeAutospacing="0"/>
        <w:outlineLvl w:val="0"/>
      </w:pPr>
      <w:r w:rsidRPr="00BC6742">
        <w:t>THE CIRCUMSTANCES OF THE CASE</w:t>
      </w:r>
    </w:p>
    <w:p w:rsidRPr="00BC6742" w:rsidR="00F711FA" w:rsidP="00BC6742" w:rsidRDefault="00F711FA">
      <w:pPr>
        <w:pStyle w:val="JuHA"/>
      </w:pPr>
      <w:r w:rsidRPr="00BC6742">
        <w:t xml:space="preserve">The first applicant (Mr </w:t>
      </w:r>
      <w:proofErr w:type="spellStart"/>
      <w:r w:rsidRPr="00BC6742">
        <w:t>Kruchió</w:t>
      </w:r>
      <w:proofErr w:type="spellEnd"/>
      <w:r w:rsidRPr="00BC6742">
        <w:t>)</w:t>
      </w:r>
    </w:p>
    <w:p w:rsidRPr="00BC6742" w:rsidR="00F711FA" w:rsidP="00BC6742" w:rsidRDefault="00F711FA">
      <w:pPr>
        <w:pStyle w:val="JuPara"/>
        <w:rPr>
          <w:rFonts w:asciiTheme="majorHAnsi" w:hAnsiTheme="majorHAnsi" w:cstheme="majorHAnsi"/>
        </w:rPr>
      </w:pPr>
      <w:r w:rsidRPr="00BC6742">
        <w:rPr>
          <w:rFonts w:asciiTheme="majorHAnsi" w:hAnsiTheme="majorHAnsi" w:cstheme="majorHAnsi"/>
        </w:rPr>
        <w:fldChar w:fldCharType="begin"/>
      </w:r>
      <w:r w:rsidRPr="00BC6742">
        <w:rPr>
          <w:rFonts w:asciiTheme="majorHAnsi" w:hAnsiTheme="majorHAnsi" w:cstheme="majorHAnsi"/>
        </w:rPr>
        <w:instrText xml:space="preserve"> SEQ level0 \*arabic </w:instrText>
      </w:r>
      <w:r w:rsidRPr="00BC6742">
        <w:rPr>
          <w:rFonts w:asciiTheme="majorHAnsi" w:hAnsiTheme="majorHAnsi" w:cstheme="majorHAnsi"/>
        </w:rPr>
        <w:fldChar w:fldCharType="separate"/>
      </w:r>
      <w:r w:rsidRPr="00BC6742" w:rsidR="00BC6742">
        <w:rPr>
          <w:rFonts w:asciiTheme="majorHAnsi" w:hAnsiTheme="majorHAnsi" w:cstheme="majorHAnsi"/>
          <w:noProof/>
        </w:rPr>
        <w:t>5</w:t>
      </w:r>
      <w:r w:rsidRPr="00BC6742">
        <w:rPr>
          <w:rFonts w:asciiTheme="majorHAnsi" w:hAnsiTheme="majorHAnsi" w:cstheme="majorHAnsi"/>
        </w:rPr>
        <w:fldChar w:fldCharType="end"/>
      </w:r>
      <w:r w:rsidRPr="00BC6742">
        <w:rPr>
          <w:rFonts w:asciiTheme="majorHAnsi" w:hAnsiTheme="majorHAnsi" w:cstheme="majorHAnsi"/>
        </w:rPr>
        <w:t>.  The first applicant was born in 1967 and is currently detained in Szeged.</w:t>
      </w:r>
    </w:p>
    <w:p w:rsidRPr="00BC6742" w:rsidR="00F711FA" w:rsidP="00BC6742" w:rsidRDefault="00F711FA">
      <w:pPr>
        <w:pStyle w:val="JuPara"/>
        <w:rPr>
          <w:rFonts w:asciiTheme="majorHAnsi" w:hAnsiTheme="majorHAnsi" w:cstheme="majorHAnsi"/>
          <w:color w:val="000000"/>
        </w:rPr>
      </w:pPr>
      <w:r w:rsidRPr="00BC6742">
        <w:rPr>
          <w:rFonts w:asciiTheme="majorHAnsi" w:hAnsiTheme="majorHAnsi" w:cstheme="majorHAnsi"/>
        </w:rPr>
        <w:fldChar w:fldCharType="begin"/>
      </w:r>
      <w:r w:rsidRPr="00BC6742">
        <w:rPr>
          <w:rFonts w:asciiTheme="majorHAnsi" w:hAnsiTheme="majorHAnsi" w:cstheme="majorHAnsi"/>
        </w:rPr>
        <w:instrText xml:space="preserve"> SEQ level0 \*arabic </w:instrText>
      </w:r>
      <w:r w:rsidRPr="00BC6742">
        <w:rPr>
          <w:rFonts w:asciiTheme="majorHAnsi" w:hAnsiTheme="majorHAnsi" w:cstheme="majorHAnsi"/>
        </w:rPr>
        <w:fldChar w:fldCharType="separate"/>
      </w:r>
      <w:r w:rsidRPr="00BC6742" w:rsidR="00BC6742">
        <w:rPr>
          <w:rFonts w:asciiTheme="majorHAnsi" w:hAnsiTheme="majorHAnsi" w:cstheme="majorHAnsi"/>
          <w:noProof/>
        </w:rPr>
        <w:t>6</w:t>
      </w:r>
      <w:r w:rsidRPr="00BC6742">
        <w:rPr>
          <w:rFonts w:asciiTheme="majorHAnsi" w:hAnsiTheme="majorHAnsi" w:cstheme="majorHAnsi"/>
        </w:rPr>
        <w:fldChar w:fldCharType="end"/>
      </w:r>
      <w:r w:rsidRPr="00BC6742">
        <w:rPr>
          <w:rFonts w:asciiTheme="majorHAnsi" w:hAnsiTheme="majorHAnsi" w:cstheme="majorHAnsi"/>
        </w:rPr>
        <w:t>.  </w:t>
      </w:r>
      <w:r w:rsidRPr="00BC6742">
        <w:rPr>
          <w:rFonts w:asciiTheme="majorHAnsi" w:hAnsiTheme="majorHAnsi" w:cstheme="majorHAnsi"/>
          <w:color w:val="000000"/>
        </w:rPr>
        <w:t xml:space="preserve">On 26 September 2003 the </w:t>
      </w:r>
      <w:proofErr w:type="spellStart"/>
      <w:r w:rsidRPr="00BC6742">
        <w:rPr>
          <w:rFonts w:asciiTheme="majorHAnsi" w:hAnsiTheme="majorHAnsi" w:cstheme="majorHAnsi"/>
          <w:color w:val="000000"/>
        </w:rPr>
        <w:t>Csongrád</w:t>
      </w:r>
      <w:proofErr w:type="spellEnd"/>
      <w:r w:rsidRPr="00BC6742">
        <w:rPr>
          <w:rFonts w:asciiTheme="majorHAnsi" w:hAnsiTheme="majorHAnsi" w:cstheme="majorHAnsi"/>
          <w:color w:val="000000"/>
        </w:rPr>
        <w:t xml:space="preserve"> County Regional Court convicted the first applicant of premeditated murder, robbery and misuse of firearms. He was sentenced to life imprisonment with no possibility of release on parole.</w:t>
      </w:r>
    </w:p>
    <w:p w:rsidRPr="00BC6742" w:rsidR="00F711FA" w:rsidP="00BC6742" w:rsidRDefault="00F711FA">
      <w:pPr>
        <w:pStyle w:val="JuPara"/>
        <w:rPr>
          <w:rFonts w:asciiTheme="majorHAnsi" w:hAnsiTheme="majorHAnsi" w:cstheme="majorHAnsi"/>
          <w:color w:val="000000"/>
        </w:rPr>
      </w:pPr>
      <w:r w:rsidRPr="00BC6742">
        <w:rPr>
          <w:rFonts w:asciiTheme="majorHAnsi" w:hAnsiTheme="majorHAnsi" w:cstheme="majorHAnsi"/>
          <w:color w:val="000000"/>
        </w:rPr>
        <w:fldChar w:fldCharType="begin"/>
      </w:r>
      <w:r w:rsidRPr="00BC6742">
        <w:rPr>
          <w:rFonts w:asciiTheme="majorHAnsi" w:hAnsiTheme="majorHAnsi" w:cstheme="majorHAnsi"/>
          <w:color w:val="000000"/>
        </w:rPr>
        <w:instrText xml:space="preserve"> SEQ level0 \*arabic </w:instrText>
      </w:r>
      <w:r w:rsidRPr="00BC6742">
        <w:rPr>
          <w:rFonts w:asciiTheme="majorHAnsi" w:hAnsiTheme="majorHAnsi" w:cstheme="majorHAnsi"/>
          <w:color w:val="000000"/>
        </w:rPr>
        <w:fldChar w:fldCharType="separate"/>
      </w:r>
      <w:r w:rsidRPr="00BC6742" w:rsidR="00BC6742">
        <w:rPr>
          <w:rFonts w:asciiTheme="majorHAnsi" w:hAnsiTheme="majorHAnsi" w:cstheme="majorHAnsi"/>
          <w:noProof/>
          <w:color w:val="000000"/>
        </w:rPr>
        <w:t>7</w:t>
      </w:r>
      <w:r w:rsidRPr="00BC6742">
        <w:rPr>
          <w:rFonts w:asciiTheme="majorHAnsi" w:hAnsiTheme="majorHAnsi" w:cstheme="majorHAnsi"/>
          <w:color w:val="000000"/>
        </w:rPr>
        <w:fldChar w:fldCharType="end"/>
      </w:r>
      <w:r w:rsidRPr="00BC6742">
        <w:rPr>
          <w:rFonts w:asciiTheme="majorHAnsi" w:hAnsiTheme="majorHAnsi" w:cstheme="majorHAnsi"/>
          <w:color w:val="000000"/>
        </w:rPr>
        <w:t>.  On 25 May 2004 the Szeged Court of Appeal upheld the judgment.</w:t>
      </w:r>
    </w:p>
    <w:p w:rsidRPr="00BC6742" w:rsidR="00F711FA" w:rsidP="00BC6742" w:rsidRDefault="00F711FA">
      <w:pPr>
        <w:pStyle w:val="JuPara"/>
      </w:pPr>
      <w:r w:rsidRPr="00BC6742">
        <w:rPr>
          <w:rFonts w:asciiTheme="majorHAnsi" w:hAnsiTheme="majorHAnsi" w:cstheme="majorHAnsi"/>
          <w:color w:val="000000"/>
        </w:rPr>
        <w:fldChar w:fldCharType="begin"/>
      </w:r>
      <w:r w:rsidRPr="00BC6742">
        <w:rPr>
          <w:rFonts w:asciiTheme="majorHAnsi" w:hAnsiTheme="majorHAnsi" w:cstheme="majorHAnsi"/>
          <w:color w:val="000000"/>
        </w:rPr>
        <w:instrText xml:space="preserve"> SEQ level0 \*arabic </w:instrText>
      </w:r>
      <w:r w:rsidRPr="00BC6742">
        <w:rPr>
          <w:rFonts w:asciiTheme="majorHAnsi" w:hAnsiTheme="majorHAnsi" w:cstheme="majorHAnsi"/>
          <w:color w:val="000000"/>
        </w:rPr>
        <w:fldChar w:fldCharType="separate"/>
      </w:r>
      <w:r w:rsidRPr="00BC6742" w:rsidR="00BC6742">
        <w:rPr>
          <w:rFonts w:asciiTheme="majorHAnsi" w:hAnsiTheme="majorHAnsi" w:cstheme="majorHAnsi"/>
          <w:noProof/>
          <w:color w:val="000000"/>
        </w:rPr>
        <w:t>8</w:t>
      </w:r>
      <w:r w:rsidRPr="00BC6742">
        <w:rPr>
          <w:rFonts w:asciiTheme="majorHAnsi" w:hAnsiTheme="majorHAnsi" w:cstheme="majorHAnsi"/>
          <w:color w:val="000000"/>
        </w:rPr>
        <w:fldChar w:fldCharType="end"/>
      </w:r>
      <w:r w:rsidRPr="00BC6742">
        <w:rPr>
          <w:rFonts w:asciiTheme="majorHAnsi" w:hAnsiTheme="majorHAnsi" w:cstheme="majorHAnsi"/>
          <w:color w:val="000000"/>
        </w:rPr>
        <w:t>.  Following the Court</w:t>
      </w:r>
      <w:r w:rsidRPr="00BC6742" w:rsidR="00BC6742">
        <w:rPr>
          <w:rFonts w:asciiTheme="majorHAnsi" w:hAnsiTheme="majorHAnsi" w:cstheme="majorHAnsi"/>
          <w:color w:val="000000"/>
        </w:rPr>
        <w:t>’</w:t>
      </w:r>
      <w:r w:rsidRPr="00BC6742">
        <w:rPr>
          <w:rFonts w:asciiTheme="majorHAnsi" w:hAnsiTheme="majorHAnsi" w:cstheme="majorHAnsi"/>
          <w:color w:val="000000"/>
        </w:rPr>
        <w:t xml:space="preserve">s judgment in the case of </w:t>
      </w:r>
      <w:proofErr w:type="spellStart"/>
      <w:r w:rsidRPr="00BC6742">
        <w:rPr>
          <w:rFonts w:asciiTheme="majorHAnsi" w:hAnsiTheme="majorHAnsi" w:cstheme="majorHAnsi"/>
          <w:i/>
        </w:rPr>
        <w:t>Vinter</w:t>
      </w:r>
      <w:proofErr w:type="spellEnd"/>
      <w:r w:rsidRPr="00BC6742">
        <w:rPr>
          <w:rFonts w:asciiTheme="majorHAnsi" w:hAnsiTheme="majorHAnsi" w:cstheme="majorHAnsi"/>
          <w:i/>
        </w:rPr>
        <w:t xml:space="preserve"> and Others v. the United Kingdom</w:t>
      </w:r>
      <w:r w:rsidRPr="00BC6742">
        <w:rPr>
          <w:rFonts w:asciiTheme="majorHAnsi" w:hAnsiTheme="majorHAnsi" w:cstheme="majorHAnsi"/>
        </w:rPr>
        <w:t xml:space="preserve"> ([GC]</w:t>
      </w:r>
      <w:r w:rsidRPr="00BC6742">
        <w:rPr>
          <w:rFonts w:asciiTheme="majorHAnsi" w:hAnsiTheme="majorHAnsi" w:cstheme="majorHAnsi"/>
          <w:snapToGrid w:val="0"/>
        </w:rPr>
        <w:t>, nos. 66069/09</w:t>
      </w:r>
      <w:r w:rsidRPr="00BC6742">
        <w:rPr>
          <w:rFonts w:asciiTheme="majorHAnsi" w:hAnsiTheme="majorHAnsi" w:cstheme="majorHAnsi"/>
        </w:rPr>
        <w:t xml:space="preserve"> and 2 others, ECHR 2013 (extracts)), the applicant lodged a request for review with the </w:t>
      </w:r>
      <w:proofErr w:type="spellStart"/>
      <w:r w:rsidRPr="00BC6742">
        <w:rPr>
          <w:rFonts w:asciiTheme="majorHAnsi" w:hAnsiTheme="majorHAnsi" w:cstheme="majorHAnsi"/>
          <w:i/>
        </w:rPr>
        <w:t>Kúria</w:t>
      </w:r>
      <w:proofErr w:type="spellEnd"/>
      <w:r w:rsidRPr="00BC6742">
        <w:rPr>
          <w:rFonts w:asciiTheme="majorHAnsi" w:hAnsiTheme="majorHAnsi" w:cstheme="majorHAnsi"/>
          <w:i/>
        </w:rPr>
        <w:t xml:space="preserve">, </w:t>
      </w:r>
      <w:r w:rsidRPr="00BC6742">
        <w:rPr>
          <w:rFonts w:asciiTheme="majorHAnsi" w:hAnsiTheme="majorHAnsi" w:cstheme="majorHAnsi"/>
        </w:rPr>
        <w:t>arguing</w:t>
      </w:r>
      <w:r w:rsidRPr="00BC6742">
        <w:t xml:space="preserve"> that his whole-life sentence constituted a violation of Article 3 of the Convention.</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9</w:t>
      </w:r>
      <w:r w:rsidRPr="00BC6742">
        <w:fldChar w:fldCharType="end"/>
      </w:r>
      <w:r w:rsidRPr="00BC6742">
        <w:t xml:space="preserve">.  On 26 March 2015 the </w:t>
      </w:r>
      <w:proofErr w:type="spellStart"/>
      <w:r w:rsidRPr="00BC6742">
        <w:rPr>
          <w:i/>
        </w:rPr>
        <w:t>Kúria</w:t>
      </w:r>
      <w:proofErr w:type="spellEnd"/>
      <w:r w:rsidRPr="00BC6742">
        <w:rPr>
          <w:i/>
        </w:rPr>
        <w:t xml:space="preserve"> </w:t>
      </w:r>
      <w:r w:rsidRPr="00BC6742">
        <w:t>dismissed the application on the grounds that the Court</w:t>
      </w:r>
      <w:r w:rsidRPr="00BC6742" w:rsidR="00BC6742">
        <w:t>’</w:t>
      </w:r>
      <w:r w:rsidRPr="00BC6742">
        <w:t>s judgment did not concern a decision or proceedings against the applicant, and Hungary had not been a party to the proceedings before the Court. It also pointed out that the domestic legislation had changed with the introduction of the “mandatory pardon procedure” (</w:t>
      </w:r>
      <w:proofErr w:type="spellStart"/>
      <w:r w:rsidRPr="00BC6742">
        <w:rPr>
          <w:rFonts w:cstheme="minorHAnsi"/>
          <w:i/>
          <w:color w:val="474747"/>
          <w:szCs w:val="24"/>
          <w:lang w:val="en-US"/>
        </w:rPr>
        <w:t>kötelező</w:t>
      </w:r>
      <w:proofErr w:type="spellEnd"/>
      <w:r w:rsidRPr="00BC6742">
        <w:rPr>
          <w:rFonts w:cstheme="minorHAnsi"/>
          <w:i/>
          <w:color w:val="474747"/>
          <w:szCs w:val="24"/>
          <w:lang w:val="en-US"/>
        </w:rPr>
        <w:t xml:space="preserve"> </w:t>
      </w:r>
      <w:proofErr w:type="spellStart"/>
      <w:r w:rsidRPr="00BC6742">
        <w:rPr>
          <w:rFonts w:cstheme="minorHAnsi"/>
          <w:i/>
          <w:color w:val="474747"/>
          <w:szCs w:val="24"/>
          <w:lang w:val="en-US"/>
        </w:rPr>
        <w:t>kegyelmi</w:t>
      </w:r>
      <w:proofErr w:type="spellEnd"/>
      <w:r w:rsidRPr="00BC6742">
        <w:rPr>
          <w:rFonts w:cstheme="minorHAnsi"/>
          <w:i/>
          <w:color w:val="474747"/>
          <w:szCs w:val="24"/>
          <w:lang w:val="en-US"/>
        </w:rPr>
        <w:t xml:space="preserve"> </w:t>
      </w:r>
      <w:proofErr w:type="spellStart"/>
      <w:r w:rsidRPr="00BC6742">
        <w:rPr>
          <w:rFonts w:cstheme="minorHAnsi"/>
          <w:i/>
          <w:color w:val="474747"/>
          <w:szCs w:val="24"/>
          <w:lang w:val="en-US"/>
        </w:rPr>
        <w:t>eljárás</w:t>
      </w:r>
      <w:proofErr w:type="spellEnd"/>
      <w:r w:rsidRPr="00BC6742">
        <w:rPr>
          <w:rFonts w:cstheme="minorHAnsi"/>
          <w:color w:val="474747"/>
          <w:szCs w:val="24"/>
          <w:lang w:val="en-US"/>
        </w:rPr>
        <w:t xml:space="preserve">) </w:t>
      </w:r>
      <w:r w:rsidRPr="00BC6742">
        <w:t>for convicts serving whole-life sentences.</w:t>
      </w:r>
    </w:p>
    <w:p w:rsidRPr="00BC6742" w:rsidR="00F711FA" w:rsidP="00BC6742" w:rsidRDefault="00F711FA">
      <w:pPr>
        <w:pStyle w:val="JuHA"/>
      </w:pPr>
      <w:r w:rsidRPr="00BC6742">
        <w:t xml:space="preserve">The second applicant (Mr </w:t>
      </w:r>
      <w:proofErr w:type="spellStart"/>
      <w:r w:rsidRPr="00BC6742">
        <w:t>Lehóczki</w:t>
      </w:r>
      <w:proofErr w:type="spellEnd"/>
      <w:r w:rsidRPr="00BC6742">
        <w:t>)</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10</w:t>
      </w:r>
      <w:r w:rsidRPr="00BC6742">
        <w:fldChar w:fldCharType="end"/>
      </w:r>
      <w:r w:rsidRPr="00BC6742">
        <w:t>.  The second applicant was born in 1955 and is currently serving his prison sentence in Szeged.</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11</w:t>
      </w:r>
      <w:r w:rsidRPr="00BC6742">
        <w:fldChar w:fldCharType="end"/>
      </w:r>
      <w:r w:rsidRPr="00BC6742">
        <w:t xml:space="preserve">.  On 9 December 2004 the </w:t>
      </w:r>
      <w:proofErr w:type="spellStart"/>
      <w:r w:rsidRPr="00BC6742">
        <w:t>Heves</w:t>
      </w:r>
      <w:proofErr w:type="spellEnd"/>
      <w:r w:rsidRPr="00BC6742">
        <w:t xml:space="preserve"> County Regional Court convicted the second applicant of aggravated murder. He was sentenced to whole-life imprisonment with no possibility of release on parole.</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12</w:t>
      </w:r>
      <w:r w:rsidRPr="00BC6742">
        <w:fldChar w:fldCharType="end"/>
      </w:r>
      <w:r w:rsidRPr="00BC6742">
        <w:t>.  On 21 April 2006 the Budapest Court of Appeal upheld this judgment.</w:t>
      </w:r>
    </w:p>
    <w:p w:rsidRPr="00BC6742" w:rsidR="00F711FA" w:rsidP="00BC6742" w:rsidRDefault="00F711FA">
      <w:pPr>
        <w:pStyle w:val="JuHIRoman"/>
        <w:tabs>
          <w:tab w:val="left" w:pos="357"/>
        </w:tabs>
        <w:spacing w:before="360" w:beforeAutospacing="0"/>
        <w:outlineLvl w:val="0"/>
      </w:pPr>
      <w:r w:rsidRPr="00BC6742">
        <w:t>RELEVANT DOMESTIC LAW AND PRACTICE AND INTERNATIONAL AND COMPARATIVE MATERIAL</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13</w:t>
      </w:r>
      <w:r w:rsidRPr="00BC6742">
        <w:fldChar w:fldCharType="end"/>
      </w:r>
      <w:r w:rsidRPr="00BC6742">
        <w:t xml:space="preserve">.  For the relevant domestic law and practice, as well as international and comparative material, see </w:t>
      </w:r>
      <w:r w:rsidRPr="00BC6742">
        <w:rPr>
          <w:i/>
        </w:rPr>
        <w:t>T.P. and A.T. v. Hungary</w:t>
      </w:r>
      <w:r w:rsidRPr="00BC6742" w:rsidR="00430B3D">
        <w:t xml:space="preserve"> (nos. 37871/14 and </w:t>
      </w:r>
      <w:r w:rsidRPr="00BC6742">
        <w:t>73986/14, §§ 16-19, 4 October 2016).</w:t>
      </w:r>
    </w:p>
    <w:p w:rsidRPr="00BC6742" w:rsidR="00F711FA" w:rsidP="00BC6742" w:rsidRDefault="00F711FA">
      <w:pPr>
        <w:pStyle w:val="JuHHead"/>
        <w:spacing w:before="720" w:beforeAutospacing="0"/>
      </w:pPr>
      <w:r w:rsidRPr="00BC6742">
        <w:t>THE LAW</w:t>
      </w:r>
    </w:p>
    <w:p w:rsidRPr="00BC6742" w:rsidR="00F711FA" w:rsidP="00BC6742" w:rsidRDefault="00F711FA">
      <w:pPr>
        <w:pStyle w:val="JuHIRoman"/>
        <w:tabs>
          <w:tab w:val="left" w:pos="357"/>
        </w:tabs>
        <w:spacing w:before="360" w:beforeAutospacing="0"/>
        <w:outlineLvl w:val="0"/>
      </w:pPr>
      <w:r w:rsidRPr="00BC6742">
        <w:t>JOINDER OF THE APPLICATIONS</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14</w:t>
      </w:r>
      <w:r w:rsidRPr="00BC6742">
        <w:fldChar w:fldCharType="end"/>
      </w:r>
      <w:r w:rsidRPr="00BC6742">
        <w:t>.  Having regard to the similar subject matter of the applications, the Court finds it appropriate to order their joinder (Rule 42 § 1 of the Rules of Court).</w:t>
      </w:r>
    </w:p>
    <w:p w:rsidRPr="00BC6742" w:rsidR="00F711FA" w:rsidP="00BC6742" w:rsidRDefault="00F711FA">
      <w:pPr>
        <w:pStyle w:val="JuHIRoman"/>
        <w:tabs>
          <w:tab w:val="left" w:pos="357"/>
        </w:tabs>
        <w:spacing w:before="360" w:beforeAutospacing="0"/>
        <w:outlineLvl w:val="0"/>
      </w:pPr>
      <w:r w:rsidRPr="00BC6742">
        <w:t>  ALLEGED VIOLATION OF ARTICLE 3 OF THE CONVENTION</w:t>
      </w:r>
    </w:p>
    <w:p w:rsidRPr="00BC6742" w:rsidR="00F711FA" w:rsidP="00BC6742" w:rsidRDefault="00F711FA">
      <w:pPr>
        <w:pStyle w:val="JuPara"/>
        <w:rPr>
          <w:rFonts w:ascii="Arial" w:hAnsi="Arial" w:cs="Arial"/>
          <w:color w:val="000000"/>
          <w:sz w:val="17"/>
          <w:szCs w:val="17"/>
        </w:rPr>
      </w:pPr>
      <w:r w:rsidRPr="00BC6742">
        <w:fldChar w:fldCharType="begin"/>
      </w:r>
      <w:r w:rsidRPr="00BC6742">
        <w:instrText xml:space="preserve"> SEQ level0 \*arabic </w:instrText>
      </w:r>
      <w:r w:rsidRPr="00BC6742">
        <w:fldChar w:fldCharType="separate"/>
      </w:r>
      <w:r w:rsidRPr="00BC6742" w:rsidR="00BC6742">
        <w:rPr>
          <w:noProof/>
        </w:rPr>
        <w:t>15</w:t>
      </w:r>
      <w:r w:rsidRPr="00BC6742">
        <w:fldChar w:fldCharType="end"/>
      </w:r>
      <w:r w:rsidRPr="00BC6742">
        <w:t>.  </w:t>
      </w:r>
      <w:r w:rsidRPr="00BC6742">
        <w:rPr>
          <w:rStyle w:val="JuParaChar"/>
        </w:rPr>
        <w:t xml:space="preserve">The applicants complained that despite the new pardon procedure in force as of 2015, their whole-life sentences had remained </w:t>
      </w:r>
      <w:r w:rsidRPr="00BC6742">
        <w:rPr>
          <w:rStyle w:val="JuParaChar"/>
          <w:i/>
        </w:rPr>
        <w:t>de facto</w:t>
      </w:r>
      <w:r w:rsidRPr="00BC6742">
        <w:rPr>
          <w:rStyle w:val="JuParaChar"/>
        </w:rPr>
        <w:t xml:space="preserve"> irreducible, in breach of Article 3 of the Convention, which reads as follows:</w:t>
      </w:r>
    </w:p>
    <w:p w:rsidRPr="00BC6742" w:rsidR="00F711FA" w:rsidP="00BC6742" w:rsidRDefault="00F711FA">
      <w:pPr>
        <w:pStyle w:val="JuQuot"/>
        <w:rPr>
          <w:rFonts w:asciiTheme="majorHAnsi" w:hAnsiTheme="majorHAnsi" w:cstheme="majorHAnsi"/>
          <w:sz w:val="17"/>
          <w:szCs w:val="17"/>
        </w:rPr>
      </w:pPr>
      <w:r w:rsidRPr="00BC6742">
        <w:rPr>
          <w:rFonts w:asciiTheme="majorHAnsi" w:hAnsiTheme="majorHAnsi" w:cstheme="majorHAnsi"/>
          <w:color w:val="000000"/>
          <w:szCs w:val="20"/>
        </w:rPr>
        <w:t>“No one shall be subjected to torture or to inhuman or degrading treatment or punishment.”</w:t>
      </w:r>
    </w:p>
    <w:p w:rsidRPr="00BC6742" w:rsidR="00F711FA" w:rsidP="00BC6742" w:rsidRDefault="00F711FA">
      <w:pPr>
        <w:pStyle w:val="JuHA"/>
        <w:tabs>
          <w:tab w:val="left" w:pos="584"/>
        </w:tabs>
        <w:spacing w:before="360" w:beforeAutospacing="0"/>
        <w:outlineLvl w:val="1"/>
      </w:pPr>
      <w:r w:rsidRPr="00BC6742">
        <w:t>Admissibility</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16</w:t>
      </w:r>
      <w:r w:rsidRPr="00BC6742">
        <w:fldChar w:fldCharType="end"/>
      </w:r>
      <w:r w:rsidRPr="00BC6742">
        <w:t>.  The Court notes that the applications are not manifestly ill-founded within the meaning of Article 35 § 3 (a) of the Convention. It further notes that they are not inadmissible on any other grounds. They must therefore be declared admissible.</w:t>
      </w:r>
    </w:p>
    <w:p w:rsidRPr="00BC6742" w:rsidR="00F711FA" w:rsidP="00BC6742" w:rsidRDefault="00F711FA">
      <w:pPr>
        <w:pStyle w:val="JuHA"/>
        <w:tabs>
          <w:tab w:val="left" w:pos="584"/>
        </w:tabs>
        <w:spacing w:before="360" w:beforeAutospacing="0"/>
        <w:outlineLvl w:val="1"/>
      </w:pPr>
      <w:r w:rsidRPr="00BC6742">
        <w:t>Merits</w:t>
      </w:r>
    </w:p>
    <w:p w:rsidRPr="00BC6742" w:rsidR="00F711FA" w:rsidP="00BC6742" w:rsidRDefault="00F711FA">
      <w:pPr>
        <w:pStyle w:val="JuH1"/>
      </w:pPr>
      <w:r w:rsidRPr="00BC6742">
        <w:t>The parties</w:t>
      </w:r>
      <w:r w:rsidRPr="00BC6742" w:rsidR="00BC6742">
        <w:t>’</w:t>
      </w:r>
      <w:r w:rsidRPr="00BC6742">
        <w:t xml:space="preserve"> submissions</w:t>
      </w:r>
    </w:p>
    <w:p w:rsidRPr="00BC6742" w:rsidR="00F711FA" w:rsidP="00BC6742" w:rsidRDefault="00F711FA">
      <w:pPr>
        <w:pStyle w:val="JuHa0"/>
      </w:pPr>
      <w:r w:rsidRPr="00BC6742">
        <w:t>The applicants</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17</w:t>
      </w:r>
      <w:r w:rsidRPr="00BC6742">
        <w:fldChar w:fldCharType="end"/>
      </w:r>
      <w:r w:rsidRPr="00BC6742">
        <w:t>.  The applicants submitted that the mandatory pardon procedure did not offer them a realistic chance of being released.</w:t>
      </w:r>
    </w:p>
    <w:p w:rsidRPr="00BC6742" w:rsidR="00F711FA" w:rsidP="00BC6742" w:rsidRDefault="00F711FA">
      <w:pPr>
        <w:pStyle w:val="JuPara"/>
        <w:rPr>
          <w:sz w:val="17"/>
          <w:szCs w:val="17"/>
        </w:rPr>
      </w:pPr>
      <w:r w:rsidRPr="00BC6742">
        <w:fldChar w:fldCharType="begin"/>
      </w:r>
      <w:r w:rsidRPr="00BC6742">
        <w:instrText xml:space="preserve"> SEQ level0 \*arabic </w:instrText>
      </w:r>
      <w:r w:rsidRPr="00BC6742">
        <w:fldChar w:fldCharType="separate"/>
      </w:r>
      <w:r w:rsidRPr="00BC6742" w:rsidR="00BC6742">
        <w:rPr>
          <w:noProof/>
        </w:rPr>
        <w:t>18</w:t>
      </w:r>
      <w:r w:rsidRPr="00BC6742">
        <w:fldChar w:fldCharType="end"/>
      </w:r>
      <w:r w:rsidRPr="00BC6742">
        <w:t>.  Referring to the Court</w:t>
      </w:r>
      <w:r w:rsidRPr="00BC6742" w:rsidR="00BC6742">
        <w:t>’</w:t>
      </w:r>
      <w:r w:rsidRPr="00BC6742">
        <w:t xml:space="preserve">s judgment in the case of </w:t>
      </w:r>
      <w:proofErr w:type="spellStart"/>
      <w:r w:rsidRPr="00BC6742">
        <w:rPr>
          <w:i/>
          <w:iCs/>
        </w:rPr>
        <w:t>László</w:t>
      </w:r>
      <w:proofErr w:type="spellEnd"/>
      <w:r w:rsidRPr="00BC6742">
        <w:rPr>
          <w:i/>
          <w:iCs/>
        </w:rPr>
        <w:t xml:space="preserve"> Magyar v. Hungary</w:t>
      </w:r>
      <w:r w:rsidRPr="00BC6742">
        <w:t> (no. 73593/10, 20 May 2014), the applicants pointed out that the Court had held that when creating a review mechanism, a State should ensure that the decision allowing or rejecting a pardon request contain the reasons behind it, and that a convicted person can reasonably foresee the conditions under which a pardon can be granted. However, the new procedure disregarded those requirements: it remained within the President</w:t>
      </w:r>
      <w:r w:rsidRPr="00BC6742" w:rsidR="00BC6742">
        <w:t>’</w:t>
      </w:r>
      <w:r w:rsidRPr="00BC6742">
        <w:t>s discretion whether or not to grant a pardon and he was not bound by any criteria when taking such a decision.</w:t>
      </w:r>
    </w:p>
    <w:p w:rsidRPr="00BC6742" w:rsidR="00F711FA" w:rsidP="00BC6742" w:rsidRDefault="00F711FA">
      <w:pPr>
        <w:pStyle w:val="JuPara"/>
        <w:rPr>
          <w:sz w:val="17"/>
          <w:szCs w:val="17"/>
        </w:rPr>
      </w:pPr>
      <w:r w:rsidRPr="00BC6742">
        <w:fldChar w:fldCharType="begin"/>
      </w:r>
      <w:r w:rsidRPr="00BC6742">
        <w:instrText xml:space="preserve"> SEQ level0 \*arabic </w:instrText>
      </w:r>
      <w:r w:rsidRPr="00BC6742">
        <w:fldChar w:fldCharType="separate"/>
      </w:r>
      <w:r w:rsidRPr="00BC6742" w:rsidR="00BC6742">
        <w:rPr>
          <w:noProof/>
        </w:rPr>
        <w:t>19</w:t>
      </w:r>
      <w:r w:rsidRPr="00BC6742">
        <w:fldChar w:fldCharType="end"/>
      </w:r>
      <w:r w:rsidRPr="00BC6742">
        <w:t xml:space="preserve">.  The applicants also submitted that under the new procedure, they could apply for release only after forty years, a term which fell </w:t>
      </w:r>
      <w:proofErr w:type="spellStart"/>
      <w:r w:rsidRPr="00BC6742">
        <w:t>foul</w:t>
      </w:r>
      <w:proofErr w:type="spellEnd"/>
      <w:r w:rsidRPr="00BC6742">
        <w:t xml:space="preserve"> of European trends. In their view, the Hungarian State should guarantee the review of life sentences after no longer than twenty-five years.</w:t>
      </w:r>
    </w:p>
    <w:p w:rsidRPr="00BC6742" w:rsidR="00F711FA" w:rsidP="00BC6742" w:rsidRDefault="00F711FA">
      <w:pPr>
        <w:pStyle w:val="JuHa0"/>
      </w:pPr>
      <w:r w:rsidRPr="00BC6742">
        <w:t>The Government</w:t>
      </w:r>
    </w:p>
    <w:p w:rsidRPr="00BC6742" w:rsidR="00F711FA" w:rsidP="00BC6742" w:rsidRDefault="00F711FA">
      <w:pPr>
        <w:pStyle w:val="JuPara"/>
        <w:rPr>
          <w:rFonts w:asciiTheme="majorHAnsi" w:hAnsiTheme="majorHAnsi" w:cstheme="majorHAnsi"/>
          <w:color w:val="000000"/>
        </w:rPr>
      </w:pPr>
      <w:r w:rsidRPr="00BC6742">
        <w:fldChar w:fldCharType="begin"/>
      </w:r>
      <w:r w:rsidRPr="00BC6742">
        <w:instrText xml:space="preserve"> SEQ level0 \*arabic </w:instrText>
      </w:r>
      <w:r w:rsidRPr="00BC6742">
        <w:fldChar w:fldCharType="separate"/>
      </w:r>
      <w:r w:rsidRPr="00BC6742" w:rsidR="00BC6742">
        <w:rPr>
          <w:noProof/>
        </w:rPr>
        <w:t>20</w:t>
      </w:r>
      <w:r w:rsidRPr="00BC6742">
        <w:fldChar w:fldCharType="end"/>
      </w:r>
      <w:r w:rsidRPr="00BC6742">
        <w:t>.  </w:t>
      </w:r>
      <w:r w:rsidRPr="00BC6742">
        <w:rPr>
          <w:rFonts w:asciiTheme="majorHAnsi" w:hAnsiTheme="majorHAnsi" w:cstheme="majorHAnsi"/>
          <w:color w:val="000000"/>
        </w:rPr>
        <w:t>The Government contended that following the Court</w:t>
      </w:r>
      <w:r w:rsidRPr="00BC6742" w:rsidR="00BC6742">
        <w:rPr>
          <w:rFonts w:asciiTheme="majorHAnsi" w:hAnsiTheme="majorHAnsi" w:cstheme="majorHAnsi"/>
          <w:color w:val="000000"/>
        </w:rPr>
        <w:t>’</w:t>
      </w:r>
      <w:r w:rsidRPr="00BC6742">
        <w:rPr>
          <w:rFonts w:asciiTheme="majorHAnsi" w:hAnsiTheme="majorHAnsi" w:cstheme="majorHAnsi"/>
          <w:color w:val="000000"/>
        </w:rPr>
        <w:t xml:space="preserve">s judgment in the case of </w:t>
      </w:r>
      <w:proofErr w:type="spellStart"/>
      <w:r w:rsidRPr="00BC6742">
        <w:rPr>
          <w:i/>
        </w:rPr>
        <w:t>László</w:t>
      </w:r>
      <w:proofErr w:type="spellEnd"/>
      <w:r w:rsidRPr="00BC6742">
        <w:rPr>
          <w:i/>
        </w:rPr>
        <w:t xml:space="preserve"> Magyar </w:t>
      </w:r>
      <w:r w:rsidRPr="00BC6742">
        <w:t>(cited above</w:t>
      </w:r>
      <w:r w:rsidRPr="00BC6742">
        <w:rPr>
          <w:rFonts w:asciiTheme="majorHAnsi" w:hAnsiTheme="majorHAnsi" w:cstheme="majorHAnsi"/>
          <w:color w:val="000000"/>
        </w:rPr>
        <w:t>), new legislation had introduced a mandatory pardon procedure for convicts serving whole-life sentences.</w:t>
      </w:r>
    </w:p>
    <w:p w:rsidRPr="00BC6742" w:rsidR="00F711FA" w:rsidP="00BC6742" w:rsidRDefault="00F711FA">
      <w:pPr>
        <w:pStyle w:val="JuPara"/>
        <w:rPr>
          <w:rFonts w:asciiTheme="majorHAnsi" w:hAnsiTheme="majorHAnsi" w:cstheme="majorHAnsi"/>
          <w:color w:val="000000"/>
        </w:rPr>
      </w:pPr>
      <w:r w:rsidRPr="00BC6742">
        <w:rPr>
          <w:rFonts w:asciiTheme="majorHAnsi" w:hAnsiTheme="majorHAnsi" w:cstheme="majorHAnsi"/>
          <w:color w:val="000000"/>
        </w:rPr>
        <w:fldChar w:fldCharType="begin"/>
      </w:r>
      <w:r w:rsidRPr="00BC6742">
        <w:rPr>
          <w:rFonts w:asciiTheme="majorHAnsi" w:hAnsiTheme="majorHAnsi" w:cstheme="majorHAnsi"/>
          <w:color w:val="000000"/>
        </w:rPr>
        <w:instrText xml:space="preserve"> SEQ level0 \*arabic </w:instrText>
      </w:r>
      <w:r w:rsidRPr="00BC6742">
        <w:rPr>
          <w:rFonts w:asciiTheme="majorHAnsi" w:hAnsiTheme="majorHAnsi" w:cstheme="majorHAnsi"/>
          <w:color w:val="000000"/>
        </w:rPr>
        <w:fldChar w:fldCharType="separate"/>
      </w:r>
      <w:r w:rsidRPr="00BC6742" w:rsidR="00BC6742">
        <w:rPr>
          <w:rFonts w:asciiTheme="majorHAnsi" w:hAnsiTheme="majorHAnsi" w:cstheme="majorHAnsi"/>
          <w:noProof/>
          <w:color w:val="000000"/>
        </w:rPr>
        <w:t>21</w:t>
      </w:r>
      <w:r w:rsidRPr="00BC6742">
        <w:rPr>
          <w:rFonts w:asciiTheme="majorHAnsi" w:hAnsiTheme="majorHAnsi" w:cstheme="majorHAnsi"/>
          <w:color w:val="000000"/>
        </w:rPr>
        <w:fldChar w:fldCharType="end"/>
      </w:r>
      <w:r w:rsidRPr="00BC6742">
        <w:rPr>
          <w:rFonts w:asciiTheme="majorHAnsi" w:hAnsiTheme="majorHAnsi" w:cstheme="majorHAnsi"/>
          <w:color w:val="000000"/>
        </w:rPr>
        <w:t>.  Under the new legislation, in the course of the mandatory pardon procedure the authorities had to examine whether the imprisonment continued to be justified as soon as a convict had served forty years of his life sentence. In the Government</w:t>
      </w:r>
      <w:r w:rsidRPr="00BC6742" w:rsidR="00BC6742">
        <w:rPr>
          <w:rFonts w:asciiTheme="majorHAnsi" w:hAnsiTheme="majorHAnsi" w:cstheme="majorHAnsi"/>
          <w:color w:val="000000"/>
        </w:rPr>
        <w:t>’</w:t>
      </w:r>
      <w:r w:rsidRPr="00BC6742">
        <w:rPr>
          <w:rFonts w:asciiTheme="majorHAnsi" w:hAnsiTheme="majorHAnsi" w:cstheme="majorHAnsi"/>
          <w:color w:val="000000"/>
        </w:rPr>
        <w:t>s understanding, when the Hungarian legislature had set the time-limit for the mandatory pardon procedure at forty years, it had relied on the Court</w:t>
      </w:r>
      <w:r w:rsidRPr="00BC6742" w:rsidR="00BC6742">
        <w:rPr>
          <w:rFonts w:asciiTheme="majorHAnsi" w:hAnsiTheme="majorHAnsi" w:cstheme="majorHAnsi"/>
          <w:color w:val="000000"/>
        </w:rPr>
        <w:t>’</w:t>
      </w:r>
      <w:r w:rsidRPr="00BC6742">
        <w:rPr>
          <w:rFonts w:asciiTheme="majorHAnsi" w:hAnsiTheme="majorHAnsi" w:cstheme="majorHAnsi"/>
          <w:color w:val="000000"/>
        </w:rPr>
        <w:t xml:space="preserve">s admissibility decision in the case of </w:t>
      </w:r>
      <w:proofErr w:type="spellStart"/>
      <w:r w:rsidRPr="00BC6742">
        <w:rPr>
          <w:rFonts w:asciiTheme="majorHAnsi" w:hAnsiTheme="majorHAnsi" w:cstheme="majorHAnsi"/>
          <w:i/>
          <w:iCs/>
          <w:color w:val="000000"/>
        </w:rPr>
        <w:t>Törköly</w:t>
      </w:r>
      <w:proofErr w:type="spellEnd"/>
      <w:r w:rsidRPr="00BC6742">
        <w:rPr>
          <w:rFonts w:asciiTheme="majorHAnsi" w:hAnsiTheme="majorHAnsi" w:cstheme="majorHAnsi"/>
          <w:i/>
          <w:iCs/>
          <w:color w:val="000000"/>
        </w:rPr>
        <w:t xml:space="preserve"> v. Hungary</w:t>
      </w:r>
      <w:r w:rsidRPr="00BC6742">
        <w:rPr>
          <w:rFonts w:asciiTheme="majorHAnsi" w:hAnsiTheme="majorHAnsi" w:cstheme="majorHAnsi"/>
          <w:color w:val="000000"/>
        </w:rPr>
        <w:t xml:space="preserve"> ((</w:t>
      </w:r>
      <w:proofErr w:type="spellStart"/>
      <w:r w:rsidRPr="00BC6742">
        <w:rPr>
          <w:rFonts w:asciiTheme="majorHAnsi" w:hAnsiTheme="majorHAnsi" w:cstheme="majorHAnsi"/>
          <w:color w:val="000000"/>
        </w:rPr>
        <w:t>dec.</w:t>
      </w:r>
      <w:proofErr w:type="spellEnd"/>
      <w:r w:rsidRPr="00BC6742">
        <w:rPr>
          <w:rFonts w:asciiTheme="majorHAnsi" w:hAnsiTheme="majorHAnsi" w:cstheme="majorHAnsi"/>
          <w:color w:val="000000"/>
        </w:rPr>
        <w:t>), no. 4413/06, 5 April 2011), concerning a similar complaint.</w:t>
      </w:r>
    </w:p>
    <w:p w:rsidRPr="00BC6742" w:rsidR="00F711FA" w:rsidP="00BC6742" w:rsidRDefault="00F711FA">
      <w:pPr>
        <w:pStyle w:val="JuPara"/>
        <w:rPr>
          <w:sz w:val="17"/>
          <w:szCs w:val="17"/>
        </w:rPr>
      </w:pPr>
      <w:r w:rsidRPr="00BC6742">
        <w:rPr>
          <w:rFonts w:asciiTheme="majorHAnsi" w:hAnsiTheme="majorHAnsi" w:cstheme="majorHAnsi"/>
          <w:color w:val="000000"/>
        </w:rPr>
        <w:fldChar w:fldCharType="begin"/>
      </w:r>
      <w:r w:rsidRPr="00BC6742">
        <w:rPr>
          <w:rFonts w:asciiTheme="majorHAnsi" w:hAnsiTheme="majorHAnsi" w:cstheme="majorHAnsi"/>
          <w:color w:val="000000"/>
        </w:rPr>
        <w:instrText xml:space="preserve"> SEQ level0 \*arabic </w:instrText>
      </w:r>
      <w:r w:rsidRPr="00BC6742">
        <w:rPr>
          <w:rFonts w:asciiTheme="majorHAnsi" w:hAnsiTheme="majorHAnsi" w:cstheme="majorHAnsi"/>
          <w:color w:val="000000"/>
        </w:rPr>
        <w:fldChar w:fldCharType="separate"/>
      </w:r>
      <w:r w:rsidRPr="00BC6742" w:rsidR="00BC6742">
        <w:rPr>
          <w:rFonts w:asciiTheme="majorHAnsi" w:hAnsiTheme="majorHAnsi" w:cstheme="majorHAnsi"/>
          <w:noProof/>
          <w:color w:val="000000"/>
        </w:rPr>
        <w:t>22</w:t>
      </w:r>
      <w:r w:rsidRPr="00BC6742">
        <w:rPr>
          <w:rFonts w:asciiTheme="majorHAnsi" w:hAnsiTheme="majorHAnsi" w:cstheme="majorHAnsi"/>
          <w:color w:val="000000"/>
        </w:rPr>
        <w:fldChar w:fldCharType="end"/>
      </w:r>
      <w:r w:rsidRPr="00BC6742">
        <w:rPr>
          <w:rFonts w:asciiTheme="majorHAnsi" w:hAnsiTheme="majorHAnsi" w:cstheme="majorHAnsi"/>
          <w:color w:val="000000"/>
        </w:rPr>
        <w:t>.  The Government pointed out that each convict was aware, from the outset of his sentence, of what he must do to be considered for release and under what conditions. The new legislation further provided that proper consideration had to be given to the changes and developments that had occurred in the convicted prisoner on his way to rehabilitation, and allowed for the eventual termination of his imprisonment.</w:t>
      </w:r>
    </w:p>
    <w:p w:rsidRPr="00BC6742" w:rsidR="00F711FA" w:rsidP="00BC6742" w:rsidRDefault="00F711FA">
      <w:pPr>
        <w:pStyle w:val="JuPara"/>
        <w:rPr>
          <w:sz w:val="17"/>
          <w:szCs w:val="17"/>
        </w:rPr>
      </w:pPr>
      <w:r w:rsidRPr="00BC6742">
        <w:rPr>
          <w:rFonts w:asciiTheme="majorHAnsi" w:hAnsiTheme="majorHAnsi" w:cstheme="majorHAnsi"/>
          <w:color w:val="000000"/>
        </w:rPr>
        <w:fldChar w:fldCharType="begin"/>
      </w:r>
      <w:r w:rsidRPr="00BC6742">
        <w:rPr>
          <w:rFonts w:asciiTheme="majorHAnsi" w:hAnsiTheme="majorHAnsi" w:cstheme="majorHAnsi"/>
          <w:color w:val="000000"/>
        </w:rPr>
        <w:instrText xml:space="preserve"> SEQ level0 \*arabic </w:instrText>
      </w:r>
      <w:r w:rsidRPr="00BC6742">
        <w:rPr>
          <w:rFonts w:asciiTheme="majorHAnsi" w:hAnsiTheme="majorHAnsi" w:cstheme="majorHAnsi"/>
          <w:color w:val="000000"/>
        </w:rPr>
        <w:fldChar w:fldCharType="separate"/>
      </w:r>
      <w:r w:rsidRPr="00BC6742" w:rsidR="00BC6742">
        <w:rPr>
          <w:rFonts w:asciiTheme="majorHAnsi" w:hAnsiTheme="majorHAnsi" w:cstheme="majorHAnsi"/>
          <w:noProof/>
          <w:color w:val="000000"/>
        </w:rPr>
        <w:t>23</w:t>
      </w:r>
      <w:r w:rsidRPr="00BC6742">
        <w:rPr>
          <w:rFonts w:asciiTheme="majorHAnsi" w:hAnsiTheme="majorHAnsi" w:cstheme="majorHAnsi"/>
          <w:color w:val="000000"/>
        </w:rPr>
        <w:fldChar w:fldCharType="end"/>
      </w:r>
      <w:r w:rsidRPr="00BC6742">
        <w:rPr>
          <w:rFonts w:asciiTheme="majorHAnsi" w:hAnsiTheme="majorHAnsi" w:cstheme="majorHAnsi"/>
          <w:color w:val="000000"/>
        </w:rPr>
        <w:t>.  The Government further argued that the forty</w:t>
      </w:r>
      <w:r w:rsidRPr="00BC6742">
        <w:rPr>
          <w:rFonts w:asciiTheme="majorHAnsi" w:hAnsiTheme="majorHAnsi" w:cstheme="majorHAnsi"/>
          <w:color w:val="000000"/>
        </w:rPr>
        <w:noBreakHyphen/>
        <w:t>year period corresponded primarily to the retribution phase of a whole-life sentence, and was proportionate to the circumstances of the offence.</w:t>
      </w:r>
    </w:p>
    <w:p w:rsidRPr="00BC6742" w:rsidR="00F711FA" w:rsidP="00BC6742" w:rsidRDefault="00F711FA">
      <w:pPr>
        <w:pStyle w:val="JuPara"/>
        <w:rPr>
          <w:rFonts w:asciiTheme="majorHAnsi" w:hAnsiTheme="majorHAnsi" w:cstheme="majorHAnsi"/>
          <w:color w:val="000000"/>
        </w:rPr>
      </w:pPr>
      <w:r w:rsidRPr="00BC6742">
        <w:rPr>
          <w:rFonts w:asciiTheme="majorHAnsi" w:hAnsiTheme="majorHAnsi" w:cstheme="majorHAnsi"/>
          <w:color w:val="000000"/>
        </w:rPr>
        <w:fldChar w:fldCharType="begin"/>
      </w:r>
      <w:r w:rsidRPr="00BC6742">
        <w:rPr>
          <w:rFonts w:asciiTheme="majorHAnsi" w:hAnsiTheme="majorHAnsi" w:cstheme="majorHAnsi"/>
          <w:color w:val="000000"/>
        </w:rPr>
        <w:instrText xml:space="preserve"> SEQ level0 \*arabic </w:instrText>
      </w:r>
      <w:r w:rsidRPr="00BC6742">
        <w:rPr>
          <w:rFonts w:asciiTheme="majorHAnsi" w:hAnsiTheme="majorHAnsi" w:cstheme="majorHAnsi"/>
          <w:color w:val="000000"/>
        </w:rPr>
        <w:fldChar w:fldCharType="separate"/>
      </w:r>
      <w:r w:rsidRPr="00BC6742" w:rsidR="00BC6742">
        <w:rPr>
          <w:rFonts w:asciiTheme="majorHAnsi" w:hAnsiTheme="majorHAnsi" w:cstheme="majorHAnsi"/>
          <w:noProof/>
          <w:color w:val="000000"/>
        </w:rPr>
        <w:t>24</w:t>
      </w:r>
      <w:r w:rsidRPr="00BC6742">
        <w:rPr>
          <w:rFonts w:asciiTheme="majorHAnsi" w:hAnsiTheme="majorHAnsi" w:cstheme="majorHAnsi"/>
          <w:color w:val="000000"/>
        </w:rPr>
        <w:fldChar w:fldCharType="end"/>
      </w:r>
      <w:r w:rsidRPr="00BC6742">
        <w:rPr>
          <w:rFonts w:asciiTheme="majorHAnsi" w:hAnsiTheme="majorHAnsi" w:cstheme="majorHAnsi"/>
          <w:color w:val="000000"/>
        </w:rPr>
        <w:t>.  Moreover, before the expiry of the forty-year time-period, the applicants could avail themselves of the general pardon procedure, which afforded them the possibility of release if extraordinary circumstances deserving special consideration existed.</w:t>
      </w:r>
    </w:p>
    <w:p w:rsidRPr="00BC6742" w:rsidR="00F711FA" w:rsidP="00BC6742" w:rsidRDefault="00F711FA">
      <w:pPr>
        <w:pStyle w:val="JuPara"/>
        <w:rPr>
          <w:lang w:val="en-US"/>
        </w:rPr>
      </w:pPr>
      <w:r w:rsidRPr="00BC6742">
        <w:rPr>
          <w:rFonts w:asciiTheme="majorHAnsi" w:hAnsiTheme="majorHAnsi" w:cstheme="majorHAnsi"/>
          <w:color w:val="000000"/>
        </w:rPr>
        <w:fldChar w:fldCharType="begin"/>
      </w:r>
      <w:r w:rsidRPr="00BC6742">
        <w:rPr>
          <w:rFonts w:asciiTheme="majorHAnsi" w:hAnsiTheme="majorHAnsi" w:cstheme="majorHAnsi"/>
          <w:color w:val="000000"/>
        </w:rPr>
        <w:instrText xml:space="preserve"> SEQ level0 \*arabic </w:instrText>
      </w:r>
      <w:r w:rsidRPr="00BC6742">
        <w:rPr>
          <w:rFonts w:asciiTheme="majorHAnsi" w:hAnsiTheme="majorHAnsi" w:cstheme="majorHAnsi"/>
          <w:color w:val="000000"/>
        </w:rPr>
        <w:fldChar w:fldCharType="separate"/>
      </w:r>
      <w:r w:rsidRPr="00BC6742" w:rsidR="00BC6742">
        <w:rPr>
          <w:rFonts w:asciiTheme="majorHAnsi" w:hAnsiTheme="majorHAnsi" w:cstheme="majorHAnsi"/>
          <w:noProof/>
          <w:color w:val="000000"/>
        </w:rPr>
        <w:t>25</w:t>
      </w:r>
      <w:r w:rsidRPr="00BC6742">
        <w:rPr>
          <w:rFonts w:asciiTheme="majorHAnsi" w:hAnsiTheme="majorHAnsi" w:cstheme="majorHAnsi"/>
          <w:color w:val="000000"/>
        </w:rPr>
        <w:fldChar w:fldCharType="end"/>
      </w:r>
      <w:r w:rsidRPr="00BC6742">
        <w:rPr>
          <w:rFonts w:asciiTheme="majorHAnsi" w:hAnsiTheme="majorHAnsi" w:cstheme="majorHAnsi"/>
          <w:color w:val="000000"/>
        </w:rPr>
        <w:t xml:space="preserve">.  As regards the procedural elements of the pardon procedure, the Government argued that the findings concerning lack of procedural safeguards in the </w:t>
      </w:r>
      <w:r w:rsidRPr="00BC6742">
        <w:rPr>
          <w:rFonts w:asciiTheme="majorHAnsi" w:hAnsiTheme="majorHAnsi" w:cstheme="majorHAnsi"/>
          <w:i/>
          <w:color w:val="000000"/>
        </w:rPr>
        <w:t xml:space="preserve">T.P. and A.T. v. Hungary </w:t>
      </w:r>
      <w:r w:rsidRPr="00BC6742">
        <w:rPr>
          <w:rFonts w:asciiTheme="majorHAnsi" w:hAnsiTheme="majorHAnsi" w:cstheme="majorHAnsi"/>
          <w:color w:val="000000"/>
        </w:rPr>
        <w:t>judgment (cited above, § 49) were premature, since no such proceedings had yet been conducted.</w:t>
      </w:r>
    </w:p>
    <w:p w:rsidRPr="00BC6742" w:rsidR="00F711FA" w:rsidP="00BC6742" w:rsidRDefault="00F711FA">
      <w:pPr>
        <w:pStyle w:val="JuH1"/>
      </w:pPr>
      <w:r w:rsidRPr="00BC6742">
        <w:t>The Court</w:t>
      </w:r>
      <w:r w:rsidRPr="00BC6742" w:rsidR="00BC6742">
        <w:t>’</w:t>
      </w:r>
      <w:r w:rsidRPr="00BC6742">
        <w:t>s assessment</w:t>
      </w:r>
    </w:p>
    <w:p w:rsidRPr="00BC6742" w:rsidR="00F711FA" w:rsidP="00BC6742" w:rsidRDefault="00F711FA">
      <w:pPr>
        <w:pStyle w:val="JuPara"/>
        <w:rPr>
          <w:rFonts w:asciiTheme="majorHAnsi" w:hAnsiTheme="majorHAnsi" w:cstheme="majorHAnsi"/>
          <w:color w:val="000000"/>
        </w:rPr>
      </w:pPr>
      <w:r w:rsidRPr="00BC6742">
        <w:fldChar w:fldCharType="begin"/>
      </w:r>
      <w:r w:rsidRPr="00BC6742">
        <w:instrText xml:space="preserve"> SEQ level0 \*arabic </w:instrText>
      </w:r>
      <w:r w:rsidRPr="00BC6742">
        <w:fldChar w:fldCharType="separate"/>
      </w:r>
      <w:r w:rsidRPr="00BC6742" w:rsidR="00BC6742">
        <w:rPr>
          <w:noProof/>
        </w:rPr>
        <w:t>26</w:t>
      </w:r>
      <w:r w:rsidRPr="00BC6742">
        <w:fldChar w:fldCharType="end"/>
      </w:r>
      <w:r w:rsidRPr="00BC6742">
        <w:t>.  </w:t>
      </w:r>
      <w:r w:rsidRPr="00BC6742">
        <w:rPr>
          <w:rFonts w:asciiTheme="majorHAnsi" w:hAnsiTheme="majorHAnsi" w:cstheme="majorHAnsi"/>
          <w:color w:val="000000"/>
        </w:rPr>
        <w:t xml:space="preserve">The whole-life sentence and the mandatory pardon procedure after forty years of imprisonment was the primary subject of scrutiny in the </w:t>
      </w:r>
      <w:r w:rsidRPr="00BC6742" w:rsidR="00072FD9">
        <w:rPr>
          <w:rFonts w:asciiTheme="majorHAnsi" w:hAnsiTheme="majorHAnsi" w:cstheme="majorHAnsi"/>
          <w:i/>
          <w:color w:val="000000"/>
        </w:rPr>
        <w:t>T.P. </w:t>
      </w:r>
      <w:r w:rsidRPr="00BC6742">
        <w:rPr>
          <w:rFonts w:asciiTheme="majorHAnsi" w:hAnsiTheme="majorHAnsi" w:cstheme="majorHAnsi"/>
          <w:i/>
          <w:color w:val="000000"/>
        </w:rPr>
        <w:t>and A.T. v. Hungary</w:t>
      </w:r>
      <w:r w:rsidRPr="00BC6742">
        <w:rPr>
          <w:rFonts w:asciiTheme="majorHAnsi" w:hAnsiTheme="majorHAnsi" w:cstheme="majorHAnsi"/>
          <w:color w:val="000000"/>
        </w:rPr>
        <w:t xml:space="preserve"> case. The Court held that the fact that the applicants could have their release considered, in the form of mandatory pardon proceedings, only after they had served forty years of their life sentence was sufficient to conclude that the new Hungarian legislation did not offer </w:t>
      </w:r>
      <w:r w:rsidRPr="00BC6742">
        <w:rPr>
          <w:rFonts w:asciiTheme="majorHAnsi" w:hAnsiTheme="majorHAnsi" w:cstheme="majorHAnsi"/>
          <w:i/>
          <w:color w:val="000000"/>
        </w:rPr>
        <w:t>de facto</w:t>
      </w:r>
      <w:r w:rsidRPr="00BC6742">
        <w:rPr>
          <w:rFonts w:asciiTheme="majorHAnsi" w:hAnsiTheme="majorHAnsi" w:cstheme="majorHAnsi"/>
          <w:color w:val="000000"/>
        </w:rPr>
        <w:t xml:space="preserve"> reducibility of the applicants</w:t>
      </w:r>
      <w:r w:rsidRPr="00BC6742" w:rsidR="00BC6742">
        <w:rPr>
          <w:rFonts w:asciiTheme="majorHAnsi" w:hAnsiTheme="majorHAnsi" w:cstheme="majorHAnsi"/>
          <w:color w:val="000000"/>
        </w:rPr>
        <w:t>’</w:t>
      </w:r>
      <w:r w:rsidRPr="00BC6742">
        <w:rPr>
          <w:rFonts w:asciiTheme="majorHAnsi" w:hAnsiTheme="majorHAnsi" w:cstheme="majorHAnsi"/>
          <w:color w:val="000000"/>
        </w:rPr>
        <w:t xml:space="preserve"> whole-life sentences. That factor, coupled with the lack of sufficient procedural safeguards in the second part of the procedure, as provided for by the new legislation, led the Court to find a violation of Article 3 of the Convention (see </w:t>
      </w:r>
      <w:r w:rsidRPr="00BC6742">
        <w:rPr>
          <w:rFonts w:asciiTheme="majorHAnsi" w:hAnsiTheme="majorHAnsi" w:cstheme="majorHAnsi"/>
          <w:i/>
          <w:color w:val="000000"/>
        </w:rPr>
        <w:t xml:space="preserve">T.P. and A.T. v. Hungary, </w:t>
      </w:r>
      <w:r w:rsidRPr="00BC6742">
        <w:rPr>
          <w:rFonts w:asciiTheme="majorHAnsi" w:hAnsiTheme="majorHAnsi" w:cstheme="majorHAnsi"/>
          <w:color w:val="000000"/>
        </w:rPr>
        <w:t>cited above, § 50).</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27</w:t>
      </w:r>
      <w:r w:rsidRPr="00BC6742">
        <w:fldChar w:fldCharType="end"/>
      </w:r>
      <w:r w:rsidRPr="00BC6742">
        <w:t xml:space="preserve">.  The Court notes that the arguments raised by the Government are similar to those already examined and rejected in the case of </w:t>
      </w:r>
      <w:r w:rsidRPr="00BC6742">
        <w:rPr>
          <w:i/>
        </w:rPr>
        <w:t xml:space="preserve">T.P. and A.T. v. Hungary. </w:t>
      </w:r>
      <w:r w:rsidRPr="00BC6742">
        <w:t>The Government have not submitted any new circumstances which would lead the Court to depart from its previous findings that the applicants</w:t>
      </w:r>
      <w:r w:rsidRPr="00BC6742" w:rsidR="00BC6742">
        <w:t>’</w:t>
      </w:r>
      <w:r w:rsidRPr="00BC6742">
        <w:t xml:space="preserve"> whole-life sentences cannot be regarded as reducible for the purposes of Article 3 </w:t>
      </w:r>
      <w:r w:rsidRPr="00BC6742">
        <w:rPr>
          <w:rFonts w:asciiTheme="majorHAnsi" w:hAnsiTheme="majorHAnsi" w:cstheme="majorHAnsi"/>
        </w:rPr>
        <w:t>of the Convention</w:t>
      </w:r>
      <w:r w:rsidRPr="00BC6742">
        <w:t>.</w:t>
      </w:r>
    </w:p>
    <w:p w:rsidRPr="00BC6742" w:rsidR="00F711FA" w:rsidP="00BC6742" w:rsidRDefault="00F711FA">
      <w:pPr>
        <w:pStyle w:val="JuPara"/>
        <w:rPr>
          <w:rFonts w:asciiTheme="majorHAnsi" w:hAnsiTheme="majorHAnsi" w:cstheme="majorHAnsi"/>
          <w:color w:val="000000"/>
        </w:rPr>
      </w:pPr>
      <w:r w:rsidRPr="00BC6742">
        <w:rPr>
          <w:rFonts w:asciiTheme="majorHAnsi" w:hAnsiTheme="majorHAnsi" w:cstheme="majorHAnsi"/>
        </w:rPr>
        <w:fldChar w:fldCharType="begin"/>
      </w:r>
      <w:r w:rsidRPr="00BC6742">
        <w:rPr>
          <w:rFonts w:asciiTheme="majorHAnsi" w:hAnsiTheme="majorHAnsi" w:cstheme="majorHAnsi"/>
        </w:rPr>
        <w:instrText xml:space="preserve"> SEQ level0 \*arabic </w:instrText>
      </w:r>
      <w:r w:rsidRPr="00BC6742">
        <w:rPr>
          <w:rFonts w:asciiTheme="majorHAnsi" w:hAnsiTheme="majorHAnsi" w:cstheme="majorHAnsi"/>
        </w:rPr>
        <w:fldChar w:fldCharType="separate"/>
      </w:r>
      <w:r w:rsidRPr="00BC6742" w:rsidR="00BC6742">
        <w:rPr>
          <w:rFonts w:asciiTheme="majorHAnsi" w:hAnsiTheme="majorHAnsi" w:cstheme="majorHAnsi"/>
          <w:noProof/>
        </w:rPr>
        <w:t>28</w:t>
      </w:r>
      <w:r w:rsidRPr="00BC6742">
        <w:rPr>
          <w:rFonts w:asciiTheme="majorHAnsi" w:hAnsiTheme="majorHAnsi" w:cstheme="majorHAnsi"/>
        </w:rPr>
        <w:fldChar w:fldCharType="end"/>
      </w:r>
      <w:r w:rsidRPr="00BC6742">
        <w:rPr>
          <w:rFonts w:asciiTheme="majorHAnsi" w:hAnsiTheme="majorHAnsi" w:cstheme="majorHAnsi"/>
        </w:rPr>
        <w:t>.  There has accordingly been a violation of this provision.</w:t>
      </w:r>
    </w:p>
    <w:p w:rsidRPr="00BC6742" w:rsidR="00F711FA" w:rsidP="00BC6742" w:rsidRDefault="00F711FA">
      <w:pPr>
        <w:pStyle w:val="JuHIRoman"/>
        <w:tabs>
          <w:tab w:val="left" w:pos="357"/>
        </w:tabs>
        <w:spacing w:before="360" w:beforeAutospacing="0"/>
        <w:outlineLvl w:val="0"/>
      </w:pPr>
      <w:r w:rsidRPr="00BC6742">
        <w:t>APPLICATION OF ARTICLE 41 OF THE CONVENTION</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29</w:t>
      </w:r>
      <w:r w:rsidRPr="00BC6742">
        <w:fldChar w:fldCharType="end"/>
      </w:r>
      <w:r w:rsidRPr="00BC6742">
        <w:t>.  Article 41 of the Convention provides:</w:t>
      </w:r>
    </w:p>
    <w:p w:rsidRPr="00BC6742" w:rsidR="00F711FA" w:rsidP="00BC6742" w:rsidRDefault="00F711FA">
      <w:pPr>
        <w:pStyle w:val="JuQuot"/>
        <w:keepNext/>
        <w:keepLines/>
      </w:pPr>
      <w:r w:rsidRPr="00BC674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C6742" w:rsidR="00F711FA" w:rsidP="00BC6742" w:rsidRDefault="00F711FA">
      <w:pPr>
        <w:pStyle w:val="JuHA"/>
        <w:tabs>
          <w:tab w:val="left" w:pos="584"/>
        </w:tabs>
        <w:spacing w:before="360" w:beforeAutospacing="0"/>
        <w:outlineLvl w:val="1"/>
      </w:pPr>
      <w:r w:rsidRPr="00BC6742">
        <w:t>Damage</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30</w:t>
      </w:r>
      <w:r w:rsidRPr="00BC6742">
        <w:fldChar w:fldCharType="end"/>
      </w:r>
      <w:r w:rsidRPr="00BC6742">
        <w:t>.  The first applicant did not submit a claim for just satisfaction. The second applicant claimed 100,000 euros (EUR) in respect of non-pecuniary damage.</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31</w:t>
      </w:r>
      <w:r w:rsidRPr="00BC6742">
        <w:fldChar w:fldCharType="end"/>
      </w:r>
      <w:r w:rsidRPr="00BC6742">
        <w:t>.  The Government found the claim excessive.</w:t>
      </w:r>
    </w:p>
    <w:p w:rsidRPr="00BC6742" w:rsidR="00F711FA" w:rsidP="00BC6742" w:rsidRDefault="00F711FA">
      <w:pPr>
        <w:pStyle w:val="JuPara"/>
        <w:rPr>
          <w:rFonts w:asciiTheme="majorHAnsi" w:hAnsiTheme="majorHAnsi" w:cstheme="majorHAnsi"/>
          <w:i/>
        </w:rPr>
      </w:pPr>
      <w:r w:rsidRPr="00BC6742">
        <w:fldChar w:fldCharType="begin"/>
      </w:r>
      <w:r w:rsidRPr="00BC6742">
        <w:instrText xml:space="preserve"> SEQ level0 \*arabic </w:instrText>
      </w:r>
      <w:r w:rsidRPr="00BC6742">
        <w:fldChar w:fldCharType="separate"/>
      </w:r>
      <w:r w:rsidRPr="00BC6742" w:rsidR="00BC6742">
        <w:rPr>
          <w:noProof/>
        </w:rPr>
        <w:t>32</w:t>
      </w:r>
      <w:r w:rsidRPr="00BC6742">
        <w:fldChar w:fldCharType="end"/>
      </w:r>
      <w:r w:rsidRPr="00BC6742">
        <w:rPr>
          <w:rFonts w:asciiTheme="majorHAnsi" w:hAnsiTheme="majorHAnsi" w:cstheme="majorHAnsi"/>
        </w:rPr>
        <w:t>.  In the absence of a claim on his part, t</w:t>
      </w:r>
      <w:r w:rsidRPr="00BC6742">
        <w:rPr>
          <w:rFonts w:asciiTheme="majorHAnsi" w:hAnsiTheme="majorHAnsi" w:cstheme="majorHAnsi"/>
          <w:color w:val="000000"/>
        </w:rPr>
        <w:t xml:space="preserve">he Court is not called upon to make any award under the head of non-pecuniary damage as far as the first applicant is concerned. As regards the second applicant, the Court considers that the finding of a violation constitutes sufficient just satisfaction for any non-pecuniary damage suffered by him and accordingly equally makes no award under this head (see </w:t>
      </w:r>
      <w:r w:rsidRPr="00BC6742">
        <w:rPr>
          <w:rFonts w:asciiTheme="majorHAnsi" w:hAnsiTheme="majorHAnsi" w:cstheme="majorHAnsi"/>
          <w:i/>
          <w:color w:val="000000"/>
        </w:rPr>
        <w:t>T.P. and A.T</w:t>
      </w:r>
      <w:r w:rsidRPr="00BC6742">
        <w:rPr>
          <w:rFonts w:asciiTheme="majorHAnsi" w:hAnsiTheme="majorHAnsi" w:cstheme="majorHAnsi"/>
        </w:rPr>
        <w:t xml:space="preserve">. </w:t>
      </w:r>
      <w:r w:rsidRPr="00BC6742">
        <w:rPr>
          <w:rFonts w:asciiTheme="majorHAnsi" w:hAnsiTheme="majorHAnsi" w:cstheme="majorHAnsi"/>
          <w:i/>
          <w:color w:val="000000"/>
        </w:rPr>
        <w:t>v. Hungary</w:t>
      </w:r>
      <w:r w:rsidRPr="00BC6742">
        <w:rPr>
          <w:rFonts w:asciiTheme="majorHAnsi" w:hAnsiTheme="majorHAnsi" w:cstheme="majorHAnsi"/>
        </w:rPr>
        <w:t>, cited above, § 54).</w:t>
      </w:r>
    </w:p>
    <w:p w:rsidRPr="00BC6742" w:rsidR="00F711FA" w:rsidP="00BC6742" w:rsidRDefault="00F711FA">
      <w:pPr>
        <w:pStyle w:val="JuHA"/>
        <w:tabs>
          <w:tab w:val="left" w:pos="584"/>
        </w:tabs>
        <w:spacing w:before="360" w:beforeAutospacing="0"/>
        <w:outlineLvl w:val="1"/>
      </w:pPr>
      <w:r w:rsidRPr="00BC6742">
        <w:t>Costs and expenses</w:t>
      </w:r>
    </w:p>
    <w:p w:rsidRPr="00BC6742" w:rsidR="00F711FA" w:rsidP="00BC6742" w:rsidRDefault="00F711FA">
      <w:pPr>
        <w:pStyle w:val="JuPara"/>
        <w:rPr>
          <w:rFonts w:asciiTheme="majorHAnsi" w:hAnsiTheme="majorHAnsi" w:cstheme="majorHAnsi"/>
        </w:rPr>
      </w:pPr>
      <w:r w:rsidRPr="00BC6742">
        <w:fldChar w:fldCharType="begin"/>
      </w:r>
      <w:r w:rsidRPr="00BC6742">
        <w:instrText xml:space="preserve"> SEQ level0 \*arabic </w:instrText>
      </w:r>
      <w:r w:rsidRPr="00BC6742">
        <w:fldChar w:fldCharType="separate"/>
      </w:r>
      <w:r w:rsidRPr="00BC6742" w:rsidR="00BC6742">
        <w:rPr>
          <w:noProof/>
        </w:rPr>
        <w:t>33</w:t>
      </w:r>
      <w:r w:rsidRPr="00BC6742">
        <w:fldChar w:fldCharType="end"/>
      </w:r>
      <w:r w:rsidRPr="00BC6742">
        <w:t>.  </w:t>
      </w:r>
      <w:r w:rsidRPr="00BC6742">
        <w:rPr>
          <w:rFonts w:asciiTheme="majorHAnsi" w:hAnsiTheme="majorHAnsi" w:cstheme="majorHAnsi"/>
          <w:color w:val="000000"/>
        </w:rPr>
        <w:t>The first applicant did not claim any sums for costs and expenses.</w:t>
      </w:r>
      <w:r w:rsidRPr="00BC6742">
        <w:rPr>
          <w:rFonts w:asciiTheme="majorHAnsi" w:hAnsiTheme="majorHAnsi" w:cstheme="majorHAnsi"/>
        </w:rPr>
        <w:t xml:space="preserve"> The second applicant claimed EUR 1,500 for the costs and expenses incurred before the Court. </w:t>
      </w:r>
      <w:r w:rsidRPr="00BC6742">
        <w:rPr>
          <w:rFonts w:asciiTheme="majorHAnsi" w:hAnsiTheme="majorHAnsi" w:cstheme="majorHAnsi"/>
          <w:color w:val="000000"/>
        </w:rPr>
        <w:t>This corresponds to twelve hours of legal work carried out by his lawyer, plus costs.</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34</w:t>
      </w:r>
      <w:r w:rsidRPr="00BC6742">
        <w:fldChar w:fldCharType="end"/>
      </w:r>
      <w:r w:rsidRPr="00BC6742">
        <w:t>.  The Government found the claim excessive.</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35</w:t>
      </w:r>
      <w:r w:rsidRPr="00BC6742">
        <w:fldChar w:fldCharType="end"/>
      </w:r>
      <w:r w:rsidRPr="00BC6742">
        <w:t>.  </w:t>
      </w:r>
      <w:r w:rsidRPr="00BC6742">
        <w:rPr>
          <w:rFonts w:asciiTheme="majorHAnsi" w:hAnsiTheme="majorHAnsi" w:cstheme="majorHAnsi"/>
        </w:rPr>
        <w:t>In the absence of a claim on his part, t</w:t>
      </w:r>
      <w:r w:rsidRPr="00BC6742">
        <w:rPr>
          <w:rFonts w:asciiTheme="majorHAnsi" w:hAnsiTheme="majorHAnsi" w:cstheme="majorHAnsi"/>
          <w:color w:val="000000"/>
        </w:rPr>
        <w:t xml:space="preserve">he Court is not called upon to make any award under the head of costs and expenses as far as the first applicant is concerned. As regards the second applicant, </w:t>
      </w:r>
      <w:r w:rsidRPr="00BC6742">
        <w:t>regard being had to the documents in its possession and to its case</w:t>
      </w:r>
      <w:r w:rsidRPr="00BC6742">
        <w:noBreakHyphen/>
        <w:t>law, the Court considers it reasonable to award him the sum of EUR 1,500 for the proceedings before the Court.</w:t>
      </w:r>
    </w:p>
    <w:p w:rsidRPr="00BC6742" w:rsidR="00F711FA" w:rsidP="00BC6742" w:rsidRDefault="00F711FA">
      <w:pPr>
        <w:pStyle w:val="JuHA"/>
        <w:tabs>
          <w:tab w:val="left" w:pos="584"/>
        </w:tabs>
        <w:spacing w:before="360" w:beforeAutospacing="0"/>
        <w:outlineLvl w:val="1"/>
      </w:pPr>
      <w:r w:rsidRPr="00BC6742">
        <w:t>Default interest</w:t>
      </w:r>
    </w:p>
    <w:p w:rsidRPr="00BC6742" w:rsidR="00F711FA" w:rsidP="00BC6742" w:rsidRDefault="00F711FA">
      <w:pPr>
        <w:pStyle w:val="JuPara"/>
      </w:pPr>
      <w:r w:rsidRPr="00BC6742">
        <w:fldChar w:fldCharType="begin"/>
      </w:r>
      <w:r w:rsidRPr="00BC6742">
        <w:instrText xml:space="preserve"> SEQ level0 \*arabic </w:instrText>
      </w:r>
      <w:r w:rsidRPr="00BC6742">
        <w:fldChar w:fldCharType="separate"/>
      </w:r>
      <w:r w:rsidRPr="00BC6742" w:rsidR="00BC6742">
        <w:rPr>
          <w:noProof/>
        </w:rPr>
        <w:t>36</w:t>
      </w:r>
      <w:r w:rsidRPr="00BC6742">
        <w:fldChar w:fldCharType="end"/>
      </w:r>
      <w:r w:rsidRPr="00BC6742">
        <w:t>.  The Court considers it appropriate that the default interest rate should be based on the marginal lending rate of the European Central Bank, to which should be added three percentage points.</w:t>
      </w:r>
    </w:p>
    <w:p w:rsidRPr="00BC6742" w:rsidR="00F711FA" w:rsidP="00BC6742" w:rsidRDefault="00F711FA">
      <w:pPr>
        <w:pStyle w:val="JuHHead"/>
        <w:spacing w:before="720" w:beforeAutospacing="0"/>
      </w:pPr>
      <w:r w:rsidRPr="00BC6742">
        <w:t>FOR THESE REASONS, THE COURT, UNANIMOUSLY,</w:t>
      </w:r>
    </w:p>
    <w:p w:rsidRPr="00BC6742" w:rsidR="00F711FA" w:rsidP="00BC6742" w:rsidRDefault="00F711FA">
      <w:pPr>
        <w:pStyle w:val="JuList"/>
        <w:spacing w:before="0" w:after="0"/>
        <w:rPr>
          <w:i/>
        </w:rPr>
      </w:pPr>
      <w:r w:rsidRPr="00BC6742">
        <w:rPr>
          <w:i/>
        </w:rPr>
        <w:t xml:space="preserve">Decides </w:t>
      </w:r>
      <w:r w:rsidRPr="00BC6742">
        <w:t>to join</w:t>
      </w:r>
      <w:r w:rsidRPr="00BC6742">
        <w:rPr>
          <w:i/>
        </w:rPr>
        <w:t xml:space="preserve"> </w:t>
      </w:r>
      <w:r w:rsidRPr="00BC6742">
        <w:t>the applications;</w:t>
      </w:r>
    </w:p>
    <w:p w:rsidRPr="00BC6742" w:rsidR="00B27CD7" w:rsidP="00BC6742" w:rsidRDefault="00B27CD7">
      <w:pPr>
        <w:pStyle w:val="JuList"/>
        <w:numPr>
          <w:ilvl w:val="0"/>
          <w:numId w:val="0"/>
        </w:numPr>
        <w:spacing w:before="0" w:after="0"/>
        <w:ind w:left="340"/>
        <w:rPr>
          <w:i/>
        </w:rPr>
      </w:pPr>
    </w:p>
    <w:p w:rsidRPr="00BC6742" w:rsidR="00F711FA" w:rsidP="00BC6742" w:rsidRDefault="00F711FA">
      <w:pPr>
        <w:pStyle w:val="JuList"/>
        <w:spacing w:before="0" w:after="0"/>
        <w:rPr>
          <w:i/>
        </w:rPr>
      </w:pPr>
      <w:r w:rsidRPr="00BC6742">
        <w:rPr>
          <w:i/>
        </w:rPr>
        <w:t>Declares</w:t>
      </w:r>
      <w:r w:rsidRPr="00BC6742">
        <w:rPr>
          <w:color w:val="000000"/>
        </w:rPr>
        <w:t xml:space="preserve"> </w:t>
      </w:r>
      <w:r w:rsidRPr="00BC6742">
        <w:t>the applications admissible;</w:t>
      </w:r>
    </w:p>
    <w:p w:rsidRPr="00BC6742" w:rsidR="00BC6742" w:rsidP="00BC6742" w:rsidRDefault="00BC6742">
      <w:pPr>
        <w:pStyle w:val="JuList"/>
        <w:numPr>
          <w:ilvl w:val="0"/>
          <w:numId w:val="0"/>
        </w:numPr>
        <w:spacing w:before="0" w:after="0"/>
        <w:ind w:left="340"/>
        <w:rPr>
          <w:i/>
        </w:rPr>
      </w:pPr>
    </w:p>
    <w:p w:rsidRPr="00BC6742" w:rsidR="00F711FA" w:rsidP="00BC6742" w:rsidRDefault="00F711FA">
      <w:pPr>
        <w:pStyle w:val="JuList"/>
        <w:spacing w:before="0" w:after="0"/>
        <w:rPr>
          <w:i/>
        </w:rPr>
      </w:pPr>
      <w:r w:rsidRPr="00BC6742">
        <w:rPr>
          <w:i/>
        </w:rPr>
        <w:t>Holds</w:t>
      </w:r>
      <w:r w:rsidRPr="00BC6742">
        <w:rPr>
          <w:color w:val="000000"/>
        </w:rPr>
        <w:t xml:space="preserve"> </w:t>
      </w:r>
      <w:r w:rsidRPr="00BC6742">
        <w:t>that there has been a violation of Article 3 of the Convention;</w:t>
      </w:r>
    </w:p>
    <w:p w:rsidRPr="00BC6742" w:rsidR="00B27CD7" w:rsidP="00BC6742" w:rsidRDefault="00B27CD7">
      <w:pPr>
        <w:pStyle w:val="JuList"/>
        <w:numPr>
          <w:ilvl w:val="0"/>
          <w:numId w:val="0"/>
        </w:numPr>
        <w:spacing w:before="0" w:after="0"/>
        <w:ind w:left="340"/>
        <w:rPr>
          <w:i/>
        </w:rPr>
      </w:pPr>
    </w:p>
    <w:p w:rsidRPr="00BC6742" w:rsidR="00F711FA" w:rsidP="00BC6742" w:rsidRDefault="00F711FA">
      <w:pPr>
        <w:pStyle w:val="JuList"/>
        <w:spacing w:before="0" w:after="0"/>
        <w:rPr>
          <w:i/>
        </w:rPr>
      </w:pPr>
      <w:r w:rsidRPr="00BC6742">
        <w:rPr>
          <w:i/>
        </w:rPr>
        <w:t>Holds</w:t>
      </w:r>
    </w:p>
    <w:p w:rsidRPr="00BC6742" w:rsidR="00F711FA" w:rsidP="00BC6742" w:rsidRDefault="00F711FA">
      <w:pPr>
        <w:pStyle w:val="JuLista"/>
        <w:rPr>
          <w:rFonts w:asciiTheme="majorHAnsi" w:hAnsiTheme="majorHAnsi" w:cstheme="majorHAnsi"/>
        </w:rPr>
      </w:pPr>
      <w:r w:rsidRPr="00BC6742">
        <w:rPr>
          <w:rFonts w:asciiTheme="majorHAnsi" w:hAnsiTheme="majorHAnsi" w:cstheme="majorHAnsi"/>
        </w:rPr>
        <w:t xml:space="preserve">that the finding </w:t>
      </w:r>
      <w:r w:rsidRPr="00BC6742">
        <w:t>of a violation constitutes in itself sufficient just satisfaction for the non-pecuniary damage sustained by the second applicant;</w:t>
      </w:r>
    </w:p>
    <w:p w:rsidRPr="00BC6742" w:rsidR="00F711FA" w:rsidP="00BC6742" w:rsidRDefault="00F711FA">
      <w:pPr>
        <w:pStyle w:val="JuLista"/>
        <w:rPr>
          <w:rFonts w:asciiTheme="majorHAnsi" w:hAnsiTheme="majorHAnsi" w:cstheme="majorHAnsi"/>
        </w:rPr>
      </w:pPr>
      <w:r w:rsidRPr="00BC6742">
        <w:rPr>
          <w:rFonts w:asciiTheme="majorHAnsi" w:hAnsiTheme="majorHAnsi" w:cstheme="majorHAnsi"/>
          <w:color w:val="000000"/>
        </w:rPr>
        <w:t>that the respondent State is to pay the second applicant, within three months, EUR 1,500 (one thousand five hundred euros) in respect of costs and expenses, to be converted into the currency of the respondent State at the rate applicable at the date of settlement, plus any tax that may be chargeable to the second applicant;</w:t>
      </w:r>
    </w:p>
    <w:p w:rsidRPr="00BC6742" w:rsidR="00F711FA" w:rsidP="00BC6742" w:rsidRDefault="00F711FA">
      <w:pPr>
        <w:pStyle w:val="JuLista"/>
      </w:pPr>
      <w:r w:rsidRPr="00BC6742">
        <w:t xml:space="preserve"> that from the expiry of the above-mentioned three months until settlement, simple interest shall be payable on the above amount at a rate equal to the marginal lending rate of the European Central Bank during the default period, plus three percentage points;</w:t>
      </w:r>
    </w:p>
    <w:p w:rsidRPr="00BC6742" w:rsidR="004D0EC7" w:rsidP="00BC6742" w:rsidRDefault="00F711FA">
      <w:pPr>
        <w:pStyle w:val="JuList"/>
      </w:pPr>
      <w:r w:rsidRPr="00BC6742">
        <w:rPr>
          <w:i/>
        </w:rPr>
        <w:t>Dismisses</w:t>
      </w:r>
      <w:r w:rsidRPr="00BC6742">
        <w:rPr>
          <w:color w:val="000000"/>
        </w:rPr>
        <w:t xml:space="preserve"> </w:t>
      </w:r>
      <w:r w:rsidRPr="00BC6742">
        <w:t>the remainder of the second applicant</w:t>
      </w:r>
      <w:r w:rsidRPr="00BC6742" w:rsidR="00BC6742">
        <w:t>’</w:t>
      </w:r>
      <w:r w:rsidRPr="00BC6742">
        <w:t>s claim for just satisfaction.</w:t>
      </w:r>
    </w:p>
    <w:p w:rsidRPr="00BC6742" w:rsidR="008E3A08" w:rsidP="00BC6742" w:rsidRDefault="007E2C8C">
      <w:pPr>
        <w:pStyle w:val="JuParaLast"/>
      </w:pPr>
      <w:r w:rsidRPr="00BC6742">
        <w:t xml:space="preserve">Done in English, and notified in writing on </w:t>
      </w:r>
      <w:r w:rsidRPr="00BC6742" w:rsidR="00F711FA">
        <w:rPr>
          <w:rFonts w:ascii="Times New Roman" w:hAnsi="Times New Roman" w:cs="Times New Roman"/>
        </w:rPr>
        <w:t>14 January 2020</w:t>
      </w:r>
      <w:r w:rsidRPr="00BC6742">
        <w:t>, pursuant to Rule 77 §§ 2 and 3 of the Rules of Court.</w:t>
      </w:r>
    </w:p>
    <w:p w:rsidRPr="00BC6742" w:rsidR="001C055B" w:rsidP="00BC6742" w:rsidRDefault="00430B3D">
      <w:pPr>
        <w:pStyle w:val="JuSigned"/>
        <w:rPr>
          <w:lang w:val="it-IT"/>
        </w:rPr>
      </w:pPr>
      <w:r w:rsidRPr="00BC6742">
        <w:rPr>
          <w:lang w:val="it-IT"/>
        </w:rPr>
        <w:tab/>
      </w:r>
      <w:r w:rsidRPr="00BC6742" w:rsidR="00F711FA">
        <w:rPr>
          <w:lang w:val="it-IT"/>
        </w:rPr>
        <w:t xml:space="preserve">Andrea </w:t>
      </w:r>
      <w:proofErr w:type="spellStart"/>
      <w:r w:rsidRPr="00BC6742" w:rsidR="00F711FA">
        <w:rPr>
          <w:lang w:val="it-IT"/>
        </w:rPr>
        <w:t>Tamietti</w:t>
      </w:r>
      <w:proofErr w:type="spellEnd"/>
      <w:r w:rsidRPr="00BC6742" w:rsidR="005879A2">
        <w:rPr>
          <w:lang w:val="it-IT"/>
        </w:rPr>
        <w:t xml:space="preserve"> </w:t>
      </w:r>
      <w:r w:rsidRPr="00BC6742" w:rsidR="009F4C8F">
        <w:rPr>
          <w:lang w:val="it-IT"/>
        </w:rPr>
        <w:tab/>
      </w:r>
      <w:proofErr w:type="spellStart"/>
      <w:r w:rsidRPr="00BC6742" w:rsidR="00F711FA">
        <w:rPr>
          <w:szCs w:val="24"/>
          <w:lang w:val="it-IT"/>
        </w:rPr>
        <w:t>Branko</w:t>
      </w:r>
      <w:proofErr w:type="spellEnd"/>
      <w:r w:rsidRPr="00BC6742" w:rsidR="00F711FA">
        <w:rPr>
          <w:szCs w:val="24"/>
          <w:lang w:val="it-IT"/>
        </w:rPr>
        <w:t xml:space="preserve"> </w:t>
      </w:r>
      <w:proofErr w:type="spellStart"/>
      <w:r w:rsidRPr="00BC6742" w:rsidR="00F711FA">
        <w:rPr>
          <w:szCs w:val="24"/>
          <w:lang w:val="it-IT"/>
        </w:rPr>
        <w:t>Lubarda</w:t>
      </w:r>
      <w:proofErr w:type="spellEnd"/>
      <w:r w:rsidRPr="00BC6742" w:rsidR="009F4C8F">
        <w:rPr>
          <w:szCs w:val="24"/>
          <w:lang w:val="it-IT"/>
        </w:rPr>
        <w:br/>
      </w:r>
      <w:proofErr w:type="spellStart"/>
      <w:r w:rsidRPr="00BC6742" w:rsidR="00F711FA">
        <w:rPr>
          <w:lang w:val="it-IT"/>
        </w:rPr>
        <w:t>Deputy</w:t>
      </w:r>
      <w:proofErr w:type="spellEnd"/>
      <w:r w:rsidRPr="00BC6742" w:rsidR="00F711FA">
        <w:rPr>
          <w:lang w:val="it-IT"/>
        </w:rPr>
        <w:t xml:space="preserve"> </w:t>
      </w:r>
      <w:r w:rsidRPr="00BC6742" w:rsidR="00F711FA">
        <w:rPr>
          <w:iCs/>
          <w:lang w:val="it-IT"/>
        </w:rPr>
        <w:t>Registrar</w:t>
      </w:r>
      <w:r w:rsidRPr="00BC6742" w:rsidR="009F4C8F">
        <w:rPr>
          <w:lang w:val="it-IT"/>
        </w:rPr>
        <w:tab/>
      </w:r>
      <w:proofErr w:type="spellStart"/>
      <w:r w:rsidRPr="00BC6742" w:rsidR="009F4C8F">
        <w:rPr>
          <w:lang w:val="it-IT"/>
        </w:rPr>
        <w:t>President</w:t>
      </w:r>
      <w:proofErr w:type="spellEnd"/>
    </w:p>
    <w:p w:rsidRPr="00BC6742" w:rsidR="002A613A" w:rsidP="00BC6742" w:rsidRDefault="002A613A">
      <w:pPr>
        <w:rPr>
          <w:lang w:val="it-IT"/>
        </w:rPr>
      </w:pPr>
    </w:p>
    <w:sectPr w:rsidRPr="00BC6742"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1FA" w:rsidRPr="00085457" w:rsidRDefault="00F711FA" w:rsidP="0098410D">
      <w:r w:rsidRPr="00085457">
        <w:separator/>
      </w:r>
    </w:p>
  </w:endnote>
  <w:endnote w:type="continuationSeparator" w:id="0">
    <w:p w:rsidR="00F711FA" w:rsidRPr="00085457" w:rsidRDefault="00F711FA"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B3D" w:rsidRDefault="00430B3D">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1FA" w:rsidRPr="00150BFA" w:rsidRDefault="00F711FA" w:rsidP="0020718E">
    <w:pPr>
      <w:jc w:val="center"/>
    </w:pPr>
    <w:r>
      <w:rPr>
        <w:noProof/>
        <w:lang w:val="en-US" w:eastAsia="ja-JP"/>
      </w:rPr>
      <w:drawing>
        <wp:inline distT="0" distB="0" distL="0" distR="0" wp14:anchorId="2B97A8F9" wp14:editId="743A15D3">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B3D" w:rsidRDefault="00430B3D">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A658B">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A658B"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1FA" w:rsidRPr="00085457" w:rsidRDefault="00F711FA" w:rsidP="0098410D">
      <w:r w:rsidRPr="00085457">
        <w:separator/>
      </w:r>
    </w:p>
  </w:footnote>
  <w:footnote w:type="continuationSeparator" w:id="0">
    <w:p w:rsidR="00F711FA" w:rsidRPr="00085457" w:rsidRDefault="00F711FA"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B3D" w:rsidRDefault="00430B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1FA" w:rsidRPr="00A45145" w:rsidRDefault="00F711FA" w:rsidP="00A45145">
    <w:pPr>
      <w:jc w:val="center"/>
    </w:pPr>
    <w:r>
      <w:rPr>
        <w:noProof/>
        <w:lang w:val="en-US" w:eastAsia="ja-JP"/>
      </w:rPr>
      <w:drawing>
        <wp:inline distT="0" distB="0" distL="0" distR="0" wp14:anchorId="4129FEE6" wp14:editId="0324889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1FA" w:rsidRPr="00A45145" w:rsidRDefault="00F711FA" w:rsidP="00A45145">
    <w:pPr>
      <w:jc w:val="center"/>
    </w:pPr>
    <w:r>
      <w:rPr>
        <w:noProof/>
        <w:lang w:val="en-US" w:eastAsia="ja-JP"/>
      </w:rPr>
      <w:drawing>
        <wp:inline distT="0" distB="0" distL="0" distR="0" wp14:anchorId="7364276D" wp14:editId="64497077">
          <wp:extent cx="2962275" cy="1219200"/>
          <wp:effectExtent l="0" t="0" r="9525" b="0"/>
          <wp:docPr id="25" name="Picture 2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711FA" w:rsidP="004D0EC7">
    <w:pPr>
      <w:pStyle w:val="JuHeader"/>
    </w:pPr>
    <w:r>
      <w:rPr>
        <w:rStyle w:val="PageNumber"/>
      </w:rPr>
      <w:fldChar w:fldCharType="begin"/>
    </w:r>
    <w:r>
      <w:rPr>
        <w:rStyle w:val="PageNumber"/>
      </w:rPr>
      <w:instrText xml:space="preserve"> PAGE </w:instrText>
    </w:r>
    <w:r>
      <w:rPr>
        <w:rStyle w:val="PageNumber"/>
      </w:rPr>
      <w:fldChar w:fldCharType="separate"/>
    </w:r>
    <w:r w:rsidR="00BC6742">
      <w:rPr>
        <w:rStyle w:val="PageNumber"/>
        <w:noProof/>
      </w:rPr>
      <w:t>6</w:t>
    </w:r>
    <w:r>
      <w:rPr>
        <w:rStyle w:val="PageNumber"/>
      </w:rPr>
      <w:fldChar w:fldCharType="end"/>
    </w:r>
    <w:r w:rsidR="00882CD5" w:rsidRPr="004D0EC7">
      <w:tab/>
    </w:r>
    <w:r w:rsidR="0000407B">
      <w:t>KRUCHIÓ v. HUNGARY AND LEHÓCZKI v. HUNGARY</w:t>
    </w:r>
    <w:r w:rsidR="0000407B"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F711FA">
      <w:t xml:space="preserve">KRUCHIÓ </w:t>
    </w:r>
    <w:r w:rsidR="0000407B">
      <w:t xml:space="preserve">v. HUNGARY </w:t>
    </w:r>
    <w:r w:rsidR="008F4A2B">
      <w:t xml:space="preserve">AND LEHÓCZKI </w:t>
    </w:r>
    <w:r w:rsidR="00F711FA">
      <w:t>v. HUNGARY</w:t>
    </w:r>
    <w:r w:rsidRPr="00882CD5">
      <w:t xml:space="preserve"> JUDGMENT</w:t>
    </w:r>
    <w:r w:rsidRPr="00882CD5">
      <w:tab/>
    </w:r>
    <w:r w:rsidR="00F711FA">
      <w:rPr>
        <w:rStyle w:val="PageNumber"/>
      </w:rPr>
      <w:fldChar w:fldCharType="begin"/>
    </w:r>
    <w:r w:rsidR="00F711FA">
      <w:rPr>
        <w:rStyle w:val="PageNumber"/>
      </w:rPr>
      <w:instrText xml:space="preserve"> PAGE </w:instrText>
    </w:r>
    <w:r w:rsidR="00F711FA">
      <w:rPr>
        <w:rStyle w:val="PageNumber"/>
      </w:rPr>
      <w:fldChar w:fldCharType="separate"/>
    </w:r>
    <w:r w:rsidR="00BC6742">
      <w:rPr>
        <w:rStyle w:val="PageNumber"/>
        <w:noProof/>
      </w:rPr>
      <w:t>1</w:t>
    </w:r>
    <w:r w:rsidR="00F711F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95F0931A"/>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lvlOverride w:ilvl="0">
      <w:lvl w:ilvl="0">
        <w:start w:val="1"/>
        <w:numFmt w:val="decimal"/>
        <w:pStyle w:val="JuList"/>
        <w:lvlText w:val="%1."/>
        <w:lvlJc w:val="left"/>
        <w:pPr>
          <w:tabs>
            <w:tab w:val="num" w:pos="340"/>
          </w:tabs>
          <w:ind w:left="340" w:hanging="340"/>
        </w:pPr>
        <w:rPr>
          <w:rFonts w:hint="default"/>
          <w:i w:val="0"/>
        </w:rPr>
      </w:lvl>
    </w:lvlOverride>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F711FA"/>
    <w:rsid w:val="0000407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2FD9"/>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3F56"/>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0B3D"/>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860D2"/>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E7E81"/>
    <w:rsid w:val="008F2554"/>
    <w:rsid w:val="008F3AEC"/>
    <w:rsid w:val="008F4A2B"/>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27CD7"/>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742"/>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3C27"/>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03A0"/>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1A53"/>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11FA"/>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30B3D"/>
    <w:rPr>
      <w:rFonts w:eastAsiaTheme="minorEastAsia"/>
      <w:sz w:val="24"/>
      <w:lang w:val="en-GB"/>
    </w:rPr>
  </w:style>
  <w:style w:type="paragraph" w:styleId="Heading1">
    <w:name w:val="heading 1"/>
    <w:basedOn w:val="Normal"/>
    <w:next w:val="Normal"/>
    <w:link w:val="Heading1Char"/>
    <w:uiPriority w:val="98"/>
    <w:semiHidden/>
    <w:rsid w:val="00430B3D"/>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30B3D"/>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30B3D"/>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430B3D"/>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430B3D"/>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430B3D"/>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430B3D"/>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430B3D"/>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30B3D"/>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30B3D"/>
    <w:rPr>
      <w:rFonts w:ascii="Tahoma" w:hAnsi="Tahoma" w:cs="Tahoma"/>
      <w:sz w:val="16"/>
      <w:szCs w:val="16"/>
    </w:rPr>
  </w:style>
  <w:style w:type="character" w:customStyle="1" w:styleId="BalloonTextChar">
    <w:name w:val="Balloon Text Char"/>
    <w:basedOn w:val="DefaultParagraphFont"/>
    <w:link w:val="BalloonText"/>
    <w:uiPriority w:val="98"/>
    <w:semiHidden/>
    <w:rsid w:val="00430B3D"/>
    <w:rPr>
      <w:rFonts w:ascii="Tahoma" w:eastAsiaTheme="minorEastAsia" w:hAnsi="Tahoma" w:cs="Tahoma"/>
      <w:sz w:val="16"/>
      <w:szCs w:val="16"/>
      <w:lang w:val="en-GB"/>
    </w:rPr>
  </w:style>
  <w:style w:type="character" w:styleId="BookTitle">
    <w:name w:val="Book Title"/>
    <w:uiPriority w:val="98"/>
    <w:semiHidden/>
    <w:qFormat/>
    <w:rsid w:val="00430B3D"/>
    <w:rPr>
      <w:i/>
      <w:iCs/>
      <w:smallCaps/>
      <w:spacing w:val="5"/>
    </w:rPr>
  </w:style>
  <w:style w:type="paragraph" w:customStyle="1" w:styleId="JuHeader">
    <w:name w:val="Ju_Header"/>
    <w:aliases w:val="_Header"/>
    <w:basedOn w:val="Header"/>
    <w:uiPriority w:val="29"/>
    <w:qFormat/>
    <w:rsid w:val="00430B3D"/>
    <w:pPr>
      <w:tabs>
        <w:tab w:val="clear" w:pos="4536"/>
        <w:tab w:val="clear" w:pos="9072"/>
        <w:tab w:val="center" w:pos="3686"/>
        <w:tab w:val="right" w:pos="7371"/>
      </w:tabs>
    </w:pPr>
    <w:rPr>
      <w:sz w:val="18"/>
    </w:rPr>
  </w:style>
  <w:style w:type="paragraph" w:customStyle="1" w:styleId="NormalJustified">
    <w:name w:val="Normal_Justified"/>
    <w:basedOn w:val="Normal"/>
    <w:semiHidden/>
    <w:rsid w:val="00430B3D"/>
    <w:pPr>
      <w:jc w:val="both"/>
    </w:pPr>
  </w:style>
  <w:style w:type="character" w:styleId="Strong">
    <w:name w:val="Strong"/>
    <w:uiPriority w:val="98"/>
    <w:semiHidden/>
    <w:qFormat/>
    <w:rsid w:val="00430B3D"/>
    <w:rPr>
      <w:b/>
      <w:bCs/>
    </w:rPr>
  </w:style>
  <w:style w:type="paragraph" w:styleId="NoSpacing">
    <w:name w:val="No Spacing"/>
    <w:basedOn w:val="Normal"/>
    <w:link w:val="NoSpacingChar"/>
    <w:uiPriority w:val="98"/>
    <w:semiHidden/>
    <w:qFormat/>
    <w:rsid w:val="00430B3D"/>
  </w:style>
  <w:style w:type="character" w:customStyle="1" w:styleId="NoSpacingChar">
    <w:name w:val="No Spacing Char"/>
    <w:basedOn w:val="DefaultParagraphFont"/>
    <w:link w:val="NoSpacing"/>
    <w:uiPriority w:val="98"/>
    <w:semiHidden/>
    <w:rsid w:val="00430B3D"/>
    <w:rPr>
      <w:rFonts w:eastAsiaTheme="minorEastAsia"/>
      <w:sz w:val="24"/>
      <w:lang w:val="en-GB"/>
    </w:rPr>
  </w:style>
  <w:style w:type="paragraph" w:customStyle="1" w:styleId="JuQuot">
    <w:name w:val="Ju_Quot"/>
    <w:aliases w:val="_Quote"/>
    <w:basedOn w:val="NormalJustified"/>
    <w:uiPriority w:val="20"/>
    <w:qFormat/>
    <w:rsid w:val="00430B3D"/>
    <w:pPr>
      <w:spacing w:before="120" w:after="120"/>
      <w:ind w:left="425" w:firstLine="142"/>
    </w:pPr>
    <w:rPr>
      <w:sz w:val="20"/>
    </w:rPr>
  </w:style>
  <w:style w:type="paragraph" w:customStyle="1" w:styleId="ECHRBullet1">
    <w:name w:val="ECHR_Bullet_1"/>
    <w:aliases w:val="_Bul_1"/>
    <w:basedOn w:val="NormalJustified"/>
    <w:uiPriority w:val="23"/>
    <w:semiHidden/>
    <w:qFormat/>
    <w:rsid w:val="00430B3D"/>
    <w:pPr>
      <w:numPr>
        <w:numId w:val="5"/>
      </w:numPr>
      <w:spacing w:before="60" w:after="60"/>
    </w:pPr>
    <w:rPr>
      <w:sz w:val="22"/>
    </w:rPr>
  </w:style>
  <w:style w:type="paragraph" w:customStyle="1" w:styleId="JuList">
    <w:name w:val="Ju_List"/>
    <w:aliases w:val="_List_1"/>
    <w:basedOn w:val="NormalJustified"/>
    <w:uiPriority w:val="23"/>
    <w:qFormat/>
    <w:rsid w:val="00430B3D"/>
    <w:pPr>
      <w:numPr>
        <w:numId w:val="6"/>
      </w:numPr>
      <w:spacing w:before="280" w:after="60"/>
    </w:pPr>
    <w:rPr>
      <w:rFonts w:eastAsiaTheme="minorHAnsi"/>
    </w:rPr>
  </w:style>
  <w:style w:type="paragraph" w:customStyle="1" w:styleId="JuLista">
    <w:name w:val="Ju_List_a"/>
    <w:aliases w:val="_List_2"/>
    <w:basedOn w:val="NormalJustified"/>
    <w:uiPriority w:val="23"/>
    <w:rsid w:val="00430B3D"/>
    <w:pPr>
      <w:numPr>
        <w:ilvl w:val="1"/>
        <w:numId w:val="6"/>
      </w:numPr>
    </w:pPr>
  </w:style>
  <w:style w:type="paragraph" w:customStyle="1" w:styleId="JuListi">
    <w:name w:val="Ju_List_i"/>
    <w:aliases w:val="_List_3"/>
    <w:basedOn w:val="NormalJustified"/>
    <w:uiPriority w:val="23"/>
    <w:rsid w:val="00430B3D"/>
    <w:pPr>
      <w:numPr>
        <w:ilvl w:val="2"/>
        <w:numId w:val="6"/>
      </w:numPr>
    </w:pPr>
  </w:style>
  <w:style w:type="paragraph" w:customStyle="1" w:styleId="JuHArticle">
    <w:name w:val="Ju_H_Article"/>
    <w:aliases w:val="_Title_Quote"/>
    <w:basedOn w:val="Normal"/>
    <w:next w:val="JuQuot"/>
    <w:uiPriority w:val="19"/>
    <w:qFormat/>
    <w:rsid w:val="00430B3D"/>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430B3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30B3D"/>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430B3D"/>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430B3D"/>
    <w:pPr>
      <w:numPr>
        <w:numId w:val="5"/>
      </w:numPr>
    </w:pPr>
  </w:style>
  <w:style w:type="paragraph" w:customStyle="1" w:styleId="JuSigned">
    <w:name w:val="Ju_Signed"/>
    <w:aliases w:val="_Signature"/>
    <w:basedOn w:val="Normal"/>
    <w:next w:val="JuPara"/>
    <w:uiPriority w:val="31"/>
    <w:qFormat/>
    <w:rsid w:val="00430B3D"/>
    <w:pPr>
      <w:tabs>
        <w:tab w:val="center" w:pos="851"/>
        <w:tab w:val="center" w:pos="6407"/>
      </w:tabs>
      <w:spacing w:before="720"/>
    </w:pPr>
  </w:style>
  <w:style w:type="paragraph" w:styleId="Title">
    <w:name w:val="Title"/>
    <w:basedOn w:val="Normal"/>
    <w:next w:val="Normal"/>
    <w:link w:val="TitleChar"/>
    <w:uiPriority w:val="98"/>
    <w:semiHidden/>
    <w:qFormat/>
    <w:rsid w:val="00430B3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30B3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30B3D"/>
    <w:pPr>
      <w:numPr>
        <w:numId w:val="19"/>
      </w:numPr>
    </w:pPr>
  </w:style>
  <w:style w:type="numbering" w:customStyle="1" w:styleId="ECHRA1StyleNumberedList">
    <w:name w:val="ECHR_A1_Style_Numbered_List"/>
    <w:basedOn w:val="NoList"/>
    <w:rsid w:val="00430B3D"/>
    <w:pPr>
      <w:numPr>
        <w:numId w:val="7"/>
      </w:numPr>
    </w:pPr>
  </w:style>
  <w:style w:type="table" w:customStyle="1" w:styleId="ECHRTable2019">
    <w:name w:val="ECHR_Table_2019"/>
    <w:basedOn w:val="TableNormal"/>
    <w:uiPriority w:val="99"/>
    <w:rsid w:val="00430B3D"/>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30B3D"/>
    <w:rPr>
      <w:sz w:val="8"/>
    </w:rPr>
  </w:style>
  <w:style w:type="paragraph" w:customStyle="1" w:styleId="JuCourt">
    <w:name w:val="Ju_Court"/>
    <w:aliases w:val="_Court_Names"/>
    <w:basedOn w:val="Normal"/>
    <w:next w:val="Normal"/>
    <w:uiPriority w:val="32"/>
    <w:qFormat/>
    <w:rsid w:val="00430B3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430B3D"/>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430B3D"/>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430B3D"/>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430B3D"/>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430B3D"/>
    <w:rPr>
      <w:sz w:val="24"/>
      <w:lang w:val="en-GB"/>
    </w:rPr>
  </w:style>
  <w:style w:type="character" w:customStyle="1" w:styleId="Heading1Char">
    <w:name w:val="Heading 1 Char"/>
    <w:basedOn w:val="DefaultParagraphFont"/>
    <w:link w:val="Heading1"/>
    <w:uiPriority w:val="98"/>
    <w:semiHidden/>
    <w:rsid w:val="00430B3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430B3D"/>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430B3D"/>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430B3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430B3D"/>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430B3D"/>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430B3D"/>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430B3D"/>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430B3D"/>
    <w:pPr>
      <w:tabs>
        <w:tab w:val="left" w:pos="567"/>
        <w:tab w:val="left" w:pos="1134"/>
      </w:tabs>
    </w:pPr>
  </w:style>
  <w:style w:type="character" w:customStyle="1" w:styleId="Heading4Char">
    <w:name w:val="Heading 4 Char"/>
    <w:basedOn w:val="DefaultParagraphFont"/>
    <w:link w:val="Heading4"/>
    <w:uiPriority w:val="98"/>
    <w:semiHidden/>
    <w:rsid w:val="00430B3D"/>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430B3D"/>
    <w:pPr>
      <w:tabs>
        <w:tab w:val="center" w:pos="6407"/>
      </w:tabs>
      <w:spacing w:before="720"/>
      <w:jc w:val="right"/>
    </w:pPr>
  </w:style>
  <w:style w:type="character" w:customStyle="1" w:styleId="Heading5Char">
    <w:name w:val="Heading 5 Char"/>
    <w:basedOn w:val="DefaultParagraphFont"/>
    <w:link w:val="Heading5"/>
    <w:uiPriority w:val="98"/>
    <w:semiHidden/>
    <w:rsid w:val="00430B3D"/>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430B3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30B3D"/>
    <w:rPr>
      <w:caps w:val="0"/>
      <w:smallCaps/>
    </w:rPr>
  </w:style>
  <w:style w:type="character" w:styleId="SubtleEmphasis">
    <w:name w:val="Subtle Emphasis"/>
    <w:uiPriority w:val="98"/>
    <w:semiHidden/>
    <w:qFormat/>
    <w:rsid w:val="00430B3D"/>
    <w:rPr>
      <w:i/>
      <w:iCs/>
    </w:rPr>
  </w:style>
  <w:style w:type="table" w:customStyle="1" w:styleId="ECHRTable">
    <w:name w:val="ECHR_Table"/>
    <w:basedOn w:val="TableNormal"/>
    <w:rsid w:val="00430B3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30B3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30B3D"/>
    <w:rPr>
      <w:b/>
      <w:bCs/>
      <w:i/>
      <w:iCs/>
      <w:spacing w:val="10"/>
      <w:bdr w:val="none" w:sz="0" w:space="0" w:color="auto"/>
      <w:shd w:val="clear" w:color="auto" w:fill="auto"/>
    </w:rPr>
  </w:style>
  <w:style w:type="paragraph" w:styleId="Footer0">
    <w:name w:val="footer"/>
    <w:basedOn w:val="Normal"/>
    <w:link w:val="FooterChar"/>
    <w:uiPriority w:val="98"/>
    <w:semiHidden/>
    <w:rsid w:val="00430B3D"/>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430B3D"/>
    <w:rPr>
      <w:sz w:val="24"/>
      <w:lang w:val="en-GB"/>
    </w:rPr>
  </w:style>
  <w:style w:type="character" w:styleId="FootnoteReference">
    <w:name w:val="footnote reference"/>
    <w:basedOn w:val="DefaultParagraphFont"/>
    <w:uiPriority w:val="98"/>
    <w:semiHidden/>
    <w:rsid w:val="00430B3D"/>
    <w:rPr>
      <w:vertAlign w:val="superscript"/>
    </w:rPr>
  </w:style>
  <w:style w:type="paragraph" w:styleId="FootnoteText">
    <w:name w:val="footnote text"/>
    <w:basedOn w:val="Normal"/>
    <w:link w:val="FootnoteTextChar"/>
    <w:uiPriority w:val="98"/>
    <w:semiHidden/>
    <w:rsid w:val="00430B3D"/>
    <w:rPr>
      <w:sz w:val="20"/>
      <w:szCs w:val="20"/>
    </w:rPr>
  </w:style>
  <w:style w:type="character" w:customStyle="1" w:styleId="FootnoteTextChar">
    <w:name w:val="Footnote Text Char"/>
    <w:basedOn w:val="DefaultParagraphFont"/>
    <w:link w:val="FootnoteText"/>
    <w:uiPriority w:val="98"/>
    <w:semiHidden/>
    <w:rsid w:val="00430B3D"/>
    <w:rPr>
      <w:rFonts w:eastAsiaTheme="minorEastAsia"/>
      <w:sz w:val="20"/>
      <w:szCs w:val="20"/>
      <w:lang w:val="en-GB"/>
    </w:rPr>
  </w:style>
  <w:style w:type="character" w:customStyle="1" w:styleId="Heading6Char">
    <w:name w:val="Heading 6 Char"/>
    <w:basedOn w:val="DefaultParagraphFont"/>
    <w:link w:val="Heading6"/>
    <w:uiPriority w:val="98"/>
    <w:semiHidden/>
    <w:rsid w:val="00430B3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430B3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430B3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30B3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30B3D"/>
    <w:rPr>
      <w:color w:val="0072BC" w:themeColor="hyperlink"/>
      <w:u w:val="single"/>
    </w:rPr>
  </w:style>
  <w:style w:type="character" w:styleId="IntenseEmphasis">
    <w:name w:val="Intense Emphasis"/>
    <w:uiPriority w:val="98"/>
    <w:semiHidden/>
    <w:qFormat/>
    <w:rsid w:val="00430B3D"/>
    <w:rPr>
      <w:b/>
      <w:bCs/>
    </w:rPr>
  </w:style>
  <w:style w:type="paragraph" w:styleId="IntenseQuote">
    <w:name w:val="Intense Quote"/>
    <w:basedOn w:val="Normal"/>
    <w:next w:val="Normal"/>
    <w:link w:val="IntenseQuoteChar"/>
    <w:uiPriority w:val="98"/>
    <w:semiHidden/>
    <w:qFormat/>
    <w:rsid w:val="00430B3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30B3D"/>
    <w:rPr>
      <w:rFonts w:eastAsiaTheme="minorEastAsia"/>
      <w:b/>
      <w:bCs/>
      <w:i/>
      <w:iCs/>
      <w:sz w:val="24"/>
      <w:lang w:val="en-GB" w:bidi="en-US"/>
    </w:rPr>
  </w:style>
  <w:style w:type="character" w:styleId="IntenseReference">
    <w:name w:val="Intense Reference"/>
    <w:uiPriority w:val="98"/>
    <w:semiHidden/>
    <w:qFormat/>
    <w:rsid w:val="00430B3D"/>
    <w:rPr>
      <w:smallCaps/>
      <w:spacing w:val="5"/>
      <w:u w:val="single"/>
    </w:rPr>
  </w:style>
  <w:style w:type="paragraph" w:styleId="ListParagraph">
    <w:name w:val="List Paragraph"/>
    <w:basedOn w:val="Normal"/>
    <w:uiPriority w:val="98"/>
    <w:semiHidden/>
    <w:qFormat/>
    <w:rsid w:val="00430B3D"/>
    <w:pPr>
      <w:ind w:left="720"/>
      <w:contextualSpacing/>
    </w:pPr>
  </w:style>
  <w:style w:type="table" w:customStyle="1" w:styleId="LtrTableAddress">
    <w:name w:val="Ltr_Table_Address"/>
    <w:aliases w:val="ECHR_Ltr_Table_Address"/>
    <w:basedOn w:val="TableNormal"/>
    <w:uiPriority w:val="99"/>
    <w:rsid w:val="00430B3D"/>
    <w:tblPr>
      <w:tblInd w:w="5103" w:type="dxa"/>
    </w:tblPr>
  </w:style>
  <w:style w:type="paragraph" w:styleId="Quote">
    <w:name w:val="Quote"/>
    <w:basedOn w:val="Normal"/>
    <w:next w:val="Normal"/>
    <w:link w:val="QuoteChar"/>
    <w:uiPriority w:val="98"/>
    <w:semiHidden/>
    <w:qFormat/>
    <w:rsid w:val="00430B3D"/>
    <w:pPr>
      <w:spacing w:before="200"/>
      <w:ind w:left="360" w:right="360"/>
    </w:pPr>
    <w:rPr>
      <w:i/>
      <w:iCs/>
      <w:lang w:bidi="en-US"/>
    </w:rPr>
  </w:style>
  <w:style w:type="character" w:customStyle="1" w:styleId="QuoteChar">
    <w:name w:val="Quote Char"/>
    <w:basedOn w:val="DefaultParagraphFont"/>
    <w:link w:val="Quote"/>
    <w:uiPriority w:val="98"/>
    <w:semiHidden/>
    <w:rsid w:val="00430B3D"/>
    <w:rPr>
      <w:rFonts w:eastAsiaTheme="minorEastAsia"/>
      <w:i/>
      <w:iCs/>
      <w:sz w:val="24"/>
      <w:lang w:val="en-GB" w:bidi="en-US"/>
    </w:rPr>
  </w:style>
  <w:style w:type="character" w:styleId="SubtleReference">
    <w:name w:val="Subtle Reference"/>
    <w:uiPriority w:val="98"/>
    <w:semiHidden/>
    <w:qFormat/>
    <w:rsid w:val="00430B3D"/>
    <w:rPr>
      <w:smallCaps/>
    </w:rPr>
  </w:style>
  <w:style w:type="table" w:styleId="TableGrid">
    <w:name w:val="Table Grid"/>
    <w:basedOn w:val="TableNormal"/>
    <w:uiPriority w:val="59"/>
    <w:semiHidden/>
    <w:rsid w:val="00430B3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30B3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30B3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30B3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30B3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30B3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30B3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430B3D"/>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30B3D"/>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30B3D"/>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30B3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30B3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30B3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30B3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430B3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430B3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30B3D"/>
    <w:pPr>
      <w:numPr>
        <w:numId w:val="2"/>
      </w:numPr>
    </w:pPr>
  </w:style>
  <w:style w:type="paragraph" w:customStyle="1" w:styleId="JuPara">
    <w:name w:val="Ju_Para"/>
    <w:aliases w:val="_Para"/>
    <w:basedOn w:val="NormalJustified"/>
    <w:link w:val="JuParaChar"/>
    <w:uiPriority w:val="4"/>
    <w:qFormat/>
    <w:rsid w:val="00430B3D"/>
    <w:pPr>
      <w:ind w:firstLine="284"/>
    </w:pPr>
  </w:style>
  <w:style w:type="numbering" w:styleId="1ai">
    <w:name w:val="Outline List 1"/>
    <w:basedOn w:val="NoList"/>
    <w:uiPriority w:val="99"/>
    <w:semiHidden/>
    <w:unhideWhenUsed/>
    <w:rsid w:val="00430B3D"/>
    <w:pPr>
      <w:numPr>
        <w:numId w:val="3"/>
      </w:numPr>
    </w:pPr>
  </w:style>
  <w:style w:type="table" w:customStyle="1" w:styleId="ECHRTableSimpleBox">
    <w:name w:val="ECHR_Table_Simple_Box"/>
    <w:basedOn w:val="TableNormal"/>
    <w:uiPriority w:val="99"/>
    <w:rsid w:val="00430B3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30B3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30B3D"/>
    <w:pPr>
      <w:numPr>
        <w:numId w:val="4"/>
      </w:numPr>
    </w:pPr>
  </w:style>
  <w:style w:type="table" w:customStyle="1" w:styleId="ECHRTableForInternalUse">
    <w:name w:val="ECHR_Table_For_Internal_Use"/>
    <w:basedOn w:val="TableNormal"/>
    <w:uiPriority w:val="99"/>
    <w:rsid w:val="00430B3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30B3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30B3D"/>
  </w:style>
  <w:style w:type="paragraph" w:styleId="BlockText">
    <w:name w:val="Block Text"/>
    <w:basedOn w:val="Normal"/>
    <w:uiPriority w:val="98"/>
    <w:semiHidden/>
    <w:rsid w:val="00430B3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30B3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30B3D"/>
    <w:pPr>
      <w:spacing w:after="120"/>
    </w:pPr>
  </w:style>
  <w:style w:type="character" w:customStyle="1" w:styleId="BodyTextChar">
    <w:name w:val="Body Text Char"/>
    <w:basedOn w:val="DefaultParagraphFont"/>
    <w:link w:val="BodyText"/>
    <w:uiPriority w:val="98"/>
    <w:semiHidden/>
    <w:rsid w:val="00430B3D"/>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30B3D"/>
    <w:pPr>
      <w:spacing w:after="120" w:line="480" w:lineRule="auto"/>
    </w:pPr>
  </w:style>
  <w:style w:type="table" w:customStyle="1" w:styleId="ECHRHeaderTableReduced">
    <w:name w:val="ECHR_Header_Table_Reduced"/>
    <w:basedOn w:val="TableNormal"/>
    <w:uiPriority w:val="99"/>
    <w:rsid w:val="00430B3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30B3D"/>
    <w:pPr>
      <w:ind w:firstLine="284"/>
    </w:pPr>
    <w:rPr>
      <w:b/>
    </w:rPr>
  </w:style>
  <w:style w:type="character" w:styleId="PageNumber">
    <w:name w:val="page number"/>
    <w:uiPriority w:val="98"/>
    <w:semiHidden/>
    <w:rsid w:val="00430B3D"/>
    <w:rPr>
      <w:sz w:val="18"/>
    </w:rPr>
  </w:style>
  <w:style w:type="paragraph" w:styleId="ListBullet">
    <w:name w:val="List Bullet"/>
    <w:basedOn w:val="Normal"/>
    <w:uiPriority w:val="98"/>
    <w:semiHidden/>
    <w:rsid w:val="00430B3D"/>
    <w:pPr>
      <w:numPr>
        <w:numId w:val="9"/>
      </w:numPr>
    </w:pPr>
  </w:style>
  <w:style w:type="paragraph" w:styleId="ListBullet3">
    <w:name w:val="List Bullet 3"/>
    <w:basedOn w:val="Normal"/>
    <w:uiPriority w:val="98"/>
    <w:semiHidden/>
    <w:rsid w:val="00430B3D"/>
    <w:pPr>
      <w:numPr>
        <w:numId w:val="11"/>
      </w:numPr>
      <w:contextualSpacing/>
    </w:pPr>
  </w:style>
  <w:style w:type="character" w:customStyle="1" w:styleId="BodyText2Char">
    <w:name w:val="Body Text 2 Char"/>
    <w:basedOn w:val="DefaultParagraphFont"/>
    <w:link w:val="BodyText2"/>
    <w:uiPriority w:val="98"/>
    <w:semiHidden/>
    <w:rsid w:val="00430B3D"/>
    <w:rPr>
      <w:rFonts w:eastAsiaTheme="minorEastAsia"/>
      <w:sz w:val="24"/>
      <w:lang w:val="en-GB"/>
    </w:rPr>
  </w:style>
  <w:style w:type="paragraph" w:styleId="BodyText3">
    <w:name w:val="Body Text 3"/>
    <w:basedOn w:val="Normal"/>
    <w:link w:val="BodyText3Char"/>
    <w:uiPriority w:val="98"/>
    <w:semiHidden/>
    <w:rsid w:val="00430B3D"/>
    <w:pPr>
      <w:spacing w:after="120"/>
    </w:pPr>
    <w:rPr>
      <w:sz w:val="16"/>
      <w:szCs w:val="16"/>
    </w:rPr>
  </w:style>
  <w:style w:type="character" w:customStyle="1" w:styleId="BodyText3Char">
    <w:name w:val="Body Text 3 Char"/>
    <w:basedOn w:val="DefaultParagraphFont"/>
    <w:link w:val="BodyText3"/>
    <w:uiPriority w:val="98"/>
    <w:semiHidden/>
    <w:rsid w:val="00430B3D"/>
    <w:rPr>
      <w:rFonts w:eastAsiaTheme="minorEastAsia"/>
      <w:sz w:val="16"/>
      <w:szCs w:val="16"/>
      <w:lang w:val="en-GB"/>
    </w:rPr>
  </w:style>
  <w:style w:type="paragraph" w:styleId="BodyTextFirstIndent">
    <w:name w:val="Body Text First Indent"/>
    <w:basedOn w:val="BodyText"/>
    <w:link w:val="BodyTextFirstIndentChar"/>
    <w:uiPriority w:val="98"/>
    <w:semiHidden/>
    <w:rsid w:val="00430B3D"/>
    <w:pPr>
      <w:spacing w:after="0"/>
      <w:ind w:firstLine="360"/>
    </w:pPr>
  </w:style>
  <w:style w:type="character" w:customStyle="1" w:styleId="BodyTextFirstIndentChar">
    <w:name w:val="Body Text First Indent Char"/>
    <w:basedOn w:val="BodyTextChar"/>
    <w:link w:val="BodyTextFirstIndent"/>
    <w:uiPriority w:val="98"/>
    <w:semiHidden/>
    <w:rsid w:val="00430B3D"/>
    <w:rPr>
      <w:rFonts w:eastAsiaTheme="minorEastAsia"/>
      <w:sz w:val="24"/>
      <w:lang w:val="en-GB"/>
    </w:rPr>
  </w:style>
  <w:style w:type="paragraph" w:styleId="BodyTextIndent">
    <w:name w:val="Body Text Indent"/>
    <w:basedOn w:val="Normal"/>
    <w:link w:val="BodyTextIndentChar"/>
    <w:uiPriority w:val="98"/>
    <w:semiHidden/>
    <w:rsid w:val="00430B3D"/>
    <w:pPr>
      <w:spacing w:after="120"/>
      <w:ind w:left="283"/>
    </w:pPr>
  </w:style>
  <w:style w:type="character" w:customStyle="1" w:styleId="BodyTextIndentChar">
    <w:name w:val="Body Text Indent Char"/>
    <w:basedOn w:val="DefaultParagraphFont"/>
    <w:link w:val="BodyTextIndent"/>
    <w:uiPriority w:val="98"/>
    <w:semiHidden/>
    <w:rsid w:val="00430B3D"/>
    <w:rPr>
      <w:rFonts w:eastAsiaTheme="minorEastAsia"/>
      <w:sz w:val="24"/>
      <w:lang w:val="en-GB"/>
    </w:rPr>
  </w:style>
  <w:style w:type="paragraph" w:styleId="BodyTextFirstIndent2">
    <w:name w:val="Body Text First Indent 2"/>
    <w:basedOn w:val="BodyTextIndent"/>
    <w:link w:val="BodyTextFirstIndent2Char"/>
    <w:uiPriority w:val="98"/>
    <w:semiHidden/>
    <w:rsid w:val="00430B3D"/>
    <w:pPr>
      <w:spacing w:after="0"/>
      <w:ind w:left="360" w:firstLine="360"/>
    </w:pPr>
  </w:style>
  <w:style w:type="character" w:customStyle="1" w:styleId="BodyTextFirstIndent2Char">
    <w:name w:val="Body Text First Indent 2 Char"/>
    <w:basedOn w:val="BodyTextIndentChar"/>
    <w:link w:val="BodyTextFirstIndent2"/>
    <w:uiPriority w:val="98"/>
    <w:semiHidden/>
    <w:rsid w:val="00430B3D"/>
    <w:rPr>
      <w:rFonts w:eastAsiaTheme="minorEastAsia"/>
      <w:sz w:val="24"/>
      <w:lang w:val="en-GB"/>
    </w:rPr>
  </w:style>
  <w:style w:type="paragraph" w:styleId="BodyTextIndent2">
    <w:name w:val="Body Text Indent 2"/>
    <w:basedOn w:val="Normal"/>
    <w:link w:val="BodyTextIndent2Char"/>
    <w:uiPriority w:val="98"/>
    <w:semiHidden/>
    <w:rsid w:val="00430B3D"/>
    <w:pPr>
      <w:spacing w:after="120" w:line="480" w:lineRule="auto"/>
      <w:ind w:left="283"/>
    </w:pPr>
  </w:style>
  <w:style w:type="character" w:customStyle="1" w:styleId="BodyTextIndent2Char">
    <w:name w:val="Body Text Indent 2 Char"/>
    <w:basedOn w:val="DefaultParagraphFont"/>
    <w:link w:val="BodyTextIndent2"/>
    <w:uiPriority w:val="98"/>
    <w:semiHidden/>
    <w:rsid w:val="00430B3D"/>
    <w:rPr>
      <w:rFonts w:eastAsiaTheme="minorEastAsia"/>
      <w:sz w:val="24"/>
      <w:lang w:val="en-GB"/>
    </w:rPr>
  </w:style>
  <w:style w:type="paragraph" w:styleId="BodyTextIndent3">
    <w:name w:val="Body Text Indent 3"/>
    <w:basedOn w:val="Normal"/>
    <w:link w:val="BodyTextIndent3Char"/>
    <w:uiPriority w:val="98"/>
    <w:semiHidden/>
    <w:rsid w:val="00430B3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30B3D"/>
    <w:rPr>
      <w:rFonts w:eastAsiaTheme="minorEastAsia"/>
      <w:sz w:val="16"/>
      <w:szCs w:val="16"/>
      <w:lang w:val="en-GB"/>
    </w:rPr>
  </w:style>
  <w:style w:type="paragraph" w:styleId="Caption">
    <w:name w:val="caption"/>
    <w:basedOn w:val="Normal"/>
    <w:next w:val="Normal"/>
    <w:uiPriority w:val="98"/>
    <w:semiHidden/>
    <w:qFormat/>
    <w:rsid w:val="00430B3D"/>
    <w:pPr>
      <w:spacing w:after="200"/>
    </w:pPr>
    <w:rPr>
      <w:b/>
      <w:bCs/>
      <w:color w:val="0072BC" w:themeColor="accent1"/>
      <w:sz w:val="18"/>
      <w:szCs w:val="18"/>
    </w:rPr>
  </w:style>
  <w:style w:type="paragraph" w:styleId="Closing">
    <w:name w:val="Closing"/>
    <w:basedOn w:val="Normal"/>
    <w:link w:val="ClosingChar"/>
    <w:uiPriority w:val="98"/>
    <w:semiHidden/>
    <w:rsid w:val="00430B3D"/>
    <w:pPr>
      <w:ind w:left="4252"/>
    </w:pPr>
  </w:style>
  <w:style w:type="character" w:customStyle="1" w:styleId="ClosingChar">
    <w:name w:val="Closing Char"/>
    <w:basedOn w:val="DefaultParagraphFont"/>
    <w:link w:val="Closing"/>
    <w:uiPriority w:val="98"/>
    <w:semiHidden/>
    <w:rsid w:val="00430B3D"/>
    <w:rPr>
      <w:rFonts w:eastAsiaTheme="minorEastAsia"/>
      <w:sz w:val="24"/>
      <w:lang w:val="en-GB"/>
    </w:rPr>
  </w:style>
  <w:style w:type="table" w:styleId="ColorfulGrid">
    <w:name w:val="Colorful Grid"/>
    <w:basedOn w:val="TableNormal"/>
    <w:uiPriority w:val="73"/>
    <w:semiHidden/>
    <w:rsid w:val="00430B3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30B3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30B3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30B3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30B3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30B3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30B3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30B3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30B3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30B3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30B3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30B3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30B3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30B3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30B3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30B3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30B3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30B3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30B3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30B3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30B3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30B3D"/>
    <w:rPr>
      <w:sz w:val="16"/>
      <w:szCs w:val="16"/>
    </w:rPr>
  </w:style>
  <w:style w:type="paragraph" w:styleId="CommentText">
    <w:name w:val="annotation text"/>
    <w:basedOn w:val="Normal"/>
    <w:link w:val="CommentTextChar"/>
    <w:uiPriority w:val="98"/>
    <w:semiHidden/>
    <w:rsid w:val="00430B3D"/>
    <w:rPr>
      <w:sz w:val="20"/>
      <w:szCs w:val="20"/>
    </w:rPr>
  </w:style>
  <w:style w:type="character" w:customStyle="1" w:styleId="CommentTextChar">
    <w:name w:val="Comment Text Char"/>
    <w:basedOn w:val="DefaultParagraphFont"/>
    <w:link w:val="CommentText"/>
    <w:uiPriority w:val="98"/>
    <w:semiHidden/>
    <w:rsid w:val="00430B3D"/>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430B3D"/>
    <w:rPr>
      <w:b/>
      <w:bCs/>
    </w:rPr>
  </w:style>
  <w:style w:type="character" w:customStyle="1" w:styleId="CommentSubjectChar">
    <w:name w:val="Comment Subject Char"/>
    <w:basedOn w:val="CommentTextChar"/>
    <w:link w:val="CommentSubject"/>
    <w:uiPriority w:val="98"/>
    <w:semiHidden/>
    <w:rsid w:val="00430B3D"/>
    <w:rPr>
      <w:rFonts w:eastAsiaTheme="minorEastAsia"/>
      <w:b/>
      <w:bCs/>
      <w:sz w:val="20"/>
      <w:szCs w:val="20"/>
      <w:lang w:val="en-GB"/>
    </w:rPr>
  </w:style>
  <w:style w:type="table" w:styleId="DarkList">
    <w:name w:val="Dark List"/>
    <w:basedOn w:val="TableNormal"/>
    <w:uiPriority w:val="70"/>
    <w:semiHidden/>
    <w:rsid w:val="00430B3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30B3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30B3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30B3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30B3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30B3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30B3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30B3D"/>
  </w:style>
  <w:style w:type="character" w:customStyle="1" w:styleId="DateChar">
    <w:name w:val="Date Char"/>
    <w:basedOn w:val="DefaultParagraphFont"/>
    <w:link w:val="Date"/>
    <w:uiPriority w:val="98"/>
    <w:semiHidden/>
    <w:rsid w:val="00430B3D"/>
    <w:rPr>
      <w:rFonts w:eastAsiaTheme="minorEastAsia"/>
      <w:sz w:val="24"/>
      <w:lang w:val="en-GB"/>
    </w:rPr>
  </w:style>
  <w:style w:type="paragraph" w:styleId="DocumentMap">
    <w:name w:val="Document Map"/>
    <w:basedOn w:val="Normal"/>
    <w:link w:val="DocumentMapChar"/>
    <w:uiPriority w:val="98"/>
    <w:semiHidden/>
    <w:rsid w:val="00430B3D"/>
    <w:rPr>
      <w:rFonts w:ascii="Tahoma" w:hAnsi="Tahoma" w:cs="Tahoma"/>
      <w:sz w:val="16"/>
      <w:szCs w:val="16"/>
    </w:rPr>
  </w:style>
  <w:style w:type="character" w:customStyle="1" w:styleId="DocumentMapChar">
    <w:name w:val="Document Map Char"/>
    <w:basedOn w:val="DefaultParagraphFont"/>
    <w:link w:val="DocumentMap"/>
    <w:uiPriority w:val="98"/>
    <w:semiHidden/>
    <w:rsid w:val="00430B3D"/>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430B3D"/>
  </w:style>
  <w:style w:type="character" w:customStyle="1" w:styleId="E-mailSignatureChar">
    <w:name w:val="E-mail Signature Char"/>
    <w:basedOn w:val="DefaultParagraphFont"/>
    <w:link w:val="E-mailSignature"/>
    <w:uiPriority w:val="98"/>
    <w:semiHidden/>
    <w:rsid w:val="00430B3D"/>
    <w:rPr>
      <w:rFonts w:eastAsiaTheme="minorEastAsia"/>
      <w:sz w:val="24"/>
      <w:lang w:val="en-GB"/>
    </w:rPr>
  </w:style>
  <w:style w:type="character" w:styleId="EndnoteReference">
    <w:name w:val="endnote reference"/>
    <w:basedOn w:val="DefaultParagraphFont"/>
    <w:uiPriority w:val="98"/>
    <w:semiHidden/>
    <w:rsid w:val="00430B3D"/>
    <w:rPr>
      <w:vertAlign w:val="superscript"/>
    </w:rPr>
  </w:style>
  <w:style w:type="paragraph" w:styleId="EndnoteText">
    <w:name w:val="endnote text"/>
    <w:basedOn w:val="Normal"/>
    <w:link w:val="EndnoteTextChar"/>
    <w:uiPriority w:val="98"/>
    <w:semiHidden/>
    <w:rsid w:val="00430B3D"/>
    <w:rPr>
      <w:sz w:val="20"/>
      <w:szCs w:val="20"/>
    </w:rPr>
  </w:style>
  <w:style w:type="character" w:customStyle="1" w:styleId="EndnoteTextChar">
    <w:name w:val="Endnote Text Char"/>
    <w:basedOn w:val="DefaultParagraphFont"/>
    <w:link w:val="EndnoteText"/>
    <w:uiPriority w:val="98"/>
    <w:semiHidden/>
    <w:rsid w:val="00430B3D"/>
    <w:rPr>
      <w:rFonts w:eastAsiaTheme="minorEastAsia"/>
      <w:sz w:val="20"/>
      <w:szCs w:val="20"/>
      <w:lang w:val="en-GB"/>
    </w:rPr>
  </w:style>
  <w:style w:type="paragraph" w:styleId="EnvelopeAddress">
    <w:name w:val="envelope address"/>
    <w:basedOn w:val="Normal"/>
    <w:uiPriority w:val="98"/>
    <w:semiHidden/>
    <w:rsid w:val="00430B3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430B3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30B3D"/>
    <w:rPr>
      <w:color w:val="7030A0" w:themeColor="followedHyperlink"/>
      <w:u w:val="single"/>
    </w:rPr>
  </w:style>
  <w:style w:type="character" w:styleId="HTMLAcronym">
    <w:name w:val="HTML Acronym"/>
    <w:basedOn w:val="DefaultParagraphFont"/>
    <w:uiPriority w:val="98"/>
    <w:semiHidden/>
    <w:rsid w:val="00430B3D"/>
  </w:style>
  <w:style w:type="paragraph" w:styleId="HTMLAddress">
    <w:name w:val="HTML Address"/>
    <w:basedOn w:val="Normal"/>
    <w:link w:val="HTMLAddressChar"/>
    <w:uiPriority w:val="98"/>
    <w:semiHidden/>
    <w:rsid w:val="00430B3D"/>
    <w:rPr>
      <w:i/>
      <w:iCs/>
    </w:rPr>
  </w:style>
  <w:style w:type="character" w:customStyle="1" w:styleId="HTMLAddressChar">
    <w:name w:val="HTML Address Char"/>
    <w:basedOn w:val="DefaultParagraphFont"/>
    <w:link w:val="HTMLAddress"/>
    <w:uiPriority w:val="98"/>
    <w:semiHidden/>
    <w:rsid w:val="00430B3D"/>
    <w:rPr>
      <w:rFonts w:eastAsiaTheme="minorEastAsia"/>
      <w:i/>
      <w:iCs/>
      <w:sz w:val="24"/>
      <w:lang w:val="en-GB"/>
    </w:rPr>
  </w:style>
  <w:style w:type="character" w:styleId="HTMLCite">
    <w:name w:val="HTML Cite"/>
    <w:basedOn w:val="DefaultParagraphFont"/>
    <w:uiPriority w:val="98"/>
    <w:semiHidden/>
    <w:rsid w:val="00430B3D"/>
    <w:rPr>
      <w:i/>
      <w:iCs/>
    </w:rPr>
  </w:style>
  <w:style w:type="character" w:styleId="HTMLCode">
    <w:name w:val="HTML Code"/>
    <w:basedOn w:val="DefaultParagraphFont"/>
    <w:uiPriority w:val="98"/>
    <w:semiHidden/>
    <w:rsid w:val="00430B3D"/>
    <w:rPr>
      <w:rFonts w:ascii="Consolas" w:hAnsi="Consolas" w:cs="Consolas"/>
      <w:sz w:val="20"/>
      <w:szCs w:val="20"/>
    </w:rPr>
  </w:style>
  <w:style w:type="character" w:styleId="HTMLDefinition">
    <w:name w:val="HTML Definition"/>
    <w:basedOn w:val="DefaultParagraphFont"/>
    <w:uiPriority w:val="98"/>
    <w:semiHidden/>
    <w:rsid w:val="00430B3D"/>
    <w:rPr>
      <w:i/>
      <w:iCs/>
    </w:rPr>
  </w:style>
  <w:style w:type="character" w:styleId="HTMLKeyboard">
    <w:name w:val="HTML Keyboard"/>
    <w:basedOn w:val="DefaultParagraphFont"/>
    <w:uiPriority w:val="98"/>
    <w:semiHidden/>
    <w:rsid w:val="00430B3D"/>
    <w:rPr>
      <w:rFonts w:ascii="Consolas" w:hAnsi="Consolas" w:cs="Consolas"/>
      <w:sz w:val="20"/>
      <w:szCs w:val="20"/>
    </w:rPr>
  </w:style>
  <w:style w:type="paragraph" w:styleId="HTMLPreformatted">
    <w:name w:val="HTML Preformatted"/>
    <w:basedOn w:val="Normal"/>
    <w:link w:val="HTMLPreformattedChar"/>
    <w:uiPriority w:val="98"/>
    <w:semiHidden/>
    <w:rsid w:val="00430B3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30B3D"/>
    <w:rPr>
      <w:rFonts w:ascii="Consolas" w:eastAsiaTheme="minorEastAsia" w:hAnsi="Consolas" w:cs="Consolas"/>
      <w:sz w:val="20"/>
      <w:szCs w:val="20"/>
      <w:lang w:val="en-GB"/>
    </w:rPr>
  </w:style>
  <w:style w:type="character" w:styleId="HTMLSample">
    <w:name w:val="HTML Sample"/>
    <w:basedOn w:val="DefaultParagraphFont"/>
    <w:uiPriority w:val="98"/>
    <w:semiHidden/>
    <w:rsid w:val="00430B3D"/>
    <w:rPr>
      <w:rFonts w:ascii="Consolas" w:hAnsi="Consolas" w:cs="Consolas"/>
      <w:sz w:val="24"/>
      <w:szCs w:val="24"/>
    </w:rPr>
  </w:style>
  <w:style w:type="character" w:styleId="HTMLTypewriter">
    <w:name w:val="HTML Typewriter"/>
    <w:basedOn w:val="DefaultParagraphFont"/>
    <w:uiPriority w:val="98"/>
    <w:semiHidden/>
    <w:rsid w:val="00430B3D"/>
    <w:rPr>
      <w:rFonts w:ascii="Consolas" w:hAnsi="Consolas" w:cs="Consolas"/>
      <w:sz w:val="20"/>
      <w:szCs w:val="20"/>
    </w:rPr>
  </w:style>
  <w:style w:type="character" w:styleId="HTMLVariable">
    <w:name w:val="HTML Variable"/>
    <w:basedOn w:val="DefaultParagraphFont"/>
    <w:uiPriority w:val="98"/>
    <w:semiHidden/>
    <w:rsid w:val="00430B3D"/>
    <w:rPr>
      <w:i/>
      <w:iCs/>
    </w:rPr>
  </w:style>
  <w:style w:type="paragraph" w:styleId="Index1">
    <w:name w:val="index 1"/>
    <w:basedOn w:val="Normal"/>
    <w:next w:val="Normal"/>
    <w:autoRedefine/>
    <w:uiPriority w:val="98"/>
    <w:semiHidden/>
    <w:rsid w:val="00430B3D"/>
    <w:pPr>
      <w:ind w:left="240" w:hanging="240"/>
    </w:pPr>
  </w:style>
  <w:style w:type="paragraph" w:styleId="Index2">
    <w:name w:val="index 2"/>
    <w:basedOn w:val="Normal"/>
    <w:next w:val="Normal"/>
    <w:autoRedefine/>
    <w:uiPriority w:val="98"/>
    <w:semiHidden/>
    <w:rsid w:val="00430B3D"/>
    <w:pPr>
      <w:ind w:left="480" w:hanging="240"/>
    </w:pPr>
  </w:style>
  <w:style w:type="paragraph" w:styleId="Index3">
    <w:name w:val="index 3"/>
    <w:basedOn w:val="Normal"/>
    <w:next w:val="Normal"/>
    <w:autoRedefine/>
    <w:uiPriority w:val="98"/>
    <w:semiHidden/>
    <w:rsid w:val="00430B3D"/>
    <w:pPr>
      <w:ind w:left="720" w:hanging="240"/>
    </w:pPr>
  </w:style>
  <w:style w:type="paragraph" w:styleId="Index4">
    <w:name w:val="index 4"/>
    <w:basedOn w:val="Normal"/>
    <w:next w:val="Normal"/>
    <w:autoRedefine/>
    <w:uiPriority w:val="98"/>
    <w:semiHidden/>
    <w:rsid w:val="00430B3D"/>
    <w:pPr>
      <w:ind w:left="960" w:hanging="240"/>
    </w:pPr>
  </w:style>
  <w:style w:type="paragraph" w:styleId="Index5">
    <w:name w:val="index 5"/>
    <w:basedOn w:val="Normal"/>
    <w:next w:val="Normal"/>
    <w:autoRedefine/>
    <w:uiPriority w:val="98"/>
    <w:semiHidden/>
    <w:rsid w:val="00430B3D"/>
    <w:pPr>
      <w:ind w:left="1200" w:hanging="240"/>
    </w:pPr>
  </w:style>
  <w:style w:type="paragraph" w:styleId="Index6">
    <w:name w:val="index 6"/>
    <w:basedOn w:val="Normal"/>
    <w:next w:val="Normal"/>
    <w:autoRedefine/>
    <w:uiPriority w:val="98"/>
    <w:semiHidden/>
    <w:rsid w:val="00430B3D"/>
    <w:pPr>
      <w:ind w:left="1440" w:hanging="240"/>
    </w:pPr>
  </w:style>
  <w:style w:type="paragraph" w:styleId="Index7">
    <w:name w:val="index 7"/>
    <w:basedOn w:val="Normal"/>
    <w:next w:val="Normal"/>
    <w:autoRedefine/>
    <w:uiPriority w:val="98"/>
    <w:semiHidden/>
    <w:rsid w:val="00430B3D"/>
    <w:pPr>
      <w:ind w:left="1680" w:hanging="240"/>
    </w:pPr>
  </w:style>
  <w:style w:type="paragraph" w:styleId="Index8">
    <w:name w:val="index 8"/>
    <w:basedOn w:val="Normal"/>
    <w:next w:val="Normal"/>
    <w:autoRedefine/>
    <w:uiPriority w:val="98"/>
    <w:semiHidden/>
    <w:rsid w:val="00430B3D"/>
    <w:pPr>
      <w:ind w:left="1920" w:hanging="240"/>
    </w:pPr>
  </w:style>
  <w:style w:type="paragraph" w:styleId="Index9">
    <w:name w:val="index 9"/>
    <w:basedOn w:val="Normal"/>
    <w:next w:val="Normal"/>
    <w:autoRedefine/>
    <w:uiPriority w:val="98"/>
    <w:semiHidden/>
    <w:rsid w:val="00430B3D"/>
    <w:pPr>
      <w:ind w:left="2160" w:hanging="240"/>
    </w:pPr>
  </w:style>
  <w:style w:type="paragraph" w:styleId="IndexHeading">
    <w:name w:val="index heading"/>
    <w:basedOn w:val="Normal"/>
    <w:next w:val="Index1"/>
    <w:uiPriority w:val="98"/>
    <w:semiHidden/>
    <w:rsid w:val="00430B3D"/>
    <w:rPr>
      <w:rFonts w:asciiTheme="majorHAnsi" w:eastAsiaTheme="majorEastAsia" w:hAnsiTheme="majorHAnsi" w:cstheme="majorBidi"/>
      <w:b/>
      <w:bCs/>
    </w:rPr>
  </w:style>
  <w:style w:type="table" w:styleId="LightGrid">
    <w:name w:val="Light Grid"/>
    <w:basedOn w:val="TableNormal"/>
    <w:uiPriority w:val="62"/>
    <w:semiHidden/>
    <w:rsid w:val="00430B3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30B3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30B3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30B3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30B3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30B3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30B3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30B3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30B3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30B3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30B3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30B3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30B3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30B3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30B3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30B3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30B3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30B3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30B3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30B3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30B3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30B3D"/>
  </w:style>
  <w:style w:type="paragraph" w:styleId="List">
    <w:name w:val="List"/>
    <w:basedOn w:val="Normal"/>
    <w:uiPriority w:val="98"/>
    <w:semiHidden/>
    <w:rsid w:val="00430B3D"/>
    <w:pPr>
      <w:ind w:left="283" w:hanging="283"/>
      <w:contextualSpacing/>
    </w:pPr>
  </w:style>
  <w:style w:type="paragraph" w:styleId="List2">
    <w:name w:val="List 2"/>
    <w:basedOn w:val="Normal"/>
    <w:uiPriority w:val="98"/>
    <w:semiHidden/>
    <w:rsid w:val="00430B3D"/>
    <w:pPr>
      <w:ind w:left="566" w:hanging="283"/>
      <w:contextualSpacing/>
    </w:pPr>
  </w:style>
  <w:style w:type="paragraph" w:styleId="List3">
    <w:name w:val="List 3"/>
    <w:basedOn w:val="Normal"/>
    <w:uiPriority w:val="98"/>
    <w:semiHidden/>
    <w:rsid w:val="00430B3D"/>
    <w:pPr>
      <w:ind w:left="849" w:hanging="283"/>
      <w:contextualSpacing/>
    </w:pPr>
  </w:style>
  <w:style w:type="paragraph" w:styleId="List4">
    <w:name w:val="List 4"/>
    <w:basedOn w:val="Normal"/>
    <w:uiPriority w:val="98"/>
    <w:semiHidden/>
    <w:rsid w:val="00430B3D"/>
    <w:pPr>
      <w:ind w:left="1132" w:hanging="283"/>
      <w:contextualSpacing/>
    </w:pPr>
  </w:style>
  <w:style w:type="paragraph" w:styleId="List5">
    <w:name w:val="List 5"/>
    <w:basedOn w:val="Normal"/>
    <w:uiPriority w:val="98"/>
    <w:semiHidden/>
    <w:rsid w:val="00430B3D"/>
    <w:pPr>
      <w:ind w:left="1415" w:hanging="283"/>
      <w:contextualSpacing/>
    </w:pPr>
  </w:style>
  <w:style w:type="paragraph" w:styleId="ListBullet2">
    <w:name w:val="List Bullet 2"/>
    <w:basedOn w:val="Normal"/>
    <w:uiPriority w:val="98"/>
    <w:semiHidden/>
    <w:rsid w:val="00430B3D"/>
    <w:pPr>
      <w:numPr>
        <w:numId w:val="10"/>
      </w:numPr>
      <w:contextualSpacing/>
    </w:pPr>
  </w:style>
  <w:style w:type="paragraph" w:styleId="ListBullet4">
    <w:name w:val="List Bullet 4"/>
    <w:basedOn w:val="Normal"/>
    <w:uiPriority w:val="98"/>
    <w:semiHidden/>
    <w:rsid w:val="00430B3D"/>
    <w:pPr>
      <w:numPr>
        <w:numId w:val="12"/>
      </w:numPr>
      <w:contextualSpacing/>
    </w:pPr>
  </w:style>
  <w:style w:type="paragraph" w:styleId="ListBullet5">
    <w:name w:val="List Bullet 5"/>
    <w:basedOn w:val="Normal"/>
    <w:uiPriority w:val="98"/>
    <w:semiHidden/>
    <w:rsid w:val="00430B3D"/>
    <w:pPr>
      <w:numPr>
        <w:numId w:val="13"/>
      </w:numPr>
      <w:contextualSpacing/>
    </w:pPr>
  </w:style>
  <w:style w:type="paragraph" w:styleId="ListContinue">
    <w:name w:val="List Continue"/>
    <w:basedOn w:val="Normal"/>
    <w:uiPriority w:val="98"/>
    <w:semiHidden/>
    <w:rsid w:val="00430B3D"/>
    <w:pPr>
      <w:spacing w:after="120"/>
      <w:ind w:left="283"/>
      <w:contextualSpacing/>
    </w:pPr>
  </w:style>
  <w:style w:type="paragraph" w:styleId="ListContinue2">
    <w:name w:val="List Continue 2"/>
    <w:basedOn w:val="Normal"/>
    <w:uiPriority w:val="98"/>
    <w:semiHidden/>
    <w:rsid w:val="00430B3D"/>
    <w:pPr>
      <w:spacing w:after="120"/>
      <w:ind w:left="566"/>
      <w:contextualSpacing/>
    </w:pPr>
  </w:style>
  <w:style w:type="paragraph" w:styleId="ListContinue3">
    <w:name w:val="List Continue 3"/>
    <w:basedOn w:val="Normal"/>
    <w:uiPriority w:val="98"/>
    <w:semiHidden/>
    <w:rsid w:val="00430B3D"/>
    <w:pPr>
      <w:spacing w:after="120"/>
      <w:ind w:left="849"/>
      <w:contextualSpacing/>
    </w:pPr>
  </w:style>
  <w:style w:type="paragraph" w:styleId="ListContinue4">
    <w:name w:val="List Continue 4"/>
    <w:basedOn w:val="Normal"/>
    <w:uiPriority w:val="98"/>
    <w:semiHidden/>
    <w:rsid w:val="00430B3D"/>
    <w:pPr>
      <w:spacing w:after="120"/>
      <w:ind w:left="1132"/>
      <w:contextualSpacing/>
    </w:pPr>
  </w:style>
  <w:style w:type="paragraph" w:styleId="ListContinue5">
    <w:name w:val="List Continue 5"/>
    <w:basedOn w:val="Normal"/>
    <w:uiPriority w:val="98"/>
    <w:semiHidden/>
    <w:rsid w:val="00430B3D"/>
    <w:pPr>
      <w:spacing w:after="120"/>
      <w:ind w:left="1415"/>
      <w:contextualSpacing/>
    </w:pPr>
  </w:style>
  <w:style w:type="paragraph" w:styleId="ListNumber">
    <w:name w:val="List Number"/>
    <w:basedOn w:val="Normal"/>
    <w:uiPriority w:val="98"/>
    <w:semiHidden/>
    <w:rsid w:val="00430B3D"/>
    <w:pPr>
      <w:numPr>
        <w:numId w:val="14"/>
      </w:numPr>
      <w:contextualSpacing/>
    </w:pPr>
  </w:style>
  <w:style w:type="paragraph" w:styleId="ListNumber2">
    <w:name w:val="List Number 2"/>
    <w:basedOn w:val="Normal"/>
    <w:uiPriority w:val="98"/>
    <w:semiHidden/>
    <w:rsid w:val="00430B3D"/>
    <w:pPr>
      <w:numPr>
        <w:numId w:val="15"/>
      </w:numPr>
      <w:contextualSpacing/>
    </w:pPr>
  </w:style>
  <w:style w:type="paragraph" w:styleId="ListNumber3">
    <w:name w:val="List Number 3"/>
    <w:basedOn w:val="Normal"/>
    <w:uiPriority w:val="98"/>
    <w:semiHidden/>
    <w:rsid w:val="00430B3D"/>
    <w:pPr>
      <w:numPr>
        <w:numId w:val="16"/>
      </w:numPr>
      <w:contextualSpacing/>
    </w:pPr>
  </w:style>
  <w:style w:type="paragraph" w:styleId="ListNumber4">
    <w:name w:val="List Number 4"/>
    <w:basedOn w:val="Normal"/>
    <w:uiPriority w:val="98"/>
    <w:semiHidden/>
    <w:rsid w:val="00430B3D"/>
    <w:pPr>
      <w:numPr>
        <w:numId w:val="17"/>
      </w:numPr>
      <w:contextualSpacing/>
    </w:pPr>
  </w:style>
  <w:style w:type="paragraph" w:styleId="ListNumber5">
    <w:name w:val="List Number 5"/>
    <w:basedOn w:val="Normal"/>
    <w:uiPriority w:val="98"/>
    <w:semiHidden/>
    <w:rsid w:val="00430B3D"/>
    <w:pPr>
      <w:numPr>
        <w:numId w:val="18"/>
      </w:numPr>
      <w:contextualSpacing/>
    </w:pPr>
  </w:style>
  <w:style w:type="paragraph" w:styleId="MacroText">
    <w:name w:val="macro"/>
    <w:link w:val="MacroTextChar"/>
    <w:uiPriority w:val="98"/>
    <w:semiHidden/>
    <w:rsid w:val="00430B3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30B3D"/>
    <w:rPr>
      <w:rFonts w:ascii="Consolas" w:eastAsiaTheme="minorEastAsia" w:hAnsi="Consolas" w:cs="Consolas"/>
      <w:sz w:val="20"/>
      <w:szCs w:val="20"/>
    </w:rPr>
  </w:style>
  <w:style w:type="table" w:styleId="MediumGrid1">
    <w:name w:val="Medium Grid 1"/>
    <w:basedOn w:val="TableNormal"/>
    <w:uiPriority w:val="67"/>
    <w:semiHidden/>
    <w:rsid w:val="00430B3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30B3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30B3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30B3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30B3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30B3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30B3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30B3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30B3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30B3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30B3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30B3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30B3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30B3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30B3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30B3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30B3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30B3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30B3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30B3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30B3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30B3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30B3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30B3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30B3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30B3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30B3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30B3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30B3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30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30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30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30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30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30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30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30B3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430B3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30B3D"/>
    <w:rPr>
      <w:rFonts w:ascii="Times New Roman" w:hAnsi="Times New Roman" w:cs="Times New Roman"/>
      <w:szCs w:val="24"/>
    </w:rPr>
  </w:style>
  <w:style w:type="paragraph" w:styleId="NormalIndent">
    <w:name w:val="Normal Indent"/>
    <w:basedOn w:val="Normal"/>
    <w:uiPriority w:val="98"/>
    <w:semiHidden/>
    <w:rsid w:val="00430B3D"/>
    <w:pPr>
      <w:ind w:left="720"/>
    </w:pPr>
  </w:style>
  <w:style w:type="paragraph" w:styleId="NoteHeading">
    <w:name w:val="Note Heading"/>
    <w:basedOn w:val="Normal"/>
    <w:next w:val="Normal"/>
    <w:link w:val="NoteHeadingChar"/>
    <w:uiPriority w:val="98"/>
    <w:semiHidden/>
    <w:rsid w:val="00430B3D"/>
  </w:style>
  <w:style w:type="character" w:customStyle="1" w:styleId="NoteHeadingChar">
    <w:name w:val="Note Heading Char"/>
    <w:basedOn w:val="DefaultParagraphFont"/>
    <w:link w:val="NoteHeading"/>
    <w:uiPriority w:val="98"/>
    <w:semiHidden/>
    <w:rsid w:val="00430B3D"/>
    <w:rPr>
      <w:rFonts w:eastAsiaTheme="minorEastAsia"/>
      <w:sz w:val="24"/>
      <w:lang w:val="en-GB"/>
    </w:rPr>
  </w:style>
  <w:style w:type="character" w:styleId="PlaceholderText">
    <w:name w:val="Placeholder Text"/>
    <w:basedOn w:val="DefaultParagraphFont"/>
    <w:uiPriority w:val="98"/>
    <w:semiHidden/>
    <w:rsid w:val="00430B3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30B3D"/>
    <w:rPr>
      <w:rFonts w:ascii="Consolas" w:hAnsi="Consolas" w:cs="Consolas"/>
      <w:sz w:val="21"/>
      <w:szCs w:val="21"/>
    </w:rPr>
  </w:style>
  <w:style w:type="character" w:customStyle="1" w:styleId="PlainTextChar">
    <w:name w:val="Plain Text Char"/>
    <w:basedOn w:val="DefaultParagraphFont"/>
    <w:link w:val="PlainText"/>
    <w:uiPriority w:val="98"/>
    <w:semiHidden/>
    <w:rsid w:val="00430B3D"/>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430B3D"/>
  </w:style>
  <w:style w:type="character" w:customStyle="1" w:styleId="SalutationChar">
    <w:name w:val="Salutation Char"/>
    <w:basedOn w:val="DefaultParagraphFont"/>
    <w:link w:val="Salutation"/>
    <w:uiPriority w:val="98"/>
    <w:semiHidden/>
    <w:rsid w:val="00430B3D"/>
    <w:rPr>
      <w:rFonts w:eastAsiaTheme="minorEastAsia"/>
      <w:sz w:val="24"/>
      <w:lang w:val="en-GB"/>
    </w:rPr>
  </w:style>
  <w:style w:type="paragraph" w:styleId="Signature">
    <w:name w:val="Signature"/>
    <w:basedOn w:val="Normal"/>
    <w:link w:val="SignatureChar"/>
    <w:uiPriority w:val="98"/>
    <w:semiHidden/>
    <w:rsid w:val="00430B3D"/>
    <w:pPr>
      <w:ind w:left="4252"/>
    </w:pPr>
  </w:style>
  <w:style w:type="character" w:customStyle="1" w:styleId="SignatureChar">
    <w:name w:val="Signature Char"/>
    <w:basedOn w:val="DefaultParagraphFont"/>
    <w:link w:val="Signature"/>
    <w:uiPriority w:val="98"/>
    <w:semiHidden/>
    <w:rsid w:val="00430B3D"/>
    <w:rPr>
      <w:rFonts w:eastAsiaTheme="minorEastAsia"/>
      <w:sz w:val="24"/>
      <w:lang w:val="en-GB"/>
    </w:rPr>
  </w:style>
  <w:style w:type="table" w:styleId="Table3Deffects1">
    <w:name w:val="Table 3D effects 1"/>
    <w:basedOn w:val="TableNormal"/>
    <w:uiPriority w:val="99"/>
    <w:semiHidden/>
    <w:unhideWhenUsed/>
    <w:rsid w:val="00430B3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0B3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0B3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0B3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0B3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0B3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0B3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0B3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0B3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0B3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0B3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0B3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0B3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0B3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0B3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0B3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0B3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30B3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0B3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0B3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0B3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0B3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0B3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0B3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0B3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30B3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0B3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0B3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0B3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0B3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0B3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0B3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0B3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30B3D"/>
    <w:pPr>
      <w:ind w:left="240" w:hanging="240"/>
    </w:pPr>
  </w:style>
  <w:style w:type="paragraph" w:styleId="TableofFigures">
    <w:name w:val="table of figures"/>
    <w:basedOn w:val="Normal"/>
    <w:next w:val="Normal"/>
    <w:uiPriority w:val="98"/>
    <w:semiHidden/>
    <w:rsid w:val="00430B3D"/>
  </w:style>
  <w:style w:type="table" w:styleId="TableProfessional">
    <w:name w:val="Table Professional"/>
    <w:basedOn w:val="TableNormal"/>
    <w:uiPriority w:val="99"/>
    <w:semiHidden/>
    <w:unhideWhenUsed/>
    <w:rsid w:val="00430B3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0B3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0B3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0B3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0B3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0B3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0B3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0B3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0B3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0B3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30B3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30B3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30B3D"/>
    <w:pPr>
      <w:spacing w:after="100"/>
      <w:ind w:left="1680"/>
    </w:pPr>
  </w:style>
  <w:style w:type="paragraph" w:styleId="TOC9">
    <w:name w:val="toc 9"/>
    <w:basedOn w:val="Normal"/>
    <w:next w:val="Normal"/>
    <w:autoRedefine/>
    <w:uiPriority w:val="98"/>
    <w:semiHidden/>
    <w:rsid w:val="00430B3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430B3D"/>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430B3D"/>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430B3D"/>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430B3D"/>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F711FA"/>
    <w:rPr>
      <w:rFonts w:eastAsiaTheme="minorEastAsia"/>
      <w:sz w:val="24"/>
      <w:lang w:val="en-GB"/>
    </w:rPr>
  </w:style>
  <w:style w:type="paragraph" w:customStyle="1" w:styleId="ECHRBullet2">
    <w:name w:val="ECHR_Bullet_2"/>
    <w:aliases w:val="_Bul_2"/>
    <w:basedOn w:val="ECHRBullet1"/>
    <w:uiPriority w:val="23"/>
    <w:semiHidden/>
    <w:rsid w:val="00430B3D"/>
    <w:pPr>
      <w:numPr>
        <w:ilvl w:val="1"/>
      </w:numPr>
    </w:pPr>
  </w:style>
  <w:style w:type="paragraph" w:customStyle="1" w:styleId="ECHRBullet3">
    <w:name w:val="ECHR_Bullet_3"/>
    <w:aliases w:val="_Bul_3"/>
    <w:basedOn w:val="ECHRBullet2"/>
    <w:uiPriority w:val="23"/>
    <w:semiHidden/>
    <w:rsid w:val="00430B3D"/>
    <w:pPr>
      <w:numPr>
        <w:ilvl w:val="2"/>
      </w:numPr>
    </w:pPr>
  </w:style>
  <w:style w:type="paragraph" w:customStyle="1" w:styleId="ECHRBullet4">
    <w:name w:val="ECHR_Bullet_4"/>
    <w:aliases w:val="_Bul_4"/>
    <w:basedOn w:val="ECHRBullet3"/>
    <w:uiPriority w:val="23"/>
    <w:semiHidden/>
    <w:rsid w:val="00430B3D"/>
    <w:pPr>
      <w:numPr>
        <w:ilvl w:val="3"/>
      </w:numPr>
    </w:pPr>
  </w:style>
  <w:style w:type="paragraph" w:customStyle="1" w:styleId="ECHRConfidential">
    <w:name w:val="ECHR_Confidential"/>
    <w:aliases w:val="_Confidential"/>
    <w:basedOn w:val="Normal"/>
    <w:next w:val="Normal"/>
    <w:uiPriority w:val="42"/>
    <w:semiHidden/>
    <w:qFormat/>
    <w:rsid w:val="00430B3D"/>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430B3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30B3D"/>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430B3D"/>
    <w:rPr>
      <w:rFonts w:ascii="Arial" w:hAnsi="Arial"/>
      <w:i/>
      <w:color w:val="0072BC" w:themeColor="accent1"/>
      <w:sz w:val="32"/>
      <w:lang w:val="en-GB"/>
    </w:rPr>
  </w:style>
  <w:style w:type="paragraph" w:customStyle="1" w:styleId="ECHRFooterLineLandscape">
    <w:name w:val="ECHR_Footer_Line_Landscape"/>
    <w:aliases w:val="_Footer_Line_Landscape"/>
    <w:basedOn w:val="Normal"/>
    <w:uiPriority w:val="30"/>
    <w:semiHidden/>
    <w:rsid w:val="00430B3D"/>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430B3D"/>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430B3D"/>
    <w:pPr>
      <w:numPr>
        <w:numId w:val="1"/>
      </w:numPr>
    </w:pPr>
    <w:rPr>
      <w:i w:val="0"/>
      <w:sz w:val="18"/>
    </w:rPr>
  </w:style>
  <w:style w:type="paragraph" w:customStyle="1" w:styleId="ECHRParaIndent">
    <w:name w:val="ECHR_Para_Indent"/>
    <w:aliases w:val="_Indent"/>
    <w:basedOn w:val="Normal"/>
    <w:uiPriority w:val="7"/>
    <w:semiHidden/>
    <w:qFormat/>
    <w:rsid w:val="00430B3D"/>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430B3D"/>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430B3D"/>
    <w:pPr>
      <w:numPr>
        <w:numId w:val="0"/>
      </w:numPr>
      <w:ind w:left="284"/>
    </w:pPr>
  </w:style>
  <w:style w:type="paragraph" w:customStyle="1" w:styleId="ECHRNumberedList1">
    <w:name w:val="ECHR_Numbered_List_1"/>
    <w:aliases w:val="_Num_1"/>
    <w:basedOn w:val="Normal"/>
    <w:uiPriority w:val="23"/>
    <w:semiHidden/>
    <w:qFormat/>
    <w:rsid w:val="00430B3D"/>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430B3D"/>
    <w:pPr>
      <w:numPr>
        <w:ilvl w:val="1"/>
      </w:numPr>
    </w:pPr>
  </w:style>
  <w:style w:type="paragraph" w:customStyle="1" w:styleId="ECHRNumberedList3">
    <w:name w:val="ECHR_Numbered_List_3"/>
    <w:aliases w:val="_Num_3"/>
    <w:basedOn w:val="ECHRNumberedList2"/>
    <w:uiPriority w:val="23"/>
    <w:semiHidden/>
    <w:rsid w:val="00430B3D"/>
    <w:pPr>
      <w:numPr>
        <w:ilvl w:val="2"/>
      </w:numPr>
    </w:pPr>
  </w:style>
  <w:style w:type="character" w:customStyle="1" w:styleId="ECHRRed">
    <w:name w:val="ECHR_Red"/>
    <w:aliases w:val="_Red"/>
    <w:basedOn w:val="DefaultParagraphFont"/>
    <w:uiPriority w:val="15"/>
    <w:semiHidden/>
    <w:qFormat/>
    <w:rsid w:val="00430B3D"/>
    <w:rPr>
      <w:color w:val="C00000" w:themeColor="accent2"/>
    </w:rPr>
  </w:style>
  <w:style w:type="paragraph" w:customStyle="1" w:styleId="ECHRHeaderDate">
    <w:name w:val="ECHR_Header_Date"/>
    <w:aliases w:val="_Ref_Date"/>
    <w:basedOn w:val="Normal"/>
    <w:uiPriority w:val="44"/>
    <w:semiHidden/>
    <w:qFormat/>
    <w:rsid w:val="00430B3D"/>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430B3D"/>
    <w:pPr>
      <w:jc w:val="right"/>
    </w:pPr>
    <w:rPr>
      <w:rFonts w:eastAsiaTheme="minorHAnsi"/>
      <w:i/>
      <w:sz w:val="20"/>
    </w:rPr>
  </w:style>
  <w:style w:type="paragraph" w:customStyle="1" w:styleId="ECHRSpacer">
    <w:name w:val="ECHR_Spacer"/>
    <w:aliases w:val="_Spacer"/>
    <w:basedOn w:val="Normal"/>
    <w:uiPriority w:val="45"/>
    <w:semiHidden/>
    <w:rsid w:val="00430B3D"/>
    <w:rPr>
      <w:rFonts w:eastAsiaTheme="minorHAnsi"/>
      <w:sz w:val="4"/>
    </w:rPr>
  </w:style>
  <w:style w:type="paragraph" w:customStyle="1" w:styleId="ECHRTitleCentre1">
    <w:name w:val="ECHR_Title_Centre_1"/>
    <w:aliases w:val="_Title_C_1"/>
    <w:basedOn w:val="Normal"/>
    <w:next w:val="Normal"/>
    <w:uiPriority w:val="26"/>
    <w:semiHidden/>
    <w:qFormat/>
    <w:rsid w:val="00430B3D"/>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30B3D"/>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30B3D"/>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30B3D"/>
    <w:pPr>
      <w:outlineLvl w:val="0"/>
    </w:pPr>
  </w:style>
  <w:style w:type="paragraph" w:customStyle="1" w:styleId="ECHRTitle1">
    <w:name w:val="ECHR_Title_1"/>
    <w:aliases w:val="_Title_L_1"/>
    <w:basedOn w:val="Normal"/>
    <w:next w:val="Normal"/>
    <w:uiPriority w:val="28"/>
    <w:semiHidden/>
    <w:qFormat/>
    <w:rsid w:val="00430B3D"/>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30B3D"/>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30B3D"/>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430B3D"/>
    <w:pPr>
      <w:outlineLvl w:val="0"/>
    </w:pPr>
  </w:style>
  <w:style w:type="table" w:customStyle="1" w:styleId="ECHRTable2">
    <w:name w:val="ECHR_Table_2"/>
    <w:basedOn w:val="TableNormal"/>
    <w:uiPriority w:val="99"/>
    <w:rsid w:val="00430B3D"/>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30B3D"/>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221C68-0450-4EE0-A3F4-D90E6873028E}"/>
</file>

<file path=customXml/itemProps2.xml><?xml version="1.0" encoding="utf-8"?>
<ds:datastoreItem xmlns:ds="http://schemas.openxmlformats.org/officeDocument/2006/customXml" ds:itemID="{264DAB35-8F58-4CF4-B7F8-3F66000D6D8E}"/>
</file>

<file path=customXml/itemProps3.xml><?xml version="1.0" encoding="utf-8"?>
<ds:datastoreItem xmlns:ds="http://schemas.openxmlformats.org/officeDocument/2006/customXml" ds:itemID="{AE97CF20-971B-422E-A028-E422171E4FC1}"/>
</file>

<file path=customXml/itemProps4.xml><?xml version="1.0" encoding="utf-8"?>
<ds:datastoreItem xmlns:ds="http://schemas.openxmlformats.org/officeDocument/2006/customXml" ds:itemID="{BFA12348-9083-4802-ADA6-F8C06893A3AB}"/>
</file>

<file path=docProps/app.xml><?xml version="1.0" encoding="utf-8"?>
<Properties xmlns="http://schemas.openxmlformats.org/officeDocument/2006/extended-properties" xmlns:vt="http://schemas.openxmlformats.org/officeDocument/2006/docPropsVTypes">
  <Template>Normal.dotm</Template>
  <TotalTime>0</TotalTime>
  <Pages>1</Pages>
  <Words>1839</Words>
  <Characters>10487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2020-01-14T14:13:00Z</dcterms:created>
  <dcterms:modified xsi:type="dcterms:W3CDTF">2020-01-14T14:13:00Z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43444/15</vt:lpwstr>
  </property>
  <property fmtid="{D5CDD505-2E9C-101B-9397-08002B2CF9AE}" pid="4" name="CASEID">
    <vt:lpwstr>1153802</vt:lpwstr>
  </property>
  <property fmtid="{D5CDD505-2E9C-101B-9397-08002B2CF9AE}" pid="5" name="ContentTypeId">
    <vt:lpwstr>0x010100558EB02BDB9E204AB350EDD385B68E10</vt:lpwstr>
  </property>
</Properties>
</file>