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86E8A" w:rsidR="00C86E8A" w:rsidP="00C86E8A" w:rsidRDefault="00C86E8A">
      <w:pPr>
        <w:rPr>
          <w:rFonts w:ascii="Times New Roman" w:hAnsi="Times New Roman" w:cs="Times New Roman"/>
        </w:rPr>
      </w:pPr>
    </w:p>
    <w:p w:rsidRPr="00C86E8A" w:rsidR="00C230D7" w:rsidP="00C86E8A" w:rsidRDefault="00C230D7">
      <w:pPr>
        <w:rPr>
          <w:rFonts w:ascii="Times New Roman" w:hAnsi="Times New Roman" w:cs="Times New Roman"/>
        </w:rPr>
      </w:pPr>
    </w:p>
    <w:p w:rsidRPr="00C86E8A" w:rsidR="007A4070" w:rsidP="00C86E8A" w:rsidRDefault="00423016">
      <w:pPr>
        <w:pStyle w:val="DecHCase"/>
      </w:pPr>
      <w:r w:rsidRPr="00C86E8A">
        <w:t>DEUXIÈME SECTION</w:t>
      </w:r>
    </w:p>
    <w:p w:rsidRPr="00C86E8A" w:rsidR="007A4070" w:rsidP="00C86E8A" w:rsidRDefault="007A4070">
      <w:pPr>
        <w:pStyle w:val="JuTitle"/>
      </w:pPr>
      <w:r w:rsidRPr="00C86E8A">
        <w:t xml:space="preserve">AFFAIRE </w:t>
      </w:r>
      <w:r w:rsidRPr="00C86E8A" w:rsidR="00D75731">
        <w:t>VAROĞLU ATİ</w:t>
      </w:r>
      <w:r w:rsidRPr="00C86E8A" w:rsidR="00423016">
        <w:t>K ET AUTRES c. TURQUIE</w:t>
      </w:r>
    </w:p>
    <w:p w:rsidRPr="00C86E8A" w:rsidR="007A4070" w:rsidP="00C86E8A" w:rsidRDefault="007A4070">
      <w:pPr>
        <w:pStyle w:val="ECHRCoverTitle4"/>
      </w:pPr>
      <w:r w:rsidRPr="00C86E8A">
        <w:t>(</w:t>
      </w:r>
      <w:r w:rsidRPr="00C86E8A" w:rsidR="00423016">
        <w:t>Requête n</w:t>
      </w:r>
      <w:r w:rsidRPr="00C86E8A" w:rsidR="00423016">
        <w:rPr>
          <w:vertAlign w:val="superscript"/>
        </w:rPr>
        <w:t>o</w:t>
      </w:r>
      <w:r w:rsidRPr="00C86E8A">
        <w:t xml:space="preserve"> </w:t>
      </w:r>
      <w:r w:rsidRPr="00C86E8A" w:rsidR="00423016">
        <w:t>76061/14</w:t>
      </w:r>
      <w:r w:rsidRPr="00C86E8A">
        <w:t>)</w:t>
      </w:r>
    </w:p>
    <w:p w:rsidRPr="00C86E8A" w:rsidR="007A4070" w:rsidP="00C86E8A" w:rsidRDefault="007A4070">
      <w:pPr>
        <w:pStyle w:val="DecHCase"/>
      </w:pPr>
    </w:p>
    <w:p w:rsidRPr="00C86E8A" w:rsidR="007A4070" w:rsidP="00C86E8A" w:rsidRDefault="007A4070">
      <w:pPr>
        <w:pStyle w:val="DecHCase"/>
      </w:pPr>
    </w:p>
    <w:p w:rsidRPr="00C86E8A" w:rsidR="007A4070" w:rsidP="00C86E8A" w:rsidRDefault="007A4070">
      <w:pPr>
        <w:pStyle w:val="DecHCase"/>
      </w:pPr>
      <w:r w:rsidRPr="00C86E8A">
        <w:t>ARRÊT</w:t>
      </w:r>
      <w:r w:rsidRPr="00C86E8A">
        <w:br/>
      </w:r>
    </w:p>
    <w:p w:rsidRPr="00C86E8A" w:rsidR="00863955" w:rsidP="00C86E8A" w:rsidRDefault="00863955">
      <w:pPr>
        <w:pStyle w:val="JuPara"/>
        <w:pBdr>
          <w:top w:val="single" w:color="auto" w:sz="4" w:space="1"/>
          <w:left w:val="single" w:color="auto" w:sz="4" w:space="4"/>
          <w:bottom w:val="single" w:color="auto" w:sz="4" w:space="1"/>
          <w:right w:val="single" w:color="auto" w:sz="4" w:space="4"/>
        </w:pBdr>
        <w:ind w:firstLine="0"/>
      </w:pPr>
      <w:r w:rsidRPr="00C86E8A">
        <w:t xml:space="preserve">Art 11 • </w:t>
      </w:r>
      <w:proofErr w:type="spellStart"/>
      <w:r w:rsidRPr="00C86E8A">
        <w:t>Liberte</w:t>
      </w:r>
      <w:proofErr w:type="spellEnd"/>
      <w:r w:rsidRPr="00C86E8A">
        <w:t xml:space="preserve">́ de </w:t>
      </w:r>
      <w:proofErr w:type="spellStart"/>
      <w:r w:rsidRPr="00C86E8A">
        <w:t>réunion</w:t>
      </w:r>
      <w:proofErr w:type="spellEnd"/>
      <w:r w:rsidRPr="00C86E8A">
        <w:t xml:space="preserve"> pacifique • Condamnation de manifestants ayant commis après la fin d</w:t>
      </w:r>
      <w:r w:rsidRPr="00C86E8A" w:rsidR="00C86E8A">
        <w:t>’</w:t>
      </w:r>
      <w:r w:rsidRPr="00C86E8A">
        <w:t>une manifestation pacifique autorisée des actes violents à l</w:t>
      </w:r>
      <w:r w:rsidRPr="00C86E8A" w:rsidR="00C86E8A">
        <w:t>’</w:t>
      </w:r>
      <w:r w:rsidRPr="00C86E8A">
        <w:t>égard des forces de l</w:t>
      </w:r>
      <w:r w:rsidRPr="00C86E8A" w:rsidR="00C86E8A">
        <w:t>’</w:t>
      </w:r>
      <w:r w:rsidRPr="00C86E8A">
        <w:t>ordre protégeant le Parlement • Comportements répréhensibles • Condamnation à une simple amende • Décisions judiciaires fondées sur une appréciation acceptable des faits et des motifs pertinents et suffisants</w:t>
      </w:r>
    </w:p>
    <w:p w:rsidRPr="00C86E8A" w:rsidR="00863955" w:rsidP="00C86E8A" w:rsidRDefault="00863955">
      <w:pPr>
        <w:pStyle w:val="DecHCase"/>
        <w:spacing w:after="120"/>
      </w:pPr>
    </w:p>
    <w:p w:rsidRPr="00C86E8A" w:rsidR="007A4070" w:rsidP="00C86E8A" w:rsidRDefault="007A4070">
      <w:pPr>
        <w:pStyle w:val="DecHCase"/>
      </w:pPr>
      <w:r w:rsidRPr="00C86E8A">
        <w:t>STRASBOURG</w:t>
      </w:r>
    </w:p>
    <w:p w:rsidRPr="00C86E8A" w:rsidR="007A4070" w:rsidP="00C86E8A" w:rsidRDefault="00423016">
      <w:pPr>
        <w:pStyle w:val="DecHCase"/>
      </w:pPr>
      <w:r w:rsidRPr="00C86E8A">
        <w:t>14 janvier 2020</w:t>
      </w:r>
    </w:p>
    <w:p w:rsidRPr="00C86E8A" w:rsidR="007A4070" w:rsidP="00C86E8A" w:rsidRDefault="007A4070">
      <w:pPr>
        <w:pStyle w:val="DecHCase"/>
      </w:pPr>
    </w:p>
    <w:p w:rsidR="00BF560B" w:rsidP="00BF560B" w:rsidRDefault="00BF560B">
      <w:pPr>
        <w:pStyle w:val="jucase0"/>
        <w:ind w:firstLine="0"/>
        <w:jc w:val="center"/>
        <w:rPr>
          <w:color w:val="FF0000"/>
          <w:sz w:val="28"/>
          <w:szCs w:val="28"/>
          <w:u w:val="single"/>
          <w:lang w:val="fr-FR"/>
        </w:rPr>
      </w:pPr>
      <w:r>
        <w:rPr>
          <w:color w:val="FF0000"/>
          <w:sz w:val="28"/>
          <w:szCs w:val="28"/>
          <w:u w:val="single"/>
          <w:lang w:val="fr-FR"/>
        </w:rPr>
        <w:t>DÉFINITIF</w:t>
      </w:r>
    </w:p>
    <w:p w:rsidR="00BF560B" w:rsidP="00BF560B" w:rsidRDefault="00BF560B">
      <w:pPr>
        <w:pStyle w:val="jupara0"/>
        <w:ind w:firstLine="0"/>
        <w:jc w:val="center"/>
        <w:rPr>
          <w:color w:val="FF0000"/>
          <w:sz w:val="28"/>
          <w:szCs w:val="28"/>
          <w:lang w:val="fr-FR"/>
        </w:rPr>
      </w:pPr>
    </w:p>
    <w:p w:rsidR="00BF560B" w:rsidP="00BF560B" w:rsidRDefault="00BF560B">
      <w:pPr>
        <w:pStyle w:val="jupara0"/>
        <w:ind w:firstLine="0"/>
        <w:jc w:val="center"/>
        <w:rPr>
          <w:color w:val="FF0000"/>
          <w:sz w:val="28"/>
          <w:szCs w:val="28"/>
          <w:lang w:val="fr-FR"/>
        </w:rPr>
      </w:pPr>
      <w:r>
        <w:rPr>
          <w:color w:val="FF0000"/>
          <w:sz w:val="28"/>
          <w:szCs w:val="28"/>
          <w:lang w:val="fr-FR"/>
        </w:rPr>
        <w:t>14/05/2020</w:t>
      </w:r>
    </w:p>
    <w:p w:rsidR="00BF560B" w:rsidP="00BF560B" w:rsidRDefault="00BF560B">
      <w:pPr>
        <w:jc w:val="center"/>
        <w:rPr>
          <w:u w:val="single"/>
        </w:rPr>
      </w:pPr>
    </w:p>
    <w:p w:rsidRPr="00BF560B" w:rsidR="00516B59" w:rsidP="00BF560B" w:rsidRDefault="00BF560B">
      <w:pPr>
        <w:jc w:val="center"/>
        <w:rPr>
          <w:rFonts w:ascii="Times New Roman" w:hAnsi="Times New Roman" w:cs="Times New Roman"/>
          <w:i/>
          <w:sz w:val="22"/>
        </w:rPr>
      </w:pPr>
      <w:r>
        <w:rPr>
          <w:i/>
          <w:iCs/>
          <w:sz w:val="22"/>
        </w:rPr>
        <w:t xml:space="preserve">Cet arrêt est devenu définitif en vertu de l’article 44 § 2 de la Convention. </w:t>
      </w:r>
      <w:r w:rsidRPr="00BF560B">
        <w:rPr>
          <w:i/>
          <w:iCs/>
          <w:sz w:val="22"/>
        </w:rPr>
        <w:t xml:space="preserve">Il peut </w:t>
      </w:r>
      <w:bookmarkStart w:name="_GoBack" w:id="0"/>
      <w:bookmarkEnd w:id="0"/>
      <w:r w:rsidRPr="00BF560B">
        <w:rPr>
          <w:i/>
          <w:iCs/>
          <w:sz w:val="22"/>
        </w:rPr>
        <w:t>subir des retouches de forme.</w:t>
      </w:r>
    </w:p>
    <w:p w:rsidRPr="00C86E8A" w:rsidR="00516B59" w:rsidP="00C86E8A" w:rsidRDefault="00516B59">
      <w:pPr>
        <w:ind w:left="720"/>
        <w:rPr>
          <w:rFonts w:ascii="Times New Roman" w:hAnsi="Times New Roman" w:cs="Times New Roman"/>
          <w:sz w:val="22"/>
        </w:rPr>
      </w:pPr>
    </w:p>
    <w:p w:rsidRPr="00C86E8A" w:rsidR="00C230D7" w:rsidP="00C86E8A" w:rsidRDefault="00C230D7">
      <w:pPr>
        <w:ind w:left="720"/>
        <w:rPr>
          <w:rFonts w:ascii="Times New Roman" w:hAnsi="Times New Roman" w:cs="Times New Roman"/>
          <w:sz w:val="22"/>
        </w:rPr>
        <w:sectPr w:rsidRPr="00C86E8A" w:rsidR="00C230D7">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C86E8A" w:rsidR="004344E6" w:rsidP="00C86E8A" w:rsidRDefault="004344E6">
      <w:pPr>
        <w:pStyle w:val="JuCase"/>
      </w:pPr>
      <w:r w:rsidRPr="00C86E8A">
        <w:t>En l</w:t>
      </w:r>
      <w:r w:rsidRPr="00C86E8A" w:rsidR="00C86E8A">
        <w:t>’</w:t>
      </w:r>
      <w:r w:rsidRPr="00C86E8A">
        <w:t xml:space="preserve">affaire </w:t>
      </w:r>
      <w:proofErr w:type="spellStart"/>
      <w:r w:rsidRPr="00C86E8A" w:rsidR="00423016">
        <w:t>Varoğlu</w:t>
      </w:r>
      <w:proofErr w:type="spellEnd"/>
      <w:r w:rsidRPr="00C86E8A" w:rsidR="00423016">
        <w:t xml:space="preserve"> </w:t>
      </w:r>
      <w:proofErr w:type="spellStart"/>
      <w:r w:rsidRPr="00C86E8A" w:rsidR="00423016">
        <w:t>Atik</w:t>
      </w:r>
      <w:proofErr w:type="spellEnd"/>
      <w:r w:rsidRPr="00C86E8A" w:rsidR="00423016">
        <w:t xml:space="preserve"> et autres c. Turquie</w:t>
      </w:r>
      <w:r w:rsidRPr="00C86E8A">
        <w:t>,</w:t>
      </w:r>
    </w:p>
    <w:p w:rsidRPr="00C86E8A" w:rsidR="004344E6" w:rsidP="00C86E8A" w:rsidRDefault="004344E6">
      <w:pPr>
        <w:pStyle w:val="JuPara"/>
      </w:pPr>
      <w:r w:rsidRPr="00C86E8A">
        <w:t>La Cour européenne des droits de l</w:t>
      </w:r>
      <w:r w:rsidRPr="00C86E8A" w:rsidR="00C86E8A">
        <w:t>’</w:t>
      </w:r>
      <w:r w:rsidRPr="00C86E8A">
        <w:t>homme (</w:t>
      </w:r>
      <w:r w:rsidRPr="00C86E8A" w:rsidR="00423016">
        <w:t>deuxième section</w:t>
      </w:r>
      <w:r w:rsidRPr="00C86E8A">
        <w:t xml:space="preserve">), siégeant en </w:t>
      </w:r>
      <w:r w:rsidRPr="00C86E8A" w:rsidR="00423016">
        <w:rPr>
          <w:color w:val="000000"/>
        </w:rPr>
        <w:t>une</w:t>
      </w:r>
      <w:r w:rsidRPr="00C86E8A" w:rsidR="00423016">
        <w:t xml:space="preserve"> Chambre composée</w:t>
      </w:r>
      <w:r w:rsidRPr="00C86E8A">
        <w:t xml:space="preserve"> de :</w:t>
      </w:r>
    </w:p>
    <w:p w:rsidRPr="00C86E8A" w:rsidR="004344E6" w:rsidP="00C86E8A" w:rsidRDefault="00D75731">
      <w:pPr>
        <w:pStyle w:val="JuJudges"/>
      </w:pPr>
      <w:r w:rsidRPr="00C86E8A">
        <w:tab/>
        <w:t>Robert Spano,</w:t>
      </w:r>
      <w:r w:rsidRPr="00C86E8A">
        <w:rPr>
          <w:i/>
        </w:rPr>
        <w:t xml:space="preserve"> président,</w:t>
      </w:r>
      <w:r w:rsidRPr="00C86E8A">
        <w:rPr>
          <w:i/>
        </w:rPr>
        <w:br/>
      </w:r>
      <w:r w:rsidRPr="00C86E8A">
        <w:tab/>
        <w:t xml:space="preserve">Marko </w:t>
      </w:r>
      <w:proofErr w:type="spellStart"/>
      <w:r w:rsidRPr="00C86E8A">
        <w:t>Bošnjak</w:t>
      </w:r>
      <w:proofErr w:type="spellEnd"/>
      <w:r w:rsidRPr="00C86E8A">
        <w:t>,</w:t>
      </w:r>
      <w:r w:rsidRPr="00C86E8A">
        <w:rPr>
          <w:i/>
        </w:rPr>
        <w:br/>
      </w:r>
      <w:r w:rsidRPr="00C86E8A">
        <w:tab/>
      </w:r>
      <w:proofErr w:type="spellStart"/>
      <w:r w:rsidRPr="00C86E8A">
        <w:t>Valeriu</w:t>
      </w:r>
      <w:proofErr w:type="spellEnd"/>
      <w:r w:rsidRPr="00C86E8A">
        <w:t xml:space="preserve"> </w:t>
      </w:r>
      <w:proofErr w:type="spellStart"/>
      <w:r w:rsidRPr="00C86E8A">
        <w:t>Griţco</w:t>
      </w:r>
      <w:proofErr w:type="spellEnd"/>
      <w:r w:rsidRPr="00C86E8A">
        <w:t>,</w:t>
      </w:r>
      <w:r w:rsidRPr="00C86E8A">
        <w:rPr>
          <w:i/>
        </w:rPr>
        <w:br/>
      </w:r>
      <w:r w:rsidRPr="00C86E8A">
        <w:tab/>
      </w:r>
      <w:proofErr w:type="spellStart"/>
      <w:r w:rsidRPr="00C86E8A">
        <w:t>Egidijus</w:t>
      </w:r>
      <w:proofErr w:type="spellEnd"/>
      <w:r w:rsidRPr="00C86E8A">
        <w:t xml:space="preserve"> </w:t>
      </w:r>
      <w:proofErr w:type="spellStart"/>
      <w:r w:rsidRPr="00C86E8A">
        <w:t>Kūris</w:t>
      </w:r>
      <w:proofErr w:type="spellEnd"/>
      <w:r w:rsidRPr="00C86E8A">
        <w:t>,</w:t>
      </w:r>
      <w:r w:rsidRPr="00C86E8A">
        <w:rPr>
          <w:i/>
        </w:rPr>
        <w:br/>
      </w:r>
      <w:r w:rsidRPr="00C86E8A">
        <w:tab/>
        <w:t xml:space="preserve">Arnfinn </w:t>
      </w:r>
      <w:proofErr w:type="spellStart"/>
      <w:r w:rsidRPr="00C86E8A">
        <w:t>Bårdsen</w:t>
      </w:r>
      <w:proofErr w:type="spellEnd"/>
      <w:r w:rsidRPr="00C86E8A">
        <w:t>,</w:t>
      </w:r>
      <w:r w:rsidRPr="00C86E8A">
        <w:rPr>
          <w:i/>
        </w:rPr>
        <w:br/>
      </w:r>
      <w:r w:rsidRPr="00C86E8A">
        <w:tab/>
      </w:r>
      <w:proofErr w:type="spellStart"/>
      <w:r w:rsidRPr="00C86E8A">
        <w:t>Darian</w:t>
      </w:r>
      <w:proofErr w:type="spellEnd"/>
      <w:r w:rsidRPr="00C86E8A">
        <w:t xml:space="preserve"> </w:t>
      </w:r>
      <w:proofErr w:type="spellStart"/>
      <w:r w:rsidRPr="00C86E8A">
        <w:t>Pavli</w:t>
      </w:r>
      <w:proofErr w:type="spellEnd"/>
      <w:r w:rsidRPr="00C86E8A">
        <w:t>,</w:t>
      </w:r>
      <w:r w:rsidRPr="00C86E8A">
        <w:rPr>
          <w:i/>
        </w:rPr>
        <w:br/>
      </w:r>
      <w:r w:rsidRPr="00C86E8A">
        <w:tab/>
      </w:r>
      <w:proofErr w:type="spellStart"/>
      <w:r w:rsidRPr="00C86E8A">
        <w:t>Saadet</w:t>
      </w:r>
      <w:proofErr w:type="spellEnd"/>
      <w:r w:rsidRPr="00C86E8A">
        <w:t xml:space="preserve"> </w:t>
      </w:r>
      <w:proofErr w:type="spellStart"/>
      <w:r w:rsidRPr="00C86E8A">
        <w:t>Yüksel</w:t>
      </w:r>
      <w:proofErr w:type="spellEnd"/>
      <w:r w:rsidRPr="00C86E8A">
        <w:t>,</w:t>
      </w:r>
      <w:r w:rsidRPr="00C86E8A">
        <w:rPr>
          <w:i/>
        </w:rPr>
        <w:t xml:space="preserve"> juges</w:t>
      </w:r>
      <w:proofErr w:type="gramStart"/>
      <w:r w:rsidRPr="00C86E8A">
        <w:rPr>
          <w:i/>
        </w:rPr>
        <w:t>,</w:t>
      </w:r>
      <w:proofErr w:type="gramEnd"/>
      <w:r w:rsidRPr="00C86E8A">
        <w:rPr>
          <w:i/>
        </w:rPr>
        <w:br/>
      </w:r>
      <w:r w:rsidRPr="00C86E8A" w:rsidR="004344E6">
        <w:t xml:space="preserve">et de </w:t>
      </w:r>
      <w:r w:rsidRPr="00C86E8A">
        <w:t>Hasan Bakırcı</w:t>
      </w:r>
      <w:r w:rsidRPr="00C86E8A" w:rsidR="004344E6">
        <w:t xml:space="preserve">, </w:t>
      </w:r>
      <w:r w:rsidRPr="00C86E8A" w:rsidR="00423016">
        <w:rPr>
          <w:i/>
        </w:rPr>
        <w:t>greffier</w:t>
      </w:r>
      <w:r w:rsidRPr="00C86E8A">
        <w:rPr>
          <w:i/>
        </w:rPr>
        <w:t xml:space="preserve"> adjoint</w:t>
      </w:r>
      <w:r w:rsidRPr="00C86E8A" w:rsidR="00C14D95">
        <w:rPr>
          <w:i/>
        </w:rPr>
        <w:t xml:space="preserve"> </w:t>
      </w:r>
      <w:r w:rsidRPr="00C86E8A" w:rsidR="00423016">
        <w:rPr>
          <w:i/>
          <w:iCs/>
        </w:rPr>
        <w:t>d</w:t>
      </w:r>
      <w:r w:rsidRPr="00C86E8A" w:rsidR="00423016">
        <w:rPr>
          <w:i/>
        </w:rPr>
        <w:t>e section</w:t>
      </w:r>
      <w:r w:rsidRPr="00C86E8A" w:rsidR="004344E6">
        <w:t>,</w:t>
      </w:r>
    </w:p>
    <w:p w:rsidRPr="00C86E8A" w:rsidR="004344E6" w:rsidP="00C86E8A" w:rsidRDefault="004344E6">
      <w:pPr>
        <w:pStyle w:val="JuPara"/>
      </w:pPr>
      <w:r w:rsidRPr="00C86E8A">
        <w:t xml:space="preserve">Après en avoir délibéré en chambre du conseil le </w:t>
      </w:r>
      <w:r w:rsidRPr="00C86E8A" w:rsidR="00423016">
        <w:rPr>
          <w:szCs w:val="24"/>
        </w:rPr>
        <w:t>3 décembre 2019</w:t>
      </w:r>
      <w:r w:rsidRPr="00C86E8A">
        <w:t>,</w:t>
      </w:r>
    </w:p>
    <w:p w:rsidRPr="00C86E8A" w:rsidR="00876F03" w:rsidP="00C86E8A" w:rsidRDefault="004344E6">
      <w:pPr>
        <w:pStyle w:val="JuPara"/>
      </w:pPr>
      <w:r w:rsidRPr="00C86E8A">
        <w:t>Rend l</w:t>
      </w:r>
      <w:r w:rsidRPr="00C86E8A" w:rsidR="00C86E8A">
        <w:t>’</w:t>
      </w:r>
      <w:r w:rsidRPr="00C86E8A">
        <w:t>arrêt que voici</w:t>
      </w:r>
      <w:r w:rsidRPr="00C86E8A" w:rsidR="00876F03">
        <w:t>, adopté à cette date :</w:t>
      </w:r>
    </w:p>
    <w:p w:rsidRPr="00C86E8A" w:rsidR="00423016" w:rsidP="00C86E8A" w:rsidRDefault="00423016">
      <w:pPr>
        <w:pStyle w:val="JuHHead"/>
        <w:numPr>
          <w:ilvl w:val="0"/>
          <w:numId w:val="1"/>
        </w:numPr>
      </w:pPr>
      <w:r w:rsidRPr="00C86E8A">
        <w:t>PROCÉDURE</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1</w:t>
      </w:r>
      <w:r w:rsidRPr="00C86E8A">
        <w:fldChar w:fldCharType="end"/>
      </w:r>
      <w:r w:rsidRPr="00C86E8A">
        <w:t>.  À l</w:t>
      </w:r>
      <w:r w:rsidRPr="00C86E8A" w:rsidR="00C86E8A">
        <w:t>’</w:t>
      </w:r>
      <w:r w:rsidRPr="00C86E8A">
        <w:t>origine de l</w:t>
      </w:r>
      <w:r w:rsidRPr="00C86E8A" w:rsidR="00C86E8A">
        <w:t>’</w:t>
      </w:r>
      <w:r w:rsidRPr="00C86E8A">
        <w:t>affaire se trouve une requête (n</w:t>
      </w:r>
      <w:r w:rsidRPr="00C86E8A">
        <w:rPr>
          <w:vertAlign w:val="superscript"/>
        </w:rPr>
        <w:t>o</w:t>
      </w:r>
      <w:r w:rsidRPr="00C86E8A">
        <w:t xml:space="preserve"> 76061/14) dirigée contre la République de Turquie et dont trois particuliers,</w:t>
      </w:r>
      <w:r w:rsidRPr="00C86E8A" w:rsidR="00D75731">
        <w:t xml:space="preserve"> </w:t>
      </w:r>
      <w:r w:rsidRPr="00C86E8A">
        <w:t>M</w:t>
      </w:r>
      <w:r w:rsidRPr="00C86E8A">
        <w:rPr>
          <w:vertAlign w:val="superscript"/>
        </w:rPr>
        <w:t>me</w:t>
      </w:r>
      <w:r w:rsidRPr="00C86E8A" w:rsidR="00D75731">
        <w:rPr>
          <w:vertAlign w:val="superscript"/>
        </w:rPr>
        <w:t> </w:t>
      </w:r>
      <w:proofErr w:type="spellStart"/>
      <w:r w:rsidRPr="00C86E8A">
        <w:t>İlkşen</w:t>
      </w:r>
      <w:proofErr w:type="spellEnd"/>
      <w:r w:rsidRPr="00C86E8A" w:rsidR="00D75731">
        <w:t> </w:t>
      </w:r>
      <w:proofErr w:type="spellStart"/>
      <w:r w:rsidRPr="00C86E8A">
        <w:t>Varoğlu</w:t>
      </w:r>
      <w:proofErr w:type="spellEnd"/>
      <w:r w:rsidRPr="00C86E8A">
        <w:t xml:space="preserve"> </w:t>
      </w:r>
      <w:proofErr w:type="spellStart"/>
      <w:r w:rsidRPr="00C86E8A">
        <w:t>Atik</w:t>
      </w:r>
      <w:proofErr w:type="spellEnd"/>
      <w:r w:rsidRPr="00C86E8A">
        <w:t xml:space="preserve">, M. Hasan </w:t>
      </w:r>
      <w:proofErr w:type="spellStart"/>
      <w:r w:rsidRPr="00C86E8A">
        <w:t>Belen</w:t>
      </w:r>
      <w:proofErr w:type="spellEnd"/>
      <w:r w:rsidRPr="00C86E8A">
        <w:t xml:space="preserve"> et M. </w:t>
      </w:r>
      <w:proofErr w:type="spellStart"/>
      <w:r w:rsidRPr="00C86E8A">
        <w:t>Burak</w:t>
      </w:r>
      <w:proofErr w:type="spellEnd"/>
      <w:r w:rsidRPr="00C86E8A">
        <w:t xml:space="preserve"> </w:t>
      </w:r>
      <w:proofErr w:type="spellStart"/>
      <w:r w:rsidRPr="00C86E8A">
        <w:t>Maviş</w:t>
      </w:r>
      <w:proofErr w:type="spellEnd"/>
      <w:r w:rsidRPr="00C86E8A">
        <w:t xml:space="preserve"> (« les requérants »), qui résident sur le territoire de la « République turque de Chypre du Nord » (« RTCN ») et qui ont présenté des pièces d</w:t>
      </w:r>
      <w:r w:rsidRPr="00C86E8A" w:rsidR="00C86E8A">
        <w:t>’</w:t>
      </w:r>
      <w:r w:rsidRPr="00C86E8A">
        <w:t>identité délivrées par celle-ci, ont saisi la Cour le 28 novembre 2014 en vertu de l</w:t>
      </w:r>
      <w:r w:rsidRPr="00C86E8A" w:rsidR="00C86E8A">
        <w:t>’</w:t>
      </w:r>
      <w:r w:rsidRPr="00C86E8A">
        <w:t>article 34 de la Convention de sauvegarde des droits de l</w:t>
      </w:r>
      <w:r w:rsidRPr="00C86E8A" w:rsidR="00C86E8A">
        <w:t>’</w:t>
      </w:r>
      <w:r w:rsidRPr="00C86E8A">
        <w:t>homme et des libertés fondamentales (« la Convention »).</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2</w:t>
      </w:r>
      <w:r w:rsidRPr="00C86E8A">
        <w:fldChar w:fldCharType="end"/>
      </w:r>
      <w:r w:rsidRPr="00C86E8A">
        <w:t>.  Les requérants ont été représentés par M</w:t>
      </w:r>
      <w:r w:rsidRPr="00C86E8A">
        <w:rPr>
          <w:vertAlign w:val="superscript"/>
        </w:rPr>
        <w:t>es</w:t>
      </w:r>
      <w:r w:rsidRPr="00C86E8A">
        <w:t xml:space="preserve"> O. </w:t>
      </w:r>
      <w:proofErr w:type="spellStart"/>
      <w:r w:rsidRPr="00C86E8A">
        <w:t>Polili</w:t>
      </w:r>
      <w:proofErr w:type="spellEnd"/>
      <w:r w:rsidRPr="00C86E8A">
        <w:t xml:space="preserve"> et O. </w:t>
      </w:r>
      <w:proofErr w:type="spellStart"/>
      <w:r w:rsidRPr="00C86E8A">
        <w:t>Greenhall</w:t>
      </w:r>
      <w:proofErr w:type="spellEnd"/>
      <w:r w:rsidRPr="00C86E8A">
        <w:t>, avocats à Nicosie. Le gouvernement turc (« le Gouvernement ») a été représenté par son agent.</w:t>
      </w:r>
    </w:p>
    <w:p w:rsidRPr="00C86E8A" w:rsidR="00423016" w:rsidP="00C86E8A" w:rsidRDefault="00423016">
      <w:pPr>
        <w:pStyle w:val="JuPara"/>
        <w:rPr>
          <w:szCs w:val="24"/>
          <w:lang w:eastAsia="en-GB"/>
        </w:rPr>
      </w:pPr>
      <w:r w:rsidRPr="00C86E8A">
        <w:fldChar w:fldCharType="begin"/>
      </w:r>
      <w:r w:rsidRPr="00C86E8A">
        <w:instrText xml:space="preserve"> SEQ level0 \*arabic </w:instrText>
      </w:r>
      <w:r w:rsidRPr="00C86E8A">
        <w:fldChar w:fldCharType="separate"/>
      </w:r>
      <w:r w:rsidRPr="00C86E8A" w:rsidR="00C86E8A">
        <w:rPr>
          <w:noProof/>
        </w:rPr>
        <w:t>3</w:t>
      </w:r>
      <w:r w:rsidRPr="00C86E8A">
        <w:fldChar w:fldCharType="end"/>
      </w:r>
      <w:r w:rsidRPr="00C86E8A">
        <w:t xml:space="preserve">.  Le </w:t>
      </w:r>
      <w:r w:rsidRPr="00C86E8A">
        <w:rPr>
          <w:szCs w:val="24"/>
        </w:rPr>
        <w:t>14 décembre 2017</w:t>
      </w:r>
      <w:r w:rsidRPr="00C86E8A">
        <w:t>, les griefs tirés des articles 10 et 11 de la Convention ont été communiqués au Gouvernement et la requête a été déclarée irrecevable</w:t>
      </w:r>
      <w:r w:rsidRPr="00C86E8A">
        <w:rPr>
          <w:szCs w:val="24"/>
        </w:rPr>
        <w:t xml:space="preserve"> pour le surplus </w:t>
      </w:r>
      <w:r w:rsidRPr="00C86E8A">
        <w:t>conformément à l</w:t>
      </w:r>
      <w:r w:rsidRPr="00C86E8A" w:rsidR="00C86E8A">
        <w:t>’</w:t>
      </w:r>
      <w:r w:rsidRPr="00C86E8A">
        <w:t>article 54 § 3 du règlement de la Cour.</w:t>
      </w:r>
    </w:p>
    <w:p w:rsidRPr="00C86E8A" w:rsidR="00423016" w:rsidP="00C86E8A" w:rsidRDefault="00423016">
      <w:pPr>
        <w:pStyle w:val="JuHHead"/>
        <w:numPr>
          <w:ilvl w:val="0"/>
          <w:numId w:val="1"/>
        </w:numPr>
        <w:tabs>
          <w:tab w:val="left" w:pos="5387"/>
        </w:tabs>
      </w:pPr>
      <w:r w:rsidRPr="00C86E8A">
        <w:t>EN FAIT</w:t>
      </w:r>
    </w:p>
    <w:p w:rsidRPr="00C86E8A" w:rsidR="00423016" w:rsidP="00C86E8A" w:rsidRDefault="00423016">
      <w:pPr>
        <w:pStyle w:val="JuHIRoman"/>
        <w:numPr>
          <w:ilvl w:val="1"/>
          <w:numId w:val="1"/>
        </w:numPr>
      </w:pPr>
      <w:r w:rsidRPr="00C86E8A">
        <w:t>LES CIRCONSTANCES DE L</w:t>
      </w:r>
      <w:r w:rsidRPr="00C86E8A" w:rsidR="00C86E8A">
        <w:t>’</w:t>
      </w:r>
      <w:r w:rsidRPr="00C86E8A">
        <w:t>ESPÈCE</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4</w:t>
      </w:r>
      <w:r w:rsidRPr="00C86E8A">
        <w:fldChar w:fldCharType="end"/>
      </w:r>
      <w:r w:rsidRPr="00C86E8A">
        <w:t>.  M</w:t>
      </w:r>
      <w:r w:rsidRPr="00C86E8A">
        <w:rPr>
          <w:vertAlign w:val="superscript"/>
        </w:rPr>
        <w:t>me</w:t>
      </w:r>
      <w:r w:rsidRPr="00C86E8A">
        <w:t xml:space="preserve"> </w:t>
      </w:r>
      <w:proofErr w:type="spellStart"/>
      <w:r w:rsidRPr="00C86E8A">
        <w:t>İlkşen</w:t>
      </w:r>
      <w:proofErr w:type="spellEnd"/>
      <w:r w:rsidRPr="00C86E8A">
        <w:t xml:space="preserve"> </w:t>
      </w:r>
      <w:proofErr w:type="spellStart"/>
      <w:r w:rsidRPr="00C86E8A">
        <w:t>Varoğlu</w:t>
      </w:r>
      <w:proofErr w:type="spellEnd"/>
      <w:r w:rsidRPr="00C86E8A">
        <w:t xml:space="preserve"> </w:t>
      </w:r>
      <w:proofErr w:type="spellStart"/>
      <w:r w:rsidRPr="00C86E8A">
        <w:t>Atik</w:t>
      </w:r>
      <w:proofErr w:type="spellEnd"/>
      <w:r w:rsidRPr="00C86E8A">
        <w:t xml:space="preserve">, M. Hasan </w:t>
      </w:r>
      <w:proofErr w:type="spellStart"/>
      <w:r w:rsidRPr="00C86E8A">
        <w:t>Belen</w:t>
      </w:r>
      <w:proofErr w:type="spellEnd"/>
      <w:r w:rsidRPr="00C86E8A">
        <w:t xml:space="preserve"> et M. </w:t>
      </w:r>
      <w:proofErr w:type="spellStart"/>
      <w:r w:rsidRPr="00C86E8A">
        <w:t>Burak</w:t>
      </w:r>
      <w:proofErr w:type="spellEnd"/>
      <w:r w:rsidRPr="00C86E8A">
        <w:t xml:space="preserve"> </w:t>
      </w:r>
      <w:proofErr w:type="spellStart"/>
      <w:r w:rsidRPr="00C86E8A">
        <w:t>Maviş</w:t>
      </w:r>
      <w:proofErr w:type="spellEnd"/>
      <w:r w:rsidRPr="00C86E8A">
        <w:t xml:space="preserve"> sont nés respectivement en 1969, en 1973 et en 1980. Ils résident à Nicosie</w:t>
      </w:r>
      <w:r w:rsidRPr="00C86E8A">
        <w:rPr>
          <w:lang w:val="tr-TR"/>
        </w:rPr>
        <w:t xml:space="preserve"> (</w:t>
      </w:r>
      <w:r w:rsidRPr="00C86E8A">
        <w:t>« RTCN »).</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5</w:t>
      </w:r>
      <w:r w:rsidRPr="00C86E8A">
        <w:fldChar w:fldCharType="end"/>
      </w:r>
      <w:r w:rsidRPr="00C86E8A">
        <w:t>.  Les requérants étaient membres du syndicat des enseignants de la « RTCN ». Ce syndicat et vingt-six autres décidèrent de mener une journée d</w:t>
      </w:r>
      <w:r w:rsidRPr="00C86E8A" w:rsidR="00C86E8A">
        <w:t>’</w:t>
      </w:r>
      <w:r w:rsidRPr="00C86E8A">
        <w:t>action nationale pour demander l</w:t>
      </w:r>
      <w:r w:rsidRPr="00C86E8A" w:rsidR="00C86E8A">
        <w:t>’</w:t>
      </w:r>
      <w:r w:rsidRPr="00C86E8A">
        <w:t>abrogation de la loi sur « l</w:t>
      </w:r>
      <w:r w:rsidRPr="00C86E8A" w:rsidR="00C86E8A">
        <w:t>’</w:t>
      </w:r>
      <w:r w:rsidRPr="00C86E8A">
        <w:t>immigration ».</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6</w:t>
      </w:r>
      <w:r w:rsidRPr="00C86E8A">
        <w:fldChar w:fldCharType="end"/>
      </w:r>
      <w:r w:rsidRPr="00C86E8A">
        <w:t>.  Une demande d</w:t>
      </w:r>
      <w:r w:rsidRPr="00C86E8A" w:rsidR="00C86E8A">
        <w:t>’</w:t>
      </w:r>
      <w:r w:rsidRPr="00C86E8A">
        <w:t>autorisation de manifester le 28 octobre 2009 fut déposée auprès du préfet de Nicosie.</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7</w:t>
      </w:r>
      <w:r w:rsidRPr="00C86E8A">
        <w:fldChar w:fldCharType="end"/>
      </w:r>
      <w:r w:rsidRPr="00C86E8A">
        <w:t xml:space="preserve">.  Le 27 octobre 2009, le préfet de </w:t>
      </w:r>
      <w:proofErr w:type="spellStart"/>
      <w:r w:rsidRPr="00C86E8A">
        <w:rPr>
          <w:lang w:val="tr-TR"/>
        </w:rPr>
        <w:t>Nicosie</w:t>
      </w:r>
      <w:proofErr w:type="spellEnd"/>
      <w:r w:rsidRPr="00C86E8A">
        <w:rPr>
          <w:lang w:val="tr-TR"/>
        </w:rPr>
        <w:t xml:space="preserve"> </w:t>
      </w:r>
      <w:r w:rsidRPr="00C86E8A">
        <w:t>s</w:t>
      </w:r>
      <w:r w:rsidRPr="00C86E8A" w:rsidR="00C86E8A">
        <w:t>’</w:t>
      </w:r>
      <w:r w:rsidRPr="00C86E8A">
        <w:t>entretint avec A.K., secrétaire général de l</w:t>
      </w:r>
      <w:r w:rsidRPr="00C86E8A" w:rsidR="00C86E8A">
        <w:t>’</w:t>
      </w:r>
      <w:r w:rsidRPr="00C86E8A">
        <w:t>Union des fonctionnaires du service public de la « RTCN », au sujet du parcours que les manifestants devaient emprunter. Se référant à des incidents qui avaient eu lieu dans le passé, le préfet informa l</w:t>
      </w:r>
      <w:r w:rsidRPr="00C86E8A" w:rsidR="00C86E8A">
        <w:t>’</w:t>
      </w:r>
      <w:r w:rsidRPr="00C86E8A">
        <w:t>intéressé que la rue menant au Parlement serait fermée pendant la manifestation. Conformément aux instructions du préfet de police, les mesures de police nécessaires furent prises pour protéger le Parlement.</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8</w:t>
      </w:r>
      <w:r w:rsidRPr="00C86E8A">
        <w:fldChar w:fldCharType="end"/>
      </w:r>
      <w:r w:rsidRPr="00C86E8A">
        <w:t>.  Le 28 octobre 2009, trois cents personnes participèrent à la manifestation, qui débuta à 9 h 30 et se termina à 12 h 30 devant le mémorial des Martyrs, à une cinquantaine de mètres du bâtiment du Parlement, et ce sans incident. Devant le Parlement, la police avait formé un cordon de sécurité pour empêcher tout individu de pénétrer dans le bâtiment.</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9</w:t>
      </w:r>
      <w:r w:rsidRPr="00C86E8A">
        <w:fldChar w:fldCharType="end"/>
      </w:r>
      <w:r w:rsidRPr="00C86E8A">
        <w:t>.  Douze personnes, dont les requérants, forcèrent néanmoins le cordon de sécurité de la police pour pénétrer à l</w:t>
      </w:r>
      <w:r w:rsidRPr="00C86E8A" w:rsidR="00C86E8A">
        <w:t>’</w:t>
      </w:r>
      <w:r w:rsidRPr="00C86E8A">
        <w:t>intérieur du Parlement.</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10</w:t>
      </w:r>
      <w:r w:rsidRPr="00C86E8A">
        <w:fldChar w:fldCharType="end"/>
      </w:r>
      <w:r w:rsidRPr="00C86E8A">
        <w:t>.  Une action pénale fut engagée contre les requérants pour entrave volontaire à l</w:t>
      </w:r>
      <w:r w:rsidRPr="00C86E8A" w:rsidR="00C86E8A">
        <w:t>’</w:t>
      </w:r>
      <w:r w:rsidRPr="00C86E8A">
        <w:t>action d</w:t>
      </w:r>
      <w:r w:rsidRPr="00C86E8A" w:rsidR="00C86E8A">
        <w:t>’</w:t>
      </w:r>
      <w:r w:rsidRPr="00C86E8A">
        <w:t>agents de police dans l</w:t>
      </w:r>
      <w:r w:rsidRPr="00C86E8A" w:rsidR="00C86E8A">
        <w:t>’</w:t>
      </w:r>
      <w:r w:rsidRPr="00C86E8A">
        <w:t>exercice de leurs fonctions.</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11</w:t>
      </w:r>
      <w:r w:rsidRPr="00C86E8A">
        <w:fldChar w:fldCharType="end"/>
      </w:r>
      <w:r w:rsidRPr="00C86E8A">
        <w:t>.  Le 22 décembre 2011, se prononçant sur le fondement de l</w:t>
      </w:r>
      <w:r w:rsidRPr="00C86E8A" w:rsidR="00C86E8A">
        <w:t>’</w:t>
      </w:r>
      <w:r w:rsidRPr="00C86E8A">
        <w:t xml:space="preserve">article 224 b) du code pénal, le tribunal de Nicosie condamna </w:t>
      </w:r>
      <w:proofErr w:type="spellStart"/>
      <w:r w:rsidRPr="00C86E8A">
        <w:t>İlkşen</w:t>
      </w:r>
      <w:proofErr w:type="spellEnd"/>
      <w:r w:rsidRPr="00C86E8A">
        <w:t> </w:t>
      </w:r>
      <w:proofErr w:type="spellStart"/>
      <w:r w:rsidRPr="00C86E8A">
        <w:t>Varoğlu</w:t>
      </w:r>
      <w:proofErr w:type="spellEnd"/>
      <w:r w:rsidRPr="00C86E8A">
        <w:t> </w:t>
      </w:r>
      <w:proofErr w:type="spellStart"/>
      <w:r w:rsidRPr="00C86E8A">
        <w:t>Atik</w:t>
      </w:r>
      <w:proofErr w:type="spellEnd"/>
      <w:r w:rsidRPr="00C86E8A">
        <w:t xml:space="preserve"> à une amende de 5 000 (soit environ 2 027 EUR) livres turques (TRY) et Hasan</w:t>
      </w:r>
      <w:r w:rsidRPr="00C86E8A" w:rsidR="009C6B48">
        <w:t xml:space="preserve"> </w:t>
      </w:r>
      <w:proofErr w:type="spellStart"/>
      <w:r w:rsidRPr="00C86E8A">
        <w:t>Belen</w:t>
      </w:r>
      <w:proofErr w:type="spellEnd"/>
      <w:r w:rsidRPr="00C86E8A">
        <w:t xml:space="preserve"> et </w:t>
      </w:r>
      <w:proofErr w:type="spellStart"/>
      <w:r w:rsidRPr="00C86E8A">
        <w:t>Burak</w:t>
      </w:r>
      <w:proofErr w:type="spellEnd"/>
      <w:r w:rsidRPr="00C86E8A">
        <w:t xml:space="preserve"> </w:t>
      </w:r>
      <w:proofErr w:type="spellStart"/>
      <w:r w:rsidRPr="00C86E8A">
        <w:t>Maviş</w:t>
      </w:r>
      <w:proofErr w:type="spellEnd"/>
      <w:r w:rsidRPr="00C86E8A">
        <w:t xml:space="preserve"> à une amende de 10 000 (soit environ 4 054 EUR)</w:t>
      </w:r>
      <w:r w:rsidRPr="00C86E8A" w:rsidR="009C6B48">
        <w:t xml:space="preserve"> </w:t>
      </w:r>
      <w:r w:rsidRPr="00C86E8A">
        <w:t>TRY chacun. Cette amende fut assortie d</w:t>
      </w:r>
      <w:r w:rsidRPr="00C86E8A" w:rsidR="00C86E8A">
        <w:t>’</w:t>
      </w:r>
      <w:r w:rsidRPr="00C86E8A">
        <w:t>un sursis d</w:t>
      </w:r>
      <w:r w:rsidRPr="00C86E8A" w:rsidR="00C86E8A">
        <w:t>’</w:t>
      </w:r>
      <w:r w:rsidRPr="00C86E8A">
        <w:t>un an qui fut échue le 22 décembre 2012.</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12</w:t>
      </w:r>
      <w:r w:rsidRPr="00C86E8A">
        <w:fldChar w:fldCharType="end"/>
      </w:r>
      <w:r w:rsidRPr="00C86E8A">
        <w:t>.  Le 30 mai 2014, la Cour suprême confirma le jugement de première instance. Elle formula notamment les constats suivants :</w:t>
      </w:r>
    </w:p>
    <w:p w:rsidRPr="00C86E8A" w:rsidR="00423016" w:rsidP="00C86E8A" w:rsidRDefault="00423016">
      <w:pPr>
        <w:pStyle w:val="JuQuot"/>
      </w:pPr>
      <w:r w:rsidRPr="00C86E8A">
        <w:t>« (...) Vingt-sept syndicats s</w:t>
      </w:r>
      <w:r w:rsidRPr="00C86E8A" w:rsidR="00C86E8A">
        <w:t>’</w:t>
      </w:r>
      <w:r w:rsidRPr="00C86E8A">
        <w:t>étaient mis d</w:t>
      </w:r>
      <w:r w:rsidRPr="00C86E8A" w:rsidR="00C86E8A">
        <w:t>’</w:t>
      </w:r>
      <w:r w:rsidRPr="00C86E8A">
        <w:t>accord pour organiser une réunion-manifestation le 28 octobre 2009 à Nicosie pour dire « non à la loi sur l</w:t>
      </w:r>
      <w:r w:rsidRPr="00C86E8A" w:rsidR="00C86E8A">
        <w:t>’</w:t>
      </w:r>
      <w:r w:rsidRPr="00C86E8A">
        <w:t xml:space="preserve">immigration ». Une notification écrite avait été faite au préfet de police de Nicosie concernant cette réunion-manifestation. Le préfet de police en avait informé la direction de la sûreté (...). Le jour de la réunion-manifestation prévue, la rue </w:t>
      </w:r>
      <w:proofErr w:type="spellStart"/>
      <w:r w:rsidRPr="00C86E8A">
        <w:t>Bedreddin</w:t>
      </w:r>
      <w:proofErr w:type="spellEnd"/>
      <w:r w:rsidRPr="00C86E8A">
        <w:t xml:space="preserve"> Demirel, située devant le Parlement, avait été fermée à la circulation dans les deux sens. Le 28 octobre 2009, la réunion-manifestation s</w:t>
      </w:r>
      <w:r w:rsidRPr="00C86E8A" w:rsidR="00C86E8A">
        <w:t>’</w:t>
      </w:r>
      <w:r w:rsidRPr="00C86E8A">
        <w:t>était terminée sur la place du mémorial des Martyrs (</w:t>
      </w:r>
      <w:r w:rsidRPr="00C86E8A">
        <w:rPr>
          <w:i/>
          <w:lang w:val="tr-TR"/>
        </w:rPr>
        <w:t>Şehitler Abidesinin bulunduğu yerde</w:t>
      </w:r>
      <w:r w:rsidRPr="00C86E8A">
        <w:t>) (...). Avant le début du rassemblement, le directeur de la police avait convoqué A.K. [le secrétaire général de l</w:t>
      </w:r>
      <w:r w:rsidRPr="00C86E8A" w:rsidR="00C86E8A">
        <w:t>’</w:t>
      </w:r>
      <w:r w:rsidRPr="00C86E8A">
        <w:t>Union des fonctionnaires du service public de la « RTCN »] pour l</w:t>
      </w:r>
      <w:r w:rsidRPr="00C86E8A" w:rsidR="00C86E8A">
        <w:t>’</w:t>
      </w:r>
      <w:r w:rsidRPr="00C86E8A">
        <w:t>informer que la rue située devant le Parlement serait fermée. La réunion-manifestation avait débuté le matin à 9 h 30 et s</w:t>
      </w:r>
      <w:r w:rsidRPr="00C86E8A" w:rsidR="00C86E8A">
        <w:t>’</w:t>
      </w:r>
      <w:r w:rsidRPr="00C86E8A">
        <w:t>était achevée à 12 h 30 (...). »</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13</w:t>
      </w:r>
      <w:r w:rsidRPr="00C86E8A">
        <w:fldChar w:fldCharType="end"/>
      </w:r>
      <w:r w:rsidRPr="00C86E8A">
        <w:t>.  Se référant à l</w:t>
      </w:r>
      <w:r w:rsidRPr="00C86E8A" w:rsidR="00C86E8A">
        <w:t>’</w:t>
      </w:r>
      <w:r w:rsidRPr="00C86E8A">
        <w:t>article 11 de la Convention et à la jurisprudence de la Cour européenne des droits de l</w:t>
      </w:r>
      <w:r w:rsidRPr="00C86E8A" w:rsidR="00C86E8A">
        <w:t>’</w:t>
      </w:r>
      <w:r w:rsidRPr="00C86E8A">
        <w:t>homme, la Cour suprême constata dans les attendus de son arrêt qu</w:t>
      </w:r>
      <w:r w:rsidRPr="00C86E8A" w:rsidR="00C86E8A">
        <w:t>’</w:t>
      </w:r>
      <w:r w:rsidRPr="00C86E8A">
        <w:t>il ne faisait pas de doute que la manifestation avait débuté à 9 h 30 et s</w:t>
      </w:r>
      <w:r w:rsidRPr="00C86E8A" w:rsidR="00C86E8A">
        <w:t>’</w:t>
      </w:r>
      <w:r w:rsidRPr="00C86E8A">
        <w:t>était achevée à 12 h 30 de manière pacifique devant le mémorial des Martyrs. Elle releva que : la police avait eu pour mission légale de prendre les mesures de sécurité nécessaires pour protéger le Parlement ; les policiers avaient subi des coups et violences volontaires (</w:t>
      </w:r>
      <w:proofErr w:type="spellStart"/>
      <w:r w:rsidRPr="00C86E8A">
        <w:rPr>
          <w:i/>
        </w:rPr>
        <w:t>darp</w:t>
      </w:r>
      <w:proofErr w:type="spellEnd"/>
      <w:r w:rsidRPr="00C86E8A">
        <w:rPr>
          <w:i/>
        </w:rPr>
        <w:t xml:space="preserve"> </w:t>
      </w:r>
      <w:proofErr w:type="spellStart"/>
      <w:r w:rsidRPr="00C86E8A">
        <w:rPr>
          <w:i/>
        </w:rPr>
        <w:t>etme</w:t>
      </w:r>
      <w:proofErr w:type="spellEnd"/>
      <w:r w:rsidRPr="00C86E8A">
        <w:t>) de la part des requérants alors qu</w:t>
      </w:r>
      <w:r w:rsidRPr="00C86E8A" w:rsidR="00C86E8A">
        <w:t>’</w:t>
      </w:r>
      <w:r w:rsidRPr="00C86E8A">
        <w:t>ils exerçaient leur mission de protection du Parlement ; une fois la manifestation terminée, une altercation avait eu lieu entre les requérants et les policiers devant le cordon de sécurité établi par ces derniers ; dans l</w:t>
      </w:r>
      <w:r w:rsidRPr="00C86E8A" w:rsidR="00C86E8A">
        <w:t>’</w:t>
      </w:r>
      <w:r w:rsidRPr="00C86E8A">
        <w:t>exécution de leur mission, les policiers n</w:t>
      </w:r>
      <w:r w:rsidRPr="00C86E8A" w:rsidR="00C86E8A">
        <w:t>’</w:t>
      </w:r>
      <w:r w:rsidRPr="00C86E8A">
        <w:t>avaient pas empêché les requérants de manifester. Tenant compte de ces éléments, la Cour suprême conclut que le droit à la liberté de réunion et de manifestation des requérants n</w:t>
      </w:r>
      <w:r w:rsidRPr="00C86E8A" w:rsidR="00C86E8A">
        <w:t>’</w:t>
      </w:r>
      <w:r w:rsidRPr="00C86E8A">
        <w:t>avait été ni restreint ni entravé.</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14</w:t>
      </w:r>
      <w:r w:rsidRPr="00C86E8A">
        <w:fldChar w:fldCharType="end"/>
      </w:r>
      <w:r w:rsidRPr="00C86E8A">
        <w:t>.  Elle jugea que la condamnation des intéressés pour violences envers des policiers dans l</w:t>
      </w:r>
      <w:r w:rsidRPr="00C86E8A" w:rsidR="00C86E8A">
        <w:t>’</w:t>
      </w:r>
      <w:r w:rsidRPr="00C86E8A">
        <w:t>exercice de leur mission, à savoir la protection du bâtiment du Parlement de la « RTCN », était fondée en fait et en droit. Elle estima que l</w:t>
      </w:r>
      <w:r w:rsidRPr="00C86E8A" w:rsidR="00C86E8A">
        <w:t>’</w:t>
      </w:r>
      <w:r w:rsidRPr="00C86E8A">
        <w:t>amende pénale qui leur avait été infligée était justifiée et avait été prononcée après prise en considération de tous les éléments à charge et à décharge.</w:t>
      </w:r>
    </w:p>
    <w:p w:rsidRPr="00C86E8A" w:rsidR="00423016" w:rsidP="00C86E8A" w:rsidRDefault="00423016">
      <w:pPr>
        <w:pStyle w:val="JuHIRoman"/>
        <w:numPr>
          <w:ilvl w:val="1"/>
          <w:numId w:val="1"/>
        </w:numPr>
      </w:pPr>
      <w:r w:rsidRPr="00C86E8A">
        <w:t>LE DROIT INTERNE PERTINENT</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15</w:t>
      </w:r>
      <w:r w:rsidRPr="00C86E8A">
        <w:fldChar w:fldCharType="end"/>
      </w:r>
      <w:r w:rsidRPr="00C86E8A">
        <w:t>.  L</w:t>
      </w:r>
      <w:r w:rsidRPr="00C86E8A" w:rsidR="00C86E8A">
        <w:t>’</w:t>
      </w:r>
      <w:r w:rsidRPr="00C86E8A">
        <w:t>article 32 de la Constitution de la « RTCN » dispose qu</w:t>
      </w:r>
      <w:r w:rsidRPr="00C86E8A" w:rsidR="00C86E8A">
        <w:t>’</w:t>
      </w:r>
      <w:r w:rsidRPr="00C86E8A">
        <w:t>en principe tout citoyen peut manifester, sans autorisation préalable, à condition qu</w:t>
      </w:r>
      <w:r w:rsidRPr="00C86E8A" w:rsidR="00C86E8A">
        <w:t>’</w:t>
      </w:r>
      <w:r w:rsidRPr="00C86E8A">
        <w:t>il s</w:t>
      </w:r>
      <w:r w:rsidRPr="00C86E8A" w:rsidR="00C86E8A">
        <w:t>’</w:t>
      </w:r>
      <w:r w:rsidRPr="00C86E8A">
        <w:t>agisse d</w:t>
      </w:r>
      <w:r w:rsidRPr="00C86E8A" w:rsidR="00C86E8A">
        <w:t>’</w:t>
      </w:r>
      <w:r w:rsidRPr="00C86E8A">
        <w:t>une réunion ou d</w:t>
      </w:r>
      <w:r w:rsidRPr="00C86E8A" w:rsidR="00C86E8A">
        <w:t>’</w:t>
      </w:r>
      <w:r w:rsidRPr="00C86E8A">
        <w:t>une manifestation pacifique.</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16</w:t>
      </w:r>
      <w:r w:rsidRPr="00C86E8A">
        <w:fldChar w:fldCharType="end"/>
      </w:r>
      <w:r w:rsidRPr="00C86E8A">
        <w:t>.  L</w:t>
      </w:r>
      <w:r w:rsidRPr="00C86E8A" w:rsidR="00C86E8A">
        <w:t>’</w:t>
      </w:r>
      <w:r w:rsidRPr="00C86E8A">
        <w:t>article 224 b) du code pénal de la « RTCN » dispose que quiconque commet une voie de fait sur un fonctionnaire de police dans l</w:t>
      </w:r>
      <w:r w:rsidRPr="00C86E8A" w:rsidR="00C86E8A">
        <w:t>’</w:t>
      </w:r>
      <w:r w:rsidRPr="00C86E8A">
        <w:t>exercice de ses fonctions s</w:t>
      </w:r>
      <w:r w:rsidRPr="00C86E8A" w:rsidR="00C86E8A">
        <w:t>’</w:t>
      </w:r>
      <w:r w:rsidRPr="00C86E8A">
        <w:t>expose à une infraction punissable d</w:t>
      </w:r>
      <w:r w:rsidRPr="00C86E8A" w:rsidR="00C86E8A">
        <w:t>’</w:t>
      </w:r>
      <w:r w:rsidRPr="00C86E8A">
        <w:t>une peine de deux ans d</w:t>
      </w:r>
      <w:r w:rsidRPr="00C86E8A" w:rsidR="00C86E8A">
        <w:t>’</w:t>
      </w:r>
      <w:r w:rsidRPr="00C86E8A">
        <w:t>emprisonnement.</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17</w:t>
      </w:r>
      <w:r w:rsidRPr="00C86E8A">
        <w:fldChar w:fldCharType="end"/>
      </w:r>
      <w:r w:rsidRPr="00C86E8A">
        <w:t>.  L</w:t>
      </w:r>
      <w:r w:rsidRPr="00C86E8A" w:rsidR="00C86E8A">
        <w:t>’</w:t>
      </w:r>
      <w:r w:rsidRPr="00C86E8A">
        <w:t>article 4 de la loi de la « RTCN » sur les réunions et les manifestations fixe les conditions dans lesquelles une manifestation peut être organisée.</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18</w:t>
      </w:r>
      <w:r w:rsidRPr="00C86E8A">
        <w:fldChar w:fldCharType="end"/>
      </w:r>
      <w:r w:rsidRPr="00C86E8A">
        <w:t>.  La loi n</w:t>
      </w:r>
      <w:r w:rsidRPr="00C86E8A">
        <w:rPr>
          <w:vertAlign w:val="superscript"/>
        </w:rPr>
        <w:t>o</w:t>
      </w:r>
      <w:r w:rsidRPr="00C86E8A">
        <w:t xml:space="preserve"> 51/1984 de la « RTCN » relative à l</w:t>
      </w:r>
      <w:r w:rsidRPr="00C86E8A" w:rsidR="00C86E8A">
        <w:t>’</w:t>
      </w:r>
      <w:r w:rsidRPr="00C86E8A">
        <w:t>organisation de la police autorise celle-ci à fermer certaines rues à la circulation ou à organiser le trafic routier lors de cérémonies officielles ou de manifestations et réunions afin d</w:t>
      </w:r>
      <w:r w:rsidRPr="00C86E8A" w:rsidR="00C86E8A">
        <w:t>’</w:t>
      </w:r>
      <w:r w:rsidRPr="00C86E8A">
        <w:t>éviter qu</w:t>
      </w:r>
      <w:r w:rsidRPr="00C86E8A" w:rsidR="00C86E8A">
        <w:t>’</w:t>
      </w:r>
      <w:r w:rsidRPr="00C86E8A">
        <w:t>il soit perturbé ou bloqué et, ainsi, d</w:t>
      </w:r>
      <w:r w:rsidRPr="00C86E8A" w:rsidR="00C86E8A">
        <w:t>’</w:t>
      </w:r>
      <w:r w:rsidRPr="00C86E8A">
        <w:t>assurer et de maintenir la sûreté publique.</w:t>
      </w:r>
    </w:p>
    <w:p w:rsidRPr="00C86E8A" w:rsidR="00423016" w:rsidP="00C86E8A" w:rsidRDefault="00423016">
      <w:pPr>
        <w:pStyle w:val="JuHHead"/>
        <w:numPr>
          <w:ilvl w:val="0"/>
          <w:numId w:val="1"/>
        </w:numPr>
      </w:pPr>
      <w:r w:rsidRPr="00C86E8A">
        <w:t>EN DROIT</w:t>
      </w:r>
    </w:p>
    <w:p w:rsidRPr="00C86E8A" w:rsidR="00423016" w:rsidP="00C86E8A" w:rsidRDefault="00423016">
      <w:pPr>
        <w:pStyle w:val="JuHIRoman"/>
      </w:pPr>
      <w:r w:rsidRPr="00C86E8A">
        <w:t>  CONSIDÉRATION PRÉLIMINAIRE</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19</w:t>
      </w:r>
      <w:r w:rsidRPr="00C86E8A">
        <w:fldChar w:fldCharType="end"/>
      </w:r>
      <w:r w:rsidRPr="00C86E8A">
        <w:t>.  À titre liminaire, la Cour constate que les faits allégués par les requérants relèvent de la « juridiction » de la Turquie au sens de l</w:t>
      </w:r>
      <w:r w:rsidRPr="00C86E8A" w:rsidR="00C86E8A">
        <w:t>’</w:t>
      </w:r>
      <w:r w:rsidRPr="00C86E8A">
        <w:t>article 1 de la Convention et engagent donc la responsabilité de l</w:t>
      </w:r>
      <w:r w:rsidRPr="00C86E8A" w:rsidR="00C86E8A">
        <w:t>’</w:t>
      </w:r>
      <w:r w:rsidRPr="00C86E8A">
        <w:t>État défendeur au regard de celle-ci (</w:t>
      </w:r>
      <w:r w:rsidRPr="00C86E8A">
        <w:rPr>
          <w:i/>
        </w:rPr>
        <w:t>Chypre c. Turquie</w:t>
      </w:r>
      <w:r w:rsidRPr="00C86E8A">
        <w:t xml:space="preserve"> [GC], n</w:t>
      </w:r>
      <w:r w:rsidRPr="00C86E8A">
        <w:rPr>
          <w:vertAlign w:val="superscript"/>
        </w:rPr>
        <w:t>o</w:t>
      </w:r>
      <w:r w:rsidRPr="00C86E8A">
        <w:t xml:space="preserve"> 25781/94, § 77, CEDH 2001</w:t>
      </w:r>
      <w:r w:rsidRPr="00C86E8A">
        <w:noBreakHyphen/>
        <w:t xml:space="preserve">IV, </w:t>
      </w:r>
      <w:proofErr w:type="spellStart"/>
      <w:r w:rsidRPr="00C86E8A">
        <w:rPr>
          <w:i/>
        </w:rPr>
        <w:t>Djavit</w:t>
      </w:r>
      <w:proofErr w:type="spellEnd"/>
      <w:r w:rsidRPr="00C86E8A">
        <w:rPr>
          <w:i/>
        </w:rPr>
        <w:t xml:space="preserve"> An</w:t>
      </w:r>
      <w:r w:rsidRPr="00C86E8A">
        <w:t xml:space="preserve"> </w:t>
      </w:r>
      <w:r w:rsidRPr="00C86E8A">
        <w:rPr>
          <w:i/>
        </w:rPr>
        <w:t>c. Turquie</w:t>
      </w:r>
      <w:r w:rsidRPr="00C86E8A">
        <w:t>, n</w:t>
      </w:r>
      <w:r w:rsidRPr="00C86E8A">
        <w:rPr>
          <w:vertAlign w:val="superscript"/>
        </w:rPr>
        <w:t>o</w:t>
      </w:r>
      <w:r w:rsidRPr="00C86E8A">
        <w:t xml:space="preserve"> 20652/92, §§ 18-23, CEDH 2003</w:t>
      </w:r>
      <w:r w:rsidRPr="00C86E8A">
        <w:noBreakHyphen/>
        <w:t xml:space="preserve">III, et </w:t>
      </w:r>
      <w:r w:rsidRPr="00C86E8A">
        <w:rPr>
          <w:i/>
          <w:lang w:val="tr-TR"/>
        </w:rPr>
        <w:t>Boyacı</w:t>
      </w:r>
      <w:r w:rsidRPr="00C86E8A">
        <w:rPr>
          <w:i/>
        </w:rPr>
        <w:t xml:space="preserve"> c. Turquie</w:t>
      </w:r>
      <w:r w:rsidRPr="00C86E8A">
        <w:t xml:space="preserve"> (déc.), n</w:t>
      </w:r>
      <w:r w:rsidRPr="00C86E8A">
        <w:rPr>
          <w:vertAlign w:val="superscript"/>
        </w:rPr>
        <w:t>o</w:t>
      </w:r>
      <w:r w:rsidRPr="00C86E8A">
        <w:t xml:space="preserve"> 36966/04, § 31, 23 septembre 2014). Les parties ne le contestent pas.</w:t>
      </w:r>
    </w:p>
    <w:p w:rsidRPr="00C86E8A" w:rsidR="00423016" w:rsidP="00C86E8A" w:rsidRDefault="00423016">
      <w:pPr>
        <w:pStyle w:val="JuHIRoman"/>
        <w:numPr>
          <w:ilvl w:val="1"/>
          <w:numId w:val="1"/>
        </w:numPr>
      </w:pPr>
      <w:r w:rsidRPr="00C86E8A">
        <w:t>  SUR LA VIOLATION ALLÉGUÉE DE L</w:t>
      </w:r>
      <w:r w:rsidRPr="00C86E8A" w:rsidR="00C86E8A">
        <w:t>’</w:t>
      </w:r>
      <w:r w:rsidRPr="00C86E8A">
        <w:t>ARTICLE 11 DE LA CONVENTION</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20</w:t>
      </w:r>
      <w:r w:rsidRPr="00C86E8A">
        <w:fldChar w:fldCharType="end"/>
      </w:r>
      <w:r w:rsidRPr="00C86E8A">
        <w:t>.  Les requérants se plaignent, d</w:t>
      </w:r>
      <w:r w:rsidRPr="00C86E8A" w:rsidR="00C86E8A">
        <w:t>’</w:t>
      </w:r>
      <w:r w:rsidRPr="00C86E8A">
        <w:t>une part, d</w:t>
      </w:r>
      <w:r w:rsidRPr="00C86E8A" w:rsidR="00C86E8A">
        <w:t>’</w:t>
      </w:r>
      <w:r w:rsidRPr="00C86E8A">
        <w:t>une méconnaissance de leur droit à la liberté d</w:t>
      </w:r>
      <w:r w:rsidRPr="00C86E8A" w:rsidR="00C86E8A">
        <w:t>’</w:t>
      </w:r>
      <w:r w:rsidRPr="00C86E8A">
        <w:t>expression et, d</w:t>
      </w:r>
      <w:r w:rsidRPr="00C86E8A" w:rsidR="00C86E8A">
        <w:t>’</w:t>
      </w:r>
      <w:r w:rsidRPr="00C86E8A">
        <w:t>autre part, d</w:t>
      </w:r>
      <w:r w:rsidRPr="00C86E8A" w:rsidR="00C86E8A">
        <w:t>’</w:t>
      </w:r>
      <w:r w:rsidRPr="00C86E8A">
        <w:t>une atteinte à leur droit à la liberté de réunion. À cet égard, ils invoquent les articles 10 et 11 de la Convention.</w:t>
      </w:r>
    </w:p>
    <w:p w:rsidRPr="00C86E8A" w:rsidR="00423016" w:rsidP="00C86E8A" w:rsidRDefault="00423016">
      <w:pPr>
        <w:pStyle w:val="JuPara"/>
      </w:pPr>
      <w:r w:rsidRPr="00C86E8A">
        <w:t>Eu égard à la formulation des griefs des requérants et au déroulement des faits de l</w:t>
      </w:r>
      <w:r w:rsidRPr="00C86E8A" w:rsidR="00C86E8A">
        <w:t>’</w:t>
      </w:r>
      <w:r w:rsidRPr="00C86E8A">
        <w:t>espèce, la Cour estime que la question juridique principale posée par la présente affaire se situe sur le seul terrain de l</w:t>
      </w:r>
      <w:r w:rsidRPr="00C86E8A" w:rsidR="00C86E8A">
        <w:t>’</w:t>
      </w:r>
      <w:r w:rsidRPr="00C86E8A">
        <w:t>article 11 de la Convention (</w:t>
      </w:r>
      <w:proofErr w:type="spellStart"/>
      <w:r w:rsidRPr="00C86E8A">
        <w:rPr>
          <w:i/>
        </w:rPr>
        <w:t>Eğitim</w:t>
      </w:r>
      <w:proofErr w:type="spellEnd"/>
      <w:r w:rsidRPr="00C86E8A">
        <w:rPr>
          <w:i/>
        </w:rPr>
        <w:t xml:space="preserve"> </w:t>
      </w:r>
      <w:proofErr w:type="spellStart"/>
      <w:r w:rsidRPr="00C86E8A">
        <w:rPr>
          <w:i/>
        </w:rPr>
        <w:t>ve</w:t>
      </w:r>
      <w:proofErr w:type="spellEnd"/>
      <w:r w:rsidRPr="00C86E8A">
        <w:rPr>
          <w:i/>
        </w:rPr>
        <w:t xml:space="preserve"> </w:t>
      </w:r>
      <w:proofErr w:type="spellStart"/>
      <w:r w:rsidRPr="00C86E8A">
        <w:rPr>
          <w:i/>
        </w:rPr>
        <w:t>Bilim</w:t>
      </w:r>
      <w:proofErr w:type="spellEnd"/>
      <w:r w:rsidRPr="00C86E8A">
        <w:rPr>
          <w:i/>
        </w:rPr>
        <w:t xml:space="preserve"> </w:t>
      </w:r>
      <w:proofErr w:type="spellStart"/>
      <w:r w:rsidRPr="00C86E8A">
        <w:rPr>
          <w:i/>
        </w:rPr>
        <w:t>Emekçileri</w:t>
      </w:r>
      <w:proofErr w:type="spellEnd"/>
      <w:r w:rsidRPr="00C86E8A">
        <w:rPr>
          <w:i/>
        </w:rPr>
        <w:t xml:space="preserve"> </w:t>
      </w:r>
      <w:proofErr w:type="spellStart"/>
      <w:r w:rsidRPr="00C86E8A">
        <w:rPr>
          <w:i/>
        </w:rPr>
        <w:t>Sendikası</w:t>
      </w:r>
      <w:proofErr w:type="spellEnd"/>
      <w:r w:rsidRPr="00C86E8A">
        <w:t xml:space="preserve"> </w:t>
      </w:r>
      <w:r w:rsidRPr="00C86E8A">
        <w:rPr>
          <w:i/>
        </w:rPr>
        <w:t>et autres c.</w:t>
      </w:r>
      <w:r w:rsidRPr="00C86E8A" w:rsidR="009C6B48">
        <w:rPr>
          <w:i/>
        </w:rPr>
        <w:t> </w:t>
      </w:r>
      <w:r w:rsidRPr="00C86E8A">
        <w:rPr>
          <w:i/>
        </w:rPr>
        <w:t>Turquie</w:t>
      </w:r>
      <w:r w:rsidRPr="00C86E8A">
        <w:t>, n</w:t>
      </w:r>
      <w:r w:rsidRPr="00C86E8A">
        <w:rPr>
          <w:vertAlign w:val="superscript"/>
        </w:rPr>
        <w:t>o</w:t>
      </w:r>
      <w:r w:rsidRPr="00C86E8A">
        <w:t>20347/07</w:t>
      </w:r>
      <w:r w:rsidRPr="00C86E8A">
        <w:rPr>
          <w:snapToGrid w:val="0"/>
        </w:rPr>
        <w:t xml:space="preserve">, § 85, 5 </w:t>
      </w:r>
      <w:r w:rsidRPr="00C86E8A">
        <w:t xml:space="preserve">juillet </w:t>
      </w:r>
      <w:r w:rsidRPr="00C86E8A">
        <w:rPr>
          <w:snapToGrid w:val="0"/>
        </w:rPr>
        <w:t xml:space="preserve">2016), </w:t>
      </w:r>
      <w:r w:rsidRPr="00C86E8A">
        <w:t>ainsi libellé dans sa partie pertinente en l</w:t>
      </w:r>
      <w:r w:rsidRPr="00C86E8A" w:rsidR="00C86E8A">
        <w:t>’</w:t>
      </w:r>
      <w:r w:rsidRPr="00C86E8A">
        <w:t>espèce :</w:t>
      </w:r>
    </w:p>
    <w:p w:rsidRPr="00C86E8A" w:rsidR="00423016" w:rsidP="00C86E8A" w:rsidRDefault="00423016">
      <w:pPr>
        <w:pStyle w:val="JuQuot"/>
      </w:pPr>
      <w:r w:rsidRPr="00C86E8A">
        <w:t>« 1.  Toute personne a droit à la liberté de réunion pacifique et à la liberté d</w:t>
      </w:r>
      <w:r w:rsidRPr="00C86E8A" w:rsidR="00C86E8A">
        <w:t>’</w:t>
      </w:r>
      <w:r w:rsidRPr="00C86E8A">
        <w:t>association, y compris le droit de fonder avec d</w:t>
      </w:r>
      <w:r w:rsidRPr="00C86E8A" w:rsidR="00C86E8A">
        <w:t>’</w:t>
      </w:r>
      <w:r w:rsidRPr="00C86E8A">
        <w:t>autres des syndicats et de s</w:t>
      </w:r>
      <w:r w:rsidRPr="00C86E8A" w:rsidR="00C86E8A">
        <w:t>’</w:t>
      </w:r>
      <w:r w:rsidRPr="00C86E8A">
        <w:t>affilier à des syndicats pour la défense de ses intérêts.</w:t>
      </w:r>
    </w:p>
    <w:p w:rsidRPr="00C86E8A" w:rsidR="00423016" w:rsidP="00C86E8A" w:rsidRDefault="00423016">
      <w:pPr>
        <w:pStyle w:val="JuQuot"/>
      </w:pPr>
      <w:r w:rsidRPr="00C86E8A">
        <w:t>2.  L</w:t>
      </w:r>
      <w:r w:rsidRPr="00C86E8A" w:rsidR="00C86E8A">
        <w:t>’</w:t>
      </w:r>
      <w:r w:rsidRPr="00C86E8A">
        <w:t>exercice de ces droits ne peut faire l</w:t>
      </w:r>
      <w:r w:rsidRPr="00C86E8A" w:rsidR="00C86E8A">
        <w:t>’</w:t>
      </w:r>
      <w:r w:rsidRPr="00C86E8A">
        <w:t>objet d</w:t>
      </w:r>
      <w:r w:rsidRPr="00C86E8A" w:rsidR="00C86E8A">
        <w:t>’</w:t>
      </w:r>
      <w:r w:rsidRPr="00C86E8A">
        <w:t>autres restrictions que celles qui, prévues par la loi, constituent des mesures nécessaires, dans une société démocratique, à la sécurité nationale, à la sûreté publique, à la défense de l</w:t>
      </w:r>
      <w:r w:rsidRPr="00C86E8A" w:rsidR="00C86E8A">
        <w:t>’</w:t>
      </w:r>
      <w:r w:rsidRPr="00C86E8A">
        <w:t>ordre et à la prévention du crime, à la protection de la santé ou de la morale, ou à la protection des droits et libertés d</w:t>
      </w:r>
      <w:r w:rsidRPr="00C86E8A" w:rsidR="00C86E8A">
        <w:t>’</w:t>
      </w:r>
      <w:r w:rsidRPr="00C86E8A">
        <w:t>autrui (...) »</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21</w:t>
      </w:r>
      <w:r w:rsidRPr="00C86E8A">
        <w:fldChar w:fldCharType="end"/>
      </w:r>
      <w:r w:rsidRPr="00C86E8A">
        <w:t>.  Le Gouvernement s</w:t>
      </w:r>
      <w:r w:rsidRPr="00C86E8A" w:rsidR="00C86E8A">
        <w:t>’</w:t>
      </w:r>
      <w:r w:rsidRPr="00C86E8A">
        <w:t>oppose à la thèse des requérants.</w:t>
      </w:r>
    </w:p>
    <w:p w:rsidRPr="00C86E8A" w:rsidR="00423016" w:rsidP="00C86E8A" w:rsidRDefault="00423016">
      <w:pPr>
        <w:pStyle w:val="JuHA"/>
        <w:numPr>
          <w:ilvl w:val="0"/>
          <w:numId w:val="0"/>
        </w:numPr>
        <w:ind w:left="584"/>
      </w:pPr>
      <w:r w:rsidRPr="00C86E8A">
        <w:t>A.  Sur la recevabilité</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22</w:t>
      </w:r>
      <w:r w:rsidRPr="00C86E8A">
        <w:fldChar w:fldCharType="end"/>
      </w:r>
      <w:r w:rsidRPr="00C86E8A">
        <w:t>.  Constatant que la requête n</w:t>
      </w:r>
      <w:r w:rsidRPr="00C86E8A" w:rsidR="00C86E8A">
        <w:t>’</w:t>
      </w:r>
      <w:r w:rsidRPr="00C86E8A">
        <w:t>est pas manifestement mal fondée au sens de l</w:t>
      </w:r>
      <w:r w:rsidRPr="00C86E8A" w:rsidR="00C86E8A">
        <w:t>’</w:t>
      </w:r>
      <w:r w:rsidRPr="00C86E8A">
        <w:t>article 35 § 3 a) de la Convention et qu</w:t>
      </w:r>
      <w:r w:rsidRPr="00C86E8A" w:rsidR="00C86E8A">
        <w:t>’</w:t>
      </w:r>
      <w:r w:rsidRPr="00C86E8A">
        <w:t>elle ne se heurte à aucun autre motif d</w:t>
      </w:r>
      <w:r w:rsidRPr="00C86E8A" w:rsidR="00C86E8A">
        <w:t>’</w:t>
      </w:r>
      <w:r w:rsidRPr="00C86E8A">
        <w:t>irrecevabilité, la Cour la déclare recevable.</w:t>
      </w:r>
    </w:p>
    <w:p w:rsidRPr="00C86E8A" w:rsidR="00423016" w:rsidP="00C86E8A" w:rsidRDefault="00423016">
      <w:pPr>
        <w:pStyle w:val="JuHA"/>
        <w:numPr>
          <w:ilvl w:val="0"/>
          <w:numId w:val="0"/>
        </w:numPr>
        <w:ind w:left="584"/>
      </w:pPr>
      <w:r w:rsidRPr="00C86E8A">
        <w:t>B.  Sur le fond</w:t>
      </w:r>
    </w:p>
    <w:p w:rsidRPr="00C86E8A" w:rsidR="00423016" w:rsidP="00C86E8A" w:rsidRDefault="00423016">
      <w:pPr>
        <w:pStyle w:val="JuH1"/>
        <w:numPr>
          <w:ilvl w:val="0"/>
          <w:numId w:val="0"/>
        </w:numPr>
        <w:ind w:left="731"/>
      </w:pPr>
      <w:r w:rsidRPr="00C86E8A">
        <w:t>1.  Thèses des parties</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23</w:t>
      </w:r>
      <w:r w:rsidRPr="00C86E8A">
        <w:fldChar w:fldCharType="end"/>
      </w:r>
      <w:r w:rsidRPr="00C86E8A">
        <w:t>.  Les requérants contestent tout d</w:t>
      </w:r>
      <w:r w:rsidRPr="00C86E8A" w:rsidR="00C86E8A">
        <w:t>’</w:t>
      </w:r>
      <w:r w:rsidRPr="00C86E8A">
        <w:t>abord que A.K. ait été informé de la décision du préfet relative au déroulement de la manifestation. Ils soutiennent qu</w:t>
      </w:r>
      <w:r w:rsidRPr="00C86E8A" w:rsidR="00C86E8A">
        <w:t>’</w:t>
      </w:r>
      <w:r w:rsidRPr="00C86E8A">
        <w:t>il n</w:t>
      </w:r>
      <w:r w:rsidRPr="00C86E8A" w:rsidR="00C86E8A">
        <w:t>’</w:t>
      </w:r>
      <w:r w:rsidRPr="00C86E8A">
        <w:t>était pas prévu que la manifestation se terminât devant le mémorial des Martyrs comme l</w:t>
      </w:r>
      <w:r w:rsidRPr="00C86E8A" w:rsidR="00C86E8A">
        <w:t>’</w:t>
      </w:r>
      <w:r w:rsidRPr="00C86E8A">
        <w:t>aurait indiqué la Cour suprême dans son arrêt. Ils allèguent ensuite qu</w:t>
      </w:r>
      <w:r w:rsidRPr="00C86E8A" w:rsidR="00C86E8A">
        <w:t>’</w:t>
      </w:r>
      <w:r w:rsidRPr="00C86E8A">
        <w:t>ils n</w:t>
      </w:r>
      <w:r w:rsidRPr="00C86E8A" w:rsidR="00C86E8A">
        <w:t>’</w:t>
      </w:r>
      <w:r w:rsidRPr="00C86E8A">
        <w:t>avaient pas d</w:t>
      </w:r>
      <w:r w:rsidRPr="00C86E8A" w:rsidR="00C86E8A">
        <w:t>’</w:t>
      </w:r>
      <w:r w:rsidRPr="00C86E8A">
        <w:t>intentions violentes et qu</w:t>
      </w:r>
      <w:r w:rsidRPr="00C86E8A" w:rsidR="00C86E8A">
        <w:t>’</w:t>
      </w:r>
      <w:r w:rsidRPr="00C86E8A">
        <w:t>ils n</w:t>
      </w:r>
      <w:r w:rsidRPr="00C86E8A" w:rsidR="00C86E8A">
        <w:t>’</w:t>
      </w:r>
      <w:r w:rsidRPr="00C86E8A">
        <w:t>étaient pas armés. Cela étant, ils reconnaissent qu</w:t>
      </w:r>
      <w:r w:rsidRPr="00C86E8A" w:rsidR="00C86E8A">
        <w:t>’</w:t>
      </w:r>
      <w:r w:rsidRPr="00C86E8A">
        <w:t>ils ont été à l</w:t>
      </w:r>
      <w:r w:rsidRPr="00C86E8A" w:rsidR="00C86E8A">
        <w:t>’</w:t>
      </w:r>
      <w:r w:rsidRPr="00C86E8A">
        <w:t>origine de légers troubles, selon eux largement dénués de violence. Ils contestent avoir blessé quiconque ou avoir attaqué des bâtiments publics.</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24</w:t>
      </w:r>
      <w:r w:rsidRPr="00C86E8A">
        <w:fldChar w:fldCharType="end"/>
      </w:r>
      <w:r w:rsidRPr="00C86E8A">
        <w:t>.  Ils reconnaissent qu</w:t>
      </w:r>
      <w:r w:rsidRPr="00C86E8A" w:rsidR="00C86E8A">
        <w:t>’</w:t>
      </w:r>
      <w:r w:rsidRPr="00C86E8A">
        <w:t>ils n</w:t>
      </w:r>
      <w:r w:rsidRPr="00C86E8A" w:rsidR="00C86E8A">
        <w:t>’</w:t>
      </w:r>
      <w:r w:rsidRPr="00C86E8A">
        <w:t>ont pas été arrêtés ni poursuivis pour avoir participé à une manifestation. Ils estiment que les incidents ayant eu lieu dans le passé étaient mineurs et ne pouvaient pas servir à justifier la fermeture par la police de la rue située devant le Parlement et de l</w:t>
      </w:r>
      <w:r w:rsidRPr="00C86E8A" w:rsidR="00C86E8A">
        <w:t>’</w:t>
      </w:r>
      <w:r w:rsidRPr="00C86E8A">
        <w:t>accès à celui-ci. Ils sont d</w:t>
      </w:r>
      <w:r w:rsidRPr="00C86E8A" w:rsidR="00C86E8A">
        <w:t>’</w:t>
      </w:r>
      <w:r w:rsidRPr="00C86E8A">
        <w:t>avis que leur condamnation à une amende pénale n</w:t>
      </w:r>
      <w:r w:rsidRPr="00C86E8A" w:rsidR="00C86E8A">
        <w:t>’</w:t>
      </w:r>
      <w:r w:rsidRPr="00C86E8A">
        <w:t>était pas nécessaire dans une société démocratique.</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25</w:t>
      </w:r>
      <w:r w:rsidRPr="00C86E8A">
        <w:fldChar w:fldCharType="end"/>
      </w:r>
      <w:r w:rsidRPr="00C86E8A">
        <w:t>.  Le Gouvernement considère que les mesures de maintien de l</w:t>
      </w:r>
      <w:r w:rsidRPr="00C86E8A" w:rsidR="00C86E8A">
        <w:t>’</w:t>
      </w:r>
      <w:r w:rsidRPr="00C86E8A">
        <w:t>ordre qui ont été mises en place devant le Parlement n</w:t>
      </w:r>
      <w:r w:rsidRPr="00C86E8A" w:rsidR="00C86E8A">
        <w:t>’</w:t>
      </w:r>
      <w:r w:rsidRPr="00C86E8A">
        <w:t>ont pas enfreint le droit à la liberté de manifester des requérants. Il expose que les policiers n</w:t>
      </w:r>
      <w:r w:rsidRPr="00C86E8A" w:rsidR="00C86E8A">
        <w:t>’</w:t>
      </w:r>
      <w:r w:rsidRPr="00C86E8A">
        <w:t>ont pas interféré dans le déroulement de la manifestation et que cette manifestation, d</w:t>
      </w:r>
      <w:r w:rsidRPr="00C86E8A" w:rsidR="00C86E8A">
        <w:t>’</w:t>
      </w:r>
      <w:r w:rsidRPr="00C86E8A">
        <w:t>abord pacifique, a dégénéré en une manifestation violente. En tout état de cause, il estime que rien ne peut justifier que les requérants se soient attaqués aux policiers comme ils l</w:t>
      </w:r>
      <w:r w:rsidRPr="00C86E8A" w:rsidR="00C86E8A">
        <w:t>’</w:t>
      </w:r>
      <w:r w:rsidRPr="00C86E8A">
        <w:t>ont fait en l</w:t>
      </w:r>
      <w:r w:rsidRPr="00C86E8A" w:rsidR="00C86E8A">
        <w:t>’</w:t>
      </w:r>
      <w:r w:rsidRPr="00C86E8A">
        <w:t>espèce. Il argue que les requérants ont utilisé la force contre les policiers pour pouvoir pénétrer dans le bâtiment du Parlement et que les autorités nationales ont donc eu des raisons de croire que les manifestants entendaient perturber les débats prévus au Parlement en se livrant à des violences. Il avance à cet égard qu</w:t>
      </w:r>
      <w:r w:rsidRPr="00C86E8A" w:rsidR="00C86E8A">
        <w:t>’</w:t>
      </w:r>
      <w:r w:rsidRPr="00C86E8A">
        <w:t>en 2000 et 2009, lors de manifestations organisées devant le Parlement, les participants avaient jeté, entre autres, des morceaux de bois et des bouteilles sur les policiers et sur le bâtiment du Parlement.</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26</w:t>
      </w:r>
      <w:r w:rsidRPr="00C86E8A">
        <w:fldChar w:fldCharType="end"/>
      </w:r>
      <w:r w:rsidRPr="00C86E8A">
        <w:t>.  Le Gouvernement plaide que les requérants n</w:t>
      </w:r>
      <w:r w:rsidRPr="00C86E8A" w:rsidR="00C86E8A">
        <w:t>’</w:t>
      </w:r>
      <w:r w:rsidRPr="00C86E8A">
        <w:t>ont pas été arrêtés et expose qu</w:t>
      </w:r>
      <w:r w:rsidRPr="00C86E8A" w:rsidR="00C86E8A">
        <w:t>’</w:t>
      </w:r>
      <w:r w:rsidRPr="00C86E8A">
        <w:t>ils n</w:t>
      </w:r>
      <w:r w:rsidRPr="00C86E8A" w:rsidR="00C86E8A">
        <w:t>’</w:t>
      </w:r>
      <w:r w:rsidRPr="00C86E8A">
        <w:t>ont pas été poursuivis pour avoir manifesté au mépris de la loi, mais pour avoir utilisé la force contre des policiers qui étaient dans l</w:t>
      </w:r>
      <w:r w:rsidRPr="00C86E8A" w:rsidR="00C86E8A">
        <w:t>’</w:t>
      </w:r>
      <w:r w:rsidRPr="00C86E8A">
        <w:t>exercice de leurs fonctions et qui étaient chargés de protéger le bâtiment du Parlement. Il ajoute que, bien que l</w:t>
      </w:r>
      <w:r w:rsidRPr="00C86E8A" w:rsidR="00C86E8A">
        <w:t>’</w:t>
      </w:r>
      <w:r w:rsidRPr="00C86E8A">
        <w:t>article pertinent du code pénal prévoie une peine d</w:t>
      </w:r>
      <w:r w:rsidRPr="00C86E8A" w:rsidR="00C86E8A">
        <w:t>’</w:t>
      </w:r>
      <w:r w:rsidRPr="00C86E8A">
        <w:t>emprisonnement pouvant aller jusqu</w:t>
      </w:r>
      <w:r w:rsidRPr="00C86E8A" w:rsidR="00C86E8A">
        <w:t>’</w:t>
      </w:r>
      <w:r w:rsidRPr="00C86E8A">
        <w:t>à deux ans, les requérants ont été condamnés à une amende pénale assortie d</w:t>
      </w:r>
      <w:r w:rsidRPr="00C86E8A" w:rsidR="00C86E8A">
        <w:t>’</w:t>
      </w:r>
      <w:r w:rsidRPr="00C86E8A">
        <w:t>un sursis d</w:t>
      </w:r>
      <w:r w:rsidRPr="00C86E8A" w:rsidR="00C86E8A">
        <w:t>’</w:t>
      </w:r>
      <w:r w:rsidRPr="00C86E8A">
        <w:t>un an, période durant laquelle ils ne devaient pas réitérer une telle infraction. Il indique que cette période d</w:t>
      </w:r>
      <w:r w:rsidRPr="00C86E8A" w:rsidR="00C86E8A">
        <w:t>’</w:t>
      </w:r>
      <w:r w:rsidRPr="00C86E8A">
        <w:t>une année est échue depuis le 22 décembre 2012.</w:t>
      </w:r>
    </w:p>
    <w:p w:rsidRPr="00C86E8A" w:rsidR="00423016" w:rsidP="00C86E8A" w:rsidRDefault="00423016">
      <w:pPr>
        <w:pStyle w:val="JuH1"/>
        <w:numPr>
          <w:ilvl w:val="0"/>
          <w:numId w:val="0"/>
        </w:numPr>
        <w:ind w:left="731"/>
      </w:pPr>
      <w:r w:rsidRPr="00C86E8A">
        <w:t>2.  Appréciation de la Cour</w:t>
      </w:r>
    </w:p>
    <w:p w:rsidRPr="00C86E8A" w:rsidR="00423016" w:rsidP="00C86E8A" w:rsidRDefault="00423016">
      <w:pPr>
        <w:pStyle w:val="JuPara"/>
        <w:rPr>
          <w:snapToGrid w:val="0"/>
        </w:rPr>
      </w:pPr>
      <w:r w:rsidRPr="00C86E8A">
        <w:fldChar w:fldCharType="begin"/>
      </w:r>
      <w:r w:rsidRPr="00C86E8A">
        <w:instrText xml:space="preserve"> SEQ level0 \*arabic </w:instrText>
      </w:r>
      <w:r w:rsidRPr="00C86E8A">
        <w:fldChar w:fldCharType="separate"/>
      </w:r>
      <w:r w:rsidRPr="00C86E8A" w:rsidR="00C86E8A">
        <w:rPr>
          <w:noProof/>
        </w:rPr>
        <w:t>27</w:t>
      </w:r>
      <w:r w:rsidRPr="00C86E8A">
        <w:fldChar w:fldCharType="end"/>
      </w:r>
      <w:r w:rsidRPr="00C86E8A">
        <w:t>.  La Cour se réfère aux principes qui se dégagent de sa jurisprudence relative à l</w:t>
      </w:r>
      <w:r w:rsidRPr="00C86E8A" w:rsidR="00C86E8A">
        <w:t>’</w:t>
      </w:r>
      <w:r w:rsidRPr="00C86E8A">
        <w:t>article 11 de la Convention (</w:t>
      </w:r>
      <w:proofErr w:type="spellStart"/>
      <w:r w:rsidRPr="00C86E8A">
        <w:rPr>
          <w:i/>
        </w:rPr>
        <w:t>Kudrevičius</w:t>
      </w:r>
      <w:proofErr w:type="spellEnd"/>
      <w:r w:rsidRPr="00C86E8A">
        <w:t xml:space="preserve"> </w:t>
      </w:r>
      <w:r w:rsidRPr="00C86E8A">
        <w:rPr>
          <w:i/>
        </w:rPr>
        <w:t>et autres c. Lituanie</w:t>
      </w:r>
      <w:r w:rsidRPr="00C86E8A">
        <w:t xml:space="preserve"> [GC], n</w:t>
      </w:r>
      <w:r w:rsidRPr="00C86E8A">
        <w:rPr>
          <w:vertAlign w:val="superscript"/>
        </w:rPr>
        <w:t>o</w:t>
      </w:r>
      <w:r w:rsidRPr="00C86E8A">
        <w:t xml:space="preserve"> 37553/05, §§ 142-146, CEDH 2015, </w:t>
      </w:r>
      <w:proofErr w:type="spellStart"/>
      <w:r w:rsidRPr="00C86E8A">
        <w:rPr>
          <w:i/>
        </w:rPr>
        <w:t>Eğitim</w:t>
      </w:r>
      <w:proofErr w:type="spellEnd"/>
      <w:r w:rsidRPr="00C86E8A">
        <w:rPr>
          <w:i/>
        </w:rPr>
        <w:t xml:space="preserve"> </w:t>
      </w:r>
      <w:proofErr w:type="spellStart"/>
      <w:r w:rsidRPr="00C86E8A">
        <w:rPr>
          <w:i/>
        </w:rPr>
        <w:t>ve</w:t>
      </w:r>
      <w:proofErr w:type="spellEnd"/>
      <w:r w:rsidRPr="00C86E8A">
        <w:rPr>
          <w:i/>
        </w:rPr>
        <w:t xml:space="preserve"> </w:t>
      </w:r>
      <w:proofErr w:type="spellStart"/>
      <w:r w:rsidRPr="00C86E8A">
        <w:rPr>
          <w:i/>
        </w:rPr>
        <w:t>Bilim</w:t>
      </w:r>
      <w:proofErr w:type="spellEnd"/>
      <w:r w:rsidRPr="00C86E8A">
        <w:rPr>
          <w:i/>
        </w:rPr>
        <w:t xml:space="preserve"> </w:t>
      </w:r>
      <w:proofErr w:type="spellStart"/>
      <w:r w:rsidRPr="00C86E8A">
        <w:rPr>
          <w:i/>
        </w:rPr>
        <w:t>Emekçileri</w:t>
      </w:r>
      <w:proofErr w:type="spellEnd"/>
      <w:r w:rsidRPr="00C86E8A">
        <w:rPr>
          <w:i/>
        </w:rPr>
        <w:t xml:space="preserve"> </w:t>
      </w:r>
      <w:proofErr w:type="spellStart"/>
      <w:r w:rsidRPr="00C86E8A">
        <w:rPr>
          <w:i/>
        </w:rPr>
        <w:t>Sendikası</w:t>
      </w:r>
      <w:proofErr w:type="spellEnd"/>
      <w:r w:rsidRPr="00C86E8A">
        <w:t xml:space="preserve"> </w:t>
      </w:r>
      <w:r w:rsidRPr="00C86E8A">
        <w:rPr>
          <w:i/>
        </w:rPr>
        <w:t>et autres</w:t>
      </w:r>
      <w:r w:rsidRPr="00C86E8A">
        <w:t xml:space="preserve">, </w:t>
      </w:r>
      <w:r w:rsidRPr="00C86E8A">
        <w:rPr>
          <w:snapToGrid w:val="0"/>
        </w:rPr>
        <w:t xml:space="preserve">précité, §§ 92, 93, 95 et 98, et </w:t>
      </w:r>
      <w:proofErr w:type="spellStart"/>
      <w:r w:rsidRPr="00C86E8A">
        <w:rPr>
          <w:i/>
        </w:rPr>
        <w:t>Navalnyy</w:t>
      </w:r>
      <w:proofErr w:type="spellEnd"/>
      <w:r w:rsidRPr="00C86E8A">
        <w:rPr>
          <w:i/>
        </w:rPr>
        <w:t xml:space="preserve"> c. Russie</w:t>
      </w:r>
      <w:r w:rsidRPr="00C86E8A">
        <w:t xml:space="preserve"> [GC], n</w:t>
      </w:r>
      <w:r w:rsidRPr="00C86E8A">
        <w:rPr>
          <w:vertAlign w:val="superscript"/>
        </w:rPr>
        <w:t>os</w:t>
      </w:r>
      <w:r w:rsidRPr="00C86E8A">
        <w:t> 29580/12 et 4 autres, §§ 98 et 99, 15 novembre 2018</w:t>
      </w:r>
      <w:r w:rsidRPr="00C86E8A">
        <w:rPr>
          <w:snapToGrid w:val="0"/>
        </w:rPr>
        <w:t>).</w:t>
      </w:r>
    </w:p>
    <w:p w:rsidRPr="00C86E8A" w:rsidR="00423016" w:rsidP="00C86E8A" w:rsidRDefault="00423016">
      <w:pPr>
        <w:pStyle w:val="JuPara"/>
      </w:pPr>
      <w:r w:rsidRPr="00C86E8A">
        <w:rPr>
          <w:rFonts w:cstheme="minorHAnsi"/>
        </w:rPr>
        <w:fldChar w:fldCharType="begin"/>
      </w:r>
      <w:r w:rsidRPr="00C86E8A">
        <w:rPr>
          <w:rFonts w:cstheme="minorHAnsi"/>
        </w:rPr>
        <w:instrText xml:space="preserve"> SEQ level0 \*arabic </w:instrText>
      </w:r>
      <w:r w:rsidRPr="00C86E8A">
        <w:rPr>
          <w:rFonts w:cstheme="minorHAnsi"/>
        </w:rPr>
        <w:fldChar w:fldCharType="separate"/>
      </w:r>
      <w:r w:rsidRPr="00C86E8A" w:rsidR="00C86E8A">
        <w:rPr>
          <w:rFonts w:cstheme="minorHAnsi"/>
          <w:noProof/>
        </w:rPr>
        <w:t>28</w:t>
      </w:r>
      <w:r w:rsidRPr="00C86E8A">
        <w:rPr>
          <w:rFonts w:cstheme="minorHAnsi"/>
        </w:rPr>
        <w:fldChar w:fldCharType="end"/>
      </w:r>
      <w:r w:rsidRPr="00C86E8A">
        <w:rPr>
          <w:rFonts w:cstheme="minorHAnsi"/>
        </w:rPr>
        <w:t>.  L</w:t>
      </w:r>
      <w:r w:rsidRPr="00C86E8A">
        <w:t>a Cour rappelle que l</w:t>
      </w:r>
      <w:r w:rsidRPr="00C86E8A" w:rsidR="00C86E8A">
        <w:t>’</w:t>
      </w:r>
      <w:r w:rsidRPr="00C86E8A">
        <w:t>article 11 de la Convention ne protège que le droit à la liberté de « réunion pacifique ». C</w:t>
      </w:r>
      <w:r w:rsidRPr="00C86E8A" w:rsidR="00C86E8A">
        <w:t>’</w:t>
      </w:r>
      <w:r w:rsidRPr="00C86E8A">
        <w:t>est de plus une liberté qui peut être exercée non seulement par les individus participant à pareille manifestation mais aussi par les organisateurs (</w:t>
      </w:r>
      <w:proofErr w:type="spellStart"/>
      <w:r w:rsidRPr="00C86E8A">
        <w:rPr>
          <w:i/>
        </w:rPr>
        <w:t>Gün</w:t>
      </w:r>
      <w:proofErr w:type="spellEnd"/>
      <w:r w:rsidRPr="00C86E8A">
        <w:rPr>
          <w:i/>
        </w:rPr>
        <w:t xml:space="preserve"> et autres c.</w:t>
      </w:r>
      <w:r w:rsidRPr="00C86E8A" w:rsidR="00D75731">
        <w:rPr>
          <w:i/>
        </w:rPr>
        <w:t> </w:t>
      </w:r>
      <w:r w:rsidRPr="00C86E8A">
        <w:rPr>
          <w:i/>
        </w:rPr>
        <w:t>Turquie</w:t>
      </w:r>
      <w:r w:rsidRPr="00C86E8A">
        <w:rPr>
          <w:snapToGrid w:val="0"/>
        </w:rPr>
        <w:t>, n</w:t>
      </w:r>
      <w:r w:rsidRPr="00C86E8A">
        <w:rPr>
          <w:snapToGrid w:val="0"/>
          <w:vertAlign w:val="superscript"/>
        </w:rPr>
        <w:t>o</w:t>
      </w:r>
      <w:r w:rsidRPr="00C86E8A">
        <w:rPr>
          <w:snapToGrid w:val="0"/>
        </w:rPr>
        <w:t> 8029/07, § 49, 18 juin 2013). La notion de « réunion pacifique » ne couvre pas les manifestations dont les organisateurs et participants ont des intentions violentes (</w:t>
      </w:r>
      <w:proofErr w:type="spellStart"/>
      <w:r w:rsidRPr="00C86E8A">
        <w:rPr>
          <w:i/>
        </w:rPr>
        <w:t>Stankov</w:t>
      </w:r>
      <w:proofErr w:type="spellEnd"/>
      <w:r w:rsidRPr="00C86E8A">
        <w:rPr>
          <w:i/>
        </w:rPr>
        <w:t xml:space="preserve"> et Organisation macédonienne unie </w:t>
      </w:r>
      <w:proofErr w:type="spellStart"/>
      <w:r w:rsidRPr="00C86E8A">
        <w:rPr>
          <w:i/>
        </w:rPr>
        <w:t>Ilinden</w:t>
      </w:r>
      <w:proofErr w:type="spellEnd"/>
      <w:r w:rsidRPr="00C86E8A">
        <w:rPr>
          <w:i/>
        </w:rPr>
        <w:t xml:space="preserve"> c.</w:t>
      </w:r>
      <w:r w:rsidRPr="00C86E8A" w:rsidR="00D75731">
        <w:rPr>
          <w:i/>
        </w:rPr>
        <w:t> </w:t>
      </w:r>
      <w:r w:rsidRPr="00C86E8A">
        <w:rPr>
          <w:i/>
        </w:rPr>
        <w:t>Bulgarie</w:t>
      </w:r>
      <w:r w:rsidRPr="00C86E8A">
        <w:t>, n</w:t>
      </w:r>
      <w:r w:rsidRPr="00C86E8A">
        <w:rPr>
          <w:rFonts w:cs="Times New Roman"/>
          <w:vertAlign w:val="superscript"/>
        </w:rPr>
        <w:t>os</w:t>
      </w:r>
      <w:r w:rsidRPr="00C86E8A">
        <w:t xml:space="preserve"> 29221/95 et 29225/95, § 77, CEDH 2001</w:t>
      </w:r>
      <w:r w:rsidRPr="00C86E8A">
        <w:noBreakHyphen/>
        <w:t xml:space="preserve">IX, </w:t>
      </w:r>
      <w:proofErr w:type="spellStart"/>
      <w:r w:rsidRPr="00C86E8A">
        <w:rPr>
          <w:i/>
        </w:rPr>
        <w:t>Navalnyy</w:t>
      </w:r>
      <w:proofErr w:type="spellEnd"/>
      <w:r w:rsidRPr="00C86E8A">
        <w:t xml:space="preserve">, précité, § 98, et </w:t>
      </w:r>
      <w:proofErr w:type="spellStart"/>
      <w:r w:rsidRPr="00C86E8A">
        <w:rPr>
          <w:i/>
        </w:rPr>
        <w:t>Yaroslav</w:t>
      </w:r>
      <w:proofErr w:type="spellEnd"/>
      <w:r w:rsidRPr="00C86E8A">
        <w:rPr>
          <w:i/>
        </w:rPr>
        <w:t xml:space="preserve"> </w:t>
      </w:r>
      <w:proofErr w:type="spellStart"/>
      <w:r w:rsidRPr="00C86E8A">
        <w:rPr>
          <w:i/>
        </w:rPr>
        <w:t>Belousov</w:t>
      </w:r>
      <w:proofErr w:type="spellEnd"/>
      <w:r w:rsidRPr="00C86E8A">
        <w:t xml:space="preserve"> </w:t>
      </w:r>
      <w:r w:rsidRPr="00C86E8A">
        <w:rPr>
          <w:i/>
        </w:rPr>
        <w:t>c. Russie</w:t>
      </w:r>
      <w:r w:rsidRPr="00C86E8A">
        <w:t>, n</w:t>
      </w:r>
      <w:r w:rsidRPr="00C86E8A">
        <w:rPr>
          <w:rFonts w:cs="Times New Roman"/>
          <w:vertAlign w:val="superscript"/>
        </w:rPr>
        <w:t>os</w:t>
      </w:r>
      <w:r w:rsidRPr="00C86E8A">
        <w:t xml:space="preserve"> 2653/13 et</w:t>
      </w:r>
      <w:r w:rsidRPr="00C86E8A" w:rsidR="009C6B48">
        <w:t> </w:t>
      </w:r>
      <w:r w:rsidRPr="00C86E8A">
        <w:t>60980/14, §</w:t>
      </w:r>
      <w:r w:rsidRPr="00C86E8A" w:rsidR="00D75731">
        <w:t> </w:t>
      </w:r>
      <w:r w:rsidRPr="00C86E8A">
        <w:t>168, 4 octobre 2016).</w:t>
      </w:r>
    </w:p>
    <w:p w:rsidRPr="00C86E8A" w:rsidR="00423016" w:rsidP="00C86E8A" w:rsidRDefault="00423016">
      <w:pPr>
        <w:pStyle w:val="JuPara"/>
        <w:rPr>
          <w:i/>
        </w:rPr>
      </w:pPr>
      <w:r w:rsidRPr="00C86E8A">
        <w:fldChar w:fldCharType="begin"/>
      </w:r>
      <w:r w:rsidRPr="00C86E8A">
        <w:instrText xml:space="preserve"> SEQ level0 \*arabic </w:instrText>
      </w:r>
      <w:r w:rsidRPr="00C86E8A">
        <w:fldChar w:fldCharType="separate"/>
      </w:r>
      <w:r w:rsidRPr="00C86E8A" w:rsidR="00C86E8A">
        <w:rPr>
          <w:noProof/>
        </w:rPr>
        <w:t>29</w:t>
      </w:r>
      <w:r w:rsidRPr="00C86E8A">
        <w:fldChar w:fldCharType="end"/>
      </w:r>
      <w:r w:rsidRPr="00C86E8A">
        <w:t>.  En l</w:t>
      </w:r>
      <w:r w:rsidRPr="00C86E8A" w:rsidR="00C86E8A">
        <w:t>’</w:t>
      </w:r>
      <w:r w:rsidRPr="00C86E8A">
        <w:t>espèce, la Cour note que les requérants ont participé à une manifestation pacifique autorisée. Puis, à la fin de la manifestation, les requérants, avec un groupe de manifestants, ont commis des actes physiques violents à l</w:t>
      </w:r>
      <w:r w:rsidRPr="00C86E8A" w:rsidR="00C86E8A">
        <w:t>’</w:t>
      </w:r>
      <w:r w:rsidRPr="00C86E8A">
        <w:t>égard des forces de l</w:t>
      </w:r>
      <w:r w:rsidRPr="00C86E8A" w:rsidR="00C86E8A">
        <w:t>’</w:t>
      </w:r>
      <w:r w:rsidRPr="00C86E8A">
        <w:t>ordre alors que les organisateurs n</w:t>
      </w:r>
      <w:r w:rsidRPr="00C86E8A" w:rsidR="00C86E8A">
        <w:t>’</w:t>
      </w:r>
      <w:r w:rsidRPr="00C86E8A">
        <w:t>avaient pas appelé à la violence ou au désordre. Concernant le fait que les requérants s</w:t>
      </w:r>
      <w:r w:rsidRPr="00C86E8A" w:rsidR="00C86E8A">
        <w:t>’</w:t>
      </w:r>
      <w:r w:rsidRPr="00C86E8A">
        <w:t>en soient pris physiquement au cordon de police, le dossier ne contient aucun élément de preuve concrets et intangibles que les organisateurs avaient de telles intentions (</w:t>
      </w:r>
      <w:proofErr w:type="spellStart"/>
      <w:r w:rsidRPr="00C86E8A">
        <w:rPr>
          <w:i/>
        </w:rPr>
        <w:t>Yaroslav</w:t>
      </w:r>
      <w:proofErr w:type="spellEnd"/>
      <w:r w:rsidRPr="00C86E8A">
        <w:rPr>
          <w:i/>
        </w:rPr>
        <w:t xml:space="preserve"> </w:t>
      </w:r>
      <w:proofErr w:type="spellStart"/>
      <w:r w:rsidRPr="00C86E8A">
        <w:rPr>
          <w:i/>
        </w:rPr>
        <w:t>Belousov</w:t>
      </w:r>
      <w:proofErr w:type="spellEnd"/>
      <w:r w:rsidRPr="00C86E8A">
        <w:t>, précité, §</w:t>
      </w:r>
      <w:r w:rsidRPr="00C86E8A" w:rsidR="00D75731">
        <w:t> </w:t>
      </w:r>
      <w:r w:rsidRPr="00C86E8A">
        <w:t>171). De plus, il ne ressort pas des éléments versés au dossier ni des observations du Gouvernement, que les requérants avaient participé à la manifestation en possession d</w:t>
      </w:r>
      <w:r w:rsidRPr="00C86E8A" w:rsidR="00C86E8A">
        <w:t>’</w:t>
      </w:r>
      <w:r w:rsidRPr="00C86E8A">
        <w:t>armes ou de tout autre objet ou bien d</w:t>
      </w:r>
      <w:r w:rsidRPr="00C86E8A" w:rsidR="00C86E8A">
        <w:t>’</w:t>
      </w:r>
      <w:r w:rsidRPr="00C86E8A">
        <w:t>équipement pouvant être utilisé comme armes pour s</w:t>
      </w:r>
      <w:r w:rsidRPr="00C86E8A" w:rsidR="00C86E8A">
        <w:t>’</w:t>
      </w:r>
      <w:r w:rsidRPr="00C86E8A">
        <w:t>en prendre aux policiers chargés de protéger le bâtiment du Parlement. Même s</w:t>
      </w:r>
      <w:r w:rsidRPr="00C86E8A" w:rsidR="00C86E8A">
        <w:t>’</w:t>
      </w:r>
      <w:r w:rsidRPr="00C86E8A">
        <w:t>il existe un risque réel qu</w:t>
      </w:r>
      <w:r w:rsidRPr="00C86E8A" w:rsidR="00C86E8A">
        <w:t>’</w:t>
      </w:r>
      <w:r w:rsidRPr="00C86E8A">
        <w:t>une manifestation publique soit à l</w:t>
      </w:r>
      <w:r w:rsidRPr="00C86E8A" w:rsidR="00C86E8A">
        <w:t>’</w:t>
      </w:r>
      <w:r w:rsidRPr="00C86E8A">
        <w:t>origine de troubles en raison d</w:t>
      </w:r>
      <w:r w:rsidRPr="00C86E8A" w:rsidR="00C86E8A">
        <w:t>’</w:t>
      </w:r>
      <w:r w:rsidRPr="00C86E8A">
        <w:t>évènements échappant au contrôle des organisateurs, cette manifestation ne sort pas pour cette seule raison du champ d</w:t>
      </w:r>
      <w:r w:rsidRPr="00C86E8A" w:rsidR="00C86E8A">
        <w:t>’</w:t>
      </w:r>
      <w:r w:rsidRPr="00C86E8A">
        <w:t>application du paragraphe 1 de l</w:t>
      </w:r>
      <w:r w:rsidRPr="00C86E8A" w:rsidR="00C86E8A">
        <w:t>’</w:t>
      </w:r>
      <w:r w:rsidRPr="00C86E8A">
        <w:t>article 11, et toute restriction imposée à pareille réunion doit être conforme aux termes du paragraphe 2 de cette disposition (</w:t>
      </w:r>
      <w:proofErr w:type="spellStart"/>
      <w:r w:rsidRPr="00C86E8A">
        <w:rPr>
          <w:i/>
        </w:rPr>
        <w:t>Schwabe</w:t>
      </w:r>
      <w:proofErr w:type="spellEnd"/>
      <w:r w:rsidRPr="00C86E8A">
        <w:rPr>
          <w:i/>
        </w:rPr>
        <w:t xml:space="preserve"> et M.G. c. Allemagne</w:t>
      </w:r>
      <w:r w:rsidRPr="00C86E8A">
        <w:t>, n</w:t>
      </w:r>
      <w:r w:rsidRPr="00C86E8A">
        <w:rPr>
          <w:rFonts w:cs="Times New Roman"/>
          <w:vertAlign w:val="superscript"/>
        </w:rPr>
        <w:t>os</w:t>
      </w:r>
      <w:r w:rsidRPr="00C86E8A" w:rsidR="009C6B48">
        <w:rPr>
          <w:rFonts w:cs="Times New Roman"/>
          <w:vertAlign w:val="superscript"/>
        </w:rPr>
        <w:t xml:space="preserve"> </w:t>
      </w:r>
      <w:r w:rsidRPr="00C86E8A">
        <w:t xml:space="preserve">8080/08 et 8577/08, § 92, CEDH 2011 (extraits), comparé avec </w:t>
      </w:r>
      <w:proofErr w:type="spellStart"/>
      <w:r w:rsidRPr="00C86E8A">
        <w:rPr>
          <w:i/>
        </w:rPr>
        <w:t>Yaroslav</w:t>
      </w:r>
      <w:proofErr w:type="spellEnd"/>
      <w:r w:rsidRPr="00C86E8A">
        <w:rPr>
          <w:i/>
        </w:rPr>
        <w:t xml:space="preserve"> </w:t>
      </w:r>
      <w:proofErr w:type="spellStart"/>
      <w:r w:rsidRPr="00C86E8A">
        <w:rPr>
          <w:i/>
        </w:rPr>
        <w:t>Belousov</w:t>
      </w:r>
      <w:proofErr w:type="spellEnd"/>
      <w:r w:rsidRPr="00C86E8A">
        <w:t xml:space="preserve">, précité, § 169 et les références qui y sont citées, et </w:t>
      </w:r>
      <w:proofErr w:type="spellStart"/>
      <w:r w:rsidRPr="00C86E8A">
        <w:rPr>
          <w:i/>
        </w:rPr>
        <w:t>Protopapa</w:t>
      </w:r>
      <w:proofErr w:type="spellEnd"/>
      <w:r w:rsidRPr="00C86E8A">
        <w:rPr>
          <w:i/>
        </w:rPr>
        <w:t xml:space="preserve"> c. Turquie</w:t>
      </w:r>
      <w:r w:rsidRPr="00C86E8A">
        <w:t>, n</w:t>
      </w:r>
      <w:r w:rsidRPr="00C86E8A">
        <w:rPr>
          <w:vertAlign w:val="superscript"/>
        </w:rPr>
        <w:t>o</w:t>
      </w:r>
      <w:r w:rsidRPr="00C86E8A">
        <w:t xml:space="preserve"> 16084/90, </w:t>
      </w:r>
      <w:r w:rsidRPr="00C86E8A">
        <w:rPr>
          <w:snapToGrid w:val="0"/>
        </w:rPr>
        <w:t>§§</w:t>
      </w:r>
      <w:r w:rsidRPr="00C86E8A" w:rsidR="00D75731">
        <w:rPr>
          <w:snapToGrid w:val="0"/>
        </w:rPr>
        <w:t> </w:t>
      </w:r>
      <w:r w:rsidRPr="00C86E8A">
        <w:rPr>
          <w:snapToGrid w:val="0"/>
        </w:rPr>
        <w:t>104</w:t>
      </w:r>
      <w:r w:rsidRPr="00C86E8A" w:rsidR="009C6B48">
        <w:rPr>
          <w:snapToGrid w:val="0"/>
        </w:rPr>
        <w:t>–</w:t>
      </w:r>
      <w:r w:rsidRPr="00C86E8A">
        <w:rPr>
          <w:snapToGrid w:val="0"/>
        </w:rPr>
        <w:t>112, 24</w:t>
      </w:r>
      <w:r w:rsidRPr="00C86E8A" w:rsidR="00D75731">
        <w:rPr>
          <w:snapToGrid w:val="0"/>
        </w:rPr>
        <w:t> </w:t>
      </w:r>
      <w:r w:rsidRPr="00C86E8A">
        <w:t>février</w:t>
      </w:r>
      <w:r w:rsidRPr="00C86E8A">
        <w:rPr>
          <w:snapToGrid w:val="0"/>
        </w:rPr>
        <w:t xml:space="preserve"> 2009)</w:t>
      </w:r>
      <w:r w:rsidRPr="00C86E8A">
        <w:t>.</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30</w:t>
      </w:r>
      <w:r w:rsidRPr="00C86E8A">
        <w:fldChar w:fldCharType="end"/>
      </w:r>
      <w:r w:rsidRPr="00C86E8A">
        <w:t>.  Partant, à la lumière de ces considérations et dans la mesure où il y a une continuité entre la manifestation initiale et les actes violents commis à la fin de celle-ci, la Cour estime que la condamnation des requérants constitue une ingérence des autorités publiques dans l</w:t>
      </w:r>
      <w:r w:rsidRPr="00C86E8A" w:rsidR="00C86E8A">
        <w:t>’</w:t>
      </w:r>
      <w:r w:rsidRPr="00C86E8A">
        <w:t>exercice de leur droit à la liberté de réunion, qui englobe la liberté de manifester (</w:t>
      </w:r>
      <w:proofErr w:type="spellStart"/>
      <w:r w:rsidRPr="00C86E8A">
        <w:rPr>
          <w:i/>
        </w:rPr>
        <w:t>Gülcü</w:t>
      </w:r>
      <w:proofErr w:type="spellEnd"/>
      <w:r w:rsidRPr="00C86E8A">
        <w:rPr>
          <w:i/>
        </w:rPr>
        <w:t xml:space="preserve"> c.</w:t>
      </w:r>
      <w:r w:rsidRPr="00C86E8A" w:rsidR="00D75731">
        <w:rPr>
          <w:i/>
        </w:rPr>
        <w:t> </w:t>
      </w:r>
      <w:r w:rsidRPr="00C86E8A">
        <w:rPr>
          <w:i/>
        </w:rPr>
        <w:t>Turquie</w:t>
      </w:r>
      <w:r w:rsidRPr="00C86E8A">
        <w:t>, n</w:t>
      </w:r>
      <w:r w:rsidRPr="00C86E8A">
        <w:rPr>
          <w:vertAlign w:val="superscript"/>
        </w:rPr>
        <w:t>o</w:t>
      </w:r>
      <w:r w:rsidRPr="00C86E8A" w:rsidR="009C6B48">
        <w:rPr>
          <w:vertAlign w:val="superscript"/>
        </w:rPr>
        <w:t xml:space="preserve"> </w:t>
      </w:r>
      <w:r w:rsidRPr="00C86E8A">
        <w:t>17526/10</w:t>
      </w:r>
      <w:r w:rsidRPr="00C86E8A">
        <w:rPr>
          <w:snapToGrid w:val="0"/>
        </w:rPr>
        <w:t xml:space="preserve">, § 102, 19 </w:t>
      </w:r>
      <w:r w:rsidRPr="00C86E8A">
        <w:t>janvier</w:t>
      </w:r>
      <w:r w:rsidRPr="00C86E8A">
        <w:rPr>
          <w:snapToGrid w:val="0"/>
        </w:rPr>
        <w:t xml:space="preserve"> 2016, et </w:t>
      </w:r>
      <w:proofErr w:type="spellStart"/>
      <w:r w:rsidRPr="00C86E8A">
        <w:rPr>
          <w:i/>
        </w:rPr>
        <w:t>Yaroslav</w:t>
      </w:r>
      <w:proofErr w:type="spellEnd"/>
      <w:r w:rsidRPr="00C86E8A">
        <w:rPr>
          <w:i/>
        </w:rPr>
        <w:t xml:space="preserve"> </w:t>
      </w:r>
      <w:proofErr w:type="spellStart"/>
      <w:r w:rsidRPr="00C86E8A">
        <w:rPr>
          <w:i/>
        </w:rPr>
        <w:t>Belousov</w:t>
      </w:r>
      <w:proofErr w:type="spellEnd"/>
      <w:r w:rsidRPr="00C86E8A">
        <w:t>, précité, § 172</w:t>
      </w:r>
      <w:r w:rsidRPr="00C86E8A">
        <w:rPr>
          <w:snapToGrid w:val="0"/>
        </w:rPr>
        <w:t>)</w:t>
      </w:r>
      <w:r w:rsidRPr="00C86E8A">
        <w:t>.</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31</w:t>
      </w:r>
      <w:r w:rsidRPr="00C86E8A">
        <w:fldChar w:fldCharType="end"/>
      </w:r>
      <w:r w:rsidRPr="00C86E8A">
        <w:t>.  Pareille ingérence est contraire à l</w:t>
      </w:r>
      <w:r w:rsidRPr="00C86E8A" w:rsidR="00C86E8A">
        <w:t>’</w:t>
      </w:r>
      <w:r w:rsidRPr="00C86E8A">
        <w:t>article 11 de la Convention, sauf si elle est « prévue par la loi », vise un ou plusieurs buts légitimes cités au paragraphe 2 de cette disposition et est « nécessaire dans une société démocratique » pour atteindre ces buts. Il n</w:t>
      </w:r>
      <w:r w:rsidRPr="00C86E8A" w:rsidR="00C86E8A">
        <w:t>’</w:t>
      </w:r>
      <w:r w:rsidRPr="00C86E8A">
        <w:t>est pas contesté par les parties que l</w:t>
      </w:r>
      <w:r w:rsidRPr="00C86E8A" w:rsidR="00C86E8A">
        <w:t>’</w:t>
      </w:r>
      <w:r w:rsidRPr="00C86E8A">
        <w:t>ingérence était prévue par la loi, à savoir l</w:t>
      </w:r>
      <w:r w:rsidRPr="00C86E8A" w:rsidR="00C86E8A">
        <w:t>’</w:t>
      </w:r>
      <w:r w:rsidRPr="00C86E8A">
        <w:t>article 224 b) du code pénal, relatif au délit de voie de fait commis sur un fonctionnaire de police dans l</w:t>
      </w:r>
      <w:r w:rsidRPr="00C86E8A" w:rsidR="00C86E8A">
        <w:t>’</w:t>
      </w:r>
      <w:r w:rsidRPr="00C86E8A">
        <w:t>exercice de ses fonctions. Elle poursuivait au moins l</w:t>
      </w:r>
      <w:r w:rsidRPr="00C86E8A" w:rsidR="00C86E8A">
        <w:t>’</w:t>
      </w:r>
      <w:r w:rsidRPr="00C86E8A">
        <w:t>un des buts énumérés à l</w:t>
      </w:r>
      <w:r w:rsidRPr="00C86E8A" w:rsidR="00C86E8A">
        <w:t>’</w:t>
      </w:r>
      <w:r w:rsidRPr="00C86E8A">
        <w:t>article 11 § 2, à savoir la défense de l</w:t>
      </w:r>
      <w:r w:rsidRPr="00C86E8A" w:rsidR="00C86E8A">
        <w:t>’</w:t>
      </w:r>
      <w:r w:rsidRPr="00C86E8A">
        <w:t>ordre et la prévention du crime. Il reste à la Cour à déterminer si l</w:t>
      </w:r>
      <w:r w:rsidRPr="00C86E8A" w:rsidR="00C86E8A">
        <w:t>’</w:t>
      </w:r>
      <w:r w:rsidRPr="00C86E8A">
        <w:t>ingérence était « nécessaire dans une société démocratique » pour atteindre ces buts.</w:t>
      </w:r>
    </w:p>
    <w:p w:rsidRPr="00C86E8A" w:rsidR="00423016" w:rsidP="00C86E8A" w:rsidRDefault="00423016">
      <w:pPr>
        <w:pStyle w:val="JuPara"/>
        <w:rPr>
          <w:snapToGrid w:val="0"/>
        </w:rPr>
      </w:pPr>
      <w:r w:rsidRPr="00C86E8A">
        <w:rPr>
          <w:snapToGrid w:val="0"/>
        </w:rPr>
        <w:fldChar w:fldCharType="begin"/>
      </w:r>
      <w:r w:rsidRPr="00C86E8A">
        <w:rPr>
          <w:snapToGrid w:val="0"/>
        </w:rPr>
        <w:instrText xml:space="preserve"> SEQ level0 \*arabic </w:instrText>
      </w:r>
      <w:r w:rsidRPr="00C86E8A">
        <w:rPr>
          <w:snapToGrid w:val="0"/>
        </w:rPr>
        <w:fldChar w:fldCharType="separate"/>
      </w:r>
      <w:r w:rsidRPr="00C86E8A" w:rsidR="00C86E8A">
        <w:rPr>
          <w:noProof/>
          <w:snapToGrid w:val="0"/>
        </w:rPr>
        <w:t>32</w:t>
      </w:r>
      <w:r w:rsidRPr="00C86E8A">
        <w:rPr>
          <w:snapToGrid w:val="0"/>
        </w:rPr>
        <w:fldChar w:fldCharType="end"/>
      </w:r>
      <w:r w:rsidRPr="00C86E8A">
        <w:rPr>
          <w:snapToGrid w:val="0"/>
        </w:rPr>
        <w:t>.  La Cour note tout d</w:t>
      </w:r>
      <w:r w:rsidRPr="00C86E8A" w:rsidR="00C86E8A">
        <w:rPr>
          <w:snapToGrid w:val="0"/>
        </w:rPr>
        <w:t>’</w:t>
      </w:r>
      <w:r w:rsidRPr="00C86E8A">
        <w:rPr>
          <w:snapToGrid w:val="0"/>
        </w:rPr>
        <w:t>abord qu</w:t>
      </w:r>
      <w:r w:rsidRPr="00C86E8A" w:rsidR="00C86E8A">
        <w:rPr>
          <w:snapToGrid w:val="0"/>
        </w:rPr>
        <w:t>’</w:t>
      </w:r>
      <w:r w:rsidRPr="00C86E8A">
        <w:rPr>
          <w:snapToGrid w:val="0"/>
        </w:rPr>
        <w:t>il ressort des observations des parties et des documents produits par elles que la journée d</w:t>
      </w:r>
      <w:r w:rsidRPr="00C86E8A" w:rsidR="00C86E8A">
        <w:rPr>
          <w:snapToGrid w:val="0"/>
        </w:rPr>
        <w:t>’</w:t>
      </w:r>
      <w:r w:rsidRPr="00C86E8A">
        <w:rPr>
          <w:snapToGrid w:val="0"/>
        </w:rPr>
        <w:t>action nationale organisée le 28 octobre 2009 par les différents syndicats a fait l</w:t>
      </w:r>
      <w:r w:rsidRPr="00C86E8A" w:rsidR="00C86E8A">
        <w:rPr>
          <w:snapToGrid w:val="0"/>
        </w:rPr>
        <w:t>’</w:t>
      </w:r>
      <w:r w:rsidRPr="00C86E8A">
        <w:rPr>
          <w:snapToGrid w:val="0"/>
        </w:rPr>
        <w:t>objet d</w:t>
      </w:r>
      <w:r w:rsidRPr="00C86E8A" w:rsidR="00C86E8A">
        <w:rPr>
          <w:snapToGrid w:val="0"/>
        </w:rPr>
        <w:t>’</w:t>
      </w:r>
      <w:r w:rsidRPr="00C86E8A">
        <w:rPr>
          <w:snapToGrid w:val="0"/>
        </w:rPr>
        <w:t>une déclaration préalable aux autorités de police compétentes. En l</w:t>
      </w:r>
      <w:r w:rsidRPr="00C86E8A" w:rsidR="00C86E8A">
        <w:rPr>
          <w:snapToGrid w:val="0"/>
        </w:rPr>
        <w:t>’</w:t>
      </w:r>
      <w:r w:rsidRPr="00C86E8A">
        <w:rPr>
          <w:snapToGrid w:val="0"/>
        </w:rPr>
        <w:t>occurrence, le préfet de police a pris toutes les mesures nécessaires au maintien de la sécurité et de l</w:t>
      </w:r>
      <w:r w:rsidRPr="00C86E8A" w:rsidR="00C86E8A">
        <w:rPr>
          <w:snapToGrid w:val="0"/>
        </w:rPr>
        <w:t>’</w:t>
      </w:r>
      <w:r w:rsidRPr="00C86E8A">
        <w:rPr>
          <w:snapToGrid w:val="0"/>
        </w:rPr>
        <w:t>ordre publics, afin d</w:t>
      </w:r>
      <w:r w:rsidRPr="00C86E8A" w:rsidR="00C86E8A">
        <w:rPr>
          <w:snapToGrid w:val="0"/>
        </w:rPr>
        <w:t>’</w:t>
      </w:r>
      <w:r w:rsidRPr="00C86E8A">
        <w:rPr>
          <w:snapToGrid w:val="0"/>
        </w:rPr>
        <w:t>assurer le bon déroulement de la manifestation. Les éléments versés au dossier et les attendus de l</w:t>
      </w:r>
      <w:r w:rsidRPr="00C86E8A" w:rsidR="00C86E8A">
        <w:rPr>
          <w:snapToGrid w:val="0"/>
        </w:rPr>
        <w:t>’</w:t>
      </w:r>
      <w:r w:rsidRPr="00C86E8A">
        <w:rPr>
          <w:snapToGrid w:val="0"/>
        </w:rPr>
        <w:t>arrêt rendu par la Cour suprême montrent en particulier que le parcours de la manifestation avait été planifié et que le représentant des syndicats avait été informé du trajet qui serait emprunté par les manifestants. Les requérants et l</w:t>
      </w:r>
      <w:r w:rsidRPr="00C86E8A" w:rsidR="00C86E8A">
        <w:rPr>
          <w:snapToGrid w:val="0"/>
        </w:rPr>
        <w:t>’</w:t>
      </w:r>
      <w:r w:rsidRPr="00C86E8A">
        <w:rPr>
          <w:snapToGrid w:val="0"/>
        </w:rPr>
        <w:t>ensemble des manifestants ont donc été autorisés à manifester dans des lieux déterminés à l</w:t>
      </w:r>
      <w:r w:rsidRPr="00C86E8A" w:rsidR="00C86E8A">
        <w:rPr>
          <w:snapToGrid w:val="0"/>
        </w:rPr>
        <w:t>’</w:t>
      </w:r>
      <w:r w:rsidRPr="00C86E8A">
        <w:rPr>
          <w:snapToGrid w:val="0"/>
        </w:rPr>
        <w:t>avance. La Cour constate qu</w:t>
      </w:r>
      <w:r w:rsidRPr="00C86E8A" w:rsidR="00C86E8A">
        <w:rPr>
          <w:snapToGrid w:val="0"/>
        </w:rPr>
        <w:t>’</w:t>
      </w:r>
      <w:r w:rsidRPr="00C86E8A">
        <w:rPr>
          <w:snapToGrid w:val="0"/>
        </w:rPr>
        <w:t>il était prévu que la manifestation se terminât sur la place du mémorial des Martyrs, à plusieurs dizaines de mètres du Parlement national. Partant, elle considère qu</w:t>
      </w:r>
      <w:r w:rsidRPr="00C86E8A" w:rsidR="00C86E8A">
        <w:rPr>
          <w:snapToGrid w:val="0"/>
        </w:rPr>
        <w:t>’</w:t>
      </w:r>
      <w:r w:rsidRPr="00C86E8A">
        <w:rPr>
          <w:snapToGrid w:val="0"/>
        </w:rPr>
        <w:t xml:space="preserve">il ne fait pas de doute que les autorités de police ont explicitement et verbalement donné leur accord préalable au rassemblement du 28 octobre 2009. Elle en déduit que les organisateurs et les requérants – en tant que participants à la manifestation – étaient </w:t>
      </w:r>
      <w:r w:rsidRPr="00C86E8A">
        <w:rPr>
          <w:i/>
          <w:snapToGrid w:val="0"/>
        </w:rPr>
        <w:t>a priori</w:t>
      </w:r>
      <w:r w:rsidRPr="00C86E8A">
        <w:rPr>
          <w:snapToGrid w:val="0"/>
        </w:rPr>
        <w:t xml:space="preserve"> animés d</w:t>
      </w:r>
      <w:r w:rsidRPr="00C86E8A" w:rsidR="00C86E8A">
        <w:rPr>
          <w:snapToGrid w:val="0"/>
        </w:rPr>
        <w:t>’</w:t>
      </w:r>
      <w:r w:rsidRPr="00C86E8A">
        <w:rPr>
          <w:snapToGrid w:val="0"/>
        </w:rPr>
        <w:t>une intention pacifique.</w:t>
      </w:r>
    </w:p>
    <w:p w:rsidRPr="00C86E8A" w:rsidR="00423016" w:rsidP="00C86E8A" w:rsidRDefault="00423016">
      <w:pPr>
        <w:pStyle w:val="JuPara"/>
      </w:pPr>
      <w:r w:rsidRPr="00C86E8A">
        <w:rPr>
          <w:snapToGrid w:val="0"/>
        </w:rPr>
        <w:fldChar w:fldCharType="begin"/>
      </w:r>
      <w:r w:rsidRPr="00C86E8A">
        <w:rPr>
          <w:snapToGrid w:val="0"/>
        </w:rPr>
        <w:instrText xml:space="preserve"> SEQ level0 \*arabic </w:instrText>
      </w:r>
      <w:r w:rsidRPr="00C86E8A">
        <w:rPr>
          <w:snapToGrid w:val="0"/>
        </w:rPr>
        <w:fldChar w:fldCharType="separate"/>
      </w:r>
      <w:r w:rsidRPr="00C86E8A" w:rsidR="00C86E8A">
        <w:rPr>
          <w:noProof/>
          <w:snapToGrid w:val="0"/>
        </w:rPr>
        <w:t>33</w:t>
      </w:r>
      <w:r w:rsidRPr="00C86E8A">
        <w:rPr>
          <w:snapToGrid w:val="0"/>
        </w:rPr>
        <w:fldChar w:fldCharType="end"/>
      </w:r>
      <w:r w:rsidRPr="00C86E8A">
        <w:rPr>
          <w:snapToGrid w:val="0"/>
        </w:rPr>
        <w:t>.  Toutefois, la Cour note que les requérants contestent que le représentant des syndicats ait pu s</w:t>
      </w:r>
      <w:r w:rsidRPr="00C86E8A" w:rsidR="00C86E8A">
        <w:rPr>
          <w:snapToGrid w:val="0"/>
        </w:rPr>
        <w:t>’</w:t>
      </w:r>
      <w:r w:rsidRPr="00C86E8A">
        <w:rPr>
          <w:snapToGrid w:val="0"/>
        </w:rPr>
        <w:t>entretenir au préalable avec le préfet de police au sujet de l</w:t>
      </w:r>
      <w:r w:rsidRPr="00C86E8A" w:rsidR="00C86E8A">
        <w:rPr>
          <w:snapToGrid w:val="0"/>
        </w:rPr>
        <w:t>’</w:t>
      </w:r>
      <w:r w:rsidRPr="00C86E8A">
        <w:rPr>
          <w:snapToGrid w:val="0"/>
        </w:rPr>
        <w:t xml:space="preserve">organisation de la manifestation. </w:t>
      </w:r>
      <w:r w:rsidRPr="00C86E8A">
        <w:t>Cela étant</w:t>
      </w:r>
      <w:r w:rsidRPr="00C86E8A">
        <w:rPr>
          <w:snapToGrid w:val="0"/>
        </w:rPr>
        <w:t>, elle rappelle que, l</w:t>
      </w:r>
      <w:r w:rsidRPr="00C86E8A" w:rsidR="00C86E8A">
        <w:t>’</w:t>
      </w:r>
      <w:r w:rsidRPr="00C86E8A">
        <w:t>affluence de personnes pendant un événement public comportant des risques, il n</w:t>
      </w:r>
      <w:r w:rsidRPr="00C86E8A" w:rsidR="00C86E8A">
        <w:t>’</w:t>
      </w:r>
      <w:r w:rsidRPr="00C86E8A">
        <w:t>est pas rare que les pouvoirs publics imposent des limites quant au lieu, à la date, à l</w:t>
      </w:r>
      <w:r w:rsidRPr="00C86E8A" w:rsidR="00C86E8A">
        <w:t>’</w:t>
      </w:r>
      <w:r w:rsidRPr="00C86E8A">
        <w:t>heure, à la forme ou aux modalités de la tenue d</w:t>
      </w:r>
      <w:r w:rsidRPr="00C86E8A" w:rsidR="00C86E8A">
        <w:t>’</w:t>
      </w:r>
      <w:r w:rsidRPr="00C86E8A">
        <w:t>un rassemblement public prévu (</w:t>
      </w:r>
      <w:proofErr w:type="spellStart"/>
      <w:r w:rsidRPr="00C86E8A">
        <w:rPr>
          <w:i/>
        </w:rPr>
        <w:t>Primov</w:t>
      </w:r>
      <w:proofErr w:type="spellEnd"/>
      <w:r w:rsidRPr="00C86E8A">
        <w:rPr>
          <w:i/>
        </w:rPr>
        <w:t xml:space="preserve"> et autres c. Russie</w:t>
      </w:r>
      <w:r w:rsidRPr="00C86E8A">
        <w:t>, n</w:t>
      </w:r>
      <w:r w:rsidRPr="00C86E8A">
        <w:rPr>
          <w:vertAlign w:val="superscript"/>
        </w:rPr>
        <w:t>o</w:t>
      </w:r>
      <w:r w:rsidRPr="00C86E8A">
        <w:t> 17391/06, § 130, 12 juin 2014). Dans ce contexte, l</w:t>
      </w:r>
      <w:r w:rsidRPr="00C86E8A">
        <w:rPr>
          <w:snapToGrid w:val="0"/>
        </w:rPr>
        <w:t>a Cour relève qu</w:t>
      </w:r>
      <w:r w:rsidRPr="00C86E8A" w:rsidR="00C86E8A">
        <w:rPr>
          <w:snapToGrid w:val="0"/>
        </w:rPr>
        <w:t>’</w:t>
      </w:r>
      <w:r w:rsidRPr="00C86E8A">
        <w:rPr>
          <w:snapToGrid w:val="0"/>
        </w:rPr>
        <w:t xml:space="preserve">avant elle la Cour suprême a apprécié les faits et les circonstances de la cause. À cet égard, </w:t>
      </w:r>
      <w:r w:rsidRPr="00C86E8A">
        <w:rPr>
          <w:lang w:bidi="en-US"/>
        </w:rPr>
        <w:t>lorsqu</w:t>
      </w:r>
      <w:r w:rsidRPr="00C86E8A" w:rsidR="00C86E8A">
        <w:rPr>
          <w:lang w:bidi="en-US"/>
        </w:rPr>
        <w:t>’</w:t>
      </w:r>
      <w:r w:rsidRPr="00C86E8A">
        <w:rPr>
          <w:lang w:bidi="en-US"/>
        </w:rPr>
        <w:t xml:space="preserve">elle vérifie </w:t>
      </w:r>
      <w:r w:rsidRPr="00C86E8A">
        <w:t>si une ingérence était « nécessaire dans une société démocratique » à la réalisation d</w:t>
      </w:r>
      <w:r w:rsidRPr="00C86E8A" w:rsidR="00C86E8A">
        <w:t>’</w:t>
      </w:r>
      <w:r w:rsidRPr="00C86E8A">
        <w:t>un but légitime, elle reconnaît aux autorités nationales une certaine marge d</w:t>
      </w:r>
      <w:r w:rsidRPr="00C86E8A" w:rsidR="00C86E8A">
        <w:t>’</w:t>
      </w:r>
      <w:r w:rsidRPr="00C86E8A">
        <w:t>appréciation dans le choix des moyens propres à atteindre le but légitime poursuivi mais elle souligne que cette marge d</w:t>
      </w:r>
      <w:r w:rsidRPr="00C86E8A" w:rsidR="00C86E8A">
        <w:t>’</w:t>
      </w:r>
      <w:r w:rsidRPr="00C86E8A">
        <w:t>appréciation va de pair avec un contrôle européen portant à la fois sur la loi et sur les décisions qui l</w:t>
      </w:r>
      <w:r w:rsidRPr="00C86E8A" w:rsidR="00C86E8A">
        <w:t>’</w:t>
      </w:r>
      <w:r w:rsidRPr="00C86E8A">
        <w:t>appliquent (</w:t>
      </w:r>
      <w:proofErr w:type="spellStart"/>
      <w:r w:rsidRPr="00C86E8A">
        <w:rPr>
          <w:i/>
        </w:rPr>
        <w:t>Navalnyy</w:t>
      </w:r>
      <w:proofErr w:type="spellEnd"/>
      <w:r w:rsidRPr="00C86E8A">
        <w:t>, précité, § 139).</w:t>
      </w:r>
    </w:p>
    <w:p w:rsidRPr="00C86E8A" w:rsidR="00423016" w:rsidP="00C86E8A" w:rsidRDefault="00423016">
      <w:pPr>
        <w:pStyle w:val="JuPara"/>
        <w:rPr>
          <w:snapToGrid w:val="0"/>
        </w:rPr>
      </w:pPr>
      <w:r w:rsidRPr="00C86E8A">
        <w:fldChar w:fldCharType="begin"/>
      </w:r>
      <w:r w:rsidRPr="00C86E8A">
        <w:instrText xml:space="preserve"> SEQ level0 \*arabic </w:instrText>
      </w:r>
      <w:r w:rsidRPr="00C86E8A">
        <w:fldChar w:fldCharType="separate"/>
      </w:r>
      <w:r w:rsidRPr="00C86E8A" w:rsidR="00C86E8A">
        <w:rPr>
          <w:noProof/>
        </w:rPr>
        <w:t>34</w:t>
      </w:r>
      <w:r w:rsidRPr="00C86E8A">
        <w:fldChar w:fldCharType="end"/>
      </w:r>
      <w:r w:rsidRPr="00C86E8A">
        <w:t>.  En l</w:t>
      </w:r>
      <w:r w:rsidRPr="00C86E8A" w:rsidR="00C86E8A">
        <w:t>’</w:t>
      </w:r>
      <w:r w:rsidRPr="00C86E8A">
        <w:t>espèce, la Cour note qu</w:t>
      </w:r>
      <w:r w:rsidRPr="00C86E8A" w:rsidR="00C86E8A">
        <w:t>’</w:t>
      </w:r>
      <w:r w:rsidRPr="00C86E8A">
        <w:t xml:space="preserve">il </w:t>
      </w:r>
      <w:r w:rsidRPr="00C86E8A">
        <w:rPr>
          <w:snapToGrid w:val="0"/>
        </w:rPr>
        <w:t>ressort de l</w:t>
      </w:r>
      <w:r w:rsidRPr="00C86E8A" w:rsidR="00C86E8A">
        <w:rPr>
          <w:snapToGrid w:val="0"/>
        </w:rPr>
        <w:t>’</w:t>
      </w:r>
      <w:r w:rsidRPr="00C86E8A">
        <w:rPr>
          <w:snapToGrid w:val="0"/>
        </w:rPr>
        <w:t>établissement des faits opéré par les juridictions internes compétentes, et en dernier lieu par la Cour suprême, que le trajet de la manifestation a été établi d</w:t>
      </w:r>
      <w:r w:rsidRPr="00C86E8A" w:rsidR="00C86E8A">
        <w:rPr>
          <w:snapToGrid w:val="0"/>
        </w:rPr>
        <w:t>’</w:t>
      </w:r>
      <w:r w:rsidRPr="00C86E8A">
        <w:rPr>
          <w:snapToGrid w:val="0"/>
        </w:rPr>
        <w:t>un commun accord entre les organisateurs et les autorités de police chargées de garantir le bon déroulement de la manifestation et la sécurité de tous les citoyens. Elle ne dispose pas d</w:t>
      </w:r>
      <w:r w:rsidRPr="00C86E8A" w:rsidR="00C86E8A">
        <w:rPr>
          <w:snapToGrid w:val="0"/>
        </w:rPr>
        <w:t>’</w:t>
      </w:r>
      <w:r w:rsidRPr="00C86E8A">
        <w:rPr>
          <w:snapToGrid w:val="0"/>
        </w:rPr>
        <w:t>éléments de preuve ou d</w:t>
      </w:r>
      <w:r w:rsidRPr="00C86E8A" w:rsidR="00C86E8A">
        <w:rPr>
          <w:snapToGrid w:val="0"/>
        </w:rPr>
        <w:t>’</w:t>
      </w:r>
      <w:r w:rsidRPr="00C86E8A">
        <w:rPr>
          <w:snapToGrid w:val="0"/>
        </w:rPr>
        <w:t>autres informations pertinentes pour remettre en cause l</w:t>
      </w:r>
      <w:r w:rsidRPr="00C86E8A" w:rsidR="00C86E8A">
        <w:rPr>
          <w:snapToGrid w:val="0"/>
        </w:rPr>
        <w:t>’</w:t>
      </w:r>
      <w:r w:rsidRPr="00C86E8A">
        <w:rPr>
          <w:snapToGrid w:val="0"/>
        </w:rPr>
        <w:t>appréciation des faits effectuée par la Cour suprême. De plus, elle constate que l</w:t>
      </w:r>
      <w:r w:rsidRPr="00C86E8A" w:rsidR="00C86E8A">
        <w:rPr>
          <w:snapToGrid w:val="0"/>
        </w:rPr>
        <w:t>’</w:t>
      </w:r>
      <w:r w:rsidRPr="00C86E8A">
        <w:rPr>
          <w:snapToGrid w:val="0"/>
        </w:rPr>
        <w:t>établissement des faits par la haute juridiction est suffisamment motivé et circonstancié. Rappelant que les autorités nationales jouissent d</w:t>
      </w:r>
      <w:r w:rsidRPr="00C86E8A" w:rsidR="00C86E8A">
        <w:rPr>
          <w:snapToGrid w:val="0"/>
        </w:rPr>
        <w:t>’</w:t>
      </w:r>
      <w:r w:rsidRPr="00C86E8A">
        <w:rPr>
          <w:snapToGrid w:val="0"/>
        </w:rPr>
        <w:t>une certaine marge d</w:t>
      </w:r>
      <w:r w:rsidRPr="00C86E8A" w:rsidR="00C86E8A">
        <w:rPr>
          <w:snapToGrid w:val="0"/>
        </w:rPr>
        <w:t>’</w:t>
      </w:r>
      <w:r w:rsidRPr="00C86E8A">
        <w:rPr>
          <w:snapToGrid w:val="0"/>
        </w:rPr>
        <w:t>appréciation et gardant à l</w:t>
      </w:r>
      <w:r w:rsidRPr="00C86E8A" w:rsidR="00C86E8A">
        <w:rPr>
          <w:snapToGrid w:val="0"/>
        </w:rPr>
        <w:t>’</w:t>
      </w:r>
      <w:r w:rsidRPr="00C86E8A">
        <w:rPr>
          <w:snapToGrid w:val="0"/>
        </w:rPr>
        <w:t>esprit la nature subsidiaire de sa mission, elle ne s</w:t>
      </w:r>
      <w:r w:rsidRPr="00C86E8A" w:rsidR="00C86E8A">
        <w:rPr>
          <w:snapToGrid w:val="0"/>
        </w:rPr>
        <w:t>’</w:t>
      </w:r>
      <w:r w:rsidRPr="00C86E8A">
        <w:rPr>
          <w:snapToGrid w:val="0"/>
        </w:rPr>
        <w:t>écartera normalement des constatations de fait des tribunaux internes que si elle est en possession de données convaincantes à cet effet. En l</w:t>
      </w:r>
      <w:r w:rsidRPr="00C86E8A" w:rsidR="00C86E8A">
        <w:rPr>
          <w:snapToGrid w:val="0"/>
        </w:rPr>
        <w:t>’</w:t>
      </w:r>
      <w:r w:rsidRPr="00C86E8A">
        <w:rPr>
          <w:snapToGrid w:val="0"/>
        </w:rPr>
        <w:t>espèce, elle ne dispose pas d</w:t>
      </w:r>
      <w:r w:rsidRPr="00C86E8A" w:rsidR="00C86E8A">
        <w:rPr>
          <w:snapToGrid w:val="0"/>
        </w:rPr>
        <w:t>’</w:t>
      </w:r>
      <w:r w:rsidRPr="00C86E8A">
        <w:rPr>
          <w:snapToGrid w:val="0"/>
        </w:rPr>
        <w:t>éléments de fait ou de preuves pouvant contredire les constats de fait opérés par les juridictions internes au sujet de l</w:t>
      </w:r>
      <w:r w:rsidRPr="00C86E8A" w:rsidR="00C86E8A">
        <w:rPr>
          <w:snapToGrid w:val="0"/>
        </w:rPr>
        <w:t>’</w:t>
      </w:r>
      <w:r w:rsidRPr="00C86E8A">
        <w:rPr>
          <w:snapToGrid w:val="0"/>
        </w:rPr>
        <w:t>entretien qui a eu lieu entre le préfet de police et le représentant des syndicats au sujet du trajet de la manifestation.</w:t>
      </w:r>
    </w:p>
    <w:p w:rsidRPr="00C86E8A" w:rsidR="00423016" w:rsidP="00C86E8A" w:rsidRDefault="00423016">
      <w:pPr>
        <w:pStyle w:val="JuPara"/>
        <w:rPr>
          <w:snapToGrid w:val="0"/>
        </w:rPr>
      </w:pPr>
      <w:r w:rsidRPr="00C86E8A">
        <w:rPr>
          <w:snapToGrid w:val="0"/>
        </w:rPr>
        <w:fldChar w:fldCharType="begin"/>
      </w:r>
      <w:r w:rsidRPr="00C86E8A">
        <w:rPr>
          <w:snapToGrid w:val="0"/>
        </w:rPr>
        <w:instrText xml:space="preserve"> SEQ level0 \*arabic </w:instrText>
      </w:r>
      <w:r w:rsidRPr="00C86E8A">
        <w:rPr>
          <w:snapToGrid w:val="0"/>
        </w:rPr>
        <w:fldChar w:fldCharType="separate"/>
      </w:r>
      <w:r w:rsidRPr="00C86E8A" w:rsidR="00C86E8A">
        <w:rPr>
          <w:noProof/>
          <w:snapToGrid w:val="0"/>
        </w:rPr>
        <w:t>35</w:t>
      </w:r>
      <w:r w:rsidRPr="00C86E8A">
        <w:rPr>
          <w:snapToGrid w:val="0"/>
        </w:rPr>
        <w:fldChar w:fldCharType="end"/>
      </w:r>
      <w:r w:rsidRPr="00C86E8A">
        <w:rPr>
          <w:snapToGrid w:val="0"/>
        </w:rPr>
        <w:t>.  La Cour note que la Cour suprême a également établi que la manifestation du 28 octobre 2009 s</w:t>
      </w:r>
      <w:r w:rsidRPr="00C86E8A" w:rsidR="00C86E8A">
        <w:rPr>
          <w:snapToGrid w:val="0"/>
        </w:rPr>
        <w:t>’</w:t>
      </w:r>
      <w:r w:rsidRPr="00C86E8A">
        <w:rPr>
          <w:snapToGrid w:val="0"/>
        </w:rPr>
        <w:t xml:space="preserve">était déroulée pacifiquement de 9 h 30 à 12 h 30, aux lieux prévus et </w:t>
      </w:r>
      <w:r w:rsidRPr="00C86E8A">
        <w:rPr>
          <w:lang w:bidi="en-US"/>
        </w:rPr>
        <w:t>sans aucune ingérence des autorités de police compétentes</w:t>
      </w:r>
      <w:r w:rsidRPr="00C86E8A">
        <w:rPr>
          <w:snapToGrid w:val="0"/>
        </w:rPr>
        <w:t xml:space="preserve">. La Cour suprême a relevé que la manifestation pacifique </w:t>
      </w:r>
      <w:r w:rsidRPr="00C86E8A">
        <w:t>avait emprunté le parcours préétabli</w:t>
      </w:r>
      <w:r w:rsidRPr="00C86E8A">
        <w:rPr>
          <w:snapToGrid w:val="0"/>
        </w:rPr>
        <w:t xml:space="preserve"> et s</w:t>
      </w:r>
      <w:r w:rsidRPr="00C86E8A" w:rsidR="00C86E8A">
        <w:rPr>
          <w:snapToGrid w:val="0"/>
        </w:rPr>
        <w:t>’</w:t>
      </w:r>
      <w:r w:rsidRPr="00C86E8A">
        <w:rPr>
          <w:snapToGrid w:val="0"/>
        </w:rPr>
        <w:t>était terminée, et qu</w:t>
      </w:r>
      <w:r w:rsidRPr="00C86E8A" w:rsidR="00C86E8A">
        <w:rPr>
          <w:snapToGrid w:val="0"/>
        </w:rPr>
        <w:t>’</w:t>
      </w:r>
      <w:r w:rsidRPr="00C86E8A">
        <w:rPr>
          <w:snapToGrid w:val="0"/>
        </w:rPr>
        <w:t>à ce moment-là certains manifestants avaient usé de la violence pour forcer le barrage de police et entrer dans le Parlement. Dans ce contexte, la Cour relève que les requérants ne nient pas avoir perpétré des violences contre les policiers afin de pouvoir entrer dans le Parlement, mais qu</w:t>
      </w:r>
      <w:r w:rsidRPr="00C86E8A" w:rsidR="00C86E8A">
        <w:rPr>
          <w:snapToGrid w:val="0"/>
        </w:rPr>
        <w:t>’</w:t>
      </w:r>
      <w:r w:rsidRPr="00C86E8A">
        <w:rPr>
          <w:snapToGrid w:val="0"/>
        </w:rPr>
        <w:t>ils contestent en fait le degré de ces violences.</w:t>
      </w:r>
    </w:p>
    <w:p w:rsidRPr="00C86E8A" w:rsidR="00423016" w:rsidP="00C86E8A" w:rsidRDefault="00423016">
      <w:pPr>
        <w:pStyle w:val="JuPara"/>
      </w:pPr>
      <w:r w:rsidRPr="00C86E8A">
        <w:rPr>
          <w:snapToGrid w:val="0"/>
        </w:rPr>
        <w:fldChar w:fldCharType="begin"/>
      </w:r>
      <w:r w:rsidRPr="00C86E8A">
        <w:rPr>
          <w:snapToGrid w:val="0"/>
        </w:rPr>
        <w:instrText xml:space="preserve"> SEQ level0 \*arabic </w:instrText>
      </w:r>
      <w:r w:rsidRPr="00C86E8A">
        <w:rPr>
          <w:snapToGrid w:val="0"/>
        </w:rPr>
        <w:fldChar w:fldCharType="separate"/>
      </w:r>
      <w:r w:rsidRPr="00C86E8A" w:rsidR="00C86E8A">
        <w:rPr>
          <w:noProof/>
          <w:snapToGrid w:val="0"/>
        </w:rPr>
        <w:t>36</w:t>
      </w:r>
      <w:r w:rsidRPr="00C86E8A">
        <w:rPr>
          <w:snapToGrid w:val="0"/>
        </w:rPr>
        <w:fldChar w:fldCharType="end"/>
      </w:r>
      <w:r w:rsidRPr="00C86E8A">
        <w:rPr>
          <w:snapToGrid w:val="0"/>
        </w:rPr>
        <w:t>.  Elle en conclut qu</w:t>
      </w:r>
      <w:r w:rsidRPr="00C86E8A" w:rsidR="00C86E8A">
        <w:rPr>
          <w:snapToGrid w:val="0"/>
        </w:rPr>
        <w:t>’</w:t>
      </w:r>
      <w:r w:rsidRPr="00C86E8A">
        <w:rPr>
          <w:snapToGrid w:val="0"/>
        </w:rPr>
        <w:t>il n</w:t>
      </w:r>
      <w:r w:rsidRPr="00C86E8A" w:rsidR="00C86E8A">
        <w:rPr>
          <w:snapToGrid w:val="0"/>
        </w:rPr>
        <w:t>’</w:t>
      </w:r>
      <w:r w:rsidRPr="00C86E8A">
        <w:rPr>
          <w:snapToGrid w:val="0"/>
        </w:rPr>
        <w:t>y a eu aucun incident ni débordement de la part des requérants tant qu</w:t>
      </w:r>
      <w:r w:rsidRPr="00C86E8A" w:rsidR="00C86E8A">
        <w:rPr>
          <w:snapToGrid w:val="0"/>
        </w:rPr>
        <w:t>’</w:t>
      </w:r>
      <w:r w:rsidRPr="00C86E8A">
        <w:rPr>
          <w:snapToGrid w:val="0"/>
        </w:rPr>
        <w:t>ils ont emprunté le trajet de la manifestation prévu dans les zones publiques déterminées à l</w:t>
      </w:r>
      <w:r w:rsidRPr="00C86E8A" w:rsidR="00C86E8A">
        <w:rPr>
          <w:snapToGrid w:val="0"/>
        </w:rPr>
        <w:t>’</w:t>
      </w:r>
      <w:r w:rsidRPr="00C86E8A">
        <w:rPr>
          <w:snapToGrid w:val="0"/>
        </w:rPr>
        <w:t xml:space="preserve">avance. </w:t>
      </w:r>
      <w:r w:rsidRPr="00C86E8A">
        <w:rPr>
          <w:snapToGrid w:val="0"/>
          <w:spacing w:val="14"/>
        </w:rPr>
        <w:t>Ils</w:t>
      </w:r>
      <w:r w:rsidRPr="00C86E8A">
        <w:rPr>
          <w:spacing w:val="14"/>
        </w:rPr>
        <w:t xml:space="preserve"> ont pu</w:t>
      </w:r>
      <w:r w:rsidRPr="00C86E8A">
        <w:t xml:space="preserve"> </w:t>
      </w:r>
      <w:r w:rsidRPr="00C86E8A">
        <w:rPr>
          <w:spacing w:val="20"/>
        </w:rPr>
        <w:t>exercer</w:t>
      </w:r>
      <w:r w:rsidRPr="00C86E8A">
        <w:t xml:space="preserve"> – comme convenu avec les autorités nationales compétentes – leur droit à la liberté de réunion pacifique. Les autorités nationales ont ainsi satisfait à l</w:t>
      </w:r>
      <w:r w:rsidRPr="00C86E8A" w:rsidR="00C86E8A">
        <w:t>’</w:t>
      </w:r>
      <w:r w:rsidRPr="00C86E8A">
        <w:t>obligation positive qui leur incombait au titre de l</w:t>
      </w:r>
      <w:r w:rsidRPr="00C86E8A" w:rsidR="00C86E8A">
        <w:t>’</w:t>
      </w:r>
      <w:r w:rsidRPr="00C86E8A">
        <w:t>article 11 de la Convention.</w:t>
      </w:r>
    </w:p>
    <w:p w:rsidRPr="00C86E8A" w:rsidR="00423016" w:rsidP="00C86E8A" w:rsidRDefault="00423016">
      <w:pPr>
        <w:pStyle w:val="JuPara"/>
        <w:rPr>
          <w:snapToGrid w:val="0"/>
        </w:rPr>
      </w:pPr>
      <w:r w:rsidRPr="00C86E8A">
        <w:rPr>
          <w:snapToGrid w:val="0"/>
        </w:rPr>
        <w:fldChar w:fldCharType="begin"/>
      </w:r>
      <w:r w:rsidRPr="00C86E8A">
        <w:rPr>
          <w:snapToGrid w:val="0"/>
        </w:rPr>
        <w:instrText xml:space="preserve"> SEQ level0 \*arabic </w:instrText>
      </w:r>
      <w:r w:rsidRPr="00C86E8A">
        <w:rPr>
          <w:snapToGrid w:val="0"/>
        </w:rPr>
        <w:fldChar w:fldCharType="separate"/>
      </w:r>
      <w:r w:rsidRPr="00C86E8A" w:rsidR="00C86E8A">
        <w:rPr>
          <w:noProof/>
          <w:snapToGrid w:val="0"/>
        </w:rPr>
        <w:t>37</w:t>
      </w:r>
      <w:r w:rsidRPr="00C86E8A">
        <w:rPr>
          <w:snapToGrid w:val="0"/>
        </w:rPr>
        <w:fldChar w:fldCharType="end"/>
      </w:r>
      <w:r w:rsidRPr="00C86E8A">
        <w:rPr>
          <w:snapToGrid w:val="0"/>
        </w:rPr>
        <w:t>.  En revanche, la décision des requérants de se rendre dans le bâtiment du Parlement national en forçant le cordon de police censé le protéger a engendré des violences de leur part à l</w:t>
      </w:r>
      <w:r w:rsidRPr="00C86E8A" w:rsidR="00C86E8A">
        <w:rPr>
          <w:snapToGrid w:val="0"/>
        </w:rPr>
        <w:t>’</w:t>
      </w:r>
      <w:r w:rsidRPr="00C86E8A">
        <w:rPr>
          <w:snapToGrid w:val="0"/>
        </w:rPr>
        <w:t>encontre des policiers. Les requérants, et neuf autres manifestants, se sont ainsi livrés à des actes de violence pour pouvoir pénétrer dans le Parlement. Ce constat est un élément déterminant. L</w:t>
      </w:r>
      <w:r w:rsidRPr="00C86E8A">
        <w:rPr>
          <w:lang w:bidi="en-US"/>
        </w:rPr>
        <w:t>orsque des manifestants perturbent intentionnellement les activités licites d</w:t>
      </w:r>
      <w:r w:rsidRPr="00C86E8A" w:rsidR="00C86E8A">
        <w:rPr>
          <w:lang w:bidi="en-US"/>
        </w:rPr>
        <w:t>’</w:t>
      </w:r>
      <w:r w:rsidRPr="00C86E8A">
        <w:rPr>
          <w:lang w:bidi="en-US"/>
        </w:rPr>
        <w:t>autrui, ces perturbations, lorsque leur ampleur dépasse celle qu</w:t>
      </w:r>
      <w:r w:rsidRPr="00C86E8A" w:rsidR="00C86E8A">
        <w:rPr>
          <w:lang w:bidi="en-US"/>
        </w:rPr>
        <w:t>’</w:t>
      </w:r>
      <w:r w:rsidRPr="00C86E8A">
        <w:rPr>
          <w:lang w:bidi="en-US"/>
        </w:rPr>
        <w:t>implique l</w:t>
      </w:r>
      <w:r w:rsidRPr="00C86E8A" w:rsidR="00C86E8A">
        <w:rPr>
          <w:lang w:bidi="en-US"/>
        </w:rPr>
        <w:t>’</w:t>
      </w:r>
      <w:r w:rsidRPr="00C86E8A">
        <w:rPr>
          <w:lang w:bidi="en-US"/>
        </w:rPr>
        <w:t>exercice normal de la liberté de réunion pacifique, peuvent être considérées comme des « actes répréhensibles » au sens de la jurisprudence de la Cour. Pareil comportement peut donc justifier l</w:t>
      </w:r>
      <w:r w:rsidRPr="00C86E8A" w:rsidR="00C86E8A">
        <w:rPr>
          <w:lang w:bidi="en-US"/>
        </w:rPr>
        <w:t>’</w:t>
      </w:r>
      <w:r w:rsidRPr="00C86E8A">
        <w:rPr>
          <w:lang w:bidi="en-US"/>
        </w:rPr>
        <w:t>imposition de sanctions, y compris de nature pénale (</w:t>
      </w:r>
      <w:proofErr w:type="spellStart"/>
      <w:r w:rsidRPr="00C86E8A">
        <w:rPr>
          <w:i/>
        </w:rPr>
        <w:t>Kudrevičius</w:t>
      </w:r>
      <w:proofErr w:type="spellEnd"/>
      <w:r w:rsidRPr="00C86E8A">
        <w:t xml:space="preserve"> </w:t>
      </w:r>
      <w:r w:rsidRPr="00C86E8A">
        <w:rPr>
          <w:i/>
        </w:rPr>
        <w:t>et autres</w:t>
      </w:r>
      <w:r w:rsidRPr="00C86E8A">
        <w:rPr>
          <w:lang w:bidi="en-US"/>
        </w:rPr>
        <w:t>, précité, § 173).</w:t>
      </w:r>
    </w:p>
    <w:p w:rsidRPr="00C86E8A" w:rsidR="00423016" w:rsidP="00C86E8A" w:rsidRDefault="00423016">
      <w:pPr>
        <w:pStyle w:val="JuPara"/>
      </w:pPr>
      <w:r w:rsidRPr="00C86E8A">
        <w:rPr>
          <w:snapToGrid w:val="0"/>
        </w:rPr>
        <w:fldChar w:fldCharType="begin"/>
      </w:r>
      <w:r w:rsidRPr="00C86E8A">
        <w:rPr>
          <w:snapToGrid w:val="0"/>
        </w:rPr>
        <w:instrText xml:space="preserve"> SEQ level0 \*arabic </w:instrText>
      </w:r>
      <w:r w:rsidRPr="00C86E8A">
        <w:rPr>
          <w:snapToGrid w:val="0"/>
        </w:rPr>
        <w:fldChar w:fldCharType="separate"/>
      </w:r>
      <w:r w:rsidRPr="00C86E8A" w:rsidR="00C86E8A">
        <w:rPr>
          <w:noProof/>
          <w:snapToGrid w:val="0"/>
        </w:rPr>
        <w:t>38</w:t>
      </w:r>
      <w:r w:rsidRPr="00C86E8A">
        <w:rPr>
          <w:snapToGrid w:val="0"/>
        </w:rPr>
        <w:fldChar w:fldCharType="end"/>
      </w:r>
      <w:r w:rsidRPr="00C86E8A">
        <w:rPr>
          <w:snapToGrid w:val="0"/>
        </w:rPr>
        <w:t>.  En l</w:t>
      </w:r>
      <w:r w:rsidRPr="00C86E8A" w:rsidR="00C86E8A">
        <w:rPr>
          <w:snapToGrid w:val="0"/>
        </w:rPr>
        <w:t>’</w:t>
      </w:r>
      <w:r w:rsidRPr="00C86E8A">
        <w:rPr>
          <w:snapToGrid w:val="0"/>
        </w:rPr>
        <w:t>occurrence, la Cour relève que les requérants n</w:t>
      </w:r>
      <w:r w:rsidRPr="00C86E8A" w:rsidR="00C86E8A">
        <w:rPr>
          <w:snapToGrid w:val="0"/>
        </w:rPr>
        <w:t>’</w:t>
      </w:r>
      <w:r w:rsidRPr="00C86E8A">
        <w:rPr>
          <w:snapToGrid w:val="0"/>
        </w:rPr>
        <w:t>ont pas été condamnés pour avoir participé à la manifestation du 28 octobre 2009 en tant que telle, dans la mesure où elle s</w:t>
      </w:r>
      <w:r w:rsidRPr="00C86E8A" w:rsidR="00C86E8A">
        <w:rPr>
          <w:snapToGrid w:val="0"/>
        </w:rPr>
        <w:t>’</w:t>
      </w:r>
      <w:r w:rsidRPr="00C86E8A">
        <w:rPr>
          <w:snapToGrid w:val="0"/>
        </w:rPr>
        <w:t>est déroulée pacifiquement de 9 h 30 à 12 h 30. Les requérants n</w:t>
      </w:r>
      <w:r w:rsidRPr="00C86E8A" w:rsidR="00C86E8A">
        <w:rPr>
          <w:snapToGrid w:val="0"/>
        </w:rPr>
        <w:t>’</w:t>
      </w:r>
      <w:r w:rsidRPr="00C86E8A">
        <w:rPr>
          <w:snapToGrid w:val="0"/>
        </w:rPr>
        <w:t xml:space="preserve">ont pas non plus </w:t>
      </w:r>
      <w:r w:rsidRPr="00C86E8A">
        <w:t xml:space="preserve">été condamnés pour avoir manifesté devant un lieu interdit (comparer avec </w:t>
      </w:r>
      <w:proofErr w:type="spellStart"/>
      <w:r w:rsidRPr="00C86E8A">
        <w:rPr>
          <w:i/>
        </w:rPr>
        <w:t>Akarsubaşı</w:t>
      </w:r>
      <w:proofErr w:type="spellEnd"/>
      <w:r w:rsidRPr="00C86E8A">
        <w:rPr>
          <w:i/>
        </w:rPr>
        <w:t xml:space="preserve"> c. Turquie</w:t>
      </w:r>
      <w:r w:rsidRPr="00C86E8A">
        <w:t>, n</w:t>
      </w:r>
      <w:r w:rsidRPr="00C86E8A">
        <w:rPr>
          <w:vertAlign w:val="superscript"/>
        </w:rPr>
        <w:t>o</w:t>
      </w:r>
      <w:r w:rsidRPr="00C86E8A">
        <w:t> 70396/11</w:t>
      </w:r>
      <w:r w:rsidRPr="00C86E8A">
        <w:rPr>
          <w:snapToGrid w:val="0"/>
        </w:rPr>
        <w:t xml:space="preserve">, §§ 10 et 45, 21 </w:t>
      </w:r>
      <w:r w:rsidRPr="00C86E8A">
        <w:t>juillet</w:t>
      </w:r>
      <w:r w:rsidRPr="00C86E8A">
        <w:rPr>
          <w:snapToGrid w:val="0"/>
        </w:rPr>
        <w:t xml:space="preserve"> 2015)</w:t>
      </w:r>
      <w:r w:rsidRPr="00C86E8A">
        <w:t xml:space="preserve">. </w:t>
      </w:r>
      <w:r w:rsidRPr="00C86E8A">
        <w:rPr>
          <w:snapToGrid w:val="0"/>
        </w:rPr>
        <w:t>Ils ont été condamnés à raison d</w:t>
      </w:r>
      <w:r w:rsidRPr="00C86E8A" w:rsidR="00C86E8A">
        <w:rPr>
          <w:snapToGrid w:val="0"/>
        </w:rPr>
        <w:t>’</w:t>
      </w:r>
      <w:r w:rsidRPr="00C86E8A">
        <w:rPr>
          <w:snapToGrid w:val="0"/>
        </w:rPr>
        <w:t xml:space="preserve">un comportement précis adopté par eux après la fin de la manifestation, ayant consisté en des voies de fait sur les policiers qui étaient chargés de protéger le Parlement </w:t>
      </w:r>
      <w:r w:rsidRPr="00C86E8A">
        <w:t>(</w:t>
      </w:r>
      <w:proofErr w:type="spellStart"/>
      <w:r w:rsidRPr="00C86E8A">
        <w:rPr>
          <w:i/>
        </w:rPr>
        <w:t>Barraco</w:t>
      </w:r>
      <w:proofErr w:type="spellEnd"/>
      <w:r w:rsidRPr="00C86E8A">
        <w:rPr>
          <w:i/>
        </w:rPr>
        <w:t xml:space="preserve"> c. France</w:t>
      </w:r>
      <w:r w:rsidRPr="00C86E8A">
        <w:t>, n</w:t>
      </w:r>
      <w:r w:rsidRPr="00C86E8A">
        <w:rPr>
          <w:vertAlign w:val="superscript"/>
        </w:rPr>
        <w:t>o</w:t>
      </w:r>
      <w:r w:rsidRPr="00C86E8A">
        <w:t xml:space="preserve"> 31684/05, </w:t>
      </w:r>
      <w:r w:rsidRPr="00C86E8A">
        <w:rPr>
          <w:snapToGrid w:val="0"/>
        </w:rPr>
        <w:t xml:space="preserve">§ 46, </w:t>
      </w:r>
      <w:r w:rsidRPr="00C86E8A">
        <w:t>5 mars 2009)</w:t>
      </w:r>
      <w:r w:rsidRPr="00C86E8A">
        <w:rPr>
          <w:snapToGrid w:val="0"/>
        </w:rPr>
        <w:t>. Les actes de violence physique que les requérants ont commis contre les</w:t>
      </w:r>
      <w:r w:rsidRPr="00C86E8A">
        <w:t xml:space="preserve"> forces de l</w:t>
      </w:r>
      <w:r w:rsidRPr="00C86E8A" w:rsidR="00C86E8A">
        <w:t>’</w:t>
      </w:r>
      <w:r w:rsidRPr="00C86E8A">
        <w:t>ordre dans le but d</w:t>
      </w:r>
      <w:r w:rsidRPr="00C86E8A" w:rsidR="00C86E8A">
        <w:t>’</w:t>
      </w:r>
      <w:r w:rsidRPr="00C86E8A">
        <w:t>accéder au Parlement alors que la manifestation était terminée s</w:t>
      </w:r>
      <w:r w:rsidRPr="00C86E8A" w:rsidR="00C86E8A">
        <w:t>’</w:t>
      </w:r>
      <w:r w:rsidRPr="00C86E8A">
        <w:t>analysent en un comportement qui peut être qualifié de « répréhensible » (</w:t>
      </w:r>
      <w:proofErr w:type="spellStart"/>
      <w:r w:rsidRPr="00C86E8A">
        <w:rPr>
          <w:i/>
        </w:rPr>
        <w:t>Kudrevičius</w:t>
      </w:r>
      <w:proofErr w:type="spellEnd"/>
      <w:r w:rsidRPr="00C86E8A">
        <w:t xml:space="preserve"> </w:t>
      </w:r>
      <w:r w:rsidRPr="00C86E8A">
        <w:rPr>
          <w:i/>
        </w:rPr>
        <w:t>et autres</w:t>
      </w:r>
      <w:r w:rsidRPr="00C86E8A">
        <w:rPr>
          <w:lang w:bidi="en-US"/>
        </w:rPr>
        <w:t>, précité, § 175)</w:t>
      </w:r>
      <w:r w:rsidRPr="00C86E8A">
        <w:t>.</w:t>
      </w:r>
    </w:p>
    <w:p w:rsidRPr="00C86E8A" w:rsidR="00423016" w:rsidP="00C86E8A" w:rsidRDefault="00423016">
      <w:pPr>
        <w:pStyle w:val="JuPara"/>
        <w:rPr>
          <w:snapToGrid w:val="0"/>
        </w:rPr>
      </w:pPr>
      <w:r w:rsidRPr="00C86E8A">
        <w:rPr>
          <w:snapToGrid w:val="0"/>
        </w:rPr>
        <w:fldChar w:fldCharType="begin"/>
      </w:r>
      <w:r w:rsidRPr="00C86E8A">
        <w:rPr>
          <w:snapToGrid w:val="0"/>
        </w:rPr>
        <w:instrText xml:space="preserve"> SEQ level0 \*arabic </w:instrText>
      </w:r>
      <w:r w:rsidRPr="00C86E8A">
        <w:rPr>
          <w:snapToGrid w:val="0"/>
        </w:rPr>
        <w:fldChar w:fldCharType="separate"/>
      </w:r>
      <w:r w:rsidRPr="00C86E8A" w:rsidR="00C86E8A">
        <w:rPr>
          <w:noProof/>
          <w:snapToGrid w:val="0"/>
        </w:rPr>
        <w:t>39</w:t>
      </w:r>
      <w:r w:rsidRPr="00C86E8A">
        <w:rPr>
          <w:snapToGrid w:val="0"/>
        </w:rPr>
        <w:fldChar w:fldCharType="end"/>
      </w:r>
      <w:r w:rsidRPr="00C86E8A">
        <w:rPr>
          <w:snapToGrid w:val="0"/>
        </w:rPr>
        <w:t>.  La Cour note qu</w:t>
      </w:r>
      <w:r w:rsidRPr="00C86E8A" w:rsidR="00C86E8A">
        <w:rPr>
          <w:snapToGrid w:val="0"/>
        </w:rPr>
        <w:t>’</w:t>
      </w:r>
      <w:r w:rsidRPr="00C86E8A">
        <w:rPr>
          <w:snapToGrid w:val="0"/>
        </w:rPr>
        <w:t>il ressort des éléments du dossier, en particulier des motifs avancés par la Cour suprême, que les forces de police – qui étaient de service pour protéger le Parlement, où la loi objet de la manifestation était en discussion – n</w:t>
      </w:r>
      <w:r w:rsidRPr="00C86E8A" w:rsidR="00C86E8A">
        <w:rPr>
          <w:snapToGrid w:val="0"/>
        </w:rPr>
        <w:t>’</w:t>
      </w:r>
      <w:r w:rsidRPr="00C86E8A">
        <w:rPr>
          <w:snapToGrid w:val="0"/>
        </w:rPr>
        <w:t>ont pas procédé à l</w:t>
      </w:r>
      <w:r w:rsidRPr="00C86E8A" w:rsidR="00C86E8A">
        <w:rPr>
          <w:snapToGrid w:val="0"/>
        </w:rPr>
        <w:t>’</w:t>
      </w:r>
      <w:r w:rsidRPr="00C86E8A">
        <w:rPr>
          <w:snapToGrid w:val="0"/>
        </w:rPr>
        <w:t>interpellation des requérants et des autres manifestants qui s</w:t>
      </w:r>
      <w:r w:rsidRPr="00C86E8A" w:rsidR="00C86E8A">
        <w:rPr>
          <w:snapToGrid w:val="0"/>
        </w:rPr>
        <w:t>’</w:t>
      </w:r>
      <w:r w:rsidRPr="00C86E8A">
        <w:rPr>
          <w:snapToGrid w:val="0"/>
        </w:rPr>
        <w:t xml:space="preserve">en étaient pris à elles avec violence. Les autorités nationales </w:t>
      </w:r>
      <w:r w:rsidRPr="00C86E8A">
        <w:t xml:space="preserve">ont donc été suffisamment patientes face au comportement violent des intéressés (comparer avec </w:t>
      </w:r>
      <w:proofErr w:type="spellStart"/>
      <w:r w:rsidRPr="00C86E8A">
        <w:rPr>
          <w:i/>
        </w:rPr>
        <w:t>Eğitim</w:t>
      </w:r>
      <w:proofErr w:type="spellEnd"/>
      <w:r w:rsidRPr="00C86E8A">
        <w:rPr>
          <w:i/>
        </w:rPr>
        <w:t xml:space="preserve"> </w:t>
      </w:r>
      <w:proofErr w:type="spellStart"/>
      <w:r w:rsidRPr="00C86E8A">
        <w:rPr>
          <w:i/>
        </w:rPr>
        <w:t>ve</w:t>
      </w:r>
      <w:proofErr w:type="spellEnd"/>
      <w:r w:rsidRPr="00C86E8A">
        <w:rPr>
          <w:i/>
        </w:rPr>
        <w:t xml:space="preserve"> </w:t>
      </w:r>
      <w:proofErr w:type="spellStart"/>
      <w:r w:rsidRPr="00C86E8A">
        <w:rPr>
          <w:i/>
        </w:rPr>
        <w:t>Bilim</w:t>
      </w:r>
      <w:proofErr w:type="spellEnd"/>
      <w:r w:rsidRPr="00C86E8A">
        <w:rPr>
          <w:i/>
        </w:rPr>
        <w:t xml:space="preserve"> </w:t>
      </w:r>
      <w:proofErr w:type="spellStart"/>
      <w:r w:rsidRPr="00C86E8A">
        <w:rPr>
          <w:i/>
        </w:rPr>
        <w:t>Emekçileri</w:t>
      </w:r>
      <w:proofErr w:type="spellEnd"/>
      <w:r w:rsidRPr="00C86E8A">
        <w:rPr>
          <w:i/>
        </w:rPr>
        <w:t xml:space="preserve"> </w:t>
      </w:r>
      <w:proofErr w:type="spellStart"/>
      <w:r w:rsidRPr="00C86E8A">
        <w:rPr>
          <w:i/>
        </w:rPr>
        <w:t>Sendikası</w:t>
      </w:r>
      <w:proofErr w:type="spellEnd"/>
      <w:r w:rsidRPr="00C86E8A">
        <w:t xml:space="preserve"> </w:t>
      </w:r>
      <w:r w:rsidRPr="00C86E8A">
        <w:rPr>
          <w:i/>
        </w:rPr>
        <w:t>et autres</w:t>
      </w:r>
      <w:r w:rsidRPr="00C86E8A">
        <w:t xml:space="preserve">, précité, § 107, et </w:t>
      </w:r>
      <w:proofErr w:type="spellStart"/>
      <w:r w:rsidRPr="00C86E8A">
        <w:rPr>
          <w:i/>
        </w:rPr>
        <w:t>Primov</w:t>
      </w:r>
      <w:proofErr w:type="spellEnd"/>
      <w:r w:rsidRPr="00C86E8A">
        <w:rPr>
          <w:i/>
        </w:rPr>
        <w:t xml:space="preserve"> et autres</w:t>
      </w:r>
      <w:r w:rsidRPr="00C86E8A">
        <w:t>, précité, § 137). En l</w:t>
      </w:r>
      <w:r w:rsidRPr="00C86E8A" w:rsidR="00C86E8A">
        <w:t>’</w:t>
      </w:r>
      <w:r w:rsidRPr="00C86E8A">
        <w:t>occurrence, pour ce qui est de l</w:t>
      </w:r>
      <w:r w:rsidRPr="00C86E8A" w:rsidR="00C86E8A">
        <w:t>’</w:t>
      </w:r>
      <w:r w:rsidRPr="00C86E8A">
        <w:t>argument que les requérants tirent d</w:t>
      </w:r>
      <w:r w:rsidRPr="00C86E8A" w:rsidR="00C86E8A">
        <w:t>’</w:t>
      </w:r>
      <w:r w:rsidRPr="00C86E8A">
        <w:t>une mauvaise application par les juridictions nationales du droit interne concernant le rôle de protection du Parlement assuré par la police, la Cour rappelle que le pouvoir qu</w:t>
      </w:r>
      <w:r w:rsidRPr="00C86E8A" w:rsidR="00C86E8A">
        <w:t>’</w:t>
      </w:r>
      <w:r w:rsidRPr="00C86E8A">
        <w:t>elle a de contrôler le respect du droit interne est limité (</w:t>
      </w:r>
      <w:proofErr w:type="spellStart"/>
      <w:r w:rsidRPr="00C86E8A">
        <w:rPr>
          <w:i/>
          <w:iCs/>
        </w:rPr>
        <w:t>Radomilja</w:t>
      </w:r>
      <w:proofErr w:type="spellEnd"/>
      <w:r w:rsidRPr="00C86E8A">
        <w:rPr>
          <w:i/>
          <w:iCs/>
        </w:rPr>
        <w:t xml:space="preserve"> et autres c. Croatie</w:t>
      </w:r>
      <w:r w:rsidRPr="00C86E8A">
        <w:t xml:space="preserve"> [GC]</w:t>
      </w:r>
      <w:r w:rsidRPr="00C86E8A">
        <w:rPr>
          <w:lang w:eastAsia="en-GB"/>
        </w:rPr>
        <w:t xml:space="preserve">, </w:t>
      </w:r>
      <w:r w:rsidRPr="00C86E8A">
        <w:t>n</w:t>
      </w:r>
      <w:r w:rsidRPr="00C86E8A">
        <w:rPr>
          <w:vertAlign w:val="superscript"/>
        </w:rPr>
        <w:t>os</w:t>
      </w:r>
      <w:r w:rsidRPr="00C86E8A">
        <w:t xml:space="preserve"> 37685/10 et</w:t>
      </w:r>
      <w:r w:rsidRPr="00C86E8A" w:rsidR="009C6B48">
        <w:t> </w:t>
      </w:r>
      <w:r w:rsidRPr="00C86E8A">
        <w:t>22768/12</w:t>
      </w:r>
      <w:r w:rsidRPr="00C86E8A">
        <w:rPr>
          <w:lang w:eastAsia="en-GB"/>
        </w:rPr>
        <w:t xml:space="preserve">, </w:t>
      </w:r>
      <w:r w:rsidRPr="00C86E8A">
        <w:t>§</w:t>
      </w:r>
      <w:r w:rsidRPr="00C86E8A" w:rsidR="00D75731">
        <w:t> </w:t>
      </w:r>
      <w:r w:rsidRPr="00C86E8A">
        <w:t>149, 20 mars 2018). C</w:t>
      </w:r>
      <w:r w:rsidRPr="00C86E8A" w:rsidR="00C86E8A">
        <w:t>’</w:t>
      </w:r>
      <w:r w:rsidRPr="00C86E8A">
        <w:t>est au premier chef aux autorités nationales, notamment aux tribunaux, qu</w:t>
      </w:r>
      <w:r w:rsidRPr="00C86E8A" w:rsidR="00C86E8A">
        <w:t>’</w:t>
      </w:r>
      <w:r w:rsidRPr="00C86E8A">
        <w:t>il incombe d</w:t>
      </w:r>
      <w:r w:rsidRPr="00C86E8A" w:rsidR="00C86E8A">
        <w:t>’</w:t>
      </w:r>
      <w:r w:rsidRPr="00C86E8A">
        <w:t>interpréter et d</w:t>
      </w:r>
      <w:r w:rsidRPr="00C86E8A" w:rsidR="00C86E8A">
        <w:t>’</w:t>
      </w:r>
      <w:r w:rsidRPr="00C86E8A">
        <w:t>appliquer le droit interne. M</w:t>
      </w:r>
      <w:r w:rsidRPr="00C86E8A">
        <w:rPr>
          <w:snapToGrid w:val="0"/>
        </w:rPr>
        <w:t xml:space="preserve">ême si les requérants le contestent, la Cour relève que la police avait pour mission de protéger le Parlement, notamment en </w:t>
      </w:r>
      <w:r w:rsidRPr="00C86E8A">
        <w:t>fermant la rue située devant le bâtiment pour empêcher les manifestants d</w:t>
      </w:r>
      <w:r w:rsidRPr="00C86E8A" w:rsidR="00C86E8A">
        <w:t>’</w:t>
      </w:r>
      <w:r w:rsidRPr="00C86E8A">
        <w:t>y accéder par la force. À cet égard, la Cour suprême a indiqué dans les attendus de son arrêt que la police était chargée d</w:t>
      </w:r>
      <w:r w:rsidRPr="00C86E8A" w:rsidR="00C86E8A">
        <w:t>’</w:t>
      </w:r>
      <w:r w:rsidRPr="00C86E8A">
        <w:t>assurer la sécurité du Parlement. Il s</w:t>
      </w:r>
      <w:r w:rsidRPr="00C86E8A" w:rsidR="00C86E8A">
        <w:t>’</w:t>
      </w:r>
      <w:r w:rsidRPr="00C86E8A">
        <w:t>agissait notamment</w:t>
      </w:r>
      <w:r w:rsidRPr="00C86E8A">
        <w:rPr>
          <w:snapToGrid w:val="0"/>
        </w:rPr>
        <w:t xml:space="preserve"> de permettre le bon déroulement des débats parlementaires.</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40</w:t>
      </w:r>
      <w:r w:rsidRPr="00C86E8A">
        <w:fldChar w:fldCharType="end"/>
      </w:r>
      <w:r w:rsidRPr="00C86E8A">
        <w:t>.  Enfin, la Cour constate que les requérants n</w:t>
      </w:r>
      <w:r w:rsidRPr="00C86E8A" w:rsidR="00C86E8A">
        <w:t>’</w:t>
      </w:r>
      <w:r w:rsidRPr="00C86E8A">
        <w:t>ont pas été condamnés à une peine d</w:t>
      </w:r>
      <w:r w:rsidRPr="00C86E8A" w:rsidR="00C86E8A">
        <w:t>’</w:t>
      </w:r>
      <w:r w:rsidRPr="00C86E8A">
        <w:t>emprisonnement, comme le prévoyait l</w:t>
      </w:r>
      <w:r w:rsidRPr="00C86E8A" w:rsidR="00C86E8A">
        <w:t>’</w:t>
      </w:r>
      <w:r w:rsidRPr="00C86E8A">
        <w:t>article 224 b) du code pénal, mais à une sanction plus clémente, à savoir une simple amende, assortie d</w:t>
      </w:r>
      <w:r w:rsidRPr="00C86E8A" w:rsidR="00C86E8A">
        <w:t>’</w:t>
      </w:r>
      <w:r w:rsidRPr="00C86E8A">
        <w:t>un sursis d</w:t>
      </w:r>
      <w:r w:rsidRPr="00C86E8A" w:rsidR="00C86E8A">
        <w:t>’</w:t>
      </w:r>
      <w:r w:rsidRPr="00C86E8A">
        <w:t>un an qui est échue depuis le 22 décembre 2012. Elle estime que la condamnation des requérants à une telle amende peut raisonnablement être considérée comme répondant à un « besoin social impérieux ». De plus, les juridictions internes ont fondé leurs décisions sur une appréciation acceptable des faits et sur des motifs pertinents et suffisants. Dès lors, elles n</w:t>
      </w:r>
      <w:r w:rsidRPr="00C86E8A" w:rsidR="00C86E8A">
        <w:t>’</w:t>
      </w:r>
      <w:r w:rsidRPr="00C86E8A">
        <w:t>ont pas outrepassé leur marge d</w:t>
      </w:r>
      <w:r w:rsidRPr="00C86E8A" w:rsidR="00C86E8A">
        <w:t>’</w:t>
      </w:r>
      <w:r w:rsidRPr="00C86E8A">
        <w:t>appréciation en la matière.</w:t>
      </w:r>
    </w:p>
    <w:p w:rsidRPr="00C86E8A" w:rsidR="00423016" w:rsidP="00C86E8A" w:rsidRDefault="00423016">
      <w:pPr>
        <w:pStyle w:val="JuPara"/>
      </w:pPr>
      <w:r w:rsidRPr="00C86E8A">
        <w:fldChar w:fldCharType="begin"/>
      </w:r>
      <w:r w:rsidRPr="00C86E8A">
        <w:instrText xml:space="preserve"> SEQ level0 \*arabic </w:instrText>
      </w:r>
      <w:r w:rsidRPr="00C86E8A">
        <w:fldChar w:fldCharType="separate"/>
      </w:r>
      <w:r w:rsidRPr="00C86E8A" w:rsidR="00C86E8A">
        <w:rPr>
          <w:noProof/>
        </w:rPr>
        <w:t>41</w:t>
      </w:r>
      <w:r w:rsidRPr="00C86E8A">
        <w:fldChar w:fldCharType="end"/>
      </w:r>
      <w:r w:rsidRPr="00C86E8A">
        <w:t>.  Partant, l</w:t>
      </w:r>
      <w:r w:rsidRPr="00C86E8A" w:rsidR="00C86E8A">
        <w:t>’</w:t>
      </w:r>
      <w:r w:rsidRPr="00C86E8A">
        <w:t>ingérence litigieuse ayant été nécessaire « dans une société démocratique » au sens de l</w:t>
      </w:r>
      <w:r w:rsidRPr="00C86E8A" w:rsidR="00C86E8A">
        <w:t>’</w:t>
      </w:r>
      <w:r w:rsidRPr="00C86E8A">
        <w:t>article 11 de la Convention, la Cour considère qu</w:t>
      </w:r>
      <w:r w:rsidRPr="00C86E8A" w:rsidR="00C86E8A">
        <w:t>’</w:t>
      </w:r>
      <w:r w:rsidRPr="00C86E8A">
        <w:t>en l</w:t>
      </w:r>
      <w:r w:rsidRPr="00C86E8A" w:rsidR="00C86E8A">
        <w:t>’</w:t>
      </w:r>
      <w:r w:rsidRPr="00C86E8A">
        <w:t>espèce il n</w:t>
      </w:r>
      <w:r w:rsidRPr="00C86E8A" w:rsidR="00C86E8A">
        <w:t>’</w:t>
      </w:r>
      <w:r w:rsidRPr="00C86E8A">
        <w:t>y a pas eu violation de cette disposition.</w:t>
      </w:r>
    </w:p>
    <w:p w:rsidRPr="00C86E8A" w:rsidR="00423016" w:rsidP="00C86E8A" w:rsidRDefault="00423016">
      <w:pPr>
        <w:pStyle w:val="JuHHead"/>
        <w:numPr>
          <w:ilvl w:val="0"/>
          <w:numId w:val="1"/>
        </w:numPr>
      </w:pPr>
      <w:r w:rsidRPr="00C86E8A">
        <w:t>PAR CES MOTIFS, LA COUR, À L</w:t>
      </w:r>
      <w:r w:rsidRPr="00C86E8A" w:rsidR="00C86E8A">
        <w:t>’</w:t>
      </w:r>
      <w:r w:rsidRPr="00C86E8A">
        <w:t>UNANIMITÉ,</w:t>
      </w:r>
    </w:p>
    <w:p w:rsidRPr="00C86E8A" w:rsidR="00423016" w:rsidP="00C86E8A" w:rsidRDefault="00423016">
      <w:pPr>
        <w:pStyle w:val="JuList"/>
        <w:numPr>
          <w:ilvl w:val="0"/>
          <w:numId w:val="2"/>
        </w:numPr>
        <w:ind w:left="0" w:firstLine="0"/>
      </w:pPr>
      <w:r w:rsidRPr="00C86E8A">
        <w:rPr>
          <w:i/>
        </w:rPr>
        <w:t>Déclare</w:t>
      </w:r>
      <w:r w:rsidRPr="00C86E8A" w:rsidR="00D75731">
        <w:rPr>
          <w:i/>
        </w:rPr>
        <w:t>,</w:t>
      </w:r>
      <w:r w:rsidRPr="00C86E8A">
        <w:t xml:space="preserve"> à l</w:t>
      </w:r>
      <w:r w:rsidRPr="00C86E8A" w:rsidR="00C86E8A">
        <w:t>’</w:t>
      </w:r>
      <w:r w:rsidRPr="00C86E8A">
        <w:t>unanimité, la requête recevable ;</w:t>
      </w:r>
    </w:p>
    <w:p w:rsidRPr="00C86E8A" w:rsidR="00876F03" w:rsidP="00C86E8A" w:rsidRDefault="00423016">
      <w:pPr>
        <w:pStyle w:val="JuList"/>
        <w:numPr>
          <w:ilvl w:val="0"/>
          <w:numId w:val="2"/>
        </w:numPr>
        <w:ind w:left="0" w:firstLine="0"/>
        <w:rPr>
          <w:i/>
        </w:rPr>
      </w:pPr>
      <w:r w:rsidRPr="00C86E8A">
        <w:rPr>
          <w:i/>
        </w:rPr>
        <w:t>Dit</w:t>
      </w:r>
      <w:r w:rsidRPr="00C86E8A" w:rsidR="002A29A0">
        <w:rPr>
          <w:i/>
        </w:rPr>
        <w:t>,</w:t>
      </w:r>
      <w:r w:rsidRPr="00C86E8A">
        <w:rPr>
          <w:i/>
        </w:rPr>
        <w:t xml:space="preserve"> </w:t>
      </w:r>
      <w:r w:rsidRPr="00C86E8A">
        <w:t>à l</w:t>
      </w:r>
      <w:r w:rsidRPr="00C86E8A" w:rsidR="00C86E8A">
        <w:t>’</w:t>
      </w:r>
      <w:r w:rsidRPr="00C86E8A">
        <w:t>unanimité,</w:t>
      </w:r>
      <w:r w:rsidRPr="00C86E8A" w:rsidR="00D75731">
        <w:t xml:space="preserve"> </w:t>
      </w:r>
      <w:r w:rsidRPr="00C86E8A">
        <w:t>qu</w:t>
      </w:r>
      <w:r w:rsidRPr="00C86E8A" w:rsidR="00C86E8A">
        <w:t>’</w:t>
      </w:r>
      <w:r w:rsidRPr="00C86E8A">
        <w:t>il n</w:t>
      </w:r>
      <w:r w:rsidRPr="00C86E8A" w:rsidR="00C86E8A">
        <w:t>’</w:t>
      </w:r>
      <w:r w:rsidRPr="00C86E8A">
        <w:t>y a pas eu violation de l</w:t>
      </w:r>
      <w:r w:rsidRPr="00C86E8A" w:rsidR="00C86E8A">
        <w:t>’</w:t>
      </w:r>
      <w:r w:rsidRPr="00C86E8A">
        <w:t>article 11 de la Convention.</w:t>
      </w:r>
    </w:p>
    <w:p w:rsidRPr="00C86E8A" w:rsidR="00893F30" w:rsidP="00C86E8A" w:rsidRDefault="00893F30">
      <w:pPr>
        <w:pStyle w:val="JuParaLast"/>
      </w:pPr>
      <w:r w:rsidRPr="00C86E8A">
        <w:t xml:space="preserve">Fait en français, puis communiqué par écrit le </w:t>
      </w:r>
      <w:r w:rsidRPr="00C86E8A" w:rsidR="00423016">
        <w:t>14 janvier 2020</w:t>
      </w:r>
      <w:r w:rsidRPr="00C86E8A">
        <w:t>, en application de l</w:t>
      </w:r>
      <w:r w:rsidRPr="00C86E8A" w:rsidR="00C86E8A">
        <w:t>’</w:t>
      </w:r>
      <w:r w:rsidRPr="00C86E8A" w:rsidR="00D75731">
        <w:t xml:space="preserve">article </w:t>
      </w:r>
      <w:r w:rsidRPr="00C86E8A">
        <w:t>77</w:t>
      </w:r>
      <w:r w:rsidRPr="00C86E8A" w:rsidR="00D75731">
        <w:t xml:space="preserve"> </w:t>
      </w:r>
      <w:r w:rsidRPr="00C86E8A">
        <w:t>§§</w:t>
      </w:r>
      <w:r w:rsidRPr="00C86E8A" w:rsidR="00D75731">
        <w:t xml:space="preserve"> </w:t>
      </w:r>
      <w:r w:rsidRPr="00C86E8A">
        <w:t>2 e</w:t>
      </w:r>
      <w:r w:rsidRPr="00C86E8A" w:rsidR="00D75731">
        <w:t xml:space="preserve">t </w:t>
      </w:r>
      <w:r w:rsidRPr="00C86E8A">
        <w:t>3 du règlement.</w:t>
      </w:r>
    </w:p>
    <w:p w:rsidRPr="00C86E8A" w:rsidR="00876F03" w:rsidP="00C86E8A" w:rsidRDefault="00D75731">
      <w:pPr>
        <w:pStyle w:val="JuSigned"/>
      </w:pPr>
      <w:r w:rsidRPr="00C86E8A">
        <w:tab/>
        <w:t xml:space="preserve">Hasan Bakırcı </w:t>
      </w:r>
      <w:r w:rsidRPr="00C86E8A" w:rsidR="00423016">
        <w:tab/>
      </w:r>
      <w:r w:rsidRPr="00C86E8A" w:rsidR="00423016">
        <w:rPr>
          <w:szCs w:val="24"/>
        </w:rPr>
        <w:t>Robert Spano</w:t>
      </w:r>
      <w:r w:rsidRPr="00C86E8A" w:rsidR="004344E6">
        <w:br/>
      </w:r>
      <w:r w:rsidRPr="00C86E8A" w:rsidR="004344E6">
        <w:tab/>
      </w:r>
      <w:r w:rsidRPr="00C86E8A" w:rsidR="00423016">
        <w:t>Greffier</w:t>
      </w:r>
      <w:r w:rsidRPr="00C86E8A">
        <w:t xml:space="preserve"> adjoint</w:t>
      </w:r>
      <w:r w:rsidRPr="00C86E8A" w:rsidR="004344E6">
        <w:tab/>
      </w:r>
      <w:r w:rsidRPr="00C86E8A" w:rsidR="00423016">
        <w:t>Président</w:t>
      </w:r>
    </w:p>
    <w:p w:rsidRPr="00C86E8A" w:rsidR="00C230D7" w:rsidP="00C86E8A" w:rsidRDefault="00C230D7">
      <w:pPr>
        <w:pStyle w:val="JuPara"/>
      </w:pPr>
    </w:p>
    <w:sectPr w:rsidRPr="00C86E8A" w:rsidR="00C230D7">
      <w:headerReference w:type="even" r:id="rId14"/>
      <w:headerReference w:type="default" r:id="rId15"/>
      <w:footerReference w:type="default" r:id="rId16"/>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4D95" w:rsidRPr="00891107" w:rsidRDefault="00C14D95" w:rsidP="00516B59">
      <w:r w:rsidRPr="00891107">
        <w:separator/>
      </w:r>
    </w:p>
  </w:endnote>
  <w:endnote w:type="continuationSeparator" w:id="0">
    <w:p w:rsidR="00C14D95" w:rsidRPr="00891107" w:rsidRDefault="00C14D95" w:rsidP="00516B59">
      <w:r w:rsidRPr="008911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D95" w:rsidRDefault="00C14D95">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D95" w:rsidRPr="00150BFA" w:rsidRDefault="00C14D95" w:rsidP="00C14D95">
    <w:pPr>
      <w:jc w:val="center"/>
    </w:pPr>
    <w:r>
      <w:rPr>
        <w:noProof/>
        <w:lang w:val="en-US" w:eastAsia="ja-JP"/>
      </w:rPr>
      <w:drawing>
        <wp:inline distT="0" distB="0" distL="0" distR="0" wp14:anchorId="4337E203" wp14:editId="51E65CF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14D95" w:rsidRPr="00891107" w:rsidRDefault="00C14D95"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D95" w:rsidRDefault="00C14D95">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D95" w:rsidRPr="00D01935" w:rsidRDefault="00C14D95" w:rsidP="00C14D9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4D95" w:rsidRPr="00891107" w:rsidRDefault="00C14D95" w:rsidP="00516B59">
      <w:r w:rsidRPr="00891107">
        <w:separator/>
      </w:r>
    </w:p>
  </w:footnote>
  <w:footnote w:type="continuationSeparator" w:id="0">
    <w:p w:rsidR="00C14D95" w:rsidRPr="00891107" w:rsidRDefault="00C14D95" w:rsidP="00516B59">
      <w:r w:rsidRPr="0089110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D95" w:rsidRDefault="00C14D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D95" w:rsidRPr="00A45145" w:rsidRDefault="00C14D95" w:rsidP="00C14D95">
    <w:pPr>
      <w:jc w:val="center"/>
    </w:pPr>
    <w:r>
      <w:rPr>
        <w:noProof/>
        <w:lang w:val="en-US" w:eastAsia="ja-JP"/>
      </w:rPr>
      <w:drawing>
        <wp:inline distT="0" distB="0" distL="0" distR="0" wp14:anchorId="398BA9B4" wp14:editId="3DFA37B5">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14D95" w:rsidRPr="00891107" w:rsidRDefault="00C14D95" w:rsidP="00C14D9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D95" w:rsidRDefault="00C14D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D95" w:rsidRPr="00BF560B" w:rsidRDefault="00C14D95" w:rsidP="00A21624">
    <w:pPr>
      <w:pStyle w:val="JuHeader"/>
    </w:pPr>
    <w:r>
      <w:rPr>
        <w:rStyle w:val="PageNumber"/>
        <w:lang w:val="en-US"/>
      </w:rPr>
      <w:fldChar w:fldCharType="begin"/>
    </w:r>
    <w:r w:rsidRPr="00BF560B">
      <w:rPr>
        <w:rStyle w:val="PageNumber"/>
      </w:rPr>
      <w:instrText xml:space="preserve"> PAGE </w:instrText>
    </w:r>
    <w:r>
      <w:rPr>
        <w:rStyle w:val="PageNumber"/>
        <w:lang w:val="en-US"/>
      </w:rPr>
      <w:fldChar w:fldCharType="separate"/>
    </w:r>
    <w:r w:rsidR="00BF560B">
      <w:rPr>
        <w:rStyle w:val="PageNumber"/>
        <w:noProof/>
      </w:rPr>
      <w:t>10</w:t>
    </w:r>
    <w:r>
      <w:rPr>
        <w:rStyle w:val="PageNumber"/>
        <w:lang w:val="en-US"/>
      </w:rPr>
      <w:fldChar w:fldCharType="end"/>
    </w:r>
    <w:r w:rsidRPr="00BF560B">
      <w:tab/>
      <w:t>ARRÊT VAROĞLU ATİK ET AUTRES c. TURQUIE</w:t>
    </w:r>
    <w:r w:rsidRPr="00BF560B">
      <w:rPr>
        <w:noProof/>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4D95" w:rsidRPr="00F22D5C" w:rsidRDefault="00C14D95" w:rsidP="00522ABA">
    <w:pPr>
      <w:pStyle w:val="JuHeader"/>
      <w:jc w:val="both"/>
    </w:pPr>
    <w:r>
      <w:tab/>
    </w:r>
    <w:r w:rsidRPr="00BF560B">
      <w:t xml:space="preserve">ARRÊT VAROĞLU ATİK ET AUTRES c. TURQUIE </w:t>
    </w:r>
    <w:r w:rsidRPr="007100AD">
      <w:tab/>
    </w:r>
    <w:r>
      <w:rPr>
        <w:rStyle w:val="PageNumber"/>
      </w:rPr>
      <w:fldChar w:fldCharType="begin"/>
    </w:r>
    <w:r>
      <w:rPr>
        <w:rStyle w:val="PageNumber"/>
      </w:rPr>
      <w:instrText xml:space="preserve"> PAGE </w:instrText>
    </w:r>
    <w:r>
      <w:rPr>
        <w:rStyle w:val="PageNumber"/>
      </w:rPr>
      <w:fldChar w:fldCharType="separate"/>
    </w:r>
    <w:r w:rsidR="00BF560B">
      <w:rPr>
        <w:rStyle w:val="PageNumber"/>
        <w:noProof/>
      </w:rPr>
      <w:t>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FB6A878"/>
    <w:lvl w:ilvl="0">
      <w:start w:val="1"/>
      <w:numFmt w:val="decimal"/>
      <w:lvlText w:val="%1."/>
      <w:lvlJc w:val="left"/>
      <w:pPr>
        <w:tabs>
          <w:tab w:val="num" w:pos="340"/>
        </w:tabs>
        <w:ind w:left="340" w:hanging="340"/>
      </w:pPr>
      <w:rPr>
        <w:rFonts w:hint="default"/>
        <w:i w:val="0"/>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6842061"/>
    <w:multiLevelType w:val="hybridMultilevel"/>
    <w:tmpl w:val="0A76B53A"/>
    <w:lvl w:ilvl="0" w:tplc="F7425548">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6"/>
  </w:num>
  <w:num w:numId="2">
    <w:abstractNumId w:val="12"/>
  </w:num>
  <w:num w:numId="3">
    <w:abstractNumId w:val="16"/>
  </w:num>
  <w:num w:numId="4">
    <w:abstractNumId w:val="13"/>
  </w:num>
  <w:num w:numId="5">
    <w:abstractNumId w:val="10"/>
  </w:num>
  <w:num w:numId="6">
    <w:abstractNumId w:val="9"/>
  </w:num>
  <w:num w:numId="7">
    <w:abstractNumId w:val="14"/>
  </w:num>
  <w:num w:numId="8">
    <w:abstractNumId w:val="11"/>
  </w:num>
  <w:num w:numId="9">
    <w:abstractNumId w:val="15"/>
  </w:num>
  <w:num w:numId="10">
    <w:abstractNumId w:val="1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23016"/>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29A0"/>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50BE"/>
    <w:rsid w:val="00387B9D"/>
    <w:rsid w:val="0039364F"/>
    <w:rsid w:val="00396686"/>
    <w:rsid w:val="00396820"/>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3016"/>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3955"/>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C6B48"/>
    <w:rsid w:val="009D2F52"/>
    <w:rsid w:val="009E16D2"/>
    <w:rsid w:val="009E1F32"/>
    <w:rsid w:val="009E776C"/>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5CDA"/>
    <w:rsid w:val="00BA71B1"/>
    <w:rsid w:val="00BB0637"/>
    <w:rsid w:val="00BB345F"/>
    <w:rsid w:val="00BB68EA"/>
    <w:rsid w:val="00BC1C27"/>
    <w:rsid w:val="00BC1F03"/>
    <w:rsid w:val="00BC6BBF"/>
    <w:rsid w:val="00BD1572"/>
    <w:rsid w:val="00BE14E3"/>
    <w:rsid w:val="00BE3774"/>
    <w:rsid w:val="00BE41E5"/>
    <w:rsid w:val="00BF4109"/>
    <w:rsid w:val="00BF4CC3"/>
    <w:rsid w:val="00BF560B"/>
    <w:rsid w:val="00C00E59"/>
    <w:rsid w:val="00C054C7"/>
    <w:rsid w:val="00C057B5"/>
    <w:rsid w:val="00C14D95"/>
    <w:rsid w:val="00C22687"/>
    <w:rsid w:val="00C230D7"/>
    <w:rsid w:val="00C25983"/>
    <w:rsid w:val="00C32E4D"/>
    <w:rsid w:val="00C333A0"/>
    <w:rsid w:val="00C36408"/>
    <w:rsid w:val="00C36A81"/>
    <w:rsid w:val="00C41974"/>
    <w:rsid w:val="00C45616"/>
    <w:rsid w:val="00C53F4A"/>
    <w:rsid w:val="00C54125"/>
    <w:rsid w:val="00C55B54"/>
    <w:rsid w:val="00C6098E"/>
    <w:rsid w:val="00C6152C"/>
    <w:rsid w:val="00C70608"/>
    <w:rsid w:val="00C74810"/>
    <w:rsid w:val="00C81ACF"/>
    <w:rsid w:val="00C86E8A"/>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5731"/>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14D95"/>
    <w:rPr>
      <w:rFonts w:eastAsiaTheme="minorEastAsia"/>
      <w:sz w:val="24"/>
      <w:lang w:val="fr-FR"/>
    </w:rPr>
  </w:style>
  <w:style w:type="paragraph" w:styleId="Heading1">
    <w:name w:val="heading 1"/>
    <w:basedOn w:val="Normal"/>
    <w:next w:val="Normal"/>
    <w:link w:val="Heading1Char"/>
    <w:uiPriority w:val="98"/>
    <w:semiHidden/>
    <w:rsid w:val="00C14D95"/>
    <w:pPr>
      <w:numPr>
        <w:numId w:val="10"/>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14D95"/>
    <w:pPr>
      <w:numPr>
        <w:ilvl w:val="1"/>
        <w:numId w:val="10"/>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14D95"/>
    <w:pPr>
      <w:numPr>
        <w:ilvl w:val="2"/>
        <w:numId w:val="10"/>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C14D95"/>
    <w:pPr>
      <w:numPr>
        <w:ilvl w:val="3"/>
        <w:numId w:val="10"/>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C14D95"/>
    <w:pPr>
      <w:numPr>
        <w:ilvl w:val="4"/>
        <w:numId w:val="10"/>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C14D95"/>
    <w:pPr>
      <w:numPr>
        <w:ilvl w:val="5"/>
        <w:numId w:val="10"/>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C14D95"/>
    <w:pPr>
      <w:numPr>
        <w:ilvl w:val="6"/>
        <w:numId w:val="10"/>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C14D95"/>
    <w:pPr>
      <w:numPr>
        <w:ilvl w:val="7"/>
        <w:numId w:val="10"/>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14D95"/>
    <w:pPr>
      <w:numPr>
        <w:ilvl w:val="8"/>
        <w:numId w:val="10"/>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14D95"/>
    <w:rPr>
      <w:rFonts w:ascii="Tahoma" w:hAnsi="Tahoma" w:cs="Tahoma"/>
      <w:sz w:val="16"/>
      <w:szCs w:val="16"/>
    </w:rPr>
  </w:style>
  <w:style w:type="character" w:customStyle="1" w:styleId="BalloonTextChar">
    <w:name w:val="Balloon Text Char"/>
    <w:basedOn w:val="DefaultParagraphFont"/>
    <w:link w:val="BalloonText"/>
    <w:uiPriority w:val="98"/>
    <w:semiHidden/>
    <w:rsid w:val="00C14D95"/>
    <w:rPr>
      <w:rFonts w:ascii="Tahoma" w:eastAsiaTheme="minorEastAsia" w:hAnsi="Tahoma" w:cs="Tahoma"/>
      <w:sz w:val="16"/>
      <w:szCs w:val="16"/>
      <w:lang w:val="fr-FR"/>
    </w:rPr>
  </w:style>
  <w:style w:type="character" w:styleId="BookTitle">
    <w:name w:val="Book Title"/>
    <w:uiPriority w:val="98"/>
    <w:semiHidden/>
    <w:qFormat/>
    <w:rsid w:val="00C14D95"/>
    <w:rPr>
      <w:i/>
      <w:iCs/>
      <w:smallCaps/>
      <w:spacing w:val="5"/>
    </w:rPr>
  </w:style>
  <w:style w:type="paragraph" w:customStyle="1" w:styleId="JuHeader">
    <w:name w:val="Ju_Header"/>
    <w:aliases w:val="_Header"/>
    <w:basedOn w:val="Header"/>
    <w:uiPriority w:val="29"/>
    <w:qFormat/>
    <w:rsid w:val="00C14D95"/>
    <w:pPr>
      <w:tabs>
        <w:tab w:val="clear" w:pos="4536"/>
        <w:tab w:val="clear" w:pos="9072"/>
        <w:tab w:val="center" w:pos="3686"/>
        <w:tab w:val="right" w:pos="7371"/>
      </w:tabs>
    </w:pPr>
    <w:rPr>
      <w:sz w:val="18"/>
    </w:rPr>
  </w:style>
  <w:style w:type="paragraph" w:customStyle="1" w:styleId="ECHRBullet1">
    <w:name w:val="ECHR_Bullet_1"/>
    <w:aliases w:val="_Bul_1"/>
    <w:basedOn w:val="NormalJustified"/>
    <w:uiPriority w:val="23"/>
    <w:semiHidden/>
    <w:qFormat/>
    <w:rsid w:val="00C14D95"/>
    <w:pPr>
      <w:numPr>
        <w:numId w:val="7"/>
      </w:numPr>
      <w:spacing w:before="60" w:after="60"/>
    </w:pPr>
    <w:rPr>
      <w:sz w:val="22"/>
    </w:rPr>
  </w:style>
  <w:style w:type="character" w:styleId="Strong">
    <w:name w:val="Strong"/>
    <w:uiPriority w:val="98"/>
    <w:semiHidden/>
    <w:qFormat/>
    <w:rsid w:val="00C14D95"/>
    <w:rPr>
      <w:b/>
      <w:bCs/>
    </w:rPr>
  </w:style>
  <w:style w:type="paragraph" w:styleId="NoSpacing">
    <w:name w:val="No Spacing"/>
    <w:basedOn w:val="Normal"/>
    <w:link w:val="NoSpacingChar"/>
    <w:uiPriority w:val="98"/>
    <w:semiHidden/>
    <w:qFormat/>
    <w:rsid w:val="00C14D95"/>
  </w:style>
  <w:style w:type="character" w:customStyle="1" w:styleId="NoSpacingChar">
    <w:name w:val="No Spacing Char"/>
    <w:basedOn w:val="DefaultParagraphFont"/>
    <w:link w:val="NoSpacing"/>
    <w:uiPriority w:val="98"/>
    <w:semiHidden/>
    <w:rsid w:val="00C14D95"/>
    <w:rPr>
      <w:rFonts w:eastAsiaTheme="minorEastAsia"/>
      <w:sz w:val="24"/>
      <w:lang w:val="fr-FR"/>
    </w:rPr>
  </w:style>
  <w:style w:type="paragraph" w:customStyle="1" w:styleId="JuQuot">
    <w:name w:val="Ju_Quot"/>
    <w:aliases w:val="_Quote"/>
    <w:basedOn w:val="NormalJustified"/>
    <w:uiPriority w:val="20"/>
    <w:qFormat/>
    <w:rsid w:val="00C14D95"/>
    <w:pPr>
      <w:spacing w:before="120" w:after="120"/>
      <w:ind w:left="425" w:firstLine="142"/>
    </w:pPr>
    <w:rPr>
      <w:sz w:val="20"/>
    </w:rPr>
  </w:style>
  <w:style w:type="paragraph" w:customStyle="1" w:styleId="JuList">
    <w:name w:val="Ju_List"/>
    <w:aliases w:val="_List_1"/>
    <w:basedOn w:val="NormalJustified"/>
    <w:uiPriority w:val="23"/>
    <w:qFormat/>
    <w:rsid w:val="00C14D95"/>
    <w:pPr>
      <w:numPr>
        <w:numId w:val="8"/>
      </w:numPr>
      <w:spacing w:before="280" w:after="60"/>
    </w:pPr>
    <w:rPr>
      <w:rFonts w:eastAsiaTheme="minorHAnsi"/>
    </w:rPr>
  </w:style>
  <w:style w:type="paragraph" w:customStyle="1" w:styleId="JuLista">
    <w:name w:val="Ju_List_a"/>
    <w:aliases w:val="_List_2"/>
    <w:basedOn w:val="NormalJustified"/>
    <w:uiPriority w:val="23"/>
    <w:rsid w:val="00C14D95"/>
    <w:pPr>
      <w:numPr>
        <w:ilvl w:val="1"/>
        <w:numId w:val="8"/>
      </w:numPr>
    </w:pPr>
  </w:style>
  <w:style w:type="paragraph" w:customStyle="1" w:styleId="JuListi">
    <w:name w:val="Ju_List_i"/>
    <w:aliases w:val="_List_3"/>
    <w:basedOn w:val="NormalJustified"/>
    <w:uiPriority w:val="23"/>
    <w:rsid w:val="00C14D95"/>
    <w:pPr>
      <w:numPr>
        <w:ilvl w:val="2"/>
        <w:numId w:val="8"/>
      </w:numPr>
    </w:pPr>
  </w:style>
  <w:style w:type="paragraph" w:customStyle="1" w:styleId="DecHTitle">
    <w:name w:val="Dec_H_Title"/>
    <w:aliases w:val="_Title_1"/>
    <w:basedOn w:val="JuPara"/>
    <w:next w:val="JuPara"/>
    <w:uiPriority w:val="38"/>
    <w:qFormat/>
    <w:rsid w:val="00C14D95"/>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C14D95"/>
    <w:pPr>
      <w:keepNext/>
      <w:spacing w:before="100" w:beforeAutospacing="1" w:after="120"/>
      <w:contextualSpacing/>
      <w:jc w:val="center"/>
    </w:pPr>
    <w:rPr>
      <w:rFonts w:eastAsiaTheme="minorHAnsi"/>
      <w:b/>
      <w:sz w:val="20"/>
    </w:rPr>
  </w:style>
  <w:style w:type="paragraph" w:customStyle="1" w:styleId="ECHRCoverTitle4">
    <w:name w:val="ECHR_Cover_Title_4"/>
    <w:aliases w:val="_Title_4"/>
    <w:basedOn w:val="JuPara"/>
    <w:next w:val="JuPara"/>
    <w:uiPriority w:val="38"/>
    <w:qFormat/>
    <w:rsid w:val="00C14D95"/>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C14D95"/>
    <w:pPr>
      <w:numPr>
        <w:numId w:val="7"/>
      </w:numPr>
    </w:pPr>
  </w:style>
  <w:style w:type="paragraph" w:customStyle="1" w:styleId="JuHHead">
    <w:name w:val="Ju_H_Head"/>
    <w:aliases w:val="_Head_1"/>
    <w:basedOn w:val="Normal"/>
    <w:next w:val="JuPara"/>
    <w:uiPriority w:val="17"/>
    <w:qFormat/>
    <w:rsid w:val="00C14D95"/>
    <w:pPr>
      <w:keepNext/>
      <w:keepLines/>
      <w:numPr>
        <w:numId w:val="3"/>
      </w:numPr>
      <w:spacing w:before="100" w:beforeAutospacing="1" w:after="240"/>
      <w:jc w:val="both"/>
      <w:outlineLvl w:val="0"/>
    </w:pPr>
    <w:rPr>
      <w:caps/>
      <w:sz w:val="28"/>
    </w:rPr>
  </w:style>
  <w:style w:type="numbering" w:customStyle="1" w:styleId="ECHRA1StyleList">
    <w:name w:val="ECHR_A1_Style_List"/>
    <w:basedOn w:val="NoList"/>
    <w:uiPriority w:val="99"/>
    <w:rsid w:val="00C14D95"/>
    <w:pPr>
      <w:numPr>
        <w:numId w:val="8"/>
      </w:numPr>
    </w:pPr>
  </w:style>
  <w:style w:type="paragraph" w:customStyle="1" w:styleId="JuSigned">
    <w:name w:val="Ju_Signed"/>
    <w:aliases w:val="_Signature"/>
    <w:basedOn w:val="Normal"/>
    <w:next w:val="JuPara"/>
    <w:uiPriority w:val="31"/>
    <w:qFormat/>
    <w:rsid w:val="00C14D95"/>
    <w:pPr>
      <w:tabs>
        <w:tab w:val="center" w:pos="851"/>
        <w:tab w:val="center" w:pos="6407"/>
      </w:tabs>
      <w:spacing w:before="720"/>
    </w:pPr>
  </w:style>
  <w:style w:type="paragraph" w:styleId="Title">
    <w:name w:val="Title"/>
    <w:basedOn w:val="Normal"/>
    <w:next w:val="Normal"/>
    <w:link w:val="TitleChar"/>
    <w:uiPriority w:val="98"/>
    <w:semiHidden/>
    <w:qFormat/>
    <w:rsid w:val="00C14D9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14D95"/>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C14D95"/>
    <w:pPr>
      <w:numPr>
        <w:numId w:val="9"/>
      </w:numPr>
    </w:pPr>
  </w:style>
  <w:style w:type="table" w:customStyle="1" w:styleId="ECHRTable2019">
    <w:name w:val="ECHR_Table_2019"/>
    <w:basedOn w:val="TableNormal"/>
    <w:uiPriority w:val="99"/>
    <w:rsid w:val="00C14D95"/>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C14D95"/>
    <w:rPr>
      <w:sz w:val="8"/>
    </w:rPr>
  </w:style>
  <w:style w:type="paragraph" w:customStyle="1" w:styleId="JuCourt">
    <w:name w:val="Ju_Court"/>
    <w:aliases w:val="_Court_Names"/>
    <w:basedOn w:val="Normal"/>
    <w:next w:val="Normal"/>
    <w:uiPriority w:val="32"/>
    <w:qFormat/>
    <w:rsid w:val="00C14D95"/>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C14D95"/>
    <w:pPr>
      <w:tabs>
        <w:tab w:val="center" w:pos="6407"/>
      </w:tabs>
      <w:spacing w:before="720"/>
      <w:jc w:val="right"/>
    </w:pPr>
  </w:style>
  <w:style w:type="paragraph" w:customStyle="1" w:styleId="JuHIRoman">
    <w:name w:val="Ju_H_I_Roman"/>
    <w:aliases w:val="_Head_2"/>
    <w:basedOn w:val="Normal"/>
    <w:next w:val="JuPara"/>
    <w:link w:val="JuHIRomanChar"/>
    <w:uiPriority w:val="17"/>
    <w:qFormat/>
    <w:rsid w:val="00C14D95"/>
    <w:pPr>
      <w:keepNext/>
      <w:keepLines/>
      <w:numPr>
        <w:ilvl w:val="1"/>
        <w:numId w:val="3"/>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C14D95"/>
    <w:pPr>
      <w:keepNext/>
      <w:keepLines/>
      <w:numPr>
        <w:ilvl w:val="2"/>
        <w:numId w:val="3"/>
      </w:numPr>
      <w:spacing w:before="100" w:beforeAutospacing="1" w:after="240"/>
      <w:jc w:val="both"/>
      <w:outlineLvl w:val="2"/>
    </w:pPr>
    <w:rPr>
      <w:b/>
    </w:rPr>
  </w:style>
  <w:style w:type="paragraph" w:customStyle="1" w:styleId="JuH1">
    <w:name w:val="Ju_H_1."/>
    <w:aliases w:val="_Head_4"/>
    <w:basedOn w:val="Normal"/>
    <w:next w:val="JuPara"/>
    <w:uiPriority w:val="17"/>
    <w:rsid w:val="00C14D95"/>
    <w:pPr>
      <w:keepNext/>
      <w:keepLines/>
      <w:numPr>
        <w:ilvl w:val="3"/>
        <w:numId w:val="3"/>
      </w:numPr>
      <w:spacing w:before="100" w:beforeAutospacing="1" w:after="120"/>
      <w:jc w:val="both"/>
      <w:outlineLvl w:val="3"/>
    </w:pPr>
    <w:rPr>
      <w:i/>
    </w:rPr>
  </w:style>
  <w:style w:type="paragraph" w:styleId="Header">
    <w:name w:val="header"/>
    <w:basedOn w:val="Normal"/>
    <w:link w:val="HeaderChar"/>
    <w:uiPriority w:val="98"/>
    <w:semiHidden/>
    <w:rsid w:val="00C14D95"/>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C14D95"/>
    <w:rPr>
      <w:sz w:val="24"/>
      <w:lang w:val="fr-FR"/>
    </w:rPr>
  </w:style>
  <w:style w:type="character" w:customStyle="1" w:styleId="Heading1Char">
    <w:name w:val="Heading 1 Char"/>
    <w:basedOn w:val="DefaultParagraphFont"/>
    <w:link w:val="Heading1"/>
    <w:uiPriority w:val="98"/>
    <w:semiHidden/>
    <w:rsid w:val="00C14D95"/>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7"/>
    <w:rsid w:val="00C14D95"/>
    <w:pPr>
      <w:keepNext/>
      <w:keepLines/>
      <w:numPr>
        <w:ilvl w:val="4"/>
        <w:numId w:val="3"/>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C14D95"/>
    <w:pPr>
      <w:keepNext/>
      <w:keepLines/>
      <w:numPr>
        <w:ilvl w:val="5"/>
        <w:numId w:val="3"/>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C14D95"/>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7"/>
    <w:rsid w:val="00C14D95"/>
    <w:pPr>
      <w:keepNext/>
      <w:keepLines/>
      <w:numPr>
        <w:ilvl w:val="6"/>
        <w:numId w:val="3"/>
      </w:numPr>
      <w:spacing w:before="100" w:beforeAutospacing="1" w:after="120"/>
      <w:jc w:val="both"/>
      <w:outlineLvl w:val="6"/>
    </w:pPr>
    <w:rPr>
      <w:sz w:val="20"/>
    </w:rPr>
  </w:style>
  <w:style w:type="paragraph" w:customStyle="1" w:styleId="JuH">
    <w:name w:val="Ju_H_–"/>
    <w:aliases w:val="_Head_8"/>
    <w:basedOn w:val="Normal"/>
    <w:next w:val="JuPara"/>
    <w:uiPriority w:val="17"/>
    <w:rsid w:val="00C14D95"/>
    <w:pPr>
      <w:keepNext/>
      <w:keepLines/>
      <w:numPr>
        <w:ilvl w:val="7"/>
        <w:numId w:val="3"/>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C14D95"/>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5"/>
    <w:qFormat/>
    <w:rsid w:val="00C14D95"/>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C14D95"/>
    <w:pPr>
      <w:tabs>
        <w:tab w:val="left" w:pos="567"/>
        <w:tab w:val="left" w:pos="1134"/>
      </w:tabs>
    </w:pPr>
  </w:style>
  <w:style w:type="character" w:customStyle="1" w:styleId="Heading4Char">
    <w:name w:val="Heading 4 Char"/>
    <w:basedOn w:val="DefaultParagraphFont"/>
    <w:link w:val="Heading4"/>
    <w:uiPriority w:val="98"/>
    <w:semiHidden/>
    <w:rsid w:val="00C14D95"/>
    <w:rPr>
      <w:rFonts w:asciiTheme="majorHAnsi" w:eastAsiaTheme="majorEastAsia" w:hAnsiTheme="majorHAnsi" w:cstheme="majorBidi"/>
      <w:b/>
      <w:bCs/>
      <w:i/>
      <w:iCs/>
      <w:color w:val="777777"/>
      <w:sz w:val="24"/>
      <w:lang w:val="fr-FR"/>
    </w:rPr>
  </w:style>
  <w:style w:type="character" w:customStyle="1" w:styleId="JuITMark">
    <w:name w:val="Ju_ITMark"/>
    <w:aliases w:val="_ITMark"/>
    <w:basedOn w:val="DefaultParagraphFont"/>
    <w:uiPriority w:val="43"/>
    <w:qFormat/>
    <w:rsid w:val="00C14D95"/>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C14D95"/>
    <w:rPr>
      <w:rFonts w:asciiTheme="majorHAnsi" w:eastAsiaTheme="majorEastAsia" w:hAnsiTheme="majorHAnsi" w:cstheme="majorBidi"/>
      <w:b/>
      <w:bCs/>
      <w:color w:val="808080"/>
      <w:sz w:val="24"/>
      <w:lang w:val="fr-FR"/>
    </w:rPr>
  </w:style>
  <w:style w:type="character" w:customStyle="1" w:styleId="JUNAMES">
    <w:name w:val="JU_NAMES"/>
    <w:aliases w:val="_Ju_Names"/>
    <w:uiPriority w:val="33"/>
    <w:qFormat/>
    <w:rsid w:val="00C14D95"/>
    <w:rPr>
      <w:caps w:val="0"/>
      <w:smallCaps/>
    </w:rPr>
  </w:style>
  <w:style w:type="paragraph" w:customStyle="1" w:styleId="NormalJustified">
    <w:name w:val="Normal_Justified"/>
    <w:basedOn w:val="Normal"/>
    <w:semiHidden/>
    <w:rsid w:val="00C14D95"/>
    <w:pPr>
      <w:jc w:val="both"/>
    </w:pPr>
  </w:style>
  <w:style w:type="character" w:styleId="SubtleEmphasis">
    <w:name w:val="Subtle Emphasis"/>
    <w:uiPriority w:val="98"/>
    <w:semiHidden/>
    <w:qFormat/>
    <w:rsid w:val="00C14D95"/>
    <w:rPr>
      <w:i/>
      <w:iCs/>
    </w:rPr>
  </w:style>
  <w:style w:type="table" w:customStyle="1" w:styleId="ECHRTable">
    <w:name w:val="ECHR_Table"/>
    <w:basedOn w:val="TableNormal"/>
    <w:rsid w:val="00C14D9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14D9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C14D95"/>
    <w:rPr>
      <w:b/>
      <w:bCs/>
      <w:i/>
      <w:iCs/>
      <w:spacing w:val="10"/>
      <w:bdr w:val="none" w:sz="0" w:space="0" w:color="auto"/>
      <w:shd w:val="clear" w:color="auto" w:fill="auto"/>
    </w:rPr>
  </w:style>
  <w:style w:type="paragraph" w:styleId="Footer0">
    <w:name w:val="footer"/>
    <w:basedOn w:val="Normal"/>
    <w:link w:val="FooterChar"/>
    <w:uiPriority w:val="98"/>
    <w:semiHidden/>
    <w:rsid w:val="00C14D95"/>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98"/>
    <w:semiHidden/>
    <w:rsid w:val="00C14D95"/>
    <w:rPr>
      <w:sz w:val="24"/>
      <w:lang w:val="fr-FR"/>
    </w:rPr>
  </w:style>
  <w:style w:type="character" w:styleId="FootnoteReference">
    <w:name w:val="footnote reference"/>
    <w:basedOn w:val="DefaultParagraphFont"/>
    <w:uiPriority w:val="98"/>
    <w:semiHidden/>
    <w:rsid w:val="00C14D95"/>
    <w:rPr>
      <w:vertAlign w:val="superscript"/>
    </w:rPr>
  </w:style>
  <w:style w:type="paragraph" w:styleId="FootnoteText">
    <w:name w:val="footnote text"/>
    <w:basedOn w:val="Normal"/>
    <w:link w:val="FootnoteTextChar"/>
    <w:uiPriority w:val="98"/>
    <w:semiHidden/>
    <w:rsid w:val="00C14D95"/>
    <w:rPr>
      <w:sz w:val="20"/>
      <w:szCs w:val="20"/>
    </w:rPr>
  </w:style>
  <w:style w:type="character" w:customStyle="1" w:styleId="FootnoteTextChar">
    <w:name w:val="Footnote Text Char"/>
    <w:basedOn w:val="DefaultParagraphFont"/>
    <w:link w:val="FootnoteText"/>
    <w:uiPriority w:val="98"/>
    <w:semiHidden/>
    <w:rsid w:val="00C14D95"/>
    <w:rPr>
      <w:rFonts w:eastAsiaTheme="minorEastAsia"/>
      <w:sz w:val="20"/>
      <w:szCs w:val="20"/>
      <w:lang w:val="fr-FR"/>
    </w:rPr>
  </w:style>
  <w:style w:type="character" w:customStyle="1" w:styleId="Heading6Char">
    <w:name w:val="Heading 6 Char"/>
    <w:basedOn w:val="DefaultParagraphFont"/>
    <w:link w:val="Heading6"/>
    <w:uiPriority w:val="98"/>
    <w:semiHidden/>
    <w:rsid w:val="00C14D95"/>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8"/>
    <w:semiHidden/>
    <w:rsid w:val="00C14D95"/>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8"/>
    <w:semiHidden/>
    <w:rsid w:val="00C14D95"/>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C14D95"/>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C14D95"/>
    <w:rPr>
      <w:color w:val="0072BC" w:themeColor="hyperlink"/>
      <w:u w:val="single"/>
    </w:rPr>
  </w:style>
  <w:style w:type="character" w:styleId="IntenseEmphasis">
    <w:name w:val="Intense Emphasis"/>
    <w:uiPriority w:val="98"/>
    <w:semiHidden/>
    <w:qFormat/>
    <w:rsid w:val="00C14D95"/>
    <w:rPr>
      <w:b/>
      <w:bCs/>
    </w:rPr>
  </w:style>
  <w:style w:type="paragraph" w:styleId="IntenseQuote">
    <w:name w:val="Intense Quote"/>
    <w:basedOn w:val="Normal"/>
    <w:next w:val="Normal"/>
    <w:link w:val="IntenseQuoteChar"/>
    <w:uiPriority w:val="98"/>
    <w:semiHidden/>
    <w:qFormat/>
    <w:rsid w:val="00C14D9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14D95"/>
    <w:rPr>
      <w:rFonts w:eastAsiaTheme="minorEastAsia"/>
      <w:b/>
      <w:bCs/>
      <w:i/>
      <w:iCs/>
      <w:sz w:val="24"/>
      <w:lang w:val="fr-FR" w:bidi="en-US"/>
    </w:rPr>
  </w:style>
  <w:style w:type="character" w:styleId="IntenseReference">
    <w:name w:val="Intense Reference"/>
    <w:uiPriority w:val="98"/>
    <w:semiHidden/>
    <w:qFormat/>
    <w:rsid w:val="00C14D95"/>
    <w:rPr>
      <w:smallCaps/>
      <w:spacing w:val="5"/>
      <w:u w:val="single"/>
    </w:rPr>
  </w:style>
  <w:style w:type="paragraph" w:styleId="ListParagraph">
    <w:name w:val="List Paragraph"/>
    <w:basedOn w:val="Normal"/>
    <w:uiPriority w:val="98"/>
    <w:semiHidden/>
    <w:qFormat/>
    <w:rsid w:val="00C14D95"/>
    <w:pPr>
      <w:ind w:left="720"/>
      <w:contextualSpacing/>
    </w:pPr>
  </w:style>
  <w:style w:type="table" w:customStyle="1" w:styleId="LtrTableAddress">
    <w:name w:val="Ltr_Table_Address"/>
    <w:aliases w:val="ECHR_Ltr_Table_Address"/>
    <w:basedOn w:val="TableNormal"/>
    <w:uiPriority w:val="99"/>
    <w:rsid w:val="00C14D95"/>
    <w:tblPr>
      <w:tblInd w:w="5103" w:type="dxa"/>
    </w:tblPr>
  </w:style>
  <w:style w:type="paragraph" w:styleId="Quote">
    <w:name w:val="Quote"/>
    <w:basedOn w:val="Normal"/>
    <w:next w:val="Normal"/>
    <w:link w:val="QuoteChar"/>
    <w:uiPriority w:val="98"/>
    <w:semiHidden/>
    <w:qFormat/>
    <w:rsid w:val="00C14D95"/>
    <w:pPr>
      <w:spacing w:before="200"/>
      <w:ind w:left="360" w:right="360"/>
    </w:pPr>
    <w:rPr>
      <w:i/>
      <w:iCs/>
      <w:lang w:bidi="en-US"/>
    </w:rPr>
  </w:style>
  <w:style w:type="character" w:customStyle="1" w:styleId="QuoteChar">
    <w:name w:val="Quote Char"/>
    <w:basedOn w:val="DefaultParagraphFont"/>
    <w:link w:val="Quote"/>
    <w:uiPriority w:val="98"/>
    <w:semiHidden/>
    <w:rsid w:val="00C14D95"/>
    <w:rPr>
      <w:rFonts w:eastAsiaTheme="minorEastAsia"/>
      <w:i/>
      <w:iCs/>
      <w:sz w:val="24"/>
      <w:lang w:val="fr-FR" w:bidi="en-US"/>
    </w:rPr>
  </w:style>
  <w:style w:type="character" w:styleId="SubtleReference">
    <w:name w:val="Subtle Reference"/>
    <w:uiPriority w:val="98"/>
    <w:semiHidden/>
    <w:qFormat/>
    <w:rsid w:val="00C14D95"/>
    <w:rPr>
      <w:smallCaps/>
    </w:rPr>
  </w:style>
  <w:style w:type="table" w:styleId="TableGrid">
    <w:name w:val="Table Grid"/>
    <w:basedOn w:val="TableNormal"/>
    <w:uiPriority w:val="59"/>
    <w:semiHidden/>
    <w:rsid w:val="00C14D9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14D9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14D9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14D9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14D9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14D9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14D9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C14D95"/>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14D95"/>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14D95"/>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14D95"/>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14D9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14D95"/>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14D9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C14D9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C14D95"/>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C14D95"/>
    <w:pPr>
      <w:numPr>
        <w:numId w:val="4"/>
      </w:numPr>
    </w:pPr>
  </w:style>
  <w:style w:type="paragraph" w:customStyle="1" w:styleId="JuPara">
    <w:name w:val="Ju_Para"/>
    <w:aliases w:val="_Para"/>
    <w:basedOn w:val="NormalJustified"/>
    <w:link w:val="JuParaChar"/>
    <w:uiPriority w:val="4"/>
    <w:qFormat/>
    <w:rsid w:val="00C14D95"/>
    <w:pPr>
      <w:ind w:firstLine="284"/>
    </w:pPr>
  </w:style>
  <w:style w:type="numbering" w:styleId="1ai">
    <w:name w:val="Outline List 1"/>
    <w:basedOn w:val="NoList"/>
    <w:uiPriority w:val="99"/>
    <w:semiHidden/>
    <w:unhideWhenUsed/>
    <w:rsid w:val="00C14D95"/>
    <w:pPr>
      <w:numPr>
        <w:numId w:val="5"/>
      </w:numPr>
    </w:pPr>
  </w:style>
  <w:style w:type="table" w:customStyle="1" w:styleId="ECHRTableSimpleBox">
    <w:name w:val="ECHR_Table_Simple_Box"/>
    <w:basedOn w:val="TableNormal"/>
    <w:uiPriority w:val="99"/>
    <w:rsid w:val="00C14D95"/>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14D95"/>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C14D95"/>
    <w:pPr>
      <w:numPr>
        <w:numId w:val="6"/>
      </w:numPr>
    </w:pPr>
  </w:style>
  <w:style w:type="table" w:customStyle="1" w:styleId="ECHRTableForInternalUse">
    <w:name w:val="ECHR_Table_For_Internal_Use"/>
    <w:basedOn w:val="TableNormal"/>
    <w:uiPriority w:val="99"/>
    <w:rsid w:val="00C14D95"/>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14D9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C14D95"/>
  </w:style>
  <w:style w:type="paragraph" w:styleId="BlockText">
    <w:name w:val="Block Text"/>
    <w:basedOn w:val="Normal"/>
    <w:uiPriority w:val="98"/>
    <w:semiHidden/>
    <w:rsid w:val="00C14D9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C14D95"/>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C14D95"/>
    <w:pPr>
      <w:spacing w:after="120"/>
    </w:pPr>
  </w:style>
  <w:style w:type="character" w:customStyle="1" w:styleId="BodyTextChar">
    <w:name w:val="Body Text Char"/>
    <w:basedOn w:val="DefaultParagraphFont"/>
    <w:link w:val="BodyText"/>
    <w:uiPriority w:val="98"/>
    <w:semiHidden/>
    <w:rsid w:val="00C14D95"/>
    <w:rPr>
      <w:rFonts w:eastAsiaTheme="minorEastAsia"/>
      <w:sz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C14D95"/>
    <w:pPr>
      <w:spacing w:after="120" w:line="480" w:lineRule="auto"/>
    </w:pPr>
  </w:style>
  <w:style w:type="table" w:customStyle="1" w:styleId="ECHRHeaderTableReduced">
    <w:name w:val="ECHR_Header_Table_Reduced"/>
    <w:basedOn w:val="TableNormal"/>
    <w:uiPriority w:val="99"/>
    <w:rsid w:val="00C14D95"/>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C14D95"/>
    <w:pPr>
      <w:ind w:firstLine="284"/>
    </w:pPr>
    <w:rPr>
      <w:b/>
    </w:rPr>
  </w:style>
  <w:style w:type="character" w:styleId="PageNumber">
    <w:name w:val="page number"/>
    <w:uiPriority w:val="98"/>
    <w:semiHidden/>
    <w:rsid w:val="00C14D95"/>
    <w:rPr>
      <w:sz w:val="18"/>
    </w:rPr>
  </w:style>
  <w:style w:type="paragraph" w:styleId="ListBullet2">
    <w:name w:val="List Bullet 2"/>
    <w:basedOn w:val="Normal"/>
    <w:uiPriority w:val="98"/>
    <w:semiHidden/>
    <w:rsid w:val="00C14D95"/>
    <w:pPr>
      <w:numPr>
        <w:numId w:val="12"/>
      </w:numPr>
      <w:contextualSpacing/>
    </w:pPr>
  </w:style>
  <w:style w:type="character" w:customStyle="1" w:styleId="BodyText2Char">
    <w:name w:val="Body Text 2 Char"/>
    <w:basedOn w:val="DefaultParagraphFont"/>
    <w:link w:val="BodyText2"/>
    <w:uiPriority w:val="98"/>
    <w:semiHidden/>
    <w:rsid w:val="00C14D95"/>
    <w:rPr>
      <w:rFonts w:eastAsiaTheme="minorEastAsia"/>
      <w:sz w:val="24"/>
      <w:lang w:val="fr-FR"/>
    </w:rPr>
  </w:style>
  <w:style w:type="paragraph" w:styleId="BodyText3">
    <w:name w:val="Body Text 3"/>
    <w:basedOn w:val="Normal"/>
    <w:link w:val="BodyText3Char"/>
    <w:uiPriority w:val="98"/>
    <w:semiHidden/>
    <w:rsid w:val="00C14D95"/>
    <w:pPr>
      <w:spacing w:after="120"/>
    </w:pPr>
    <w:rPr>
      <w:sz w:val="16"/>
      <w:szCs w:val="16"/>
    </w:rPr>
  </w:style>
  <w:style w:type="character" w:customStyle="1" w:styleId="BodyText3Char">
    <w:name w:val="Body Text 3 Char"/>
    <w:basedOn w:val="DefaultParagraphFont"/>
    <w:link w:val="BodyText3"/>
    <w:uiPriority w:val="98"/>
    <w:semiHidden/>
    <w:rsid w:val="00C14D95"/>
    <w:rPr>
      <w:rFonts w:eastAsiaTheme="minorEastAsia"/>
      <w:sz w:val="16"/>
      <w:szCs w:val="16"/>
      <w:lang w:val="fr-FR"/>
    </w:rPr>
  </w:style>
  <w:style w:type="paragraph" w:styleId="BodyTextFirstIndent">
    <w:name w:val="Body Text First Indent"/>
    <w:basedOn w:val="BodyText"/>
    <w:link w:val="BodyTextFirstIndentChar"/>
    <w:uiPriority w:val="98"/>
    <w:semiHidden/>
    <w:rsid w:val="00C14D95"/>
    <w:pPr>
      <w:spacing w:after="0"/>
      <w:ind w:firstLine="360"/>
    </w:pPr>
  </w:style>
  <w:style w:type="character" w:customStyle="1" w:styleId="BodyTextFirstIndentChar">
    <w:name w:val="Body Text First Indent Char"/>
    <w:basedOn w:val="BodyTextChar"/>
    <w:link w:val="BodyTextFirstIndent"/>
    <w:uiPriority w:val="98"/>
    <w:semiHidden/>
    <w:rsid w:val="00C14D95"/>
    <w:rPr>
      <w:rFonts w:eastAsiaTheme="minorEastAsia"/>
      <w:sz w:val="24"/>
      <w:lang w:val="fr-FR"/>
    </w:rPr>
  </w:style>
  <w:style w:type="paragraph" w:styleId="BodyTextIndent">
    <w:name w:val="Body Text Indent"/>
    <w:basedOn w:val="Normal"/>
    <w:link w:val="BodyTextIndentChar"/>
    <w:uiPriority w:val="98"/>
    <w:semiHidden/>
    <w:rsid w:val="00C14D95"/>
    <w:pPr>
      <w:spacing w:after="120"/>
      <w:ind w:left="283"/>
    </w:pPr>
  </w:style>
  <w:style w:type="character" w:customStyle="1" w:styleId="BodyTextIndentChar">
    <w:name w:val="Body Text Indent Char"/>
    <w:basedOn w:val="DefaultParagraphFont"/>
    <w:link w:val="BodyTextIndent"/>
    <w:uiPriority w:val="98"/>
    <w:semiHidden/>
    <w:rsid w:val="00C14D95"/>
    <w:rPr>
      <w:rFonts w:eastAsiaTheme="minorEastAsia"/>
      <w:sz w:val="24"/>
      <w:lang w:val="fr-FR"/>
    </w:rPr>
  </w:style>
  <w:style w:type="paragraph" w:styleId="BodyTextFirstIndent2">
    <w:name w:val="Body Text First Indent 2"/>
    <w:basedOn w:val="BodyTextIndent"/>
    <w:link w:val="BodyTextFirstIndent2Char"/>
    <w:uiPriority w:val="98"/>
    <w:semiHidden/>
    <w:rsid w:val="00C14D95"/>
    <w:pPr>
      <w:spacing w:after="0"/>
      <w:ind w:left="360" w:firstLine="360"/>
    </w:pPr>
  </w:style>
  <w:style w:type="character" w:customStyle="1" w:styleId="BodyTextFirstIndent2Char">
    <w:name w:val="Body Text First Indent 2 Char"/>
    <w:basedOn w:val="BodyTextIndentChar"/>
    <w:link w:val="BodyTextFirstIndent2"/>
    <w:uiPriority w:val="98"/>
    <w:semiHidden/>
    <w:rsid w:val="00C14D95"/>
    <w:rPr>
      <w:rFonts w:eastAsiaTheme="minorEastAsia"/>
      <w:sz w:val="24"/>
      <w:lang w:val="fr-FR"/>
    </w:rPr>
  </w:style>
  <w:style w:type="paragraph" w:styleId="BodyTextIndent2">
    <w:name w:val="Body Text Indent 2"/>
    <w:basedOn w:val="Normal"/>
    <w:link w:val="BodyTextIndent2Char"/>
    <w:uiPriority w:val="98"/>
    <w:semiHidden/>
    <w:rsid w:val="00C14D95"/>
    <w:pPr>
      <w:spacing w:after="120" w:line="480" w:lineRule="auto"/>
      <w:ind w:left="283"/>
    </w:pPr>
  </w:style>
  <w:style w:type="character" w:customStyle="1" w:styleId="BodyTextIndent2Char">
    <w:name w:val="Body Text Indent 2 Char"/>
    <w:basedOn w:val="DefaultParagraphFont"/>
    <w:link w:val="BodyTextIndent2"/>
    <w:uiPriority w:val="98"/>
    <w:semiHidden/>
    <w:rsid w:val="00C14D95"/>
    <w:rPr>
      <w:rFonts w:eastAsiaTheme="minorEastAsia"/>
      <w:sz w:val="24"/>
      <w:lang w:val="fr-FR"/>
    </w:rPr>
  </w:style>
  <w:style w:type="paragraph" w:styleId="BodyTextIndent3">
    <w:name w:val="Body Text Indent 3"/>
    <w:basedOn w:val="Normal"/>
    <w:link w:val="BodyTextIndent3Char"/>
    <w:uiPriority w:val="98"/>
    <w:semiHidden/>
    <w:rsid w:val="00C14D9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14D95"/>
    <w:rPr>
      <w:rFonts w:eastAsiaTheme="minorEastAsia"/>
      <w:sz w:val="16"/>
      <w:szCs w:val="16"/>
      <w:lang w:val="fr-FR"/>
    </w:rPr>
  </w:style>
  <w:style w:type="paragraph" w:styleId="Caption">
    <w:name w:val="caption"/>
    <w:basedOn w:val="Normal"/>
    <w:next w:val="Normal"/>
    <w:uiPriority w:val="98"/>
    <w:semiHidden/>
    <w:qFormat/>
    <w:rsid w:val="00C14D95"/>
    <w:pPr>
      <w:spacing w:after="200"/>
    </w:pPr>
    <w:rPr>
      <w:b/>
      <w:bCs/>
      <w:color w:val="0072BC" w:themeColor="accent1"/>
      <w:sz w:val="18"/>
      <w:szCs w:val="18"/>
    </w:rPr>
  </w:style>
  <w:style w:type="paragraph" w:styleId="Closing">
    <w:name w:val="Closing"/>
    <w:basedOn w:val="Normal"/>
    <w:link w:val="ClosingChar"/>
    <w:uiPriority w:val="98"/>
    <w:semiHidden/>
    <w:rsid w:val="00C14D95"/>
    <w:pPr>
      <w:ind w:left="4252"/>
    </w:pPr>
  </w:style>
  <w:style w:type="character" w:customStyle="1" w:styleId="ClosingChar">
    <w:name w:val="Closing Char"/>
    <w:basedOn w:val="DefaultParagraphFont"/>
    <w:link w:val="Closing"/>
    <w:uiPriority w:val="98"/>
    <w:semiHidden/>
    <w:rsid w:val="00C14D95"/>
    <w:rPr>
      <w:rFonts w:eastAsiaTheme="minorEastAsia"/>
      <w:sz w:val="24"/>
      <w:lang w:val="fr-FR"/>
    </w:rPr>
  </w:style>
  <w:style w:type="table" w:styleId="ColorfulGrid">
    <w:name w:val="Colorful Grid"/>
    <w:basedOn w:val="TableNormal"/>
    <w:uiPriority w:val="73"/>
    <w:semiHidden/>
    <w:rsid w:val="00C14D95"/>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14D95"/>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14D95"/>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14D95"/>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14D95"/>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14D95"/>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14D95"/>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14D95"/>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14D95"/>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14D95"/>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14D95"/>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14D95"/>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14D95"/>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14D95"/>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14D95"/>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14D95"/>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14D95"/>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14D95"/>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14D95"/>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14D95"/>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14D95"/>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C14D95"/>
    <w:rPr>
      <w:sz w:val="16"/>
      <w:szCs w:val="16"/>
    </w:rPr>
  </w:style>
  <w:style w:type="paragraph" w:styleId="CommentText">
    <w:name w:val="annotation text"/>
    <w:basedOn w:val="Normal"/>
    <w:link w:val="CommentTextChar"/>
    <w:uiPriority w:val="98"/>
    <w:semiHidden/>
    <w:rsid w:val="00C14D95"/>
    <w:rPr>
      <w:sz w:val="20"/>
      <w:szCs w:val="20"/>
    </w:rPr>
  </w:style>
  <w:style w:type="character" w:customStyle="1" w:styleId="CommentTextChar">
    <w:name w:val="Comment Text Char"/>
    <w:basedOn w:val="DefaultParagraphFont"/>
    <w:link w:val="CommentText"/>
    <w:uiPriority w:val="98"/>
    <w:semiHidden/>
    <w:rsid w:val="00C14D95"/>
    <w:rPr>
      <w:rFonts w:eastAsiaTheme="minorEastAsia"/>
      <w:sz w:val="20"/>
      <w:szCs w:val="20"/>
      <w:lang w:val="fr-FR"/>
    </w:rPr>
  </w:style>
  <w:style w:type="paragraph" w:styleId="CommentSubject">
    <w:name w:val="annotation subject"/>
    <w:basedOn w:val="CommentText"/>
    <w:next w:val="CommentText"/>
    <w:link w:val="CommentSubjectChar"/>
    <w:uiPriority w:val="98"/>
    <w:semiHidden/>
    <w:rsid w:val="00C14D95"/>
    <w:rPr>
      <w:b/>
      <w:bCs/>
    </w:rPr>
  </w:style>
  <w:style w:type="character" w:customStyle="1" w:styleId="CommentSubjectChar">
    <w:name w:val="Comment Subject Char"/>
    <w:basedOn w:val="CommentTextChar"/>
    <w:link w:val="CommentSubject"/>
    <w:uiPriority w:val="98"/>
    <w:semiHidden/>
    <w:rsid w:val="00C14D95"/>
    <w:rPr>
      <w:rFonts w:eastAsiaTheme="minorEastAsia"/>
      <w:b/>
      <w:bCs/>
      <w:sz w:val="20"/>
      <w:szCs w:val="20"/>
      <w:lang w:val="fr-FR"/>
    </w:rPr>
  </w:style>
  <w:style w:type="table" w:styleId="DarkList">
    <w:name w:val="Dark List"/>
    <w:basedOn w:val="TableNormal"/>
    <w:uiPriority w:val="70"/>
    <w:semiHidden/>
    <w:rsid w:val="00C14D95"/>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14D95"/>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14D95"/>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14D95"/>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14D95"/>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14D95"/>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14D95"/>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14D95"/>
  </w:style>
  <w:style w:type="character" w:customStyle="1" w:styleId="DateChar">
    <w:name w:val="Date Char"/>
    <w:basedOn w:val="DefaultParagraphFont"/>
    <w:link w:val="Date"/>
    <w:uiPriority w:val="98"/>
    <w:semiHidden/>
    <w:rsid w:val="00C14D95"/>
    <w:rPr>
      <w:rFonts w:eastAsiaTheme="minorEastAsia"/>
      <w:sz w:val="24"/>
      <w:lang w:val="fr-FR"/>
    </w:rPr>
  </w:style>
  <w:style w:type="paragraph" w:styleId="DocumentMap">
    <w:name w:val="Document Map"/>
    <w:basedOn w:val="Normal"/>
    <w:link w:val="DocumentMapChar"/>
    <w:uiPriority w:val="98"/>
    <w:semiHidden/>
    <w:rsid w:val="00C14D95"/>
    <w:rPr>
      <w:rFonts w:ascii="Tahoma" w:hAnsi="Tahoma" w:cs="Tahoma"/>
      <w:sz w:val="16"/>
      <w:szCs w:val="16"/>
    </w:rPr>
  </w:style>
  <w:style w:type="character" w:customStyle="1" w:styleId="DocumentMapChar">
    <w:name w:val="Document Map Char"/>
    <w:basedOn w:val="DefaultParagraphFont"/>
    <w:link w:val="DocumentMap"/>
    <w:uiPriority w:val="98"/>
    <w:semiHidden/>
    <w:rsid w:val="00C14D95"/>
    <w:rPr>
      <w:rFonts w:ascii="Tahoma" w:eastAsiaTheme="minorEastAsia" w:hAnsi="Tahoma" w:cs="Tahoma"/>
      <w:sz w:val="16"/>
      <w:szCs w:val="16"/>
      <w:lang w:val="fr-FR"/>
    </w:rPr>
  </w:style>
  <w:style w:type="paragraph" w:styleId="E-mailSignature">
    <w:name w:val="E-mail Signature"/>
    <w:basedOn w:val="Normal"/>
    <w:link w:val="E-mailSignatureChar"/>
    <w:uiPriority w:val="98"/>
    <w:semiHidden/>
    <w:rsid w:val="00C14D95"/>
  </w:style>
  <w:style w:type="character" w:customStyle="1" w:styleId="E-mailSignatureChar">
    <w:name w:val="E-mail Signature Char"/>
    <w:basedOn w:val="DefaultParagraphFont"/>
    <w:link w:val="E-mailSignature"/>
    <w:uiPriority w:val="98"/>
    <w:semiHidden/>
    <w:rsid w:val="00C14D95"/>
    <w:rPr>
      <w:rFonts w:eastAsiaTheme="minorEastAsia"/>
      <w:sz w:val="24"/>
      <w:lang w:val="fr-FR"/>
    </w:rPr>
  </w:style>
  <w:style w:type="character" w:styleId="EndnoteReference">
    <w:name w:val="endnote reference"/>
    <w:basedOn w:val="DefaultParagraphFont"/>
    <w:uiPriority w:val="98"/>
    <w:semiHidden/>
    <w:rsid w:val="00C14D95"/>
    <w:rPr>
      <w:vertAlign w:val="superscript"/>
    </w:rPr>
  </w:style>
  <w:style w:type="paragraph" w:styleId="EndnoteText">
    <w:name w:val="endnote text"/>
    <w:basedOn w:val="Normal"/>
    <w:link w:val="EndnoteTextChar"/>
    <w:uiPriority w:val="98"/>
    <w:semiHidden/>
    <w:rsid w:val="00C14D95"/>
    <w:rPr>
      <w:sz w:val="20"/>
      <w:szCs w:val="20"/>
    </w:rPr>
  </w:style>
  <w:style w:type="character" w:customStyle="1" w:styleId="EndnoteTextChar">
    <w:name w:val="Endnote Text Char"/>
    <w:basedOn w:val="DefaultParagraphFont"/>
    <w:link w:val="EndnoteText"/>
    <w:uiPriority w:val="98"/>
    <w:semiHidden/>
    <w:rsid w:val="00C14D95"/>
    <w:rPr>
      <w:rFonts w:eastAsiaTheme="minorEastAsia"/>
      <w:sz w:val="20"/>
      <w:szCs w:val="20"/>
      <w:lang w:val="fr-FR"/>
    </w:rPr>
  </w:style>
  <w:style w:type="paragraph" w:styleId="EnvelopeAddress">
    <w:name w:val="envelope address"/>
    <w:basedOn w:val="Normal"/>
    <w:uiPriority w:val="98"/>
    <w:semiHidden/>
    <w:rsid w:val="00C14D95"/>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C14D9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14D95"/>
    <w:rPr>
      <w:color w:val="7030A0" w:themeColor="followedHyperlink"/>
      <w:u w:val="single"/>
    </w:rPr>
  </w:style>
  <w:style w:type="character" w:styleId="HTMLAcronym">
    <w:name w:val="HTML Acronym"/>
    <w:basedOn w:val="DefaultParagraphFont"/>
    <w:uiPriority w:val="98"/>
    <w:semiHidden/>
    <w:rsid w:val="00C14D95"/>
  </w:style>
  <w:style w:type="paragraph" w:styleId="HTMLAddress">
    <w:name w:val="HTML Address"/>
    <w:basedOn w:val="Normal"/>
    <w:link w:val="HTMLAddressChar"/>
    <w:uiPriority w:val="98"/>
    <w:semiHidden/>
    <w:rsid w:val="00C14D95"/>
    <w:rPr>
      <w:i/>
      <w:iCs/>
    </w:rPr>
  </w:style>
  <w:style w:type="character" w:customStyle="1" w:styleId="HTMLAddressChar">
    <w:name w:val="HTML Address Char"/>
    <w:basedOn w:val="DefaultParagraphFont"/>
    <w:link w:val="HTMLAddress"/>
    <w:uiPriority w:val="98"/>
    <w:semiHidden/>
    <w:rsid w:val="00C14D95"/>
    <w:rPr>
      <w:rFonts w:eastAsiaTheme="minorEastAsia"/>
      <w:i/>
      <w:iCs/>
      <w:sz w:val="24"/>
      <w:lang w:val="fr-FR"/>
    </w:rPr>
  </w:style>
  <w:style w:type="character" w:styleId="HTMLCite">
    <w:name w:val="HTML Cite"/>
    <w:basedOn w:val="DefaultParagraphFont"/>
    <w:uiPriority w:val="98"/>
    <w:semiHidden/>
    <w:rsid w:val="00C14D95"/>
    <w:rPr>
      <w:i/>
      <w:iCs/>
    </w:rPr>
  </w:style>
  <w:style w:type="character" w:styleId="HTMLCode">
    <w:name w:val="HTML Code"/>
    <w:basedOn w:val="DefaultParagraphFont"/>
    <w:uiPriority w:val="98"/>
    <w:semiHidden/>
    <w:rsid w:val="00C14D95"/>
    <w:rPr>
      <w:rFonts w:ascii="Consolas" w:hAnsi="Consolas" w:cs="Consolas"/>
      <w:sz w:val="20"/>
      <w:szCs w:val="20"/>
    </w:rPr>
  </w:style>
  <w:style w:type="character" w:styleId="HTMLDefinition">
    <w:name w:val="HTML Definition"/>
    <w:basedOn w:val="DefaultParagraphFont"/>
    <w:uiPriority w:val="98"/>
    <w:semiHidden/>
    <w:rsid w:val="00C14D95"/>
    <w:rPr>
      <w:i/>
      <w:iCs/>
    </w:rPr>
  </w:style>
  <w:style w:type="character" w:styleId="HTMLKeyboard">
    <w:name w:val="HTML Keyboard"/>
    <w:basedOn w:val="DefaultParagraphFont"/>
    <w:uiPriority w:val="98"/>
    <w:semiHidden/>
    <w:rsid w:val="00C14D95"/>
    <w:rPr>
      <w:rFonts w:ascii="Consolas" w:hAnsi="Consolas" w:cs="Consolas"/>
      <w:sz w:val="20"/>
      <w:szCs w:val="20"/>
    </w:rPr>
  </w:style>
  <w:style w:type="paragraph" w:styleId="HTMLPreformatted">
    <w:name w:val="HTML Preformatted"/>
    <w:basedOn w:val="Normal"/>
    <w:link w:val="HTMLPreformattedChar"/>
    <w:uiPriority w:val="98"/>
    <w:semiHidden/>
    <w:rsid w:val="00C14D9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14D95"/>
    <w:rPr>
      <w:rFonts w:ascii="Consolas" w:eastAsiaTheme="minorEastAsia" w:hAnsi="Consolas" w:cs="Consolas"/>
      <w:sz w:val="20"/>
      <w:szCs w:val="20"/>
      <w:lang w:val="fr-FR"/>
    </w:rPr>
  </w:style>
  <w:style w:type="character" w:styleId="HTMLSample">
    <w:name w:val="HTML Sample"/>
    <w:basedOn w:val="DefaultParagraphFont"/>
    <w:uiPriority w:val="98"/>
    <w:semiHidden/>
    <w:rsid w:val="00C14D95"/>
    <w:rPr>
      <w:rFonts w:ascii="Consolas" w:hAnsi="Consolas" w:cs="Consolas"/>
      <w:sz w:val="24"/>
      <w:szCs w:val="24"/>
    </w:rPr>
  </w:style>
  <w:style w:type="character" w:styleId="HTMLTypewriter">
    <w:name w:val="HTML Typewriter"/>
    <w:basedOn w:val="DefaultParagraphFont"/>
    <w:uiPriority w:val="98"/>
    <w:semiHidden/>
    <w:rsid w:val="00C14D95"/>
    <w:rPr>
      <w:rFonts w:ascii="Consolas" w:hAnsi="Consolas" w:cs="Consolas"/>
      <w:sz w:val="20"/>
      <w:szCs w:val="20"/>
    </w:rPr>
  </w:style>
  <w:style w:type="character" w:styleId="HTMLVariable">
    <w:name w:val="HTML Variable"/>
    <w:basedOn w:val="DefaultParagraphFont"/>
    <w:uiPriority w:val="98"/>
    <w:semiHidden/>
    <w:rsid w:val="00C14D95"/>
    <w:rPr>
      <w:i/>
      <w:iCs/>
    </w:rPr>
  </w:style>
  <w:style w:type="paragraph" w:styleId="Index1">
    <w:name w:val="index 1"/>
    <w:basedOn w:val="Normal"/>
    <w:next w:val="Normal"/>
    <w:autoRedefine/>
    <w:uiPriority w:val="98"/>
    <w:semiHidden/>
    <w:rsid w:val="00C14D95"/>
    <w:pPr>
      <w:ind w:left="240" w:hanging="240"/>
    </w:pPr>
  </w:style>
  <w:style w:type="paragraph" w:styleId="Index2">
    <w:name w:val="index 2"/>
    <w:basedOn w:val="Normal"/>
    <w:next w:val="Normal"/>
    <w:autoRedefine/>
    <w:uiPriority w:val="98"/>
    <w:semiHidden/>
    <w:rsid w:val="00C14D95"/>
    <w:pPr>
      <w:ind w:left="480" w:hanging="240"/>
    </w:pPr>
  </w:style>
  <w:style w:type="paragraph" w:styleId="Index3">
    <w:name w:val="index 3"/>
    <w:basedOn w:val="Normal"/>
    <w:next w:val="Normal"/>
    <w:autoRedefine/>
    <w:uiPriority w:val="98"/>
    <w:semiHidden/>
    <w:rsid w:val="00C14D95"/>
    <w:pPr>
      <w:ind w:left="720" w:hanging="240"/>
    </w:pPr>
  </w:style>
  <w:style w:type="paragraph" w:styleId="Index4">
    <w:name w:val="index 4"/>
    <w:basedOn w:val="Normal"/>
    <w:next w:val="Normal"/>
    <w:autoRedefine/>
    <w:uiPriority w:val="98"/>
    <w:semiHidden/>
    <w:rsid w:val="00C14D95"/>
    <w:pPr>
      <w:ind w:left="960" w:hanging="240"/>
    </w:pPr>
  </w:style>
  <w:style w:type="paragraph" w:styleId="Index5">
    <w:name w:val="index 5"/>
    <w:basedOn w:val="Normal"/>
    <w:next w:val="Normal"/>
    <w:autoRedefine/>
    <w:uiPriority w:val="98"/>
    <w:semiHidden/>
    <w:rsid w:val="00C14D95"/>
    <w:pPr>
      <w:ind w:left="1200" w:hanging="240"/>
    </w:pPr>
  </w:style>
  <w:style w:type="paragraph" w:styleId="Index6">
    <w:name w:val="index 6"/>
    <w:basedOn w:val="Normal"/>
    <w:next w:val="Normal"/>
    <w:autoRedefine/>
    <w:uiPriority w:val="98"/>
    <w:semiHidden/>
    <w:rsid w:val="00C14D95"/>
    <w:pPr>
      <w:ind w:left="1440" w:hanging="240"/>
    </w:pPr>
  </w:style>
  <w:style w:type="paragraph" w:styleId="Index7">
    <w:name w:val="index 7"/>
    <w:basedOn w:val="Normal"/>
    <w:next w:val="Normal"/>
    <w:autoRedefine/>
    <w:uiPriority w:val="98"/>
    <w:semiHidden/>
    <w:rsid w:val="00C14D95"/>
    <w:pPr>
      <w:ind w:left="1680" w:hanging="240"/>
    </w:pPr>
  </w:style>
  <w:style w:type="paragraph" w:styleId="Index8">
    <w:name w:val="index 8"/>
    <w:basedOn w:val="Normal"/>
    <w:next w:val="Normal"/>
    <w:autoRedefine/>
    <w:uiPriority w:val="98"/>
    <w:semiHidden/>
    <w:rsid w:val="00C14D95"/>
    <w:pPr>
      <w:ind w:left="1920" w:hanging="240"/>
    </w:pPr>
  </w:style>
  <w:style w:type="paragraph" w:styleId="Index9">
    <w:name w:val="index 9"/>
    <w:basedOn w:val="Normal"/>
    <w:next w:val="Normal"/>
    <w:autoRedefine/>
    <w:uiPriority w:val="98"/>
    <w:semiHidden/>
    <w:rsid w:val="00C14D95"/>
    <w:pPr>
      <w:ind w:left="2160" w:hanging="240"/>
    </w:pPr>
  </w:style>
  <w:style w:type="paragraph" w:styleId="IndexHeading">
    <w:name w:val="index heading"/>
    <w:basedOn w:val="Normal"/>
    <w:next w:val="Index1"/>
    <w:uiPriority w:val="98"/>
    <w:semiHidden/>
    <w:rsid w:val="00C14D95"/>
    <w:rPr>
      <w:rFonts w:asciiTheme="majorHAnsi" w:eastAsiaTheme="majorEastAsia" w:hAnsiTheme="majorHAnsi" w:cstheme="majorBidi"/>
      <w:b/>
      <w:bCs/>
    </w:rPr>
  </w:style>
  <w:style w:type="table" w:styleId="LightGrid">
    <w:name w:val="Light Grid"/>
    <w:basedOn w:val="TableNormal"/>
    <w:uiPriority w:val="62"/>
    <w:semiHidden/>
    <w:rsid w:val="00C14D9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14D9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14D9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14D9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14D9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14D9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14D9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14D9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14D9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14D9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14D9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14D9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14D9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14D9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14D9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14D95"/>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14D95"/>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14D95"/>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14D95"/>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14D95"/>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14D95"/>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14D95"/>
  </w:style>
  <w:style w:type="paragraph" w:styleId="List">
    <w:name w:val="List"/>
    <w:basedOn w:val="Normal"/>
    <w:uiPriority w:val="98"/>
    <w:semiHidden/>
    <w:rsid w:val="00C14D95"/>
    <w:pPr>
      <w:ind w:left="283" w:hanging="283"/>
      <w:contextualSpacing/>
    </w:pPr>
  </w:style>
  <w:style w:type="paragraph" w:styleId="List2">
    <w:name w:val="List 2"/>
    <w:basedOn w:val="Normal"/>
    <w:uiPriority w:val="98"/>
    <w:semiHidden/>
    <w:rsid w:val="00C14D95"/>
    <w:pPr>
      <w:ind w:left="566" w:hanging="283"/>
      <w:contextualSpacing/>
    </w:pPr>
  </w:style>
  <w:style w:type="paragraph" w:styleId="List3">
    <w:name w:val="List 3"/>
    <w:basedOn w:val="Normal"/>
    <w:uiPriority w:val="98"/>
    <w:semiHidden/>
    <w:rsid w:val="00C14D95"/>
    <w:pPr>
      <w:ind w:left="849" w:hanging="283"/>
      <w:contextualSpacing/>
    </w:pPr>
  </w:style>
  <w:style w:type="paragraph" w:styleId="List4">
    <w:name w:val="List 4"/>
    <w:basedOn w:val="Normal"/>
    <w:uiPriority w:val="98"/>
    <w:semiHidden/>
    <w:rsid w:val="00C14D95"/>
    <w:pPr>
      <w:ind w:left="1132" w:hanging="283"/>
      <w:contextualSpacing/>
    </w:pPr>
  </w:style>
  <w:style w:type="paragraph" w:styleId="List5">
    <w:name w:val="List 5"/>
    <w:basedOn w:val="Normal"/>
    <w:uiPriority w:val="98"/>
    <w:semiHidden/>
    <w:rsid w:val="00C14D95"/>
    <w:pPr>
      <w:ind w:left="1415" w:hanging="283"/>
      <w:contextualSpacing/>
    </w:pPr>
  </w:style>
  <w:style w:type="paragraph" w:styleId="ListBullet">
    <w:name w:val="List Bullet"/>
    <w:basedOn w:val="Normal"/>
    <w:uiPriority w:val="98"/>
    <w:semiHidden/>
    <w:rsid w:val="00C14D95"/>
    <w:pPr>
      <w:numPr>
        <w:numId w:val="11"/>
      </w:numPr>
    </w:pPr>
  </w:style>
  <w:style w:type="paragraph" w:styleId="ListBullet3">
    <w:name w:val="List Bullet 3"/>
    <w:basedOn w:val="Normal"/>
    <w:uiPriority w:val="98"/>
    <w:semiHidden/>
    <w:rsid w:val="00C14D95"/>
    <w:pPr>
      <w:numPr>
        <w:numId w:val="13"/>
      </w:numPr>
      <w:contextualSpacing/>
    </w:pPr>
  </w:style>
  <w:style w:type="paragraph" w:styleId="ListBullet4">
    <w:name w:val="List Bullet 4"/>
    <w:basedOn w:val="Normal"/>
    <w:uiPriority w:val="98"/>
    <w:semiHidden/>
    <w:rsid w:val="00C14D95"/>
    <w:pPr>
      <w:numPr>
        <w:numId w:val="14"/>
      </w:numPr>
      <w:contextualSpacing/>
    </w:pPr>
  </w:style>
  <w:style w:type="paragraph" w:styleId="ListBullet5">
    <w:name w:val="List Bullet 5"/>
    <w:basedOn w:val="Normal"/>
    <w:uiPriority w:val="98"/>
    <w:semiHidden/>
    <w:rsid w:val="00C14D95"/>
    <w:pPr>
      <w:numPr>
        <w:numId w:val="15"/>
      </w:numPr>
      <w:contextualSpacing/>
    </w:pPr>
  </w:style>
  <w:style w:type="paragraph" w:styleId="ListContinue">
    <w:name w:val="List Continue"/>
    <w:basedOn w:val="Normal"/>
    <w:uiPriority w:val="98"/>
    <w:semiHidden/>
    <w:rsid w:val="00C14D95"/>
    <w:pPr>
      <w:spacing w:after="120"/>
      <w:ind w:left="283"/>
      <w:contextualSpacing/>
    </w:pPr>
  </w:style>
  <w:style w:type="paragraph" w:styleId="ListContinue2">
    <w:name w:val="List Continue 2"/>
    <w:basedOn w:val="Normal"/>
    <w:uiPriority w:val="98"/>
    <w:semiHidden/>
    <w:rsid w:val="00C14D95"/>
    <w:pPr>
      <w:spacing w:after="120"/>
      <w:ind w:left="566"/>
      <w:contextualSpacing/>
    </w:pPr>
  </w:style>
  <w:style w:type="paragraph" w:styleId="ListContinue3">
    <w:name w:val="List Continue 3"/>
    <w:basedOn w:val="Normal"/>
    <w:uiPriority w:val="98"/>
    <w:semiHidden/>
    <w:rsid w:val="00C14D95"/>
    <w:pPr>
      <w:spacing w:after="120"/>
      <w:ind w:left="849"/>
      <w:contextualSpacing/>
    </w:pPr>
  </w:style>
  <w:style w:type="paragraph" w:styleId="ListContinue4">
    <w:name w:val="List Continue 4"/>
    <w:basedOn w:val="Normal"/>
    <w:uiPriority w:val="98"/>
    <w:semiHidden/>
    <w:rsid w:val="00C14D95"/>
    <w:pPr>
      <w:spacing w:after="120"/>
      <w:ind w:left="1132"/>
      <w:contextualSpacing/>
    </w:pPr>
  </w:style>
  <w:style w:type="paragraph" w:styleId="ListContinue5">
    <w:name w:val="List Continue 5"/>
    <w:basedOn w:val="Normal"/>
    <w:uiPriority w:val="98"/>
    <w:semiHidden/>
    <w:rsid w:val="00C14D95"/>
    <w:pPr>
      <w:spacing w:after="120"/>
      <w:ind w:left="1415"/>
      <w:contextualSpacing/>
    </w:pPr>
  </w:style>
  <w:style w:type="paragraph" w:styleId="ListNumber">
    <w:name w:val="List Number"/>
    <w:basedOn w:val="Normal"/>
    <w:uiPriority w:val="98"/>
    <w:semiHidden/>
    <w:rsid w:val="00C14D95"/>
    <w:pPr>
      <w:numPr>
        <w:numId w:val="16"/>
      </w:numPr>
      <w:contextualSpacing/>
    </w:pPr>
  </w:style>
  <w:style w:type="paragraph" w:styleId="ListNumber2">
    <w:name w:val="List Number 2"/>
    <w:basedOn w:val="Normal"/>
    <w:uiPriority w:val="98"/>
    <w:semiHidden/>
    <w:rsid w:val="00C14D95"/>
    <w:pPr>
      <w:numPr>
        <w:numId w:val="17"/>
      </w:numPr>
      <w:contextualSpacing/>
    </w:pPr>
  </w:style>
  <w:style w:type="paragraph" w:styleId="ListNumber3">
    <w:name w:val="List Number 3"/>
    <w:basedOn w:val="Normal"/>
    <w:uiPriority w:val="98"/>
    <w:semiHidden/>
    <w:rsid w:val="00C14D95"/>
    <w:pPr>
      <w:numPr>
        <w:numId w:val="18"/>
      </w:numPr>
      <w:contextualSpacing/>
    </w:pPr>
  </w:style>
  <w:style w:type="paragraph" w:styleId="ListNumber4">
    <w:name w:val="List Number 4"/>
    <w:basedOn w:val="Normal"/>
    <w:uiPriority w:val="98"/>
    <w:semiHidden/>
    <w:rsid w:val="00C14D95"/>
    <w:pPr>
      <w:numPr>
        <w:numId w:val="19"/>
      </w:numPr>
      <w:contextualSpacing/>
    </w:pPr>
  </w:style>
  <w:style w:type="paragraph" w:styleId="ListNumber5">
    <w:name w:val="List Number 5"/>
    <w:basedOn w:val="Normal"/>
    <w:uiPriority w:val="98"/>
    <w:semiHidden/>
    <w:rsid w:val="00C14D95"/>
    <w:pPr>
      <w:numPr>
        <w:numId w:val="20"/>
      </w:numPr>
      <w:contextualSpacing/>
    </w:pPr>
  </w:style>
  <w:style w:type="paragraph" w:styleId="MacroText">
    <w:name w:val="macro"/>
    <w:link w:val="MacroTextChar"/>
    <w:uiPriority w:val="98"/>
    <w:semiHidden/>
    <w:rsid w:val="00C14D95"/>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C14D95"/>
    <w:rPr>
      <w:rFonts w:ascii="Consolas" w:eastAsiaTheme="minorEastAsia" w:hAnsi="Consolas" w:cs="Consolas"/>
      <w:sz w:val="20"/>
      <w:szCs w:val="20"/>
    </w:rPr>
  </w:style>
  <w:style w:type="table" w:styleId="MediumGrid1">
    <w:name w:val="Medium Grid 1"/>
    <w:basedOn w:val="TableNormal"/>
    <w:uiPriority w:val="67"/>
    <w:semiHidden/>
    <w:rsid w:val="00C14D9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14D9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14D9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14D9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14D9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14D9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14D9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14D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14D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14D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14D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14D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14D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14D9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14D9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14D95"/>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14D95"/>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14D95"/>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14D95"/>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14D95"/>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14D95"/>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14D9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14D9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14D9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14D9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14D9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14D9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14D9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14D9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14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14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14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14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14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14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14D9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14D9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C14D95"/>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C14D95"/>
    <w:rPr>
      <w:rFonts w:ascii="Times New Roman" w:hAnsi="Times New Roman" w:cs="Times New Roman"/>
      <w:szCs w:val="24"/>
    </w:rPr>
  </w:style>
  <w:style w:type="paragraph" w:styleId="NormalIndent">
    <w:name w:val="Normal Indent"/>
    <w:basedOn w:val="Normal"/>
    <w:uiPriority w:val="98"/>
    <w:semiHidden/>
    <w:rsid w:val="00C14D95"/>
    <w:pPr>
      <w:ind w:left="720"/>
    </w:pPr>
  </w:style>
  <w:style w:type="paragraph" w:styleId="NoteHeading">
    <w:name w:val="Note Heading"/>
    <w:basedOn w:val="Normal"/>
    <w:next w:val="Normal"/>
    <w:link w:val="NoteHeadingChar"/>
    <w:uiPriority w:val="98"/>
    <w:semiHidden/>
    <w:rsid w:val="00C14D95"/>
  </w:style>
  <w:style w:type="character" w:customStyle="1" w:styleId="NoteHeadingChar">
    <w:name w:val="Note Heading Char"/>
    <w:basedOn w:val="DefaultParagraphFont"/>
    <w:link w:val="NoteHeading"/>
    <w:uiPriority w:val="98"/>
    <w:semiHidden/>
    <w:rsid w:val="00C14D95"/>
    <w:rPr>
      <w:rFonts w:eastAsiaTheme="minorEastAsia"/>
      <w:sz w:val="24"/>
      <w:lang w:val="fr-FR"/>
    </w:rPr>
  </w:style>
  <w:style w:type="character" w:styleId="PlaceholderText">
    <w:name w:val="Placeholder Text"/>
    <w:basedOn w:val="DefaultParagraphFont"/>
    <w:uiPriority w:val="98"/>
    <w:semiHidden/>
    <w:rsid w:val="00C14D9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14D95"/>
    <w:rPr>
      <w:rFonts w:ascii="Consolas" w:hAnsi="Consolas" w:cs="Consolas"/>
      <w:sz w:val="21"/>
      <w:szCs w:val="21"/>
    </w:rPr>
  </w:style>
  <w:style w:type="character" w:customStyle="1" w:styleId="PlainTextChar">
    <w:name w:val="Plain Text Char"/>
    <w:basedOn w:val="DefaultParagraphFont"/>
    <w:link w:val="PlainText"/>
    <w:uiPriority w:val="98"/>
    <w:semiHidden/>
    <w:rsid w:val="00C14D95"/>
    <w:rPr>
      <w:rFonts w:ascii="Consolas" w:eastAsiaTheme="minorEastAsia" w:hAnsi="Consolas" w:cs="Consolas"/>
      <w:sz w:val="21"/>
      <w:szCs w:val="21"/>
      <w:lang w:val="fr-FR"/>
    </w:rPr>
  </w:style>
  <w:style w:type="paragraph" w:styleId="Salutation">
    <w:name w:val="Salutation"/>
    <w:basedOn w:val="Normal"/>
    <w:next w:val="Normal"/>
    <w:link w:val="SalutationChar"/>
    <w:uiPriority w:val="98"/>
    <w:semiHidden/>
    <w:rsid w:val="00C14D95"/>
  </w:style>
  <w:style w:type="character" w:customStyle="1" w:styleId="SalutationChar">
    <w:name w:val="Salutation Char"/>
    <w:basedOn w:val="DefaultParagraphFont"/>
    <w:link w:val="Salutation"/>
    <w:uiPriority w:val="98"/>
    <w:semiHidden/>
    <w:rsid w:val="00C14D95"/>
    <w:rPr>
      <w:rFonts w:eastAsiaTheme="minorEastAsia"/>
      <w:sz w:val="24"/>
      <w:lang w:val="fr-FR"/>
    </w:rPr>
  </w:style>
  <w:style w:type="paragraph" w:styleId="Signature">
    <w:name w:val="Signature"/>
    <w:basedOn w:val="Normal"/>
    <w:link w:val="SignatureChar"/>
    <w:uiPriority w:val="98"/>
    <w:semiHidden/>
    <w:rsid w:val="00C14D95"/>
    <w:pPr>
      <w:ind w:left="4252"/>
    </w:pPr>
  </w:style>
  <w:style w:type="character" w:customStyle="1" w:styleId="SignatureChar">
    <w:name w:val="Signature Char"/>
    <w:basedOn w:val="DefaultParagraphFont"/>
    <w:link w:val="Signature"/>
    <w:uiPriority w:val="98"/>
    <w:semiHidden/>
    <w:rsid w:val="00C14D95"/>
    <w:rPr>
      <w:rFonts w:eastAsiaTheme="minorEastAsia"/>
      <w:sz w:val="24"/>
      <w:lang w:val="fr-FR"/>
    </w:rPr>
  </w:style>
  <w:style w:type="table" w:styleId="Table3Deffects1">
    <w:name w:val="Table 3D effects 1"/>
    <w:basedOn w:val="TableNormal"/>
    <w:uiPriority w:val="99"/>
    <w:semiHidden/>
    <w:unhideWhenUsed/>
    <w:rsid w:val="00C14D9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14D9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14D9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14D9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14D9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14D9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14D9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14D9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14D9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14D9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14D9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14D9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14D9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14D9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14D9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14D9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14D9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14D9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14D9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14D9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14D9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14D9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14D9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14D9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14D9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14D9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14D9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14D9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14D9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14D9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14D9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14D9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14D9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14D95"/>
    <w:pPr>
      <w:ind w:left="240" w:hanging="240"/>
    </w:pPr>
  </w:style>
  <w:style w:type="paragraph" w:styleId="TableofFigures">
    <w:name w:val="table of figures"/>
    <w:basedOn w:val="Normal"/>
    <w:next w:val="Normal"/>
    <w:uiPriority w:val="98"/>
    <w:semiHidden/>
    <w:rsid w:val="00C14D95"/>
  </w:style>
  <w:style w:type="table" w:styleId="TableProfessional">
    <w:name w:val="Table Professional"/>
    <w:basedOn w:val="TableNormal"/>
    <w:uiPriority w:val="99"/>
    <w:semiHidden/>
    <w:unhideWhenUsed/>
    <w:rsid w:val="00C14D9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14D9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14D9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14D9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14D9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14D9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14D9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14D9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14D9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14D9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14D9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14D9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14D95"/>
    <w:pPr>
      <w:spacing w:after="100"/>
      <w:ind w:left="1680"/>
    </w:pPr>
  </w:style>
  <w:style w:type="paragraph" w:styleId="TOC9">
    <w:name w:val="toc 9"/>
    <w:basedOn w:val="Normal"/>
    <w:next w:val="Normal"/>
    <w:autoRedefine/>
    <w:uiPriority w:val="98"/>
    <w:semiHidden/>
    <w:rsid w:val="00C14D95"/>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C14D95"/>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C14D95"/>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C14D95"/>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C14D95"/>
    <w:pPr>
      <w:keepNext/>
      <w:keepLines/>
      <w:spacing w:before="1320" w:after="280"/>
      <w:contextualSpacing/>
      <w:jc w:val="center"/>
    </w:pPr>
    <w:rPr>
      <w:rFonts w:eastAsiaTheme="minorHAnsi"/>
      <w:b/>
    </w:rPr>
  </w:style>
  <w:style w:type="character" w:customStyle="1" w:styleId="JuNames0">
    <w:name w:val="Ju_Names"/>
    <w:rsid w:val="00423016"/>
    <w:rPr>
      <w:rFonts w:ascii="Times New Roman" w:hAnsi="Times New Roman" w:cs="Times New Roman"/>
      <w:smallCaps/>
    </w:rPr>
  </w:style>
  <w:style w:type="character" w:customStyle="1" w:styleId="JuParaChar">
    <w:name w:val="Ju_Para Char"/>
    <w:aliases w:val="_Para Char"/>
    <w:link w:val="JuPara"/>
    <w:uiPriority w:val="4"/>
    <w:rsid w:val="00423016"/>
    <w:rPr>
      <w:rFonts w:eastAsiaTheme="minorEastAsia"/>
      <w:sz w:val="24"/>
      <w:lang w:val="fr-FR"/>
    </w:rPr>
  </w:style>
  <w:style w:type="character" w:customStyle="1" w:styleId="ECHRParaChar">
    <w:name w:val="ECHR_Para Char"/>
    <w:aliases w:val="Para Char"/>
    <w:basedOn w:val="DefaultParagraphFont"/>
    <w:uiPriority w:val="12"/>
    <w:locked/>
    <w:rsid w:val="00423016"/>
    <w:rPr>
      <w:rFonts w:eastAsiaTheme="minorEastAsia"/>
      <w:sz w:val="24"/>
    </w:rPr>
  </w:style>
  <w:style w:type="character" w:customStyle="1" w:styleId="JuHIRomanChar">
    <w:name w:val="Ju_H_I_Roman Char"/>
    <w:link w:val="JuHIRoman"/>
    <w:uiPriority w:val="17"/>
    <w:rsid w:val="00423016"/>
    <w:rPr>
      <w:rFonts w:eastAsiaTheme="minorEastAsia"/>
      <w:caps/>
      <w:sz w:val="24"/>
      <w:lang w:val="fr-FR"/>
    </w:rPr>
  </w:style>
  <w:style w:type="paragraph" w:customStyle="1" w:styleId="ECHRBullet2">
    <w:name w:val="ECHR_Bullet_2"/>
    <w:aliases w:val="_Bul_2"/>
    <w:basedOn w:val="ECHRBullet1"/>
    <w:uiPriority w:val="23"/>
    <w:semiHidden/>
    <w:rsid w:val="00C14D95"/>
    <w:pPr>
      <w:numPr>
        <w:ilvl w:val="1"/>
      </w:numPr>
    </w:pPr>
  </w:style>
  <w:style w:type="paragraph" w:customStyle="1" w:styleId="ECHRBullet3">
    <w:name w:val="ECHR_Bullet_3"/>
    <w:aliases w:val="_Bul_3"/>
    <w:basedOn w:val="ECHRBullet2"/>
    <w:uiPriority w:val="23"/>
    <w:semiHidden/>
    <w:rsid w:val="00C14D95"/>
    <w:pPr>
      <w:numPr>
        <w:ilvl w:val="2"/>
      </w:numPr>
    </w:pPr>
  </w:style>
  <w:style w:type="paragraph" w:customStyle="1" w:styleId="ECHRBullet4">
    <w:name w:val="ECHR_Bullet_4"/>
    <w:aliases w:val="_Bul_4"/>
    <w:basedOn w:val="ECHRBullet3"/>
    <w:uiPriority w:val="23"/>
    <w:semiHidden/>
    <w:rsid w:val="00C14D95"/>
    <w:pPr>
      <w:numPr>
        <w:ilvl w:val="3"/>
      </w:numPr>
    </w:pPr>
  </w:style>
  <w:style w:type="paragraph" w:customStyle="1" w:styleId="ECHRConfidential">
    <w:name w:val="ECHR_Confidential"/>
    <w:aliases w:val="_Confidential"/>
    <w:basedOn w:val="Normal"/>
    <w:next w:val="Normal"/>
    <w:uiPriority w:val="42"/>
    <w:semiHidden/>
    <w:qFormat/>
    <w:rsid w:val="00C14D95"/>
    <w:pPr>
      <w:jc w:val="right"/>
    </w:pPr>
    <w:rPr>
      <w:rFonts w:eastAsiaTheme="minorHAnsi"/>
      <w:color w:val="C00000"/>
      <w:sz w:val="20"/>
    </w:rPr>
  </w:style>
  <w:style w:type="paragraph" w:customStyle="1" w:styleId="ECHRDecisionBody">
    <w:name w:val="ECHR_Decision_Body"/>
    <w:aliases w:val="_Decision_Body"/>
    <w:basedOn w:val="NormalJustified"/>
    <w:uiPriority w:val="54"/>
    <w:semiHidden/>
    <w:rsid w:val="00C14D9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14D95"/>
    <w:pPr>
      <w:contextualSpacing/>
      <w:jc w:val="center"/>
    </w:pPr>
    <w:rPr>
      <w:rFonts w:ascii="Arial" w:eastAsiaTheme="minorHAnsi"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C14D95"/>
    <w:rPr>
      <w:rFonts w:ascii="Arial" w:hAnsi="Arial"/>
      <w:i/>
      <w:color w:val="0072BC" w:themeColor="accent1"/>
      <w:sz w:val="32"/>
      <w:lang w:val="fr-FR"/>
    </w:rPr>
  </w:style>
  <w:style w:type="paragraph" w:customStyle="1" w:styleId="ECHRFooterLineLandscape">
    <w:name w:val="ECHR_Footer_Line_Landscape"/>
    <w:aliases w:val="_Footer_Line_Landscape"/>
    <w:basedOn w:val="Normal"/>
    <w:uiPriority w:val="30"/>
    <w:semiHidden/>
    <w:rsid w:val="00C14D95"/>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C14D95"/>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C14D95"/>
    <w:pPr>
      <w:numPr>
        <w:numId w:val="3"/>
      </w:numPr>
    </w:pPr>
    <w:rPr>
      <w:i w:val="0"/>
      <w:sz w:val="18"/>
    </w:rPr>
  </w:style>
  <w:style w:type="paragraph" w:customStyle="1" w:styleId="ECHRParaIndent">
    <w:name w:val="ECHR_Para_Indent"/>
    <w:aliases w:val="_Indent"/>
    <w:basedOn w:val="Normal"/>
    <w:uiPriority w:val="7"/>
    <w:semiHidden/>
    <w:qFormat/>
    <w:rsid w:val="00C14D95"/>
    <w:pPr>
      <w:spacing w:before="120" w:after="120"/>
      <w:ind w:left="567"/>
      <w:jc w:val="both"/>
    </w:pPr>
    <w:rPr>
      <w:rFonts w:eastAsiaTheme="minorHAnsi"/>
      <w:sz w:val="22"/>
    </w:rPr>
  </w:style>
  <w:style w:type="paragraph" w:customStyle="1" w:styleId="ECHRLine">
    <w:name w:val="ECHR_Line"/>
    <w:aliases w:val="_Line"/>
    <w:basedOn w:val="NormalJustified"/>
    <w:next w:val="Normal"/>
    <w:uiPriority w:val="46"/>
    <w:semiHidden/>
    <w:rsid w:val="00C14D95"/>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C14D95"/>
    <w:pPr>
      <w:numPr>
        <w:numId w:val="0"/>
      </w:numPr>
      <w:ind w:left="284"/>
    </w:pPr>
  </w:style>
  <w:style w:type="paragraph" w:customStyle="1" w:styleId="ECHRNumberedList1">
    <w:name w:val="ECHR_Numbered_List_1"/>
    <w:aliases w:val="_Num_1"/>
    <w:basedOn w:val="Normal"/>
    <w:uiPriority w:val="23"/>
    <w:semiHidden/>
    <w:qFormat/>
    <w:rsid w:val="00C14D95"/>
    <w:pPr>
      <w:numPr>
        <w:numId w:val="9"/>
      </w:numPr>
      <w:spacing w:before="60" w:after="60"/>
    </w:pPr>
    <w:rPr>
      <w:sz w:val="22"/>
    </w:rPr>
  </w:style>
  <w:style w:type="paragraph" w:customStyle="1" w:styleId="ECHRNumberedList2">
    <w:name w:val="ECHR_Numbered_List_2"/>
    <w:aliases w:val="_Num_2"/>
    <w:basedOn w:val="ECHRNumberedList1"/>
    <w:uiPriority w:val="23"/>
    <w:semiHidden/>
    <w:rsid w:val="00C14D95"/>
    <w:pPr>
      <w:numPr>
        <w:ilvl w:val="1"/>
      </w:numPr>
    </w:pPr>
  </w:style>
  <w:style w:type="paragraph" w:customStyle="1" w:styleId="ECHRNumberedList3">
    <w:name w:val="ECHR_Numbered_List_3"/>
    <w:aliases w:val="_Num_3"/>
    <w:basedOn w:val="ECHRNumberedList2"/>
    <w:uiPriority w:val="23"/>
    <w:semiHidden/>
    <w:rsid w:val="00C14D95"/>
    <w:pPr>
      <w:numPr>
        <w:ilvl w:val="2"/>
      </w:numPr>
    </w:pPr>
  </w:style>
  <w:style w:type="character" w:customStyle="1" w:styleId="ECHRRed">
    <w:name w:val="ECHR_Red"/>
    <w:aliases w:val="_Red"/>
    <w:basedOn w:val="DefaultParagraphFont"/>
    <w:uiPriority w:val="15"/>
    <w:semiHidden/>
    <w:qFormat/>
    <w:rsid w:val="00C14D95"/>
    <w:rPr>
      <w:color w:val="C00000" w:themeColor="accent2"/>
    </w:rPr>
  </w:style>
  <w:style w:type="paragraph" w:customStyle="1" w:styleId="ECHRHeaderDate">
    <w:name w:val="ECHR_Header_Date"/>
    <w:aliases w:val="_Ref_Date"/>
    <w:basedOn w:val="Normal"/>
    <w:uiPriority w:val="44"/>
    <w:semiHidden/>
    <w:qFormat/>
    <w:rsid w:val="00C14D95"/>
    <w:pPr>
      <w:jc w:val="right"/>
    </w:pPr>
    <w:rPr>
      <w:rFonts w:eastAsiaTheme="minorHAnsi"/>
      <w:sz w:val="20"/>
    </w:rPr>
  </w:style>
  <w:style w:type="paragraph" w:customStyle="1" w:styleId="ECHRHeaderRefIt">
    <w:name w:val="ECHR_Header_Ref_It"/>
    <w:aliases w:val="_Ref_Ital"/>
    <w:basedOn w:val="Normal"/>
    <w:next w:val="ECHRHeaderDate"/>
    <w:uiPriority w:val="43"/>
    <w:semiHidden/>
    <w:qFormat/>
    <w:rsid w:val="00C14D95"/>
    <w:pPr>
      <w:jc w:val="right"/>
    </w:pPr>
    <w:rPr>
      <w:rFonts w:eastAsiaTheme="minorHAnsi"/>
      <w:i/>
      <w:sz w:val="20"/>
    </w:rPr>
  </w:style>
  <w:style w:type="paragraph" w:customStyle="1" w:styleId="ECHRSpacer">
    <w:name w:val="ECHR_Spacer"/>
    <w:aliases w:val="_Spacer"/>
    <w:basedOn w:val="Normal"/>
    <w:uiPriority w:val="45"/>
    <w:semiHidden/>
    <w:rsid w:val="00C14D95"/>
    <w:rPr>
      <w:rFonts w:eastAsiaTheme="minorHAnsi"/>
      <w:sz w:val="4"/>
    </w:rPr>
  </w:style>
  <w:style w:type="paragraph" w:customStyle="1" w:styleId="ECHRTitleCentre1">
    <w:name w:val="ECHR_Title_Centre_1"/>
    <w:aliases w:val="_Title_C_1"/>
    <w:basedOn w:val="Normal"/>
    <w:next w:val="Normal"/>
    <w:uiPriority w:val="26"/>
    <w:semiHidden/>
    <w:qFormat/>
    <w:rsid w:val="00C14D95"/>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14D95"/>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14D95"/>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14D95"/>
    <w:pPr>
      <w:outlineLvl w:val="0"/>
    </w:pPr>
  </w:style>
  <w:style w:type="paragraph" w:customStyle="1" w:styleId="ECHRTitle1">
    <w:name w:val="ECHR_Title_1"/>
    <w:aliases w:val="_Title_L_1"/>
    <w:basedOn w:val="Normal"/>
    <w:next w:val="Normal"/>
    <w:uiPriority w:val="28"/>
    <w:semiHidden/>
    <w:qFormat/>
    <w:rsid w:val="00C14D95"/>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14D95"/>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14D95"/>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C14D95"/>
    <w:pPr>
      <w:outlineLvl w:val="0"/>
    </w:pPr>
  </w:style>
  <w:style w:type="table" w:customStyle="1" w:styleId="ECHRTable2">
    <w:name w:val="ECHR_Table_2"/>
    <w:basedOn w:val="TableNormal"/>
    <w:uiPriority w:val="99"/>
    <w:rsid w:val="00C14D95"/>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14D95"/>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BF560B"/>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BF560B"/>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738302-A6DA-46AE-BB61-6EF1E5E7B2EC}"/>
</file>

<file path=customXml/itemProps2.xml><?xml version="1.0" encoding="utf-8"?>
<ds:datastoreItem xmlns:ds="http://schemas.openxmlformats.org/officeDocument/2006/customXml" ds:itemID="{5140AB49-8731-4DE7-9B9E-6CBDECAAE8FC}"/>
</file>

<file path=customXml/itemProps3.xml><?xml version="1.0" encoding="utf-8"?>
<ds:datastoreItem xmlns:ds="http://schemas.openxmlformats.org/officeDocument/2006/customXml" ds:itemID="{F47E67A6-ED5F-4582-B813-2E1B69A0DCE7}"/>
</file>

<file path=customXml/itemProps4.xml><?xml version="1.0" encoding="utf-8"?>
<ds:datastoreItem xmlns:ds="http://schemas.openxmlformats.org/officeDocument/2006/customXml" ds:itemID="{63016184-4EB3-4345-9DA5-1D602AEDE9A4}"/>
</file>

<file path=docProps/app.xml><?xml version="1.0" encoding="utf-8"?>
<Properties xmlns="http://schemas.openxmlformats.org/officeDocument/2006/extended-properties" xmlns:vt="http://schemas.openxmlformats.org/officeDocument/2006/docPropsVTypes">
  <Template>Normal.dotm</Template>
  <TotalTime>0</TotalTime>
  <Pages>1</Pages>
  <Words>3973</Words>
  <Characters>22647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2020-05-19T08:32:00Z</dcterms:created>
  <dcterms:modified xsi:type="dcterms:W3CDTF">2020-05-19T08:32:00Z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76061/14</vt:lpwstr>
  </property>
  <property fmtid="{D5CDD505-2E9C-101B-9397-08002B2CF9AE}" pid="4" name="CASEID">
    <vt:lpwstr>1087739</vt:lpwstr>
  </property>
  <property fmtid="{D5CDD505-2E9C-101B-9397-08002B2CF9AE}" pid="5" name="ContentTypeId">
    <vt:lpwstr>0x010100558EB02BDB9E204AB350EDD385B68E10</vt:lpwstr>
  </property>
</Properties>
</file>