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766B" w:rsidR="00787E12" w:rsidP="00E8766B" w:rsidRDefault="00AF06B4">
      <w:pPr>
        <w:jc w:val="center"/>
      </w:pPr>
    </w:p>
    <w:p w:rsidRPr="00E8766B" w:rsidR="00787E12" w:rsidP="00E8766B" w:rsidRDefault="00AF06B4">
      <w:pPr>
        <w:jc w:val="center"/>
      </w:pPr>
    </w:p>
    <w:p w:rsidRPr="00E8766B" w:rsidR="00787E12" w:rsidP="00E8766B" w:rsidRDefault="00D41296">
      <w:pPr>
        <w:pStyle w:val="DecHCase"/>
      </w:pPr>
      <w:r w:rsidRPr="00E8766B">
        <w:t>FOURTH SECTION</w:t>
      </w:r>
    </w:p>
    <w:p w:rsidRPr="00E8766B" w:rsidR="00787E12" w:rsidP="00E8766B" w:rsidRDefault="0048584C">
      <w:pPr>
        <w:pStyle w:val="JuTitle"/>
      </w:pPr>
      <w:r w:rsidRPr="00E8766B">
        <w:t xml:space="preserve">CASE OF </w:t>
      </w:r>
      <w:r w:rsidRPr="00E8766B" w:rsidR="00D41296">
        <w:t>HADŽAJLIĆ AND OTHERS v. BOSNIA AND HERZEGOVINA</w:t>
      </w:r>
    </w:p>
    <w:p w:rsidRPr="00E8766B" w:rsidR="00D41296" w:rsidP="00E8766B" w:rsidRDefault="0048584C">
      <w:pPr>
        <w:pStyle w:val="Title4"/>
      </w:pPr>
      <w:r w:rsidRPr="00E8766B">
        <w:t>(</w:t>
      </w:r>
      <w:r w:rsidRPr="00E8766B" w:rsidR="00D41296">
        <w:t>Application no</w:t>
      </w:r>
      <w:r w:rsidRPr="00E8766B" w:rsidR="00D57688">
        <w:t>s</w:t>
      </w:r>
      <w:r w:rsidRPr="00E8766B" w:rsidR="00D41296">
        <w:t>. 10770/18 and 2 others -</w:t>
      </w:r>
    </w:p>
    <w:p w:rsidRPr="00E8766B" w:rsidR="00787E12" w:rsidP="00E8766B" w:rsidRDefault="00D41296">
      <w:pPr>
        <w:jc w:val="center"/>
      </w:pPr>
      <w:proofErr w:type="gramStart"/>
      <w:r w:rsidRPr="00E8766B">
        <w:rPr>
          <w:i/>
          <w:iCs/>
        </w:rPr>
        <w:t>see</w:t>
      </w:r>
      <w:proofErr w:type="gramEnd"/>
      <w:r w:rsidRPr="00E8766B">
        <w:rPr>
          <w:i/>
          <w:iCs/>
        </w:rPr>
        <w:t xml:space="preserve"> appended list</w:t>
      </w:r>
      <w:r w:rsidRPr="00E8766B" w:rsidR="0048584C">
        <w:t>)</w:t>
      </w:r>
    </w:p>
    <w:p w:rsidRPr="00E8766B" w:rsidR="00787E12" w:rsidP="00E8766B" w:rsidRDefault="00AF06B4">
      <w:pPr>
        <w:pStyle w:val="DecHCase"/>
      </w:pPr>
    </w:p>
    <w:p w:rsidRPr="00E8766B" w:rsidR="00787E12" w:rsidP="00E8766B" w:rsidRDefault="00AF06B4">
      <w:pPr>
        <w:pStyle w:val="DecHCase"/>
      </w:pPr>
    </w:p>
    <w:p w:rsidRPr="00E8766B" w:rsidR="00787E12" w:rsidP="00E8766B" w:rsidRDefault="00AF06B4">
      <w:pPr>
        <w:pStyle w:val="DecHCase"/>
      </w:pPr>
    </w:p>
    <w:p w:rsidRPr="00E8766B" w:rsidR="00787E12" w:rsidP="00E8766B" w:rsidRDefault="00AF06B4">
      <w:pPr>
        <w:pStyle w:val="DecHCase"/>
      </w:pPr>
    </w:p>
    <w:p w:rsidRPr="00E8766B" w:rsidR="00A062B9" w:rsidP="00E8766B" w:rsidRDefault="00AF06B4">
      <w:pPr>
        <w:pStyle w:val="DecHCase"/>
      </w:pPr>
    </w:p>
    <w:p w:rsidRPr="00E8766B" w:rsidR="00787E12" w:rsidP="00E8766B" w:rsidRDefault="0048584C">
      <w:pPr>
        <w:pStyle w:val="DecHCase"/>
      </w:pPr>
      <w:r w:rsidRPr="00E8766B">
        <w:t>JUDGMENT</w:t>
      </w:r>
    </w:p>
    <w:p w:rsidRPr="00E8766B" w:rsidR="00787E12" w:rsidP="00E8766B" w:rsidRDefault="00AF06B4">
      <w:pPr>
        <w:jc w:val="center"/>
        <w:rPr>
          <w:i/>
        </w:rPr>
      </w:pPr>
    </w:p>
    <w:p w:rsidRPr="00E8766B" w:rsidR="00787E12" w:rsidP="00E8766B" w:rsidRDefault="0048584C">
      <w:pPr>
        <w:pStyle w:val="DecHCase"/>
      </w:pPr>
      <w:r w:rsidRPr="00E8766B">
        <w:t>STRASBOURG</w:t>
      </w:r>
    </w:p>
    <w:p w:rsidRPr="00E8766B" w:rsidR="00787E12" w:rsidP="00E8766B" w:rsidRDefault="00D41296">
      <w:pPr>
        <w:pStyle w:val="DecHCase"/>
      </w:pPr>
      <w:r w:rsidRPr="00E8766B">
        <w:t>16 January 2020</w:t>
      </w:r>
    </w:p>
    <w:p w:rsidRPr="00E8766B" w:rsidR="00787E12" w:rsidP="00E8766B" w:rsidRDefault="00AF06B4">
      <w:pPr>
        <w:jc w:val="center"/>
      </w:pPr>
    </w:p>
    <w:p w:rsidRPr="00E8766B" w:rsidR="00E8766B" w:rsidP="00E8766B" w:rsidRDefault="00E8766B">
      <w:pPr>
        <w:jc w:val="center"/>
      </w:pPr>
    </w:p>
    <w:p w:rsidRPr="00E8766B" w:rsidR="00E8766B" w:rsidP="00E8766B" w:rsidRDefault="00E8766B">
      <w:pPr>
        <w:jc w:val="center"/>
      </w:pPr>
    </w:p>
    <w:p w:rsidRPr="00E8766B" w:rsidR="00E8766B" w:rsidP="00E8766B" w:rsidRDefault="00E8766B">
      <w:pPr>
        <w:jc w:val="center"/>
      </w:pPr>
    </w:p>
    <w:p w:rsidRPr="00E8766B" w:rsidR="00787E12" w:rsidP="00E8766B" w:rsidRDefault="0048584C">
      <w:pPr>
        <w:jc w:val="center"/>
        <w:rPr>
          <w:sz w:val="2"/>
          <w:szCs w:val="2"/>
        </w:rPr>
      </w:pPr>
      <w:r w:rsidRPr="00E8766B">
        <w:rPr>
          <w:i/>
        </w:rPr>
        <w:t>This judgment is final but it may be subject to editorial revision.</w:t>
      </w:r>
    </w:p>
    <w:p w:rsidRPr="00E8766B" w:rsidR="00787E12" w:rsidP="00E8766B" w:rsidRDefault="00AF06B4">
      <w:pPr>
        <w:pStyle w:val="JuCase"/>
      </w:pPr>
    </w:p>
    <w:p w:rsidRPr="00E8766B" w:rsidR="00E8766B" w:rsidP="00E8766B" w:rsidRDefault="00E8766B">
      <w:pPr>
        <w:pStyle w:val="JuPara"/>
        <w:sectPr w:rsidRPr="00E8766B" w:rsidR="00E8766B"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E8766B" w:rsidR="00787E12" w:rsidP="00E8766B" w:rsidRDefault="0048584C">
      <w:pPr>
        <w:pStyle w:val="JuCase"/>
        <w:rPr>
          <w:bCs/>
        </w:rPr>
      </w:pPr>
      <w:r w:rsidRPr="00E8766B">
        <w:t xml:space="preserve">In the case of </w:t>
      </w:r>
      <w:proofErr w:type="spellStart"/>
      <w:r w:rsidRPr="00E8766B" w:rsidR="00D41296">
        <w:t>Hadžajlić</w:t>
      </w:r>
      <w:proofErr w:type="spellEnd"/>
      <w:r w:rsidRPr="00E8766B" w:rsidR="00D41296">
        <w:t xml:space="preserve"> and Others v. Bosnia and Herzegovina</w:t>
      </w:r>
      <w:r w:rsidRPr="00E8766B">
        <w:t>,</w:t>
      </w:r>
    </w:p>
    <w:p w:rsidRPr="00E8766B" w:rsidR="00787E12" w:rsidP="00E8766B" w:rsidRDefault="0048584C">
      <w:pPr>
        <w:pStyle w:val="JuPara"/>
      </w:pPr>
      <w:r w:rsidRPr="00E8766B">
        <w:t>The European Court of Human Rights (</w:t>
      </w:r>
      <w:r w:rsidRPr="00E8766B" w:rsidR="00D41296">
        <w:t>Fourth Section</w:t>
      </w:r>
      <w:r w:rsidRPr="00E8766B">
        <w:t>), sitting as a Committee composed of:</w:t>
      </w:r>
    </w:p>
    <w:p w:rsidRPr="00E8766B" w:rsidR="00787E12" w:rsidP="00E8766B" w:rsidRDefault="00BC2B8B">
      <w:pPr>
        <w:pStyle w:val="JuJudges"/>
      </w:pPr>
      <w:r w:rsidRPr="00E8766B">
        <w:tab/>
        <w:t xml:space="preserve">Stéphanie </w:t>
      </w:r>
      <w:proofErr w:type="spellStart"/>
      <w:r w:rsidRPr="00E8766B">
        <w:t>Mourou-Vikström</w:t>
      </w:r>
      <w:proofErr w:type="spellEnd"/>
      <w:r w:rsidRPr="00E8766B">
        <w:t>,</w:t>
      </w:r>
      <w:r w:rsidRPr="00E8766B">
        <w:rPr>
          <w:i/>
        </w:rPr>
        <w:t xml:space="preserve"> President,</w:t>
      </w:r>
      <w:r w:rsidRPr="00E8766B">
        <w:rPr>
          <w:i/>
        </w:rPr>
        <w:br/>
      </w:r>
      <w:r w:rsidRPr="00E8766B">
        <w:tab/>
        <w:t xml:space="preserve">Georges </w:t>
      </w:r>
      <w:proofErr w:type="spellStart"/>
      <w:r w:rsidRPr="00E8766B">
        <w:t>Ravarani</w:t>
      </w:r>
      <w:proofErr w:type="spellEnd"/>
      <w:r w:rsidRPr="00E8766B">
        <w:t>,</w:t>
      </w:r>
      <w:r w:rsidRPr="00E8766B">
        <w:rPr>
          <w:i/>
        </w:rPr>
        <w:br/>
      </w:r>
      <w:r w:rsidRPr="00E8766B">
        <w:tab/>
      </w:r>
      <w:proofErr w:type="spellStart"/>
      <w:r w:rsidRPr="00E8766B">
        <w:t>Jolien</w:t>
      </w:r>
      <w:proofErr w:type="spellEnd"/>
      <w:r w:rsidRPr="00E8766B">
        <w:t xml:space="preserve"> </w:t>
      </w:r>
      <w:proofErr w:type="spellStart"/>
      <w:r w:rsidRPr="00E8766B">
        <w:t>Schukking</w:t>
      </w:r>
      <w:proofErr w:type="spellEnd"/>
      <w:r w:rsidRPr="00E8766B">
        <w:t>,</w:t>
      </w:r>
      <w:r w:rsidRPr="00E8766B">
        <w:rPr>
          <w:i/>
        </w:rPr>
        <w:t xml:space="preserve"> judges,</w:t>
      </w:r>
      <w:r w:rsidRPr="00E8766B" w:rsidR="0048584C">
        <w:br/>
        <w:t xml:space="preserve">and </w:t>
      </w:r>
      <w:r w:rsidRPr="00E8766B" w:rsidR="00D41296">
        <w:t>Liv</w:t>
      </w:r>
      <w:r w:rsidRPr="00E8766B" w:rsidR="0048584C">
        <w:t xml:space="preserve"> </w:t>
      </w:r>
      <w:r w:rsidRPr="00E8766B" w:rsidR="00D41296">
        <w:t>Tigerstedt</w:t>
      </w:r>
      <w:r w:rsidRPr="00E8766B" w:rsidR="00555A1D">
        <w:t>,</w:t>
      </w:r>
      <w:r w:rsidRPr="00E8766B" w:rsidR="0048584C">
        <w:t xml:space="preserve"> </w:t>
      </w:r>
      <w:r w:rsidRPr="00E8766B" w:rsidR="0048584C">
        <w:rPr>
          <w:i/>
        </w:rPr>
        <w:t>Acting</w:t>
      </w:r>
      <w:r w:rsidRPr="00E8766B" w:rsidR="0048584C">
        <w:t xml:space="preserve"> </w:t>
      </w:r>
      <w:r w:rsidRPr="00E8766B" w:rsidR="0048584C">
        <w:rPr>
          <w:rFonts w:cstheme="minorHAnsi"/>
          <w:i/>
        </w:rPr>
        <w:t>Deputy Section Registrar</w:t>
      </w:r>
      <w:r w:rsidRPr="00E8766B" w:rsidR="0048584C">
        <w:rPr>
          <w:i/>
        </w:rPr>
        <w:t>,</w:t>
      </w:r>
    </w:p>
    <w:p w:rsidRPr="00E8766B" w:rsidR="00787E12" w:rsidP="00E8766B" w:rsidRDefault="0048584C">
      <w:pPr>
        <w:pStyle w:val="JuPara"/>
      </w:pPr>
      <w:r w:rsidRPr="00E8766B">
        <w:t xml:space="preserve">Having deliberated in private on </w:t>
      </w:r>
      <w:r w:rsidRPr="00E8766B" w:rsidR="00BC2B8B">
        <w:t>12 December 2019</w:t>
      </w:r>
      <w:r w:rsidRPr="00E8766B">
        <w:t>,</w:t>
      </w:r>
    </w:p>
    <w:p w:rsidRPr="00E8766B" w:rsidR="006372F5" w:rsidP="00E8766B" w:rsidRDefault="0048584C">
      <w:pPr>
        <w:pStyle w:val="JuPara"/>
      </w:pPr>
      <w:r w:rsidRPr="00E8766B">
        <w:t>Delivers the following judgment, which was adopted on that date:</w:t>
      </w:r>
    </w:p>
    <w:p w:rsidRPr="00E8766B" w:rsidR="00D41296" w:rsidP="00E8766B" w:rsidRDefault="00D41296">
      <w:pPr>
        <w:pStyle w:val="JuHHead"/>
        <w:numPr>
          <w:ilvl w:val="0"/>
          <w:numId w:val="22"/>
        </w:numPr>
        <w:jc w:val="both"/>
      </w:pPr>
      <w:bookmarkStart w:name="ITMARKStartJudgment" w:id="0"/>
      <w:bookmarkEnd w:id="0"/>
      <w:r w:rsidRPr="00E8766B">
        <w:t>PROCEDURE</w:t>
      </w:r>
    </w:p>
    <w:p w:rsidRPr="00E8766B" w:rsidR="00D41296" w:rsidP="00E8766B" w:rsidRDefault="00D41296">
      <w:pPr>
        <w:pStyle w:val="JuPara"/>
        <w:rPr>
          <w:rFonts w:cs="Times New Roman"/>
        </w:rPr>
      </w:pPr>
      <w:r w:rsidRPr="00E8766B">
        <w:fldChar w:fldCharType="begin"/>
      </w:r>
      <w:r w:rsidRPr="00E8766B">
        <w:instrText xml:space="preserve"> SEQ level0 \*arabic </w:instrText>
      </w:r>
      <w:r w:rsidRPr="00E8766B">
        <w:fldChar w:fldCharType="separate"/>
      </w:r>
      <w:r w:rsidRPr="00E8766B" w:rsidR="00E8766B">
        <w:rPr>
          <w:noProof/>
        </w:rPr>
        <w:t>1</w:t>
      </w:r>
      <w:r w:rsidRPr="00E8766B">
        <w:fldChar w:fldCharType="end"/>
      </w:r>
      <w:r w:rsidRPr="00E8766B">
        <w:t>.  </w:t>
      </w:r>
      <w:r w:rsidRPr="00E8766B">
        <w:rPr>
          <w:rFonts w:cs="Times New Roman"/>
        </w:rPr>
        <w:t xml:space="preserve">The case originated in applications against Bosnia and Herzegovina lodged with the Court under Article 34 of the Convention for the Protection of Human Rights and Fundamental Freedoms (“the Convention”) on </w:t>
      </w:r>
      <w:r w:rsidRPr="00E8766B">
        <w:rPr>
          <w:rFonts w:eastAsia="PMingLiU" w:cs="Times New Roman"/>
        </w:rPr>
        <w:t>the various dates indicated in the appended table</w:t>
      </w:r>
      <w:r w:rsidRPr="00E8766B">
        <w:rPr>
          <w:rFonts w:cs="Times New Roman"/>
        </w:rPr>
        <w:t>.</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2</w:t>
      </w:r>
      <w:r w:rsidRPr="00E8766B">
        <w:fldChar w:fldCharType="end"/>
      </w:r>
      <w:r w:rsidRPr="00E8766B">
        <w:t>.  The Government of Bosnia and Herzegovina (“the Government”) were given notice of the applications.</w:t>
      </w:r>
    </w:p>
    <w:p w:rsidRPr="00E8766B" w:rsidR="00D41296" w:rsidP="00E8766B" w:rsidRDefault="00D41296">
      <w:pPr>
        <w:pStyle w:val="JuHHead"/>
        <w:numPr>
          <w:ilvl w:val="0"/>
          <w:numId w:val="22"/>
        </w:numPr>
        <w:jc w:val="both"/>
      </w:pPr>
      <w:r w:rsidRPr="00E8766B">
        <w:t>THE FACTS</w:t>
      </w:r>
    </w:p>
    <w:p w:rsidRPr="00E8766B" w:rsidR="00D41296" w:rsidP="00E8766B" w:rsidRDefault="00D41296">
      <w:pPr>
        <w:pStyle w:val="JuPara"/>
      </w:pPr>
      <w:r w:rsidRPr="00E8766B">
        <w:rPr>
          <w:rFonts w:eastAsia="PMingLiU"/>
        </w:rPr>
        <w:fldChar w:fldCharType="begin"/>
      </w:r>
      <w:r w:rsidRPr="00E8766B">
        <w:rPr>
          <w:rFonts w:eastAsia="PMingLiU"/>
        </w:rPr>
        <w:instrText xml:space="preserve"> SEQ level0 \*arabic </w:instrText>
      </w:r>
      <w:r w:rsidRPr="00E8766B">
        <w:rPr>
          <w:rFonts w:eastAsia="PMingLiU"/>
        </w:rPr>
        <w:fldChar w:fldCharType="separate"/>
      </w:r>
      <w:r w:rsidRPr="00E8766B" w:rsidR="00E8766B">
        <w:rPr>
          <w:rFonts w:eastAsia="PMingLiU"/>
          <w:noProof/>
        </w:rPr>
        <w:t>3</w:t>
      </w:r>
      <w:r w:rsidRPr="00E8766B">
        <w:rPr>
          <w:rFonts w:eastAsia="PMingLiU"/>
        </w:rPr>
        <w:fldChar w:fldCharType="end"/>
      </w:r>
      <w:r w:rsidRPr="00E8766B">
        <w:rPr>
          <w:rFonts w:eastAsia="PMingLiU"/>
        </w:rPr>
        <w:t>.  The list of applicant</w:t>
      </w:r>
      <w:r w:rsidRPr="00E8766B">
        <w:t>s and the relevant details of the applications are set out in the appended table.</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4</w:t>
      </w:r>
      <w:r w:rsidRPr="00E8766B">
        <w:fldChar w:fldCharType="end"/>
      </w:r>
      <w:r w:rsidRPr="00E8766B">
        <w:t>.  </w:t>
      </w:r>
      <w:r w:rsidRPr="00E8766B">
        <w:rPr>
          <w:bCs/>
          <w:color w:val="000000"/>
        </w:rPr>
        <w:t>The applicant</w:t>
      </w:r>
      <w:r w:rsidRPr="00E8766B">
        <w:rPr>
          <w:rFonts w:eastAsia="PMingLiU"/>
        </w:rPr>
        <w:t>s</w:t>
      </w:r>
      <w:r w:rsidRPr="00E8766B">
        <w:rPr>
          <w:bCs/>
          <w:color w:val="000000"/>
        </w:rPr>
        <w:t xml:space="preserve"> complained of the </w:t>
      </w:r>
      <w:r w:rsidRPr="00E8766B">
        <w:rPr>
          <w:rFonts w:eastAsia="Times New Roman" w:cstheme="minorHAnsi"/>
          <w:color w:val="000000"/>
        </w:rPr>
        <w:t>excessive length of civil and administrative proceedings</w:t>
      </w:r>
      <w:r w:rsidRPr="00E8766B">
        <w:rPr>
          <w:rFonts w:cstheme="minorHAnsi"/>
          <w:bCs/>
          <w:color w:val="000000"/>
        </w:rPr>
        <w:t>.</w:t>
      </w:r>
    </w:p>
    <w:p w:rsidRPr="00E8766B" w:rsidR="00D41296" w:rsidP="00E8766B" w:rsidRDefault="00D41296">
      <w:pPr>
        <w:pStyle w:val="JuHHead"/>
        <w:numPr>
          <w:ilvl w:val="0"/>
          <w:numId w:val="22"/>
        </w:numPr>
        <w:jc w:val="both"/>
      </w:pPr>
      <w:r w:rsidRPr="00E8766B">
        <w:t>THE LAW</w:t>
      </w:r>
    </w:p>
    <w:p w:rsidRPr="00E8766B" w:rsidR="00D41296" w:rsidP="00E8766B" w:rsidRDefault="00D41296">
      <w:pPr>
        <w:pStyle w:val="JuHIRoman"/>
        <w:numPr>
          <w:ilvl w:val="1"/>
          <w:numId w:val="22"/>
        </w:numPr>
        <w:jc w:val="both"/>
      </w:pPr>
      <w:r w:rsidRPr="00E8766B">
        <w:t xml:space="preserve"> JOINDER OF THE APPLICATIONS</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5</w:t>
      </w:r>
      <w:r w:rsidRPr="00E8766B">
        <w:fldChar w:fldCharType="end"/>
      </w:r>
      <w:r w:rsidRPr="00E8766B">
        <w:t>.  Having regard to the similar subject matter of the applications, the Court finds it appropriate to examine them jointly in a single judgment.</w:t>
      </w:r>
    </w:p>
    <w:p w:rsidRPr="00E8766B" w:rsidR="00D41296" w:rsidP="00E8766B" w:rsidRDefault="00D41296">
      <w:pPr>
        <w:pStyle w:val="JuHIRoman"/>
        <w:numPr>
          <w:ilvl w:val="1"/>
          <w:numId w:val="22"/>
        </w:numPr>
        <w:jc w:val="both"/>
      </w:pPr>
      <w:r w:rsidRPr="00E8766B">
        <w:t>ALLEGED VIOLATION OF ARTICLE</w:t>
      </w:r>
      <w:r w:rsidRPr="00E8766B">
        <w:rPr>
          <w:rFonts w:eastAsia="PMingLiU"/>
        </w:rPr>
        <w:t xml:space="preserve"> 6 § 1 </w:t>
      </w:r>
      <w:r w:rsidRPr="00E8766B">
        <w:t>OF THE CONVENTION</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6</w:t>
      </w:r>
      <w:r w:rsidRPr="00E8766B">
        <w:fldChar w:fldCharType="end"/>
      </w:r>
      <w:r w:rsidRPr="00E8766B">
        <w:t>.  The applicant</w:t>
      </w:r>
      <w:r w:rsidRPr="00E8766B">
        <w:rPr>
          <w:rFonts w:eastAsia="PMingLiU"/>
        </w:rPr>
        <w:t>s</w:t>
      </w:r>
      <w:r w:rsidRPr="00E8766B">
        <w:t xml:space="preserve"> complained</w:t>
      </w:r>
      <w:r w:rsidRPr="00E8766B">
        <w:rPr>
          <w:rFonts w:cstheme="minorHAnsi"/>
          <w:bCs/>
        </w:rPr>
        <w:t xml:space="preserve"> </w:t>
      </w:r>
      <w:r w:rsidRPr="00E8766B">
        <w:t>that the length of the proceedings in question had been incompatible with the “reasonable time” requirement. They relied on Article </w:t>
      </w:r>
      <w:r w:rsidRPr="00E8766B">
        <w:rPr>
          <w:rFonts w:eastAsia="PMingLiU"/>
        </w:rPr>
        <w:t>6 § 1</w:t>
      </w:r>
      <w:r w:rsidRPr="00E8766B">
        <w:t xml:space="preserve"> of the Convention, which reads as follows:</w:t>
      </w:r>
    </w:p>
    <w:p w:rsidRPr="00E8766B" w:rsidR="00D41296" w:rsidP="00E8766B" w:rsidRDefault="00D41296">
      <w:pPr>
        <w:pStyle w:val="JuHArticle"/>
      </w:pPr>
      <w:r w:rsidRPr="00E8766B">
        <w:t>Article 6 </w:t>
      </w:r>
      <w:r w:rsidRPr="00E8766B">
        <w:rPr>
          <w:rFonts w:cstheme="minorHAnsi"/>
        </w:rPr>
        <w:t>§</w:t>
      </w:r>
      <w:r w:rsidRPr="00E8766B">
        <w:t> 1</w:t>
      </w:r>
    </w:p>
    <w:p w:rsidRPr="00E8766B" w:rsidR="00D41296" w:rsidP="00E8766B" w:rsidRDefault="00D41296">
      <w:pPr>
        <w:pStyle w:val="JuQuot"/>
      </w:pPr>
      <w:r w:rsidRPr="00E8766B">
        <w:t>“In the determination of his civil rights and obligations ... everyone is entitled to a ... hearing within a reasonable time by [a] ... tribunal ...”</w:t>
      </w:r>
    </w:p>
    <w:p w:rsidRPr="00E8766B" w:rsidR="00D41296" w:rsidP="00E8766B" w:rsidRDefault="00D41296">
      <w:pPr>
        <w:pStyle w:val="JuPara"/>
        <w:rPr>
          <w:strike/>
        </w:rPr>
      </w:pPr>
      <w:r w:rsidRPr="00E8766B">
        <w:fldChar w:fldCharType="begin"/>
      </w:r>
      <w:r w:rsidRPr="00E8766B">
        <w:instrText xml:space="preserve"> SEQ level0 \*arabic </w:instrText>
      </w:r>
      <w:r w:rsidRPr="00E8766B">
        <w:fldChar w:fldCharType="separate"/>
      </w:r>
      <w:r w:rsidRPr="00E8766B" w:rsidR="00E8766B">
        <w:rPr>
          <w:noProof/>
        </w:rPr>
        <w:t>7</w:t>
      </w:r>
      <w:r w:rsidRPr="00E8766B">
        <w:fldChar w:fldCharType="end"/>
      </w:r>
      <w:r w:rsidRPr="00E8766B">
        <w:t>.  The Court reiterates that the reasonableness of the length of proceedings must be assessed in the light of the circumstances of the case and with reference to the following criteria: the complexity of the case, the conduct of the applicant</w:t>
      </w:r>
      <w:r w:rsidRPr="00E8766B">
        <w:rPr>
          <w:rFonts w:eastAsia="PMingLiU"/>
        </w:rPr>
        <w:t>s</w:t>
      </w:r>
      <w:r w:rsidRPr="00E8766B">
        <w:t xml:space="preserve"> and the relevant authorities and what was at stake for the applicant</w:t>
      </w:r>
      <w:r w:rsidRPr="00E8766B">
        <w:rPr>
          <w:rFonts w:eastAsia="PMingLiU"/>
        </w:rPr>
        <w:t>s</w:t>
      </w:r>
      <w:r w:rsidRPr="00E8766B">
        <w:t xml:space="preserve"> in the dispute (see </w:t>
      </w:r>
      <w:proofErr w:type="spellStart"/>
      <w:r w:rsidRPr="00E8766B">
        <w:rPr>
          <w:i/>
        </w:rPr>
        <w:t>Frydlender</w:t>
      </w:r>
      <w:proofErr w:type="spellEnd"/>
      <w:r w:rsidRPr="00E8766B">
        <w:rPr>
          <w:i/>
        </w:rPr>
        <w:t xml:space="preserve"> v. France</w:t>
      </w:r>
      <w:r w:rsidRPr="00E8766B">
        <w:t xml:space="preserve"> [GC], no. 30979/96, § 43, ECHR 2000-VII).</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8</w:t>
      </w:r>
      <w:r w:rsidRPr="00E8766B">
        <w:fldChar w:fldCharType="end"/>
      </w:r>
      <w:r w:rsidRPr="00E8766B">
        <w:t xml:space="preserve">.  In the leading cases of </w:t>
      </w:r>
      <w:proofErr w:type="spellStart"/>
      <w:r w:rsidRPr="00E8766B">
        <w:rPr>
          <w:i/>
        </w:rPr>
        <w:t>Scordino</w:t>
      </w:r>
      <w:proofErr w:type="spellEnd"/>
      <w:r w:rsidRPr="00E8766B">
        <w:rPr>
          <w:i/>
        </w:rPr>
        <w:t xml:space="preserve"> v. Italy (no. 1) </w:t>
      </w:r>
      <w:r w:rsidRPr="00E8766B">
        <w:t xml:space="preserve">[GC], no. 36813/97, §§ 134-227, ECHR 2006-V, and </w:t>
      </w:r>
      <w:proofErr w:type="spellStart"/>
      <w:r w:rsidRPr="00E8766B">
        <w:rPr>
          <w:i/>
        </w:rPr>
        <w:t>Dorić</w:t>
      </w:r>
      <w:proofErr w:type="spellEnd"/>
      <w:r w:rsidRPr="00E8766B">
        <w:rPr>
          <w:i/>
        </w:rPr>
        <w:t xml:space="preserve"> v. Bosnia and Herzegovina </w:t>
      </w:r>
      <w:r w:rsidRPr="00E8766B">
        <w:t>[Committee], no. 68811/13, 7 November 2017, the Court already found a violation in respect of issues similar to those in the present case.</w:t>
      </w:r>
    </w:p>
    <w:p w:rsidRPr="00E8766B" w:rsidR="00D41296" w:rsidP="00E8766B" w:rsidRDefault="00D41296">
      <w:pPr>
        <w:pStyle w:val="JuPara"/>
        <w:rPr>
          <w:lang w:val="pt-PT"/>
        </w:rPr>
      </w:pPr>
      <w:r w:rsidRPr="00E8766B">
        <w:fldChar w:fldCharType="begin"/>
      </w:r>
      <w:r w:rsidRPr="00E8766B">
        <w:instrText xml:space="preserve"> SEQ level0 \*arabic </w:instrText>
      </w:r>
      <w:r w:rsidRPr="00E8766B">
        <w:fldChar w:fldCharType="separate"/>
      </w:r>
      <w:r w:rsidRPr="00E8766B" w:rsidR="00E8766B">
        <w:rPr>
          <w:noProof/>
        </w:rPr>
        <w:t>9</w:t>
      </w:r>
      <w:r w:rsidRPr="00E8766B">
        <w:fldChar w:fldCharType="end"/>
      </w:r>
      <w:r w:rsidRPr="00E8766B">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10</w:t>
      </w:r>
      <w:r w:rsidRPr="00E8766B">
        <w:fldChar w:fldCharType="end"/>
      </w:r>
      <w:r w:rsidRPr="00E8766B">
        <w:t>.  These complaints are therefore admissible and disclose a breach of Article 6 § 1 of the Convention.</w:t>
      </w:r>
    </w:p>
    <w:p w:rsidRPr="00E8766B" w:rsidR="00D41296" w:rsidP="00E8766B" w:rsidRDefault="00D41296">
      <w:pPr>
        <w:pStyle w:val="JuHIRoman"/>
        <w:numPr>
          <w:ilvl w:val="1"/>
          <w:numId w:val="22"/>
        </w:numPr>
        <w:jc w:val="both"/>
      </w:pPr>
      <w:r w:rsidRPr="00E8766B">
        <w:t>APPLICATION OF ARTICLE 41 OF THE CONVENTION</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11</w:t>
      </w:r>
      <w:r w:rsidRPr="00E8766B">
        <w:fldChar w:fldCharType="end"/>
      </w:r>
      <w:r w:rsidRPr="00E8766B">
        <w:t>.  Article 41 of the Convention provides:</w:t>
      </w:r>
    </w:p>
    <w:p w:rsidRPr="00E8766B" w:rsidR="00D41296" w:rsidP="00E8766B" w:rsidRDefault="00D41296">
      <w:pPr>
        <w:pStyle w:val="JuQuot"/>
        <w:keepNext/>
        <w:keepLines/>
      </w:pPr>
      <w:r w:rsidRPr="00E8766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12</w:t>
      </w:r>
      <w:r w:rsidRPr="00E8766B">
        <w:fldChar w:fldCharType="end"/>
      </w:r>
      <w:r w:rsidRPr="00E8766B">
        <w:t>.  Regard being had to the documents in its possession and to its case</w:t>
      </w:r>
      <w:r w:rsidRPr="00E8766B">
        <w:noBreakHyphen/>
        <w:t xml:space="preserve">law (see, in particular, </w:t>
      </w:r>
      <w:proofErr w:type="spellStart"/>
      <w:r w:rsidRPr="00E8766B">
        <w:rPr>
          <w:i/>
        </w:rPr>
        <w:t>Scordino</w:t>
      </w:r>
      <w:proofErr w:type="spellEnd"/>
      <w:r w:rsidRPr="00E8766B">
        <w:rPr>
          <w:i/>
        </w:rPr>
        <w:t xml:space="preserve"> v. Italy (no. 1) </w:t>
      </w:r>
      <w:r w:rsidRPr="00E8766B">
        <w:t xml:space="preserve">[GC], no. 36813/97, §§ 260-73, ECHR 2006-V, and </w:t>
      </w:r>
      <w:proofErr w:type="spellStart"/>
      <w:r w:rsidRPr="00E8766B">
        <w:rPr>
          <w:i/>
        </w:rPr>
        <w:t>Dorić</w:t>
      </w:r>
      <w:proofErr w:type="spellEnd"/>
      <w:r w:rsidRPr="00E8766B">
        <w:rPr>
          <w:i/>
        </w:rPr>
        <w:t xml:space="preserve"> v. Bosnia and Herzegovina </w:t>
      </w:r>
      <w:r w:rsidRPr="00E8766B">
        <w:t>[Committee], no. 68811/13, 7 November 2017), the Court considers it reasonable to award the sums indicated in the appended table.</w:t>
      </w:r>
    </w:p>
    <w:p w:rsidRPr="00E8766B" w:rsidR="00D41296" w:rsidP="00E8766B" w:rsidRDefault="00D41296">
      <w:pPr>
        <w:pStyle w:val="JuPara"/>
      </w:pPr>
      <w:r w:rsidRPr="00E8766B">
        <w:fldChar w:fldCharType="begin"/>
      </w:r>
      <w:r w:rsidRPr="00E8766B">
        <w:instrText xml:space="preserve"> SEQ level0 \*arabic </w:instrText>
      </w:r>
      <w:r w:rsidRPr="00E8766B">
        <w:fldChar w:fldCharType="separate"/>
      </w:r>
      <w:r w:rsidRPr="00E8766B" w:rsidR="00E8766B">
        <w:rPr>
          <w:noProof/>
        </w:rPr>
        <w:t>13</w:t>
      </w:r>
      <w:r w:rsidRPr="00E8766B">
        <w:fldChar w:fldCharType="end"/>
      </w:r>
      <w:r w:rsidRPr="00E8766B">
        <w:t>.  The Court considers it appropriate that the default interest rate should be based on the marginal lending rate of the European Central Bank, to which should be added three percentage points.</w:t>
      </w:r>
    </w:p>
    <w:p w:rsidRPr="00E8766B" w:rsidR="00D41296" w:rsidP="00E8766B" w:rsidRDefault="00D41296">
      <w:pPr>
        <w:pStyle w:val="JuHHead"/>
        <w:numPr>
          <w:ilvl w:val="0"/>
          <w:numId w:val="22"/>
        </w:numPr>
        <w:jc w:val="both"/>
      </w:pPr>
      <w:r w:rsidRPr="00E8766B">
        <w:t>FOR THESE REASONS, THE COURT</w:t>
      </w:r>
      <w:r w:rsidRPr="00E8766B">
        <w:rPr>
          <w:color w:val="000000"/>
        </w:rPr>
        <w:t>,</w:t>
      </w:r>
      <w:r w:rsidRPr="00E8766B">
        <w:t xml:space="preserve"> UNANIMOUSLY,</w:t>
      </w:r>
    </w:p>
    <w:p w:rsidRPr="00E8766B" w:rsidR="00D41296" w:rsidP="00E8766B" w:rsidRDefault="00D41296">
      <w:pPr>
        <w:pStyle w:val="JuList"/>
        <w:numPr>
          <w:ilvl w:val="0"/>
          <w:numId w:val="30"/>
        </w:numPr>
        <w:ind w:left="0" w:firstLine="0"/>
      </w:pPr>
      <w:r w:rsidRPr="00E8766B">
        <w:rPr>
          <w:i/>
        </w:rPr>
        <w:t xml:space="preserve">Decides </w:t>
      </w:r>
      <w:r w:rsidRPr="00E8766B">
        <w:t>to join the applications;</w:t>
      </w:r>
    </w:p>
    <w:p w:rsidRPr="00E8766B" w:rsidR="00D41296" w:rsidP="00E8766B" w:rsidRDefault="00D41296">
      <w:pPr>
        <w:pStyle w:val="JuList"/>
        <w:numPr>
          <w:ilvl w:val="0"/>
          <w:numId w:val="30"/>
        </w:numPr>
        <w:ind w:left="0" w:firstLine="0"/>
      </w:pPr>
      <w:r w:rsidRPr="00E8766B">
        <w:rPr>
          <w:i/>
        </w:rPr>
        <w:t>Declares</w:t>
      </w:r>
      <w:r w:rsidRPr="00E8766B">
        <w:t xml:space="preserve"> the applications admissible;</w:t>
      </w:r>
    </w:p>
    <w:p w:rsidRPr="00E8766B" w:rsidR="00D41296" w:rsidP="00E8766B" w:rsidRDefault="00D41296">
      <w:pPr>
        <w:pStyle w:val="JuList"/>
        <w:numPr>
          <w:ilvl w:val="0"/>
          <w:numId w:val="30"/>
        </w:numPr>
      </w:pPr>
      <w:r w:rsidRPr="00E8766B">
        <w:rPr>
          <w:i/>
        </w:rPr>
        <w:t xml:space="preserve">Holds </w:t>
      </w:r>
      <w:r w:rsidRPr="00E8766B">
        <w:t xml:space="preserve">that </w:t>
      </w:r>
      <w:r w:rsidRPr="00E8766B">
        <w:rPr>
          <w:rFonts w:eastAsia="PMingLiU"/>
        </w:rPr>
        <w:t>these applications</w:t>
      </w:r>
      <w:r w:rsidRPr="00E8766B">
        <w:t xml:space="preserve"> disclose a breach of Article </w:t>
      </w:r>
      <w:r w:rsidRPr="00E8766B">
        <w:rPr>
          <w:rFonts w:eastAsia="PMingLiU"/>
        </w:rPr>
        <w:t xml:space="preserve">6 § 1 of the Convention concerning the </w:t>
      </w:r>
      <w:r w:rsidRPr="00E8766B">
        <w:rPr>
          <w:rFonts w:eastAsia="Times New Roman" w:cstheme="minorHAnsi"/>
        </w:rPr>
        <w:t>excessive length of civil and administrative proceedings</w:t>
      </w:r>
      <w:r w:rsidRPr="00E8766B">
        <w:rPr>
          <w:rFonts w:eastAsia="PMingLiU"/>
        </w:rPr>
        <w:t>;</w:t>
      </w:r>
    </w:p>
    <w:p w:rsidRPr="00E8766B" w:rsidR="00D41296" w:rsidP="006249BE" w:rsidRDefault="00D41296">
      <w:pPr>
        <w:pStyle w:val="JuList"/>
        <w:keepNext/>
        <w:keepLines/>
        <w:numPr>
          <w:ilvl w:val="0"/>
          <w:numId w:val="30"/>
        </w:numPr>
      </w:pPr>
      <w:bookmarkStart w:name="_GoBack" w:id="1"/>
      <w:bookmarkEnd w:id="1"/>
      <w:r w:rsidRPr="00E8766B">
        <w:rPr>
          <w:i/>
        </w:rPr>
        <w:t>Holds</w:t>
      </w:r>
    </w:p>
    <w:p w:rsidRPr="00E8766B" w:rsidR="00D41296" w:rsidP="006249BE" w:rsidRDefault="00D41296">
      <w:pPr>
        <w:pStyle w:val="JuLista"/>
        <w:keepNext/>
        <w:keepLines/>
        <w:numPr>
          <w:ilvl w:val="1"/>
          <w:numId w:val="30"/>
        </w:numPr>
      </w:pPr>
      <w:r w:rsidRPr="00E8766B">
        <w:t>that the respondent State is to pay the applicant</w:t>
      </w:r>
      <w:r w:rsidRPr="00E8766B">
        <w:rPr>
          <w:rFonts w:eastAsia="PMingLiU"/>
        </w:rPr>
        <w:t>s</w:t>
      </w:r>
      <w:r w:rsidRPr="00E8766B">
        <w:t xml:space="preserve">, within three months, the amounts indicated in the appended table, to be converted into </w:t>
      </w:r>
      <w:r w:rsidRPr="00E8766B">
        <w:rPr>
          <w:color w:val="000000"/>
        </w:rPr>
        <w:t>the currency of the respondent State</w:t>
      </w:r>
      <w:r w:rsidRPr="00E8766B">
        <w:t xml:space="preserve"> at the rate applicable at the date of settlement;</w:t>
      </w:r>
    </w:p>
    <w:p w:rsidRPr="00E8766B" w:rsidR="00787E12" w:rsidP="006249BE" w:rsidRDefault="00D41296">
      <w:pPr>
        <w:pStyle w:val="JuLista"/>
        <w:keepNext/>
        <w:keepLines/>
      </w:pPr>
      <w:proofErr w:type="gramStart"/>
      <w:r w:rsidRPr="00E8766B">
        <w:t>that</w:t>
      </w:r>
      <w:proofErr w:type="gramEnd"/>
      <w:r w:rsidRPr="00E8766B">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E8766B" w:rsidR="00C43D38" w:rsidP="00E8766B" w:rsidRDefault="0048584C">
      <w:pPr>
        <w:pStyle w:val="JuParaLast"/>
      </w:pPr>
      <w:r w:rsidRPr="00E8766B">
        <w:t xml:space="preserve">Done in English, and notified in writing on </w:t>
      </w:r>
      <w:r w:rsidRPr="00E8766B" w:rsidR="00D41296">
        <w:t>16 January 2020</w:t>
      </w:r>
      <w:r w:rsidRPr="00E8766B">
        <w:t>, pursuant to Rule 77 §§ 2 and 3 of the Rules of Court.</w:t>
      </w:r>
    </w:p>
    <w:p w:rsidRPr="00E8766B" w:rsidR="00CF644B" w:rsidP="00E8766B" w:rsidRDefault="0048584C">
      <w:pPr>
        <w:pStyle w:val="JuSigned"/>
        <w:tabs>
          <w:tab w:val="clear" w:pos="851"/>
          <w:tab w:val="center" w:pos="1134"/>
        </w:tabs>
        <w:rPr>
          <w:rFonts w:eastAsia="PMingLiU"/>
        </w:rPr>
      </w:pPr>
      <w:r w:rsidRPr="00E8766B">
        <w:rPr>
          <w:rFonts w:eastAsia="PMingLiU"/>
        </w:rPr>
        <w:tab/>
      </w:r>
      <w:r w:rsidRPr="00E8766B" w:rsidR="00D41296">
        <w:rPr>
          <w:rFonts w:eastAsia="PMingLiU"/>
        </w:rPr>
        <w:t>Liv</w:t>
      </w:r>
      <w:r w:rsidRPr="00E8766B">
        <w:rPr>
          <w:rFonts w:eastAsia="PMingLiU"/>
        </w:rPr>
        <w:t xml:space="preserve"> </w:t>
      </w:r>
      <w:r w:rsidRPr="00E8766B" w:rsidR="00D41296">
        <w:rPr>
          <w:rFonts w:eastAsia="PMingLiU"/>
        </w:rPr>
        <w:t>Tigerstedt</w:t>
      </w:r>
      <w:r w:rsidRPr="00E8766B">
        <w:rPr>
          <w:rFonts w:eastAsia="PMingLiU"/>
        </w:rPr>
        <w:tab/>
      </w:r>
      <w:r w:rsidRPr="00E8766B" w:rsidR="00E8766B">
        <w:rPr>
          <w:rFonts w:eastAsia="PMingLiU"/>
        </w:rPr>
        <w:t xml:space="preserve"> </w:t>
      </w:r>
      <w:r w:rsidRPr="00E8766B" w:rsidR="00D41296">
        <w:rPr>
          <w:rFonts w:eastAsia="PMingLiU"/>
        </w:rPr>
        <w:t xml:space="preserve">Stéphanie </w:t>
      </w:r>
      <w:proofErr w:type="spellStart"/>
      <w:r w:rsidRPr="00E8766B" w:rsidR="00D41296">
        <w:rPr>
          <w:rFonts w:eastAsia="PMingLiU"/>
        </w:rPr>
        <w:t>Mourou-Vikström</w:t>
      </w:r>
      <w:proofErr w:type="spellEnd"/>
    </w:p>
    <w:p w:rsidRPr="00E8766B" w:rsidR="00787E12" w:rsidP="00E8766B" w:rsidRDefault="0048584C">
      <w:pPr>
        <w:pStyle w:val="JuSigned"/>
        <w:tabs>
          <w:tab w:val="clear" w:pos="851"/>
          <w:tab w:val="clear" w:pos="6407"/>
          <w:tab w:val="center" w:pos="1134"/>
          <w:tab w:val="center" w:pos="5954"/>
        </w:tabs>
        <w:contextualSpacing/>
        <w:rPr>
          <w:rFonts w:eastAsia="PMingLiU"/>
        </w:rPr>
      </w:pPr>
      <w:r w:rsidRPr="00E8766B">
        <w:rPr>
          <w:rFonts w:eastAsia="PMingLiU"/>
        </w:rPr>
        <w:tab/>
        <w:t>Acting Deputy Registrar</w:t>
      </w:r>
      <w:r w:rsidRPr="00E8766B" w:rsidR="00BC2B8B">
        <w:rPr>
          <w:rFonts w:eastAsia="PMingLiU"/>
        </w:rPr>
        <w:tab/>
      </w:r>
      <w:r w:rsidRPr="00E8766B">
        <w:rPr>
          <w:rFonts w:eastAsia="PMingLiU"/>
        </w:rPr>
        <w:t>President</w:t>
      </w:r>
    </w:p>
    <w:p w:rsidRPr="00E8766B" w:rsidR="00787E12" w:rsidP="00E8766B" w:rsidRDefault="00AF06B4">
      <w:pPr>
        <w:pStyle w:val="JuParaLast"/>
      </w:pPr>
    </w:p>
    <w:p w:rsidRPr="00E8766B" w:rsidR="00E8766B" w:rsidP="00E8766B" w:rsidRDefault="00E8766B">
      <w:pPr>
        <w:pStyle w:val="JuParaLast"/>
      </w:pPr>
    </w:p>
    <w:p w:rsidRPr="00E8766B" w:rsidR="00E8766B" w:rsidP="00E8766B" w:rsidRDefault="00E8766B">
      <w:pPr>
        <w:pStyle w:val="JuParaLast"/>
        <w:sectPr w:rsidRPr="00E8766B" w:rsidR="00E8766B"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E8766B" w:rsidR="00787E12" w:rsidP="00E8766B" w:rsidRDefault="0048584C">
      <w:pPr>
        <w:pStyle w:val="DecHTitle"/>
        <w:spacing w:after="220"/>
      </w:pPr>
      <w:r w:rsidRPr="00E8766B">
        <w:t>APPENDIX</w:t>
      </w:r>
    </w:p>
    <w:p w:rsidRPr="00E8766B" w:rsidR="00787E12" w:rsidP="00E8766B" w:rsidRDefault="00D41296">
      <w:pPr>
        <w:pStyle w:val="DecHCase"/>
        <w:contextualSpacing/>
        <w:rPr>
          <w:b/>
          <w:i/>
          <w:color w:val="3E3E3E" w:themeColor="background2" w:themeShade="40"/>
        </w:rPr>
      </w:pPr>
      <w:r w:rsidRPr="00E8766B">
        <w:rPr>
          <w:color w:val="3E3E3E" w:themeColor="background2" w:themeShade="40"/>
        </w:rPr>
        <w:t>List of applications</w:t>
      </w:r>
      <w:r w:rsidRPr="00E8766B" w:rsidR="0048584C">
        <w:rPr>
          <w:color w:val="3E3E3E" w:themeColor="background2" w:themeShade="40"/>
        </w:rPr>
        <w:t xml:space="preserve"> raising complaints under Article</w:t>
      </w:r>
      <w:r w:rsidRPr="00E8766B">
        <w:rPr>
          <w:color w:val="3E3E3E" w:themeColor="background2" w:themeShade="40"/>
        </w:rPr>
        <w:t xml:space="preserve"> 6 § 1 of the Convention</w:t>
      </w:r>
    </w:p>
    <w:p w:rsidRPr="00E8766B" w:rsidR="00787E12" w:rsidP="00E8766B" w:rsidRDefault="0048584C">
      <w:pPr>
        <w:pStyle w:val="DecHCase"/>
        <w:spacing w:after="240"/>
        <w:contextualSpacing/>
        <w:rPr>
          <w:b/>
          <w:i/>
          <w:szCs w:val="24"/>
        </w:rPr>
      </w:pPr>
      <w:r w:rsidRPr="00E8766B">
        <w:rPr>
          <w:color w:val="3E3E3E" w:themeColor="background2" w:themeShade="40"/>
        </w:rPr>
        <w:t>(</w:t>
      </w:r>
      <w:proofErr w:type="gramStart"/>
      <w:r w:rsidRPr="00E8766B" w:rsidR="00D41296">
        <w:rPr>
          <w:color w:val="3E3E3E" w:themeColor="background2" w:themeShade="40"/>
        </w:rPr>
        <w:t>excessive</w:t>
      </w:r>
      <w:proofErr w:type="gramEnd"/>
      <w:r w:rsidRPr="00E8766B" w:rsidR="00D41296">
        <w:rPr>
          <w:color w:val="3E3E3E" w:themeColor="background2" w:themeShade="40"/>
        </w:rPr>
        <w:t xml:space="preserve"> length of civil and/or administrative proceedings</w:t>
      </w:r>
      <w:r w:rsidRPr="00E8766B">
        <w:rPr>
          <w:color w:val="3E3E3E" w:themeColor="background2" w:themeShade="40"/>
          <w:szCs w:val="24"/>
        </w:rPr>
        <w:t>)</w:t>
      </w:r>
    </w:p>
    <w:tbl>
      <w:tblPr>
        <w:tblStyle w:val="ECHRListTable"/>
        <w:tblW w:w="13876" w:type="dxa"/>
        <w:jc w:val="center"/>
        <w:tblLook w:val="0420" w:firstRow="1" w:lastRow="0" w:firstColumn="0" w:lastColumn="0" w:noHBand="0" w:noVBand="1"/>
      </w:tblPr>
      <w:tblGrid>
        <w:gridCol w:w="567"/>
        <w:gridCol w:w="1135"/>
        <w:gridCol w:w="1701"/>
        <w:gridCol w:w="1701"/>
        <w:gridCol w:w="2110"/>
        <w:gridCol w:w="1040"/>
        <w:gridCol w:w="2078"/>
        <w:gridCol w:w="1701"/>
        <w:gridCol w:w="1843"/>
      </w:tblGrid>
      <w:tr w:rsidRPr="00E8766B" w:rsidR="00557F63" w:rsidTr="00557F63">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E8766B" w:rsidR="00557F63" w:rsidP="00E8766B" w:rsidRDefault="00557F63">
            <w:pPr>
              <w:jc w:val="center"/>
              <w:rPr>
                <w:sz w:val="16"/>
              </w:rPr>
            </w:pPr>
            <w:bookmarkStart w:name="WECLListStart" w:id="2"/>
            <w:bookmarkEnd w:id="2"/>
            <w:r w:rsidRPr="00E8766B">
              <w:rPr>
                <w:sz w:val="16"/>
              </w:rPr>
              <w:t>No.</w:t>
            </w:r>
          </w:p>
        </w:tc>
        <w:tc>
          <w:tcPr>
            <w:tcW w:w="1135" w:type="dxa"/>
          </w:tcPr>
          <w:p w:rsidRPr="00E8766B" w:rsidR="00557F63" w:rsidP="00E8766B" w:rsidRDefault="00557F63">
            <w:pPr>
              <w:jc w:val="center"/>
              <w:rPr>
                <w:sz w:val="16"/>
              </w:rPr>
            </w:pPr>
            <w:r w:rsidRPr="00E8766B">
              <w:rPr>
                <w:sz w:val="16"/>
              </w:rPr>
              <w:t>Application no.</w:t>
            </w:r>
          </w:p>
          <w:p w:rsidRPr="00E8766B" w:rsidR="00557F63" w:rsidP="00E8766B" w:rsidRDefault="00557F63">
            <w:pPr>
              <w:jc w:val="center"/>
              <w:rPr>
                <w:sz w:val="16"/>
              </w:rPr>
            </w:pPr>
            <w:r w:rsidRPr="00E8766B">
              <w:rPr>
                <w:sz w:val="16"/>
              </w:rPr>
              <w:t>Date of introduction</w:t>
            </w:r>
          </w:p>
        </w:tc>
        <w:tc>
          <w:tcPr>
            <w:tcW w:w="1701" w:type="dxa"/>
          </w:tcPr>
          <w:p w:rsidRPr="00E8766B" w:rsidR="00557F63" w:rsidP="00E8766B" w:rsidRDefault="00557F63">
            <w:pPr>
              <w:jc w:val="center"/>
              <w:rPr>
                <w:sz w:val="16"/>
              </w:rPr>
            </w:pPr>
            <w:r w:rsidRPr="00E8766B">
              <w:rPr>
                <w:sz w:val="16"/>
              </w:rPr>
              <w:t>Applicant</w:t>
            </w:r>
            <w:r w:rsidRPr="00E8766B" w:rsidR="00E8766B">
              <w:rPr>
                <w:sz w:val="16"/>
              </w:rPr>
              <w:t>’</w:t>
            </w:r>
            <w:r w:rsidRPr="00E8766B">
              <w:rPr>
                <w:sz w:val="16"/>
              </w:rPr>
              <w:t>s name</w:t>
            </w:r>
          </w:p>
          <w:p w:rsidRPr="00E8766B" w:rsidR="00557F63" w:rsidP="00E8766B" w:rsidRDefault="00557F63">
            <w:pPr>
              <w:jc w:val="center"/>
              <w:rPr>
                <w:sz w:val="16"/>
              </w:rPr>
            </w:pPr>
            <w:r w:rsidRPr="00E8766B">
              <w:rPr>
                <w:sz w:val="16"/>
              </w:rPr>
              <w:t>Date of birth</w:t>
            </w:r>
          </w:p>
          <w:p w:rsidRPr="00E8766B" w:rsidR="00557F63" w:rsidP="00E8766B" w:rsidRDefault="00557F63">
            <w:pPr>
              <w:jc w:val="center"/>
              <w:rPr>
                <w:sz w:val="16"/>
              </w:rPr>
            </w:pPr>
          </w:p>
        </w:tc>
        <w:tc>
          <w:tcPr>
            <w:tcW w:w="1701" w:type="dxa"/>
          </w:tcPr>
          <w:p w:rsidRPr="00E8766B" w:rsidR="00557F63" w:rsidP="00E8766B" w:rsidRDefault="00557F63">
            <w:pPr>
              <w:jc w:val="center"/>
              <w:rPr>
                <w:sz w:val="16"/>
              </w:rPr>
            </w:pPr>
            <w:r w:rsidRPr="00E8766B">
              <w:rPr>
                <w:sz w:val="16"/>
              </w:rPr>
              <w:t>Representative</w:t>
            </w:r>
            <w:r w:rsidRPr="00E8766B" w:rsidR="00E8766B">
              <w:rPr>
                <w:sz w:val="16"/>
              </w:rPr>
              <w:t>’</w:t>
            </w:r>
            <w:r w:rsidRPr="00E8766B">
              <w:rPr>
                <w:sz w:val="16"/>
              </w:rPr>
              <w:t>s name and location</w:t>
            </w:r>
          </w:p>
        </w:tc>
        <w:tc>
          <w:tcPr>
            <w:tcW w:w="2110" w:type="dxa"/>
          </w:tcPr>
          <w:p w:rsidRPr="00E8766B" w:rsidR="00557F63" w:rsidP="00E8766B" w:rsidRDefault="00557F63">
            <w:pPr>
              <w:jc w:val="center"/>
              <w:rPr>
                <w:sz w:val="16"/>
              </w:rPr>
            </w:pPr>
            <w:r w:rsidRPr="00E8766B">
              <w:rPr>
                <w:sz w:val="16"/>
              </w:rPr>
              <w:t>Start of proceedings or date of entry into force of the Convention in respect of Bosnia and Herzegovina (12 July 2002)</w:t>
            </w:r>
          </w:p>
        </w:tc>
        <w:tc>
          <w:tcPr>
            <w:tcW w:w="1040" w:type="dxa"/>
          </w:tcPr>
          <w:p w:rsidRPr="00E8766B" w:rsidR="00557F63" w:rsidP="00E8766B" w:rsidRDefault="00557F63">
            <w:pPr>
              <w:jc w:val="center"/>
              <w:rPr>
                <w:sz w:val="16"/>
              </w:rPr>
            </w:pPr>
            <w:r w:rsidRPr="00E8766B">
              <w:rPr>
                <w:sz w:val="16"/>
              </w:rPr>
              <w:t>End of proceedings</w:t>
            </w:r>
          </w:p>
        </w:tc>
        <w:tc>
          <w:tcPr>
            <w:tcW w:w="2078" w:type="dxa"/>
          </w:tcPr>
          <w:p w:rsidRPr="00E8766B" w:rsidR="00557F63" w:rsidP="00E8766B" w:rsidRDefault="00557F63">
            <w:pPr>
              <w:jc w:val="center"/>
              <w:rPr>
                <w:sz w:val="16"/>
              </w:rPr>
            </w:pPr>
            <w:r w:rsidRPr="00E8766B">
              <w:rPr>
                <w:sz w:val="16"/>
              </w:rPr>
              <w:t>Total length</w:t>
            </w:r>
          </w:p>
          <w:p w:rsidRPr="00E8766B" w:rsidR="00557F63" w:rsidP="00E8766B" w:rsidRDefault="00557F63">
            <w:pPr>
              <w:jc w:val="center"/>
              <w:rPr>
                <w:sz w:val="16"/>
              </w:rPr>
            </w:pPr>
            <w:r w:rsidRPr="00E8766B">
              <w:rPr>
                <w:sz w:val="16"/>
              </w:rPr>
              <w:t>Levels of jurisdiction</w:t>
            </w:r>
          </w:p>
        </w:tc>
        <w:tc>
          <w:tcPr>
            <w:tcW w:w="1701" w:type="dxa"/>
          </w:tcPr>
          <w:p w:rsidRPr="00E8766B" w:rsidR="00557F63" w:rsidP="00E8766B" w:rsidRDefault="00557F63">
            <w:pPr>
              <w:jc w:val="center"/>
              <w:rPr>
                <w:sz w:val="16"/>
              </w:rPr>
            </w:pPr>
            <w:r w:rsidRPr="00E8766B">
              <w:rPr>
                <w:sz w:val="16"/>
              </w:rPr>
              <w:t>Amount awarded for non-pecuniary damage per applicant</w:t>
            </w:r>
          </w:p>
          <w:p w:rsidRPr="00E8766B" w:rsidR="00557F63" w:rsidP="00E8766B" w:rsidRDefault="00557F63">
            <w:pPr>
              <w:jc w:val="center"/>
              <w:rPr>
                <w:sz w:val="16"/>
              </w:rPr>
            </w:pPr>
            <w:r w:rsidRPr="00E8766B">
              <w:rPr>
                <w:sz w:val="16"/>
              </w:rPr>
              <w:t>(in euros)</w:t>
            </w:r>
            <w:r w:rsidRPr="00E8766B">
              <w:rPr>
                <w:rStyle w:val="FootnoteReference"/>
                <w:sz w:val="16"/>
              </w:rPr>
              <w:footnoteReference w:id="1"/>
            </w:r>
            <w:r w:rsidRPr="00E8766B">
              <w:rPr>
                <w:sz w:val="16"/>
              </w:rPr>
              <w:t xml:space="preserve"> </w:t>
            </w:r>
            <w:r w:rsidRPr="00E8766B">
              <w:rPr>
                <w:sz w:val="16"/>
                <w:vertAlign w:val="superscript"/>
              </w:rPr>
              <w:footnoteReference w:id="2"/>
            </w:r>
          </w:p>
        </w:tc>
        <w:tc>
          <w:tcPr>
            <w:tcW w:w="1843" w:type="dxa"/>
          </w:tcPr>
          <w:p w:rsidRPr="00E8766B" w:rsidR="00557F63" w:rsidP="00E8766B" w:rsidRDefault="00557F63">
            <w:pPr>
              <w:jc w:val="center"/>
              <w:rPr>
                <w:sz w:val="16"/>
              </w:rPr>
            </w:pPr>
            <w:r w:rsidRPr="00E8766B">
              <w:rPr>
                <w:sz w:val="16"/>
              </w:rPr>
              <w:t>Amount awarded for costs and expenses per application</w:t>
            </w:r>
          </w:p>
          <w:p w:rsidRPr="00E8766B" w:rsidR="00557F63" w:rsidP="00E8766B" w:rsidRDefault="00557F63">
            <w:pPr>
              <w:jc w:val="center"/>
              <w:rPr>
                <w:sz w:val="16"/>
              </w:rPr>
            </w:pPr>
            <w:r w:rsidRPr="00E8766B">
              <w:rPr>
                <w:sz w:val="16"/>
              </w:rPr>
              <w:t>(in euros)</w:t>
            </w:r>
            <w:r w:rsidRPr="00E8766B">
              <w:rPr>
                <w:rStyle w:val="FootnoteReference"/>
                <w:sz w:val="16"/>
              </w:rPr>
              <w:footnoteReference w:id="3"/>
            </w:r>
          </w:p>
        </w:tc>
      </w:tr>
      <w:tr w:rsidRPr="00E8766B" w:rsidR="00557F63" w:rsidTr="00557F63">
        <w:trPr>
          <w:jc w:val="center"/>
        </w:trPr>
        <w:tc>
          <w:tcPr>
            <w:tcW w:w="567" w:type="dxa"/>
          </w:tcPr>
          <w:p w:rsidRPr="00E8766B" w:rsidR="00557F63" w:rsidP="00E8766B" w:rsidRDefault="00557F63">
            <w:pPr>
              <w:pStyle w:val="ListParagraph"/>
              <w:numPr>
                <w:ilvl w:val="0"/>
                <w:numId w:val="49"/>
              </w:numPr>
              <w:tabs>
                <w:tab w:val="num" w:pos="283"/>
              </w:tabs>
              <w:ind w:left="0" w:firstLine="0"/>
              <w:jc w:val="center"/>
              <w:rPr>
                <w:sz w:val="16"/>
              </w:rPr>
            </w:pPr>
          </w:p>
        </w:tc>
        <w:tc>
          <w:tcPr>
            <w:tcW w:w="1135" w:type="dxa"/>
          </w:tcPr>
          <w:p w:rsidRPr="00E8766B" w:rsidR="00557F63" w:rsidP="00E8766B" w:rsidRDefault="00557F63">
            <w:pPr>
              <w:jc w:val="center"/>
              <w:rPr>
                <w:sz w:val="16"/>
              </w:rPr>
            </w:pPr>
            <w:r w:rsidRPr="00E8766B">
              <w:rPr>
                <w:sz w:val="16"/>
              </w:rPr>
              <w:t>10770/18</w:t>
            </w:r>
          </w:p>
          <w:p w:rsidRPr="00E8766B" w:rsidR="00557F63" w:rsidP="00E8766B" w:rsidRDefault="00557F63">
            <w:pPr>
              <w:jc w:val="center"/>
              <w:rPr>
                <w:sz w:val="16"/>
              </w:rPr>
            </w:pPr>
            <w:r w:rsidRPr="00E8766B">
              <w:rPr>
                <w:sz w:val="16"/>
              </w:rPr>
              <w:t>20/02/2018</w:t>
            </w:r>
          </w:p>
        </w:tc>
        <w:tc>
          <w:tcPr>
            <w:tcW w:w="1701" w:type="dxa"/>
          </w:tcPr>
          <w:p w:rsidRPr="00E8766B" w:rsidR="00557F63" w:rsidP="00E8766B" w:rsidRDefault="00557F63">
            <w:pPr>
              <w:jc w:val="center"/>
              <w:rPr>
                <w:b/>
                <w:sz w:val="16"/>
              </w:rPr>
            </w:pPr>
            <w:proofErr w:type="spellStart"/>
            <w:r w:rsidRPr="00E8766B">
              <w:rPr>
                <w:b/>
                <w:sz w:val="16"/>
              </w:rPr>
              <w:t>Alija</w:t>
            </w:r>
            <w:proofErr w:type="spellEnd"/>
            <w:r w:rsidRPr="00E8766B">
              <w:rPr>
                <w:b/>
                <w:sz w:val="16"/>
              </w:rPr>
              <w:t xml:space="preserve"> HADŽAJLIĆ</w:t>
            </w:r>
          </w:p>
          <w:p w:rsidRPr="00E8766B" w:rsidR="00557F63" w:rsidP="00E8766B" w:rsidRDefault="00557F63">
            <w:pPr>
              <w:jc w:val="center"/>
              <w:rPr>
                <w:sz w:val="16"/>
              </w:rPr>
            </w:pPr>
            <w:r w:rsidRPr="00E8766B">
              <w:rPr>
                <w:sz w:val="16"/>
              </w:rPr>
              <w:t>12/07/1956</w:t>
            </w:r>
          </w:p>
        </w:tc>
        <w:tc>
          <w:tcPr>
            <w:tcW w:w="1701" w:type="dxa"/>
          </w:tcPr>
          <w:p w:rsidRPr="00E8766B" w:rsidR="00557F63" w:rsidP="00E8766B" w:rsidRDefault="00557F63">
            <w:pPr>
              <w:jc w:val="center"/>
              <w:rPr>
                <w:sz w:val="16"/>
              </w:rPr>
            </w:pPr>
            <w:proofErr w:type="spellStart"/>
            <w:r w:rsidRPr="00E8766B">
              <w:rPr>
                <w:sz w:val="16"/>
              </w:rPr>
              <w:t>Milošević</w:t>
            </w:r>
            <w:proofErr w:type="spellEnd"/>
            <w:r w:rsidRPr="00E8766B">
              <w:rPr>
                <w:sz w:val="16"/>
              </w:rPr>
              <w:t xml:space="preserve"> Miroslav</w:t>
            </w:r>
          </w:p>
          <w:p w:rsidRPr="00E8766B" w:rsidR="00557F63" w:rsidP="00E8766B" w:rsidRDefault="00557F63">
            <w:pPr>
              <w:jc w:val="center"/>
              <w:rPr>
                <w:sz w:val="16"/>
              </w:rPr>
            </w:pPr>
            <w:proofErr w:type="spellStart"/>
            <w:r w:rsidRPr="00E8766B">
              <w:rPr>
                <w:sz w:val="16"/>
              </w:rPr>
              <w:t>Ruma</w:t>
            </w:r>
            <w:proofErr w:type="spellEnd"/>
          </w:p>
        </w:tc>
        <w:tc>
          <w:tcPr>
            <w:tcW w:w="2110" w:type="dxa"/>
          </w:tcPr>
          <w:p w:rsidRPr="00E8766B" w:rsidR="00557F63" w:rsidP="00E8766B" w:rsidRDefault="00557F63">
            <w:pPr>
              <w:jc w:val="center"/>
              <w:rPr>
                <w:sz w:val="16"/>
              </w:rPr>
            </w:pPr>
            <w:r w:rsidRPr="00E8766B">
              <w:rPr>
                <w:sz w:val="16"/>
              </w:rPr>
              <w:t>12/07/2002</w:t>
            </w:r>
          </w:p>
          <w:p w:rsidRPr="00E8766B" w:rsidR="00557F63" w:rsidP="00E8766B" w:rsidRDefault="00557F63">
            <w:pPr>
              <w:jc w:val="center"/>
              <w:rPr>
                <w:sz w:val="16"/>
              </w:rPr>
            </w:pPr>
          </w:p>
        </w:tc>
        <w:tc>
          <w:tcPr>
            <w:tcW w:w="1040" w:type="dxa"/>
          </w:tcPr>
          <w:p w:rsidRPr="00E8766B" w:rsidR="00557F63" w:rsidP="00E8766B" w:rsidRDefault="00557F63">
            <w:pPr>
              <w:jc w:val="center"/>
              <w:rPr>
                <w:sz w:val="16"/>
              </w:rPr>
            </w:pPr>
            <w:r w:rsidRPr="00E8766B">
              <w:rPr>
                <w:sz w:val="16"/>
              </w:rPr>
              <w:t>pending</w:t>
            </w:r>
          </w:p>
          <w:p w:rsidRPr="00E8766B" w:rsidR="00557F63" w:rsidP="00E8766B" w:rsidRDefault="00557F63">
            <w:pPr>
              <w:jc w:val="center"/>
              <w:rPr>
                <w:sz w:val="16"/>
              </w:rPr>
            </w:pPr>
          </w:p>
        </w:tc>
        <w:tc>
          <w:tcPr>
            <w:tcW w:w="2078" w:type="dxa"/>
          </w:tcPr>
          <w:p w:rsidRPr="00E8766B" w:rsidR="00E8766B" w:rsidP="00E8766B" w:rsidRDefault="00557F63">
            <w:pPr>
              <w:jc w:val="center"/>
              <w:rPr>
                <w:sz w:val="16"/>
              </w:rPr>
            </w:pPr>
            <w:r w:rsidRPr="00E8766B">
              <w:rPr>
                <w:sz w:val="16"/>
              </w:rPr>
              <w:t>More than 17 year(s) and 4 month(s) and 9 day(s)</w:t>
            </w:r>
          </w:p>
          <w:p w:rsidRPr="00E8766B" w:rsidR="00557F63" w:rsidP="00E8766B" w:rsidRDefault="00557F63">
            <w:pPr>
              <w:jc w:val="center"/>
              <w:rPr>
                <w:sz w:val="16"/>
              </w:rPr>
            </w:pPr>
            <w:r w:rsidRPr="00E8766B">
              <w:rPr>
                <w:sz w:val="16"/>
              </w:rPr>
              <w:t>1 level(s) of jurisdiction</w:t>
            </w:r>
          </w:p>
          <w:p w:rsidRPr="00E8766B" w:rsidR="00557F63" w:rsidP="00E8766B" w:rsidRDefault="00557F63">
            <w:pPr>
              <w:jc w:val="center"/>
              <w:rPr>
                <w:sz w:val="16"/>
              </w:rPr>
            </w:pPr>
          </w:p>
        </w:tc>
        <w:tc>
          <w:tcPr>
            <w:tcW w:w="1701" w:type="dxa"/>
          </w:tcPr>
          <w:p w:rsidRPr="00E8766B" w:rsidR="00557F63" w:rsidP="00E8766B" w:rsidRDefault="00557F63">
            <w:pPr>
              <w:jc w:val="center"/>
              <w:rPr>
                <w:sz w:val="16"/>
              </w:rPr>
            </w:pPr>
            <w:r w:rsidRPr="00E8766B">
              <w:rPr>
                <w:sz w:val="16"/>
              </w:rPr>
              <w:t>5,900</w:t>
            </w:r>
          </w:p>
        </w:tc>
        <w:tc>
          <w:tcPr>
            <w:tcW w:w="1843" w:type="dxa"/>
          </w:tcPr>
          <w:p w:rsidRPr="00E8766B" w:rsidR="00557F63" w:rsidP="00E8766B" w:rsidRDefault="00557F63">
            <w:pPr>
              <w:jc w:val="center"/>
              <w:rPr>
                <w:sz w:val="16"/>
              </w:rPr>
            </w:pPr>
            <w:r w:rsidRPr="00E8766B">
              <w:rPr>
                <w:sz w:val="16"/>
              </w:rPr>
              <w:t>350</w:t>
            </w:r>
          </w:p>
        </w:tc>
      </w:tr>
      <w:tr w:rsidRPr="00E8766B" w:rsidR="00557F63" w:rsidTr="00557F63">
        <w:trPr>
          <w:jc w:val="center"/>
        </w:trPr>
        <w:tc>
          <w:tcPr>
            <w:tcW w:w="567" w:type="dxa"/>
          </w:tcPr>
          <w:p w:rsidRPr="00E8766B" w:rsidR="00557F63" w:rsidP="00E8766B" w:rsidRDefault="00557F63">
            <w:pPr>
              <w:pStyle w:val="ListParagraph"/>
              <w:numPr>
                <w:ilvl w:val="0"/>
                <w:numId w:val="49"/>
              </w:numPr>
              <w:tabs>
                <w:tab w:val="num" w:pos="283"/>
              </w:tabs>
              <w:ind w:left="0" w:firstLine="0"/>
              <w:jc w:val="center"/>
              <w:rPr>
                <w:sz w:val="16"/>
              </w:rPr>
            </w:pPr>
          </w:p>
        </w:tc>
        <w:tc>
          <w:tcPr>
            <w:tcW w:w="1135" w:type="dxa"/>
          </w:tcPr>
          <w:p w:rsidRPr="00E8766B" w:rsidR="00557F63" w:rsidP="00E8766B" w:rsidRDefault="00557F63">
            <w:pPr>
              <w:jc w:val="center"/>
              <w:rPr>
                <w:sz w:val="16"/>
              </w:rPr>
            </w:pPr>
            <w:r w:rsidRPr="00E8766B">
              <w:rPr>
                <w:sz w:val="16"/>
              </w:rPr>
              <w:t>17023/18</w:t>
            </w:r>
          </w:p>
          <w:p w:rsidRPr="00E8766B" w:rsidR="00557F63" w:rsidP="00E8766B" w:rsidRDefault="00557F63">
            <w:pPr>
              <w:jc w:val="center"/>
              <w:rPr>
                <w:sz w:val="16"/>
              </w:rPr>
            </w:pPr>
            <w:r w:rsidRPr="00E8766B">
              <w:rPr>
                <w:sz w:val="16"/>
              </w:rPr>
              <w:t>26/03/2018</w:t>
            </w:r>
          </w:p>
        </w:tc>
        <w:tc>
          <w:tcPr>
            <w:tcW w:w="1701" w:type="dxa"/>
          </w:tcPr>
          <w:p w:rsidRPr="00E8766B" w:rsidR="00557F63" w:rsidP="00E8766B" w:rsidRDefault="00557F63">
            <w:pPr>
              <w:jc w:val="center"/>
              <w:rPr>
                <w:b/>
                <w:sz w:val="16"/>
              </w:rPr>
            </w:pPr>
            <w:proofErr w:type="spellStart"/>
            <w:r w:rsidRPr="00E8766B">
              <w:rPr>
                <w:b/>
                <w:sz w:val="16"/>
              </w:rPr>
              <w:t>Bahrudin</w:t>
            </w:r>
            <w:proofErr w:type="spellEnd"/>
            <w:r w:rsidRPr="00E8766B">
              <w:rPr>
                <w:b/>
                <w:sz w:val="16"/>
              </w:rPr>
              <w:t xml:space="preserve"> ARIFOVIĆ</w:t>
            </w:r>
          </w:p>
          <w:p w:rsidRPr="00E8766B" w:rsidR="00557F63" w:rsidP="00E8766B" w:rsidRDefault="00557F63">
            <w:pPr>
              <w:jc w:val="center"/>
              <w:rPr>
                <w:sz w:val="16"/>
              </w:rPr>
            </w:pPr>
            <w:r w:rsidRPr="00E8766B">
              <w:rPr>
                <w:sz w:val="16"/>
              </w:rPr>
              <w:t>26/03/1956</w:t>
            </w:r>
          </w:p>
        </w:tc>
        <w:tc>
          <w:tcPr>
            <w:tcW w:w="1701" w:type="dxa"/>
          </w:tcPr>
          <w:p w:rsidRPr="00E8766B" w:rsidR="00557F63" w:rsidP="00E8766B" w:rsidRDefault="00557F63">
            <w:pPr>
              <w:jc w:val="center"/>
              <w:rPr>
                <w:sz w:val="16"/>
              </w:rPr>
            </w:pPr>
            <w:proofErr w:type="spellStart"/>
            <w:r w:rsidRPr="00E8766B">
              <w:rPr>
                <w:sz w:val="16"/>
              </w:rPr>
              <w:t>Salkanović</w:t>
            </w:r>
            <w:proofErr w:type="spellEnd"/>
            <w:r w:rsidRPr="00E8766B">
              <w:rPr>
                <w:sz w:val="16"/>
              </w:rPr>
              <w:t xml:space="preserve"> </w:t>
            </w:r>
            <w:proofErr w:type="spellStart"/>
            <w:r w:rsidRPr="00E8766B">
              <w:rPr>
                <w:sz w:val="16"/>
              </w:rPr>
              <w:t>Haris</w:t>
            </w:r>
            <w:proofErr w:type="spellEnd"/>
          </w:p>
          <w:p w:rsidRPr="00E8766B" w:rsidR="00557F63" w:rsidP="00E8766B" w:rsidRDefault="00557F63">
            <w:pPr>
              <w:jc w:val="center"/>
              <w:rPr>
                <w:sz w:val="16"/>
              </w:rPr>
            </w:pPr>
            <w:proofErr w:type="spellStart"/>
            <w:r w:rsidRPr="00E8766B">
              <w:rPr>
                <w:sz w:val="16"/>
              </w:rPr>
              <w:t>Živinice</w:t>
            </w:r>
            <w:proofErr w:type="spellEnd"/>
          </w:p>
        </w:tc>
        <w:tc>
          <w:tcPr>
            <w:tcW w:w="2110" w:type="dxa"/>
          </w:tcPr>
          <w:p w:rsidRPr="00E8766B" w:rsidR="00557F63" w:rsidP="00E8766B" w:rsidRDefault="00557F63">
            <w:pPr>
              <w:jc w:val="center"/>
              <w:rPr>
                <w:sz w:val="16"/>
              </w:rPr>
            </w:pPr>
            <w:r w:rsidRPr="00E8766B">
              <w:rPr>
                <w:sz w:val="16"/>
              </w:rPr>
              <w:t>29/07/2004</w:t>
            </w:r>
          </w:p>
          <w:p w:rsidRPr="00E8766B" w:rsidR="00557F63" w:rsidP="00E8766B" w:rsidRDefault="00557F63">
            <w:pPr>
              <w:jc w:val="center"/>
              <w:rPr>
                <w:sz w:val="16"/>
              </w:rPr>
            </w:pPr>
          </w:p>
        </w:tc>
        <w:tc>
          <w:tcPr>
            <w:tcW w:w="1040" w:type="dxa"/>
          </w:tcPr>
          <w:p w:rsidRPr="00E8766B" w:rsidR="00557F63" w:rsidP="00E8766B" w:rsidRDefault="00557F63">
            <w:pPr>
              <w:jc w:val="center"/>
              <w:rPr>
                <w:sz w:val="16"/>
              </w:rPr>
            </w:pPr>
            <w:r w:rsidRPr="00E8766B">
              <w:rPr>
                <w:sz w:val="16"/>
              </w:rPr>
              <w:t>07/09/2015</w:t>
            </w:r>
          </w:p>
          <w:p w:rsidRPr="00E8766B" w:rsidR="00557F63" w:rsidP="00E8766B" w:rsidRDefault="00557F63">
            <w:pPr>
              <w:jc w:val="center"/>
              <w:rPr>
                <w:sz w:val="16"/>
              </w:rPr>
            </w:pPr>
          </w:p>
        </w:tc>
        <w:tc>
          <w:tcPr>
            <w:tcW w:w="2078" w:type="dxa"/>
          </w:tcPr>
          <w:p w:rsidRPr="00E8766B" w:rsidR="00E8766B" w:rsidP="00E8766B" w:rsidRDefault="00557F63">
            <w:pPr>
              <w:jc w:val="center"/>
              <w:rPr>
                <w:sz w:val="16"/>
              </w:rPr>
            </w:pPr>
            <w:r w:rsidRPr="00E8766B">
              <w:rPr>
                <w:sz w:val="16"/>
              </w:rPr>
              <w:t>11 year(s) and 1 month(s) and 10 day(s)</w:t>
            </w:r>
          </w:p>
          <w:p w:rsidRPr="00E8766B" w:rsidR="00557F63" w:rsidP="00E8766B" w:rsidRDefault="00557F63">
            <w:pPr>
              <w:jc w:val="center"/>
              <w:rPr>
                <w:sz w:val="16"/>
              </w:rPr>
            </w:pPr>
            <w:r w:rsidRPr="00E8766B">
              <w:rPr>
                <w:sz w:val="16"/>
              </w:rPr>
              <w:t>2 level(s) of jurisdiction</w:t>
            </w:r>
          </w:p>
          <w:p w:rsidRPr="00E8766B" w:rsidR="00557F63" w:rsidP="00E8766B" w:rsidRDefault="00557F63">
            <w:pPr>
              <w:jc w:val="center"/>
              <w:rPr>
                <w:sz w:val="16"/>
              </w:rPr>
            </w:pPr>
          </w:p>
        </w:tc>
        <w:tc>
          <w:tcPr>
            <w:tcW w:w="1701" w:type="dxa"/>
          </w:tcPr>
          <w:p w:rsidRPr="00E8766B" w:rsidR="00557F63" w:rsidP="00E8766B" w:rsidRDefault="00557F63">
            <w:pPr>
              <w:jc w:val="center"/>
              <w:rPr>
                <w:sz w:val="16"/>
              </w:rPr>
            </w:pPr>
            <w:r w:rsidRPr="00E8766B">
              <w:rPr>
                <w:sz w:val="16"/>
              </w:rPr>
              <w:t>3,600</w:t>
            </w:r>
          </w:p>
        </w:tc>
        <w:tc>
          <w:tcPr>
            <w:tcW w:w="1843" w:type="dxa"/>
          </w:tcPr>
          <w:p w:rsidRPr="00E8766B" w:rsidR="00557F63" w:rsidP="00E8766B" w:rsidRDefault="00557F63">
            <w:pPr>
              <w:jc w:val="center"/>
              <w:rPr>
                <w:sz w:val="16"/>
              </w:rPr>
            </w:pPr>
            <w:r w:rsidRPr="00E8766B">
              <w:rPr>
                <w:sz w:val="16"/>
              </w:rPr>
              <w:t>350</w:t>
            </w:r>
          </w:p>
        </w:tc>
      </w:tr>
      <w:tr w:rsidRPr="00E8766B" w:rsidR="00557F63" w:rsidTr="00557F63">
        <w:trPr>
          <w:jc w:val="center"/>
        </w:trPr>
        <w:tc>
          <w:tcPr>
            <w:tcW w:w="567" w:type="dxa"/>
          </w:tcPr>
          <w:p w:rsidRPr="00E8766B" w:rsidR="00557F63" w:rsidP="00E8766B" w:rsidRDefault="00557F63">
            <w:pPr>
              <w:pStyle w:val="ListParagraph"/>
              <w:numPr>
                <w:ilvl w:val="0"/>
                <w:numId w:val="49"/>
              </w:numPr>
              <w:tabs>
                <w:tab w:val="num" w:pos="283"/>
              </w:tabs>
              <w:ind w:left="0" w:firstLine="0"/>
              <w:jc w:val="center"/>
              <w:rPr>
                <w:sz w:val="16"/>
              </w:rPr>
            </w:pPr>
          </w:p>
        </w:tc>
        <w:tc>
          <w:tcPr>
            <w:tcW w:w="1135" w:type="dxa"/>
          </w:tcPr>
          <w:p w:rsidRPr="00E8766B" w:rsidR="00557F63" w:rsidP="00E8766B" w:rsidRDefault="00557F63">
            <w:pPr>
              <w:jc w:val="center"/>
              <w:rPr>
                <w:sz w:val="16"/>
              </w:rPr>
            </w:pPr>
            <w:r w:rsidRPr="00E8766B">
              <w:rPr>
                <w:sz w:val="16"/>
              </w:rPr>
              <w:t>36786/18</w:t>
            </w:r>
          </w:p>
          <w:p w:rsidRPr="00E8766B" w:rsidR="00557F63" w:rsidP="00E8766B" w:rsidRDefault="00557F63">
            <w:pPr>
              <w:jc w:val="center"/>
              <w:rPr>
                <w:sz w:val="16"/>
              </w:rPr>
            </w:pPr>
            <w:r w:rsidRPr="00E8766B">
              <w:rPr>
                <w:sz w:val="16"/>
              </w:rPr>
              <w:t>19/07/2018</w:t>
            </w:r>
          </w:p>
        </w:tc>
        <w:tc>
          <w:tcPr>
            <w:tcW w:w="1701" w:type="dxa"/>
          </w:tcPr>
          <w:p w:rsidRPr="00E8766B" w:rsidR="00557F63" w:rsidP="00E8766B" w:rsidRDefault="00557F63">
            <w:pPr>
              <w:jc w:val="center"/>
              <w:rPr>
                <w:b/>
                <w:sz w:val="16"/>
              </w:rPr>
            </w:pPr>
            <w:r w:rsidRPr="00E8766B">
              <w:rPr>
                <w:b/>
                <w:sz w:val="16"/>
              </w:rPr>
              <w:t>Slobodan NIKOLIĆ</w:t>
            </w:r>
          </w:p>
          <w:p w:rsidRPr="00E8766B" w:rsidR="00557F63" w:rsidP="00E8766B" w:rsidRDefault="00557F63">
            <w:pPr>
              <w:jc w:val="center"/>
              <w:rPr>
                <w:sz w:val="16"/>
              </w:rPr>
            </w:pPr>
            <w:r w:rsidRPr="00E8766B">
              <w:rPr>
                <w:sz w:val="16"/>
              </w:rPr>
              <w:t>01/05/1945</w:t>
            </w:r>
          </w:p>
        </w:tc>
        <w:tc>
          <w:tcPr>
            <w:tcW w:w="1701" w:type="dxa"/>
          </w:tcPr>
          <w:p w:rsidRPr="00E8766B" w:rsidR="00557F63" w:rsidP="00E8766B" w:rsidRDefault="00557F63">
            <w:pPr>
              <w:jc w:val="center"/>
              <w:rPr>
                <w:sz w:val="16"/>
              </w:rPr>
            </w:pPr>
            <w:proofErr w:type="spellStart"/>
            <w:r w:rsidRPr="00E8766B">
              <w:rPr>
                <w:sz w:val="16"/>
              </w:rPr>
              <w:t>Poropat</w:t>
            </w:r>
            <w:proofErr w:type="spellEnd"/>
            <w:r w:rsidRPr="00E8766B">
              <w:rPr>
                <w:sz w:val="16"/>
              </w:rPr>
              <w:t xml:space="preserve"> </w:t>
            </w:r>
            <w:proofErr w:type="spellStart"/>
            <w:r w:rsidRPr="00E8766B">
              <w:rPr>
                <w:sz w:val="16"/>
              </w:rPr>
              <w:t>Senija</w:t>
            </w:r>
            <w:proofErr w:type="spellEnd"/>
          </w:p>
          <w:p w:rsidRPr="00E8766B" w:rsidR="00557F63" w:rsidP="00E8766B" w:rsidRDefault="00557F63">
            <w:pPr>
              <w:jc w:val="center"/>
              <w:rPr>
                <w:sz w:val="16"/>
              </w:rPr>
            </w:pPr>
            <w:r w:rsidRPr="00E8766B">
              <w:rPr>
                <w:sz w:val="16"/>
              </w:rPr>
              <w:t>Sarajevo</w:t>
            </w:r>
          </w:p>
        </w:tc>
        <w:tc>
          <w:tcPr>
            <w:tcW w:w="2110" w:type="dxa"/>
          </w:tcPr>
          <w:p w:rsidRPr="00E8766B" w:rsidR="00557F63" w:rsidP="00E8766B" w:rsidRDefault="00557F63">
            <w:pPr>
              <w:jc w:val="center"/>
              <w:rPr>
                <w:sz w:val="16"/>
              </w:rPr>
            </w:pPr>
            <w:r w:rsidRPr="00E8766B">
              <w:rPr>
                <w:sz w:val="16"/>
              </w:rPr>
              <w:t>20/06/2005</w:t>
            </w:r>
          </w:p>
          <w:p w:rsidRPr="00E8766B" w:rsidR="00557F63" w:rsidP="00E8766B" w:rsidRDefault="00557F63">
            <w:pPr>
              <w:jc w:val="center"/>
              <w:rPr>
                <w:sz w:val="16"/>
              </w:rPr>
            </w:pPr>
          </w:p>
        </w:tc>
        <w:tc>
          <w:tcPr>
            <w:tcW w:w="1040" w:type="dxa"/>
          </w:tcPr>
          <w:p w:rsidRPr="00E8766B" w:rsidR="00557F63" w:rsidP="00E8766B" w:rsidRDefault="00557F63">
            <w:pPr>
              <w:jc w:val="center"/>
              <w:rPr>
                <w:sz w:val="16"/>
              </w:rPr>
            </w:pPr>
            <w:r w:rsidRPr="00E8766B">
              <w:rPr>
                <w:sz w:val="16"/>
              </w:rPr>
              <w:t>pending</w:t>
            </w:r>
          </w:p>
          <w:p w:rsidRPr="00E8766B" w:rsidR="00557F63" w:rsidP="00E8766B" w:rsidRDefault="00557F63">
            <w:pPr>
              <w:jc w:val="center"/>
              <w:rPr>
                <w:sz w:val="16"/>
              </w:rPr>
            </w:pPr>
          </w:p>
        </w:tc>
        <w:tc>
          <w:tcPr>
            <w:tcW w:w="2078" w:type="dxa"/>
          </w:tcPr>
          <w:p w:rsidRPr="00E8766B" w:rsidR="00E8766B" w:rsidP="00E8766B" w:rsidRDefault="00557F63">
            <w:pPr>
              <w:jc w:val="center"/>
              <w:rPr>
                <w:sz w:val="16"/>
              </w:rPr>
            </w:pPr>
            <w:r w:rsidRPr="00E8766B">
              <w:rPr>
                <w:sz w:val="16"/>
              </w:rPr>
              <w:t>More than 14 year(s) and 5 month(s) and 1 day(s)</w:t>
            </w:r>
          </w:p>
          <w:p w:rsidRPr="00E8766B" w:rsidR="00557F63" w:rsidP="00E8766B" w:rsidRDefault="00557F63">
            <w:pPr>
              <w:jc w:val="center"/>
              <w:rPr>
                <w:sz w:val="16"/>
              </w:rPr>
            </w:pPr>
            <w:r w:rsidRPr="00E8766B">
              <w:rPr>
                <w:sz w:val="16"/>
              </w:rPr>
              <w:t>1 level(s) of jurisdiction</w:t>
            </w:r>
          </w:p>
          <w:p w:rsidRPr="00E8766B" w:rsidR="00557F63" w:rsidP="00E8766B" w:rsidRDefault="00557F63">
            <w:pPr>
              <w:jc w:val="center"/>
              <w:rPr>
                <w:sz w:val="16"/>
              </w:rPr>
            </w:pPr>
          </w:p>
        </w:tc>
        <w:tc>
          <w:tcPr>
            <w:tcW w:w="1701" w:type="dxa"/>
          </w:tcPr>
          <w:p w:rsidRPr="00E8766B" w:rsidR="00557F63" w:rsidP="00E8766B" w:rsidRDefault="00557F63">
            <w:pPr>
              <w:jc w:val="center"/>
              <w:rPr>
                <w:sz w:val="16"/>
              </w:rPr>
            </w:pPr>
            <w:r w:rsidRPr="00E8766B">
              <w:rPr>
                <w:sz w:val="16"/>
              </w:rPr>
              <w:t>6,600</w:t>
            </w:r>
          </w:p>
        </w:tc>
        <w:tc>
          <w:tcPr>
            <w:tcW w:w="1843" w:type="dxa"/>
          </w:tcPr>
          <w:p w:rsidRPr="00E8766B" w:rsidR="00557F63" w:rsidP="00E8766B" w:rsidRDefault="00557F63">
            <w:pPr>
              <w:jc w:val="center"/>
              <w:rPr>
                <w:sz w:val="16"/>
              </w:rPr>
            </w:pPr>
            <w:r w:rsidRPr="00E8766B">
              <w:rPr>
                <w:sz w:val="16"/>
              </w:rPr>
              <w:t>350</w:t>
            </w:r>
          </w:p>
        </w:tc>
      </w:tr>
    </w:tbl>
    <w:p w:rsidRPr="00E8766B" w:rsidR="00787E12" w:rsidP="00E8766B" w:rsidRDefault="00AF06B4">
      <w:pPr>
        <w:jc w:val="left"/>
      </w:pPr>
    </w:p>
    <w:sectPr w:rsidRPr="00E8766B" w:rsidR="00787E12" w:rsidSect="00BC2B8B">
      <w:headerReference w:type="even" r:id="rId13"/>
      <w:headerReference w:type="default" r:id="rId14"/>
      <w:footnotePr>
        <w:numRestart w:val="eachPage"/>
      </w:footnotePr>
      <w:pgSz w:w="16838" w:h="11906" w:orient="landscape" w:code="9"/>
      <w:pgMar w:top="2120"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296" w:rsidRPr="00497FF8" w:rsidRDefault="00D41296">
      <w:r w:rsidRPr="00497FF8">
        <w:separator/>
      </w:r>
    </w:p>
  </w:endnote>
  <w:endnote w:type="continuationSeparator" w:id="0">
    <w:p w:rsidR="00D41296" w:rsidRPr="00497FF8" w:rsidRDefault="00D41296">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296" w:rsidRPr="00150BFA" w:rsidRDefault="00D41296" w:rsidP="0020718E">
    <w:pPr>
      <w:jc w:val="center"/>
    </w:pPr>
    <w:r>
      <w:rPr>
        <w:noProof/>
        <w:lang w:val="en-US" w:eastAsia="ja-JP"/>
      </w:rPr>
      <w:drawing>
        <wp:inline distT="0" distB="0" distL="0" distR="0" wp14:anchorId="2C66749C" wp14:editId="7194446F">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AF06B4"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296" w:rsidRPr="00497FF8" w:rsidRDefault="00D41296" w:rsidP="00787E12">
      <w:r w:rsidRPr="00497FF8">
        <w:separator/>
      </w:r>
    </w:p>
  </w:footnote>
  <w:footnote w:type="continuationSeparator" w:id="0">
    <w:p w:rsidR="00D41296" w:rsidRPr="00497FF8" w:rsidRDefault="00D41296" w:rsidP="00787E12">
      <w:r w:rsidRPr="00497FF8">
        <w:continuationSeparator/>
      </w:r>
    </w:p>
  </w:footnote>
  <w:footnote w:id="1">
    <w:p w:rsidR="00557F63" w:rsidRPr="00BC2B8B" w:rsidRDefault="00557F63" w:rsidP="00D41296">
      <w:pPr>
        <w:pStyle w:val="FootnoteText"/>
        <w:rPr>
          <w:sz w:val="18"/>
          <w:szCs w:val="18"/>
          <w:lang w:val="sr-Latn-RS"/>
        </w:rPr>
      </w:pPr>
      <w:r w:rsidRPr="00BC2B8B">
        <w:rPr>
          <w:sz w:val="18"/>
          <w:szCs w:val="18"/>
        </w:rPr>
        <w:footnoteRef/>
      </w:r>
      <w:r w:rsidRPr="00BC2B8B">
        <w:rPr>
          <w:sz w:val="18"/>
          <w:szCs w:val="18"/>
        </w:rPr>
        <w:t>.  </w:t>
      </w:r>
      <w:r w:rsidRPr="00BC2B8B">
        <w:rPr>
          <w:sz w:val="18"/>
          <w:szCs w:val="18"/>
          <w:lang w:val="sr-Latn-RS"/>
        </w:rPr>
        <w:t xml:space="preserve">Plus </w:t>
      </w:r>
      <w:proofErr w:type="spellStart"/>
      <w:r w:rsidRPr="00BC2B8B">
        <w:rPr>
          <w:sz w:val="18"/>
          <w:szCs w:val="18"/>
          <w:lang w:val="sr-Latn-RS"/>
        </w:rPr>
        <w:t>any</w:t>
      </w:r>
      <w:proofErr w:type="spellEnd"/>
      <w:r w:rsidRPr="00BC2B8B">
        <w:rPr>
          <w:sz w:val="18"/>
          <w:szCs w:val="18"/>
          <w:lang w:val="sr-Latn-RS"/>
        </w:rPr>
        <w:t xml:space="preserve"> </w:t>
      </w:r>
      <w:proofErr w:type="spellStart"/>
      <w:r w:rsidRPr="00BC2B8B">
        <w:rPr>
          <w:sz w:val="18"/>
          <w:szCs w:val="18"/>
          <w:lang w:val="sr-Latn-RS"/>
        </w:rPr>
        <w:t>tax</w:t>
      </w:r>
      <w:proofErr w:type="spellEnd"/>
      <w:r w:rsidRPr="00BC2B8B">
        <w:rPr>
          <w:sz w:val="18"/>
          <w:szCs w:val="18"/>
          <w:lang w:val="sr-Latn-RS"/>
        </w:rPr>
        <w:t xml:space="preserve"> </w:t>
      </w:r>
      <w:proofErr w:type="spellStart"/>
      <w:r w:rsidRPr="00BC2B8B">
        <w:rPr>
          <w:sz w:val="18"/>
          <w:szCs w:val="18"/>
          <w:lang w:val="sr-Latn-RS"/>
        </w:rPr>
        <w:t>that</w:t>
      </w:r>
      <w:proofErr w:type="spellEnd"/>
      <w:r w:rsidRPr="00BC2B8B">
        <w:rPr>
          <w:sz w:val="18"/>
          <w:szCs w:val="18"/>
          <w:lang w:val="sr-Latn-RS"/>
        </w:rPr>
        <w:t xml:space="preserve"> </w:t>
      </w:r>
      <w:proofErr w:type="spellStart"/>
      <w:r w:rsidRPr="00BC2B8B">
        <w:rPr>
          <w:sz w:val="18"/>
          <w:szCs w:val="18"/>
          <w:lang w:val="sr-Latn-RS"/>
        </w:rPr>
        <w:t>may</w:t>
      </w:r>
      <w:proofErr w:type="spellEnd"/>
      <w:r w:rsidRPr="00BC2B8B">
        <w:rPr>
          <w:sz w:val="18"/>
          <w:szCs w:val="18"/>
          <w:lang w:val="sr-Latn-RS"/>
        </w:rPr>
        <w:t xml:space="preserve"> be </w:t>
      </w:r>
      <w:proofErr w:type="spellStart"/>
      <w:r w:rsidRPr="00BC2B8B">
        <w:rPr>
          <w:sz w:val="18"/>
          <w:szCs w:val="18"/>
          <w:lang w:val="sr-Latn-RS"/>
        </w:rPr>
        <w:t>chargeable</w:t>
      </w:r>
      <w:proofErr w:type="spellEnd"/>
      <w:r w:rsidRPr="00BC2B8B">
        <w:rPr>
          <w:sz w:val="18"/>
          <w:szCs w:val="18"/>
          <w:lang w:val="sr-Latn-RS"/>
        </w:rPr>
        <w:t xml:space="preserve"> to the </w:t>
      </w:r>
      <w:proofErr w:type="spellStart"/>
      <w:r w:rsidRPr="00BC2B8B">
        <w:rPr>
          <w:sz w:val="18"/>
          <w:szCs w:val="18"/>
          <w:lang w:val="sr-Latn-RS"/>
        </w:rPr>
        <w:t>applicants</w:t>
      </w:r>
      <w:proofErr w:type="spellEnd"/>
      <w:r w:rsidRPr="00BC2B8B">
        <w:rPr>
          <w:sz w:val="18"/>
          <w:szCs w:val="18"/>
          <w:lang w:val="sr-Latn-RS"/>
        </w:rPr>
        <w:t>.</w:t>
      </w:r>
    </w:p>
  </w:footnote>
  <w:footnote w:id="2">
    <w:p w:rsidR="00557F63" w:rsidRPr="00BC2B8B" w:rsidRDefault="00557F63" w:rsidP="00D41296">
      <w:pPr>
        <w:pStyle w:val="FootnoteText"/>
        <w:rPr>
          <w:sz w:val="18"/>
          <w:szCs w:val="18"/>
          <w:lang w:val="sr-Latn-RS"/>
        </w:rPr>
      </w:pPr>
      <w:r w:rsidRPr="00BC2B8B">
        <w:rPr>
          <w:sz w:val="18"/>
          <w:szCs w:val="18"/>
        </w:rPr>
        <w:footnoteRef/>
      </w:r>
      <w:r w:rsidRPr="00BC2B8B">
        <w:rPr>
          <w:sz w:val="18"/>
          <w:szCs w:val="18"/>
        </w:rPr>
        <w:t>.  </w:t>
      </w:r>
      <w:r w:rsidRPr="00BC2B8B">
        <w:rPr>
          <w:sz w:val="18"/>
          <w:szCs w:val="18"/>
          <w:lang w:val="en-US"/>
        </w:rPr>
        <w:t>Less any amounts which may have already been paid in that regard at the domestic level.</w:t>
      </w:r>
    </w:p>
  </w:footnote>
  <w:footnote w:id="3">
    <w:p w:rsidR="00557F63" w:rsidRPr="006A69D1" w:rsidRDefault="00557F63" w:rsidP="00D41296">
      <w:pPr>
        <w:pStyle w:val="FootnoteText"/>
        <w:rPr>
          <w:lang w:val="sr-Latn-RS"/>
        </w:rPr>
      </w:pPr>
      <w:r w:rsidRPr="00BC2B8B">
        <w:rPr>
          <w:sz w:val="18"/>
          <w:szCs w:val="18"/>
        </w:rPr>
        <w:footnoteRef/>
      </w:r>
      <w:r w:rsidRPr="00BC2B8B">
        <w:rPr>
          <w:sz w:val="18"/>
          <w:szCs w:val="18"/>
        </w:rPr>
        <w:t>.  </w:t>
      </w:r>
      <w:r w:rsidRPr="00BC2B8B">
        <w:rPr>
          <w:sz w:val="18"/>
          <w:szCs w:val="18"/>
          <w:lang w:val="sr-Latn-RS"/>
        </w:rPr>
        <w:t xml:space="preserve">Plus </w:t>
      </w:r>
      <w:proofErr w:type="spellStart"/>
      <w:r w:rsidRPr="00BC2B8B">
        <w:rPr>
          <w:sz w:val="18"/>
          <w:szCs w:val="18"/>
          <w:lang w:val="sr-Latn-RS"/>
        </w:rPr>
        <w:t>any</w:t>
      </w:r>
      <w:proofErr w:type="spellEnd"/>
      <w:r w:rsidRPr="00BC2B8B">
        <w:rPr>
          <w:sz w:val="18"/>
          <w:szCs w:val="18"/>
          <w:lang w:val="sr-Latn-RS"/>
        </w:rPr>
        <w:t xml:space="preserve"> </w:t>
      </w:r>
      <w:proofErr w:type="spellStart"/>
      <w:r w:rsidRPr="00BC2B8B">
        <w:rPr>
          <w:sz w:val="18"/>
          <w:szCs w:val="18"/>
          <w:lang w:val="sr-Latn-RS"/>
        </w:rPr>
        <w:t>tax</w:t>
      </w:r>
      <w:proofErr w:type="spellEnd"/>
      <w:r w:rsidRPr="00BC2B8B">
        <w:rPr>
          <w:sz w:val="18"/>
          <w:szCs w:val="18"/>
          <w:lang w:val="sr-Latn-RS"/>
        </w:rPr>
        <w:t xml:space="preserve"> </w:t>
      </w:r>
      <w:proofErr w:type="spellStart"/>
      <w:r w:rsidRPr="00BC2B8B">
        <w:rPr>
          <w:sz w:val="18"/>
          <w:szCs w:val="18"/>
          <w:lang w:val="sr-Latn-RS"/>
        </w:rPr>
        <w:t>that</w:t>
      </w:r>
      <w:proofErr w:type="spellEnd"/>
      <w:r w:rsidRPr="00BC2B8B">
        <w:rPr>
          <w:sz w:val="18"/>
          <w:szCs w:val="18"/>
          <w:lang w:val="sr-Latn-RS"/>
        </w:rPr>
        <w:t xml:space="preserve"> </w:t>
      </w:r>
      <w:proofErr w:type="spellStart"/>
      <w:r w:rsidRPr="00BC2B8B">
        <w:rPr>
          <w:sz w:val="18"/>
          <w:szCs w:val="18"/>
          <w:lang w:val="sr-Latn-RS"/>
        </w:rPr>
        <w:t>may</w:t>
      </w:r>
      <w:proofErr w:type="spellEnd"/>
      <w:r w:rsidRPr="00BC2B8B">
        <w:rPr>
          <w:sz w:val="18"/>
          <w:szCs w:val="18"/>
          <w:lang w:val="sr-Latn-RS"/>
        </w:rPr>
        <w:t xml:space="preserve"> be </w:t>
      </w:r>
      <w:proofErr w:type="spellStart"/>
      <w:r w:rsidRPr="00BC2B8B">
        <w:rPr>
          <w:sz w:val="18"/>
          <w:szCs w:val="18"/>
          <w:lang w:val="sr-Latn-RS"/>
        </w:rPr>
        <w:t>chargeable</w:t>
      </w:r>
      <w:proofErr w:type="spellEnd"/>
      <w:r w:rsidRPr="00BC2B8B">
        <w:rPr>
          <w:sz w:val="18"/>
          <w:szCs w:val="18"/>
          <w:lang w:val="sr-Latn-RS"/>
        </w:rPr>
        <w:t xml:space="preserve"> to the </w:t>
      </w:r>
      <w:proofErr w:type="spellStart"/>
      <w:r w:rsidRPr="00BC2B8B">
        <w:rPr>
          <w:sz w:val="18"/>
          <w:szCs w:val="18"/>
          <w:lang w:val="sr-Latn-RS"/>
        </w:rPr>
        <w:t>applicants</w:t>
      </w:r>
      <w:proofErr w:type="spellEnd"/>
      <w:r w:rsidRPr="00BC2B8B">
        <w:rPr>
          <w:sz w:val="18"/>
          <w:szCs w:val="18"/>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296" w:rsidRPr="00A45145" w:rsidRDefault="00D41296" w:rsidP="00A45145">
    <w:pPr>
      <w:jc w:val="center"/>
    </w:pPr>
    <w:r>
      <w:rPr>
        <w:noProof/>
        <w:lang w:val="en-US" w:eastAsia="ja-JP"/>
      </w:rPr>
      <w:drawing>
        <wp:inline distT="0" distB="0" distL="0" distR="0" wp14:anchorId="52606C3F" wp14:editId="5825A119">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F06B4" w:rsidP="000318F7">
    <w:pPr>
      <w:jc w:val="center"/>
      <w:rPr>
        <w:sz w:val="4"/>
        <w:szCs w:val="4"/>
      </w:rPr>
    </w:pPr>
  </w:p>
  <w:p w:rsidR="00787E12" w:rsidRPr="00497FF8" w:rsidRDefault="00AF0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296" w:rsidRPr="00A45145" w:rsidRDefault="00D41296" w:rsidP="00A45145">
    <w:pPr>
      <w:jc w:val="center"/>
    </w:pPr>
    <w:r>
      <w:rPr>
        <w:noProof/>
        <w:lang w:val="en-US" w:eastAsia="ja-JP"/>
      </w:rPr>
      <w:drawing>
        <wp:inline distT="0" distB="0" distL="0" distR="0" wp14:anchorId="36A231B8" wp14:editId="075A406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AF06B4"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41296" w:rsidP="006372F5">
    <w:pPr>
      <w:pStyle w:val="JuHeader"/>
    </w:pPr>
    <w:r>
      <w:rPr>
        <w:rStyle w:val="PageNumber"/>
      </w:rPr>
      <w:fldChar w:fldCharType="begin"/>
    </w:r>
    <w:r>
      <w:rPr>
        <w:rStyle w:val="PageNumber"/>
      </w:rPr>
      <w:instrText xml:space="preserve"> PAGE </w:instrText>
    </w:r>
    <w:r>
      <w:rPr>
        <w:rStyle w:val="PageNumber"/>
      </w:rPr>
      <w:fldChar w:fldCharType="separate"/>
    </w:r>
    <w:r w:rsidR="006249BE">
      <w:rPr>
        <w:rStyle w:val="PageNumber"/>
        <w:noProof/>
      </w:rPr>
      <w:t>2</w:t>
    </w:r>
    <w:r>
      <w:rPr>
        <w:rStyle w:val="PageNumber"/>
      </w:rPr>
      <w:fldChar w:fldCharType="end"/>
    </w:r>
    <w:r w:rsidR="0048584C" w:rsidRPr="004D0EC7">
      <w:tab/>
    </w:r>
    <w:r>
      <w:t>HADŽAJLIĆ AND OTHERS v. BOSNIA AND HERZEGOVINA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D41296">
      <w:t>HADŽAJLIĆ AND OTHERS v. BOSNIA AND HERZEGOVINA</w:t>
    </w:r>
    <w:r w:rsidRPr="00DE7D3F">
      <w:t xml:space="preserve"> JUDGMENT</w:t>
    </w:r>
    <w:r w:rsidRPr="00DE7D3F">
      <w:tab/>
    </w:r>
    <w:r w:rsidR="00D41296">
      <w:rPr>
        <w:rStyle w:val="PageNumber"/>
      </w:rPr>
      <w:fldChar w:fldCharType="begin"/>
    </w:r>
    <w:r w:rsidR="00D41296">
      <w:rPr>
        <w:rStyle w:val="PageNumber"/>
      </w:rPr>
      <w:instrText xml:space="preserve"> PAGE </w:instrText>
    </w:r>
    <w:r w:rsidR="00D41296">
      <w:rPr>
        <w:rStyle w:val="PageNumber"/>
      </w:rPr>
      <w:fldChar w:fldCharType="separate"/>
    </w:r>
    <w:r w:rsidR="006249BE">
      <w:rPr>
        <w:rStyle w:val="PageNumber"/>
        <w:noProof/>
      </w:rPr>
      <w:t>3</w:t>
    </w:r>
    <w:r w:rsidR="00D41296">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41296"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6249BE">
      <w:rPr>
        <w:rStyle w:val="PageNumber"/>
        <w:noProof/>
      </w:rPr>
      <w:t>4</w:t>
    </w:r>
    <w:r>
      <w:rPr>
        <w:rStyle w:val="PageNumber"/>
      </w:rPr>
      <w:fldChar w:fldCharType="end"/>
    </w:r>
    <w:r w:rsidR="0048584C" w:rsidRPr="004D0EC7">
      <w:tab/>
    </w:r>
    <w:r>
      <w:t>HADŽAJLIĆ AND OTHERS v. BOSNIA AND HERZEGOVINA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D41296">
      <w:t>HADŽAJLIĆ AND OTHERS v. BOSNIA AND HERZEGOVINA</w:t>
    </w:r>
    <w:r w:rsidRPr="00DE7D3F">
      <w:t xml:space="preserve"> JUDGMENT</w:t>
    </w:r>
    <w:r w:rsidRPr="00DE7D3F">
      <w:tab/>
    </w:r>
    <w:r w:rsidR="00D41296">
      <w:rPr>
        <w:rStyle w:val="PageNumber"/>
      </w:rPr>
      <w:fldChar w:fldCharType="begin"/>
    </w:r>
    <w:r w:rsidR="00D41296">
      <w:rPr>
        <w:rStyle w:val="PageNumber"/>
      </w:rPr>
      <w:instrText xml:space="preserve"> PAGE </w:instrText>
    </w:r>
    <w:r w:rsidR="00D41296">
      <w:rPr>
        <w:rStyle w:val="PageNumber"/>
      </w:rPr>
      <w:fldChar w:fldCharType="separate"/>
    </w:r>
    <w:r w:rsidR="00BC2B8B">
      <w:rPr>
        <w:rStyle w:val="PageNumber"/>
        <w:noProof/>
      </w:rPr>
      <w:t>5</w:t>
    </w:r>
    <w:r w:rsidR="00D4129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88810DB"/>
    <w:multiLevelType w:val="hybridMultilevel"/>
    <w:tmpl w:val="A5BE1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D41296"/>
    <w:rsid w:val="00337785"/>
    <w:rsid w:val="0048584C"/>
    <w:rsid w:val="00497FF8"/>
    <w:rsid w:val="00555A1D"/>
    <w:rsid w:val="00557F63"/>
    <w:rsid w:val="005D3312"/>
    <w:rsid w:val="006249BE"/>
    <w:rsid w:val="007F018A"/>
    <w:rsid w:val="00860732"/>
    <w:rsid w:val="009522DD"/>
    <w:rsid w:val="00AF06B4"/>
    <w:rsid w:val="00BC2B8B"/>
    <w:rsid w:val="00D41296"/>
    <w:rsid w:val="00D57688"/>
    <w:rsid w:val="00E87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9D5CC7-89BC-4F9B-A2A5-4FC67C758E8C}"/>
</file>

<file path=customXml/itemProps2.xml><?xml version="1.0" encoding="utf-8"?>
<ds:datastoreItem xmlns:ds="http://schemas.openxmlformats.org/officeDocument/2006/customXml" ds:itemID="{9720B8DB-9AE2-4B58-B134-61E6D2A8C47D}"/>
</file>

<file path=customXml/itemProps3.xml><?xml version="1.0" encoding="utf-8"?>
<ds:datastoreItem xmlns:ds="http://schemas.openxmlformats.org/officeDocument/2006/customXml" ds:itemID="{70E192F3-225F-4773-A782-DF204BE5D9BB}"/>
</file>

<file path=customXml/itemProps4.xml><?xml version="1.0" encoding="utf-8"?>
<ds:datastoreItem xmlns:ds="http://schemas.openxmlformats.org/officeDocument/2006/customXml" ds:itemID="{C9986A27-4204-4810-9178-03C97AF1F564}"/>
</file>

<file path=docProps/app.xml><?xml version="1.0" encoding="utf-8"?>
<Properties xmlns="http://schemas.openxmlformats.org/officeDocument/2006/extended-properties" xmlns:vt="http://schemas.openxmlformats.org/officeDocument/2006/docPropsVTypes">
  <Template>Normal.dotm</Template>
  <TotalTime>0</TotalTime>
  <Pages>1</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6293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2020-08-10T13:57:00Z</dcterms:created>
  <dcterms:modified xsi:type="dcterms:W3CDTF">2020-08-10T13:57:00Z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10770/18</vt:lpwstr>
  </property>
  <property fmtid="{D5CDD505-2E9C-101B-9397-08002B2CF9AE}" pid="4" name="CASEID">
    <vt:lpwstr>1368801</vt:lpwstr>
  </property>
  <property fmtid="{D5CDD505-2E9C-101B-9397-08002B2CF9AE}" pid="5" name="ContentTypeId">
    <vt:lpwstr>0x010100558EB02BDB9E204AB350EDD385B68E10</vt:lpwstr>
  </property>
</Properties>
</file>