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D7B01" w:rsidR="0098410D" w:rsidP="005D7B01" w:rsidRDefault="005D64B5">
      <w:pPr>
        <w:jc w:val="center"/>
      </w:pPr>
      <w:bookmarkStart w:name="_GoBack" w:id="0"/>
      <w:bookmarkEnd w:id="0"/>
    </w:p>
    <w:p w:rsidRPr="005D7B01" w:rsidR="005D7B01" w:rsidP="005D7B01" w:rsidRDefault="005D7B01">
      <w:pPr>
        <w:jc w:val="center"/>
      </w:pPr>
    </w:p>
    <w:p w:rsidRPr="005D7B01" w:rsidR="005D7B01" w:rsidP="005D7B01" w:rsidRDefault="005D7B01">
      <w:pPr>
        <w:jc w:val="center"/>
      </w:pPr>
    </w:p>
    <w:p w:rsidRPr="005D7B01" w:rsidR="0098410D" w:rsidP="005D7B01" w:rsidRDefault="00DF4541">
      <w:pPr>
        <w:pStyle w:val="DecHCase"/>
      </w:pPr>
      <w:r w:rsidRPr="005D7B01">
        <w:t>FIRST SECTION</w:t>
      </w:r>
    </w:p>
    <w:p w:rsidRPr="005D7B01" w:rsidR="005D7B01" w:rsidP="005D7B01" w:rsidRDefault="005D7B01">
      <w:pPr>
        <w:pStyle w:val="JuTitle"/>
      </w:pPr>
      <w:bookmarkStart w:name="To" w:id="1"/>
    </w:p>
    <w:p w:rsidRPr="005D7B01" w:rsidR="005D7B01" w:rsidP="005D7B01" w:rsidRDefault="005D7B01">
      <w:pPr>
        <w:pStyle w:val="JuTitle"/>
      </w:pPr>
    </w:p>
    <w:p w:rsidRPr="005D7B01" w:rsidR="005D7B01" w:rsidP="005D7B01" w:rsidRDefault="005D7B01">
      <w:pPr>
        <w:pStyle w:val="JuTitle"/>
      </w:pPr>
    </w:p>
    <w:p w:rsidRPr="005D7B01" w:rsidR="008E6217" w:rsidP="005D7B01" w:rsidRDefault="00475200">
      <w:pPr>
        <w:pStyle w:val="JuTitle"/>
      </w:pPr>
      <w:r w:rsidRPr="005D7B01">
        <w:t xml:space="preserve">CASE OF </w:t>
      </w:r>
      <w:bookmarkEnd w:id="1"/>
      <w:r w:rsidRPr="005D7B01" w:rsidR="00DF4541">
        <w:t>JANULIS v. POLAND</w:t>
      </w:r>
    </w:p>
    <w:p w:rsidRPr="005D7B01" w:rsidR="00170027" w:rsidP="005D7B01" w:rsidRDefault="005D64B5">
      <w:pPr>
        <w:jc w:val="center"/>
        <w:rPr>
          <w:b/>
        </w:rPr>
      </w:pPr>
    </w:p>
    <w:p w:rsidRPr="005D7B01" w:rsidR="00D74888" w:rsidP="005D7B01" w:rsidRDefault="00475200">
      <w:pPr>
        <w:pStyle w:val="ECHRCoverTitle4"/>
      </w:pPr>
      <w:r w:rsidRPr="005D7B01">
        <w:t>(</w:t>
      </w:r>
      <w:r w:rsidRPr="005D7B01" w:rsidR="00DF4541">
        <w:t>Application no.</w:t>
      </w:r>
      <w:r w:rsidRPr="005D7B01">
        <w:t xml:space="preserve"> </w:t>
      </w:r>
      <w:r w:rsidRPr="005D7B01" w:rsidR="00DF4541">
        <w:t>31792/15</w:t>
      </w:r>
      <w:r w:rsidRPr="005D7B01">
        <w:t>)</w:t>
      </w:r>
    </w:p>
    <w:p w:rsidRPr="005D7B01" w:rsidR="0098410D" w:rsidP="005D7B01" w:rsidRDefault="005D64B5">
      <w:pPr>
        <w:pStyle w:val="DecHCase"/>
      </w:pPr>
    </w:p>
    <w:p w:rsidRPr="005D7B01" w:rsidR="0098410D" w:rsidP="005D7B01" w:rsidRDefault="005D64B5">
      <w:pPr>
        <w:pStyle w:val="DecHCase"/>
      </w:pPr>
    </w:p>
    <w:p w:rsidRPr="005D7B01" w:rsidR="0098410D" w:rsidP="005D7B01" w:rsidRDefault="005D64B5">
      <w:pPr>
        <w:pStyle w:val="DecHCase"/>
      </w:pPr>
    </w:p>
    <w:p w:rsidRPr="005D7B01" w:rsidR="0098410D" w:rsidP="005D7B01" w:rsidRDefault="005D64B5">
      <w:pPr>
        <w:pStyle w:val="DecHCase"/>
      </w:pPr>
    </w:p>
    <w:p w:rsidRPr="005D7B01" w:rsidR="0098410D" w:rsidP="005D7B01" w:rsidRDefault="00475200">
      <w:pPr>
        <w:pStyle w:val="DecHCase"/>
      </w:pPr>
      <w:r w:rsidRPr="005D7B01">
        <w:t>JUDGMENT</w:t>
      </w:r>
    </w:p>
    <w:p w:rsidRPr="005D7B01" w:rsidR="005D7B01" w:rsidP="005D7B01" w:rsidRDefault="005D7B01">
      <w:pPr>
        <w:pStyle w:val="DecHCase"/>
      </w:pPr>
    </w:p>
    <w:p w:rsidRPr="005D7B01" w:rsidR="005D7B01" w:rsidP="005D7B01" w:rsidRDefault="005D7B01">
      <w:pPr>
        <w:pStyle w:val="DecHCase"/>
      </w:pPr>
    </w:p>
    <w:p w:rsidRPr="005D7B01" w:rsidR="005D7B01" w:rsidP="005D7B01" w:rsidRDefault="005D7B01">
      <w:pPr>
        <w:pStyle w:val="JuPara"/>
      </w:pPr>
    </w:p>
    <w:p w:rsidRPr="005D7B01" w:rsidR="005D7B01" w:rsidP="005D7B01" w:rsidRDefault="005D7B01">
      <w:pPr>
        <w:pStyle w:val="JuPara"/>
      </w:pPr>
    </w:p>
    <w:p w:rsidRPr="005D7B01" w:rsidR="005D7B01" w:rsidP="005D7B01" w:rsidRDefault="005D7B01">
      <w:pPr>
        <w:pStyle w:val="JuPara"/>
      </w:pPr>
    </w:p>
    <w:p w:rsidRPr="005D7B01" w:rsidR="0098410D" w:rsidP="005D7B01" w:rsidRDefault="00475200">
      <w:pPr>
        <w:pStyle w:val="DecHCase"/>
      </w:pPr>
      <w:r w:rsidRPr="005D7B01">
        <w:t>STRASBOURG</w:t>
      </w:r>
    </w:p>
    <w:p w:rsidRPr="005D7B01" w:rsidR="0098410D" w:rsidP="005D7B01" w:rsidRDefault="00DF4541">
      <w:pPr>
        <w:pStyle w:val="DecHCase"/>
      </w:pPr>
      <w:r w:rsidRPr="005D7B01">
        <w:rPr>
          <w:rFonts w:ascii="Times New Roman" w:hAnsi="Times New Roman" w:cs="Times New Roman"/>
        </w:rPr>
        <w:t>16 January 2020</w:t>
      </w:r>
    </w:p>
    <w:p w:rsidRPr="005D7B01" w:rsidR="00ED26F2" w:rsidP="005D7B01" w:rsidRDefault="00ED26F2">
      <w:pPr>
        <w:jc w:val="center"/>
      </w:pPr>
    </w:p>
    <w:p w:rsidRPr="005D7B01" w:rsidR="002422B6" w:rsidP="005D7B01" w:rsidRDefault="00475200">
      <w:pPr>
        <w:rPr>
          <w:i/>
          <w:sz w:val="22"/>
        </w:rPr>
      </w:pPr>
      <w:r w:rsidRPr="005D7B01">
        <w:rPr>
          <w:i/>
          <w:sz w:val="22"/>
        </w:rPr>
        <w:t xml:space="preserve">This judgment </w:t>
      </w:r>
      <w:r w:rsidRPr="005D7B01" w:rsidR="00DF4541">
        <w:rPr>
          <w:i/>
          <w:sz w:val="22"/>
        </w:rPr>
        <w:t>is final but it</w:t>
      </w:r>
      <w:r w:rsidRPr="005D7B01">
        <w:rPr>
          <w:i/>
          <w:sz w:val="22"/>
        </w:rPr>
        <w:t xml:space="preserve"> may be subject to editorial revision.</w:t>
      </w:r>
    </w:p>
    <w:p w:rsidRPr="005D7B01" w:rsidR="0098410D" w:rsidP="005D7B01" w:rsidRDefault="005D64B5">
      <w:pPr>
        <w:sectPr w:rsidRPr="005D7B01"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5D7B01" w:rsidR="0098410D" w:rsidP="005D7B01" w:rsidRDefault="00475200">
      <w:pPr>
        <w:pStyle w:val="JuCase"/>
      </w:pPr>
      <w:r w:rsidRPr="005D7B01">
        <w:t xml:space="preserve">In the case of </w:t>
      </w:r>
      <w:proofErr w:type="spellStart"/>
      <w:r w:rsidRPr="005D7B01" w:rsidR="00DF4541">
        <w:t>Janulis</w:t>
      </w:r>
      <w:proofErr w:type="spellEnd"/>
      <w:r w:rsidRPr="005D7B01" w:rsidR="00DF4541">
        <w:t xml:space="preserve"> v. Poland</w:t>
      </w:r>
      <w:r w:rsidRPr="005D7B01">
        <w:t>,</w:t>
      </w:r>
    </w:p>
    <w:p w:rsidRPr="005D7B01" w:rsidR="009F4C8F" w:rsidP="005D7B01" w:rsidRDefault="00475200">
      <w:pPr>
        <w:pStyle w:val="JuPara"/>
      </w:pPr>
      <w:r w:rsidRPr="005D7B01">
        <w:t>The European Court of Human Rights (</w:t>
      </w:r>
      <w:r w:rsidRPr="005D7B01" w:rsidR="00DF4541">
        <w:t>First Section</w:t>
      </w:r>
      <w:r w:rsidRPr="005D7B01">
        <w:t xml:space="preserve">), sitting as a </w:t>
      </w:r>
      <w:r w:rsidRPr="005D7B01" w:rsidR="00DF4541">
        <w:t>Committee</w:t>
      </w:r>
      <w:r w:rsidRPr="005D7B01">
        <w:t xml:space="preserve"> composed of:</w:t>
      </w:r>
    </w:p>
    <w:p w:rsidRPr="005D7B01" w:rsidR="009F4C8F" w:rsidP="005D7B01" w:rsidRDefault="00DE0CD0">
      <w:pPr>
        <w:pStyle w:val="ECHRDecisionBody"/>
      </w:pPr>
      <w:r w:rsidRPr="005D7B01">
        <w:tab/>
      </w:r>
      <w:r w:rsidRPr="005D7B01" w:rsidR="00420D69">
        <w:t>Armen Harutyunyan</w:t>
      </w:r>
      <w:r w:rsidRPr="005D7B01">
        <w:t>,</w:t>
      </w:r>
      <w:r w:rsidRPr="005D7B01">
        <w:rPr>
          <w:i/>
        </w:rPr>
        <w:t xml:space="preserve"> President,</w:t>
      </w:r>
      <w:r w:rsidRPr="005D7B01">
        <w:rPr>
          <w:i/>
        </w:rPr>
        <w:br/>
      </w:r>
      <w:r w:rsidRPr="005D7B01">
        <w:tab/>
      </w:r>
      <w:r w:rsidRPr="005D7B01" w:rsidR="00420D69">
        <w:t>Krzysztof Wojtyczek</w:t>
      </w:r>
      <w:r w:rsidRPr="005D7B01">
        <w:t>,</w:t>
      </w:r>
      <w:r w:rsidRPr="005D7B01">
        <w:rPr>
          <w:i/>
        </w:rPr>
        <w:br/>
      </w:r>
      <w:r w:rsidRPr="005D7B01">
        <w:tab/>
        <w:t>Pauliine Koskelo,</w:t>
      </w:r>
      <w:r w:rsidRPr="005D7B01">
        <w:rPr>
          <w:i/>
        </w:rPr>
        <w:t xml:space="preserve"> judges,</w:t>
      </w:r>
      <w:r w:rsidRPr="005D7B01" w:rsidR="00475200">
        <w:rPr>
          <w:szCs w:val="24"/>
        </w:rPr>
        <w:br/>
      </w:r>
      <w:r w:rsidRPr="005D7B01" w:rsidR="00475200">
        <w:t xml:space="preserve">and </w:t>
      </w:r>
      <w:r w:rsidRPr="005D7B01" w:rsidR="00E64B4E">
        <w:t>Abel Campos</w:t>
      </w:r>
      <w:r w:rsidRPr="005D7B01" w:rsidR="00475200">
        <w:t xml:space="preserve">, </w:t>
      </w:r>
      <w:r w:rsidRPr="005D7B01" w:rsidR="00DF4541">
        <w:rPr>
          <w:i/>
        </w:rPr>
        <w:t xml:space="preserve">Section </w:t>
      </w:r>
      <w:r w:rsidRPr="005D7B01" w:rsidR="00DF4541">
        <w:rPr>
          <w:i/>
          <w:iCs/>
        </w:rPr>
        <w:t>Registrar</w:t>
      </w:r>
      <w:r w:rsidRPr="005D7B01" w:rsidR="00475200">
        <w:rPr>
          <w:i/>
        </w:rPr>
        <w:t>,</w:t>
      </w:r>
    </w:p>
    <w:p w:rsidRPr="005D7B01" w:rsidR="009F4C8F" w:rsidP="005D7B01" w:rsidRDefault="00475200">
      <w:pPr>
        <w:pStyle w:val="JuPara"/>
      </w:pPr>
      <w:bookmarkStart w:name="ITMARKHavingStart" w:id="2"/>
      <w:bookmarkEnd w:id="2"/>
      <w:r w:rsidRPr="005D7B01">
        <w:t xml:space="preserve">Having deliberated in private on </w:t>
      </w:r>
      <w:r w:rsidRPr="005D7B01" w:rsidR="00DF4541">
        <w:rPr>
          <w:szCs w:val="24"/>
        </w:rPr>
        <w:t>17 December 2019</w:t>
      </w:r>
      <w:r w:rsidRPr="005D7B01">
        <w:t>,</w:t>
      </w:r>
    </w:p>
    <w:p w:rsidRPr="005D7B01" w:rsidR="009F4C8F" w:rsidP="005D7B01" w:rsidRDefault="00475200">
      <w:pPr>
        <w:pStyle w:val="JuPara"/>
      </w:pPr>
      <w:r w:rsidRPr="005D7B01">
        <w:t>Delivers the following judgment, which was adopted on that date:</w:t>
      </w:r>
    </w:p>
    <w:p w:rsidRPr="005D7B01" w:rsidR="00DF4541" w:rsidP="005D7B01" w:rsidRDefault="00DF4541">
      <w:pPr>
        <w:pStyle w:val="JuHHead"/>
        <w:numPr>
          <w:ilvl w:val="0"/>
          <w:numId w:val="1"/>
        </w:numPr>
      </w:pPr>
      <w:r w:rsidRPr="005D7B01">
        <w:t>PROCEDURE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1</w:t>
      </w:r>
      <w:r w:rsidRPr="005D7B01">
        <w:fldChar w:fldCharType="end"/>
      </w:r>
      <w:r w:rsidRPr="005D7B01" w:rsidR="00DF4541">
        <w:t>.  The case originated in an application (no. 31792/15) against the Republic of Poland lodg</w:t>
      </w:r>
      <w:r w:rsidRPr="005D7B01" w:rsidR="00F60D59">
        <w:t xml:space="preserve">ed with the Court under Article </w:t>
      </w:r>
      <w:r w:rsidRPr="005D7B01" w:rsidR="00DF4541">
        <w:t xml:space="preserve">34 of the Convention for the Protection of Human Rights and Fundamental Freedoms (“the Convention”) by a Polish national, Mr </w:t>
      </w:r>
      <w:proofErr w:type="spellStart"/>
      <w:r w:rsidRPr="005D7B01" w:rsidR="00DF4541">
        <w:t>Kamil</w:t>
      </w:r>
      <w:proofErr w:type="spellEnd"/>
      <w:r w:rsidRPr="005D7B01" w:rsidR="00DF4541">
        <w:t xml:space="preserve"> </w:t>
      </w:r>
      <w:proofErr w:type="spellStart"/>
      <w:r w:rsidRPr="005D7B01" w:rsidR="00DF4541">
        <w:t>Janulis</w:t>
      </w:r>
      <w:proofErr w:type="spellEnd"/>
      <w:r w:rsidRPr="005D7B01" w:rsidR="00DF4541">
        <w:t xml:space="preserve"> (“the applicant”), on 13 May 2015.</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w:t>
      </w:r>
      <w:r w:rsidRPr="005D7B01">
        <w:fldChar w:fldCharType="end"/>
      </w:r>
      <w:r w:rsidRPr="005D7B01" w:rsidR="00DF4541">
        <w:t>.  The Polish Government (“the Government”) were represented by their Agent, Ms J. Chrzanowska and subsequently by Mr J. Sobczak, of the Ministry of Foreign Affairs.</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w:t>
      </w:r>
      <w:r w:rsidRPr="005D7B01">
        <w:fldChar w:fldCharType="end"/>
      </w:r>
      <w:r w:rsidRPr="005D7B01" w:rsidR="00DF4541">
        <w:t xml:space="preserve">.  On </w:t>
      </w:r>
      <w:r w:rsidRPr="005D7B01" w:rsidR="00DF4541">
        <w:rPr>
          <w:szCs w:val="24"/>
        </w:rPr>
        <w:t>6 July 2017</w:t>
      </w:r>
      <w:r w:rsidRPr="005D7B01" w:rsidR="00DF4541">
        <w:t xml:space="preserve"> the Government were given notice of the application.</w:t>
      </w:r>
    </w:p>
    <w:p w:rsidRPr="005D7B01" w:rsidR="00DF4541" w:rsidP="005D7B01" w:rsidRDefault="00DF4541">
      <w:pPr>
        <w:pStyle w:val="JuHHead"/>
        <w:numPr>
          <w:ilvl w:val="0"/>
          <w:numId w:val="1"/>
        </w:numPr>
      </w:pPr>
      <w:r w:rsidRPr="005D7B01">
        <w:t>THE FACTS</w:t>
      </w:r>
    </w:p>
    <w:p w:rsidRPr="005D7B01" w:rsidR="00DF4541" w:rsidP="005D7B01" w:rsidRDefault="00DF4541">
      <w:pPr>
        <w:pStyle w:val="JuHIRoman"/>
      </w:pPr>
      <w:r w:rsidRPr="005D7B01">
        <w:t>THE CIRCUMSTANCES OF THE CASE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4</w:t>
      </w:r>
      <w:r w:rsidRPr="005D7B01">
        <w:fldChar w:fldCharType="end"/>
      </w:r>
      <w:r w:rsidRPr="005D7B01" w:rsidR="00DF4541">
        <w:t xml:space="preserve">.  The applicant was born in 1980 and is detained in </w:t>
      </w:r>
      <w:proofErr w:type="spellStart"/>
      <w:r w:rsidRPr="005D7B01" w:rsidR="00DF4541">
        <w:t>Kamińsk</w:t>
      </w:r>
      <w:proofErr w:type="spellEnd"/>
      <w:r w:rsidRPr="005D7B01" w:rsidR="00DF4541">
        <w:t xml:space="preserve"> Prison.</w:t>
      </w:r>
    </w:p>
    <w:p w:rsidRPr="005D7B01" w:rsidR="00DF4541" w:rsidP="005D7B01" w:rsidRDefault="00DF4541">
      <w:pPr>
        <w:pStyle w:val="JuHA"/>
      </w:pPr>
      <w:r w:rsidRPr="005D7B01">
        <w:t>Criminal proceedings</w:t>
      </w:r>
    </w:p>
    <w:bookmarkStart w:name="chargedss" w:id="3"/>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5</w:t>
      </w:r>
      <w:r w:rsidRPr="005D7B01">
        <w:fldChar w:fldCharType="end"/>
      </w:r>
      <w:bookmarkEnd w:id="3"/>
      <w:r w:rsidRPr="005D7B01">
        <w:t>.  On 13 November 2012 the applicant was charged with fraud. On 5 September 2012 the applicant was heard as a witness and on 7</w:t>
      </w:r>
      <w:r w:rsidRPr="005D7B01" w:rsidR="00DE0CD0">
        <w:t> </w:t>
      </w:r>
      <w:r w:rsidRPr="005D7B01">
        <w:t>December 2012 as a suspect.</w:t>
      </w:r>
    </w:p>
    <w:bookmarkStart w:name="expertopinion" w:id="4"/>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6</w:t>
      </w:r>
      <w:r w:rsidRPr="005D7B01">
        <w:fldChar w:fldCharType="end"/>
      </w:r>
      <w:bookmarkEnd w:id="4"/>
      <w:r w:rsidRPr="005D7B01">
        <w:t>.  Between 21 December 2012 and 11 March 2013 the proceeding were stayed as the second suspect charged in the case had been searched by the police. On 20 June 2013 an expert opinion on the applicant</w:t>
      </w:r>
      <w:r w:rsidRPr="005D7B01" w:rsidR="005D7B01">
        <w:t>’</w:t>
      </w:r>
      <w:r w:rsidRPr="005D7B01">
        <w:t>s handwriting requested by the prosecutor was prepared.</w:t>
      </w:r>
    </w:p>
    <w:bookmarkStart w:name="postepowanieprokuratowa" w:id="5"/>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7</w:t>
      </w:r>
      <w:r w:rsidRPr="005D7B01">
        <w:fldChar w:fldCharType="end"/>
      </w:r>
      <w:bookmarkEnd w:id="5"/>
      <w:r w:rsidRPr="005D7B01">
        <w:t>.  Afterwards, the investigation was again stayed because the second suspect could not be found. In 2014 the prosecutor was informed that the suspect had left Poland and lived in the United Kingdom. In January 2015 the prosecutor decided to issue an arrest warrant to search for him.</w:t>
      </w:r>
    </w:p>
    <w:bookmarkStart w:name="chargessevered" w:id="6"/>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8</w:t>
      </w:r>
      <w:r w:rsidRPr="005D7B01">
        <w:fldChar w:fldCharType="end"/>
      </w:r>
      <w:bookmarkEnd w:id="6"/>
      <w:r w:rsidRPr="005D7B01">
        <w:t xml:space="preserve">.  On 7 June 2017 the </w:t>
      </w:r>
      <w:proofErr w:type="spellStart"/>
      <w:r w:rsidRPr="005D7B01">
        <w:t>Ostróda</w:t>
      </w:r>
      <w:proofErr w:type="spellEnd"/>
      <w:r w:rsidRPr="005D7B01">
        <w:t xml:space="preserve"> District Prosecutor severed charges against the applicant to a separate set of proceedings.</w:t>
      </w:r>
    </w:p>
    <w:bookmarkStart w:name="idicted" w:id="7"/>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9</w:t>
      </w:r>
      <w:r w:rsidRPr="005D7B01">
        <w:fldChar w:fldCharType="end"/>
      </w:r>
      <w:bookmarkEnd w:id="7"/>
      <w:r w:rsidRPr="005D7B01">
        <w:t xml:space="preserve">.  On 21 June 2017 the applicant was indicted before the </w:t>
      </w:r>
      <w:proofErr w:type="spellStart"/>
      <w:r w:rsidRPr="005D7B01">
        <w:t>Ostróda</w:t>
      </w:r>
      <w:proofErr w:type="spellEnd"/>
      <w:r w:rsidRPr="005D7B01">
        <w:t xml:space="preserve"> District Court.</w:t>
      </w:r>
    </w:p>
    <w:bookmarkStart w:name="convictiononehearing" w:id="8"/>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10</w:t>
      </w:r>
      <w:r w:rsidRPr="005D7B01">
        <w:fldChar w:fldCharType="end"/>
      </w:r>
      <w:bookmarkEnd w:id="8"/>
      <w:r w:rsidRPr="005D7B01">
        <w:t>.  It appears that the trial court held one hearing and on 8</w:t>
      </w:r>
      <w:r w:rsidRPr="005D7B01" w:rsidR="00DE0CD0">
        <w:t> </w:t>
      </w:r>
      <w:r w:rsidRPr="005D7B01">
        <w:t>August 2017 it convicted the applicant. He was sentenced to eight months</w:t>
      </w:r>
      <w:r w:rsidRPr="005D7B01" w:rsidR="005D7B01">
        <w:t>’</w:t>
      </w:r>
      <w:r w:rsidRPr="005D7B01">
        <w:t xml:space="preserve"> imprisonment. The applicant did not appeal and the judgment is final.</w:t>
      </w:r>
    </w:p>
    <w:p w:rsidRPr="005D7B01" w:rsidR="00DF4541" w:rsidP="005D7B01" w:rsidRDefault="00DF4541">
      <w:pPr>
        <w:pStyle w:val="JuHA"/>
      </w:pPr>
      <w:r w:rsidRPr="005D7B01">
        <w:t>Proceedings under the 2004 Act</w:t>
      </w:r>
    </w:p>
    <w:p w:rsidRPr="005D7B01" w:rsidR="00DF4541" w:rsidP="005D7B01" w:rsidRDefault="00964B37">
      <w:pPr>
        <w:pStyle w:val="JuPara"/>
        <w:rPr>
          <w:iCs/>
        </w:rPr>
      </w:pPr>
      <w:r w:rsidRPr="005D7B01">
        <w:fldChar w:fldCharType="begin"/>
      </w:r>
      <w:r w:rsidRPr="005D7B01">
        <w:instrText xml:space="preserve"> SEQ level0 \*arabic </w:instrText>
      </w:r>
      <w:r w:rsidRPr="005D7B01">
        <w:fldChar w:fldCharType="separate"/>
      </w:r>
      <w:r w:rsidRPr="005D7B01" w:rsidR="005D7B01">
        <w:rPr>
          <w:noProof/>
        </w:rPr>
        <w:t>11</w:t>
      </w:r>
      <w:r w:rsidRPr="005D7B01">
        <w:fldChar w:fldCharType="end"/>
      </w:r>
      <w:r w:rsidRPr="005D7B01" w:rsidR="00DF4541">
        <w:t>.  The applicant lodged five complaints under the Law of 17</w:t>
      </w:r>
      <w:r w:rsidRPr="005D7B01" w:rsidR="00DE0CD0">
        <w:t> </w:t>
      </w:r>
      <w:r w:rsidRPr="005D7B01" w:rsidR="00DF4541">
        <w:t>June 2004 on complaint about breach of the right to have a case examined in an investigation conducted or supervised by a prosecutor and in judicial proceedings without undue delay (</w:t>
      </w:r>
      <w:proofErr w:type="spellStart"/>
      <w:r w:rsidRPr="005D7B01" w:rsidR="00DF4541">
        <w:rPr>
          <w:i/>
          <w:iCs/>
        </w:rPr>
        <w:t>ustawa</w:t>
      </w:r>
      <w:proofErr w:type="spellEnd"/>
      <w:r w:rsidRPr="005D7B01" w:rsidR="00DF4541">
        <w:rPr>
          <w:i/>
          <w:iCs/>
        </w:rPr>
        <w:t xml:space="preserve"> o </w:t>
      </w:r>
      <w:proofErr w:type="spellStart"/>
      <w:r w:rsidRPr="005D7B01" w:rsidR="00DF4541">
        <w:rPr>
          <w:i/>
          <w:iCs/>
        </w:rPr>
        <w:t>skardze</w:t>
      </w:r>
      <w:proofErr w:type="spellEnd"/>
      <w:r w:rsidRPr="005D7B01" w:rsidR="00DF4541">
        <w:rPr>
          <w:i/>
          <w:iCs/>
        </w:rPr>
        <w:t xml:space="preserve"> </w:t>
      </w:r>
      <w:proofErr w:type="spellStart"/>
      <w:r w:rsidRPr="005D7B01" w:rsidR="00DF4541">
        <w:rPr>
          <w:i/>
          <w:iCs/>
        </w:rPr>
        <w:t>na</w:t>
      </w:r>
      <w:proofErr w:type="spellEnd"/>
      <w:r w:rsidRPr="005D7B01" w:rsidR="00DF4541">
        <w:rPr>
          <w:i/>
          <w:iCs/>
        </w:rPr>
        <w:t xml:space="preserve"> </w:t>
      </w:r>
      <w:proofErr w:type="spellStart"/>
      <w:r w:rsidRPr="005D7B01" w:rsidR="00DF4541">
        <w:rPr>
          <w:i/>
          <w:iCs/>
        </w:rPr>
        <w:t>naruszenie</w:t>
      </w:r>
      <w:proofErr w:type="spellEnd"/>
      <w:r w:rsidRPr="005D7B01" w:rsidR="00DF4541">
        <w:rPr>
          <w:i/>
          <w:iCs/>
        </w:rPr>
        <w:t xml:space="preserve"> </w:t>
      </w:r>
      <w:proofErr w:type="spellStart"/>
      <w:r w:rsidRPr="005D7B01" w:rsidR="00DF4541">
        <w:rPr>
          <w:i/>
          <w:iCs/>
        </w:rPr>
        <w:t>prawa</w:t>
      </w:r>
      <w:proofErr w:type="spellEnd"/>
      <w:r w:rsidRPr="005D7B01" w:rsidR="00DF4541">
        <w:rPr>
          <w:i/>
          <w:iCs/>
        </w:rPr>
        <w:t xml:space="preserve"> </w:t>
      </w:r>
      <w:proofErr w:type="spellStart"/>
      <w:r w:rsidRPr="005D7B01" w:rsidR="00DF4541">
        <w:rPr>
          <w:i/>
          <w:iCs/>
        </w:rPr>
        <w:t>strony</w:t>
      </w:r>
      <w:proofErr w:type="spellEnd"/>
      <w:r w:rsidRPr="005D7B01" w:rsidR="00DF4541">
        <w:rPr>
          <w:i/>
          <w:iCs/>
        </w:rPr>
        <w:t xml:space="preserve"> do </w:t>
      </w:r>
      <w:proofErr w:type="spellStart"/>
      <w:r w:rsidRPr="005D7B01" w:rsidR="00DF4541">
        <w:rPr>
          <w:i/>
          <w:iCs/>
        </w:rPr>
        <w:t>rozpoznania</w:t>
      </w:r>
      <w:proofErr w:type="spellEnd"/>
      <w:r w:rsidRPr="005D7B01" w:rsidR="00DF4541">
        <w:rPr>
          <w:i/>
          <w:iCs/>
        </w:rPr>
        <w:t xml:space="preserve"> </w:t>
      </w:r>
      <w:proofErr w:type="spellStart"/>
      <w:r w:rsidRPr="005D7B01" w:rsidR="00DF4541">
        <w:rPr>
          <w:i/>
          <w:iCs/>
        </w:rPr>
        <w:t>sprawy</w:t>
      </w:r>
      <w:proofErr w:type="spellEnd"/>
      <w:r w:rsidRPr="005D7B01" w:rsidR="00DF4541">
        <w:rPr>
          <w:i/>
          <w:iCs/>
        </w:rPr>
        <w:t xml:space="preserve"> w </w:t>
      </w:r>
      <w:proofErr w:type="spellStart"/>
      <w:r w:rsidRPr="005D7B01" w:rsidR="00DF4541">
        <w:rPr>
          <w:i/>
          <w:iCs/>
        </w:rPr>
        <w:t>postępowaniu</w:t>
      </w:r>
      <w:proofErr w:type="spellEnd"/>
      <w:r w:rsidRPr="005D7B01" w:rsidR="00DF4541">
        <w:rPr>
          <w:i/>
          <w:iCs/>
        </w:rPr>
        <w:t xml:space="preserve"> </w:t>
      </w:r>
      <w:proofErr w:type="spellStart"/>
      <w:r w:rsidRPr="005D7B01" w:rsidR="00DF4541">
        <w:rPr>
          <w:i/>
          <w:iCs/>
        </w:rPr>
        <w:t>przygotowawczym</w:t>
      </w:r>
      <w:proofErr w:type="spellEnd"/>
      <w:r w:rsidRPr="005D7B01" w:rsidR="00DF4541">
        <w:rPr>
          <w:i/>
          <w:iCs/>
        </w:rPr>
        <w:t xml:space="preserve"> </w:t>
      </w:r>
      <w:proofErr w:type="spellStart"/>
      <w:r w:rsidRPr="005D7B01" w:rsidR="00DF4541">
        <w:rPr>
          <w:i/>
          <w:iCs/>
        </w:rPr>
        <w:t>prowadzonym</w:t>
      </w:r>
      <w:proofErr w:type="spellEnd"/>
      <w:r w:rsidRPr="005D7B01" w:rsidR="00DF4541">
        <w:rPr>
          <w:i/>
          <w:iCs/>
        </w:rPr>
        <w:t xml:space="preserve"> </w:t>
      </w:r>
      <w:proofErr w:type="spellStart"/>
      <w:r w:rsidRPr="005D7B01" w:rsidR="00DF4541">
        <w:rPr>
          <w:i/>
          <w:iCs/>
        </w:rPr>
        <w:t>lub</w:t>
      </w:r>
      <w:proofErr w:type="spellEnd"/>
      <w:r w:rsidRPr="005D7B01" w:rsidR="00DF4541">
        <w:rPr>
          <w:i/>
          <w:iCs/>
        </w:rPr>
        <w:t xml:space="preserve"> </w:t>
      </w:r>
      <w:proofErr w:type="spellStart"/>
      <w:r w:rsidRPr="005D7B01" w:rsidR="00DF4541">
        <w:rPr>
          <w:i/>
          <w:iCs/>
        </w:rPr>
        <w:t>nadzorowanym</w:t>
      </w:r>
      <w:proofErr w:type="spellEnd"/>
      <w:r w:rsidRPr="005D7B01" w:rsidR="00DF4541">
        <w:rPr>
          <w:i/>
          <w:iCs/>
        </w:rPr>
        <w:t xml:space="preserve"> </w:t>
      </w:r>
      <w:proofErr w:type="spellStart"/>
      <w:r w:rsidRPr="005D7B01" w:rsidR="00DF4541">
        <w:rPr>
          <w:i/>
          <w:iCs/>
        </w:rPr>
        <w:t>przez</w:t>
      </w:r>
      <w:proofErr w:type="spellEnd"/>
      <w:r w:rsidRPr="005D7B01" w:rsidR="00DF4541">
        <w:rPr>
          <w:i/>
          <w:iCs/>
        </w:rPr>
        <w:t xml:space="preserve"> </w:t>
      </w:r>
      <w:proofErr w:type="spellStart"/>
      <w:r w:rsidRPr="005D7B01" w:rsidR="00DF4541">
        <w:rPr>
          <w:i/>
          <w:iCs/>
        </w:rPr>
        <w:t>prokuratora</w:t>
      </w:r>
      <w:proofErr w:type="spellEnd"/>
      <w:r w:rsidRPr="005D7B01" w:rsidR="00DF4541">
        <w:rPr>
          <w:i/>
          <w:iCs/>
        </w:rPr>
        <w:t xml:space="preserve"> </w:t>
      </w:r>
      <w:proofErr w:type="spellStart"/>
      <w:r w:rsidRPr="005D7B01" w:rsidR="00DF4541">
        <w:rPr>
          <w:i/>
          <w:iCs/>
        </w:rPr>
        <w:t>i</w:t>
      </w:r>
      <w:proofErr w:type="spellEnd"/>
      <w:r w:rsidRPr="005D7B01" w:rsidR="00DF4541">
        <w:rPr>
          <w:i/>
          <w:iCs/>
        </w:rPr>
        <w:t xml:space="preserve"> </w:t>
      </w:r>
      <w:proofErr w:type="spellStart"/>
      <w:r w:rsidRPr="005D7B01" w:rsidR="00DF4541">
        <w:rPr>
          <w:i/>
          <w:iCs/>
        </w:rPr>
        <w:t>postępowaniu</w:t>
      </w:r>
      <w:proofErr w:type="spellEnd"/>
      <w:r w:rsidRPr="005D7B01" w:rsidR="00DF4541">
        <w:rPr>
          <w:i/>
          <w:iCs/>
        </w:rPr>
        <w:t xml:space="preserve"> </w:t>
      </w:r>
      <w:proofErr w:type="spellStart"/>
      <w:r w:rsidRPr="005D7B01" w:rsidR="00DF4541">
        <w:rPr>
          <w:i/>
          <w:iCs/>
        </w:rPr>
        <w:t>sądowym</w:t>
      </w:r>
      <w:proofErr w:type="spellEnd"/>
      <w:r w:rsidRPr="005D7B01" w:rsidR="00DF4541">
        <w:rPr>
          <w:i/>
          <w:iCs/>
        </w:rPr>
        <w:t xml:space="preserve"> bez </w:t>
      </w:r>
      <w:proofErr w:type="spellStart"/>
      <w:r w:rsidRPr="005D7B01" w:rsidR="00DF4541">
        <w:rPr>
          <w:i/>
          <w:iCs/>
        </w:rPr>
        <w:t>nieuzasadnionej</w:t>
      </w:r>
      <w:proofErr w:type="spellEnd"/>
      <w:r w:rsidRPr="005D7B01" w:rsidR="00DF4541">
        <w:rPr>
          <w:i/>
          <w:iCs/>
        </w:rPr>
        <w:t xml:space="preserve"> </w:t>
      </w:r>
      <w:proofErr w:type="spellStart"/>
      <w:r w:rsidRPr="005D7B01" w:rsidR="00DF4541">
        <w:rPr>
          <w:i/>
          <w:iCs/>
        </w:rPr>
        <w:t>zwłoki</w:t>
      </w:r>
      <w:proofErr w:type="spellEnd"/>
      <w:r w:rsidRPr="005D7B01" w:rsidR="00DF4541">
        <w:rPr>
          <w:i/>
          <w:iCs/>
        </w:rPr>
        <w:t xml:space="preserve"> - </w:t>
      </w:r>
      <w:r w:rsidRPr="005D7B01" w:rsidR="00DF4541">
        <w:rPr>
          <w:iCs/>
        </w:rPr>
        <w:t>“the 2004 Act”).</w:t>
      </w:r>
    </w:p>
    <w:p w:rsidRPr="005D7B01" w:rsidR="00DF4541" w:rsidP="005D7B01" w:rsidRDefault="00DF4541">
      <w:pPr>
        <w:pStyle w:val="JuPara"/>
        <w:rPr>
          <w:iCs/>
        </w:rPr>
      </w:pPr>
      <w:r w:rsidRPr="005D7B01">
        <w:rPr>
          <w:iCs/>
        </w:rPr>
        <w:fldChar w:fldCharType="begin"/>
      </w:r>
      <w:r w:rsidRPr="005D7B01">
        <w:rPr>
          <w:iCs/>
        </w:rPr>
        <w:instrText xml:space="preserve"> SEQ level0 \*arabic </w:instrText>
      </w:r>
      <w:r w:rsidRPr="005D7B01">
        <w:rPr>
          <w:iCs/>
        </w:rPr>
        <w:fldChar w:fldCharType="separate"/>
      </w:r>
      <w:r w:rsidRPr="005D7B01" w:rsidR="005D7B01">
        <w:rPr>
          <w:iCs/>
          <w:noProof/>
        </w:rPr>
        <w:t>12</w:t>
      </w:r>
      <w:r w:rsidRPr="005D7B01">
        <w:rPr>
          <w:iCs/>
        </w:rPr>
        <w:fldChar w:fldCharType="end"/>
      </w:r>
      <w:r w:rsidRPr="005D7B01">
        <w:rPr>
          <w:iCs/>
        </w:rPr>
        <w:t>.  The complaints l</w:t>
      </w:r>
      <w:r w:rsidRPr="005D7B01" w:rsidR="00DE0CD0">
        <w:rPr>
          <w:iCs/>
        </w:rPr>
        <w:t>odged on 15 October 2013 and 16 </w:t>
      </w:r>
      <w:r w:rsidRPr="005D7B01">
        <w:rPr>
          <w:iCs/>
        </w:rPr>
        <w:t xml:space="preserve">December 2014 </w:t>
      </w:r>
      <w:proofErr w:type="gramStart"/>
      <w:r w:rsidRPr="005D7B01">
        <w:rPr>
          <w:iCs/>
        </w:rPr>
        <w:t>were</w:t>
      </w:r>
      <w:proofErr w:type="gramEnd"/>
      <w:r w:rsidRPr="005D7B01">
        <w:rPr>
          <w:iCs/>
        </w:rPr>
        <w:t xml:space="preserve"> dismissed as manifestly ill-founded and two other complaints were rejected as they had been lodged less than twelve months following a previous decision under the 2004 Act.</w:t>
      </w:r>
    </w:p>
    <w:bookmarkStart w:name="skragakudlowa" w:id="9"/>
    <w:p w:rsidRPr="005D7B01" w:rsidR="00DF4541" w:rsidP="005D7B01" w:rsidRDefault="00DF4541">
      <w:pPr>
        <w:pStyle w:val="JuPara"/>
        <w:rPr>
          <w:iCs/>
        </w:rPr>
      </w:pPr>
      <w:r w:rsidRPr="005D7B01">
        <w:rPr>
          <w:iCs/>
        </w:rPr>
        <w:fldChar w:fldCharType="begin"/>
      </w:r>
      <w:r w:rsidRPr="005D7B01">
        <w:rPr>
          <w:iCs/>
        </w:rPr>
        <w:instrText xml:space="preserve"> SEQ level0 \*arabic </w:instrText>
      </w:r>
      <w:r w:rsidRPr="005D7B01">
        <w:rPr>
          <w:iCs/>
        </w:rPr>
        <w:fldChar w:fldCharType="separate"/>
      </w:r>
      <w:r w:rsidRPr="005D7B01" w:rsidR="005D7B01">
        <w:rPr>
          <w:iCs/>
          <w:noProof/>
        </w:rPr>
        <w:t>13</w:t>
      </w:r>
      <w:r w:rsidRPr="005D7B01">
        <w:rPr>
          <w:iCs/>
        </w:rPr>
        <w:fldChar w:fldCharType="end"/>
      </w:r>
      <w:bookmarkEnd w:id="9"/>
      <w:r w:rsidRPr="005D7B01">
        <w:rPr>
          <w:iCs/>
        </w:rPr>
        <w:t xml:space="preserve">.  On 28 February 2017 the </w:t>
      </w:r>
      <w:proofErr w:type="spellStart"/>
      <w:r w:rsidRPr="005D7B01">
        <w:rPr>
          <w:iCs/>
        </w:rPr>
        <w:t>Elbląg</w:t>
      </w:r>
      <w:proofErr w:type="spellEnd"/>
      <w:r w:rsidRPr="005D7B01">
        <w:rPr>
          <w:iCs/>
        </w:rPr>
        <w:t xml:space="preserve"> Regional Court partly allowed his last complaint and found that the length of the investigation had been excessive. It awarded the applicant 3,000 Polish zlotys (PLN) in compensation (approximately 700 euros (EUR) at the material time). The court considered that for the last few years the actions of the prosecutor had been limited to repeating sporadic requests to various domestic institutions inquiring after the second suspect</w:t>
      </w:r>
      <w:r w:rsidRPr="005D7B01" w:rsidR="005D7B01">
        <w:rPr>
          <w:iCs/>
        </w:rPr>
        <w:t>’</w:t>
      </w:r>
      <w:r w:rsidRPr="005D7B01">
        <w:rPr>
          <w:iCs/>
        </w:rPr>
        <w:t>s address. Those activities concerned the other suspect and not the applicant. Moreover, between each such action there had been long periods of inactivity. The court also suggested that the prosecutor could have had already in 2014 severed charges against the applicant to a separate set of proceedings which would have allowed him to indict the applicant for the offences which he had allegedly committed.</w:t>
      </w:r>
    </w:p>
    <w:p w:rsidRPr="005D7B01" w:rsidR="00DF4541" w:rsidP="005D7B01" w:rsidRDefault="00DF4541">
      <w:pPr>
        <w:pStyle w:val="JuHIRoman"/>
      </w:pPr>
      <w:r w:rsidRPr="005D7B01">
        <w:t>RELEVANT DOMESTIC LAW AND PRACTICE</w:t>
      </w:r>
    </w:p>
    <w:p w:rsidRPr="005D7B01" w:rsidR="00DF4541" w:rsidP="005D7B01" w:rsidRDefault="00964B37">
      <w:pPr>
        <w:pStyle w:val="JuPara"/>
        <w:rPr>
          <w:iCs/>
        </w:rPr>
      </w:pPr>
      <w:r w:rsidRPr="005D7B01">
        <w:fldChar w:fldCharType="begin"/>
      </w:r>
      <w:r w:rsidRPr="005D7B01">
        <w:instrText xml:space="preserve"> SEQ level0 \*arabic </w:instrText>
      </w:r>
      <w:r w:rsidRPr="005D7B01">
        <w:fldChar w:fldCharType="separate"/>
      </w:r>
      <w:r w:rsidRPr="005D7B01" w:rsidR="005D7B01">
        <w:rPr>
          <w:noProof/>
        </w:rPr>
        <w:t>14</w:t>
      </w:r>
      <w:r w:rsidRPr="005D7B01">
        <w:fldChar w:fldCharType="end"/>
      </w:r>
      <w:r w:rsidRPr="005D7B01" w:rsidR="00DF4541">
        <w:t>.  A detailed description of the relevant domestic law and practice concerning remedies for excessive length of judicial proceedings – in particular the applicable provisions of the 2004 Act – are presented in the Court</w:t>
      </w:r>
      <w:r w:rsidRPr="005D7B01" w:rsidR="005D7B01">
        <w:t>’</w:t>
      </w:r>
      <w:r w:rsidRPr="005D7B01" w:rsidR="00DF4541">
        <w:t xml:space="preserve">s decisions in the cases of </w:t>
      </w:r>
      <w:proofErr w:type="spellStart"/>
      <w:r w:rsidRPr="005D7B01" w:rsidR="00DF4541">
        <w:rPr>
          <w:i/>
        </w:rPr>
        <w:t>Charzyński</w:t>
      </w:r>
      <w:proofErr w:type="spellEnd"/>
      <w:r w:rsidRPr="005D7B01" w:rsidR="00DF4541">
        <w:rPr>
          <w:i/>
        </w:rPr>
        <w:t xml:space="preserve"> v. Poland</w:t>
      </w:r>
      <w:r w:rsidRPr="005D7B01" w:rsidR="00DF4541">
        <w:t xml:space="preserve"> ((</w:t>
      </w:r>
      <w:proofErr w:type="spellStart"/>
      <w:r w:rsidRPr="005D7B01" w:rsidR="00DF4541">
        <w:t>dec.</w:t>
      </w:r>
      <w:proofErr w:type="spellEnd"/>
      <w:r w:rsidRPr="005D7B01" w:rsidR="00DF4541">
        <w:t xml:space="preserve">), no. 15212/03, §§ 12-23, ECHR 2005-V) and </w:t>
      </w:r>
      <w:proofErr w:type="spellStart"/>
      <w:r w:rsidRPr="005D7B01" w:rsidR="00DF4541">
        <w:rPr>
          <w:i/>
        </w:rPr>
        <w:t>Ratajczyk</w:t>
      </w:r>
      <w:proofErr w:type="spellEnd"/>
      <w:r w:rsidRPr="005D7B01" w:rsidR="00DF4541">
        <w:rPr>
          <w:i/>
        </w:rPr>
        <w:t xml:space="preserve"> v. Poland</w:t>
      </w:r>
      <w:r w:rsidRPr="005D7B01" w:rsidR="00DF4541">
        <w:t xml:space="preserve"> ((</w:t>
      </w:r>
      <w:proofErr w:type="spellStart"/>
      <w:r w:rsidRPr="005D7B01" w:rsidR="00DF4541">
        <w:t>dec.</w:t>
      </w:r>
      <w:proofErr w:type="spellEnd"/>
      <w:r w:rsidRPr="005D7B01" w:rsidR="00DF4541">
        <w:t xml:space="preserve">), no. 11215/02, ECHR 2005-VIII), and in its judgments in the cases of </w:t>
      </w:r>
      <w:proofErr w:type="spellStart"/>
      <w:r w:rsidRPr="005D7B01" w:rsidR="00DF4541">
        <w:rPr>
          <w:i/>
        </w:rPr>
        <w:t>Krasuski</w:t>
      </w:r>
      <w:proofErr w:type="spellEnd"/>
      <w:r w:rsidRPr="005D7B01" w:rsidR="00DF4541">
        <w:rPr>
          <w:i/>
        </w:rPr>
        <w:t xml:space="preserve"> v. Poland</w:t>
      </w:r>
      <w:r w:rsidRPr="005D7B01" w:rsidR="00DF4541">
        <w:t xml:space="preserve"> (no. 61444/00, §§ 34-46, ECHR 2005-V) and, most recently, </w:t>
      </w:r>
      <w:proofErr w:type="spellStart"/>
      <w:r w:rsidRPr="005D7B01" w:rsidR="00DF4541">
        <w:rPr>
          <w:i/>
        </w:rPr>
        <w:t>Rutkowski</w:t>
      </w:r>
      <w:proofErr w:type="spellEnd"/>
      <w:r w:rsidRPr="005D7B01" w:rsidR="00DF4541">
        <w:rPr>
          <w:i/>
        </w:rPr>
        <w:t xml:space="preserve"> and Others v. Poland</w:t>
      </w:r>
      <w:r w:rsidRPr="005D7B01" w:rsidR="00DE0CD0">
        <w:t xml:space="preserve"> (nos. </w:t>
      </w:r>
      <w:r w:rsidRPr="005D7B01" w:rsidR="00DF4541">
        <w:t>72287/10, 13927/11 and 46187/11, §§ 75-107, 7 July 2015).</w:t>
      </w:r>
    </w:p>
    <w:p w:rsidRPr="005D7B01" w:rsidR="00DF4541" w:rsidP="005D7B01" w:rsidRDefault="00DF4541">
      <w:pPr>
        <w:pStyle w:val="JuHHead"/>
        <w:numPr>
          <w:ilvl w:val="0"/>
          <w:numId w:val="2"/>
        </w:numPr>
      </w:pPr>
      <w:r w:rsidRPr="005D7B01">
        <w:t>THE LAW</w:t>
      </w:r>
    </w:p>
    <w:p w:rsidRPr="005D7B01" w:rsidR="00DF4541" w:rsidP="005D7B01" w:rsidRDefault="00DF4541">
      <w:pPr>
        <w:pStyle w:val="JuHIRoman"/>
        <w:numPr>
          <w:ilvl w:val="1"/>
          <w:numId w:val="2"/>
        </w:numPr>
      </w:pPr>
      <w:r w:rsidRPr="005D7B01">
        <w:t>ALLEGED VIOLATION OF ARTICLE 6 § 1 OF THE CONVENTION</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15</w:t>
      </w:r>
      <w:r w:rsidRPr="005D7B01">
        <w:fldChar w:fldCharType="end"/>
      </w:r>
      <w:r w:rsidRPr="005D7B01" w:rsidR="00DF4541">
        <w:t>.  The applicant complained that the length of the proceedings had been incompatible with the “reasonable time” requ</w:t>
      </w:r>
      <w:r w:rsidRPr="005D7B01" w:rsidR="00F60D59">
        <w:t xml:space="preserve">irement, laid down in Article 6 </w:t>
      </w:r>
      <w:r w:rsidRPr="005D7B01" w:rsidR="00DF4541">
        <w:t>§ 1 of the Convention, which reads as follows:</w:t>
      </w:r>
    </w:p>
    <w:p w:rsidRPr="005D7B01" w:rsidR="00DF4541" w:rsidP="005D7B01" w:rsidRDefault="00DF4541">
      <w:pPr>
        <w:pStyle w:val="JuQuot"/>
      </w:pPr>
      <w:r w:rsidRPr="005D7B01">
        <w:t>“In the determination of ... any criminal charge against him everyone is entitled to a ... hearing within a reasonable time by a ... tribunal...”</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16</w:t>
      </w:r>
      <w:r w:rsidRPr="005D7B01">
        <w:fldChar w:fldCharType="end"/>
      </w:r>
      <w:r w:rsidRPr="005D7B01" w:rsidR="00DF4541">
        <w:t>.  The Government contested that argument.</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17</w:t>
      </w:r>
      <w:r w:rsidRPr="005D7B01">
        <w:fldChar w:fldCharType="end"/>
      </w:r>
      <w:r w:rsidRPr="005D7B01" w:rsidR="00DF4541">
        <w:t xml:space="preserve">.  The period to be taken into consideration began on </w:t>
      </w:r>
      <w:r w:rsidRPr="005D7B01" w:rsidR="00DE0CD0">
        <w:t>13 </w:t>
      </w:r>
      <w:r w:rsidRPr="005D7B01" w:rsidR="00DF4541">
        <w:t xml:space="preserve">November 2012 and ended on 8 August 2017 (see paragraphs </w:t>
      </w:r>
      <w:r w:rsidRPr="005D7B01" w:rsidR="00753851">
        <w:t xml:space="preserve">5 </w:t>
      </w:r>
      <w:r w:rsidRPr="005D7B01" w:rsidR="00DF4541">
        <w:t xml:space="preserve">and </w:t>
      </w:r>
      <w:r w:rsidRPr="005D7B01" w:rsidR="00753851">
        <w:t>10</w:t>
      </w:r>
      <w:r w:rsidRPr="005D7B01" w:rsidR="00DF4541">
        <w:t>above). It thus lasted 4 years and 9 months for one level of jurisdiction.</w:t>
      </w:r>
    </w:p>
    <w:p w:rsidRPr="005D7B01" w:rsidR="00DF4541" w:rsidP="005D7B01" w:rsidRDefault="00DF4541">
      <w:pPr>
        <w:pStyle w:val="JuHA"/>
        <w:numPr>
          <w:ilvl w:val="2"/>
          <w:numId w:val="2"/>
        </w:numPr>
      </w:pPr>
      <w:r w:rsidRPr="005D7B01">
        <w:t>Admissibility</w:t>
      </w:r>
    </w:p>
    <w:p w:rsidRPr="005D7B01" w:rsidR="00DF4541" w:rsidP="005D7B01" w:rsidRDefault="00964B37">
      <w:pPr>
        <w:pStyle w:val="JuPara"/>
        <w:rPr>
          <w:szCs w:val="24"/>
        </w:rPr>
      </w:pPr>
      <w:r w:rsidRPr="005D7B01">
        <w:fldChar w:fldCharType="begin"/>
      </w:r>
      <w:r w:rsidRPr="005D7B01">
        <w:instrText xml:space="preserve"> SEQ level0 \*arabic </w:instrText>
      </w:r>
      <w:r w:rsidRPr="005D7B01">
        <w:fldChar w:fldCharType="separate"/>
      </w:r>
      <w:r w:rsidRPr="005D7B01" w:rsidR="005D7B01">
        <w:rPr>
          <w:noProof/>
        </w:rPr>
        <w:t>18</w:t>
      </w:r>
      <w:r w:rsidRPr="005D7B01">
        <w:fldChar w:fldCharType="end"/>
      </w:r>
      <w:r w:rsidRPr="005D7B01" w:rsidR="00DF4541">
        <w:t>.  </w:t>
      </w:r>
      <w:r w:rsidRPr="005D7B01" w:rsidR="00DF4541">
        <w:rPr>
          <w:szCs w:val="24"/>
        </w:rPr>
        <w:t xml:space="preserve">The Government raised a preliminary objection that the applicant </w:t>
      </w:r>
      <w:r w:rsidRPr="005D7B01" w:rsidR="00DF4541">
        <w:t xml:space="preserve">can no longer be </w:t>
      </w:r>
      <w:r w:rsidRPr="005D7B01" w:rsidR="00DF4541">
        <w:rPr>
          <w:szCs w:val="24"/>
        </w:rPr>
        <w:t>considered a “victim”, within the meaning of Article</w:t>
      </w:r>
      <w:r w:rsidRPr="005D7B01" w:rsidR="00DE0CD0">
        <w:rPr>
          <w:szCs w:val="24"/>
        </w:rPr>
        <w:t> </w:t>
      </w:r>
      <w:r w:rsidRPr="005D7B01" w:rsidR="00DF4541">
        <w:rPr>
          <w:szCs w:val="24"/>
        </w:rPr>
        <w:t>34 of the Convention, of a violation of his right to a hearing within a reasonable time. The Court notes that this issue falls to be determined in the light of the principles established under the Court</w:t>
      </w:r>
      <w:r w:rsidRPr="005D7B01" w:rsidR="005D7B01">
        <w:rPr>
          <w:szCs w:val="24"/>
        </w:rPr>
        <w:t>’</w:t>
      </w:r>
      <w:r w:rsidRPr="005D7B01" w:rsidR="00DF4541">
        <w:rPr>
          <w:szCs w:val="24"/>
        </w:rPr>
        <w:t>s case-law (see</w:t>
      </w:r>
      <w:r w:rsidRPr="005D7B01" w:rsidR="00DE0CD0">
        <w:rPr>
          <w:i/>
        </w:rPr>
        <w:t xml:space="preserve"> </w:t>
      </w:r>
      <w:proofErr w:type="spellStart"/>
      <w:r w:rsidRPr="005D7B01" w:rsidR="00DE0CD0">
        <w:rPr>
          <w:i/>
        </w:rPr>
        <w:t>Cocchiarella</w:t>
      </w:r>
      <w:proofErr w:type="spellEnd"/>
      <w:r w:rsidRPr="005D7B01" w:rsidR="00DE0CD0">
        <w:rPr>
          <w:i/>
        </w:rPr>
        <w:t xml:space="preserve"> v. </w:t>
      </w:r>
      <w:r w:rsidRPr="005D7B01" w:rsidR="00DF4541">
        <w:rPr>
          <w:i/>
        </w:rPr>
        <w:t>Italy</w:t>
      </w:r>
      <w:r w:rsidRPr="005D7B01" w:rsidR="00DE0CD0">
        <w:t xml:space="preserve"> [GC], no. </w:t>
      </w:r>
      <w:r w:rsidRPr="005D7B01" w:rsidR="00DF4541">
        <w:t xml:space="preserve">64886/01, </w:t>
      </w:r>
      <w:r w:rsidRPr="005D7B01" w:rsidR="00DF4541">
        <w:rPr>
          <w:szCs w:val="24"/>
        </w:rPr>
        <w:t>§§ 69</w:t>
      </w:r>
      <w:r w:rsidRPr="005D7B01" w:rsidR="00DF4541">
        <w:rPr>
          <w:szCs w:val="24"/>
        </w:rPr>
        <w:noBreakHyphen/>
        <w:t>107</w:t>
      </w:r>
      <w:r w:rsidRPr="005D7B01" w:rsidR="00DF4541">
        <w:t>, ECHR 2006</w:t>
      </w:r>
      <w:r w:rsidRPr="005D7B01" w:rsidR="00DF4541">
        <w:noBreakHyphen/>
        <w:t>V</w:t>
      </w:r>
      <w:r w:rsidRPr="005D7B01" w:rsidR="0036691F">
        <w:t>,</w:t>
      </w:r>
      <w:r w:rsidRPr="005D7B01" w:rsidR="00DF4541">
        <w:rPr>
          <w:szCs w:val="24"/>
        </w:rPr>
        <w:t xml:space="preserve"> and </w:t>
      </w:r>
      <w:proofErr w:type="spellStart"/>
      <w:r w:rsidRPr="005D7B01" w:rsidR="00DE0CD0">
        <w:rPr>
          <w:i/>
        </w:rPr>
        <w:t>Scordino</w:t>
      </w:r>
      <w:proofErr w:type="spellEnd"/>
      <w:r w:rsidRPr="005D7B01" w:rsidR="00DE0CD0">
        <w:rPr>
          <w:i/>
        </w:rPr>
        <w:t xml:space="preserve"> v. </w:t>
      </w:r>
      <w:r w:rsidRPr="005D7B01" w:rsidR="00DF4541">
        <w:rPr>
          <w:i/>
        </w:rPr>
        <w:t>Italy (no.</w:t>
      </w:r>
      <w:r w:rsidRPr="005D7B01" w:rsidR="00DE0CD0">
        <w:rPr>
          <w:i/>
        </w:rPr>
        <w:t> </w:t>
      </w:r>
      <w:r w:rsidRPr="005D7B01" w:rsidR="00DF4541">
        <w:rPr>
          <w:i/>
        </w:rPr>
        <w:t xml:space="preserve">1) </w:t>
      </w:r>
      <w:r w:rsidRPr="005D7B01" w:rsidR="00DE0CD0">
        <w:t>[GC], no. </w:t>
      </w:r>
      <w:r w:rsidRPr="005D7B01" w:rsidR="00DF4541">
        <w:t xml:space="preserve">36813/97, </w:t>
      </w:r>
      <w:r w:rsidRPr="005D7B01" w:rsidR="00DF4541">
        <w:rPr>
          <w:szCs w:val="24"/>
        </w:rPr>
        <w:t>§§ 178</w:t>
      </w:r>
      <w:r w:rsidRPr="005D7B01" w:rsidR="00DF4541">
        <w:rPr>
          <w:szCs w:val="24"/>
        </w:rPr>
        <w:noBreakHyphen/>
        <w:t>213</w:t>
      </w:r>
      <w:r w:rsidRPr="005D7B01" w:rsidR="00DF4541">
        <w:t>, ECHR 2006</w:t>
      </w:r>
      <w:r w:rsidRPr="005D7B01" w:rsidR="00DF4541">
        <w:noBreakHyphen/>
        <w:t>V</w:t>
      </w:r>
      <w:r w:rsidRPr="005D7B01" w:rsidR="00DF4541">
        <w:rPr>
          <w:szCs w:val="24"/>
        </w:rPr>
        <w:t>).</w:t>
      </w:r>
    </w:p>
    <w:p w:rsidRPr="005D7B01" w:rsidR="00DF4541" w:rsidP="005D7B01" w:rsidRDefault="00DF4541">
      <w:pPr>
        <w:pStyle w:val="JuPara"/>
        <w:rPr>
          <w:szCs w:val="24"/>
        </w:rPr>
      </w:pPr>
      <w:r w:rsidRPr="005D7B01">
        <w:rPr>
          <w:szCs w:val="24"/>
        </w:rPr>
        <w:fldChar w:fldCharType="begin"/>
      </w:r>
      <w:r w:rsidRPr="005D7B01">
        <w:rPr>
          <w:szCs w:val="24"/>
        </w:rPr>
        <w:instrText xml:space="preserve"> SEQ level0 \*arabic </w:instrText>
      </w:r>
      <w:r w:rsidRPr="005D7B01">
        <w:rPr>
          <w:szCs w:val="24"/>
        </w:rPr>
        <w:fldChar w:fldCharType="separate"/>
      </w:r>
      <w:r w:rsidRPr="005D7B01" w:rsidR="005D7B01">
        <w:rPr>
          <w:noProof/>
          <w:szCs w:val="24"/>
        </w:rPr>
        <w:t>19</w:t>
      </w:r>
      <w:r w:rsidRPr="005D7B01">
        <w:rPr>
          <w:szCs w:val="24"/>
        </w:rPr>
        <w:fldChar w:fldCharType="end"/>
      </w:r>
      <w:r w:rsidRPr="005D7B01">
        <w:rPr>
          <w:szCs w:val="24"/>
        </w:rPr>
        <w:t>.  The applicant disagreed and considered that the award he had obtained domestically had not been satisfactory, taking into account the overall length of the proceedings.</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20</w:t>
      </w:r>
      <w:r w:rsidRPr="005D7B01">
        <w:fldChar w:fldCharType="end"/>
      </w:r>
      <w:r w:rsidRPr="005D7B01" w:rsidR="00DF4541">
        <w:t xml:space="preserve">.  The Court notes that the </w:t>
      </w:r>
      <w:proofErr w:type="spellStart"/>
      <w:r w:rsidRPr="005D7B01" w:rsidR="00DF4541">
        <w:t>Elbląg</w:t>
      </w:r>
      <w:proofErr w:type="spellEnd"/>
      <w:r w:rsidRPr="005D7B01" w:rsidR="00DF4541">
        <w:t xml:space="preserve"> Regional Court analysed the course of </w:t>
      </w:r>
      <w:r w:rsidRPr="005D7B01" w:rsidR="00DF4541">
        <w:rPr>
          <w:sz w:val="22"/>
        </w:rPr>
        <w:t>the</w:t>
      </w:r>
      <w:r w:rsidRPr="005D7B01" w:rsidR="00DF4541">
        <w:t xml:space="preserve"> impugned proceedings in the light of the criteria which the Court itself applies. It concluded that there had been delays for which the domestic authorities should be held responsible and the applicant</w:t>
      </w:r>
      <w:r w:rsidRPr="005D7B01" w:rsidR="005D7B01">
        <w:t>’</w:t>
      </w:r>
      <w:r w:rsidRPr="005D7B01" w:rsidR="00DF4541">
        <w:t xml:space="preserve">s right to a hearing without unjustified delay had been breached and awarded the applicant the equivalent of EUR 700 in respect of the length of the proceedings. The just satisfaction awarded by the </w:t>
      </w:r>
      <w:proofErr w:type="spellStart"/>
      <w:r w:rsidRPr="005D7B01" w:rsidR="00DF4541">
        <w:rPr>
          <w:iCs/>
        </w:rPr>
        <w:t>Elbląg</w:t>
      </w:r>
      <w:proofErr w:type="spellEnd"/>
      <w:r w:rsidRPr="005D7B01" w:rsidR="00DF4541">
        <w:rPr>
          <w:iCs/>
        </w:rPr>
        <w:t xml:space="preserve"> </w:t>
      </w:r>
      <w:r w:rsidRPr="005D7B01" w:rsidR="00DF4541">
        <w:t>Regional Court amounts to approximately 27 per cent of what the Court would be likely to have awarded the applicant at that time in accordance with its practice, taking into account the particular circumstances of the case.</w:t>
      </w:r>
    </w:p>
    <w:bookmarkStart w:name="redresstoolow" w:id="10"/>
    <w:p w:rsidRPr="005D7B01" w:rsidR="00DF4541" w:rsidP="005D7B01" w:rsidRDefault="00DF4541">
      <w:pPr>
        <w:pStyle w:val="JuPara"/>
        <w:rPr>
          <w:i/>
          <w:szCs w:val="24"/>
        </w:rPr>
      </w:pPr>
      <w:r w:rsidRPr="005D7B01">
        <w:fldChar w:fldCharType="begin"/>
      </w:r>
      <w:r w:rsidRPr="005D7B01">
        <w:instrText xml:space="preserve"> SEQ level0 \*arabic </w:instrText>
      </w:r>
      <w:r w:rsidRPr="005D7B01">
        <w:fldChar w:fldCharType="separate"/>
      </w:r>
      <w:r w:rsidRPr="005D7B01" w:rsidR="005D7B01">
        <w:rPr>
          <w:noProof/>
        </w:rPr>
        <w:t>21</w:t>
      </w:r>
      <w:r w:rsidRPr="005D7B01">
        <w:fldChar w:fldCharType="end"/>
      </w:r>
      <w:bookmarkEnd w:id="10"/>
      <w:r w:rsidRPr="005D7B01">
        <w:t xml:space="preserve">.  The Court finds that the redress provided to the applicant at domestic level, considered on the basis of the facts of which he complains before the Court, was insufficient (see </w:t>
      </w:r>
      <w:proofErr w:type="spellStart"/>
      <w:r w:rsidRPr="005D7B01" w:rsidR="00DE0CD0">
        <w:rPr>
          <w:i/>
          <w:szCs w:val="24"/>
        </w:rPr>
        <w:t>Czajka</w:t>
      </w:r>
      <w:proofErr w:type="spellEnd"/>
      <w:r w:rsidRPr="005D7B01" w:rsidR="00DE0CD0">
        <w:rPr>
          <w:i/>
          <w:szCs w:val="24"/>
        </w:rPr>
        <w:t xml:space="preserve"> v. </w:t>
      </w:r>
      <w:r w:rsidRPr="005D7B01">
        <w:rPr>
          <w:i/>
          <w:szCs w:val="24"/>
        </w:rPr>
        <w:t>Poland</w:t>
      </w:r>
      <w:r w:rsidRPr="005D7B01" w:rsidR="00DE0CD0">
        <w:rPr>
          <w:szCs w:val="24"/>
        </w:rPr>
        <w:t>, no. </w:t>
      </w:r>
      <w:r w:rsidRPr="005D7B01">
        <w:rPr>
          <w:szCs w:val="24"/>
        </w:rPr>
        <w:t>15067/02, §</w:t>
      </w:r>
      <w:r w:rsidRPr="005D7B01" w:rsidR="00DE0CD0">
        <w:rPr>
          <w:szCs w:val="24"/>
        </w:rPr>
        <w:t> </w:t>
      </w:r>
      <w:r w:rsidRPr="005D7B01">
        <w:rPr>
          <w:szCs w:val="24"/>
        </w:rPr>
        <w:t>56, 13 February 2007</w:t>
      </w:r>
      <w:r w:rsidRPr="005D7B01" w:rsidR="0036691F">
        <w:rPr>
          <w:szCs w:val="24"/>
        </w:rPr>
        <w:t>,</w:t>
      </w:r>
      <w:r w:rsidRPr="005D7B01">
        <w:rPr>
          <w:szCs w:val="24"/>
        </w:rPr>
        <w:t xml:space="preserve"> and </w:t>
      </w:r>
      <w:proofErr w:type="spellStart"/>
      <w:r w:rsidRPr="005D7B01" w:rsidR="00DE0CD0">
        <w:rPr>
          <w:i/>
          <w:szCs w:val="24"/>
        </w:rPr>
        <w:t>Pastuszenia</w:t>
      </w:r>
      <w:proofErr w:type="spellEnd"/>
      <w:r w:rsidRPr="005D7B01" w:rsidR="00DE0CD0">
        <w:rPr>
          <w:i/>
          <w:szCs w:val="24"/>
        </w:rPr>
        <w:t xml:space="preserve"> v. </w:t>
      </w:r>
      <w:r w:rsidRPr="005D7B01">
        <w:rPr>
          <w:i/>
          <w:szCs w:val="24"/>
        </w:rPr>
        <w:t>Poland</w:t>
      </w:r>
      <w:r w:rsidRPr="005D7B01" w:rsidR="00DE0CD0">
        <w:rPr>
          <w:szCs w:val="24"/>
        </w:rPr>
        <w:t>, no. 46074/07, § </w:t>
      </w:r>
      <w:r w:rsidRPr="005D7B01">
        <w:rPr>
          <w:szCs w:val="24"/>
        </w:rPr>
        <w:t>37, 21 September 2010</w:t>
      </w:r>
      <w:r w:rsidRPr="005D7B01">
        <w:t>). In these circumstances, the argument that the applicant has lost his victim status cannot be upheld.</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22</w:t>
      </w:r>
      <w:r w:rsidRPr="005D7B01">
        <w:fldChar w:fldCharType="end"/>
      </w:r>
      <w:r w:rsidRPr="005D7B01" w:rsidR="00DF4541">
        <w:t xml:space="preserve">.  The Court notes that this </w:t>
      </w:r>
      <w:r w:rsidRPr="005D7B01" w:rsidR="00ED26F2">
        <w:t>complaint is not manifestly ill</w:t>
      </w:r>
      <w:r w:rsidRPr="005D7B01" w:rsidR="00ED26F2">
        <w:noBreakHyphen/>
      </w:r>
      <w:r w:rsidRPr="005D7B01" w:rsidR="00DF4541">
        <w:t>founded within the meaning of Article 35 § 3 (a) of the Convention. It further notes that it is not inadmissible on any other grounds. It must therefore be declared admissible.</w:t>
      </w:r>
    </w:p>
    <w:p w:rsidRPr="005D7B01" w:rsidR="00DF4541" w:rsidP="005D7B01" w:rsidRDefault="00DF4541">
      <w:pPr>
        <w:pStyle w:val="JuHA"/>
        <w:numPr>
          <w:ilvl w:val="2"/>
          <w:numId w:val="2"/>
        </w:numPr>
      </w:pPr>
      <w:r w:rsidRPr="005D7B01">
        <w:t>Merits</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23</w:t>
      </w:r>
      <w:r w:rsidRPr="005D7B01">
        <w:fldChar w:fldCharType="end"/>
      </w:r>
      <w:r w:rsidRPr="005D7B01" w:rsidR="00DF4541">
        <w:t>.  The applicant argued that the length of the proceedings had clearly been in breach of the “reasonable time” principle. The prosecutor was not diligent and dealt with a very simple case for an excessive number of years.</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24</w:t>
      </w:r>
      <w:r w:rsidRPr="005D7B01">
        <w:fldChar w:fldCharType="end"/>
      </w:r>
      <w:r w:rsidRPr="005D7B01" w:rsidR="00DF4541">
        <w:t>.  The Government refrained from commenting on the merits of the applicant</w:t>
      </w:r>
      <w:r w:rsidRPr="005D7B01" w:rsidR="005D7B01">
        <w:t>’</w:t>
      </w:r>
      <w:r w:rsidRPr="005D7B01" w:rsidR="00DF4541">
        <w:t>s complaint.</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25</w:t>
      </w:r>
      <w:r w:rsidRPr="005D7B01">
        <w:fldChar w:fldCharType="end"/>
      </w:r>
      <w:r w:rsidRPr="005D7B01" w:rsidR="00DF4541">
        <w:t>.  The Court reiterates that the reasonableness of the length of proceedings must be assessed in the light of the particular circumstances of the case and taking into account the criteria laid down in the Court</w:t>
      </w:r>
      <w:r w:rsidRPr="005D7B01" w:rsidR="005D7B01">
        <w:t>’</w:t>
      </w:r>
      <w:r w:rsidRPr="005D7B01" w:rsidR="00DF4541">
        <w:t>s case</w:t>
      </w:r>
      <w:r w:rsidRPr="005D7B01" w:rsidR="00DF4541">
        <w:noBreakHyphen/>
        <w:t xml:space="preserve">law, in particular the complexity of the case and the conduct of the applicant and of the relevant authorities. On the latter point, account must also be taken of what is at stake for the applicant (see </w:t>
      </w:r>
      <w:proofErr w:type="spellStart"/>
      <w:r w:rsidRPr="005D7B01" w:rsidR="00DE0CD0">
        <w:rPr>
          <w:i/>
        </w:rPr>
        <w:t>Kudła</w:t>
      </w:r>
      <w:proofErr w:type="spellEnd"/>
      <w:r w:rsidRPr="005D7B01" w:rsidR="00DE0CD0">
        <w:rPr>
          <w:i/>
        </w:rPr>
        <w:t xml:space="preserve"> v. </w:t>
      </w:r>
      <w:r w:rsidRPr="005D7B01" w:rsidR="00DF4541">
        <w:rPr>
          <w:i/>
        </w:rPr>
        <w:t>Poland</w:t>
      </w:r>
      <w:r w:rsidRPr="005D7B01" w:rsidR="00DF4541">
        <w:t xml:space="preserve"> [GC], no. 30210/96, § 124 ECHR 2000</w:t>
      </w:r>
      <w:r w:rsidRPr="005D7B01" w:rsidR="00DF4541">
        <w:rPr>
          <w:rFonts w:hint="eastAsia"/>
        </w:rPr>
        <w:t>‑</w:t>
      </w:r>
      <w:r w:rsidRPr="005D7B01" w:rsidR="00DE0CD0">
        <w:t>XI, for further case</w:t>
      </w:r>
      <w:r w:rsidRPr="005D7B01" w:rsidR="00DE0CD0">
        <w:noBreakHyphen/>
      </w:r>
      <w:r w:rsidRPr="005D7B01" w:rsidR="00DF4541">
        <w:t xml:space="preserve">law references see </w:t>
      </w:r>
      <w:proofErr w:type="spellStart"/>
      <w:r w:rsidRPr="005D7B01" w:rsidR="00DF4541">
        <w:rPr>
          <w:i/>
        </w:rPr>
        <w:t>Rutkowski</w:t>
      </w:r>
      <w:proofErr w:type="spellEnd"/>
      <w:r w:rsidRPr="005D7B01" w:rsidR="00DF4541">
        <w:rPr>
          <w:i/>
        </w:rPr>
        <w:t xml:space="preserve"> and Others</w:t>
      </w:r>
      <w:r w:rsidRPr="005D7B01" w:rsidR="00DF4541">
        <w:t>, cited above, §§ 126</w:t>
      </w:r>
      <w:r w:rsidRPr="005D7B01" w:rsidR="00DF4541">
        <w:noBreakHyphen/>
        <w:t>128).</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26</w:t>
      </w:r>
      <w:r w:rsidRPr="005D7B01">
        <w:fldChar w:fldCharType="end"/>
      </w:r>
      <w:r w:rsidRPr="005D7B01" w:rsidR="00DF4541">
        <w:t>.  The Court agrees with the applicant that the proceedings did not involve complex issues of facts and law. It took the trial court about six weeks to give a judgment after having received the</w:t>
      </w:r>
      <w:r w:rsidRPr="005D7B01" w:rsidR="00F60D59">
        <w:t xml:space="preserve"> bill indictment (see paragraph </w:t>
      </w:r>
      <w:r w:rsidRPr="005D7B01" w:rsidR="00753851">
        <w:t xml:space="preserve">10 </w:t>
      </w:r>
      <w:r w:rsidRPr="005D7B01" w:rsidR="00DF4541">
        <w:t>above). There is also no appearance that the applicant had in any way contributed to the overall length of the proceedings in his case.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27</w:t>
      </w:r>
      <w:r w:rsidRPr="005D7B01">
        <w:fldChar w:fldCharType="end"/>
      </w:r>
      <w:r w:rsidRPr="005D7B01" w:rsidR="00DF4541">
        <w:t xml:space="preserve">.  As to the conduct of the authorities, the Court observes that charges against the applicant were brought in November 2012 but he was indicted only in June 2017. At the initial stage of the investigation the prosecutor took evidence from the applicant and in June 2013 obtained an expert opinion on his handwriting (see paragraph </w:t>
      </w:r>
      <w:r w:rsidRPr="005D7B01" w:rsidR="00753851">
        <w:t>6</w:t>
      </w:r>
      <w:r w:rsidRPr="005D7B01" w:rsidR="00DF4541">
        <w:t xml:space="preserve"> above). However, during the subsequent four years the prosecutors</w:t>
      </w:r>
      <w:r w:rsidRPr="005D7B01" w:rsidR="005D7B01">
        <w:t>’</w:t>
      </w:r>
      <w:r w:rsidRPr="005D7B01" w:rsidR="00DF4541">
        <w:t xml:space="preserve"> procedural activity concentrated exclusively on the other suspect, who had apparently fled Poland. There is no evidence of any action of the prosecutor during this period, which would concern the applicant (see paragraphs </w:t>
      </w:r>
      <w:r w:rsidRPr="005D7B01" w:rsidR="00753851">
        <w:t>7</w:t>
      </w:r>
      <w:r w:rsidRPr="005D7B01" w:rsidR="00DF4541">
        <w:t xml:space="preserve"> and </w:t>
      </w:r>
      <w:r w:rsidRPr="005D7B01" w:rsidR="00753851">
        <w:t>13</w:t>
      </w:r>
      <w:r w:rsidRPr="005D7B01" w:rsidR="00DF4541">
        <w:t xml:space="preserve"> above). In consequence, the case against the applicant lay dormant for the period of four years until the prosecutor decided to follow the </w:t>
      </w:r>
      <w:proofErr w:type="spellStart"/>
      <w:r w:rsidRPr="005D7B01" w:rsidR="00DF4541">
        <w:rPr>
          <w:iCs/>
        </w:rPr>
        <w:t>Elbląg</w:t>
      </w:r>
      <w:proofErr w:type="spellEnd"/>
      <w:r w:rsidRPr="005D7B01" w:rsidR="00DF4541">
        <w:rPr>
          <w:iCs/>
        </w:rPr>
        <w:t xml:space="preserve"> </w:t>
      </w:r>
      <w:r w:rsidRPr="005D7B01" w:rsidR="00DF4541">
        <w:t>Regional Court</w:t>
      </w:r>
      <w:r w:rsidRPr="005D7B01" w:rsidR="005D7B01">
        <w:t>’</w:t>
      </w:r>
      <w:r w:rsidRPr="005D7B01" w:rsidR="00DF4541">
        <w:t>s suggestion to severe charges against him to a separate set of the proceedings. The Court fully endorses the domestic court</w:t>
      </w:r>
      <w:r w:rsidRPr="005D7B01" w:rsidR="005D7B01">
        <w:t>’</w:t>
      </w:r>
      <w:r w:rsidRPr="005D7B01" w:rsidR="00DF4541">
        <w:t>s critical assessment of the prosecutor</w:t>
      </w:r>
      <w:r w:rsidRPr="005D7B01" w:rsidR="005D7B01">
        <w:t>’</w:t>
      </w:r>
      <w:r w:rsidRPr="005D7B01" w:rsidR="00DF4541">
        <w:t>s inactivity in the applicant</w:t>
      </w:r>
      <w:r w:rsidRPr="005D7B01" w:rsidR="005D7B01">
        <w:t>’</w:t>
      </w:r>
      <w:r w:rsidRPr="005D7B01" w:rsidR="00DF4541">
        <w:t xml:space="preserve">s case (see paragraph </w:t>
      </w:r>
      <w:r w:rsidRPr="005D7B01" w:rsidR="00741D11">
        <w:t>13</w:t>
      </w:r>
      <w:r w:rsidRPr="005D7B01" w:rsidR="00DF4541">
        <w:t xml:space="preserve"> above).</w:t>
      </w:r>
    </w:p>
    <w:bookmarkStart w:name="violation6" w:id="11"/>
    <w:p w:rsidRPr="005D7B01" w:rsidR="00DF4541" w:rsidP="005D7B01" w:rsidRDefault="00DF4541">
      <w:pPr>
        <w:pStyle w:val="JuPara"/>
      </w:pPr>
      <w:r w:rsidRPr="005D7B01">
        <w:fldChar w:fldCharType="begin"/>
      </w:r>
      <w:r w:rsidRPr="005D7B01">
        <w:instrText xml:space="preserve"> SEQ level0 \*arabic </w:instrText>
      </w:r>
      <w:r w:rsidRPr="005D7B01">
        <w:fldChar w:fldCharType="separate"/>
      </w:r>
      <w:r w:rsidRPr="005D7B01" w:rsidR="005D7B01">
        <w:rPr>
          <w:noProof/>
        </w:rPr>
        <w:t>28</w:t>
      </w:r>
      <w:r w:rsidRPr="005D7B01">
        <w:fldChar w:fldCharType="end"/>
      </w:r>
      <w:bookmarkEnd w:id="11"/>
      <w:r w:rsidRPr="005D7B01">
        <w:t>.  Accordingly, having regard to the four-year period of total inactivity of the investigative authorities in examination of the charges against the applicant, the Court considers that in the present case there has been a violation of Article</w:t>
      </w:r>
      <w:r w:rsidRPr="005D7B01" w:rsidR="00ED26F2">
        <w:t> </w:t>
      </w:r>
      <w:r w:rsidRPr="005D7B01">
        <w:t>6 § 1 of the Convention.</w:t>
      </w:r>
    </w:p>
    <w:p w:rsidRPr="005D7B01" w:rsidR="00DF4541" w:rsidP="005D7B01" w:rsidRDefault="00DF4541">
      <w:pPr>
        <w:pStyle w:val="JuHIRoman"/>
        <w:numPr>
          <w:ilvl w:val="1"/>
          <w:numId w:val="2"/>
        </w:numPr>
      </w:pPr>
      <w:r w:rsidRPr="005D7B01">
        <w:t>ALLEGED VIOLATION OF ARTICLE 13 OF THE CONVENTION</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29</w:t>
      </w:r>
      <w:r w:rsidRPr="005D7B01">
        <w:fldChar w:fldCharType="end"/>
      </w:r>
      <w:r w:rsidRPr="005D7B01" w:rsidR="00DF4541">
        <w:t>.  The applicant further submitted that he had no effective domestic remedy in respect of the protracted length of proceedings in his case. He relied on Article 13 of the Convention, which reads:</w:t>
      </w:r>
    </w:p>
    <w:p w:rsidRPr="005D7B01" w:rsidR="00DF4541" w:rsidP="005D7B01" w:rsidRDefault="00DF4541">
      <w:pPr>
        <w:pStyle w:val="JuQuot"/>
      </w:pPr>
      <w:r w:rsidRPr="005D7B01" w:rsidDel="00D82C4F">
        <w:t xml:space="preserve"> </w:t>
      </w:r>
      <w:r w:rsidRPr="005D7B01">
        <w:t>“Everyone whose rights and freedoms as set forth in [the] Convention are violated shall have an effective remedy before a national authority notwithstanding that the violation has been committed by persons acting in an official capacity.”</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30</w:t>
      </w:r>
      <w:r w:rsidRPr="005D7B01">
        <w:fldChar w:fldCharType="end"/>
      </w:r>
      <w:r w:rsidRPr="005D7B01" w:rsidR="00DF4541">
        <w:t>.  The Government failed to comment on the applicant</w:t>
      </w:r>
      <w:r w:rsidRPr="005D7B01" w:rsidR="005D7B01">
        <w:t>’</w:t>
      </w:r>
      <w:r w:rsidRPr="005D7B01" w:rsidR="00DF4541">
        <w:t>s complaint.</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31</w:t>
      </w:r>
      <w:r w:rsidRPr="005D7B01">
        <w:fldChar w:fldCharType="end"/>
      </w:r>
      <w:r w:rsidRPr="005D7B01" w:rsidR="00DF4541">
        <w:t xml:space="preserve">.  The Court notes that this complaint is linked to the one examined above and must therefore likewise </w:t>
      </w:r>
      <w:proofErr w:type="gramStart"/>
      <w:r w:rsidRPr="005D7B01" w:rsidR="00DF4541">
        <w:t>be</w:t>
      </w:r>
      <w:proofErr w:type="gramEnd"/>
      <w:r w:rsidRPr="005D7B01" w:rsidR="00DF4541">
        <w:t xml:space="preserve"> declared admissible.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32</w:t>
      </w:r>
      <w:r w:rsidRPr="005D7B01">
        <w:fldChar w:fldCharType="end"/>
      </w:r>
      <w:r w:rsidRPr="005D7B01" w:rsidR="00DF4541">
        <w:t xml:space="preserve">.  The Court reiterates that Article 13 guarantees an effective remedy before a national authority for an alleged breach of the requirement under Article 6 § 1 to hear a case within a reasonable time (see </w:t>
      </w:r>
      <w:proofErr w:type="spellStart"/>
      <w:r w:rsidRPr="005D7B01" w:rsidR="00DF4541">
        <w:rPr>
          <w:i/>
          <w:iCs/>
        </w:rPr>
        <w:t>Kudła</w:t>
      </w:r>
      <w:proofErr w:type="spellEnd"/>
      <w:r w:rsidRPr="005D7B01" w:rsidR="00DF4541">
        <w:rPr>
          <w:iCs/>
        </w:rPr>
        <w:t>, cited above, §§</w:t>
      </w:r>
      <w:r w:rsidRPr="005D7B01" w:rsidR="00DE0CD0">
        <w:rPr>
          <w:iCs/>
        </w:rPr>
        <w:t> </w:t>
      </w:r>
      <w:r w:rsidRPr="005D7B01" w:rsidR="00DF4541">
        <w:rPr>
          <w:iCs/>
        </w:rPr>
        <w:t>146-56</w:t>
      </w:r>
      <w:r w:rsidRPr="005D7B01" w:rsidR="00DF4541">
        <w:t>). The relevan</w:t>
      </w:r>
      <w:r w:rsidRPr="005D7B01" w:rsidR="0036691F">
        <w:t xml:space="preserve">t principles, as established in </w:t>
      </w:r>
      <w:proofErr w:type="spellStart"/>
      <w:r w:rsidRPr="005D7B01" w:rsidR="00DF4541">
        <w:rPr>
          <w:i/>
          <w:iCs/>
        </w:rPr>
        <w:t>Kudła</w:t>
      </w:r>
      <w:proofErr w:type="spellEnd"/>
      <w:r w:rsidRPr="005D7B01" w:rsidR="0036691F">
        <w:t xml:space="preserve"> </w:t>
      </w:r>
      <w:r w:rsidRPr="005D7B01" w:rsidR="00DF4541">
        <w:t>and the Court</w:t>
      </w:r>
      <w:r w:rsidRPr="005D7B01" w:rsidR="005D7B01">
        <w:t>’</w:t>
      </w:r>
      <w:r w:rsidRPr="005D7B01" w:rsidR="00DF4541">
        <w:t xml:space="preserve">s subsequent judgments, has been set out in </w:t>
      </w:r>
      <w:proofErr w:type="spellStart"/>
      <w:r w:rsidRPr="005D7B01" w:rsidR="00DF4541">
        <w:rPr>
          <w:i/>
        </w:rPr>
        <w:t>Rutkowski</w:t>
      </w:r>
      <w:proofErr w:type="spellEnd"/>
      <w:r w:rsidRPr="005D7B01" w:rsidR="00DF4541">
        <w:t xml:space="preserve"> pilot judgment (</w:t>
      </w:r>
      <w:proofErr w:type="spellStart"/>
      <w:r w:rsidRPr="005D7B01" w:rsidR="00DF4541">
        <w:rPr>
          <w:i/>
        </w:rPr>
        <w:t>Rutkowski</w:t>
      </w:r>
      <w:proofErr w:type="spellEnd"/>
      <w:r w:rsidRPr="005D7B01" w:rsidR="00DF4541">
        <w:rPr>
          <w:i/>
        </w:rPr>
        <w:t xml:space="preserve"> and Others</w:t>
      </w:r>
      <w:r w:rsidRPr="005D7B01" w:rsidR="00DF4541">
        <w:t>, cited above, §§ 126</w:t>
      </w:r>
      <w:r w:rsidRPr="005D7B01" w:rsidR="00DF4541">
        <w:noBreakHyphen/>
        <w:t>128)</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33</w:t>
      </w:r>
      <w:r w:rsidRPr="005D7B01">
        <w:fldChar w:fldCharType="end"/>
      </w:r>
      <w:r w:rsidRPr="005D7B01" w:rsidR="00DF4541">
        <w:t>.  The Court has already found that that the applicant</w:t>
      </w:r>
      <w:r w:rsidRPr="005D7B01" w:rsidR="005D7B01">
        <w:t>’</w:t>
      </w:r>
      <w:r w:rsidRPr="005D7B01" w:rsidR="00DF4541">
        <w:t>s right to a hearing within a reasonable time guaranteed by Article</w:t>
      </w:r>
      <w:r w:rsidRPr="005D7B01" w:rsidR="00DE0CD0">
        <w:t> </w:t>
      </w:r>
      <w:r w:rsidRPr="005D7B01" w:rsidR="00DF4541">
        <w:t>6 §</w:t>
      </w:r>
      <w:r w:rsidRPr="005D7B01" w:rsidR="00DE0CD0">
        <w:t> </w:t>
      </w:r>
      <w:r w:rsidRPr="005D7B01" w:rsidR="00DF4541">
        <w:t xml:space="preserve">1 of the Convention has not been respected (see paragraph </w:t>
      </w:r>
      <w:r w:rsidRPr="005D7B01" w:rsidR="00741D11">
        <w:t>28</w:t>
      </w:r>
      <w:r w:rsidRPr="005D7B01" w:rsidR="00DF4541">
        <w:t xml:space="preserve"> above). There is, therefore, no doubt that his complaint is “arguable” for the purposes of Article 13 and that he was entitled to a remedy whereby he could obtain appropriate relief for the Convention breach before the domestic authority, including compensation for non-pecuniary damage suffered on account of delays that had occurred in his case (s</w:t>
      </w:r>
      <w:r w:rsidRPr="005D7B01" w:rsidR="0036691F">
        <w:t xml:space="preserve">ee </w:t>
      </w:r>
      <w:proofErr w:type="spellStart"/>
      <w:r w:rsidRPr="005D7B01" w:rsidR="00DF4541">
        <w:rPr>
          <w:i/>
          <w:iCs/>
        </w:rPr>
        <w:t>Kudła</w:t>
      </w:r>
      <w:proofErr w:type="spellEnd"/>
      <w:r w:rsidRPr="005D7B01" w:rsidR="00DF4541">
        <w:rPr>
          <w:i/>
          <w:iCs/>
        </w:rPr>
        <w:t>,</w:t>
      </w:r>
      <w:r w:rsidRPr="005D7B01" w:rsidR="0036691F">
        <w:rPr>
          <w:i/>
          <w:iCs/>
        </w:rPr>
        <w:t xml:space="preserve"> </w:t>
      </w:r>
      <w:r w:rsidRPr="005D7B01" w:rsidR="00DF4541">
        <w:t>cited above, §</w:t>
      </w:r>
      <w:r w:rsidRPr="005D7B01" w:rsidR="00DE0CD0">
        <w:t> </w:t>
      </w:r>
      <w:r w:rsidRPr="005D7B01" w:rsidR="00DF4541">
        <w:t>157).</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34</w:t>
      </w:r>
      <w:r w:rsidRPr="005D7B01">
        <w:fldChar w:fldCharType="end"/>
      </w:r>
      <w:r w:rsidRPr="005D7B01" w:rsidR="00DF4541">
        <w:t xml:space="preserve">.  On 28 February 2017 the </w:t>
      </w:r>
      <w:proofErr w:type="spellStart"/>
      <w:r w:rsidRPr="005D7B01" w:rsidR="00DF4541">
        <w:rPr>
          <w:iCs/>
        </w:rPr>
        <w:t>Elbląg</w:t>
      </w:r>
      <w:proofErr w:type="spellEnd"/>
      <w:r w:rsidRPr="005D7B01" w:rsidR="00DF4541">
        <w:rPr>
          <w:iCs/>
        </w:rPr>
        <w:t xml:space="preserve"> Regional Court partly allowed the applicant</w:t>
      </w:r>
      <w:r w:rsidRPr="005D7B01" w:rsidR="005D7B01">
        <w:rPr>
          <w:iCs/>
        </w:rPr>
        <w:t>’</w:t>
      </w:r>
      <w:r w:rsidRPr="005D7B01" w:rsidR="00DF4541">
        <w:rPr>
          <w:iCs/>
        </w:rPr>
        <w:t>s fifth complaint under the 2004 Act and acknowledged that the length of the investigation had been excessive compensation. However, t</w:t>
      </w:r>
      <w:r w:rsidRPr="005D7B01" w:rsidR="00DF4541">
        <w:t xml:space="preserve">he Court has found that the amount of compensation awarded to the applicant had been insufficient in the light of the standards set by the Court (see paragraph </w:t>
      </w:r>
      <w:r w:rsidRPr="005D7B01" w:rsidR="00741D11">
        <w:t>21</w:t>
      </w:r>
      <w:r w:rsidRPr="005D7B01" w:rsidR="00DF4541">
        <w:t xml:space="preserve"> above).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35</w:t>
      </w:r>
      <w:r w:rsidRPr="005D7B01">
        <w:fldChar w:fldCharType="end"/>
      </w:r>
      <w:r w:rsidRPr="005D7B01" w:rsidR="00DF4541">
        <w:t>.  In view of the foregoing, the Court finds that a complaint under the 2004 Act failed to provide the applicant with “appropriate and sufficient redress” in terms of adequate compensation for the excessive length of the proceedings in his</w:t>
      </w:r>
      <w:r w:rsidRPr="005D7B01" w:rsidR="0036691F">
        <w:t xml:space="preserve"> case (see </w:t>
      </w:r>
      <w:proofErr w:type="spellStart"/>
      <w:r w:rsidRPr="005D7B01" w:rsidR="00DF4541">
        <w:rPr>
          <w:i/>
          <w:iCs/>
        </w:rPr>
        <w:t>Scordino</w:t>
      </w:r>
      <w:proofErr w:type="spellEnd"/>
      <w:r w:rsidRPr="005D7B01" w:rsidR="00DF4541">
        <w:rPr>
          <w:i/>
          <w:iCs/>
        </w:rPr>
        <w:t xml:space="preserve"> (no.1)</w:t>
      </w:r>
      <w:r w:rsidRPr="005D7B01" w:rsidR="00DF4541">
        <w:t xml:space="preserve">, § 181 and </w:t>
      </w:r>
      <w:proofErr w:type="spellStart"/>
      <w:r w:rsidRPr="005D7B01" w:rsidR="00DF4541">
        <w:rPr>
          <w:i/>
        </w:rPr>
        <w:t>Rutkowski</w:t>
      </w:r>
      <w:proofErr w:type="spellEnd"/>
      <w:r w:rsidRPr="005D7B01" w:rsidR="00DF4541">
        <w:rPr>
          <w:i/>
        </w:rPr>
        <w:t xml:space="preserve"> and Others</w:t>
      </w:r>
      <w:r w:rsidRPr="005D7B01" w:rsidR="00DF4541">
        <w:t>, cited above, §</w:t>
      </w:r>
      <w:r w:rsidRPr="005D7B01" w:rsidR="00DE0CD0">
        <w:t> </w:t>
      </w:r>
      <w:r w:rsidRPr="005D7B01" w:rsidR="00DF4541">
        <w:t>183).</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36</w:t>
      </w:r>
      <w:r w:rsidRPr="005D7B01">
        <w:fldChar w:fldCharType="end"/>
      </w:r>
      <w:r w:rsidRPr="005D7B01" w:rsidR="00DF4541">
        <w:t>.  There has accordingly been a violation of Article</w:t>
      </w:r>
      <w:r w:rsidRPr="005D7B01" w:rsidR="00DE0CD0">
        <w:t> </w:t>
      </w:r>
      <w:r w:rsidRPr="005D7B01" w:rsidR="00DF4541">
        <w:t>13 of the Convention.</w:t>
      </w:r>
    </w:p>
    <w:p w:rsidRPr="005D7B01" w:rsidR="00DF4541" w:rsidP="005D7B01" w:rsidRDefault="00DF4541">
      <w:pPr>
        <w:pStyle w:val="JuHIRoman"/>
        <w:numPr>
          <w:ilvl w:val="1"/>
          <w:numId w:val="2"/>
        </w:numPr>
      </w:pPr>
      <w:r w:rsidRPr="005D7B01">
        <w:t>APPLICATION OF ARTICLE 41 OF THE CONVENTION</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37</w:t>
      </w:r>
      <w:r w:rsidRPr="005D7B01">
        <w:fldChar w:fldCharType="end"/>
      </w:r>
      <w:r w:rsidRPr="005D7B01" w:rsidR="00DF4541">
        <w:t>.  Article 41 of the Convention provides:</w:t>
      </w:r>
    </w:p>
    <w:p w:rsidRPr="005D7B01" w:rsidR="00DF4541" w:rsidP="005D7B01" w:rsidRDefault="00DF4541">
      <w:pPr>
        <w:pStyle w:val="JuQuot"/>
        <w:keepNext/>
        <w:keepLines/>
      </w:pPr>
      <w:r w:rsidRPr="005D7B0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D7B01" w:rsidR="00DF4541" w:rsidP="005D7B01" w:rsidRDefault="00DF4541">
      <w:pPr>
        <w:pStyle w:val="JuHA"/>
        <w:numPr>
          <w:ilvl w:val="2"/>
          <w:numId w:val="2"/>
        </w:numPr>
      </w:pPr>
      <w:r w:rsidRPr="005D7B01">
        <w:t>Damage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38</w:t>
      </w:r>
      <w:r w:rsidRPr="005D7B01">
        <w:fldChar w:fldCharType="end"/>
      </w:r>
      <w:r w:rsidRPr="005D7B01" w:rsidR="00DF4541">
        <w:t>.  The applicant claimed equivalent to 1,800 euros (EUR) in respect of non-pecuniary damage.</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39</w:t>
      </w:r>
      <w:r w:rsidRPr="005D7B01">
        <w:fldChar w:fldCharType="end"/>
      </w:r>
      <w:r w:rsidRPr="005D7B01" w:rsidR="00DF4541">
        <w:t>.  The Government did not express an opinion on the matter.</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40</w:t>
      </w:r>
      <w:r w:rsidRPr="005D7B01">
        <w:fldChar w:fldCharType="end"/>
      </w:r>
      <w:r w:rsidRPr="005D7B01" w:rsidR="00DF4541">
        <w:t>.  The Court considers that it should award the full sum claimed.</w:t>
      </w:r>
    </w:p>
    <w:p w:rsidRPr="005D7B01" w:rsidR="00DF4541" w:rsidP="005D7B01" w:rsidRDefault="00DF4541">
      <w:pPr>
        <w:pStyle w:val="JuHA"/>
        <w:numPr>
          <w:ilvl w:val="2"/>
          <w:numId w:val="2"/>
        </w:numPr>
      </w:pPr>
      <w:r w:rsidRPr="005D7B01">
        <w:t>Costs and expenses</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41</w:t>
      </w:r>
      <w:r w:rsidRPr="005D7B01">
        <w:fldChar w:fldCharType="end"/>
      </w:r>
      <w:r w:rsidRPr="005D7B01" w:rsidR="00DF4541">
        <w:t>.  The applicant did not make any claim for the costs and expenses.</w:t>
      </w:r>
    </w:p>
    <w:p w:rsidRPr="005D7B01" w:rsidR="00DF4541" w:rsidP="005D7B01" w:rsidRDefault="00DF4541">
      <w:pPr>
        <w:pStyle w:val="JuHA"/>
        <w:numPr>
          <w:ilvl w:val="2"/>
          <w:numId w:val="2"/>
        </w:numPr>
      </w:pPr>
      <w:r w:rsidRPr="005D7B01">
        <w:t>Default interest</w:t>
      </w:r>
    </w:p>
    <w:p w:rsidRPr="005D7B01" w:rsidR="00DF4541" w:rsidP="005D7B01" w:rsidRDefault="00964B37">
      <w:pPr>
        <w:pStyle w:val="JuPara"/>
      </w:pPr>
      <w:r w:rsidRPr="005D7B01">
        <w:fldChar w:fldCharType="begin"/>
      </w:r>
      <w:r w:rsidRPr="005D7B01">
        <w:instrText xml:space="preserve"> SEQ level0 \*arabic </w:instrText>
      </w:r>
      <w:r w:rsidRPr="005D7B01">
        <w:fldChar w:fldCharType="separate"/>
      </w:r>
      <w:r w:rsidRPr="005D7B01" w:rsidR="005D7B01">
        <w:rPr>
          <w:noProof/>
        </w:rPr>
        <w:t>42</w:t>
      </w:r>
      <w:r w:rsidRPr="005D7B01">
        <w:fldChar w:fldCharType="end"/>
      </w:r>
      <w:r w:rsidRPr="005D7B01" w:rsidR="00DF4541">
        <w:t>.  The Court considers it appropriate that the default interest rate should be based on the marginal lending rate of the European Central Bank, to which should be added three percentage points.</w:t>
      </w:r>
    </w:p>
    <w:p w:rsidRPr="005D7B01" w:rsidR="00DF4541" w:rsidP="005D7B01" w:rsidRDefault="00DF4541">
      <w:pPr>
        <w:pStyle w:val="JuHHead"/>
        <w:numPr>
          <w:ilvl w:val="0"/>
          <w:numId w:val="2"/>
        </w:numPr>
      </w:pPr>
      <w:r w:rsidRPr="005D7B01">
        <w:t>FOR THESE REASONS, THE COURT, UNANIMOUSLY,</w:t>
      </w:r>
    </w:p>
    <w:p w:rsidRPr="005D7B01" w:rsidR="00DF4541" w:rsidP="005D7B01" w:rsidRDefault="00DF4541">
      <w:pPr>
        <w:pStyle w:val="JuList"/>
      </w:pPr>
      <w:r w:rsidRPr="005D7B01">
        <w:rPr>
          <w:i/>
        </w:rPr>
        <w:t>Declares</w:t>
      </w:r>
      <w:r w:rsidRPr="005D7B01">
        <w:t xml:space="preserve"> the application admissible;</w:t>
      </w:r>
    </w:p>
    <w:p w:rsidRPr="005D7B01" w:rsidR="00DF4541" w:rsidP="005D7B01" w:rsidRDefault="00DF4541">
      <w:pPr>
        <w:pStyle w:val="JuList"/>
      </w:pPr>
      <w:r w:rsidRPr="005D7B01">
        <w:rPr>
          <w:i/>
        </w:rPr>
        <w:t>Holds</w:t>
      </w:r>
      <w:r w:rsidRPr="005D7B01">
        <w:rPr>
          <w:color w:val="000000"/>
        </w:rPr>
        <w:t xml:space="preserve"> </w:t>
      </w:r>
      <w:r w:rsidRPr="005D7B01">
        <w:t>that there has been a violation of Article 6 § 1 of the Convention;</w:t>
      </w:r>
    </w:p>
    <w:p w:rsidRPr="005D7B01" w:rsidR="00DF4541" w:rsidP="005D7B01" w:rsidRDefault="00DF4541">
      <w:pPr>
        <w:pStyle w:val="JuList"/>
      </w:pPr>
      <w:r w:rsidRPr="005D7B01">
        <w:rPr>
          <w:i/>
        </w:rPr>
        <w:t>Holds</w:t>
      </w:r>
      <w:r w:rsidRPr="005D7B01">
        <w:t xml:space="preserve"> that there has been a violation of Article 13 of the Convention;</w:t>
      </w:r>
    </w:p>
    <w:p w:rsidRPr="005D7B01" w:rsidR="00DF4541" w:rsidP="005D7B01" w:rsidRDefault="00DF4541">
      <w:pPr>
        <w:pStyle w:val="JuList"/>
      </w:pPr>
      <w:r w:rsidRPr="005D7B01">
        <w:rPr>
          <w:i/>
        </w:rPr>
        <w:t>Holds</w:t>
      </w:r>
    </w:p>
    <w:p w:rsidRPr="005D7B01" w:rsidR="00DF4541" w:rsidP="005D7B01" w:rsidRDefault="00DF4541">
      <w:pPr>
        <w:pStyle w:val="JuLista"/>
        <w:rPr>
          <w:rFonts w:ascii="Times New Roman" w:hAnsi="Times New Roman" w:cs="Times New Roman"/>
          <w:color w:val="000000"/>
        </w:rPr>
      </w:pPr>
      <w:r w:rsidRPr="005D7B01">
        <w:t>that the respondent State is to pay the applicant, within three months, EUR 1,800 (one thousand eight hundred euros),</w:t>
      </w:r>
      <w:r w:rsidRPr="005D7B01">
        <w:rPr>
          <w:b/>
        </w:rPr>
        <w:t xml:space="preserve"> </w:t>
      </w:r>
      <w:r w:rsidRPr="005D7B01">
        <w:t xml:space="preserve">to be converted into </w:t>
      </w:r>
      <w:r w:rsidRPr="005D7B01">
        <w:rPr>
          <w:color w:val="000000"/>
        </w:rPr>
        <w:t>the currency of the respondent State</w:t>
      </w:r>
      <w:r w:rsidRPr="005D7B01">
        <w:t xml:space="preserve"> at the rate applicable at the date of settlement,</w:t>
      </w:r>
      <w:r w:rsidRPr="005D7B01">
        <w:rPr>
          <w:rFonts w:ascii="Times New Roman" w:hAnsi="Times New Roman" w:cs="Times New Roman"/>
          <w:color w:val="000000"/>
        </w:rPr>
        <w:t xml:space="preserve"> </w:t>
      </w:r>
      <w:r w:rsidRPr="005D7B01">
        <w:t>plus any tax that may be chargeable, in respect of non-pecuniary damage;</w:t>
      </w:r>
    </w:p>
    <w:p w:rsidRPr="005D7B01" w:rsidR="00DF4541" w:rsidP="005D7B01" w:rsidRDefault="00DF4541">
      <w:pPr>
        <w:pStyle w:val="JuLista"/>
      </w:pPr>
      <w:proofErr w:type="gramStart"/>
      <w:r w:rsidRPr="005D7B01">
        <w:t>that</w:t>
      </w:r>
      <w:proofErr w:type="gramEnd"/>
      <w:r w:rsidRPr="005D7B01">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5D7B01" w:rsidR="004D0EC7" w:rsidP="005D7B01" w:rsidRDefault="005D64B5">
      <w:pPr>
        <w:pStyle w:val="JuPara"/>
      </w:pPr>
    </w:p>
    <w:p w:rsidRPr="005D7B01" w:rsidR="008E3A08" w:rsidP="005D7B01" w:rsidRDefault="00475200">
      <w:pPr>
        <w:pStyle w:val="JuParaLast"/>
      </w:pPr>
      <w:r w:rsidRPr="005D7B01">
        <w:t xml:space="preserve">Done in English, and notified in writing on </w:t>
      </w:r>
      <w:r w:rsidRPr="005D7B01" w:rsidR="00DF4541">
        <w:rPr>
          <w:rFonts w:ascii="Times New Roman" w:hAnsi="Times New Roman" w:cs="Times New Roman"/>
        </w:rPr>
        <w:t>16 January 2020</w:t>
      </w:r>
      <w:r w:rsidRPr="005D7B01" w:rsidR="00D25D2F">
        <w:t xml:space="preserve">, pursuant to Rule 77 </w:t>
      </w:r>
      <w:r w:rsidRPr="005D7B01">
        <w:t>§§ 2 and 3 of the Rules of Court.</w:t>
      </w:r>
    </w:p>
    <w:p w:rsidRPr="005D7B01" w:rsidR="002A613A" w:rsidP="005D7B01" w:rsidRDefault="00E64B4E">
      <w:pPr>
        <w:pStyle w:val="JuSigned"/>
        <w:ind w:left="284" w:hanging="284"/>
        <w:rPr>
          <w:lang w:val="pl-PL"/>
        </w:rPr>
      </w:pPr>
      <w:r w:rsidRPr="005D7B01">
        <w:rPr>
          <w:lang w:val="pl-PL"/>
        </w:rPr>
        <w:t>Abel Campos</w:t>
      </w:r>
      <w:r w:rsidRPr="005D7B01" w:rsidR="00475200">
        <w:rPr>
          <w:lang w:val="pl-PL"/>
        </w:rPr>
        <w:t xml:space="preserve"> </w:t>
      </w:r>
      <w:r w:rsidRPr="005D7B01" w:rsidR="00475200">
        <w:rPr>
          <w:lang w:val="pl-PL"/>
        </w:rPr>
        <w:tab/>
      </w:r>
      <w:r w:rsidRPr="005D7B01" w:rsidR="00420D69">
        <w:t xml:space="preserve">Armen </w:t>
      </w:r>
      <w:proofErr w:type="spellStart"/>
      <w:r w:rsidRPr="005D7B01" w:rsidR="00420D69">
        <w:t>Harutyunyan</w:t>
      </w:r>
      <w:proofErr w:type="spellEnd"/>
      <w:r w:rsidRPr="005D7B01" w:rsidR="00475200">
        <w:rPr>
          <w:szCs w:val="24"/>
          <w:lang w:val="pl-PL"/>
        </w:rPr>
        <w:br/>
      </w:r>
      <w:proofErr w:type="spellStart"/>
      <w:r w:rsidRPr="005D7B01" w:rsidR="00DF4541">
        <w:rPr>
          <w:iCs/>
          <w:lang w:val="pl-PL"/>
        </w:rPr>
        <w:t>Registrar</w:t>
      </w:r>
      <w:proofErr w:type="spellEnd"/>
      <w:r w:rsidRPr="005D7B01" w:rsidR="00475200">
        <w:rPr>
          <w:lang w:val="pl-PL"/>
        </w:rPr>
        <w:tab/>
      </w:r>
      <w:proofErr w:type="spellStart"/>
      <w:r w:rsidRPr="005D7B01" w:rsidR="00475200">
        <w:rPr>
          <w:lang w:val="pl-PL"/>
        </w:rPr>
        <w:t>President</w:t>
      </w:r>
      <w:proofErr w:type="spellEnd"/>
    </w:p>
    <w:sectPr w:rsidRPr="005D7B01"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541" w:rsidRPr="008E437C" w:rsidRDefault="00DF4541">
      <w:r w:rsidRPr="008E437C">
        <w:separator/>
      </w:r>
    </w:p>
  </w:endnote>
  <w:endnote w:type="continuationSeparator" w:id="0">
    <w:p w:rsidR="00DF4541" w:rsidRPr="008E437C" w:rsidRDefault="00DF4541">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Default="00DF45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Pr="00150BFA" w:rsidRDefault="00DF4541" w:rsidP="0020718E">
    <w:pPr>
      <w:jc w:val="center"/>
    </w:pPr>
    <w:r>
      <w:rPr>
        <w:noProof/>
        <w:lang w:val="en-US" w:eastAsia="ja-JP"/>
      </w:rPr>
      <w:drawing>
        <wp:inline distT="0" distB="0" distL="0" distR="0" wp14:anchorId="429EB841" wp14:editId="5E0F5E9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5D64B5"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Default="00DF454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D64B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D64B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541" w:rsidRPr="008E437C" w:rsidRDefault="00DF4541" w:rsidP="0098410D">
      <w:r w:rsidRPr="008E437C">
        <w:separator/>
      </w:r>
    </w:p>
  </w:footnote>
  <w:footnote w:type="continuationSeparator" w:id="0">
    <w:p w:rsidR="00DF4541" w:rsidRPr="008E437C" w:rsidRDefault="00DF4541"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Default="00DF45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Pr="00A45145" w:rsidRDefault="00DF4541" w:rsidP="00A45145">
    <w:pPr>
      <w:jc w:val="center"/>
    </w:pPr>
    <w:r>
      <w:rPr>
        <w:noProof/>
        <w:lang w:val="en-US" w:eastAsia="ja-JP"/>
      </w:rPr>
      <w:drawing>
        <wp:inline distT="0" distB="0" distL="0" distR="0" wp14:anchorId="6F2D3E84" wp14:editId="35C4312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5D64B5"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41" w:rsidRPr="00A45145" w:rsidRDefault="00DF4541" w:rsidP="00A45145">
    <w:pPr>
      <w:jc w:val="center"/>
    </w:pPr>
    <w:r>
      <w:rPr>
        <w:noProof/>
        <w:lang w:val="en-US" w:eastAsia="ja-JP"/>
      </w:rPr>
      <w:drawing>
        <wp:inline distT="0" distB="0" distL="0" distR="0" wp14:anchorId="0EACC3EA" wp14:editId="14E4A18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5D64B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F4541" w:rsidP="004D0EC7">
    <w:pPr>
      <w:pStyle w:val="JuHeader"/>
    </w:pPr>
    <w:r>
      <w:rPr>
        <w:rStyle w:val="PageNumber"/>
      </w:rPr>
      <w:fldChar w:fldCharType="begin"/>
    </w:r>
    <w:r>
      <w:rPr>
        <w:rStyle w:val="PageNumber"/>
      </w:rPr>
      <w:instrText xml:space="preserve"> PAGE </w:instrText>
    </w:r>
    <w:r>
      <w:rPr>
        <w:rStyle w:val="PageNumber"/>
      </w:rPr>
      <w:fldChar w:fldCharType="separate"/>
    </w:r>
    <w:r w:rsidR="005D7B01">
      <w:rPr>
        <w:rStyle w:val="PageNumber"/>
        <w:noProof/>
      </w:rPr>
      <w:t>6</w:t>
    </w:r>
    <w:r>
      <w:rPr>
        <w:rStyle w:val="PageNumber"/>
      </w:rPr>
      <w:fldChar w:fldCharType="end"/>
    </w:r>
    <w:r w:rsidR="00475200" w:rsidRPr="004D0EC7">
      <w:tab/>
    </w:r>
    <w:r>
      <w:t>JANULIS v. POLAND</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JuHeader"/>
    </w:pPr>
    <w:r w:rsidRPr="00882CD5">
      <w:tab/>
    </w:r>
    <w:r w:rsidR="00DF4541">
      <w:t>JANULIS v. POLAND</w:t>
    </w:r>
    <w:r w:rsidRPr="00882CD5">
      <w:t xml:space="preserve"> JUDGMENT</w:t>
    </w:r>
    <w:r w:rsidRPr="00882CD5">
      <w:tab/>
    </w:r>
    <w:r w:rsidR="00DF4541">
      <w:rPr>
        <w:rStyle w:val="PageNumber"/>
      </w:rPr>
      <w:fldChar w:fldCharType="begin"/>
    </w:r>
    <w:r w:rsidR="00DF4541">
      <w:rPr>
        <w:rStyle w:val="PageNumber"/>
      </w:rPr>
      <w:instrText xml:space="preserve"> PAGE </w:instrText>
    </w:r>
    <w:r w:rsidR="00DF4541">
      <w:rPr>
        <w:rStyle w:val="PageNumber"/>
      </w:rPr>
      <w:fldChar w:fldCharType="separate"/>
    </w:r>
    <w:r w:rsidR="005D7B01">
      <w:rPr>
        <w:rStyle w:val="PageNumber"/>
        <w:noProof/>
      </w:rPr>
      <w:t>7</w:t>
    </w:r>
    <w:r w:rsidR="00DF454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B451525"/>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2"/>
  </w:num>
  <w:num w:numId="3">
    <w:abstractNumId w:val="16"/>
  </w:num>
  <w:num w:numId="4">
    <w:abstractNumId w:val="13"/>
  </w:num>
  <w:num w:numId="5">
    <w:abstractNumId w:val="10"/>
  </w:num>
  <w:num w:numId="6">
    <w:abstractNumId w:val="9"/>
  </w:num>
  <w:num w:numId="7">
    <w:abstractNumId w:val="14"/>
  </w:num>
  <w:num w:numId="8">
    <w:abstractNumId w:val="11"/>
  </w:num>
  <w:num w:numId="9">
    <w:abstractNumId w:val="15"/>
  </w:num>
  <w:num w:numId="10">
    <w:abstractNumId w:val="18"/>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F4541"/>
    <w:rsid w:val="00156729"/>
    <w:rsid w:val="001E572E"/>
    <w:rsid w:val="001F0501"/>
    <w:rsid w:val="0036691F"/>
    <w:rsid w:val="00413469"/>
    <w:rsid w:val="00420D69"/>
    <w:rsid w:val="00475200"/>
    <w:rsid w:val="00547158"/>
    <w:rsid w:val="005D64B5"/>
    <w:rsid w:val="005D7B01"/>
    <w:rsid w:val="005F0781"/>
    <w:rsid w:val="00741D11"/>
    <w:rsid w:val="00753851"/>
    <w:rsid w:val="00804DC5"/>
    <w:rsid w:val="00850DA0"/>
    <w:rsid w:val="00880D6F"/>
    <w:rsid w:val="008E437C"/>
    <w:rsid w:val="00964B37"/>
    <w:rsid w:val="00B34B81"/>
    <w:rsid w:val="00BB3A2E"/>
    <w:rsid w:val="00D02358"/>
    <w:rsid w:val="00D25D2F"/>
    <w:rsid w:val="00D712BD"/>
    <w:rsid w:val="00DE0CD0"/>
    <w:rsid w:val="00DF1A7B"/>
    <w:rsid w:val="00DF4541"/>
    <w:rsid w:val="00E03F43"/>
    <w:rsid w:val="00E64B4E"/>
    <w:rsid w:val="00E66185"/>
    <w:rsid w:val="00EB3288"/>
    <w:rsid w:val="00ED26F2"/>
    <w:rsid w:val="00F60D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60D59"/>
    <w:rPr>
      <w:rFonts w:eastAsiaTheme="minorEastAsia"/>
      <w:sz w:val="24"/>
      <w:lang w:val="en-GB"/>
    </w:rPr>
  </w:style>
  <w:style w:type="paragraph" w:styleId="Heading1">
    <w:name w:val="heading 1"/>
    <w:basedOn w:val="Normal"/>
    <w:next w:val="Normal"/>
    <w:link w:val="Heading1Char"/>
    <w:uiPriority w:val="98"/>
    <w:semiHidden/>
    <w:rsid w:val="00F60D59"/>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60D59"/>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60D59"/>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F60D59"/>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F60D59"/>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F60D59"/>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F60D59"/>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F60D59"/>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60D59"/>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60D59"/>
    <w:rPr>
      <w:rFonts w:ascii="Tahoma" w:hAnsi="Tahoma" w:cs="Tahoma"/>
      <w:sz w:val="16"/>
      <w:szCs w:val="16"/>
    </w:rPr>
  </w:style>
  <w:style w:type="character" w:customStyle="1" w:styleId="BalloonTextChar">
    <w:name w:val="Balloon Text Char"/>
    <w:basedOn w:val="DefaultParagraphFont"/>
    <w:link w:val="BalloonText"/>
    <w:uiPriority w:val="98"/>
    <w:semiHidden/>
    <w:rsid w:val="00F60D59"/>
    <w:rPr>
      <w:rFonts w:ascii="Tahoma" w:eastAsiaTheme="minorEastAsia" w:hAnsi="Tahoma" w:cs="Tahoma"/>
      <w:sz w:val="16"/>
      <w:szCs w:val="16"/>
      <w:lang w:val="en-GB"/>
    </w:rPr>
  </w:style>
  <w:style w:type="character" w:styleId="BookTitle">
    <w:name w:val="Book Title"/>
    <w:uiPriority w:val="98"/>
    <w:semiHidden/>
    <w:qFormat/>
    <w:rsid w:val="00F60D59"/>
    <w:rPr>
      <w:i/>
      <w:iCs/>
      <w:smallCaps/>
      <w:spacing w:val="5"/>
    </w:rPr>
  </w:style>
  <w:style w:type="paragraph" w:customStyle="1" w:styleId="JuHeader">
    <w:name w:val="Ju_Header"/>
    <w:aliases w:val="_Header"/>
    <w:basedOn w:val="Header"/>
    <w:uiPriority w:val="29"/>
    <w:qFormat/>
    <w:rsid w:val="00F60D59"/>
    <w:pPr>
      <w:tabs>
        <w:tab w:val="clear" w:pos="4536"/>
        <w:tab w:val="clear" w:pos="9072"/>
        <w:tab w:val="center" w:pos="3686"/>
        <w:tab w:val="right" w:pos="7371"/>
      </w:tabs>
    </w:pPr>
    <w:rPr>
      <w:sz w:val="18"/>
    </w:rPr>
  </w:style>
  <w:style w:type="paragraph" w:styleId="NoteHeading">
    <w:name w:val="Note Heading"/>
    <w:basedOn w:val="Normal"/>
    <w:next w:val="Normal"/>
    <w:link w:val="NoteHeadingChar"/>
    <w:uiPriority w:val="98"/>
    <w:semiHidden/>
    <w:rsid w:val="00F60D59"/>
  </w:style>
  <w:style w:type="character" w:styleId="Strong">
    <w:name w:val="Strong"/>
    <w:uiPriority w:val="98"/>
    <w:semiHidden/>
    <w:qFormat/>
    <w:rsid w:val="00F60D59"/>
    <w:rPr>
      <w:b/>
      <w:bCs/>
    </w:rPr>
  </w:style>
  <w:style w:type="paragraph" w:styleId="NoSpacing">
    <w:name w:val="No Spacing"/>
    <w:basedOn w:val="Normal"/>
    <w:link w:val="NoSpacingChar"/>
    <w:uiPriority w:val="98"/>
    <w:semiHidden/>
    <w:qFormat/>
    <w:rsid w:val="00F60D59"/>
  </w:style>
  <w:style w:type="character" w:customStyle="1" w:styleId="NoSpacingChar">
    <w:name w:val="No Spacing Char"/>
    <w:basedOn w:val="DefaultParagraphFont"/>
    <w:link w:val="NoSpacing"/>
    <w:uiPriority w:val="98"/>
    <w:semiHidden/>
    <w:rsid w:val="00F60D59"/>
    <w:rPr>
      <w:rFonts w:eastAsiaTheme="minorEastAsia"/>
      <w:sz w:val="24"/>
      <w:lang w:val="en-GB"/>
    </w:rPr>
  </w:style>
  <w:style w:type="paragraph" w:customStyle="1" w:styleId="JuQuot">
    <w:name w:val="Ju_Quot"/>
    <w:aliases w:val="_Quote"/>
    <w:basedOn w:val="NormalJustified"/>
    <w:uiPriority w:val="20"/>
    <w:qFormat/>
    <w:rsid w:val="00F60D59"/>
    <w:pPr>
      <w:spacing w:before="120" w:after="120"/>
      <w:ind w:left="425" w:firstLine="142"/>
    </w:pPr>
    <w:rPr>
      <w:sz w:val="20"/>
    </w:rPr>
  </w:style>
  <w:style w:type="paragraph" w:customStyle="1" w:styleId="ECHRBullet1">
    <w:name w:val="ECHR_Bullet_1"/>
    <w:aliases w:val="_Bul_1"/>
    <w:basedOn w:val="NormalJustified"/>
    <w:uiPriority w:val="23"/>
    <w:semiHidden/>
    <w:qFormat/>
    <w:rsid w:val="00F60D59"/>
    <w:pPr>
      <w:numPr>
        <w:numId w:val="7"/>
      </w:numPr>
      <w:spacing w:before="60" w:after="60"/>
    </w:pPr>
    <w:rPr>
      <w:sz w:val="22"/>
    </w:rPr>
  </w:style>
  <w:style w:type="character" w:customStyle="1" w:styleId="NoteHeadingChar">
    <w:name w:val="Note Heading Char"/>
    <w:basedOn w:val="DefaultParagraphFont"/>
    <w:link w:val="NoteHeading"/>
    <w:uiPriority w:val="98"/>
    <w:semiHidden/>
    <w:rsid w:val="00F60D59"/>
    <w:rPr>
      <w:rFonts w:eastAsiaTheme="minorEastAsia"/>
      <w:sz w:val="24"/>
      <w:lang w:val="en-GB"/>
    </w:rPr>
  </w:style>
  <w:style w:type="paragraph" w:customStyle="1" w:styleId="NormalJustified">
    <w:name w:val="Normal_Justified"/>
    <w:basedOn w:val="Normal"/>
    <w:semiHidden/>
    <w:rsid w:val="00F60D59"/>
    <w:pPr>
      <w:jc w:val="both"/>
    </w:pPr>
  </w:style>
  <w:style w:type="paragraph" w:customStyle="1" w:styleId="ECHRBullet2">
    <w:name w:val="ECHR_Bullet_2"/>
    <w:aliases w:val="_Bul_2"/>
    <w:basedOn w:val="ECHRBullet1"/>
    <w:uiPriority w:val="23"/>
    <w:semiHidden/>
    <w:rsid w:val="00F60D59"/>
    <w:pPr>
      <w:numPr>
        <w:ilvl w:val="1"/>
      </w:numPr>
    </w:pPr>
  </w:style>
  <w:style w:type="paragraph" w:customStyle="1" w:styleId="JuHArticle">
    <w:name w:val="Ju_H_Article"/>
    <w:aliases w:val="_Title_Quote"/>
    <w:basedOn w:val="Normal"/>
    <w:next w:val="JuQuot"/>
    <w:uiPriority w:val="19"/>
    <w:qFormat/>
    <w:rsid w:val="00F60D59"/>
    <w:pPr>
      <w:keepNext/>
      <w:spacing w:before="100" w:beforeAutospacing="1" w:after="120"/>
      <w:contextualSpacing/>
      <w:jc w:val="center"/>
    </w:pPr>
    <w:rPr>
      <w:rFonts w:eastAsiaTheme="minorHAnsi"/>
      <w:b/>
      <w:sz w:val="20"/>
    </w:rPr>
  </w:style>
  <w:style w:type="paragraph" w:customStyle="1" w:styleId="ECHRBullet3">
    <w:name w:val="ECHR_Bullet_3"/>
    <w:aliases w:val="_Bul_3"/>
    <w:basedOn w:val="ECHRBullet2"/>
    <w:uiPriority w:val="23"/>
    <w:semiHidden/>
    <w:rsid w:val="00F60D59"/>
    <w:pPr>
      <w:numPr>
        <w:ilvl w:val="2"/>
      </w:numPr>
    </w:pPr>
  </w:style>
  <w:style w:type="paragraph" w:customStyle="1" w:styleId="ECHRBullet4">
    <w:name w:val="ECHR_Bullet_4"/>
    <w:aliases w:val="_Bul_4"/>
    <w:basedOn w:val="ECHRBullet3"/>
    <w:uiPriority w:val="23"/>
    <w:semiHidden/>
    <w:rsid w:val="00F60D59"/>
    <w:pPr>
      <w:numPr>
        <w:ilvl w:val="3"/>
      </w:numPr>
    </w:pPr>
  </w:style>
  <w:style w:type="paragraph" w:customStyle="1" w:styleId="JuHHead">
    <w:name w:val="Ju_H_Head"/>
    <w:aliases w:val="_Head_1"/>
    <w:basedOn w:val="Normal"/>
    <w:next w:val="JuPara"/>
    <w:uiPriority w:val="17"/>
    <w:qFormat/>
    <w:rsid w:val="00F60D59"/>
    <w:pPr>
      <w:keepNext/>
      <w:keepLines/>
      <w:numPr>
        <w:numId w:val="3"/>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F60D59"/>
    <w:pPr>
      <w:tabs>
        <w:tab w:val="center" w:pos="6407"/>
      </w:tabs>
      <w:spacing w:before="720"/>
      <w:jc w:val="right"/>
    </w:pPr>
  </w:style>
  <w:style w:type="paragraph" w:customStyle="1" w:styleId="JuSigned">
    <w:name w:val="Ju_Signed"/>
    <w:aliases w:val="_Signature"/>
    <w:basedOn w:val="Normal"/>
    <w:next w:val="JuPara"/>
    <w:uiPriority w:val="31"/>
    <w:qFormat/>
    <w:rsid w:val="00F60D59"/>
    <w:pPr>
      <w:tabs>
        <w:tab w:val="center" w:pos="851"/>
        <w:tab w:val="center" w:pos="6407"/>
      </w:tabs>
      <w:spacing w:before="720"/>
    </w:pPr>
  </w:style>
  <w:style w:type="paragraph" w:styleId="Title">
    <w:name w:val="Title"/>
    <w:basedOn w:val="Normal"/>
    <w:next w:val="Normal"/>
    <w:link w:val="TitleChar"/>
    <w:uiPriority w:val="98"/>
    <w:semiHidden/>
    <w:qFormat/>
    <w:rsid w:val="00F60D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60D59"/>
    <w:rPr>
      <w:rFonts w:asciiTheme="majorHAnsi" w:eastAsiaTheme="majorEastAsia" w:hAnsiTheme="majorHAnsi" w:cstheme="majorBidi"/>
      <w:spacing w:val="5"/>
      <w:sz w:val="52"/>
      <w:szCs w:val="52"/>
      <w:lang w:val="en-GB" w:bidi="en-US"/>
    </w:rPr>
  </w:style>
  <w:style w:type="paragraph" w:customStyle="1" w:styleId="ECHRConfidential">
    <w:name w:val="ECHR_Confidential"/>
    <w:aliases w:val="_Confidential"/>
    <w:basedOn w:val="Normal"/>
    <w:next w:val="Normal"/>
    <w:uiPriority w:val="42"/>
    <w:semiHidden/>
    <w:qFormat/>
    <w:rsid w:val="00F60D59"/>
    <w:pPr>
      <w:jc w:val="right"/>
    </w:pPr>
    <w:rPr>
      <w:rFonts w:eastAsiaTheme="minorHAnsi"/>
      <w:color w:val="C00000"/>
      <w:sz w:val="20"/>
    </w:rPr>
  </w:style>
  <w:style w:type="character" w:customStyle="1" w:styleId="JUNAMES">
    <w:name w:val="JU_NAMES"/>
    <w:aliases w:val="_Ju_Names"/>
    <w:uiPriority w:val="33"/>
    <w:qFormat/>
    <w:rsid w:val="00F60D59"/>
    <w:rPr>
      <w:caps w:val="0"/>
      <w:smallCaps/>
    </w:rPr>
  </w:style>
  <w:style w:type="character" w:customStyle="1" w:styleId="JuITMark">
    <w:name w:val="Ju_ITMark"/>
    <w:aliases w:val="_ITMark"/>
    <w:basedOn w:val="DefaultParagraphFont"/>
    <w:uiPriority w:val="43"/>
    <w:qFormat/>
    <w:rsid w:val="00F60D59"/>
    <w:rPr>
      <w:vanish w:val="0"/>
      <w:color w:val="auto"/>
      <w:sz w:val="14"/>
      <w:bdr w:val="none" w:sz="0" w:space="0" w:color="auto"/>
      <w:shd w:val="clear" w:color="auto" w:fill="BEE5FF" w:themeFill="background1" w:themeFillTint="33"/>
    </w:rPr>
  </w:style>
  <w:style w:type="paragraph" w:customStyle="1" w:styleId="ECHRDivisionName">
    <w:name w:val="ECHR_DivisionName"/>
    <w:aliases w:val="_Div_Name"/>
    <w:basedOn w:val="Normal"/>
    <w:link w:val="ECHRDivisionNameChar"/>
    <w:uiPriority w:val="41"/>
    <w:semiHidden/>
    <w:qFormat/>
    <w:rsid w:val="00F60D59"/>
    <w:pPr>
      <w:contextualSpacing/>
      <w:jc w:val="center"/>
    </w:pPr>
    <w:rPr>
      <w:rFonts w:ascii="Arial" w:eastAsiaTheme="minorHAnsi" w:hAnsi="Arial"/>
      <w:i/>
      <w:color w:val="0072BC" w:themeColor="accent1"/>
      <w:sz w:val="32"/>
    </w:rPr>
  </w:style>
  <w:style w:type="paragraph" w:customStyle="1" w:styleId="JuCourt">
    <w:name w:val="Ju_Court"/>
    <w:aliases w:val="_Court_Names"/>
    <w:basedOn w:val="Normal"/>
    <w:next w:val="Normal"/>
    <w:uiPriority w:val="32"/>
    <w:qFormat/>
    <w:rsid w:val="00F60D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F60D59"/>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F60D59"/>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7"/>
    <w:rsid w:val="00F60D59"/>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98"/>
    <w:semiHidden/>
    <w:rsid w:val="00F60D59"/>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F60D59"/>
    <w:rPr>
      <w:sz w:val="24"/>
      <w:lang w:val="en-GB"/>
    </w:rPr>
  </w:style>
  <w:style w:type="character" w:customStyle="1" w:styleId="Heading1Char">
    <w:name w:val="Heading 1 Char"/>
    <w:basedOn w:val="DefaultParagraphFont"/>
    <w:link w:val="Heading1"/>
    <w:uiPriority w:val="98"/>
    <w:semiHidden/>
    <w:rsid w:val="00F60D5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F60D59"/>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F60D59"/>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F60D5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F60D59"/>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F60D59"/>
    <w:pPr>
      <w:keepNext/>
      <w:keepLines/>
      <w:numPr>
        <w:ilvl w:val="7"/>
        <w:numId w:val="3"/>
      </w:numPr>
      <w:spacing w:before="100" w:beforeAutospacing="1" w:after="120"/>
      <w:outlineLvl w:val="7"/>
    </w:pPr>
    <w:rPr>
      <w:i/>
      <w:sz w:val="20"/>
    </w:rPr>
  </w:style>
  <w:style w:type="character" w:customStyle="1" w:styleId="Heading3Char">
    <w:name w:val="Heading 3 Char"/>
    <w:basedOn w:val="DefaultParagraphFont"/>
    <w:link w:val="Heading3"/>
    <w:uiPriority w:val="98"/>
    <w:semiHidden/>
    <w:rsid w:val="00F60D59"/>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F60D59"/>
    <w:pPr>
      <w:keepNext/>
      <w:keepLines/>
      <w:spacing w:before="240" w:after="240"/>
      <w:ind w:firstLine="284"/>
    </w:pPr>
    <w:rPr>
      <w:rFonts w:eastAsiaTheme="minorHAnsi"/>
    </w:rPr>
  </w:style>
  <w:style w:type="paragraph" w:customStyle="1" w:styleId="ECHRDecisionBody">
    <w:name w:val="ECHR_Decision_Body"/>
    <w:aliases w:val="_Decision_Body"/>
    <w:basedOn w:val="NormalJustified"/>
    <w:uiPriority w:val="54"/>
    <w:rsid w:val="00F60D59"/>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F60D59"/>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F60D59"/>
    <w:pPr>
      <w:numPr>
        <w:numId w:val="8"/>
      </w:numPr>
      <w:spacing w:before="280" w:after="60"/>
    </w:pPr>
    <w:rPr>
      <w:rFonts w:eastAsiaTheme="minorHAnsi"/>
    </w:rPr>
  </w:style>
  <w:style w:type="character" w:customStyle="1" w:styleId="Heading5Char">
    <w:name w:val="Heading 5 Char"/>
    <w:basedOn w:val="DefaultParagraphFont"/>
    <w:link w:val="Heading5"/>
    <w:uiPriority w:val="98"/>
    <w:semiHidden/>
    <w:rsid w:val="00F60D59"/>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F60D59"/>
    <w:pPr>
      <w:numPr>
        <w:ilvl w:val="1"/>
        <w:numId w:val="8"/>
      </w:numPr>
    </w:pPr>
  </w:style>
  <w:style w:type="paragraph" w:customStyle="1" w:styleId="JuListi">
    <w:name w:val="Ju_List_i"/>
    <w:aliases w:val="_List_3"/>
    <w:basedOn w:val="NormalJustified"/>
    <w:uiPriority w:val="23"/>
    <w:rsid w:val="00F60D59"/>
    <w:pPr>
      <w:numPr>
        <w:ilvl w:val="2"/>
        <w:numId w:val="8"/>
      </w:numPr>
    </w:pPr>
  </w:style>
  <w:style w:type="character" w:styleId="SubtleEmphasis">
    <w:name w:val="Subtle Emphasis"/>
    <w:uiPriority w:val="98"/>
    <w:semiHidden/>
    <w:qFormat/>
    <w:rsid w:val="00F60D59"/>
    <w:rPr>
      <w:i/>
      <w:iCs/>
    </w:rPr>
  </w:style>
  <w:style w:type="character" w:customStyle="1" w:styleId="ECHRDivisionNameChar">
    <w:name w:val="ECHR_DivisionName Char"/>
    <w:aliases w:val="_Div_Name Char"/>
    <w:basedOn w:val="DefaultParagraphFont"/>
    <w:link w:val="ECHRDivisionName"/>
    <w:uiPriority w:val="41"/>
    <w:semiHidden/>
    <w:rsid w:val="00F60D59"/>
    <w:rPr>
      <w:rFonts w:ascii="Arial" w:hAnsi="Arial"/>
      <w:i/>
      <w:color w:val="0072BC" w:themeColor="accent1"/>
      <w:sz w:val="32"/>
      <w:lang w:val="en-GB"/>
    </w:rPr>
  </w:style>
  <w:style w:type="table" w:customStyle="1" w:styleId="ECHRTable">
    <w:name w:val="ECHR_Table"/>
    <w:basedOn w:val="TableNormal"/>
    <w:rsid w:val="00F60D5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60D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FooterLineLandscape">
    <w:name w:val="ECHR_Footer_Line_Landscape"/>
    <w:aliases w:val="_Footer_Line_Landscape"/>
    <w:basedOn w:val="Normal"/>
    <w:uiPriority w:val="30"/>
    <w:semiHidden/>
    <w:rsid w:val="00F60D59"/>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F60D59"/>
    <w:pPr>
      <w:ind w:left="567" w:hanging="567"/>
    </w:pPr>
    <w:rPr>
      <w:rFonts w:eastAsiaTheme="minorHAnsi"/>
      <w:sz w:val="22"/>
    </w:rPr>
  </w:style>
  <w:style w:type="character" w:styleId="Emphasis">
    <w:name w:val="Emphasis"/>
    <w:uiPriority w:val="98"/>
    <w:semiHidden/>
    <w:qFormat/>
    <w:rsid w:val="00F60D59"/>
    <w:rPr>
      <w:b/>
      <w:bCs/>
      <w:i/>
      <w:iCs/>
      <w:spacing w:val="10"/>
      <w:bdr w:val="none" w:sz="0" w:space="0" w:color="auto"/>
      <w:shd w:val="clear" w:color="auto" w:fill="auto"/>
    </w:rPr>
  </w:style>
  <w:style w:type="paragraph" w:styleId="Footer">
    <w:name w:val="footer"/>
    <w:basedOn w:val="Normal"/>
    <w:link w:val="FooterChar"/>
    <w:uiPriority w:val="98"/>
    <w:semiHidden/>
    <w:rsid w:val="00F60D5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8"/>
    <w:semiHidden/>
    <w:rsid w:val="00F60D59"/>
    <w:rPr>
      <w:sz w:val="24"/>
      <w:lang w:val="en-GB"/>
    </w:rPr>
  </w:style>
  <w:style w:type="character" w:styleId="FootnoteReference">
    <w:name w:val="footnote reference"/>
    <w:basedOn w:val="DefaultParagraphFont"/>
    <w:uiPriority w:val="98"/>
    <w:semiHidden/>
    <w:rsid w:val="00F60D59"/>
    <w:rPr>
      <w:vertAlign w:val="superscript"/>
    </w:rPr>
  </w:style>
  <w:style w:type="paragraph" w:styleId="FootnoteText">
    <w:name w:val="footnote text"/>
    <w:basedOn w:val="Normal"/>
    <w:link w:val="FootnoteTextChar"/>
    <w:uiPriority w:val="98"/>
    <w:semiHidden/>
    <w:rsid w:val="00F60D59"/>
    <w:rPr>
      <w:sz w:val="20"/>
      <w:szCs w:val="20"/>
    </w:rPr>
  </w:style>
  <w:style w:type="character" w:customStyle="1" w:styleId="FootnoteTextChar">
    <w:name w:val="Footnote Text Char"/>
    <w:basedOn w:val="DefaultParagraphFont"/>
    <w:link w:val="FootnoteText"/>
    <w:uiPriority w:val="98"/>
    <w:semiHidden/>
    <w:rsid w:val="00F60D59"/>
    <w:rPr>
      <w:rFonts w:eastAsiaTheme="minorEastAsia"/>
      <w:sz w:val="20"/>
      <w:szCs w:val="20"/>
      <w:lang w:val="en-GB"/>
    </w:rPr>
  </w:style>
  <w:style w:type="character" w:customStyle="1" w:styleId="Heading6Char">
    <w:name w:val="Heading 6 Char"/>
    <w:basedOn w:val="DefaultParagraphFont"/>
    <w:link w:val="Heading6"/>
    <w:uiPriority w:val="98"/>
    <w:semiHidden/>
    <w:rsid w:val="00F60D5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F60D59"/>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F60D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60D5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60D59"/>
    <w:rPr>
      <w:color w:val="0072BC" w:themeColor="hyperlink"/>
      <w:u w:val="single"/>
    </w:rPr>
  </w:style>
  <w:style w:type="character" w:styleId="IntenseEmphasis">
    <w:name w:val="Intense Emphasis"/>
    <w:uiPriority w:val="98"/>
    <w:semiHidden/>
    <w:qFormat/>
    <w:rsid w:val="00F60D59"/>
    <w:rPr>
      <w:b/>
      <w:bCs/>
    </w:rPr>
  </w:style>
  <w:style w:type="paragraph" w:styleId="IntenseQuote">
    <w:name w:val="Intense Quote"/>
    <w:basedOn w:val="Normal"/>
    <w:next w:val="Normal"/>
    <w:link w:val="IntenseQuoteChar"/>
    <w:uiPriority w:val="98"/>
    <w:semiHidden/>
    <w:qFormat/>
    <w:rsid w:val="00F60D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60D59"/>
    <w:rPr>
      <w:rFonts w:eastAsiaTheme="minorEastAsia"/>
      <w:b/>
      <w:bCs/>
      <w:i/>
      <w:iCs/>
      <w:sz w:val="24"/>
      <w:lang w:val="en-GB" w:bidi="en-US"/>
    </w:rPr>
  </w:style>
  <w:style w:type="character" w:styleId="IntenseReference">
    <w:name w:val="Intense Reference"/>
    <w:uiPriority w:val="98"/>
    <w:semiHidden/>
    <w:qFormat/>
    <w:rsid w:val="00F60D59"/>
    <w:rPr>
      <w:smallCaps/>
      <w:spacing w:val="5"/>
      <w:u w:val="single"/>
    </w:rPr>
  </w:style>
  <w:style w:type="paragraph" w:styleId="ListParagraph">
    <w:name w:val="List Paragraph"/>
    <w:basedOn w:val="Normal"/>
    <w:uiPriority w:val="98"/>
    <w:semiHidden/>
    <w:qFormat/>
    <w:rsid w:val="00F60D59"/>
    <w:pPr>
      <w:ind w:left="720"/>
      <w:contextualSpacing/>
    </w:pPr>
  </w:style>
  <w:style w:type="table" w:customStyle="1" w:styleId="LtrTableAddress">
    <w:name w:val="Ltr_Table_Address"/>
    <w:aliases w:val="ECHR_Ltr_Table_Address"/>
    <w:basedOn w:val="TableNormal"/>
    <w:uiPriority w:val="99"/>
    <w:rsid w:val="00F60D59"/>
    <w:tblPr>
      <w:tblInd w:w="5103" w:type="dxa"/>
    </w:tblPr>
  </w:style>
  <w:style w:type="paragraph" w:styleId="Quote">
    <w:name w:val="Quote"/>
    <w:basedOn w:val="Normal"/>
    <w:next w:val="Normal"/>
    <w:link w:val="QuoteChar"/>
    <w:uiPriority w:val="98"/>
    <w:semiHidden/>
    <w:qFormat/>
    <w:rsid w:val="00F60D59"/>
    <w:pPr>
      <w:spacing w:before="200"/>
      <w:ind w:left="360" w:right="360"/>
    </w:pPr>
    <w:rPr>
      <w:i/>
      <w:iCs/>
      <w:lang w:bidi="en-US"/>
    </w:rPr>
  </w:style>
  <w:style w:type="character" w:customStyle="1" w:styleId="QuoteChar">
    <w:name w:val="Quote Char"/>
    <w:basedOn w:val="DefaultParagraphFont"/>
    <w:link w:val="Quote"/>
    <w:uiPriority w:val="98"/>
    <w:semiHidden/>
    <w:rsid w:val="00F60D59"/>
    <w:rPr>
      <w:rFonts w:eastAsiaTheme="minorEastAsia"/>
      <w:i/>
      <w:iCs/>
      <w:sz w:val="24"/>
      <w:lang w:val="en-GB" w:bidi="en-US"/>
    </w:rPr>
  </w:style>
  <w:style w:type="character" w:styleId="SubtleReference">
    <w:name w:val="Subtle Reference"/>
    <w:uiPriority w:val="98"/>
    <w:semiHidden/>
    <w:qFormat/>
    <w:rsid w:val="00F60D59"/>
    <w:rPr>
      <w:smallCaps/>
    </w:rPr>
  </w:style>
  <w:style w:type="table" w:styleId="TableGrid">
    <w:name w:val="Table Grid"/>
    <w:basedOn w:val="TableNormal"/>
    <w:uiPriority w:val="59"/>
    <w:semiHidden/>
    <w:rsid w:val="00F60D5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60D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60D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60D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60D5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60D5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60D5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F60D59"/>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60D59"/>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60D59"/>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60D59"/>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60D59"/>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60D59"/>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60D5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F60D5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F60D5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60D59"/>
    <w:pPr>
      <w:numPr>
        <w:numId w:val="4"/>
      </w:numPr>
    </w:pPr>
  </w:style>
  <w:style w:type="paragraph" w:customStyle="1" w:styleId="JuPara">
    <w:name w:val="Ju_Para"/>
    <w:aliases w:val="_Para"/>
    <w:basedOn w:val="NormalJustified"/>
    <w:link w:val="JuParaChar"/>
    <w:uiPriority w:val="4"/>
    <w:qFormat/>
    <w:rsid w:val="00F60D59"/>
    <w:pPr>
      <w:ind w:firstLine="284"/>
    </w:pPr>
  </w:style>
  <w:style w:type="numbering" w:styleId="1ai">
    <w:name w:val="Outline List 1"/>
    <w:basedOn w:val="NoList"/>
    <w:uiPriority w:val="99"/>
    <w:semiHidden/>
    <w:unhideWhenUsed/>
    <w:rsid w:val="00F60D59"/>
    <w:pPr>
      <w:numPr>
        <w:numId w:val="5"/>
      </w:numPr>
    </w:pPr>
  </w:style>
  <w:style w:type="table" w:customStyle="1" w:styleId="ECHRTableSimpleBox">
    <w:name w:val="ECHR_Table_Simple_Box"/>
    <w:basedOn w:val="TableNormal"/>
    <w:uiPriority w:val="99"/>
    <w:rsid w:val="00F60D59"/>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60D59"/>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60D59"/>
    <w:pPr>
      <w:numPr>
        <w:numId w:val="6"/>
      </w:numPr>
    </w:pPr>
  </w:style>
  <w:style w:type="table" w:customStyle="1" w:styleId="ECHRTableForInternalUse">
    <w:name w:val="ECHR_Table_For_Internal_Use"/>
    <w:basedOn w:val="TableNormal"/>
    <w:uiPriority w:val="99"/>
    <w:rsid w:val="00F60D59"/>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60D5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60D59"/>
  </w:style>
  <w:style w:type="paragraph" w:styleId="BlockText">
    <w:name w:val="Block Text"/>
    <w:basedOn w:val="Normal"/>
    <w:uiPriority w:val="98"/>
    <w:semiHidden/>
    <w:rsid w:val="00F60D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60D59"/>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60D59"/>
    <w:pPr>
      <w:spacing w:after="120"/>
    </w:pPr>
  </w:style>
  <w:style w:type="character" w:customStyle="1" w:styleId="BodyTextChar">
    <w:name w:val="Body Text Char"/>
    <w:basedOn w:val="DefaultParagraphFont"/>
    <w:link w:val="BodyText"/>
    <w:uiPriority w:val="98"/>
    <w:semiHidden/>
    <w:rsid w:val="00F60D59"/>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60D59"/>
    <w:pPr>
      <w:spacing w:after="120" w:line="480" w:lineRule="auto"/>
    </w:pPr>
  </w:style>
  <w:style w:type="table" w:customStyle="1" w:styleId="ECHRHeaderTableReduced">
    <w:name w:val="ECHR_Header_Table_Reduced"/>
    <w:basedOn w:val="TableNormal"/>
    <w:uiPriority w:val="99"/>
    <w:rsid w:val="00F60D59"/>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60D59"/>
    <w:pPr>
      <w:ind w:firstLine="284"/>
    </w:pPr>
    <w:rPr>
      <w:b/>
    </w:rPr>
  </w:style>
  <w:style w:type="character" w:styleId="PageNumber">
    <w:name w:val="page number"/>
    <w:uiPriority w:val="98"/>
    <w:semiHidden/>
    <w:rsid w:val="00F60D59"/>
    <w:rPr>
      <w:sz w:val="18"/>
    </w:rPr>
  </w:style>
  <w:style w:type="paragraph" w:styleId="ListBullet">
    <w:name w:val="List Bullet"/>
    <w:basedOn w:val="Normal"/>
    <w:uiPriority w:val="98"/>
    <w:semiHidden/>
    <w:rsid w:val="00F60D59"/>
    <w:pPr>
      <w:numPr>
        <w:numId w:val="11"/>
      </w:numPr>
    </w:pPr>
  </w:style>
  <w:style w:type="paragraph" w:styleId="ListBullet3">
    <w:name w:val="List Bullet 3"/>
    <w:basedOn w:val="Normal"/>
    <w:uiPriority w:val="98"/>
    <w:semiHidden/>
    <w:rsid w:val="00F60D59"/>
    <w:pPr>
      <w:numPr>
        <w:numId w:val="13"/>
      </w:numPr>
      <w:contextualSpacing/>
    </w:pPr>
  </w:style>
  <w:style w:type="character" w:customStyle="1" w:styleId="BodyText2Char">
    <w:name w:val="Body Text 2 Char"/>
    <w:basedOn w:val="DefaultParagraphFont"/>
    <w:link w:val="BodyText2"/>
    <w:uiPriority w:val="98"/>
    <w:semiHidden/>
    <w:rsid w:val="00F60D59"/>
    <w:rPr>
      <w:rFonts w:eastAsiaTheme="minorEastAsia"/>
      <w:sz w:val="24"/>
      <w:lang w:val="en-GB"/>
    </w:rPr>
  </w:style>
  <w:style w:type="paragraph" w:styleId="BodyText3">
    <w:name w:val="Body Text 3"/>
    <w:basedOn w:val="Normal"/>
    <w:link w:val="BodyText3Char"/>
    <w:uiPriority w:val="98"/>
    <w:semiHidden/>
    <w:rsid w:val="00F60D59"/>
    <w:pPr>
      <w:spacing w:after="120"/>
    </w:pPr>
    <w:rPr>
      <w:sz w:val="16"/>
      <w:szCs w:val="16"/>
    </w:rPr>
  </w:style>
  <w:style w:type="character" w:customStyle="1" w:styleId="BodyText3Char">
    <w:name w:val="Body Text 3 Char"/>
    <w:basedOn w:val="DefaultParagraphFont"/>
    <w:link w:val="BodyText3"/>
    <w:uiPriority w:val="98"/>
    <w:semiHidden/>
    <w:rsid w:val="00F60D59"/>
    <w:rPr>
      <w:rFonts w:eastAsiaTheme="minorEastAsia"/>
      <w:sz w:val="16"/>
      <w:szCs w:val="16"/>
      <w:lang w:val="en-GB"/>
    </w:rPr>
  </w:style>
  <w:style w:type="paragraph" w:styleId="BodyTextFirstIndent">
    <w:name w:val="Body Text First Indent"/>
    <w:basedOn w:val="BodyText"/>
    <w:link w:val="BodyTextFirstIndentChar"/>
    <w:uiPriority w:val="98"/>
    <w:semiHidden/>
    <w:rsid w:val="00F60D59"/>
    <w:pPr>
      <w:spacing w:after="0"/>
      <w:ind w:firstLine="360"/>
    </w:pPr>
  </w:style>
  <w:style w:type="character" w:customStyle="1" w:styleId="BodyTextFirstIndentChar">
    <w:name w:val="Body Text First Indent Char"/>
    <w:basedOn w:val="BodyTextChar"/>
    <w:link w:val="BodyTextFirstIndent"/>
    <w:uiPriority w:val="98"/>
    <w:semiHidden/>
    <w:rsid w:val="00F60D59"/>
    <w:rPr>
      <w:rFonts w:eastAsiaTheme="minorEastAsia"/>
      <w:sz w:val="24"/>
      <w:lang w:val="en-GB"/>
    </w:rPr>
  </w:style>
  <w:style w:type="paragraph" w:styleId="BodyTextIndent">
    <w:name w:val="Body Text Indent"/>
    <w:basedOn w:val="Normal"/>
    <w:link w:val="BodyTextIndentChar"/>
    <w:uiPriority w:val="98"/>
    <w:semiHidden/>
    <w:rsid w:val="00F60D59"/>
    <w:pPr>
      <w:spacing w:after="120"/>
      <w:ind w:left="283"/>
    </w:pPr>
  </w:style>
  <w:style w:type="character" w:customStyle="1" w:styleId="BodyTextIndentChar">
    <w:name w:val="Body Text Indent Char"/>
    <w:basedOn w:val="DefaultParagraphFont"/>
    <w:link w:val="BodyTextIndent"/>
    <w:uiPriority w:val="98"/>
    <w:semiHidden/>
    <w:rsid w:val="00F60D59"/>
    <w:rPr>
      <w:rFonts w:eastAsiaTheme="minorEastAsia"/>
      <w:sz w:val="24"/>
      <w:lang w:val="en-GB"/>
    </w:rPr>
  </w:style>
  <w:style w:type="paragraph" w:styleId="BodyTextFirstIndent2">
    <w:name w:val="Body Text First Indent 2"/>
    <w:basedOn w:val="BodyTextIndent"/>
    <w:link w:val="BodyTextFirstIndent2Char"/>
    <w:uiPriority w:val="98"/>
    <w:semiHidden/>
    <w:rsid w:val="00F60D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F60D59"/>
    <w:rPr>
      <w:rFonts w:eastAsiaTheme="minorEastAsia"/>
      <w:sz w:val="24"/>
      <w:lang w:val="en-GB"/>
    </w:rPr>
  </w:style>
  <w:style w:type="paragraph" w:styleId="BodyTextIndent2">
    <w:name w:val="Body Text Indent 2"/>
    <w:basedOn w:val="Normal"/>
    <w:link w:val="BodyTextIndent2Char"/>
    <w:uiPriority w:val="98"/>
    <w:semiHidden/>
    <w:rsid w:val="00F60D59"/>
    <w:pPr>
      <w:spacing w:after="120" w:line="480" w:lineRule="auto"/>
      <w:ind w:left="283"/>
    </w:pPr>
  </w:style>
  <w:style w:type="character" w:customStyle="1" w:styleId="BodyTextIndent2Char">
    <w:name w:val="Body Text Indent 2 Char"/>
    <w:basedOn w:val="DefaultParagraphFont"/>
    <w:link w:val="BodyTextIndent2"/>
    <w:uiPriority w:val="98"/>
    <w:semiHidden/>
    <w:rsid w:val="00F60D59"/>
    <w:rPr>
      <w:rFonts w:eastAsiaTheme="minorEastAsia"/>
      <w:sz w:val="24"/>
      <w:lang w:val="en-GB"/>
    </w:rPr>
  </w:style>
  <w:style w:type="paragraph" w:styleId="BodyTextIndent3">
    <w:name w:val="Body Text Indent 3"/>
    <w:basedOn w:val="Normal"/>
    <w:link w:val="BodyTextIndent3Char"/>
    <w:uiPriority w:val="98"/>
    <w:semiHidden/>
    <w:rsid w:val="00F60D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60D59"/>
    <w:rPr>
      <w:rFonts w:eastAsiaTheme="minorEastAsia"/>
      <w:sz w:val="16"/>
      <w:szCs w:val="16"/>
      <w:lang w:val="en-GB"/>
    </w:rPr>
  </w:style>
  <w:style w:type="paragraph" w:styleId="Caption">
    <w:name w:val="caption"/>
    <w:basedOn w:val="Normal"/>
    <w:next w:val="Normal"/>
    <w:uiPriority w:val="98"/>
    <w:semiHidden/>
    <w:qFormat/>
    <w:rsid w:val="00F60D59"/>
    <w:pPr>
      <w:spacing w:after="200"/>
    </w:pPr>
    <w:rPr>
      <w:b/>
      <w:bCs/>
      <w:color w:val="0072BC" w:themeColor="accent1"/>
      <w:sz w:val="18"/>
      <w:szCs w:val="18"/>
    </w:rPr>
  </w:style>
  <w:style w:type="paragraph" w:styleId="Closing">
    <w:name w:val="Closing"/>
    <w:basedOn w:val="Normal"/>
    <w:link w:val="ClosingChar"/>
    <w:uiPriority w:val="98"/>
    <w:semiHidden/>
    <w:rsid w:val="00F60D59"/>
    <w:pPr>
      <w:ind w:left="4252"/>
    </w:pPr>
  </w:style>
  <w:style w:type="character" w:customStyle="1" w:styleId="ClosingChar">
    <w:name w:val="Closing Char"/>
    <w:basedOn w:val="DefaultParagraphFont"/>
    <w:link w:val="Closing"/>
    <w:uiPriority w:val="98"/>
    <w:semiHidden/>
    <w:rsid w:val="00F60D59"/>
    <w:rPr>
      <w:rFonts w:eastAsiaTheme="minorEastAsia"/>
      <w:sz w:val="24"/>
      <w:lang w:val="en-GB"/>
    </w:rPr>
  </w:style>
  <w:style w:type="table" w:styleId="ColorfulGrid">
    <w:name w:val="Colorful Grid"/>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60D5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60D5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60D5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60D5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60D5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60D5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60D5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60D5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60D5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60D5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60D5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60D5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60D5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60D5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60D5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60D59"/>
    <w:rPr>
      <w:sz w:val="16"/>
      <w:szCs w:val="16"/>
    </w:rPr>
  </w:style>
  <w:style w:type="paragraph" w:styleId="CommentText">
    <w:name w:val="annotation text"/>
    <w:basedOn w:val="Normal"/>
    <w:link w:val="CommentTextChar"/>
    <w:uiPriority w:val="98"/>
    <w:semiHidden/>
    <w:rsid w:val="00F60D59"/>
    <w:rPr>
      <w:sz w:val="20"/>
      <w:szCs w:val="20"/>
    </w:rPr>
  </w:style>
  <w:style w:type="character" w:customStyle="1" w:styleId="CommentTextChar">
    <w:name w:val="Comment Text Char"/>
    <w:basedOn w:val="DefaultParagraphFont"/>
    <w:link w:val="CommentText"/>
    <w:uiPriority w:val="98"/>
    <w:semiHidden/>
    <w:rsid w:val="00F60D59"/>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F60D59"/>
    <w:rPr>
      <w:b/>
      <w:bCs/>
    </w:rPr>
  </w:style>
  <w:style w:type="character" w:customStyle="1" w:styleId="CommentSubjectChar">
    <w:name w:val="Comment Subject Char"/>
    <w:basedOn w:val="CommentTextChar"/>
    <w:link w:val="CommentSubject"/>
    <w:uiPriority w:val="98"/>
    <w:semiHidden/>
    <w:rsid w:val="00F60D59"/>
    <w:rPr>
      <w:rFonts w:eastAsiaTheme="minorEastAsia"/>
      <w:b/>
      <w:bCs/>
      <w:sz w:val="20"/>
      <w:szCs w:val="20"/>
      <w:lang w:val="en-GB"/>
    </w:rPr>
  </w:style>
  <w:style w:type="table" w:styleId="DarkList">
    <w:name w:val="Dark List"/>
    <w:basedOn w:val="TableNormal"/>
    <w:uiPriority w:val="70"/>
    <w:semiHidden/>
    <w:rsid w:val="00F60D5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60D5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60D5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60D5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60D5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60D5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60D5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60D59"/>
  </w:style>
  <w:style w:type="character" w:customStyle="1" w:styleId="DateChar">
    <w:name w:val="Date Char"/>
    <w:basedOn w:val="DefaultParagraphFont"/>
    <w:link w:val="Date"/>
    <w:uiPriority w:val="98"/>
    <w:semiHidden/>
    <w:rsid w:val="00F60D59"/>
    <w:rPr>
      <w:rFonts w:eastAsiaTheme="minorEastAsia"/>
      <w:sz w:val="24"/>
      <w:lang w:val="en-GB"/>
    </w:rPr>
  </w:style>
  <w:style w:type="paragraph" w:styleId="DocumentMap">
    <w:name w:val="Document Map"/>
    <w:basedOn w:val="Normal"/>
    <w:link w:val="DocumentMapChar"/>
    <w:uiPriority w:val="98"/>
    <w:semiHidden/>
    <w:rsid w:val="00F60D59"/>
    <w:rPr>
      <w:rFonts w:ascii="Tahoma" w:hAnsi="Tahoma" w:cs="Tahoma"/>
      <w:sz w:val="16"/>
      <w:szCs w:val="16"/>
    </w:rPr>
  </w:style>
  <w:style w:type="character" w:customStyle="1" w:styleId="DocumentMapChar">
    <w:name w:val="Document Map Char"/>
    <w:basedOn w:val="DefaultParagraphFont"/>
    <w:link w:val="DocumentMap"/>
    <w:uiPriority w:val="98"/>
    <w:semiHidden/>
    <w:rsid w:val="00F60D59"/>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F60D59"/>
  </w:style>
  <w:style w:type="character" w:customStyle="1" w:styleId="E-mailSignatureChar">
    <w:name w:val="E-mail Signature Char"/>
    <w:basedOn w:val="DefaultParagraphFont"/>
    <w:link w:val="E-mailSignature"/>
    <w:uiPriority w:val="98"/>
    <w:semiHidden/>
    <w:rsid w:val="00F60D59"/>
    <w:rPr>
      <w:rFonts w:eastAsiaTheme="minorEastAsia"/>
      <w:sz w:val="24"/>
      <w:lang w:val="en-GB"/>
    </w:rPr>
  </w:style>
  <w:style w:type="character" w:styleId="EndnoteReference">
    <w:name w:val="endnote reference"/>
    <w:basedOn w:val="DefaultParagraphFont"/>
    <w:uiPriority w:val="98"/>
    <w:semiHidden/>
    <w:rsid w:val="00F60D59"/>
    <w:rPr>
      <w:vertAlign w:val="superscript"/>
    </w:rPr>
  </w:style>
  <w:style w:type="paragraph" w:styleId="EndnoteText">
    <w:name w:val="endnote text"/>
    <w:basedOn w:val="Normal"/>
    <w:link w:val="EndnoteTextChar"/>
    <w:uiPriority w:val="98"/>
    <w:semiHidden/>
    <w:rsid w:val="00F60D59"/>
    <w:rPr>
      <w:sz w:val="20"/>
      <w:szCs w:val="20"/>
    </w:rPr>
  </w:style>
  <w:style w:type="character" w:customStyle="1" w:styleId="EndnoteTextChar">
    <w:name w:val="Endnote Text Char"/>
    <w:basedOn w:val="DefaultParagraphFont"/>
    <w:link w:val="EndnoteText"/>
    <w:uiPriority w:val="98"/>
    <w:semiHidden/>
    <w:rsid w:val="00F60D59"/>
    <w:rPr>
      <w:rFonts w:eastAsiaTheme="minorEastAsia"/>
      <w:sz w:val="20"/>
      <w:szCs w:val="20"/>
      <w:lang w:val="en-GB"/>
    </w:rPr>
  </w:style>
  <w:style w:type="paragraph" w:styleId="EnvelopeAddress">
    <w:name w:val="envelope address"/>
    <w:basedOn w:val="Normal"/>
    <w:uiPriority w:val="98"/>
    <w:semiHidden/>
    <w:rsid w:val="00F60D5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F60D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60D59"/>
    <w:rPr>
      <w:color w:val="7030A0" w:themeColor="followedHyperlink"/>
      <w:u w:val="single"/>
    </w:rPr>
  </w:style>
  <w:style w:type="character" w:styleId="HTMLAcronym">
    <w:name w:val="HTML Acronym"/>
    <w:basedOn w:val="DefaultParagraphFont"/>
    <w:uiPriority w:val="98"/>
    <w:semiHidden/>
    <w:rsid w:val="00F60D59"/>
  </w:style>
  <w:style w:type="paragraph" w:styleId="HTMLAddress">
    <w:name w:val="HTML Address"/>
    <w:basedOn w:val="Normal"/>
    <w:link w:val="HTMLAddressChar"/>
    <w:uiPriority w:val="98"/>
    <w:semiHidden/>
    <w:rsid w:val="00F60D59"/>
    <w:rPr>
      <w:i/>
      <w:iCs/>
    </w:rPr>
  </w:style>
  <w:style w:type="character" w:customStyle="1" w:styleId="HTMLAddressChar">
    <w:name w:val="HTML Address Char"/>
    <w:basedOn w:val="DefaultParagraphFont"/>
    <w:link w:val="HTMLAddress"/>
    <w:uiPriority w:val="98"/>
    <w:semiHidden/>
    <w:rsid w:val="00F60D59"/>
    <w:rPr>
      <w:rFonts w:eastAsiaTheme="minorEastAsia"/>
      <w:i/>
      <w:iCs/>
      <w:sz w:val="24"/>
      <w:lang w:val="en-GB"/>
    </w:rPr>
  </w:style>
  <w:style w:type="character" w:styleId="HTMLCite">
    <w:name w:val="HTML Cite"/>
    <w:basedOn w:val="DefaultParagraphFont"/>
    <w:uiPriority w:val="98"/>
    <w:semiHidden/>
    <w:rsid w:val="00F60D59"/>
    <w:rPr>
      <w:i/>
      <w:iCs/>
    </w:rPr>
  </w:style>
  <w:style w:type="character" w:styleId="HTMLCode">
    <w:name w:val="HTML Code"/>
    <w:basedOn w:val="DefaultParagraphFont"/>
    <w:uiPriority w:val="98"/>
    <w:semiHidden/>
    <w:rsid w:val="00F60D59"/>
    <w:rPr>
      <w:rFonts w:ascii="Consolas" w:hAnsi="Consolas" w:cs="Consolas"/>
      <w:sz w:val="20"/>
      <w:szCs w:val="20"/>
    </w:rPr>
  </w:style>
  <w:style w:type="character" w:styleId="HTMLDefinition">
    <w:name w:val="HTML Definition"/>
    <w:basedOn w:val="DefaultParagraphFont"/>
    <w:uiPriority w:val="98"/>
    <w:semiHidden/>
    <w:rsid w:val="00F60D59"/>
    <w:rPr>
      <w:i/>
      <w:iCs/>
    </w:rPr>
  </w:style>
  <w:style w:type="character" w:styleId="HTMLKeyboard">
    <w:name w:val="HTML Keyboard"/>
    <w:basedOn w:val="DefaultParagraphFont"/>
    <w:uiPriority w:val="98"/>
    <w:semiHidden/>
    <w:rsid w:val="00F60D59"/>
    <w:rPr>
      <w:rFonts w:ascii="Consolas" w:hAnsi="Consolas" w:cs="Consolas"/>
      <w:sz w:val="20"/>
      <w:szCs w:val="20"/>
    </w:rPr>
  </w:style>
  <w:style w:type="paragraph" w:styleId="HTMLPreformatted">
    <w:name w:val="HTML Preformatted"/>
    <w:basedOn w:val="Normal"/>
    <w:link w:val="HTMLPreformattedChar"/>
    <w:uiPriority w:val="98"/>
    <w:semiHidden/>
    <w:rsid w:val="00F60D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60D59"/>
    <w:rPr>
      <w:rFonts w:ascii="Consolas" w:eastAsiaTheme="minorEastAsia" w:hAnsi="Consolas" w:cs="Consolas"/>
      <w:sz w:val="20"/>
      <w:szCs w:val="20"/>
      <w:lang w:val="en-GB"/>
    </w:rPr>
  </w:style>
  <w:style w:type="character" w:styleId="HTMLSample">
    <w:name w:val="HTML Sample"/>
    <w:basedOn w:val="DefaultParagraphFont"/>
    <w:uiPriority w:val="98"/>
    <w:semiHidden/>
    <w:rsid w:val="00F60D59"/>
    <w:rPr>
      <w:rFonts w:ascii="Consolas" w:hAnsi="Consolas" w:cs="Consolas"/>
      <w:sz w:val="24"/>
      <w:szCs w:val="24"/>
    </w:rPr>
  </w:style>
  <w:style w:type="character" w:styleId="HTMLTypewriter">
    <w:name w:val="HTML Typewriter"/>
    <w:basedOn w:val="DefaultParagraphFont"/>
    <w:uiPriority w:val="98"/>
    <w:semiHidden/>
    <w:rsid w:val="00F60D59"/>
    <w:rPr>
      <w:rFonts w:ascii="Consolas" w:hAnsi="Consolas" w:cs="Consolas"/>
      <w:sz w:val="20"/>
      <w:szCs w:val="20"/>
    </w:rPr>
  </w:style>
  <w:style w:type="character" w:styleId="HTMLVariable">
    <w:name w:val="HTML Variable"/>
    <w:basedOn w:val="DefaultParagraphFont"/>
    <w:uiPriority w:val="98"/>
    <w:semiHidden/>
    <w:rsid w:val="00F60D59"/>
    <w:rPr>
      <w:i/>
      <w:iCs/>
    </w:rPr>
  </w:style>
  <w:style w:type="paragraph" w:styleId="Index1">
    <w:name w:val="index 1"/>
    <w:basedOn w:val="Normal"/>
    <w:next w:val="Normal"/>
    <w:autoRedefine/>
    <w:uiPriority w:val="98"/>
    <w:semiHidden/>
    <w:rsid w:val="00F60D59"/>
    <w:pPr>
      <w:ind w:left="240" w:hanging="240"/>
    </w:pPr>
  </w:style>
  <w:style w:type="paragraph" w:styleId="Index2">
    <w:name w:val="index 2"/>
    <w:basedOn w:val="Normal"/>
    <w:next w:val="Normal"/>
    <w:autoRedefine/>
    <w:uiPriority w:val="98"/>
    <w:semiHidden/>
    <w:rsid w:val="00F60D59"/>
    <w:pPr>
      <w:ind w:left="480" w:hanging="240"/>
    </w:pPr>
  </w:style>
  <w:style w:type="paragraph" w:styleId="Index3">
    <w:name w:val="index 3"/>
    <w:basedOn w:val="Normal"/>
    <w:next w:val="Normal"/>
    <w:autoRedefine/>
    <w:uiPriority w:val="98"/>
    <w:semiHidden/>
    <w:rsid w:val="00F60D59"/>
    <w:pPr>
      <w:ind w:left="720" w:hanging="240"/>
    </w:pPr>
  </w:style>
  <w:style w:type="paragraph" w:styleId="Index4">
    <w:name w:val="index 4"/>
    <w:basedOn w:val="Normal"/>
    <w:next w:val="Normal"/>
    <w:autoRedefine/>
    <w:uiPriority w:val="98"/>
    <w:semiHidden/>
    <w:rsid w:val="00F60D59"/>
    <w:pPr>
      <w:ind w:left="960" w:hanging="240"/>
    </w:pPr>
  </w:style>
  <w:style w:type="paragraph" w:styleId="Index5">
    <w:name w:val="index 5"/>
    <w:basedOn w:val="Normal"/>
    <w:next w:val="Normal"/>
    <w:autoRedefine/>
    <w:uiPriority w:val="98"/>
    <w:semiHidden/>
    <w:rsid w:val="00F60D59"/>
    <w:pPr>
      <w:ind w:left="1200" w:hanging="240"/>
    </w:pPr>
  </w:style>
  <w:style w:type="paragraph" w:styleId="Index6">
    <w:name w:val="index 6"/>
    <w:basedOn w:val="Normal"/>
    <w:next w:val="Normal"/>
    <w:autoRedefine/>
    <w:uiPriority w:val="98"/>
    <w:semiHidden/>
    <w:rsid w:val="00F60D59"/>
    <w:pPr>
      <w:ind w:left="1440" w:hanging="240"/>
    </w:pPr>
  </w:style>
  <w:style w:type="paragraph" w:styleId="Index7">
    <w:name w:val="index 7"/>
    <w:basedOn w:val="Normal"/>
    <w:next w:val="Normal"/>
    <w:autoRedefine/>
    <w:uiPriority w:val="98"/>
    <w:semiHidden/>
    <w:rsid w:val="00F60D59"/>
    <w:pPr>
      <w:ind w:left="1680" w:hanging="240"/>
    </w:pPr>
  </w:style>
  <w:style w:type="paragraph" w:styleId="Index8">
    <w:name w:val="index 8"/>
    <w:basedOn w:val="Normal"/>
    <w:next w:val="Normal"/>
    <w:autoRedefine/>
    <w:uiPriority w:val="98"/>
    <w:semiHidden/>
    <w:rsid w:val="00F60D59"/>
    <w:pPr>
      <w:ind w:left="1920" w:hanging="240"/>
    </w:pPr>
  </w:style>
  <w:style w:type="paragraph" w:styleId="Index9">
    <w:name w:val="index 9"/>
    <w:basedOn w:val="Normal"/>
    <w:next w:val="Normal"/>
    <w:autoRedefine/>
    <w:uiPriority w:val="98"/>
    <w:semiHidden/>
    <w:rsid w:val="00F60D59"/>
    <w:pPr>
      <w:ind w:left="2160" w:hanging="240"/>
    </w:pPr>
  </w:style>
  <w:style w:type="paragraph" w:styleId="IndexHeading">
    <w:name w:val="index heading"/>
    <w:basedOn w:val="Normal"/>
    <w:next w:val="Index1"/>
    <w:uiPriority w:val="98"/>
    <w:semiHidden/>
    <w:rsid w:val="00F60D59"/>
    <w:rPr>
      <w:rFonts w:asciiTheme="majorHAnsi" w:eastAsiaTheme="majorEastAsia" w:hAnsiTheme="majorHAnsi" w:cstheme="majorBidi"/>
      <w:b/>
      <w:bCs/>
    </w:rPr>
  </w:style>
  <w:style w:type="table" w:styleId="LightGrid">
    <w:name w:val="Light Grid"/>
    <w:basedOn w:val="TableNormal"/>
    <w:uiPriority w:val="62"/>
    <w:semiHidden/>
    <w:rsid w:val="00F60D5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60D5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60D5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60D5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60D5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60D5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60D5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60D5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60D5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60D5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60D5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60D5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60D5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60D5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60D5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60D5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60D5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60D5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60D5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60D5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60D5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60D59"/>
  </w:style>
  <w:style w:type="paragraph" w:styleId="List">
    <w:name w:val="List"/>
    <w:basedOn w:val="Normal"/>
    <w:uiPriority w:val="98"/>
    <w:semiHidden/>
    <w:rsid w:val="00F60D59"/>
    <w:pPr>
      <w:ind w:left="283" w:hanging="283"/>
      <w:contextualSpacing/>
    </w:pPr>
  </w:style>
  <w:style w:type="paragraph" w:styleId="List2">
    <w:name w:val="List 2"/>
    <w:basedOn w:val="Normal"/>
    <w:uiPriority w:val="98"/>
    <w:semiHidden/>
    <w:rsid w:val="00F60D59"/>
    <w:pPr>
      <w:ind w:left="566" w:hanging="283"/>
      <w:contextualSpacing/>
    </w:pPr>
  </w:style>
  <w:style w:type="paragraph" w:styleId="List3">
    <w:name w:val="List 3"/>
    <w:basedOn w:val="Normal"/>
    <w:uiPriority w:val="98"/>
    <w:semiHidden/>
    <w:rsid w:val="00F60D59"/>
    <w:pPr>
      <w:ind w:left="849" w:hanging="283"/>
      <w:contextualSpacing/>
    </w:pPr>
  </w:style>
  <w:style w:type="paragraph" w:styleId="List4">
    <w:name w:val="List 4"/>
    <w:basedOn w:val="Normal"/>
    <w:uiPriority w:val="98"/>
    <w:semiHidden/>
    <w:rsid w:val="00F60D59"/>
    <w:pPr>
      <w:ind w:left="1132" w:hanging="283"/>
      <w:contextualSpacing/>
    </w:pPr>
  </w:style>
  <w:style w:type="paragraph" w:styleId="List5">
    <w:name w:val="List 5"/>
    <w:basedOn w:val="Normal"/>
    <w:uiPriority w:val="98"/>
    <w:semiHidden/>
    <w:rsid w:val="00F60D59"/>
    <w:pPr>
      <w:ind w:left="1415" w:hanging="283"/>
      <w:contextualSpacing/>
    </w:pPr>
  </w:style>
  <w:style w:type="paragraph" w:styleId="ListBullet2">
    <w:name w:val="List Bullet 2"/>
    <w:basedOn w:val="Normal"/>
    <w:uiPriority w:val="98"/>
    <w:semiHidden/>
    <w:rsid w:val="00F60D59"/>
    <w:pPr>
      <w:numPr>
        <w:numId w:val="12"/>
      </w:numPr>
      <w:contextualSpacing/>
    </w:pPr>
  </w:style>
  <w:style w:type="paragraph" w:styleId="ListBullet4">
    <w:name w:val="List Bullet 4"/>
    <w:basedOn w:val="Normal"/>
    <w:uiPriority w:val="98"/>
    <w:semiHidden/>
    <w:rsid w:val="00F60D59"/>
    <w:pPr>
      <w:numPr>
        <w:numId w:val="14"/>
      </w:numPr>
      <w:contextualSpacing/>
    </w:pPr>
  </w:style>
  <w:style w:type="paragraph" w:styleId="ListBullet5">
    <w:name w:val="List Bullet 5"/>
    <w:basedOn w:val="Normal"/>
    <w:uiPriority w:val="98"/>
    <w:semiHidden/>
    <w:rsid w:val="00F60D59"/>
    <w:pPr>
      <w:numPr>
        <w:numId w:val="15"/>
      </w:numPr>
      <w:contextualSpacing/>
    </w:pPr>
  </w:style>
  <w:style w:type="paragraph" w:styleId="ListContinue">
    <w:name w:val="List Continue"/>
    <w:basedOn w:val="Normal"/>
    <w:uiPriority w:val="98"/>
    <w:semiHidden/>
    <w:rsid w:val="00F60D59"/>
    <w:pPr>
      <w:spacing w:after="120"/>
      <w:ind w:left="283"/>
      <w:contextualSpacing/>
    </w:pPr>
  </w:style>
  <w:style w:type="paragraph" w:styleId="ListContinue2">
    <w:name w:val="List Continue 2"/>
    <w:basedOn w:val="Normal"/>
    <w:uiPriority w:val="98"/>
    <w:semiHidden/>
    <w:rsid w:val="00F60D59"/>
    <w:pPr>
      <w:spacing w:after="120"/>
      <w:ind w:left="566"/>
      <w:contextualSpacing/>
    </w:pPr>
  </w:style>
  <w:style w:type="paragraph" w:styleId="ListContinue3">
    <w:name w:val="List Continue 3"/>
    <w:basedOn w:val="Normal"/>
    <w:uiPriority w:val="98"/>
    <w:semiHidden/>
    <w:rsid w:val="00F60D59"/>
    <w:pPr>
      <w:spacing w:after="120"/>
      <w:ind w:left="849"/>
      <w:contextualSpacing/>
    </w:pPr>
  </w:style>
  <w:style w:type="paragraph" w:styleId="ListContinue4">
    <w:name w:val="List Continue 4"/>
    <w:basedOn w:val="Normal"/>
    <w:uiPriority w:val="98"/>
    <w:semiHidden/>
    <w:rsid w:val="00F60D59"/>
    <w:pPr>
      <w:spacing w:after="120"/>
      <w:ind w:left="1132"/>
      <w:contextualSpacing/>
    </w:pPr>
  </w:style>
  <w:style w:type="paragraph" w:styleId="ListContinue5">
    <w:name w:val="List Continue 5"/>
    <w:basedOn w:val="Normal"/>
    <w:uiPriority w:val="98"/>
    <w:semiHidden/>
    <w:rsid w:val="00F60D59"/>
    <w:pPr>
      <w:spacing w:after="120"/>
      <w:ind w:left="1415"/>
      <w:contextualSpacing/>
    </w:pPr>
  </w:style>
  <w:style w:type="paragraph" w:styleId="ListNumber">
    <w:name w:val="List Number"/>
    <w:basedOn w:val="Normal"/>
    <w:uiPriority w:val="98"/>
    <w:semiHidden/>
    <w:rsid w:val="00F60D59"/>
    <w:pPr>
      <w:numPr>
        <w:numId w:val="16"/>
      </w:numPr>
      <w:contextualSpacing/>
    </w:pPr>
  </w:style>
  <w:style w:type="paragraph" w:styleId="ListNumber2">
    <w:name w:val="List Number 2"/>
    <w:basedOn w:val="Normal"/>
    <w:uiPriority w:val="98"/>
    <w:semiHidden/>
    <w:rsid w:val="00F60D59"/>
    <w:pPr>
      <w:numPr>
        <w:numId w:val="17"/>
      </w:numPr>
      <w:contextualSpacing/>
    </w:pPr>
  </w:style>
  <w:style w:type="paragraph" w:styleId="ListNumber3">
    <w:name w:val="List Number 3"/>
    <w:basedOn w:val="Normal"/>
    <w:uiPriority w:val="98"/>
    <w:semiHidden/>
    <w:rsid w:val="00F60D59"/>
    <w:pPr>
      <w:numPr>
        <w:numId w:val="18"/>
      </w:numPr>
      <w:contextualSpacing/>
    </w:pPr>
  </w:style>
  <w:style w:type="paragraph" w:styleId="ListNumber4">
    <w:name w:val="List Number 4"/>
    <w:basedOn w:val="Normal"/>
    <w:uiPriority w:val="98"/>
    <w:semiHidden/>
    <w:rsid w:val="00F60D59"/>
    <w:pPr>
      <w:numPr>
        <w:numId w:val="19"/>
      </w:numPr>
      <w:contextualSpacing/>
    </w:pPr>
  </w:style>
  <w:style w:type="paragraph" w:styleId="ListNumber5">
    <w:name w:val="List Number 5"/>
    <w:basedOn w:val="Normal"/>
    <w:uiPriority w:val="98"/>
    <w:semiHidden/>
    <w:rsid w:val="00F60D59"/>
    <w:pPr>
      <w:numPr>
        <w:numId w:val="20"/>
      </w:numPr>
      <w:contextualSpacing/>
    </w:pPr>
  </w:style>
  <w:style w:type="paragraph" w:styleId="MacroText">
    <w:name w:val="macro"/>
    <w:link w:val="MacroTextChar"/>
    <w:uiPriority w:val="98"/>
    <w:semiHidden/>
    <w:rsid w:val="00F60D5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60D59"/>
    <w:rPr>
      <w:rFonts w:ascii="Consolas" w:eastAsiaTheme="minorEastAsia" w:hAnsi="Consolas" w:cs="Consolas"/>
      <w:sz w:val="20"/>
      <w:szCs w:val="20"/>
    </w:rPr>
  </w:style>
  <w:style w:type="table" w:styleId="MediumGrid1">
    <w:name w:val="Medium Grid 1"/>
    <w:basedOn w:val="TableNormal"/>
    <w:uiPriority w:val="67"/>
    <w:semiHidden/>
    <w:rsid w:val="00F60D5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60D5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60D5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60D5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60D5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60D5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60D5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60D5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60D5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60D5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60D5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60D5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60D5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60D5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60D5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60D5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60D5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60D5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60D5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60D5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60D5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60D5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60D5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60D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60D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F60D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60D59"/>
    <w:rPr>
      <w:rFonts w:ascii="Times New Roman" w:hAnsi="Times New Roman" w:cs="Times New Roman"/>
      <w:szCs w:val="24"/>
    </w:rPr>
  </w:style>
  <w:style w:type="paragraph" w:styleId="NormalIndent">
    <w:name w:val="Normal Indent"/>
    <w:basedOn w:val="Normal"/>
    <w:uiPriority w:val="98"/>
    <w:semiHidden/>
    <w:rsid w:val="00F60D59"/>
    <w:pPr>
      <w:ind w:left="720"/>
    </w:pPr>
  </w:style>
  <w:style w:type="paragraph" w:customStyle="1" w:styleId="ECHRHeading9">
    <w:name w:val="ECHR_Heading_9"/>
    <w:aliases w:val="_Head_9"/>
    <w:basedOn w:val="Heading9"/>
    <w:next w:val="Normal"/>
    <w:uiPriority w:val="19"/>
    <w:semiHidden/>
    <w:rsid w:val="00F60D59"/>
    <w:pPr>
      <w:numPr>
        <w:numId w:val="3"/>
      </w:numPr>
    </w:pPr>
    <w:rPr>
      <w:i w:val="0"/>
      <w:sz w:val="18"/>
    </w:rPr>
  </w:style>
  <w:style w:type="paragraph" w:customStyle="1" w:styleId="ECHRParaIndent">
    <w:name w:val="ECHR_Para_Indent"/>
    <w:aliases w:val="_Indent"/>
    <w:basedOn w:val="Normal"/>
    <w:uiPriority w:val="7"/>
    <w:semiHidden/>
    <w:qFormat/>
    <w:rsid w:val="00F60D59"/>
    <w:pPr>
      <w:spacing w:before="120" w:after="120"/>
      <w:ind w:left="567"/>
    </w:pPr>
    <w:rPr>
      <w:rFonts w:eastAsiaTheme="minorHAnsi"/>
      <w:sz w:val="22"/>
    </w:rPr>
  </w:style>
  <w:style w:type="character" w:styleId="PlaceholderText">
    <w:name w:val="Placeholder Text"/>
    <w:basedOn w:val="DefaultParagraphFont"/>
    <w:uiPriority w:val="98"/>
    <w:semiHidden/>
    <w:rsid w:val="00F60D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60D59"/>
    <w:rPr>
      <w:rFonts w:ascii="Consolas" w:hAnsi="Consolas" w:cs="Consolas"/>
      <w:sz w:val="21"/>
      <w:szCs w:val="21"/>
    </w:rPr>
  </w:style>
  <w:style w:type="character" w:customStyle="1" w:styleId="PlainTextChar">
    <w:name w:val="Plain Text Char"/>
    <w:basedOn w:val="DefaultParagraphFont"/>
    <w:link w:val="PlainText"/>
    <w:uiPriority w:val="98"/>
    <w:semiHidden/>
    <w:rsid w:val="00F60D59"/>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F60D59"/>
  </w:style>
  <w:style w:type="character" w:customStyle="1" w:styleId="SalutationChar">
    <w:name w:val="Salutation Char"/>
    <w:basedOn w:val="DefaultParagraphFont"/>
    <w:link w:val="Salutation"/>
    <w:uiPriority w:val="98"/>
    <w:semiHidden/>
    <w:rsid w:val="00F60D59"/>
    <w:rPr>
      <w:rFonts w:eastAsiaTheme="minorEastAsia"/>
      <w:sz w:val="24"/>
      <w:lang w:val="en-GB"/>
    </w:rPr>
  </w:style>
  <w:style w:type="paragraph" w:styleId="Signature">
    <w:name w:val="Signature"/>
    <w:basedOn w:val="Normal"/>
    <w:link w:val="SignatureChar"/>
    <w:uiPriority w:val="98"/>
    <w:semiHidden/>
    <w:rsid w:val="00F60D59"/>
    <w:pPr>
      <w:ind w:left="4252"/>
    </w:pPr>
  </w:style>
  <w:style w:type="character" w:customStyle="1" w:styleId="SignatureChar">
    <w:name w:val="Signature Char"/>
    <w:basedOn w:val="DefaultParagraphFont"/>
    <w:link w:val="Signature"/>
    <w:uiPriority w:val="98"/>
    <w:semiHidden/>
    <w:rsid w:val="00F60D59"/>
    <w:rPr>
      <w:rFonts w:eastAsiaTheme="minorEastAsia"/>
      <w:sz w:val="24"/>
      <w:lang w:val="en-GB"/>
    </w:rPr>
  </w:style>
  <w:style w:type="table" w:styleId="Table3Deffects1">
    <w:name w:val="Table 3D effects 1"/>
    <w:basedOn w:val="TableNormal"/>
    <w:uiPriority w:val="99"/>
    <w:semiHidden/>
    <w:unhideWhenUsed/>
    <w:rsid w:val="00F60D5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0D5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0D5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0D5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0D5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0D5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0D5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0D5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0D5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0D5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0D5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0D5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0D5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0D5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0D5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0D5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0D5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0D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0D5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0D5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0D5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0D5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0D5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0D5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0D5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0D5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0D5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0D5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0D5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0D5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0D5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0D5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0D5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60D59"/>
    <w:pPr>
      <w:ind w:left="240" w:hanging="240"/>
    </w:pPr>
  </w:style>
  <w:style w:type="paragraph" w:styleId="TableofFigures">
    <w:name w:val="table of figures"/>
    <w:basedOn w:val="Normal"/>
    <w:next w:val="Normal"/>
    <w:uiPriority w:val="98"/>
    <w:semiHidden/>
    <w:rsid w:val="00F60D59"/>
  </w:style>
  <w:style w:type="table" w:styleId="TableProfessional">
    <w:name w:val="Table Professional"/>
    <w:basedOn w:val="TableNormal"/>
    <w:uiPriority w:val="99"/>
    <w:semiHidden/>
    <w:unhideWhenUsed/>
    <w:rsid w:val="00F60D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0D5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0D5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0D5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0D5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0D5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0D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0D5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0D5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0D5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60D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60D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60D59"/>
    <w:pPr>
      <w:spacing w:after="100"/>
      <w:ind w:left="1680"/>
    </w:pPr>
  </w:style>
  <w:style w:type="paragraph" w:styleId="TOC9">
    <w:name w:val="toc 9"/>
    <w:basedOn w:val="Normal"/>
    <w:next w:val="Normal"/>
    <w:autoRedefine/>
    <w:uiPriority w:val="98"/>
    <w:semiHidden/>
    <w:rsid w:val="00F60D59"/>
    <w:pPr>
      <w:spacing w:after="100"/>
      <w:ind w:left="1920"/>
    </w:pPr>
  </w:style>
  <w:style w:type="paragraph" w:customStyle="1" w:styleId="DecHTitle">
    <w:name w:val="Dec_H_Title"/>
    <w:aliases w:val="_Title_1"/>
    <w:basedOn w:val="JuPara"/>
    <w:next w:val="JuPara"/>
    <w:uiPriority w:val="38"/>
    <w:qFormat/>
    <w:rsid w:val="00F60D59"/>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F60D59"/>
    <w:pPr>
      <w:tabs>
        <w:tab w:val="left" w:pos="567"/>
        <w:tab w:val="left" w:pos="1134"/>
      </w:tabs>
    </w:pPr>
  </w:style>
  <w:style w:type="paragraph" w:customStyle="1" w:styleId="ECHRFooter">
    <w:name w:val="ECHR_Footer"/>
    <w:aliases w:val="Footer_ECHR"/>
    <w:basedOn w:val="Footer"/>
    <w:uiPriority w:val="57"/>
    <w:semiHidden/>
    <w:rsid w:val="0064393B"/>
    <w:rPr>
      <w:sz w:val="8"/>
    </w:rPr>
  </w:style>
  <w:style w:type="paragraph" w:customStyle="1" w:styleId="FooterLine">
    <w:name w:val="_Footer_Line"/>
    <w:aliases w:val="Footer_Line"/>
    <w:basedOn w:val="Normal"/>
    <w:next w:val="Footer0"/>
    <w:uiPriority w:val="57"/>
    <w:semiHidden/>
    <w:rsid w:val="00F60D59"/>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F60D59"/>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semiHidden/>
    <w:rsid w:val="00F60D59"/>
    <w:pPr>
      <w:pBdr>
        <w:bottom w:val="single" w:sz="12" w:space="1" w:color="949494" w:themeColor="text2" w:themeShade="BF"/>
      </w:pBdr>
      <w:spacing w:after="120"/>
    </w:pPr>
    <w:rPr>
      <w:rFonts w:eastAsiaTheme="minorHAnsi"/>
      <w:sz w:val="12"/>
    </w:rPr>
  </w:style>
  <w:style w:type="paragraph" w:customStyle="1" w:styleId="JuHeaderLandscape">
    <w:name w:val="Ju_Header_Landscape"/>
    <w:aliases w:val="_Header_Landscape"/>
    <w:basedOn w:val="JuHeader"/>
    <w:uiPriority w:val="29"/>
    <w:qFormat/>
    <w:rsid w:val="00F60D59"/>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F60D59"/>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DF4541"/>
    <w:rPr>
      <w:rFonts w:eastAsiaTheme="minorEastAsia"/>
      <w:sz w:val="24"/>
      <w:lang w:val="en-GB"/>
    </w:rPr>
  </w:style>
  <w:style w:type="paragraph" w:customStyle="1" w:styleId="DecList">
    <w:name w:val="Dec_List"/>
    <w:aliases w:val="_List"/>
    <w:basedOn w:val="JuList"/>
    <w:uiPriority w:val="22"/>
    <w:rsid w:val="00F60D59"/>
    <w:pPr>
      <w:ind w:left="284" w:firstLine="0"/>
    </w:pPr>
  </w:style>
  <w:style w:type="paragraph" w:customStyle="1" w:styleId="ECHRNumberedList1">
    <w:name w:val="ECHR_Numbered_List_1"/>
    <w:aliases w:val="_Num_1"/>
    <w:basedOn w:val="Normal"/>
    <w:uiPriority w:val="23"/>
    <w:semiHidden/>
    <w:qFormat/>
    <w:rsid w:val="00F60D59"/>
    <w:pPr>
      <w:numPr>
        <w:numId w:val="9"/>
      </w:numPr>
      <w:spacing w:before="60" w:after="60"/>
    </w:pPr>
    <w:rPr>
      <w:sz w:val="22"/>
    </w:rPr>
  </w:style>
  <w:style w:type="paragraph" w:customStyle="1" w:styleId="ECHRNumberedList2">
    <w:name w:val="ECHR_Numbered_List_2"/>
    <w:aliases w:val="_Num_2"/>
    <w:basedOn w:val="ECHRNumberedList1"/>
    <w:uiPriority w:val="23"/>
    <w:semiHidden/>
    <w:rsid w:val="00F60D59"/>
    <w:pPr>
      <w:numPr>
        <w:ilvl w:val="1"/>
      </w:numPr>
    </w:pPr>
  </w:style>
  <w:style w:type="paragraph" w:customStyle="1" w:styleId="ECHRNumberedList3">
    <w:name w:val="ECHR_Numbered_List_3"/>
    <w:aliases w:val="_Num_3"/>
    <w:basedOn w:val="ECHRNumberedList2"/>
    <w:uiPriority w:val="23"/>
    <w:semiHidden/>
    <w:rsid w:val="00F60D59"/>
    <w:pPr>
      <w:numPr>
        <w:ilvl w:val="2"/>
      </w:numPr>
    </w:pPr>
  </w:style>
  <w:style w:type="character" w:customStyle="1" w:styleId="ECHRRed">
    <w:name w:val="ECHR_Red"/>
    <w:aliases w:val="_Red"/>
    <w:basedOn w:val="DefaultParagraphFont"/>
    <w:uiPriority w:val="15"/>
    <w:semiHidden/>
    <w:qFormat/>
    <w:rsid w:val="00F60D59"/>
    <w:rPr>
      <w:color w:val="C00000" w:themeColor="accent2"/>
    </w:rPr>
  </w:style>
  <w:style w:type="paragraph" w:customStyle="1" w:styleId="ECHRHeaderDate">
    <w:name w:val="ECHR_Header_Date"/>
    <w:aliases w:val="_Ref_Date"/>
    <w:basedOn w:val="Normal"/>
    <w:uiPriority w:val="44"/>
    <w:semiHidden/>
    <w:qFormat/>
    <w:rsid w:val="00F60D59"/>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F60D59"/>
    <w:pPr>
      <w:jc w:val="right"/>
    </w:pPr>
    <w:rPr>
      <w:rFonts w:eastAsiaTheme="minorHAnsi"/>
      <w:i/>
      <w:sz w:val="20"/>
    </w:rPr>
  </w:style>
  <w:style w:type="paragraph" w:customStyle="1" w:styleId="ECHRSpacer">
    <w:name w:val="ECHR_Spacer"/>
    <w:aliases w:val="_Spacer"/>
    <w:basedOn w:val="Normal"/>
    <w:uiPriority w:val="45"/>
    <w:semiHidden/>
    <w:rsid w:val="00F60D59"/>
    <w:rPr>
      <w:rFonts w:eastAsiaTheme="minorHAnsi"/>
      <w:sz w:val="4"/>
    </w:rPr>
  </w:style>
  <w:style w:type="paragraph" w:customStyle="1" w:styleId="ECHRCoverTitle4">
    <w:name w:val="ECHR_Cover_Title_4"/>
    <w:aliases w:val="_Title_4"/>
    <w:basedOn w:val="JuPara"/>
    <w:next w:val="JuPara"/>
    <w:uiPriority w:val="38"/>
    <w:qFormat/>
    <w:rsid w:val="00F60D59"/>
    <w:pPr>
      <w:keepNext/>
      <w:keepLines/>
      <w:tabs>
        <w:tab w:val="right" w:pos="7938"/>
      </w:tabs>
      <w:ind w:firstLine="0"/>
      <w:jc w:val="center"/>
    </w:pPr>
    <w:rPr>
      <w:rFonts w:eastAsiaTheme="minorHAnsi"/>
      <w:i/>
    </w:rPr>
  </w:style>
  <w:style w:type="paragraph" w:customStyle="1" w:styleId="ECHRTitleCentre1">
    <w:name w:val="ECHR_Title_Centre_1"/>
    <w:aliases w:val="_Title_C_1"/>
    <w:basedOn w:val="Normal"/>
    <w:next w:val="Normal"/>
    <w:uiPriority w:val="26"/>
    <w:semiHidden/>
    <w:qFormat/>
    <w:rsid w:val="00F60D59"/>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60D59"/>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60D59"/>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60D59"/>
    <w:pPr>
      <w:outlineLvl w:val="0"/>
    </w:pPr>
  </w:style>
  <w:style w:type="paragraph" w:customStyle="1" w:styleId="ECHRTitle1">
    <w:name w:val="ECHR_Title_1"/>
    <w:aliases w:val="_Title_L_1"/>
    <w:basedOn w:val="Normal"/>
    <w:next w:val="Normal"/>
    <w:uiPriority w:val="28"/>
    <w:semiHidden/>
    <w:qFormat/>
    <w:rsid w:val="00F60D59"/>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60D59"/>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60D59"/>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F60D59"/>
    <w:pPr>
      <w:outlineLvl w:val="0"/>
    </w:pPr>
  </w:style>
  <w:style w:type="numbering" w:customStyle="1" w:styleId="ECHRA1StyleBulletedSquare">
    <w:name w:val="ECHR_A1_Style_Bulleted_Square"/>
    <w:basedOn w:val="NoList"/>
    <w:rsid w:val="00F60D59"/>
    <w:pPr>
      <w:numPr>
        <w:numId w:val="7"/>
      </w:numPr>
    </w:pPr>
  </w:style>
  <w:style w:type="numbering" w:customStyle="1" w:styleId="ECHRA1StyleList">
    <w:name w:val="ECHR_A1_Style_List"/>
    <w:basedOn w:val="NoList"/>
    <w:uiPriority w:val="99"/>
    <w:rsid w:val="00F60D59"/>
    <w:pPr>
      <w:numPr>
        <w:numId w:val="8"/>
      </w:numPr>
    </w:pPr>
  </w:style>
  <w:style w:type="numbering" w:customStyle="1" w:styleId="ECHRA1StyleNumberedList">
    <w:name w:val="ECHR_A1_Style_Numbered_List"/>
    <w:basedOn w:val="NoList"/>
    <w:rsid w:val="00F60D59"/>
    <w:pPr>
      <w:numPr>
        <w:numId w:val="9"/>
      </w:numPr>
    </w:pPr>
  </w:style>
  <w:style w:type="table" w:customStyle="1" w:styleId="ECHRTable2">
    <w:name w:val="ECHR_Table_2"/>
    <w:basedOn w:val="TableNormal"/>
    <w:uiPriority w:val="99"/>
    <w:rsid w:val="00F60D59"/>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60D5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F60D5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F60D59"/>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39D002-7B89-453C-B68B-5BC8AD495FC9}"/>
</file>

<file path=customXml/itemProps2.xml><?xml version="1.0" encoding="utf-8"?>
<ds:datastoreItem xmlns:ds="http://schemas.openxmlformats.org/officeDocument/2006/customXml" ds:itemID="{85245A8A-86CC-4467-AF9C-3E8A7F928A24}"/>
</file>

<file path=customXml/itemProps3.xml><?xml version="1.0" encoding="utf-8"?>
<ds:datastoreItem xmlns:ds="http://schemas.openxmlformats.org/officeDocument/2006/customXml" ds:itemID="{32CB45AF-391F-4A3D-A0D5-A1AC95D487D0}"/>
</file>

<file path=customXml/itemProps4.xml><?xml version="1.0" encoding="utf-8"?>
<ds:datastoreItem xmlns:ds="http://schemas.openxmlformats.org/officeDocument/2006/customXml" ds:itemID="{FD7DA8D6-37A4-4EEB-947A-8540F526DC05}"/>
</file>

<file path=docProps/app.xml><?xml version="1.0" encoding="utf-8"?>
<Properties xmlns="http://schemas.openxmlformats.org/officeDocument/2006/extended-properties" xmlns:vt="http://schemas.openxmlformats.org/officeDocument/2006/docPropsVTypes">
  <Template>Normal.dotm</Template>
  <TotalTime>0</TotalTime>
  <Pages>1</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2020-04-17T13:42:00Z</dcterms:created>
  <dcterms:modified xsi:type="dcterms:W3CDTF">2020-04-17T13:42:00Z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31792/15</vt:lpwstr>
  </property>
  <property fmtid="{D5CDD505-2E9C-101B-9397-08002B2CF9AE}" pid="4" name="CASEID">
    <vt:lpwstr>1142150</vt:lpwstr>
  </property>
  <property fmtid="{D5CDD505-2E9C-101B-9397-08002B2CF9AE}" pid="5" name="ContentTypeId">
    <vt:lpwstr>0x010100558EB02BDB9E204AB350EDD385B68E10</vt:lpwstr>
  </property>
</Properties>
</file>