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33F16" w:rsidR="00771D0F" w:rsidP="00033F16" w:rsidRDefault="00771D0F">
      <w:pPr>
        <w:ind w:firstLine="284"/>
      </w:pPr>
      <w:bookmarkStart w:name="_GoBack" w:id="0"/>
      <w:bookmarkEnd w:id="0"/>
    </w:p>
    <w:p w:rsidRPr="00033F16" w:rsidR="00D420F3" w:rsidP="00033F16" w:rsidRDefault="00D07515">
      <w:pPr>
        <w:pStyle w:val="DecHCase"/>
      </w:pPr>
      <w:r w:rsidRPr="00033F16">
        <w:t>FIRST SECTION</w:t>
      </w:r>
    </w:p>
    <w:p w:rsidRPr="00033F16" w:rsidR="00D420F3" w:rsidP="00033F16" w:rsidRDefault="0077175D">
      <w:pPr>
        <w:pStyle w:val="JuTitle"/>
      </w:pPr>
      <w:bookmarkStart w:name="To" w:id="1"/>
      <w:r w:rsidRPr="00033F16">
        <w:t xml:space="preserve">CASE OF </w:t>
      </w:r>
      <w:bookmarkEnd w:id="1"/>
      <w:r w:rsidRPr="00033F16" w:rsidR="00D07515">
        <w:t xml:space="preserve">SINADINOVSKA v. </w:t>
      </w:r>
      <w:r w:rsidRPr="00033F16" w:rsidR="007D597C">
        <w:t>NORTH</w:t>
      </w:r>
      <w:r w:rsidRPr="00033F16" w:rsidR="00D07515">
        <w:t xml:space="preserve"> MACEDONIA</w:t>
      </w:r>
    </w:p>
    <w:p w:rsidRPr="00033F16" w:rsidR="00D420F3" w:rsidP="00033F16" w:rsidRDefault="0077175D">
      <w:pPr>
        <w:pStyle w:val="ECHRCoverTitle4"/>
      </w:pPr>
      <w:r w:rsidRPr="00033F16">
        <w:t>(</w:t>
      </w:r>
      <w:r w:rsidRPr="00033F16" w:rsidR="00D07515">
        <w:t>Application no. 27881/06</w:t>
      </w:r>
      <w:r w:rsidRPr="00033F16">
        <w:t>)</w:t>
      </w:r>
    </w:p>
    <w:p w:rsidRPr="00033F16" w:rsidR="00A36924" w:rsidP="00033F16" w:rsidRDefault="00A36924">
      <w:pPr>
        <w:pStyle w:val="DecHCase"/>
      </w:pPr>
    </w:p>
    <w:p w:rsidRPr="00033F16" w:rsidR="00A36924" w:rsidP="00033F16" w:rsidRDefault="00A36924">
      <w:pPr>
        <w:pStyle w:val="DecHCase"/>
      </w:pPr>
    </w:p>
    <w:p w:rsidRPr="00033F16" w:rsidR="00A36924" w:rsidP="00033F16" w:rsidRDefault="00A36924">
      <w:pPr>
        <w:pStyle w:val="DecHCase"/>
      </w:pPr>
    </w:p>
    <w:p w:rsidRPr="00033F16" w:rsidR="00A36924" w:rsidP="00033F16" w:rsidRDefault="00A36924">
      <w:pPr>
        <w:pStyle w:val="DecHCase"/>
      </w:pPr>
    </w:p>
    <w:p w:rsidRPr="00033F16" w:rsidR="00A36924" w:rsidP="00033F16" w:rsidRDefault="00A36924">
      <w:pPr>
        <w:pStyle w:val="DecHCase"/>
      </w:pPr>
    </w:p>
    <w:p w:rsidRPr="00033F16" w:rsidR="00A36924" w:rsidP="00033F16" w:rsidRDefault="00A36924">
      <w:pPr>
        <w:pStyle w:val="DecHCase"/>
      </w:pPr>
    </w:p>
    <w:p w:rsidRPr="00033F16" w:rsidR="006B1CCC" w:rsidP="00033F16" w:rsidRDefault="006B1CCC">
      <w:pPr>
        <w:pStyle w:val="DecHCase"/>
      </w:pPr>
      <w:r w:rsidRPr="00033F16">
        <w:t>JUDGMENT</w:t>
      </w:r>
      <w:r w:rsidRPr="00033F16">
        <w:br/>
      </w:r>
    </w:p>
    <w:p w:rsidRPr="00033F16" w:rsidR="006B1CCC" w:rsidP="00033F16" w:rsidRDefault="006B1CCC">
      <w:pPr>
        <w:pStyle w:val="DecHCase"/>
      </w:pPr>
      <w:r w:rsidRPr="00033F16">
        <w:t>STRASBOURG</w:t>
      </w:r>
    </w:p>
    <w:p w:rsidRPr="00033F16" w:rsidR="006B1CCC" w:rsidP="00033F16" w:rsidRDefault="005D6206">
      <w:pPr>
        <w:pStyle w:val="DecHCase"/>
        <w:rPr>
          <w:color w:val="000000" w:themeColor="text1"/>
        </w:rPr>
      </w:pPr>
      <w:r w:rsidRPr="00033F16">
        <w:rPr>
          <w:rFonts w:ascii="Times New Roman" w:hAnsi="Times New Roman" w:cs="Times New Roman"/>
          <w:color w:val="000000" w:themeColor="text1"/>
        </w:rPr>
        <w:t>16 January 2020</w:t>
      </w:r>
    </w:p>
    <w:p w:rsidRPr="00033F16" w:rsidR="006B1CCC" w:rsidP="00033F16" w:rsidRDefault="006B1CCC">
      <w:pPr>
        <w:ind w:firstLine="284"/>
      </w:pPr>
    </w:p>
    <w:p w:rsidRPr="00033F16" w:rsidR="00D420F3" w:rsidP="00033F16" w:rsidRDefault="006B1CCC">
      <w:r w:rsidRPr="00033F16">
        <w:rPr>
          <w:i/>
          <w:sz w:val="22"/>
        </w:rPr>
        <w:t>This judgment is final but it may be subject to editorial revision.</w:t>
      </w:r>
    </w:p>
    <w:p w:rsidRPr="00033F16" w:rsidR="00771D0F" w:rsidP="00033F16" w:rsidRDefault="00771D0F">
      <w:pPr>
        <w:rPr>
          <w:sz w:val="22"/>
        </w:rPr>
        <w:sectPr w:rsidRPr="00033F16" w:rsidR="00771D0F" w:rsidSect="00771D0F">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33F16" w:rsidR="00D420F3" w:rsidP="00033F16" w:rsidRDefault="0077175D">
      <w:pPr>
        <w:pStyle w:val="JuCase"/>
      </w:pPr>
      <w:r w:rsidRPr="00033F16">
        <w:t xml:space="preserve">In the case of </w:t>
      </w:r>
      <w:r w:rsidRPr="00033F16" w:rsidR="0082026E">
        <w:t xml:space="preserve">Sinadinovska </w:t>
      </w:r>
      <w:r w:rsidRPr="00033F16" w:rsidR="00B072C7">
        <w:t xml:space="preserve">v. </w:t>
      </w:r>
      <w:r w:rsidRPr="00033F16" w:rsidR="00B90EBB">
        <w:t>North</w:t>
      </w:r>
      <w:r w:rsidRPr="00033F16" w:rsidR="00D07515">
        <w:t xml:space="preserve"> Macedonia</w:t>
      </w:r>
      <w:r w:rsidRPr="00033F16">
        <w:t>,</w:t>
      </w:r>
    </w:p>
    <w:p w:rsidRPr="00033F16" w:rsidR="00D420F3" w:rsidP="00033F16" w:rsidRDefault="0077175D">
      <w:pPr>
        <w:pStyle w:val="JuPara"/>
      </w:pPr>
      <w:r w:rsidRPr="00033F16">
        <w:t>The European Court of Human Rights (</w:t>
      </w:r>
      <w:r w:rsidRPr="00033F16" w:rsidR="00D07515">
        <w:t>First Section</w:t>
      </w:r>
      <w:r w:rsidRPr="00033F16">
        <w:t xml:space="preserve">), sitting as a </w:t>
      </w:r>
      <w:r w:rsidRPr="00033F16" w:rsidR="00D07515">
        <w:t>Committee</w:t>
      </w:r>
      <w:r w:rsidRPr="00033F16">
        <w:t xml:space="preserve"> composed of:</w:t>
      </w:r>
    </w:p>
    <w:p w:rsidRPr="00033F16" w:rsidR="00D420F3" w:rsidP="00033F16" w:rsidRDefault="00771D0F">
      <w:pPr>
        <w:pStyle w:val="ECHRDecisionBody"/>
      </w:pPr>
      <w:r w:rsidRPr="00033F16">
        <w:tab/>
        <w:t>Tim Eicke,</w:t>
      </w:r>
      <w:r w:rsidRPr="00033F16">
        <w:rPr>
          <w:i/>
        </w:rPr>
        <w:t xml:space="preserve"> President,</w:t>
      </w:r>
      <w:r w:rsidRPr="00033F16">
        <w:rPr>
          <w:i/>
        </w:rPr>
        <w:br/>
      </w:r>
      <w:r w:rsidRPr="00033F16">
        <w:tab/>
        <w:t>Jovan Ilievski,</w:t>
      </w:r>
      <w:r w:rsidRPr="00033F16">
        <w:rPr>
          <w:i/>
        </w:rPr>
        <w:br/>
      </w:r>
      <w:r w:rsidRPr="00033F16">
        <w:tab/>
        <w:t>Raffaele Sabato,</w:t>
      </w:r>
      <w:r w:rsidRPr="00033F16">
        <w:rPr>
          <w:i/>
        </w:rPr>
        <w:t xml:space="preserve"> judges,</w:t>
      </w:r>
      <w:r w:rsidRPr="00033F16" w:rsidR="0077175D">
        <w:br/>
        <w:t xml:space="preserve">and </w:t>
      </w:r>
      <w:r w:rsidRPr="00033F16" w:rsidR="00534A13">
        <w:t>Abel</w:t>
      </w:r>
      <w:r w:rsidRPr="00033F16" w:rsidR="00D07515">
        <w:t xml:space="preserve"> </w:t>
      </w:r>
      <w:r w:rsidRPr="00033F16" w:rsidR="00534A13">
        <w:t>Campos</w:t>
      </w:r>
      <w:r w:rsidRPr="00033F16" w:rsidR="0077175D">
        <w:t xml:space="preserve">, </w:t>
      </w:r>
      <w:r w:rsidRPr="00033F16" w:rsidR="00D07515">
        <w:rPr>
          <w:i/>
        </w:rPr>
        <w:t xml:space="preserve">Section </w:t>
      </w:r>
      <w:r w:rsidRPr="00033F16" w:rsidR="00D07515">
        <w:rPr>
          <w:i/>
          <w:iCs/>
        </w:rPr>
        <w:t>Registrar</w:t>
      </w:r>
      <w:r w:rsidRPr="00033F16" w:rsidR="0077175D">
        <w:rPr>
          <w:i/>
        </w:rPr>
        <w:t>,</w:t>
      </w:r>
    </w:p>
    <w:p w:rsidRPr="00033F16" w:rsidR="00D420F3" w:rsidP="00033F16" w:rsidRDefault="0077175D">
      <w:pPr>
        <w:pStyle w:val="JuPara"/>
      </w:pPr>
      <w:r w:rsidRPr="00033F16">
        <w:t>Having deliberated in private on</w:t>
      </w:r>
      <w:r w:rsidRPr="00033F16" w:rsidR="00771D0F">
        <w:t xml:space="preserve"> 17 December 2019</w:t>
      </w:r>
      <w:r w:rsidRPr="00033F16">
        <w:t>,</w:t>
      </w:r>
    </w:p>
    <w:p w:rsidRPr="00033F16" w:rsidR="00D420F3" w:rsidP="00033F16" w:rsidRDefault="0077175D">
      <w:pPr>
        <w:pStyle w:val="JuPara"/>
      </w:pPr>
      <w:r w:rsidRPr="00033F16">
        <w:t>Delivers the following judgment, which was adopted on that date:</w:t>
      </w:r>
    </w:p>
    <w:p w:rsidRPr="00033F16" w:rsidR="00D420F3" w:rsidP="00033F16" w:rsidRDefault="0077175D">
      <w:pPr>
        <w:pStyle w:val="JuHHead"/>
      </w:pPr>
      <w:r w:rsidRPr="00033F16">
        <w:t>PROCEDURE</w:t>
      </w:r>
    </w:p>
    <w:p w:rsidRPr="00033F16" w:rsidR="00D07515" w:rsidP="00033F16" w:rsidRDefault="004D57F1">
      <w:pPr>
        <w:pStyle w:val="JuPara"/>
      </w:pPr>
      <w:r>
        <w:fldChar w:fldCharType="begin"/>
      </w:r>
      <w:r>
        <w:instrText xml:space="preserve"> SEQ level0 \*arabic </w:instrText>
      </w:r>
      <w:r>
        <w:fldChar w:fldCharType="separate"/>
      </w:r>
      <w:r w:rsidRPr="00033F16" w:rsidR="00033F16">
        <w:rPr>
          <w:noProof/>
        </w:rPr>
        <w:t>1</w:t>
      </w:r>
      <w:r>
        <w:rPr>
          <w:noProof/>
        </w:rPr>
        <w:fldChar w:fldCharType="end"/>
      </w:r>
      <w:r w:rsidRPr="00033F16" w:rsidR="0077175D">
        <w:t xml:space="preserve">.  The case originated in </w:t>
      </w:r>
      <w:r w:rsidRPr="00033F16" w:rsidR="00D07515">
        <w:t>an application (no. 27881/06)</w:t>
      </w:r>
      <w:r w:rsidRPr="00033F16" w:rsidR="0077175D">
        <w:t xml:space="preserve"> against </w:t>
      </w:r>
      <w:r w:rsidRPr="00033F16" w:rsidR="007D597C">
        <w:t>the Republic of North Macedonia</w:t>
      </w:r>
      <w:r w:rsidRPr="00033F16" w:rsidR="0077175D">
        <w:t xml:space="preserve"> lodged with the </w:t>
      </w:r>
      <w:r w:rsidRPr="00033F16" w:rsidR="00D07515">
        <w:t>Court under Article 34</w:t>
      </w:r>
      <w:r w:rsidRPr="00033F16" w:rsidR="0077175D">
        <w:t xml:space="preserve"> of the Convention for the Protection of Human Rights and Fundamental Freedoms (“the Convention”) by </w:t>
      </w:r>
      <w:r w:rsidRPr="00033F16" w:rsidR="00D07515">
        <w:t xml:space="preserve">a </w:t>
      </w:r>
      <w:r w:rsidRPr="00033F16" w:rsidR="007D597C">
        <w:t>Macedonian/citizen of the Republic of North Macedonia</w:t>
      </w:r>
      <w:r w:rsidRPr="00033F16" w:rsidR="00D07515">
        <w:t xml:space="preserve">, Ms </w:t>
      </w:r>
      <w:r w:rsidRPr="00033F16" w:rsidR="0059243A">
        <w:t>Ž</w:t>
      </w:r>
      <w:r w:rsidRPr="00033F16" w:rsidR="00D07515">
        <w:t>ivka Sinadinovska (“the applicant”), on 23 June 2006</w:t>
      </w:r>
      <w:r w:rsidRPr="00033F16" w:rsidR="0077175D">
        <w:t>.</w:t>
      </w:r>
    </w:p>
    <w:p w:rsidRPr="00033F16" w:rsidR="00D420F3" w:rsidP="00033F16" w:rsidRDefault="004D57F1">
      <w:pPr>
        <w:pStyle w:val="JuPara"/>
      </w:pPr>
      <w:r>
        <w:fldChar w:fldCharType="begin"/>
      </w:r>
      <w:r>
        <w:instrText xml:space="preserve"> SEQ level0 \*arabic </w:instrText>
      </w:r>
      <w:r>
        <w:fldChar w:fldCharType="separate"/>
      </w:r>
      <w:r w:rsidRPr="00033F16" w:rsidR="00033F16">
        <w:rPr>
          <w:noProof/>
        </w:rPr>
        <w:t>2</w:t>
      </w:r>
      <w:r>
        <w:rPr>
          <w:noProof/>
        </w:rPr>
        <w:fldChar w:fldCharType="end"/>
      </w:r>
      <w:r w:rsidRPr="00033F16" w:rsidR="0077175D">
        <w:t>.  </w:t>
      </w:r>
      <w:r w:rsidRPr="00033F16" w:rsidR="00D07515">
        <w:t xml:space="preserve">The applicant was represented by Mr D. Bileski a lawyer practising in Skopje. </w:t>
      </w:r>
      <w:r w:rsidRPr="00033F16" w:rsidR="0077175D">
        <w:t xml:space="preserve">The </w:t>
      </w:r>
      <w:r w:rsidRPr="00033F16" w:rsidR="007D597C">
        <w:t xml:space="preserve">Government of North Macedonia </w:t>
      </w:r>
      <w:r w:rsidRPr="00033F16" w:rsidR="0077175D">
        <w:t>(“the Government”)</w:t>
      </w:r>
      <w:r w:rsidRPr="00033F16" w:rsidR="00F86DE7">
        <w:t xml:space="preserve"> were represented by former Agent, Mr K. Bogdanov, succeeded by Ms D. Djonova.</w:t>
      </w:r>
    </w:p>
    <w:p w:rsidRPr="00033F16" w:rsidR="00F86DE7" w:rsidP="00033F16" w:rsidRDefault="004D57F1">
      <w:pPr>
        <w:pStyle w:val="JuPara"/>
      </w:pPr>
      <w:r>
        <w:fldChar w:fldCharType="begin"/>
      </w:r>
      <w:r>
        <w:instrText xml:space="preserve"> SEQ level0 \*arabic </w:instrText>
      </w:r>
      <w:r>
        <w:fldChar w:fldCharType="separate"/>
      </w:r>
      <w:r w:rsidRPr="00033F16" w:rsidR="00033F16">
        <w:rPr>
          <w:noProof/>
        </w:rPr>
        <w:t>3</w:t>
      </w:r>
      <w:r>
        <w:rPr>
          <w:noProof/>
        </w:rPr>
        <w:fldChar w:fldCharType="end"/>
      </w:r>
      <w:r w:rsidRPr="00033F16" w:rsidR="00F86DE7">
        <w:t>.  The applicant complained under Article 6</w:t>
      </w:r>
      <w:r w:rsidRPr="00033F16" w:rsidR="008673F6">
        <w:t xml:space="preserve"> of the Convention</w:t>
      </w:r>
      <w:r w:rsidRPr="00033F16" w:rsidR="00F86DE7">
        <w:t xml:space="preserve"> and Article 1 of Protocol No. 1 </w:t>
      </w:r>
      <w:r w:rsidRPr="00033F16" w:rsidR="008673F6">
        <w:t>of a</w:t>
      </w:r>
      <w:r w:rsidRPr="00033F16" w:rsidR="00F86DE7">
        <w:t xml:space="preserve"> lack of reasoning and </w:t>
      </w:r>
      <w:r w:rsidRPr="00033F16" w:rsidR="008673F6">
        <w:t xml:space="preserve">about the </w:t>
      </w:r>
      <w:r w:rsidRPr="00033F16" w:rsidR="00F86DE7">
        <w:t>length of proceedings concerning property disputes with her neighbours.</w:t>
      </w:r>
    </w:p>
    <w:p w:rsidRPr="00033F16" w:rsidR="00D420F3" w:rsidP="00033F16" w:rsidRDefault="004D57F1">
      <w:pPr>
        <w:pStyle w:val="JuPara"/>
      </w:pPr>
      <w:r>
        <w:fldChar w:fldCharType="begin"/>
      </w:r>
      <w:r>
        <w:instrText xml:space="preserve"> SEQ level0 \*arabic </w:instrText>
      </w:r>
      <w:r>
        <w:fldChar w:fldCharType="separate"/>
      </w:r>
      <w:r w:rsidRPr="00033F16" w:rsidR="00033F16">
        <w:rPr>
          <w:noProof/>
        </w:rPr>
        <w:t>4</w:t>
      </w:r>
      <w:r>
        <w:rPr>
          <w:noProof/>
        </w:rPr>
        <w:fldChar w:fldCharType="end"/>
      </w:r>
      <w:r w:rsidRPr="00033F16" w:rsidR="0077175D">
        <w:t>.  </w:t>
      </w:r>
      <w:r w:rsidRPr="00033F16" w:rsidR="00F86DE7">
        <w:t>On 23 October 2014 the Government</w:t>
      </w:r>
      <w:r w:rsidRPr="00033F16" w:rsidR="008673F6">
        <w:t xml:space="preserve"> were informed of</w:t>
      </w:r>
      <w:r w:rsidRPr="00033F16" w:rsidR="00F86DE7">
        <w:t xml:space="preserve"> </w:t>
      </w:r>
      <w:r w:rsidRPr="00033F16" w:rsidR="002240B8">
        <w:t>the above</w:t>
      </w:r>
      <w:r w:rsidRPr="00033F16" w:rsidR="002240B8">
        <w:noBreakHyphen/>
      </w:r>
      <w:r w:rsidRPr="00033F16" w:rsidR="008673F6">
        <w:t xml:space="preserve">mentioned complaints </w:t>
      </w:r>
      <w:r w:rsidRPr="00033F16" w:rsidR="00F86DE7">
        <w:t>and the remainder of the application was declared inadmissible pursuant to Rule 54 § 3 of the Rules of Court</w:t>
      </w:r>
      <w:r w:rsidRPr="00033F16" w:rsidR="0077175D">
        <w:t>.</w:t>
      </w:r>
    </w:p>
    <w:p w:rsidRPr="00033F16" w:rsidR="00D420F3" w:rsidP="00033F16" w:rsidRDefault="0077175D">
      <w:pPr>
        <w:pStyle w:val="JuHHead"/>
      </w:pPr>
      <w:r w:rsidRPr="00033F16">
        <w:t>THE FACTS</w:t>
      </w:r>
    </w:p>
    <w:p w:rsidRPr="00033F16" w:rsidR="00D420F3" w:rsidP="00033F16" w:rsidRDefault="0077175D">
      <w:pPr>
        <w:pStyle w:val="JuHIRoman"/>
      </w:pPr>
      <w:r w:rsidRPr="00033F16">
        <w:t>THE CIRCUMSTANCES OF THE CASE</w:t>
      </w:r>
    </w:p>
    <w:p w:rsidRPr="00033F16" w:rsidR="00D164BC" w:rsidP="00033F16" w:rsidRDefault="00D164BC">
      <w:pPr>
        <w:pStyle w:val="JuHA"/>
      </w:pPr>
      <w:r w:rsidRPr="00033F16">
        <w:t>Background to the case</w:t>
      </w:r>
    </w:p>
    <w:p w:rsidRPr="00033F16" w:rsidR="00D164BC" w:rsidP="00033F16" w:rsidRDefault="004D57F1">
      <w:pPr>
        <w:pStyle w:val="JuPara"/>
      </w:pPr>
      <w:r>
        <w:fldChar w:fldCharType="begin"/>
      </w:r>
      <w:r>
        <w:instrText xml:space="preserve"> SEQ level0 \*arabic </w:instrText>
      </w:r>
      <w:r>
        <w:fldChar w:fldCharType="separate"/>
      </w:r>
      <w:r w:rsidRPr="00033F16" w:rsidR="00033F16">
        <w:rPr>
          <w:noProof/>
        </w:rPr>
        <w:t>5</w:t>
      </w:r>
      <w:r>
        <w:rPr>
          <w:noProof/>
        </w:rPr>
        <w:fldChar w:fldCharType="end"/>
      </w:r>
      <w:r w:rsidRPr="00033F16" w:rsidR="00D164BC">
        <w:t xml:space="preserve">.  The applicant was born in 1945 and lives in Tetovo. She owns a house with a commercial </w:t>
      </w:r>
      <w:r w:rsidRPr="00033F16" w:rsidR="00584997">
        <w:t xml:space="preserve">space </w:t>
      </w:r>
      <w:r w:rsidRPr="00033F16" w:rsidR="00D164BC">
        <w:t xml:space="preserve">(shops) </w:t>
      </w:r>
      <w:r w:rsidRPr="00033F16" w:rsidR="00D164BC">
        <w:rPr>
          <w:lang w:val="mk-MK"/>
        </w:rPr>
        <w:t>(</w:t>
      </w:r>
      <w:r w:rsidRPr="00033F16" w:rsidR="00D164BC">
        <w:rPr>
          <w:i/>
          <w:lang w:val="mk-MK"/>
        </w:rPr>
        <w:t>деловен простор</w:t>
      </w:r>
      <w:r w:rsidRPr="00033F16" w:rsidR="00D164BC">
        <w:rPr>
          <w:lang w:val="mk-MK"/>
        </w:rPr>
        <w:t xml:space="preserve">) </w:t>
      </w:r>
      <w:r w:rsidRPr="00033F16" w:rsidR="00D164BC">
        <w:t>in its front section, located in the city centre of Tetovo. The applicant</w:t>
      </w:r>
      <w:r w:rsidRPr="00033F16" w:rsidR="00033F16">
        <w:t>’</w:t>
      </w:r>
      <w:r w:rsidRPr="00033F16" w:rsidR="00D164BC">
        <w:t xml:space="preserve">s house on one side is next to the property of S.B. while </w:t>
      </w:r>
      <w:r w:rsidRPr="00033F16" w:rsidR="00584997">
        <w:t>opposite</w:t>
      </w:r>
      <w:r w:rsidRPr="00033F16" w:rsidR="00D164BC">
        <w:t xml:space="preserve"> the house is the property of I.F.</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6</w:t>
      </w:r>
      <w:r>
        <w:rPr>
          <w:noProof/>
        </w:rPr>
        <w:fldChar w:fldCharType="end"/>
      </w:r>
      <w:r w:rsidRPr="00033F16" w:rsidR="00D164BC">
        <w:t>.  In 1996 the applicant</w:t>
      </w:r>
      <w:r w:rsidRPr="00033F16" w:rsidR="00033F16">
        <w:t>’</w:t>
      </w:r>
      <w:r w:rsidRPr="00033F16" w:rsidR="00D164BC">
        <w:t>s late husband (who upon his death</w:t>
      </w:r>
      <w:r w:rsidRPr="00033F16" w:rsidR="00A36924">
        <w:t xml:space="preserve"> on 6 August </w:t>
      </w:r>
      <w:r w:rsidRPr="00033F16" w:rsidR="00D164BC">
        <w:t xml:space="preserve">2000 was succeeded by the applicant) obtained a building permit and soon after </w:t>
      </w:r>
      <w:r w:rsidRPr="00033F16" w:rsidR="00DC1538">
        <w:t xml:space="preserve">began building </w:t>
      </w:r>
      <w:r w:rsidRPr="00033F16" w:rsidR="00D164BC">
        <w:t xml:space="preserve">a commercial </w:t>
      </w:r>
      <w:r w:rsidRPr="00033F16" w:rsidR="00584997">
        <w:t xml:space="preserve">space </w:t>
      </w:r>
      <w:r w:rsidRPr="00033F16" w:rsidR="00D164BC">
        <w:t>which however remained unfinished. In 2000 the applicant</w:t>
      </w:r>
      <w:r w:rsidRPr="00033F16" w:rsidR="00033F16">
        <w:t>’</w:t>
      </w:r>
      <w:r w:rsidRPr="00033F16" w:rsidR="00D164BC">
        <w:t>s late husband also obtained a renewable</w:t>
      </w:r>
      <w:r w:rsidRPr="00033F16" w:rsidR="00584997">
        <w:t xml:space="preserve"> two-year</w:t>
      </w:r>
      <w:r w:rsidRPr="00033F16" w:rsidR="00D164BC">
        <w:t xml:space="preserve"> permit to organise a temporary market and rent</w:t>
      </w:r>
      <w:r w:rsidRPr="00033F16" w:rsidR="00584997">
        <w:t xml:space="preserve"> out</w:t>
      </w:r>
      <w:r w:rsidRPr="00033F16" w:rsidR="00D164BC">
        <w:t xml:space="preserve"> sta</w:t>
      </w:r>
      <w:r w:rsidRPr="00033F16" w:rsidR="00584997">
        <w:t>ll</w:t>
      </w:r>
      <w:r w:rsidRPr="00033F16" w:rsidR="00D164BC">
        <w:t xml:space="preserve">s in the front </w:t>
      </w:r>
      <w:r w:rsidRPr="00033F16" w:rsidR="00436F1B">
        <w:t>courtyard</w:t>
      </w:r>
      <w:r w:rsidRPr="00033F16" w:rsidR="00584997">
        <w:t xml:space="preserve"> </w:t>
      </w:r>
      <w:r w:rsidRPr="00033F16" w:rsidR="00D164BC">
        <w:t>of the house, adjacent to the shops. It appears that according to the urban plan applicable at the time, it was foreseen to widen the nearby street and remove I.F.</w:t>
      </w:r>
      <w:r w:rsidRPr="00033F16" w:rsidR="00033F16">
        <w:t>’</w:t>
      </w:r>
      <w:r w:rsidRPr="00033F16" w:rsidR="00D164BC">
        <w:t xml:space="preserve">s temporary </w:t>
      </w:r>
      <w:r w:rsidRPr="00033F16" w:rsidR="00491C2F">
        <w:t>building</w:t>
      </w:r>
      <w:r w:rsidRPr="00033F16" w:rsidR="00D164BC">
        <w:t>. It also appears that had the urban plan been implemented, the applicant</w:t>
      </w:r>
      <w:r w:rsidRPr="00033F16" w:rsidR="00033F16">
        <w:t>’</w:t>
      </w:r>
      <w:r w:rsidRPr="00033F16" w:rsidR="00D164BC">
        <w:t>s property would have been easily accessible from the planned street.</w:t>
      </w:r>
    </w:p>
    <w:p w:rsidRPr="00033F16" w:rsidR="00D164BC" w:rsidP="00033F16" w:rsidRDefault="00D164BC">
      <w:pPr>
        <w:pStyle w:val="JuHA"/>
      </w:pPr>
      <w:r w:rsidRPr="00033F16">
        <w:t>Proceedings concerning S.B.</w:t>
      </w:r>
    </w:p>
    <w:bookmarkStart w:name="PreliminaryContract" w:id="2"/>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7</w:t>
      </w:r>
      <w:r w:rsidRPr="00033F16">
        <w:fldChar w:fldCharType="end"/>
      </w:r>
      <w:bookmarkEnd w:id="2"/>
      <w:r w:rsidRPr="00033F16">
        <w:t>.  In 1997 the applicant</w:t>
      </w:r>
      <w:r w:rsidRPr="00033F16" w:rsidR="00033F16">
        <w:t>’</w:t>
      </w:r>
      <w:r w:rsidRPr="00033F16">
        <w:t>s husband concluded a preliminary contract (</w:t>
      </w:r>
      <w:r w:rsidRPr="00033F16">
        <w:rPr>
          <w:i/>
          <w:lang w:val="mk-MK"/>
        </w:rPr>
        <w:t>преддоговор</w:t>
      </w:r>
      <w:r w:rsidRPr="00033F16">
        <w:rPr>
          <w:lang w:val="mk-MK"/>
        </w:rPr>
        <w:t>)</w:t>
      </w:r>
      <w:r w:rsidRPr="00033F16">
        <w:t xml:space="preserve"> with S.B. to sell him a shop (part of the commercial </w:t>
      </w:r>
      <w:r w:rsidRPr="00033F16" w:rsidR="00C70757">
        <w:t>space</w:t>
      </w:r>
      <w:r w:rsidRPr="00033F16">
        <w:t>), together with the adjacent part of the plot. On 25 January 2000 the same parties concluded a contract</w:t>
      </w:r>
      <w:r w:rsidRPr="00033F16" w:rsidR="00C70757">
        <w:t>.</w:t>
      </w:r>
      <w:r w:rsidRPr="00033F16">
        <w:t xml:space="preserve"> </w:t>
      </w:r>
      <w:r w:rsidRPr="00033F16" w:rsidR="00C70757">
        <w:t xml:space="preserve">The contract </w:t>
      </w:r>
      <w:r w:rsidRPr="00033F16">
        <w:t>however remained unsigned by the applicant</w:t>
      </w:r>
      <w:r w:rsidRPr="00033F16" w:rsidR="00033F16">
        <w:t>’</w:t>
      </w:r>
      <w:r w:rsidRPr="00033F16">
        <w:t>s husband.</w:t>
      </w:r>
    </w:p>
    <w:p w:rsidRPr="00033F16" w:rsidR="00D164BC" w:rsidP="00033F16" w:rsidRDefault="004D57F1">
      <w:pPr>
        <w:pStyle w:val="JuPara"/>
      </w:pPr>
      <w:r>
        <w:fldChar w:fldCharType="begin"/>
      </w:r>
      <w:r>
        <w:instrText xml:space="preserve"> SEQ level0 \*arabic </w:instrText>
      </w:r>
      <w:r>
        <w:fldChar w:fldCharType="separate"/>
      </w:r>
      <w:r w:rsidRPr="00033F16" w:rsidR="00033F16">
        <w:rPr>
          <w:noProof/>
        </w:rPr>
        <w:t>8</w:t>
      </w:r>
      <w:r>
        <w:rPr>
          <w:noProof/>
        </w:rPr>
        <w:fldChar w:fldCharType="end"/>
      </w:r>
      <w:r w:rsidRPr="00033F16" w:rsidR="00D164BC">
        <w:t xml:space="preserve">.  In June 2002 S.B. started construction on his plot, as well as on the </w:t>
      </w:r>
      <w:r w:rsidRPr="00033F16" w:rsidR="00C70757">
        <w:t xml:space="preserve">area </w:t>
      </w:r>
      <w:r w:rsidRPr="00033F16" w:rsidR="00D164BC">
        <w:t>that, as it appears, was sold to him by the applicant</w:t>
      </w:r>
      <w:r w:rsidRPr="00033F16" w:rsidR="00033F16">
        <w:t>’</w:t>
      </w:r>
      <w:r w:rsidRPr="00033F16" w:rsidR="00D164BC">
        <w:t xml:space="preserve">s late husband. In 2003 he completed </w:t>
      </w:r>
      <w:r w:rsidRPr="00033F16" w:rsidR="00C70757">
        <w:t xml:space="preserve">a </w:t>
      </w:r>
      <w:r w:rsidRPr="00033F16" w:rsidR="00D164BC">
        <w:t>building.</w:t>
      </w:r>
    </w:p>
    <w:p w:rsidRPr="00033F16" w:rsidR="00D164BC" w:rsidP="00033F16" w:rsidRDefault="00D164BC">
      <w:pPr>
        <w:pStyle w:val="JuH1"/>
      </w:pPr>
      <w:r w:rsidRPr="00033F16">
        <w:t>Civil proceedings initiated by the applicant against S.B.</w:t>
      </w:r>
      <w:r w:rsidRPr="00033F16">
        <w:rPr>
          <w:lang w:val="mk-MK"/>
        </w:rPr>
        <w:t xml:space="preserve"> </w:t>
      </w:r>
      <w:r w:rsidRPr="00033F16">
        <w:t>(</w:t>
      </w:r>
      <w:r w:rsidRPr="00033F16" w:rsidR="007F599E">
        <w:rPr>
          <w:lang w:val="mk-MK"/>
        </w:rPr>
        <w:t>П.бр.</w:t>
      </w:r>
      <w:r w:rsidRPr="00033F16" w:rsidR="007F599E">
        <w:t> </w:t>
      </w:r>
      <w:r w:rsidRPr="00033F16">
        <w:rPr>
          <w:lang w:val="mk-MK"/>
        </w:rPr>
        <w:t>623/02, И.бр. 2217/02, И.бр. 789/04)</w:t>
      </w:r>
    </w:p>
    <w:bookmarkStart w:name="CivilProceedSB" w:id="3"/>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9</w:t>
      </w:r>
      <w:r w:rsidRPr="00033F16">
        <w:fldChar w:fldCharType="end"/>
      </w:r>
      <w:bookmarkEnd w:id="3"/>
      <w:r w:rsidRPr="00033F16">
        <w:t>.  On 15 July 2002 the applicant initiated civil proceedings (</w:t>
      </w:r>
      <w:r w:rsidRPr="00033F16">
        <w:rPr>
          <w:i/>
          <w:lang w:val="mk-MK"/>
        </w:rPr>
        <w:t>П.бр</w:t>
      </w:r>
      <w:r w:rsidRPr="00033F16">
        <w:rPr>
          <w:i/>
        </w:rPr>
        <w:t>.</w:t>
      </w:r>
      <w:r w:rsidRPr="00033F16" w:rsidR="005D6206">
        <w:rPr>
          <w:i/>
        </w:rPr>
        <w:t> </w:t>
      </w:r>
      <w:r w:rsidRPr="00033F16">
        <w:rPr>
          <w:i/>
          <w:lang w:val="mk-MK"/>
        </w:rPr>
        <w:t>623/02</w:t>
      </w:r>
      <w:r w:rsidRPr="00033F16">
        <w:t>) against S.B. before the Tetovo Court of First Instance (“the first-instance court”) seeking protection from disturbance of her possession (</w:t>
      </w:r>
      <w:r w:rsidRPr="00033F16">
        <w:rPr>
          <w:i/>
          <w:lang w:val="mk-MK"/>
        </w:rPr>
        <w:t>смеќавање на владение</w:t>
      </w:r>
      <w:r w:rsidRPr="00033F16">
        <w:rPr>
          <w:lang w:val="mk-MK"/>
        </w:rPr>
        <w:t>)</w:t>
      </w:r>
      <w:r w:rsidRPr="00033F16">
        <w:t>. She claimed that with the construction</w:t>
      </w:r>
      <w:r w:rsidRPr="00033F16" w:rsidR="0099468E">
        <w:t xml:space="preserve"> work</w:t>
      </w:r>
      <w:r w:rsidRPr="00033F16">
        <w:t xml:space="preserve"> in progress, S.B. </w:t>
      </w:r>
      <w:r w:rsidRPr="00033F16" w:rsidR="00C70757">
        <w:t xml:space="preserve">had </w:t>
      </w:r>
      <w:r w:rsidRPr="00033F16">
        <w:t xml:space="preserve">unlawfully trespassed, occupied part of her plot, had demolished parts of her </w:t>
      </w:r>
      <w:r w:rsidRPr="00033F16" w:rsidR="00C70757">
        <w:t xml:space="preserve">building </w:t>
      </w:r>
      <w:r w:rsidRPr="00033F16">
        <w:t>and blocked</w:t>
      </w:r>
      <w:r w:rsidRPr="00033F16" w:rsidR="00C70757">
        <w:t xml:space="preserve"> access</w:t>
      </w:r>
      <w:r w:rsidRPr="00033F16">
        <w:t xml:space="preserve"> </w:t>
      </w:r>
      <w:r w:rsidRPr="00033F16" w:rsidR="00C70757">
        <w:t xml:space="preserve">to </w:t>
      </w:r>
      <w:r w:rsidRPr="00033F16">
        <w:t>the electrical mains</w:t>
      </w:r>
      <w:r w:rsidRPr="00033F16" w:rsidR="0099468E">
        <w:t xml:space="preserve"> and</w:t>
      </w:r>
      <w:r w:rsidRPr="00033F16">
        <w:t xml:space="preserve"> to her electric</w:t>
      </w:r>
      <w:r w:rsidRPr="00033F16" w:rsidR="00C70757">
        <w:t>ity</w:t>
      </w:r>
      <w:r w:rsidRPr="00033F16">
        <w:t xml:space="preserve"> meter.</w:t>
      </w:r>
    </w:p>
    <w:bookmarkStart w:name="Injunction" w:id="4"/>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10</w:t>
      </w:r>
      <w:r w:rsidRPr="00033F16">
        <w:fldChar w:fldCharType="end"/>
      </w:r>
      <w:bookmarkEnd w:id="4"/>
      <w:r w:rsidRPr="00033F16">
        <w:t>.  On 18 July 2002 the first-instance court issued an injunction (</w:t>
      </w:r>
      <w:r w:rsidRPr="00033F16">
        <w:rPr>
          <w:i/>
          <w:lang w:val="mk-MK"/>
        </w:rPr>
        <w:t>времена мерка</w:t>
      </w:r>
      <w:r w:rsidRPr="00033F16">
        <w:rPr>
          <w:lang w:val="mk-MK"/>
        </w:rPr>
        <w:t xml:space="preserve">) </w:t>
      </w:r>
      <w:r w:rsidRPr="00033F16">
        <w:t xml:space="preserve">with immediate effect ordering S.B. to discontinue any further </w:t>
      </w:r>
      <w:r w:rsidRPr="00033F16" w:rsidR="0050094B">
        <w:t>building</w:t>
      </w:r>
      <w:r w:rsidRPr="00033F16" w:rsidR="0099468E">
        <w:t xml:space="preserve"> work</w:t>
      </w:r>
      <w:r w:rsidRPr="00033F16">
        <w:t xml:space="preserve"> until the end of the proceedings.</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11</w:t>
      </w:r>
      <w:r>
        <w:rPr>
          <w:noProof/>
        </w:rPr>
        <w:fldChar w:fldCharType="end"/>
      </w:r>
      <w:r w:rsidRPr="00033F16" w:rsidR="00D164BC">
        <w:t>.  As S.B. continued with the constr</w:t>
      </w:r>
      <w:r w:rsidRPr="00033F16" w:rsidR="00A36924">
        <w:t xml:space="preserve">uction, on 24 July and 6 August </w:t>
      </w:r>
      <w:r w:rsidRPr="00033F16" w:rsidR="00D164BC">
        <w:t>2002, in enforcement proceedings (</w:t>
      </w:r>
      <w:r w:rsidRPr="00033F16" w:rsidR="00D164BC">
        <w:rPr>
          <w:i/>
          <w:lang w:val="mk-MK"/>
        </w:rPr>
        <w:t>И. бр.2217/02</w:t>
      </w:r>
      <w:r w:rsidRPr="00033F16" w:rsidR="00D164BC">
        <w:rPr>
          <w:i/>
        </w:rPr>
        <w:t>)</w:t>
      </w:r>
      <w:r w:rsidRPr="00033F16" w:rsidR="00D164BC">
        <w:rPr>
          <w:lang w:val="mk-MK"/>
        </w:rPr>
        <w:t xml:space="preserve">, </w:t>
      </w:r>
      <w:r w:rsidRPr="00033F16" w:rsidR="00D164BC">
        <w:t xml:space="preserve">the first-instance court ordered him to stop </w:t>
      </w:r>
      <w:r w:rsidRPr="00033F16" w:rsidR="009756B4">
        <w:t>work</w:t>
      </w:r>
      <w:r w:rsidRPr="00033F16" w:rsidR="00D164BC">
        <w:t>. As S.B. did not follow the court orders, the court imposed two fines on him in the total amount of 60,000 denars (MKD</w:t>
      </w:r>
      <w:r w:rsidRPr="00033F16" w:rsidR="0082026E">
        <w:t xml:space="preserve"> </w:t>
      </w:r>
      <w:r w:rsidRPr="00033F16" w:rsidR="005D6206">
        <w:noBreakHyphen/>
        <w:t xml:space="preserve"> </w:t>
      </w:r>
      <w:r w:rsidRPr="00033F16" w:rsidR="00D164BC">
        <w:t xml:space="preserve">approximately </w:t>
      </w:r>
      <w:r w:rsidRPr="00033F16" w:rsidR="0010220D">
        <w:t xml:space="preserve">970 </w:t>
      </w:r>
      <w:r w:rsidRPr="00033F16" w:rsidR="00D164BC">
        <w:t>euros (EUR)).</w:t>
      </w:r>
    </w:p>
    <w:p w:rsidRPr="00033F16" w:rsidR="00D164BC" w:rsidP="00033F16" w:rsidRDefault="004D57F1">
      <w:pPr>
        <w:pStyle w:val="JuPara"/>
      </w:pPr>
      <w:r>
        <w:fldChar w:fldCharType="begin"/>
      </w:r>
      <w:r>
        <w:instrText xml:space="preserve"> SEQ level0 \*arabic </w:instrText>
      </w:r>
      <w:r>
        <w:fldChar w:fldCharType="separate"/>
      </w:r>
      <w:r w:rsidRPr="00033F16" w:rsidR="00033F16">
        <w:rPr>
          <w:noProof/>
        </w:rPr>
        <w:t>12</w:t>
      </w:r>
      <w:r>
        <w:rPr>
          <w:noProof/>
        </w:rPr>
        <w:fldChar w:fldCharType="end"/>
      </w:r>
      <w:r w:rsidRPr="00033F16" w:rsidR="00D164BC">
        <w:t>.  After one remittal, on 11 September 2003 the first-instance court upheld the applicant</w:t>
      </w:r>
      <w:r w:rsidRPr="00033F16" w:rsidR="00033F16">
        <w:t>’</w:t>
      </w:r>
      <w:r w:rsidRPr="00033F16" w:rsidR="00D164BC">
        <w:t>s claim and found that with his construction activit</w:t>
      </w:r>
      <w:r w:rsidRPr="00033F16" w:rsidR="00B31E84">
        <w:t>y</w:t>
      </w:r>
      <w:r w:rsidRPr="00033F16" w:rsidR="00D164BC">
        <w:t xml:space="preserve"> S.B. </w:t>
      </w:r>
      <w:r w:rsidRPr="00033F16" w:rsidR="00B31E84">
        <w:t>had “</w:t>
      </w:r>
      <w:r w:rsidRPr="00033F16" w:rsidR="00D164BC">
        <w:t>disturbed the applicant</w:t>
      </w:r>
      <w:r w:rsidRPr="00033F16" w:rsidR="00033F16">
        <w:t>’</w:t>
      </w:r>
      <w:r w:rsidRPr="00033F16" w:rsidR="00D164BC">
        <w:t>s possession</w:t>
      </w:r>
      <w:r w:rsidRPr="00033F16" w:rsidR="00B31E84">
        <w:t>”</w:t>
      </w:r>
      <w:r w:rsidRPr="00033F16" w:rsidR="00D164BC">
        <w:t>, that he had to restore her property as it</w:t>
      </w:r>
      <w:r w:rsidRPr="00033F16" w:rsidR="00B31E84">
        <w:t xml:space="preserve"> had</w:t>
      </w:r>
      <w:r w:rsidRPr="00033F16" w:rsidR="00D164BC">
        <w:t xml:space="preserve"> </w:t>
      </w:r>
      <w:r w:rsidRPr="00033F16" w:rsidR="00B31E84">
        <w:t xml:space="preserve">been </w:t>
      </w:r>
      <w:r w:rsidRPr="00033F16" w:rsidR="00D164BC">
        <w:t>before the disturbance (</w:t>
      </w:r>
      <w:r w:rsidRPr="00033F16" w:rsidR="00D164BC">
        <w:rPr>
          <w:i/>
          <w:lang w:val="mk-MK"/>
        </w:rPr>
        <w:t>враќање во поранешна состојба</w:t>
      </w:r>
      <w:r w:rsidRPr="00033F16" w:rsidR="00D164BC">
        <w:rPr>
          <w:lang w:val="mk-MK"/>
        </w:rPr>
        <w:t xml:space="preserve">) </w:t>
      </w:r>
      <w:r w:rsidRPr="00033F16" w:rsidR="00D164BC">
        <w:t xml:space="preserve">and that he </w:t>
      </w:r>
      <w:r w:rsidRPr="00033F16" w:rsidR="00B31E84">
        <w:t xml:space="preserve">had to </w:t>
      </w:r>
      <w:r w:rsidRPr="00033F16" w:rsidR="00D164BC">
        <w:t>abstain from any future disturbances. The court also issued an injunction.</w:t>
      </w:r>
    </w:p>
    <w:p w:rsidRPr="00033F16" w:rsidR="00D164BC" w:rsidP="00033F16" w:rsidRDefault="004D57F1">
      <w:pPr>
        <w:pStyle w:val="JuPara"/>
      </w:pPr>
      <w:r>
        <w:fldChar w:fldCharType="begin"/>
      </w:r>
      <w:r>
        <w:instrText xml:space="preserve"> SEQ level0 \*arabic </w:instrText>
      </w:r>
      <w:r>
        <w:fldChar w:fldCharType="separate"/>
      </w:r>
      <w:r w:rsidRPr="00033F16" w:rsidR="00033F16">
        <w:rPr>
          <w:noProof/>
        </w:rPr>
        <w:t>13</w:t>
      </w:r>
      <w:r>
        <w:rPr>
          <w:noProof/>
        </w:rPr>
        <w:fldChar w:fldCharType="end"/>
      </w:r>
      <w:r w:rsidRPr="00033F16" w:rsidR="00D164BC">
        <w:t xml:space="preserve">.  On 4 February 2004 the Skopje Court of Appeal </w:t>
      </w:r>
      <w:r w:rsidRPr="00033F16" w:rsidR="00373BC1">
        <w:t xml:space="preserve">upheld </w:t>
      </w:r>
      <w:r w:rsidRPr="00033F16" w:rsidR="002240B8">
        <w:t>the first</w:t>
      </w:r>
      <w:r w:rsidRPr="00033F16" w:rsidR="002240B8">
        <w:noBreakHyphen/>
      </w:r>
      <w:r w:rsidRPr="00033F16" w:rsidR="00D164BC">
        <w:t>instance court</w:t>
      </w:r>
      <w:r w:rsidRPr="00033F16" w:rsidR="00033F16">
        <w:t>’</w:t>
      </w:r>
      <w:r w:rsidRPr="00033F16" w:rsidR="00D164BC">
        <w:t>s decision in respect of the main claim and remitted it in respect of the injunction, instructing the first-instance court to establish whether the application concerned the same injunction</w:t>
      </w:r>
      <w:r w:rsidRPr="00033F16" w:rsidR="00676165">
        <w:t xml:space="preserve"> as the one</w:t>
      </w:r>
      <w:r w:rsidRPr="00033F16" w:rsidR="00D164BC">
        <w:t xml:space="preserve"> issued on 18 July 2002 (see paragraph </w:t>
      </w:r>
      <w:r w:rsidRPr="00033F16" w:rsidR="00D164BC">
        <w:fldChar w:fldCharType="begin"/>
      </w:r>
      <w:r w:rsidRPr="00033F16" w:rsidR="00D164BC">
        <w:instrText xml:space="preserve"> REF Injunction \h </w:instrText>
      </w:r>
      <w:r w:rsidRPr="00033F16" w:rsidR="00A36924">
        <w:instrText xml:space="preserve"> \* MERGEFORMAT </w:instrText>
      </w:r>
      <w:r w:rsidRPr="00033F16" w:rsidR="00D164BC">
        <w:fldChar w:fldCharType="separate"/>
      </w:r>
      <w:r w:rsidRPr="00033F16" w:rsidR="00033F16">
        <w:rPr>
          <w:noProof/>
        </w:rPr>
        <w:t>10</w:t>
      </w:r>
      <w:r w:rsidRPr="00033F16" w:rsidR="00D164BC">
        <w:fldChar w:fldCharType="end"/>
      </w:r>
      <w:r w:rsidRPr="00033F16" w:rsidR="00D164BC">
        <w:t xml:space="preserve"> above).</w:t>
      </w:r>
    </w:p>
    <w:bookmarkStart w:name="WithdrawalInj" w:id="5"/>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14</w:t>
      </w:r>
      <w:r w:rsidRPr="00033F16">
        <w:fldChar w:fldCharType="end"/>
      </w:r>
      <w:bookmarkEnd w:id="5"/>
      <w:r w:rsidRPr="00033F16">
        <w:t xml:space="preserve">.  On 12 May 2004 the applicant withdrew her application for </w:t>
      </w:r>
      <w:r w:rsidRPr="00033F16" w:rsidR="00891B3C">
        <w:t xml:space="preserve">an </w:t>
      </w:r>
      <w:r w:rsidRPr="00033F16">
        <w:t>injunction, as the decision of 11 September 2003, concerning her main claim for disturbance of possession, had become final. On 13 May 2004 the first-instance court accepted that withdrawal.</w:t>
      </w:r>
    </w:p>
    <w:p w:rsidRPr="00033F16" w:rsidR="00D164BC" w:rsidP="00033F16" w:rsidRDefault="004D57F1">
      <w:pPr>
        <w:pStyle w:val="JuPara"/>
      </w:pPr>
      <w:r>
        <w:fldChar w:fldCharType="begin"/>
      </w:r>
      <w:r>
        <w:instrText xml:space="preserve"> SEQ level0 \*arabic </w:instrText>
      </w:r>
      <w:r>
        <w:fldChar w:fldCharType="separate"/>
      </w:r>
      <w:r w:rsidRPr="00033F16" w:rsidR="00033F16">
        <w:rPr>
          <w:noProof/>
        </w:rPr>
        <w:t>15</w:t>
      </w:r>
      <w:r>
        <w:rPr>
          <w:noProof/>
        </w:rPr>
        <w:fldChar w:fldCharType="end"/>
      </w:r>
      <w:r w:rsidRPr="00033F16" w:rsidR="00D164BC">
        <w:t xml:space="preserve">.  On </w:t>
      </w:r>
      <w:r w:rsidRPr="00033F16" w:rsidR="00981080">
        <w:t xml:space="preserve">10 </w:t>
      </w:r>
      <w:r w:rsidRPr="00033F16" w:rsidR="00D164BC">
        <w:t>March 2004 the applicant initiated enforcement proceedings (</w:t>
      </w:r>
      <w:r w:rsidRPr="00033F16" w:rsidR="00D164BC">
        <w:rPr>
          <w:i/>
          <w:lang w:val="mk-MK"/>
        </w:rPr>
        <w:t>И. Бр. 789/04</w:t>
      </w:r>
      <w:r w:rsidRPr="00033F16" w:rsidR="00D164BC">
        <w:t>)</w:t>
      </w:r>
      <w:r w:rsidRPr="00033F16" w:rsidR="00D164BC">
        <w:rPr>
          <w:i/>
          <w:lang w:val="mk-MK"/>
        </w:rPr>
        <w:t xml:space="preserve"> </w:t>
      </w:r>
      <w:r w:rsidRPr="00033F16" w:rsidR="00D164BC">
        <w:t>against S.B. concerning the decision of 11 September 2003.</w:t>
      </w:r>
    </w:p>
    <w:bookmarkStart w:name="SB_enf" w:id="6"/>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16</w:t>
      </w:r>
      <w:r w:rsidRPr="00033F16">
        <w:fldChar w:fldCharType="end"/>
      </w:r>
      <w:bookmarkEnd w:id="6"/>
      <w:r w:rsidRPr="00033F16">
        <w:t xml:space="preserve">.  Following several procedural decisions by the first-instance court and remittals by the </w:t>
      </w:r>
      <w:r w:rsidRPr="00033F16" w:rsidR="009E7210">
        <w:t xml:space="preserve">Skopje </w:t>
      </w:r>
      <w:r w:rsidRPr="00033F16">
        <w:t>Court of Appeal, on 5 June 2012 the applicant requested that the enforcement proceedings be transferred to a private bailiff.</w:t>
      </w:r>
    </w:p>
    <w:bookmarkStart w:name="EnforcementWidr" w:id="7"/>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17</w:t>
      </w:r>
      <w:r w:rsidRPr="00033F16">
        <w:fldChar w:fldCharType="end"/>
      </w:r>
      <w:bookmarkEnd w:id="7"/>
      <w:r w:rsidRPr="00033F16">
        <w:t>.  On 12 June 2012 the first-instance court rejected that request and declared the applicant</w:t>
      </w:r>
      <w:r w:rsidRPr="00033F16" w:rsidR="00033F16">
        <w:t>’</w:t>
      </w:r>
      <w:r w:rsidRPr="00033F16">
        <w:t xml:space="preserve">s enforcement proposal withdrawn, finding that she had not made a proposal in this </w:t>
      </w:r>
      <w:r w:rsidRPr="00033F16" w:rsidR="00891B3C">
        <w:t xml:space="preserve">connection </w:t>
      </w:r>
      <w:r w:rsidRPr="00033F16" w:rsidR="00491C2F">
        <w:t xml:space="preserve">before </w:t>
      </w:r>
      <w:r w:rsidRPr="00033F16">
        <w:t xml:space="preserve">31 December 2011, as required by the relevant domestic law. On 14 December 2012 the Gostivar Court of Appeal </w:t>
      </w:r>
      <w:r w:rsidRPr="00033F16" w:rsidR="00582123">
        <w:t xml:space="preserve">(“the Court of Appeal”) </w:t>
      </w:r>
      <w:r w:rsidRPr="00033F16">
        <w:t>confirmed that decision</w:t>
      </w:r>
    </w:p>
    <w:bookmarkStart w:name="LengthRemedySB" w:id="8"/>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18</w:t>
      </w:r>
      <w:r w:rsidRPr="00033F16">
        <w:fldChar w:fldCharType="end"/>
      </w:r>
      <w:bookmarkEnd w:id="8"/>
      <w:r w:rsidRPr="00033F16">
        <w:t xml:space="preserve">.  In the meantime, on </w:t>
      </w:r>
      <w:r w:rsidRPr="00033F16" w:rsidR="00AD5058">
        <w:t xml:space="preserve">6 </w:t>
      </w:r>
      <w:r w:rsidRPr="00033F16">
        <w:t>July 2009 and 18 October 2010 the applicant lodged requests for protection of the right to a hearing within a reasonable time (“length remedy”) with the Supreme Court in respect of the enforcement proceedings (</w:t>
      </w:r>
      <w:r w:rsidRPr="00033F16">
        <w:rPr>
          <w:i/>
          <w:lang w:val="mk-MK"/>
        </w:rPr>
        <w:t>И.бр. 789/04</w:t>
      </w:r>
      <w:r w:rsidRPr="00033F16">
        <w:t>)</w:t>
      </w:r>
      <w:r w:rsidRPr="00033F16">
        <w:rPr>
          <w:lang w:val="mk-MK"/>
        </w:rPr>
        <w:t xml:space="preserve">. </w:t>
      </w:r>
      <w:r w:rsidRPr="00033F16">
        <w:t>On 12 January a</w:t>
      </w:r>
      <w:r w:rsidRPr="00033F16" w:rsidR="005D6206">
        <w:t>nd 21 December</w:t>
      </w:r>
      <w:r w:rsidRPr="00033F16" w:rsidR="00A36924">
        <w:t xml:space="preserve"> </w:t>
      </w:r>
      <w:r w:rsidRPr="00033F16">
        <w:t>2010, respectively, the Supreme Court accepted the length remedy</w:t>
      </w:r>
      <w:r w:rsidRPr="00033F16" w:rsidR="00676165">
        <w:t xml:space="preserve">, found that the length of the impugned proceedings (six years, six months and seven days) </w:t>
      </w:r>
      <w:r w:rsidRPr="00033F16" w:rsidR="00EF429B">
        <w:t xml:space="preserve">had been </w:t>
      </w:r>
      <w:r w:rsidRPr="00033F16" w:rsidR="00676165">
        <w:t>unreasonable</w:t>
      </w:r>
      <w:r w:rsidRPr="00033F16">
        <w:t xml:space="preserve"> and awarded the applicant MKD 40,000 (equivalent to EUR 650) and MKD 20,000 (equivalent to EUR 320), respectively. With the decision of 21 December 2010 it also ordered the first-instance court to complete the proceedings within three months </w:t>
      </w:r>
      <w:r w:rsidRPr="00033F16" w:rsidR="00891B3C">
        <w:t xml:space="preserve">of </w:t>
      </w:r>
      <w:r w:rsidRPr="00033F16">
        <w:t>its decision</w:t>
      </w:r>
      <w:r w:rsidRPr="00033F16" w:rsidR="00891B3C">
        <w:t xml:space="preserve"> becoming final</w:t>
      </w:r>
      <w:r w:rsidRPr="00033F16">
        <w:t>. It appears that no appeals were lodged against those decisions. The decision of 21 D</w:t>
      </w:r>
      <w:r w:rsidRPr="00033F16" w:rsidR="00AD3E80">
        <w:t>ecember 2010 became final on 31 </w:t>
      </w:r>
      <w:r w:rsidRPr="00033F16">
        <w:t>January 2011.</w:t>
      </w:r>
    </w:p>
    <w:p w:rsidRPr="00033F16" w:rsidR="00D164BC" w:rsidP="00033F16" w:rsidRDefault="00A36924">
      <w:pPr>
        <w:pStyle w:val="JuH1"/>
      </w:pPr>
      <w:r w:rsidRPr="00033F16">
        <w:t>Administrative proceedings</w:t>
      </w:r>
    </w:p>
    <w:p w:rsidRPr="00033F16" w:rsidR="00D164BC" w:rsidP="00033F16" w:rsidRDefault="004D57F1">
      <w:pPr>
        <w:pStyle w:val="JuPara"/>
      </w:pPr>
      <w:r>
        <w:fldChar w:fldCharType="begin"/>
      </w:r>
      <w:r>
        <w:instrText xml:space="preserve"> SEQ level0 \*arabic </w:instrText>
      </w:r>
      <w:r>
        <w:fldChar w:fldCharType="separate"/>
      </w:r>
      <w:r w:rsidRPr="00033F16" w:rsidR="00033F16">
        <w:rPr>
          <w:noProof/>
        </w:rPr>
        <w:t>19</w:t>
      </w:r>
      <w:r>
        <w:rPr>
          <w:noProof/>
        </w:rPr>
        <w:fldChar w:fldCharType="end"/>
      </w:r>
      <w:r w:rsidRPr="00033F16" w:rsidR="00D164BC">
        <w:t xml:space="preserve">.  On 15 July 2002 the </w:t>
      </w:r>
      <w:r w:rsidRPr="00033F16" w:rsidR="00CB614B">
        <w:t>relevant</w:t>
      </w:r>
      <w:r w:rsidRPr="00033F16" w:rsidR="00D164BC">
        <w:t xml:space="preserve"> Inspectorate issued a decision for demolition (</w:t>
      </w:r>
      <w:r w:rsidRPr="00033F16" w:rsidR="00D164BC">
        <w:rPr>
          <w:i/>
          <w:lang w:val="mk-MK"/>
        </w:rPr>
        <w:t>решение за уривање</w:t>
      </w:r>
      <w:r w:rsidRPr="00033F16" w:rsidR="00D164BC">
        <w:rPr>
          <w:lang w:val="mk-MK"/>
        </w:rPr>
        <w:t>)</w:t>
      </w:r>
      <w:r w:rsidRPr="00033F16" w:rsidR="00D164BC">
        <w:t xml:space="preserve"> and a demolition order</w:t>
      </w:r>
      <w:r w:rsidRPr="00033F16" w:rsidR="00D164BC">
        <w:rPr>
          <w:lang w:val="mk-MK"/>
        </w:rPr>
        <w:t xml:space="preserve"> (</w:t>
      </w:r>
      <w:r w:rsidRPr="00033F16" w:rsidR="00D164BC">
        <w:rPr>
          <w:i/>
          <w:lang w:val="mk-MK"/>
        </w:rPr>
        <w:t>заклучок за дозвола за извршување</w:t>
      </w:r>
      <w:r w:rsidRPr="00033F16" w:rsidR="00D164BC">
        <w:rPr>
          <w:lang w:val="mk-MK"/>
        </w:rPr>
        <w:t>)</w:t>
      </w:r>
      <w:r w:rsidRPr="00033F16" w:rsidR="00D164BC">
        <w:t xml:space="preserve"> (hereinafter jointly referred to as “</w:t>
      </w:r>
      <w:r w:rsidRPr="00033F16" w:rsidR="00891B3C">
        <w:t xml:space="preserve">the </w:t>
      </w:r>
      <w:r w:rsidRPr="00033F16" w:rsidR="00D164BC">
        <w:t xml:space="preserve">demolition orders”) regarding the building that S.B. had constructed without a building permit. On 5 June 2003 the Inspectorate again issued a demolition order. The </w:t>
      </w:r>
      <w:r w:rsidRPr="00033F16" w:rsidR="00891B3C">
        <w:t xml:space="preserve">demolition </w:t>
      </w:r>
      <w:r w:rsidRPr="00033F16" w:rsidR="00D164BC">
        <w:t>orders were never enforced.</w:t>
      </w:r>
    </w:p>
    <w:bookmarkStart w:name="AdminProceedSB" w:id="9"/>
    <w:p w:rsidRPr="00033F16" w:rsidR="00020485"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20</w:t>
      </w:r>
      <w:r w:rsidRPr="00033F16">
        <w:fldChar w:fldCharType="end"/>
      </w:r>
      <w:bookmarkEnd w:id="9"/>
      <w:r w:rsidRPr="00033F16">
        <w:t xml:space="preserve">.  On 25 March 2003, the </w:t>
      </w:r>
      <w:r w:rsidRPr="00033F16" w:rsidR="00CB614B">
        <w:t xml:space="preserve">relevant </w:t>
      </w:r>
      <w:r w:rsidRPr="00033F16">
        <w:t>Ministry issued a building permit to S.B. and ordered him to demolish the part of the building non-compliant with the approved technical project and the urban plan for the area. On 23</w:t>
      </w:r>
      <w:r w:rsidRPr="00033F16" w:rsidR="00AD3E80">
        <w:t> </w:t>
      </w:r>
      <w:r w:rsidRPr="00033F16">
        <w:t xml:space="preserve">July 2003 the Government Appeal Commission </w:t>
      </w:r>
      <w:r w:rsidRPr="00033F16" w:rsidR="007479FB">
        <w:t>allowed</w:t>
      </w:r>
      <w:r w:rsidRPr="00033F16">
        <w:t xml:space="preserve"> appeals </w:t>
      </w:r>
      <w:r w:rsidRPr="00033F16" w:rsidR="007479FB">
        <w:t xml:space="preserve">by </w:t>
      </w:r>
      <w:r w:rsidRPr="00033F16">
        <w:t xml:space="preserve">the applicant and S.B. and </w:t>
      </w:r>
      <w:r w:rsidRPr="00033F16" w:rsidR="00E022D0">
        <w:t xml:space="preserve">remitted </w:t>
      </w:r>
      <w:r w:rsidRPr="00033F16">
        <w:t>the case for reconsideration</w:t>
      </w:r>
      <w:r w:rsidRPr="00033F16" w:rsidR="0062625E">
        <w:t xml:space="preserve">, finding that the Ministry erred when it decided </w:t>
      </w:r>
      <w:r w:rsidRPr="00033F16" w:rsidR="00404C01">
        <w:t>on</w:t>
      </w:r>
      <w:r w:rsidRPr="00033F16" w:rsidR="0062625E">
        <w:t xml:space="preserve"> S.B.</w:t>
      </w:r>
      <w:r w:rsidRPr="00033F16" w:rsidR="00033F16">
        <w:t>’</w:t>
      </w:r>
      <w:r w:rsidRPr="00033F16" w:rsidR="0062625E">
        <w:t>s building permit and his building</w:t>
      </w:r>
      <w:r w:rsidRPr="00033F16" w:rsidR="00033F16">
        <w:t>’</w:t>
      </w:r>
      <w:r w:rsidRPr="00033F16" w:rsidR="0062625E">
        <w:t>s compliance with the relevant regulation in a single decision and that it did not establish all relevant facts</w:t>
      </w:r>
      <w:r w:rsidRPr="00033F16">
        <w:t>. On 22 March 2004, the Ministry once again issued a building permit to S.B.</w:t>
      </w:r>
    </w:p>
    <w:bookmarkStart w:name="DemOrderSB" w:id="10"/>
    <w:p w:rsidRPr="00033F16" w:rsidR="00020485"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21</w:t>
      </w:r>
      <w:r w:rsidRPr="00033F16">
        <w:fldChar w:fldCharType="end"/>
      </w:r>
      <w:bookmarkEnd w:id="10"/>
      <w:r w:rsidRPr="00033F16">
        <w:t>.  On 23 April 2004 the Ministry issued a decision ordering S.B. to demolish the part of the building which was non-compliant with the terms of the building permit. On 30 November 2004 it issued a demolition order.</w:t>
      </w:r>
    </w:p>
    <w:bookmarkStart w:name="AdminProceedSB2" w:id="11"/>
    <w:p w:rsidRPr="00033F16" w:rsidR="00771D0F"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22</w:t>
      </w:r>
      <w:r w:rsidRPr="00033F16">
        <w:fldChar w:fldCharType="end"/>
      </w:r>
      <w:bookmarkEnd w:id="11"/>
      <w:r w:rsidRPr="00033F16">
        <w:t>.  The applicant challenged the Ministry</w:t>
      </w:r>
      <w:r w:rsidRPr="00033F16" w:rsidR="00033F16">
        <w:t>’</w:t>
      </w:r>
      <w:r w:rsidRPr="00033F16">
        <w:t>s decision of 22 March 2004 in which S.B was granted a building permit.</w:t>
      </w:r>
      <w:r w:rsidRPr="00033F16" w:rsidR="00817E1E">
        <w:t xml:space="preserve"> On 11 November 2004</w:t>
      </w:r>
      <w:r w:rsidRPr="00033F16">
        <w:t xml:space="preserve"> </w:t>
      </w:r>
      <w:r w:rsidRPr="00033F16" w:rsidR="00817E1E">
        <w:t>the Government Appeal Commission dismissed the applicant</w:t>
      </w:r>
      <w:r w:rsidRPr="00033F16" w:rsidR="00033F16">
        <w:t>’</w:t>
      </w:r>
      <w:r w:rsidRPr="00033F16" w:rsidR="00817E1E">
        <w:t xml:space="preserve">s appeal. </w:t>
      </w:r>
      <w:r w:rsidRPr="00033F16" w:rsidR="00AD3E80">
        <w:t>On 30 </w:t>
      </w:r>
      <w:r w:rsidRPr="00033F16">
        <w:t xml:space="preserve">November 2005 the Supreme Court, which was at the time competent to adjudicate in administrative disputes, </w:t>
      </w:r>
      <w:r w:rsidRPr="00033F16" w:rsidR="007479FB">
        <w:t xml:space="preserve">allowed </w:t>
      </w:r>
      <w:r w:rsidRPr="00033F16">
        <w:t>the applicant</w:t>
      </w:r>
      <w:r w:rsidRPr="00033F16" w:rsidR="00033F16">
        <w:t>’</w:t>
      </w:r>
      <w:r w:rsidRPr="00033F16">
        <w:t xml:space="preserve">s administrative action and </w:t>
      </w:r>
      <w:r w:rsidRPr="00033F16" w:rsidR="005A1184">
        <w:t xml:space="preserve">remitted </w:t>
      </w:r>
      <w:r w:rsidRPr="00033F16">
        <w:t>the case for reconsideration</w:t>
      </w:r>
      <w:r w:rsidRPr="00033F16" w:rsidR="00404C01">
        <w:t xml:space="preserve"> finding that </w:t>
      </w:r>
      <w:r w:rsidRPr="00033F16" w:rsidR="00F83DD5">
        <w:t>it was unclear whether a building permit could be issued only for one part of S.B.</w:t>
      </w:r>
      <w:r w:rsidRPr="00033F16" w:rsidR="00033F16">
        <w:t>’</w:t>
      </w:r>
      <w:r w:rsidRPr="00033F16" w:rsidR="00F83DD5">
        <w:t>s building and that it needed to be reasse</w:t>
      </w:r>
      <w:r w:rsidRPr="00033F16" w:rsidR="007239A8">
        <w:t>sse</w:t>
      </w:r>
      <w:r w:rsidRPr="00033F16" w:rsidR="00F83DD5">
        <w:t xml:space="preserve">d whether the permit </w:t>
      </w:r>
      <w:r w:rsidRPr="00033F16" w:rsidR="007239A8">
        <w:t>had been</w:t>
      </w:r>
      <w:r w:rsidRPr="00033F16" w:rsidR="00F83DD5">
        <w:t xml:space="preserve"> issued in accordance with the valid urban plan</w:t>
      </w:r>
      <w:r w:rsidRPr="00033F16">
        <w:t>.</w:t>
      </w:r>
      <w:r w:rsidRPr="00033F16" w:rsidR="00817E1E">
        <w:t xml:space="preserve"> On 27 February 2006 the Government Appeal Commission, acting in accordance with the Supreme Court</w:t>
      </w:r>
      <w:r w:rsidRPr="00033F16" w:rsidR="00033F16">
        <w:t>’</w:t>
      </w:r>
      <w:r w:rsidRPr="00033F16" w:rsidR="00817E1E">
        <w:t>s decision, annulled the decision and remitted the case for reconsideration.</w:t>
      </w:r>
    </w:p>
    <w:bookmarkStart w:name="AdminProceedSB1" w:id="12"/>
    <w:p w:rsidRPr="00033F16" w:rsidR="00020485"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23</w:t>
      </w:r>
      <w:r w:rsidRPr="00033F16">
        <w:fldChar w:fldCharType="end"/>
      </w:r>
      <w:bookmarkEnd w:id="12"/>
      <w:r w:rsidRPr="00033F16">
        <w:t xml:space="preserve">.  In the resumed proceedings, on 12 December 2006, the Tetovo municipality (“the municipality”), which in the meantime </w:t>
      </w:r>
      <w:r w:rsidRPr="00033F16" w:rsidR="00891B3C">
        <w:t xml:space="preserve">had </w:t>
      </w:r>
      <w:r w:rsidRPr="00033F16">
        <w:t>bec</w:t>
      </w:r>
      <w:r w:rsidRPr="00033F16" w:rsidR="00891B3C">
        <w:t>o</w:t>
      </w:r>
      <w:r w:rsidRPr="00033F16">
        <w:t>me competent to deal with matters of urban planning,</w:t>
      </w:r>
      <w:r w:rsidRPr="00033F16" w:rsidR="00891B3C">
        <w:t xml:space="preserve"> again</w:t>
      </w:r>
      <w:r w:rsidRPr="00033F16">
        <w:t xml:space="preserve"> issued a building permit to S.B.</w:t>
      </w:r>
      <w:r w:rsidRPr="00033F16" w:rsidR="00C04D2A">
        <w:t xml:space="preserve"> It also noted that the non-compliant parts of his building had been sanctioned with demolition orders.</w:t>
      </w:r>
      <w:r w:rsidRPr="00033F16">
        <w:t xml:space="preserve"> The applicant challenged this decision before the Ministry and the Administrative Court. She submitted that S.B.</w:t>
      </w:r>
      <w:r w:rsidRPr="00033F16" w:rsidR="00033F16">
        <w:t>’</w:t>
      </w:r>
      <w:r w:rsidRPr="00033F16">
        <w:t xml:space="preserve">s building had been </w:t>
      </w:r>
      <w:r w:rsidRPr="00033F16" w:rsidR="00891B3C">
        <w:t>finished</w:t>
      </w:r>
      <w:r w:rsidRPr="00033F16">
        <w:t xml:space="preserve"> in 2002 with greater proportions </w:t>
      </w:r>
      <w:r w:rsidRPr="00033F16" w:rsidR="00CB614B">
        <w:t xml:space="preserve">than </w:t>
      </w:r>
      <w:r w:rsidRPr="00033F16">
        <w:t xml:space="preserve">allowed and it </w:t>
      </w:r>
      <w:r w:rsidRPr="00033F16" w:rsidR="00891B3C">
        <w:t xml:space="preserve">had </w:t>
      </w:r>
      <w:r w:rsidRPr="00033F16">
        <w:t>caus</w:t>
      </w:r>
      <w:r w:rsidRPr="00033F16" w:rsidR="00891B3C">
        <w:t>ed</w:t>
      </w:r>
      <w:r w:rsidRPr="00033F16">
        <w:t xml:space="preserve"> damage to </w:t>
      </w:r>
      <w:r w:rsidRPr="00033F16" w:rsidR="005268D1">
        <w:t>her</w:t>
      </w:r>
      <w:r w:rsidRPr="00033F16">
        <w:t xml:space="preserve"> property for which she had initiated court and administrative proceedings.</w:t>
      </w:r>
    </w:p>
    <w:bookmarkStart w:name="AdminCourt" w:id="13"/>
    <w:p w:rsidRPr="00033F16" w:rsidR="00020485"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24</w:t>
      </w:r>
      <w:r w:rsidRPr="00033F16">
        <w:fldChar w:fldCharType="end"/>
      </w:r>
      <w:bookmarkEnd w:id="13"/>
      <w:r w:rsidRPr="00033F16">
        <w:t xml:space="preserve">.  On 7 September 2007 the Ministry and on 26 June 2008 the Administrative Court </w:t>
      </w:r>
      <w:r w:rsidRPr="00033F16">
        <w:rPr>
          <w:lang w:val="mk-MK"/>
        </w:rPr>
        <w:t>(</w:t>
      </w:r>
      <w:r w:rsidRPr="00033F16">
        <w:rPr>
          <w:i/>
          <w:lang w:val="mk-MK"/>
        </w:rPr>
        <w:t xml:space="preserve">У.бр. </w:t>
      </w:r>
      <w:r w:rsidRPr="00033F16">
        <w:rPr>
          <w:i/>
        </w:rPr>
        <w:t>4748/2007</w:t>
      </w:r>
      <w:r w:rsidRPr="00033F16">
        <w:rPr>
          <w:lang w:val="mk-MK"/>
        </w:rPr>
        <w:t>)</w:t>
      </w:r>
      <w:r w:rsidRPr="00033F16">
        <w:t xml:space="preserve"> dismissed the applicant</w:t>
      </w:r>
      <w:r w:rsidRPr="00033F16" w:rsidR="00033F16">
        <w:t>’</w:t>
      </w:r>
      <w:r w:rsidRPr="00033F16">
        <w:t xml:space="preserve">s complaints and </w:t>
      </w:r>
      <w:r w:rsidRPr="00033F16" w:rsidR="00EC4B15">
        <w:t xml:space="preserve">confirmed the validity of </w:t>
      </w:r>
      <w:r w:rsidRPr="00033F16">
        <w:t xml:space="preserve">the building permit. The Administrative Court held that the building permit had been lawful and that S.B. </w:t>
      </w:r>
      <w:r w:rsidRPr="00033F16" w:rsidR="00EC4B15">
        <w:t xml:space="preserve">had </w:t>
      </w:r>
      <w:r w:rsidRPr="00033F16">
        <w:t>submitted all required technical and legal documents which had been correctly assessed by the administrative authorities. The court considered that the arguments regarding the non-compliance with the terms of the building permit concerned a different subject matter and should be resolved in different proceedings. It did not comment further on the applicant</w:t>
      </w:r>
      <w:r w:rsidRPr="00033F16" w:rsidR="00033F16">
        <w:t>’</w:t>
      </w:r>
      <w:r w:rsidRPr="00033F16">
        <w:t xml:space="preserve">s arguments that S.B. </w:t>
      </w:r>
      <w:r w:rsidRPr="00033F16" w:rsidR="00EC4B15">
        <w:t xml:space="preserve">had </w:t>
      </w:r>
      <w:r w:rsidRPr="00033F16">
        <w:t>disturbed her possession with his construction activities.</w:t>
      </w:r>
    </w:p>
    <w:p w:rsidRPr="00033F16" w:rsidR="00D164BC" w:rsidP="00033F16" w:rsidRDefault="004D57F1">
      <w:pPr>
        <w:pStyle w:val="JuPara"/>
      </w:pPr>
      <w:r>
        <w:fldChar w:fldCharType="begin"/>
      </w:r>
      <w:r>
        <w:instrText xml:space="preserve"> SEQ level0 \*arabic </w:instrText>
      </w:r>
      <w:r>
        <w:fldChar w:fldCharType="separate"/>
      </w:r>
      <w:r w:rsidRPr="00033F16" w:rsidR="00033F16">
        <w:rPr>
          <w:noProof/>
        </w:rPr>
        <w:t>25</w:t>
      </w:r>
      <w:r>
        <w:rPr>
          <w:noProof/>
        </w:rPr>
        <w:fldChar w:fldCharType="end"/>
      </w:r>
      <w:r w:rsidRPr="00033F16" w:rsidR="00D164BC">
        <w:t xml:space="preserve">.  On 14 June 2012 </w:t>
      </w:r>
      <w:r w:rsidRPr="00033F16" w:rsidR="00EC4B15">
        <w:t xml:space="preserve">an </w:t>
      </w:r>
      <w:r w:rsidRPr="00033F16" w:rsidR="00D164BC">
        <w:t>application</w:t>
      </w:r>
      <w:r w:rsidRPr="00033F16" w:rsidR="00EC4B15">
        <w:t xml:space="preserve"> by</w:t>
      </w:r>
      <w:r w:rsidRPr="00033F16" w:rsidR="00D164BC">
        <w:t xml:space="preserve"> </w:t>
      </w:r>
      <w:r w:rsidRPr="00033F16" w:rsidR="00EC4B15">
        <w:t xml:space="preserve">S.B. </w:t>
      </w:r>
      <w:r w:rsidRPr="00033F16" w:rsidR="00D164BC">
        <w:t>for legalisation of the unlawfully constructed part of the building was granted and it was entered in the land registry.</w:t>
      </w:r>
    </w:p>
    <w:p w:rsidRPr="00033F16" w:rsidR="00D164BC" w:rsidP="00033F16" w:rsidRDefault="00D164BC">
      <w:pPr>
        <w:pStyle w:val="JuH1"/>
        <w:rPr>
          <w:lang w:val="mk-MK"/>
        </w:rPr>
      </w:pPr>
      <w:r w:rsidRPr="00033F16">
        <w:t>Civil proceedings initiated by S.B. against the applicant (</w:t>
      </w:r>
      <w:r w:rsidRPr="00033F16" w:rsidR="007F599E">
        <w:rPr>
          <w:lang w:val="mk-MK"/>
        </w:rPr>
        <w:t>П.бр.</w:t>
      </w:r>
      <w:r w:rsidRPr="00033F16" w:rsidR="007F599E">
        <w:t> </w:t>
      </w:r>
      <w:r w:rsidRPr="00033F16">
        <w:rPr>
          <w:lang w:val="mk-MK"/>
        </w:rPr>
        <w:t>1387/03</w:t>
      </w:r>
      <w:r w:rsidRPr="00033F16">
        <w:t xml:space="preserve">, </w:t>
      </w:r>
      <w:r w:rsidRPr="00033F16">
        <w:rPr>
          <w:lang w:val="mk-MK"/>
        </w:rPr>
        <w:t>П.бр. 40/15)</w:t>
      </w:r>
    </w:p>
    <w:p w:rsidRPr="00033F16" w:rsidR="00D164BC" w:rsidP="00033F16" w:rsidRDefault="00D164BC">
      <w:pPr>
        <w:pStyle w:val="JuPara"/>
      </w:pPr>
      <w:r w:rsidRPr="00033F16">
        <w:rPr>
          <w:lang w:val="mk-MK"/>
        </w:rPr>
        <w:fldChar w:fldCharType="begin"/>
      </w:r>
      <w:r w:rsidRPr="00033F16">
        <w:rPr>
          <w:lang w:val="mk-MK"/>
        </w:rPr>
        <w:instrText xml:space="preserve"> SEQ level0 \*arabic </w:instrText>
      </w:r>
      <w:r w:rsidRPr="00033F16">
        <w:rPr>
          <w:lang w:val="mk-MK"/>
        </w:rPr>
        <w:fldChar w:fldCharType="separate"/>
      </w:r>
      <w:r w:rsidRPr="00033F16" w:rsidR="00033F16">
        <w:rPr>
          <w:noProof/>
          <w:lang w:val="mk-MK"/>
        </w:rPr>
        <w:t>26</w:t>
      </w:r>
      <w:r w:rsidRPr="00033F16">
        <w:rPr>
          <w:lang w:val="mk-MK"/>
        </w:rPr>
        <w:fldChar w:fldCharType="end"/>
      </w:r>
      <w:r w:rsidRPr="00033F16">
        <w:rPr>
          <w:lang w:val="mk-MK"/>
        </w:rPr>
        <w:t>.  </w:t>
      </w:r>
      <w:r w:rsidRPr="00033F16">
        <w:t>On 18 December 2003 S.B. lodged a civil claim against the applicant claiming title to the shop and part of the land which he had bought on the basis of the preliminary contract and the unsigned contract concluded with the applicant</w:t>
      </w:r>
      <w:r w:rsidRPr="00033F16" w:rsidR="00033F16">
        <w:t>’</w:t>
      </w:r>
      <w:r w:rsidRPr="00033F16">
        <w:t xml:space="preserve">s late husband (see paragraph </w:t>
      </w:r>
      <w:r w:rsidRPr="00033F16">
        <w:fldChar w:fldCharType="begin"/>
      </w:r>
      <w:r w:rsidRPr="00033F16">
        <w:instrText xml:space="preserve"> REF PreliminaryContract \h </w:instrText>
      </w:r>
      <w:r w:rsidRPr="00033F16" w:rsidR="00A36924">
        <w:instrText xml:space="preserve"> \* MERGEFORMAT </w:instrText>
      </w:r>
      <w:r w:rsidRPr="00033F16">
        <w:fldChar w:fldCharType="separate"/>
      </w:r>
      <w:r w:rsidRPr="00033F16" w:rsidR="00033F16">
        <w:rPr>
          <w:noProof/>
        </w:rPr>
        <w:t>7</w:t>
      </w:r>
      <w:r w:rsidRPr="00033F16">
        <w:fldChar w:fldCharType="end"/>
      </w:r>
      <w:r w:rsidRPr="00033F16">
        <w:t xml:space="preserve"> above). The applicant lodged a counter-claim (</w:t>
      </w:r>
      <w:r w:rsidRPr="00033F16">
        <w:rPr>
          <w:i/>
          <w:lang w:val="mk-MK"/>
        </w:rPr>
        <w:t>противтужба</w:t>
      </w:r>
      <w:r w:rsidRPr="00033F16">
        <w:rPr>
          <w:lang w:val="mk-MK"/>
        </w:rPr>
        <w:t xml:space="preserve">) </w:t>
      </w:r>
      <w:r w:rsidRPr="00033F16">
        <w:t xml:space="preserve">claiming </w:t>
      </w:r>
      <w:r w:rsidRPr="00033F16">
        <w:rPr>
          <w:i/>
        </w:rPr>
        <w:t>restitutio in integrum</w:t>
      </w:r>
      <w:r w:rsidRPr="00033F16">
        <w:t xml:space="preserve"> and pecuniary damages for damage to her property, loss of property value and loss of income from the inability to lease the </w:t>
      </w:r>
      <w:r w:rsidRPr="00033F16" w:rsidR="00CB6536">
        <w:t>terrace and</w:t>
      </w:r>
      <w:r w:rsidRPr="00033F16" w:rsidR="0010220D">
        <w:t xml:space="preserve"> her commercial space </w:t>
      </w:r>
      <w:r w:rsidRPr="00033F16">
        <w:t>because of interference by S.B.</w:t>
      </w:r>
      <w:r w:rsidRPr="00033F16" w:rsidR="00033F16">
        <w:t>’</w:t>
      </w:r>
      <w:r w:rsidRPr="00033F16">
        <w:t>s building.</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27</w:t>
      </w:r>
      <w:r>
        <w:rPr>
          <w:noProof/>
        </w:rPr>
        <w:fldChar w:fldCharType="end"/>
      </w:r>
      <w:r w:rsidRPr="00033F16" w:rsidR="00D164BC">
        <w:t>.  After several remittals, on 15 May 2012 the first-instance court accepted S.B.</w:t>
      </w:r>
      <w:r w:rsidRPr="00033F16" w:rsidR="00033F16">
        <w:t>’</w:t>
      </w:r>
      <w:r w:rsidRPr="00033F16" w:rsidR="00D164BC">
        <w:t>s claim and dismissed the applicant</w:t>
      </w:r>
      <w:r w:rsidRPr="00033F16" w:rsidR="00033F16">
        <w:t>’</w:t>
      </w:r>
      <w:r w:rsidRPr="00033F16" w:rsidR="00AD3E80">
        <w:t>s counter-claim. On 4 </w:t>
      </w:r>
      <w:r w:rsidRPr="00033F16" w:rsidR="00D164BC">
        <w:t xml:space="preserve">June 2013 the Court of Appeal </w:t>
      </w:r>
      <w:r w:rsidRPr="00033F16" w:rsidR="005D2F18">
        <w:t xml:space="preserve">upheld </w:t>
      </w:r>
      <w:r w:rsidRPr="00033F16" w:rsidR="00D164BC">
        <w:t>the first-instance court</w:t>
      </w:r>
      <w:r w:rsidRPr="00033F16" w:rsidR="00033F16">
        <w:t>’</w:t>
      </w:r>
      <w:r w:rsidRPr="00033F16" w:rsidR="00D164BC">
        <w:t>s judgment</w:t>
      </w:r>
      <w:r w:rsidRPr="00033F16" w:rsidR="00EC4B15">
        <w:t>,</w:t>
      </w:r>
      <w:r w:rsidRPr="00033F16" w:rsidR="00D164BC">
        <w:t xml:space="preserve"> finding that S.B. had the title to the plot because the contract had been fully executed, </w:t>
      </w:r>
      <w:r w:rsidRPr="00033F16" w:rsidR="005D2F18">
        <w:t xml:space="preserve">specifically that as </w:t>
      </w:r>
      <w:r w:rsidRPr="00033F16" w:rsidR="00D164BC">
        <w:t>S.B. had paid the price to the applicant and her late husband and he had obtained the property in his factual possession. The applicant</w:t>
      </w:r>
      <w:r w:rsidRPr="00033F16" w:rsidR="00033F16">
        <w:t>’</w:t>
      </w:r>
      <w:r w:rsidRPr="00033F16" w:rsidR="00D164BC">
        <w:t xml:space="preserve">s counter-claim was dismissed on the grounds that the requested </w:t>
      </w:r>
      <w:r w:rsidRPr="00033F16" w:rsidR="00D164BC">
        <w:rPr>
          <w:i/>
        </w:rPr>
        <w:t>restitutio in integrum</w:t>
      </w:r>
      <w:r w:rsidRPr="00033F16" w:rsidR="00D164BC">
        <w:t xml:space="preserve"> had already been decided in the proceedings for protection against the disturbance of possession (see above) and because it </w:t>
      </w:r>
      <w:r w:rsidRPr="00033F16" w:rsidR="00EC4B15">
        <w:t xml:space="preserve">had been </w:t>
      </w:r>
      <w:r w:rsidRPr="00033F16" w:rsidR="00D164BC">
        <w:t>established that the impugned part of the plot had actually been sold to S.B.</w:t>
      </w:r>
    </w:p>
    <w:bookmarkStart w:name="PendingProceedSB" w:id="14"/>
    <w:p w:rsidRPr="00033F16" w:rsidR="00020485"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28</w:t>
      </w:r>
      <w:r w:rsidRPr="00033F16">
        <w:fldChar w:fldCharType="end"/>
      </w:r>
      <w:bookmarkEnd w:id="14"/>
      <w:r w:rsidRPr="00033F16">
        <w:t xml:space="preserve">.  On 19 November 2014 the Supreme Court partly </w:t>
      </w:r>
      <w:r w:rsidRPr="00033F16" w:rsidR="005D2F18">
        <w:t xml:space="preserve">allowed </w:t>
      </w:r>
      <w:r w:rsidRPr="00033F16">
        <w:t xml:space="preserve">an appeal on points of law lodged by the applicant </w:t>
      </w:r>
      <w:r w:rsidRPr="00033F16" w:rsidR="00AD3E80">
        <w:t>and quashed the judgments of 15 </w:t>
      </w:r>
      <w:r w:rsidRPr="00033F16">
        <w:t>May 2012 and 4 June 2013 in their respective parts concerning the applicant</w:t>
      </w:r>
      <w:r w:rsidRPr="00033F16" w:rsidR="00033F16">
        <w:t>’</w:t>
      </w:r>
      <w:r w:rsidRPr="00033F16">
        <w:t>s counter-claim on the grounds that the evidence needed to be re-examined in order to ascertain the identity of actions. The proceedings are pending.</w:t>
      </w:r>
    </w:p>
    <w:p w:rsidRPr="00033F16" w:rsidR="00D164BC" w:rsidP="00033F16" w:rsidRDefault="00D164BC">
      <w:pPr>
        <w:pStyle w:val="JuH1"/>
        <w:rPr>
          <w:lang w:val="mk-MK"/>
        </w:rPr>
      </w:pPr>
      <w:r w:rsidRPr="00033F16">
        <w:t>Civil proceedings for damages initiated by the applicant against S.B. and the municipality (</w:t>
      </w:r>
      <w:r w:rsidRPr="00033F16">
        <w:rPr>
          <w:lang w:val="mk-MK"/>
        </w:rPr>
        <w:t>П.бр. 821/07, ГЖ.бр.40/10)</w:t>
      </w:r>
    </w:p>
    <w:p w:rsidRPr="00033F16" w:rsidR="00020485" w:rsidP="00033F16" w:rsidRDefault="00D164BC">
      <w:pPr>
        <w:pStyle w:val="JuPara"/>
      </w:pPr>
      <w:r w:rsidRPr="00033F16">
        <w:rPr>
          <w:lang w:val="mk-MK"/>
        </w:rPr>
        <w:fldChar w:fldCharType="begin"/>
      </w:r>
      <w:r w:rsidRPr="00033F16">
        <w:rPr>
          <w:lang w:val="mk-MK"/>
        </w:rPr>
        <w:instrText xml:space="preserve"> SEQ level0 \*arabic </w:instrText>
      </w:r>
      <w:r w:rsidRPr="00033F16">
        <w:rPr>
          <w:lang w:val="mk-MK"/>
        </w:rPr>
        <w:fldChar w:fldCharType="separate"/>
      </w:r>
      <w:r w:rsidRPr="00033F16" w:rsidR="00033F16">
        <w:rPr>
          <w:noProof/>
          <w:lang w:val="mk-MK"/>
        </w:rPr>
        <w:t>29</w:t>
      </w:r>
      <w:r w:rsidRPr="00033F16">
        <w:rPr>
          <w:lang w:val="mk-MK"/>
        </w:rPr>
        <w:fldChar w:fldCharType="end"/>
      </w:r>
      <w:r w:rsidRPr="00033F16">
        <w:rPr>
          <w:lang w:val="mk-MK"/>
        </w:rPr>
        <w:t>.  </w:t>
      </w:r>
      <w:r w:rsidRPr="00033F16">
        <w:t>On an unspecified date the applicant lodged a civil action for damages against S.B. and the municipality before the first-instance court. On 23 September 2009 that court granted, in part, the applicant</w:t>
      </w:r>
      <w:r w:rsidRPr="00033F16" w:rsidR="00033F16">
        <w:t>’</w:t>
      </w:r>
      <w:r w:rsidRPr="00033F16">
        <w:t>s claim</w:t>
      </w:r>
    </w:p>
    <w:bookmarkStart w:name="CoADamagesSB" w:id="15"/>
    <w:p w:rsidRPr="00033F16" w:rsidR="00020485" w:rsidP="00033F16" w:rsidRDefault="00D164BC">
      <w:pPr>
        <w:pStyle w:val="JuPara"/>
      </w:pPr>
      <w:r w:rsidRPr="00033F16">
        <w:rPr>
          <w:lang w:val="mk-MK"/>
        </w:rPr>
        <w:fldChar w:fldCharType="begin"/>
      </w:r>
      <w:r w:rsidRPr="00033F16">
        <w:rPr>
          <w:lang w:val="mk-MK"/>
        </w:rPr>
        <w:instrText xml:space="preserve"> SEQ level0 \*arabic </w:instrText>
      </w:r>
      <w:r w:rsidRPr="00033F16">
        <w:rPr>
          <w:lang w:val="mk-MK"/>
        </w:rPr>
        <w:fldChar w:fldCharType="separate"/>
      </w:r>
      <w:r w:rsidRPr="00033F16" w:rsidR="00033F16">
        <w:rPr>
          <w:noProof/>
          <w:lang w:val="mk-MK"/>
        </w:rPr>
        <w:t>30</w:t>
      </w:r>
      <w:r w:rsidRPr="00033F16">
        <w:rPr>
          <w:lang w:val="mk-MK"/>
        </w:rPr>
        <w:fldChar w:fldCharType="end"/>
      </w:r>
      <w:bookmarkEnd w:id="15"/>
      <w:r w:rsidRPr="00033F16">
        <w:rPr>
          <w:lang w:val="mk-MK"/>
        </w:rPr>
        <w:t>.  </w:t>
      </w:r>
      <w:r w:rsidRPr="00033F16">
        <w:t>On 4 January 2012 the Court of</w:t>
      </w:r>
      <w:r w:rsidRPr="00033F16" w:rsidR="002240B8">
        <w:t xml:space="preserve"> Appeal partly upheld the first</w:t>
      </w:r>
      <w:r w:rsidRPr="00033F16" w:rsidR="002240B8">
        <w:noBreakHyphen/>
      </w:r>
      <w:r w:rsidRPr="00033F16">
        <w:t>instance judgment granting the applicant</w:t>
      </w:r>
      <w:r w:rsidRPr="00033F16" w:rsidR="00033F16">
        <w:t>’</w:t>
      </w:r>
      <w:r w:rsidRPr="00033F16">
        <w:t xml:space="preserve">s claim for damages. </w:t>
      </w:r>
      <w:r w:rsidRPr="00033F16" w:rsidR="0015415D">
        <w:t xml:space="preserve">The </w:t>
      </w:r>
      <w:r w:rsidRPr="00033F16">
        <w:t xml:space="preserve">court held that S.B. and the municipality </w:t>
      </w:r>
      <w:r w:rsidRPr="00033F16" w:rsidR="0015415D">
        <w:t xml:space="preserve">were </w:t>
      </w:r>
      <w:r w:rsidRPr="00033F16">
        <w:t>jointly liable for damage caused</w:t>
      </w:r>
      <w:r w:rsidRPr="00033F16" w:rsidR="0015415D">
        <w:t xml:space="preserve"> to the applicant</w:t>
      </w:r>
      <w:r w:rsidRPr="00033F16" w:rsidR="00033F16">
        <w:t>’</w:t>
      </w:r>
      <w:r w:rsidRPr="00033F16" w:rsidR="0015415D">
        <w:t>s property</w:t>
      </w:r>
      <w:r w:rsidRPr="00033F16">
        <w:t xml:space="preserve"> by S.B.</w:t>
      </w:r>
      <w:r w:rsidRPr="00033F16" w:rsidR="00033F16">
        <w:t>’</w:t>
      </w:r>
      <w:r w:rsidRPr="00033F16">
        <w:t>s unlawful construction activities</w:t>
      </w:r>
      <w:r w:rsidRPr="00033F16" w:rsidR="00686B0D">
        <w:t xml:space="preserve">, which had been sanctioned with final decisions in the civil proceedings for disturbance of possession (see paragraph </w:t>
      </w:r>
      <w:r w:rsidRPr="00033F16" w:rsidR="00686B0D">
        <w:fldChar w:fldCharType="begin"/>
      </w:r>
      <w:r w:rsidRPr="00033F16" w:rsidR="00686B0D">
        <w:instrText xml:space="preserve"> REF CivilProceedSB \h </w:instrText>
      </w:r>
      <w:r w:rsidRPr="00033F16" w:rsidR="00A36924">
        <w:instrText xml:space="preserve"> \* MERGEFORMAT </w:instrText>
      </w:r>
      <w:r w:rsidRPr="00033F16" w:rsidR="00686B0D">
        <w:fldChar w:fldCharType="separate"/>
      </w:r>
      <w:r w:rsidRPr="00033F16" w:rsidR="00033F16">
        <w:rPr>
          <w:noProof/>
        </w:rPr>
        <w:t>9</w:t>
      </w:r>
      <w:r w:rsidRPr="00033F16" w:rsidR="00686B0D">
        <w:fldChar w:fldCharType="end"/>
      </w:r>
      <w:r w:rsidRPr="00033F16" w:rsidR="00686B0D">
        <w:t xml:space="preserve"> above) and with demolition orders that had remained unenforced</w:t>
      </w:r>
      <w:r w:rsidRPr="00033F16">
        <w:t>. It ordered compensation in the amount of MKD 677,976</w:t>
      </w:r>
      <w:r w:rsidRPr="00033F16" w:rsidR="00A33FDB">
        <w:t xml:space="preserve"> (</w:t>
      </w:r>
      <w:r w:rsidRPr="00033F16">
        <w:t>equivalent to approximately EUR 11,000</w:t>
      </w:r>
      <w:r w:rsidRPr="00033F16" w:rsidR="00A33FDB">
        <w:t xml:space="preserve">) </w:t>
      </w:r>
      <w:r w:rsidRPr="00033F16">
        <w:t>plus interest. The court considered that S.B.</w:t>
      </w:r>
      <w:r w:rsidRPr="00033F16" w:rsidR="0015415D">
        <w:t xml:space="preserve"> had</w:t>
      </w:r>
      <w:r w:rsidRPr="00033F16">
        <w:t xml:space="preserve"> damaged the applicant</w:t>
      </w:r>
      <w:r w:rsidRPr="00033F16" w:rsidR="00033F16">
        <w:t>’</w:t>
      </w:r>
      <w:r w:rsidRPr="00033F16">
        <w:t>s property, occupied part of her plot of land and caused the applicant</w:t>
      </w:r>
      <w:r w:rsidRPr="00033F16" w:rsidR="00033F16">
        <w:t>’</w:t>
      </w:r>
      <w:r w:rsidRPr="00033F16">
        <w:t>s property</w:t>
      </w:r>
      <w:r w:rsidRPr="00033F16" w:rsidR="0015415D">
        <w:t xml:space="preserve"> to lose value</w:t>
      </w:r>
      <w:r w:rsidRPr="00033F16">
        <w:t>. The municipality was liable because of its tolerance of S.B.</w:t>
      </w:r>
      <w:r w:rsidRPr="00033F16" w:rsidR="00033F16">
        <w:t>’</w:t>
      </w:r>
      <w:r w:rsidRPr="00033F16">
        <w:t>s unlawful activities.</w:t>
      </w:r>
    </w:p>
    <w:p w:rsidRPr="00033F16" w:rsidR="00020485" w:rsidP="00033F16" w:rsidRDefault="00D164BC">
      <w:pPr>
        <w:pStyle w:val="JuHA"/>
      </w:pPr>
      <w:r w:rsidRPr="00033F16">
        <w:t>Proceedings concerning I.F.</w:t>
      </w:r>
    </w:p>
    <w:p w:rsidRPr="00033F16" w:rsidR="00D164BC" w:rsidP="00033F16" w:rsidRDefault="00D164BC">
      <w:pPr>
        <w:pStyle w:val="JuH1"/>
      </w:pPr>
      <w:r w:rsidRPr="00033F16">
        <w:t>Administrative proceedings</w:t>
      </w:r>
    </w:p>
    <w:p w:rsidRPr="00033F16" w:rsidR="00D164BC" w:rsidP="00033F16" w:rsidRDefault="004D57F1">
      <w:pPr>
        <w:pStyle w:val="JuPara"/>
      </w:pPr>
      <w:r>
        <w:fldChar w:fldCharType="begin"/>
      </w:r>
      <w:r>
        <w:instrText xml:space="preserve"> SEQ level0 \*arabic </w:instrText>
      </w:r>
      <w:r>
        <w:fldChar w:fldCharType="separate"/>
      </w:r>
      <w:r w:rsidRPr="00033F16" w:rsidR="00033F16">
        <w:rPr>
          <w:noProof/>
        </w:rPr>
        <w:t>31</w:t>
      </w:r>
      <w:r>
        <w:rPr>
          <w:noProof/>
        </w:rPr>
        <w:fldChar w:fldCharType="end"/>
      </w:r>
      <w:r w:rsidRPr="00033F16" w:rsidR="00D164BC">
        <w:t xml:space="preserve">.  In 1990 the municipality issued </w:t>
      </w:r>
      <w:r w:rsidRPr="00033F16" w:rsidR="007751EE">
        <w:t xml:space="preserve">a permit </w:t>
      </w:r>
      <w:r w:rsidRPr="00033F16" w:rsidR="00D164BC">
        <w:t>to I.F. to place a wooden temporary building for commercial activity in front of the applicant</w:t>
      </w:r>
      <w:r w:rsidRPr="00033F16" w:rsidR="00033F16">
        <w:t>’</w:t>
      </w:r>
      <w:r w:rsidRPr="00033F16" w:rsidR="00D164BC">
        <w:t xml:space="preserve">s property. The permission stated that the temporary </w:t>
      </w:r>
      <w:r w:rsidRPr="00033F16" w:rsidR="00491C2F">
        <w:t xml:space="preserve">building </w:t>
      </w:r>
      <w:r w:rsidRPr="00033F16" w:rsidR="00D164BC">
        <w:t>could remain no longer than the implementation of the urban plan for that area and that the construction of a permanent building was prohibited.</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32</w:t>
      </w:r>
      <w:r>
        <w:rPr>
          <w:noProof/>
        </w:rPr>
        <w:fldChar w:fldCharType="end"/>
      </w:r>
      <w:r w:rsidRPr="00033F16" w:rsidR="00D164BC">
        <w:t>.  On the basis of a permit for urban and reconstruction measures (</w:t>
      </w:r>
      <w:r w:rsidRPr="00033F16" w:rsidR="00D164BC">
        <w:rPr>
          <w:i/>
          <w:lang w:val="mk-MK"/>
        </w:rPr>
        <w:t>одобрение за урбани и санациони мерки</w:t>
      </w:r>
      <w:r w:rsidRPr="00033F16" w:rsidR="00D164BC">
        <w:rPr>
          <w:lang w:val="mk-MK"/>
        </w:rPr>
        <w:t>)</w:t>
      </w:r>
      <w:r w:rsidRPr="00033F16" w:rsidR="00D164BC">
        <w:t xml:space="preserve"> issued by the Ministry</w:t>
      </w:r>
      <w:r w:rsidRPr="00033F16" w:rsidR="00EF6E3C">
        <w:t xml:space="preserve"> in 2002</w:t>
      </w:r>
      <w:r w:rsidRPr="00033F16" w:rsidR="00D164BC">
        <w:t xml:space="preserve"> and later on</w:t>
      </w:r>
      <w:r w:rsidRPr="00033F16" w:rsidR="003556C9">
        <w:t>, following several remittals,</w:t>
      </w:r>
      <w:r w:rsidRPr="00033F16" w:rsidR="00D164BC">
        <w:t xml:space="preserve"> </w:t>
      </w:r>
      <w:r w:rsidRPr="00033F16" w:rsidR="007751EE">
        <w:t xml:space="preserve">annulled </w:t>
      </w:r>
      <w:r w:rsidRPr="00033F16" w:rsidR="00D164BC">
        <w:t xml:space="preserve">by the Appeal Commission, I.F. constructed a permanent building </w:t>
      </w:r>
      <w:r w:rsidRPr="00033F16" w:rsidR="007751EE">
        <w:t>in</w:t>
      </w:r>
      <w:r w:rsidRPr="00033F16" w:rsidR="00D164BC">
        <w:t xml:space="preserve"> place of the wooden one.</w:t>
      </w:r>
    </w:p>
    <w:bookmarkStart w:name="IFDemolitionOrder" w:id="16"/>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33</w:t>
      </w:r>
      <w:r w:rsidRPr="00033F16">
        <w:fldChar w:fldCharType="end"/>
      </w:r>
      <w:bookmarkEnd w:id="16"/>
      <w:r w:rsidRPr="00033F16">
        <w:t>.  On 10 September 2002 and 5 June 2003 the Inspectorate issued demolition orders against I.F.</w:t>
      </w:r>
      <w:r w:rsidRPr="00033F16" w:rsidR="00033F16">
        <w:t>’</w:t>
      </w:r>
      <w:r w:rsidRPr="00033F16">
        <w:t>s unlawfully constructed building because it had been constructed contrary to the urban plan for the area. The demolition orders remained unenforced.</w:t>
      </w:r>
    </w:p>
    <w:bookmarkStart w:name="IFLegalisation" w:id="17"/>
    <w:p w:rsidRPr="00033F16" w:rsidR="00020485"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34</w:t>
      </w:r>
      <w:r w:rsidRPr="00033F16">
        <w:fldChar w:fldCharType="end"/>
      </w:r>
      <w:bookmarkEnd w:id="17"/>
      <w:r w:rsidRPr="00033F16">
        <w:t>.  On 15 January 2013 the building constructed by I.F. was legalised. The applicant challenged this decision and the relevant proceedings are pending.</w:t>
      </w:r>
    </w:p>
    <w:p w:rsidRPr="00033F16" w:rsidR="00D164BC" w:rsidP="00033F16" w:rsidRDefault="00D164BC">
      <w:pPr>
        <w:pStyle w:val="JuH1"/>
      </w:pPr>
      <w:r w:rsidRPr="00033F16">
        <w:t>Civil proceedings for damages against I.F., the State and the municipality (</w:t>
      </w:r>
      <w:r w:rsidRPr="00033F16">
        <w:rPr>
          <w:lang w:val="mk-MK"/>
        </w:rPr>
        <w:t>П.бр. 208/08)</w:t>
      </w:r>
    </w:p>
    <w:bookmarkStart w:name="CivilProceedIF" w:id="18"/>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35</w:t>
      </w:r>
      <w:r w:rsidRPr="00033F16">
        <w:fldChar w:fldCharType="end"/>
      </w:r>
      <w:bookmarkEnd w:id="18"/>
      <w:r w:rsidRPr="00033F16">
        <w:t xml:space="preserve">.  On 31 January 2008 the applicant initiated compensation proceedings against I.F., the municipality and the State for </w:t>
      </w:r>
      <w:r w:rsidRPr="00033F16" w:rsidR="00D22F59">
        <w:t>her</w:t>
      </w:r>
      <w:r w:rsidRPr="00033F16">
        <w:t xml:space="preserve"> property</w:t>
      </w:r>
      <w:r w:rsidRPr="00033F16" w:rsidR="00033F16">
        <w:t>’</w:t>
      </w:r>
      <w:r w:rsidRPr="00033F16">
        <w:t xml:space="preserve">s </w:t>
      </w:r>
      <w:r w:rsidRPr="00033F16" w:rsidR="00D22F59">
        <w:t xml:space="preserve">loss of </w:t>
      </w:r>
      <w:r w:rsidRPr="00033F16">
        <w:t xml:space="preserve">value and loss of income for the period between 2002 and 2008 (monthly rent for her commercial </w:t>
      </w:r>
      <w:r w:rsidRPr="00033F16" w:rsidR="00D22F59">
        <w:t xml:space="preserve">space </w:t>
      </w:r>
      <w:r w:rsidRPr="00033F16">
        <w:t xml:space="preserve">and for market </w:t>
      </w:r>
      <w:r w:rsidRPr="00033F16" w:rsidR="00D22F59">
        <w:t>stalls</w:t>
      </w:r>
      <w:r w:rsidRPr="00033F16">
        <w:t>). She argued that I.F.</w:t>
      </w:r>
      <w:r w:rsidRPr="00033F16" w:rsidR="00033F16">
        <w:t>’</w:t>
      </w:r>
      <w:r w:rsidRPr="00033F16">
        <w:t>s building, which he had constructed unlawfully, had blocked access to her property from the street, while the municipality and the State had failed to stop the construction and to enforce the demolition orders issued in respect of I.F.</w:t>
      </w:r>
      <w:r w:rsidRPr="00033F16" w:rsidR="00033F16">
        <w:t>’</w:t>
      </w:r>
      <w:r w:rsidRPr="00033F16">
        <w:t xml:space="preserve">s unlawful building (see paragraph </w:t>
      </w:r>
      <w:r w:rsidRPr="00033F16">
        <w:fldChar w:fldCharType="begin"/>
      </w:r>
      <w:r w:rsidRPr="00033F16">
        <w:instrText xml:space="preserve"> REF IFDemolitionOrder \h </w:instrText>
      </w:r>
      <w:r w:rsidRPr="00033F16" w:rsidR="00A36924">
        <w:instrText xml:space="preserve"> \* MERGEFORMAT </w:instrText>
      </w:r>
      <w:r w:rsidRPr="00033F16">
        <w:fldChar w:fldCharType="separate"/>
      </w:r>
      <w:r w:rsidRPr="00033F16" w:rsidR="00033F16">
        <w:rPr>
          <w:noProof/>
        </w:rPr>
        <w:t>33</w:t>
      </w:r>
      <w:r w:rsidRPr="00033F16">
        <w:fldChar w:fldCharType="end"/>
      </w:r>
      <w:r w:rsidRPr="00033F16">
        <w:t xml:space="preserve"> above).</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36</w:t>
      </w:r>
      <w:r>
        <w:rPr>
          <w:noProof/>
        </w:rPr>
        <w:fldChar w:fldCharType="end"/>
      </w:r>
      <w:r w:rsidRPr="00033F16" w:rsidR="00D164BC">
        <w:t>.  On 2 July 2008 the court commissioned an expert report to assess the damage claimed by the applicant. The expert report found that the applicant</w:t>
      </w:r>
      <w:r w:rsidRPr="00033F16" w:rsidR="00033F16">
        <w:t>’</w:t>
      </w:r>
      <w:r w:rsidRPr="00033F16" w:rsidR="00D164BC">
        <w:t>s property “had no market value” (</w:t>
      </w:r>
      <w:r w:rsidRPr="00033F16" w:rsidR="00D164BC">
        <w:rPr>
          <w:i/>
          <w:lang w:val="mk-MK"/>
        </w:rPr>
        <w:t>нема пазарна вредност</w:t>
      </w:r>
      <w:r w:rsidRPr="00033F16" w:rsidR="00D164BC">
        <w:rPr>
          <w:lang w:val="mk-MK"/>
        </w:rPr>
        <w:t>)</w:t>
      </w:r>
      <w:r w:rsidRPr="00033F16" w:rsidR="00D164BC">
        <w:t>. At the hearing held on 26 February 2009 the expert was examined in the presence of the parties.</w:t>
      </w:r>
    </w:p>
    <w:bookmarkStart w:name="OutcomeCivIF" w:id="19"/>
    <w:p w:rsidRPr="00033F16" w:rsidR="00771D0F"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37</w:t>
      </w:r>
      <w:r w:rsidRPr="00033F16">
        <w:fldChar w:fldCharType="end"/>
      </w:r>
      <w:bookmarkEnd w:id="19"/>
      <w:r w:rsidRPr="00033F16">
        <w:t>.  On 9 April 2009 the first-instance court dismissed the applicant</w:t>
      </w:r>
      <w:r w:rsidRPr="00033F16" w:rsidR="00033F16">
        <w:t>’</w:t>
      </w:r>
      <w:r w:rsidRPr="00033F16">
        <w:t>s claim as partly groundless and partly time-barred. The court took into account the applicant</w:t>
      </w:r>
      <w:r w:rsidRPr="00033F16" w:rsidR="00033F16">
        <w:t>’</w:t>
      </w:r>
      <w:r w:rsidRPr="00033F16">
        <w:t>s arguments, but considered that the demolition of I.F.</w:t>
      </w:r>
      <w:r w:rsidRPr="00033F16" w:rsidR="00033F16">
        <w:t>’</w:t>
      </w:r>
      <w:r w:rsidRPr="00033F16">
        <w:t>s building would not necessarily provide unfettered access to the applicant</w:t>
      </w:r>
      <w:r w:rsidRPr="00033F16" w:rsidR="00033F16">
        <w:t>’</w:t>
      </w:r>
      <w:r w:rsidRPr="00033F16">
        <w:t>s property from the street given that the implementation of the urban plan concerning the widening of the street concerned separate proceedings and I.F.</w:t>
      </w:r>
      <w:r w:rsidRPr="00033F16" w:rsidR="00033F16">
        <w:t>’</w:t>
      </w:r>
      <w:r w:rsidRPr="00033F16">
        <w:t xml:space="preserve">s unlawfully constructed building had been positioned on the same place as the temporary building, which </w:t>
      </w:r>
      <w:r w:rsidRPr="00033F16" w:rsidR="00AE08E4">
        <w:t xml:space="preserve">had </w:t>
      </w:r>
      <w:r w:rsidRPr="00033F16">
        <w:t xml:space="preserve">existed before the applicant </w:t>
      </w:r>
      <w:r w:rsidRPr="00033F16" w:rsidR="00AE08E4">
        <w:t xml:space="preserve">had </w:t>
      </w:r>
      <w:r w:rsidRPr="00033F16">
        <w:t>obtained the building permit for the commercial area in 1996. Further</w:t>
      </w:r>
      <w:r w:rsidRPr="00033F16" w:rsidR="0077310B">
        <w:t>more</w:t>
      </w:r>
      <w:r w:rsidRPr="00033F16">
        <w:t>, even though the applicant</w:t>
      </w:r>
      <w:r w:rsidRPr="00033F16" w:rsidR="00033F16">
        <w:t>’</w:t>
      </w:r>
      <w:r w:rsidRPr="00033F16">
        <w:t>s commercial area had remained unfinished and without an operation permit (</w:t>
      </w:r>
      <w:r w:rsidRPr="00033F16">
        <w:rPr>
          <w:i/>
          <w:lang w:val="mk-MK"/>
        </w:rPr>
        <w:t>употребна дозвола</w:t>
      </w:r>
      <w:r w:rsidRPr="00033F16">
        <w:rPr>
          <w:lang w:val="mk-MK"/>
        </w:rPr>
        <w:t>)</w:t>
      </w:r>
      <w:r w:rsidRPr="00033F16">
        <w:t>, she had been able to rent part of it as storage space. The market, for which she had</w:t>
      </w:r>
      <w:r w:rsidRPr="00033F16" w:rsidR="00AE08E4">
        <w:t xml:space="preserve"> had</w:t>
      </w:r>
      <w:r w:rsidRPr="00033F16">
        <w:t xml:space="preserve"> a valid permit between 2000 and 2002, </w:t>
      </w:r>
      <w:r w:rsidRPr="00033F16" w:rsidR="00AE08E4">
        <w:t xml:space="preserve">had </w:t>
      </w:r>
      <w:r w:rsidRPr="00033F16">
        <w:t>never bec</w:t>
      </w:r>
      <w:r w:rsidRPr="00033F16" w:rsidR="00AE08E4">
        <w:t>o</w:t>
      </w:r>
      <w:r w:rsidRPr="00033F16">
        <w:t>me operational. The applicant</w:t>
      </w:r>
      <w:r w:rsidRPr="00033F16" w:rsidR="00033F16">
        <w:t>’</w:t>
      </w:r>
      <w:r w:rsidRPr="00033F16">
        <w:t xml:space="preserve">s property had not been offered for sale, which </w:t>
      </w:r>
      <w:r w:rsidRPr="00033F16" w:rsidR="009E3ACB">
        <w:t xml:space="preserve">had </w:t>
      </w:r>
      <w:r w:rsidRPr="00033F16">
        <w:t>rendered the claim about the loss of its value unsubstantiated. The court noted that the applicant</w:t>
      </w:r>
      <w:r w:rsidRPr="00033F16" w:rsidR="00033F16">
        <w:t>’</w:t>
      </w:r>
      <w:r w:rsidRPr="00033F16">
        <w:t xml:space="preserve">s property </w:t>
      </w:r>
      <w:r w:rsidRPr="00033F16" w:rsidR="009E3ACB">
        <w:t xml:space="preserve">was </w:t>
      </w:r>
      <w:r w:rsidRPr="00033F16">
        <w:t>access</w:t>
      </w:r>
      <w:r w:rsidRPr="00033F16" w:rsidR="009E3ACB">
        <w:t>ible</w:t>
      </w:r>
      <w:r w:rsidRPr="00033F16">
        <w:t xml:space="preserve"> from a nearby street.</w:t>
      </w:r>
    </w:p>
    <w:bookmarkStart w:name="CivilProceedIF_appeal" w:id="20"/>
    <w:p w:rsidRPr="00033F16" w:rsidR="00020485"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38</w:t>
      </w:r>
      <w:r w:rsidRPr="00033F16">
        <w:fldChar w:fldCharType="end"/>
      </w:r>
      <w:bookmarkEnd w:id="20"/>
      <w:r w:rsidRPr="00033F16">
        <w:t>.  </w:t>
      </w:r>
      <w:r w:rsidRPr="00033F16" w:rsidR="00161578">
        <w:t>On 10 July 2009 t</w:t>
      </w:r>
      <w:r w:rsidRPr="00033F16">
        <w:t xml:space="preserve">he applicant appealed, arguing </w:t>
      </w:r>
      <w:r w:rsidRPr="00033F16">
        <w:rPr>
          <w:i/>
        </w:rPr>
        <w:t>inter alia</w:t>
      </w:r>
      <w:r w:rsidRPr="00033F16">
        <w:t xml:space="preserve"> that the first-instance court had not commented o</w:t>
      </w:r>
      <w:r w:rsidRPr="00033F16" w:rsidR="005D6206">
        <w:t xml:space="preserve">n the expert report. On </w:t>
      </w:r>
      <w:r w:rsidRPr="00033F16" w:rsidR="00A36924">
        <w:t xml:space="preserve">14 June </w:t>
      </w:r>
      <w:r w:rsidRPr="00033F16">
        <w:t xml:space="preserve">2011 the Court of Appeal </w:t>
      </w:r>
      <w:r w:rsidRPr="00033F16" w:rsidR="00E046EC">
        <w:t xml:space="preserve">had </w:t>
      </w:r>
      <w:r w:rsidRPr="00033F16">
        <w:t>dismissed her appeal and upheld the first-instance judgment.</w:t>
      </w:r>
    </w:p>
    <w:bookmarkStart w:name="CivilProceedIF_appeal2" w:id="21"/>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39</w:t>
      </w:r>
      <w:r w:rsidRPr="00033F16">
        <w:fldChar w:fldCharType="end"/>
      </w:r>
      <w:bookmarkEnd w:id="21"/>
      <w:r w:rsidRPr="00033F16">
        <w:t>.  </w:t>
      </w:r>
      <w:r w:rsidRPr="00033F16" w:rsidR="00C76797">
        <w:t>On 29</w:t>
      </w:r>
      <w:r w:rsidRPr="00033F16" w:rsidR="00D64BEF">
        <w:t xml:space="preserve"> September 2011 the applicant lodged an appeal on points of law which was dismissed by the Supreme Court on 27 June 2013</w:t>
      </w:r>
      <w:r w:rsidRPr="00033F16">
        <w:t>.</w:t>
      </w:r>
      <w:r w:rsidRPr="00033F16" w:rsidR="00D64BEF">
        <w:t xml:space="preserve"> </w:t>
      </w:r>
      <w:r w:rsidRPr="00033F16">
        <w:t>It found that the lower courts had provided sufficient reasons for their decisions and had correctly applied the relevant domestic law.</w:t>
      </w:r>
    </w:p>
    <w:bookmarkStart w:name="LengthRemedyIF1" w:id="22"/>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40</w:t>
      </w:r>
      <w:r w:rsidRPr="00033F16">
        <w:fldChar w:fldCharType="end"/>
      </w:r>
      <w:bookmarkEnd w:id="22"/>
      <w:r w:rsidRPr="00033F16">
        <w:t>.  In the meantime, on 21 December 2010 the Supreme Court dismissed a length remedy lodged by the applicant. The decision became final on 7 March 2011.</w:t>
      </w:r>
    </w:p>
    <w:bookmarkStart w:name="LengthRemedyIF2" w:id="23"/>
    <w:p w:rsidRPr="00033F16" w:rsidR="00D164BC" w:rsidP="00033F16" w:rsidRDefault="00D164BC">
      <w:pPr>
        <w:pStyle w:val="JuPara"/>
      </w:pPr>
      <w:r w:rsidRPr="00033F16">
        <w:fldChar w:fldCharType="begin"/>
      </w:r>
      <w:r w:rsidRPr="00033F16">
        <w:instrText xml:space="preserve"> SEQ level0 \*arabic </w:instrText>
      </w:r>
      <w:r w:rsidRPr="00033F16">
        <w:fldChar w:fldCharType="separate"/>
      </w:r>
      <w:r w:rsidRPr="00033F16" w:rsidR="00033F16">
        <w:rPr>
          <w:noProof/>
        </w:rPr>
        <w:t>41</w:t>
      </w:r>
      <w:r w:rsidRPr="00033F16">
        <w:fldChar w:fldCharType="end"/>
      </w:r>
      <w:bookmarkEnd w:id="23"/>
      <w:r w:rsidRPr="00033F16">
        <w:t>.  On 15 May 2012 the first-instance panel of the Supreme Court dismissed a fresh length remedy lodged by the applicant</w:t>
      </w:r>
      <w:r w:rsidRPr="00033F16" w:rsidR="005D6206">
        <w:t xml:space="preserve"> on 12 </w:t>
      </w:r>
      <w:r w:rsidRPr="00033F16" w:rsidR="005401F9">
        <w:t>December</w:t>
      </w:r>
      <w:r w:rsidRPr="00033F16" w:rsidR="00A36924">
        <w:t xml:space="preserve"> </w:t>
      </w:r>
      <w:r w:rsidRPr="00033F16" w:rsidR="007734B4">
        <w:t>2011</w:t>
      </w:r>
      <w:r w:rsidRPr="00033F16">
        <w:t xml:space="preserve">. </w:t>
      </w:r>
      <w:r w:rsidRPr="00033F16" w:rsidR="00161578">
        <w:t>It noted that the proceedings have been pending for four years (between the lodging of the applicant</w:t>
      </w:r>
      <w:r w:rsidRPr="00033F16" w:rsidR="00033F16">
        <w:t>’</w:t>
      </w:r>
      <w:r w:rsidRPr="00033F16" w:rsidR="00161578">
        <w:t xml:space="preserve">s civil claim and the filing of </w:t>
      </w:r>
      <w:r w:rsidRPr="00033F16" w:rsidR="00776559">
        <w:t>her</w:t>
      </w:r>
      <w:r w:rsidRPr="00033F16" w:rsidR="00161578">
        <w:t xml:space="preserve"> second length remedy). However, since </w:t>
      </w:r>
      <w:r w:rsidRPr="00033F16" w:rsidR="00E917E1">
        <w:t xml:space="preserve">the </w:t>
      </w:r>
      <w:r w:rsidRPr="00033F16" w:rsidR="00161578">
        <w:t>period of one year and five months had already been subject of examination in the first set of proceedings upon the applicant</w:t>
      </w:r>
      <w:r w:rsidRPr="00033F16" w:rsidR="00033F16">
        <w:t>’</w:t>
      </w:r>
      <w:r w:rsidRPr="00033F16" w:rsidR="00161578">
        <w:t xml:space="preserve">s length remedy (see paragraph </w:t>
      </w:r>
      <w:r w:rsidRPr="00033F16" w:rsidR="00A45DCD">
        <w:fldChar w:fldCharType="begin"/>
      </w:r>
      <w:r w:rsidRPr="00033F16" w:rsidR="00A45DCD">
        <w:instrText xml:space="preserve"> REF LengthRemedyIF1 \h </w:instrText>
      </w:r>
      <w:r w:rsidRPr="00033F16" w:rsidR="00A36924">
        <w:instrText xml:space="preserve"> \* MERGEFORMAT </w:instrText>
      </w:r>
      <w:r w:rsidRPr="00033F16" w:rsidR="00A45DCD">
        <w:fldChar w:fldCharType="separate"/>
      </w:r>
      <w:r w:rsidRPr="00033F16" w:rsidR="00033F16">
        <w:rPr>
          <w:noProof/>
        </w:rPr>
        <w:t>40</w:t>
      </w:r>
      <w:r w:rsidRPr="00033F16" w:rsidR="00A45DCD">
        <w:fldChar w:fldCharType="end"/>
      </w:r>
      <w:r w:rsidRPr="00033F16" w:rsidR="00161578">
        <w:t xml:space="preserve"> above), the Supreme Court limited the period under its consideration to two years and five months, which was not considered as excessive.</w:t>
      </w:r>
      <w:r w:rsidRPr="00033F16" w:rsidR="00424136">
        <w:t xml:space="preserve"> It further found that the competent courts had acted expeditiously, the applicant had not contributed to the prolongation and that the proceedings had been complex.</w:t>
      </w:r>
      <w:r w:rsidRPr="00033F16" w:rsidR="00161578">
        <w:t xml:space="preserve"> </w:t>
      </w:r>
      <w:r w:rsidRPr="00033F16">
        <w:t xml:space="preserve">On 24 September 2012 the second-instance panel of the Supreme Court </w:t>
      </w:r>
      <w:r w:rsidRPr="00033F16" w:rsidR="00C033E1">
        <w:t xml:space="preserve">upheld </w:t>
      </w:r>
      <w:r w:rsidRPr="00033F16">
        <w:t>th</w:t>
      </w:r>
      <w:r w:rsidRPr="00033F16" w:rsidR="005F1FF1">
        <w:t>is</w:t>
      </w:r>
      <w:r w:rsidRPr="00033F16">
        <w:t xml:space="preserve"> decision.</w:t>
      </w:r>
    </w:p>
    <w:p w:rsidRPr="00033F16" w:rsidR="00D164BC" w:rsidP="00033F16" w:rsidRDefault="00D164BC">
      <w:pPr>
        <w:pStyle w:val="JuHA"/>
      </w:pPr>
      <w:r w:rsidRPr="00033F16">
        <w:t>Criminal proceedings initiated by the applicant</w:t>
      </w:r>
    </w:p>
    <w:p w:rsidRPr="00033F16" w:rsidR="00D164BC" w:rsidP="00033F16" w:rsidRDefault="004D57F1">
      <w:pPr>
        <w:pStyle w:val="JuPara"/>
      </w:pPr>
      <w:r>
        <w:fldChar w:fldCharType="begin"/>
      </w:r>
      <w:r>
        <w:instrText xml:space="preserve"> S</w:instrText>
      </w:r>
      <w:r>
        <w:instrText xml:space="preserve">EQ level0 \*arabic </w:instrText>
      </w:r>
      <w:r>
        <w:fldChar w:fldCharType="separate"/>
      </w:r>
      <w:r w:rsidRPr="00033F16" w:rsidR="00033F16">
        <w:rPr>
          <w:noProof/>
        </w:rPr>
        <w:t>42</w:t>
      </w:r>
      <w:r>
        <w:rPr>
          <w:noProof/>
        </w:rPr>
        <w:fldChar w:fldCharType="end"/>
      </w:r>
      <w:r w:rsidRPr="00033F16" w:rsidR="00D164BC">
        <w:t>.  In 2003 and 2010 the applicant lodged criminal complaints with the public prosecutor for abuse of office against officials in the Inspectorate and in the municipality. She also lodged a criminal complaint against S.B. The prosecutor dismissed these complaints.</w:t>
      </w:r>
    </w:p>
    <w:p w:rsidRPr="00033F16" w:rsidR="00020485" w:rsidP="00033F16" w:rsidRDefault="0077175D">
      <w:pPr>
        <w:pStyle w:val="JuHIRoman"/>
      </w:pPr>
      <w:r w:rsidRPr="00033F16">
        <w:t>RELEVANT DOMESTIC LAW</w:t>
      </w:r>
    </w:p>
    <w:bookmarkStart w:name="Dom_law1" w:id="24"/>
    <w:p w:rsidRPr="00033F16" w:rsidR="00020485" w:rsidP="00033F16" w:rsidRDefault="00524D31">
      <w:pPr>
        <w:pStyle w:val="JuPara"/>
      </w:pPr>
      <w:r w:rsidRPr="00033F16">
        <w:fldChar w:fldCharType="begin"/>
      </w:r>
      <w:r w:rsidRPr="00033F16">
        <w:instrText xml:space="preserve"> SEQ level0 \*arabic </w:instrText>
      </w:r>
      <w:r w:rsidRPr="00033F16">
        <w:fldChar w:fldCharType="separate"/>
      </w:r>
      <w:r w:rsidRPr="00033F16" w:rsidR="00033F16">
        <w:rPr>
          <w:noProof/>
        </w:rPr>
        <w:t>43</w:t>
      </w:r>
      <w:r w:rsidRPr="00033F16">
        <w:rPr>
          <w:noProof/>
        </w:rPr>
        <w:fldChar w:fldCharType="end"/>
      </w:r>
      <w:bookmarkEnd w:id="24"/>
      <w:r w:rsidRPr="00033F16">
        <w:t>.  Section 3 of the Legalisation of Unlawfully Constructed Buildings Act of 2011 (</w:t>
      </w:r>
      <w:r w:rsidRPr="00033F16">
        <w:rPr>
          <w:i/>
          <w:lang w:val="mk-MK"/>
        </w:rPr>
        <w:t>Закон за постапување со бесправно изградени објекти</w:t>
      </w:r>
      <w:r w:rsidRPr="00033F16">
        <w:rPr>
          <w:lang w:val="mk-MK"/>
        </w:rPr>
        <w:t xml:space="preserve">, </w:t>
      </w:r>
      <w:r w:rsidRPr="00033F16">
        <w:t>Official Gazette nos. 23/2011</w:t>
      </w:r>
      <w:r w:rsidRPr="00033F16" w:rsidR="00C414A8">
        <w:t xml:space="preserve"> with further amendments</w:t>
      </w:r>
      <w:r w:rsidRPr="00033F16">
        <w:t xml:space="preserve">) defines “legalisation of an unlawfully constructed building” as recording of the building in the public registry and including of the building in the urban plan. </w:t>
      </w:r>
      <w:r w:rsidRPr="00033F16" w:rsidR="00005676">
        <w:t xml:space="preserve">In accordance with </w:t>
      </w:r>
      <w:r w:rsidRPr="00033F16">
        <w:t>section 11 of the Act the municipality assesses whether the unlawfully constructed building can be incorporated into the urban plan and issues an approval to this effect.</w:t>
      </w:r>
    </w:p>
    <w:bookmarkStart w:name="sec31" w:id="25"/>
    <w:p w:rsidRPr="00033F16" w:rsidR="00524D31" w:rsidP="00033F16" w:rsidRDefault="00524D31">
      <w:pPr>
        <w:pStyle w:val="JuPara"/>
        <w:rPr>
          <w:lang w:val="mk-MK"/>
        </w:rPr>
      </w:pPr>
      <w:r w:rsidRPr="00033F16">
        <w:fldChar w:fldCharType="begin"/>
      </w:r>
      <w:r w:rsidRPr="00033F16">
        <w:instrText xml:space="preserve"> SEQ level0 \*arabic </w:instrText>
      </w:r>
      <w:r w:rsidRPr="00033F16">
        <w:fldChar w:fldCharType="separate"/>
      </w:r>
      <w:r w:rsidRPr="00033F16" w:rsidR="00033F16">
        <w:rPr>
          <w:noProof/>
        </w:rPr>
        <w:t>44</w:t>
      </w:r>
      <w:r w:rsidRPr="00033F16">
        <w:rPr>
          <w:noProof/>
        </w:rPr>
        <w:fldChar w:fldCharType="end"/>
      </w:r>
      <w:bookmarkEnd w:id="25"/>
      <w:r w:rsidRPr="00033F16">
        <w:t xml:space="preserve">.  Section 31 of the Act provides that all proceedings for demolition of unlawfully constructed buildings as well as all administrative and court proceedings in this </w:t>
      </w:r>
      <w:r w:rsidRPr="00033F16" w:rsidR="00005676">
        <w:t xml:space="preserve">connection </w:t>
      </w:r>
      <w:r w:rsidRPr="00033F16">
        <w:t xml:space="preserve">that began before the entry into force of this Act </w:t>
      </w:r>
      <w:r w:rsidRPr="00033F16" w:rsidR="00D83456">
        <w:t xml:space="preserve">must </w:t>
      </w:r>
      <w:r w:rsidRPr="00033F16">
        <w:t>be stayed (</w:t>
      </w:r>
      <w:r w:rsidRPr="00033F16">
        <w:rPr>
          <w:i/>
          <w:lang w:val="mk-MK"/>
        </w:rPr>
        <w:t>ќе запрат</w:t>
      </w:r>
      <w:r w:rsidRPr="00033F16">
        <w:t>)</w:t>
      </w:r>
      <w:r w:rsidRPr="00033F16">
        <w:rPr>
          <w:lang w:val="mk-MK"/>
        </w:rPr>
        <w:t>.</w:t>
      </w:r>
    </w:p>
    <w:p w:rsidRPr="00033F16" w:rsidR="00D420F3" w:rsidP="00033F16" w:rsidRDefault="0077175D">
      <w:pPr>
        <w:pStyle w:val="JuHHead"/>
      </w:pPr>
      <w:r w:rsidRPr="00033F16">
        <w:t>THE LAW</w:t>
      </w:r>
    </w:p>
    <w:p w:rsidRPr="00033F16" w:rsidR="00771D0F" w:rsidP="00033F16" w:rsidRDefault="0077175D">
      <w:pPr>
        <w:pStyle w:val="JuHIRoman"/>
      </w:pPr>
      <w:r w:rsidRPr="00033F16">
        <w:t xml:space="preserve">ALLEGED VIOLATION OF ARTICLE </w:t>
      </w:r>
      <w:r w:rsidRPr="00033F16" w:rsidR="00524D31">
        <w:t>6</w:t>
      </w:r>
      <w:r w:rsidRPr="00033F16" w:rsidR="005A1184">
        <w:t> </w:t>
      </w:r>
      <w:r w:rsidRPr="00033F16" w:rsidR="005A1184">
        <w:rPr>
          <w:rFonts w:cstheme="majorHAnsi"/>
        </w:rPr>
        <w:t>§ 1</w:t>
      </w:r>
      <w:r w:rsidRPr="00033F16">
        <w:t xml:space="preserve"> OF THE CONVENTION</w:t>
      </w:r>
      <w:r w:rsidRPr="00033F16" w:rsidR="00E022D0">
        <w:t xml:space="preserve"> ON ACCOUNT OF THE LENGTH OF PROCEEDINGS</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45</w:t>
      </w:r>
      <w:r>
        <w:rPr>
          <w:noProof/>
        </w:rPr>
        <w:fldChar w:fldCharType="end"/>
      </w:r>
      <w:r w:rsidRPr="00033F16" w:rsidR="00524D31">
        <w:t xml:space="preserve">.  The applicant complained under Article 6 of the Convention that the length of the following three sets of proceedings had been excessive: (i) the civil proceedings against S.B. for protection against disturbance of possession and subsequent enforcement proceedings (see paragraph </w:t>
      </w:r>
      <w:r w:rsidRPr="00033F16" w:rsidR="00524D31">
        <w:fldChar w:fldCharType="begin"/>
      </w:r>
      <w:r w:rsidRPr="00033F16" w:rsidR="00524D31">
        <w:instrText xml:space="preserve"> REF CivilProceedSB \h </w:instrText>
      </w:r>
      <w:r w:rsidRPr="00033F16" w:rsidR="00A36924">
        <w:instrText xml:space="preserve"> \* MERGEFORMAT </w:instrText>
      </w:r>
      <w:r w:rsidRPr="00033F16" w:rsidR="00524D31">
        <w:fldChar w:fldCharType="separate"/>
      </w:r>
      <w:r w:rsidRPr="00033F16" w:rsidR="00033F16">
        <w:rPr>
          <w:noProof/>
        </w:rPr>
        <w:t>9</w:t>
      </w:r>
      <w:r w:rsidRPr="00033F16" w:rsidR="00524D31">
        <w:fldChar w:fldCharType="end"/>
      </w:r>
      <w:r w:rsidRPr="00033F16" w:rsidR="00524D31">
        <w:t xml:space="preserve"> above); (ii) the administrative proceedings for S.B.</w:t>
      </w:r>
      <w:r w:rsidRPr="00033F16" w:rsidR="00033F16">
        <w:t>’</w:t>
      </w:r>
      <w:r w:rsidRPr="00033F16" w:rsidR="00524D31">
        <w:t xml:space="preserve">s building permit (see paragraph </w:t>
      </w:r>
      <w:r w:rsidRPr="00033F16" w:rsidR="00524D31">
        <w:fldChar w:fldCharType="begin"/>
      </w:r>
      <w:r w:rsidRPr="00033F16" w:rsidR="00524D31">
        <w:instrText xml:space="preserve"> REF AdminProceedSB \h </w:instrText>
      </w:r>
      <w:r w:rsidRPr="00033F16" w:rsidR="00A36924">
        <w:instrText xml:space="preserve"> \* MERGEFORMAT </w:instrText>
      </w:r>
      <w:r w:rsidRPr="00033F16" w:rsidR="00524D31">
        <w:fldChar w:fldCharType="separate"/>
      </w:r>
      <w:r w:rsidRPr="00033F16" w:rsidR="00033F16">
        <w:rPr>
          <w:noProof/>
        </w:rPr>
        <w:t>20</w:t>
      </w:r>
      <w:r w:rsidRPr="00033F16" w:rsidR="00524D31">
        <w:fldChar w:fldCharType="end"/>
      </w:r>
      <w:r w:rsidRPr="00033F16" w:rsidR="00524D31">
        <w:t xml:space="preserve"> above) and (iii) the civil proceedings against I.F., the State and the municipality (see paragraph </w:t>
      </w:r>
      <w:r w:rsidRPr="00033F16" w:rsidR="00524D31">
        <w:fldChar w:fldCharType="begin"/>
      </w:r>
      <w:r w:rsidRPr="00033F16" w:rsidR="00524D31">
        <w:instrText xml:space="preserve"> REF CivilProceedIF \h </w:instrText>
      </w:r>
      <w:r w:rsidRPr="00033F16" w:rsidR="00A36924">
        <w:instrText xml:space="preserve"> \* MERGEFORMAT </w:instrText>
      </w:r>
      <w:r w:rsidRPr="00033F16" w:rsidR="00524D31">
        <w:fldChar w:fldCharType="separate"/>
      </w:r>
      <w:r w:rsidRPr="00033F16" w:rsidR="00033F16">
        <w:rPr>
          <w:noProof/>
        </w:rPr>
        <w:t>35</w:t>
      </w:r>
      <w:r w:rsidRPr="00033F16" w:rsidR="00524D31">
        <w:fldChar w:fldCharType="end"/>
      </w:r>
      <w:r w:rsidRPr="00033F16" w:rsidR="00524D31">
        <w:t xml:space="preserve"> above).</w:t>
      </w:r>
    </w:p>
    <w:p w:rsidRPr="00033F16" w:rsidR="00020485" w:rsidP="00033F16" w:rsidRDefault="004D57F1">
      <w:pPr>
        <w:pStyle w:val="JuPara"/>
        <w:keepNext/>
        <w:keepLines/>
      </w:pPr>
      <w:r>
        <w:fldChar w:fldCharType="begin"/>
      </w:r>
      <w:r>
        <w:instrText xml:space="preserve"> SEQ level0 \*arabic </w:instrText>
      </w:r>
      <w:r>
        <w:fldChar w:fldCharType="separate"/>
      </w:r>
      <w:r w:rsidRPr="00033F16" w:rsidR="00033F16">
        <w:rPr>
          <w:noProof/>
        </w:rPr>
        <w:t>46</w:t>
      </w:r>
      <w:r>
        <w:rPr>
          <w:noProof/>
        </w:rPr>
        <w:fldChar w:fldCharType="end"/>
      </w:r>
      <w:r w:rsidRPr="00033F16" w:rsidR="00524D31">
        <w:t>.  Article 6 of the Convention, in so far as relevant, reads as follows:</w:t>
      </w:r>
    </w:p>
    <w:p w:rsidRPr="00033F16" w:rsidR="00524D31" w:rsidP="00033F16" w:rsidRDefault="00524D31">
      <w:pPr>
        <w:pStyle w:val="JuQuot"/>
        <w:keepNext/>
        <w:keepLines/>
      </w:pPr>
      <w:r w:rsidRPr="00033F16">
        <w:t>“In the determination of his civil rights and obligations ... everyone is entitled to a fair ... hearing within a reasonable time by [a] ... tribunal ...”</w:t>
      </w:r>
    </w:p>
    <w:p w:rsidRPr="00033F16" w:rsidR="00020485" w:rsidP="00033F16" w:rsidRDefault="00524D31">
      <w:pPr>
        <w:pStyle w:val="JuHA"/>
      </w:pPr>
      <w:r w:rsidRPr="00033F16">
        <w:t xml:space="preserve">Complaint </w:t>
      </w:r>
      <w:r w:rsidRPr="00033F16" w:rsidR="001E28E8">
        <w:t xml:space="preserve">concerning </w:t>
      </w:r>
      <w:r w:rsidRPr="00033F16">
        <w:t>the length of the civil proceedings against S.B. for disturbance of possession and subsequent enforcement proceedings</w:t>
      </w:r>
    </w:p>
    <w:p w:rsidRPr="00033F16" w:rsidR="00524D31" w:rsidP="00033F16" w:rsidRDefault="00524D31">
      <w:pPr>
        <w:pStyle w:val="JuH1"/>
      </w:pPr>
      <w:r w:rsidRPr="00033F16">
        <w:t>The parties</w:t>
      </w:r>
      <w:r w:rsidRPr="00033F16" w:rsidR="00033F16">
        <w:t>’</w:t>
      </w:r>
      <w:r w:rsidRPr="00033F16">
        <w:t xml:space="preserve"> arguments</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47</w:t>
      </w:r>
      <w:r>
        <w:rPr>
          <w:noProof/>
        </w:rPr>
        <w:fldChar w:fldCharType="end"/>
      </w:r>
      <w:r w:rsidRPr="00033F16" w:rsidR="00524D31">
        <w:t>.  The Government submitted that the applicant could not claim to have “victim” status since the Supreme Court</w:t>
      </w:r>
      <w:r w:rsidRPr="00033F16" w:rsidR="00033F16">
        <w:t>’</w:t>
      </w:r>
      <w:r w:rsidRPr="00033F16" w:rsidR="00524D31">
        <w:t>s decisions of 12 January and 21 December 2010 in connection with the length remedy ha</w:t>
      </w:r>
      <w:r w:rsidRPr="00033F16" w:rsidR="00721014">
        <w:t>d</w:t>
      </w:r>
      <w:r w:rsidRPr="00033F16" w:rsidR="00524D31">
        <w:t xml:space="preserve"> provided her with sufficient and appropriate redress (see paragraph </w:t>
      </w:r>
      <w:r w:rsidRPr="00033F16" w:rsidR="00524D31">
        <w:fldChar w:fldCharType="begin"/>
      </w:r>
      <w:r w:rsidRPr="00033F16" w:rsidR="00524D31">
        <w:instrText xml:space="preserve"> REF LengthRemedySB \h </w:instrText>
      </w:r>
      <w:r w:rsidRPr="00033F16" w:rsidR="00A36924">
        <w:instrText xml:space="preserve"> \* MERGEFORMAT </w:instrText>
      </w:r>
      <w:r w:rsidRPr="00033F16" w:rsidR="00524D31">
        <w:fldChar w:fldCharType="separate"/>
      </w:r>
      <w:r w:rsidRPr="00033F16" w:rsidR="00033F16">
        <w:rPr>
          <w:noProof/>
        </w:rPr>
        <w:t>18</w:t>
      </w:r>
      <w:r w:rsidRPr="00033F16" w:rsidR="00524D31">
        <w:fldChar w:fldCharType="end"/>
      </w:r>
      <w:r w:rsidRPr="00033F16" w:rsidR="00524D31">
        <w:t xml:space="preserve"> above). They further argued that the applicant had not appealed to the second-instance panel of the Supreme Court. In the alternative, the Government submitted that the applicant had failed to exhaust domestic remedies, since she had not lodged a fresh length-of-proceedings complaint concerning the period after the Supreme Court had found a violation of her right to a hearing within a reasonable time.</w:t>
      </w:r>
    </w:p>
    <w:p w:rsidRPr="00033F16" w:rsidR="00524D31" w:rsidP="00033F16" w:rsidRDefault="004D57F1">
      <w:pPr>
        <w:pStyle w:val="JuPara"/>
      </w:pPr>
      <w:r>
        <w:fldChar w:fldCharType="begin"/>
      </w:r>
      <w:r>
        <w:instrText xml:space="preserve"> SEQ level0 \*arabic </w:instrText>
      </w:r>
      <w:r>
        <w:fldChar w:fldCharType="separate"/>
      </w:r>
      <w:r w:rsidRPr="00033F16" w:rsidR="00033F16">
        <w:rPr>
          <w:noProof/>
        </w:rPr>
        <w:t>48</w:t>
      </w:r>
      <w:r>
        <w:rPr>
          <w:noProof/>
        </w:rPr>
        <w:fldChar w:fldCharType="end"/>
      </w:r>
      <w:r w:rsidRPr="00033F16" w:rsidR="00524D31">
        <w:t>.  The applicant maintained that her application was admissible.</w:t>
      </w:r>
    </w:p>
    <w:p w:rsidRPr="00033F16" w:rsidR="00020485" w:rsidP="00033F16" w:rsidRDefault="00524D31">
      <w:pPr>
        <w:pStyle w:val="JuH1"/>
      </w:pPr>
      <w:r w:rsidRPr="00033F16">
        <w:t>The Court</w:t>
      </w:r>
      <w:r w:rsidRPr="00033F16" w:rsidR="00033F16">
        <w:t>’</w:t>
      </w:r>
      <w:r w:rsidRPr="00033F16">
        <w:t>s assessment</w:t>
      </w:r>
    </w:p>
    <w:p w:rsidRPr="00033F16" w:rsidR="00524D31" w:rsidP="00033F16" w:rsidRDefault="00524D31">
      <w:pPr>
        <w:pStyle w:val="JuHa0"/>
      </w:pPr>
      <w:r w:rsidRPr="00033F16">
        <w:t>Admissibility</w:t>
      </w:r>
    </w:p>
    <w:p w:rsidRPr="00033F16" w:rsidR="00524D31" w:rsidP="00033F16" w:rsidRDefault="00524D31">
      <w:pPr>
        <w:pStyle w:val="JuHi"/>
      </w:pPr>
      <w:r w:rsidRPr="00033F16">
        <w:t>Victim status</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49</w:t>
      </w:r>
      <w:r>
        <w:rPr>
          <w:noProof/>
        </w:rPr>
        <w:fldChar w:fldCharType="end"/>
      </w:r>
      <w:r w:rsidRPr="00033F16" w:rsidR="00524D31">
        <w:t xml:space="preserve">.  The Court notes that for a period of six years and six months of the enforcement proceedings, just satisfaction </w:t>
      </w:r>
      <w:r w:rsidRPr="00033F16" w:rsidR="001656F3">
        <w:t xml:space="preserve">was </w:t>
      </w:r>
      <w:r w:rsidRPr="00033F16" w:rsidR="00524D31">
        <w:t>awarded at the domestic level in the total amount of MKD 60,000</w:t>
      </w:r>
      <w:r w:rsidRPr="00033F16" w:rsidR="001E28E8">
        <w:t xml:space="preserve"> (</w:t>
      </w:r>
      <w:r w:rsidRPr="00033F16" w:rsidR="00524D31">
        <w:t>equivalent to approximately EUR 970</w:t>
      </w:r>
      <w:r w:rsidRPr="00033F16" w:rsidR="001E28E8">
        <w:t>)</w:t>
      </w:r>
      <w:r w:rsidRPr="00033F16" w:rsidR="00524D31">
        <w:t xml:space="preserve">. It does not correspond to what the Court would have been likely to award under Article 41 of the Convention in respect of the same period. Furthermore, </w:t>
      </w:r>
      <w:r w:rsidRPr="00033F16" w:rsidR="009720FA">
        <w:t xml:space="preserve">the domestic courts </w:t>
      </w:r>
      <w:r w:rsidRPr="00033F16" w:rsidR="00962CC2">
        <w:t>did not</w:t>
      </w:r>
      <w:r w:rsidRPr="00033F16" w:rsidR="009720FA">
        <w:t xml:space="preserve"> comply with the time-limit set by the Supreme Court </w:t>
      </w:r>
      <w:r w:rsidRPr="00033F16" w:rsidR="00C71799">
        <w:t xml:space="preserve">(see paragraphs </w:t>
      </w:r>
      <w:r w:rsidRPr="00033F16" w:rsidR="00C71799">
        <w:fldChar w:fldCharType="begin"/>
      </w:r>
      <w:r w:rsidRPr="00033F16" w:rsidR="00C71799">
        <w:instrText xml:space="preserve"> REF SB_enf \h </w:instrText>
      </w:r>
      <w:r w:rsidRPr="00033F16" w:rsidR="00A36924">
        <w:instrText xml:space="preserve"> \* MERGEFORMAT </w:instrText>
      </w:r>
      <w:r w:rsidRPr="00033F16" w:rsidR="00C71799">
        <w:fldChar w:fldCharType="separate"/>
      </w:r>
      <w:r w:rsidRPr="00033F16" w:rsidR="00033F16">
        <w:rPr>
          <w:noProof/>
        </w:rPr>
        <w:t>16</w:t>
      </w:r>
      <w:r w:rsidRPr="00033F16" w:rsidR="00C71799">
        <w:fldChar w:fldCharType="end"/>
      </w:r>
      <w:r w:rsidRPr="00033F16" w:rsidR="009720FA">
        <w:t xml:space="preserve">, </w:t>
      </w:r>
      <w:r w:rsidRPr="00033F16" w:rsidR="00C71799">
        <w:fldChar w:fldCharType="begin"/>
      </w:r>
      <w:r w:rsidRPr="00033F16" w:rsidR="00C71799">
        <w:instrText xml:space="preserve"> REF EnforcementWidr \h </w:instrText>
      </w:r>
      <w:r w:rsidRPr="00033F16" w:rsidR="00A36924">
        <w:instrText xml:space="preserve"> \* MERGEFORMAT </w:instrText>
      </w:r>
      <w:r w:rsidRPr="00033F16" w:rsidR="00C71799">
        <w:fldChar w:fldCharType="separate"/>
      </w:r>
      <w:r w:rsidRPr="00033F16" w:rsidR="00033F16">
        <w:rPr>
          <w:noProof/>
        </w:rPr>
        <w:t>17</w:t>
      </w:r>
      <w:r w:rsidRPr="00033F16" w:rsidR="00C71799">
        <w:fldChar w:fldCharType="end"/>
      </w:r>
      <w:r w:rsidRPr="00033F16" w:rsidR="009720FA">
        <w:t xml:space="preserve"> and </w:t>
      </w:r>
      <w:r w:rsidRPr="00033F16" w:rsidR="009720FA">
        <w:fldChar w:fldCharType="begin"/>
      </w:r>
      <w:r w:rsidRPr="00033F16" w:rsidR="009720FA">
        <w:instrText xml:space="preserve"> REF LengthRemedySB \h </w:instrText>
      </w:r>
      <w:r w:rsidRPr="00033F16" w:rsidR="00A36924">
        <w:instrText xml:space="preserve"> \* MERGEFORMAT </w:instrText>
      </w:r>
      <w:r w:rsidRPr="00033F16" w:rsidR="009720FA">
        <w:fldChar w:fldCharType="separate"/>
      </w:r>
      <w:r w:rsidRPr="00033F16" w:rsidR="00033F16">
        <w:rPr>
          <w:noProof/>
        </w:rPr>
        <w:t>18</w:t>
      </w:r>
      <w:r w:rsidRPr="00033F16" w:rsidR="009720FA">
        <w:fldChar w:fldCharType="end"/>
      </w:r>
      <w:r w:rsidRPr="00033F16" w:rsidR="00C71799">
        <w:t xml:space="preserve"> above)</w:t>
      </w:r>
      <w:r w:rsidRPr="00033F16" w:rsidR="00524D31">
        <w:t>.</w:t>
      </w:r>
    </w:p>
    <w:bookmarkStart w:name="VictimLength" w:id="26"/>
    <w:p w:rsidRPr="00033F16" w:rsidR="00020485" w:rsidP="00033F16" w:rsidRDefault="00524D31">
      <w:pPr>
        <w:pStyle w:val="JuPara"/>
      </w:pPr>
      <w:r w:rsidRPr="00033F16">
        <w:fldChar w:fldCharType="begin"/>
      </w:r>
      <w:r w:rsidRPr="00033F16">
        <w:instrText xml:space="preserve"> SEQ level0 \*arabic </w:instrText>
      </w:r>
      <w:r w:rsidRPr="00033F16">
        <w:fldChar w:fldCharType="separate"/>
      </w:r>
      <w:r w:rsidRPr="00033F16" w:rsidR="00033F16">
        <w:rPr>
          <w:noProof/>
        </w:rPr>
        <w:t>50</w:t>
      </w:r>
      <w:r w:rsidRPr="00033F16">
        <w:fldChar w:fldCharType="end"/>
      </w:r>
      <w:bookmarkEnd w:id="26"/>
      <w:r w:rsidRPr="00033F16">
        <w:t>.  Thus the compensation awarded cannot be regarded as adequate in the circumstances of the case (see the principles established in the Court</w:t>
      </w:r>
      <w:r w:rsidRPr="00033F16" w:rsidR="00033F16">
        <w:t>’</w:t>
      </w:r>
      <w:r w:rsidRPr="00033F16">
        <w:t xml:space="preserve">s case-law in </w:t>
      </w:r>
      <w:r w:rsidRPr="00033F16">
        <w:rPr>
          <w:i/>
        </w:rPr>
        <w:t>Cocchiarella v. Italy</w:t>
      </w:r>
      <w:r w:rsidRPr="00033F16">
        <w:t xml:space="preserve"> [GC], no. 64886/01, §§ 65-107</w:t>
      </w:r>
      <w:r w:rsidRPr="00033F16" w:rsidR="001656F3">
        <w:t>,</w:t>
      </w:r>
      <w:r w:rsidRPr="00033F16">
        <w:t xml:space="preserve"> and </w:t>
      </w:r>
      <w:r w:rsidRPr="00033F16">
        <w:rPr>
          <w:i/>
          <w:lang w:val="it-IT"/>
        </w:rPr>
        <w:t xml:space="preserve">Scordino v. Italy (no. 1) </w:t>
      </w:r>
      <w:r w:rsidRPr="00033F16">
        <w:rPr>
          <w:lang w:val="it-IT"/>
        </w:rPr>
        <w:t>[GC], no. 36813/97, §</w:t>
      </w:r>
      <w:r w:rsidRPr="00033F16" w:rsidR="0043014C">
        <w:rPr>
          <w:lang w:val="it-IT"/>
        </w:rPr>
        <w:t>§</w:t>
      </w:r>
      <w:r w:rsidRPr="00033F16">
        <w:rPr>
          <w:lang w:val="it-IT"/>
        </w:rPr>
        <w:t xml:space="preserve"> 178-213, ECHR 2006</w:t>
      </w:r>
      <w:r w:rsidRPr="00033F16">
        <w:rPr>
          <w:lang w:val="it-IT"/>
        </w:rPr>
        <w:noBreakHyphen/>
        <w:t xml:space="preserve">V). </w:t>
      </w:r>
      <w:r w:rsidRPr="00033F16">
        <w:t>In these circumstances the applicant has not lost her status as a victim within the meaning of Article 34 of the Convention.</w:t>
      </w:r>
    </w:p>
    <w:p w:rsidRPr="00033F16" w:rsidR="00524D31" w:rsidP="00033F16" w:rsidRDefault="00524D31">
      <w:pPr>
        <w:pStyle w:val="JuHi"/>
      </w:pPr>
      <w:r w:rsidRPr="00033F16">
        <w:t>Non-exhaustion of domestic remedies</w:t>
      </w:r>
    </w:p>
    <w:bookmarkStart w:name="NEXLength" w:id="27"/>
    <w:p w:rsidRPr="00033F16" w:rsidR="00020485" w:rsidP="00033F16" w:rsidRDefault="00524D31">
      <w:pPr>
        <w:pStyle w:val="JuPara"/>
      </w:pPr>
      <w:r w:rsidRPr="00033F16">
        <w:fldChar w:fldCharType="begin"/>
      </w:r>
      <w:r w:rsidRPr="00033F16">
        <w:instrText xml:space="preserve"> SEQ level0 \*arabic </w:instrText>
      </w:r>
      <w:r w:rsidRPr="00033F16">
        <w:fldChar w:fldCharType="separate"/>
      </w:r>
      <w:r w:rsidRPr="00033F16" w:rsidR="00033F16">
        <w:rPr>
          <w:noProof/>
        </w:rPr>
        <w:t>51</w:t>
      </w:r>
      <w:r w:rsidRPr="00033F16">
        <w:fldChar w:fldCharType="end"/>
      </w:r>
      <w:bookmarkEnd w:id="27"/>
      <w:r w:rsidRPr="00033F16">
        <w:t>.  In so far as the Government</w:t>
      </w:r>
      <w:r w:rsidRPr="00033F16" w:rsidR="00033F16">
        <w:t>’</w:t>
      </w:r>
      <w:r w:rsidRPr="00033F16">
        <w:t xml:space="preserve">s argument that the applicant failed to lodge an appeal </w:t>
      </w:r>
      <w:r w:rsidRPr="00033F16" w:rsidR="000E46E8">
        <w:t xml:space="preserve">with </w:t>
      </w:r>
      <w:r w:rsidRPr="00033F16">
        <w:t xml:space="preserve">the second-instance panel of the Supreme Court can be interpreted as </w:t>
      </w:r>
      <w:r w:rsidRPr="00033F16" w:rsidR="000E46E8">
        <w:t xml:space="preserve">a </w:t>
      </w:r>
      <w:r w:rsidRPr="00033F16">
        <w:t xml:space="preserve">non-exhaustion plea, the Court </w:t>
      </w:r>
      <w:r w:rsidRPr="00033F16" w:rsidR="00A66900">
        <w:t xml:space="preserve">reiterates </w:t>
      </w:r>
      <w:r w:rsidRPr="00033F16" w:rsidR="00AD3E80">
        <w:t>that as of 3 </w:t>
      </w:r>
      <w:r w:rsidRPr="00033F16">
        <w:t xml:space="preserve">November 2011 the length remedy provided for by the Courts Act of 2008 </w:t>
      </w:r>
      <w:r w:rsidRPr="00033F16" w:rsidR="000E46E8">
        <w:t xml:space="preserve">has been </w:t>
      </w:r>
      <w:r w:rsidRPr="00033F16">
        <w:t xml:space="preserve">considered an effective remedy in respect of the length of proceedings in the respondent State (see </w:t>
      </w:r>
      <w:r w:rsidRPr="00033F16" w:rsidR="00FB0944">
        <w:rPr>
          <w:i/>
        </w:rPr>
        <w:t>Adži-Spirkoska and O</w:t>
      </w:r>
      <w:r w:rsidRPr="00033F16">
        <w:rPr>
          <w:i/>
        </w:rPr>
        <w:t>ther</w:t>
      </w:r>
      <w:r w:rsidRPr="00033F16" w:rsidR="00A36924">
        <w:rPr>
          <w:i/>
        </w:rPr>
        <w:t>s v. the </w:t>
      </w:r>
      <w:r w:rsidRPr="00033F16">
        <w:rPr>
          <w:i/>
        </w:rPr>
        <w:t>former Yugoslav Republic of Macedonia</w:t>
      </w:r>
      <w:r w:rsidRPr="00033F16" w:rsidR="00A36924">
        <w:t xml:space="preserve"> (dec.), nos. 38914/05 and </w:t>
      </w:r>
      <w:r w:rsidRPr="00033F16">
        <w:t xml:space="preserve">17879/05, 3 November 2011). Therefore, at the time the applicant used the length remedy in 2010 it was not considered yet as effective and the applicant was not required to use it (see </w:t>
      </w:r>
      <w:r w:rsidRPr="00033F16" w:rsidR="00A36924">
        <w:rPr>
          <w:i/>
        </w:rPr>
        <w:t>Ogražden Ad and Others v. the </w:t>
      </w:r>
      <w:r w:rsidRPr="00033F16">
        <w:rPr>
          <w:i/>
        </w:rPr>
        <w:t>former Yugoslav Republic of Macedonia</w:t>
      </w:r>
      <w:r w:rsidRPr="00033F16">
        <w:t xml:space="preserve">, nos. 35630/04, and </w:t>
      </w:r>
      <w:r w:rsidRPr="00033F16" w:rsidR="00FB0944">
        <w:t>2 others</w:t>
      </w:r>
      <w:r w:rsidRPr="00033F16">
        <w:t>, § 17, 29 May 2012). The Government</w:t>
      </w:r>
      <w:r w:rsidRPr="00033F16" w:rsidR="00033F16">
        <w:t>’</w:t>
      </w:r>
      <w:r w:rsidRPr="00033F16">
        <w:t>s objection must therefore be rejected.</w:t>
      </w:r>
    </w:p>
    <w:p w:rsidRPr="00033F16" w:rsidR="00020485" w:rsidP="00033F16" w:rsidRDefault="004D57F1">
      <w:pPr>
        <w:pStyle w:val="JuPara"/>
        <w:rPr>
          <w:snapToGrid w:val="0"/>
        </w:rPr>
      </w:pPr>
      <w:r>
        <w:fldChar w:fldCharType="begin"/>
      </w:r>
      <w:r>
        <w:instrText xml:space="preserve"> SEQ level0 \*arabic </w:instrText>
      </w:r>
      <w:r>
        <w:fldChar w:fldCharType="separate"/>
      </w:r>
      <w:r w:rsidRPr="00033F16" w:rsidR="00033F16">
        <w:rPr>
          <w:noProof/>
        </w:rPr>
        <w:t>52</w:t>
      </w:r>
      <w:r>
        <w:rPr>
          <w:noProof/>
        </w:rPr>
        <w:fldChar w:fldCharType="end"/>
      </w:r>
      <w:r w:rsidRPr="00033F16" w:rsidR="00524D31">
        <w:t>.  With regard to the Government</w:t>
      </w:r>
      <w:r w:rsidRPr="00033F16" w:rsidR="00033F16">
        <w:t>’</w:t>
      </w:r>
      <w:r w:rsidRPr="00033F16" w:rsidR="00524D31">
        <w:t xml:space="preserve">s argument that the applicant should have lodged a fresh length remedy for the remaining period, after the last decision of the Supreme Court, the Court considers, in view of its findings (see paragraph </w:t>
      </w:r>
      <w:r w:rsidRPr="00033F16" w:rsidR="00524D31">
        <w:fldChar w:fldCharType="begin"/>
      </w:r>
      <w:r w:rsidRPr="00033F16" w:rsidR="00524D31">
        <w:instrText xml:space="preserve"> REF VictimLength \h </w:instrText>
      </w:r>
      <w:r w:rsidRPr="00033F16" w:rsidR="00A36924">
        <w:instrText xml:space="preserve"> \* MERGEFORMAT </w:instrText>
      </w:r>
      <w:r w:rsidRPr="00033F16" w:rsidR="00524D31">
        <w:fldChar w:fldCharType="separate"/>
      </w:r>
      <w:r w:rsidRPr="00033F16" w:rsidR="00033F16">
        <w:rPr>
          <w:noProof/>
        </w:rPr>
        <w:t>50</w:t>
      </w:r>
      <w:r w:rsidRPr="00033F16" w:rsidR="00524D31">
        <w:fldChar w:fldCharType="end"/>
      </w:r>
      <w:r w:rsidRPr="00033F16" w:rsidR="00524D31">
        <w:t xml:space="preserve"> </w:t>
      </w:r>
      <w:r w:rsidRPr="00033F16" w:rsidR="00621994">
        <w:t>above</w:t>
      </w:r>
      <w:r w:rsidRPr="00033F16" w:rsidR="00524D31">
        <w:t xml:space="preserve">) that the applicant was not required to use another length remedy (see </w:t>
      </w:r>
      <w:r w:rsidRPr="00033F16" w:rsidR="00524D31">
        <w:rPr>
          <w:i/>
        </w:rPr>
        <w:t>V.K. v. Croatia</w:t>
      </w:r>
      <w:r w:rsidRPr="00033F16" w:rsidR="00524D31">
        <w:t>, no. 38380/08</w:t>
      </w:r>
      <w:r w:rsidRPr="00033F16" w:rsidR="00A36924">
        <w:rPr>
          <w:snapToGrid w:val="0"/>
        </w:rPr>
        <w:t xml:space="preserve">, §§ 71-73, 27 November </w:t>
      </w:r>
      <w:r w:rsidRPr="00033F16" w:rsidR="00524D31">
        <w:rPr>
          <w:snapToGrid w:val="0"/>
        </w:rPr>
        <w:t>2012).</w:t>
      </w:r>
      <w:r w:rsidRPr="00033F16" w:rsidR="00524D31">
        <w:t xml:space="preserve"> The objection should thus be rejected</w:t>
      </w:r>
      <w:r w:rsidRPr="00033F16" w:rsidR="00524D31">
        <w:rPr>
          <w:snapToGrid w:val="0"/>
        </w:rPr>
        <w:t>.</w:t>
      </w:r>
    </w:p>
    <w:p w:rsidRPr="00033F16" w:rsidR="00524D31" w:rsidP="00033F16" w:rsidRDefault="00524D31">
      <w:pPr>
        <w:pStyle w:val="JuHi"/>
      </w:pPr>
      <w:r w:rsidRPr="00033F16">
        <w:t>Conclusion</w:t>
      </w:r>
    </w:p>
    <w:p w:rsidRPr="00033F16" w:rsidR="00524D31" w:rsidP="00033F16" w:rsidRDefault="004D57F1">
      <w:pPr>
        <w:pStyle w:val="JuPara"/>
      </w:pPr>
      <w:r>
        <w:fldChar w:fldCharType="begin"/>
      </w:r>
      <w:r>
        <w:instrText xml:space="preserve"> SEQ level0 \*arabic </w:instrText>
      </w:r>
      <w:r>
        <w:fldChar w:fldCharType="separate"/>
      </w:r>
      <w:r w:rsidRPr="00033F16" w:rsidR="00033F16">
        <w:rPr>
          <w:noProof/>
        </w:rPr>
        <w:t>53</w:t>
      </w:r>
      <w:r>
        <w:rPr>
          <w:noProof/>
        </w:rPr>
        <w:fldChar w:fldCharType="end"/>
      </w:r>
      <w:r w:rsidRPr="00033F16" w:rsidR="00524D31">
        <w:t xml:space="preserve">.  The Court further notes that this </w:t>
      </w:r>
      <w:r w:rsidRPr="00033F16" w:rsidR="00FE44AD">
        <w:t>complaint is not manifestly ill</w:t>
      </w:r>
      <w:r w:rsidRPr="00033F16" w:rsidR="00FE44AD">
        <w:noBreakHyphen/>
      </w:r>
      <w:r w:rsidRPr="00033F16" w:rsidR="00524D31">
        <w:t>founded within the meaning of Article 35 </w:t>
      </w:r>
      <w:r w:rsidRPr="00033F16" w:rsidR="00524D31">
        <w:rPr>
          <w:rFonts w:cstheme="minorHAnsi"/>
        </w:rPr>
        <w:t>§</w:t>
      </w:r>
      <w:r w:rsidRPr="00033F16" w:rsidR="00524D31">
        <w:t> 3 (a) of the Convention. It also notes that it is not inadmissible on any other grounds. It must therefore be declared admissible.</w:t>
      </w:r>
    </w:p>
    <w:p w:rsidRPr="00033F16" w:rsidR="00524D31" w:rsidP="00033F16" w:rsidRDefault="00524D31">
      <w:pPr>
        <w:pStyle w:val="JuHa0"/>
      </w:pPr>
      <w:r w:rsidRPr="00033F16">
        <w:t>Merits</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54</w:t>
      </w:r>
      <w:r>
        <w:rPr>
          <w:noProof/>
        </w:rPr>
        <w:fldChar w:fldCharType="end"/>
      </w:r>
      <w:r w:rsidRPr="00033F16" w:rsidR="00524D31">
        <w:t xml:space="preserve">.  The Court observes for that, for the purposes of Article 6 § 1 of the Convention, in cases such as the present one where </w:t>
      </w:r>
      <w:r w:rsidRPr="00033F16" w:rsidR="004B09A2">
        <w:t xml:space="preserve">a </w:t>
      </w:r>
      <w:r w:rsidRPr="00033F16" w:rsidR="00524D31">
        <w:t xml:space="preserve">party to civil proceedings has to institute enforcement proceedings in order to satisfy his or her judicially-determined claim, those proceedings must be regarded as a </w:t>
      </w:r>
      <w:r w:rsidRPr="00033F16" w:rsidR="000E46E8">
        <w:t xml:space="preserve">the </w:t>
      </w:r>
      <w:r w:rsidRPr="00033F16" w:rsidR="00524D31">
        <w:t xml:space="preserve">second stage of proceedings on the merits and, consequently, an integral part of the original proceedings (see </w:t>
      </w:r>
      <w:r w:rsidRPr="00033F16" w:rsidR="00524D31">
        <w:rPr>
          <w:i/>
        </w:rPr>
        <w:t>Hałka and Others v. Poland</w:t>
      </w:r>
      <w:r w:rsidRPr="00033F16" w:rsidR="005D6206">
        <w:t>, no. </w:t>
      </w:r>
      <w:r w:rsidRPr="00033F16" w:rsidR="00524D31">
        <w:t>71891/01, § 20, 2 July 2002</w:t>
      </w:r>
      <w:r w:rsidRPr="00033F16" w:rsidR="004B09A2">
        <w:t>,</w:t>
      </w:r>
      <w:r w:rsidRPr="00033F16" w:rsidR="00524D31">
        <w:t xml:space="preserve"> and </w:t>
      </w:r>
      <w:r w:rsidRPr="00033F16" w:rsidR="00524D31">
        <w:rPr>
          <w:i/>
        </w:rPr>
        <w:t>Wende and Kukówka v. Poland</w:t>
      </w:r>
      <w:r w:rsidRPr="00033F16" w:rsidR="005D6206">
        <w:t>, no.  </w:t>
      </w:r>
      <w:r w:rsidRPr="00033F16" w:rsidR="00524D31">
        <w:t>56026/00, § 61, 10 May 2007).</w:t>
      </w:r>
    </w:p>
    <w:bookmarkStart w:name="GenPrincipLeng" w:id="28"/>
    <w:p w:rsidRPr="00033F16" w:rsidR="00524D31" w:rsidP="00033F16" w:rsidRDefault="00524D31">
      <w:pPr>
        <w:pStyle w:val="JuPara"/>
        <w:rPr>
          <w:snapToGrid w:val="0"/>
        </w:rPr>
      </w:pPr>
      <w:r w:rsidRPr="00033F16">
        <w:fldChar w:fldCharType="begin"/>
      </w:r>
      <w:r w:rsidRPr="00033F16">
        <w:instrText xml:space="preserve"> SEQ level0 \*arabic </w:instrText>
      </w:r>
      <w:r w:rsidRPr="00033F16">
        <w:fldChar w:fldCharType="separate"/>
      </w:r>
      <w:r w:rsidRPr="00033F16" w:rsidR="00033F16">
        <w:rPr>
          <w:noProof/>
        </w:rPr>
        <w:t>55</w:t>
      </w:r>
      <w:r w:rsidRPr="00033F16">
        <w:fldChar w:fldCharType="end"/>
      </w:r>
      <w:bookmarkEnd w:id="28"/>
      <w:r w:rsidRPr="00033F16">
        <w:t xml:space="preserve">.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r w:rsidRPr="00033F16">
        <w:rPr>
          <w:i/>
          <w:lang w:val="pt-PT"/>
        </w:rPr>
        <w:t>Frydlender v. France</w:t>
      </w:r>
      <w:r w:rsidRPr="00033F16">
        <w:rPr>
          <w:lang w:val="pt-PT"/>
        </w:rPr>
        <w:t xml:space="preserve"> [GC], no. 30979/96, § 43, ECHR 2000</w:t>
      </w:r>
      <w:r w:rsidRPr="00033F16">
        <w:rPr>
          <w:lang w:val="pt-PT"/>
        </w:rPr>
        <w:noBreakHyphen/>
        <w:t>VII)</w:t>
      </w:r>
      <w:r w:rsidRPr="00033F16">
        <w:rPr>
          <w:snapToGrid w:val="0"/>
        </w:rPr>
        <w:t>.</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56</w:t>
      </w:r>
      <w:r>
        <w:rPr>
          <w:noProof/>
        </w:rPr>
        <w:fldChar w:fldCharType="end"/>
      </w:r>
      <w:r w:rsidRPr="00033F16" w:rsidR="00524D31">
        <w:t>.  The period to be taken into consideration began on 15 July 2002 when the applicant lodged a claim against S.B. for disturbance of possession. The proceedings on the meri</w:t>
      </w:r>
      <w:r w:rsidRPr="00033F16" w:rsidR="00A36924">
        <w:t xml:space="preserve">ts came to an end on 4 February </w:t>
      </w:r>
      <w:r w:rsidRPr="00033F16" w:rsidR="00524D31">
        <w:t xml:space="preserve">2004 when the judgment of the Skopje Court of Appeal was delivered. The applicant initiated enforcement proceedings on </w:t>
      </w:r>
      <w:r w:rsidRPr="00033F16" w:rsidR="00A36924">
        <w:t>10 March 2004. On 14 </w:t>
      </w:r>
      <w:r w:rsidRPr="00033F16" w:rsidR="00524D31">
        <w:t>December 2012 the Gostivar Cour</w:t>
      </w:r>
      <w:r w:rsidRPr="00033F16" w:rsidR="00A36924">
        <w:t>t of Appeal confirmed the first</w:t>
      </w:r>
      <w:r w:rsidRPr="00033F16" w:rsidR="00A36924">
        <w:noBreakHyphen/>
      </w:r>
      <w:r w:rsidRPr="00033F16" w:rsidR="00524D31">
        <w:t>instance decision</w:t>
      </w:r>
      <w:r w:rsidRPr="00033F16" w:rsidR="005D5FE4">
        <w:t>,</w:t>
      </w:r>
      <w:r w:rsidRPr="00033F16" w:rsidR="00524D31">
        <w:t xml:space="preserve"> declaring the enforcement request withdrawn. Accordingly, the length of the proceedings to be considered is ten years and five months.</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57</w:t>
      </w:r>
      <w:r>
        <w:rPr>
          <w:noProof/>
        </w:rPr>
        <w:fldChar w:fldCharType="end"/>
      </w:r>
      <w:r w:rsidRPr="00033F16" w:rsidR="00524D31">
        <w:t>.  The Court has no reason to call into question the Supreme Court</w:t>
      </w:r>
      <w:r w:rsidRPr="00033F16" w:rsidR="00033F16">
        <w:t>’</w:t>
      </w:r>
      <w:r w:rsidRPr="00033F16" w:rsidR="00524D31">
        <w:t xml:space="preserve">s findings that for the period which was susceptible to its scrutiny, the length of the proceedings had been excessive and </w:t>
      </w:r>
      <w:r w:rsidRPr="00033F16" w:rsidR="000E46E8">
        <w:t xml:space="preserve">had </w:t>
      </w:r>
      <w:r w:rsidRPr="00033F16" w:rsidR="00524D31">
        <w:t>failed to meet the “reasonable time” requirement. It necessarily retained that character throughout the subsequent period after the delivery of the last Supreme Cour</w:t>
      </w:r>
      <w:r w:rsidRPr="00033F16" w:rsidR="000E46E8">
        <w:t>t</w:t>
      </w:r>
      <w:r w:rsidRPr="00033F16" w:rsidR="00524D31">
        <w:t xml:space="preserve"> decision (see </w:t>
      </w:r>
      <w:r w:rsidRPr="00033F16" w:rsidR="00524D31">
        <w:rPr>
          <w:i/>
        </w:rPr>
        <w:t xml:space="preserve">Ogražden Ad and Others, </w:t>
      </w:r>
      <w:r w:rsidRPr="00033F16" w:rsidR="00524D31">
        <w:t xml:space="preserve">cited above, </w:t>
      </w:r>
      <w:r w:rsidRPr="00033F16" w:rsidR="00524D31">
        <w:rPr>
          <w:rFonts w:cstheme="minorHAnsi"/>
        </w:rPr>
        <w:t>§</w:t>
      </w:r>
      <w:r w:rsidRPr="00033F16" w:rsidR="00524D31">
        <w:t> 22).</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58</w:t>
      </w:r>
      <w:r>
        <w:rPr>
          <w:noProof/>
        </w:rPr>
        <w:fldChar w:fldCharType="end"/>
      </w:r>
      <w:r w:rsidRPr="00033F16" w:rsidR="00524D31">
        <w:t>.  In light of the foregoing, the Court considers that there has</w:t>
      </w:r>
      <w:r w:rsidRPr="00033F16" w:rsidR="00B26418">
        <w:t xml:space="preserve"> </w:t>
      </w:r>
      <w:r w:rsidRPr="00033F16" w:rsidR="00524D31">
        <w:t>been a violation of Article 6 </w:t>
      </w:r>
      <w:r w:rsidRPr="00033F16" w:rsidR="00524D31">
        <w:rPr>
          <w:rFonts w:cstheme="minorHAnsi"/>
        </w:rPr>
        <w:t>§</w:t>
      </w:r>
      <w:r w:rsidRPr="00033F16" w:rsidR="00524D31">
        <w:t> 1 of the Convention.</w:t>
      </w:r>
    </w:p>
    <w:p w:rsidRPr="00033F16" w:rsidR="00020485" w:rsidP="00033F16" w:rsidRDefault="00524D31">
      <w:pPr>
        <w:pStyle w:val="JuHA"/>
      </w:pPr>
      <w:r w:rsidRPr="00033F16">
        <w:t xml:space="preserve">Complaint </w:t>
      </w:r>
      <w:r w:rsidRPr="00033F16" w:rsidR="00965F2A">
        <w:t xml:space="preserve">concerning </w:t>
      </w:r>
      <w:r w:rsidRPr="00033F16">
        <w:t>the length of the administrative proceedings concerning S.B.</w:t>
      </w:r>
      <w:r w:rsidRPr="00033F16" w:rsidR="00033F16">
        <w:t>’</w:t>
      </w:r>
      <w:r w:rsidRPr="00033F16">
        <w:t>s building permit</w:t>
      </w:r>
    </w:p>
    <w:p w:rsidRPr="00033F16" w:rsidR="00524D31" w:rsidP="00033F16" w:rsidRDefault="00524D31">
      <w:pPr>
        <w:pStyle w:val="JuH1"/>
      </w:pPr>
      <w:r w:rsidRPr="00033F16">
        <w:t>The parties</w:t>
      </w:r>
      <w:r w:rsidRPr="00033F16" w:rsidR="00033F16">
        <w:t>’</w:t>
      </w:r>
      <w:r w:rsidRPr="00033F16">
        <w:t xml:space="preserve"> arguments</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59</w:t>
      </w:r>
      <w:r>
        <w:rPr>
          <w:noProof/>
        </w:rPr>
        <w:fldChar w:fldCharType="end"/>
      </w:r>
      <w:r w:rsidRPr="00033F16" w:rsidR="00524D31">
        <w:t>.  The applicant complained under Article 6 of the Convention that the length of the administrative proceedings concerning S.B.</w:t>
      </w:r>
      <w:r w:rsidRPr="00033F16" w:rsidR="00033F16">
        <w:t>’</w:t>
      </w:r>
      <w:r w:rsidRPr="00033F16" w:rsidR="00524D31">
        <w:t xml:space="preserve">s building permit, in which she </w:t>
      </w:r>
      <w:r w:rsidRPr="00033F16" w:rsidR="00B9636B">
        <w:t xml:space="preserve">had been </w:t>
      </w:r>
      <w:r w:rsidRPr="00033F16" w:rsidR="00524D31">
        <w:t xml:space="preserve">an intervening party (see paragraph </w:t>
      </w:r>
      <w:r w:rsidRPr="00033F16" w:rsidR="00524D31">
        <w:fldChar w:fldCharType="begin"/>
      </w:r>
      <w:r w:rsidRPr="00033F16" w:rsidR="00524D31">
        <w:instrText xml:space="preserve"> REF AdminProceedSB \h </w:instrText>
      </w:r>
      <w:r w:rsidRPr="00033F16" w:rsidR="00A36924">
        <w:instrText xml:space="preserve"> \* MERGEFORMAT </w:instrText>
      </w:r>
      <w:r w:rsidRPr="00033F16" w:rsidR="00524D31">
        <w:fldChar w:fldCharType="separate"/>
      </w:r>
      <w:r w:rsidRPr="00033F16" w:rsidR="00033F16">
        <w:rPr>
          <w:noProof/>
        </w:rPr>
        <w:t>20</w:t>
      </w:r>
      <w:r w:rsidRPr="00033F16" w:rsidR="00524D31">
        <w:fldChar w:fldCharType="end"/>
      </w:r>
      <w:r w:rsidRPr="00033F16" w:rsidR="00524D31">
        <w:t xml:space="preserve"> above) had been excessive.</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60</w:t>
      </w:r>
      <w:r>
        <w:rPr>
          <w:noProof/>
        </w:rPr>
        <w:fldChar w:fldCharType="end"/>
      </w:r>
      <w:r w:rsidRPr="00033F16" w:rsidR="00524D31">
        <w:t>.  The Government did not make any observations regarding this complaint.</w:t>
      </w:r>
    </w:p>
    <w:p w:rsidRPr="00033F16" w:rsidR="00020485" w:rsidP="00033F16" w:rsidRDefault="00524D31">
      <w:pPr>
        <w:pStyle w:val="JuH1"/>
      </w:pPr>
      <w:r w:rsidRPr="00033F16">
        <w:t>The Court</w:t>
      </w:r>
      <w:r w:rsidRPr="00033F16" w:rsidR="00033F16">
        <w:t>’</w:t>
      </w:r>
      <w:r w:rsidRPr="00033F16">
        <w:t>s assessment</w:t>
      </w:r>
    </w:p>
    <w:p w:rsidRPr="00033F16" w:rsidR="00E022D0" w:rsidP="00033F16" w:rsidRDefault="00E022D0">
      <w:pPr>
        <w:pStyle w:val="JuHa0"/>
      </w:pPr>
      <w:r w:rsidRPr="00033F16">
        <w:t>Admissibility</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61</w:t>
      </w:r>
      <w:r>
        <w:rPr>
          <w:noProof/>
        </w:rPr>
        <w:fldChar w:fldCharType="end"/>
      </w:r>
      <w:r w:rsidRPr="00033F16" w:rsidR="00524D31">
        <w:t>.  The Court considers that the complaint is not manifestly ill-founded within the meaning of Article 35 </w:t>
      </w:r>
      <w:r w:rsidRPr="00033F16" w:rsidR="00524D31">
        <w:rPr>
          <w:rFonts w:cstheme="minorHAnsi"/>
        </w:rPr>
        <w:t>§</w:t>
      </w:r>
      <w:r w:rsidRPr="00033F16" w:rsidR="00524D31">
        <w:t> 3 of the Convention. It further notes that it is not inadmissible on any other grounds. It must therefore be declared admissible.</w:t>
      </w:r>
    </w:p>
    <w:p w:rsidRPr="00033F16" w:rsidR="00E022D0" w:rsidP="00033F16" w:rsidRDefault="00E022D0">
      <w:pPr>
        <w:pStyle w:val="JuHa0"/>
      </w:pPr>
      <w:r w:rsidRPr="00033F16">
        <w:t>Merits</w:t>
      </w:r>
    </w:p>
    <w:p w:rsidRPr="00033F16" w:rsidR="00020485" w:rsidP="00033F16" w:rsidRDefault="004D57F1">
      <w:pPr>
        <w:pStyle w:val="JuPara"/>
        <w:rPr>
          <w:snapToGrid w:val="0"/>
        </w:rPr>
      </w:pPr>
      <w:r>
        <w:fldChar w:fldCharType="begin"/>
      </w:r>
      <w:r>
        <w:instrText xml:space="preserve"> SEQ level0 \*arabic </w:instrText>
      </w:r>
      <w:r>
        <w:fldChar w:fldCharType="separate"/>
      </w:r>
      <w:r w:rsidRPr="00033F16" w:rsidR="00033F16">
        <w:rPr>
          <w:noProof/>
        </w:rPr>
        <w:t>62</w:t>
      </w:r>
      <w:r>
        <w:rPr>
          <w:noProof/>
        </w:rPr>
        <w:fldChar w:fldCharType="end"/>
      </w:r>
      <w:r w:rsidRPr="00033F16" w:rsidR="00524D31">
        <w:t xml:space="preserve">.  The Court observes that the administrative proceedings were instituted in 2003 </w:t>
      </w:r>
      <w:r w:rsidRPr="00033F16" w:rsidR="007A5497">
        <w:t xml:space="preserve">following </w:t>
      </w:r>
      <w:r w:rsidRPr="00033F16" w:rsidR="00524D31">
        <w:t>S.B.</w:t>
      </w:r>
      <w:r w:rsidRPr="00033F16" w:rsidR="00033F16">
        <w:t>’</w:t>
      </w:r>
      <w:r w:rsidRPr="00033F16" w:rsidR="00524D31">
        <w:t xml:space="preserve">s request for a building permit. On an unspecified date, the applicant lodged an appeal </w:t>
      </w:r>
      <w:r w:rsidRPr="00033F16" w:rsidR="001A7B4D">
        <w:t xml:space="preserve">with </w:t>
      </w:r>
      <w:r w:rsidRPr="00033F16" w:rsidR="00524D31">
        <w:t>the Government Appeal Commission. It was then that a “dispute” within the meaning of Article 6 </w:t>
      </w:r>
      <w:r w:rsidRPr="00033F16" w:rsidR="00524D31">
        <w:rPr>
          <w:rFonts w:cstheme="minorHAnsi"/>
        </w:rPr>
        <w:t>§</w:t>
      </w:r>
      <w:r w:rsidRPr="00033F16" w:rsidR="00524D31">
        <w:t> 1 arose (see</w:t>
      </w:r>
      <w:r w:rsidRPr="00033F16" w:rsidR="00524D31">
        <w:rPr>
          <w:i/>
        </w:rPr>
        <w:t xml:space="preserve"> Mitkova v. the former Yugoslav Republic of Macedonia</w:t>
      </w:r>
      <w:r w:rsidRPr="00033F16" w:rsidR="00524D31">
        <w:t>, no. 48386/09</w:t>
      </w:r>
      <w:r w:rsidRPr="00033F16" w:rsidR="00524D31">
        <w:rPr>
          <w:snapToGrid w:val="0"/>
        </w:rPr>
        <w:t xml:space="preserve">, § 49, 15 October 2015). In the absence of any evidence about the exact date </w:t>
      </w:r>
      <w:r w:rsidRPr="00033F16" w:rsidR="001A7B4D">
        <w:rPr>
          <w:snapToGrid w:val="0"/>
        </w:rPr>
        <w:t xml:space="preserve">on which </w:t>
      </w:r>
      <w:r w:rsidRPr="00033F16" w:rsidR="00524D31">
        <w:rPr>
          <w:snapToGrid w:val="0"/>
        </w:rPr>
        <w:t>the applicant lodged her appeal, the Court, on the basis of the material in its possession, will proceed on the assumption that</w:t>
      </w:r>
      <w:r w:rsidRPr="00033F16" w:rsidR="00E022D0">
        <w:rPr>
          <w:snapToGrid w:val="0"/>
        </w:rPr>
        <w:t xml:space="preserve"> the date marking the beginning of the impugned proceedings</w:t>
      </w:r>
      <w:r w:rsidRPr="00033F16" w:rsidR="00524D31">
        <w:rPr>
          <w:snapToGrid w:val="0"/>
        </w:rPr>
        <w:t xml:space="preserve"> was at the latest 23 July 2003, when the Appeal Commission </w:t>
      </w:r>
      <w:r w:rsidRPr="00033F16" w:rsidR="007A5497">
        <w:rPr>
          <w:snapToGrid w:val="0"/>
        </w:rPr>
        <w:t xml:space="preserve">allowed </w:t>
      </w:r>
      <w:r w:rsidRPr="00033F16" w:rsidR="00524D31">
        <w:rPr>
          <w:snapToGrid w:val="0"/>
        </w:rPr>
        <w:t>her appeal and remitted the case for reconsideration</w:t>
      </w:r>
      <w:r w:rsidRPr="00033F16" w:rsidR="00A36924">
        <w:rPr>
          <w:snapToGrid w:val="0"/>
        </w:rPr>
        <w:t xml:space="preserve"> (see paragraph </w:t>
      </w:r>
      <w:r w:rsidRPr="00033F16" w:rsidR="004D641C">
        <w:rPr>
          <w:snapToGrid w:val="0"/>
        </w:rPr>
        <w:fldChar w:fldCharType="begin"/>
      </w:r>
      <w:r w:rsidRPr="00033F16" w:rsidR="004D641C">
        <w:rPr>
          <w:snapToGrid w:val="0"/>
        </w:rPr>
        <w:instrText xml:space="preserve"> REF AdminProceedSB \h </w:instrText>
      </w:r>
      <w:r w:rsidRPr="00033F16" w:rsidR="00A36924">
        <w:rPr>
          <w:snapToGrid w:val="0"/>
        </w:rPr>
        <w:instrText xml:space="preserve"> \* MERGEFORMAT </w:instrText>
      </w:r>
      <w:r w:rsidRPr="00033F16" w:rsidR="004D641C">
        <w:rPr>
          <w:snapToGrid w:val="0"/>
        </w:rPr>
      </w:r>
      <w:r w:rsidRPr="00033F16" w:rsidR="004D641C">
        <w:rPr>
          <w:snapToGrid w:val="0"/>
        </w:rPr>
        <w:fldChar w:fldCharType="separate"/>
      </w:r>
      <w:r w:rsidRPr="00033F16" w:rsidR="00033F16">
        <w:rPr>
          <w:noProof/>
        </w:rPr>
        <w:t>20</w:t>
      </w:r>
      <w:r w:rsidRPr="00033F16" w:rsidR="004D641C">
        <w:rPr>
          <w:snapToGrid w:val="0"/>
        </w:rPr>
        <w:fldChar w:fldCharType="end"/>
      </w:r>
      <w:r w:rsidRPr="00033F16" w:rsidR="004D641C">
        <w:rPr>
          <w:snapToGrid w:val="0"/>
        </w:rPr>
        <w:t xml:space="preserve"> above)</w:t>
      </w:r>
      <w:r w:rsidRPr="00033F16" w:rsidR="00524D31">
        <w:rPr>
          <w:snapToGrid w:val="0"/>
        </w:rPr>
        <w:t>. Thus the period to be taken into consideration started to run, at the latest, on 23 July 2003 and ended on 26 June 2008, when the Administrative Court dismissed the applicant</w:t>
      </w:r>
      <w:r w:rsidRPr="00033F16" w:rsidR="00033F16">
        <w:rPr>
          <w:snapToGrid w:val="0"/>
        </w:rPr>
        <w:t>’</w:t>
      </w:r>
      <w:r w:rsidRPr="00033F16" w:rsidR="00524D31">
        <w:rPr>
          <w:snapToGrid w:val="0"/>
        </w:rPr>
        <w:t>s administrative action. They therefore lasted about four years and eleven months at two levels of jurisdiction.</w:t>
      </w:r>
    </w:p>
    <w:p w:rsidRPr="00033F16" w:rsidR="00771D0F" w:rsidP="00033F16" w:rsidRDefault="004D57F1">
      <w:pPr>
        <w:pStyle w:val="JuPara"/>
      </w:pPr>
      <w:r>
        <w:fldChar w:fldCharType="begin"/>
      </w:r>
      <w:r>
        <w:instrText xml:space="preserve"> SEQ level0 \*arabic </w:instrText>
      </w:r>
      <w:r>
        <w:fldChar w:fldCharType="separate"/>
      </w:r>
      <w:r w:rsidRPr="00033F16" w:rsidR="00033F16">
        <w:rPr>
          <w:noProof/>
        </w:rPr>
        <w:t>63</w:t>
      </w:r>
      <w:r>
        <w:rPr>
          <w:noProof/>
        </w:rPr>
        <w:fldChar w:fldCharType="end"/>
      </w:r>
      <w:r w:rsidRPr="00033F16" w:rsidR="00134214">
        <w:t xml:space="preserve">.  The Court considers that the impugned proceedings did not require the examination of issues of particular complexity. Nor, having regard to the material before it, does it consider that the applicant contributed to the length of the proceedings. On the other hand, it finds that </w:t>
      </w:r>
      <w:r w:rsidRPr="00033F16" w:rsidR="00A53078">
        <w:t xml:space="preserve">significant delays were attributable to the authorities. </w:t>
      </w:r>
      <w:r w:rsidRPr="00033F16" w:rsidR="00BE738E">
        <w:t>T</w:t>
      </w:r>
      <w:r w:rsidRPr="00033F16" w:rsidR="00A53078">
        <w:t xml:space="preserve">wo remittal orders were given during the proceedings (see paragraphs </w:t>
      </w:r>
      <w:r w:rsidRPr="00033F16" w:rsidR="00CF7A90">
        <w:fldChar w:fldCharType="begin"/>
      </w:r>
      <w:r w:rsidRPr="00033F16" w:rsidR="00CF7A90">
        <w:instrText xml:space="preserve"> REF AdminProceedSB \h </w:instrText>
      </w:r>
      <w:r w:rsidRPr="00033F16" w:rsidR="00A36924">
        <w:instrText xml:space="preserve"> \* MERGEFORMAT </w:instrText>
      </w:r>
      <w:r w:rsidRPr="00033F16" w:rsidR="00CF7A90">
        <w:fldChar w:fldCharType="separate"/>
      </w:r>
      <w:r w:rsidRPr="00033F16" w:rsidR="00033F16">
        <w:rPr>
          <w:noProof/>
        </w:rPr>
        <w:t>20</w:t>
      </w:r>
      <w:r w:rsidRPr="00033F16" w:rsidR="00CF7A90">
        <w:fldChar w:fldCharType="end"/>
      </w:r>
      <w:r w:rsidRPr="00033F16" w:rsidR="00CF7A90">
        <w:t xml:space="preserve"> and </w:t>
      </w:r>
      <w:r w:rsidRPr="00033F16" w:rsidR="00CF7A90">
        <w:fldChar w:fldCharType="begin"/>
      </w:r>
      <w:r w:rsidRPr="00033F16" w:rsidR="00CF7A90">
        <w:instrText xml:space="preserve"> REF AdminProceedSB2 \h </w:instrText>
      </w:r>
      <w:r w:rsidRPr="00033F16" w:rsidR="00A36924">
        <w:instrText xml:space="preserve"> \* MERGEFORMAT </w:instrText>
      </w:r>
      <w:r w:rsidRPr="00033F16" w:rsidR="00CF7A90">
        <w:fldChar w:fldCharType="separate"/>
      </w:r>
      <w:r w:rsidRPr="00033F16" w:rsidR="00033F16">
        <w:rPr>
          <w:noProof/>
        </w:rPr>
        <w:t>22</w:t>
      </w:r>
      <w:r w:rsidRPr="00033F16" w:rsidR="00CF7A90">
        <w:fldChar w:fldCharType="end"/>
      </w:r>
      <w:r w:rsidRPr="00033F16" w:rsidR="00A53078">
        <w:t xml:space="preserve"> above). In this context, the Court reiterates that although it is not in a position to analyse the juridical quality of the decisions of the domestic authorities, it considers that, since the remittal of cases for re-examination is usually ordered as a result of errors committed by lower courts, the repetition of such orders within one set of proceedings discloses a serious deficiency in the judicial system (see </w:t>
      </w:r>
      <w:r w:rsidRPr="00033F16" w:rsidR="00CF7A90">
        <w:rPr>
          <w:i/>
        </w:rPr>
        <w:t>Nankov v. the former Yugoslav Republic of Macedonia</w:t>
      </w:r>
      <w:r w:rsidRPr="00033F16" w:rsidR="00CF7A90">
        <w:t>, no. 26541/02, § 48, 29 November 2007).</w:t>
      </w:r>
    </w:p>
    <w:p w:rsidRPr="00033F16" w:rsidR="00771D0F" w:rsidP="00033F16" w:rsidRDefault="004D57F1">
      <w:pPr>
        <w:pStyle w:val="JuPara"/>
      </w:pPr>
      <w:r>
        <w:fldChar w:fldCharType="begin"/>
      </w:r>
      <w:r>
        <w:instrText xml:space="preserve"> </w:instrText>
      </w:r>
      <w:r>
        <w:instrText xml:space="preserve">SEQ level0 \*arabic </w:instrText>
      </w:r>
      <w:r>
        <w:fldChar w:fldCharType="separate"/>
      </w:r>
      <w:r w:rsidRPr="00033F16" w:rsidR="00033F16">
        <w:rPr>
          <w:noProof/>
        </w:rPr>
        <w:t>64</w:t>
      </w:r>
      <w:r>
        <w:rPr>
          <w:noProof/>
        </w:rPr>
        <w:fldChar w:fldCharType="end"/>
      </w:r>
      <w:r w:rsidRPr="00033F16" w:rsidR="003206B2">
        <w:t xml:space="preserve">.  Having regard to the criteria </w:t>
      </w:r>
      <w:r w:rsidRPr="00033F16" w:rsidR="007E61D3">
        <w:t xml:space="preserve">described in paragraph </w:t>
      </w:r>
      <w:r w:rsidRPr="00033F16" w:rsidR="007E61D3">
        <w:fldChar w:fldCharType="begin"/>
      </w:r>
      <w:r w:rsidRPr="00033F16" w:rsidR="007E61D3">
        <w:instrText xml:space="preserve"> REF GenPrincipLeng \h </w:instrText>
      </w:r>
      <w:r w:rsidRPr="00033F16" w:rsidR="00A36924">
        <w:instrText xml:space="preserve"> \* MERGEFORMAT </w:instrText>
      </w:r>
      <w:r w:rsidRPr="00033F16" w:rsidR="007E61D3">
        <w:fldChar w:fldCharType="separate"/>
      </w:r>
      <w:r w:rsidRPr="00033F16" w:rsidR="00033F16">
        <w:rPr>
          <w:noProof/>
        </w:rPr>
        <w:t>55</w:t>
      </w:r>
      <w:r w:rsidRPr="00033F16" w:rsidR="007E61D3">
        <w:fldChar w:fldCharType="end"/>
      </w:r>
      <w:r w:rsidRPr="00033F16" w:rsidR="007E61D3">
        <w:t xml:space="preserve"> above</w:t>
      </w:r>
      <w:r w:rsidRPr="00033F16" w:rsidR="003206B2">
        <w:t>, the Court considers that the length of the proceedings was excessive and failed to meet the “reasonable-time” requirement</w:t>
      </w:r>
      <w:r w:rsidRPr="00033F16" w:rsidR="002C65E2">
        <w:t xml:space="preserve"> (</w:t>
      </w:r>
      <w:r w:rsidRPr="00033F16" w:rsidR="00E70063">
        <w:t xml:space="preserve">see, </w:t>
      </w:r>
      <w:r w:rsidRPr="00033F16" w:rsidR="00E70063">
        <w:rPr>
          <w:i/>
        </w:rPr>
        <w:t>mutatis mutandis</w:t>
      </w:r>
      <w:r w:rsidRPr="00033F16" w:rsidR="00E70063">
        <w:t xml:space="preserve">, </w:t>
      </w:r>
      <w:r w:rsidRPr="00033F16" w:rsidR="00E70063">
        <w:rPr>
          <w:i/>
        </w:rPr>
        <w:t>Ivanov and Dimitrov v. the former Yugoslav Republic of Macedonia</w:t>
      </w:r>
      <w:r w:rsidRPr="00033F16" w:rsidR="00E70063">
        <w:t>, no. 46881/06, § 28, 21 October 2010</w:t>
      </w:r>
      <w:r w:rsidRPr="00033F16" w:rsidR="002C65E2">
        <w:t>)</w:t>
      </w:r>
      <w:r w:rsidRPr="00033F16" w:rsidR="003206B2">
        <w:t>.</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65</w:t>
      </w:r>
      <w:r>
        <w:rPr>
          <w:noProof/>
        </w:rPr>
        <w:fldChar w:fldCharType="end"/>
      </w:r>
      <w:r w:rsidRPr="00033F16" w:rsidR="00524D31">
        <w:t>.  There has accordingly been a violation of Article 6</w:t>
      </w:r>
      <w:r w:rsidRPr="00033F16" w:rsidR="005A1184">
        <w:t> </w:t>
      </w:r>
      <w:r w:rsidRPr="00033F16" w:rsidR="005A1184">
        <w:rPr>
          <w:rFonts w:cstheme="minorHAnsi"/>
        </w:rPr>
        <w:t>§</w:t>
      </w:r>
      <w:r w:rsidRPr="00033F16" w:rsidR="005A1184">
        <w:t> 1</w:t>
      </w:r>
      <w:r w:rsidRPr="00033F16" w:rsidR="00524D31">
        <w:t xml:space="preserve"> of the Convention.</w:t>
      </w:r>
    </w:p>
    <w:p w:rsidRPr="00033F16" w:rsidR="00020485" w:rsidP="00033F16" w:rsidRDefault="00524D31">
      <w:pPr>
        <w:pStyle w:val="JuHA"/>
      </w:pPr>
      <w:r w:rsidRPr="00033F16">
        <w:t xml:space="preserve">Complaint </w:t>
      </w:r>
      <w:r w:rsidRPr="00033F16" w:rsidR="00743E46">
        <w:t xml:space="preserve">concerning </w:t>
      </w:r>
      <w:r w:rsidRPr="00033F16">
        <w:t>the length of the civil proceedings for damages against I.F., the State and the municipality</w:t>
      </w:r>
    </w:p>
    <w:p w:rsidRPr="00033F16" w:rsidR="00524D31" w:rsidP="00033F16" w:rsidRDefault="00524D31">
      <w:pPr>
        <w:pStyle w:val="JuH1"/>
      </w:pPr>
      <w:r w:rsidRPr="00033F16">
        <w:t>The parties</w:t>
      </w:r>
      <w:r w:rsidRPr="00033F16" w:rsidR="00033F16">
        <w:t>’</w:t>
      </w:r>
      <w:r w:rsidRPr="00033F16">
        <w:t xml:space="preserve"> arguments</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66</w:t>
      </w:r>
      <w:r>
        <w:rPr>
          <w:noProof/>
        </w:rPr>
        <w:fldChar w:fldCharType="end"/>
      </w:r>
      <w:r w:rsidRPr="00033F16" w:rsidR="00524D31">
        <w:t xml:space="preserve">.  The applicant complained under Article 6 of the Convention that the length of the civil proceedings (see paragraph </w:t>
      </w:r>
      <w:r w:rsidRPr="00033F16" w:rsidR="00524D31">
        <w:fldChar w:fldCharType="begin"/>
      </w:r>
      <w:r w:rsidRPr="00033F16" w:rsidR="00524D31">
        <w:instrText xml:space="preserve"> REF CivilProceedIF \h </w:instrText>
      </w:r>
      <w:r w:rsidRPr="00033F16" w:rsidR="00A36924">
        <w:instrText xml:space="preserve"> \* MERGEFORMAT </w:instrText>
      </w:r>
      <w:r w:rsidRPr="00033F16" w:rsidR="00524D31">
        <w:fldChar w:fldCharType="separate"/>
      </w:r>
      <w:r w:rsidRPr="00033F16" w:rsidR="00033F16">
        <w:rPr>
          <w:noProof/>
        </w:rPr>
        <w:t>35</w:t>
      </w:r>
      <w:r w:rsidRPr="00033F16" w:rsidR="00524D31">
        <w:fldChar w:fldCharType="end"/>
      </w:r>
      <w:r w:rsidRPr="00033F16" w:rsidR="00524D31">
        <w:t xml:space="preserve"> above) had been excessive.</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67</w:t>
      </w:r>
      <w:r>
        <w:rPr>
          <w:noProof/>
        </w:rPr>
        <w:fldChar w:fldCharType="end"/>
      </w:r>
      <w:r w:rsidRPr="00033F16" w:rsidR="00524D31">
        <w:t>.  The Government submitted that the length of the proceedings examined by the Supreme Court in its two decisions on the applicant</w:t>
      </w:r>
      <w:r w:rsidRPr="00033F16" w:rsidR="00033F16">
        <w:t>’</w:t>
      </w:r>
      <w:r w:rsidRPr="00033F16" w:rsidR="00524D31">
        <w:t xml:space="preserve">s length remedy had not been excessive. As to the remaining period, the applicant should have lodged a fresh length remedy and the Government considered that in this part the complaint </w:t>
      </w:r>
      <w:r w:rsidRPr="00033F16" w:rsidR="00743E46">
        <w:t>wa</w:t>
      </w:r>
      <w:r w:rsidRPr="00033F16" w:rsidR="00524D31">
        <w:t>s inadmissible for non-exhaustion of domestic remedies.</w:t>
      </w:r>
    </w:p>
    <w:p w:rsidRPr="00033F16" w:rsidR="006771A5" w:rsidP="00033F16" w:rsidRDefault="006771A5">
      <w:pPr>
        <w:pStyle w:val="JuH1"/>
      </w:pPr>
      <w:r w:rsidRPr="00033F16">
        <w:t>The Court</w:t>
      </w:r>
      <w:r w:rsidRPr="00033F16" w:rsidR="00033F16">
        <w:t>’</w:t>
      </w:r>
      <w:r w:rsidRPr="00033F16">
        <w:t>s assessment</w:t>
      </w:r>
    </w:p>
    <w:p w:rsidRPr="00033F16" w:rsidR="005F3434" w:rsidP="00033F16" w:rsidRDefault="005F3434">
      <w:pPr>
        <w:pStyle w:val="JuHa0"/>
      </w:pPr>
      <w:r w:rsidRPr="00033F16">
        <w:t>Admissibility</w:t>
      </w:r>
    </w:p>
    <w:p w:rsidRPr="00033F16" w:rsidR="00771D0F" w:rsidP="00033F16" w:rsidRDefault="004D57F1">
      <w:pPr>
        <w:pStyle w:val="JuPara"/>
      </w:pPr>
      <w:r>
        <w:fldChar w:fldCharType="begin"/>
      </w:r>
      <w:r>
        <w:instrText xml:space="preserve"> SEQ level0 \*arabic </w:instrText>
      </w:r>
      <w:r>
        <w:fldChar w:fldCharType="separate"/>
      </w:r>
      <w:r w:rsidRPr="00033F16" w:rsidR="00033F16">
        <w:rPr>
          <w:noProof/>
        </w:rPr>
        <w:t>68</w:t>
      </w:r>
      <w:r>
        <w:rPr>
          <w:noProof/>
        </w:rPr>
        <w:fldChar w:fldCharType="end"/>
      </w:r>
      <w:r w:rsidRPr="00033F16" w:rsidR="005F3434">
        <w:t>.  The Court finds that the question of exhaustion of domestic remedies is inextricably linked to the merits of this complaint</w:t>
      </w:r>
      <w:r w:rsidRPr="00033F16" w:rsidR="00B559F5">
        <w:t>. Therefore</w:t>
      </w:r>
      <w:r w:rsidRPr="00033F16" w:rsidR="001167E2">
        <w:t xml:space="preserve"> </w:t>
      </w:r>
      <w:r w:rsidRPr="00033F16" w:rsidR="00B559F5">
        <w:t>it</w:t>
      </w:r>
      <w:r w:rsidRPr="00033F16" w:rsidR="005F3434">
        <w:t xml:space="preserve"> should be joined to the merits.</w:t>
      </w:r>
    </w:p>
    <w:p w:rsidRPr="00033F16" w:rsidR="005F3434" w:rsidP="00033F16" w:rsidRDefault="004D57F1">
      <w:pPr>
        <w:pStyle w:val="JuPara"/>
      </w:pPr>
      <w:r>
        <w:fldChar w:fldCharType="begin"/>
      </w:r>
      <w:r>
        <w:instrText xml:space="preserve"> SEQ level0 \*arabic </w:instrText>
      </w:r>
      <w:r>
        <w:fldChar w:fldCharType="separate"/>
      </w:r>
      <w:r w:rsidRPr="00033F16" w:rsidR="00033F16">
        <w:rPr>
          <w:noProof/>
        </w:rPr>
        <w:t>69</w:t>
      </w:r>
      <w:r>
        <w:rPr>
          <w:noProof/>
        </w:rPr>
        <w:fldChar w:fldCharType="end"/>
      </w:r>
      <w:r w:rsidRPr="00033F16" w:rsidR="005F3434">
        <w:t>.  The Court considers that the complaint is not manifestly ill-founded within the meaning of Article 35 </w:t>
      </w:r>
      <w:r w:rsidRPr="00033F16" w:rsidR="005F3434">
        <w:rPr>
          <w:rFonts w:cstheme="minorHAnsi"/>
        </w:rPr>
        <w:t>§</w:t>
      </w:r>
      <w:r w:rsidRPr="00033F16" w:rsidR="005F3434">
        <w:t> 3 of the Convention. It further notes that it is not inadmissible on any other grounds. It must therefore be declared admissible.</w:t>
      </w:r>
    </w:p>
    <w:p w:rsidRPr="00033F16" w:rsidR="005F3434" w:rsidP="00033F16" w:rsidRDefault="005F3434">
      <w:pPr>
        <w:pStyle w:val="JuHa0"/>
      </w:pPr>
      <w:r w:rsidRPr="00033F16">
        <w:t>Merits</w:t>
      </w:r>
    </w:p>
    <w:p w:rsidRPr="00033F16" w:rsidR="007734B4" w:rsidP="00033F16" w:rsidRDefault="004D57F1">
      <w:pPr>
        <w:pStyle w:val="JuPara"/>
      </w:pPr>
      <w:r>
        <w:fldChar w:fldCharType="begin"/>
      </w:r>
      <w:r>
        <w:instrText xml:space="preserve"> SEQ level0 \*ara</w:instrText>
      </w:r>
      <w:r>
        <w:instrText xml:space="preserve">bic </w:instrText>
      </w:r>
      <w:r>
        <w:fldChar w:fldCharType="separate"/>
      </w:r>
      <w:r w:rsidRPr="00033F16" w:rsidR="00033F16">
        <w:rPr>
          <w:noProof/>
        </w:rPr>
        <w:t>70</w:t>
      </w:r>
      <w:r>
        <w:rPr>
          <w:noProof/>
        </w:rPr>
        <w:fldChar w:fldCharType="end"/>
      </w:r>
      <w:r w:rsidRPr="00033F16" w:rsidR="007734B4">
        <w:t>.  </w:t>
      </w:r>
      <w:r w:rsidRPr="00033F16" w:rsidR="00B61543">
        <w:t>At the outset, t</w:t>
      </w:r>
      <w:r w:rsidRPr="00033F16" w:rsidR="007734B4">
        <w:t>he Court observes that</w:t>
      </w:r>
      <w:r w:rsidRPr="00033F16" w:rsidR="002A5759">
        <w:t xml:space="preserve"> </w:t>
      </w:r>
      <w:r w:rsidRPr="00033F16" w:rsidR="00702BA9">
        <w:t>when the Supreme Court dismissed the applicant</w:t>
      </w:r>
      <w:r w:rsidRPr="00033F16" w:rsidR="00033F16">
        <w:t>’</w:t>
      </w:r>
      <w:r w:rsidRPr="00033F16" w:rsidR="00702BA9">
        <w:t xml:space="preserve">s length remedy for the second time in 2012 (see paragraph </w:t>
      </w:r>
      <w:r w:rsidRPr="00033F16" w:rsidR="00702BA9">
        <w:fldChar w:fldCharType="begin"/>
      </w:r>
      <w:r w:rsidRPr="00033F16" w:rsidR="00702BA9">
        <w:instrText xml:space="preserve"> REF LengthRemedyIF2 \h </w:instrText>
      </w:r>
      <w:r w:rsidRPr="00033F16" w:rsidR="00A36924">
        <w:instrText xml:space="preserve"> \* MERGEFORMAT </w:instrText>
      </w:r>
      <w:r w:rsidRPr="00033F16" w:rsidR="00702BA9">
        <w:fldChar w:fldCharType="separate"/>
      </w:r>
      <w:r w:rsidRPr="00033F16" w:rsidR="00033F16">
        <w:rPr>
          <w:noProof/>
        </w:rPr>
        <w:t>41</w:t>
      </w:r>
      <w:r w:rsidRPr="00033F16" w:rsidR="00702BA9">
        <w:fldChar w:fldCharType="end"/>
      </w:r>
      <w:r w:rsidRPr="00033F16" w:rsidR="00702BA9">
        <w:t xml:space="preserve"> above) it was already regarded as an effective remedy as regards complaints about length of proceedings (see </w:t>
      </w:r>
      <w:r w:rsidRPr="00033F16" w:rsidR="00A36924">
        <w:rPr>
          <w:i/>
        </w:rPr>
        <w:t>Adži-Spirkoska and </w:t>
      </w:r>
      <w:r w:rsidRPr="00033F16" w:rsidR="00702BA9">
        <w:rPr>
          <w:i/>
        </w:rPr>
        <w:t>others</w:t>
      </w:r>
      <w:r w:rsidRPr="00033F16" w:rsidR="00702BA9">
        <w:t xml:space="preserve">, cited above). </w:t>
      </w:r>
      <w:r w:rsidRPr="00033F16" w:rsidR="007734B4">
        <w:t>In these circumstances, the Court is required to verify whether the way in which the Supreme Court applied the relevant provisions of the domestic law produces consequences that are consistent with the principles of the Convention as interpreted in the light of the Court</w:t>
      </w:r>
      <w:r w:rsidRPr="00033F16" w:rsidR="00033F16">
        <w:t>’</w:t>
      </w:r>
      <w:r w:rsidRPr="00033F16" w:rsidR="007734B4">
        <w:t xml:space="preserve">s case-law (see </w:t>
      </w:r>
      <w:r w:rsidRPr="00033F16" w:rsidR="00086AAA">
        <w:rPr>
          <w:i/>
        </w:rPr>
        <w:t>Nogolica v. Croatia (no. 3)</w:t>
      </w:r>
      <w:r w:rsidRPr="00033F16" w:rsidR="005D6206">
        <w:t>, no. 9204/04, § 23, 7 </w:t>
      </w:r>
      <w:r w:rsidRPr="00033F16" w:rsidR="00086AAA">
        <w:t>December 2006</w:t>
      </w:r>
      <w:r w:rsidRPr="00033F16" w:rsidR="007734B4">
        <w:t>)</w:t>
      </w:r>
      <w:r w:rsidRPr="00033F16" w:rsidR="00086AAA">
        <w:t xml:space="preserve">. In doing so, the Court has to examine the period between the date the applicant lodged her </w:t>
      </w:r>
      <w:r w:rsidRPr="00033F16" w:rsidR="00EE5624">
        <w:t xml:space="preserve">civil </w:t>
      </w:r>
      <w:r w:rsidRPr="00033F16" w:rsidR="00086AAA">
        <w:t>claim and the date of the Supreme Court</w:t>
      </w:r>
      <w:r w:rsidRPr="00033F16" w:rsidR="00033F16">
        <w:t>’</w:t>
      </w:r>
      <w:r w:rsidRPr="00033F16" w:rsidR="00A16570">
        <w:t>s decision</w:t>
      </w:r>
      <w:r w:rsidRPr="00033F16" w:rsidR="00EE5624">
        <w:t xml:space="preserve"> upon her second length remedy</w:t>
      </w:r>
      <w:r w:rsidRPr="00033F16" w:rsidR="00086AAA">
        <w:t>. If the Supreme Court</w:t>
      </w:r>
      <w:r w:rsidRPr="00033F16" w:rsidR="00033F16">
        <w:t>’</w:t>
      </w:r>
      <w:r w:rsidRPr="00033F16" w:rsidR="00086AAA">
        <w:t>s decision is consistent with Convention principles, the Court will, when examining the question</w:t>
      </w:r>
      <w:r w:rsidRPr="00033F16" w:rsidR="00C76797">
        <w:t xml:space="preserve"> </w:t>
      </w:r>
      <w:r w:rsidRPr="00033F16" w:rsidR="00086AAA">
        <w:t>of exhaustion of domestic remedies, refrain from dealing with the length of the proceedings subsequent to that decision. Otherwise, a genuine examination of the total length</w:t>
      </w:r>
      <w:r w:rsidRPr="00033F16" w:rsidR="00A16570">
        <w:t xml:space="preserve"> is warranted (ibid.).</w:t>
      </w:r>
    </w:p>
    <w:p w:rsidRPr="00033F16" w:rsidR="00771D0F" w:rsidP="00033F16" w:rsidRDefault="004D57F1">
      <w:pPr>
        <w:pStyle w:val="JuPara"/>
        <w:rPr>
          <w:snapToGrid w:val="0"/>
        </w:rPr>
      </w:pPr>
      <w:r>
        <w:fldChar w:fldCharType="begin"/>
      </w:r>
      <w:r>
        <w:instrText xml:space="preserve"> SEQ level0 </w:instrText>
      </w:r>
      <w:r>
        <w:instrText xml:space="preserve">\*arabic </w:instrText>
      </w:r>
      <w:r>
        <w:fldChar w:fldCharType="separate"/>
      </w:r>
      <w:r w:rsidRPr="00033F16" w:rsidR="00033F16">
        <w:rPr>
          <w:noProof/>
        </w:rPr>
        <w:t>71</w:t>
      </w:r>
      <w:r>
        <w:rPr>
          <w:noProof/>
        </w:rPr>
        <w:fldChar w:fldCharType="end"/>
      </w:r>
      <w:r w:rsidRPr="00033F16" w:rsidR="00702BA9">
        <w:t xml:space="preserve">.  The Court </w:t>
      </w:r>
      <w:r w:rsidRPr="00033F16" w:rsidR="00D239AD">
        <w:t xml:space="preserve">notes that the proceedings have lasted in total </w:t>
      </w:r>
      <w:r w:rsidRPr="00033F16" w:rsidR="00702BA9">
        <w:t>about</w:t>
      </w:r>
      <w:r w:rsidRPr="00033F16" w:rsidR="00702BA9">
        <w:rPr>
          <w:snapToGrid w:val="0"/>
        </w:rPr>
        <w:t xml:space="preserve"> five years and five months at three levels of jurisdiction</w:t>
      </w:r>
      <w:r w:rsidRPr="00033F16" w:rsidR="00D239AD">
        <w:rPr>
          <w:snapToGrid w:val="0"/>
        </w:rPr>
        <w:t xml:space="preserve"> (between </w:t>
      </w:r>
      <w:r w:rsidRPr="00033F16" w:rsidR="00A36924">
        <w:t xml:space="preserve">31 January </w:t>
      </w:r>
      <w:r w:rsidRPr="00033F16" w:rsidR="00D239AD">
        <w:t xml:space="preserve">2008 and 27 June 2013, see paragraphs </w:t>
      </w:r>
      <w:r w:rsidRPr="00033F16" w:rsidR="00D239AD">
        <w:fldChar w:fldCharType="begin"/>
      </w:r>
      <w:r w:rsidRPr="00033F16" w:rsidR="00D239AD">
        <w:instrText xml:space="preserve"> REF CivilProceedIF \h </w:instrText>
      </w:r>
      <w:r w:rsidRPr="00033F16" w:rsidR="00A36924">
        <w:instrText xml:space="preserve"> \* MERGEFORMAT </w:instrText>
      </w:r>
      <w:r w:rsidRPr="00033F16" w:rsidR="00D239AD">
        <w:fldChar w:fldCharType="separate"/>
      </w:r>
      <w:r w:rsidRPr="00033F16" w:rsidR="00033F16">
        <w:rPr>
          <w:noProof/>
        </w:rPr>
        <w:t>35</w:t>
      </w:r>
      <w:r w:rsidRPr="00033F16" w:rsidR="00D239AD">
        <w:fldChar w:fldCharType="end"/>
      </w:r>
      <w:r w:rsidRPr="00033F16" w:rsidR="00D239AD">
        <w:t xml:space="preserve"> and </w:t>
      </w:r>
      <w:r w:rsidRPr="00033F16" w:rsidR="00D239AD">
        <w:fldChar w:fldCharType="begin"/>
      </w:r>
      <w:r w:rsidRPr="00033F16" w:rsidR="00D239AD">
        <w:instrText xml:space="preserve"> REF CivilProceedIF_appeal2 \h </w:instrText>
      </w:r>
      <w:r w:rsidRPr="00033F16" w:rsidR="00A36924">
        <w:instrText xml:space="preserve"> \* MERGEFORMAT </w:instrText>
      </w:r>
      <w:r w:rsidRPr="00033F16" w:rsidR="00D239AD">
        <w:fldChar w:fldCharType="separate"/>
      </w:r>
      <w:r w:rsidRPr="00033F16" w:rsidR="00033F16">
        <w:rPr>
          <w:noProof/>
        </w:rPr>
        <w:t>39</w:t>
      </w:r>
      <w:r w:rsidRPr="00033F16" w:rsidR="00D239AD">
        <w:fldChar w:fldCharType="end"/>
      </w:r>
      <w:r w:rsidRPr="00033F16" w:rsidR="00D239AD">
        <w:t xml:space="preserve"> above)</w:t>
      </w:r>
      <w:r w:rsidRPr="00033F16" w:rsidR="00702BA9">
        <w:rPr>
          <w:snapToGrid w:val="0"/>
        </w:rPr>
        <w:t>. The case was still pending on 15 May 2012, when the Supreme Court gave its decision on the second length remedy used by the applicant. On that date the proceedings had lasted some four years and three months and were still pending.</w:t>
      </w:r>
      <w:r w:rsidRPr="00033F16" w:rsidR="00E74FE5">
        <w:rPr>
          <w:snapToGrid w:val="0"/>
        </w:rPr>
        <w:t xml:space="preserve"> </w:t>
      </w:r>
      <w:r w:rsidRPr="00033F16" w:rsidR="00702BA9">
        <w:rPr>
          <w:snapToGrid w:val="0"/>
        </w:rPr>
        <w:t>D</w:t>
      </w:r>
      <w:r w:rsidRPr="00033F16" w:rsidR="00E74FE5">
        <w:rPr>
          <w:snapToGrid w:val="0"/>
        </w:rPr>
        <w:t>uring this period there was one substantial period of inactivity amounting to one year and eleven months (from 10 July 2009 u</w:t>
      </w:r>
      <w:r w:rsidRPr="00033F16" w:rsidR="00A36924">
        <w:rPr>
          <w:snapToGrid w:val="0"/>
        </w:rPr>
        <w:t xml:space="preserve">ntil 14 June </w:t>
      </w:r>
      <w:r w:rsidRPr="00033F16" w:rsidR="00E74FE5">
        <w:rPr>
          <w:snapToGrid w:val="0"/>
        </w:rPr>
        <w:t>2011</w:t>
      </w:r>
      <w:r w:rsidRPr="00033F16" w:rsidR="00377197">
        <w:rPr>
          <w:snapToGrid w:val="0"/>
        </w:rPr>
        <w:t xml:space="preserve">, see paragraph </w:t>
      </w:r>
      <w:r w:rsidRPr="00033F16" w:rsidR="00377197">
        <w:rPr>
          <w:snapToGrid w:val="0"/>
        </w:rPr>
        <w:fldChar w:fldCharType="begin"/>
      </w:r>
      <w:r w:rsidRPr="00033F16" w:rsidR="00377197">
        <w:rPr>
          <w:snapToGrid w:val="0"/>
        </w:rPr>
        <w:instrText xml:space="preserve"> REF CivilProceedIF_appeal \h </w:instrText>
      </w:r>
      <w:r w:rsidRPr="00033F16" w:rsidR="00A36924">
        <w:rPr>
          <w:snapToGrid w:val="0"/>
        </w:rPr>
        <w:instrText xml:space="preserve"> \* MERGEFORMAT </w:instrText>
      </w:r>
      <w:r w:rsidRPr="00033F16" w:rsidR="00377197">
        <w:rPr>
          <w:snapToGrid w:val="0"/>
        </w:rPr>
      </w:r>
      <w:r w:rsidRPr="00033F16" w:rsidR="00377197">
        <w:rPr>
          <w:snapToGrid w:val="0"/>
        </w:rPr>
        <w:fldChar w:fldCharType="separate"/>
      </w:r>
      <w:r w:rsidRPr="00033F16" w:rsidR="00033F16">
        <w:rPr>
          <w:noProof/>
        </w:rPr>
        <w:t>38</w:t>
      </w:r>
      <w:r w:rsidRPr="00033F16" w:rsidR="00377197">
        <w:rPr>
          <w:snapToGrid w:val="0"/>
        </w:rPr>
        <w:fldChar w:fldCharType="end"/>
      </w:r>
      <w:r w:rsidRPr="00033F16" w:rsidR="00377197">
        <w:rPr>
          <w:snapToGrid w:val="0"/>
        </w:rPr>
        <w:t xml:space="preserve"> above</w:t>
      </w:r>
      <w:r w:rsidRPr="00033F16" w:rsidR="00E74FE5">
        <w:rPr>
          <w:snapToGrid w:val="0"/>
        </w:rPr>
        <w:t>) when the applicant</w:t>
      </w:r>
      <w:r w:rsidRPr="00033F16" w:rsidR="00033F16">
        <w:rPr>
          <w:snapToGrid w:val="0"/>
        </w:rPr>
        <w:t>’</w:t>
      </w:r>
      <w:r w:rsidRPr="00033F16" w:rsidR="00E74FE5">
        <w:rPr>
          <w:snapToGrid w:val="0"/>
        </w:rPr>
        <w:t>s appeal was pending for examination before the Court of Appeal</w:t>
      </w:r>
      <w:r w:rsidRPr="00033F16" w:rsidR="00C06E0E">
        <w:rPr>
          <w:snapToGrid w:val="0"/>
        </w:rPr>
        <w:t xml:space="preserve"> </w:t>
      </w:r>
      <w:r w:rsidRPr="00033F16" w:rsidR="00897C58">
        <w:rPr>
          <w:snapToGrid w:val="0"/>
        </w:rPr>
        <w:t>which affected the overall length of the proceedings</w:t>
      </w:r>
      <w:r w:rsidRPr="00033F16" w:rsidR="00E74FE5">
        <w:rPr>
          <w:snapToGrid w:val="0"/>
        </w:rPr>
        <w:t xml:space="preserve">. The Court finds that this </w:t>
      </w:r>
      <w:r w:rsidRPr="00033F16" w:rsidR="00897C58">
        <w:rPr>
          <w:snapToGrid w:val="0"/>
        </w:rPr>
        <w:t>delay</w:t>
      </w:r>
      <w:r w:rsidRPr="00033F16" w:rsidR="00E74FE5">
        <w:rPr>
          <w:snapToGrid w:val="0"/>
        </w:rPr>
        <w:t xml:space="preserve"> is solely attributable to the authorities and that the applicant did not contribute to the length of the proceedings.</w:t>
      </w:r>
      <w:r w:rsidRPr="00033F16" w:rsidR="0064085C">
        <w:rPr>
          <w:snapToGrid w:val="0"/>
        </w:rPr>
        <w:t xml:space="preserve"> It further notes that although the case was of some level of complexity, all of the procedural actions were already completed before the first-instance </w:t>
      </w:r>
      <w:r w:rsidRPr="00033F16" w:rsidR="008F24C7">
        <w:rPr>
          <w:snapToGrid w:val="0"/>
        </w:rPr>
        <w:t>court.</w:t>
      </w:r>
      <w:r w:rsidRPr="00033F16" w:rsidR="00E74FE5">
        <w:rPr>
          <w:snapToGrid w:val="0"/>
        </w:rPr>
        <w:t xml:space="preserve"> Furthermore, </w:t>
      </w:r>
      <w:r w:rsidRPr="00033F16" w:rsidR="00830453">
        <w:rPr>
          <w:snapToGrid w:val="0"/>
        </w:rPr>
        <w:t>at the time of the Supreme Court</w:t>
      </w:r>
      <w:r w:rsidRPr="00033F16" w:rsidR="00033F16">
        <w:rPr>
          <w:snapToGrid w:val="0"/>
        </w:rPr>
        <w:t>’</w:t>
      </w:r>
      <w:r w:rsidRPr="00033F16" w:rsidR="00830453">
        <w:rPr>
          <w:snapToGrid w:val="0"/>
        </w:rPr>
        <w:t>s decision on the applicant</w:t>
      </w:r>
      <w:r w:rsidRPr="00033F16" w:rsidR="00033F16">
        <w:rPr>
          <w:snapToGrid w:val="0"/>
        </w:rPr>
        <w:t>’</w:t>
      </w:r>
      <w:r w:rsidRPr="00033F16" w:rsidR="00830453">
        <w:rPr>
          <w:snapToGrid w:val="0"/>
        </w:rPr>
        <w:t>s second length remedy her appeal on points of law was already pending for review for about seven months. The review proceedings before the Supreme Court regarding the applicant</w:t>
      </w:r>
      <w:r w:rsidRPr="00033F16" w:rsidR="00033F16">
        <w:rPr>
          <w:snapToGrid w:val="0"/>
        </w:rPr>
        <w:t>’</w:t>
      </w:r>
      <w:r w:rsidRPr="00033F16" w:rsidR="00830453">
        <w:rPr>
          <w:snapToGrid w:val="0"/>
        </w:rPr>
        <w:t xml:space="preserve">s appeal on points of law lasted </w:t>
      </w:r>
      <w:r w:rsidRPr="00033F16" w:rsidR="00E74FE5">
        <w:rPr>
          <w:snapToGrid w:val="0"/>
        </w:rPr>
        <w:t>for one year and nine months</w:t>
      </w:r>
      <w:r w:rsidRPr="00033F16" w:rsidR="008F24C7">
        <w:rPr>
          <w:snapToGrid w:val="0"/>
        </w:rPr>
        <w:t xml:space="preserve"> in total</w:t>
      </w:r>
      <w:r w:rsidRPr="00033F16" w:rsidR="00E74FE5">
        <w:rPr>
          <w:snapToGrid w:val="0"/>
        </w:rPr>
        <w:t xml:space="preserve"> (from</w:t>
      </w:r>
      <w:r w:rsidRPr="00033F16" w:rsidR="00E74FE5">
        <w:t xml:space="preserve"> </w:t>
      </w:r>
      <w:r w:rsidRPr="00033F16" w:rsidR="00AD3E80">
        <w:rPr>
          <w:snapToGrid w:val="0"/>
        </w:rPr>
        <w:t>29 </w:t>
      </w:r>
      <w:r w:rsidRPr="00033F16" w:rsidR="00E74FE5">
        <w:rPr>
          <w:snapToGrid w:val="0"/>
        </w:rPr>
        <w:t>September 2011 and 27 June 2013</w:t>
      </w:r>
      <w:r w:rsidRPr="00033F16" w:rsidR="00C06E0E">
        <w:rPr>
          <w:snapToGrid w:val="0"/>
        </w:rPr>
        <w:t xml:space="preserve">, see paragraph </w:t>
      </w:r>
      <w:r w:rsidRPr="00033F16" w:rsidR="00C06E0E">
        <w:rPr>
          <w:snapToGrid w:val="0"/>
        </w:rPr>
        <w:fldChar w:fldCharType="begin"/>
      </w:r>
      <w:r w:rsidRPr="00033F16" w:rsidR="00C06E0E">
        <w:rPr>
          <w:snapToGrid w:val="0"/>
        </w:rPr>
        <w:instrText xml:space="preserve"> REF CivilProceedIF_appeal2 \h </w:instrText>
      </w:r>
      <w:r w:rsidRPr="00033F16" w:rsidR="00A36924">
        <w:rPr>
          <w:snapToGrid w:val="0"/>
        </w:rPr>
        <w:instrText xml:space="preserve"> \* MERGEFORMAT </w:instrText>
      </w:r>
      <w:r w:rsidRPr="00033F16" w:rsidR="00C06E0E">
        <w:rPr>
          <w:snapToGrid w:val="0"/>
        </w:rPr>
      </w:r>
      <w:r w:rsidRPr="00033F16" w:rsidR="00C06E0E">
        <w:rPr>
          <w:snapToGrid w:val="0"/>
        </w:rPr>
        <w:fldChar w:fldCharType="separate"/>
      </w:r>
      <w:r w:rsidRPr="00033F16" w:rsidR="00033F16">
        <w:rPr>
          <w:noProof/>
        </w:rPr>
        <w:t>39</w:t>
      </w:r>
      <w:r w:rsidRPr="00033F16" w:rsidR="00C06E0E">
        <w:rPr>
          <w:snapToGrid w:val="0"/>
        </w:rPr>
        <w:fldChar w:fldCharType="end"/>
      </w:r>
      <w:r w:rsidRPr="00033F16" w:rsidR="00C06E0E">
        <w:rPr>
          <w:snapToGrid w:val="0"/>
        </w:rPr>
        <w:t xml:space="preserve"> above</w:t>
      </w:r>
      <w:r w:rsidRPr="00033F16" w:rsidR="00E74FE5">
        <w:rPr>
          <w:snapToGrid w:val="0"/>
        </w:rPr>
        <w:t>)</w:t>
      </w:r>
      <w:r w:rsidRPr="00033F16" w:rsidR="00830453">
        <w:rPr>
          <w:snapToGrid w:val="0"/>
        </w:rPr>
        <w:t xml:space="preserve">, which is another </w:t>
      </w:r>
      <w:r w:rsidRPr="00033F16" w:rsidR="00897C58">
        <w:rPr>
          <w:snapToGrid w:val="0"/>
        </w:rPr>
        <w:t>delay</w:t>
      </w:r>
      <w:r w:rsidRPr="00033F16" w:rsidR="00830453">
        <w:rPr>
          <w:snapToGrid w:val="0"/>
        </w:rPr>
        <w:t xml:space="preserve"> attributable to the authorities</w:t>
      </w:r>
      <w:r w:rsidRPr="00033F16" w:rsidR="00897C58">
        <w:rPr>
          <w:snapToGrid w:val="0"/>
        </w:rPr>
        <w:t xml:space="preserve"> that ultimately affected the overall length of the proceedings</w:t>
      </w:r>
      <w:r w:rsidRPr="00033F16" w:rsidR="00830453">
        <w:rPr>
          <w:snapToGrid w:val="0"/>
        </w:rPr>
        <w:t>.</w:t>
      </w:r>
    </w:p>
    <w:p w:rsidRPr="00033F16" w:rsidR="00771D0F" w:rsidP="00033F16" w:rsidRDefault="004D57F1">
      <w:pPr>
        <w:pStyle w:val="JuPara"/>
      </w:pPr>
      <w:r>
        <w:fldChar w:fldCharType="begin"/>
      </w:r>
      <w:r>
        <w:instrText xml:space="preserve"> SEQ level0 \*arabic </w:instrText>
      </w:r>
      <w:r>
        <w:fldChar w:fldCharType="separate"/>
      </w:r>
      <w:r w:rsidRPr="00033F16" w:rsidR="00033F16">
        <w:rPr>
          <w:noProof/>
        </w:rPr>
        <w:t>72</w:t>
      </w:r>
      <w:r>
        <w:rPr>
          <w:noProof/>
        </w:rPr>
        <w:fldChar w:fldCharType="end"/>
      </w:r>
      <w:r w:rsidRPr="00033F16" w:rsidR="00CD0464">
        <w:t>.  Having examined the material submitted to it, and having regard to its case-law on the subject, the foregoing considerations are sufficient to enable the Court to conclude that already in the period which was susceptible to the Supreme Court</w:t>
      </w:r>
      <w:r w:rsidRPr="00033F16" w:rsidR="00033F16">
        <w:t>’</w:t>
      </w:r>
      <w:r w:rsidRPr="00033F16" w:rsidR="00CD0464">
        <w:t xml:space="preserve">s scrutiny the length of the proceedings </w:t>
      </w:r>
      <w:r w:rsidRPr="00033F16" w:rsidR="00EE5624">
        <w:t>w</w:t>
      </w:r>
      <w:r w:rsidRPr="00033F16" w:rsidR="00CD0464">
        <w:t>as excessive and failed to meet the “reasonable time” requirement. It necessarily</w:t>
      </w:r>
      <w:r w:rsidRPr="00033F16" w:rsidR="00840778">
        <w:t xml:space="preserve"> kept such character throughout the subsequent period. In these circumstances, to </w:t>
      </w:r>
      <w:r w:rsidRPr="00033F16" w:rsidR="005A1184">
        <w:t xml:space="preserve">require </w:t>
      </w:r>
      <w:r w:rsidRPr="00033F16" w:rsidR="00840778">
        <w:t xml:space="preserve">the applicant to lodge a </w:t>
      </w:r>
      <w:r w:rsidRPr="00033F16" w:rsidR="002A5759">
        <w:t>third</w:t>
      </w:r>
      <w:r w:rsidRPr="00033F16" w:rsidR="00840778">
        <w:t xml:space="preserve"> length remedy, would overstretch her duties under Article 35 § 1 of the Convention (see </w:t>
      </w:r>
      <w:r w:rsidRPr="00033F16" w:rsidR="00044B80">
        <w:rPr>
          <w:i/>
        </w:rPr>
        <w:t>Kozlica v. Croatia</w:t>
      </w:r>
      <w:r w:rsidRPr="00033F16" w:rsidR="00044B80">
        <w:t>, no. 29182/03, § 28, 2 November 2006</w:t>
      </w:r>
      <w:r w:rsidRPr="00033F16" w:rsidR="00FB0944">
        <w:t>,</w:t>
      </w:r>
      <w:r w:rsidRPr="00033F16" w:rsidR="004A29F6">
        <w:t xml:space="preserve"> and</w:t>
      </w:r>
      <w:r w:rsidRPr="00033F16" w:rsidR="00044B80">
        <w:t xml:space="preserve"> </w:t>
      </w:r>
      <w:r w:rsidRPr="00033F16" w:rsidR="00840778">
        <w:rPr>
          <w:i/>
        </w:rPr>
        <w:t xml:space="preserve">Nogolica, </w:t>
      </w:r>
      <w:r w:rsidRPr="00033F16" w:rsidR="00840778">
        <w:t>cited above, § 29).</w:t>
      </w:r>
    </w:p>
    <w:p w:rsidRPr="00033F16" w:rsidR="00771D0F" w:rsidP="00033F16" w:rsidRDefault="004D57F1">
      <w:pPr>
        <w:pStyle w:val="JuPara"/>
      </w:pPr>
      <w:r>
        <w:fldChar w:fldCharType="begin"/>
      </w:r>
      <w:r>
        <w:instrText xml:space="preserve"> SEQ level0 \*arabic </w:instrText>
      </w:r>
      <w:r>
        <w:fldChar w:fldCharType="separate"/>
      </w:r>
      <w:r w:rsidRPr="00033F16" w:rsidR="00033F16">
        <w:rPr>
          <w:noProof/>
        </w:rPr>
        <w:t>73</w:t>
      </w:r>
      <w:r>
        <w:rPr>
          <w:noProof/>
        </w:rPr>
        <w:fldChar w:fldCharType="end"/>
      </w:r>
      <w:r w:rsidRPr="00033F16" w:rsidR="00840778">
        <w:t>.  In conclusion, the Court rejects the Government</w:t>
      </w:r>
      <w:r w:rsidRPr="00033F16" w:rsidR="00033F16">
        <w:t>’</w:t>
      </w:r>
      <w:r w:rsidRPr="00033F16" w:rsidR="00840778">
        <w:t>s objection as to the exhaustion of domestic remedies and finds that there was a breach of Article</w:t>
      </w:r>
      <w:r w:rsidRPr="00033F16" w:rsidR="00A36924">
        <w:t> </w:t>
      </w:r>
      <w:r w:rsidRPr="00033F16" w:rsidR="00840778">
        <w:t>6 § 1 of the Convention on account of the excessive length of the proceedings</w:t>
      </w:r>
      <w:r w:rsidRPr="00033F16" w:rsidR="00AE49B6">
        <w:t xml:space="preserve"> </w:t>
      </w:r>
      <w:r w:rsidRPr="00033F16" w:rsidR="00313907">
        <w:t xml:space="preserve">(see, </w:t>
      </w:r>
      <w:r w:rsidRPr="00033F16" w:rsidR="00313907">
        <w:rPr>
          <w:i/>
        </w:rPr>
        <w:t>mutatis mutandis</w:t>
      </w:r>
      <w:r w:rsidRPr="00033F16" w:rsidR="00313907">
        <w:t xml:space="preserve">, </w:t>
      </w:r>
      <w:r w:rsidRPr="00033F16" w:rsidR="00313907">
        <w:rPr>
          <w:i/>
        </w:rPr>
        <w:t>Naumoski v. the former Yugoslav Republic of Macedonia</w:t>
      </w:r>
      <w:r w:rsidRPr="00033F16" w:rsidR="00313907">
        <w:t>, no. 25248/05</w:t>
      </w:r>
      <w:r w:rsidRPr="00033F16" w:rsidR="00313907">
        <w:rPr>
          <w:snapToGrid w:val="0"/>
        </w:rPr>
        <w:t>, § 39, 27 November 2012</w:t>
      </w:r>
      <w:r w:rsidRPr="00033F16" w:rsidR="00313907">
        <w:t>).</w:t>
      </w:r>
    </w:p>
    <w:p w:rsidRPr="00033F16" w:rsidR="00D420F3" w:rsidP="00033F16" w:rsidRDefault="0077175D">
      <w:pPr>
        <w:pStyle w:val="JuHIRoman"/>
      </w:pPr>
      <w:r w:rsidRPr="00033F16">
        <w:t xml:space="preserve">ALLEGED VIOLATION OF ARTICLE </w:t>
      </w:r>
      <w:r w:rsidRPr="00033F16" w:rsidR="00524D31">
        <w:t>6</w:t>
      </w:r>
      <w:r w:rsidRPr="00033F16" w:rsidR="005A1184">
        <w:t> </w:t>
      </w:r>
      <w:r w:rsidRPr="00033F16" w:rsidR="005A1184">
        <w:rPr>
          <w:rFonts w:cstheme="majorHAnsi"/>
        </w:rPr>
        <w:t>§</w:t>
      </w:r>
      <w:r w:rsidRPr="00033F16" w:rsidR="005A1184">
        <w:t> 1</w:t>
      </w:r>
      <w:r w:rsidRPr="00033F16">
        <w:t xml:space="preserve"> OF THE CONVENTION</w:t>
      </w:r>
      <w:r w:rsidRPr="00033F16" w:rsidR="00524D31">
        <w:t xml:space="preserve"> </w:t>
      </w:r>
      <w:r w:rsidRPr="00033F16" w:rsidR="00E022D0">
        <w:t>ON ACCOUNT OF UNFAIRNESS OF THE PROCEEDINGS</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74</w:t>
      </w:r>
      <w:r>
        <w:rPr>
          <w:noProof/>
        </w:rPr>
        <w:fldChar w:fldCharType="end"/>
      </w:r>
      <w:r w:rsidRPr="00033F16" w:rsidR="00524D31">
        <w:t xml:space="preserve">.  The applicant complained under Article 6 of the Convention that the domestic courts </w:t>
      </w:r>
      <w:r w:rsidRPr="00033F16" w:rsidR="00B36F86">
        <w:t xml:space="preserve">had </w:t>
      </w:r>
      <w:r w:rsidRPr="00033F16" w:rsidR="00524D31">
        <w:t>not provide</w:t>
      </w:r>
      <w:r w:rsidRPr="00033F16" w:rsidR="00B36F86">
        <w:t>d</w:t>
      </w:r>
      <w:r w:rsidRPr="00033F16" w:rsidR="00524D31">
        <w:t xml:space="preserve"> sufficient reasoning regarding her arguments in the following two sets of proceedings: (i) the administrative proceedings concerning S.B.</w:t>
      </w:r>
      <w:r w:rsidRPr="00033F16" w:rsidR="00033F16">
        <w:t>’</w:t>
      </w:r>
      <w:r w:rsidRPr="00033F16" w:rsidR="00524D31">
        <w:t xml:space="preserve">s building permit (see paragraph </w:t>
      </w:r>
      <w:r w:rsidRPr="00033F16" w:rsidR="00524D31">
        <w:fldChar w:fldCharType="begin"/>
      </w:r>
      <w:r w:rsidRPr="00033F16" w:rsidR="00524D31">
        <w:instrText xml:space="preserve"> REF AdminProceedSB \h </w:instrText>
      </w:r>
      <w:r w:rsidRPr="00033F16" w:rsidR="00A36924">
        <w:instrText xml:space="preserve"> \* MERGEFORMAT </w:instrText>
      </w:r>
      <w:r w:rsidRPr="00033F16" w:rsidR="00524D31">
        <w:fldChar w:fldCharType="separate"/>
      </w:r>
      <w:r w:rsidRPr="00033F16" w:rsidR="00033F16">
        <w:rPr>
          <w:noProof/>
        </w:rPr>
        <w:t>20</w:t>
      </w:r>
      <w:r w:rsidRPr="00033F16" w:rsidR="00524D31">
        <w:fldChar w:fldCharType="end"/>
      </w:r>
      <w:r w:rsidRPr="00033F16" w:rsidR="00524D31">
        <w:t xml:space="preserve"> above) and (ii) the civil proceedings initiated by the applicant against I.F., the State and the municipality (see paragraph </w:t>
      </w:r>
      <w:r w:rsidRPr="00033F16" w:rsidR="00524D31">
        <w:fldChar w:fldCharType="begin"/>
      </w:r>
      <w:r w:rsidRPr="00033F16" w:rsidR="00524D31">
        <w:instrText xml:space="preserve"> REF CivilProceedIF \h </w:instrText>
      </w:r>
      <w:r w:rsidRPr="00033F16" w:rsidR="00A36924">
        <w:instrText xml:space="preserve"> \* MERGEFORMAT </w:instrText>
      </w:r>
      <w:r w:rsidRPr="00033F16" w:rsidR="00524D31">
        <w:fldChar w:fldCharType="separate"/>
      </w:r>
      <w:r w:rsidRPr="00033F16" w:rsidR="00033F16">
        <w:rPr>
          <w:noProof/>
        </w:rPr>
        <w:t>35</w:t>
      </w:r>
      <w:r w:rsidRPr="00033F16" w:rsidR="00524D31">
        <w:fldChar w:fldCharType="end"/>
      </w:r>
      <w:r w:rsidRPr="00033F16" w:rsidR="00524D31">
        <w:t xml:space="preserve"> above).</w:t>
      </w:r>
    </w:p>
    <w:p w:rsidRPr="00033F16" w:rsidR="00524D31" w:rsidP="00033F16" w:rsidRDefault="00524D31">
      <w:pPr>
        <w:pStyle w:val="JuHA"/>
      </w:pPr>
      <w:r w:rsidRPr="00033F16">
        <w:t xml:space="preserve">Complaint </w:t>
      </w:r>
      <w:r w:rsidRPr="00033F16" w:rsidR="00B36F86">
        <w:t xml:space="preserve">of a </w:t>
      </w:r>
      <w:r w:rsidRPr="00033F16">
        <w:t>lack of reasoning in the administrative proceedings concerning S.B.</w:t>
      </w:r>
      <w:r w:rsidRPr="00033F16" w:rsidR="00033F16">
        <w:t>’</w:t>
      </w:r>
      <w:r w:rsidRPr="00033F16">
        <w:t>s building permit</w:t>
      </w:r>
    </w:p>
    <w:p w:rsidRPr="00033F16" w:rsidR="00524D31" w:rsidP="00033F16" w:rsidRDefault="00524D31">
      <w:pPr>
        <w:pStyle w:val="JuH1"/>
      </w:pPr>
      <w:r w:rsidRPr="00033F16">
        <w:t>The parties</w:t>
      </w:r>
      <w:r w:rsidRPr="00033F16" w:rsidR="00033F16">
        <w:t>’</w:t>
      </w:r>
      <w:r w:rsidRPr="00033F16">
        <w:t xml:space="preserve"> arguments</w:t>
      </w:r>
    </w:p>
    <w:p w:rsidRPr="00033F16" w:rsidR="00020485" w:rsidP="00033F16" w:rsidRDefault="004D57F1">
      <w:pPr>
        <w:pStyle w:val="JuPara"/>
      </w:pPr>
      <w:r>
        <w:fldChar w:fldCharType="begin"/>
      </w:r>
      <w:r>
        <w:instrText xml:space="preserve"> SEQ level0 </w:instrText>
      </w:r>
      <w:r>
        <w:instrText xml:space="preserve">\*arabic </w:instrText>
      </w:r>
      <w:r>
        <w:fldChar w:fldCharType="separate"/>
      </w:r>
      <w:r w:rsidRPr="00033F16" w:rsidR="00033F16">
        <w:rPr>
          <w:noProof/>
        </w:rPr>
        <w:t>75</w:t>
      </w:r>
      <w:r>
        <w:rPr>
          <w:noProof/>
        </w:rPr>
        <w:fldChar w:fldCharType="end"/>
      </w:r>
      <w:r w:rsidRPr="00033F16" w:rsidR="00524D31">
        <w:t xml:space="preserve">.  The applicant </w:t>
      </w:r>
      <w:r w:rsidRPr="00033F16" w:rsidR="00F329DE">
        <w:t xml:space="preserve">submitted </w:t>
      </w:r>
      <w:r w:rsidRPr="00033F16" w:rsidR="00524D31">
        <w:t xml:space="preserve">that the Administrative Court </w:t>
      </w:r>
      <w:r w:rsidRPr="00033F16" w:rsidR="00D2393F">
        <w:t xml:space="preserve">had </w:t>
      </w:r>
      <w:r w:rsidRPr="00033F16" w:rsidR="00524D31">
        <w:t>not provide</w:t>
      </w:r>
      <w:r w:rsidRPr="00033F16" w:rsidR="00D2393F">
        <w:t>d</w:t>
      </w:r>
      <w:r w:rsidRPr="00033F16" w:rsidR="00524D31">
        <w:t xml:space="preserve"> sufficient reasoning with regard to her arguments that S.B.</w:t>
      </w:r>
      <w:r w:rsidRPr="00033F16" w:rsidR="00033F16">
        <w:t>’</w:t>
      </w:r>
      <w:r w:rsidRPr="00033F16" w:rsidR="00524D31">
        <w:t xml:space="preserve">s unlawfully constructed building </w:t>
      </w:r>
      <w:r w:rsidRPr="00033F16" w:rsidR="00D2393F">
        <w:t xml:space="preserve">had </w:t>
      </w:r>
      <w:r w:rsidRPr="00033F16" w:rsidR="00273635">
        <w:t>interfered with her property rights</w:t>
      </w:r>
      <w:r w:rsidRPr="00033F16" w:rsidR="00524D31">
        <w:t xml:space="preserve"> (see paragraph</w:t>
      </w:r>
      <w:r w:rsidRPr="00033F16" w:rsidR="00464D54">
        <w:t xml:space="preserve">s </w:t>
      </w:r>
      <w:r w:rsidRPr="00033F16" w:rsidR="00464D54">
        <w:fldChar w:fldCharType="begin"/>
      </w:r>
      <w:r w:rsidRPr="00033F16" w:rsidR="00464D54">
        <w:instrText xml:space="preserve"> REF AdminProceedSB1 \h </w:instrText>
      </w:r>
      <w:r w:rsidRPr="00033F16" w:rsidR="00A36924">
        <w:instrText xml:space="preserve"> \* MERGEFORMAT </w:instrText>
      </w:r>
      <w:r w:rsidRPr="00033F16" w:rsidR="00464D54">
        <w:fldChar w:fldCharType="separate"/>
      </w:r>
      <w:r w:rsidRPr="00033F16" w:rsidR="00033F16">
        <w:rPr>
          <w:noProof/>
        </w:rPr>
        <w:t>23</w:t>
      </w:r>
      <w:r w:rsidRPr="00033F16" w:rsidR="00464D54">
        <w:fldChar w:fldCharType="end"/>
      </w:r>
      <w:r w:rsidRPr="00033F16" w:rsidR="00464D54">
        <w:t xml:space="preserve"> and </w:t>
      </w:r>
      <w:r w:rsidRPr="00033F16" w:rsidR="00524D31">
        <w:fldChar w:fldCharType="begin"/>
      </w:r>
      <w:r w:rsidRPr="00033F16" w:rsidR="00524D31">
        <w:instrText xml:space="preserve"> REF AdminCourt \h </w:instrText>
      </w:r>
      <w:r w:rsidRPr="00033F16" w:rsidR="00A36924">
        <w:instrText xml:space="preserve"> \* MERGEFORMAT </w:instrText>
      </w:r>
      <w:r w:rsidRPr="00033F16" w:rsidR="00524D31">
        <w:fldChar w:fldCharType="separate"/>
      </w:r>
      <w:r w:rsidRPr="00033F16" w:rsidR="00033F16">
        <w:rPr>
          <w:noProof/>
        </w:rPr>
        <w:t>24</w:t>
      </w:r>
      <w:r w:rsidRPr="00033F16" w:rsidR="00524D31">
        <w:fldChar w:fldCharType="end"/>
      </w:r>
      <w:r w:rsidRPr="00033F16" w:rsidR="00524D31">
        <w:t xml:space="preserve"> above).</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76</w:t>
      </w:r>
      <w:r>
        <w:rPr>
          <w:noProof/>
        </w:rPr>
        <w:fldChar w:fldCharType="end"/>
      </w:r>
      <w:r w:rsidRPr="00033F16" w:rsidR="00524D31">
        <w:t>.  The Government argued that the applicant had only been an intervener (</w:t>
      </w:r>
      <w:r w:rsidRPr="00033F16" w:rsidR="00524D31">
        <w:rPr>
          <w:i/>
        </w:rPr>
        <w:t>вмешувач</w:t>
      </w:r>
      <w:r w:rsidRPr="00033F16" w:rsidR="00524D31">
        <w:t>) in these proceedings, which had concerned exclusively S.B.</w:t>
      </w:r>
      <w:r w:rsidRPr="00033F16" w:rsidR="00033F16">
        <w:t>’</w:t>
      </w:r>
      <w:r w:rsidRPr="00033F16" w:rsidR="00524D31">
        <w:t xml:space="preserve">s building permit and not the proprietary rights of the applicant </w:t>
      </w:r>
      <w:r w:rsidRPr="00033F16" w:rsidR="005869EF">
        <w:t xml:space="preserve">or </w:t>
      </w:r>
      <w:r w:rsidRPr="00033F16" w:rsidR="00524D31">
        <w:t xml:space="preserve">the fact that S.B. had constructed a building </w:t>
      </w:r>
      <w:r w:rsidRPr="00033F16" w:rsidR="005869EF">
        <w:t>which</w:t>
      </w:r>
      <w:r w:rsidRPr="00033F16" w:rsidR="00524D31">
        <w:t xml:space="preserve"> </w:t>
      </w:r>
      <w:r w:rsidRPr="00033F16" w:rsidR="005869EF">
        <w:t xml:space="preserve">had not been compliant </w:t>
      </w:r>
      <w:r w:rsidRPr="00033F16" w:rsidR="00524D31">
        <w:t>with the subsequently issued building permit. That court had thus provided sufficient reasons for deciding the lawfulness of the building permit.</w:t>
      </w:r>
    </w:p>
    <w:p w:rsidRPr="00033F16" w:rsidR="00020485" w:rsidP="00033F16" w:rsidRDefault="00524D31">
      <w:pPr>
        <w:pStyle w:val="JuH1"/>
      </w:pPr>
      <w:r w:rsidRPr="00033F16">
        <w:t>The Court</w:t>
      </w:r>
      <w:r w:rsidRPr="00033F16" w:rsidR="00033F16">
        <w:t>’</w:t>
      </w:r>
      <w:r w:rsidRPr="00033F16">
        <w:t>s assessment</w:t>
      </w:r>
    </w:p>
    <w:p w:rsidRPr="00033F16" w:rsidR="00524D31" w:rsidP="00033F16" w:rsidRDefault="004D57F1">
      <w:pPr>
        <w:pStyle w:val="JuPara"/>
        <w:rPr>
          <w:snapToGrid w:val="0"/>
          <w:lang w:val="pt-PT"/>
        </w:rPr>
      </w:pPr>
      <w:r>
        <w:fldChar w:fldCharType="begin"/>
      </w:r>
      <w:r>
        <w:instrText xml:space="preserve"> SEQ level0 \*arabic </w:instrText>
      </w:r>
      <w:r>
        <w:fldChar w:fldCharType="separate"/>
      </w:r>
      <w:r w:rsidRPr="00033F16" w:rsidR="00033F16">
        <w:rPr>
          <w:noProof/>
        </w:rPr>
        <w:t>77</w:t>
      </w:r>
      <w:r>
        <w:rPr>
          <w:noProof/>
        </w:rPr>
        <w:fldChar w:fldCharType="end"/>
      </w:r>
      <w:r w:rsidRPr="00033F16" w:rsidR="00524D31">
        <w:t xml:space="preserve">.  The Court reiterates that Article 6 § 1 obliges the courts to give reasons for their judgments, but cannot be understood as requiring a detailed answer to every argument (see </w:t>
      </w:r>
      <w:r w:rsidRPr="00033F16" w:rsidR="00524D31">
        <w:rPr>
          <w:i/>
        </w:rPr>
        <w:t>Van de Hurk v. the Netherlands</w:t>
      </w:r>
      <w:r w:rsidRPr="00033F16" w:rsidR="00A36924">
        <w:t xml:space="preserve">, 19 April </w:t>
      </w:r>
      <w:r w:rsidRPr="00033F16" w:rsidR="00524D31">
        <w:t xml:space="preserve">1994, § 61, Series A no. 288). The principle of fairness enshrined in Article 6 of the Convention would be disturbed where domestic courts ignore a specific, pertinent and important point made by an applicant (see, for example, </w:t>
      </w:r>
      <w:r w:rsidRPr="00033F16" w:rsidR="00524D31">
        <w:rPr>
          <w:i/>
        </w:rPr>
        <w:t>Pronina v. Ukraine</w:t>
      </w:r>
      <w:r w:rsidRPr="00033F16" w:rsidR="00524D31">
        <w:t>, no. 63566/00, § 25, 18 July 2006</w:t>
      </w:r>
      <w:r w:rsidRPr="00033F16" w:rsidR="003E6606">
        <w:t>,</w:t>
      </w:r>
      <w:r w:rsidRPr="00033F16" w:rsidR="00524D31">
        <w:t xml:space="preserve"> and </w:t>
      </w:r>
      <w:r w:rsidRPr="00033F16" w:rsidR="00A36924">
        <w:rPr>
          <w:i/>
        </w:rPr>
        <w:t>Mala v. </w:t>
      </w:r>
      <w:r w:rsidRPr="00033F16" w:rsidR="00524D31">
        <w:rPr>
          <w:i/>
        </w:rPr>
        <w:t>Ukraine</w:t>
      </w:r>
      <w:r w:rsidRPr="00033F16" w:rsidR="00524D31">
        <w:rPr>
          <w:snapToGrid w:val="0"/>
        </w:rPr>
        <w:t xml:space="preserve">, </w:t>
      </w:r>
      <w:r w:rsidRPr="00033F16" w:rsidR="00524D31">
        <w:t>no. 4436/07</w:t>
      </w:r>
      <w:r w:rsidRPr="00033F16" w:rsidR="00524D31">
        <w:rPr>
          <w:snapToGrid w:val="0"/>
        </w:rPr>
        <w:t>, § 48, 3 July 2014).</w:t>
      </w:r>
      <w:r w:rsidRPr="00033F16" w:rsidR="00524D31">
        <w:t xml:space="preserve"> Otherwise, it is in the first place for the national courts to interpret domestic law, and the Court will not substitute its own interpretation for theirs in the absence of arbitrariness (</w:t>
      </w:r>
      <w:r w:rsidRPr="00033F16" w:rsidR="003F0311">
        <w:t xml:space="preserve">see </w:t>
      </w:r>
      <w:r w:rsidRPr="00033F16" w:rsidR="003F0311">
        <w:rPr>
          <w:i/>
        </w:rPr>
        <w:t>Mala</w:t>
      </w:r>
      <w:r w:rsidRPr="00033F16" w:rsidR="003F0311">
        <w:t>, cited above</w:t>
      </w:r>
      <w:r w:rsidRPr="00033F16" w:rsidR="00524D31">
        <w:t xml:space="preserve">, </w:t>
      </w:r>
      <w:r w:rsidRPr="00033F16" w:rsidR="00524D31">
        <w:rPr>
          <w:snapToGrid w:val="0"/>
          <w:lang w:val="pt-PT"/>
        </w:rPr>
        <w:t>§ 47).</w:t>
      </w:r>
    </w:p>
    <w:p w:rsidRPr="00033F16" w:rsidR="00771D0F" w:rsidP="00033F16" w:rsidRDefault="004D57F1">
      <w:pPr>
        <w:pStyle w:val="JuPara"/>
      </w:pPr>
      <w:r>
        <w:fldChar w:fldCharType="begin"/>
      </w:r>
      <w:r>
        <w:instrText xml:space="preserve"> SEQ level0 \*arabic </w:instrText>
      </w:r>
      <w:r>
        <w:fldChar w:fldCharType="separate"/>
      </w:r>
      <w:r w:rsidRPr="00033F16" w:rsidR="00033F16">
        <w:rPr>
          <w:noProof/>
        </w:rPr>
        <w:t>78</w:t>
      </w:r>
      <w:r>
        <w:rPr>
          <w:noProof/>
        </w:rPr>
        <w:fldChar w:fldCharType="end"/>
      </w:r>
      <w:r w:rsidRPr="00033F16" w:rsidR="00524D31">
        <w:t>.  Turning to the facts of the present case, the Court notes that the subject matter of the impugned proceedings was the lawfulness of S.B.</w:t>
      </w:r>
      <w:r w:rsidRPr="00033F16" w:rsidR="00033F16">
        <w:t>’</w:t>
      </w:r>
      <w:r w:rsidRPr="00033F16" w:rsidR="00524D31">
        <w:t>s building permit. Those proceedings did not concern the issue</w:t>
      </w:r>
      <w:r w:rsidRPr="00033F16" w:rsidR="00B4045A">
        <w:t xml:space="preserve"> of</w:t>
      </w:r>
      <w:r w:rsidRPr="00033F16" w:rsidR="00524D31">
        <w:t xml:space="preserve"> whether the applicant had sustained any damage and whether any of her rights had been interfered with. The non-compliance of S.B.</w:t>
      </w:r>
      <w:r w:rsidRPr="00033F16" w:rsidR="00033F16">
        <w:t>’</w:t>
      </w:r>
      <w:r w:rsidRPr="00033F16" w:rsidR="00524D31">
        <w:t xml:space="preserve">s building with the terms of the building permit was examined in separate proceedings in which the Ministry issued a demolition order on 23 April 2004 (see paragraph </w:t>
      </w:r>
      <w:r w:rsidRPr="00033F16" w:rsidR="00524D31">
        <w:fldChar w:fldCharType="begin"/>
      </w:r>
      <w:r w:rsidRPr="00033F16" w:rsidR="00524D31">
        <w:instrText xml:space="preserve"> REF DemOrderSB \h </w:instrText>
      </w:r>
      <w:r w:rsidRPr="00033F16" w:rsidR="00A36924">
        <w:instrText xml:space="preserve"> \* MERGEFORMAT </w:instrText>
      </w:r>
      <w:r w:rsidRPr="00033F16" w:rsidR="00524D31">
        <w:fldChar w:fldCharType="separate"/>
      </w:r>
      <w:r w:rsidRPr="00033F16" w:rsidR="00033F16">
        <w:rPr>
          <w:noProof/>
        </w:rPr>
        <w:t>21</w:t>
      </w:r>
      <w:r w:rsidRPr="00033F16" w:rsidR="00524D31">
        <w:fldChar w:fldCharType="end"/>
      </w:r>
      <w:r w:rsidRPr="00033F16" w:rsidR="00524D31">
        <w:t xml:space="preserve"> above). </w:t>
      </w:r>
      <w:r w:rsidRPr="00033F16" w:rsidR="008711F9">
        <w:t xml:space="preserve">In </w:t>
      </w:r>
      <w:r w:rsidRPr="00033F16" w:rsidR="00524D31">
        <w:t>a judgment of 4 January 2012 of the Gostivar Court of Appeal, the applicant was awarded redress for the interference with her property rights and the damage caused by S.B.</w:t>
      </w:r>
      <w:r w:rsidRPr="00033F16" w:rsidR="00033F16">
        <w:t>’</w:t>
      </w:r>
      <w:r w:rsidRPr="00033F16" w:rsidR="00524D31">
        <w:t xml:space="preserve">s unlawful construction activities (see paragraph </w:t>
      </w:r>
      <w:r w:rsidRPr="00033F16" w:rsidR="00524D31">
        <w:fldChar w:fldCharType="begin"/>
      </w:r>
      <w:r w:rsidRPr="00033F16" w:rsidR="00524D31">
        <w:instrText xml:space="preserve"> REF CoADamagesSB \h </w:instrText>
      </w:r>
      <w:r w:rsidRPr="00033F16" w:rsidR="00A36924">
        <w:instrText xml:space="preserve"> \* MERGEFORMAT </w:instrText>
      </w:r>
      <w:r w:rsidRPr="00033F16" w:rsidR="00524D31">
        <w:fldChar w:fldCharType="separate"/>
      </w:r>
      <w:r w:rsidRPr="00033F16" w:rsidR="00033F16">
        <w:rPr>
          <w:noProof/>
          <w:lang w:val="mk-MK"/>
        </w:rPr>
        <w:t>30</w:t>
      </w:r>
      <w:r w:rsidRPr="00033F16" w:rsidR="00524D31">
        <w:fldChar w:fldCharType="end"/>
      </w:r>
      <w:r w:rsidRPr="00033F16" w:rsidR="00524D31">
        <w:t xml:space="preserve"> above). In such circumstances, the Court does not find any deficiency in the Administrative Court</w:t>
      </w:r>
      <w:r w:rsidRPr="00033F16" w:rsidR="00033F16">
        <w:t>’</w:t>
      </w:r>
      <w:r w:rsidRPr="00033F16" w:rsidR="00524D31">
        <w:t>s reasoning when dismissing the applicant</w:t>
      </w:r>
      <w:r w:rsidRPr="00033F16" w:rsidR="00033F16">
        <w:t>’</w:t>
      </w:r>
      <w:r w:rsidRPr="00033F16" w:rsidR="00524D31">
        <w:t>s claim.</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79</w:t>
      </w:r>
      <w:r>
        <w:rPr>
          <w:noProof/>
        </w:rPr>
        <w:fldChar w:fldCharType="end"/>
      </w:r>
      <w:r w:rsidRPr="00033F16" w:rsidR="00315D32">
        <w:t>.  </w:t>
      </w:r>
      <w:r w:rsidRPr="00033F16" w:rsidR="00524D31">
        <w:t>It concludes that this complaint is manifestly ill-founded and must be rejected in accordance with Article 35 </w:t>
      </w:r>
      <w:r w:rsidRPr="00033F16" w:rsidR="00524D31">
        <w:rPr>
          <w:rFonts w:cstheme="minorHAnsi"/>
        </w:rPr>
        <w:t>§§</w:t>
      </w:r>
      <w:r w:rsidRPr="00033F16" w:rsidR="00524D31">
        <w:t> 3 and 4 of the Convention.</w:t>
      </w:r>
    </w:p>
    <w:p w:rsidRPr="00033F16" w:rsidR="00020485" w:rsidP="00033F16" w:rsidRDefault="00524D31">
      <w:pPr>
        <w:pStyle w:val="JuHA"/>
      </w:pPr>
      <w:r w:rsidRPr="00033F16">
        <w:t xml:space="preserve">Complaint </w:t>
      </w:r>
      <w:r w:rsidRPr="00033F16" w:rsidR="00B4045A">
        <w:t xml:space="preserve">of a </w:t>
      </w:r>
      <w:r w:rsidRPr="00033F16">
        <w:t>lack of reasoning in the civil proceedings against I.F., the State and the municipality</w:t>
      </w:r>
    </w:p>
    <w:p w:rsidRPr="00033F16" w:rsidR="00524D31" w:rsidP="00033F16" w:rsidRDefault="00524D31">
      <w:pPr>
        <w:pStyle w:val="JuH1"/>
      </w:pPr>
      <w:r w:rsidRPr="00033F16">
        <w:t>The parties</w:t>
      </w:r>
      <w:r w:rsidRPr="00033F16" w:rsidR="00033F16">
        <w:t>’</w:t>
      </w:r>
      <w:r w:rsidRPr="00033F16">
        <w:t xml:space="preserve"> arguments</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80</w:t>
      </w:r>
      <w:r>
        <w:rPr>
          <w:noProof/>
        </w:rPr>
        <w:fldChar w:fldCharType="end"/>
      </w:r>
      <w:r w:rsidRPr="00033F16" w:rsidR="00524D31">
        <w:t>.  The applicant contended that the domestic courts did not properly assess the findings of the court-ordered expert report and the liability of the State and the municipality for the non-enforcement of the demolition orders against I.F.</w:t>
      </w:r>
      <w:r w:rsidRPr="00033F16" w:rsidR="00033F16">
        <w:t>’</w:t>
      </w:r>
      <w:r w:rsidRPr="00033F16" w:rsidR="00524D31">
        <w:t xml:space="preserve">s unlawfully constructed building (see paragraph </w:t>
      </w:r>
      <w:r w:rsidRPr="00033F16" w:rsidR="00524D31">
        <w:fldChar w:fldCharType="begin"/>
      </w:r>
      <w:r w:rsidRPr="00033F16" w:rsidR="00524D31">
        <w:instrText xml:space="preserve"> REF OutcomeCivIF \h </w:instrText>
      </w:r>
      <w:r w:rsidRPr="00033F16" w:rsidR="00A36924">
        <w:instrText xml:space="preserve"> \* MERGEFORMAT </w:instrText>
      </w:r>
      <w:r w:rsidRPr="00033F16" w:rsidR="00524D31">
        <w:fldChar w:fldCharType="separate"/>
      </w:r>
      <w:r w:rsidRPr="00033F16" w:rsidR="00033F16">
        <w:rPr>
          <w:noProof/>
        </w:rPr>
        <w:t>37</w:t>
      </w:r>
      <w:r w:rsidRPr="00033F16" w:rsidR="00524D31">
        <w:fldChar w:fldCharType="end"/>
      </w:r>
      <w:r w:rsidRPr="00033F16" w:rsidR="00524D31">
        <w:t xml:space="preserve"> above).</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81</w:t>
      </w:r>
      <w:r>
        <w:rPr>
          <w:noProof/>
        </w:rPr>
        <w:fldChar w:fldCharType="end"/>
      </w:r>
      <w:r w:rsidRPr="00033F16" w:rsidR="00524D31">
        <w:t>.  The Government considered that the domestic courts have provided sufficient reasons for dismissing the applicant</w:t>
      </w:r>
      <w:r w:rsidRPr="00033F16" w:rsidR="00033F16">
        <w:t>’</w:t>
      </w:r>
      <w:r w:rsidRPr="00033F16" w:rsidR="00524D31">
        <w:t>s claim. They maintained, with reference to the Court</w:t>
      </w:r>
      <w:r w:rsidRPr="00033F16" w:rsidR="00033F16">
        <w:t>’</w:t>
      </w:r>
      <w:r w:rsidRPr="00033F16" w:rsidR="00524D31">
        <w:t xml:space="preserve">s case-law, that it </w:t>
      </w:r>
      <w:r w:rsidRPr="00033F16" w:rsidR="00D92E75">
        <w:t xml:space="preserve">was </w:t>
      </w:r>
      <w:r w:rsidRPr="00033F16" w:rsidR="00524D31">
        <w:t>primarily for the domestic courts to assess the evidence before them. The courts examined all the evidence and established the relevant facts on which they based their assessment, providing sufficient reasons for their decisions.</w:t>
      </w:r>
    </w:p>
    <w:p w:rsidRPr="00033F16" w:rsidR="00020485" w:rsidP="00033F16" w:rsidRDefault="00524D31">
      <w:pPr>
        <w:pStyle w:val="JuH1"/>
      </w:pPr>
      <w:r w:rsidRPr="00033F16">
        <w:t>The Court</w:t>
      </w:r>
      <w:r w:rsidRPr="00033F16" w:rsidR="00033F16">
        <w:t>’</w:t>
      </w:r>
      <w:r w:rsidRPr="00033F16">
        <w:t>s assessment</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82</w:t>
      </w:r>
      <w:r>
        <w:rPr>
          <w:noProof/>
        </w:rPr>
        <w:fldChar w:fldCharType="end"/>
      </w:r>
      <w:r w:rsidRPr="00033F16" w:rsidR="00524D31">
        <w:t>.  The Court notes at the outset that the applicant</w:t>
      </w:r>
      <w:r w:rsidRPr="00033F16" w:rsidR="00033F16">
        <w:t>’</w:t>
      </w:r>
      <w:r w:rsidRPr="00033F16" w:rsidR="00524D31">
        <w:t xml:space="preserve">s complaint essentially concerns the assessment of evidence by the domestic courts and the interpretation of the domestic law with regard to her claim for damages. </w:t>
      </w:r>
      <w:r w:rsidRPr="00033F16" w:rsidR="00946368">
        <w:t xml:space="preserve">Pursuant </w:t>
      </w:r>
      <w:r w:rsidRPr="00033F16" w:rsidR="00524D31">
        <w:t xml:space="preserve">to Article 19 of the Convention, the duty of the Court is to ensure the observance of the engagements undertaken by the Contracting Parties to the Convention. In particular, it is not its function to deal with errors of fact or law allegedly committed by a national court unless and in so far as they may have infringed rights and freedoms protected by the Convention (see </w:t>
      </w:r>
      <w:r w:rsidRPr="00033F16" w:rsidR="00524D31">
        <w:rPr>
          <w:i/>
        </w:rPr>
        <w:t>Carmel Saliba v. Malta</w:t>
      </w:r>
      <w:r w:rsidRPr="00033F16" w:rsidR="00524D31">
        <w:t xml:space="preserve">, no. 24221/13, § 62, 29 November 2016). Therefore, the Court will not in principle intervene unless the decisions reached by the domestic courts appear arbitrary or manifestly unreasonable (see </w:t>
      </w:r>
      <w:r w:rsidRPr="00033F16" w:rsidR="00524D31">
        <w:rPr>
          <w:i/>
        </w:rPr>
        <w:t>Bochan v. Ukraine (no. 2)</w:t>
      </w:r>
      <w:r w:rsidRPr="00033F16" w:rsidR="00524D31">
        <w:t xml:space="preserve"> [GC], </w:t>
      </w:r>
      <w:r w:rsidRPr="00033F16" w:rsidR="00524D31">
        <w:rPr>
          <w:snapToGrid w:val="0"/>
        </w:rPr>
        <w:t>no.</w:t>
      </w:r>
      <w:r w:rsidRPr="00033F16" w:rsidR="00524D31">
        <w:t xml:space="preserve"> 22251/08</w:t>
      </w:r>
      <w:r w:rsidRPr="00033F16" w:rsidR="00524D31">
        <w:rPr>
          <w:snapToGrid w:val="0"/>
        </w:rPr>
        <w:t>, § 61, ECHR 2015</w:t>
      </w:r>
      <w:r w:rsidRPr="00033F16" w:rsidR="00524D31">
        <w:t xml:space="preserve">), and provided that the proceedings as a whole were </w:t>
      </w:r>
      <w:r w:rsidRPr="00033F16" w:rsidR="007F599E">
        <w:t>fair as required by Article 6</w:t>
      </w:r>
      <w:r w:rsidRPr="00033F16" w:rsidR="00A36924">
        <w:t xml:space="preserve"> </w:t>
      </w:r>
      <w:r w:rsidRPr="00033F16" w:rsidR="007F599E">
        <w:t>§</w:t>
      </w:r>
      <w:r w:rsidRPr="00033F16" w:rsidR="005A1184">
        <w:t> </w:t>
      </w:r>
      <w:r w:rsidRPr="00033F16" w:rsidR="00524D31">
        <w:t xml:space="preserve">1 (see </w:t>
      </w:r>
      <w:r w:rsidRPr="00033F16" w:rsidR="00524D31">
        <w:rPr>
          <w:i/>
        </w:rPr>
        <w:t>Khamidov v. Russia</w:t>
      </w:r>
      <w:r w:rsidRPr="00033F16" w:rsidR="00524D31">
        <w:t>, no. 72118/01, § 170, 15 November 2007).</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83</w:t>
      </w:r>
      <w:r>
        <w:rPr>
          <w:noProof/>
        </w:rPr>
        <w:fldChar w:fldCharType="end"/>
      </w:r>
      <w:r w:rsidRPr="00033F16" w:rsidR="00524D31">
        <w:t>.  The Court notes that the domestic courts</w:t>
      </w:r>
      <w:r w:rsidRPr="00033F16" w:rsidR="008958F1">
        <w:t>,</w:t>
      </w:r>
      <w:r w:rsidRPr="00033F16" w:rsidR="00524D31">
        <w:t xml:space="preserve"> at three levels of jurisdiction, after having found that the applicant</w:t>
      </w:r>
      <w:r w:rsidRPr="00033F16" w:rsidR="00033F16">
        <w:t>’</w:t>
      </w:r>
      <w:r w:rsidRPr="00033F16" w:rsidR="00524D31">
        <w:t>s claim for damages was unsubstantiated in the particular circumstances of the case, provided sufficiently clear reasons for their decisions. There is nothing to suggest that their decisions are manifestly unreasonable or arbitrary. It follows that this complaint is manifestly ill-founded and must be rejected in accordance with Article 35 </w:t>
      </w:r>
      <w:r w:rsidRPr="00033F16" w:rsidR="00524D31">
        <w:rPr>
          <w:rFonts w:cstheme="minorHAnsi"/>
        </w:rPr>
        <w:t>§§</w:t>
      </w:r>
      <w:r w:rsidRPr="00033F16" w:rsidR="00524D31">
        <w:t xml:space="preserve"> 3 and 4 of the Convention.</w:t>
      </w:r>
    </w:p>
    <w:p w:rsidRPr="00033F16" w:rsidR="00D420F3" w:rsidP="00033F16" w:rsidRDefault="0077175D">
      <w:pPr>
        <w:pStyle w:val="JuHIRoman"/>
      </w:pPr>
      <w:r w:rsidRPr="00033F16">
        <w:t xml:space="preserve">ALLEGED VIOLATION OF ARTICLE </w:t>
      </w:r>
      <w:r w:rsidRPr="00033F16" w:rsidR="00524D31">
        <w:t xml:space="preserve">1 OF PROTOCOL </w:t>
      </w:r>
      <w:r w:rsidRPr="00033F16" w:rsidR="005A1184">
        <w:t xml:space="preserve">No.1 </w:t>
      </w:r>
      <w:r w:rsidRPr="00033F16" w:rsidR="00524D31">
        <w:t>TO</w:t>
      </w:r>
      <w:r w:rsidRPr="00033F16">
        <w:t xml:space="preserve"> THE CONVENTION</w:t>
      </w:r>
    </w:p>
    <w:p w:rsidRPr="00033F16" w:rsidR="00524D31" w:rsidP="00033F16" w:rsidRDefault="004D57F1">
      <w:pPr>
        <w:pStyle w:val="JuPara"/>
      </w:pPr>
      <w:r>
        <w:fldChar w:fldCharType="begin"/>
      </w:r>
      <w:r>
        <w:instrText xml:space="preserve"> </w:instrText>
      </w:r>
      <w:r>
        <w:instrText xml:space="preserve">SEQ level0 \*arabic </w:instrText>
      </w:r>
      <w:r>
        <w:fldChar w:fldCharType="separate"/>
      </w:r>
      <w:r w:rsidRPr="00033F16" w:rsidR="00033F16">
        <w:rPr>
          <w:noProof/>
        </w:rPr>
        <w:t>84</w:t>
      </w:r>
      <w:r>
        <w:rPr>
          <w:noProof/>
        </w:rPr>
        <w:fldChar w:fldCharType="end"/>
      </w:r>
      <w:r w:rsidRPr="00033F16" w:rsidR="00524D31">
        <w:t xml:space="preserve">.  The applicant complained that </w:t>
      </w:r>
      <w:r w:rsidRPr="00033F16" w:rsidR="006754BE">
        <w:t xml:space="preserve">owing </w:t>
      </w:r>
      <w:r w:rsidRPr="00033F16" w:rsidR="00524D31">
        <w:t xml:space="preserve">to the lengthy non-enforcement of the decisions in her favour, the State had failed to protect her property rights and her investment in the commercial </w:t>
      </w:r>
      <w:r w:rsidRPr="00033F16" w:rsidR="006754BE">
        <w:t xml:space="preserve">space </w:t>
      </w:r>
      <w:r w:rsidRPr="00033F16" w:rsidR="00524D31">
        <w:t xml:space="preserve">from the disturbances caused by the construction </w:t>
      </w:r>
      <w:r w:rsidRPr="00033F16" w:rsidR="006754BE">
        <w:t xml:space="preserve">work </w:t>
      </w:r>
      <w:r w:rsidRPr="00033F16" w:rsidR="00524D31">
        <w:t>of her two neighbours. She relied on Article 1 of Protocol No.1 to the Convention, which reads as follows:</w:t>
      </w:r>
    </w:p>
    <w:p w:rsidRPr="00033F16" w:rsidR="00524D31" w:rsidP="00033F16" w:rsidRDefault="00524D31">
      <w:pPr>
        <w:pStyle w:val="JuQuot"/>
      </w:pPr>
      <w:r w:rsidRPr="00033F16">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033F16" w:rsidR="00524D31" w:rsidP="00033F16" w:rsidRDefault="00524D31">
      <w:pPr>
        <w:pStyle w:val="JuQuot"/>
      </w:pPr>
      <w:r w:rsidRPr="00033F16">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033F16" w:rsidR="00524D31" w:rsidP="00033F16" w:rsidRDefault="00524D31">
      <w:pPr>
        <w:pStyle w:val="JuH1"/>
      </w:pPr>
      <w:r w:rsidRPr="00033F16">
        <w:t>The parties</w:t>
      </w:r>
      <w:r w:rsidRPr="00033F16" w:rsidR="00033F16">
        <w:t>’</w:t>
      </w:r>
      <w:r w:rsidRPr="00033F16">
        <w:t xml:space="preserve"> arguments</w:t>
      </w:r>
    </w:p>
    <w:p w:rsidRPr="00033F16" w:rsidR="00524D31" w:rsidP="00033F16" w:rsidRDefault="00524D31">
      <w:pPr>
        <w:pStyle w:val="JuHa0"/>
      </w:pPr>
      <w:r w:rsidRPr="00033F16">
        <w:t>The applicant</w:t>
      </w:r>
    </w:p>
    <w:p w:rsidRPr="00033F16" w:rsidR="00670D4A" w:rsidP="00033F16" w:rsidRDefault="004D57F1">
      <w:pPr>
        <w:pStyle w:val="JuPara"/>
      </w:pPr>
      <w:r>
        <w:fldChar w:fldCharType="begin"/>
      </w:r>
      <w:r>
        <w:instrText xml:space="preserve"> SEQ level0 \*arabic </w:instrText>
      </w:r>
      <w:r>
        <w:fldChar w:fldCharType="separate"/>
      </w:r>
      <w:r w:rsidRPr="00033F16" w:rsidR="00033F16">
        <w:rPr>
          <w:noProof/>
        </w:rPr>
        <w:t>85</w:t>
      </w:r>
      <w:r>
        <w:rPr>
          <w:noProof/>
        </w:rPr>
        <w:fldChar w:fldCharType="end"/>
      </w:r>
      <w:r w:rsidRPr="00033F16" w:rsidR="00524D31">
        <w:t xml:space="preserve">.  The applicant complained </w:t>
      </w:r>
      <w:r w:rsidRPr="00033F16" w:rsidR="00030A12">
        <w:t xml:space="preserve">of </w:t>
      </w:r>
      <w:r w:rsidRPr="00033F16" w:rsidR="00524D31">
        <w:t>the lengthy non-enforcement of several demolition orders against her neighbours and other court decisions in her favour. I.F.</w:t>
      </w:r>
      <w:r w:rsidRPr="00033F16" w:rsidR="00033F16">
        <w:t>’</w:t>
      </w:r>
      <w:r w:rsidRPr="00033F16" w:rsidR="00524D31">
        <w:t xml:space="preserve">s unlawfully constructed building </w:t>
      </w:r>
      <w:r w:rsidRPr="00033F16" w:rsidR="00030A12">
        <w:t xml:space="preserve">had </w:t>
      </w:r>
      <w:r w:rsidRPr="00033F16" w:rsidR="00524D31">
        <w:t xml:space="preserve">occupied an area which, according to the urban plan, </w:t>
      </w:r>
      <w:r w:rsidRPr="00033F16" w:rsidR="00030A12">
        <w:t xml:space="preserve">had been </w:t>
      </w:r>
      <w:r w:rsidRPr="00033F16" w:rsidR="00524D31">
        <w:t xml:space="preserve">foreseen for </w:t>
      </w:r>
      <w:r w:rsidRPr="00033F16" w:rsidR="006754BE">
        <w:t xml:space="preserve">an </w:t>
      </w:r>
      <w:r w:rsidRPr="00033F16" w:rsidR="00524D31">
        <w:t>extension of the street. With his building, S.B. had occupied part of the land owned by the applicant and destroyed the border wall and part of the applicant</w:t>
      </w:r>
      <w:r w:rsidRPr="00033F16" w:rsidR="00033F16">
        <w:t>’</w:t>
      </w:r>
      <w:r w:rsidRPr="00033F16" w:rsidR="00524D31">
        <w:t xml:space="preserve">s terrace, thus causing damage to her property. The applicant argued that her property and her investment in the commercial </w:t>
      </w:r>
      <w:r w:rsidRPr="00033F16" w:rsidR="006754BE">
        <w:t xml:space="preserve">space </w:t>
      </w:r>
      <w:r w:rsidRPr="00033F16" w:rsidR="00524D31">
        <w:t>had lost value</w:t>
      </w:r>
      <w:r w:rsidRPr="00033F16" w:rsidR="006A73BB">
        <w:t>.</w:t>
      </w:r>
      <w:r w:rsidRPr="00033F16" w:rsidR="00524D31">
        <w:t xml:space="preserve"> </w:t>
      </w:r>
      <w:r w:rsidRPr="00033F16" w:rsidR="006A73BB">
        <w:t>S</w:t>
      </w:r>
      <w:r w:rsidRPr="00033F16" w:rsidR="00524D31">
        <w:t xml:space="preserve">he alleged loss of income from the rent of the premises in the commercial </w:t>
      </w:r>
      <w:r w:rsidRPr="00033F16" w:rsidR="006754BE">
        <w:t xml:space="preserve">space </w:t>
      </w:r>
      <w:r w:rsidRPr="00033F16" w:rsidR="00524D31">
        <w:t xml:space="preserve">and the </w:t>
      </w:r>
      <w:r w:rsidRPr="00033F16" w:rsidR="006754BE">
        <w:t xml:space="preserve">stalls </w:t>
      </w:r>
      <w:r w:rsidRPr="00033F16" w:rsidR="00524D31">
        <w:t xml:space="preserve">in the market because her property </w:t>
      </w:r>
      <w:r w:rsidRPr="00033F16" w:rsidR="006754BE">
        <w:t xml:space="preserve">had </w:t>
      </w:r>
      <w:r w:rsidRPr="00033F16" w:rsidR="00524D31">
        <w:t>not h</w:t>
      </w:r>
      <w:r w:rsidRPr="00033F16" w:rsidR="006754BE">
        <w:t>ad</w:t>
      </w:r>
      <w:r w:rsidRPr="00033F16" w:rsidR="00524D31">
        <w:t xml:space="preserve"> access to the street.</w:t>
      </w:r>
    </w:p>
    <w:bookmarkStart w:name="APP_Obs" w:id="29"/>
    <w:p w:rsidRPr="00033F16" w:rsidR="00524D31" w:rsidP="00033F16" w:rsidRDefault="00670D4A">
      <w:pPr>
        <w:pStyle w:val="JuPara"/>
      </w:pPr>
      <w:r w:rsidRPr="00033F16">
        <w:fldChar w:fldCharType="begin"/>
      </w:r>
      <w:r w:rsidRPr="00033F16">
        <w:instrText xml:space="preserve"> SEQ level0 \*arabic </w:instrText>
      </w:r>
      <w:r w:rsidRPr="00033F16">
        <w:fldChar w:fldCharType="separate"/>
      </w:r>
      <w:r w:rsidRPr="00033F16" w:rsidR="00033F16">
        <w:rPr>
          <w:noProof/>
        </w:rPr>
        <w:t>86</w:t>
      </w:r>
      <w:r w:rsidRPr="00033F16">
        <w:fldChar w:fldCharType="end"/>
      </w:r>
      <w:bookmarkEnd w:id="29"/>
      <w:r w:rsidRPr="00033F16">
        <w:t>.  In her observations submitted on 8 June 2015</w:t>
      </w:r>
      <w:r w:rsidRPr="00033F16" w:rsidR="00A30E6A">
        <w:t>,</w:t>
      </w:r>
      <w:r w:rsidRPr="00033F16">
        <w:t xml:space="preserve"> the applicant informed the Court that she had obtained compensation in the amount of EUR 11,000 on the basis of </w:t>
      </w:r>
      <w:r w:rsidRPr="00033F16" w:rsidR="00380756">
        <w:t>the Gostivar Court of Appeal</w:t>
      </w:r>
      <w:r w:rsidRPr="00033F16" w:rsidR="00033F16">
        <w:t>’</w:t>
      </w:r>
      <w:r w:rsidRPr="00033F16" w:rsidR="00380756">
        <w:t xml:space="preserve">s </w:t>
      </w:r>
      <w:r w:rsidRPr="00033F16">
        <w:t xml:space="preserve">final judgment of 4 January 2012 (see paragraph </w:t>
      </w:r>
      <w:r w:rsidRPr="00033F16">
        <w:fldChar w:fldCharType="begin"/>
      </w:r>
      <w:r w:rsidRPr="00033F16">
        <w:instrText xml:space="preserve"> REF CoADamagesSB \h </w:instrText>
      </w:r>
      <w:r w:rsidRPr="00033F16" w:rsidR="00A36924">
        <w:instrText xml:space="preserve"> \* MERGEFORMAT </w:instrText>
      </w:r>
      <w:r w:rsidRPr="00033F16">
        <w:fldChar w:fldCharType="separate"/>
      </w:r>
      <w:r w:rsidRPr="00033F16" w:rsidR="00033F16">
        <w:rPr>
          <w:noProof/>
          <w:lang w:val="mk-MK"/>
        </w:rPr>
        <w:t>30</w:t>
      </w:r>
      <w:r w:rsidRPr="00033F16">
        <w:fldChar w:fldCharType="end"/>
      </w:r>
      <w:r w:rsidRPr="00033F16">
        <w:t xml:space="preserve"> above). In her subsequent observations, the applicant maintained that she could still be considered as a victim as regards the alleged violations of her property rights. She noted that the neighbours</w:t>
      </w:r>
      <w:r w:rsidRPr="00033F16" w:rsidR="00033F16">
        <w:t>’</w:t>
      </w:r>
      <w:r w:rsidRPr="00033F16">
        <w:t xml:space="preserve"> unlawfully constructed buildings had been legalised and included in the new urban plan thus causing irreparable damage to her property.</w:t>
      </w:r>
    </w:p>
    <w:p w:rsidRPr="00033F16" w:rsidR="00524D31" w:rsidP="00033F16" w:rsidRDefault="00524D31">
      <w:pPr>
        <w:pStyle w:val="JuHa0"/>
      </w:pPr>
      <w:r w:rsidRPr="00033F16">
        <w:t>The Government</w:t>
      </w:r>
    </w:p>
    <w:p w:rsidRPr="00033F16" w:rsidR="00771D0F" w:rsidP="00033F16" w:rsidRDefault="004D57F1">
      <w:pPr>
        <w:pStyle w:val="JuPara"/>
      </w:pPr>
      <w:r>
        <w:fldChar w:fldCharType="begin"/>
      </w:r>
      <w:r>
        <w:instrText xml:space="preserve"> SEQ level0 \*arabic </w:instrText>
      </w:r>
      <w:r>
        <w:fldChar w:fldCharType="separate"/>
      </w:r>
      <w:r w:rsidRPr="00033F16" w:rsidR="00033F16">
        <w:rPr>
          <w:noProof/>
        </w:rPr>
        <w:t>87</w:t>
      </w:r>
      <w:r>
        <w:rPr>
          <w:noProof/>
        </w:rPr>
        <w:fldChar w:fldCharType="end"/>
      </w:r>
      <w:r w:rsidRPr="00033F16" w:rsidR="00524D31">
        <w:t>.  The Government considered that, in view of the domestic courts</w:t>
      </w:r>
      <w:r w:rsidRPr="00033F16" w:rsidR="00033F16">
        <w:t>’</w:t>
      </w:r>
      <w:r w:rsidRPr="00033F16" w:rsidR="00524D31">
        <w:t xml:space="preserve"> findings (see paragraph </w:t>
      </w:r>
      <w:r w:rsidRPr="00033F16" w:rsidR="00524D31">
        <w:fldChar w:fldCharType="begin"/>
      </w:r>
      <w:r w:rsidRPr="00033F16" w:rsidR="00524D31">
        <w:instrText xml:space="preserve"> REF CivilProceedIF \h  \* MERGEFORMAT </w:instrText>
      </w:r>
      <w:r w:rsidRPr="00033F16" w:rsidR="00524D31">
        <w:fldChar w:fldCharType="separate"/>
      </w:r>
      <w:r w:rsidRPr="00033F16" w:rsidR="00033F16">
        <w:rPr>
          <w:noProof/>
        </w:rPr>
        <w:t>35</w:t>
      </w:r>
      <w:r w:rsidRPr="00033F16" w:rsidR="00524D31">
        <w:fldChar w:fldCharType="end"/>
      </w:r>
      <w:r w:rsidRPr="00033F16" w:rsidR="00524D31">
        <w:t xml:space="preserve"> above)</w:t>
      </w:r>
      <w:r w:rsidRPr="00033F16" w:rsidR="00B037E8">
        <w:t xml:space="preserve"> the applicant</w:t>
      </w:r>
      <w:r w:rsidRPr="00033F16" w:rsidR="00524D31">
        <w:t xml:space="preserve"> had</w:t>
      </w:r>
      <w:r w:rsidRPr="00033F16" w:rsidR="00EC7092">
        <w:t xml:space="preserve"> had</w:t>
      </w:r>
      <w:r w:rsidRPr="00033F16" w:rsidR="00524D31">
        <w:t xml:space="preserve"> no legitimate expectations within the meaning of Article 1 of Protocol No.1 in respect of the business undertaking. </w:t>
      </w:r>
      <w:r w:rsidRPr="00033F16" w:rsidR="00670D4A">
        <w:t>They argued that no causal link existed between the</w:t>
      </w:r>
      <w:r w:rsidRPr="00033F16" w:rsidR="00434AC5">
        <w:t xml:space="preserve"> implementation of the</w:t>
      </w:r>
      <w:r w:rsidRPr="00033F16" w:rsidR="00670D4A">
        <w:t xml:space="preserve"> applicant</w:t>
      </w:r>
      <w:r w:rsidRPr="00033F16" w:rsidR="00033F16">
        <w:t>’</w:t>
      </w:r>
      <w:r w:rsidRPr="00033F16" w:rsidR="00670D4A">
        <w:t xml:space="preserve">s business plans and the non-enforcement of the decisions regarding her two neighbours. </w:t>
      </w:r>
      <w:r w:rsidRPr="00033F16" w:rsidR="00427ADC">
        <w:t>T</w:t>
      </w:r>
      <w:r w:rsidRPr="00033F16" w:rsidR="00524D31">
        <w:t>he applicant</w:t>
      </w:r>
      <w:r w:rsidRPr="00033F16" w:rsidR="00033F16">
        <w:t>’</w:t>
      </w:r>
      <w:r w:rsidRPr="00033F16" w:rsidR="00B037E8">
        <w:t xml:space="preserve">s </w:t>
      </w:r>
      <w:r w:rsidRPr="00033F16" w:rsidR="00524D31">
        <w:t xml:space="preserve">permit </w:t>
      </w:r>
      <w:r w:rsidRPr="00033F16" w:rsidR="00EC7092">
        <w:t xml:space="preserve">had been </w:t>
      </w:r>
      <w:r w:rsidRPr="00033F16" w:rsidR="00524D31">
        <w:t xml:space="preserve">of </w:t>
      </w:r>
      <w:r w:rsidRPr="00033F16" w:rsidR="002C4CCB">
        <w:t>two</w:t>
      </w:r>
      <w:r w:rsidRPr="00033F16" w:rsidR="00524D31">
        <w:t>-year duration</w:t>
      </w:r>
      <w:r w:rsidRPr="00033F16" w:rsidR="00EC7092">
        <w:t xml:space="preserve"> </w:t>
      </w:r>
      <w:r w:rsidRPr="00033F16" w:rsidR="00B037E8">
        <w:t xml:space="preserve">and </w:t>
      </w:r>
      <w:r w:rsidRPr="00033F16" w:rsidR="00EC7092">
        <w:t xml:space="preserve">had </w:t>
      </w:r>
      <w:r w:rsidRPr="00033F16" w:rsidR="00524D31">
        <w:t xml:space="preserve">expired without the market ever </w:t>
      </w:r>
      <w:r w:rsidRPr="00033F16" w:rsidR="00EC7092">
        <w:t xml:space="preserve">having </w:t>
      </w:r>
      <w:r w:rsidRPr="00033F16" w:rsidR="00524D31">
        <w:t>becom</w:t>
      </w:r>
      <w:r w:rsidRPr="00033F16" w:rsidR="00EC7092">
        <w:t>e</w:t>
      </w:r>
      <w:r w:rsidRPr="00033F16" w:rsidR="00524D31">
        <w:t xml:space="preserve"> operational, even though both neighbours did not begin with construction activities until the summer of 2002. </w:t>
      </w:r>
      <w:r w:rsidRPr="00033F16" w:rsidR="00D06538">
        <w:t>She</w:t>
      </w:r>
      <w:r w:rsidRPr="00033F16" w:rsidR="00524D31">
        <w:t xml:space="preserve"> </w:t>
      </w:r>
      <w:r w:rsidRPr="00033F16" w:rsidR="007A2B57">
        <w:t xml:space="preserve">had </w:t>
      </w:r>
      <w:r w:rsidRPr="00033F16" w:rsidR="00524D31">
        <w:t>obtain</w:t>
      </w:r>
      <w:r w:rsidRPr="00033F16" w:rsidR="00D06538">
        <w:t>ed</w:t>
      </w:r>
      <w:r w:rsidRPr="00033F16" w:rsidR="00524D31">
        <w:t xml:space="preserve"> some income from leasing the commercial </w:t>
      </w:r>
      <w:r w:rsidRPr="00033F16" w:rsidR="007A2B57">
        <w:t xml:space="preserve">space </w:t>
      </w:r>
      <w:r w:rsidRPr="00033F16" w:rsidR="00524D31">
        <w:t>as storage space</w:t>
      </w:r>
      <w:r w:rsidRPr="00033F16" w:rsidR="007A2B57">
        <w:t>; even though</w:t>
      </w:r>
      <w:r w:rsidRPr="00033F16" w:rsidR="00524D31">
        <w:t xml:space="preserve"> it </w:t>
      </w:r>
      <w:r w:rsidRPr="00033F16" w:rsidR="007A2B57">
        <w:t xml:space="preserve">had </w:t>
      </w:r>
      <w:r w:rsidRPr="00033F16" w:rsidR="00524D31">
        <w:t>remained unfinished.</w:t>
      </w:r>
      <w:r w:rsidRPr="00033F16" w:rsidR="00670D4A">
        <w:t xml:space="preserve"> I.F.</w:t>
      </w:r>
      <w:r w:rsidRPr="00033F16" w:rsidR="00033F16">
        <w:t>’</w:t>
      </w:r>
      <w:r w:rsidRPr="00033F16" w:rsidR="00670D4A">
        <w:t xml:space="preserve">s right to maintain the temporary building had not been affected by the demolition orders. </w:t>
      </w:r>
      <w:r w:rsidRPr="00033F16" w:rsidR="00434AC5">
        <w:t>Given the applicant</w:t>
      </w:r>
      <w:r w:rsidRPr="00033F16" w:rsidR="00033F16">
        <w:t>’</w:t>
      </w:r>
      <w:r w:rsidRPr="00033F16" w:rsidR="00434AC5">
        <w:t>s withdrawal of the injunction against S.B. and the decision declar</w:t>
      </w:r>
      <w:r w:rsidRPr="00033F16" w:rsidR="00547B7D">
        <w:t>ing</w:t>
      </w:r>
      <w:r w:rsidRPr="00033F16" w:rsidR="00434AC5">
        <w:t xml:space="preserve"> </w:t>
      </w:r>
      <w:r w:rsidRPr="00033F16" w:rsidR="00547B7D">
        <w:t>her</w:t>
      </w:r>
      <w:r w:rsidRPr="00033F16" w:rsidR="00434AC5">
        <w:t xml:space="preserve"> enforcement request withdrawn (see paragraph</w:t>
      </w:r>
      <w:r w:rsidRPr="00033F16" w:rsidR="007A5343">
        <w:t xml:space="preserve">s </w:t>
      </w:r>
      <w:r w:rsidRPr="00033F16" w:rsidR="007A5343">
        <w:fldChar w:fldCharType="begin"/>
      </w:r>
      <w:r w:rsidRPr="00033F16" w:rsidR="007A5343">
        <w:instrText xml:space="preserve"> REF WithdrawalInj \h </w:instrText>
      </w:r>
      <w:r w:rsidRPr="00033F16" w:rsidR="00A36924">
        <w:instrText xml:space="preserve"> \* MERGEFORMAT </w:instrText>
      </w:r>
      <w:r w:rsidRPr="00033F16" w:rsidR="007A5343">
        <w:fldChar w:fldCharType="separate"/>
      </w:r>
      <w:r w:rsidRPr="00033F16" w:rsidR="00033F16">
        <w:rPr>
          <w:noProof/>
        </w:rPr>
        <w:t>14</w:t>
      </w:r>
      <w:r w:rsidRPr="00033F16" w:rsidR="007A5343">
        <w:fldChar w:fldCharType="end"/>
      </w:r>
      <w:r w:rsidRPr="00033F16" w:rsidR="007A5343">
        <w:t xml:space="preserve"> and</w:t>
      </w:r>
      <w:r w:rsidRPr="00033F16" w:rsidR="00434AC5">
        <w:t xml:space="preserve"> </w:t>
      </w:r>
      <w:r w:rsidRPr="00033F16" w:rsidR="00434AC5">
        <w:fldChar w:fldCharType="begin"/>
      </w:r>
      <w:r w:rsidRPr="00033F16" w:rsidR="00434AC5">
        <w:instrText xml:space="preserve"> REF EnforcementWidr \h </w:instrText>
      </w:r>
      <w:r w:rsidRPr="00033F16" w:rsidR="00A36924">
        <w:instrText xml:space="preserve"> \* MERGEFORMAT </w:instrText>
      </w:r>
      <w:r w:rsidRPr="00033F16" w:rsidR="00434AC5">
        <w:fldChar w:fldCharType="separate"/>
      </w:r>
      <w:r w:rsidRPr="00033F16" w:rsidR="00033F16">
        <w:rPr>
          <w:noProof/>
        </w:rPr>
        <w:t>17</w:t>
      </w:r>
      <w:r w:rsidRPr="00033F16" w:rsidR="00434AC5">
        <w:fldChar w:fldCharType="end"/>
      </w:r>
      <w:r w:rsidRPr="00033F16" w:rsidR="00434AC5">
        <w:t xml:space="preserve"> above), the State did not have any positive obligations under Article 1 of Protocol No.1</w:t>
      </w:r>
      <w:r w:rsidRPr="00033F16" w:rsidR="0095469D">
        <w:t xml:space="preserve"> to the Convention</w:t>
      </w:r>
      <w:r w:rsidRPr="00033F16" w:rsidR="00434AC5">
        <w:t>. They noted that S.B.</w:t>
      </w:r>
      <w:r w:rsidRPr="00033F16" w:rsidR="00033F16">
        <w:t>’</w:t>
      </w:r>
      <w:r w:rsidRPr="00033F16" w:rsidR="00434AC5">
        <w:t xml:space="preserve">s </w:t>
      </w:r>
      <w:r w:rsidRPr="00033F16" w:rsidR="00547B7D">
        <w:t>building</w:t>
      </w:r>
      <w:r w:rsidRPr="00033F16" w:rsidR="00434AC5">
        <w:t xml:space="preserve"> had been legalised and the proceedings against S.B. </w:t>
      </w:r>
      <w:r w:rsidRPr="00033F16" w:rsidR="00547B7D">
        <w:t>in respect of the applicant</w:t>
      </w:r>
      <w:r w:rsidRPr="00033F16" w:rsidR="00033F16">
        <w:t>’</w:t>
      </w:r>
      <w:r w:rsidRPr="00033F16" w:rsidR="00547B7D">
        <w:t xml:space="preserve">s counter-claim </w:t>
      </w:r>
      <w:r w:rsidRPr="00033F16" w:rsidR="00434AC5">
        <w:t xml:space="preserve">were pending (see paragraph </w:t>
      </w:r>
      <w:r w:rsidRPr="00033F16" w:rsidR="00434AC5">
        <w:fldChar w:fldCharType="begin"/>
      </w:r>
      <w:r w:rsidRPr="00033F16" w:rsidR="00434AC5">
        <w:instrText xml:space="preserve"> REF PendingProceedSB \h  \* MERGEFORMAT </w:instrText>
      </w:r>
      <w:r w:rsidRPr="00033F16" w:rsidR="00434AC5">
        <w:fldChar w:fldCharType="separate"/>
      </w:r>
      <w:r w:rsidRPr="00033F16" w:rsidR="00033F16">
        <w:rPr>
          <w:noProof/>
        </w:rPr>
        <w:t>28</w:t>
      </w:r>
      <w:r w:rsidRPr="00033F16" w:rsidR="00434AC5">
        <w:fldChar w:fldCharType="end"/>
      </w:r>
      <w:r w:rsidRPr="00033F16" w:rsidR="00434AC5">
        <w:t xml:space="preserve"> above). In view of the pending legalisation proceedings for I.F.</w:t>
      </w:r>
      <w:r w:rsidRPr="00033F16" w:rsidR="00033F16">
        <w:t>’</w:t>
      </w:r>
      <w:r w:rsidRPr="00033F16" w:rsidR="00434AC5">
        <w:t>s building, any demolition would have been unwarranted.</w:t>
      </w:r>
    </w:p>
    <w:p w:rsidRPr="00033F16" w:rsidR="00771D0F" w:rsidP="00033F16" w:rsidRDefault="004D57F1">
      <w:pPr>
        <w:pStyle w:val="JuPara"/>
      </w:pPr>
      <w:r>
        <w:fldChar w:fldCharType="begin"/>
      </w:r>
      <w:r>
        <w:instrText xml:space="preserve"> SEQ level0 \*arabic </w:instrText>
      </w:r>
      <w:r>
        <w:fldChar w:fldCharType="separate"/>
      </w:r>
      <w:r w:rsidRPr="00033F16" w:rsidR="00033F16">
        <w:rPr>
          <w:noProof/>
        </w:rPr>
        <w:t>88</w:t>
      </w:r>
      <w:r>
        <w:rPr>
          <w:noProof/>
        </w:rPr>
        <w:fldChar w:fldCharType="end"/>
      </w:r>
      <w:r w:rsidRPr="00033F16" w:rsidR="00670D4A">
        <w:t>.  </w:t>
      </w:r>
      <w:r w:rsidRPr="00033F16" w:rsidR="00434AC5">
        <w:t xml:space="preserve">In their </w:t>
      </w:r>
      <w:r w:rsidRPr="00033F16" w:rsidR="007D06D0">
        <w:t>additional</w:t>
      </w:r>
      <w:r w:rsidRPr="00033F16" w:rsidR="00434AC5">
        <w:t xml:space="preserve"> observations</w:t>
      </w:r>
      <w:r w:rsidRPr="00033F16" w:rsidR="007D06D0">
        <w:t xml:space="preserve"> and comments on the just satisfaction claims of</w:t>
      </w:r>
      <w:r w:rsidRPr="00033F16" w:rsidR="00434AC5">
        <w:t xml:space="preserve"> </w:t>
      </w:r>
      <w:r w:rsidRPr="00033F16" w:rsidR="007D06D0">
        <w:t xml:space="preserve">15 July 2015, </w:t>
      </w:r>
      <w:r w:rsidRPr="00033F16" w:rsidR="00434AC5">
        <w:t xml:space="preserve">the Government </w:t>
      </w:r>
      <w:r w:rsidRPr="00033F16" w:rsidR="00524D31">
        <w:t>raised several objections regarding the applicant</w:t>
      </w:r>
      <w:r w:rsidRPr="00033F16" w:rsidR="00033F16">
        <w:t>’</w:t>
      </w:r>
      <w:r w:rsidRPr="00033F16" w:rsidR="00524D31">
        <w:t>s complaints concerning the decisions against S.B. Firstly, they argued that in view of Gostivar Court of Appeal</w:t>
      </w:r>
      <w:r w:rsidRPr="00033F16" w:rsidR="00033F16">
        <w:t>’</w:t>
      </w:r>
      <w:r w:rsidRPr="00033F16" w:rsidR="00524D31">
        <w:t xml:space="preserve">s judgment of 4 January 2012 the applicant could no longer be considered a “victim”, as the violations of her Convention rights had been remedied at the domestic level. </w:t>
      </w:r>
      <w:r w:rsidRPr="00033F16" w:rsidR="002D5F18">
        <w:t xml:space="preserve">In the alternative, </w:t>
      </w:r>
      <w:r w:rsidRPr="00033F16" w:rsidR="00524D31">
        <w:t>the Government argued that the applicant</w:t>
      </w:r>
      <w:r w:rsidRPr="00033F16" w:rsidR="00033F16">
        <w:t>’</w:t>
      </w:r>
      <w:r w:rsidRPr="00033F16" w:rsidR="00524D31">
        <w:t xml:space="preserve">s complaint </w:t>
      </w:r>
      <w:r w:rsidRPr="00033F16" w:rsidR="005E07FF">
        <w:t xml:space="preserve">was </w:t>
      </w:r>
      <w:r w:rsidRPr="00033F16" w:rsidR="00524D31">
        <w:t>premature in view of the pending proceedings on the applicant</w:t>
      </w:r>
      <w:r w:rsidRPr="00033F16" w:rsidR="00033F16">
        <w:t>’</w:t>
      </w:r>
      <w:r w:rsidRPr="00033F16" w:rsidR="00524D31">
        <w:t>s counter-claim against S.B.</w:t>
      </w:r>
      <w:r w:rsidRPr="00033F16" w:rsidR="00434AC5">
        <w:t xml:space="preserve"> Lastly, they argued that the applicant had lost her “victim status” given </w:t>
      </w:r>
      <w:r w:rsidRPr="00033F16" w:rsidR="001167E2">
        <w:t>her</w:t>
      </w:r>
      <w:r w:rsidRPr="00033F16" w:rsidR="00524D31">
        <w:t xml:space="preserve"> withdrawal of the injunction against S.B. and the decision to declare the enforcement request withdrawn</w:t>
      </w:r>
      <w:r w:rsidRPr="00033F16" w:rsidR="00434AC5">
        <w:t>.</w:t>
      </w:r>
    </w:p>
    <w:p w:rsidRPr="00033F16" w:rsidR="00771D0F" w:rsidP="00033F16" w:rsidRDefault="00524D31">
      <w:pPr>
        <w:pStyle w:val="JuH1"/>
      </w:pPr>
      <w:r w:rsidRPr="00033F16">
        <w:t>The Court</w:t>
      </w:r>
      <w:r w:rsidRPr="00033F16" w:rsidR="00033F16">
        <w:t>’</w:t>
      </w:r>
      <w:r w:rsidRPr="00033F16">
        <w:t>s assessment</w:t>
      </w:r>
    </w:p>
    <w:p w:rsidRPr="00033F16" w:rsidR="00524D31" w:rsidP="00033F16" w:rsidRDefault="00524D31">
      <w:pPr>
        <w:pStyle w:val="JuHa0"/>
      </w:pPr>
      <w:r w:rsidRPr="00033F16">
        <w:t>Complaint about the applicant</w:t>
      </w:r>
      <w:r w:rsidRPr="00033F16" w:rsidR="00033F16">
        <w:t>’</w:t>
      </w:r>
      <w:r w:rsidRPr="00033F16">
        <w:t>s business undertaking</w:t>
      </w:r>
    </w:p>
    <w:p w:rsidRPr="00033F16" w:rsidR="00524D31" w:rsidP="00033F16" w:rsidRDefault="004D57F1">
      <w:pPr>
        <w:pStyle w:val="JuPara"/>
      </w:pPr>
      <w:r>
        <w:fldChar w:fldCharType="begin"/>
      </w:r>
      <w:r>
        <w:instrText xml:space="preserve"> SEQ level0 \*arabic </w:instrText>
      </w:r>
      <w:r>
        <w:fldChar w:fldCharType="separate"/>
      </w:r>
      <w:r w:rsidRPr="00033F16" w:rsidR="00033F16">
        <w:rPr>
          <w:noProof/>
        </w:rPr>
        <w:t>89</w:t>
      </w:r>
      <w:r>
        <w:rPr>
          <w:noProof/>
        </w:rPr>
        <w:fldChar w:fldCharType="end"/>
      </w:r>
      <w:r w:rsidRPr="00033F16" w:rsidR="00524D31">
        <w:t>.  The Court reiterates that Article 1 of Protocol No.1 applies only to a person</w:t>
      </w:r>
      <w:r w:rsidRPr="00033F16" w:rsidR="00033F16">
        <w:t>’</w:t>
      </w:r>
      <w:r w:rsidRPr="00033F16" w:rsidR="00524D31">
        <w:t xml:space="preserve">s existing possessions; it does not guarantee the right to acquire possessions (see </w:t>
      </w:r>
      <w:r w:rsidRPr="00033F16" w:rsidR="00524D31">
        <w:rPr>
          <w:i/>
        </w:rPr>
        <w:t>Malik v. the United Kingdom</w:t>
      </w:r>
      <w:r w:rsidRPr="00033F16" w:rsidR="00AD3E80">
        <w:t>, no. 23780/08, § 88, 13 </w:t>
      </w:r>
      <w:r w:rsidRPr="00033F16" w:rsidR="00524D31">
        <w:t>March 2012, with further references). Future income can only be considered to constitute a “possession” if it has already been earned or where an enforceable claim to it exists (see</w:t>
      </w:r>
      <w:r w:rsidRPr="00033F16" w:rsidR="00AD3E80">
        <w:rPr>
          <w:i/>
        </w:rPr>
        <w:t xml:space="preserve"> Ian Edgar [Liverpool] Ltd. v. </w:t>
      </w:r>
      <w:r w:rsidRPr="00033F16" w:rsidR="00524D31">
        <w:rPr>
          <w:i/>
        </w:rPr>
        <w:t>the United Kingdom</w:t>
      </w:r>
      <w:r w:rsidRPr="00033F16" w:rsidR="00524D31">
        <w:t xml:space="preserve"> (dec.), no. 37683/97, 25 January 2000</w:t>
      </w:r>
      <w:r w:rsidRPr="00033F16" w:rsidR="009C535B">
        <w:t>,</w:t>
      </w:r>
      <w:r w:rsidRPr="00033F16" w:rsidR="00524D31">
        <w:t xml:space="preserve"> and </w:t>
      </w:r>
      <w:r w:rsidRPr="00033F16" w:rsidR="00524D31">
        <w:rPr>
          <w:i/>
        </w:rPr>
        <w:t>Denimark Limited and 11 Others v. the United Kingdom</w:t>
      </w:r>
      <w:r w:rsidRPr="00033F16" w:rsidR="00524D31">
        <w:t xml:space="preserve"> (dec</w:t>
      </w:r>
      <w:r w:rsidRPr="00033F16" w:rsidR="00AD3E80">
        <w:t>.), no. </w:t>
      </w:r>
      <w:r w:rsidRPr="00033F16" w:rsidR="00524D31">
        <w:t>37660/97, 26 September 2000),</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90</w:t>
      </w:r>
      <w:r>
        <w:rPr>
          <w:noProof/>
        </w:rPr>
        <w:fldChar w:fldCharType="end"/>
      </w:r>
      <w:r w:rsidRPr="00033F16" w:rsidR="00524D31">
        <w:t>.  In the present case, the applicant complain</w:t>
      </w:r>
      <w:r w:rsidRPr="00033F16" w:rsidR="00EE4742">
        <w:t>ed</w:t>
      </w:r>
      <w:r w:rsidRPr="00033F16" w:rsidR="00524D31">
        <w:t xml:space="preserve"> that she had sustained loss of future income which she had expected to obtain from the lease of the commercial </w:t>
      </w:r>
      <w:r w:rsidRPr="00033F16" w:rsidR="00EE4742">
        <w:t xml:space="preserve">space </w:t>
      </w:r>
      <w:r w:rsidRPr="00033F16" w:rsidR="00524D31">
        <w:t xml:space="preserve">in her </w:t>
      </w:r>
      <w:r w:rsidRPr="00033F16" w:rsidR="00436F1B">
        <w:t>courtyard</w:t>
      </w:r>
      <w:r w:rsidRPr="00033F16" w:rsidR="00EE4742">
        <w:t xml:space="preserve"> </w:t>
      </w:r>
      <w:r w:rsidRPr="00033F16" w:rsidR="00524D31">
        <w:t xml:space="preserve">and the operation of the marketplace. The Court </w:t>
      </w:r>
      <w:r w:rsidRPr="00033F16" w:rsidR="00EE4742">
        <w:t xml:space="preserve">reiterates </w:t>
      </w:r>
      <w:r w:rsidRPr="00033F16" w:rsidR="00524D31">
        <w:t xml:space="preserve">that in the civil proceedings against I.F., the State and the municipality (see paragraph </w:t>
      </w:r>
      <w:r w:rsidRPr="00033F16" w:rsidR="00524D31">
        <w:fldChar w:fldCharType="begin"/>
      </w:r>
      <w:r w:rsidRPr="00033F16" w:rsidR="00524D31">
        <w:instrText xml:space="preserve"> REF CivilProceedIF \h </w:instrText>
      </w:r>
      <w:r w:rsidRPr="00033F16" w:rsidR="00A36924">
        <w:instrText xml:space="preserve"> \* MERGEFORMAT </w:instrText>
      </w:r>
      <w:r w:rsidRPr="00033F16" w:rsidR="00524D31">
        <w:fldChar w:fldCharType="separate"/>
      </w:r>
      <w:r w:rsidRPr="00033F16" w:rsidR="00033F16">
        <w:rPr>
          <w:noProof/>
        </w:rPr>
        <w:t>35</w:t>
      </w:r>
      <w:r w:rsidRPr="00033F16" w:rsidR="00524D31">
        <w:fldChar w:fldCharType="end"/>
      </w:r>
      <w:r w:rsidRPr="00033F16" w:rsidR="00524D31">
        <w:t xml:space="preserve"> above) the domestic courts dismissed the applicant</w:t>
      </w:r>
      <w:r w:rsidRPr="00033F16" w:rsidR="00033F16">
        <w:t>’</w:t>
      </w:r>
      <w:r w:rsidRPr="00033F16" w:rsidR="00524D31">
        <w:t xml:space="preserve">s claim for damages for loss of income and established that the commercial </w:t>
      </w:r>
      <w:r w:rsidRPr="00033F16" w:rsidR="00EE4742">
        <w:t xml:space="preserve">space </w:t>
      </w:r>
      <w:r w:rsidRPr="00033F16" w:rsidR="00524D31">
        <w:t>on the applicant</w:t>
      </w:r>
      <w:r w:rsidRPr="00033F16" w:rsidR="00033F16">
        <w:t>’</w:t>
      </w:r>
      <w:r w:rsidRPr="00033F16" w:rsidR="00524D31">
        <w:t>s property had remained unfinished and without an operation permit. They also established that the market, for which the applicant had</w:t>
      </w:r>
      <w:r w:rsidRPr="00033F16" w:rsidR="004A6831">
        <w:t xml:space="preserve"> had</w:t>
      </w:r>
      <w:r w:rsidRPr="00033F16" w:rsidR="00524D31">
        <w:t xml:space="preserve"> a permit of two</w:t>
      </w:r>
      <w:r w:rsidRPr="00033F16" w:rsidR="002F3F9B">
        <w:t xml:space="preserve"> </w:t>
      </w:r>
      <w:r w:rsidRPr="00033F16" w:rsidR="00524D31">
        <w:t>year</w:t>
      </w:r>
      <w:r w:rsidRPr="00033F16" w:rsidR="00033F16">
        <w:t>’</w:t>
      </w:r>
      <w:r w:rsidRPr="00033F16" w:rsidR="002F3F9B">
        <w:t>s</w:t>
      </w:r>
      <w:r w:rsidRPr="00033F16" w:rsidR="00524D31">
        <w:t xml:space="preserve"> duration, </w:t>
      </w:r>
      <w:r w:rsidRPr="00033F16" w:rsidR="004A6831">
        <w:t xml:space="preserve">had </w:t>
      </w:r>
      <w:r w:rsidRPr="00033F16" w:rsidR="00524D31">
        <w:t xml:space="preserve">never </w:t>
      </w:r>
      <w:r w:rsidRPr="00033F16" w:rsidR="004A6831">
        <w:t xml:space="preserve">become </w:t>
      </w:r>
      <w:r w:rsidRPr="00033F16" w:rsidR="00524D31">
        <w:t>operational. The Court finds no indication that in the instant case, the domestic courts</w:t>
      </w:r>
      <w:r w:rsidRPr="00033F16" w:rsidR="00033F16">
        <w:t>’</w:t>
      </w:r>
      <w:r w:rsidRPr="00033F16" w:rsidR="00524D31">
        <w:t xml:space="preserve"> conclusion was arbitrary or manifestly unreasonable.</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91</w:t>
      </w:r>
      <w:r>
        <w:rPr>
          <w:noProof/>
        </w:rPr>
        <w:fldChar w:fldCharType="end"/>
      </w:r>
      <w:r w:rsidRPr="00033F16" w:rsidR="00524D31">
        <w:t>.  It follows from the above that the applicant pursued an economic objective, namely future financial gain</w:t>
      </w:r>
      <w:r w:rsidRPr="00033F16" w:rsidR="004D50B3">
        <w:t>,</w:t>
      </w:r>
      <w:r w:rsidRPr="00033F16" w:rsidR="00524D31">
        <w:t xml:space="preserve"> which had not been earned and to which an enforceable claim did not exist. The Court accordingly considers that the applicant</w:t>
      </w:r>
      <w:r w:rsidRPr="00033F16" w:rsidR="00033F16">
        <w:t>’</w:t>
      </w:r>
      <w:r w:rsidRPr="00033F16" w:rsidR="00524D31">
        <w:t>s hope of seeing her commercial venture come to fruition cannot be regarded as</w:t>
      </w:r>
      <w:r w:rsidRPr="00033F16" w:rsidR="005A13AB">
        <w:t xml:space="preserve"> having been a</w:t>
      </w:r>
      <w:r w:rsidRPr="00033F16" w:rsidR="00524D31">
        <w:t xml:space="preserve"> “legitimate expectation” within the meaning of the case-law relating to Article 1 of Protocol No.1</w:t>
      </w:r>
      <w:r w:rsidRPr="00033F16" w:rsidR="0063352D">
        <w:t xml:space="preserve"> to the Convention</w:t>
      </w:r>
      <w:r w:rsidRPr="00033F16" w:rsidR="00524D31">
        <w:t xml:space="preserve">. It follows that the complaint in this part is incompatible </w:t>
      </w:r>
      <w:r w:rsidRPr="00033F16" w:rsidR="00524D31">
        <w:rPr>
          <w:i/>
        </w:rPr>
        <w:t>ratione materiae</w:t>
      </w:r>
      <w:r w:rsidRPr="00033F16" w:rsidR="00524D31">
        <w:t xml:space="preserve"> with the provisions of the Convention within the meaning of Article 35 § 3 (a).</w:t>
      </w:r>
    </w:p>
    <w:p w:rsidRPr="00033F16" w:rsidR="00020485" w:rsidP="00033F16" w:rsidRDefault="00524D31">
      <w:pPr>
        <w:pStyle w:val="JuHa0"/>
      </w:pPr>
      <w:r w:rsidRPr="00033F16">
        <w:t xml:space="preserve">Complaints </w:t>
      </w:r>
      <w:r w:rsidRPr="00033F16" w:rsidR="0063352D">
        <w:t xml:space="preserve">concerning </w:t>
      </w:r>
      <w:r w:rsidRPr="00033F16">
        <w:t>the non-enforcement of the decisions against the applicants</w:t>
      </w:r>
      <w:r w:rsidRPr="00033F16" w:rsidR="00033F16">
        <w:t>’</w:t>
      </w:r>
      <w:r w:rsidRPr="00033F16">
        <w:t xml:space="preserve"> neighbours</w:t>
      </w:r>
    </w:p>
    <w:p w:rsidRPr="00033F16" w:rsidR="00524D31" w:rsidP="00033F16" w:rsidRDefault="00524D31">
      <w:pPr>
        <w:pStyle w:val="JuHi"/>
      </w:pPr>
      <w:r w:rsidRPr="00033F16">
        <w:t>Complaints concerning the enforcement of the decisions against S.B.</w:t>
      </w:r>
    </w:p>
    <w:p w:rsidRPr="00033F16" w:rsidR="00771D0F" w:rsidP="00033F16" w:rsidRDefault="004D57F1">
      <w:pPr>
        <w:pStyle w:val="JuPara"/>
      </w:pPr>
      <w:r>
        <w:fldChar w:fldCharType="begin"/>
      </w:r>
      <w:r>
        <w:instrText xml:space="preserve"> SEQ level0 \*arabic </w:instrText>
      </w:r>
      <w:r>
        <w:fldChar w:fldCharType="separate"/>
      </w:r>
      <w:r w:rsidRPr="00033F16" w:rsidR="00033F16">
        <w:rPr>
          <w:noProof/>
        </w:rPr>
        <w:t>92</w:t>
      </w:r>
      <w:r>
        <w:rPr>
          <w:noProof/>
        </w:rPr>
        <w:fldChar w:fldCharType="end"/>
      </w:r>
      <w:r w:rsidRPr="00033F16" w:rsidR="009E3019">
        <w:t>.  The Court notes that in their additional observations of 15 July 2015 the Government raised for the first time several objections regarding this complaint. It reiterates that, under Rule 55 of the Rules of Court, any plea of inadmissibility must have been raised by th</w:t>
      </w:r>
      <w:r w:rsidRPr="00033F16" w:rsidR="00FE44AD">
        <w:t>e respondent Contracting Party</w:t>
      </w:r>
      <w:r w:rsidRPr="00033F16" w:rsidR="0082026E">
        <w:t xml:space="preserve"> </w:t>
      </w:r>
      <w:r w:rsidRPr="00033F16" w:rsidR="00FE44AD">
        <w:noBreakHyphen/>
      </w:r>
      <w:r w:rsidRPr="00033F16" w:rsidR="009E3019">
        <w:t xml:space="preserve">in so far as the nature of the objection and the circumstances so allowed – in its written or oral observations on the admissibility of the application (see </w:t>
      </w:r>
      <w:r w:rsidRPr="00033F16" w:rsidR="003F5299">
        <w:rPr>
          <w:i/>
        </w:rPr>
        <w:t xml:space="preserve">Khlaifia and Others v. Italy </w:t>
      </w:r>
      <w:r w:rsidRPr="00033F16" w:rsidR="00F63DC5">
        <w:t>[GC], no. 16483/12, § 52, 15 </w:t>
      </w:r>
      <w:r w:rsidRPr="00033F16" w:rsidR="003F5299">
        <w:t>December 2016).</w:t>
      </w:r>
    </w:p>
    <w:p w:rsidRPr="00033F16" w:rsidR="00771D0F" w:rsidP="00033F16" w:rsidRDefault="004D57F1">
      <w:pPr>
        <w:pStyle w:val="JuPara"/>
      </w:pPr>
      <w:r>
        <w:fldChar w:fldCharType="begin"/>
      </w:r>
      <w:r>
        <w:instrText xml:space="preserve"> SEQ level0 \*arabic </w:instrText>
      </w:r>
      <w:r>
        <w:fldChar w:fldCharType="separate"/>
      </w:r>
      <w:r w:rsidRPr="00033F16" w:rsidR="00033F16">
        <w:rPr>
          <w:noProof/>
        </w:rPr>
        <w:t>93</w:t>
      </w:r>
      <w:r>
        <w:rPr>
          <w:noProof/>
        </w:rPr>
        <w:fldChar w:fldCharType="end"/>
      </w:r>
      <w:r w:rsidRPr="00033F16" w:rsidR="003F5299">
        <w:t>.  </w:t>
      </w:r>
      <w:r w:rsidRPr="00033F16" w:rsidR="00744434">
        <w:t>As regards the first objection raised by the Government, concerning the applicant</w:t>
      </w:r>
      <w:r w:rsidRPr="00033F16" w:rsidR="00033F16">
        <w:t>’</w:t>
      </w:r>
      <w:r w:rsidRPr="00033F16" w:rsidR="00744434">
        <w:t xml:space="preserve">s victim status in relation to the redress afforded at domestic level by the </w:t>
      </w:r>
      <w:r w:rsidRPr="00033F16" w:rsidR="0095469D">
        <w:t>Gostivar Court of Appeal</w:t>
      </w:r>
      <w:r w:rsidRPr="00033F16" w:rsidR="00033F16">
        <w:t>’</w:t>
      </w:r>
      <w:r w:rsidRPr="00033F16" w:rsidR="0095469D">
        <w:t xml:space="preserve">s </w:t>
      </w:r>
      <w:r w:rsidRPr="00033F16" w:rsidR="00744434">
        <w:t xml:space="preserve">final judgment of 4 January 2012, the Court notes that </w:t>
      </w:r>
      <w:r w:rsidRPr="00033F16" w:rsidR="009E3019">
        <w:t>it was only in</w:t>
      </w:r>
      <w:r w:rsidRPr="00033F16" w:rsidR="009F53A5">
        <w:t xml:space="preserve"> her observations submitted in</w:t>
      </w:r>
      <w:r w:rsidRPr="00033F16" w:rsidR="009E3019">
        <w:t xml:space="preserve"> June 2015 that the applicant brought to </w:t>
      </w:r>
      <w:r w:rsidRPr="00033F16" w:rsidR="00744434">
        <w:t>its</w:t>
      </w:r>
      <w:r w:rsidRPr="00033F16" w:rsidR="009E3019">
        <w:t xml:space="preserve"> attention the fact that she </w:t>
      </w:r>
      <w:r w:rsidRPr="00033F16" w:rsidR="00744434">
        <w:t xml:space="preserve">had </w:t>
      </w:r>
      <w:r w:rsidRPr="00033F16" w:rsidR="00781604">
        <w:t xml:space="preserve">claimed and had </w:t>
      </w:r>
      <w:r w:rsidRPr="00033F16" w:rsidR="00744434">
        <w:t>been awarded</w:t>
      </w:r>
      <w:r w:rsidRPr="00033F16" w:rsidR="009E3019">
        <w:t xml:space="preserve"> compensation amount</w:t>
      </w:r>
      <w:r w:rsidRPr="00033F16" w:rsidR="00744434">
        <w:t>ing</w:t>
      </w:r>
      <w:r w:rsidRPr="00033F16" w:rsidR="009E3019">
        <w:t xml:space="preserve"> to EUR 11,000 </w:t>
      </w:r>
      <w:r w:rsidRPr="00033F16" w:rsidR="00744434">
        <w:t>in those proceedings</w:t>
      </w:r>
      <w:r w:rsidRPr="00033F16" w:rsidR="005F0887">
        <w:t xml:space="preserve"> and enclosed a copy of that judgment</w:t>
      </w:r>
      <w:r w:rsidRPr="00033F16" w:rsidR="00744434">
        <w:t xml:space="preserve"> </w:t>
      </w:r>
      <w:r w:rsidRPr="00033F16" w:rsidR="009E3019">
        <w:t xml:space="preserve">(see paragraph </w:t>
      </w:r>
      <w:r w:rsidRPr="00033F16" w:rsidR="00A30E6A">
        <w:fldChar w:fldCharType="begin"/>
      </w:r>
      <w:r w:rsidRPr="00033F16" w:rsidR="00A30E6A">
        <w:instrText xml:space="preserve"> REF APP_Obs \h </w:instrText>
      </w:r>
      <w:r w:rsidRPr="00033F16" w:rsidR="00A36924">
        <w:instrText xml:space="preserve"> \* MERGEFORMAT </w:instrText>
      </w:r>
      <w:r w:rsidRPr="00033F16" w:rsidR="00A30E6A">
        <w:fldChar w:fldCharType="separate"/>
      </w:r>
      <w:r w:rsidRPr="00033F16" w:rsidR="00033F16">
        <w:rPr>
          <w:noProof/>
        </w:rPr>
        <w:t>86</w:t>
      </w:r>
      <w:r w:rsidRPr="00033F16" w:rsidR="00A30E6A">
        <w:fldChar w:fldCharType="end"/>
      </w:r>
      <w:r w:rsidRPr="00033F16" w:rsidR="00A30E6A">
        <w:t xml:space="preserve"> </w:t>
      </w:r>
      <w:r w:rsidRPr="00033F16" w:rsidR="009E3019">
        <w:t xml:space="preserve">above). </w:t>
      </w:r>
      <w:r w:rsidRPr="00033F16" w:rsidR="0047284B">
        <w:t>A</w:t>
      </w:r>
      <w:r w:rsidRPr="00033F16" w:rsidR="00744434">
        <w:t>t the time of making their initial observations the Government were not aware of this fact on which they based their first objection. Therefore, they were not in a position to comply with the time-limit established in Rule 55.</w:t>
      </w:r>
    </w:p>
    <w:p w:rsidRPr="00033F16" w:rsidR="00771D0F" w:rsidP="00033F16" w:rsidRDefault="004D57F1">
      <w:pPr>
        <w:pStyle w:val="JuPara"/>
      </w:pPr>
      <w:r>
        <w:fldChar w:fldCharType="begin"/>
      </w:r>
      <w:r>
        <w:instrText xml:space="preserve"> SEQ level0 \*arabic </w:instrText>
      </w:r>
      <w:r>
        <w:fldChar w:fldCharType="separate"/>
      </w:r>
      <w:r w:rsidRPr="00033F16" w:rsidR="00033F16">
        <w:rPr>
          <w:noProof/>
        </w:rPr>
        <w:t>94</w:t>
      </w:r>
      <w:r>
        <w:rPr>
          <w:noProof/>
        </w:rPr>
        <w:fldChar w:fldCharType="end"/>
      </w:r>
      <w:r w:rsidRPr="00033F16" w:rsidR="00675DAD">
        <w:t>.  </w:t>
      </w:r>
      <w:r w:rsidRPr="00033F16" w:rsidR="0095469D">
        <w:t>Furthermore, t</w:t>
      </w:r>
      <w:r w:rsidRPr="00033F16" w:rsidR="00675DAD">
        <w:t>he Court sees no need to determine whether the Government are now estopped from making this objection since it finds in any event that it concerns a matter which goes to the Court</w:t>
      </w:r>
      <w:r w:rsidRPr="00033F16" w:rsidR="00033F16">
        <w:t>’</w:t>
      </w:r>
      <w:r w:rsidRPr="00033F16" w:rsidR="00675DAD">
        <w:t xml:space="preserve">s jurisdiction and which it is not prevented from examining of its own motion (see </w:t>
      </w:r>
      <w:r w:rsidRPr="00033F16" w:rsidR="00835775">
        <w:rPr>
          <w:i/>
        </w:rPr>
        <w:t xml:space="preserve">Buzadji v. the Republic of Moldova </w:t>
      </w:r>
      <w:r w:rsidRPr="00033F16" w:rsidR="00835775">
        <w:t>[GC], no. 23755/07</w:t>
      </w:r>
      <w:r w:rsidRPr="00033F16" w:rsidR="00835775">
        <w:rPr>
          <w:snapToGrid w:val="0"/>
        </w:rPr>
        <w:t xml:space="preserve">, § 70, </w:t>
      </w:r>
      <w:r w:rsidRPr="00033F16" w:rsidR="00835775">
        <w:t>5 July</w:t>
      </w:r>
      <w:r w:rsidRPr="00033F16" w:rsidR="00835775">
        <w:rPr>
          <w:snapToGrid w:val="0"/>
        </w:rPr>
        <w:t xml:space="preserve"> 2016, and </w:t>
      </w:r>
      <w:r w:rsidRPr="00033F16" w:rsidR="005F18A5">
        <w:rPr>
          <w:i/>
          <w:iCs/>
        </w:rPr>
        <w:t>Satakunnan Markkinapörssi Oy and Satamedia Oy v. Finland</w:t>
      </w:r>
      <w:r w:rsidRPr="00033F16" w:rsidR="00AD3E80">
        <w:t xml:space="preserve"> [GC], no. </w:t>
      </w:r>
      <w:r w:rsidRPr="00033F16" w:rsidR="005F18A5">
        <w:t>931/13, §§ 89-93, 27 June 2017</w:t>
      </w:r>
      <w:r w:rsidRPr="00033F16" w:rsidR="00675DAD">
        <w:t>)</w:t>
      </w:r>
      <w:r w:rsidRPr="00033F16" w:rsidR="005F18A5">
        <w:t>.</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95</w:t>
      </w:r>
      <w:r>
        <w:rPr>
          <w:noProof/>
        </w:rPr>
        <w:fldChar w:fldCharType="end"/>
      </w:r>
      <w:r w:rsidRPr="00033F16" w:rsidR="00524D31">
        <w:t>.  The Court reiterates that a decision or measure favourable to the applicant is not in principle sufficient to deprive him</w:t>
      </w:r>
      <w:r w:rsidRPr="00033F16" w:rsidR="006D4F2D">
        <w:t xml:space="preserve"> or her</w:t>
      </w:r>
      <w:r w:rsidRPr="00033F16" w:rsidR="00524D31">
        <w:t xml:space="preserve"> of his</w:t>
      </w:r>
      <w:r w:rsidRPr="00033F16" w:rsidR="006D4F2D">
        <w:t xml:space="preserve"> or her</w:t>
      </w:r>
      <w:r w:rsidRPr="00033F16" w:rsidR="00524D31">
        <w:t xml:space="preserve"> status as a “victim” unless the national authorities have acknowledged, either expressly or in substance, and then afforded redress for, the breach of the Convention (see </w:t>
      </w:r>
      <w:r w:rsidRPr="00033F16" w:rsidR="00524D31">
        <w:rPr>
          <w:i/>
        </w:rPr>
        <w:t>Eckle v. Germany</w:t>
      </w:r>
      <w:r w:rsidRPr="00033F16" w:rsidR="00524D31">
        <w:t>, 15 July 1982, § 66, Series A no. 51</w:t>
      </w:r>
      <w:r w:rsidRPr="00033F16" w:rsidR="00FB0944">
        <w:t>;</w:t>
      </w:r>
      <w:r w:rsidRPr="00033F16" w:rsidR="00524D31">
        <w:t xml:space="preserve"> </w:t>
      </w:r>
      <w:r w:rsidRPr="00033F16" w:rsidR="00524D31">
        <w:rPr>
          <w:i/>
        </w:rPr>
        <w:t>Amuur v. France</w:t>
      </w:r>
      <w:r w:rsidRPr="00033F16" w:rsidR="00524D31">
        <w:t xml:space="preserve">, 25 June 1996, § 36, </w:t>
      </w:r>
      <w:r w:rsidRPr="00033F16" w:rsidR="00524D31">
        <w:rPr>
          <w:i/>
        </w:rPr>
        <w:t>Reports of Judgments and Decisions</w:t>
      </w:r>
      <w:r w:rsidRPr="00033F16" w:rsidR="00524D31">
        <w:t xml:space="preserve"> 1996</w:t>
      </w:r>
      <w:r w:rsidRPr="00033F16" w:rsidR="00524D31">
        <w:rPr>
          <w:rFonts w:hint="eastAsia" w:ascii="MS Mincho" w:hAnsi="MS Mincho" w:eastAsia="MS Mincho" w:cs="MS Mincho"/>
        </w:rPr>
        <w:t>‑</w:t>
      </w:r>
      <w:r w:rsidRPr="00033F16" w:rsidR="00524D31">
        <w:t>III</w:t>
      </w:r>
      <w:r w:rsidRPr="00033F16" w:rsidR="00FB0944">
        <w:t>;</w:t>
      </w:r>
      <w:r w:rsidRPr="00033F16" w:rsidR="00524D31">
        <w:t xml:space="preserve"> and </w:t>
      </w:r>
      <w:r w:rsidRPr="00033F16" w:rsidR="00524D31">
        <w:rPr>
          <w:i/>
        </w:rPr>
        <w:t>Rotaru v. Romania</w:t>
      </w:r>
      <w:r w:rsidRPr="00033F16" w:rsidR="00524D31">
        <w:t xml:space="preserve"> [GC]</w:t>
      </w:r>
      <w:r w:rsidRPr="00033F16" w:rsidR="00A36924">
        <w:t>, no. 28341/95, § 35, ECHR </w:t>
      </w:r>
      <w:r w:rsidRPr="00033F16" w:rsidR="005D6206">
        <w:t>2000</w:t>
      </w:r>
      <w:r w:rsidRPr="00033F16" w:rsidR="005D6206">
        <w:noBreakHyphen/>
      </w:r>
      <w:r w:rsidRPr="00033F16" w:rsidR="00524D31">
        <w:t>V).</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96</w:t>
      </w:r>
      <w:r>
        <w:rPr>
          <w:noProof/>
        </w:rPr>
        <w:fldChar w:fldCharType="end"/>
      </w:r>
      <w:r w:rsidRPr="00033F16" w:rsidR="00524D31">
        <w:t xml:space="preserve">.  In the present case, the Court notes that in </w:t>
      </w:r>
      <w:r w:rsidRPr="00033F16" w:rsidR="00621994">
        <w:t>a final judgment of</w:t>
      </w:r>
      <w:r w:rsidRPr="00033F16" w:rsidR="00524D31">
        <w:t xml:space="preserve"> 4</w:t>
      </w:r>
      <w:r w:rsidRPr="00033F16" w:rsidR="005A1184">
        <w:t> </w:t>
      </w:r>
      <w:r w:rsidRPr="00033F16" w:rsidR="00524D31">
        <w:t>January</w:t>
      </w:r>
      <w:r w:rsidRPr="00033F16" w:rsidR="005A1184">
        <w:t> </w:t>
      </w:r>
      <w:r w:rsidRPr="00033F16" w:rsidR="00524D31">
        <w:t xml:space="preserve">2012 the Gostivar Court of Appeal held that the applicant </w:t>
      </w:r>
      <w:r w:rsidRPr="00033F16" w:rsidR="006D4F2D">
        <w:t xml:space="preserve">had </w:t>
      </w:r>
      <w:r w:rsidRPr="00033F16" w:rsidR="00524D31">
        <w:t>suffered a breach of her property rights because of S.B.</w:t>
      </w:r>
      <w:r w:rsidRPr="00033F16" w:rsidR="00033F16">
        <w:t>’</w:t>
      </w:r>
      <w:r w:rsidRPr="00033F16" w:rsidR="00524D31">
        <w:t>s unlawful</w:t>
      </w:r>
      <w:r w:rsidRPr="00033F16" w:rsidR="006D4F2D">
        <w:t xml:space="preserve"> building</w:t>
      </w:r>
      <w:r w:rsidRPr="00033F16" w:rsidR="00524D31">
        <w:t xml:space="preserve"> and the failure of the municipal authorities to enforce the decisions in favour of the applicant and to protect her property rights</w:t>
      </w:r>
      <w:r w:rsidRPr="00033F16" w:rsidR="008B3901">
        <w:t xml:space="preserve"> (see paragraph </w:t>
      </w:r>
      <w:r w:rsidRPr="00033F16" w:rsidR="008B3901">
        <w:fldChar w:fldCharType="begin"/>
      </w:r>
      <w:r w:rsidRPr="00033F16" w:rsidR="008B3901">
        <w:instrText xml:space="preserve"> REF CoADamagesSB \h </w:instrText>
      </w:r>
      <w:r w:rsidRPr="00033F16" w:rsidR="00A36924">
        <w:instrText xml:space="preserve"> \* MERGEFORMAT </w:instrText>
      </w:r>
      <w:r w:rsidRPr="00033F16" w:rsidR="008B3901">
        <w:fldChar w:fldCharType="separate"/>
      </w:r>
      <w:r w:rsidRPr="00033F16" w:rsidR="00033F16">
        <w:rPr>
          <w:noProof/>
          <w:lang w:val="mk-MK"/>
        </w:rPr>
        <w:t>30</w:t>
      </w:r>
      <w:r w:rsidRPr="00033F16" w:rsidR="008B3901">
        <w:fldChar w:fldCharType="end"/>
      </w:r>
      <w:r w:rsidRPr="00033F16" w:rsidR="008B3901">
        <w:t xml:space="preserve"> above)</w:t>
      </w:r>
      <w:r w:rsidRPr="00033F16" w:rsidR="00524D31">
        <w:t xml:space="preserve">. The Court is satisfied that </w:t>
      </w:r>
      <w:r w:rsidRPr="00033F16" w:rsidR="00621994">
        <w:t>the domestic courts</w:t>
      </w:r>
      <w:r w:rsidRPr="00033F16" w:rsidR="00524D31">
        <w:t xml:space="preserve"> thereby expressly acknowledged that there had been a violation of the applicant</w:t>
      </w:r>
      <w:r w:rsidRPr="00033F16" w:rsidR="00033F16">
        <w:t>’</w:t>
      </w:r>
      <w:r w:rsidRPr="00033F16" w:rsidR="00524D31">
        <w:t>s rights.</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97</w:t>
      </w:r>
      <w:r>
        <w:rPr>
          <w:noProof/>
        </w:rPr>
        <w:fldChar w:fldCharType="end"/>
      </w:r>
      <w:r w:rsidRPr="00033F16" w:rsidR="00524D31">
        <w:t xml:space="preserve">.  As to the nature of redress, the Court reiterates that the question </w:t>
      </w:r>
      <w:r w:rsidRPr="00033F16" w:rsidR="006D4F2D">
        <w:t xml:space="preserve">of </w:t>
      </w:r>
      <w:r w:rsidRPr="00033F16" w:rsidR="00524D31">
        <w:t>whether an applicant may claim to be a victim depends, as a general rule, on the legal interest which he or she may have in a determination by the Court that his</w:t>
      </w:r>
      <w:r w:rsidRPr="00033F16" w:rsidR="007F60B5">
        <w:t xml:space="preserve"> or her</w:t>
      </w:r>
      <w:r w:rsidRPr="00033F16" w:rsidR="00524D31">
        <w:t xml:space="preserve"> Convention rights have been breached. In assessing this interest, any material or </w:t>
      </w:r>
      <w:r w:rsidRPr="00033F16" w:rsidR="007F60B5">
        <w:t xml:space="preserve">non-pecuniary </w:t>
      </w:r>
      <w:r w:rsidRPr="00033F16" w:rsidR="00524D31">
        <w:t xml:space="preserve">damage suffered by the applicant as a result of the alleged violation must be taken into account (see </w:t>
      </w:r>
      <w:r w:rsidRPr="00033F16" w:rsidR="00AD3E80">
        <w:rPr>
          <w:i/>
        </w:rPr>
        <w:t>Schlader v. </w:t>
      </w:r>
      <w:r w:rsidRPr="00033F16" w:rsidR="00524D31">
        <w:rPr>
          <w:i/>
        </w:rPr>
        <w:t>Austria</w:t>
      </w:r>
      <w:r w:rsidRPr="00033F16" w:rsidR="00524D31">
        <w:t xml:space="preserve"> (dec.), no. 30193/96, 7 March 2000, and </w:t>
      </w:r>
      <w:r w:rsidRPr="00033F16" w:rsidR="00A36924">
        <w:rPr>
          <w:i/>
        </w:rPr>
        <w:t>Auerbach v. the </w:t>
      </w:r>
      <w:r w:rsidRPr="00033F16" w:rsidR="00524D31">
        <w:rPr>
          <w:i/>
        </w:rPr>
        <w:t>Netherlands</w:t>
      </w:r>
      <w:r w:rsidRPr="00033F16" w:rsidR="00524D31">
        <w:t xml:space="preserve"> (dec.), no. 45600/99, 29 January 2002).</w:t>
      </w:r>
    </w:p>
    <w:p w:rsidRPr="00033F16" w:rsidR="00524D31" w:rsidP="00033F16" w:rsidRDefault="004D57F1">
      <w:pPr>
        <w:pStyle w:val="JuPara"/>
      </w:pPr>
      <w:r>
        <w:fldChar w:fldCharType="begin"/>
      </w:r>
      <w:r>
        <w:instrText xml:space="preserve"> SEQ level0 \*arabic </w:instrText>
      </w:r>
      <w:r>
        <w:fldChar w:fldCharType="separate"/>
      </w:r>
      <w:r w:rsidRPr="00033F16" w:rsidR="00033F16">
        <w:rPr>
          <w:noProof/>
        </w:rPr>
        <w:t>98</w:t>
      </w:r>
      <w:r>
        <w:rPr>
          <w:noProof/>
        </w:rPr>
        <w:fldChar w:fldCharType="end"/>
      </w:r>
      <w:r w:rsidRPr="00033F16" w:rsidR="00524D31">
        <w:t xml:space="preserve">.  Turning to the present case, the Court notes the domestic courts awarded the applicant approximately EUR 11,000 as compensation for </w:t>
      </w:r>
      <w:r w:rsidRPr="00033F16" w:rsidR="007F60B5">
        <w:t xml:space="preserve">the </w:t>
      </w:r>
      <w:r w:rsidRPr="00033F16" w:rsidR="00524D31">
        <w:t xml:space="preserve">pecuniary damage </w:t>
      </w:r>
      <w:r w:rsidRPr="00033F16" w:rsidR="007F60B5">
        <w:t xml:space="preserve">caused </w:t>
      </w:r>
      <w:r w:rsidRPr="00033F16" w:rsidR="00524D31">
        <w:t>by S.B.</w:t>
      </w:r>
      <w:r w:rsidRPr="00033F16" w:rsidR="00033F16">
        <w:t>’</w:t>
      </w:r>
      <w:r w:rsidRPr="00033F16" w:rsidR="00524D31">
        <w:t>s unlawful construction</w:t>
      </w:r>
      <w:r w:rsidRPr="00033F16" w:rsidR="007F60B5">
        <w:t xml:space="preserve"> work</w:t>
      </w:r>
      <w:r w:rsidRPr="00033F16" w:rsidR="00524D31">
        <w:t xml:space="preserve"> and the lengthy non-enforcement of the demolition orders against him (see paragraph </w:t>
      </w:r>
      <w:r w:rsidRPr="00033F16" w:rsidR="00524D31">
        <w:fldChar w:fldCharType="begin"/>
      </w:r>
      <w:r w:rsidRPr="00033F16" w:rsidR="00524D31">
        <w:instrText xml:space="preserve"> REF CoADamagesSB \h </w:instrText>
      </w:r>
      <w:r w:rsidRPr="00033F16" w:rsidR="00A36924">
        <w:instrText xml:space="preserve"> \* MERGEFORMAT </w:instrText>
      </w:r>
      <w:r w:rsidRPr="00033F16" w:rsidR="00524D31">
        <w:fldChar w:fldCharType="separate"/>
      </w:r>
      <w:r w:rsidRPr="00033F16" w:rsidR="00033F16">
        <w:rPr>
          <w:noProof/>
          <w:lang w:val="mk-MK"/>
        </w:rPr>
        <w:t>30</w:t>
      </w:r>
      <w:r w:rsidRPr="00033F16" w:rsidR="00524D31">
        <w:fldChar w:fldCharType="end"/>
      </w:r>
      <w:r w:rsidRPr="00033F16" w:rsidR="00524D31">
        <w:t xml:space="preserve"> above). The awarded amount was not disputed by the applicant and does not seem unreasonable or insufficient. The Court notes that S.B.</w:t>
      </w:r>
      <w:r w:rsidRPr="00033F16" w:rsidR="00033F16">
        <w:t>’</w:t>
      </w:r>
      <w:r w:rsidRPr="00033F16" w:rsidR="00524D31">
        <w:t>s building was legalised and incorporated in</w:t>
      </w:r>
      <w:r w:rsidRPr="00033F16" w:rsidR="00872547">
        <w:t>to</w:t>
      </w:r>
      <w:r w:rsidRPr="00033F16" w:rsidR="00524D31">
        <w:t xml:space="preserve"> the newly adopted urban plan.</w:t>
      </w:r>
      <w:r w:rsidRPr="00033F16" w:rsidR="00716102">
        <w:t xml:space="preserve"> It further notes that the civil proceedings in respect of the applicant</w:t>
      </w:r>
      <w:r w:rsidRPr="00033F16" w:rsidR="00033F16">
        <w:t>’</w:t>
      </w:r>
      <w:r w:rsidRPr="00033F16" w:rsidR="00716102">
        <w:t xml:space="preserve">s counter-claim seeking </w:t>
      </w:r>
      <w:r w:rsidRPr="00033F16" w:rsidR="00716102">
        <w:rPr>
          <w:i/>
        </w:rPr>
        <w:t>restitutio in integrum</w:t>
      </w:r>
      <w:r w:rsidRPr="00033F16" w:rsidR="00716102">
        <w:t xml:space="preserve"> and pecuniary damages with respect to S.B.</w:t>
      </w:r>
      <w:r w:rsidRPr="00033F16" w:rsidR="00033F16">
        <w:t>’</w:t>
      </w:r>
      <w:r w:rsidRPr="00033F16" w:rsidR="00716102">
        <w:t xml:space="preserve">s building are pending (see paragraph </w:t>
      </w:r>
      <w:r w:rsidRPr="00033F16" w:rsidR="00716102">
        <w:fldChar w:fldCharType="begin"/>
      </w:r>
      <w:r w:rsidRPr="00033F16" w:rsidR="00716102">
        <w:instrText xml:space="preserve"> REF PendingProceedSB \h </w:instrText>
      </w:r>
      <w:r w:rsidRPr="00033F16" w:rsidR="00A36924">
        <w:instrText xml:space="preserve"> \* MERGEFORMAT </w:instrText>
      </w:r>
      <w:r w:rsidRPr="00033F16" w:rsidR="00716102">
        <w:fldChar w:fldCharType="separate"/>
      </w:r>
      <w:r w:rsidRPr="00033F16" w:rsidR="00033F16">
        <w:rPr>
          <w:noProof/>
        </w:rPr>
        <w:t>28</w:t>
      </w:r>
      <w:r w:rsidRPr="00033F16" w:rsidR="00716102">
        <w:fldChar w:fldCharType="end"/>
      </w:r>
      <w:r w:rsidRPr="00033F16" w:rsidR="00716102">
        <w:t xml:space="preserve"> above).</w:t>
      </w:r>
      <w:r w:rsidRPr="00033F16" w:rsidR="00524D31">
        <w:t xml:space="preserve"> In view of these circumstances the Court is satisfied that the compensation awarded by the domestic courts was sufficient to remove the applicant</w:t>
      </w:r>
      <w:r w:rsidRPr="00033F16" w:rsidR="00033F16">
        <w:t>’</w:t>
      </w:r>
      <w:r w:rsidRPr="00033F16" w:rsidR="00524D31">
        <w:t>s victim status in respect of her complaint under Article 1 of Protocol No.1 regarding S.B.</w:t>
      </w:r>
      <w:r w:rsidRPr="00033F16" w:rsidR="00033F16">
        <w:t>’</w:t>
      </w:r>
      <w:r w:rsidRPr="00033F16" w:rsidR="00524D31">
        <w:t>s building. It follows that the applicant</w:t>
      </w:r>
      <w:r w:rsidRPr="00033F16" w:rsidR="00033F16">
        <w:t>’</w:t>
      </w:r>
      <w:r w:rsidRPr="00033F16" w:rsidR="00524D31">
        <w:t>s complaint must be rejected pursuant to Article 35 §§ 3 and 4 of the Convention.</w:t>
      </w:r>
    </w:p>
    <w:p w:rsidRPr="00033F16" w:rsidR="009F53A5" w:rsidP="00033F16" w:rsidRDefault="004D57F1">
      <w:pPr>
        <w:pStyle w:val="JuPara"/>
      </w:pPr>
      <w:r>
        <w:fldChar w:fldCharType="begin"/>
      </w:r>
      <w:r>
        <w:instrText xml:space="preserve"> SEQ level0 \*arabic </w:instrText>
      </w:r>
      <w:r>
        <w:fldChar w:fldCharType="separate"/>
      </w:r>
      <w:r w:rsidRPr="00033F16" w:rsidR="00033F16">
        <w:rPr>
          <w:noProof/>
        </w:rPr>
        <w:t>99</w:t>
      </w:r>
      <w:r>
        <w:rPr>
          <w:noProof/>
        </w:rPr>
        <w:fldChar w:fldCharType="end"/>
      </w:r>
      <w:r w:rsidRPr="00033F16" w:rsidR="009F53A5">
        <w:t xml:space="preserve">.  In view of this conclusion, the Court finds that there is no need to examine the remaining objections </w:t>
      </w:r>
      <w:r w:rsidRPr="00033F16" w:rsidR="005A1184">
        <w:t xml:space="preserve">made by </w:t>
      </w:r>
      <w:r w:rsidRPr="00033F16" w:rsidR="009F53A5">
        <w:t>the Government.</w:t>
      </w:r>
    </w:p>
    <w:p w:rsidRPr="00033F16" w:rsidR="00524D31" w:rsidP="00033F16" w:rsidRDefault="00524D31">
      <w:pPr>
        <w:pStyle w:val="JuHi"/>
      </w:pPr>
      <w:r w:rsidRPr="00033F16">
        <w:t>Complaints concerning the enforcement of the demolition orders against I.F.</w:t>
      </w:r>
    </w:p>
    <w:p w:rsidRPr="00033F16" w:rsidR="00E57C1C" w:rsidP="00033F16" w:rsidRDefault="004D57F1">
      <w:pPr>
        <w:pStyle w:val="JuPara"/>
      </w:pPr>
      <w:r>
        <w:fldChar w:fldCharType="begin"/>
      </w:r>
      <w:r>
        <w:instrText xml:space="preserve"> SEQ level0 \*arabic </w:instrText>
      </w:r>
      <w:r>
        <w:fldChar w:fldCharType="separate"/>
      </w:r>
      <w:r w:rsidRPr="00033F16" w:rsidR="00033F16">
        <w:rPr>
          <w:noProof/>
        </w:rPr>
        <w:t>100</w:t>
      </w:r>
      <w:r>
        <w:rPr>
          <w:noProof/>
        </w:rPr>
        <w:fldChar w:fldCharType="end"/>
      </w:r>
      <w:r w:rsidRPr="00033F16" w:rsidR="00E57C1C">
        <w:t>.  The Court notes that the relevant general principles in respect of the State</w:t>
      </w:r>
      <w:r w:rsidRPr="00033F16" w:rsidR="00033F16">
        <w:t>’</w:t>
      </w:r>
      <w:r w:rsidRPr="00033F16" w:rsidR="00E57C1C">
        <w:t xml:space="preserve">s positive obligations in the context of Article 1 of Protocol No.1 are set out in the case of </w:t>
      </w:r>
      <w:r w:rsidRPr="00033F16" w:rsidR="00E57C1C">
        <w:rPr>
          <w:i/>
        </w:rPr>
        <w:t>Kotov v. Russia</w:t>
      </w:r>
      <w:r w:rsidRPr="00033F16" w:rsidR="00F63DC5">
        <w:t xml:space="preserve"> ([GC], no. 54522/00, §§ 109-</w:t>
      </w:r>
      <w:r w:rsidRPr="00033F16" w:rsidR="00E57C1C">
        <w:t>15, 3</w:t>
      </w:r>
      <w:r w:rsidRPr="00033F16" w:rsidR="005A1184">
        <w:t> </w:t>
      </w:r>
      <w:r w:rsidRPr="00033F16" w:rsidR="00E57C1C">
        <w:t>April</w:t>
      </w:r>
      <w:r w:rsidRPr="00033F16" w:rsidR="00033F16">
        <w:t xml:space="preserve"> </w:t>
      </w:r>
      <w:r w:rsidRPr="00033F16" w:rsidR="00E57C1C">
        <w:t>2012</w:t>
      </w:r>
      <w:r w:rsidRPr="00033F16" w:rsidR="00E57C1C">
        <w:rPr>
          <w:snapToGrid w:val="0"/>
        </w:rPr>
        <w:t>).</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101</w:t>
      </w:r>
      <w:r>
        <w:rPr>
          <w:noProof/>
        </w:rPr>
        <w:fldChar w:fldCharType="end"/>
      </w:r>
      <w:r w:rsidRPr="00033F16" w:rsidR="00524D31">
        <w:t xml:space="preserve">.  The Court </w:t>
      </w:r>
      <w:r w:rsidRPr="00033F16" w:rsidR="005E484A">
        <w:t xml:space="preserve">reiterates </w:t>
      </w:r>
      <w:r w:rsidRPr="00033F16" w:rsidR="00524D31">
        <w:t>that the applicant</w:t>
      </w:r>
      <w:r w:rsidRPr="00033F16" w:rsidR="00033F16">
        <w:t>’</w:t>
      </w:r>
      <w:r w:rsidRPr="00033F16" w:rsidR="00524D31">
        <w:t xml:space="preserve">s claim for damages in the civil proceedings against I.F., the State and the municipality, was dismissed by the domestic courts (see paragraph </w:t>
      </w:r>
      <w:r w:rsidRPr="00033F16" w:rsidR="00524D31">
        <w:fldChar w:fldCharType="begin"/>
      </w:r>
      <w:r w:rsidRPr="00033F16" w:rsidR="00524D31">
        <w:instrText xml:space="preserve"> REF OutcomeCivIF \h </w:instrText>
      </w:r>
      <w:r w:rsidRPr="00033F16" w:rsidR="00A36924">
        <w:instrText xml:space="preserve"> \* MERGEFORMAT </w:instrText>
      </w:r>
      <w:r w:rsidRPr="00033F16" w:rsidR="00524D31">
        <w:fldChar w:fldCharType="separate"/>
      </w:r>
      <w:r w:rsidRPr="00033F16" w:rsidR="00033F16">
        <w:rPr>
          <w:noProof/>
        </w:rPr>
        <w:t>37</w:t>
      </w:r>
      <w:r w:rsidRPr="00033F16" w:rsidR="00524D31">
        <w:fldChar w:fldCharType="end"/>
      </w:r>
      <w:r w:rsidRPr="00033F16" w:rsidR="00524D31">
        <w:t xml:space="preserve"> above) on grounds that she had not substantiated that I.F.</w:t>
      </w:r>
      <w:r w:rsidRPr="00033F16" w:rsidR="00033F16">
        <w:t>’</w:t>
      </w:r>
      <w:r w:rsidRPr="00033F16" w:rsidR="00524D31">
        <w:t>s construction had led to a loss of value of her property and loss of income. The Court further observes that I.F. had a right to maintain a temporary building at the location until the implementation of the urban plan for the area and that</w:t>
      </w:r>
      <w:r w:rsidRPr="00033F16" w:rsidR="008E638C">
        <w:t>,</w:t>
      </w:r>
      <w:r w:rsidRPr="00033F16" w:rsidR="00524D31">
        <w:t xml:space="preserve"> as </w:t>
      </w:r>
      <w:r w:rsidRPr="00033F16" w:rsidR="000530E2">
        <w:t xml:space="preserve">established </w:t>
      </w:r>
      <w:r w:rsidRPr="00033F16" w:rsidR="00524D31">
        <w:t>in the domestic proceedings, the demolition of I.F.</w:t>
      </w:r>
      <w:r w:rsidRPr="00033F16" w:rsidR="00033F16">
        <w:t>’</w:t>
      </w:r>
      <w:r w:rsidRPr="00033F16" w:rsidR="00524D31">
        <w:t>s building would not</w:t>
      </w:r>
      <w:r w:rsidRPr="00033F16" w:rsidR="008E638C">
        <w:t xml:space="preserve"> necessarily</w:t>
      </w:r>
      <w:r w:rsidRPr="00033F16" w:rsidR="00524D31">
        <w:t xml:space="preserve"> have provided unfettered access to </w:t>
      </w:r>
      <w:r w:rsidRPr="00033F16" w:rsidR="00135CC1">
        <w:t>the applicant</w:t>
      </w:r>
      <w:r w:rsidRPr="00033F16" w:rsidR="00033F16">
        <w:t>’</w:t>
      </w:r>
      <w:r w:rsidRPr="00033F16" w:rsidR="00135CC1">
        <w:t xml:space="preserve">s </w:t>
      </w:r>
      <w:r w:rsidRPr="00033F16" w:rsidR="00524D31">
        <w:t>property from the street. The Court also notes that the proceedings for legalisation of I.F.</w:t>
      </w:r>
      <w:r w:rsidRPr="00033F16" w:rsidR="00033F16">
        <w:t>’</w:t>
      </w:r>
      <w:r w:rsidRPr="00033F16" w:rsidR="00524D31">
        <w:t xml:space="preserve">s building are pending (see paragraph </w:t>
      </w:r>
      <w:r w:rsidRPr="00033F16" w:rsidR="00524D31">
        <w:fldChar w:fldCharType="begin"/>
      </w:r>
      <w:r w:rsidRPr="00033F16" w:rsidR="00524D31">
        <w:instrText xml:space="preserve"> REF IFLegalisation \h </w:instrText>
      </w:r>
      <w:r w:rsidRPr="00033F16" w:rsidR="00A36924">
        <w:instrText xml:space="preserve"> \* MERGEFORMAT </w:instrText>
      </w:r>
      <w:r w:rsidRPr="00033F16" w:rsidR="00524D31">
        <w:fldChar w:fldCharType="separate"/>
      </w:r>
      <w:r w:rsidRPr="00033F16" w:rsidR="00033F16">
        <w:rPr>
          <w:noProof/>
        </w:rPr>
        <w:t>34</w:t>
      </w:r>
      <w:r w:rsidRPr="00033F16" w:rsidR="00524D31">
        <w:fldChar w:fldCharType="end"/>
      </w:r>
      <w:r w:rsidRPr="00033F16" w:rsidR="00524D31">
        <w:t xml:space="preserve"> above) and that </w:t>
      </w:r>
      <w:r w:rsidRPr="00033F16" w:rsidR="008E638C">
        <w:t xml:space="preserve">pursuant </w:t>
      </w:r>
      <w:r w:rsidRPr="00033F16" w:rsidR="00524D31">
        <w:t xml:space="preserve">to section 31 of the Legalisation of Unlawfully Constructed Buildings Act of 2011 (see paragraph </w:t>
      </w:r>
      <w:r w:rsidRPr="00033F16" w:rsidR="00524D31">
        <w:fldChar w:fldCharType="begin"/>
      </w:r>
      <w:r w:rsidRPr="00033F16" w:rsidR="00524D31">
        <w:instrText xml:space="preserve"> REF sec31 \h </w:instrText>
      </w:r>
      <w:r w:rsidRPr="00033F16" w:rsidR="00A36924">
        <w:instrText xml:space="preserve"> \* MERGEFORMAT </w:instrText>
      </w:r>
      <w:r w:rsidRPr="00033F16" w:rsidR="00524D31">
        <w:fldChar w:fldCharType="separate"/>
      </w:r>
      <w:r w:rsidRPr="00033F16" w:rsidR="00033F16">
        <w:rPr>
          <w:noProof/>
        </w:rPr>
        <w:t>44</w:t>
      </w:r>
      <w:r w:rsidRPr="00033F16" w:rsidR="00524D31">
        <w:fldChar w:fldCharType="end"/>
      </w:r>
      <w:r w:rsidRPr="00033F16" w:rsidR="00524D31">
        <w:t xml:space="preserve"> above) all administrative and court proceedings in relation to unlawful construction of buildings that began before the entry into force of this Act </w:t>
      </w:r>
      <w:r w:rsidRPr="00033F16" w:rsidR="008E638C">
        <w:t xml:space="preserve">must </w:t>
      </w:r>
      <w:r w:rsidRPr="00033F16" w:rsidR="00524D31">
        <w:t>be stayed.</w:t>
      </w:r>
    </w:p>
    <w:p w:rsidRPr="00033F16" w:rsidR="00771D0F" w:rsidP="00033F16" w:rsidRDefault="004D57F1">
      <w:pPr>
        <w:pStyle w:val="JuPara"/>
        <w:rPr>
          <w:rFonts w:cstheme="minorHAnsi"/>
        </w:rPr>
      </w:pPr>
      <w:r>
        <w:fldChar w:fldCharType="begin"/>
      </w:r>
      <w:r>
        <w:instrText xml:space="preserve"> SEQ level0 \*arabic </w:instrText>
      </w:r>
      <w:r>
        <w:fldChar w:fldCharType="separate"/>
      </w:r>
      <w:r w:rsidRPr="00033F16" w:rsidR="00033F16">
        <w:rPr>
          <w:noProof/>
        </w:rPr>
        <w:t>102</w:t>
      </w:r>
      <w:r>
        <w:rPr>
          <w:noProof/>
        </w:rPr>
        <w:fldChar w:fldCharType="end"/>
      </w:r>
      <w:r w:rsidRPr="00033F16" w:rsidR="00524D31">
        <w:t>.  In view of the domestic courts</w:t>
      </w:r>
      <w:r w:rsidRPr="00033F16" w:rsidR="00033F16">
        <w:t>’</w:t>
      </w:r>
      <w:r w:rsidRPr="00033F16" w:rsidR="00524D31">
        <w:t xml:space="preserve"> findings, which the Court does not consider arbitrary or manifestly unreasonable, the Court finds that the applicant has not sufficiently substantiated that I.F.</w:t>
      </w:r>
      <w:r w:rsidRPr="00033F16" w:rsidR="00033F16">
        <w:t>’</w:t>
      </w:r>
      <w:r w:rsidRPr="00033F16" w:rsidR="00524D31">
        <w:t>s construction</w:t>
      </w:r>
      <w:r w:rsidRPr="00033F16" w:rsidR="00436F1B">
        <w:t xml:space="preserve"> work</w:t>
      </w:r>
      <w:r w:rsidRPr="00033F16" w:rsidR="00524D31">
        <w:t xml:space="preserve"> led to a loss of value of her property and that on that account she had suffered any financial loss (</w:t>
      </w:r>
      <w:r w:rsidRPr="00033F16" w:rsidR="003074F2">
        <w:t xml:space="preserve">compare </w:t>
      </w:r>
      <w:r w:rsidRPr="00033F16" w:rsidR="00524D31">
        <w:rPr>
          <w:i/>
        </w:rPr>
        <w:t>Fuchs v. Poland</w:t>
      </w:r>
      <w:r w:rsidRPr="00033F16" w:rsidR="00524D31">
        <w:t>,</w:t>
      </w:r>
      <w:r w:rsidRPr="00033F16" w:rsidR="00524D31">
        <w:rPr>
          <w:i/>
        </w:rPr>
        <w:t xml:space="preserve"> </w:t>
      </w:r>
      <w:r w:rsidRPr="00033F16" w:rsidR="00AD3E80">
        <w:t>(dec.), no. 33870/96, 11 </w:t>
      </w:r>
      <w:r w:rsidRPr="00033F16" w:rsidR="00524D31">
        <w:t>December 2001</w:t>
      </w:r>
      <w:r w:rsidRPr="00033F16" w:rsidR="00266027">
        <w:t>,</w:t>
      </w:r>
      <w:r w:rsidRPr="00033F16" w:rsidR="00524D31">
        <w:t xml:space="preserve"> and </w:t>
      </w:r>
      <w:r w:rsidRPr="00033F16" w:rsidR="00524D31">
        <w:rPr>
          <w:i/>
        </w:rPr>
        <w:t>Rupar v. Slovenia</w:t>
      </w:r>
      <w:r w:rsidRPr="00033F16" w:rsidR="00524D31">
        <w:t xml:space="preserve">, (dec.), no. 16480/02, §§ 46-48, 15 May 2010). Accordingly, </w:t>
      </w:r>
      <w:r w:rsidRPr="00033F16" w:rsidR="005A1184">
        <w:t>the remainder</w:t>
      </w:r>
      <w:r w:rsidRPr="00033F16" w:rsidR="00524D31">
        <w:t xml:space="preserve"> of the application is manifestly ill-founded within the meaning of Article 35 </w:t>
      </w:r>
      <w:r w:rsidRPr="00033F16" w:rsidR="00524D31">
        <w:rPr>
          <w:rFonts w:cstheme="minorHAnsi"/>
        </w:rPr>
        <w:t>§§ 3 and 4 of the Convention.</w:t>
      </w:r>
    </w:p>
    <w:p w:rsidRPr="00033F16" w:rsidR="00D420F3" w:rsidP="00033F16" w:rsidRDefault="0077175D">
      <w:pPr>
        <w:pStyle w:val="JuHIRoman"/>
      </w:pPr>
      <w:r w:rsidRPr="00033F16">
        <w:t>APPLICATION OF ARTICLE 41 OF THE CONVENTION</w:t>
      </w:r>
    </w:p>
    <w:p w:rsidRPr="00033F16" w:rsidR="00D420F3" w:rsidP="00033F16" w:rsidRDefault="004D57F1">
      <w:pPr>
        <w:pStyle w:val="JuPara"/>
        <w:keepNext/>
        <w:keepLines/>
      </w:pPr>
      <w:r>
        <w:fldChar w:fldCharType="begin"/>
      </w:r>
      <w:r>
        <w:instrText xml:space="preserve"> SEQ level0 \*arabic </w:instrText>
      </w:r>
      <w:r>
        <w:fldChar w:fldCharType="separate"/>
      </w:r>
      <w:r w:rsidRPr="00033F16" w:rsidR="00033F16">
        <w:rPr>
          <w:noProof/>
        </w:rPr>
        <w:t>103</w:t>
      </w:r>
      <w:r>
        <w:rPr>
          <w:noProof/>
        </w:rPr>
        <w:fldChar w:fldCharType="end"/>
      </w:r>
      <w:r w:rsidRPr="00033F16" w:rsidR="0077175D">
        <w:t>.  Article 41 of the Convention provides:</w:t>
      </w:r>
    </w:p>
    <w:p w:rsidRPr="00033F16" w:rsidR="00A72BAD" w:rsidP="00033F16" w:rsidRDefault="0077175D">
      <w:pPr>
        <w:pStyle w:val="JuQuot"/>
        <w:keepNext/>
        <w:keepLines/>
      </w:pPr>
      <w:r w:rsidRPr="00033F1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33F16" w:rsidR="00D420F3" w:rsidP="00033F16" w:rsidRDefault="0077175D">
      <w:pPr>
        <w:pStyle w:val="JuHA"/>
      </w:pPr>
      <w:r w:rsidRPr="00033F16">
        <w:t>Damage</w:t>
      </w:r>
    </w:p>
    <w:p w:rsidRPr="00033F16" w:rsidR="00A72BAD" w:rsidP="00033F16" w:rsidRDefault="004D57F1">
      <w:pPr>
        <w:pStyle w:val="JuPara"/>
      </w:pPr>
      <w:r>
        <w:fldChar w:fldCharType="begin"/>
      </w:r>
      <w:r>
        <w:instrText xml:space="preserve"> SEQ level0 \*arabic </w:instrText>
      </w:r>
      <w:r>
        <w:fldChar w:fldCharType="separate"/>
      </w:r>
      <w:r w:rsidRPr="00033F16" w:rsidR="00033F16">
        <w:rPr>
          <w:noProof/>
        </w:rPr>
        <w:t>104</w:t>
      </w:r>
      <w:r>
        <w:rPr>
          <w:noProof/>
        </w:rPr>
        <w:fldChar w:fldCharType="end"/>
      </w:r>
      <w:r w:rsidRPr="00033F16" w:rsidR="00A72BAD">
        <w:t>.  The applicant claimed 188,176</w:t>
      </w:r>
      <w:r w:rsidRPr="00033F16" w:rsidR="008E638C">
        <w:t xml:space="preserve"> euros (EUR)</w:t>
      </w:r>
      <w:r w:rsidRPr="00033F16" w:rsidR="00A72BAD">
        <w:t xml:space="preserve"> in respect of pecuniary damage and EUR 30,000 in respect of non-pecuniary damage.</w:t>
      </w:r>
    </w:p>
    <w:p w:rsidRPr="00033F16" w:rsidR="00A72BAD" w:rsidP="00033F16" w:rsidRDefault="004D57F1">
      <w:pPr>
        <w:pStyle w:val="JuPara"/>
      </w:pPr>
      <w:r>
        <w:fldChar w:fldCharType="begin"/>
      </w:r>
      <w:r>
        <w:instrText xml:space="preserve"> SEQ level0 \*arabic </w:instrText>
      </w:r>
      <w:r>
        <w:fldChar w:fldCharType="separate"/>
      </w:r>
      <w:r w:rsidRPr="00033F16" w:rsidR="00033F16">
        <w:rPr>
          <w:noProof/>
        </w:rPr>
        <w:t>105</w:t>
      </w:r>
      <w:r>
        <w:rPr>
          <w:noProof/>
        </w:rPr>
        <w:fldChar w:fldCharType="end"/>
      </w:r>
      <w:r w:rsidRPr="00033F16" w:rsidR="00A72BAD">
        <w:t>.  The Government contested those claims.</w:t>
      </w:r>
    </w:p>
    <w:p w:rsidRPr="00033F16" w:rsidR="00A72BAD" w:rsidP="00033F16" w:rsidRDefault="004D57F1">
      <w:pPr>
        <w:pStyle w:val="JuPara"/>
      </w:pPr>
      <w:r>
        <w:fldChar w:fldCharType="begin"/>
      </w:r>
      <w:r>
        <w:instrText xml:space="preserve"> SEQ level0 \*arabic </w:instrText>
      </w:r>
      <w:r>
        <w:fldChar w:fldCharType="separate"/>
      </w:r>
      <w:r w:rsidRPr="00033F16" w:rsidR="00033F16">
        <w:rPr>
          <w:noProof/>
        </w:rPr>
        <w:t>106</w:t>
      </w:r>
      <w:r>
        <w:rPr>
          <w:noProof/>
        </w:rPr>
        <w:fldChar w:fldCharType="end"/>
      </w:r>
      <w:r w:rsidRPr="00033F16" w:rsidR="00A72BAD">
        <w:t>.  The Court does not discern any causal link between the violation found and the pecuniary damage alleged; it therefore rejects this claim. On the other hand, it awards the applicant EUR 3,830 in respect of non-pecuniary damage for the violations found</w:t>
      </w:r>
      <w:r w:rsidRPr="00033F16" w:rsidR="00433E87">
        <w:t>, plus any tax that may be chargeable</w:t>
      </w:r>
      <w:r w:rsidRPr="00033F16" w:rsidR="00A72BAD">
        <w:t>.</w:t>
      </w:r>
    </w:p>
    <w:p w:rsidRPr="00033F16" w:rsidR="00D420F3" w:rsidP="00033F16" w:rsidRDefault="0077175D">
      <w:pPr>
        <w:pStyle w:val="JuHA"/>
      </w:pPr>
      <w:r w:rsidRPr="00033F16">
        <w:t>Costs and expenses</w:t>
      </w:r>
    </w:p>
    <w:p w:rsidRPr="00033F16" w:rsidR="00A72BAD" w:rsidP="00033F16" w:rsidRDefault="004D57F1">
      <w:pPr>
        <w:pStyle w:val="JuPara"/>
      </w:pPr>
      <w:r>
        <w:fldChar w:fldCharType="begin"/>
      </w:r>
      <w:r>
        <w:instrText xml:space="preserve"> SEQ level0 \*arabic </w:instrText>
      </w:r>
      <w:r>
        <w:fldChar w:fldCharType="separate"/>
      </w:r>
      <w:r w:rsidRPr="00033F16" w:rsidR="00033F16">
        <w:rPr>
          <w:noProof/>
        </w:rPr>
        <w:t>107</w:t>
      </w:r>
      <w:r>
        <w:rPr>
          <w:noProof/>
        </w:rPr>
        <w:fldChar w:fldCharType="end"/>
      </w:r>
      <w:r w:rsidRPr="00033F16" w:rsidR="00A72BAD">
        <w:t>.  The applicant also claimed a total sum of 672,752</w:t>
      </w:r>
      <w:r w:rsidRPr="00033F16" w:rsidR="008E638C">
        <w:t xml:space="preserve"> </w:t>
      </w:r>
      <w:r w:rsidRPr="00033F16" w:rsidR="00FB0944">
        <w:t xml:space="preserve">(denars) MKD </w:t>
      </w:r>
      <w:r w:rsidRPr="00033F16" w:rsidR="00A72BAD">
        <w:t>(approximately EUR 10,</w:t>
      </w:r>
      <w:r w:rsidRPr="00033F16" w:rsidR="00994953">
        <w:t>855</w:t>
      </w:r>
      <w:r w:rsidRPr="00033F16" w:rsidR="00A72BAD">
        <w:t>) for the costs and expenses incurred both before the domestic courts and for those incurred before the Court. From this amount, the applicant claimed MKD 36,285 (approximately EUR 585) for the legal fees incurred in the proceedings before the Court, for which she submitted an invoice specifying the amount due.</w:t>
      </w:r>
    </w:p>
    <w:p w:rsidRPr="00033F16" w:rsidR="00020485" w:rsidP="00033F16" w:rsidRDefault="004D57F1">
      <w:pPr>
        <w:pStyle w:val="JuPara"/>
      </w:pPr>
      <w:r>
        <w:fldChar w:fldCharType="begin"/>
      </w:r>
      <w:r>
        <w:instrText xml:space="preserve"> SEQ level0 \*arabic </w:instrText>
      </w:r>
      <w:r>
        <w:fldChar w:fldCharType="separate"/>
      </w:r>
      <w:r w:rsidRPr="00033F16" w:rsidR="00033F16">
        <w:rPr>
          <w:noProof/>
        </w:rPr>
        <w:t>108</w:t>
      </w:r>
      <w:r>
        <w:rPr>
          <w:noProof/>
        </w:rPr>
        <w:fldChar w:fldCharType="end"/>
      </w:r>
      <w:r w:rsidRPr="00033F16" w:rsidR="00A72BAD">
        <w:t>.  The Government contested the claims.</w:t>
      </w:r>
    </w:p>
    <w:p w:rsidRPr="00033F16" w:rsidR="00771D0F" w:rsidP="00033F16" w:rsidRDefault="004D57F1">
      <w:pPr>
        <w:pStyle w:val="JuPara"/>
      </w:pPr>
      <w:r>
        <w:fldChar w:fldCharType="begin"/>
      </w:r>
      <w:r>
        <w:instrText xml:space="preserve"> SEQ level0 \*arabic </w:instrText>
      </w:r>
      <w:r>
        <w:fldChar w:fldCharType="separate"/>
      </w:r>
      <w:r w:rsidRPr="00033F16" w:rsidR="00033F16">
        <w:rPr>
          <w:noProof/>
        </w:rPr>
        <w:t>109</w:t>
      </w:r>
      <w:r>
        <w:rPr>
          <w:noProof/>
        </w:rPr>
        <w:fldChar w:fldCharType="end"/>
      </w:r>
      <w:r w:rsidRPr="00033F16" w:rsidR="00A72BAD">
        <w:t>.  According to the Court</w:t>
      </w:r>
      <w:r w:rsidRPr="00033F16" w:rsidR="00033F16">
        <w:t>’</w:t>
      </w:r>
      <w:r w:rsidRPr="00033F16" w:rsidR="00A72BAD">
        <w:t xml:space="preserve">s case-law, an applicant is entitled to the reimbursement of costs and expenses only in so far as it has been shown that these have been actually and necessarily incurred and are reasonable as to quantum (see </w:t>
      </w:r>
      <w:r w:rsidRPr="00033F16" w:rsidR="00D74C61">
        <w:rPr>
          <w:i/>
        </w:rPr>
        <w:t>Petreska v. the former Yugoslav Republic of Macedonia</w:t>
      </w:r>
      <w:r w:rsidRPr="00033F16" w:rsidR="00D74C61">
        <w:t>, no. 16912/08</w:t>
      </w:r>
      <w:r w:rsidRPr="00033F16" w:rsidR="00D74C61">
        <w:rPr>
          <w:snapToGrid w:val="0"/>
        </w:rPr>
        <w:t xml:space="preserve">, § 40, </w:t>
      </w:r>
      <w:r w:rsidRPr="00033F16" w:rsidR="00D74C61">
        <w:t>21</w:t>
      </w:r>
      <w:r w:rsidRPr="00033F16" w:rsidR="00D74C61">
        <w:rPr>
          <w:snapToGrid w:val="0"/>
        </w:rPr>
        <w:t xml:space="preserve"> July 2016</w:t>
      </w:r>
      <w:r w:rsidRPr="00033F16" w:rsidR="00A72BAD">
        <w:t>). In view of the documents in its possession and the above criteria, the Court</w:t>
      </w:r>
      <w:r w:rsidRPr="00033F16" w:rsidR="00627115">
        <w:t xml:space="preserve"> considers it reasonable to award the sum of EUR 700 covering costs and expenses under all heads, plus any tax that may be chargeable to the applicant.</w:t>
      </w:r>
    </w:p>
    <w:p w:rsidRPr="00033F16" w:rsidR="00D420F3" w:rsidP="00033F16" w:rsidRDefault="0077175D">
      <w:pPr>
        <w:pStyle w:val="JuHA"/>
      </w:pPr>
      <w:r w:rsidRPr="00033F16">
        <w:t>Default interest</w:t>
      </w:r>
    </w:p>
    <w:p w:rsidRPr="00033F16" w:rsidR="00D420F3" w:rsidP="00033F16" w:rsidRDefault="004D57F1">
      <w:pPr>
        <w:pStyle w:val="JuPara"/>
      </w:pPr>
      <w:r>
        <w:fldChar w:fldCharType="begin"/>
      </w:r>
      <w:r>
        <w:instrText xml:space="preserve"> SEQ level0 \*arabic </w:instrText>
      </w:r>
      <w:r>
        <w:fldChar w:fldCharType="separate"/>
      </w:r>
      <w:r w:rsidRPr="00033F16" w:rsidR="00033F16">
        <w:rPr>
          <w:noProof/>
        </w:rPr>
        <w:t>110</w:t>
      </w:r>
      <w:r>
        <w:rPr>
          <w:noProof/>
        </w:rPr>
        <w:fldChar w:fldCharType="end"/>
      </w:r>
      <w:r w:rsidRPr="00033F16" w:rsidR="0077175D">
        <w:t>.  The Court considers it appropriate that the default interest rate should be based on the marginal lending rate of the European Central Bank, to which should be added three percentage points.</w:t>
      </w:r>
    </w:p>
    <w:p w:rsidRPr="00033F16" w:rsidR="00D420F3" w:rsidP="00033F16" w:rsidRDefault="0077175D">
      <w:pPr>
        <w:pStyle w:val="JuHHead"/>
      </w:pPr>
      <w:r w:rsidRPr="00033F16">
        <w:t>FOR THESE REASONS, THE COURT</w:t>
      </w:r>
      <w:r w:rsidRPr="00033F16" w:rsidR="00D07515">
        <w:t>, UNANIMOUSLY,</w:t>
      </w:r>
    </w:p>
    <w:p w:rsidRPr="00033F16" w:rsidR="00771D0F" w:rsidP="00033F16" w:rsidRDefault="0002222E">
      <w:pPr>
        <w:pStyle w:val="JuList"/>
      </w:pPr>
      <w:r w:rsidRPr="00033F16">
        <w:rPr>
          <w:i/>
        </w:rPr>
        <w:t xml:space="preserve">Joins </w:t>
      </w:r>
      <w:r w:rsidRPr="00033F16">
        <w:t>to the merits</w:t>
      </w:r>
      <w:r w:rsidRPr="00033F16">
        <w:rPr>
          <w:i/>
        </w:rPr>
        <w:t xml:space="preserve"> </w:t>
      </w:r>
      <w:r w:rsidRPr="00033F16">
        <w:t>the Government</w:t>
      </w:r>
      <w:r w:rsidRPr="00033F16" w:rsidR="00033F16">
        <w:t>’</w:t>
      </w:r>
      <w:r w:rsidRPr="00033F16">
        <w:t>s objection as to the exhaustion of domestic remedies regarding the complaint under Article 6 </w:t>
      </w:r>
      <w:r w:rsidRPr="00033F16">
        <w:rPr>
          <w:rFonts w:cstheme="minorHAnsi"/>
        </w:rPr>
        <w:t>§</w:t>
      </w:r>
      <w:r w:rsidRPr="00033F16">
        <w:t xml:space="preserve"> 1 of the Convention concerning the </w:t>
      </w:r>
      <w:r w:rsidRPr="00033F16" w:rsidR="005A1184">
        <w:t xml:space="preserve">length of the </w:t>
      </w:r>
      <w:r w:rsidRPr="00033F16">
        <w:t xml:space="preserve">civil proceedings against I.F., the State and the </w:t>
      </w:r>
      <w:r w:rsidRPr="00033F16" w:rsidR="002B7964">
        <w:t>municipality</w:t>
      </w:r>
      <w:r w:rsidRPr="00033F16" w:rsidR="005A1184">
        <w:t xml:space="preserve"> and dismisses it</w:t>
      </w:r>
      <w:r w:rsidRPr="00033F16">
        <w:t>;</w:t>
      </w:r>
    </w:p>
    <w:p w:rsidRPr="00033F16" w:rsidR="00020485" w:rsidP="00033F16" w:rsidRDefault="0077175D">
      <w:pPr>
        <w:pStyle w:val="JuList"/>
      </w:pPr>
      <w:r w:rsidRPr="00033F16">
        <w:rPr>
          <w:i/>
        </w:rPr>
        <w:t>Declares</w:t>
      </w:r>
      <w:r w:rsidRPr="00033F16">
        <w:t xml:space="preserve"> the complaints</w:t>
      </w:r>
      <w:r w:rsidRPr="00033F16" w:rsidR="00A72BAD">
        <w:t xml:space="preserve"> under Article 6 </w:t>
      </w:r>
      <w:r w:rsidRPr="00033F16" w:rsidR="00A72BAD">
        <w:rPr>
          <w:rFonts w:cstheme="minorHAnsi"/>
        </w:rPr>
        <w:t>§</w:t>
      </w:r>
      <w:r w:rsidRPr="00033F16" w:rsidR="00A72BAD">
        <w:t> 1 of the Convention concerning the length of the</w:t>
      </w:r>
      <w:r w:rsidRPr="00033F16" w:rsidR="005A1184">
        <w:t xml:space="preserve"> three sets of</w:t>
      </w:r>
      <w:r w:rsidRPr="00033F16" w:rsidR="00A72BAD">
        <w:t xml:space="preserve"> proceedings admissible, and the remainder of the application inadmissible;</w:t>
      </w:r>
    </w:p>
    <w:p w:rsidRPr="00033F16" w:rsidR="00D420F3" w:rsidP="00033F16" w:rsidRDefault="0077175D">
      <w:pPr>
        <w:pStyle w:val="JuList"/>
      </w:pPr>
      <w:r w:rsidRPr="00033F16">
        <w:rPr>
          <w:i/>
        </w:rPr>
        <w:t>Holds</w:t>
      </w:r>
      <w:r w:rsidRPr="00033F16">
        <w:rPr>
          <w:color w:val="000000"/>
        </w:rPr>
        <w:t xml:space="preserve"> </w:t>
      </w:r>
      <w:r w:rsidRPr="00033F16">
        <w:t xml:space="preserve">that there has been a violation of </w:t>
      </w:r>
      <w:r w:rsidRPr="00033F16" w:rsidR="00A72BAD">
        <w:t>Article 6 </w:t>
      </w:r>
      <w:r w:rsidRPr="00033F16" w:rsidR="00A72BAD">
        <w:rPr>
          <w:rFonts w:cstheme="minorHAnsi"/>
        </w:rPr>
        <w:t>§</w:t>
      </w:r>
      <w:r w:rsidRPr="00033F16" w:rsidR="00A72BAD">
        <w:t xml:space="preserve"> 1 of the Convention </w:t>
      </w:r>
      <w:r w:rsidRPr="00033F16" w:rsidR="0002222E">
        <w:t>on account of the excessive</w:t>
      </w:r>
      <w:r w:rsidRPr="00033F16" w:rsidR="00A72BAD">
        <w:t xml:space="preserve"> length of the </w:t>
      </w:r>
      <w:r w:rsidRPr="00033F16" w:rsidR="009F53A5">
        <w:t xml:space="preserve">three sets of </w:t>
      </w:r>
      <w:r w:rsidRPr="00033F16" w:rsidR="0002222E">
        <w:t>proceedings</w:t>
      </w:r>
      <w:r w:rsidRPr="00033F16">
        <w:t>;</w:t>
      </w:r>
    </w:p>
    <w:p w:rsidRPr="00033F16" w:rsidR="00D07515" w:rsidP="00033F16" w:rsidRDefault="0077175D">
      <w:pPr>
        <w:pStyle w:val="JuList"/>
      </w:pPr>
      <w:r w:rsidRPr="00033F16">
        <w:rPr>
          <w:i/>
        </w:rPr>
        <w:t>Holds</w:t>
      </w:r>
    </w:p>
    <w:p w:rsidRPr="00033F16" w:rsidR="00D420F3" w:rsidP="00033F16" w:rsidRDefault="0077175D">
      <w:pPr>
        <w:pStyle w:val="JuLista"/>
      </w:pPr>
      <w:r w:rsidRPr="00033F16">
        <w:t>that the respondent State is to pay the applicant, within three months</w:t>
      </w:r>
      <w:r w:rsidRPr="00033F16" w:rsidR="00D07515">
        <w:t xml:space="preserve"> </w:t>
      </w:r>
      <w:r w:rsidRPr="00033F16">
        <w:t>the following amounts,</w:t>
      </w:r>
      <w:r w:rsidRPr="00033F16">
        <w:rPr>
          <w:b/>
        </w:rPr>
        <w:t xml:space="preserve"> </w:t>
      </w:r>
      <w:r w:rsidRPr="00033F16">
        <w:t xml:space="preserve">to be converted into </w:t>
      </w:r>
      <w:r w:rsidRPr="00033F16">
        <w:rPr>
          <w:color w:val="000000"/>
        </w:rPr>
        <w:t>the currency of the respondent State</w:t>
      </w:r>
      <w:r w:rsidRPr="00033F16">
        <w:t xml:space="preserve"> at the rate applicable at the date of settlement:</w:t>
      </w:r>
    </w:p>
    <w:p w:rsidRPr="00033F16" w:rsidR="00D420F3" w:rsidP="00033F16" w:rsidRDefault="0077175D">
      <w:pPr>
        <w:pStyle w:val="JuListi"/>
      </w:pPr>
      <w:r w:rsidRPr="00033F16">
        <w:t xml:space="preserve">EUR </w:t>
      </w:r>
      <w:r w:rsidRPr="00033F16" w:rsidR="00A72BAD">
        <w:t xml:space="preserve">3,830 </w:t>
      </w:r>
      <w:r w:rsidRPr="00033F16">
        <w:t>(</w:t>
      </w:r>
      <w:r w:rsidRPr="00033F16" w:rsidR="00A72BAD">
        <w:t>three thousand eight hundred</w:t>
      </w:r>
      <w:r w:rsidRPr="00033F16" w:rsidR="00E11406">
        <w:t xml:space="preserve"> and</w:t>
      </w:r>
      <w:r w:rsidRPr="00033F16" w:rsidR="00A72BAD">
        <w:t xml:space="preserve"> thirty</w:t>
      </w:r>
      <w:r w:rsidRPr="00033F16">
        <w:t xml:space="preserve"> euros), plus any tax that may be chargeable, in respect of non-pecuniary damage;</w:t>
      </w:r>
    </w:p>
    <w:p w:rsidRPr="00033F16" w:rsidR="00D420F3" w:rsidP="00033F16" w:rsidRDefault="0077175D">
      <w:pPr>
        <w:pStyle w:val="JuListi"/>
      </w:pPr>
      <w:r w:rsidRPr="00033F16">
        <w:t xml:space="preserve">EUR </w:t>
      </w:r>
      <w:r w:rsidRPr="00033F16" w:rsidR="00433E87">
        <w:t xml:space="preserve">700 </w:t>
      </w:r>
      <w:r w:rsidRPr="00033F16">
        <w:t>(</w:t>
      </w:r>
      <w:r w:rsidRPr="00033F16" w:rsidR="00433E87">
        <w:t>seven hundred</w:t>
      </w:r>
      <w:r w:rsidRPr="00033F16" w:rsidR="00A72BAD">
        <w:t xml:space="preserve"> </w:t>
      </w:r>
      <w:r w:rsidRPr="00033F16">
        <w:t>euros), plus any tax that may be chargeable to the applicant, in respect of costs and expenses;</w:t>
      </w:r>
    </w:p>
    <w:p w:rsidRPr="00033F16" w:rsidR="00D420F3" w:rsidP="00033F16" w:rsidRDefault="0077175D">
      <w:pPr>
        <w:pStyle w:val="JuLista"/>
      </w:pPr>
      <w:r w:rsidRPr="00033F1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33F16" w:rsidR="00A72BAD" w:rsidP="00033F16" w:rsidRDefault="0077175D">
      <w:pPr>
        <w:pStyle w:val="JuList"/>
      </w:pPr>
      <w:r w:rsidRPr="00033F16">
        <w:rPr>
          <w:i/>
        </w:rPr>
        <w:t>Dismisses</w:t>
      </w:r>
      <w:r w:rsidRPr="00033F16">
        <w:rPr>
          <w:color w:val="000000"/>
        </w:rPr>
        <w:t xml:space="preserve"> </w:t>
      </w:r>
      <w:r w:rsidRPr="00033F16">
        <w:t>the remainder of the applicant</w:t>
      </w:r>
      <w:r w:rsidRPr="00033F16" w:rsidR="00033F16">
        <w:t>’</w:t>
      </w:r>
      <w:r w:rsidRPr="00033F16" w:rsidR="00D07515">
        <w:t>s</w:t>
      </w:r>
      <w:r w:rsidRPr="00033F16">
        <w:t xml:space="preserve"> claim for just satisfaction.</w:t>
      </w:r>
    </w:p>
    <w:p w:rsidRPr="00033F16" w:rsidR="00D420F3" w:rsidP="00033F16" w:rsidRDefault="0077175D">
      <w:pPr>
        <w:pStyle w:val="JuParaLast"/>
      </w:pPr>
      <w:r w:rsidRPr="00033F16">
        <w:t>Done in English, and notified in writing on</w:t>
      </w:r>
      <w:r w:rsidRPr="00033F16" w:rsidR="005D6206">
        <w:t xml:space="preserve"> 16 January 2020</w:t>
      </w:r>
      <w:r w:rsidRPr="00033F16">
        <w:t>, pursuant to Rule 77 §§ 2 and 3 of the Rules of Court.</w:t>
      </w:r>
    </w:p>
    <w:p w:rsidRPr="00033F16" w:rsidR="00D420F3" w:rsidP="00033F16" w:rsidRDefault="0077175D">
      <w:pPr>
        <w:pStyle w:val="JuSigned"/>
        <w:rPr>
          <w:lang w:val="es-ES_tradnl"/>
        </w:rPr>
      </w:pPr>
      <w:r w:rsidRPr="00033F16">
        <w:tab/>
      </w:r>
      <w:r w:rsidRPr="00033F16" w:rsidR="007B39ED">
        <w:rPr>
          <w:lang w:val="es-ES_tradnl"/>
        </w:rPr>
        <w:t>Abel Campos</w:t>
      </w:r>
      <w:r w:rsidRPr="00033F16">
        <w:rPr>
          <w:lang w:val="es-ES_tradnl"/>
        </w:rPr>
        <w:tab/>
      </w:r>
      <w:r w:rsidRPr="00033F16" w:rsidR="007B39ED">
        <w:rPr>
          <w:lang w:val="es-ES_tradnl"/>
        </w:rPr>
        <w:t>Tim Eicke</w:t>
      </w:r>
      <w:r w:rsidRPr="00033F16">
        <w:rPr>
          <w:lang w:val="es-ES_tradnl"/>
        </w:rPr>
        <w:br/>
      </w:r>
      <w:r w:rsidRPr="00033F16">
        <w:rPr>
          <w:lang w:val="es-ES_tradnl"/>
        </w:rPr>
        <w:tab/>
      </w:r>
      <w:r w:rsidRPr="00033F16" w:rsidR="00D07515">
        <w:rPr>
          <w:iCs/>
          <w:lang w:val="es-ES_tradnl"/>
        </w:rPr>
        <w:t>Registrar</w:t>
      </w:r>
      <w:r w:rsidRPr="00033F16">
        <w:rPr>
          <w:lang w:val="es-ES_tradnl"/>
        </w:rPr>
        <w:tab/>
        <w:t>President</w:t>
      </w:r>
    </w:p>
    <w:sectPr w:rsidRPr="00033F16" w:rsidR="00D420F3" w:rsidSect="00771D0F">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924" w:rsidRDefault="00A36924">
      <w:r>
        <w:separator/>
      </w:r>
    </w:p>
  </w:endnote>
  <w:endnote w:type="continuationSeparator" w:id="0">
    <w:p w:rsidR="00A36924" w:rsidRDefault="00A36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924" w:rsidRPr="00150BFA" w:rsidRDefault="00A36924" w:rsidP="002240B8">
    <w:pPr>
      <w:jc w:val="center"/>
    </w:pPr>
    <w:r>
      <w:rPr>
        <w:noProof/>
        <w:lang w:eastAsia="ja-JP"/>
      </w:rPr>
      <w:drawing>
        <wp:inline distT="0" distB="0" distL="0" distR="0" wp14:anchorId="20420F2B" wp14:editId="214CA523">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36924" w:rsidRDefault="00A369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924" w:rsidRPr="003152BA" w:rsidRDefault="00A36924" w:rsidP="00D420F3">
      <w:r w:rsidRPr="003152BA">
        <w:separator/>
      </w:r>
    </w:p>
  </w:footnote>
  <w:footnote w:type="continuationSeparator" w:id="0">
    <w:p w:rsidR="00A36924" w:rsidRPr="003152BA" w:rsidRDefault="00A36924"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924" w:rsidRPr="00771D0F" w:rsidRDefault="00A36924" w:rsidP="00771D0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924" w:rsidRPr="00A45145" w:rsidRDefault="00A36924" w:rsidP="002240B8">
    <w:pPr>
      <w:jc w:val="center"/>
    </w:pPr>
    <w:r>
      <w:rPr>
        <w:noProof/>
        <w:lang w:eastAsia="ja-JP"/>
      </w:rPr>
      <w:drawing>
        <wp:inline distT="0" distB="0" distL="0" distR="0" wp14:anchorId="7FC61B87" wp14:editId="6E1B16AE">
          <wp:extent cx="2962275" cy="1219200"/>
          <wp:effectExtent l="0" t="0" r="9525" b="0"/>
          <wp:docPr id="30" name="Picture 3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36924" w:rsidRDefault="00A369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924" w:rsidRPr="003152BA" w:rsidRDefault="00A36924" w:rsidP="00D420F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33F16">
      <w:rPr>
        <w:rStyle w:val="PageNumber"/>
        <w:noProof/>
        <w:szCs w:val="18"/>
      </w:rPr>
      <w:t>22</w:t>
    </w:r>
    <w:r>
      <w:rPr>
        <w:rStyle w:val="PageNumber"/>
        <w:szCs w:val="18"/>
      </w:rPr>
      <w:fldChar w:fldCharType="end"/>
    </w:r>
    <w:r w:rsidRPr="003152BA">
      <w:tab/>
    </w:r>
    <w:r>
      <w:t xml:space="preserve">SINADINOVSKA v. NORTH MACEDONIA </w:t>
    </w:r>
    <w:r w:rsidRPr="003152BA">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924" w:rsidRPr="003152BA" w:rsidRDefault="00A36924" w:rsidP="00D420F3">
    <w:pPr>
      <w:pStyle w:val="JuHeader"/>
    </w:pPr>
    <w:r w:rsidRPr="003152BA">
      <w:tab/>
    </w:r>
    <w:r>
      <w:t xml:space="preserve">SINADINOVSKA v. NORTH MACEDONIA </w:t>
    </w:r>
    <w:r>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033F16">
      <w:rPr>
        <w:rStyle w:val="PageNumber"/>
        <w:noProof/>
        <w:szCs w:val="18"/>
      </w:rPr>
      <w:t>21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07515"/>
    <w:rsid w:val="00002ACB"/>
    <w:rsid w:val="00005676"/>
    <w:rsid w:val="00016281"/>
    <w:rsid w:val="00017F3B"/>
    <w:rsid w:val="00020485"/>
    <w:rsid w:val="0002222E"/>
    <w:rsid w:val="00030A12"/>
    <w:rsid w:val="00033F16"/>
    <w:rsid w:val="0004004E"/>
    <w:rsid w:val="00041A86"/>
    <w:rsid w:val="00044B80"/>
    <w:rsid w:val="000530E2"/>
    <w:rsid w:val="0006645B"/>
    <w:rsid w:val="00071E27"/>
    <w:rsid w:val="00080352"/>
    <w:rsid w:val="00086AAA"/>
    <w:rsid w:val="000A5865"/>
    <w:rsid w:val="000B0FD4"/>
    <w:rsid w:val="000B1143"/>
    <w:rsid w:val="000E29F1"/>
    <w:rsid w:val="000E46E8"/>
    <w:rsid w:val="000E69FE"/>
    <w:rsid w:val="0010220D"/>
    <w:rsid w:val="001025D7"/>
    <w:rsid w:val="00111E74"/>
    <w:rsid w:val="001167E2"/>
    <w:rsid w:val="00116FDF"/>
    <w:rsid w:val="00134214"/>
    <w:rsid w:val="00135CC1"/>
    <w:rsid w:val="0015415D"/>
    <w:rsid w:val="00161578"/>
    <w:rsid w:val="00164417"/>
    <w:rsid w:val="001656F3"/>
    <w:rsid w:val="00181D50"/>
    <w:rsid w:val="00182B91"/>
    <w:rsid w:val="00185D8D"/>
    <w:rsid w:val="0019760D"/>
    <w:rsid w:val="001A50D5"/>
    <w:rsid w:val="001A74E0"/>
    <w:rsid w:val="001A7B4D"/>
    <w:rsid w:val="001B28C5"/>
    <w:rsid w:val="001B3AAC"/>
    <w:rsid w:val="001C2BC9"/>
    <w:rsid w:val="001C3076"/>
    <w:rsid w:val="001C5208"/>
    <w:rsid w:val="001D1CAB"/>
    <w:rsid w:val="001E0119"/>
    <w:rsid w:val="001E2577"/>
    <w:rsid w:val="001E28E8"/>
    <w:rsid w:val="001E6C6D"/>
    <w:rsid w:val="001F1422"/>
    <w:rsid w:val="001F460C"/>
    <w:rsid w:val="001F5244"/>
    <w:rsid w:val="002179CB"/>
    <w:rsid w:val="002240B8"/>
    <w:rsid w:val="00240ACA"/>
    <w:rsid w:val="00241C54"/>
    <w:rsid w:val="0025154E"/>
    <w:rsid w:val="00266027"/>
    <w:rsid w:val="00273635"/>
    <w:rsid w:val="00274082"/>
    <w:rsid w:val="002842EC"/>
    <w:rsid w:val="00284F08"/>
    <w:rsid w:val="00290BBD"/>
    <w:rsid w:val="002A5759"/>
    <w:rsid w:val="002B7964"/>
    <w:rsid w:val="002C2DDF"/>
    <w:rsid w:val="002C4CCB"/>
    <w:rsid w:val="002C4D7B"/>
    <w:rsid w:val="002C65E2"/>
    <w:rsid w:val="002D5F18"/>
    <w:rsid w:val="002E50D7"/>
    <w:rsid w:val="002F0366"/>
    <w:rsid w:val="002F3F9B"/>
    <w:rsid w:val="003074F2"/>
    <w:rsid w:val="00313907"/>
    <w:rsid w:val="00314783"/>
    <w:rsid w:val="00315D32"/>
    <w:rsid w:val="003206B2"/>
    <w:rsid w:val="0034445C"/>
    <w:rsid w:val="003556C9"/>
    <w:rsid w:val="00372471"/>
    <w:rsid w:val="00372FD3"/>
    <w:rsid w:val="00373BC1"/>
    <w:rsid w:val="00374677"/>
    <w:rsid w:val="00377197"/>
    <w:rsid w:val="00380756"/>
    <w:rsid w:val="003834A0"/>
    <w:rsid w:val="00393EB7"/>
    <w:rsid w:val="0039454F"/>
    <w:rsid w:val="00397011"/>
    <w:rsid w:val="003B3389"/>
    <w:rsid w:val="003C35E3"/>
    <w:rsid w:val="003C40A2"/>
    <w:rsid w:val="003D3338"/>
    <w:rsid w:val="003D4DB2"/>
    <w:rsid w:val="003E6606"/>
    <w:rsid w:val="003E7BD4"/>
    <w:rsid w:val="003F0311"/>
    <w:rsid w:val="003F5299"/>
    <w:rsid w:val="003F6C81"/>
    <w:rsid w:val="0040169F"/>
    <w:rsid w:val="00404C01"/>
    <w:rsid w:val="00405B80"/>
    <w:rsid w:val="004226D9"/>
    <w:rsid w:val="004237DC"/>
    <w:rsid w:val="00424136"/>
    <w:rsid w:val="00426CD5"/>
    <w:rsid w:val="00427ADC"/>
    <w:rsid w:val="0043014C"/>
    <w:rsid w:val="00433E87"/>
    <w:rsid w:val="00434AC5"/>
    <w:rsid w:val="0043663C"/>
    <w:rsid w:val="00436F1B"/>
    <w:rsid w:val="004429B0"/>
    <w:rsid w:val="00444DF4"/>
    <w:rsid w:val="00464D54"/>
    <w:rsid w:val="004715C5"/>
    <w:rsid w:val="0047284B"/>
    <w:rsid w:val="004734E9"/>
    <w:rsid w:val="0048022D"/>
    <w:rsid w:val="00480B0E"/>
    <w:rsid w:val="00491C2F"/>
    <w:rsid w:val="004A0D24"/>
    <w:rsid w:val="004A2595"/>
    <w:rsid w:val="004A29F6"/>
    <w:rsid w:val="004A4809"/>
    <w:rsid w:val="004A630D"/>
    <w:rsid w:val="004A6831"/>
    <w:rsid w:val="004B09A2"/>
    <w:rsid w:val="004B16F5"/>
    <w:rsid w:val="004B5127"/>
    <w:rsid w:val="004B68E2"/>
    <w:rsid w:val="004D50B3"/>
    <w:rsid w:val="004D641C"/>
    <w:rsid w:val="004D6492"/>
    <w:rsid w:val="004E1DC1"/>
    <w:rsid w:val="004E2CE3"/>
    <w:rsid w:val="0050094B"/>
    <w:rsid w:val="005042C2"/>
    <w:rsid w:val="0050504A"/>
    <w:rsid w:val="00507483"/>
    <w:rsid w:val="00507B42"/>
    <w:rsid w:val="00524782"/>
    <w:rsid w:val="00524D31"/>
    <w:rsid w:val="005268D1"/>
    <w:rsid w:val="00534A13"/>
    <w:rsid w:val="005401F9"/>
    <w:rsid w:val="00544E3F"/>
    <w:rsid w:val="00547B7D"/>
    <w:rsid w:val="00550354"/>
    <w:rsid w:val="0055167B"/>
    <w:rsid w:val="00552703"/>
    <w:rsid w:val="00561084"/>
    <w:rsid w:val="00565292"/>
    <w:rsid w:val="005714F2"/>
    <w:rsid w:val="00574E35"/>
    <w:rsid w:val="005755B8"/>
    <w:rsid w:val="00580685"/>
    <w:rsid w:val="00582123"/>
    <w:rsid w:val="00584997"/>
    <w:rsid w:val="0058647D"/>
    <w:rsid w:val="005869EF"/>
    <w:rsid w:val="0059243A"/>
    <w:rsid w:val="005972A7"/>
    <w:rsid w:val="005A1184"/>
    <w:rsid w:val="005A13AB"/>
    <w:rsid w:val="005A246F"/>
    <w:rsid w:val="005B15D8"/>
    <w:rsid w:val="005D2F18"/>
    <w:rsid w:val="005D5FE4"/>
    <w:rsid w:val="005D6206"/>
    <w:rsid w:val="005E079E"/>
    <w:rsid w:val="005E07FF"/>
    <w:rsid w:val="005E484A"/>
    <w:rsid w:val="005F0887"/>
    <w:rsid w:val="005F18A5"/>
    <w:rsid w:val="005F1FF1"/>
    <w:rsid w:val="005F3434"/>
    <w:rsid w:val="0061769B"/>
    <w:rsid w:val="00621994"/>
    <w:rsid w:val="00624601"/>
    <w:rsid w:val="0062625E"/>
    <w:rsid w:val="00627115"/>
    <w:rsid w:val="006301DA"/>
    <w:rsid w:val="0063035E"/>
    <w:rsid w:val="00630F58"/>
    <w:rsid w:val="0063352D"/>
    <w:rsid w:val="0064085C"/>
    <w:rsid w:val="00642864"/>
    <w:rsid w:val="00643869"/>
    <w:rsid w:val="006473ED"/>
    <w:rsid w:val="006530DF"/>
    <w:rsid w:val="006540A0"/>
    <w:rsid w:val="00662EDA"/>
    <w:rsid w:val="00663230"/>
    <w:rsid w:val="00670D4A"/>
    <w:rsid w:val="00672707"/>
    <w:rsid w:val="006754BE"/>
    <w:rsid w:val="00675C98"/>
    <w:rsid w:val="00675DAD"/>
    <w:rsid w:val="00676165"/>
    <w:rsid w:val="006771A5"/>
    <w:rsid w:val="006810D9"/>
    <w:rsid w:val="00685D43"/>
    <w:rsid w:val="00686B0D"/>
    <w:rsid w:val="006A73BB"/>
    <w:rsid w:val="006B1CCC"/>
    <w:rsid w:val="006B1E9B"/>
    <w:rsid w:val="006B7115"/>
    <w:rsid w:val="006C586B"/>
    <w:rsid w:val="006D4309"/>
    <w:rsid w:val="006D47B1"/>
    <w:rsid w:val="006D4D5F"/>
    <w:rsid w:val="006D4F2D"/>
    <w:rsid w:val="006D6CC1"/>
    <w:rsid w:val="006E32FD"/>
    <w:rsid w:val="00702BA9"/>
    <w:rsid w:val="00704B6E"/>
    <w:rsid w:val="00704D3E"/>
    <w:rsid w:val="0070509A"/>
    <w:rsid w:val="0071025E"/>
    <w:rsid w:val="00716102"/>
    <w:rsid w:val="00721014"/>
    <w:rsid w:val="007220BE"/>
    <w:rsid w:val="007239A8"/>
    <w:rsid w:val="00726445"/>
    <w:rsid w:val="0073261E"/>
    <w:rsid w:val="0073323C"/>
    <w:rsid w:val="00740DF7"/>
    <w:rsid w:val="00743E46"/>
    <w:rsid w:val="00744434"/>
    <w:rsid w:val="007454EE"/>
    <w:rsid w:val="007479FB"/>
    <w:rsid w:val="0075653D"/>
    <w:rsid w:val="00757E1E"/>
    <w:rsid w:val="007637D8"/>
    <w:rsid w:val="007713E6"/>
    <w:rsid w:val="0077175D"/>
    <w:rsid w:val="00771D0F"/>
    <w:rsid w:val="0077310B"/>
    <w:rsid w:val="007734B4"/>
    <w:rsid w:val="007751EE"/>
    <w:rsid w:val="00776559"/>
    <w:rsid w:val="00776A76"/>
    <w:rsid w:val="00781604"/>
    <w:rsid w:val="007865B6"/>
    <w:rsid w:val="00787517"/>
    <w:rsid w:val="007A2B57"/>
    <w:rsid w:val="007A5343"/>
    <w:rsid w:val="007A5497"/>
    <w:rsid w:val="007B1B07"/>
    <w:rsid w:val="007B20CC"/>
    <w:rsid w:val="007B39ED"/>
    <w:rsid w:val="007C32C7"/>
    <w:rsid w:val="007D06D0"/>
    <w:rsid w:val="007D597C"/>
    <w:rsid w:val="007E61D3"/>
    <w:rsid w:val="007F20FD"/>
    <w:rsid w:val="007F599E"/>
    <w:rsid w:val="007F60B5"/>
    <w:rsid w:val="00800268"/>
    <w:rsid w:val="00800367"/>
    <w:rsid w:val="0080179F"/>
    <w:rsid w:val="00817E1E"/>
    <w:rsid w:val="0082026E"/>
    <w:rsid w:val="00821676"/>
    <w:rsid w:val="00830453"/>
    <w:rsid w:val="008306B6"/>
    <w:rsid w:val="0083334E"/>
    <w:rsid w:val="00835775"/>
    <w:rsid w:val="00840778"/>
    <w:rsid w:val="008444FA"/>
    <w:rsid w:val="008527B2"/>
    <w:rsid w:val="008673F6"/>
    <w:rsid w:val="008711F9"/>
    <w:rsid w:val="00872547"/>
    <w:rsid w:val="00891B3C"/>
    <w:rsid w:val="00893332"/>
    <w:rsid w:val="008958F1"/>
    <w:rsid w:val="00897C58"/>
    <w:rsid w:val="00897E11"/>
    <w:rsid w:val="008B2FC6"/>
    <w:rsid w:val="008B3429"/>
    <w:rsid w:val="008B3901"/>
    <w:rsid w:val="008C4ECE"/>
    <w:rsid w:val="008D2F5E"/>
    <w:rsid w:val="008E3065"/>
    <w:rsid w:val="008E638C"/>
    <w:rsid w:val="008E70BA"/>
    <w:rsid w:val="008F24C7"/>
    <w:rsid w:val="008F3713"/>
    <w:rsid w:val="00901E89"/>
    <w:rsid w:val="00911A5C"/>
    <w:rsid w:val="00915561"/>
    <w:rsid w:val="00920A4C"/>
    <w:rsid w:val="00930BFA"/>
    <w:rsid w:val="00945A92"/>
    <w:rsid w:val="00946368"/>
    <w:rsid w:val="009471C5"/>
    <w:rsid w:val="0095225B"/>
    <w:rsid w:val="00954175"/>
    <w:rsid w:val="0095469D"/>
    <w:rsid w:val="00962CC2"/>
    <w:rsid w:val="00962EA9"/>
    <w:rsid w:val="00963432"/>
    <w:rsid w:val="00965F2A"/>
    <w:rsid w:val="009720FA"/>
    <w:rsid w:val="009756B4"/>
    <w:rsid w:val="00981080"/>
    <w:rsid w:val="0099468E"/>
    <w:rsid w:val="00994953"/>
    <w:rsid w:val="009A0DEC"/>
    <w:rsid w:val="009A3D01"/>
    <w:rsid w:val="009A4676"/>
    <w:rsid w:val="009B5655"/>
    <w:rsid w:val="009B6951"/>
    <w:rsid w:val="009C1A0B"/>
    <w:rsid w:val="009C535B"/>
    <w:rsid w:val="009D614F"/>
    <w:rsid w:val="009E0596"/>
    <w:rsid w:val="009E1515"/>
    <w:rsid w:val="009E3019"/>
    <w:rsid w:val="009E3ACB"/>
    <w:rsid w:val="009E7210"/>
    <w:rsid w:val="009F53A5"/>
    <w:rsid w:val="00A055D1"/>
    <w:rsid w:val="00A062F4"/>
    <w:rsid w:val="00A16035"/>
    <w:rsid w:val="00A16570"/>
    <w:rsid w:val="00A30E6A"/>
    <w:rsid w:val="00A33FDB"/>
    <w:rsid w:val="00A343E6"/>
    <w:rsid w:val="00A36924"/>
    <w:rsid w:val="00A45DCD"/>
    <w:rsid w:val="00A53078"/>
    <w:rsid w:val="00A569F7"/>
    <w:rsid w:val="00A56CAF"/>
    <w:rsid w:val="00A66900"/>
    <w:rsid w:val="00A72BAD"/>
    <w:rsid w:val="00A82034"/>
    <w:rsid w:val="00A95051"/>
    <w:rsid w:val="00AA1D3D"/>
    <w:rsid w:val="00AB3659"/>
    <w:rsid w:val="00AD31AB"/>
    <w:rsid w:val="00AD3E80"/>
    <w:rsid w:val="00AD40E0"/>
    <w:rsid w:val="00AD5058"/>
    <w:rsid w:val="00AE08E4"/>
    <w:rsid w:val="00AE49B6"/>
    <w:rsid w:val="00AF11A4"/>
    <w:rsid w:val="00AF21BA"/>
    <w:rsid w:val="00AF36A9"/>
    <w:rsid w:val="00B037E8"/>
    <w:rsid w:val="00B072C7"/>
    <w:rsid w:val="00B26418"/>
    <w:rsid w:val="00B31E84"/>
    <w:rsid w:val="00B36F86"/>
    <w:rsid w:val="00B4045A"/>
    <w:rsid w:val="00B40CC6"/>
    <w:rsid w:val="00B46DC9"/>
    <w:rsid w:val="00B559F5"/>
    <w:rsid w:val="00B6029C"/>
    <w:rsid w:val="00B61543"/>
    <w:rsid w:val="00B6321B"/>
    <w:rsid w:val="00B64F5C"/>
    <w:rsid w:val="00B670AA"/>
    <w:rsid w:val="00B67B5F"/>
    <w:rsid w:val="00B7687F"/>
    <w:rsid w:val="00B77F66"/>
    <w:rsid w:val="00B866B9"/>
    <w:rsid w:val="00B90DA8"/>
    <w:rsid w:val="00B90EBB"/>
    <w:rsid w:val="00B9636B"/>
    <w:rsid w:val="00BA106A"/>
    <w:rsid w:val="00BA4AF2"/>
    <w:rsid w:val="00BC14A0"/>
    <w:rsid w:val="00BC2446"/>
    <w:rsid w:val="00BC7E3E"/>
    <w:rsid w:val="00BE185F"/>
    <w:rsid w:val="00BE3484"/>
    <w:rsid w:val="00BE6616"/>
    <w:rsid w:val="00BE738E"/>
    <w:rsid w:val="00BF176E"/>
    <w:rsid w:val="00BF1F08"/>
    <w:rsid w:val="00C033E1"/>
    <w:rsid w:val="00C04D2A"/>
    <w:rsid w:val="00C06E0E"/>
    <w:rsid w:val="00C16B04"/>
    <w:rsid w:val="00C2076E"/>
    <w:rsid w:val="00C22912"/>
    <w:rsid w:val="00C40278"/>
    <w:rsid w:val="00C414A8"/>
    <w:rsid w:val="00C62A7D"/>
    <w:rsid w:val="00C64CD5"/>
    <w:rsid w:val="00C70757"/>
    <w:rsid w:val="00C71799"/>
    <w:rsid w:val="00C75A0F"/>
    <w:rsid w:val="00C76797"/>
    <w:rsid w:val="00C852F3"/>
    <w:rsid w:val="00CB20C3"/>
    <w:rsid w:val="00CB614B"/>
    <w:rsid w:val="00CB6536"/>
    <w:rsid w:val="00CB7BD7"/>
    <w:rsid w:val="00CC3DE3"/>
    <w:rsid w:val="00CD0464"/>
    <w:rsid w:val="00CD4E5A"/>
    <w:rsid w:val="00CE3683"/>
    <w:rsid w:val="00CF7A90"/>
    <w:rsid w:val="00D06538"/>
    <w:rsid w:val="00D07515"/>
    <w:rsid w:val="00D164BC"/>
    <w:rsid w:val="00D22F59"/>
    <w:rsid w:val="00D2393F"/>
    <w:rsid w:val="00D239AD"/>
    <w:rsid w:val="00D33932"/>
    <w:rsid w:val="00D420F3"/>
    <w:rsid w:val="00D46777"/>
    <w:rsid w:val="00D560E8"/>
    <w:rsid w:val="00D61CE9"/>
    <w:rsid w:val="00D64BEF"/>
    <w:rsid w:val="00D65868"/>
    <w:rsid w:val="00D674AF"/>
    <w:rsid w:val="00D74C61"/>
    <w:rsid w:val="00D83456"/>
    <w:rsid w:val="00D92E75"/>
    <w:rsid w:val="00DA1094"/>
    <w:rsid w:val="00DA399B"/>
    <w:rsid w:val="00DA601E"/>
    <w:rsid w:val="00DC1538"/>
    <w:rsid w:val="00DC381E"/>
    <w:rsid w:val="00DD2851"/>
    <w:rsid w:val="00DD350A"/>
    <w:rsid w:val="00DD792C"/>
    <w:rsid w:val="00DF2C48"/>
    <w:rsid w:val="00E0138F"/>
    <w:rsid w:val="00E022D0"/>
    <w:rsid w:val="00E046EC"/>
    <w:rsid w:val="00E11406"/>
    <w:rsid w:val="00E20D4D"/>
    <w:rsid w:val="00E2491B"/>
    <w:rsid w:val="00E57C1C"/>
    <w:rsid w:val="00E61857"/>
    <w:rsid w:val="00E66FE2"/>
    <w:rsid w:val="00E70063"/>
    <w:rsid w:val="00E74FE5"/>
    <w:rsid w:val="00E758A2"/>
    <w:rsid w:val="00E7610C"/>
    <w:rsid w:val="00E87134"/>
    <w:rsid w:val="00E90491"/>
    <w:rsid w:val="00E917E1"/>
    <w:rsid w:val="00E9303B"/>
    <w:rsid w:val="00EA333D"/>
    <w:rsid w:val="00EB79C3"/>
    <w:rsid w:val="00EC030C"/>
    <w:rsid w:val="00EC297C"/>
    <w:rsid w:val="00EC4B15"/>
    <w:rsid w:val="00EC686A"/>
    <w:rsid w:val="00EC6922"/>
    <w:rsid w:val="00EC7092"/>
    <w:rsid w:val="00EE25F5"/>
    <w:rsid w:val="00EE4742"/>
    <w:rsid w:val="00EE5624"/>
    <w:rsid w:val="00EF429B"/>
    <w:rsid w:val="00EF6E3C"/>
    <w:rsid w:val="00F11D8F"/>
    <w:rsid w:val="00F1337D"/>
    <w:rsid w:val="00F205F2"/>
    <w:rsid w:val="00F2546B"/>
    <w:rsid w:val="00F329DE"/>
    <w:rsid w:val="00F3545F"/>
    <w:rsid w:val="00F56988"/>
    <w:rsid w:val="00F62D54"/>
    <w:rsid w:val="00F63DC5"/>
    <w:rsid w:val="00F775E6"/>
    <w:rsid w:val="00F83DD5"/>
    <w:rsid w:val="00F869F1"/>
    <w:rsid w:val="00F86DE7"/>
    <w:rsid w:val="00FA011E"/>
    <w:rsid w:val="00FA4F8F"/>
    <w:rsid w:val="00FA5763"/>
    <w:rsid w:val="00FB0944"/>
    <w:rsid w:val="00FB71E3"/>
    <w:rsid w:val="00FC02E2"/>
    <w:rsid w:val="00FE21BB"/>
    <w:rsid w:val="00FE44AD"/>
    <w:rsid w:val="00FE68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36924"/>
    <w:rPr>
      <w:sz w:val="24"/>
      <w:szCs w:val="24"/>
    </w:rPr>
  </w:style>
  <w:style w:type="paragraph" w:styleId="Heading1">
    <w:name w:val="heading 1"/>
    <w:basedOn w:val="Normal"/>
    <w:next w:val="Normal"/>
    <w:link w:val="Heading1Char"/>
    <w:uiPriority w:val="98"/>
    <w:semiHidden/>
    <w:rsid w:val="00A36924"/>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36924"/>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36924"/>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A36924"/>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A36924"/>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A36924"/>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A36924"/>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A36924"/>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36924"/>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36924"/>
    <w:rPr>
      <w:rFonts w:ascii="Tahoma" w:hAnsi="Tahoma" w:cs="Tahoma"/>
      <w:sz w:val="16"/>
      <w:szCs w:val="16"/>
    </w:rPr>
  </w:style>
  <w:style w:type="character" w:customStyle="1" w:styleId="BalloonTextChar">
    <w:name w:val="Balloon Text Char"/>
    <w:basedOn w:val="DefaultParagraphFont"/>
    <w:link w:val="BalloonText"/>
    <w:uiPriority w:val="98"/>
    <w:semiHidden/>
    <w:rsid w:val="00A36924"/>
    <w:rPr>
      <w:rFonts w:ascii="Tahoma" w:hAnsi="Tahoma" w:cs="Tahoma"/>
      <w:sz w:val="16"/>
      <w:szCs w:val="16"/>
    </w:rPr>
  </w:style>
  <w:style w:type="character" w:styleId="BookTitle">
    <w:name w:val="Book Title"/>
    <w:uiPriority w:val="98"/>
    <w:semiHidden/>
    <w:qFormat/>
    <w:rsid w:val="00A36924"/>
    <w:rPr>
      <w:i/>
      <w:iCs/>
      <w:smallCaps/>
      <w:spacing w:val="5"/>
    </w:rPr>
  </w:style>
  <w:style w:type="paragraph" w:customStyle="1" w:styleId="JuHeader">
    <w:name w:val="Ju_Header"/>
    <w:aliases w:val="_Header"/>
    <w:basedOn w:val="Header"/>
    <w:uiPriority w:val="29"/>
    <w:qFormat/>
    <w:rsid w:val="00A36924"/>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A36924"/>
    <w:rPr>
      <w:sz w:val="8"/>
    </w:rPr>
  </w:style>
  <w:style w:type="character" w:styleId="Strong">
    <w:name w:val="Strong"/>
    <w:uiPriority w:val="98"/>
    <w:semiHidden/>
    <w:qFormat/>
    <w:rsid w:val="00A36924"/>
    <w:rPr>
      <w:b/>
      <w:bCs/>
    </w:rPr>
  </w:style>
  <w:style w:type="paragraph" w:styleId="NoSpacing">
    <w:name w:val="No Spacing"/>
    <w:basedOn w:val="Normal"/>
    <w:link w:val="NoSpacingChar"/>
    <w:uiPriority w:val="98"/>
    <w:semiHidden/>
    <w:qFormat/>
    <w:rsid w:val="00A36924"/>
  </w:style>
  <w:style w:type="character" w:customStyle="1" w:styleId="NoSpacingChar">
    <w:name w:val="No Spacing Char"/>
    <w:basedOn w:val="DefaultParagraphFont"/>
    <w:link w:val="NoSpacing"/>
    <w:uiPriority w:val="98"/>
    <w:semiHidden/>
    <w:rsid w:val="00A36924"/>
    <w:rPr>
      <w:sz w:val="24"/>
      <w:szCs w:val="24"/>
    </w:rPr>
  </w:style>
  <w:style w:type="paragraph" w:customStyle="1" w:styleId="FooterLine">
    <w:name w:val="_Footer_Line"/>
    <w:aliases w:val="Footer_Line"/>
    <w:basedOn w:val="Normal"/>
    <w:next w:val="Footer0"/>
    <w:uiPriority w:val="57"/>
    <w:semiHidden/>
    <w:rsid w:val="00A36924"/>
    <w:pPr>
      <w:pBdr>
        <w:top w:val="single" w:sz="6" w:space="1" w:color="5F5F5F"/>
      </w:pBdr>
      <w:tabs>
        <w:tab w:val="center" w:pos="3686"/>
        <w:tab w:val="right" w:pos="7371"/>
      </w:tabs>
      <w:ind w:left="-1474" w:right="-1474"/>
    </w:pPr>
    <w:rPr>
      <w:color w:val="5F5F5F"/>
    </w:rPr>
  </w:style>
  <w:style w:type="paragraph" w:customStyle="1" w:styleId="DecHTitle">
    <w:name w:val="Dec_H_Title"/>
    <w:aliases w:val="_Title_1"/>
    <w:basedOn w:val="JuPara"/>
    <w:next w:val="JuPara"/>
    <w:uiPriority w:val="38"/>
    <w:qFormat/>
    <w:rsid w:val="00A36924"/>
    <w:pPr>
      <w:keepNext/>
      <w:keepLines/>
      <w:spacing w:after="240"/>
      <w:ind w:firstLine="0"/>
      <w:jc w:val="center"/>
      <w:outlineLvl w:val="0"/>
    </w:pPr>
    <w:rPr>
      <w:rFonts w:asciiTheme="majorHAnsi" w:hAnsiTheme="majorHAnsi"/>
      <w:sz w:val="28"/>
    </w:rPr>
  </w:style>
  <w:style w:type="paragraph" w:customStyle="1" w:styleId="ECHRBullet1">
    <w:name w:val="ECHR_Bullet_1"/>
    <w:aliases w:val="_Bul_1"/>
    <w:basedOn w:val="NormalJustified"/>
    <w:uiPriority w:val="23"/>
    <w:semiHidden/>
    <w:qFormat/>
    <w:rsid w:val="00A36924"/>
    <w:pPr>
      <w:numPr>
        <w:numId w:val="5"/>
      </w:numPr>
      <w:spacing w:before="60" w:after="60"/>
    </w:pPr>
  </w:style>
  <w:style w:type="paragraph" w:customStyle="1" w:styleId="NormalJustified">
    <w:name w:val="Normal_Justified"/>
    <w:basedOn w:val="Normal"/>
    <w:semiHidden/>
    <w:rsid w:val="00A36924"/>
    <w:pPr>
      <w:jc w:val="both"/>
    </w:pPr>
  </w:style>
  <w:style w:type="paragraph" w:customStyle="1" w:styleId="JuHArticle">
    <w:name w:val="Ju_H_Article"/>
    <w:aliases w:val="_Title_Quote"/>
    <w:basedOn w:val="Normal"/>
    <w:next w:val="JuQuot"/>
    <w:uiPriority w:val="19"/>
    <w:qFormat/>
    <w:rsid w:val="00A36924"/>
    <w:pPr>
      <w:keepNext/>
      <w:spacing w:before="100" w:beforeAutospacing="1" w:after="120"/>
      <w:contextualSpacing/>
      <w:jc w:val="center"/>
    </w:pPr>
    <w:rPr>
      <w:b/>
      <w:sz w:val="20"/>
    </w:rPr>
  </w:style>
  <w:style w:type="paragraph" w:customStyle="1" w:styleId="ECHRBullet2">
    <w:name w:val="ECHR_Bullet_2"/>
    <w:aliases w:val="_Bul_2"/>
    <w:basedOn w:val="ECHRBullet1"/>
    <w:uiPriority w:val="23"/>
    <w:semiHidden/>
    <w:rsid w:val="00A36924"/>
    <w:pPr>
      <w:numPr>
        <w:ilvl w:val="1"/>
      </w:numPr>
    </w:pPr>
  </w:style>
  <w:style w:type="paragraph" w:customStyle="1" w:styleId="ECHRBullet3">
    <w:name w:val="ECHR_Bullet_3"/>
    <w:aliases w:val="_Bul_3"/>
    <w:basedOn w:val="ECHRBullet2"/>
    <w:uiPriority w:val="23"/>
    <w:semiHidden/>
    <w:rsid w:val="00A36924"/>
    <w:pPr>
      <w:numPr>
        <w:ilvl w:val="2"/>
      </w:numPr>
    </w:pPr>
  </w:style>
  <w:style w:type="paragraph" w:customStyle="1" w:styleId="JuCourt">
    <w:name w:val="Ju_Court"/>
    <w:aliases w:val="_Court_Names"/>
    <w:basedOn w:val="Normal"/>
    <w:next w:val="Normal"/>
    <w:uiPriority w:val="32"/>
    <w:qFormat/>
    <w:rsid w:val="00A3692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A36924"/>
    <w:pPr>
      <w:tabs>
        <w:tab w:val="center" w:pos="6407"/>
      </w:tabs>
      <w:spacing w:before="720"/>
      <w:jc w:val="right"/>
    </w:pPr>
  </w:style>
  <w:style w:type="paragraph" w:customStyle="1" w:styleId="DecHCase">
    <w:name w:val="Dec_H_Case"/>
    <w:aliases w:val="_Title_3"/>
    <w:basedOn w:val="JuPara"/>
    <w:next w:val="JuPara"/>
    <w:uiPriority w:val="38"/>
    <w:qFormat/>
    <w:rsid w:val="00A3692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36924"/>
    <w:pPr>
      <w:keepNext/>
      <w:keepLines/>
      <w:spacing w:before="1320" w:after="280"/>
      <w:contextualSpacing/>
      <w:jc w:val="center"/>
    </w:pPr>
    <w:rPr>
      <w:b/>
    </w:rPr>
  </w:style>
  <w:style w:type="paragraph" w:styleId="Title">
    <w:name w:val="Title"/>
    <w:basedOn w:val="Normal"/>
    <w:next w:val="Normal"/>
    <w:link w:val="TitleChar"/>
    <w:uiPriority w:val="98"/>
    <w:semiHidden/>
    <w:qFormat/>
    <w:rsid w:val="00A3692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36924"/>
    <w:rPr>
      <w:rFonts w:asciiTheme="majorHAnsi" w:eastAsiaTheme="majorEastAsia" w:hAnsiTheme="majorHAnsi" w:cstheme="majorBidi"/>
      <w:spacing w:val="5"/>
      <w:sz w:val="52"/>
      <w:szCs w:val="52"/>
      <w:lang w:bidi="en-US"/>
    </w:rPr>
  </w:style>
  <w:style w:type="paragraph" w:customStyle="1" w:styleId="JuH1">
    <w:name w:val="Ju_H_1."/>
    <w:aliases w:val="_Head_4"/>
    <w:basedOn w:val="Normal"/>
    <w:next w:val="JuPara"/>
    <w:link w:val="JuH1Char"/>
    <w:uiPriority w:val="17"/>
    <w:rsid w:val="00A36924"/>
    <w:pPr>
      <w:keepNext/>
      <w:keepLines/>
      <w:numPr>
        <w:ilvl w:val="3"/>
        <w:numId w:val="1"/>
      </w:numPr>
      <w:spacing w:before="100" w:beforeAutospacing="1" w:after="120"/>
      <w:jc w:val="both"/>
      <w:outlineLvl w:val="3"/>
    </w:pPr>
    <w:rPr>
      <w:i/>
    </w:rPr>
  </w:style>
  <w:style w:type="paragraph" w:customStyle="1" w:styleId="JuHa0">
    <w:name w:val="Ju_H_a"/>
    <w:aliases w:val="_Head_5"/>
    <w:basedOn w:val="Normal"/>
    <w:next w:val="JuPara"/>
    <w:uiPriority w:val="17"/>
    <w:rsid w:val="00A36924"/>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A36924"/>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7"/>
    <w:rsid w:val="00A36924"/>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A36924"/>
    <w:pPr>
      <w:keepNext/>
      <w:keepLines/>
      <w:numPr>
        <w:ilvl w:val="7"/>
        <w:numId w:val="1"/>
      </w:numPr>
      <w:spacing w:before="100" w:beforeAutospacing="1" w:after="120"/>
      <w:outlineLvl w:val="7"/>
    </w:pPr>
    <w:rPr>
      <w:i/>
      <w:sz w:val="20"/>
    </w:rPr>
  </w:style>
  <w:style w:type="character" w:customStyle="1" w:styleId="JUNAMES">
    <w:name w:val="JU_NAMES"/>
    <w:aliases w:val="_Ju_Names"/>
    <w:uiPriority w:val="33"/>
    <w:qFormat/>
    <w:rsid w:val="00A36924"/>
    <w:rPr>
      <w:caps w:val="0"/>
      <w:smallCaps/>
    </w:rPr>
  </w:style>
  <w:style w:type="paragraph" w:customStyle="1" w:styleId="ECHRBullet4">
    <w:name w:val="ECHR_Bullet_4"/>
    <w:aliases w:val="_Bul_4"/>
    <w:basedOn w:val="ECHRBullet3"/>
    <w:uiPriority w:val="23"/>
    <w:semiHidden/>
    <w:rsid w:val="00A36924"/>
    <w:pPr>
      <w:numPr>
        <w:ilvl w:val="3"/>
      </w:numPr>
    </w:pPr>
  </w:style>
  <w:style w:type="paragraph" w:customStyle="1" w:styleId="ECHRConfidential">
    <w:name w:val="ECHR_Confidential"/>
    <w:aliases w:val="_Confidential"/>
    <w:basedOn w:val="Normal"/>
    <w:next w:val="Normal"/>
    <w:uiPriority w:val="42"/>
    <w:semiHidden/>
    <w:qFormat/>
    <w:rsid w:val="00A36924"/>
    <w:pPr>
      <w:jc w:val="right"/>
    </w:pPr>
    <w:rPr>
      <w:color w:val="C00000"/>
      <w:sz w:val="20"/>
    </w:rPr>
  </w:style>
  <w:style w:type="paragraph" w:styleId="Header">
    <w:name w:val="header"/>
    <w:basedOn w:val="Normal"/>
    <w:link w:val="HeaderChar"/>
    <w:uiPriority w:val="98"/>
    <w:semiHidden/>
    <w:rsid w:val="00A36924"/>
    <w:pPr>
      <w:tabs>
        <w:tab w:val="center" w:pos="4536"/>
        <w:tab w:val="right" w:pos="9072"/>
      </w:tabs>
    </w:pPr>
  </w:style>
  <w:style w:type="character" w:customStyle="1" w:styleId="HeaderChar">
    <w:name w:val="Header Char"/>
    <w:basedOn w:val="DefaultParagraphFont"/>
    <w:link w:val="Header"/>
    <w:uiPriority w:val="98"/>
    <w:semiHidden/>
    <w:rsid w:val="00A36924"/>
    <w:rPr>
      <w:sz w:val="24"/>
      <w:szCs w:val="24"/>
    </w:rPr>
  </w:style>
  <w:style w:type="character" w:customStyle="1" w:styleId="Heading1Char">
    <w:name w:val="Heading 1 Char"/>
    <w:basedOn w:val="DefaultParagraphFont"/>
    <w:link w:val="Heading1"/>
    <w:uiPriority w:val="98"/>
    <w:semiHidden/>
    <w:rsid w:val="00A36924"/>
    <w:rPr>
      <w:rFonts w:asciiTheme="majorHAnsi" w:eastAsiaTheme="majorEastAsia" w:hAnsiTheme="majorHAnsi" w:cstheme="majorBidi"/>
      <w:b/>
      <w:bCs/>
      <w:color w:val="333333"/>
      <w:sz w:val="28"/>
      <w:szCs w:val="28"/>
    </w:rPr>
  </w:style>
  <w:style w:type="paragraph" w:customStyle="1" w:styleId="JuHIRoman">
    <w:name w:val="Ju_H_I_Roman"/>
    <w:aliases w:val="_Head_2"/>
    <w:basedOn w:val="Normal"/>
    <w:next w:val="JuPara"/>
    <w:uiPriority w:val="17"/>
    <w:qFormat/>
    <w:rsid w:val="00A36924"/>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A36924"/>
    <w:pPr>
      <w:keepNext/>
      <w:keepLines/>
      <w:numPr>
        <w:ilvl w:val="2"/>
        <w:numId w:val="1"/>
      </w:numPr>
      <w:spacing w:before="100" w:beforeAutospacing="1" w:after="240"/>
      <w:jc w:val="both"/>
      <w:outlineLvl w:val="2"/>
    </w:pPr>
    <w:rPr>
      <w:b/>
    </w:rPr>
  </w:style>
  <w:style w:type="character" w:customStyle="1" w:styleId="Heading2Char">
    <w:name w:val="Heading 2 Char"/>
    <w:basedOn w:val="DefaultParagraphFont"/>
    <w:link w:val="Heading2"/>
    <w:uiPriority w:val="98"/>
    <w:semiHidden/>
    <w:rsid w:val="00A36924"/>
    <w:rPr>
      <w:rFonts w:asciiTheme="majorHAnsi" w:eastAsiaTheme="majorEastAsia" w:hAnsiTheme="majorHAnsi" w:cstheme="majorBidi"/>
      <w:b/>
      <w:bCs/>
      <w:color w:val="4D4D4D"/>
      <w:sz w:val="26"/>
      <w:szCs w:val="26"/>
    </w:rPr>
  </w:style>
  <w:style w:type="paragraph" w:customStyle="1" w:styleId="ECHRDivisionName">
    <w:name w:val="ECHR_DivisionName"/>
    <w:aliases w:val="_Div_Name"/>
    <w:basedOn w:val="Normal"/>
    <w:link w:val="ECHRDivisionNameChar"/>
    <w:uiPriority w:val="41"/>
    <w:semiHidden/>
    <w:qFormat/>
    <w:rsid w:val="00A36924"/>
    <w:pPr>
      <w:contextualSpacing/>
      <w:jc w:val="center"/>
    </w:pPr>
    <w:rPr>
      <w:rFonts w:ascii="Arial" w:hAnsi="Arial"/>
      <w:i/>
      <w:color w:val="0072BC" w:themeColor="accent1"/>
      <w:sz w:val="32"/>
    </w:rPr>
  </w:style>
  <w:style w:type="paragraph" w:customStyle="1" w:styleId="JuCase">
    <w:name w:val="Ju_Case"/>
    <w:aliases w:val="_Case_Name"/>
    <w:basedOn w:val="Normal"/>
    <w:next w:val="JuPara"/>
    <w:uiPriority w:val="32"/>
    <w:rsid w:val="00A36924"/>
    <w:pPr>
      <w:ind w:firstLine="284"/>
    </w:pPr>
    <w:rPr>
      <w:b/>
    </w:rPr>
  </w:style>
  <w:style w:type="character" w:customStyle="1" w:styleId="Heading3Char">
    <w:name w:val="Heading 3 Char"/>
    <w:basedOn w:val="DefaultParagraphFont"/>
    <w:link w:val="Heading3"/>
    <w:uiPriority w:val="98"/>
    <w:semiHidden/>
    <w:rsid w:val="00A36924"/>
    <w:rPr>
      <w:rFonts w:asciiTheme="majorHAnsi" w:eastAsiaTheme="majorEastAsia" w:hAnsiTheme="majorHAnsi" w:cstheme="majorBidi"/>
      <w:b/>
      <w:bCs/>
      <w:color w:val="5F5F5F"/>
      <w:sz w:val="24"/>
      <w:szCs w:val="24"/>
    </w:rPr>
  </w:style>
  <w:style w:type="character" w:customStyle="1" w:styleId="Heading4Char">
    <w:name w:val="Heading 4 Char"/>
    <w:basedOn w:val="DefaultParagraphFont"/>
    <w:link w:val="Heading4"/>
    <w:uiPriority w:val="98"/>
    <w:semiHidden/>
    <w:rsid w:val="00A36924"/>
    <w:rPr>
      <w:rFonts w:asciiTheme="majorHAnsi" w:eastAsiaTheme="majorEastAsia" w:hAnsiTheme="majorHAnsi" w:cstheme="majorBidi"/>
      <w:b/>
      <w:bCs/>
      <w:i/>
      <w:iCs/>
      <w:color w:val="777777"/>
      <w:sz w:val="24"/>
      <w:szCs w:val="24"/>
    </w:rPr>
  </w:style>
  <w:style w:type="character" w:customStyle="1" w:styleId="Heading5Char">
    <w:name w:val="Heading 5 Char"/>
    <w:basedOn w:val="DefaultParagraphFont"/>
    <w:link w:val="Heading5"/>
    <w:uiPriority w:val="98"/>
    <w:semiHidden/>
    <w:rsid w:val="00A36924"/>
    <w:rPr>
      <w:rFonts w:asciiTheme="majorHAnsi" w:eastAsiaTheme="majorEastAsia" w:hAnsiTheme="majorHAnsi" w:cstheme="majorBidi"/>
      <w:b/>
      <w:bCs/>
      <w:color w:val="808080"/>
      <w:sz w:val="24"/>
      <w:szCs w:val="24"/>
    </w:rPr>
  </w:style>
  <w:style w:type="character" w:styleId="SubtleEmphasis">
    <w:name w:val="Subtle Emphasis"/>
    <w:uiPriority w:val="98"/>
    <w:semiHidden/>
    <w:qFormat/>
    <w:rsid w:val="00A36924"/>
    <w:rPr>
      <w:i/>
      <w:iCs/>
    </w:rPr>
  </w:style>
  <w:style w:type="table" w:customStyle="1" w:styleId="ECHRTable">
    <w:name w:val="ECHR_Table"/>
    <w:basedOn w:val="TableNormal"/>
    <w:rsid w:val="00A3692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3692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7"/>
    <w:qFormat/>
    <w:rsid w:val="00A36924"/>
    <w:pPr>
      <w:keepNext/>
      <w:keepLines/>
      <w:numPr>
        <w:numId w:val="1"/>
      </w:numPr>
      <w:spacing w:before="100" w:beforeAutospacing="1" w:after="240"/>
      <w:jc w:val="both"/>
      <w:outlineLvl w:val="0"/>
    </w:pPr>
    <w:rPr>
      <w:caps/>
      <w:sz w:val="28"/>
    </w:rPr>
  </w:style>
  <w:style w:type="character" w:styleId="Emphasis">
    <w:name w:val="Emphasis"/>
    <w:uiPriority w:val="98"/>
    <w:semiHidden/>
    <w:qFormat/>
    <w:rsid w:val="00A36924"/>
    <w:rPr>
      <w:b/>
      <w:bCs/>
      <w:i/>
      <w:iCs/>
      <w:spacing w:val="10"/>
      <w:bdr w:val="none" w:sz="0" w:space="0" w:color="auto"/>
      <w:shd w:val="clear" w:color="auto" w:fill="auto"/>
    </w:rPr>
  </w:style>
  <w:style w:type="paragraph" w:styleId="Footer">
    <w:name w:val="footer"/>
    <w:basedOn w:val="Normal"/>
    <w:link w:val="FooterChar"/>
    <w:uiPriority w:val="98"/>
    <w:semiHidden/>
    <w:rsid w:val="00A36924"/>
    <w:pPr>
      <w:tabs>
        <w:tab w:val="center" w:pos="3686"/>
        <w:tab w:val="right" w:pos="7371"/>
      </w:tabs>
    </w:pPr>
  </w:style>
  <w:style w:type="character" w:customStyle="1" w:styleId="FooterChar">
    <w:name w:val="Footer Char"/>
    <w:basedOn w:val="DefaultParagraphFont"/>
    <w:link w:val="Footer"/>
    <w:uiPriority w:val="98"/>
    <w:semiHidden/>
    <w:rsid w:val="00A36924"/>
    <w:rPr>
      <w:sz w:val="24"/>
      <w:szCs w:val="24"/>
    </w:rPr>
  </w:style>
  <w:style w:type="character" w:styleId="FootnoteReference">
    <w:name w:val="footnote reference"/>
    <w:basedOn w:val="DefaultParagraphFont"/>
    <w:uiPriority w:val="98"/>
    <w:semiHidden/>
    <w:rsid w:val="00A36924"/>
    <w:rPr>
      <w:vertAlign w:val="superscript"/>
    </w:rPr>
  </w:style>
  <w:style w:type="paragraph" w:styleId="FootnoteText">
    <w:name w:val="footnote text"/>
    <w:basedOn w:val="Normal"/>
    <w:link w:val="FootnoteTextChar"/>
    <w:uiPriority w:val="98"/>
    <w:semiHidden/>
    <w:rsid w:val="00A36924"/>
    <w:rPr>
      <w:sz w:val="20"/>
      <w:szCs w:val="20"/>
    </w:rPr>
  </w:style>
  <w:style w:type="character" w:customStyle="1" w:styleId="FootnoteTextChar">
    <w:name w:val="Footnote Text Char"/>
    <w:basedOn w:val="DefaultParagraphFont"/>
    <w:link w:val="FootnoteText"/>
    <w:uiPriority w:val="98"/>
    <w:semiHidden/>
    <w:rsid w:val="00A36924"/>
    <w:rPr>
      <w:sz w:val="20"/>
      <w:szCs w:val="20"/>
    </w:rPr>
  </w:style>
  <w:style w:type="character" w:customStyle="1" w:styleId="Heading6Char">
    <w:name w:val="Heading 6 Char"/>
    <w:basedOn w:val="DefaultParagraphFont"/>
    <w:link w:val="Heading6"/>
    <w:uiPriority w:val="98"/>
    <w:semiHidden/>
    <w:rsid w:val="00A36924"/>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A36924"/>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A3692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A3692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A36924"/>
    <w:rPr>
      <w:color w:val="0072BC" w:themeColor="hyperlink"/>
      <w:u w:val="single"/>
    </w:rPr>
  </w:style>
  <w:style w:type="character" w:styleId="IntenseEmphasis">
    <w:name w:val="Intense Emphasis"/>
    <w:uiPriority w:val="98"/>
    <w:semiHidden/>
    <w:qFormat/>
    <w:rsid w:val="00A36924"/>
    <w:rPr>
      <w:b/>
      <w:bCs/>
    </w:rPr>
  </w:style>
  <w:style w:type="paragraph" w:styleId="IntenseQuote">
    <w:name w:val="Intense Quote"/>
    <w:basedOn w:val="Normal"/>
    <w:next w:val="Normal"/>
    <w:link w:val="IntenseQuoteChar"/>
    <w:uiPriority w:val="98"/>
    <w:semiHidden/>
    <w:qFormat/>
    <w:rsid w:val="00A3692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36924"/>
    <w:rPr>
      <w:b/>
      <w:bCs/>
      <w:i/>
      <w:iCs/>
      <w:sz w:val="24"/>
      <w:szCs w:val="24"/>
      <w:lang w:bidi="en-US"/>
    </w:rPr>
  </w:style>
  <w:style w:type="character" w:styleId="IntenseReference">
    <w:name w:val="Intense Reference"/>
    <w:uiPriority w:val="98"/>
    <w:semiHidden/>
    <w:qFormat/>
    <w:rsid w:val="00A36924"/>
    <w:rPr>
      <w:smallCaps/>
      <w:spacing w:val="5"/>
      <w:u w:val="single"/>
    </w:rPr>
  </w:style>
  <w:style w:type="paragraph" w:styleId="ListParagraph">
    <w:name w:val="List Paragraph"/>
    <w:basedOn w:val="Normal"/>
    <w:uiPriority w:val="98"/>
    <w:semiHidden/>
    <w:qFormat/>
    <w:rsid w:val="00A36924"/>
    <w:pPr>
      <w:ind w:left="720"/>
      <w:contextualSpacing/>
    </w:pPr>
  </w:style>
  <w:style w:type="table" w:customStyle="1" w:styleId="LtrTableAddress">
    <w:name w:val="Ltr_Table_Address"/>
    <w:aliases w:val="ECHR_Ltr_Table_Address"/>
    <w:basedOn w:val="TableNormal"/>
    <w:uiPriority w:val="99"/>
    <w:rsid w:val="00A36924"/>
    <w:rPr>
      <w:sz w:val="24"/>
      <w:szCs w:val="24"/>
    </w:rPr>
    <w:tblPr>
      <w:tblInd w:w="5103" w:type="dxa"/>
    </w:tblPr>
  </w:style>
  <w:style w:type="paragraph" w:styleId="Quote">
    <w:name w:val="Quote"/>
    <w:basedOn w:val="Normal"/>
    <w:next w:val="Normal"/>
    <w:link w:val="QuoteChar"/>
    <w:uiPriority w:val="98"/>
    <w:semiHidden/>
    <w:qFormat/>
    <w:rsid w:val="00A36924"/>
    <w:pPr>
      <w:spacing w:before="200"/>
      <w:ind w:left="360" w:right="360"/>
    </w:pPr>
    <w:rPr>
      <w:i/>
      <w:iCs/>
      <w:lang w:bidi="en-US"/>
    </w:rPr>
  </w:style>
  <w:style w:type="character" w:customStyle="1" w:styleId="QuoteChar">
    <w:name w:val="Quote Char"/>
    <w:basedOn w:val="DefaultParagraphFont"/>
    <w:link w:val="Quote"/>
    <w:uiPriority w:val="98"/>
    <w:semiHidden/>
    <w:rsid w:val="00A36924"/>
    <w:rPr>
      <w:i/>
      <w:iCs/>
      <w:sz w:val="24"/>
      <w:szCs w:val="24"/>
      <w:lang w:bidi="en-US"/>
    </w:rPr>
  </w:style>
  <w:style w:type="character" w:styleId="SubtleReference">
    <w:name w:val="Subtle Reference"/>
    <w:uiPriority w:val="98"/>
    <w:semiHidden/>
    <w:qFormat/>
    <w:rsid w:val="00A36924"/>
    <w:rPr>
      <w:smallCaps/>
    </w:rPr>
  </w:style>
  <w:style w:type="table" w:styleId="TableGrid">
    <w:name w:val="Table Grid"/>
    <w:basedOn w:val="TableNormal"/>
    <w:uiPriority w:val="59"/>
    <w:semiHidden/>
    <w:rsid w:val="00A3692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3692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3692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3692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3692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3692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3692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3692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3692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3692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3692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3692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3692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3692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link w:val="JuQuotChar"/>
    <w:uiPriority w:val="20"/>
    <w:qFormat/>
    <w:rsid w:val="00A36924"/>
    <w:pPr>
      <w:spacing w:before="120" w:after="120"/>
      <w:ind w:left="425" w:firstLine="142"/>
    </w:pPr>
    <w:rPr>
      <w:sz w:val="20"/>
    </w:rPr>
  </w:style>
  <w:style w:type="paragraph" w:customStyle="1" w:styleId="JuPara">
    <w:name w:val="Ju_Para"/>
    <w:aliases w:val="_Para"/>
    <w:basedOn w:val="NormalJustified"/>
    <w:link w:val="ECHRParaChar"/>
    <w:uiPriority w:val="4"/>
    <w:qFormat/>
    <w:rsid w:val="00A36924"/>
    <w:pPr>
      <w:ind w:firstLine="284"/>
    </w:pPr>
  </w:style>
  <w:style w:type="table" w:customStyle="1" w:styleId="ECHRTableSimpleBox">
    <w:name w:val="ECHR_Table_Simple_Box"/>
    <w:basedOn w:val="TableNormal"/>
    <w:uiPriority w:val="99"/>
    <w:rsid w:val="00A3692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3692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A3692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3692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A3692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_Decision_Body"/>
    <w:basedOn w:val="NormalJustified"/>
    <w:uiPriority w:val="54"/>
    <w:rsid w:val="00A36924"/>
    <w:pPr>
      <w:tabs>
        <w:tab w:val="left" w:pos="567"/>
        <w:tab w:val="left" w:pos="1134"/>
      </w:tabs>
      <w:spacing w:line="240" w:lineRule="exact"/>
      <w:jc w:val="left"/>
    </w:pPr>
  </w:style>
  <w:style w:type="table" w:customStyle="1" w:styleId="ECHRHeaderTableReduced">
    <w:name w:val="ECHR_Header_Table_Reduced"/>
    <w:basedOn w:val="TableNormal"/>
    <w:uiPriority w:val="99"/>
    <w:rsid w:val="00A3692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A36924"/>
    <w:pPr>
      <w:numPr>
        <w:numId w:val="6"/>
      </w:numPr>
      <w:spacing w:before="280" w:after="60"/>
    </w:pPr>
  </w:style>
  <w:style w:type="paragraph" w:customStyle="1" w:styleId="JuSigned">
    <w:name w:val="Ju_Signed"/>
    <w:aliases w:val="_Signature"/>
    <w:basedOn w:val="Normal"/>
    <w:next w:val="JuPara"/>
    <w:uiPriority w:val="31"/>
    <w:qFormat/>
    <w:rsid w:val="00A36924"/>
    <w:pPr>
      <w:tabs>
        <w:tab w:val="center" w:pos="851"/>
        <w:tab w:val="center" w:pos="6407"/>
      </w:tabs>
      <w:spacing w:before="720"/>
    </w:pPr>
  </w:style>
  <w:style w:type="paragraph" w:customStyle="1" w:styleId="JuParaLast">
    <w:name w:val="Ju_Para_Last"/>
    <w:aliases w:val="_Para_Spaced"/>
    <w:basedOn w:val="NormalJustified"/>
    <w:uiPriority w:val="5"/>
    <w:qFormat/>
    <w:rsid w:val="00A36924"/>
    <w:pPr>
      <w:keepNext/>
      <w:keepLines/>
      <w:spacing w:before="240" w:after="240"/>
      <w:ind w:firstLine="284"/>
    </w:pPr>
  </w:style>
  <w:style w:type="character" w:customStyle="1" w:styleId="ECHRDivisionNameChar">
    <w:name w:val="ECHR_DivisionName Char"/>
    <w:aliases w:val="_Div_Name Char"/>
    <w:basedOn w:val="DefaultParagraphFont"/>
    <w:link w:val="ECHRDivisionName"/>
    <w:uiPriority w:val="41"/>
    <w:semiHidden/>
    <w:rsid w:val="00A36924"/>
    <w:rPr>
      <w:rFonts w:ascii="Arial" w:hAnsi="Arial"/>
      <w:i/>
      <w:color w:val="0072BC" w:themeColor="accent1"/>
      <w:sz w:val="32"/>
      <w:szCs w:val="24"/>
    </w:rPr>
  </w:style>
  <w:style w:type="character" w:styleId="PageNumber">
    <w:name w:val="page number"/>
    <w:uiPriority w:val="98"/>
    <w:semiHidden/>
    <w:rsid w:val="00A36924"/>
    <w:rPr>
      <w:sz w:val="18"/>
    </w:rPr>
  </w:style>
  <w:style w:type="paragraph" w:customStyle="1" w:styleId="JuLista">
    <w:name w:val="Ju_List_a"/>
    <w:aliases w:val="_List_2"/>
    <w:basedOn w:val="NormalJustified"/>
    <w:uiPriority w:val="23"/>
    <w:rsid w:val="00A36924"/>
    <w:pPr>
      <w:numPr>
        <w:ilvl w:val="1"/>
        <w:numId w:val="6"/>
      </w:numPr>
    </w:pPr>
  </w:style>
  <w:style w:type="paragraph" w:customStyle="1" w:styleId="JuListi">
    <w:name w:val="Ju_List_i"/>
    <w:aliases w:val="_List_3"/>
    <w:basedOn w:val="NormalJustified"/>
    <w:uiPriority w:val="23"/>
    <w:rsid w:val="00A36924"/>
    <w:pPr>
      <w:numPr>
        <w:ilvl w:val="2"/>
        <w:numId w:val="6"/>
      </w:numPr>
    </w:pPr>
  </w:style>
  <w:style w:type="character" w:styleId="CommentReference">
    <w:name w:val="annotation reference"/>
    <w:basedOn w:val="DefaultParagraphFont"/>
    <w:uiPriority w:val="98"/>
    <w:semiHidden/>
    <w:rsid w:val="00A36924"/>
    <w:rPr>
      <w:sz w:val="16"/>
      <w:szCs w:val="16"/>
    </w:rPr>
  </w:style>
  <w:style w:type="paragraph" w:styleId="CommentText">
    <w:name w:val="annotation text"/>
    <w:basedOn w:val="Normal"/>
    <w:link w:val="CommentTextChar"/>
    <w:uiPriority w:val="98"/>
    <w:semiHidden/>
    <w:rsid w:val="00A36924"/>
    <w:rPr>
      <w:sz w:val="20"/>
      <w:szCs w:val="20"/>
    </w:rPr>
  </w:style>
  <w:style w:type="character" w:customStyle="1" w:styleId="CommentTextChar">
    <w:name w:val="Comment Text Char"/>
    <w:basedOn w:val="DefaultParagraphFont"/>
    <w:link w:val="CommentText"/>
    <w:uiPriority w:val="98"/>
    <w:semiHidden/>
    <w:rsid w:val="00A36924"/>
    <w:rPr>
      <w:sz w:val="20"/>
      <w:szCs w:val="20"/>
    </w:rPr>
  </w:style>
  <w:style w:type="paragraph" w:styleId="CommentSubject">
    <w:name w:val="annotation subject"/>
    <w:basedOn w:val="CommentText"/>
    <w:next w:val="CommentText"/>
    <w:link w:val="CommentSubjectChar"/>
    <w:uiPriority w:val="98"/>
    <w:semiHidden/>
    <w:rsid w:val="00A36924"/>
    <w:rPr>
      <w:b/>
      <w:bCs/>
    </w:rPr>
  </w:style>
  <w:style w:type="character" w:customStyle="1" w:styleId="CommentSubjectChar">
    <w:name w:val="Comment Subject Char"/>
    <w:basedOn w:val="CommentTextChar"/>
    <w:link w:val="CommentSubject"/>
    <w:uiPriority w:val="98"/>
    <w:semiHidden/>
    <w:rsid w:val="00A36924"/>
    <w:rPr>
      <w:b/>
      <w:bCs/>
      <w:sz w:val="20"/>
      <w:szCs w:val="20"/>
    </w:rPr>
  </w:style>
  <w:style w:type="character" w:styleId="EndnoteReference">
    <w:name w:val="endnote reference"/>
    <w:basedOn w:val="DefaultParagraphFont"/>
    <w:uiPriority w:val="98"/>
    <w:semiHidden/>
    <w:rsid w:val="00A36924"/>
    <w:rPr>
      <w:vertAlign w:val="superscript"/>
    </w:rPr>
  </w:style>
  <w:style w:type="paragraph" w:styleId="EndnoteText">
    <w:name w:val="endnote text"/>
    <w:basedOn w:val="Normal"/>
    <w:link w:val="EndnoteTextChar"/>
    <w:uiPriority w:val="98"/>
    <w:semiHidden/>
    <w:rsid w:val="00A36924"/>
    <w:rPr>
      <w:sz w:val="20"/>
      <w:szCs w:val="20"/>
    </w:rPr>
  </w:style>
  <w:style w:type="character" w:customStyle="1" w:styleId="EndnoteTextChar">
    <w:name w:val="Endnote Text Char"/>
    <w:basedOn w:val="DefaultParagraphFont"/>
    <w:link w:val="EndnoteText"/>
    <w:uiPriority w:val="98"/>
    <w:semiHidden/>
    <w:rsid w:val="00A36924"/>
    <w:rPr>
      <w:sz w:val="20"/>
      <w:szCs w:val="20"/>
    </w:rPr>
  </w:style>
  <w:style w:type="character" w:styleId="FollowedHyperlink">
    <w:name w:val="FollowedHyperlink"/>
    <w:basedOn w:val="DefaultParagraphFont"/>
    <w:uiPriority w:val="98"/>
    <w:semiHidden/>
    <w:rsid w:val="00A36924"/>
    <w:rPr>
      <w:color w:val="7030A0" w:themeColor="followedHyperlink"/>
      <w:u w:val="single"/>
    </w:rPr>
  </w:style>
  <w:style w:type="paragraph" w:styleId="DocumentMap">
    <w:name w:val="Document Map"/>
    <w:basedOn w:val="Normal"/>
    <w:link w:val="DocumentMapChar"/>
    <w:uiPriority w:val="98"/>
    <w:semiHidden/>
    <w:rsid w:val="00A36924"/>
    <w:rPr>
      <w:rFonts w:ascii="Tahoma" w:hAnsi="Tahoma" w:cs="Tahoma"/>
      <w:sz w:val="16"/>
      <w:szCs w:val="16"/>
    </w:rPr>
  </w:style>
  <w:style w:type="character" w:customStyle="1" w:styleId="DocumentMapChar">
    <w:name w:val="Document Map Char"/>
    <w:basedOn w:val="DefaultParagraphFont"/>
    <w:link w:val="DocumentMap"/>
    <w:uiPriority w:val="98"/>
    <w:semiHidden/>
    <w:rsid w:val="00A36924"/>
    <w:rPr>
      <w:rFonts w:ascii="Tahoma" w:hAnsi="Tahoma" w:cs="Tahoma"/>
      <w:sz w:val="16"/>
      <w:szCs w:val="16"/>
    </w:rPr>
  </w:style>
  <w:style w:type="paragraph" w:customStyle="1" w:styleId="DummyStyle">
    <w:name w:val="Dummy_Style"/>
    <w:aliases w:val="_Dummy"/>
    <w:basedOn w:val="Normal"/>
    <w:semiHidden/>
    <w:qFormat/>
    <w:rsid w:val="00A36924"/>
    <w:rPr>
      <w:color w:val="00B050"/>
      <w:sz w:val="22"/>
    </w:rPr>
  </w:style>
  <w:style w:type="paragraph" w:styleId="ListBullet">
    <w:name w:val="List Bullet"/>
    <w:basedOn w:val="Normal"/>
    <w:uiPriority w:val="98"/>
    <w:semiHidden/>
    <w:rsid w:val="00A36924"/>
    <w:pPr>
      <w:numPr>
        <w:numId w:val="9"/>
      </w:numPr>
    </w:pPr>
  </w:style>
  <w:style w:type="character" w:customStyle="1" w:styleId="JuITMark">
    <w:name w:val="Ju_ITMark"/>
    <w:aliases w:val="_ITMark"/>
    <w:basedOn w:val="DefaultParagraphFont"/>
    <w:uiPriority w:val="43"/>
    <w:qFormat/>
    <w:rsid w:val="00A36924"/>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A3692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3692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A36924"/>
    <w:pPr>
      <w:numPr>
        <w:numId w:val="2"/>
      </w:numPr>
    </w:pPr>
  </w:style>
  <w:style w:type="numbering" w:styleId="1ai">
    <w:name w:val="Outline List 1"/>
    <w:basedOn w:val="NoList"/>
    <w:uiPriority w:val="99"/>
    <w:semiHidden/>
    <w:unhideWhenUsed/>
    <w:rsid w:val="00A36924"/>
    <w:pPr>
      <w:numPr>
        <w:numId w:val="3"/>
      </w:numPr>
    </w:pPr>
  </w:style>
  <w:style w:type="numbering" w:styleId="ArticleSection">
    <w:name w:val="Outline List 3"/>
    <w:basedOn w:val="NoList"/>
    <w:uiPriority w:val="99"/>
    <w:semiHidden/>
    <w:unhideWhenUsed/>
    <w:rsid w:val="00A36924"/>
    <w:pPr>
      <w:numPr>
        <w:numId w:val="4"/>
      </w:numPr>
    </w:pPr>
  </w:style>
  <w:style w:type="paragraph" w:styleId="Bibliography">
    <w:name w:val="Bibliography"/>
    <w:basedOn w:val="Normal"/>
    <w:next w:val="Normal"/>
    <w:uiPriority w:val="98"/>
    <w:semiHidden/>
    <w:rsid w:val="00A36924"/>
  </w:style>
  <w:style w:type="paragraph" w:styleId="BlockText">
    <w:name w:val="Block Text"/>
    <w:basedOn w:val="Normal"/>
    <w:uiPriority w:val="98"/>
    <w:semiHidden/>
    <w:rsid w:val="00A3692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A36924"/>
    <w:pPr>
      <w:spacing w:after="120"/>
    </w:pPr>
  </w:style>
  <w:style w:type="character" w:customStyle="1" w:styleId="BodyTextChar">
    <w:name w:val="Body Text Char"/>
    <w:basedOn w:val="DefaultParagraphFont"/>
    <w:link w:val="BodyText"/>
    <w:uiPriority w:val="98"/>
    <w:semiHidden/>
    <w:rsid w:val="00A36924"/>
    <w:rPr>
      <w:sz w:val="24"/>
      <w:szCs w:val="24"/>
    </w:rPr>
  </w:style>
  <w:style w:type="paragraph" w:styleId="BodyText2">
    <w:name w:val="Body Text 2"/>
    <w:basedOn w:val="Normal"/>
    <w:link w:val="BodyText2Char"/>
    <w:uiPriority w:val="98"/>
    <w:semiHidden/>
    <w:rsid w:val="00A36924"/>
    <w:pPr>
      <w:spacing w:after="120" w:line="480" w:lineRule="auto"/>
    </w:pPr>
  </w:style>
  <w:style w:type="character" w:customStyle="1" w:styleId="BodyText2Char">
    <w:name w:val="Body Text 2 Char"/>
    <w:basedOn w:val="DefaultParagraphFont"/>
    <w:link w:val="BodyText2"/>
    <w:uiPriority w:val="98"/>
    <w:semiHidden/>
    <w:rsid w:val="00A36924"/>
    <w:rPr>
      <w:sz w:val="24"/>
      <w:szCs w:val="24"/>
    </w:rPr>
  </w:style>
  <w:style w:type="paragraph" w:styleId="BodyText3">
    <w:name w:val="Body Text 3"/>
    <w:basedOn w:val="Normal"/>
    <w:link w:val="BodyText3Char"/>
    <w:uiPriority w:val="98"/>
    <w:semiHidden/>
    <w:rsid w:val="00A36924"/>
    <w:pPr>
      <w:spacing w:after="120"/>
    </w:pPr>
    <w:rPr>
      <w:sz w:val="16"/>
      <w:szCs w:val="16"/>
    </w:rPr>
  </w:style>
  <w:style w:type="character" w:customStyle="1" w:styleId="BodyText3Char">
    <w:name w:val="Body Text 3 Char"/>
    <w:basedOn w:val="DefaultParagraphFont"/>
    <w:link w:val="BodyText3"/>
    <w:uiPriority w:val="98"/>
    <w:semiHidden/>
    <w:rsid w:val="00A36924"/>
    <w:rPr>
      <w:sz w:val="16"/>
      <w:szCs w:val="16"/>
    </w:rPr>
  </w:style>
  <w:style w:type="paragraph" w:styleId="BodyTextFirstIndent">
    <w:name w:val="Body Text First Indent"/>
    <w:basedOn w:val="BodyText"/>
    <w:link w:val="BodyTextFirstIndentChar"/>
    <w:uiPriority w:val="98"/>
    <w:semiHidden/>
    <w:rsid w:val="00A36924"/>
    <w:pPr>
      <w:spacing w:after="0"/>
      <w:ind w:firstLine="360"/>
    </w:pPr>
  </w:style>
  <w:style w:type="character" w:customStyle="1" w:styleId="BodyTextFirstIndentChar">
    <w:name w:val="Body Text First Indent Char"/>
    <w:basedOn w:val="BodyTextChar"/>
    <w:link w:val="BodyTextFirstIndent"/>
    <w:uiPriority w:val="98"/>
    <w:semiHidden/>
    <w:rsid w:val="00A36924"/>
    <w:rPr>
      <w:sz w:val="24"/>
      <w:szCs w:val="24"/>
    </w:rPr>
  </w:style>
  <w:style w:type="paragraph" w:styleId="BodyTextIndent">
    <w:name w:val="Body Text Indent"/>
    <w:basedOn w:val="Normal"/>
    <w:link w:val="BodyTextIndentChar"/>
    <w:uiPriority w:val="98"/>
    <w:semiHidden/>
    <w:rsid w:val="00A36924"/>
    <w:pPr>
      <w:spacing w:after="120"/>
      <w:ind w:left="283"/>
    </w:pPr>
  </w:style>
  <w:style w:type="character" w:customStyle="1" w:styleId="BodyTextIndentChar">
    <w:name w:val="Body Text Indent Char"/>
    <w:basedOn w:val="DefaultParagraphFont"/>
    <w:link w:val="BodyTextIndent"/>
    <w:uiPriority w:val="98"/>
    <w:semiHidden/>
    <w:rsid w:val="00A36924"/>
    <w:rPr>
      <w:sz w:val="24"/>
      <w:szCs w:val="24"/>
    </w:rPr>
  </w:style>
  <w:style w:type="paragraph" w:styleId="BodyTextFirstIndent2">
    <w:name w:val="Body Text First Indent 2"/>
    <w:basedOn w:val="BodyTextIndent"/>
    <w:link w:val="BodyTextFirstIndent2Char"/>
    <w:uiPriority w:val="98"/>
    <w:semiHidden/>
    <w:rsid w:val="00A36924"/>
    <w:pPr>
      <w:spacing w:after="0"/>
      <w:ind w:left="360" w:firstLine="360"/>
    </w:pPr>
  </w:style>
  <w:style w:type="character" w:customStyle="1" w:styleId="BodyTextFirstIndent2Char">
    <w:name w:val="Body Text First Indent 2 Char"/>
    <w:basedOn w:val="BodyTextIndentChar"/>
    <w:link w:val="BodyTextFirstIndent2"/>
    <w:uiPriority w:val="98"/>
    <w:semiHidden/>
    <w:rsid w:val="00A36924"/>
    <w:rPr>
      <w:sz w:val="24"/>
      <w:szCs w:val="24"/>
    </w:rPr>
  </w:style>
  <w:style w:type="paragraph" w:styleId="BodyTextIndent2">
    <w:name w:val="Body Text Indent 2"/>
    <w:basedOn w:val="Normal"/>
    <w:link w:val="BodyTextIndent2Char"/>
    <w:uiPriority w:val="98"/>
    <w:semiHidden/>
    <w:rsid w:val="00A36924"/>
    <w:pPr>
      <w:spacing w:after="120" w:line="480" w:lineRule="auto"/>
      <w:ind w:left="283"/>
    </w:pPr>
  </w:style>
  <w:style w:type="character" w:customStyle="1" w:styleId="BodyTextIndent2Char">
    <w:name w:val="Body Text Indent 2 Char"/>
    <w:basedOn w:val="DefaultParagraphFont"/>
    <w:link w:val="BodyTextIndent2"/>
    <w:uiPriority w:val="98"/>
    <w:semiHidden/>
    <w:rsid w:val="00A36924"/>
    <w:rPr>
      <w:sz w:val="24"/>
      <w:szCs w:val="24"/>
    </w:rPr>
  </w:style>
  <w:style w:type="paragraph" w:styleId="BodyTextIndent3">
    <w:name w:val="Body Text Indent 3"/>
    <w:basedOn w:val="Normal"/>
    <w:link w:val="BodyTextIndent3Char"/>
    <w:uiPriority w:val="98"/>
    <w:semiHidden/>
    <w:rsid w:val="00A3692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36924"/>
    <w:rPr>
      <w:sz w:val="16"/>
      <w:szCs w:val="16"/>
    </w:rPr>
  </w:style>
  <w:style w:type="paragraph" w:styleId="Caption">
    <w:name w:val="caption"/>
    <w:basedOn w:val="Normal"/>
    <w:next w:val="Normal"/>
    <w:uiPriority w:val="98"/>
    <w:semiHidden/>
    <w:qFormat/>
    <w:rsid w:val="00A36924"/>
    <w:pPr>
      <w:spacing w:after="200"/>
    </w:pPr>
    <w:rPr>
      <w:b/>
      <w:bCs/>
      <w:color w:val="0072BC" w:themeColor="accent1"/>
      <w:sz w:val="18"/>
      <w:szCs w:val="18"/>
    </w:rPr>
  </w:style>
  <w:style w:type="paragraph" w:styleId="Closing">
    <w:name w:val="Closing"/>
    <w:basedOn w:val="Normal"/>
    <w:link w:val="ClosingChar"/>
    <w:uiPriority w:val="98"/>
    <w:semiHidden/>
    <w:rsid w:val="00A36924"/>
    <w:pPr>
      <w:ind w:left="4252"/>
    </w:pPr>
  </w:style>
  <w:style w:type="character" w:customStyle="1" w:styleId="ClosingChar">
    <w:name w:val="Closing Char"/>
    <w:basedOn w:val="DefaultParagraphFont"/>
    <w:link w:val="Closing"/>
    <w:uiPriority w:val="98"/>
    <w:semiHidden/>
    <w:rsid w:val="00A36924"/>
    <w:rPr>
      <w:sz w:val="24"/>
      <w:szCs w:val="24"/>
    </w:rPr>
  </w:style>
  <w:style w:type="table" w:styleId="ColorfulGrid">
    <w:name w:val="Colorful Grid"/>
    <w:basedOn w:val="TableNormal"/>
    <w:uiPriority w:val="73"/>
    <w:semiHidden/>
    <w:rsid w:val="00A3692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3692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3692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3692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3692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3692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3692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3692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3692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3692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3692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3692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3692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3692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3692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3692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3692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3692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3692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3692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3692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A3692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3692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3692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3692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3692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3692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3692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36924"/>
  </w:style>
  <w:style w:type="character" w:customStyle="1" w:styleId="DateChar">
    <w:name w:val="Date Char"/>
    <w:basedOn w:val="DefaultParagraphFont"/>
    <w:link w:val="Date"/>
    <w:uiPriority w:val="98"/>
    <w:semiHidden/>
    <w:rsid w:val="00A36924"/>
    <w:rPr>
      <w:sz w:val="24"/>
      <w:szCs w:val="24"/>
    </w:rPr>
  </w:style>
  <w:style w:type="paragraph" w:styleId="E-mailSignature">
    <w:name w:val="E-mail Signature"/>
    <w:basedOn w:val="Normal"/>
    <w:link w:val="E-mailSignatureChar"/>
    <w:uiPriority w:val="98"/>
    <w:semiHidden/>
    <w:rsid w:val="00A36924"/>
  </w:style>
  <w:style w:type="character" w:customStyle="1" w:styleId="E-mailSignatureChar">
    <w:name w:val="E-mail Signature Char"/>
    <w:basedOn w:val="DefaultParagraphFont"/>
    <w:link w:val="E-mailSignature"/>
    <w:uiPriority w:val="98"/>
    <w:semiHidden/>
    <w:rsid w:val="00A36924"/>
    <w:rPr>
      <w:sz w:val="24"/>
      <w:szCs w:val="24"/>
    </w:rPr>
  </w:style>
  <w:style w:type="paragraph" w:styleId="EnvelopeAddress">
    <w:name w:val="envelope address"/>
    <w:basedOn w:val="Normal"/>
    <w:uiPriority w:val="98"/>
    <w:semiHidden/>
    <w:rsid w:val="00A3692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36924"/>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A36924"/>
  </w:style>
  <w:style w:type="paragraph" w:styleId="HTMLAddress">
    <w:name w:val="HTML Address"/>
    <w:basedOn w:val="Normal"/>
    <w:link w:val="HTMLAddressChar"/>
    <w:uiPriority w:val="98"/>
    <w:semiHidden/>
    <w:rsid w:val="00A36924"/>
    <w:rPr>
      <w:i/>
      <w:iCs/>
    </w:rPr>
  </w:style>
  <w:style w:type="character" w:customStyle="1" w:styleId="HTMLAddressChar">
    <w:name w:val="HTML Address Char"/>
    <w:basedOn w:val="DefaultParagraphFont"/>
    <w:link w:val="HTMLAddress"/>
    <w:uiPriority w:val="98"/>
    <w:semiHidden/>
    <w:rsid w:val="00A36924"/>
    <w:rPr>
      <w:i/>
      <w:iCs/>
      <w:sz w:val="24"/>
      <w:szCs w:val="24"/>
    </w:rPr>
  </w:style>
  <w:style w:type="character" w:styleId="HTMLCite">
    <w:name w:val="HTML Cite"/>
    <w:basedOn w:val="DefaultParagraphFont"/>
    <w:uiPriority w:val="98"/>
    <w:semiHidden/>
    <w:rsid w:val="00A36924"/>
    <w:rPr>
      <w:i/>
      <w:iCs/>
    </w:rPr>
  </w:style>
  <w:style w:type="character" w:styleId="HTMLCode">
    <w:name w:val="HTML Code"/>
    <w:basedOn w:val="DefaultParagraphFont"/>
    <w:uiPriority w:val="98"/>
    <w:semiHidden/>
    <w:rsid w:val="00A36924"/>
    <w:rPr>
      <w:rFonts w:ascii="Consolas" w:hAnsi="Consolas" w:cs="Consolas"/>
      <w:sz w:val="20"/>
      <w:szCs w:val="20"/>
    </w:rPr>
  </w:style>
  <w:style w:type="character" w:styleId="HTMLDefinition">
    <w:name w:val="HTML Definition"/>
    <w:basedOn w:val="DefaultParagraphFont"/>
    <w:uiPriority w:val="98"/>
    <w:semiHidden/>
    <w:rsid w:val="00A36924"/>
    <w:rPr>
      <w:i/>
      <w:iCs/>
    </w:rPr>
  </w:style>
  <w:style w:type="character" w:styleId="HTMLKeyboard">
    <w:name w:val="HTML Keyboard"/>
    <w:basedOn w:val="DefaultParagraphFont"/>
    <w:uiPriority w:val="98"/>
    <w:semiHidden/>
    <w:rsid w:val="00A36924"/>
    <w:rPr>
      <w:rFonts w:ascii="Consolas" w:hAnsi="Consolas" w:cs="Consolas"/>
      <w:sz w:val="20"/>
      <w:szCs w:val="20"/>
    </w:rPr>
  </w:style>
  <w:style w:type="paragraph" w:styleId="HTMLPreformatted">
    <w:name w:val="HTML Preformatted"/>
    <w:basedOn w:val="Normal"/>
    <w:link w:val="HTMLPreformattedChar"/>
    <w:uiPriority w:val="98"/>
    <w:semiHidden/>
    <w:rsid w:val="00A3692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36924"/>
    <w:rPr>
      <w:rFonts w:ascii="Consolas" w:hAnsi="Consolas" w:cs="Consolas"/>
      <w:sz w:val="20"/>
      <w:szCs w:val="20"/>
    </w:rPr>
  </w:style>
  <w:style w:type="character" w:styleId="HTMLSample">
    <w:name w:val="HTML Sample"/>
    <w:basedOn w:val="DefaultParagraphFont"/>
    <w:uiPriority w:val="98"/>
    <w:semiHidden/>
    <w:rsid w:val="00A36924"/>
    <w:rPr>
      <w:rFonts w:ascii="Consolas" w:hAnsi="Consolas" w:cs="Consolas"/>
      <w:sz w:val="24"/>
      <w:szCs w:val="24"/>
    </w:rPr>
  </w:style>
  <w:style w:type="character" w:styleId="HTMLTypewriter">
    <w:name w:val="HTML Typewriter"/>
    <w:basedOn w:val="DefaultParagraphFont"/>
    <w:uiPriority w:val="98"/>
    <w:semiHidden/>
    <w:rsid w:val="00A36924"/>
    <w:rPr>
      <w:rFonts w:ascii="Consolas" w:hAnsi="Consolas" w:cs="Consolas"/>
      <w:sz w:val="20"/>
      <w:szCs w:val="20"/>
    </w:rPr>
  </w:style>
  <w:style w:type="character" w:styleId="HTMLVariable">
    <w:name w:val="HTML Variable"/>
    <w:basedOn w:val="DefaultParagraphFont"/>
    <w:uiPriority w:val="98"/>
    <w:semiHidden/>
    <w:rsid w:val="00A36924"/>
    <w:rPr>
      <w:i/>
      <w:iCs/>
    </w:rPr>
  </w:style>
  <w:style w:type="paragraph" w:styleId="Index1">
    <w:name w:val="index 1"/>
    <w:basedOn w:val="Normal"/>
    <w:next w:val="Normal"/>
    <w:autoRedefine/>
    <w:uiPriority w:val="98"/>
    <w:semiHidden/>
    <w:rsid w:val="00A36924"/>
    <w:pPr>
      <w:ind w:left="240" w:hanging="240"/>
    </w:pPr>
  </w:style>
  <w:style w:type="paragraph" w:styleId="Index2">
    <w:name w:val="index 2"/>
    <w:basedOn w:val="Normal"/>
    <w:next w:val="Normal"/>
    <w:autoRedefine/>
    <w:uiPriority w:val="98"/>
    <w:semiHidden/>
    <w:rsid w:val="00A36924"/>
    <w:pPr>
      <w:ind w:left="480" w:hanging="240"/>
    </w:pPr>
  </w:style>
  <w:style w:type="paragraph" w:styleId="Index3">
    <w:name w:val="index 3"/>
    <w:basedOn w:val="Normal"/>
    <w:next w:val="Normal"/>
    <w:autoRedefine/>
    <w:uiPriority w:val="98"/>
    <w:semiHidden/>
    <w:rsid w:val="00A36924"/>
    <w:pPr>
      <w:ind w:left="720" w:hanging="240"/>
    </w:pPr>
  </w:style>
  <w:style w:type="paragraph" w:styleId="Index4">
    <w:name w:val="index 4"/>
    <w:basedOn w:val="Normal"/>
    <w:next w:val="Normal"/>
    <w:autoRedefine/>
    <w:uiPriority w:val="98"/>
    <w:semiHidden/>
    <w:rsid w:val="00A36924"/>
    <w:pPr>
      <w:ind w:left="960" w:hanging="240"/>
    </w:pPr>
  </w:style>
  <w:style w:type="paragraph" w:styleId="Index5">
    <w:name w:val="index 5"/>
    <w:basedOn w:val="Normal"/>
    <w:next w:val="Normal"/>
    <w:autoRedefine/>
    <w:uiPriority w:val="98"/>
    <w:semiHidden/>
    <w:rsid w:val="00A36924"/>
    <w:pPr>
      <w:ind w:left="1200" w:hanging="240"/>
    </w:pPr>
  </w:style>
  <w:style w:type="paragraph" w:styleId="Index6">
    <w:name w:val="index 6"/>
    <w:basedOn w:val="Normal"/>
    <w:next w:val="Normal"/>
    <w:autoRedefine/>
    <w:uiPriority w:val="98"/>
    <w:semiHidden/>
    <w:rsid w:val="00A36924"/>
    <w:pPr>
      <w:ind w:left="1440" w:hanging="240"/>
    </w:pPr>
  </w:style>
  <w:style w:type="paragraph" w:styleId="Index7">
    <w:name w:val="index 7"/>
    <w:basedOn w:val="Normal"/>
    <w:next w:val="Normal"/>
    <w:autoRedefine/>
    <w:uiPriority w:val="98"/>
    <w:semiHidden/>
    <w:rsid w:val="00A36924"/>
    <w:pPr>
      <w:ind w:left="1680" w:hanging="240"/>
    </w:pPr>
  </w:style>
  <w:style w:type="paragraph" w:styleId="Index8">
    <w:name w:val="index 8"/>
    <w:basedOn w:val="Normal"/>
    <w:next w:val="Normal"/>
    <w:autoRedefine/>
    <w:uiPriority w:val="98"/>
    <w:semiHidden/>
    <w:rsid w:val="00A36924"/>
    <w:pPr>
      <w:ind w:left="1920" w:hanging="240"/>
    </w:pPr>
  </w:style>
  <w:style w:type="paragraph" w:styleId="Index9">
    <w:name w:val="index 9"/>
    <w:basedOn w:val="Normal"/>
    <w:next w:val="Normal"/>
    <w:autoRedefine/>
    <w:uiPriority w:val="98"/>
    <w:semiHidden/>
    <w:rsid w:val="00A36924"/>
    <w:pPr>
      <w:ind w:left="2160" w:hanging="240"/>
    </w:pPr>
  </w:style>
  <w:style w:type="paragraph" w:styleId="IndexHeading">
    <w:name w:val="index heading"/>
    <w:basedOn w:val="Normal"/>
    <w:next w:val="Index1"/>
    <w:uiPriority w:val="98"/>
    <w:semiHidden/>
    <w:rsid w:val="00A36924"/>
    <w:rPr>
      <w:rFonts w:asciiTheme="majorHAnsi" w:eastAsiaTheme="majorEastAsia" w:hAnsiTheme="majorHAnsi" w:cstheme="majorBidi"/>
      <w:b/>
      <w:bCs/>
    </w:rPr>
  </w:style>
  <w:style w:type="table" w:styleId="LightGrid">
    <w:name w:val="Light Grid"/>
    <w:basedOn w:val="TableNormal"/>
    <w:uiPriority w:val="62"/>
    <w:semiHidden/>
    <w:rsid w:val="00A3692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3692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3692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3692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3692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3692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3692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3692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3692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3692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3692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3692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3692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3692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3692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3692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3692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3692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3692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3692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3692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36924"/>
  </w:style>
  <w:style w:type="paragraph" w:styleId="List">
    <w:name w:val="List"/>
    <w:basedOn w:val="Normal"/>
    <w:uiPriority w:val="98"/>
    <w:semiHidden/>
    <w:rsid w:val="00A36924"/>
    <w:pPr>
      <w:ind w:left="283" w:hanging="283"/>
      <w:contextualSpacing/>
    </w:pPr>
  </w:style>
  <w:style w:type="paragraph" w:styleId="List2">
    <w:name w:val="List 2"/>
    <w:basedOn w:val="Normal"/>
    <w:uiPriority w:val="98"/>
    <w:semiHidden/>
    <w:rsid w:val="00A36924"/>
    <w:pPr>
      <w:ind w:left="566" w:hanging="283"/>
      <w:contextualSpacing/>
    </w:pPr>
  </w:style>
  <w:style w:type="paragraph" w:styleId="List3">
    <w:name w:val="List 3"/>
    <w:basedOn w:val="Normal"/>
    <w:uiPriority w:val="98"/>
    <w:semiHidden/>
    <w:rsid w:val="00A36924"/>
    <w:pPr>
      <w:ind w:left="849" w:hanging="283"/>
      <w:contextualSpacing/>
    </w:pPr>
  </w:style>
  <w:style w:type="paragraph" w:styleId="List4">
    <w:name w:val="List 4"/>
    <w:basedOn w:val="Normal"/>
    <w:uiPriority w:val="98"/>
    <w:semiHidden/>
    <w:rsid w:val="00A36924"/>
    <w:pPr>
      <w:ind w:left="1132" w:hanging="283"/>
      <w:contextualSpacing/>
    </w:pPr>
  </w:style>
  <w:style w:type="paragraph" w:styleId="List5">
    <w:name w:val="List 5"/>
    <w:basedOn w:val="Normal"/>
    <w:uiPriority w:val="98"/>
    <w:semiHidden/>
    <w:rsid w:val="00A36924"/>
    <w:pPr>
      <w:ind w:left="1415" w:hanging="283"/>
      <w:contextualSpacing/>
    </w:pPr>
  </w:style>
  <w:style w:type="paragraph" w:styleId="ListBullet2">
    <w:name w:val="List Bullet 2"/>
    <w:basedOn w:val="Normal"/>
    <w:uiPriority w:val="98"/>
    <w:semiHidden/>
    <w:rsid w:val="00A36924"/>
    <w:pPr>
      <w:numPr>
        <w:numId w:val="10"/>
      </w:numPr>
      <w:contextualSpacing/>
    </w:pPr>
  </w:style>
  <w:style w:type="paragraph" w:styleId="ListBullet3">
    <w:name w:val="List Bullet 3"/>
    <w:basedOn w:val="Normal"/>
    <w:uiPriority w:val="98"/>
    <w:semiHidden/>
    <w:rsid w:val="00A36924"/>
    <w:pPr>
      <w:numPr>
        <w:numId w:val="11"/>
      </w:numPr>
      <w:contextualSpacing/>
    </w:pPr>
  </w:style>
  <w:style w:type="paragraph" w:styleId="ListBullet4">
    <w:name w:val="List Bullet 4"/>
    <w:basedOn w:val="Normal"/>
    <w:uiPriority w:val="98"/>
    <w:semiHidden/>
    <w:rsid w:val="00A36924"/>
    <w:pPr>
      <w:numPr>
        <w:numId w:val="12"/>
      </w:numPr>
      <w:contextualSpacing/>
    </w:pPr>
  </w:style>
  <w:style w:type="paragraph" w:styleId="ListBullet5">
    <w:name w:val="List Bullet 5"/>
    <w:basedOn w:val="Normal"/>
    <w:uiPriority w:val="98"/>
    <w:semiHidden/>
    <w:rsid w:val="00A36924"/>
    <w:pPr>
      <w:numPr>
        <w:numId w:val="13"/>
      </w:numPr>
      <w:contextualSpacing/>
    </w:pPr>
  </w:style>
  <w:style w:type="paragraph" w:styleId="ListContinue">
    <w:name w:val="List Continue"/>
    <w:basedOn w:val="Normal"/>
    <w:uiPriority w:val="98"/>
    <w:semiHidden/>
    <w:rsid w:val="00A36924"/>
    <w:pPr>
      <w:spacing w:after="120"/>
      <w:ind w:left="283"/>
      <w:contextualSpacing/>
    </w:pPr>
  </w:style>
  <w:style w:type="paragraph" w:styleId="ListContinue2">
    <w:name w:val="List Continue 2"/>
    <w:basedOn w:val="Normal"/>
    <w:uiPriority w:val="98"/>
    <w:semiHidden/>
    <w:rsid w:val="00A36924"/>
    <w:pPr>
      <w:spacing w:after="120"/>
      <w:ind w:left="566"/>
      <w:contextualSpacing/>
    </w:pPr>
  </w:style>
  <w:style w:type="paragraph" w:styleId="ListContinue3">
    <w:name w:val="List Continue 3"/>
    <w:basedOn w:val="Normal"/>
    <w:uiPriority w:val="98"/>
    <w:semiHidden/>
    <w:rsid w:val="00A36924"/>
    <w:pPr>
      <w:spacing w:after="120"/>
      <w:ind w:left="849"/>
      <w:contextualSpacing/>
    </w:pPr>
  </w:style>
  <w:style w:type="paragraph" w:styleId="ListContinue4">
    <w:name w:val="List Continue 4"/>
    <w:basedOn w:val="Normal"/>
    <w:uiPriority w:val="98"/>
    <w:semiHidden/>
    <w:rsid w:val="00A36924"/>
    <w:pPr>
      <w:spacing w:after="120"/>
      <w:ind w:left="1132"/>
      <w:contextualSpacing/>
    </w:pPr>
  </w:style>
  <w:style w:type="paragraph" w:styleId="ListContinue5">
    <w:name w:val="List Continue 5"/>
    <w:basedOn w:val="Normal"/>
    <w:uiPriority w:val="98"/>
    <w:semiHidden/>
    <w:rsid w:val="00A36924"/>
    <w:pPr>
      <w:spacing w:after="120"/>
      <w:ind w:left="1415"/>
      <w:contextualSpacing/>
    </w:pPr>
  </w:style>
  <w:style w:type="paragraph" w:styleId="ListNumber">
    <w:name w:val="List Number"/>
    <w:basedOn w:val="Normal"/>
    <w:uiPriority w:val="98"/>
    <w:semiHidden/>
    <w:rsid w:val="00A36924"/>
    <w:pPr>
      <w:numPr>
        <w:numId w:val="14"/>
      </w:numPr>
      <w:contextualSpacing/>
    </w:pPr>
  </w:style>
  <w:style w:type="paragraph" w:styleId="ListNumber2">
    <w:name w:val="List Number 2"/>
    <w:basedOn w:val="Normal"/>
    <w:uiPriority w:val="98"/>
    <w:semiHidden/>
    <w:rsid w:val="00A36924"/>
    <w:pPr>
      <w:numPr>
        <w:numId w:val="15"/>
      </w:numPr>
      <w:contextualSpacing/>
    </w:pPr>
  </w:style>
  <w:style w:type="paragraph" w:styleId="ListNumber3">
    <w:name w:val="List Number 3"/>
    <w:basedOn w:val="Normal"/>
    <w:uiPriority w:val="98"/>
    <w:semiHidden/>
    <w:rsid w:val="00A36924"/>
    <w:pPr>
      <w:numPr>
        <w:numId w:val="16"/>
      </w:numPr>
      <w:contextualSpacing/>
    </w:pPr>
  </w:style>
  <w:style w:type="paragraph" w:styleId="ListNumber4">
    <w:name w:val="List Number 4"/>
    <w:basedOn w:val="Normal"/>
    <w:uiPriority w:val="98"/>
    <w:semiHidden/>
    <w:rsid w:val="00A36924"/>
    <w:pPr>
      <w:numPr>
        <w:numId w:val="17"/>
      </w:numPr>
      <w:contextualSpacing/>
    </w:pPr>
  </w:style>
  <w:style w:type="paragraph" w:styleId="ListNumber5">
    <w:name w:val="List Number 5"/>
    <w:basedOn w:val="Normal"/>
    <w:uiPriority w:val="98"/>
    <w:semiHidden/>
    <w:rsid w:val="00A36924"/>
    <w:pPr>
      <w:numPr>
        <w:numId w:val="18"/>
      </w:numPr>
      <w:contextualSpacing/>
    </w:pPr>
  </w:style>
  <w:style w:type="paragraph" w:styleId="MacroText">
    <w:name w:val="macro"/>
    <w:link w:val="MacroTextChar"/>
    <w:uiPriority w:val="98"/>
    <w:semiHidden/>
    <w:rsid w:val="00A3692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36924"/>
    <w:rPr>
      <w:rFonts w:ascii="Consolas" w:eastAsiaTheme="minorEastAsia" w:hAnsi="Consolas" w:cs="Consolas"/>
      <w:sz w:val="20"/>
      <w:szCs w:val="20"/>
    </w:rPr>
  </w:style>
  <w:style w:type="table" w:styleId="MediumGrid1">
    <w:name w:val="Medium Grid 1"/>
    <w:basedOn w:val="TableNormal"/>
    <w:uiPriority w:val="67"/>
    <w:semiHidden/>
    <w:rsid w:val="00A3692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3692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3692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3692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3692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3692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3692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369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369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369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369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369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369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3692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3692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3692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3692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3692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3692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3692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3692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3692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3692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3692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3692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3692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3692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3692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3692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369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369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369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369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369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369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3692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3692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36924"/>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A36924"/>
    <w:rPr>
      <w:rFonts w:ascii="Times New Roman" w:hAnsi="Times New Roman" w:cs="Times New Roman"/>
    </w:rPr>
  </w:style>
  <w:style w:type="paragraph" w:styleId="NormalIndent">
    <w:name w:val="Normal Indent"/>
    <w:basedOn w:val="Normal"/>
    <w:uiPriority w:val="98"/>
    <w:semiHidden/>
    <w:rsid w:val="00A36924"/>
    <w:pPr>
      <w:ind w:left="720"/>
    </w:pPr>
  </w:style>
  <w:style w:type="paragraph" w:customStyle="1" w:styleId="ECHRFooterLineLandscape">
    <w:name w:val="ECHR_Footer_Line_Landscape"/>
    <w:aliases w:val="_Footer_Line_Landscape"/>
    <w:basedOn w:val="Normal"/>
    <w:uiPriority w:val="30"/>
    <w:semiHidden/>
    <w:rsid w:val="00A3692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A36924"/>
    <w:pPr>
      <w:ind w:left="567" w:hanging="567"/>
    </w:pPr>
  </w:style>
  <w:style w:type="character" w:styleId="PlaceholderText">
    <w:name w:val="Placeholder Text"/>
    <w:basedOn w:val="DefaultParagraphFont"/>
    <w:uiPriority w:val="98"/>
    <w:semiHidden/>
    <w:rsid w:val="00A3692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36924"/>
    <w:rPr>
      <w:rFonts w:ascii="Consolas" w:hAnsi="Consolas" w:cs="Consolas"/>
      <w:sz w:val="21"/>
      <w:szCs w:val="21"/>
    </w:rPr>
  </w:style>
  <w:style w:type="character" w:customStyle="1" w:styleId="PlainTextChar">
    <w:name w:val="Plain Text Char"/>
    <w:basedOn w:val="DefaultParagraphFont"/>
    <w:link w:val="PlainText"/>
    <w:uiPriority w:val="98"/>
    <w:semiHidden/>
    <w:rsid w:val="00A36924"/>
    <w:rPr>
      <w:rFonts w:ascii="Consolas" w:hAnsi="Consolas" w:cs="Consolas"/>
      <w:sz w:val="21"/>
      <w:szCs w:val="21"/>
    </w:rPr>
  </w:style>
  <w:style w:type="paragraph" w:styleId="Salutation">
    <w:name w:val="Salutation"/>
    <w:basedOn w:val="Normal"/>
    <w:next w:val="Normal"/>
    <w:link w:val="SalutationChar"/>
    <w:uiPriority w:val="98"/>
    <w:semiHidden/>
    <w:rsid w:val="00A36924"/>
  </w:style>
  <w:style w:type="character" w:customStyle="1" w:styleId="SalutationChar">
    <w:name w:val="Salutation Char"/>
    <w:basedOn w:val="DefaultParagraphFont"/>
    <w:link w:val="Salutation"/>
    <w:uiPriority w:val="98"/>
    <w:semiHidden/>
    <w:rsid w:val="00A36924"/>
    <w:rPr>
      <w:sz w:val="24"/>
      <w:szCs w:val="24"/>
    </w:rPr>
  </w:style>
  <w:style w:type="paragraph" w:styleId="Signature">
    <w:name w:val="Signature"/>
    <w:basedOn w:val="Normal"/>
    <w:link w:val="SignatureChar"/>
    <w:uiPriority w:val="98"/>
    <w:semiHidden/>
    <w:rsid w:val="00A36924"/>
    <w:pPr>
      <w:ind w:left="4252"/>
    </w:pPr>
  </w:style>
  <w:style w:type="character" w:customStyle="1" w:styleId="SignatureChar">
    <w:name w:val="Signature Char"/>
    <w:basedOn w:val="DefaultParagraphFont"/>
    <w:link w:val="Signature"/>
    <w:uiPriority w:val="98"/>
    <w:semiHidden/>
    <w:rsid w:val="00A36924"/>
    <w:rPr>
      <w:sz w:val="24"/>
      <w:szCs w:val="24"/>
    </w:rPr>
  </w:style>
  <w:style w:type="table" w:styleId="Table3Deffects1">
    <w:name w:val="Table 3D effects 1"/>
    <w:basedOn w:val="TableNormal"/>
    <w:uiPriority w:val="99"/>
    <w:semiHidden/>
    <w:unhideWhenUsed/>
    <w:rsid w:val="00A3692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3692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3692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3692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3692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3692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3692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3692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3692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3692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3692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3692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3692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3692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3692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3692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3692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3692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3692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3692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3692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3692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3692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3692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3692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3692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3692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3692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3692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3692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3692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3692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3692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36924"/>
    <w:pPr>
      <w:ind w:left="240" w:hanging="240"/>
    </w:pPr>
  </w:style>
  <w:style w:type="paragraph" w:styleId="TableofFigures">
    <w:name w:val="table of figures"/>
    <w:basedOn w:val="Normal"/>
    <w:next w:val="Normal"/>
    <w:uiPriority w:val="98"/>
    <w:semiHidden/>
    <w:rsid w:val="00A36924"/>
  </w:style>
  <w:style w:type="table" w:styleId="TableProfessional">
    <w:name w:val="Table Professional"/>
    <w:basedOn w:val="TableNormal"/>
    <w:uiPriority w:val="99"/>
    <w:semiHidden/>
    <w:unhideWhenUsed/>
    <w:rsid w:val="00A3692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3692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3692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3692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3692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3692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3692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3692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3692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3692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3692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3692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36924"/>
    <w:pPr>
      <w:spacing w:after="100"/>
      <w:ind w:left="1680"/>
    </w:pPr>
  </w:style>
  <w:style w:type="paragraph" w:styleId="TOC9">
    <w:name w:val="toc 9"/>
    <w:basedOn w:val="Normal"/>
    <w:next w:val="Normal"/>
    <w:autoRedefine/>
    <w:uiPriority w:val="98"/>
    <w:semiHidden/>
    <w:rsid w:val="00A36924"/>
    <w:pPr>
      <w:spacing w:after="100"/>
      <w:ind w:left="1920"/>
    </w:pPr>
  </w:style>
  <w:style w:type="paragraph" w:customStyle="1" w:styleId="ECHRHeading9">
    <w:name w:val="ECHR_Heading_9"/>
    <w:aliases w:val="_Head_9"/>
    <w:basedOn w:val="Heading9"/>
    <w:next w:val="Normal"/>
    <w:uiPriority w:val="19"/>
    <w:semiHidden/>
    <w:rsid w:val="00A36924"/>
    <w:pPr>
      <w:numPr>
        <w:numId w:val="1"/>
      </w:numPr>
    </w:pPr>
    <w:rPr>
      <w:i w:val="0"/>
      <w:sz w:val="18"/>
    </w:rPr>
  </w:style>
  <w:style w:type="paragraph" w:customStyle="1" w:styleId="ECHRParaIndent">
    <w:name w:val="ECHR_Para_Indent"/>
    <w:aliases w:val="_Indent"/>
    <w:basedOn w:val="Normal"/>
    <w:uiPriority w:val="7"/>
    <w:semiHidden/>
    <w:qFormat/>
    <w:rsid w:val="00A36924"/>
    <w:pPr>
      <w:spacing w:before="120" w:after="120"/>
      <w:ind w:left="284"/>
    </w:pPr>
  </w:style>
  <w:style w:type="paragraph" w:customStyle="1" w:styleId="JuJudges">
    <w:name w:val="Ju_Judges"/>
    <w:aliases w:val="_Judges"/>
    <w:basedOn w:val="Normal"/>
    <w:uiPriority w:val="32"/>
    <w:qFormat/>
    <w:rsid w:val="00A36924"/>
    <w:pPr>
      <w:tabs>
        <w:tab w:val="left" w:pos="567"/>
        <w:tab w:val="left" w:pos="1134"/>
      </w:tabs>
    </w:pPr>
  </w:style>
  <w:style w:type="paragraph" w:customStyle="1" w:styleId="ECHRLine">
    <w:name w:val="ECHR_Line"/>
    <w:aliases w:val="_Line"/>
    <w:basedOn w:val="NormalJustified"/>
    <w:next w:val="Normal"/>
    <w:uiPriority w:val="46"/>
    <w:semiHidden/>
    <w:rsid w:val="00A36924"/>
    <w:pPr>
      <w:pBdr>
        <w:bottom w:val="single" w:sz="12" w:space="1" w:color="949494" w:themeColor="text2" w:themeShade="BF"/>
      </w:pBdr>
      <w:spacing w:after="120"/>
    </w:pPr>
    <w:rPr>
      <w:sz w:val="12"/>
    </w:rPr>
  </w:style>
  <w:style w:type="paragraph" w:styleId="NoteHeading">
    <w:name w:val="Note Heading"/>
    <w:basedOn w:val="Normal"/>
    <w:next w:val="Normal"/>
    <w:link w:val="NoteHeadingChar"/>
    <w:uiPriority w:val="98"/>
    <w:semiHidden/>
    <w:rsid w:val="00A36924"/>
  </w:style>
  <w:style w:type="character" w:customStyle="1" w:styleId="NoteHeadingChar">
    <w:name w:val="Note Heading Char"/>
    <w:basedOn w:val="DefaultParagraphFont"/>
    <w:link w:val="NoteHeading"/>
    <w:uiPriority w:val="98"/>
    <w:semiHidden/>
    <w:rsid w:val="00A36924"/>
    <w:rPr>
      <w:sz w:val="24"/>
      <w:szCs w:val="24"/>
    </w:rPr>
  </w:style>
  <w:style w:type="paragraph" w:customStyle="1" w:styleId="JuHeaderLandscape">
    <w:name w:val="Ju_Header_Landscape"/>
    <w:aliases w:val="_Header_Landscape"/>
    <w:basedOn w:val="JuHeader"/>
    <w:uiPriority w:val="29"/>
    <w:qFormat/>
    <w:rsid w:val="00A36924"/>
    <w:pPr>
      <w:tabs>
        <w:tab w:val="clear" w:pos="3686"/>
        <w:tab w:val="clear" w:pos="7371"/>
        <w:tab w:val="center" w:pos="6146"/>
        <w:tab w:val="right" w:pos="12293"/>
      </w:tabs>
    </w:pPr>
  </w:style>
  <w:style w:type="character" w:customStyle="1" w:styleId="ECHRParaChar">
    <w:name w:val="ECHR_Para Char"/>
    <w:aliases w:val="Ju_Para Char"/>
    <w:link w:val="JuPara"/>
    <w:uiPriority w:val="4"/>
    <w:rsid w:val="00D07515"/>
    <w:rPr>
      <w:sz w:val="24"/>
      <w:szCs w:val="24"/>
    </w:rPr>
  </w:style>
  <w:style w:type="character" w:customStyle="1" w:styleId="JuH1Char">
    <w:name w:val="Ju_H_1. Char"/>
    <w:link w:val="JuH1"/>
    <w:uiPriority w:val="17"/>
    <w:rsid w:val="00D164BC"/>
    <w:rPr>
      <w:i/>
      <w:sz w:val="24"/>
      <w:szCs w:val="24"/>
    </w:rPr>
  </w:style>
  <w:style w:type="character" w:customStyle="1" w:styleId="JuQuotChar">
    <w:name w:val="Ju_Quot Char"/>
    <w:basedOn w:val="DefaultParagraphFont"/>
    <w:link w:val="JuQuot"/>
    <w:uiPriority w:val="20"/>
    <w:rsid w:val="00524D31"/>
    <w:rPr>
      <w:sz w:val="20"/>
      <w:szCs w:val="24"/>
    </w:rPr>
  </w:style>
  <w:style w:type="paragraph" w:styleId="Revision">
    <w:name w:val="Revision"/>
    <w:hidden/>
    <w:uiPriority w:val="99"/>
    <w:semiHidden/>
    <w:rsid w:val="007479FB"/>
    <w:rPr>
      <w:rFonts w:eastAsiaTheme="minorEastAsia"/>
      <w:sz w:val="24"/>
    </w:rPr>
  </w:style>
  <w:style w:type="paragraph" w:customStyle="1" w:styleId="DecList">
    <w:name w:val="Dec_List"/>
    <w:aliases w:val="_List"/>
    <w:basedOn w:val="Normal"/>
    <w:uiPriority w:val="22"/>
    <w:rsid w:val="00A36924"/>
    <w:pPr>
      <w:spacing w:before="280" w:after="60"/>
      <w:ind w:left="284"/>
    </w:pPr>
  </w:style>
  <w:style w:type="paragraph" w:customStyle="1" w:styleId="ECHRNumberedList1">
    <w:name w:val="ECHR_Numbered_List_1"/>
    <w:aliases w:val="_Num_1"/>
    <w:basedOn w:val="Normal"/>
    <w:uiPriority w:val="23"/>
    <w:semiHidden/>
    <w:qFormat/>
    <w:rsid w:val="00A36924"/>
    <w:pPr>
      <w:numPr>
        <w:numId w:val="7"/>
      </w:numPr>
      <w:spacing w:before="60" w:after="60"/>
    </w:pPr>
  </w:style>
  <w:style w:type="paragraph" w:customStyle="1" w:styleId="ECHRNumberedList2">
    <w:name w:val="ECHR_Numbered_List_2"/>
    <w:aliases w:val="_Num_2"/>
    <w:basedOn w:val="ECHRNumberedList1"/>
    <w:uiPriority w:val="23"/>
    <w:semiHidden/>
    <w:rsid w:val="00A36924"/>
    <w:pPr>
      <w:numPr>
        <w:ilvl w:val="1"/>
      </w:numPr>
    </w:pPr>
  </w:style>
  <w:style w:type="paragraph" w:customStyle="1" w:styleId="ECHRNumberedList3">
    <w:name w:val="ECHR_Numbered_List_3"/>
    <w:aliases w:val="_Num_3"/>
    <w:basedOn w:val="ECHRNumberedList2"/>
    <w:uiPriority w:val="23"/>
    <w:semiHidden/>
    <w:rsid w:val="00A36924"/>
    <w:pPr>
      <w:numPr>
        <w:ilvl w:val="2"/>
      </w:numPr>
    </w:pPr>
  </w:style>
  <w:style w:type="character" w:customStyle="1" w:styleId="ECHRRed">
    <w:name w:val="ECHR_Red"/>
    <w:aliases w:val="_Red"/>
    <w:basedOn w:val="DefaultParagraphFont"/>
    <w:uiPriority w:val="15"/>
    <w:semiHidden/>
    <w:qFormat/>
    <w:rsid w:val="00A36924"/>
    <w:rPr>
      <w:color w:val="C00000" w:themeColor="accent2"/>
    </w:rPr>
  </w:style>
  <w:style w:type="paragraph" w:customStyle="1" w:styleId="ECHRHeaderDate">
    <w:name w:val="ECHR_Header_Date"/>
    <w:aliases w:val="_Ref_Date"/>
    <w:basedOn w:val="Normal"/>
    <w:uiPriority w:val="44"/>
    <w:semiHidden/>
    <w:qFormat/>
    <w:rsid w:val="00A36924"/>
    <w:pPr>
      <w:jc w:val="right"/>
    </w:pPr>
    <w:rPr>
      <w:sz w:val="20"/>
    </w:rPr>
  </w:style>
  <w:style w:type="paragraph" w:customStyle="1" w:styleId="ECHRHeaderRefIt">
    <w:name w:val="ECHR_Header_Ref_It"/>
    <w:aliases w:val="_Ref_Ital"/>
    <w:basedOn w:val="Normal"/>
    <w:next w:val="ECHRHeaderDate"/>
    <w:uiPriority w:val="43"/>
    <w:semiHidden/>
    <w:qFormat/>
    <w:rsid w:val="00A36924"/>
    <w:pPr>
      <w:jc w:val="right"/>
    </w:pPr>
    <w:rPr>
      <w:i/>
      <w:sz w:val="20"/>
    </w:rPr>
  </w:style>
  <w:style w:type="paragraph" w:customStyle="1" w:styleId="ECHRSpacer">
    <w:name w:val="ECHR_Spacer"/>
    <w:aliases w:val="_Spacer"/>
    <w:basedOn w:val="Normal"/>
    <w:uiPriority w:val="45"/>
    <w:semiHidden/>
    <w:rsid w:val="00A36924"/>
    <w:rPr>
      <w:sz w:val="4"/>
    </w:rPr>
  </w:style>
  <w:style w:type="paragraph" w:customStyle="1" w:styleId="ECHRCoverTitle4">
    <w:name w:val="ECHR_Cover_Title_4"/>
    <w:aliases w:val="_Title_4"/>
    <w:basedOn w:val="JuPara"/>
    <w:next w:val="JuPara"/>
    <w:uiPriority w:val="38"/>
    <w:qFormat/>
    <w:rsid w:val="00A36924"/>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A3692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3692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3692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36924"/>
    <w:pPr>
      <w:outlineLvl w:val="0"/>
    </w:pPr>
  </w:style>
  <w:style w:type="paragraph" w:customStyle="1" w:styleId="ECHRTitle1">
    <w:name w:val="ECHR_Title_1"/>
    <w:aliases w:val="_Title_L_1"/>
    <w:basedOn w:val="Normal"/>
    <w:next w:val="Normal"/>
    <w:uiPriority w:val="28"/>
    <w:semiHidden/>
    <w:qFormat/>
    <w:rsid w:val="00A3692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3692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36924"/>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A36924"/>
    <w:pPr>
      <w:outlineLvl w:val="0"/>
    </w:pPr>
  </w:style>
  <w:style w:type="numbering" w:customStyle="1" w:styleId="ECHRA1StyleBulletedSquare">
    <w:name w:val="ECHR_A1_Style_Bulleted_Square"/>
    <w:basedOn w:val="NoList"/>
    <w:rsid w:val="00A36924"/>
    <w:pPr>
      <w:numPr>
        <w:numId w:val="5"/>
      </w:numPr>
    </w:pPr>
  </w:style>
  <w:style w:type="numbering" w:customStyle="1" w:styleId="ECHRA1StyleList">
    <w:name w:val="ECHR_A1_Style_List"/>
    <w:basedOn w:val="NoList"/>
    <w:uiPriority w:val="99"/>
    <w:rsid w:val="00A36924"/>
    <w:pPr>
      <w:numPr>
        <w:numId w:val="6"/>
      </w:numPr>
    </w:pPr>
  </w:style>
  <w:style w:type="numbering" w:customStyle="1" w:styleId="ECHRA1StyleNumberedList">
    <w:name w:val="ECHR_A1_Style_Numbered_List"/>
    <w:basedOn w:val="NoList"/>
    <w:rsid w:val="00A36924"/>
    <w:pPr>
      <w:numPr>
        <w:numId w:val="7"/>
      </w:numPr>
    </w:pPr>
  </w:style>
  <w:style w:type="table" w:customStyle="1" w:styleId="ECHRTable2">
    <w:name w:val="ECHR_Table_2"/>
    <w:basedOn w:val="TableNormal"/>
    <w:uiPriority w:val="99"/>
    <w:rsid w:val="00A3692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3692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A3692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A36924"/>
    <w:rPr>
      <w:sz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94226">
      <w:bodyDiv w:val="1"/>
      <w:marLeft w:val="0"/>
      <w:marRight w:val="0"/>
      <w:marTop w:val="0"/>
      <w:marBottom w:val="0"/>
      <w:divBdr>
        <w:top w:val="none" w:sz="0" w:space="0" w:color="auto"/>
        <w:left w:val="none" w:sz="0" w:space="0" w:color="auto"/>
        <w:bottom w:val="none" w:sz="0" w:space="0" w:color="auto"/>
        <w:right w:val="none" w:sz="0" w:space="0" w:color="auto"/>
      </w:divBdr>
      <w:divsChild>
        <w:div w:id="140345270">
          <w:marLeft w:val="0"/>
          <w:marRight w:val="0"/>
          <w:marTop w:val="0"/>
          <w:marBottom w:val="0"/>
          <w:divBdr>
            <w:top w:val="none" w:sz="0" w:space="0" w:color="auto"/>
            <w:left w:val="none" w:sz="0" w:space="0" w:color="auto"/>
            <w:bottom w:val="none" w:sz="0" w:space="0" w:color="auto"/>
            <w:right w:val="none" w:sz="0" w:space="0" w:color="auto"/>
          </w:divBdr>
          <w:divsChild>
            <w:div w:id="1320495394">
              <w:marLeft w:val="0"/>
              <w:marRight w:val="0"/>
              <w:marTop w:val="0"/>
              <w:marBottom w:val="0"/>
              <w:divBdr>
                <w:top w:val="none" w:sz="0" w:space="0" w:color="auto"/>
                <w:left w:val="none" w:sz="0" w:space="0" w:color="auto"/>
                <w:bottom w:val="none" w:sz="0" w:space="0" w:color="auto"/>
                <w:right w:val="none" w:sz="0" w:space="0" w:color="auto"/>
              </w:divBdr>
              <w:divsChild>
                <w:div w:id="596257410">
                  <w:marLeft w:val="0"/>
                  <w:marRight w:val="0"/>
                  <w:marTop w:val="0"/>
                  <w:marBottom w:val="0"/>
                  <w:divBdr>
                    <w:top w:val="none" w:sz="0" w:space="0" w:color="auto"/>
                    <w:left w:val="none" w:sz="0" w:space="0" w:color="auto"/>
                    <w:bottom w:val="none" w:sz="0" w:space="0" w:color="auto"/>
                    <w:right w:val="none" w:sz="0" w:space="0" w:color="auto"/>
                  </w:divBdr>
                  <w:divsChild>
                    <w:div w:id="1422872179">
                      <w:marLeft w:val="0"/>
                      <w:marRight w:val="0"/>
                      <w:marTop w:val="0"/>
                      <w:marBottom w:val="0"/>
                      <w:divBdr>
                        <w:top w:val="none" w:sz="0" w:space="0" w:color="auto"/>
                        <w:left w:val="none" w:sz="0" w:space="0" w:color="auto"/>
                        <w:bottom w:val="none" w:sz="0" w:space="0" w:color="auto"/>
                        <w:right w:val="none" w:sz="0" w:space="0" w:color="auto"/>
                      </w:divBdr>
                      <w:divsChild>
                        <w:div w:id="901869461">
                          <w:marLeft w:val="0"/>
                          <w:marRight w:val="0"/>
                          <w:marTop w:val="0"/>
                          <w:marBottom w:val="0"/>
                          <w:divBdr>
                            <w:top w:val="none" w:sz="0" w:space="0" w:color="auto"/>
                            <w:left w:val="none" w:sz="0" w:space="0" w:color="auto"/>
                            <w:bottom w:val="none" w:sz="0" w:space="0" w:color="auto"/>
                            <w:right w:val="none" w:sz="0" w:space="0" w:color="auto"/>
                          </w:divBdr>
                        </w:div>
                        <w:div w:id="107042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800511">
      <w:bodyDiv w:val="1"/>
      <w:marLeft w:val="0"/>
      <w:marRight w:val="0"/>
      <w:marTop w:val="0"/>
      <w:marBottom w:val="0"/>
      <w:divBdr>
        <w:top w:val="none" w:sz="0" w:space="0" w:color="auto"/>
        <w:left w:val="none" w:sz="0" w:space="0" w:color="auto"/>
        <w:bottom w:val="none" w:sz="0" w:space="0" w:color="auto"/>
        <w:right w:val="none" w:sz="0" w:space="0" w:color="auto"/>
      </w:divBdr>
      <w:divsChild>
        <w:div w:id="752819636">
          <w:marLeft w:val="0"/>
          <w:marRight w:val="0"/>
          <w:marTop w:val="0"/>
          <w:marBottom w:val="0"/>
          <w:divBdr>
            <w:top w:val="none" w:sz="0" w:space="0" w:color="auto"/>
            <w:left w:val="none" w:sz="0" w:space="0" w:color="auto"/>
            <w:bottom w:val="none" w:sz="0" w:space="0" w:color="auto"/>
            <w:right w:val="none" w:sz="0" w:space="0" w:color="auto"/>
          </w:divBdr>
          <w:divsChild>
            <w:div w:id="324431511">
              <w:marLeft w:val="0"/>
              <w:marRight w:val="0"/>
              <w:marTop w:val="0"/>
              <w:marBottom w:val="0"/>
              <w:divBdr>
                <w:top w:val="none" w:sz="0" w:space="0" w:color="auto"/>
                <w:left w:val="none" w:sz="0" w:space="0" w:color="auto"/>
                <w:bottom w:val="none" w:sz="0" w:space="0" w:color="auto"/>
                <w:right w:val="none" w:sz="0" w:space="0" w:color="auto"/>
              </w:divBdr>
              <w:divsChild>
                <w:div w:id="884416545">
                  <w:marLeft w:val="0"/>
                  <w:marRight w:val="0"/>
                  <w:marTop w:val="0"/>
                  <w:marBottom w:val="0"/>
                  <w:divBdr>
                    <w:top w:val="none" w:sz="0" w:space="0" w:color="auto"/>
                    <w:left w:val="none" w:sz="0" w:space="0" w:color="auto"/>
                    <w:bottom w:val="none" w:sz="0" w:space="0" w:color="auto"/>
                    <w:right w:val="none" w:sz="0" w:space="0" w:color="auto"/>
                  </w:divBdr>
                  <w:divsChild>
                    <w:div w:id="1056200191">
                      <w:marLeft w:val="0"/>
                      <w:marRight w:val="0"/>
                      <w:marTop w:val="0"/>
                      <w:marBottom w:val="0"/>
                      <w:divBdr>
                        <w:top w:val="none" w:sz="0" w:space="0" w:color="auto"/>
                        <w:left w:val="none" w:sz="0" w:space="0" w:color="auto"/>
                        <w:bottom w:val="none" w:sz="0" w:space="0" w:color="auto"/>
                        <w:right w:val="none" w:sz="0" w:space="0" w:color="auto"/>
                      </w:divBdr>
                      <w:divsChild>
                        <w:div w:id="616108161">
                          <w:marLeft w:val="0"/>
                          <w:marRight w:val="0"/>
                          <w:marTop w:val="0"/>
                          <w:marBottom w:val="0"/>
                          <w:divBdr>
                            <w:top w:val="none" w:sz="0" w:space="0" w:color="auto"/>
                            <w:left w:val="none" w:sz="0" w:space="0" w:color="auto"/>
                            <w:bottom w:val="none" w:sz="0" w:space="0" w:color="auto"/>
                            <w:right w:val="none" w:sz="0" w:space="0" w:color="auto"/>
                          </w:divBdr>
                        </w:div>
                        <w:div w:id="73979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9601288">
      <w:bodyDiv w:val="1"/>
      <w:marLeft w:val="0"/>
      <w:marRight w:val="0"/>
      <w:marTop w:val="0"/>
      <w:marBottom w:val="0"/>
      <w:divBdr>
        <w:top w:val="none" w:sz="0" w:space="0" w:color="auto"/>
        <w:left w:val="none" w:sz="0" w:space="0" w:color="auto"/>
        <w:bottom w:val="none" w:sz="0" w:space="0" w:color="auto"/>
        <w:right w:val="none" w:sz="0" w:space="0" w:color="auto"/>
      </w:divBdr>
      <w:divsChild>
        <w:div w:id="455299665">
          <w:marLeft w:val="0"/>
          <w:marRight w:val="0"/>
          <w:marTop w:val="0"/>
          <w:marBottom w:val="0"/>
          <w:divBdr>
            <w:top w:val="none" w:sz="0" w:space="0" w:color="auto"/>
            <w:left w:val="none" w:sz="0" w:space="0" w:color="auto"/>
            <w:bottom w:val="none" w:sz="0" w:space="0" w:color="auto"/>
            <w:right w:val="none" w:sz="0" w:space="0" w:color="auto"/>
          </w:divBdr>
          <w:divsChild>
            <w:div w:id="1717007953">
              <w:marLeft w:val="0"/>
              <w:marRight w:val="0"/>
              <w:marTop w:val="0"/>
              <w:marBottom w:val="0"/>
              <w:divBdr>
                <w:top w:val="none" w:sz="0" w:space="0" w:color="auto"/>
                <w:left w:val="none" w:sz="0" w:space="0" w:color="auto"/>
                <w:bottom w:val="none" w:sz="0" w:space="0" w:color="auto"/>
                <w:right w:val="none" w:sz="0" w:space="0" w:color="auto"/>
              </w:divBdr>
              <w:divsChild>
                <w:div w:id="19284128">
                  <w:marLeft w:val="0"/>
                  <w:marRight w:val="0"/>
                  <w:marTop w:val="0"/>
                  <w:marBottom w:val="0"/>
                  <w:divBdr>
                    <w:top w:val="none" w:sz="0" w:space="0" w:color="auto"/>
                    <w:left w:val="none" w:sz="0" w:space="0" w:color="auto"/>
                    <w:bottom w:val="none" w:sz="0" w:space="0" w:color="auto"/>
                    <w:right w:val="none" w:sz="0" w:space="0" w:color="auto"/>
                  </w:divBdr>
                  <w:divsChild>
                    <w:div w:id="1308783761">
                      <w:marLeft w:val="0"/>
                      <w:marRight w:val="0"/>
                      <w:marTop w:val="0"/>
                      <w:marBottom w:val="0"/>
                      <w:divBdr>
                        <w:top w:val="none" w:sz="0" w:space="0" w:color="auto"/>
                        <w:left w:val="none" w:sz="0" w:space="0" w:color="auto"/>
                        <w:bottom w:val="none" w:sz="0" w:space="0" w:color="auto"/>
                        <w:right w:val="none" w:sz="0" w:space="0" w:color="auto"/>
                      </w:divBdr>
                      <w:divsChild>
                        <w:div w:id="1071658133">
                          <w:marLeft w:val="0"/>
                          <w:marRight w:val="0"/>
                          <w:marTop w:val="0"/>
                          <w:marBottom w:val="0"/>
                          <w:divBdr>
                            <w:top w:val="none" w:sz="0" w:space="0" w:color="auto"/>
                            <w:left w:val="none" w:sz="0" w:space="0" w:color="auto"/>
                            <w:bottom w:val="none" w:sz="0" w:space="0" w:color="auto"/>
                            <w:right w:val="none" w:sz="0" w:space="0" w:color="auto"/>
                          </w:divBdr>
                        </w:div>
                        <w:div w:id="135464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509115">
      <w:bodyDiv w:val="1"/>
      <w:marLeft w:val="0"/>
      <w:marRight w:val="0"/>
      <w:marTop w:val="0"/>
      <w:marBottom w:val="0"/>
      <w:divBdr>
        <w:top w:val="none" w:sz="0" w:space="0" w:color="auto"/>
        <w:left w:val="none" w:sz="0" w:space="0" w:color="auto"/>
        <w:bottom w:val="none" w:sz="0" w:space="0" w:color="auto"/>
        <w:right w:val="none" w:sz="0" w:space="0" w:color="auto"/>
      </w:divBdr>
      <w:divsChild>
        <w:div w:id="708922327">
          <w:marLeft w:val="0"/>
          <w:marRight w:val="0"/>
          <w:marTop w:val="0"/>
          <w:marBottom w:val="0"/>
          <w:divBdr>
            <w:top w:val="none" w:sz="0" w:space="0" w:color="auto"/>
            <w:left w:val="none" w:sz="0" w:space="0" w:color="auto"/>
            <w:bottom w:val="none" w:sz="0" w:space="0" w:color="auto"/>
            <w:right w:val="none" w:sz="0" w:space="0" w:color="auto"/>
          </w:divBdr>
          <w:divsChild>
            <w:div w:id="196282136">
              <w:marLeft w:val="0"/>
              <w:marRight w:val="0"/>
              <w:marTop w:val="0"/>
              <w:marBottom w:val="0"/>
              <w:divBdr>
                <w:top w:val="none" w:sz="0" w:space="0" w:color="auto"/>
                <w:left w:val="none" w:sz="0" w:space="0" w:color="auto"/>
                <w:bottom w:val="none" w:sz="0" w:space="0" w:color="auto"/>
                <w:right w:val="none" w:sz="0" w:space="0" w:color="auto"/>
              </w:divBdr>
              <w:divsChild>
                <w:div w:id="275521935">
                  <w:marLeft w:val="0"/>
                  <w:marRight w:val="0"/>
                  <w:marTop w:val="0"/>
                  <w:marBottom w:val="0"/>
                  <w:divBdr>
                    <w:top w:val="none" w:sz="0" w:space="0" w:color="auto"/>
                    <w:left w:val="none" w:sz="0" w:space="0" w:color="auto"/>
                    <w:bottom w:val="none" w:sz="0" w:space="0" w:color="auto"/>
                    <w:right w:val="none" w:sz="0" w:space="0" w:color="auto"/>
                  </w:divBdr>
                  <w:divsChild>
                    <w:div w:id="1036734727">
                      <w:marLeft w:val="0"/>
                      <w:marRight w:val="0"/>
                      <w:marTop w:val="0"/>
                      <w:marBottom w:val="0"/>
                      <w:divBdr>
                        <w:top w:val="none" w:sz="0" w:space="0" w:color="auto"/>
                        <w:left w:val="none" w:sz="0" w:space="0" w:color="auto"/>
                        <w:bottom w:val="none" w:sz="0" w:space="0" w:color="auto"/>
                        <w:right w:val="none" w:sz="0" w:space="0" w:color="auto"/>
                      </w:divBdr>
                      <w:divsChild>
                        <w:div w:id="428619474">
                          <w:marLeft w:val="0"/>
                          <w:marRight w:val="0"/>
                          <w:marTop w:val="0"/>
                          <w:marBottom w:val="0"/>
                          <w:divBdr>
                            <w:top w:val="none" w:sz="0" w:space="0" w:color="auto"/>
                            <w:left w:val="none" w:sz="0" w:space="0" w:color="auto"/>
                            <w:bottom w:val="none" w:sz="0" w:space="0" w:color="auto"/>
                            <w:right w:val="none" w:sz="0" w:space="0" w:color="auto"/>
                          </w:divBdr>
                        </w:div>
                        <w:div w:id="51222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821169">
      <w:bodyDiv w:val="1"/>
      <w:marLeft w:val="0"/>
      <w:marRight w:val="0"/>
      <w:marTop w:val="0"/>
      <w:marBottom w:val="0"/>
      <w:divBdr>
        <w:top w:val="none" w:sz="0" w:space="0" w:color="auto"/>
        <w:left w:val="none" w:sz="0" w:space="0" w:color="auto"/>
        <w:bottom w:val="none" w:sz="0" w:space="0" w:color="auto"/>
        <w:right w:val="none" w:sz="0" w:space="0" w:color="auto"/>
      </w:divBdr>
      <w:divsChild>
        <w:div w:id="2134520042">
          <w:marLeft w:val="0"/>
          <w:marRight w:val="0"/>
          <w:marTop w:val="0"/>
          <w:marBottom w:val="0"/>
          <w:divBdr>
            <w:top w:val="none" w:sz="0" w:space="0" w:color="auto"/>
            <w:left w:val="none" w:sz="0" w:space="0" w:color="auto"/>
            <w:bottom w:val="none" w:sz="0" w:space="0" w:color="auto"/>
            <w:right w:val="none" w:sz="0" w:space="0" w:color="auto"/>
          </w:divBdr>
          <w:divsChild>
            <w:div w:id="700786847">
              <w:marLeft w:val="0"/>
              <w:marRight w:val="0"/>
              <w:marTop w:val="0"/>
              <w:marBottom w:val="0"/>
              <w:divBdr>
                <w:top w:val="none" w:sz="0" w:space="0" w:color="auto"/>
                <w:left w:val="none" w:sz="0" w:space="0" w:color="auto"/>
                <w:bottom w:val="none" w:sz="0" w:space="0" w:color="auto"/>
                <w:right w:val="none" w:sz="0" w:space="0" w:color="auto"/>
              </w:divBdr>
              <w:divsChild>
                <w:div w:id="1167283427">
                  <w:marLeft w:val="0"/>
                  <w:marRight w:val="0"/>
                  <w:marTop w:val="0"/>
                  <w:marBottom w:val="0"/>
                  <w:divBdr>
                    <w:top w:val="none" w:sz="0" w:space="0" w:color="auto"/>
                    <w:left w:val="none" w:sz="0" w:space="0" w:color="auto"/>
                    <w:bottom w:val="none" w:sz="0" w:space="0" w:color="auto"/>
                    <w:right w:val="none" w:sz="0" w:space="0" w:color="auto"/>
                  </w:divBdr>
                  <w:divsChild>
                    <w:div w:id="1987003842">
                      <w:marLeft w:val="0"/>
                      <w:marRight w:val="0"/>
                      <w:marTop w:val="0"/>
                      <w:marBottom w:val="0"/>
                      <w:divBdr>
                        <w:top w:val="none" w:sz="0" w:space="0" w:color="auto"/>
                        <w:left w:val="none" w:sz="0" w:space="0" w:color="auto"/>
                        <w:bottom w:val="none" w:sz="0" w:space="0" w:color="auto"/>
                        <w:right w:val="none" w:sz="0" w:space="0" w:color="auto"/>
                      </w:divBdr>
                      <w:divsChild>
                        <w:div w:id="58017517">
                          <w:marLeft w:val="0"/>
                          <w:marRight w:val="0"/>
                          <w:marTop w:val="0"/>
                          <w:marBottom w:val="0"/>
                          <w:divBdr>
                            <w:top w:val="none" w:sz="0" w:space="0" w:color="auto"/>
                            <w:left w:val="none" w:sz="0" w:space="0" w:color="auto"/>
                            <w:bottom w:val="none" w:sz="0" w:space="0" w:color="auto"/>
                            <w:right w:val="none" w:sz="0" w:space="0" w:color="auto"/>
                          </w:divBdr>
                        </w:div>
                        <w:div w:id="2711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038301">
      <w:bodyDiv w:val="1"/>
      <w:marLeft w:val="0"/>
      <w:marRight w:val="0"/>
      <w:marTop w:val="0"/>
      <w:marBottom w:val="0"/>
      <w:divBdr>
        <w:top w:val="none" w:sz="0" w:space="0" w:color="auto"/>
        <w:left w:val="none" w:sz="0" w:space="0" w:color="auto"/>
        <w:bottom w:val="none" w:sz="0" w:space="0" w:color="auto"/>
        <w:right w:val="none" w:sz="0" w:space="0" w:color="auto"/>
      </w:divBdr>
    </w:div>
    <w:div w:id="970478944">
      <w:bodyDiv w:val="1"/>
      <w:marLeft w:val="0"/>
      <w:marRight w:val="0"/>
      <w:marTop w:val="0"/>
      <w:marBottom w:val="0"/>
      <w:divBdr>
        <w:top w:val="none" w:sz="0" w:space="0" w:color="auto"/>
        <w:left w:val="none" w:sz="0" w:space="0" w:color="auto"/>
        <w:bottom w:val="none" w:sz="0" w:space="0" w:color="auto"/>
        <w:right w:val="none" w:sz="0" w:space="0" w:color="auto"/>
      </w:divBdr>
    </w:div>
    <w:div w:id="1001275664">
      <w:bodyDiv w:val="1"/>
      <w:marLeft w:val="0"/>
      <w:marRight w:val="0"/>
      <w:marTop w:val="0"/>
      <w:marBottom w:val="0"/>
      <w:divBdr>
        <w:top w:val="none" w:sz="0" w:space="0" w:color="auto"/>
        <w:left w:val="none" w:sz="0" w:space="0" w:color="auto"/>
        <w:bottom w:val="none" w:sz="0" w:space="0" w:color="auto"/>
        <w:right w:val="none" w:sz="0" w:space="0" w:color="auto"/>
      </w:divBdr>
      <w:divsChild>
        <w:div w:id="618027609">
          <w:marLeft w:val="0"/>
          <w:marRight w:val="0"/>
          <w:marTop w:val="0"/>
          <w:marBottom w:val="0"/>
          <w:divBdr>
            <w:top w:val="none" w:sz="0" w:space="0" w:color="auto"/>
            <w:left w:val="none" w:sz="0" w:space="0" w:color="auto"/>
            <w:bottom w:val="none" w:sz="0" w:space="0" w:color="auto"/>
            <w:right w:val="none" w:sz="0" w:space="0" w:color="auto"/>
          </w:divBdr>
          <w:divsChild>
            <w:div w:id="1519923795">
              <w:marLeft w:val="0"/>
              <w:marRight w:val="0"/>
              <w:marTop w:val="0"/>
              <w:marBottom w:val="0"/>
              <w:divBdr>
                <w:top w:val="none" w:sz="0" w:space="0" w:color="auto"/>
                <w:left w:val="none" w:sz="0" w:space="0" w:color="auto"/>
                <w:bottom w:val="none" w:sz="0" w:space="0" w:color="auto"/>
                <w:right w:val="none" w:sz="0" w:space="0" w:color="auto"/>
              </w:divBdr>
              <w:divsChild>
                <w:div w:id="1245190211">
                  <w:marLeft w:val="0"/>
                  <w:marRight w:val="0"/>
                  <w:marTop w:val="0"/>
                  <w:marBottom w:val="0"/>
                  <w:divBdr>
                    <w:top w:val="none" w:sz="0" w:space="0" w:color="auto"/>
                    <w:left w:val="none" w:sz="0" w:space="0" w:color="auto"/>
                    <w:bottom w:val="none" w:sz="0" w:space="0" w:color="auto"/>
                    <w:right w:val="none" w:sz="0" w:space="0" w:color="auto"/>
                  </w:divBdr>
                  <w:divsChild>
                    <w:div w:id="153566147">
                      <w:marLeft w:val="0"/>
                      <w:marRight w:val="0"/>
                      <w:marTop w:val="0"/>
                      <w:marBottom w:val="0"/>
                      <w:divBdr>
                        <w:top w:val="none" w:sz="0" w:space="0" w:color="auto"/>
                        <w:left w:val="none" w:sz="0" w:space="0" w:color="auto"/>
                        <w:bottom w:val="none" w:sz="0" w:space="0" w:color="auto"/>
                        <w:right w:val="none" w:sz="0" w:space="0" w:color="auto"/>
                      </w:divBdr>
                      <w:divsChild>
                        <w:div w:id="920602772">
                          <w:marLeft w:val="0"/>
                          <w:marRight w:val="0"/>
                          <w:marTop w:val="0"/>
                          <w:marBottom w:val="0"/>
                          <w:divBdr>
                            <w:top w:val="none" w:sz="0" w:space="0" w:color="auto"/>
                            <w:left w:val="none" w:sz="0" w:space="0" w:color="auto"/>
                            <w:bottom w:val="none" w:sz="0" w:space="0" w:color="auto"/>
                            <w:right w:val="none" w:sz="0" w:space="0" w:color="auto"/>
                          </w:divBdr>
                        </w:div>
                        <w:div w:id="202331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8737881">
      <w:bodyDiv w:val="1"/>
      <w:marLeft w:val="0"/>
      <w:marRight w:val="0"/>
      <w:marTop w:val="0"/>
      <w:marBottom w:val="0"/>
      <w:divBdr>
        <w:top w:val="none" w:sz="0" w:space="0" w:color="auto"/>
        <w:left w:val="none" w:sz="0" w:space="0" w:color="auto"/>
        <w:bottom w:val="none" w:sz="0" w:space="0" w:color="auto"/>
        <w:right w:val="none" w:sz="0" w:space="0" w:color="auto"/>
      </w:divBdr>
      <w:divsChild>
        <w:div w:id="943266786">
          <w:marLeft w:val="0"/>
          <w:marRight w:val="0"/>
          <w:marTop w:val="0"/>
          <w:marBottom w:val="0"/>
          <w:divBdr>
            <w:top w:val="none" w:sz="0" w:space="0" w:color="auto"/>
            <w:left w:val="none" w:sz="0" w:space="0" w:color="auto"/>
            <w:bottom w:val="none" w:sz="0" w:space="0" w:color="auto"/>
            <w:right w:val="none" w:sz="0" w:space="0" w:color="auto"/>
          </w:divBdr>
          <w:divsChild>
            <w:div w:id="1788234188">
              <w:marLeft w:val="0"/>
              <w:marRight w:val="0"/>
              <w:marTop w:val="0"/>
              <w:marBottom w:val="0"/>
              <w:divBdr>
                <w:top w:val="none" w:sz="0" w:space="0" w:color="auto"/>
                <w:left w:val="none" w:sz="0" w:space="0" w:color="auto"/>
                <w:bottom w:val="none" w:sz="0" w:space="0" w:color="auto"/>
                <w:right w:val="none" w:sz="0" w:space="0" w:color="auto"/>
              </w:divBdr>
              <w:divsChild>
                <w:div w:id="245111709">
                  <w:marLeft w:val="0"/>
                  <w:marRight w:val="0"/>
                  <w:marTop w:val="0"/>
                  <w:marBottom w:val="0"/>
                  <w:divBdr>
                    <w:top w:val="none" w:sz="0" w:space="0" w:color="auto"/>
                    <w:left w:val="none" w:sz="0" w:space="0" w:color="auto"/>
                    <w:bottom w:val="none" w:sz="0" w:space="0" w:color="auto"/>
                    <w:right w:val="none" w:sz="0" w:space="0" w:color="auto"/>
                  </w:divBdr>
                  <w:divsChild>
                    <w:div w:id="120272860">
                      <w:marLeft w:val="0"/>
                      <w:marRight w:val="0"/>
                      <w:marTop w:val="0"/>
                      <w:marBottom w:val="0"/>
                      <w:divBdr>
                        <w:top w:val="none" w:sz="0" w:space="0" w:color="auto"/>
                        <w:left w:val="none" w:sz="0" w:space="0" w:color="auto"/>
                        <w:bottom w:val="none" w:sz="0" w:space="0" w:color="auto"/>
                        <w:right w:val="none" w:sz="0" w:space="0" w:color="auto"/>
                      </w:divBdr>
                      <w:divsChild>
                        <w:div w:id="1292664320">
                          <w:marLeft w:val="0"/>
                          <w:marRight w:val="0"/>
                          <w:marTop w:val="0"/>
                          <w:marBottom w:val="0"/>
                          <w:divBdr>
                            <w:top w:val="none" w:sz="0" w:space="0" w:color="auto"/>
                            <w:left w:val="none" w:sz="0" w:space="0" w:color="auto"/>
                            <w:bottom w:val="none" w:sz="0" w:space="0" w:color="auto"/>
                            <w:right w:val="none" w:sz="0" w:space="0" w:color="auto"/>
                          </w:divBdr>
                        </w:div>
                        <w:div w:id="197763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918748">
      <w:bodyDiv w:val="1"/>
      <w:marLeft w:val="0"/>
      <w:marRight w:val="0"/>
      <w:marTop w:val="0"/>
      <w:marBottom w:val="0"/>
      <w:divBdr>
        <w:top w:val="none" w:sz="0" w:space="0" w:color="auto"/>
        <w:left w:val="none" w:sz="0" w:space="0" w:color="auto"/>
        <w:bottom w:val="none" w:sz="0" w:space="0" w:color="auto"/>
        <w:right w:val="none" w:sz="0" w:space="0" w:color="auto"/>
      </w:divBdr>
      <w:divsChild>
        <w:div w:id="747389648">
          <w:marLeft w:val="0"/>
          <w:marRight w:val="0"/>
          <w:marTop w:val="0"/>
          <w:marBottom w:val="0"/>
          <w:divBdr>
            <w:top w:val="none" w:sz="0" w:space="0" w:color="auto"/>
            <w:left w:val="none" w:sz="0" w:space="0" w:color="auto"/>
            <w:bottom w:val="none" w:sz="0" w:space="0" w:color="auto"/>
            <w:right w:val="none" w:sz="0" w:space="0" w:color="auto"/>
          </w:divBdr>
          <w:divsChild>
            <w:div w:id="605578545">
              <w:marLeft w:val="0"/>
              <w:marRight w:val="0"/>
              <w:marTop w:val="0"/>
              <w:marBottom w:val="0"/>
              <w:divBdr>
                <w:top w:val="none" w:sz="0" w:space="0" w:color="auto"/>
                <w:left w:val="none" w:sz="0" w:space="0" w:color="auto"/>
                <w:bottom w:val="none" w:sz="0" w:space="0" w:color="auto"/>
                <w:right w:val="none" w:sz="0" w:space="0" w:color="auto"/>
              </w:divBdr>
              <w:divsChild>
                <w:div w:id="1281719012">
                  <w:marLeft w:val="0"/>
                  <w:marRight w:val="0"/>
                  <w:marTop w:val="0"/>
                  <w:marBottom w:val="0"/>
                  <w:divBdr>
                    <w:top w:val="none" w:sz="0" w:space="0" w:color="auto"/>
                    <w:left w:val="none" w:sz="0" w:space="0" w:color="auto"/>
                    <w:bottom w:val="none" w:sz="0" w:space="0" w:color="auto"/>
                    <w:right w:val="none" w:sz="0" w:space="0" w:color="auto"/>
                  </w:divBdr>
                  <w:divsChild>
                    <w:div w:id="528882922">
                      <w:marLeft w:val="0"/>
                      <w:marRight w:val="0"/>
                      <w:marTop w:val="0"/>
                      <w:marBottom w:val="0"/>
                      <w:divBdr>
                        <w:top w:val="none" w:sz="0" w:space="0" w:color="auto"/>
                        <w:left w:val="none" w:sz="0" w:space="0" w:color="auto"/>
                        <w:bottom w:val="none" w:sz="0" w:space="0" w:color="auto"/>
                        <w:right w:val="none" w:sz="0" w:space="0" w:color="auto"/>
                      </w:divBdr>
                      <w:divsChild>
                        <w:div w:id="2127697671">
                          <w:marLeft w:val="0"/>
                          <w:marRight w:val="0"/>
                          <w:marTop w:val="0"/>
                          <w:marBottom w:val="0"/>
                          <w:divBdr>
                            <w:top w:val="none" w:sz="0" w:space="0" w:color="auto"/>
                            <w:left w:val="none" w:sz="0" w:space="0" w:color="auto"/>
                            <w:bottom w:val="none" w:sz="0" w:space="0" w:color="auto"/>
                            <w:right w:val="none" w:sz="0" w:space="0" w:color="auto"/>
                          </w:divBdr>
                        </w:div>
                        <w:div w:id="11865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685136">
      <w:bodyDiv w:val="1"/>
      <w:marLeft w:val="0"/>
      <w:marRight w:val="0"/>
      <w:marTop w:val="0"/>
      <w:marBottom w:val="0"/>
      <w:divBdr>
        <w:top w:val="none" w:sz="0" w:space="0" w:color="auto"/>
        <w:left w:val="none" w:sz="0" w:space="0" w:color="auto"/>
        <w:bottom w:val="none" w:sz="0" w:space="0" w:color="auto"/>
        <w:right w:val="none" w:sz="0" w:space="0" w:color="auto"/>
      </w:divBdr>
    </w:div>
    <w:div w:id="1539048240">
      <w:bodyDiv w:val="1"/>
      <w:marLeft w:val="0"/>
      <w:marRight w:val="0"/>
      <w:marTop w:val="0"/>
      <w:marBottom w:val="0"/>
      <w:divBdr>
        <w:top w:val="none" w:sz="0" w:space="0" w:color="auto"/>
        <w:left w:val="none" w:sz="0" w:space="0" w:color="auto"/>
        <w:bottom w:val="none" w:sz="0" w:space="0" w:color="auto"/>
        <w:right w:val="none" w:sz="0" w:space="0" w:color="auto"/>
      </w:divBdr>
      <w:divsChild>
        <w:div w:id="1540510678">
          <w:marLeft w:val="0"/>
          <w:marRight w:val="0"/>
          <w:marTop w:val="0"/>
          <w:marBottom w:val="0"/>
          <w:divBdr>
            <w:top w:val="none" w:sz="0" w:space="0" w:color="auto"/>
            <w:left w:val="none" w:sz="0" w:space="0" w:color="auto"/>
            <w:bottom w:val="none" w:sz="0" w:space="0" w:color="auto"/>
            <w:right w:val="none" w:sz="0" w:space="0" w:color="auto"/>
          </w:divBdr>
          <w:divsChild>
            <w:div w:id="2027976628">
              <w:marLeft w:val="0"/>
              <w:marRight w:val="0"/>
              <w:marTop w:val="0"/>
              <w:marBottom w:val="0"/>
              <w:divBdr>
                <w:top w:val="none" w:sz="0" w:space="0" w:color="auto"/>
                <w:left w:val="none" w:sz="0" w:space="0" w:color="auto"/>
                <w:bottom w:val="none" w:sz="0" w:space="0" w:color="auto"/>
                <w:right w:val="none" w:sz="0" w:space="0" w:color="auto"/>
              </w:divBdr>
              <w:divsChild>
                <w:div w:id="698549572">
                  <w:marLeft w:val="0"/>
                  <w:marRight w:val="0"/>
                  <w:marTop w:val="0"/>
                  <w:marBottom w:val="0"/>
                  <w:divBdr>
                    <w:top w:val="none" w:sz="0" w:space="0" w:color="auto"/>
                    <w:left w:val="none" w:sz="0" w:space="0" w:color="auto"/>
                    <w:bottom w:val="none" w:sz="0" w:space="0" w:color="auto"/>
                    <w:right w:val="none" w:sz="0" w:space="0" w:color="auto"/>
                  </w:divBdr>
                  <w:divsChild>
                    <w:div w:id="158355152">
                      <w:marLeft w:val="0"/>
                      <w:marRight w:val="0"/>
                      <w:marTop w:val="0"/>
                      <w:marBottom w:val="0"/>
                      <w:divBdr>
                        <w:top w:val="none" w:sz="0" w:space="0" w:color="auto"/>
                        <w:left w:val="none" w:sz="0" w:space="0" w:color="auto"/>
                        <w:bottom w:val="none" w:sz="0" w:space="0" w:color="auto"/>
                        <w:right w:val="none" w:sz="0" w:space="0" w:color="auto"/>
                      </w:divBdr>
                      <w:divsChild>
                        <w:div w:id="1274289152">
                          <w:marLeft w:val="0"/>
                          <w:marRight w:val="0"/>
                          <w:marTop w:val="0"/>
                          <w:marBottom w:val="0"/>
                          <w:divBdr>
                            <w:top w:val="none" w:sz="0" w:space="0" w:color="auto"/>
                            <w:left w:val="none" w:sz="0" w:space="0" w:color="auto"/>
                            <w:bottom w:val="none" w:sz="0" w:space="0" w:color="auto"/>
                            <w:right w:val="none" w:sz="0" w:space="0" w:color="auto"/>
                          </w:divBdr>
                        </w:div>
                        <w:div w:id="11839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C54448-3E99-4A28-B264-14687C857EA1}"/>
</file>

<file path=customXml/itemProps2.xml><?xml version="1.0" encoding="utf-8"?>
<ds:datastoreItem xmlns:ds="http://schemas.openxmlformats.org/officeDocument/2006/customXml" ds:itemID="{28DD005E-6559-4261-9207-FA767A8D261E}"/>
</file>

<file path=customXml/itemProps3.xml><?xml version="1.0" encoding="utf-8"?>
<ds:datastoreItem xmlns:ds="http://schemas.openxmlformats.org/officeDocument/2006/customXml" ds:itemID="{E2B452E8-F3A6-4D01-8213-F3C70C559767}"/>
</file>

<file path=customXml/itemProps4.xml><?xml version="1.0" encoding="utf-8"?>
<ds:datastoreItem xmlns:ds="http://schemas.openxmlformats.org/officeDocument/2006/customXml" ds:itemID="{FE02142E-573E-4A5D-9AAA-1452F85B88BA}"/>
</file>

<file path=docProps/app.xml><?xml version="1.0" encoding="utf-8"?>
<Properties xmlns="http://schemas.openxmlformats.org/officeDocument/2006/extended-properties" xmlns:vt="http://schemas.openxmlformats.org/officeDocument/2006/docPropsVTypes">
  <Template>Normal.dotm</Template>
  <TotalTime>0</TotalTime>
  <Pages>1</Pages>
  <Words>9025</Words>
  <Characters>51446</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60351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2020-07-30T07:01:00Z</dcterms:created>
  <dcterms:modified xsi:type="dcterms:W3CDTF">2020-07-30T07:01:00Z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27881/06</vt:lpwstr>
  </property>
  <property fmtid="{D5CDD505-2E9C-101B-9397-08002B2CF9AE}" pid="4" name="CASEID">
    <vt:lpwstr>404095</vt:lpwstr>
  </property>
  <property fmtid="{D5CDD505-2E9C-101B-9397-08002B2CF9AE}" pid="5" name="ContentTypeId">
    <vt:lpwstr>0x010100558EB02BDB9E204AB350EDD385B68E10</vt:lpwstr>
  </property>
</Properties>
</file>