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E3332" w:rsidR="0098410D" w:rsidP="00AE3332" w:rsidRDefault="0098410D">
      <w:pPr>
        <w:jc w:val="center"/>
      </w:pPr>
      <w:bookmarkStart w:name="_GoBack" w:id="0"/>
      <w:bookmarkEnd w:id="0"/>
    </w:p>
    <w:p w:rsidRPr="00AE3332" w:rsidR="0098410D" w:rsidP="00AE3332" w:rsidRDefault="00AC0F95">
      <w:pPr>
        <w:pStyle w:val="DecHCase"/>
      </w:pPr>
      <w:r w:rsidRPr="00AE3332">
        <w:t>THIRD SECTION</w:t>
      </w:r>
    </w:p>
    <w:p w:rsidRPr="00AE3332" w:rsidR="008E6217" w:rsidP="00AE3332" w:rsidRDefault="008E6217">
      <w:pPr>
        <w:pStyle w:val="JuTitle"/>
      </w:pPr>
      <w:bookmarkStart w:name="To" w:id="1"/>
      <w:r w:rsidRPr="00AE3332">
        <w:rPr>
          <w:color w:val="000000" w:themeColor="text1"/>
        </w:rPr>
        <w:t xml:space="preserve">CASE OF </w:t>
      </w:r>
      <w:bookmarkEnd w:id="1"/>
      <w:r w:rsidRPr="00AE3332" w:rsidR="00AC0F95">
        <w:t>BELIKOVA v. RUSSIA</w:t>
      </w:r>
    </w:p>
    <w:p w:rsidRPr="00AE3332" w:rsidR="00D74888" w:rsidP="00AE3332" w:rsidRDefault="008E6217">
      <w:pPr>
        <w:pStyle w:val="ECHRCoverTitle4"/>
      </w:pPr>
      <w:r w:rsidRPr="00AE3332">
        <w:t>(</w:t>
      </w:r>
      <w:r w:rsidRPr="00AE3332" w:rsidR="00AC0F95">
        <w:t>Application no.</w:t>
      </w:r>
      <w:r w:rsidRPr="00AE3332">
        <w:t xml:space="preserve"> </w:t>
      </w:r>
      <w:r w:rsidRPr="00AE3332" w:rsidR="00AC0F95">
        <w:t>66812/17</w:t>
      </w:r>
      <w:r w:rsidRPr="00AE3332">
        <w:t>)</w:t>
      </w:r>
    </w:p>
    <w:p w:rsidRPr="00AE3332" w:rsidR="0098410D" w:rsidP="00AE3332" w:rsidRDefault="0098410D">
      <w:pPr>
        <w:pStyle w:val="DecHCase"/>
      </w:pPr>
    </w:p>
    <w:p w:rsidRPr="00AE3332" w:rsidR="00AE3332" w:rsidP="00AE3332" w:rsidRDefault="00AE3332">
      <w:pPr>
        <w:pStyle w:val="DecHCase"/>
      </w:pPr>
    </w:p>
    <w:p w:rsidRPr="00AE3332" w:rsidR="00AE3332" w:rsidP="00AE3332" w:rsidRDefault="00AE3332">
      <w:pPr>
        <w:pStyle w:val="DecHCase"/>
      </w:pPr>
    </w:p>
    <w:p w:rsidRPr="00AE3332" w:rsidR="0098410D" w:rsidP="00AE3332" w:rsidRDefault="0098410D">
      <w:pPr>
        <w:pStyle w:val="DecHCase"/>
      </w:pPr>
    </w:p>
    <w:p w:rsidRPr="00AE3332" w:rsidR="00AC4CD4" w:rsidP="00AE3332" w:rsidRDefault="00AC4CD4">
      <w:pPr>
        <w:pStyle w:val="DecHCase"/>
      </w:pPr>
    </w:p>
    <w:p w:rsidRPr="00AE3332" w:rsidR="0098410D" w:rsidP="00AE3332" w:rsidRDefault="0098410D">
      <w:pPr>
        <w:pStyle w:val="DecHCase"/>
      </w:pPr>
    </w:p>
    <w:p w:rsidRPr="00AE3332" w:rsidR="0098410D" w:rsidP="00AE3332" w:rsidRDefault="0098410D">
      <w:pPr>
        <w:pStyle w:val="DecHCase"/>
      </w:pPr>
      <w:r w:rsidRPr="00AE3332">
        <w:t>JUDGMENT</w:t>
      </w:r>
      <w:r w:rsidRPr="00AE3332" w:rsidR="00AC4CD4">
        <w:br/>
      </w:r>
    </w:p>
    <w:p w:rsidRPr="00AE3332" w:rsidR="0098410D" w:rsidP="00AE3332" w:rsidRDefault="0098410D">
      <w:pPr>
        <w:pStyle w:val="DecHCase"/>
      </w:pPr>
      <w:r w:rsidRPr="00AE3332">
        <w:t>STRASBOURG</w:t>
      </w:r>
    </w:p>
    <w:p w:rsidRPr="00AE3332" w:rsidR="0098410D" w:rsidP="00AE3332" w:rsidRDefault="00AC0F95">
      <w:pPr>
        <w:pStyle w:val="DecHCase"/>
        <w:rPr>
          <w:szCs w:val="24"/>
        </w:rPr>
      </w:pPr>
      <w:r w:rsidRPr="00AE3332">
        <w:rPr>
          <w:rFonts w:ascii="Times New Roman" w:hAnsi="Times New Roman" w:cs="Times New Roman"/>
        </w:rPr>
        <w:t>17 December 2019</w:t>
      </w:r>
    </w:p>
    <w:p w:rsidRPr="00AE3332" w:rsidR="00AC4CD4" w:rsidP="00AE3332" w:rsidRDefault="00AC4CD4">
      <w:pPr>
        <w:pStyle w:val="JuPara"/>
      </w:pPr>
    </w:p>
    <w:p w:rsidRPr="00AE3332" w:rsidR="002422B6" w:rsidP="00AE3332" w:rsidRDefault="0098410D">
      <w:pPr>
        <w:rPr>
          <w:i/>
          <w:sz w:val="22"/>
        </w:rPr>
      </w:pPr>
      <w:r w:rsidRPr="00AE3332">
        <w:rPr>
          <w:i/>
          <w:sz w:val="22"/>
        </w:rPr>
        <w:t xml:space="preserve">This judgment </w:t>
      </w:r>
      <w:r w:rsidRPr="00AE3332" w:rsidR="00AC0F95">
        <w:rPr>
          <w:i/>
          <w:sz w:val="22"/>
        </w:rPr>
        <w:t>is final but it</w:t>
      </w:r>
      <w:r w:rsidRPr="00AE3332">
        <w:rPr>
          <w:i/>
          <w:sz w:val="22"/>
        </w:rPr>
        <w:t xml:space="preserve"> may be subject to editorial revision.</w:t>
      </w:r>
    </w:p>
    <w:p w:rsidRPr="00AE3332" w:rsidR="0098410D" w:rsidP="00AE3332" w:rsidRDefault="0098410D">
      <w:pPr>
        <w:sectPr w:rsidRPr="00AE3332"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AE3332" w:rsidR="0098410D" w:rsidP="00AE3332" w:rsidRDefault="0098410D">
      <w:pPr>
        <w:pStyle w:val="JuCase"/>
      </w:pPr>
      <w:r w:rsidRPr="00AE3332">
        <w:t xml:space="preserve">In the case of </w:t>
      </w:r>
      <w:proofErr w:type="spellStart"/>
      <w:r w:rsidRPr="00AE3332" w:rsidR="00AC0F95">
        <w:t>Belikova</w:t>
      </w:r>
      <w:proofErr w:type="spellEnd"/>
      <w:r w:rsidRPr="00AE3332" w:rsidR="00AC0F95">
        <w:t xml:space="preserve"> v. Russia</w:t>
      </w:r>
      <w:r w:rsidRPr="00AE3332">
        <w:t>,</w:t>
      </w:r>
    </w:p>
    <w:p w:rsidRPr="00AE3332" w:rsidR="009F4C8F" w:rsidP="00AE3332" w:rsidRDefault="009F4C8F">
      <w:pPr>
        <w:pStyle w:val="JuPara"/>
      </w:pPr>
      <w:r w:rsidRPr="00AE3332">
        <w:t>The European Court of Human Rights (</w:t>
      </w:r>
      <w:r w:rsidRPr="00AE3332" w:rsidR="00AC0F95">
        <w:t>Third Section</w:t>
      </w:r>
      <w:r w:rsidRPr="00AE3332">
        <w:t xml:space="preserve">), sitting as a </w:t>
      </w:r>
      <w:r w:rsidRPr="00AE3332" w:rsidR="00AC0F95">
        <w:t>Committee</w:t>
      </w:r>
      <w:r w:rsidRPr="00AE3332">
        <w:t xml:space="preserve"> composed of:</w:t>
      </w:r>
    </w:p>
    <w:p w:rsidRPr="00AE3332" w:rsidR="009F4C8F" w:rsidP="00AE3332" w:rsidRDefault="008D1AA9">
      <w:pPr>
        <w:pStyle w:val="JuJudges"/>
      </w:pPr>
      <w:r w:rsidRPr="00AE3332">
        <w:tab/>
        <w:t xml:space="preserve">Alena </w:t>
      </w:r>
      <w:proofErr w:type="spellStart"/>
      <w:r w:rsidRPr="00AE3332">
        <w:t>Poláčková</w:t>
      </w:r>
      <w:proofErr w:type="spellEnd"/>
      <w:r w:rsidRPr="00AE3332">
        <w:t>,</w:t>
      </w:r>
      <w:r w:rsidRPr="00AE3332">
        <w:rPr>
          <w:i/>
        </w:rPr>
        <w:t xml:space="preserve"> President,</w:t>
      </w:r>
      <w:r w:rsidRPr="00AE3332">
        <w:rPr>
          <w:i/>
        </w:rPr>
        <w:br/>
      </w:r>
      <w:r w:rsidRPr="00AE3332">
        <w:tab/>
        <w:t xml:space="preserve">Dmitry </w:t>
      </w:r>
      <w:proofErr w:type="spellStart"/>
      <w:r w:rsidRPr="00AE3332">
        <w:t>Dedov</w:t>
      </w:r>
      <w:proofErr w:type="spellEnd"/>
      <w:r w:rsidRPr="00AE3332">
        <w:t>,</w:t>
      </w:r>
      <w:r w:rsidRPr="00AE3332">
        <w:rPr>
          <w:i/>
        </w:rPr>
        <w:br/>
      </w:r>
      <w:r w:rsidRPr="00AE3332">
        <w:tab/>
        <w:t xml:space="preserve">Gilberto </w:t>
      </w:r>
      <w:proofErr w:type="spellStart"/>
      <w:r w:rsidRPr="00AE3332">
        <w:t>Felici</w:t>
      </w:r>
      <w:proofErr w:type="spellEnd"/>
      <w:r w:rsidRPr="00AE3332">
        <w:t>,</w:t>
      </w:r>
      <w:r w:rsidRPr="00AE3332">
        <w:rPr>
          <w:i/>
        </w:rPr>
        <w:t xml:space="preserve"> judges</w:t>
      </w:r>
      <w:proofErr w:type="gramStart"/>
      <w:r w:rsidRPr="00AE3332">
        <w:rPr>
          <w:i/>
        </w:rPr>
        <w:t>,</w:t>
      </w:r>
      <w:proofErr w:type="gramEnd"/>
      <w:r w:rsidRPr="00AE3332" w:rsidR="009F4C8F">
        <w:rPr>
          <w:szCs w:val="24"/>
        </w:rPr>
        <w:br/>
      </w:r>
      <w:r w:rsidRPr="00AE3332" w:rsidR="009F4C8F">
        <w:t>and</w:t>
      </w:r>
      <w:r w:rsidRPr="00AE3332" w:rsidR="00AC0F95">
        <w:t xml:space="preserve"> </w:t>
      </w:r>
      <w:r w:rsidRPr="00AE3332">
        <w:t>Stephen Phillips</w:t>
      </w:r>
      <w:r w:rsidRPr="00AE3332" w:rsidR="009F4C8F">
        <w:t xml:space="preserve">, </w:t>
      </w:r>
      <w:r w:rsidRPr="00AE3332" w:rsidR="00AC0F95">
        <w:rPr>
          <w:i/>
        </w:rPr>
        <w:t xml:space="preserve">Section </w:t>
      </w:r>
      <w:r w:rsidRPr="00AE3332" w:rsidR="00AC0F95">
        <w:rPr>
          <w:i/>
          <w:iCs/>
        </w:rPr>
        <w:t>Registrar</w:t>
      </w:r>
      <w:r w:rsidRPr="00AE3332" w:rsidR="009F4C8F">
        <w:rPr>
          <w:i/>
        </w:rPr>
        <w:t>,</w:t>
      </w:r>
    </w:p>
    <w:p w:rsidRPr="00AE3332" w:rsidR="009F4C8F" w:rsidP="00AE3332" w:rsidRDefault="009F4C8F">
      <w:pPr>
        <w:pStyle w:val="JuPara"/>
      </w:pPr>
      <w:r w:rsidRPr="00AE3332">
        <w:t xml:space="preserve">Having deliberated in private on </w:t>
      </w:r>
      <w:r w:rsidRPr="00AE3332" w:rsidR="00AC0F95">
        <w:rPr>
          <w:szCs w:val="24"/>
        </w:rPr>
        <w:t>26 November 2019</w:t>
      </w:r>
      <w:r w:rsidRPr="00AE3332">
        <w:t>,</w:t>
      </w:r>
    </w:p>
    <w:p w:rsidRPr="00AE3332" w:rsidR="009F4C8F" w:rsidP="00AE3332" w:rsidRDefault="009F4C8F">
      <w:pPr>
        <w:pStyle w:val="JuPara"/>
      </w:pPr>
      <w:r w:rsidRPr="00AE3332">
        <w:t>Delivers the following judgment, which was adopted on that date:</w:t>
      </w:r>
    </w:p>
    <w:p w:rsidRPr="00AE3332" w:rsidR="00AC0F95" w:rsidP="00AE3332" w:rsidRDefault="00AC0F95">
      <w:pPr>
        <w:pStyle w:val="JuHHead"/>
      </w:pPr>
      <w:r w:rsidRPr="00AE3332">
        <w:t>PROCEDURE</w:t>
      </w:r>
    </w:p>
    <w:p w:rsidRPr="00AE3332" w:rsidR="00AC0F95" w:rsidP="00AE3332" w:rsidRDefault="00AC0F95">
      <w:pPr>
        <w:pStyle w:val="JuPara"/>
      </w:pPr>
      <w:r w:rsidRPr="00AE3332">
        <w:fldChar w:fldCharType="begin"/>
      </w:r>
      <w:r w:rsidRPr="00AE3332">
        <w:instrText xml:space="preserve"> SEQ level0 \*arabic </w:instrText>
      </w:r>
      <w:r w:rsidRPr="00AE3332">
        <w:fldChar w:fldCharType="separate"/>
      </w:r>
      <w:r w:rsidRPr="00AE3332" w:rsidR="00AE3332">
        <w:rPr>
          <w:noProof/>
        </w:rPr>
        <w:t>1</w:t>
      </w:r>
      <w:r w:rsidRPr="00AE3332">
        <w:fldChar w:fldCharType="end"/>
      </w:r>
      <w:r w:rsidRPr="00AE3332">
        <w:t xml:space="preserve">.  The case originated in an application (no. 66812/17) against the Russian Federation lodged with the Court under Article 34 of the Convention for the Protection of Human Rights and Fundamental Freedoms (“the Convention”) by a Russian national, Ms Irina Ivanovna </w:t>
      </w:r>
      <w:proofErr w:type="spellStart"/>
      <w:r w:rsidRPr="00AE3332">
        <w:t>Belikova</w:t>
      </w:r>
      <w:proofErr w:type="spellEnd"/>
      <w:r w:rsidRPr="00AE3332">
        <w:t xml:space="preserve"> (“the applicant”), on 27 August 2017.</w:t>
      </w:r>
    </w:p>
    <w:p w:rsidRPr="00AE3332" w:rsidR="00AC0F95" w:rsidP="00AE3332" w:rsidRDefault="00AC0F95">
      <w:pPr>
        <w:pStyle w:val="JuPara"/>
      </w:pPr>
      <w:r w:rsidRPr="00AE3332">
        <w:fldChar w:fldCharType="begin"/>
      </w:r>
      <w:r w:rsidRPr="00AE3332">
        <w:instrText xml:space="preserve"> SEQ level0 \*arabic </w:instrText>
      </w:r>
      <w:r w:rsidRPr="00AE3332">
        <w:fldChar w:fldCharType="separate"/>
      </w:r>
      <w:r w:rsidRPr="00AE3332" w:rsidR="00AE3332">
        <w:rPr>
          <w:noProof/>
        </w:rPr>
        <w:t>2</w:t>
      </w:r>
      <w:r w:rsidRPr="00AE3332">
        <w:fldChar w:fldCharType="end"/>
      </w:r>
      <w:r w:rsidRPr="00AE3332">
        <w:t>.  The Russian Government (“the Government”) were represented by Mr M. </w:t>
      </w:r>
      <w:proofErr w:type="spellStart"/>
      <w:r w:rsidRPr="00AE3332">
        <w:t>Galperin</w:t>
      </w:r>
      <w:proofErr w:type="spellEnd"/>
      <w:r w:rsidRPr="00AE3332">
        <w:t>, Representative of the Russian Federation to the European Court of Human Rights.</w:t>
      </w:r>
    </w:p>
    <w:p w:rsidRPr="00AE3332" w:rsidR="00AC0F95" w:rsidP="00AE3332" w:rsidRDefault="00AC0F95">
      <w:pPr>
        <w:pStyle w:val="JuPara"/>
      </w:pPr>
      <w:r w:rsidRPr="00AE3332">
        <w:fldChar w:fldCharType="begin"/>
      </w:r>
      <w:r w:rsidRPr="00AE3332">
        <w:instrText xml:space="preserve"> SEQ level0 \*arabic </w:instrText>
      </w:r>
      <w:r w:rsidRPr="00AE3332">
        <w:fldChar w:fldCharType="separate"/>
      </w:r>
      <w:r w:rsidRPr="00AE3332" w:rsidR="00AE3332">
        <w:rPr>
          <w:noProof/>
        </w:rPr>
        <w:t>3</w:t>
      </w:r>
      <w:r w:rsidRPr="00AE3332">
        <w:fldChar w:fldCharType="end"/>
      </w:r>
      <w:r w:rsidRPr="00AE3332">
        <w:t xml:space="preserve">.  On </w:t>
      </w:r>
      <w:r w:rsidRPr="00AE3332">
        <w:rPr>
          <w:szCs w:val="24"/>
        </w:rPr>
        <w:t>2 February 2018</w:t>
      </w:r>
      <w:r w:rsidRPr="00AE3332">
        <w:t xml:space="preserve"> </w:t>
      </w:r>
      <w:r w:rsidRPr="00AE3332">
        <w:rPr>
          <w:szCs w:val="24"/>
        </w:rPr>
        <w:t>the Government were given</w:t>
      </w:r>
      <w:r w:rsidRPr="00AE3332">
        <w:t xml:space="preserve"> notice of the complaints concerning the alleged unfairness of the administrative proceedings and the remainder of the application was declared inadmissible</w:t>
      </w:r>
      <w:r w:rsidRPr="00AE3332">
        <w:rPr>
          <w:szCs w:val="24"/>
        </w:rPr>
        <w:t xml:space="preserve"> </w:t>
      </w:r>
      <w:r w:rsidRPr="00AE3332" w:rsidR="00AE3332">
        <w:t xml:space="preserve">pursuant to Rule </w:t>
      </w:r>
      <w:r w:rsidRPr="00AE3332">
        <w:t>54 § 3 of the Rules of Court.</w:t>
      </w:r>
    </w:p>
    <w:p w:rsidRPr="00AE3332" w:rsidR="00AC0F95" w:rsidP="00AE3332" w:rsidRDefault="00AC0F95">
      <w:pPr>
        <w:pStyle w:val="JuPara"/>
      </w:pPr>
      <w:r w:rsidRPr="00AE3332">
        <w:fldChar w:fldCharType="begin"/>
      </w:r>
      <w:r w:rsidRPr="00AE3332">
        <w:instrText xml:space="preserve"> SEQ level0 \*arabic </w:instrText>
      </w:r>
      <w:r w:rsidRPr="00AE3332">
        <w:fldChar w:fldCharType="separate"/>
      </w:r>
      <w:r w:rsidRPr="00AE3332" w:rsidR="00AE3332">
        <w:rPr>
          <w:noProof/>
        </w:rPr>
        <w:t>4</w:t>
      </w:r>
      <w:r w:rsidRPr="00AE3332">
        <w:fldChar w:fldCharType="end"/>
      </w:r>
      <w:r w:rsidRPr="00AE3332">
        <w:t>.  The Government objected to the examination of the application by a Committee. Having considered the Government</w:t>
      </w:r>
      <w:r w:rsidRPr="00AE3332" w:rsidR="00AE3332">
        <w:t>’</w:t>
      </w:r>
      <w:r w:rsidRPr="00AE3332">
        <w:t>s objection, the Court rejects it.</w:t>
      </w:r>
    </w:p>
    <w:p w:rsidRPr="00AE3332" w:rsidR="00AC0F95" w:rsidP="00AE3332" w:rsidRDefault="00AC0F95">
      <w:pPr>
        <w:pStyle w:val="JuHHead"/>
      </w:pPr>
      <w:r w:rsidRPr="00AE3332">
        <w:t>THE FACTS</w:t>
      </w:r>
    </w:p>
    <w:p w:rsidRPr="00AE3332" w:rsidR="00AC0F95" w:rsidP="00AE3332" w:rsidRDefault="00AC0F95">
      <w:pPr>
        <w:pStyle w:val="JuHIRoman"/>
        <w:numPr>
          <w:ilvl w:val="0"/>
          <w:numId w:val="0"/>
        </w:numPr>
        <w:ind w:left="357" w:hanging="357"/>
      </w:pPr>
      <w:r w:rsidRPr="00AE3332">
        <w:t>THE CIRCUMSTANCES OF THE CASE</w:t>
      </w:r>
    </w:p>
    <w:p w:rsidRPr="00AE3332" w:rsidR="00AC0F95" w:rsidP="00AE3332" w:rsidRDefault="00AC0F95">
      <w:pPr>
        <w:pStyle w:val="JuPara"/>
      </w:pPr>
      <w:r w:rsidRPr="00AE3332">
        <w:fldChar w:fldCharType="begin"/>
      </w:r>
      <w:r w:rsidRPr="00AE3332">
        <w:instrText xml:space="preserve"> SEQ level0 \*arabic </w:instrText>
      </w:r>
      <w:r w:rsidRPr="00AE3332">
        <w:fldChar w:fldCharType="separate"/>
      </w:r>
      <w:r w:rsidRPr="00AE3332" w:rsidR="00AE3332">
        <w:rPr>
          <w:noProof/>
        </w:rPr>
        <w:t>5</w:t>
      </w:r>
      <w:r w:rsidRPr="00AE3332">
        <w:fldChar w:fldCharType="end"/>
      </w:r>
      <w:r w:rsidRPr="00AE3332">
        <w:t xml:space="preserve">.  The applicant was born in 1974 and lives in </w:t>
      </w:r>
      <w:proofErr w:type="spellStart"/>
      <w:r w:rsidRPr="00AE3332">
        <w:t>Votkinsk</w:t>
      </w:r>
      <w:proofErr w:type="spellEnd"/>
      <w:r w:rsidRPr="00AE3332">
        <w:t xml:space="preserve">, </w:t>
      </w:r>
      <w:proofErr w:type="spellStart"/>
      <w:r w:rsidRPr="00AE3332">
        <w:t>Udmurtiya</w:t>
      </w:r>
      <w:proofErr w:type="spellEnd"/>
      <w:r w:rsidRPr="00AE3332">
        <w:t xml:space="preserve"> Republic.</w:t>
      </w:r>
    </w:p>
    <w:p w:rsidRPr="00AE3332" w:rsidR="00AC0F95" w:rsidP="00AE3332" w:rsidRDefault="00AC0F95">
      <w:pPr>
        <w:pStyle w:val="JuPara"/>
      </w:pPr>
      <w:r w:rsidRPr="00AE3332">
        <w:fldChar w:fldCharType="begin"/>
      </w:r>
      <w:r w:rsidRPr="00AE3332">
        <w:instrText xml:space="preserve"> SEQ level0 \*arabic </w:instrText>
      </w:r>
      <w:r w:rsidRPr="00AE3332">
        <w:fldChar w:fldCharType="separate"/>
      </w:r>
      <w:r w:rsidRPr="00AE3332" w:rsidR="00AE3332">
        <w:rPr>
          <w:noProof/>
        </w:rPr>
        <w:t>6</w:t>
      </w:r>
      <w:r w:rsidRPr="00AE3332">
        <w:fldChar w:fldCharType="end"/>
      </w:r>
      <w:r w:rsidRPr="00AE3332">
        <w:t>.  On 6 July 2016 the traffic police instituted administrative proceedings against the applicant for refusing to undergo a breathalyser test. The incident took place in Sochi, Krasnodar Region.</w:t>
      </w:r>
    </w:p>
    <w:p w:rsidRPr="00AE3332" w:rsidR="00AC0F95" w:rsidP="00AE3332" w:rsidRDefault="00AC0F95">
      <w:pPr>
        <w:pStyle w:val="JuPara"/>
      </w:pPr>
      <w:r w:rsidRPr="00AE3332">
        <w:fldChar w:fldCharType="begin"/>
      </w:r>
      <w:r w:rsidRPr="00AE3332">
        <w:instrText xml:space="preserve"> SEQ level0 \*arabic </w:instrText>
      </w:r>
      <w:r w:rsidRPr="00AE3332">
        <w:fldChar w:fldCharType="separate"/>
      </w:r>
      <w:r w:rsidRPr="00AE3332" w:rsidR="00AE3332">
        <w:rPr>
          <w:noProof/>
        </w:rPr>
        <w:t>7</w:t>
      </w:r>
      <w:r w:rsidRPr="00AE3332">
        <w:fldChar w:fldCharType="end"/>
      </w:r>
      <w:r w:rsidRPr="00AE3332">
        <w:t xml:space="preserve">.  On 5 September 2016 the acting justice of the peace of Circuit no. 1 of the </w:t>
      </w:r>
      <w:proofErr w:type="spellStart"/>
      <w:r w:rsidRPr="00AE3332">
        <w:t>Industrialniy</w:t>
      </w:r>
      <w:proofErr w:type="spellEnd"/>
      <w:r w:rsidRPr="00AE3332">
        <w:t xml:space="preserve"> District of Izhevsk of the </w:t>
      </w:r>
      <w:proofErr w:type="spellStart"/>
      <w:r w:rsidRPr="00AE3332">
        <w:t>Udmurtiya</w:t>
      </w:r>
      <w:proofErr w:type="spellEnd"/>
      <w:r w:rsidRPr="00AE3332">
        <w:t xml:space="preserve"> Republic opened a trial against the applicant. The applicant maintained her innocence. She claimed that the police officers had advised her not to undergo the test. Otherwise, she would have had to spend the whole day in hospital, her car could have been impounded and it would have been a hassle for her to get it back. She further submitted that the policemen had failed to follow the correct procedure. In particular, no attesting witnesses had been present when they had drawn up the administrative-offence record. She asked the court to summon the officers concerned and the alleged attesting witnesses, whose names were indicated in the administrative-offence record, and examine them. The justice of the peace dismissed that request. Relying on the administrative-offence record, a report prepared by one of the policemen and the applicant</w:t>
      </w:r>
      <w:r w:rsidRPr="00AE3332" w:rsidR="00AE3332">
        <w:t>’</w:t>
      </w:r>
      <w:r w:rsidRPr="00AE3332">
        <w:t>s submissions, the justice of the peace found the applicant guilty as charged, ordered her to pay a fine of 30,000 Russian roubles and suspended her driving licence for one and a half years. The applicant appealed.</w:t>
      </w:r>
    </w:p>
    <w:p w:rsidRPr="00AE3332" w:rsidR="00AC0F95" w:rsidP="00AE3332" w:rsidRDefault="00AC0F95">
      <w:pPr>
        <w:pStyle w:val="JuPara"/>
      </w:pPr>
      <w:r w:rsidRPr="00AE3332">
        <w:fldChar w:fldCharType="begin"/>
      </w:r>
      <w:r w:rsidRPr="00AE3332">
        <w:instrText xml:space="preserve"> SEQ level0 \*arabic </w:instrText>
      </w:r>
      <w:r w:rsidRPr="00AE3332">
        <w:fldChar w:fldCharType="separate"/>
      </w:r>
      <w:r w:rsidRPr="00AE3332" w:rsidR="00AE3332">
        <w:rPr>
          <w:noProof/>
        </w:rPr>
        <w:t>8</w:t>
      </w:r>
      <w:r w:rsidRPr="00AE3332">
        <w:fldChar w:fldCharType="end"/>
      </w:r>
      <w:r w:rsidRPr="00AE3332">
        <w:t xml:space="preserve">.  On 17 October 2016 the </w:t>
      </w:r>
      <w:proofErr w:type="spellStart"/>
      <w:r w:rsidRPr="00AE3332">
        <w:t>Industrialniy</w:t>
      </w:r>
      <w:proofErr w:type="spellEnd"/>
      <w:r w:rsidRPr="00AE3332">
        <w:t xml:space="preserve"> District Court of Izhevsk of the </w:t>
      </w:r>
      <w:proofErr w:type="spellStart"/>
      <w:r w:rsidRPr="00AE3332">
        <w:t>Udmurtiya</w:t>
      </w:r>
      <w:proofErr w:type="spellEnd"/>
      <w:r w:rsidRPr="00AE3332">
        <w:t xml:space="preserve"> Republic started hearing the applicant</w:t>
      </w:r>
      <w:r w:rsidRPr="00AE3332" w:rsidR="00AE3332">
        <w:t>’</w:t>
      </w:r>
      <w:r w:rsidRPr="00AE3332">
        <w:t>s appeal. The applicant maintained her arguments. The court questioned P. and S., who had been in her car on 6 July 2016 when she had been stopped by the police. Both of them confirmed that there had been no attesting witnesses present when the police officers had stopped the applicant and drawn up an administrative offence record. The court asked the police in Sochi to provide information regarding the two people indicated in the administrative-offence record as attesting witnesses. The acting head of the traffic police questioned one of the officers who had stopped the applicant. The latter explained that he had indicated the names of the witnesses on the basis of their driving licences, which had not contained any information as regards their home addresses, and that he had recorded the addresses given by them verbally. According to the documentation submitted, the attesting witnesses did not live at the addresses indicated in the administrative-offence record.</w:t>
      </w:r>
    </w:p>
    <w:p w:rsidRPr="00AE3332" w:rsidR="00AC0F95" w:rsidP="00AE3332" w:rsidRDefault="00AC0F95">
      <w:pPr>
        <w:pStyle w:val="JuPara"/>
      </w:pPr>
      <w:r w:rsidRPr="00AE3332">
        <w:fldChar w:fldCharType="begin"/>
      </w:r>
      <w:r w:rsidRPr="00AE3332">
        <w:instrText xml:space="preserve"> SEQ level0 \*arabic </w:instrText>
      </w:r>
      <w:r w:rsidRPr="00AE3332">
        <w:fldChar w:fldCharType="separate"/>
      </w:r>
      <w:r w:rsidRPr="00AE3332" w:rsidR="00AE3332">
        <w:rPr>
          <w:noProof/>
        </w:rPr>
        <w:t>9</w:t>
      </w:r>
      <w:r w:rsidRPr="00AE3332">
        <w:fldChar w:fldCharType="end"/>
      </w:r>
      <w:r w:rsidRPr="00AE3332">
        <w:t>.  On 27 February 2017 the District Court upheld the judgment of 5 September 2016 on appeal. The court dismissed the applicant</w:t>
      </w:r>
      <w:r w:rsidRPr="00AE3332" w:rsidR="00AE3332">
        <w:t>’</w:t>
      </w:r>
      <w:r w:rsidRPr="00AE3332">
        <w:t>s allegation that no attesting witnesses had been present when the police had stopped her, stating that she had failed to indicate this in the administrative-offence record, despite having had ample opportunity to do so.</w:t>
      </w:r>
    </w:p>
    <w:p w:rsidRPr="00AE3332" w:rsidR="00AC0F95" w:rsidP="00AE3332" w:rsidRDefault="00AC0F95">
      <w:pPr>
        <w:pStyle w:val="JuHHead"/>
      </w:pPr>
      <w:r w:rsidRPr="00AE3332">
        <w:t>THE LAW</w:t>
      </w:r>
    </w:p>
    <w:p w:rsidRPr="00AE3332" w:rsidR="00AC0F95" w:rsidP="00AE3332" w:rsidRDefault="00AC0F95">
      <w:pPr>
        <w:pStyle w:val="JuHIRoman"/>
      </w:pPr>
      <w:r w:rsidRPr="00AE3332">
        <w:t>ALLEGED VIOLATION OF ARTICLE 6 OF THE CONVENTION</w:t>
      </w:r>
    </w:p>
    <w:p w:rsidRPr="00AE3332" w:rsidR="00AC0F95" w:rsidP="00AE3332" w:rsidRDefault="00AC0F95">
      <w:pPr>
        <w:pStyle w:val="JuPara"/>
      </w:pPr>
      <w:r w:rsidRPr="00AE3332">
        <w:fldChar w:fldCharType="begin"/>
      </w:r>
      <w:r w:rsidRPr="00AE3332">
        <w:instrText xml:space="preserve"> SEQ level0 \*arabic </w:instrText>
      </w:r>
      <w:r w:rsidRPr="00AE3332">
        <w:fldChar w:fldCharType="separate"/>
      </w:r>
      <w:r w:rsidRPr="00AE3332" w:rsidR="00AE3332">
        <w:rPr>
          <w:noProof/>
        </w:rPr>
        <w:t>10</w:t>
      </w:r>
      <w:r w:rsidRPr="00AE3332">
        <w:fldChar w:fldCharType="end"/>
      </w:r>
      <w:r w:rsidRPr="00AE3332">
        <w:t>.  The applicant complained that the administrative proceedings against her had been unfair. In particular, she alleged that she had been unable to examine the attesting witnesses and confront the police officers in court. The applicant relied on Article 6 of the Convention, the relevant parts of which read as follows:</w:t>
      </w:r>
    </w:p>
    <w:p w:rsidRPr="00AE3332" w:rsidR="00AC0F95" w:rsidP="00AE3332" w:rsidRDefault="00AC0F95">
      <w:pPr>
        <w:pStyle w:val="JuQuot"/>
      </w:pPr>
      <w:r w:rsidRPr="00AE3332">
        <w:t>“1.</w:t>
      </w:r>
      <w:proofErr w:type="gramStart"/>
      <w:r w:rsidRPr="00AE3332">
        <w:t>  In</w:t>
      </w:r>
      <w:proofErr w:type="gramEnd"/>
      <w:r w:rsidRPr="00AE3332">
        <w:t xml:space="preserve"> the determination of ... any criminal charge against him, everyone is entitled to a fair ... hearing ... by [a] ... tribunal ...</w:t>
      </w:r>
    </w:p>
    <w:p w:rsidRPr="00AE3332" w:rsidR="00AC0F95" w:rsidP="00AE3332" w:rsidRDefault="00AC0F95">
      <w:pPr>
        <w:pStyle w:val="JuQuot"/>
      </w:pPr>
      <w:r w:rsidRPr="00AE3332">
        <w:t>3.  Everyone charged with a criminal offence has the following minimum rights:</w:t>
      </w:r>
    </w:p>
    <w:p w:rsidRPr="00AE3332" w:rsidR="00AC0F95" w:rsidP="00AE3332" w:rsidRDefault="00AC0F95">
      <w:pPr>
        <w:pStyle w:val="JuQuot"/>
      </w:pPr>
      <w:r w:rsidRPr="00AE3332">
        <w:t>...</w:t>
      </w:r>
    </w:p>
    <w:p w:rsidRPr="00AE3332" w:rsidR="00AC0F95" w:rsidP="00AE3332" w:rsidRDefault="00AC0F95">
      <w:pPr>
        <w:pStyle w:val="JuQuot"/>
      </w:pPr>
      <w:r w:rsidRPr="00AE3332">
        <w:t>(d)</w:t>
      </w:r>
      <w:proofErr w:type="gramStart"/>
      <w:r w:rsidRPr="00AE3332">
        <w:t>  to</w:t>
      </w:r>
      <w:proofErr w:type="gramEnd"/>
      <w:r w:rsidRPr="00AE3332">
        <w:t xml:space="preserve"> examine or have examined witnesses against him and to obtain the attendance and examination of witnesses on his behalf under the same conditions as witnesses against him ...”</w:t>
      </w:r>
    </w:p>
    <w:p w:rsidRPr="00AE3332" w:rsidR="00AC0F95" w:rsidP="00AE3332" w:rsidRDefault="00AC0F95">
      <w:pPr>
        <w:pStyle w:val="JuPara"/>
      </w:pPr>
      <w:r w:rsidRPr="00AE3332">
        <w:fldChar w:fldCharType="begin"/>
      </w:r>
      <w:r w:rsidRPr="00AE3332">
        <w:instrText xml:space="preserve"> SEQ level0 \*arabic </w:instrText>
      </w:r>
      <w:r w:rsidRPr="00AE3332">
        <w:fldChar w:fldCharType="separate"/>
      </w:r>
      <w:r w:rsidRPr="00AE3332" w:rsidR="00AE3332">
        <w:rPr>
          <w:noProof/>
        </w:rPr>
        <w:t>11</w:t>
      </w:r>
      <w:r w:rsidRPr="00AE3332">
        <w:fldChar w:fldCharType="end"/>
      </w:r>
      <w:r w:rsidRPr="00AE3332">
        <w:t>.  The Government contested that argument. They considered that the proceedings in the applicant</w:t>
      </w:r>
      <w:r w:rsidRPr="00AE3332" w:rsidR="00AE3332">
        <w:t>’</w:t>
      </w:r>
      <w:r w:rsidRPr="00AE3332">
        <w:t>s case had been fair. The fact that the courts had not questioned the police officers had had no impact on the fairness of the proceedings. The appellate court had asked the local police to question the officer who had prepared the administrative-offence record. It had been sufficient for the court to examine his statement. Furthermore, the applicant had not proved that there had been no attesting witnesses present when the police had recorded her refusal to undergo a breathalyser test. The appellate court had thoroughly examined the relevant evidence and substantiated its findings in that regard.</w:t>
      </w:r>
    </w:p>
    <w:p w:rsidRPr="00AE3332" w:rsidR="00AC0F95" w:rsidP="00AE3332" w:rsidRDefault="00AC0F95">
      <w:pPr>
        <w:pStyle w:val="JuPara"/>
      </w:pPr>
      <w:r w:rsidRPr="00AE3332">
        <w:fldChar w:fldCharType="begin"/>
      </w:r>
      <w:r w:rsidRPr="00AE3332">
        <w:instrText xml:space="preserve"> SEQ level0 \*arabic </w:instrText>
      </w:r>
      <w:r w:rsidRPr="00AE3332">
        <w:fldChar w:fldCharType="separate"/>
      </w:r>
      <w:r w:rsidRPr="00AE3332" w:rsidR="00AE3332">
        <w:rPr>
          <w:noProof/>
        </w:rPr>
        <w:t>12</w:t>
      </w:r>
      <w:r w:rsidRPr="00AE3332">
        <w:fldChar w:fldCharType="end"/>
      </w:r>
      <w:r w:rsidRPr="00AE3332">
        <w:t>.  The applicant maintained her complaint. She pointed out that in her case the national courts had relied exclusively on the evidence which had come from the police officers, without exhausting every reasonable possibility of scrutinising it. In particular, the courts had failed to summon the police officers and the attesting witnesses for questioning. They had also failed to assess the statements of P. and S., who had been eyewitnesses to the events in question.</w:t>
      </w:r>
    </w:p>
    <w:p w:rsidRPr="00AE3332" w:rsidR="00AC0F95" w:rsidP="00AE3332" w:rsidRDefault="00AC0F95">
      <w:pPr>
        <w:pStyle w:val="JuHA"/>
      </w:pPr>
      <w:r w:rsidRPr="00AE3332">
        <w:t>Admissibility</w:t>
      </w:r>
    </w:p>
    <w:p w:rsidRPr="00AE3332" w:rsidR="00AC0F95" w:rsidP="00AE3332" w:rsidRDefault="00AC0F95">
      <w:pPr>
        <w:pStyle w:val="JuPara"/>
      </w:pPr>
      <w:r w:rsidRPr="00AE3332">
        <w:fldChar w:fldCharType="begin"/>
      </w:r>
      <w:r w:rsidRPr="00AE3332">
        <w:instrText xml:space="preserve"> SEQ level0 \*arabic </w:instrText>
      </w:r>
      <w:r w:rsidRPr="00AE3332">
        <w:fldChar w:fldCharType="separate"/>
      </w:r>
      <w:r w:rsidRPr="00AE3332" w:rsidR="00AE3332">
        <w:rPr>
          <w:noProof/>
        </w:rPr>
        <w:t>13</w:t>
      </w:r>
      <w:r w:rsidRPr="00AE3332">
        <w:fldChar w:fldCharType="end"/>
      </w:r>
      <w:r w:rsidRPr="00AE3332">
        <w:t xml:space="preserve">.  The Court accepts, and the Government have not argued otherwise, that Article 6 of the Convention applies in the present case under its criminal limb. In this connection, it takes into account that the penalties imposed on the applicant </w:t>
      </w:r>
      <w:r w:rsidRPr="00AE3332">
        <w:sym w:font="Symbol" w:char="F02D"/>
      </w:r>
      <w:r w:rsidRPr="00AE3332">
        <w:t xml:space="preserve"> a monetary fine and driving licence suspension </w:t>
      </w:r>
      <w:r w:rsidRPr="00AE3332">
        <w:sym w:font="Symbol" w:char="F02D"/>
      </w:r>
      <w:r w:rsidRPr="00AE3332">
        <w:t xml:space="preserve"> were punitive and deterrent in nature (compare, </w:t>
      </w:r>
      <w:proofErr w:type="spellStart"/>
      <w:r w:rsidRPr="00AE3332">
        <w:rPr>
          <w:i/>
        </w:rPr>
        <w:t>Mikhaylova</w:t>
      </w:r>
      <w:proofErr w:type="spellEnd"/>
      <w:r w:rsidRPr="00AE3332">
        <w:rPr>
          <w:i/>
        </w:rPr>
        <w:t xml:space="preserve"> v. Russia</w:t>
      </w:r>
      <w:r w:rsidRPr="00AE3332">
        <w:t>, no.</w:t>
      </w:r>
      <w:r w:rsidRPr="00AE3332">
        <w:rPr>
          <w:lang w:val="en-US"/>
        </w:rPr>
        <w:t> </w:t>
      </w:r>
      <w:r w:rsidRPr="00AE3332">
        <w:t>46998/08</w:t>
      </w:r>
      <w:r w:rsidRPr="00AE3332">
        <w:rPr>
          <w:snapToGrid w:val="0"/>
        </w:rPr>
        <w:t>, § 64, 1</w:t>
      </w:r>
      <w:r w:rsidRPr="00AE3332">
        <w:t>9</w:t>
      </w:r>
      <w:r w:rsidRPr="00AE3332">
        <w:rPr>
          <w:snapToGrid w:val="0"/>
        </w:rPr>
        <w:t xml:space="preserve"> </w:t>
      </w:r>
      <w:r w:rsidRPr="00AE3332">
        <w:t>November</w:t>
      </w:r>
      <w:r w:rsidRPr="00AE3332">
        <w:rPr>
          <w:snapToGrid w:val="0"/>
        </w:rPr>
        <w:t xml:space="preserve"> 2015).</w:t>
      </w:r>
    </w:p>
    <w:p w:rsidRPr="00AE3332" w:rsidR="00AC0F95" w:rsidP="00AE3332" w:rsidRDefault="00AC0F95">
      <w:pPr>
        <w:pStyle w:val="JuPara"/>
      </w:pPr>
      <w:r w:rsidRPr="00AE3332">
        <w:fldChar w:fldCharType="begin"/>
      </w:r>
      <w:r w:rsidRPr="00AE3332">
        <w:instrText xml:space="preserve"> SEQ level0 \*arabic </w:instrText>
      </w:r>
      <w:r w:rsidRPr="00AE3332">
        <w:fldChar w:fldCharType="separate"/>
      </w:r>
      <w:r w:rsidRPr="00AE3332" w:rsidR="00AE3332">
        <w:rPr>
          <w:noProof/>
        </w:rPr>
        <w:t>14</w:t>
      </w:r>
      <w:r w:rsidRPr="00AE3332">
        <w:fldChar w:fldCharType="end"/>
      </w:r>
      <w:r w:rsidRPr="00AE3332">
        <w:t>.  The Court notes that this complaint is not manifestly ill-founded within the meaning of Article 35 § 3 (a) of the Convention. It further notes that it is not inadmissible on any other grounds. It must therefore be declared admissible.</w:t>
      </w:r>
    </w:p>
    <w:p w:rsidRPr="00AE3332" w:rsidR="00AC0F95" w:rsidP="00AE3332" w:rsidRDefault="00AC0F95">
      <w:pPr>
        <w:pStyle w:val="JuHA"/>
      </w:pPr>
      <w:r w:rsidRPr="00AE3332">
        <w:t>Merits</w:t>
      </w:r>
    </w:p>
    <w:p w:rsidRPr="00AE3332" w:rsidR="00AC0F95" w:rsidP="00AE3332" w:rsidRDefault="00AC0F95">
      <w:pPr>
        <w:pStyle w:val="JuH1"/>
      </w:pPr>
      <w:r w:rsidRPr="00AE3332">
        <w:t>General principles</w:t>
      </w:r>
    </w:p>
    <w:p w:rsidRPr="00AE3332" w:rsidR="00AC0F95" w:rsidP="00AE3332" w:rsidRDefault="00AC0F95">
      <w:pPr>
        <w:pStyle w:val="JuPara"/>
        <w:rPr>
          <w:i/>
        </w:rPr>
      </w:pPr>
      <w:r w:rsidRPr="00AE3332">
        <w:fldChar w:fldCharType="begin"/>
      </w:r>
      <w:r w:rsidRPr="00AE3332">
        <w:instrText xml:space="preserve"> SEQ level0 \*arabic </w:instrText>
      </w:r>
      <w:r w:rsidRPr="00AE3332">
        <w:fldChar w:fldCharType="separate"/>
      </w:r>
      <w:r w:rsidRPr="00AE3332" w:rsidR="00AE3332">
        <w:rPr>
          <w:noProof/>
        </w:rPr>
        <w:t>15</w:t>
      </w:r>
      <w:r w:rsidRPr="00AE3332">
        <w:fldChar w:fldCharType="end"/>
      </w:r>
      <w:r w:rsidRPr="00AE3332">
        <w:t>.  The general principles concerning the right of an accused to examine witnesses against him or her and obtain the attendance and examination of witnesses on his or her behalf are well established in the Court</w:t>
      </w:r>
      <w:r w:rsidRPr="00AE3332" w:rsidR="00AE3332">
        <w:t>’</w:t>
      </w:r>
      <w:r w:rsidRPr="00AE3332">
        <w:t xml:space="preserve">s case law (see </w:t>
      </w:r>
      <w:proofErr w:type="spellStart"/>
      <w:r w:rsidRPr="00AE3332">
        <w:rPr>
          <w:i/>
        </w:rPr>
        <w:t>Schatschaschwili</w:t>
      </w:r>
      <w:proofErr w:type="spellEnd"/>
      <w:r w:rsidRPr="00AE3332">
        <w:rPr>
          <w:i/>
        </w:rPr>
        <w:t xml:space="preserve"> v. Germany </w:t>
      </w:r>
      <w:r w:rsidRPr="00AE3332">
        <w:t>[GC</w:t>
      </w:r>
      <w:r w:rsidRPr="00AE3332" w:rsidR="00AE3332">
        <w:t>], no. 9154/10, §§ 100-31, ECHR </w:t>
      </w:r>
      <w:r w:rsidRPr="00AE3332">
        <w:t xml:space="preserve">2015, and </w:t>
      </w:r>
      <w:proofErr w:type="spellStart"/>
      <w:r w:rsidRPr="00AE3332">
        <w:rPr>
          <w:i/>
          <w:iCs/>
        </w:rPr>
        <w:t>Murtazaliyeva</w:t>
      </w:r>
      <w:proofErr w:type="spellEnd"/>
      <w:r w:rsidRPr="00AE3332">
        <w:rPr>
          <w:i/>
          <w:iCs/>
        </w:rPr>
        <w:t xml:space="preserve"> v. Russia </w:t>
      </w:r>
      <w:r w:rsidRPr="00AE3332">
        <w:t xml:space="preserve">[GC], </w:t>
      </w:r>
      <w:r w:rsidRPr="00AE3332">
        <w:rPr>
          <w:lang w:eastAsia="en-GB"/>
        </w:rPr>
        <w:t xml:space="preserve">no. </w:t>
      </w:r>
      <w:r w:rsidRPr="00AE3332">
        <w:t>36658/05, §§ 150-68).</w:t>
      </w:r>
    </w:p>
    <w:p w:rsidRPr="00AE3332" w:rsidR="00AC0F95" w:rsidP="00AE3332" w:rsidRDefault="00AC0F95">
      <w:pPr>
        <w:pStyle w:val="JuH1"/>
      </w:pPr>
      <w:r w:rsidRPr="00AE3332">
        <w:t>Application of the principles in the present case</w:t>
      </w:r>
    </w:p>
    <w:bookmarkStart w:name="para23" w:id="2"/>
    <w:p w:rsidRPr="00AE3332" w:rsidR="00AC0F95" w:rsidP="00AE3332" w:rsidRDefault="00AC0F95">
      <w:pPr>
        <w:pStyle w:val="JuPara"/>
      </w:pPr>
      <w:r w:rsidRPr="00AE3332">
        <w:fldChar w:fldCharType="begin"/>
      </w:r>
      <w:r w:rsidRPr="00AE3332">
        <w:instrText xml:space="preserve"> SEQ level0 \*arabic </w:instrText>
      </w:r>
      <w:r w:rsidRPr="00AE3332">
        <w:fldChar w:fldCharType="separate"/>
      </w:r>
      <w:r w:rsidRPr="00AE3332" w:rsidR="00AE3332">
        <w:rPr>
          <w:noProof/>
        </w:rPr>
        <w:t>16</w:t>
      </w:r>
      <w:r w:rsidRPr="00AE3332">
        <w:fldChar w:fldCharType="end"/>
      </w:r>
      <w:bookmarkEnd w:id="2"/>
      <w:r w:rsidRPr="00AE3332">
        <w:t>.  As regards the applicant</w:t>
      </w:r>
      <w:r w:rsidRPr="00AE3332" w:rsidR="00AE3332">
        <w:t>’</w:t>
      </w:r>
      <w:r w:rsidRPr="00AE3332">
        <w:t>s complaint that the domestic courts did not provide her with an opportunity to obtain the examination of the attesting witnesses, the Court observes that the justice of the peace chose not to question those persons when asked to do so by the applicant, and that the appellate court considered it unnecessary to question them.</w:t>
      </w:r>
    </w:p>
    <w:p w:rsidRPr="00AE3332" w:rsidR="00AC0F95" w:rsidP="00AE3332" w:rsidRDefault="00AC0F95">
      <w:pPr>
        <w:pStyle w:val="JuPara"/>
      </w:pPr>
      <w:r w:rsidRPr="00AE3332">
        <w:fldChar w:fldCharType="begin"/>
      </w:r>
      <w:r w:rsidRPr="00AE3332">
        <w:instrText xml:space="preserve"> SEQ level0 \*arabic </w:instrText>
      </w:r>
      <w:r w:rsidRPr="00AE3332">
        <w:fldChar w:fldCharType="separate"/>
      </w:r>
      <w:r w:rsidRPr="00AE3332" w:rsidR="00AE3332">
        <w:rPr>
          <w:noProof/>
        </w:rPr>
        <w:t>17</w:t>
      </w:r>
      <w:r w:rsidRPr="00AE3332">
        <w:fldChar w:fldCharType="end"/>
      </w:r>
      <w:r w:rsidRPr="00AE3332">
        <w:t>.  The Court accepts that the applicant</w:t>
      </w:r>
      <w:r w:rsidRPr="00AE3332" w:rsidR="00AE3332">
        <w:t>’</w:t>
      </w:r>
      <w:r w:rsidRPr="00AE3332">
        <w:t>s request to obtain the examination of those witnesses was sufficiently reasoned. She sought to challenge the authenticity of the administrative-offence record and to prove that the police had tricked her into refusing to undergo a breathalyser test. It also notes that the justice of the peace gave no explanation for the dismissal of the applicant</w:t>
      </w:r>
      <w:r w:rsidRPr="00AE3332" w:rsidR="00AE3332">
        <w:t>’</w:t>
      </w:r>
      <w:r w:rsidRPr="00AE3332">
        <w:t>s request to obtain the attendance of those witnesses. The appellate court did not remedy that omission on the part of the lower court. When considering it sufficient that the applicant had had an opportunity to comment as to the authenticity of the administrative-offence record drawn up when she was stopped by the police, the appellate court did not refer to any domestic law which would have prevented her from questioning the witnesses under the circumstances. Accordingly, the Court concludes that the domestic courts did not consider the relevance of the testimony sought by the applicant. Nor did they provide sufficient reasons for the decision not to examine those witnesses.</w:t>
      </w:r>
    </w:p>
    <w:p w:rsidRPr="00AE3332" w:rsidR="00AC0F95" w:rsidP="00AE3332" w:rsidRDefault="00AC0F95">
      <w:pPr>
        <w:pStyle w:val="JuPara"/>
      </w:pPr>
      <w:r w:rsidRPr="00AE3332">
        <w:fldChar w:fldCharType="begin"/>
      </w:r>
      <w:r w:rsidRPr="00AE3332">
        <w:instrText xml:space="preserve"> SEQ level0 \*arabic </w:instrText>
      </w:r>
      <w:r w:rsidRPr="00AE3332">
        <w:fldChar w:fldCharType="separate"/>
      </w:r>
      <w:r w:rsidRPr="00AE3332" w:rsidR="00AE3332">
        <w:rPr>
          <w:noProof/>
        </w:rPr>
        <w:t>18</w:t>
      </w:r>
      <w:r w:rsidRPr="00AE3332">
        <w:fldChar w:fldCharType="end"/>
      </w:r>
      <w:r w:rsidRPr="00AE3332">
        <w:t>.  As regards the overall fairness of the proceedings, the Court takes into account that in the case under consideration, the only evidence referred to by the courts when finding the applicant guilty was the administrative</w:t>
      </w:r>
      <w:r w:rsidRPr="00AE3332">
        <w:rPr>
          <w:lang w:val="en-US"/>
        </w:rPr>
        <w:noBreakHyphen/>
      </w:r>
      <w:r w:rsidRPr="00AE3332">
        <w:t>offence record, the report and the statement made by one of the police officers. Even though the appellate court adduced new evidence and questioned the two people present, who confirmed, to a certain extent, the applicant</w:t>
      </w:r>
      <w:r w:rsidRPr="00AE3332" w:rsidR="00AE3332">
        <w:t>’</w:t>
      </w:r>
      <w:r w:rsidRPr="00AE3332">
        <w:t xml:space="preserve">s version of </w:t>
      </w:r>
      <w:proofErr w:type="gramStart"/>
      <w:r w:rsidRPr="00AE3332">
        <w:t>events,</w:t>
      </w:r>
      <w:proofErr w:type="gramEnd"/>
      <w:r w:rsidRPr="00AE3332">
        <w:t xml:space="preserve"> it did not assess that testimony or its probative value.</w:t>
      </w:r>
    </w:p>
    <w:p w:rsidRPr="00AE3332" w:rsidR="00AC0F95" w:rsidP="00AE3332" w:rsidRDefault="00AC0F95">
      <w:pPr>
        <w:pStyle w:val="JuPara"/>
      </w:pPr>
      <w:r w:rsidRPr="00AE3332">
        <w:fldChar w:fldCharType="begin"/>
      </w:r>
      <w:r w:rsidRPr="00AE3332">
        <w:instrText xml:space="preserve"> SEQ level0 \*arabic </w:instrText>
      </w:r>
      <w:r w:rsidRPr="00AE3332">
        <w:fldChar w:fldCharType="separate"/>
      </w:r>
      <w:r w:rsidRPr="00AE3332" w:rsidR="00AE3332">
        <w:rPr>
          <w:noProof/>
        </w:rPr>
        <w:t>19</w:t>
      </w:r>
      <w:r w:rsidRPr="00AE3332">
        <w:fldChar w:fldCharType="end"/>
      </w:r>
      <w:r w:rsidRPr="00AE3332">
        <w:t xml:space="preserve">.  Regard being had to the </w:t>
      </w:r>
      <w:proofErr w:type="gramStart"/>
      <w:r w:rsidRPr="00AE3332">
        <w:t>above,</w:t>
      </w:r>
      <w:proofErr w:type="gramEnd"/>
      <w:r w:rsidRPr="00AE3332">
        <w:t xml:space="preserve"> the Court concludes that the failure on the part of the national judicial authorities to obtain the attendance of the attesting witnesses, as requested by the applicant, undermined the overall fairness of the proceedings. There has therefore b</w:t>
      </w:r>
      <w:r w:rsidRPr="00AE3332" w:rsidR="00AE3332">
        <w:t xml:space="preserve">een a violation of Article 6 </w:t>
      </w:r>
      <w:r w:rsidRPr="00AE3332">
        <w:rPr>
          <w:lang w:val="en-US"/>
        </w:rPr>
        <w:t>§§ </w:t>
      </w:r>
      <w:r w:rsidRPr="00AE3332">
        <w:t>1 and 3 (d) of the Convention.</w:t>
      </w:r>
    </w:p>
    <w:p w:rsidRPr="00AE3332" w:rsidR="00AC0F95" w:rsidP="00AE3332" w:rsidRDefault="00AC0F95">
      <w:pPr>
        <w:pStyle w:val="JuPara"/>
      </w:pPr>
      <w:r w:rsidRPr="00AE3332">
        <w:fldChar w:fldCharType="begin"/>
      </w:r>
      <w:r w:rsidRPr="00AE3332">
        <w:instrText xml:space="preserve"> SEQ level0 \*arabic </w:instrText>
      </w:r>
      <w:r w:rsidRPr="00AE3332">
        <w:fldChar w:fldCharType="separate"/>
      </w:r>
      <w:r w:rsidRPr="00AE3332" w:rsidR="00AE3332">
        <w:rPr>
          <w:noProof/>
        </w:rPr>
        <w:t>20</w:t>
      </w:r>
      <w:r w:rsidRPr="00AE3332">
        <w:fldChar w:fldCharType="end"/>
      </w:r>
      <w:r w:rsidRPr="00AE3332">
        <w:t>.  In view of this finding, the Court considers it unnecessary to examine separately whether the domestic courts</w:t>
      </w:r>
      <w:r w:rsidRPr="00AE3332" w:rsidR="00AE3332">
        <w:t>’</w:t>
      </w:r>
      <w:r w:rsidRPr="00AE3332">
        <w:t xml:space="preserve"> failure to question the police officers had an impact on the fairness of the proceedings in the applicant</w:t>
      </w:r>
      <w:r w:rsidRPr="00AE3332" w:rsidR="00AE3332">
        <w:t>’</w:t>
      </w:r>
      <w:r w:rsidRPr="00AE3332">
        <w:t xml:space="preserve">s case (compare, for example, </w:t>
      </w:r>
      <w:r w:rsidRPr="00AE3332">
        <w:rPr>
          <w:i/>
        </w:rPr>
        <w:t>Vladimir Romanov v. Russia</w:t>
      </w:r>
      <w:r w:rsidRPr="00AE3332">
        <w:t>, no.</w:t>
      </w:r>
      <w:r w:rsidRPr="00AE3332">
        <w:rPr>
          <w:lang w:val="en-US"/>
        </w:rPr>
        <w:t> </w:t>
      </w:r>
      <w:r w:rsidRPr="00AE3332">
        <w:t>41461/02, § 107, 24 July 2008).</w:t>
      </w:r>
    </w:p>
    <w:p w:rsidRPr="00AE3332" w:rsidR="00AC0F95" w:rsidP="00AE3332" w:rsidRDefault="00AC0F95">
      <w:pPr>
        <w:pStyle w:val="JuHIRoman"/>
      </w:pPr>
      <w:r w:rsidRPr="00AE3332">
        <w:t>APPLICATION OF ARTICLE 41 OF THE CONVENTION</w:t>
      </w:r>
    </w:p>
    <w:p w:rsidRPr="00AE3332" w:rsidR="00AC0F95" w:rsidP="00AE3332" w:rsidRDefault="00AC0F95">
      <w:pPr>
        <w:pStyle w:val="JuPara"/>
      </w:pPr>
      <w:r w:rsidRPr="00AE3332">
        <w:fldChar w:fldCharType="begin"/>
      </w:r>
      <w:r w:rsidRPr="00AE3332">
        <w:instrText xml:space="preserve"> SEQ level0 \*arabic </w:instrText>
      </w:r>
      <w:r w:rsidRPr="00AE3332">
        <w:fldChar w:fldCharType="separate"/>
      </w:r>
      <w:r w:rsidRPr="00AE3332" w:rsidR="00AE3332">
        <w:rPr>
          <w:noProof/>
        </w:rPr>
        <w:t>21</w:t>
      </w:r>
      <w:r w:rsidRPr="00AE3332">
        <w:fldChar w:fldCharType="end"/>
      </w:r>
      <w:r w:rsidRPr="00AE3332">
        <w:t>.  Article 41 of the Convention provides:</w:t>
      </w:r>
    </w:p>
    <w:p w:rsidRPr="00AE3332" w:rsidR="00AC0F95" w:rsidP="00AE3332" w:rsidRDefault="00AC0F95">
      <w:pPr>
        <w:pStyle w:val="JuQuot"/>
        <w:keepNext/>
        <w:keepLines/>
      </w:pPr>
      <w:r w:rsidRPr="00AE333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E3332" w:rsidR="00AC0F95" w:rsidP="00AE3332" w:rsidRDefault="00AC0F95">
      <w:pPr>
        <w:pStyle w:val="JuHA"/>
      </w:pPr>
      <w:r w:rsidRPr="00AE3332">
        <w:t>Damage</w:t>
      </w:r>
    </w:p>
    <w:p w:rsidRPr="00AE3332" w:rsidR="00AC0F95" w:rsidP="00AE3332" w:rsidRDefault="00AC0F95">
      <w:pPr>
        <w:pStyle w:val="JuPara"/>
      </w:pPr>
      <w:r w:rsidRPr="00AE3332">
        <w:fldChar w:fldCharType="begin"/>
      </w:r>
      <w:r w:rsidRPr="00AE3332">
        <w:instrText xml:space="preserve"> SEQ level0 \*arabic </w:instrText>
      </w:r>
      <w:r w:rsidRPr="00AE3332">
        <w:fldChar w:fldCharType="separate"/>
      </w:r>
      <w:r w:rsidRPr="00AE3332" w:rsidR="00AE3332">
        <w:rPr>
          <w:noProof/>
        </w:rPr>
        <w:t>22</w:t>
      </w:r>
      <w:r w:rsidRPr="00AE3332">
        <w:fldChar w:fldCharType="end"/>
      </w:r>
      <w:r w:rsidRPr="00AE3332">
        <w:t xml:space="preserve">.  The </w:t>
      </w:r>
      <w:r w:rsidRPr="00AE3332">
        <w:rPr>
          <w:szCs w:val="24"/>
        </w:rPr>
        <w:t>applicant</w:t>
      </w:r>
      <w:r w:rsidRPr="00AE3332">
        <w:t xml:space="preserve"> claimed 30,000 Russian roubles (RUB) and RUB 100,000 in respect of pecuniary and non-pecuniary damage respectively.</w:t>
      </w:r>
    </w:p>
    <w:p w:rsidRPr="00AE3332" w:rsidR="00AC0F95" w:rsidP="00AE3332" w:rsidRDefault="00AC0F95">
      <w:pPr>
        <w:pStyle w:val="JuPara"/>
      </w:pPr>
      <w:r w:rsidRPr="00AE3332">
        <w:fldChar w:fldCharType="begin"/>
      </w:r>
      <w:r w:rsidRPr="00AE3332">
        <w:instrText xml:space="preserve"> SEQ level0 \*arabic </w:instrText>
      </w:r>
      <w:r w:rsidRPr="00AE3332">
        <w:fldChar w:fldCharType="separate"/>
      </w:r>
      <w:r w:rsidRPr="00AE3332" w:rsidR="00AE3332">
        <w:rPr>
          <w:noProof/>
        </w:rPr>
        <w:t>23</w:t>
      </w:r>
      <w:r w:rsidRPr="00AE3332">
        <w:fldChar w:fldCharType="end"/>
      </w:r>
      <w:r w:rsidRPr="00AE3332">
        <w:t>.  The Government considered that there had been no violation in the present case, and that the applicant</w:t>
      </w:r>
      <w:r w:rsidRPr="00AE3332" w:rsidR="00AE3332">
        <w:t>’</w:t>
      </w:r>
      <w:r w:rsidRPr="00AE3332">
        <w:t>s claims should be dismissed in full. They further submitted that her claim in respect of pecuniary damage corresponding to the amount of her fine should be dismissed given that it had been imposed lawfully. Lastly, they submitted that her claims in respect of non-pecuniary damage were excessive and unreasonable.</w:t>
      </w:r>
    </w:p>
    <w:p w:rsidRPr="00AE3332" w:rsidR="00AC0F95" w:rsidP="00AE3332" w:rsidRDefault="00AC0F95">
      <w:pPr>
        <w:pStyle w:val="JuPara"/>
      </w:pPr>
      <w:r w:rsidRPr="00AE3332">
        <w:fldChar w:fldCharType="begin"/>
      </w:r>
      <w:r w:rsidRPr="00AE3332">
        <w:instrText xml:space="preserve"> SEQ level0 \*arabic </w:instrText>
      </w:r>
      <w:r w:rsidRPr="00AE3332">
        <w:fldChar w:fldCharType="separate"/>
      </w:r>
      <w:r w:rsidRPr="00AE3332" w:rsidR="00AE3332">
        <w:rPr>
          <w:noProof/>
        </w:rPr>
        <w:t>24</w:t>
      </w:r>
      <w:r w:rsidRPr="00AE3332">
        <w:fldChar w:fldCharType="end"/>
      </w:r>
      <w:r w:rsidRPr="00AE3332">
        <w:t xml:space="preserve">.  The Court notes that in the present case an award of just satisfaction can only be based on the fact that the applicant did not have the benefit of the guarantees of Article 6 § 1 of the Convention. It cannot speculate as to what the outcome of the proceedings compatible with Article 6 § 1 might have been, had the requirements of this provision not been violated (compare </w:t>
      </w:r>
      <w:proofErr w:type="spellStart"/>
      <w:r w:rsidRPr="00AE3332">
        <w:rPr>
          <w:i/>
        </w:rPr>
        <w:t>Menchinskaya</w:t>
      </w:r>
      <w:proofErr w:type="spellEnd"/>
      <w:r w:rsidRPr="00AE3332">
        <w:rPr>
          <w:i/>
        </w:rPr>
        <w:t xml:space="preserve"> v. Russia</w:t>
      </w:r>
      <w:r w:rsidRPr="00AE3332">
        <w:t xml:space="preserve">, no. 42454/02, § 46, 15 January 2009, and </w:t>
      </w:r>
      <w:r w:rsidRPr="00AE3332">
        <w:rPr>
          <w:i/>
        </w:rPr>
        <w:t>Popov v. Russia</w:t>
      </w:r>
      <w:r w:rsidRPr="00AE3332">
        <w:t xml:space="preserve">, no. 26853/04, § 260, 13 July 2006). Accordingly, it does not discern any causal link between the violation found and the pecuniary damage alleged; it therefore rejects this claim. On the other hand, the Court awards the </w:t>
      </w:r>
      <w:r w:rsidRPr="00AE3332">
        <w:rPr>
          <w:szCs w:val="24"/>
        </w:rPr>
        <w:t>applicant</w:t>
      </w:r>
      <w:r w:rsidRPr="00AE3332">
        <w:t xml:space="preserve"> 1,000 euros (EUR) in respect of non</w:t>
      </w:r>
      <w:r w:rsidRPr="00AE3332">
        <w:noBreakHyphen/>
        <w:t>pecuniary damage.</w:t>
      </w:r>
    </w:p>
    <w:p w:rsidRPr="00AE3332" w:rsidR="00AC0F95" w:rsidP="00AE3332" w:rsidRDefault="00AC0F95">
      <w:pPr>
        <w:pStyle w:val="JuHA"/>
      </w:pPr>
      <w:r w:rsidRPr="00AE3332">
        <w:t>Costs and expenses</w:t>
      </w:r>
    </w:p>
    <w:p w:rsidRPr="00AE3332" w:rsidR="00AC0F95" w:rsidP="00AE3332" w:rsidRDefault="00AC0F95">
      <w:pPr>
        <w:pStyle w:val="JuPara"/>
      </w:pPr>
      <w:r w:rsidRPr="00AE3332">
        <w:fldChar w:fldCharType="begin"/>
      </w:r>
      <w:r w:rsidRPr="00AE3332">
        <w:instrText xml:space="preserve"> SEQ level0 \*arabic </w:instrText>
      </w:r>
      <w:r w:rsidRPr="00AE3332">
        <w:fldChar w:fldCharType="separate"/>
      </w:r>
      <w:r w:rsidRPr="00AE3332" w:rsidR="00AE3332">
        <w:rPr>
          <w:noProof/>
        </w:rPr>
        <w:t>25</w:t>
      </w:r>
      <w:r w:rsidRPr="00AE3332">
        <w:fldChar w:fldCharType="end"/>
      </w:r>
      <w:r w:rsidRPr="00AE3332">
        <w:t>.  The applicant did not submit a claim for costs and expenses. Accordingly, the Court considers that there is no call to award her any sum on that account.</w:t>
      </w:r>
    </w:p>
    <w:p w:rsidRPr="00AE3332" w:rsidR="00AC0F95" w:rsidP="00AE3332" w:rsidRDefault="00AC0F95">
      <w:pPr>
        <w:pStyle w:val="JuHA"/>
      </w:pPr>
      <w:r w:rsidRPr="00AE3332">
        <w:t>Default interest</w:t>
      </w:r>
    </w:p>
    <w:p w:rsidRPr="00AE3332" w:rsidR="00AC0F95" w:rsidP="00AE3332" w:rsidRDefault="00AC0F95">
      <w:pPr>
        <w:pStyle w:val="JuPara"/>
      </w:pPr>
      <w:r w:rsidRPr="00AE3332">
        <w:fldChar w:fldCharType="begin"/>
      </w:r>
      <w:r w:rsidRPr="00AE3332">
        <w:instrText xml:space="preserve"> SEQ level0 \*arabic </w:instrText>
      </w:r>
      <w:r w:rsidRPr="00AE3332">
        <w:fldChar w:fldCharType="separate"/>
      </w:r>
      <w:r w:rsidRPr="00AE3332" w:rsidR="00AE3332">
        <w:rPr>
          <w:noProof/>
        </w:rPr>
        <w:t>26</w:t>
      </w:r>
      <w:r w:rsidRPr="00AE3332">
        <w:fldChar w:fldCharType="end"/>
      </w:r>
      <w:r w:rsidRPr="00AE3332">
        <w:t>.  The Court considers it appropriate that the default interest rate should be based on the marginal lending rate of the European Central Bank, to which should be added three percentage points.</w:t>
      </w:r>
    </w:p>
    <w:p w:rsidRPr="00AE3332" w:rsidR="00AC0F95" w:rsidP="00AE3332" w:rsidRDefault="00AC0F95">
      <w:pPr>
        <w:pStyle w:val="JuHHead"/>
      </w:pPr>
      <w:r w:rsidRPr="00AE3332">
        <w:t>FOR THESE REASONS, THE COURT, UNANIMOUSLY,</w:t>
      </w:r>
    </w:p>
    <w:p w:rsidRPr="00AE3332" w:rsidR="00AC0F95" w:rsidP="00AE3332" w:rsidRDefault="00AC0F95">
      <w:pPr>
        <w:pStyle w:val="JuList"/>
        <w:ind w:left="0" w:firstLine="0"/>
      </w:pPr>
      <w:r w:rsidRPr="00AE3332">
        <w:rPr>
          <w:i/>
        </w:rPr>
        <w:t>Declares</w:t>
      </w:r>
      <w:r w:rsidRPr="00AE3332">
        <w:rPr>
          <w:color w:val="000000"/>
        </w:rPr>
        <w:t xml:space="preserve"> </w:t>
      </w:r>
      <w:r w:rsidRPr="00AE3332">
        <w:t>the application admissible;</w:t>
      </w:r>
    </w:p>
    <w:p w:rsidRPr="00AE3332" w:rsidR="00AC0F95" w:rsidP="00AE3332" w:rsidRDefault="00AC0F95">
      <w:pPr>
        <w:pStyle w:val="JuList"/>
      </w:pPr>
      <w:r w:rsidRPr="00AE3332">
        <w:rPr>
          <w:i/>
        </w:rPr>
        <w:t>Holds</w:t>
      </w:r>
      <w:r w:rsidRPr="00AE3332">
        <w:rPr>
          <w:color w:val="000000"/>
        </w:rPr>
        <w:t xml:space="preserve"> </w:t>
      </w:r>
      <w:r w:rsidRPr="00AE3332">
        <w:t>that there has been a violation of Article 6 </w:t>
      </w:r>
      <w:r w:rsidRPr="00AE3332">
        <w:rPr>
          <w:lang w:val="en-US"/>
        </w:rPr>
        <w:t>§§ </w:t>
      </w:r>
      <w:r w:rsidRPr="00AE3332">
        <w:t>1 and 3 (d) of the Convention;</w:t>
      </w:r>
    </w:p>
    <w:p w:rsidRPr="00AE3332" w:rsidR="00AC0F95" w:rsidP="00AE3332" w:rsidRDefault="00AC0F95">
      <w:pPr>
        <w:pStyle w:val="JuList"/>
      </w:pPr>
      <w:r w:rsidRPr="00AE3332">
        <w:rPr>
          <w:i/>
        </w:rPr>
        <w:t>Holds</w:t>
      </w:r>
    </w:p>
    <w:p w:rsidRPr="00AE3332" w:rsidR="00AC0F95" w:rsidP="00AE3332" w:rsidRDefault="00AC0F95">
      <w:pPr>
        <w:pStyle w:val="JuLista"/>
      </w:pPr>
      <w:r w:rsidRPr="00AE3332">
        <w:t xml:space="preserve">that the respondent State is to pay the </w:t>
      </w:r>
      <w:r w:rsidRPr="00AE3332">
        <w:rPr>
          <w:szCs w:val="24"/>
        </w:rPr>
        <w:t>applicant</w:t>
      </w:r>
      <w:r w:rsidRPr="00AE3332">
        <w:t>, within three months EUR 1,000 (one thousand euros), plus any tax that may be chargeable, in respect of non-pecuniary damage,</w:t>
      </w:r>
      <w:r w:rsidRPr="00AE3332">
        <w:rPr>
          <w:b/>
        </w:rPr>
        <w:t xml:space="preserve"> </w:t>
      </w:r>
      <w:r w:rsidRPr="00AE3332">
        <w:t xml:space="preserve">to be converted into </w:t>
      </w:r>
      <w:r w:rsidRPr="00AE3332">
        <w:rPr>
          <w:color w:val="000000"/>
        </w:rPr>
        <w:t>the currency of the respondent State</w:t>
      </w:r>
      <w:r w:rsidRPr="00AE3332">
        <w:rPr>
          <w:b/>
          <w:color w:val="000000"/>
        </w:rPr>
        <w:t xml:space="preserve"> </w:t>
      </w:r>
      <w:r w:rsidRPr="00AE3332">
        <w:t>at the rate applicable at the date of settlement;</w:t>
      </w:r>
    </w:p>
    <w:p w:rsidRPr="00AE3332" w:rsidR="00AC0F95" w:rsidP="00AE3332" w:rsidRDefault="00AC0F95">
      <w:pPr>
        <w:pStyle w:val="JuLista"/>
      </w:pPr>
      <w:r w:rsidRPr="00AE3332">
        <w:t>that from the expiry of the above-mentioned three months until settlement simple interest shall be payable on the above amount at a rate equal to the marginal lending rate of the European Central Bank during the default period plus three percentage points;</w:t>
      </w:r>
    </w:p>
    <w:p w:rsidRPr="00AE3332" w:rsidR="004D0EC7" w:rsidP="00AE3332" w:rsidRDefault="00AC0F95">
      <w:pPr>
        <w:pStyle w:val="JuList"/>
      </w:pPr>
      <w:r w:rsidRPr="00AE3332">
        <w:rPr>
          <w:i/>
        </w:rPr>
        <w:t>Dismisses</w:t>
      </w:r>
      <w:r w:rsidRPr="00AE3332">
        <w:rPr>
          <w:color w:val="000000"/>
        </w:rPr>
        <w:t xml:space="preserve"> </w:t>
      </w:r>
      <w:r w:rsidRPr="00AE3332">
        <w:t>the remainder of the applicant</w:t>
      </w:r>
      <w:r w:rsidRPr="00AE3332" w:rsidR="00AE3332">
        <w:t>’</w:t>
      </w:r>
      <w:r w:rsidRPr="00AE3332">
        <w:t>s claim for just satisfaction.</w:t>
      </w:r>
    </w:p>
    <w:p w:rsidRPr="00AE3332" w:rsidR="008E3A08" w:rsidP="00AE3332" w:rsidRDefault="007E2C8C">
      <w:pPr>
        <w:pStyle w:val="JuParaLast"/>
      </w:pPr>
      <w:r w:rsidRPr="00AE3332">
        <w:t xml:space="preserve">Done in English, and notified in writing on </w:t>
      </w:r>
      <w:r w:rsidRPr="00AE3332" w:rsidR="00AC0F95">
        <w:rPr>
          <w:rFonts w:ascii="Times New Roman" w:hAnsi="Times New Roman" w:cs="Times New Roman"/>
        </w:rPr>
        <w:t>17 December 2019</w:t>
      </w:r>
      <w:r w:rsidRPr="00AE3332">
        <w:t>, pursuant to Rule 77 §§ 2 and 3 of the Rules of Court.</w:t>
      </w:r>
    </w:p>
    <w:p w:rsidRPr="00AE3332" w:rsidR="001C055B" w:rsidP="00AE3332" w:rsidRDefault="00AC0F95">
      <w:pPr>
        <w:pStyle w:val="JuSigned"/>
      </w:pPr>
      <w:r w:rsidRPr="00AE3332">
        <w:t xml:space="preserve"> </w:t>
      </w:r>
      <w:r w:rsidRPr="00AE3332" w:rsidR="009F4C8F">
        <w:tab/>
      </w:r>
      <w:r w:rsidRPr="00AE3332" w:rsidR="008D1AA9">
        <w:t>Stephen Phillips</w:t>
      </w:r>
      <w:r w:rsidRPr="00AE3332" w:rsidR="008D1AA9">
        <w:rPr>
          <w:lang w:val="ru-RU"/>
        </w:rPr>
        <w:tab/>
      </w:r>
      <w:r w:rsidRPr="00AE3332">
        <w:rPr>
          <w:szCs w:val="24"/>
        </w:rPr>
        <w:t xml:space="preserve">Alena </w:t>
      </w:r>
      <w:proofErr w:type="spellStart"/>
      <w:r w:rsidRPr="00AE3332">
        <w:rPr>
          <w:szCs w:val="24"/>
        </w:rPr>
        <w:t>Poláčková</w:t>
      </w:r>
      <w:proofErr w:type="spellEnd"/>
      <w:r w:rsidRPr="00AE3332" w:rsidR="009F4C8F">
        <w:rPr>
          <w:szCs w:val="24"/>
        </w:rPr>
        <w:br/>
      </w:r>
      <w:r w:rsidRPr="00AE3332" w:rsidR="009F4C8F">
        <w:tab/>
      </w:r>
      <w:r w:rsidRPr="00AE3332">
        <w:rPr>
          <w:iCs/>
        </w:rPr>
        <w:t>Registrar</w:t>
      </w:r>
      <w:r w:rsidRPr="00AE3332" w:rsidR="009F4C8F">
        <w:tab/>
        <w:t>President</w:t>
      </w:r>
    </w:p>
    <w:sectPr w:rsidRPr="00AE3332"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0F95" w:rsidRPr="00085457" w:rsidRDefault="00AC0F95" w:rsidP="0098410D">
      <w:r w:rsidRPr="00085457">
        <w:separator/>
      </w:r>
    </w:p>
  </w:endnote>
  <w:endnote w:type="continuationSeparator" w:id="0">
    <w:p w:rsidR="00AC0F95" w:rsidRPr="00085457" w:rsidRDefault="00AC0F95"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0F95" w:rsidRPr="00150BFA" w:rsidRDefault="00AC0F95" w:rsidP="0020718E">
    <w:pPr>
      <w:jc w:val="center"/>
    </w:pPr>
    <w:r>
      <w:rPr>
        <w:noProof/>
        <w:lang w:val="en-US" w:eastAsia="ja-JP"/>
      </w:rPr>
      <w:drawing>
        <wp:inline distT="0" distB="0" distL="0" distR="0" wp14:anchorId="1074C33E" wp14:editId="6A72DA77">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DF287D">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DF287D"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0F95" w:rsidRPr="00085457" w:rsidRDefault="00AC0F95" w:rsidP="0098410D">
      <w:r w:rsidRPr="00085457">
        <w:separator/>
      </w:r>
    </w:p>
  </w:footnote>
  <w:footnote w:type="continuationSeparator" w:id="0">
    <w:p w:rsidR="00AC0F95" w:rsidRPr="00085457" w:rsidRDefault="00AC0F95"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0F95" w:rsidRPr="00A45145" w:rsidRDefault="00AC0F95" w:rsidP="00A45145">
    <w:pPr>
      <w:jc w:val="center"/>
    </w:pPr>
    <w:r>
      <w:rPr>
        <w:noProof/>
        <w:lang w:val="en-US" w:eastAsia="ja-JP"/>
      </w:rPr>
      <w:drawing>
        <wp:inline distT="0" distB="0" distL="0" distR="0" wp14:anchorId="70F36B42" wp14:editId="4566B68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0F95" w:rsidRPr="00A45145" w:rsidRDefault="00AC0F95" w:rsidP="00A45145">
    <w:pPr>
      <w:jc w:val="center"/>
    </w:pPr>
    <w:r>
      <w:rPr>
        <w:noProof/>
        <w:lang w:val="en-US" w:eastAsia="ja-JP"/>
      </w:rPr>
      <w:drawing>
        <wp:inline distT="0" distB="0" distL="0" distR="0" wp14:anchorId="5334093B" wp14:editId="0E52FBE5">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C0F95" w:rsidP="004D0EC7">
    <w:pPr>
      <w:pStyle w:val="JuHeader"/>
    </w:pPr>
    <w:r>
      <w:rPr>
        <w:rStyle w:val="PageNumber"/>
      </w:rPr>
      <w:fldChar w:fldCharType="begin"/>
    </w:r>
    <w:r>
      <w:rPr>
        <w:rStyle w:val="PageNumber"/>
      </w:rPr>
      <w:instrText xml:space="preserve"> PAGE </w:instrText>
    </w:r>
    <w:r>
      <w:rPr>
        <w:rStyle w:val="PageNumber"/>
      </w:rPr>
      <w:fldChar w:fldCharType="separate"/>
    </w:r>
    <w:r w:rsidR="00AE3332">
      <w:rPr>
        <w:rStyle w:val="PageNumber"/>
        <w:noProof/>
      </w:rPr>
      <w:t>6</w:t>
    </w:r>
    <w:r>
      <w:rPr>
        <w:rStyle w:val="PageNumber"/>
      </w:rPr>
      <w:fldChar w:fldCharType="end"/>
    </w:r>
    <w:r w:rsidR="00882CD5" w:rsidRPr="004D0EC7">
      <w:tab/>
    </w:r>
    <w:r>
      <w:t>BELIKOVA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AC0F95">
      <w:t>BELIKOVA v. RUSSIA</w:t>
    </w:r>
    <w:r w:rsidRPr="00882CD5">
      <w:t xml:space="preserve"> JUDGMENT</w:t>
    </w:r>
    <w:r w:rsidRPr="00882CD5">
      <w:tab/>
    </w:r>
    <w:r w:rsidR="00AC0F95">
      <w:rPr>
        <w:rStyle w:val="PageNumber"/>
      </w:rPr>
      <w:fldChar w:fldCharType="begin"/>
    </w:r>
    <w:r w:rsidR="00AC0F95">
      <w:rPr>
        <w:rStyle w:val="PageNumber"/>
      </w:rPr>
      <w:instrText xml:space="preserve"> PAGE </w:instrText>
    </w:r>
    <w:r w:rsidR="00AC0F95">
      <w:rPr>
        <w:rStyle w:val="PageNumber"/>
      </w:rPr>
      <w:fldChar w:fldCharType="separate"/>
    </w:r>
    <w:r w:rsidR="00AE3332">
      <w:rPr>
        <w:rStyle w:val="PageNumber"/>
        <w:noProof/>
      </w:rPr>
      <w:t>5</w:t>
    </w:r>
    <w:r w:rsidR="00AC0F95">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2"/>
  </w:num>
  <w:num w:numId="3">
    <w:abstractNumId w:val="10"/>
  </w:num>
  <w:num w:numId="4">
    <w:abstractNumId w:val="9"/>
  </w:num>
  <w:num w:numId="5">
    <w:abstractNumId w:val="13"/>
  </w:num>
  <w:num w:numId="6">
    <w:abstractNumId w:val="11"/>
  </w:num>
  <w:num w:numId="7">
    <w:abstractNumId w:val="14"/>
  </w:num>
  <w:num w:numId="8">
    <w:abstractNumId w:val="17"/>
  </w:num>
  <w:num w:numId="9">
    <w:abstractNumId w:val="16"/>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C0F95"/>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1AA9"/>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0F95"/>
    <w:rsid w:val="00AC4CD4"/>
    <w:rsid w:val="00AE0A2E"/>
    <w:rsid w:val="00AE3332"/>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103A"/>
    <w:rsid w:val="00C74810"/>
    <w:rsid w:val="00C90D68"/>
    <w:rsid w:val="00C939FE"/>
    <w:rsid w:val="00C93CD8"/>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E3332"/>
    <w:rPr>
      <w:rFonts w:eastAsiaTheme="minorEastAsia"/>
      <w:sz w:val="24"/>
      <w:lang w:val="en-GB"/>
    </w:rPr>
  </w:style>
  <w:style w:type="paragraph" w:styleId="Heading1">
    <w:name w:val="heading 1"/>
    <w:basedOn w:val="Normal"/>
    <w:next w:val="Normal"/>
    <w:link w:val="Heading1Char"/>
    <w:uiPriority w:val="98"/>
    <w:semiHidden/>
    <w:rsid w:val="00AE3332"/>
    <w:pPr>
      <w:numPr>
        <w:numId w:val="8"/>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E3332"/>
    <w:pPr>
      <w:numPr>
        <w:ilvl w:val="1"/>
        <w:numId w:val="8"/>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E3332"/>
    <w:pPr>
      <w:numPr>
        <w:ilvl w:val="2"/>
        <w:numId w:val="8"/>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AE3332"/>
    <w:pPr>
      <w:numPr>
        <w:ilvl w:val="3"/>
        <w:numId w:val="8"/>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AE3332"/>
    <w:pPr>
      <w:numPr>
        <w:ilvl w:val="4"/>
        <w:numId w:val="8"/>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AE3332"/>
    <w:pPr>
      <w:numPr>
        <w:ilvl w:val="5"/>
        <w:numId w:val="8"/>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AE3332"/>
    <w:pPr>
      <w:numPr>
        <w:ilvl w:val="6"/>
        <w:numId w:val="8"/>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AE3332"/>
    <w:pPr>
      <w:numPr>
        <w:ilvl w:val="7"/>
        <w:numId w:val="8"/>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E3332"/>
    <w:pPr>
      <w:numPr>
        <w:ilvl w:val="8"/>
        <w:numId w:val="8"/>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E3332"/>
    <w:rPr>
      <w:rFonts w:ascii="Tahoma" w:hAnsi="Tahoma" w:cs="Tahoma"/>
      <w:sz w:val="16"/>
      <w:szCs w:val="16"/>
    </w:rPr>
  </w:style>
  <w:style w:type="character" w:customStyle="1" w:styleId="BalloonTextChar">
    <w:name w:val="Balloon Text Char"/>
    <w:basedOn w:val="DefaultParagraphFont"/>
    <w:link w:val="BalloonText"/>
    <w:uiPriority w:val="98"/>
    <w:semiHidden/>
    <w:rsid w:val="00AE3332"/>
    <w:rPr>
      <w:rFonts w:ascii="Tahoma" w:eastAsiaTheme="minorEastAsia" w:hAnsi="Tahoma" w:cs="Tahoma"/>
      <w:sz w:val="16"/>
      <w:szCs w:val="16"/>
      <w:lang w:val="en-GB"/>
    </w:rPr>
  </w:style>
  <w:style w:type="character" w:styleId="BookTitle">
    <w:name w:val="Book Title"/>
    <w:uiPriority w:val="98"/>
    <w:semiHidden/>
    <w:qFormat/>
    <w:rsid w:val="00AE3332"/>
    <w:rPr>
      <w:i/>
      <w:iCs/>
      <w:smallCaps/>
      <w:spacing w:val="5"/>
    </w:rPr>
  </w:style>
  <w:style w:type="paragraph" w:customStyle="1" w:styleId="JuHeader">
    <w:name w:val="Ju_Header"/>
    <w:aliases w:val="_Header"/>
    <w:basedOn w:val="Header"/>
    <w:uiPriority w:val="29"/>
    <w:qFormat/>
    <w:rsid w:val="00AE3332"/>
    <w:pPr>
      <w:tabs>
        <w:tab w:val="clear" w:pos="4536"/>
        <w:tab w:val="clear" w:pos="9072"/>
        <w:tab w:val="center" w:pos="3686"/>
        <w:tab w:val="right" w:pos="7371"/>
      </w:tabs>
    </w:pPr>
    <w:rPr>
      <w:sz w:val="18"/>
    </w:rPr>
  </w:style>
  <w:style w:type="paragraph" w:customStyle="1" w:styleId="NormalJustified">
    <w:name w:val="Normal_Justified"/>
    <w:basedOn w:val="Normal"/>
    <w:semiHidden/>
    <w:rsid w:val="00AE3332"/>
    <w:pPr>
      <w:jc w:val="both"/>
    </w:pPr>
  </w:style>
  <w:style w:type="character" w:styleId="Strong">
    <w:name w:val="Strong"/>
    <w:uiPriority w:val="98"/>
    <w:semiHidden/>
    <w:qFormat/>
    <w:rsid w:val="00AE3332"/>
    <w:rPr>
      <w:b/>
      <w:bCs/>
    </w:rPr>
  </w:style>
  <w:style w:type="paragraph" w:styleId="NoSpacing">
    <w:name w:val="No Spacing"/>
    <w:basedOn w:val="Normal"/>
    <w:link w:val="NoSpacingChar"/>
    <w:uiPriority w:val="98"/>
    <w:semiHidden/>
    <w:qFormat/>
    <w:rsid w:val="00AE3332"/>
  </w:style>
  <w:style w:type="character" w:customStyle="1" w:styleId="NoSpacingChar">
    <w:name w:val="No Spacing Char"/>
    <w:basedOn w:val="DefaultParagraphFont"/>
    <w:link w:val="NoSpacing"/>
    <w:uiPriority w:val="98"/>
    <w:semiHidden/>
    <w:rsid w:val="00AE3332"/>
    <w:rPr>
      <w:rFonts w:eastAsiaTheme="minorEastAsia"/>
      <w:sz w:val="24"/>
      <w:lang w:val="en-GB"/>
    </w:rPr>
  </w:style>
  <w:style w:type="paragraph" w:customStyle="1" w:styleId="JuQuot">
    <w:name w:val="Ju_Quot"/>
    <w:aliases w:val="_Quote"/>
    <w:basedOn w:val="NormalJustified"/>
    <w:uiPriority w:val="20"/>
    <w:qFormat/>
    <w:rsid w:val="00AE3332"/>
    <w:pPr>
      <w:spacing w:before="120" w:after="120"/>
      <w:ind w:left="425" w:firstLine="142"/>
    </w:pPr>
    <w:rPr>
      <w:sz w:val="20"/>
    </w:rPr>
  </w:style>
  <w:style w:type="paragraph" w:customStyle="1" w:styleId="ECHRBullet1">
    <w:name w:val="ECHR_Bullet_1"/>
    <w:aliases w:val="_Bul_1"/>
    <w:basedOn w:val="NormalJustified"/>
    <w:uiPriority w:val="23"/>
    <w:semiHidden/>
    <w:qFormat/>
    <w:rsid w:val="00AE3332"/>
    <w:pPr>
      <w:numPr>
        <w:numId w:val="5"/>
      </w:numPr>
      <w:spacing w:before="60" w:after="60"/>
    </w:pPr>
    <w:rPr>
      <w:sz w:val="22"/>
    </w:rPr>
  </w:style>
  <w:style w:type="paragraph" w:customStyle="1" w:styleId="JuList">
    <w:name w:val="Ju_List"/>
    <w:aliases w:val="_List_1"/>
    <w:basedOn w:val="NormalJustified"/>
    <w:uiPriority w:val="23"/>
    <w:qFormat/>
    <w:rsid w:val="00AE3332"/>
    <w:pPr>
      <w:numPr>
        <w:numId w:val="6"/>
      </w:numPr>
      <w:spacing w:before="280" w:after="60"/>
    </w:pPr>
    <w:rPr>
      <w:rFonts w:eastAsiaTheme="minorHAnsi"/>
    </w:rPr>
  </w:style>
  <w:style w:type="paragraph" w:customStyle="1" w:styleId="JuLista">
    <w:name w:val="Ju_List_a"/>
    <w:aliases w:val="_List_2"/>
    <w:basedOn w:val="NormalJustified"/>
    <w:uiPriority w:val="23"/>
    <w:rsid w:val="00AE3332"/>
    <w:pPr>
      <w:numPr>
        <w:ilvl w:val="1"/>
        <w:numId w:val="6"/>
      </w:numPr>
    </w:pPr>
  </w:style>
  <w:style w:type="paragraph" w:customStyle="1" w:styleId="JuListi">
    <w:name w:val="Ju_List_i"/>
    <w:aliases w:val="_List_3"/>
    <w:basedOn w:val="NormalJustified"/>
    <w:uiPriority w:val="23"/>
    <w:rsid w:val="00AE3332"/>
    <w:pPr>
      <w:numPr>
        <w:ilvl w:val="2"/>
        <w:numId w:val="6"/>
      </w:numPr>
    </w:pPr>
  </w:style>
  <w:style w:type="paragraph" w:customStyle="1" w:styleId="JuHArticle">
    <w:name w:val="Ju_H_Article"/>
    <w:aliases w:val="_Title_Quote"/>
    <w:basedOn w:val="Normal"/>
    <w:next w:val="JuQuot"/>
    <w:uiPriority w:val="19"/>
    <w:qFormat/>
    <w:rsid w:val="00AE3332"/>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8"/>
    <w:qFormat/>
    <w:rsid w:val="00AE3332"/>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E3332"/>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7"/>
    <w:qFormat/>
    <w:rsid w:val="00AE3332"/>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AE3332"/>
    <w:pPr>
      <w:numPr>
        <w:numId w:val="5"/>
      </w:numPr>
    </w:pPr>
  </w:style>
  <w:style w:type="paragraph" w:customStyle="1" w:styleId="JuSigned">
    <w:name w:val="Ju_Signed"/>
    <w:aliases w:val="_Signature"/>
    <w:basedOn w:val="Normal"/>
    <w:next w:val="JuPara"/>
    <w:uiPriority w:val="31"/>
    <w:qFormat/>
    <w:rsid w:val="00AE3332"/>
    <w:pPr>
      <w:tabs>
        <w:tab w:val="center" w:pos="851"/>
        <w:tab w:val="center" w:pos="6407"/>
      </w:tabs>
      <w:spacing w:before="720"/>
    </w:pPr>
  </w:style>
  <w:style w:type="paragraph" w:styleId="Title">
    <w:name w:val="Title"/>
    <w:basedOn w:val="Normal"/>
    <w:next w:val="Normal"/>
    <w:link w:val="TitleChar"/>
    <w:uiPriority w:val="98"/>
    <w:semiHidden/>
    <w:qFormat/>
    <w:rsid w:val="00AE333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E3332"/>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E3332"/>
    <w:pPr>
      <w:numPr>
        <w:numId w:val="6"/>
      </w:numPr>
    </w:pPr>
  </w:style>
  <w:style w:type="numbering" w:customStyle="1" w:styleId="ECHRA1StyleNumberedList">
    <w:name w:val="ECHR_A1_Style_Numbered_List"/>
    <w:basedOn w:val="NoList"/>
    <w:rsid w:val="00AE3332"/>
    <w:pPr>
      <w:numPr>
        <w:numId w:val="7"/>
      </w:numPr>
    </w:pPr>
  </w:style>
  <w:style w:type="table" w:customStyle="1" w:styleId="ECHRTable2019">
    <w:name w:val="ECHR_Table_2019"/>
    <w:basedOn w:val="TableNormal"/>
    <w:uiPriority w:val="99"/>
    <w:rsid w:val="00AE3332"/>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AE3332"/>
    <w:rPr>
      <w:sz w:val="8"/>
    </w:rPr>
  </w:style>
  <w:style w:type="paragraph" w:customStyle="1" w:styleId="JuCourt">
    <w:name w:val="Ju_Court"/>
    <w:aliases w:val="_Court_Names"/>
    <w:basedOn w:val="Normal"/>
    <w:next w:val="Normal"/>
    <w:uiPriority w:val="32"/>
    <w:qFormat/>
    <w:rsid w:val="00AE333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AE3332"/>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AE3332"/>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7"/>
    <w:rsid w:val="00AE3332"/>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98"/>
    <w:semiHidden/>
    <w:rsid w:val="00AE3332"/>
    <w:pPr>
      <w:tabs>
        <w:tab w:val="center" w:pos="4536"/>
        <w:tab w:val="right" w:pos="9072"/>
      </w:tabs>
    </w:pPr>
    <w:rPr>
      <w:rFonts w:eastAsiaTheme="minorHAnsi"/>
    </w:rPr>
  </w:style>
  <w:style w:type="character" w:customStyle="1" w:styleId="HeaderChar">
    <w:name w:val="Header Char"/>
    <w:basedOn w:val="DefaultParagraphFont"/>
    <w:link w:val="Header"/>
    <w:uiPriority w:val="98"/>
    <w:semiHidden/>
    <w:rsid w:val="00AE3332"/>
    <w:rPr>
      <w:sz w:val="24"/>
      <w:lang w:val="en-GB"/>
    </w:rPr>
  </w:style>
  <w:style w:type="character" w:customStyle="1" w:styleId="Heading1Char">
    <w:name w:val="Heading 1 Char"/>
    <w:basedOn w:val="DefaultParagraphFont"/>
    <w:link w:val="Heading1"/>
    <w:uiPriority w:val="98"/>
    <w:semiHidden/>
    <w:rsid w:val="00AE333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AE3332"/>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AE3332"/>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AE333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AE3332"/>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7"/>
    <w:rsid w:val="00AE3332"/>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AE3332"/>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5"/>
    <w:qFormat/>
    <w:rsid w:val="00AE3332"/>
    <w:pPr>
      <w:keepNext/>
      <w:keepLines/>
      <w:spacing w:before="240" w:after="240"/>
      <w:ind w:firstLine="284"/>
    </w:pPr>
    <w:rPr>
      <w:rFonts w:eastAsiaTheme="minorHAnsi"/>
    </w:rPr>
  </w:style>
  <w:style w:type="paragraph" w:customStyle="1" w:styleId="JuJudges">
    <w:name w:val="Ju_Judges"/>
    <w:aliases w:val="_Judges"/>
    <w:basedOn w:val="Normal"/>
    <w:uiPriority w:val="32"/>
    <w:qFormat/>
    <w:rsid w:val="00AE3332"/>
    <w:pPr>
      <w:tabs>
        <w:tab w:val="left" w:pos="567"/>
        <w:tab w:val="left" w:pos="1134"/>
      </w:tabs>
    </w:pPr>
  </w:style>
  <w:style w:type="character" w:customStyle="1" w:styleId="Heading4Char">
    <w:name w:val="Heading 4 Char"/>
    <w:basedOn w:val="DefaultParagraphFont"/>
    <w:link w:val="Heading4"/>
    <w:uiPriority w:val="98"/>
    <w:semiHidden/>
    <w:rsid w:val="00AE3332"/>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1"/>
    <w:qFormat/>
    <w:rsid w:val="00AE3332"/>
    <w:pPr>
      <w:tabs>
        <w:tab w:val="center" w:pos="6407"/>
      </w:tabs>
      <w:spacing w:before="720"/>
      <w:jc w:val="right"/>
    </w:pPr>
  </w:style>
  <w:style w:type="character" w:customStyle="1" w:styleId="Heading5Char">
    <w:name w:val="Heading 5 Char"/>
    <w:basedOn w:val="DefaultParagraphFont"/>
    <w:link w:val="Heading5"/>
    <w:uiPriority w:val="98"/>
    <w:semiHidden/>
    <w:rsid w:val="00AE3332"/>
    <w:rPr>
      <w:rFonts w:asciiTheme="majorHAnsi" w:eastAsiaTheme="majorEastAsia" w:hAnsiTheme="majorHAnsi" w:cstheme="majorBidi"/>
      <w:b/>
      <w:bCs/>
      <w:color w:val="808080"/>
      <w:sz w:val="24"/>
      <w:lang w:val="en-GB"/>
    </w:rPr>
  </w:style>
  <w:style w:type="character" w:customStyle="1" w:styleId="JuITMark">
    <w:name w:val="Ju_ITMark"/>
    <w:aliases w:val="_ITMark"/>
    <w:basedOn w:val="DefaultParagraphFont"/>
    <w:uiPriority w:val="43"/>
    <w:qFormat/>
    <w:rsid w:val="00AE3332"/>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AE3332"/>
    <w:rPr>
      <w:caps w:val="0"/>
      <w:smallCaps/>
    </w:rPr>
  </w:style>
  <w:style w:type="character" w:styleId="SubtleEmphasis">
    <w:name w:val="Subtle Emphasis"/>
    <w:uiPriority w:val="98"/>
    <w:semiHidden/>
    <w:qFormat/>
    <w:rsid w:val="00AE3332"/>
    <w:rPr>
      <w:i/>
      <w:iCs/>
    </w:rPr>
  </w:style>
  <w:style w:type="table" w:customStyle="1" w:styleId="ECHRTable">
    <w:name w:val="ECHR_Table"/>
    <w:basedOn w:val="TableNormal"/>
    <w:rsid w:val="00AE333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E333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AE3332"/>
    <w:rPr>
      <w:b/>
      <w:bCs/>
      <w:i/>
      <w:iCs/>
      <w:spacing w:val="10"/>
      <w:bdr w:val="none" w:sz="0" w:space="0" w:color="auto"/>
      <w:shd w:val="clear" w:color="auto" w:fill="auto"/>
    </w:rPr>
  </w:style>
  <w:style w:type="paragraph" w:styleId="Footer0">
    <w:name w:val="footer"/>
    <w:basedOn w:val="Normal"/>
    <w:link w:val="FooterChar"/>
    <w:uiPriority w:val="98"/>
    <w:semiHidden/>
    <w:rsid w:val="00AE3332"/>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98"/>
    <w:semiHidden/>
    <w:rsid w:val="00AE3332"/>
    <w:rPr>
      <w:sz w:val="24"/>
      <w:lang w:val="en-GB"/>
    </w:rPr>
  </w:style>
  <w:style w:type="character" w:styleId="FootnoteReference">
    <w:name w:val="footnote reference"/>
    <w:basedOn w:val="DefaultParagraphFont"/>
    <w:uiPriority w:val="98"/>
    <w:semiHidden/>
    <w:rsid w:val="00AE3332"/>
    <w:rPr>
      <w:vertAlign w:val="superscript"/>
    </w:rPr>
  </w:style>
  <w:style w:type="paragraph" w:styleId="FootnoteText">
    <w:name w:val="footnote text"/>
    <w:basedOn w:val="Normal"/>
    <w:link w:val="FootnoteTextChar"/>
    <w:uiPriority w:val="98"/>
    <w:semiHidden/>
    <w:rsid w:val="00AE3332"/>
    <w:rPr>
      <w:sz w:val="20"/>
      <w:szCs w:val="20"/>
    </w:rPr>
  </w:style>
  <w:style w:type="character" w:customStyle="1" w:styleId="FootnoteTextChar">
    <w:name w:val="Footnote Text Char"/>
    <w:basedOn w:val="DefaultParagraphFont"/>
    <w:link w:val="FootnoteText"/>
    <w:uiPriority w:val="98"/>
    <w:semiHidden/>
    <w:rsid w:val="00AE3332"/>
    <w:rPr>
      <w:rFonts w:eastAsiaTheme="minorEastAsia"/>
      <w:sz w:val="20"/>
      <w:szCs w:val="20"/>
      <w:lang w:val="en-GB"/>
    </w:rPr>
  </w:style>
  <w:style w:type="character" w:customStyle="1" w:styleId="Heading6Char">
    <w:name w:val="Heading 6 Char"/>
    <w:basedOn w:val="DefaultParagraphFont"/>
    <w:link w:val="Heading6"/>
    <w:uiPriority w:val="98"/>
    <w:semiHidden/>
    <w:rsid w:val="00AE333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8"/>
    <w:semiHidden/>
    <w:rsid w:val="00AE3332"/>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8"/>
    <w:semiHidden/>
    <w:rsid w:val="00AE333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E333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E3332"/>
    <w:rPr>
      <w:color w:val="0072BC" w:themeColor="hyperlink"/>
      <w:u w:val="single"/>
    </w:rPr>
  </w:style>
  <w:style w:type="character" w:styleId="IntenseEmphasis">
    <w:name w:val="Intense Emphasis"/>
    <w:uiPriority w:val="98"/>
    <w:semiHidden/>
    <w:qFormat/>
    <w:rsid w:val="00AE3332"/>
    <w:rPr>
      <w:b/>
      <w:bCs/>
    </w:rPr>
  </w:style>
  <w:style w:type="paragraph" w:styleId="IntenseQuote">
    <w:name w:val="Intense Quote"/>
    <w:basedOn w:val="Normal"/>
    <w:next w:val="Normal"/>
    <w:link w:val="IntenseQuoteChar"/>
    <w:uiPriority w:val="98"/>
    <w:semiHidden/>
    <w:qFormat/>
    <w:rsid w:val="00AE333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E3332"/>
    <w:rPr>
      <w:rFonts w:eastAsiaTheme="minorEastAsia"/>
      <w:b/>
      <w:bCs/>
      <w:i/>
      <w:iCs/>
      <w:sz w:val="24"/>
      <w:lang w:val="en-GB" w:bidi="en-US"/>
    </w:rPr>
  </w:style>
  <w:style w:type="character" w:styleId="IntenseReference">
    <w:name w:val="Intense Reference"/>
    <w:uiPriority w:val="98"/>
    <w:semiHidden/>
    <w:qFormat/>
    <w:rsid w:val="00AE3332"/>
    <w:rPr>
      <w:smallCaps/>
      <w:spacing w:val="5"/>
      <w:u w:val="single"/>
    </w:rPr>
  </w:style>
  <w:style w:type="paragraph" w:styleId="ListParagraph">
    <w:name w:val="List Paragraph"/>
    <w:basedOn w:val="Normal"/>
    <w:uiPriority w:val="98"/>
    <w:semiHidden/>
    <w:qFormat/>
    <w:rsid w:val="00AE3332"/>
    <w:pPr>
      <w:ind w:left="720"/>
      <w:contextualSpacing/>
    </w:pPr>
  </w:style>
  <w:style w:type="table" w:customStyle="1" w:styleId="LtrTableAddress">
    <w:name w:val="Ltr_Table_Address"/>
    <w:aliases w:val="ECHR_Ltr_Table_Address"/>
    <w:basedOn w:val="TableNormal"/>
    <w:uiPriority w:val="99"/>
    <w:rsid w:val="00AE3332"/>
    <w:tblPr>
      <w:tblInd w:w="5103" w:type="dxa"/>
    </w:tblPr>
  </w:style>
  <w:style w:type="paragraph" w:styleId="Quote">
    <w:name w:val="Quote"/>
    <w:basedOn w:val="Normal"/>
    <w:next w:val="Normal"/>
    <w:link w:val="QuoteChar"/>
    <w:uiPriority w:val="98"/>
    <w:semiHidden/>
    <w:qFormat/>
    <w:rsid w:val="00AE3332"/>
    <w:pPr>
      <w:spacing w:before="200"/>
      <w:ind w:left="360" w:right="360"/>
    </w:pPr>
    <w:rPr>
      <w:i/>
      <w:iCs/>
      <w:lang w:bidi="en-US"/>
    </w:rPr>
  </w:style>
  <w:style w:type="character" w:customStyle="1" w:styleId="QuoteChar">
    <w:name w:val="Quote Char"/>
    <w:basedOn w:val="DefaultParagraphFont"/>
    <w:link w:val="Quote"/>
    <w:uiPriority w:val="98"/>
    <w:semiHidden/>
    <w:rsid w:val="00AE3332"/>
    <w:rPr>
      <w:rFonts w:eastAsiaTheme="minorEastAsia"/>
      <w:i/>
      <w:iCs/>
      <w:sz w:val="24"/>
      <w:lang w:val="en-GB" w:bidi="en-US"/>
    </w:rPr>
  </w:style>
  <w:style w:type="character" w:styleId="SubtleReference">
    <w:name w:val="Subtle Reference"/>
    <w:uiPriority w:val="98"/>
    <w:semiHidden/>
    <w:qFormat/>
    <w:rsid w:val="00AE3332"/>
    <w:rPr>
      <w:smallCaps/>
    </w:rPr>
  </w:style>
  <w:style w:type="table" w:styleId="TableGrid">
    <w:name w:val="Table Grid"/>
    <w:basedOn w:val="TableNormal"/>
    <w:uiPriority w:val="59"/>
    <w:semiHidden/>
    <w:rsid w:val="00AE333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E333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E333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E333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E333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E333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E333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aliases w:val="ECHR_UG_Table"/>
    <w:basedOn w:val="TableNormal"/>
    <w:uiPriority w:val="99"/>
    <w:rsid w:val="00AE3332"/>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E3332"/>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E3332"/>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E3332"/>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E3332"/>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E3332"/>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E333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8"/>
    <w:semiHidden/>
    <w:qFormat/>
    <w:rsid w:val="00AE3332"/>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8"/>
    <w:semiHidden/>
    <w:rsid w:val="00AE333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E3332"/>
    <w:pPr>
      <w:numPr>
        <w:numId w:val="2"/>
      </w:numPr>
    </w:pPr>
  </w:style>
  <w:style w:type="paragraph" w:customStyle="1" w:styleId="JuPara">
    <w:name w:val="Ju_Para"/>
    <w:aliases w:val="_Para"/>
    <w:basedOn w:val="NormalJustified"/>
    <w:link w:val="JuParaChar"/>
    <w:uiPriority w:val="4"/>
    <w:qFormat/>
    <w:rsid w:val="00AE3332"/>
    <w:pPr>
      <w:ind w:firstLine="284"/>
    </w:pPr>
  </w:style>
  <w:style w:type="numbering" w:styleId="1ai">
    <w:name w:val="Outline List 1"/>
    <w:basedOn w:val="NoList"/>
    <w:uiPriority w:val="99"/>
    <w:semiHidden/>
    <w:unhideWhenUsed/>
    <w:rsid w:val="00AE3332"/>
    <w:pPr>
      <w:numPr>
        <w:numId w:val="3"/>
      </w:numPr>
    </w:pPr>
  </w:style>
  <w:style w:type="table" w:customStyle="1" w:styleId="ECHRTableSimpleBox">
    <w:name w:val="ECHR_Table_Simple_Box"/>
    <w:basedOn w:val="TableNormal"/>
    <w:uiPriority w:val="99"/>
    <w:rsid w:val="00AE3332"/>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E3332"/>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E3332"/>
    <w:pPr>
      <w:numPr>
        <w:numId w:val="4"/>
      </w:numPr>
    </w:pPr>
  </w:style>
  <w:style w:type="table" w:customStyle="1" w:styleId="ECHRTableForInternalUse">
    <w:name w:val="ECHR_Table_For_Internal_Use"/>
    <w:basedOn w:val="TableNormal"/>
    <w:uiPriority w:val="99"/>
    <w:rsid w:val="00AE3332"/>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E333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E3332"/>
  </w:style>
  <w:style w:type="paragraph" w:styleId="BlockText">
    <w:name w:val="Block Text"/>
    <w:basedOn w:val="Normal"/>
    <w:uiPriority w:val="98"/>
    <w:semiHidden/>
    <w:rsid w:val="00AE333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E3332"/>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E3332"/>
    <w:pPr>
      <w:spacing w:after="120"/>
    </w:pPr>
  </w:style>
  <w:style w:type="character" w:customStyle="1" w:styleId="BodyTextChar">
    <w:name w:val="Body Text Char"/>
    <w:basedOn w:val="DefaultParagraphFont"/>
    <w:link w:val="BodyText"/>
    <w:uiPriority w:val="98"/>
    <w:semiHidden/>
    <w:rsid w:val="00AE3332"/>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E3332"/>
    <w:pPr>
      <w:spacing w:after="120" w:line="480" w:lineRule="auto"/>
    </w:pPr>
  </w:style>
  <w:style w:type="table" w:customStyle="1" w:styleId="ECHRHeaderTableReduced">
    <w:name w:val="ECHR_Header_Table_Reduced"/>
    <w:basedOn w:val="TableNormal"/>
    <w:uiPriority w:val="99"/>
    <w:rsid w:val="00AE3332"/>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AE3332"/>
    <w:pPr>
      <w:ind w:firstLine="284"/>
    </w:pPr>
    <w:rPr>
      <w:b/>
    </w:rPr>
  </w:style>
  <w:style w:type="character" w:styleId="PageNumber">
    <w:name w:val="page number"/>
    <w:uiPriority w:val="98"/>
    <w:semiHidden/>
    <w:rsid w:val="00AE3332"/>
    <w:rPr>
      <w:sz w:val="18"/>
    </w:rPr>
  </w:style>
  <w:style w:type="paragraph" w:styleId="ListBullet">
    <w:name w:val="List Bullet"/>
    <w:basedOn w:val="Normal"/>
    <w:uiPriority w:val="98"/>
    <w:semiHidden/>
    <w:rsid w:val="00AE3332"/>
    <w:pPr>
      <w:numPr>
        <w:numId w:val="9"/>
      </w:numPr>
    </w:pPr>
  </w:style>
  <w:style w:type="paragraph" w:styleId="ListBullet3">
    <w:name w:val="List Bullet 3"/>
    <w:basedOn w:val="Normal"/>
    <w:uiPriority w:val="98"/>
    <w:semiHidden/>
    <w:rsid w:val="00AE3332"/>
    <w:pPr>
      <w:numPr>
        <w:numId w:val="11"/>
      </w:numPr>
      <w:contextualSpacing/>
    </w:pPr>
  </w:style>
  <w:style w:type="character" w:customStyle="1" w:styleId="BodyText2Char">
    <w:name w:val="Body Text 2 Char"/>
    <w:basedOn w:val="DefaultParagraphFont"/>
    <w:link w:val="BodyText2"/>
    <w:uiPriority w:val="98"/>
    <w:semiHidden/>
    <w:rsid w:val="00AE3332"/>
    <w:rPr>
      <w:rFonts w:eastAsiaTheme="minorEastAsia"/>
      <w:sz w:val="24"/>
      <w:lang w:val="en-GB"/>
    </w:rPr>
  </w:style>
  <w:style w:type="paragraph" w:styleId="BodyText3">
    <w:name w:val="Body Text 3"/>
    <w:basedOn w:val="Normal"/>
    <w:link w:val="BodyText3Char"/>
    <w:uiPriority w:val="98"/>
    <w:semiHidden/>
    <w:rsid w:val="00AE3332"/>
    <w:pPr>
      <w:spacing w:after="120"/>
    </w:pPr>
    <w:rPr>
      <w:sz w:val="16"/>
      <w:szCs w:val="16"/>
    </w:rPr>
  </w:style>
  <w:style w:type="character" w:customStyle="1" w:styleId="BodyText3Char">
    <w:name w:val="Body Text 3 Char"/>
    <w:basedOn w:val="DefaultParagraphFont"/>
    <w:link w:val="BodyText3"/>
    <w:uiPriority w:val="98"/>
    <w:semiHidden/>
    <w:rsid w:val="00AE3332"/>
    <w:rPr>
      <w:rFonts w:eastAsiaTheme="minorEastAsia"/>
      <w:sz w:val="16"/>
      <w:szCs w:val="16"/>
      <w:lang w:val="en-GB"/>
    </w:rPr>
  </w:style>
  <w:style w:type="paragraph" w:styleId="BodyTextFirstIndent">
    <w:name w:val="Body Text First Indent"/>
    <w:basedOn w:val="BodyText"/>
    <w:link w:val="BodyTextFirstIndentChar"/>
    <w:uiPriority w:val="98"/>
    <w:semiHidden/>
    <w:rsid w:val="00AE3332"/>
    <w:pPr>
      <w:spacing w:after="0"/>
      <w:ind w:firstLine="360"/>
    </w:pPr>
  </w:style>
  <w:style w:type="character" w:customStyle="1" w:styleId="BodyTextFirstIndentChar">
    <w:name w:val="Body Text First Indent Char"/>
    <w:basedOn w:val="BodyTextChar"/>
    <w:link w:val="BodyTextFirstIndent"/>
    <w:uiPriority w:val="98"/>
    <w:semiHidden/>
    <w:rsid w:val="00AE3332"/>
    <w:rPr>
      <w:rFonts w:eastAsiaTheme="minorEastAsia"/>
      <w:sz w:val="24"/>
      <w:lang w:val="en-GB"/>
    </w:rPr>
  </w:style>
  <w:style w:type="paragraph" w:styleId="BodyTextIndent">
    <w:name w:val="Body Text Indent"/>
    <w:basedOn w:val="Normal"/>
    <w:link w:val="BodyTextIndentChar"/>
    <w:uiPriority w:val="98"/>
    <w:semiHidden/>
    <w:rsid w:val="00AE3332"/>
    <w:pPr>
      <w:spacing w:after="120"/>
      <w:ind w:left="283"/>
    </w:pPr>
  </w:style>
  <w:style w:type="character" w:customStyle="1" w:styleId="BodyTextIndentChar">
    <w:name w:val="Body Text Indent Char"/>
    <w:basedOn w:val="DefaultParagraphFont"/>
    <w:link w:val="BodyTextIndent"/>
    <w:uiPriority w:val="98"/>
    <w:semiHidden/>
    <w:rsid w:val="00AE3332"/>
    <w:rPr>
      <w:rFonts w:eastAsiaTheme="minorEastAsia"/>
      <w:sz w:val="24"/>
      <w:lang w:val="en-GB"/>
    </w:rPr>
  </w:style>
  <w:style w:type="paragraph" w:styleId="BodyTextFirstIndent2">
    <w:name w:val="Body Text First Indent 2"/>
    <w:basedOn w:val="BodyTextIndent"/>
    <w:link w:val="BodyTextFirstIndent2Char"/>
    <w:uiPriority w:val="98"/>
    <w:semiHidden/>
    <w:rsid w:val="00AE3332"/>
    <w:pPr>
      <w:spacing w:after="0"/>
      <w:ind w:left="360" w:firstLine="360"/>
    </w:pPr>
  </w:style>
  <w:style w:type="character" w:customStyle="1" w:styleId="BodyTextFirstIndent2Char">
    <w:name w:val="Body Text First Indent 2 Char"/>
    <w:basedOn w:val="BodyTextIndentChar"/>
    <w:link w:val="BodyTextFirstIndent2"/>
    <w:uiPriority w:val="98"/>
    <w:semiHidden/>
    <w:rsid w:val="00AE3332"/>
    <w:rPr>
      <w:rFonts w:eastAsiaTheme="minorEastAsia"/>
      <w:sz w:val="24"/>
      <w:lang w:val="en-GB"/>
    </w:rPr>
  </w:style>
  <w:style w:type="paragraph" w:styleId="BodyTextIndent2">
    <w:name w:val="Body Text Indent 2"/>
    <w:basedOn w:val="Normal"/>
    <w:link w:val="BodyTextIndent2Char"/>
    <w:uiPriority w:val="98"/>
    <w:semiHidden/>
    <w:rsid w:val="00AE3332"/>
    <w:pPr>
      <w:spacing w:after="120" w:line="480" w:lineRule="auto"/>
      <w:ind w:left="283"/>
    </w:pPr>
  </w:style>
  <w:style w:type="character" w:customStyle="1" w:styleId="BodyTextIndent2Char">
    <w:name w:val="Body Text Indent 2 Char"/>
    <w:basedOn w:val="DefaultParagraphFont"/>
    <w:link w:val="BodyTextIndent2"/>
    <w:uiPriority w:val="98"/>
    <w:semiHidden/>
    <w:rsid w:val="00AE3332"/>
    <w:rPr>
      <w:rFonts w:eastAsiaTheme="minorEastAsia"/>
      <w:sz w:val="24"/>
      <w:lang w:val="en-GB"/>
    </w:rPr>
  </w:style>
  <w:style w:type="paragraph" w:styleId="BodyTextIndent3">
    <w:name w:val="Body Text Indent 3"/>
    <w:basedOn w:val="Normal"/>
    <w:link w:val="BodyTextIndent3Char"/>
    <w:uiPriority w:val="98"/>
    <w:semiHidden/>
    <w:rsid w:val="00AE333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E3332"/>
    <w:rPr>
      <w:rFonts w:eastAsiaTheme="minorEastAsia"/>
      <w:sz w:val="16"/>
      <w:szCs w:val="16"/>
      <w:lang w:val="en-GB"/>
    </w:rPr>
  </w:style>
  <w:style w:type="paragraph" w:styleId="Caption">
    <w:name w:val="caption"/>
    <w:basedOn w:val="Normal"/>
    <w:next w:val="Normal"/>
    <w:uiPriority w:val="98"/>
    <w:semiHidden/>
    <w:qFormat/>
    <w:rsid w:val="00AE3332"/>
    <w:pPr>
      <w:spacing w:after="200"/>
    </w:pPr>
    <w:rPr>
      <w:b/>
      <w:bCs/>
      <w:color w:val="0072BC" w:themeColor="accent1"/>
      <w:sz w:val="18"/>
      <w:szCs w:val="18"/>
    </w:rPr>
  </w:style>
  <w:style w:type="paragraph" w:styleId="Closing">
    <w:name w:val="Closing"/>
    <w:basedOn w:val="Normal"/>
    <w:link w:val="ClosingChar"/>
    <w:uiPriority w:val="98"/>
    <w:semiHidden/>
    <w:rsid w:val="00AE3332"/>
    <w:pPr>
      <w:ind w:left="4252"/>
    </w:pPr>
  </w:style>
  <w:style w:type="character" w:customStyle="1" w:styleId="ClosingChar">
    <w:name w:val="Closing Char"/>
    <w:basedOn w:val="DefaultParagraphFont"/>
    <w:link w:val="Closing"/>
    <w:uiPriority w:val="98"/>
    <w:semiHidden/>
    <w:rsid w:val="00AE3332"/>
    <w:rPr>
      <w:rFonts w:eastAsiaTheme="minorEastAsia"/>
      <w:sz w:val="24"/>
      <w:lang w:val="en-GB"/>
    </w:rPr>
  </w:style>
  <w:style w:type="table" w:styleId="ColorfulGrid">
    <w:name w:val="Colorful Grid"/>
    <w:basedOn w:val="TableNormal"/>
    <w:uiPriority w:val="73"/>
    <w:semiHidden/>
    <w:rsid w:val="00AE333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E333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E333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E333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E333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E333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E333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E333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E333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E333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E333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E333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E333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E333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E333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E333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E333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E333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E333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E333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E333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E3332"/>
    <w:rPr>
      <w:sz w:val="16"/>
      <w:szCs w:val="16"/>
    </w:rPr>
  </w:style>
  <w:style w:type="paragraph" w:styleId="CommentText">
    <w:name w:val="annotation text"/>
    <w:basedOn w:val="Normal"/>
    <w:link w:val="CommentTextChar"/>
    <w:uiPriority w:val="98"/>
    <w:semiHidden/>
    <w:rsid w:val="00AE3332"/>
    <w:rPr>
      <w:sz w:val="20"/>
      <w:szCs w:val="20"/>
    </w:rPr>
  </w:style>
  <w:style w:type="character" w:customStyle="1" w:styleId="CommentTextChar">
    <w:name w:val="Comment Text Char"/>
    <w:basedOn w:val="DefaultParagraphFont"/>
    <w:link w:val="CommentText"/>
    <w:uiPriority w:val="98"/>
    <w:semiHidden/>
    <w:rsid w:val="00AE3332"/>
    <w:rPr>
      <w:rFonts w:eastAsiaTheme="minorEastAsia"/>
      <w:sz w:val="20"/>
      <w:szCs w:val="20"/>
      <w:lang w:val="en-GB"/>
    </w:rPr>
  </w:style>
  <w:style w:type="paragraph" w:styleId="CommentSubject">
    <w:name w:val="annotation subject"/>
    <w:basedOn w:val="CommentText"/>
    <w:next w:val="CommentText"/>
    <w:link w:val="CommentSubjectChar"/>
    <w:uiPriority w:val="98"/>
    <w:semiHidden/>
    <w:rsid w:val="00AE3332"/>
    <w:rPr>
      <w:b/>
      <w:bCs/>
    </w:rPr>
  </w:style>
  <w:style w:type="character" w:customStyle="1" w:styleId="CommentSubjectChar">
    <w:name w:val="Comment Subject Char"/>
    <w:basedOn w:val="CommentTextChar"/>
    <w:link w:val="CommentSubject"/>
    <w:uiPriority w:val="98"/>
    <w:semiHidden/>
    <w:rsid w:val="00AE3332"/>
    <w:rPr>
      <w:rFonts w:eastAsiaTheme="minorEastAsia"/>
      <w:b/>
      <w:bCs/>
      <w:sz w:val="20"/>
      <w:szCs w:val="20"/>
      <w:lang w:val="en-GB"/>
    </w:rPr>
  </w:style>
  <w:style w:type="table" w:styleId="DarkList">
    <w:name w:val="Dark List"/>
    <w:basedOn w:val="TableNormal"/>
    <w:uiPriority w:val="70"/>
    <w:semiHidden/>
    <w:rsid w:val="00AE333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E333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E333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E333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E333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E333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E333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E3332"/>
  </w:style>
  <w:style w:type="character" w:customStyle="1" w:styleId="DateChar">
    <w:name w:val="Date Char"/>
    <w:basedOn w:val="DefaultParagraphFont"/>
    <w:link w:val="Date"/>
    <w:uiPriority w:val="98"/>
    <w:semiHidden/>
    <w:rsid w:val="00AE3332"/>
    <w:rPr>
      <w:rFonts w:eastAsiaTheme="minorEastAsia"/>
      <w:sz w:val="24"/>
      <w:lang w:val="en-GB"/>
    </w:rPr>
  </w:style>
  <w:style w:type="paragraph" w:styleId="DocumentMap">
    <w:name w:val="Document Map"/>
    <w:basedOn w:val="Normal"/>
    <w:link w:val="DocumentMapChar"/>
    <w:uiPriority w:val="98"/>
    <w:semiHidden/>
    <w:rsid w:val="00AE3332"/>
    <w:rPr>
      <w:rFonts w:ascii="Tahoma" w:hAnsi="Tahoma" w:cs="Tahoma"/>
      <w:sz w:val="16"/>
      <w:szCs w:val="16"/>
    </w:rPr>
  </w:style>
  <w:style w:type="character" w:customStyle="1" w:styleId="DocumentMapChar">
    <w:name w:val="Document Map Char"/>
    <w:basedOn w:val="DefaultParagraphFont"/>
    <w:link w:val="DocumentMap"/>
    <w:uiPriority w:val="98"/>
    <w:semiHidden/>
    <w:rsid w:val="00AE3332"/>
    <w:rPr>
      <w:rFonts w:ascii="Tahoma" w:eastAsiaTheme="minorEastAsia" w:hAnsi="Tahoma" w:cs="Tahoma"/>
      <w:sz w:val="16"/>
      <w:szCs w:val="16"/>
      <w:lang w:val="en-GB"/>
    </w:rPr>
  </w:style>
  <w:style w:type="paragraph" w:styleId="E-mailSignature">
    <w:name w:val="E-mail Signature"/>
    <w:basedOn w:val="Normal"/>
    <w:link w:val="E-mailSignatureChar"/>
    <w:uiPriority w:val="98"/>
    <w:semiHidden/>
    <w:rsid w:val="00AE3332"/>
  </w:style>
  <w:style w:type="character" w:customStyle="1" w:styleId="E-mailSignatureChar">
    <w:name w:val="E-mail Signature Char"/>
    <w:basedOn w:val="DefaultParagraphFont"/>
    <w:link w:val="E-mailSignature"/>
    <w:uiPriority w:val="98"/>
    <w:semiHidden/>
    <w:rsid w:val="00AE3332"/>
    <w:rPr>
      <w:rFonts w:eastAsiaTheme="minorEastAsia"/>
      <w:sz w:val="24"/>
      <w:lang w:val="en-GB"/>
    </w:rPr>
  </w:style>
  <w:style w:type="character" w:styleId="EndnoteReference">
    <w:name w:val="endnote reference"/>
    <w:basedOn w:val="DefaultParagraphFont"/>
    <w:uiPriority w:val="98"/>
    <w:semiHidden/>
    <w:rsid w:val="00AE3332"/>
    <w:rPr>
      <w:vertAlign w:val="superscript"/>
    </w:rPr>
  </w:style>
  <w:style w:type="paragraph" w:styleId="EndnoteText">
    <w:name w:val="endnote text"/>
    <w:basedOn w:val="Normal"/>
    <w:link w:val="EndnoteTextChar"/>
    <w:uiPriority w:val="98"/>
    <w:semiHidden/>
    <w:rsid w:val="00AE3332"/>
    <w:rPr>
      <w:sz w:val="20"/>
      <w:szCs w:val="20"/>
    </w:rPr>
  </w:style>
  <w:style w:type="character" w:customStyle="1" w:styleId="EndnoteTextChar">
    <w:name w:val="Endnote Text Char"/>
    <w:basedOn w:val="DefaultParagraphFont"/>
    <w:link w:val="EndnoteText"/>
    <w:uiPriority w:val="98"/>
    <w:semiHidden/>
    <w:rsid w:val="00AE3332"/>
    <w:rPr>
      <w:rFonts w:eastAsiaTheme="minorEastAsia"/>
      <w:sz w:val="20"/>
      <w:szCs w:val="20"/>
      <w:lang w:val="en-GB"/>
    </w:rPr>
  </w:style>
  <w:style w:type="paragraph" w:styleId="EnvelopeAddress">
    <w:name w:val="envelope address"/>
    <w:basedOn w:val="Normal"/>
    <w:uiPriority w:val="98"/>
    <w:semiHidden/>
    <w:rsid w:val="00AE333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8"/>
    <w:semiHidden/>
    <w:rsid w:val="00AE333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E3332"/>
    <w:rPr>
      <w:color w:val="7030A0" w:themeColor="followedHyperlink"/>
      <w:u w:val="single"/>
    </w:rPr>
  </w:style>
  <w:style w:type="character" w:styleId="HTMLAcronym">
    <w:name w:val="HTML Acronym"/>
    <w:basedOn w:val="DefaultParagraphFont"/>
    <w:uiPriority w:val="98"/>
    <w:semiHidden/>
    <w:rsid w:val="00AE3332"/>
  </w:style>
  <w:style w:type="paragraph" w:styleId="HTMLAddress">
    <w:name w:val="HTML Address"/>
    <w:basedOn w:val="Normal"/>
    <w:link w:val="HTMLAddressChar"/>
    <w:uiPriority w:val="98"/>
    <w:semiHidden/>
    <w:rsid w:val="00AE3332"/>
    <w:rPr>
      <w:i/>
      <w:iCs/>
    </w:rPr>
  </w:style>
  <w:style w:type="character" w:customStyle="1" w:styleId="HTMLAddressChar">
    <w:name w:val="HTML Address Char"/>
    <w:basedOn w:val="DefaultParagraphFont"/>
    <w:link w:val="HTMLAddress"/>
    <w:uiPriority w:val="98"/>
    <w:semiHidden/>
    <w:rsid w:val="00AE3332"/>
    <w:rPr>
      <w:rFonts w:eastAsiaTheme="minorEastAsia"/>
      <w:i/>
      <w:iCs/>
      <w:sz w:val="24"/>
      <w:lang w:val="en-GB"/>
    </w:rPr>
  </w:style>
  <w:style w:type="character" w:styleId="HTMLCite">
    <w:name w:val="HTML Cite"/>
    <w:basedOn w:val="DefaultParagraphFont"/>
    <w:uiPriority w:val="98"/>
    <w:semiHidden/>
    <w:rsid w:val="00AE3332"/>
    <w:rPr>
      <w:i/>
      <w:iCs/>
    </w:rPr>
  </w:style>
  <w:style w:type="character" w:styleId="HTMLCode">
    <w:name w:val="HTML Code"/>
    <w:basedOn w:val="DefaultParagraphFont"/>
    <w:uiPriority w:val="98"/>
    <w:semiHidden/>
    <w:rsid w:val="00AE3332"/>
    <w:rPr>
      <w:rFonts w:ascii="Consolas" w:hAnsi="Consolas" w:cs="Consolas"/>
      <w:sz w:val="20"/>
      <w:szCs w:val="20"/>
    </w:rPr>
  </w:style>
  <w:style w:type="character" w:styleId="HTMLDefinition">
    <w:name w:val="HTML Definition"/>
    <w:basedOn w:val="DefaultParagraphFont"/>
    <w:uiPriority w:val="98"/>
    <w:semiHidden/>
    <w:rsid w:val="00AE3332"/>
    <w:rPr>
      <w:i/>
      <w:iCs/>
    </w:rPr>
  </w:style>
  <w:style w:type="character" w:styleId="HTMLKeyboard">
    <w:name w:val="HTML Keyboard"/>
    <w:basedOn w:val="DefaultParagraphFont"/>
    <w:uiPriority w:val="98"/>
    <w:semiHidden/>
    <w:rsid w:val="00AE3332"/>
    <w:rPr>
      <w:rFonts w:ascii="Consolas" w:hAnsi="Consolas" w:cs="Consolas"/>
      <w:sz w:val="20"/>
      <w:szCs w:val="20"/>
    </w:rPr>
  </w:style>
  <w:style w:type="paragraph" w:styleId="HTMLPreformatted">
    <w:name w:val="HTML Preformatted"/>
    <w:basedOn w:val="Normal"/>
    <w:link w:val="HTMLPreformattedChar"/>
    <w:uiPriority w:val="98"/>
    <w:semiHidden/>
    <w:rsid w:val="00AE333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E3332"/>
    <w:rPr>
      <w:rFonts w:ascii="Consolas" w:eastAsiaTheme="minorEastAsia" w:hAnsi="Consolas" w:cs="Consolas"/>
      <w:sz w:val="20"/>
      <w:szCs w:val="20"/>
      <w:lang w:val="en-GB"/>
    </w:rPr>
  </w:style>
  <w:style w:type="character" w:styleId="HTMLSample">
    <w:name w:val="HTML Sample"/>
    <w:basedOn w:val="DefaultParagraphFont"/>
    <w:uiPriority w:val="98"/>
    <w:semiHidden/>
    <w:rsid w:val="00AE3332"/>
    <w:rPr>
      <w:rFonts w:ascii="Consolas" w:hAnsi="Consolas" w:cs="Consolas"/>
      <w:sz w:val="24"/>
      <w:szCs w:val="24"/>
    </w:rPr>
  </w:style>
  <w:style w:type="character" w:styleId="HTMLTypewriter">
    <w:name w:val="HTML Typewriter"/>
    <w:basedOn w:val="DefaultParagraphFont"/>
    <w:uiPriority w:val="98"/>
    <w:semiHidden/>
    <w:rsid w:val="00AE3332"/>
    <w:rPr>
      <w:rFonts w:ascii="Consolas" w:hAnsi="Consolas" w:cs="Consolas"/>
      <w:sz w:val="20"/>
      <w:szCs w:val="20"/>
    </w:rPr>
  </w:style>
  <w:style w:type="character" w:styleId="HTMLVariable">
    <w:name w:val="HTML Variable"/>
    <w:basedOn w:val="DefaultParagraphFont"/>
    <w:uiPriority w:val="98"/>
    <w:semiHidden/>
    <w:rsid w:val="00AE3332"/>
    <w:rPr>
      <w:i/>
      <w:iCs/>
    </w:rPr>
  </w:style>
  <w:style w:type="paragraph" w:styleId="Index1">
    <w:name w:val="index 1"/>
    <w:basedOn w:val="Normal"/>
    <w:next w:val="Normal"/>
    <w:autoRedefine/>
    <w:uiPriority w:val="98"/>
    <w:semiHidden/>
    <w:rsid w:val="00AE3332"/>
    <w:pPr>
      <w:ind w:left="240" w:hanging="240"/>
    </w:pPr>
  </w:style>
  <w:style w:type="paragraph" w:styleId="Index2">
    <w:name w:val="index 2"/>
    <w:basedOn w:val="Normal"/>
    <w:next w:val="Normal"/>
    <w:autoRedefine/>
    <w:uiPriority w:val="98"/>
    <w:semiHidden/>
    <w:rsid w:val="00AE3332"/>
    <w:pPr>
      <w:ind w:left="480" w:hanging="240"/>
    </w:pPr>
  </w:style>
  <w:style w:type="paragraph" w:styleId="Index3">
    <w:name w:val="index 3"/>
    <w:basedOn w:val="Normal"/>
    <w:next w:val="Normal"/>
    <w:autoRedefine/>
    <w:uiPriority w:val="98"/>
    <w:semiHidden/>
    <w:rsid w:val="00AE3332"/>
    <w:pPr>
      <w:ind w:left="720" w:hanging="240"/>
    </w:pPr>
  </w:style>
  <w:style w:type="paragraph" w:styleId="Index4">
    <w:name w:val="index 4"/>
    <w:basedOn w:val="Normal"/>
    <w:next w:val="Normal"/>
    <w:autoRedefine/>
    <w:uiPriority w:val="98"/>
    <w:semiHidden/>
    <w:rsid w:val="00AE3332"/>
    <w:pPr>
      <w:ind w:left="960" w:hanging="240"/>
    </w:pPr>
  </w:style>
  <w:style w:type="paragraph" w:styleId="Index5">
    <w:name w:val="index 5"/>
    <w:basedOn w:val="Normal"/>
    <w:next w:val="Normal"/>
    <w:autoRedefine/>
    <w:uiPriority w:val="98"/>
    <w:semiHidden/>
    <w:rsid w:val="00AE3332"/>
    <w:pPr>
      <w:ind w:left="1200" w:hanging="240"/>
    </w:pPr>
  </w:style>
  <w:style w:type="paragraph" w:styleId="Index6">
    <w:name w:val="index 6"/>
    <w:basedOn w:val="Normal"/>
    <w:next w:val="Normal"/>
    <w:autoRedefine/>
    <w:uiPriority w:val="98"/>
    <w:semiHidden/>
    <w:rsid w:val="00AE3332"/>
    <w:pPr>
      <w:ind w:left="1440" w:hanging="240"/>
    </w:pPr>
  </w:style>
  <w:style w:type="paragraph" w:styleId="Index7">
    <w:name w:val="index 7"/>
    <w:basedOn w:val="Normal"/>
    <w:next w:val="Normal"/>
    <w:autoRedefine/>
    <w:uiPriority w:val="98"/>
    <w:semiHidden/>
    <w:rsid w:val="00AE3332"/>
    <w:pPr>
      <w:ind w:left="1680" w:hanging="240"/>
    </w:pPr>
  </w:style>
  <w:style w:type="paragraph" w:styleId="Index8">
    <w:name w:val="index 8"/>
    <w:basedOn w:val="Normal"/>
    <w:next w:val="Normal"/>
    <w:autoRedefine/>
    <w:uiPriority w:val="98"/>
    <w:semiHidden/>
    <w:rsid w:val="00AE3332"/>
    <w:pPr>
      <w:ind w:left="1920" w:hanging="240"/>
    </w:pPr>
  </w:style>
  <w:style w:type="paragraph" w:styleId="Index9">
    <w:name w:val="index 9"/>
    <w:basedOn w:val="Normal"/>
    <w:next w:val="Normal"/>
    <w:autoRedefine/>
    <w:uiPriority w:val="98"/>
    <w:semiHidden/>
    <w:rsid w:val="00AE3332"/>
    <w:pPr>
      <w:ind w:left="2160" w:hanging="240"/>
    </w:pPr>
  </w:style>
  <w:style w:type="paragraph" w:styleId="IndexHeading">
    <w:name w:val="index heading"/>
    <w:basedOn w:val="Normal"/>
    <w:next w:val="Index1"/>
    <w:uiPriority w:val="98"/>
    <w:semiHidden/>
    <w:rsid w:val="00AE3332"/>
    <w:rPr>
      <w:rFonts w:asciiTheme="majorHAnsi" w:eastAsiaTheme="majorEastAsia" w:hAnsiTheme="majorHAnsi" w:cstheme="majorBidi"/>
      <w:b/>
      <w:bCs/>
    </w:rPr>
  </w:style>
  <w:style w:type="table" w:styleId="LightGrid">
    <w:name w:val="Light Grid"/>
    <w:basedOn w:val="TableNormal"/>
    <w:uiPriority w:val="62"/>
    <w:semiHidden/>
    <w:rsid w:val="00AE333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E333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E333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E333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E333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E333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E333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E333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E333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E333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E333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E333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E333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E333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E333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E333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E333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E333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E333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E333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E333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E3332"/>
  </w:style>
  <w:style w:type="paragraph" w:styleId="List">
    <w:name w:val="List"/>
    <w:basedOn w:val="Normal"/>
    <w:uiPriority w:val="98"/>
    <w:semiHidden/>
    <w:rsid w:val="00AE3332"/>
    <w:pPr>
      <w:ind w:left="283" w:hanging="283"/>
      <w:contextualSpacing/>
    </w:pPr>
  </w:style>
  <w:style w:type="paragraph" w:styleId="List2">
    <w:name w:val="List 2"/>
    <w:basedOn w:val="Normal"/>
    <w:uiPriority w:val="98"/>
    <w:semiHidden/>
    <w:rsid w:val="00AE3332"/>
    <w:pPr>
      <w:ind w:left="566" w:hanging="283"/>
      <w:contextualSpacing/>
    </w:pPr>
  </w:style>
  <w:style w:type="paragraph" w:styleId="List3">
    <w:name w:val="List 3"/>
    <w:basedOn w:val="Normal"/>
    <w:uiPriority w:val="98"/>
    <w:semiHidden/>
    <w:rsid w:val="00AE3332"/>
    <w:pPr>
      <w:ind w:left="849" w:hanging="283"/>
      <w:contextualSpacing/>
    </w:pPr>
  </w:style>
  <w:style w:type="paragraph" w:styleId="List4">
    <w:name w:val="List 4"/>
    <w:basedOn w:val="Normal"/>
    <w:uiPriority w:val="98"/>
    <w:semiHidden/>
    <w:rsid w:val="00AE3332"/>
    <w:pPr>
      <w:ind w:left="1132" w:hanging="283"/>
      <w:contextualSpacing/>
    </w:pPr>
  </w:style>
  <w:style w:type="paragraph" w:styleId="List5">
    <w:name w:val="List 5"/>
    <w:basedOn w:val="Normal"/>
    <w:uiPriority w:val="98"/>
    <w:semiHidden/>
    <w:rsid w:val="00AE3332"/>
    <w:pPr>
      <w:ind w:left="1415" w:hanging="283"/>
      <w:contextualSpacing/>
    </w:pPr>
  </w:style>
  <w:style w:type="paragraph" w:styleId="ListBullet2">
    <w:name w:val="List Bullet 2"/>
    <w:basedOn w:val="Normal"/>
    <w:uiPriority w:val="98"/>
    <w:semiHidden/>
    <w:rsid w:val="00AE3332"/>
    <w:pPr>
      <w:numPr>
        <w:numId w:val="10"/>
      </w:numPr>
      <w:contextualSpacing/>
    </w:pPr>
  </w:style>
  <w:style w:type="paragraph" w:styleId="ListBullet4">
    <w:name w:val="List Bullet 4"/>
    <w:basedOn w:val="Normal"/>
    <w:uiPriority w:val="98"/>
    <w:semiHidden/>
    <w:rsid w:val="00AE3332"/>
    <w:pPr>
      <w:numPr>
        <w:numId w:val="12"/>
      </w:numPr>
      <w:contextualSpacing/>
    </w:pPr>
  </w:style>
  <w:style w:type="paragraph" w:styleId="ListBullet5">
    <w:name w:val="List Bullet 5"/>
    <w:basedOn w:val="Normal"/>
    <w:uiPriority w:val="98"/>
    <w:semiHidden/>
    <w:rsid w:val="00AE3332"/>
    <w:pPr>
      <w:numPr>
        <w:numId w:val="13"/>
      </w:numPr>
      <w:contextualSpacing/>
    </w:pPr>
  </w:style>
  <w:style w:type="paragraph" w:styleId="ListContinue">
    <w:name w:val="List Continue"/>
    <w:basedOn w:val="Normal"/>
    <w:uiPriority w:val="98"/>
    <w:semiHidden/>
    <w:rsid w:val="00AE3332"/>
    <w:pPr>
      <w:spacing w:after="120"/>
      <w:ind w:left="283"/>
      <w:contextualSpacing/>
    </w:pPr>
  </w:style>
  <w:style w:type="paragraph" w:styleId="ListContinue2">
    <w:name w:val="List Continue 2"/>
    <w:basedOn w:val="Normal"/>
    <w:uiPriority w:val="98"/>
    <w:semiHidden/>
    <w:rsid w:val="00AE3332"/>
    <w:pPr>
      <w:spacing w:after="120"/>
      <w:ind w:left="566"/>
      <w:contextualSpacing/>
    </w:pPr>
  </w:style>
  <w:style w:type="paragraph" w:styleId="ListContinue3">
    <w:name w:val="List Continue 3"/>
    <w:basedOn w:val="Normal"/>
    <w:uiPriority w:val="98"/>
    <w:semiHidden/>
    <w:rsid w:val="00AE3332"/>
    <w:pPr>
      <w:spacing w:after="120"/>
      <w:ind w:left="849"/>
      <w:contextualSpacing/>
    </w:pPr>
  </w:style>
  <w:style w:type="paragraph" w:styleId="ListContinue4">
    <w:name w:val="List Continue 4"/>
    <w:basedOn w:val="Normal"/>
    <w:uiPriority w:val="98"/>
    <w:semiHidden/>
    <w:rsid w:val="00AE3332"/>
    <w:pPr>
      <w:spacing w:after="120"/>
      <w:ind w:left="1132"/>
      <w:contextualSpacing/>
    </w:pPr>
  </w:style>
  <w:style w:type="paragraph" w:styleId="ListContinue5">
    <w:name w:val="List Continue 5"/>
    <w:basedOn w:val="Normal"/>
    <w:uiPriority w:val="98"/>
    <w:semiHidden/>
    <w:rsid w:val="00AE3332"/>
    <w:pPr>
      <w:spacing w:after="120"/>
      <w:ind w:left="1415"/>
      <w:contextualSpacing/>
    </w:pPr>
  </w:style>
  <w:style w:type="paragraph" w:styleId="ListNumber">
    <w:name w:val="List Number"/>
    <w:basedOn w:val="Normal"/>
    <w:uiPriority w:val="98"/>
    <w:semiHidden/>
    <w:rsid w:val="00AE3332"/>
    <w:pPr>
      <w:numPr>
        <w:numId w:val="14"/>
      </w:numPr>
      <w:contextualSpacing/>
    </w:pPr>
  </w:style>
  <w:style w:type="paragraph" w:styleId="ListNumber2">
    <w:name w:val="List Number 2"/>
    <w:basedOn w:val="Normal"/>
    <w:uiPriority w:val="98"/>
    <w:semiHidden/>
    <w:rsid w:val="00AE3332"/>
    <w:pPr>
      <w:numPr>
        <w:numId w:val="15"/>
      </w:numPr>
      <w:contextualSpacing/>
    </w:pPr>
  </w:style>
  <w:style w:type="paragraph" w:styleId="ListNumber3">
    <w:name w:val="List Number 3"/>
    <w:basedOn w:val="Normal"/>
    <w:uiPriority w:val="98"/>
    <w:semiHidden/>
    <w:rsid w:val="00AE3332"/>
    <w:pPr>
      <w:numPr>
        <w:numId w:val="16"/>
      </w:numPr>
      <w:contextualSpacing/>
    </w:pPr>
  </w:style>
  <w:style w:type="paragraph" w:styleId="ListNumber4">
    <w:name w:val="List Number 4"/>
    <w:basedOn w:val="Normal"/>
    <w:uiPriority w:val="98"/>
    <w:semiHidden/>
    <w:rsid w:val="00AE3332"/>
    <w:pPr>
      <w:numPr>
        <w:numId w:val="17"/>
      </w:numPr>
      <w:contextualSpacing/>
    </w:pPr>
  </w:style>
  <w:style w:type="paragraph" w:styleId="ListNumber5">
    <w:name w:val="List Number 5"/>
    <w:basedOn w:val="Normal"/>
    <w:uiPriority w:val="98"/>
    <w:semiHidden/>
    <w:rsid w:val="00AE3332"/>
    <w:pPr>
      <w:numPr>
        <w:numId w:val="18"/>
      </w:numPr>
      <w:contextualSpacing/>
    </w:pPr>
  </w:style>
  <w:style w:type="paragraph" w:styleId="MacroText">
    <w:name w:val="macro"/>
    <w:link w:val="MacroTextChar"/>
    <w:uiPriority w:val="98"/>
    <w:semiHidden/>
    <w:rsid w:val="00AE333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AE3332"/>
    <w:rPr>
      <w:rFonts w:ascii="Consolas" w:eastAsiaTheme="minorEastAsia" w:hAnsi="Consolas" w:cs="Consolas"/>
      <w:sz w:val="20"/>
      <w:szCs w:val="20"/>
    </w:rPr>
  </w:style>
  <w:style w:type="table" w:styleId="MediumGrid1">
    <w:name w:val="Medium Grid 1"/>
    <w:basedOn w:val="TableNormal"/>
    <w:uiPriority w:val="67"/>
    <w:semiHidden/>
    <w:rsid w:val="00AE333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E333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E333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E333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E333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E333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E333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E333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E333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E333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E333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E333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E333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E333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E333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E333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E333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E333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E333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E333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E333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E333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E333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E333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E333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E333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E333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E333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E333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E333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E333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E333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E333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E333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E333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E333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E333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E333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E333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E333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E333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E333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E333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E333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E333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E333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E333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E333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E333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E333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8"/>
    <w:semiHidden/>
    <w:rsid w:val="00AE333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E3332"/>
    <w:rPr>
      <w:rFonts w:ascii="Times New Roman" w:hAnsi="Times New Roman" w:cs="Times New Roman"/>
      <w:szCs w:val="24"/>
    </w:rPr>
  </w:style>
  <w:style w:type="paragraph" w:styleId="NormalIndent">
    <w:name w:val="Normal Indent"/>
    <w:basedOn w:val="Normal"/>
    <w:uiPriority w:val="98"/>
    <w:semiHidden/>
    <w:rsid w:val="00AE3332"/>
    <w:pPr>
      <w:ind w:left="720"/>
    </w:pPr>
  </w:style>
  <w:style w:type="paragraph" w:styleId="NoteHeading">
    <w:name w:val="Note Heading"/>
    <w:basedOn w:val="Normal"/>
    <w:next w:val="Normal"/>
    <w:link w:val="NoteHeadingChar"/>
    <w:uiPriority w:val="98"/>
    <w:semiHidden/>
    <w:rsid w:val="00AE3332"/>
  </w:style>
  <w:style w:type="character" w:customStyle="1" w:styleId="NoteHeadingChar">
    <w:name w:val="Note Heading Char"/>
    <w:basedOn w:val="DefaultParagraphFont"/>
    <w:link w:val="NoteHeading"/>
    <w:uiPriority w:val="98"/>
    <w:semiHidden/>
    <w:rsid w:val="00AE3332"/>
    <w:rPr>
      <w:rFonts w:eastAsiaTheme="minorEastAsia"/>
      <w:sz w:val="24"/>
      <w:lang w:val="en-GB"/>
    </w:rPr>
  </w:style>
  <w:style w:type="character" w:styleId="PlaceholderText">
    <w:name w:val="Placeholder Text"/>
    <w:basedOn w:val="DefaultParagraphFont"/>
    <w:uiPriority w:val="98"/>
    <w:semiHidden/>
    <w:rsid w:val="00AE333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E3332"/>
    <w:rPr>
      <w:rFonts w:ascii="Consolas" w:hAnsi="Consolas" w:cs="Consolas"/>
      <w:sz w:val="21"/>
      <w:szCs w:val="21"/>
    </w:rPr>
  </w:style>
  <w:style w:type="character" w:customStyle="1" w:styleId="PlainTextChar">
    <w:name w:val="Plain Text Char"/>
    <w:basedOn w:val="DefaultParagraphFont"/>
    <w:link w:val="PlainText"/>
    <w:uiPriority w:val="98"/>
    <w:semiHidden/>
    <w:rsid w:val="00AE3332"/>
    <w:rPr>
      <w:rFonts w:ascii="Consolas" w:eastAsiaTheme="minorEastAsia" w:hAnsi="Consolas" w:cs="Consolas"/>
      <w:sz w:val="21"/>
      <w:szCs w:val="21"/>
      <w:lang w:val="en-GB"/>
    </w:rPr>
  </w:style>
  <w:style w:type="paragraph" w:styleId="Salutation">
    <w:name w:val="Salutation"/>
    <w:basedOn w:val="Normal"/>
    <w:next w:val="Normal"/>
    <w:link w:val="SalutationChar"/>
    <w:uiPriority w:val="98"/>
    <w:semiHidden/>
    <w:rsid w:val="00AE3332"/>
  </w:style>
  <w:style w:type="character" w:customStyle="1" w:styleId="SalutationChar">
    <w:name w:val="Salutation Char"/>
    <w:basedOn w:val="DefaultParagraphFont"/>
    <w:link w:val="Salutation"/>
    <w:uiPriority w:val="98"/>
    <w:semiHidden/>
    <w:rsid w:val="00AE3332"/>
    <w:rPr>
      <w:rFonts w:eastAsiaTheme="minorEastAsia"/>
      <w:sz w:val="24"/>
      <w:lang w:val="en-GB"/>
    </w:rPr>
  </w:style>
  <w:style w:type="paragraph" w:styleId="Signature">
    <w:name w:val="Signature"/>
    <w:basedOn w:val="Normal"/>
    <w:link w:val="SignatureChar"/>
    <w:uiPriority w:val="98"/>
    <w:semiHidden/>
    <w:rsid w:val="00AE3332"/>
    <w:pPr>
      <w:ind w:left="4252"/>
    </w:pPr>
  </w:style>
  <w:style w:type="character" w:customStyle="1" w:styleId="SignatureChar">
    <w:name w:val="Signature Char"/>
    <w:basedOn w:val="DefaultParagraphFont"/>
    <w:link w:val="Signature"/>
    <w:uiPriority w:val="98"/>
    <w:semiHidden/>
    <w:rsid w:val="00AE3332"/>
    <w:rPr>
      <w:rFonts w:eastAsiaTheme="minorEastAsia"/>
      <w:sz w:val="24"/>
      <w:lang w:val="en-GB"/>
    </w:rPr>
  </w:style>
  <w:style w:type="table" w:styleId="Table3Deffects1">
    <w:name w:val="Table 3D effects 1"/>
    <w:basedOn w:val="TableNormal"/>
    <w:uiPriority w:val="99"/>
    <w:semiHidden/>
    <w:unhideWhenUsed/>
    <w:rsid w:val="00AE333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E333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E333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E333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E333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E333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E333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E333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E333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E333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E333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E333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E333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E333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E333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E333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E333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E333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E333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E333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E333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E333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E333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E333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E333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E333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E333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E333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E333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E333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E333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E333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E333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E3332"/>
    <w:pPr>
      <w:ind w:left="240" w:hanging="240"/>
    </w:pPr>
  </w:style>
  <w:style w:type="paragraph" w:styleId="TableofFigures">
    <w:name w:val="table of figures"/>
    <w:basedOn w:val="Normal"/>
    <w:next w:val="Normal"/>
    <w:uiPriority w:val="98"/>
    <w:semiHidden/>
    <w:rsid w:val="00AE3332"/>
  </w:style>
  <w:style w:type="table" w:styleId="TableProfessional">
    <w:name w:val="Table Professional"/>
    <w:basedOn w:val="TableNormal"/>
    <w:uiPriority w:val="99"/>
    <w:semiHidden/>
    <w:unhideWhenUsed/>
    <w:rsid w:val="00AE333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E333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E333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E333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E333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E333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E33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E333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E333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E333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E333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E333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E3332"/>
    <w:pPr>
      <w:spacing w:after="100"/>
      <w:ind w:left="1680"/>
    </w:pPr>
  </w:style>
  <w:style w:type="paragraph" w:styleId="TOC9">
    <w:name w:val="toc 9"/>
    <w:basedOn w:val="Normal"/>
    <w:next w:val="Normal"/>
    <w:autoRedefine/>
    <w:uiPriority w:val="98"/>
    <w:semiHidden/>
    <w:rsid w:val="00AE3332"/>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AE3332"/>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8"/>
    <w:qFormat/>
    <w:rsid w:val="00AE3332"/>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29"/>
    <w:qFormat/>
    <w:rsid w:val="00AE3332"/>
    <w:pPr>
      <w:tabs>
        <w:tab w:val="clear" w:pos="3686"/>
        <w:tab w:val="clear" w:pos="7371"/>
        <w:tab w:val="center" w:pos="6146"/>
        <w:tab w:val="right" w:pos="12293"/>
      </w:tabs>
    </w:pPr>
  </w:style>
  <w:style w:type="paragraph" w:customStyle="1" w:styleId="JuTitle">
    <w:name w:val="Ju_Title"/>
    <w:aliases w:val="_Title_2"/>
    <w:basedOn w:val="Normal"/>
    <w:next w:val="JuPara"/>
    <w:uiPriority w:val="38"/>
    <w:qFormat/>
    <w:rsid w:val="00AE3332"/>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4"/>
    <w:rsid w:val="00AC0F95"/>
    <w:rPr>
      <w:rFonts w:eastAsiaTheme="minorEastAsia"/>
      <w:sz w:val="24"/>
      <w:lang w:val="en-GB"/>
    </w:rPr>
  </w:style>
  <w:style w:type="paragraph" w:customStyle="1" w:styleId="ECHRBullet2">
    <w:name w:val="ECHR_Bullet_2"/>
    <w:aliases w:val="_Bul_2"/>
    <w:basedOn w:val="ECHRBullet1"/>
    <w:uiPriority w:val="23"/>
    <w:semiHidden/>
    <w:rsid w:val="00AE3332"/>
    <w:pPr>
      <w:numPr>
        <w:ilvl w:val="1"/>
      </w:numPr>
    </w:pPr>
  </w:style>
  <w:style w:type="paragraph" w:customStyle="1" w:styleId="ECHRBullet3">
    <w:name w:val="ECHR_Bullet_3"/>
    <w:aliases w:val="_Bul_3"/>
    <w:basedOn w:val="ECHRBullet2"/>
    <w:uiPriority w:val="23"/>
    <w:semiHidden/>
    <w:rsid w:val="00AE3332"/>
    <w:pPr>
      <w:numPr>
        <w:ilvl w:val="2"/>
      </w:numPr>
    </w:pPr>
  </w:style>
  <w:style w:type="paragraph" w:customStyle="1" w:styleId="ECHRBullet4">
    <w:name w:val="ECHR_Bullet_4"/>
    <w:aliases w:val="_Bul_4"/>
    <w:basedOn w:val="ECHRBullet3"/>
    <w:uiPriority w:val="23"/>
    <w:semiHidden/>
    <w:rsid w:val="00AE3332"/>
    <w:pPr>
      <w:numPr>
        <w:ilvl w:val="3"/>
      </w:numPr>
    </w:pPr>
  </w:style>
  <w:style w:type="paragraph" w:customStyle="1" w:styleId="ECHRConfidential">
    <w:name w:val="ECHR_Confidential"/>
    <w:aliases w:val="_Confidential"/>
    <w:basedOn w:val="Normal"/>
    <w:next w:val="Normal"/>
    <w:uiPriority w:val="42"/>
    <w:semiHidden/>
    <w:qFormat/>
    <w:rsid w:val="00AE3332"/>
    <w:pPr>
      <w:jc w:val="right"/>
    </w:pPr>
    <w:rPr>
      <w:rFonts w:eastAsiaTheme="minorHAnsi"/>
      <w:color w:val="C00000"/>
      <w:sz w:val="20"/>
    </w:rPr>
  </w:style>
  <w:style w:type="paragraph" w:customStyle="1" w:styleId="ECHRDecisionBody">
    <w:name w:val="ECHR_Decision_Body"/>
    <w:aliases w:val="_Decision_Body"/>
    <w:basedOn w:val="NormalJustified"/>
    <w:uiPriority w:val="54"/>
    <w:semiHidden/>
    <w:rsid w:val="00AE333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E3332"/>
    <w:pPr>
      <w:contextualSpacing/>
      <w:jc w:val="center"/>
    </w:pPr>
    <w:rPr>
      <w:rFonts w:ascii="Arial" w:eastAsiaTheme="minorHAnsi"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AE3332"/>
    <w:rPr>
      <w:rFonts w:ascii="Arial" w:hAnsi="Arial"/>
      <w:i/>
      <w:color w:val="0072BC" w:themeColor="accent1"/>
      <w:sz w:val="32"/>
      <w:lang w:val="en-GB"/>
    </w:rPr>
  </w:style>
  <w:style w:type="paragraph" w:customStyle="1" w:styleId="DummyStyle">
    <w:name w:val="Dummy_Style"/>
    <w:aliases w:val="_Dummy"/>
    <w:basedOn w:val="Normal"/>
    <w:semiHidden/>
    <w:qFormat/>
    <w:rsid w:val="00AE3332"/>
    <w:rPr>
      <w:rFonts w:eastAsiaTheme="minorHAnsi"/>
      <w:color w:val="00B050"/>
      <w:sz w:val="22"/>
    </w:rPr>
  </w:style>
  <w:style w:type="paragraph" w:customStyle="1" w:styleId="ECHRFooterLineLandscape">
    <w:name w:val="ECHR_Footer_Line_Landscape"/>
    <w:aliases w:val="_Footer_Line_Landscape"/>
    <w:basedOn w:val="Normal"/>
    <w:uiPriority w:val="30"/>
    <w:semiHidden/>
    <w:rsid w:val="00AE3332"/>
    <w:pPr>
      <w:pBdr>
        <w:top w:val="single" w:sz="8" w:space="1" w:color="7F7F7F" w:themeColor="text1" w:themeTint="80"/>
      </w:pBdr>
      <w:tabs>
        <w:tab w:val="center" w:pos="6787"/>
        <w:tab w:val="right" w:pos="14640"/>
      </w:tabs>
      <w:ind w:left="-680" w:right="-680"/>
    </w:pPr>
    <w:rPr>
      <w:rFonts w:eastAsiaTheme="minorHAnsi"/>
      <w:color w:val="474747" w:themeColor="accent3" w:themeShade="BF"/>
      <w:sz w:val="22"/>
    </w:rPr>
  </w:style>
  <w:style w:type="paragraph" w:customStyle="1" w:styleId="ECHRParaHanging">
    <w:name w:val="ECHR_Para_Hanging"/>
    <w:aliases w:val="_Hanging"/>
    <w:basedOn w:val="Normal"/>
    <w:uiPriority w:val="8"/>
    <w:semiHidden/>
    <w:qFormat/>
    <w:rsid w:val="00AE3332"/>
    <w:pPr>
      <w:ind w:left="567" w:hanging="567"/>
      <w:jc w:val="both"/>
    </w:pPr>
    <w:rPr>
      <w:rFonts w:eastAsiaTheme="minorHAnsi"/>
      <w:sz w:val="22"/>
    </w:rPr>
  </w:style>
  <w:style w:type="paragraph" w:customStyle="1" w:styleId="ECHRHeading9">
    <w:name w:val="ECHR_Heading_9"/>
    <w:aliases w:val="_Head_9"/>
    <w:basedOn w:val="Heading9"/>
    <w:next w:val="Normal"/>
    <w:uiPriority w:val="19"/>
    <w:semiHidden/>
    <w:rsid w:val="00AE3332"/>
    <w:pPr>
      <w:numPr>
        <w:numId w:val="1"/>
      </w:numPr>
    </w:pPr>
    <w:rPr>
      <w:i w:val="0"/>
      <w:sz w:val="18"/>
    </w:rPr>
  </w:style>
  <w:style w:type="paragraph" w:customStyle="1" w:styleId="ECHRParaIndent">
    <w:name w:val="ECHR_Para_Indent"/>
    <w:aliases w:val="_Indent"/>
    <w:basedOn w:val="Normal"/>
    <w:uiPriority w:val="7"/>
    <w:semiHidden/>
    <w:qFormat/>
    <w:rsid w:val="00AE3332"/>
    <w:pPr>
      <w:spacing w:before="120" w:after="120"/>
      <w:ind w:left="567"/>
      <w:jc w:val="both"/>
    </w:pPr>
    <w:rPr>
      <w:rFonts w:eastAsiaTheme="minorHAnsi"/>
      <w:sz w:val="22"/>
    </w:rPr>
  </w:style>
  <w:style w:type="paragraph" w:customStyle="1" w:styleId="ECHRLine">
    <w:name w:val="ECHR_Line"/>
    <w:aliases w:val="_Line"/>
    <w:basedOn w:val="NormalJustified"/>
    <w:next w:val="Normal"/>
    <w:uiPriority w:val="46"/>
    <w:semiHidden/>
    <w:rsid w:val="00AE3332"/>
    <w:pPr>
      <w:pBdr>
        <w:bottom w:val="single" w:sz="12" w:space="1" w:color="949494" w:themeColor="text2" w:themeShade="BF"/>
      </w:pBdr>
      <w:spacing w:after="120"/>
    </w:pPr>
    <w:rPr>
      <w:rFonts w:eastAsiaTheme="minorHAnsi"/>
      <w:sz w:val="12"/>
    </w:rPr>
  </w:style>
  <w:style w:type="paragraph" w:customStyle="1" w:styleId="DecList">
    <w:name w:val="Dec_List"/>
    <w:aliases w:val="_List"/>
    <w:basedOn w:val="JuList"/>
    <w:uiPriority w:val="22"/>
    <w:rsid w:val="00AE3332"/>
    <w:pPr>
      <w:numPr>
        <w:numId w:val="0"/>
      </w:numPr>
      <w:ind w:left="284"/>
    </w:pPr>
  </w:style>
  <w:style w:type="paragraph" w:customStyle="1" w:styleId="ECHRNumberedList1">
    <w:name w:val="ECHR_Numbered_List_1"/>
    <w:aliases w:val="_Num_1"/>
    <w:basedOn w:val="Normal"/>
    <w:uiPriority w:val="23"/>
    <w:semiHidden/>
    <w:qFormat/>
    <w:rsid w:val="00AE3332"/>
    <w:pPr>
      <w:numPr>
        <w:numId w:val="7"/>
      </w:numPr>
      <w:spacing w:before="60" w:after="60"/>
    </w:pPr>
    <w:rPr>
      <w:sz w:val="22"/>
    </w:rPr>
  </w:style>
  <w:style w:type="paragraph" w:customStyle="1" w:styleId="ECHRNumberedList2">
    <w:name w:val="ECHR_Numbered_List_2"/>
    <w:aliases w:val="_Num_2"/>
    <w:basedOn w:val="ECHRNumberedList1"/>
    <w:uiPriority w:val="23"/>
    <w:semiHidden/>
    <w:rsid w:val="00AE3332"/>
    <w:pPr>
      <w:numPr>
        <w:ilvl w:val="1"/>
      </w:numPr>
    </w:pPr>
  </w:style>
  <w:style w:type="paragraph" w:customStyle="1" w:styleId="ECHRNumberedList3">
    <w:name w:val="ECHR_Numbered_List_3"/>
    <w:aliases w:val="_Num_3"/>
    <w:basedOn w:val="ECHRNumberedList2"/>
    <w:uiPriority w:val="23"/>
    <w:semiHidden/>
    <w:rsid w:val="00AE3332"/>
    <w:pPr>
      <w:numPr>
        <w:ilvl w:val="2"/>
      </w:numPr>
    </w:pPr>
  </w:style>
  <w:style w:type="character" w:customStyle="1" w:styleId="ECHRRed">
    <w:name w:val="ECHR_Red"/>
    <w:aliases w:val="_Red"/>
    <w:basedOn w:val="DefaultParagraphFont"/>
    <w:uiPriority w:val="15"/>
    <w:semiHidden/>
    <w:qFormat/>
    <w:rsid w:val="00AE3332"/>
    <w:rPr>
      <w:color w:val="C00000" w:themeColor="accent2"/>
    </w:rPr>
  </w:style>
  <w:style w:type="paragraph" w:customStyle="1" w:styleId="ECHRHeaderDate">
    <w:name w:val="ECHR_Header_Date"/>
    <w:aliases w:val="_Ref_Date"/>
    <w:basedOn w:val="Normal"/>
    <w:uiPriority w:val="44"/>
    <w:semiHidden/>
    <w:qFormat/>
    <w:rsid w:val="00AE3332"/>
    <w:pPr>
      <w:jc w:val="right"/>
    </w:pPr>
    <w:rPr>
      <w:rFonts w:eastAsiaTheme="minorHAnsi"/>
      <w:sz w:val="20"/>
    </w:rPr>
  </w:style>
  <w:style w:type="paragraph" w:customStyle="1" w:styleId="ECHRHeaderRefIt">
    <w:name w:val="ECHR_Header_Ref_It"/>
    <w:aliases w:val="_Ref_Ital"/>
    <w:basedOn w:val="Normal"/>
    <w:next w:val="ECHRHeaderDate"/>
    <w:uiPriority w:val="43"/>
    <w:semiHidden/>
    <w:qFormat/>
    <w:rsid w:val="00AE3332"/>
    <w:pPr>
      <w:jc w:val="right"/>
    </w:pPr>
    <w:rPr>
      <w:rFonts w:eastAsiaTheme="minorHAnsi"/>
      <w:i/>
      <w:sz w:val="20"/>
    </w:rPr>
  </w:style>
  <w:style w:type="paragraph" w:customStyle="1" w:styleId="ECHRSpacer">
    <w:name w:val="ECHR_Spacer"/>
    <w:aliases w:val="_Spacer"/>
    <w:basedOn w:val="Normal"/>
    <w:uiPriority w:val="45"/>
    <w:semiHidden/>
    <w:rsid w:val="00AE3332"/>
    <w:rPr>
      <w:rFonts w:eastAsiaTheme="minorHAnsi"/>
      <w:sz w:val="4"/>
    </w:rPr>
  </w:style>
  <w:style w:type="paragraph" w:customStyle="1" w:styleId="ECHRTitleCentre1">
    <w:name w:val="ECHR_Title_Centre_1"/>
    <w:aliases w:val="_Title_C_1"/>
    <w:basedOn w:val="Normal"/>
    <w:next w:val="Normal"/>
    <w:uiPriority w:val="26"/>
    <w:semiHidden/>
    <w:qFormat/>
    <w:rsid w:val="00AE3332"/>
    <w:pPr>
      <w:keepNext/>
      <w:keepLines/>
      <w:spacing w:before="240"/>
      <w:contextualSpacing/>
      <w:jc w:val="center"/>
    </w:pPr>
    <w:rPr>
      <w:rFonts w:asciiTheme="majorHAnsi" w:eastAsiaTheme="min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E3332"/>
    <w:pPr>
      <w:keepNext/>
      <w:keepLines/>
      <w:spacing w:before="240"/>
      <w:contextualSpacing/>
      <w:jc w:val="center"/>
    </w:pPr>
    <w:rPr>
      <w:rFonts w:asciiTheme="majorHAnsi" w:eastAsiaTheme="min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E3332"/>
    <w:pPr>
      <w:keepNext/>
      <w:keepLines/>
      <w:spacing w:before="240"/>
      <w:contextualSpacing/>
      <w:jc w:val="center"/>
    </w:pPr>
    <w:rPr>
      <w:rFonts w:asciiTheme="majorHAnsi" w:eastAsiaTheme="min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E3332"/>
    <w:pPr>
      <w:outlineLvl w:val="0"/>
    </w:pPr>
  </w:style>
  <w:style w:type="paragraph" w:customStyle="1" w:styleId="ECHRTitle1">
    <w:name w:val="ECHR_Title_1"/>
    <w:aliases w:val="_Title_L_1"/>
    <w:basedOn w:val="Normal"/>
    <w:next w:val="Normal"/>
    <w:uiPriority w:val="28"/>
    <w:semiHidden/>
    <w:qFormat/>
    <w:rsid w:val="00AE3332"/>
    <w:pPr>
      <w:keepNext/>
      <w:keepLines/>
      <w:spacing w:before="240"/>
      <w:contextualSpacing/>
    </w:pPr>
    <w:rPr>
      <w:rFonts w:asciiTheme="majorHAnsi" w:eastAsiaTheme="min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E3332"/>
    <w:pPr>
      <w:keepNext/>
      <w:keepLines/>
      <w:spacing w:before="240"/>
      <w:contextualSpacing/>
    </w:pPr>
    <w:rPr>
      <w:rFonts w:asciiTheme="majorHAnsi" w:eastAsiaTheme="min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E3332"/>
    <w:pPr>
      <w:keepNext/>
      <w:keepLines/>
      <w:spacing w:before="240"/>
      <w:contextualSpacing/>
    </w:pPr>
    <w:rPr>
      <w:rFonts w:asciiTheme="majorHAnsi" w:eastAsiaTheme="min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AE3332"/>
    <w:pPr>
      <w:outlineLvl w:val="0"/>
    </w:pPr>
  </w:style>
  <w:style w:type="table" w:customStyle="1" w:styleId="ECHRTable2">
    <w:name w:val="ECHR_Table_2"/>
    <w:basedOn w:val="TableNormal"/>
    <w:uiPriority w:val="99"/>
    <w:rsid w:val="00AE3332"/>
    <w:pPr>
      <w:tabs>
        <w:tab w:val="left" w:pos="567"/>
        <w:tab w:val="left" w:pos="851"/>
        <w:tab w:val="right" w:pos="5273"/>
      </w:tabs>
    </w:pPr>
    <w:rPr>
      <w:color w:val="262626" w:themeColor="text1" w:themeTint="D9"/>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E3332"/>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3D3853-43C6-4D39-BFA7-09ABE6BBA09F}"/>
</file>

<file path=customXml/itemProps2.xml><?xml version="1.0" encoding="utf-8"?>
<ds:datastoreItem xmlns:ds="http://schemas.openxmlformats.org/officeDocument/2006/customXml" ds:itemID="{BE6058A9-DE8F-4604-8B32-38E13C122BEE}"/>
</file>

<file path=customXml/itemProps3.xml><?xml version="1.0" encoding="utf-8"?>
<ds:datastoreItem xmlns:ds="http://schemas.openxmlformats.org/officeDocument/2006/customXml" ds:itemID="{77B63FCF-7984-4EC9-A6E6-9652F89AF92A}"/>
</file>

<file path=customXml/itemProps4.xml><?xml version="1.0" encoding="utf-8"?>
<ds:datastoreItem xmlns:ds="http://schemas.openxmlformats.org/officeDocument/2006/customXml" ds:itemID="{1111BB2E-4B8E-404E-9E91-4751591BDABC}"/>
</file>

<file path=docProps/app.xml><?xml version="1.0" encoding="utf-8"?>
<Properties xmlns="http://schemas.openxmlformats.org/officeDocument/2006/extended-properties" xmlns:vt="http://schemas.openxmlformats.org/officeDocument/2006/docPropsVTypes">
  <Template>Normal.dotm</Template>
  <TotalTime>0</TotalTime>
  <Pages>1</Pages>
  <Words>2043</Words>
  <Characters>11651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13667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2019-12-17T08:50:00Z</dcterms:created>
  <dcterms:modified xsi:type="dcterms:W3CDTF">2019-12-17T08:50:00Z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66812/17</vt:lpwstr>
  </property>
  <property fmtid="{D5CDD505-2E9C-101B-9397-08002B2CF9AE}" pid="4" name="CASEID">
    <vt:lpwstr>1340069</vt:lpwstr>
  </property>
  <property fmtid="{D5CDD505-2E9C-101B-9397-08002B2CF9AE}" pid="5" name="ContentTypeId">
    <vt:lpwstr>0x010100558EB02BDB9E204AB350EDD385B68E10</vt:lpwstr>
  </property>
</Properties>
</file>