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3941FD" w:rsidR="0098410D" w:rsidP="003941FD" w:rsidRDefault="0098410D">
      <w:pPr>
        <w:jc w:val="center"/>
      </w:pPr>
      <w:bookmarkStart w:name="_GoBack" w:id="0"/>
      <w:bookmarkEnd w:id="0"/>
    </w:p>
    <w:p w:rsidRPr="003941FD" w:rsidR="0098410D" w:rsidP="003941FD" w:rsidRDefault="001C02ED">
      <w:pPr>
        <w:pStyle w:val="DecHCase"/>
      </w:pPr>
      <w:r w:rsidRPr="003941FD">
        <w:t>THIRD SECTION</w:t>
      </w:r>
    </w:p>
    <w:p w:rsidRPr="003941FD" w:rsidR="008E6217" w:rsidP="003941FD" w:rsidRDefault="008E6217">
      <w:pPr>
        <w:pStyle w:val="JuTitle"/>
      </w:pPr>
      <w:bookmarkStart w:name="To" w:id="1"/>
      <w:r w:rsidRPr="003941FD">
        <w:rPr>
          <w:color w:val="000000" w:themeColor="text1"/>
        </w:rPr>
        <w:t xml:space="preserve">CASE OF </w:t>
      </w:r>
      <w:bookmarkEnd w:id="1"/>
      <w:r w:rsidRPr="003941FD" w:rsidR="001C02ED">
        <w:t>ZUBENKO v. RUSSIA</w:t>
      </w:r>
    </w:p>
    <w:p w:rsidRPr="003941FD" w:rsidR="00D74888" w:rsidP="003941FD" w:rsidRDefault="008E6217">
      <w:pPr>
        <w:pStyle w:val="ECHRCoverTitle4"/>
      </w:pPr>
      <w:r w:rsidRPr="003941FD">
        <w:t>(</w:t>
      </w:r>
      <w:r w:rsidRPr="003941FD" w:rsidR="001C02ED">
        <w:t>Application no.</w:t>
      </w:r>
      <w:r w:rsidRPr="003941FD">
        <w:t xml:space="preserve"> </w:t>
      </w:r>
      <w:r w:rsidRPr="003941FD" w:rsidR="001C02ED">
        <w:t>37397/15</w:t>
      </w:r>
      <w:r w:rsidRPr="003941FD">
        <w:t>)</w:t>
      </w:r>
    </w:p>
    <w:p w:rsidRPr="003941FD" w:rsidR="0098410D" w:rsidP="003941FD" w:rsidRDefault="0098410D">
      <w:pPr>
        <w:pStyle w:val="DecHCase"/>
      </w:pPr>
    </w:p>
    <w:p w:rsidRPr="003941FD" w:rsidR="0098410D" w:rsidP="003941FD" w:rsidRDefault="0098410D">
      <w:pPr>
        <w:pStyle w:val="DecHCase"/>
      </w:pPr>
    </w:p>
    <w:p w:rsidRPr="003941FD" w:rsidR="00AC4CD4" w:rsidP="003941FD" w:rsidRDefault="00AC4CD4">
      <w:pPr>
        <w:pStyle w:val="DecHCase"/>
      </w:pPr>
    </w:p>
    <w:p w:rsidRPr="003941FD" w:rsidR="003941FD" w:rsidP="003941FD" w:rsidRDefault="003941FD">
      <w:pPr>
        <w:pStyle w:val="DecHCase"/>
      </w:pPr>
    </w:p>
    <w:p w:rsidRPr="003941FD" w:rsidR="003941FD" w:rsidP="003941FD" w:rsidRDefault="003941FD">
      <w:pPr>
        <w:pStyle w:val="DecHCase"/>
      </w:pPr>
    </w:p>
    <w:p w:rsidRPr="003941FD" w:rsidR="0098410D" w:rsidP="003941FD" w:rsidRDefault="0098410D">
      <w:pPr>
        <w:pStyle w:val="DecHCase"/>
      </w:pPr>
    </w:p>
    <w:p w:rsidRPr="003941FD" w:rsidR="0098410D" w:rsidP="003941FD" w:rsidRDefault="0098410D">
      <w:pPr>
        <w:pStyle w:val="DecHCase"/>
      </w:pPr>
      <w:r w:rsidRPr="003941FD">
        <w:t>JUDGMENT</w:t>
      </w:r>
      <w:r w:rsidRPr="003941FD" w:rsidR="00AC4CD4">
        <w:br/>
      </w:r>
    </w:p>
    <w:p w:rsidRPr="003941FD" w:rsidR="0098410D" w:rsidP="003941FD" w:rsidRDefault="0098410D">
      <w:pPr>
        <w:pStyle w:val="DecHCase"/>
      </w:pPr>
      <w:r w:rsidRPr="003941FD">
        <w:t>STRASBOURG</w:t>
      </w:r>
    </w:p>
    <w:p w:rsidRPr="003941FD" w:rsidR="0098410D" w:rsidP="003941FD" w:rsidRDefault="001C02ED">
      <w:pPr>
        <w:pStyle w:val="DecHCase"/>
        <w:rPr>
          <w:szCs w:val="24"/>
        </w:rPr>
      </w:pPr>
      <w:r w:rsidRPr="003941FD">
        <w:rPr>
          <w:rFonts w:ascii="Times New Roman" w:hAnsi="Times New Roman" w:cs="Times New Roman"/>
        </w:rPr>
        <w:t>17 December 2019</w:t>
      </w:r>
    </w:p>
    <w:p w:rsidRPr="003941FD" w:rsidR="00AC4CD4" w:rsidP="003941FD" w:rsidRDefault="00AC4CD4">
      <w:pPr>
        <w:pStyle w:val="JuPara"/>
      </w:pPr>
    </w:p>
    <w:p w:rsidRPr="003941FD" w:rsidR="002422B6" w:rsidP="003941FD" w:rsidRDefault="0098410D">
      <w:pPr>
        <w:rPr>
          <w:i/>
          <w:sz w:val="22"/>
        </w:rPr>
      </w:pPr>
      <w:r w:rsidRPr="003941FD">
        <w:rPr>
          <w:i/>
          <w:sz w:val="22"/>
        </w:rPr>
        <w:t xml:space="preserve">This judgment </w:t>
      </w:r>
      <w:r w:rsidRPr="003941FD" w:rsidR="001C02ED">
        <w:rPr>
          <w:i/>
          <w:sz w:val="22"/>
        </w:rPr>
        <w:t>is final but it</w:t>
      </w:r>
      <w:r w:rsidRPr="003941FD">
        <w:rPr>
          <w:i/>
          <w:sz w:val="22"/>
        </w:rPr>
        <w:t xml:space="preserve"> may be subject to editorial revision.</w:t>
      </w:r>
    </w:p>
    <w:p w:rsidRPr="003941FD" w:rsidR="0098410D" w:rsidP="003941FD" w:rsidRDefault="0098410D">
      <w:pPr>
        <w:sectPr w:rsidRPr="003941FD"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3941FD" w:rsidR="0098410D" w:rsidP="003941FD" w:rsidRDefault="0098410D">
      <w:pPr>
        <w:pStyle w:val="JuCase"/>
      </w:pPr>
      <w:r w:rsidRPr="003941FD">
        <w:t xml:space="preserve">In the case of </w:t>
      </w:r>
      <w:proofErr w:type="spellStart"/>
      <w:r w:rsidRPr="003941FD" w:rsidR="001C02ED">
        <w:t>Zubenko</w:t>
      </w:r>
      <w:proofErr w:type="spellEnd"/>
      <w:r w:rsidRPr="003941FD" w:rsidR="001C02ED">
        <w:t xml:space="preserve"> v. Russia</w:t>
      </w:r>
      <w:r w:rsidRPr="003941FD">
        <w:t>,</w:t>
      </w:r>
    </w:p>
    <w:p w:rsidRPr="003941FD" w:rsidR="009F4C8F" w:rsidP="003941FD" w:rsidRDefault="009F4C8F">
      <w:pPr>
        <w:pStyle w:val="JuPara"/>
      </w:pPr>
      <w:r w:rsidRPr="003941FD">
        <w:t>The European Court of Human Rights (</w:t>
      </w:r>
      <w:r w:rsidRPr="003941FD" w:rsidR="001C02ED">
        <w:t>Third Section</w:t>
      </w:r>
      <w:r w:rsidRPr="003941FD">
        <w:t xml:space="preserve">), sitting as a </w:t>
      </w:r>
      <w:r w:rsidRPr="003941FD" w:rsidR="001C02ED">
        <w:t>Committee</w:t>
      </w:r>
      <w:r w:rsidRPr="003941FD">
        <w:t xml:space="preserve"> composed of:</w:t>
      </w:r>
    </w:p>
    <w:p w:rsidRPr="003941FD" w:rsidR="009F4C8F" w:rsidP="003941FD" w:rsidRDefault="003834F6">
      <w:pPr>
        <w:pStyle w:val="JuJudges"/>
      </w:pPr>
      <w:r w:rsidRPr="003941FD">
        <w:tab/>
        <w:t xml:space="preserve">Alena </w:t>
      </w:r>
      <w:proofErr w:type="spellStart"/>
      <w:r w:rsidRPr="003941FD">
        <w:t>Poláčková</w:t>
      </w:r>
      <w:proofErr w:type="spellEnd"/>
      <w:r w:rsidRPr="003941FD">
        <w:t>,</w:t>
      </w:r>
      <w:r w:rsidRPr="003941FD">
        <w:rPr>
          <w:i/>
        </w:rPr>
        <w:t xml:space="preserve"> President,</w:t>
      </w:r>
      <w:r w:rsidRPr="003941FD">
        <w:rPr>
          <w:i/>
        </w:rPr>
        <w:br/>
      </w:r>
      <w:r w:rsidRPr="003941FD">
        <w:tab/>
        <w:t xml:space="preserve">Dmitry </w:t>
      </w:r>
      <w:proofErr w:type="spellStart"/>
      <w:r w:rsidRPr="003941FD">
        <w:t>Dedov</w:t>
      </w:r>
      <w:proofErr w:type="spellEnd"/>
      <w:r w:rsidRPr="003941FD">
        <w:t>,</w:t>
      </w:r>
      <w:r w:rsidRPr="003941FD">
        <w:rPr>
          <w:i/>
        </w:rPr>
        <w:br/>
      </w:r>
      <w:r w:rsidRPr="003941FD">
        <w:tab/>
        <w:t xml:space="preserve">Gilberto </w:t>
      </w:r>
      <w:proofErr w:type="spellStart"/>
      <w:r w:rsidRPr="003941FD">
        <w:t>Felici</w:t>
      </w:r>
      <w:proofErr w:type="spellEnd"/>
      <w:r w:rsidRPr="003941FD">
        <w:t>,</w:t>
      </w:r>
      <w:r w:rsidRPr="003941FD">
        <w:rPr>
          <w:i/>
        </w:rPr>
        <w:t xml:space="preserve"> judges</w:t>
      </w:r>
      <w:proofErr w:type="gramStart"/>
      <w:r w:rsidRPr="003941FD">
        <w:rPr>
          <w:i/>
        </w:rPr>
        <w:t>,</w:t>
      </w:r>
      <w:proofErr w:type="gramEnd"/>
      <w:r w:rsidRPr="003941FD" w:rsidR="009F4C8F">
        <w:rPr>
          <w:szCs w:val="24"/>
        </w:rPr>
        <w:br/>
      </w:r>
      <w:r w:rsidRPr="003941FD" w:rsidR="009F4C8F">
        <w:t>and</w:t>
      </w:r>
      <w:r w:rsidRPr="003941FD" w:rsidR="001C02ED">
        <w:t xml:space="preserve"> </w:t>
      </w:r>
      <w:r w:rsidRPr="003941FD">
        <w:t>Stephen Phillips</w:t>
      </w:r>
      <w:r w:rsidRPr="003941FD" w:rsidR="009F4C8F">
        <w:t xml:space="preserve">, </w:t>
      </w:r>
      <w:r w:rsidRPr="003941FD" w:rsidR="001C02ED">
        <w:rPr>
          <w:i/>
        </w:rPr>
        <w:t xml:space="preserve">Section </w:t>
      </w:r>
      <w:r w:rsidRPr="003941FD" w:rsidR="001C02ED">
        <w:rPr>
          <w:i/>
          <w:iCs/>
        </w:rPr>
        <w:t>Registrar</w:t>
      </w:r>
      <w:r w:rsidRPr="003941FD" w:rsidR="009F4C8F">
        <w:rPr>
          <w:i/>
        </w:rPr>
        <w:t>,</w:t>
      </w:r>
    </w:p>
    <w:p w:rsidRPr="003941FD" w:rsidR="009F4C8F" w:rsidP="003941FD" w:rsidRDefault="009F4C8F">
      <w:pPr>
        <w:pStyle w:val="JuPara"/>
      </w:pPr>
      <w:r w:rsidRPr="003941FD">
        <w:t xml:space="preserve">Having deliberated in private on </w:t>
      </w:r>
      <w:r w:rsidRPr="003941FD" w:rsidR="001C02ED">
        <w:rPr>
          <w:szCs w:val="24"/>
        </w:rPr>
        <w:t>26 November 2019</w:t>
      </w:r>
      <w:r w:rsidRPr="003941FD">
        <w:t>,</w:t>
      </w:r>
    </w:p>
    <w:p w:rsidRPr="003941FD" w:rsidR="009F4C8F" w:rsidP="003941FD" w:rsidRDefault="009F4C8F">
      <w:pPr>
        <w:pStyle w:val="JuPara"/>
      </w:pPr>
      <w:r w:rsidRPr="003941FD">
        <w:t>Delivers the following judgment, which was adopted on that date:</w:t>
      </w:r>
    </w:p>
    <w:p w:rsidRPr="003941FD" w:rsidR="001C02ED" w:rsidP="003941FD" w:rsidRDefault="001C02ED">
      <w:pPr>
        <w:pStyle w:val="JuHHead"/>
      </w:pPr>
      <w:r w:rsidRPr="003941FD">
        <w:t>PROCEDURE</w:t>
      </w:r>
    </w:p>
    <w:p w:rsidRPr="003941FD" w:rsidR="001C02ED" w:rsidP="003941FD" w:rsidRDefault="001C02ED">
      <w:pPr>
        <w:pStyle w:val="JuPara"/>
      </w:pPr>
      <w:r w:rsidRPr="003941FD">
        <w:fldChar w:fldCharType="begin"/>
      </w:r>
      <w:r w:rsidRPr="003941FD">
        <w:instrText xml:space="preserve"> SEQ level0 \*arabic </w:instrText>
      </w:r>
      <w:r w:rsidRPr="003941FD">
        <w:fldChar w:fldCharType="separate"/>
      </w:r>
      <w:r w:rsidRPr="003941FD" w:rsidR="003941FD">
        <w:rPr>
          <w:noProof/>
        </w:rPr>
        <w:t>1</w:t>
      </w:r>
      <w:r w:rsidRPr="003941FD">
        <w:fldChar w:fldCharType="end"/>
      </w:r>
      <w:r w:rsidRPr="003941FD">
        <w:t xml:space="preserve">.  The case originated in an application (no. 37397/15) against the Russian Federation lodged with the Court under Article 34 of the Convention for the Protection of Human Rights and Fundamental Freedoms (“the Convention”) by a Russian national, Mr </w:t>
      </w:r>
      <w:proofErr w:type="spellStart"/>
      <w:r w:rsidRPr="003941FD">
        <w:t>Yevgeniy</w:t>
      </w:r>
      <w:proofErr w:type="spellEnd"/>
      <w:r w:rsidRPr="003941FD">
        <w:t xml:space="preserve"> Nikolayevich </w:t>
      </w:r>
      <w:proofErr w:type="spellStart"/>
      <w:r w:rsidRPr="003941FD">
        <w:t>Zubenko</w:t>
      </w:r>
      <w:proofErr w:type="spellEnd"/>
      <w:r w:rsidRPr="003941FD">
        <w:t xml:space="preserve"> (“the applicant”), on 10 July 2015.</w:t>
      </w:r>
    </w:p>
    <w:p w:rsidRPr="003941FD" w:rsidR="001C02ED" w:rsidP="003941FD" w:rsidRDefault="001C02ED">
      <w:pPr>
        <w:pStyle w:val="JuPara"/>
      </w:pPr>
      <w:r w:rsidRPr="003941FD">
        <w:fldChar w:fldCharType="begin"/>
      </w:r>
      <w:r w:rsidRPr="003941FD">
        <w:instrText xml:space="preserve"> SEQ level0 \*arabic </w:instrText>
      </w:r>
      <w:r w:rsidRPr="003941FD">
        <w:fldChar w:fldCharType="separate"/>
      </w:r>
      <w:r w:rsidRPr="003941FD" w:rsidR="003941FD">
        <w:rPr>
          <w:noProof/>
        </w:rPr>
        <w:t>2</w:t>
      </w:r>
      <w:r w:rsidRPr="003941FD">
        <w:fldChar w:fldCharType="end"/>
      </w:r>
      <w:r w:rsidRPr="003941FD">
        <w:t>.  The applicant was represented by Mr A. </w:t>
      </w:r>
      <w:proofErr w:type="spellStart"/>
      <w:r w:rsidRPr="003941FD">
        <w:t>Khlebnikov</w:t>
      </w:r>
      <w:proofErr w:type="spellEnd"/>
      <w:r w:rsidRPr="003941FD">
        <w:t>, a lawyer practising in the Stavropol region. The Russian Government (“the Government”) were represented by Mr M. </w:t>
      </w:r>
      <w:proofErr w:type="spellStart"/>
      <w:r w:rsidRPr="003941FD">
        <w:t>Galperin</w:t>
      </w:r>
      <w:proofErr w:type="spellEnd"/>
      <w:r w:rsidRPr="003941FD">
        <w:t>, Representative of the Russian Federation to the European Court of Human Rights.</w:t>
      </w:r>
    </w:p>
    <w:p w:rsidRPr="003941FD" w:rsidR="001C02ED" w:rsidP="003941FD" w:rsidRDefault="001C02ED">
      <w:pPr>
        <w:pStyle w:val="JuPara"/>
      </w:pPr>
      <w:r w:rsidRPr="003941FD">
        <w:fldChar w:fldCharType="begin"/>
      </w:r>
      <w:r w:rsidRPr="003941FD">
        <w:instrText xml:space="preserve"> SEQ level0 \*arabic </w:instrText>
      </w:r>
      <w:r w:rsidRPr="003941FD">
        <w:fldChar w:fldCharType="separate"/>
      </w:r>
      <w:r w:rsidRPr="003941FD" w:rsidR="003941FD">
        <w:rPr>
          <w:noProof/>
        </w:rPr>
        <w:t>3</w:t>
      </w:r>
      <w:r w:rsidRPr="003941FD">
        <w:fldChar w:fldCharType="end"/>
      </w:r>
      <w:r w:rsidRPr="003941FD">
        <w:t xml:space="preserve">.  On </w:t>
      </w:r>
      <w:r w:rsidRPr="003941FD">
        <w:rPr>
          <w:szCs w:val="24"/>
        </w:rPr>
        <w:t>15 November 2017</w:t>
      </w:r>
      <w:r w:rsidRPr="003941FD">
        <w:t xml:space="preserve"> </w:t>
      </w:r>
      <w:r w:rsidRPr="003941FD">
        <w:rPr>
          <w:szCs w:val="24"/>
        </w:rPr>
        <w:t>the Government were given</w:t>
      </w:r>
      <w:r w:rsidRPr="003941FD">
        <w:t xml:space="preserve"> notice of the </w:t>
      </w:r>
      <w:r w:rsidRPr="003941FD">
        <w:rPr>
          <w:szCs w:val="24"/>
        </w:rPr>
        <w:t>application.</w:t>
      </w:r>
    </w:p>
    <w:p w:rsidRPr="003941FD" w:rsidR="001C02ED" w:rsidP="003941FD" w:rsidRDefault="001C02ED">
      <w:pPr>
        <w:pStyle w:val="JuHHead"/>
      </w:pPr>
      <w:r w:rsidRPr="003941FD">
        <w:t>THE FACTS</w:t>
      </w:r>
    </w:p>
    <w:p w:rsidRPr="003941FD" w:rsidR="001C02ED" w:rsidP="003941FD" w:rsidRDefault="001C02ED">
      <w:pPr>
        <w:pStyle w:val="JuHIRoman"/>
        <w:numPr>
          <w:ilvl w:val="0"/>
          <w:numId w:val="0"/>
        </w:numPr>
        <w:ind w:left="357" w:hanging="357"/>
      </w:pPr>
      <w:r w:rsidRPr="003941FD">
        <w:t>THE CIRCUMSTANCES OF THE CASE</w:t>
      </w:r>
    </w:p>
    <w:p w:rsidRPr="003941FD" w:rsidR="001C02ED" w:rsidP="003941FD" w:rsidRDefault="001C02ED">
      <w:pPr>
        <w:pStyle w:val="JuPara"/>
      </w:pPr>
      <w:r w:rsidRPr="003941FD">
        <w:fldChar w:fldCharType="begin"/>
      </w:r>
      <w:r w:rsidRPr="003941FD">
        <w:instrText xml:space="preserve"> SEQ level0 \*arabic </w:instrText>
      </w:r>
      <w:r w:rsidRPr="003941FD">
        <w:fldChar w:fldCharType="separate"/>
      </w:r>
      <w:r w:rsidRPr="003941FD" w:rsidR="003941FD">
        <w:rPr>
          <w:noProof/>
        </w:rPr>
        <w:t>4</w:t>
      </w:r>
      <w:r w:rsidRPr="003941FD">
        <w:fldChar w:fldCharType="end"/>
      </w:r>
      <w:r w:rsidRPr="003941FD">
        <w:t xml:space="preserve">.  The applicant was born in 1978 and lives in </w:t>
      </w:r>
      <w:proofErr w:type="spellStart"/>
      <w:r w:rsidRPr="003941FD">
        <w:t>Levokumskoye</w:t>
      </w:r>
      <w:proofErr w:type="spellEnd"/>
      <w:r w:rsidRPr="003941FD">
        <w:t>, Stavropol Region.</w:t>
      </w:r>
    </w:p>
    <w:p w:rsidRPr="003941FD" w:rsidR="001C02ED" w:rsidP="003941FD" w:rsidRDefault="001C02ED">
      <w:pPr>
        <w:pStyle w:val="JuPara"/>
      </w:pPr>
      <w:r w:rsidRPr="003941FD">
        <w:fldChar w:fldCharType="begin"/>
      </w:r>
      <w:r w:rsidRPr="003941FD">
        <w:instrText xml:space="preserve"> SEQ level0 \*arabic </w:instrText>
      </w:r>
      <w:r w:rsidRPr="003941FD">
        <w:fldChar w:fldCharType="separate"/>
      </w:r>
      <w:r w:rsidRPr="003941FD" w:rsidR="003941FD">
        <w:rPr>
          <w:noProof/>
        </w:rPr>
        <w:t>5</w:t>
      </w:r>
      <w:r w:rsidRPr="003941FD">
        <w:fldChar w:fldCharType="end"/>
      </w:r>
      <w:r w:rsidRPr="003941FD">
        <w:t xml:space="preserve">.  On 2 September 2014 the justice of the peace of judicial circuit no. 1 of the </w:t>
      </w:r>
      <w:proofErr w:type="spellStart"/>
      <w:r w:rsidRPr="003941FD">
        <w:t>Levokumskiy</w:t>
      </w:r>
      <w:proofErr w:type="spellEnd"/>
      <w:r w:rsidRPr="003941FD">
        <w:t xml:space="preserve"> District of the Stavropol Region found the applicant guilty of refusing to take a breathalyser test, ordered him to pay a fine in the amount of 30,000 Russian roubles and suspended his driving licence for one and a half years. The applicant appealed.</w:t>
      </w:r>
    </w:p>
    <w:p w:rsidRPr="003941FD" w:rsidR="001C02ED" w:rsidP="003941FD" w:rsidRDefault="001C02ED">
      <w:pPr>
        <w:pStyle w:val="JuPara"/>
      </w:pPr>
      <w:r w:rsidRPr="003941FD">
        <w:fldChar w:fldCharType="begin"/>
      </w:r>
      <w:r w:rsidRPr="003941FD">
        <w:instrText xml:space="preserve"> SEQ level0 \*arabic </w:instrText>
      </w:r>
      <w:r w:rsidRPr="003941FD">
        <w:fldChar w:fldCharType="separate"/>
      </w:r>
      <w:r w:rsidRPr="003941FD" w:rsidR="003941FD">
        <w:rPr>
          <w:noProof/>
        </w:rPr>
        <w:t>6</w:t>
      </w:r>
      <w:r w:rsidRPr="003941FD">
        <w:fldChar w:fldCharType="end"/>
      </w:r>
      <w:r w:rsidRPr="003941FD">
        <w:t xml:space="preserve">.  On 7 October 2014 the </w:t>
      </w:r>
      <w:proofErr w:type="spellStart"/>
      <w:r w:rsidRPr="003941FD">
        <w:t>Levokumskiy</w:t>
      </w:r>
      <w:proofErr w:type="spellEnd"/>
      <w:r w:rsidRPr="003941FD">
        <w:t xml:space="preserve"> District Court of the Stavropol Region quashed the judgment of 2 September 2014 and discontinued the proceedings. On an unspecified date the judgment became final.</w:t>
      </w:r>
    </w:p>
    <w:p w:rsidRPr="003941FD" w:rsidR="001C02ED" w:rsidP="003941FD" w:rsidRDefault="001C02ED">
      <w:pPr>
        <w:pStyle w:val="JuPara"/>
      </w:pPr>
      <w:r w:rsidRPr="003941FD">
        <w:fldChar w:fldCharType="begin"/>
      </w:r>
      <w:r w:rsidRPr="003941FD">
        <w:instrText xml:space="preserve"> SEQ level0 \*arabic </w:instrText>
      </w:r>
      <w:r w:rsidRPr="003941FD">
        <w:fldChar w:fldCharType="separate"/>
      </w:r>
      <w:r w:rsidRPr="003941FD" w:rsidR="003941FD">
        <w:rPr>
          <w:noProof/>
        </w:rPr>
        <w:t>7</w:t>
      </w:r>
      <w:r w:rsidRPr="003941FD">
        <w:fldChar w:fldCharType="end"/>
      </w:r>
      <w:r w:rsidRPr="003941FD">
        <w:t>.  On 5 December 2012 the head of the traffic police asked the President of the Stavropol Regional Court to review the applicant</w:t>
      </w:r>
      <w:r w:rsidRPr="003941FD" w:rsidR="003941FD">
        <w:t>’</w:t>
      </w:r>
      <w:r w:rsidRPr="003941FD">
        <w:t>s case, claiming that the District Court had failed to establish correctly the circumstances of the case.</w:t>
      </w:r>
    </w:p>
    <w:p w:rsidRPr="003941FD" w:rsidR="001C02ED" w:rsidP="003941FD" w:rsidRDefault="001C02ED">
      <w:pPr>
        <w:pStyle w:val="JuPara"/>
      </w:pPr>
      <w:r w:rsidRPr="003941FD">
        <w:fldChar w:fldCharType="begin"/>
      </w:r>
      <w:r w:rsidRPr="003941FD">
        <w:instrText xml:space="preserve"> SEQ level0 \*arabic </w:instrText>
      </w:r>
      <w:r w:rsidRPr="003941FD">
        <w:fldChar w:fldCharType="separate"/>
      </w:r>
      <w:r w:rsidRPr="003941FD" w:rsidR="003941FD">
        <w:rPr>
          <w:noProof/>
        </w:rPr>
        <w:t>8</w:t>
      </w:r>
      <w:r w:rsidRPr="003941FD">
        <w:fldChar w:fldCharType="end"/>
      </w:r>
      <w:r w:rsidRPr="003941FD">
        <w:t>.  On 18 February 2015 the Deputy President of the Regional Court accepted the complaint lodged by the head of the traffic police for consideration.</w:t>
      </w:r>
    </w:p>
    <w:p w:rsidRPr="003941FD" w:rsidR="001C02ED" w:rsidP="003941FD" w:rsidRDefault="001C02ED">
      <w:pPr>
        <w:pStyle w:val="JuPara"/>
      </w:pPr>
      <w:r w:rsidRPr="003941FD">
        <w:fldChar w:fldCharType="begin"/>
      </w:r>
      <w:r w:rsidRPr="003941FD">
        <w:instrText xml:space="preserve"> SEQ level0 \*arabic </w:instrText>
      </w:r>
      <w:r w:rsidRPr="003941FD">
        <w:fldChar w:fldCharType="separate"/>
      </w:r>
      <w:r w:rsidRPr="003941FD" w:rsidR="003941FD">
        <w:rPr>
          <w:noProof/>
        </w:rPr>
        <w:t>9</w:t>
      </w:r>
      <w:r w:rsidRPr="003941FD">
        <w:fldChar w:fldCharType="end"/>
      </w:r>
      <w:r w:rsidRPr="003941FD">
        <w:t>.  On 10 March 2015 the Deputy President of the Regional Court quashed the judgment of 5 December 2012 and remitted the matter for fresh consideration to the District Court.</w:t>
      </w:r>
    </w:p>
    <w:p w:rsidRPr="003941FD" w:rsidR="001C02ED" w:rsidP="003941FD" w:rsidRDefault="001C02ED">
      <w:pPr>
        <w:pStyle w:val="JuPara"/>
      </w:pPr>
      <w:r w:rsidRPr="003941FD">
        <w:fldChar w:fldCharType="begin"/>
      </w:r>
      <w:r w:rsidRPr="003941FD">
        <w:instrText xml:space="preserve"> SEQ level0 \*arabic </w:instrText>
      </w:r>
      <w:r w:rsidRPr="003941FD">
        <w:fldChar w:fldCharType="separate"/>
      </w:r>
      <w:r w:rsidRPr="003941FD" w:rsidR="003941FD">
        <w:rPr>
          <w:noProof/>
        </w:rPr>
        <w:t>10</w:t>
      </w:r>
      <w:r w:rsidRPr="003941FD">
        <w:fldChar w:fldCharType="end"/>
      </w:r>
      <w:r w:rsidRPr="003941FD">
        <w:t>.  On 20 March 2015 (postmark) the Regional Court sent a letter to the applicant informing him of the decision of 18 February 2015 and advising him of his right to submit observations in response to the complaint by 27 February 2015. The applicant received the relevant letter on 24 March 2015.</w:t>
      </w:r>
    </w:p>
    <w:p w:rsidRPr="003941FD" w:rsidR="001C02ED" w:rsidP="003941FD" w:rsidRDefault="001C02ED">
      <w:pPr>
        <w:pStyle w:val="JuPara"/>
      </w:pPr>
      <w:r w:rsidRPr="003941FD">
        <w:fldChar w:fldCharType="begin"/>
      </w:r>
      <w:r w:rsidRPr="003941FD">
        <w:instrText xml:space="preserve"> SEQ level0 \*arabic </w:instrText>
      </w:r>
      <w:r w:rsidRPr="003941FD">
        <w:fldChar w:fldCharType="separate"/>
      </w:r>
      <w:r w:rsidRPr="003941FD" w:rsidR="003941FD">
        <w:rPr>
          <w:noProof/>
        </w:rPr>
        <w:t>11</w:t>
      </w:r>
      <w:r w:rsidRPr="003941FD">
        <w:fldChar w:fldCharType="end"/>
      </w:r>
      <w:r w:rsidRPr="003941FD">
        <w:t>.  On 27 May 2015 the District Court upheld the judgment of 2 September 2014 on appeal. The applicant and his lawyer were not present at the hearing.</w:t>
      </w:r>
    </w:p>
    <w:p w:rsidRPr="003941FD" w:rsidR="001C02ED" w:rsidP="003941FD" w:rsidRDefault="001C02ED">
      <w:pPr>
        <w:pStyle w:val="JuHHead"/>
      </w:pPr>
      <w:r w:rsidRPr="003941FD">
        <w:t>THE LAW</w:t>
      </w:r>
    </w:p>
    <w:p w:rsidRPr="003941FD" w:rsidR="001C02ED" w:rsidP="003941FD" w:rsidRDefault="001C02ED">
      <w:pPr>
        <w:pStyle w:val="JuHIRoman"/>
      </w:pPr>
      <w:r w:rsidRPr="003941FD">
        <w:t>ALLEGED VIOLATION OF ARTICLE 6 </w:t>
      </w:r>
      <w:r w:rsidRPr="003941FD">
        <w:rPr>
          <w:lang w:val="en-US"/>
        </w:rPr>
        <w:t>§ </w:t>
      </w:r>
      <w:r w:rsidRPr="003941FD">
        <w:t>1 OF THE CONVENTION</w:t>
      </w:r>
    </w:p>
    <w:p w:rsidRPr="003941FD" w:rsidR="001C02ED" w:rsidP="003941FD" w:rsidRDefault="001C02ED">
      <w:pPr>
        <w:pStyle w:val="JuPara"/>
      </w:pPr>
      <w:r w:rsidRPr="003941FD">
        <w:fldChar w:fldCharType="begin"/>
      </w:r>
      <w:r w:rsidRPr="003941FD">
        <w:instrText xml:space="preserve"> SEQ level0 \*arabic </w:instrText>
      </w:r>
      <w:r w:rsidRPr="003941FD">
        <w:fldChar w:fldCharType="separate"/>
      </w:r>
      <w:r w:rsidRPr="003941FD" w:rsidR="003941FD">
        <w:rPr>
          <w:noProof/>
        </w:rPr>
        <w:t>12</w:t>
      </w:r>
      <w:r w:rsidRPr="003941FD">
        <w:fldChar w:fldCharType="end"/>
      </w:r>
      <w:r w:rsidRPr="003941FD">
        <w:t xml:space="preserve">.  The </w:t>
      </w:r>
      <w:r w:rsidRPr="003941FD">
        <w:rPr>
          <w:szCs w:val="24"/>
        </w:rPr>
        <w:t>applicant</w:t>
      </w:r>
      <w:r w:rsidRPr="003941FD">
        <w:t xml:space="preserve"> complained that the Regional Court had not notified him of the application for review of his acquittal made by head of the traffic police and </w:t>
      </w:r>
      <w:proofErr w:type="gramStart"/>
      <w:r w:rsidRPr="003941FD">
        <w:t>that,</w:t>
      </w:r>
      <w:proofErr w:type="gramEnd"/>
      <w:r w:rsidRPr="003941FD">
        <w:t xml:space="preserve"> as a result, he had been deprived of a possibility to comment on it. He also complained that the Regional Court</w:t>
      </w:r>
      <w:r w:rsidRPr="003941FD" w:rsidR="003941FD">
        <w:t>’</w:t>
      </w:r>
      <w:r w:rsidRPr="003941FD">
        <w:t xml:space="preserve">s decision to quash by way of review the final judgment acquitting him had not been justified. He relied on Article 6 of the Convention and Article 4 </w:t>
      </w:r>
      <w:r w:rsidRPr="003941FD">
        <w:rPr>
          <w:lang w:val="en-US"/>
        </w:rPr>
        <w:t>§ </w:t>
      </w:r>
      <w:r w:rsidRPr="003941FD">
        <w:t>2 of Protocol No. 7 to the Convention, which, in so far as relevant, read as follows:</w:t>
      </w:r>
    </w:p>
    <w:p w:rsidRPr="003941FD" w:rsidR="001C02ED" w:rsidP="003941FD" w:rsidRDefault="001C02ED">
      <w:pPr>
        <w:pStyle w:val="JuHArticle"/>
      </w:pPr>
      <w:r w:rsidRPr="003941FD">
        <w:t>Article 6</w:t>
      </w:r>
    </w:p>
    <w:p w:rsidRPr="003941FD" w:rsidR="001C02ED" w:rsidP="003941FD" w:rsidRDefault="001C02ED">
      <w:pPr>
        <w:pStyle w:val="JuQuot"/>
      </w:pPr>
      <w:r w:rsidRPr="003941FD">
        <w:t>“In the determination of ... any criminal charge against him, everyone is entitled to a fair ... hearing ... by [a] ... tribunal ...</w:t>
      </w:r>
    </w:p>
    <w:p w:rsidRPr="003941FD" w:rsidR="001C02ED" w:rsidP="003941FD" w:rsidRDefault="001C02ED">
      <w:pPr>
        <w:pStyle w:val="JuQuot"/>
      </w:pPr>
      <w:r w:rsidRPr="003941FD">
        <w:t>3.  Everyone charged with a criminal offence has the following minimum rights:</w:t>
      </w:r>
    </w:p>
    <w:p w:rsidRPr="003941FD" w:rsidR="001C02ED" w:rsidP="003941FD" w:rsidRDefault="001C02ED">
      <w:pPr>
        <w:pStyle w:val="JuQuot"/>
      </w:pPr>
      <w:r w:rsidRPr="003941FD">
        <w:t>...</w:t>
      </w:r>
    </w:p>
    <w:p w:rsidRPr="003941FD" w:rsidR="001C02ED" w:rsidP="003941FD" w:rsidRDefault="001C02ED">
      <w:pPr>
        <w:pStyle w:val="JuQuot"/>
      </w:pPr>
      <w:r w:rsidRPr="003941FD">
        <w:t>(c)</w:t>
      </w:r>
      <w:proofErr w:type="gramStart"/>
      <w:r w:rsidRPr="003941FD">
        <w:t>  to</w:t>
      </w:r>
      <w:proofErr w:type="gramEnd"/>
      <w:r w:rsidRPr="003941FD">
        <w:t xml:space="preserve"> defend himself in person ...”</w:t>
      </w:r>
    </w:p>
    <w:p w:rsidRPr="003941FD" w:rsidR="001C02ED" w:rsidP="003941FD" w:rsidRDefault="001C02ED">
      <w:pPr>
        <w:pStyle w:val="JuHArticle"/>
      </w:pPr>
      <w:r w:rsidRPr="003941FD">
        <w:t>Article 4 of Protocol No. 7 (right not to be tried or punished twice)</w:t>
      </w:r>
    </w:p>
    <w:p w:rsidRPr="003941FD" w:rsidR="001C02ED" w:rsidP="003941FD" w:rsidRDefault="001C02ED">
      <w:pPr>
        <w:pStyle w:val="JuQuot"/>
      </w:pPr>
      <w:r w:rsidRPr="003941FD">
        <w:t>“1.</w:t>
      </w:r>
      <w:proofErr w:type="gramStart"/>
      <w:r w:rsidRPr="003941FD">
        <w:t>  No</w:t>
      </w:r>
      <w:proofErr w:type="gramEnd"/>
      <w:r w:rsidRPr="003941FD">
        <w:t xml:space="preserve"> one shall be liable to be tried or punished again in criminal proceedings under the jurisdiction of the same State for an offence for which he has already been finally acquitted or convicted in accordance with the law and penal procedure of that State.</w:t>
      </w:r>
    </w:p>
    <w:p w:rsidRPr="003941FD" w:rsidR="001C02ED" w:rsidP="003941FD" w:rsidRDefault="001C02ED">
      <w:pPr>
        <w:pStyle w:val="JuQuot"/>
      </w:pPr>
      <w:r w:rsidRPr="003941FD">
        <w:t>2.</w:t>
      </w:r>
      <w:proofErr w:type="gramStart"/>
      <w:r w:rsidRPr="003941FD">
        <w:t>  The</w:t>
      </w:r>
      <w:proofErr w:type="gramEnd"/>
      <w:r w:rsidRPr="003941FD">
        <w:t xml:space="preserve"> provisions of the preceding paragraph shall not prevent the reopening of the case in accordance with the law and penal procedure of the State concerned, if there is evidence of new or newly discovered facts, or if there has been a fundamental defect in the previous proceedings, which could affect the outcome of the case.”</w:t>
      </w:r>
    </w:p>
    <w:p w:rsidRPr="003941FD" w:rsidR="001C02ED" w:rsidP="003941FD" w:rsidRDefault="001C02ED">
      <w:pPr>
        <w:pStyle w:val="JuHA"/>
      </w:pPr>
      <w:r w:rsidRPr="003941FD">
        <w:t>Admissibility</w:t>
      </w:r>
    </w:p>
    <w:p w:rsidRPr="003941FD" w:rsidR="001C02ED" w:rsidP="003941FD" w:rsidRDefault="001C02ED">
      <w:pPr>
        <w:pStyle w:val="JuPara"/>
      </w:pPr>
      <w:r w:rsidRPr="003941FD">
        <w:fldChar w:fldCharType="begin"/>
      </w:r>
      <w:r w:rsidRPr="003941FD">
        <w:instrText xml:space="preserve"> SEQ level0 \*arabic </w:instrText>
      </w:r>
      <w:r w:rsidRPr="003941FD">
        <w:fldChar w:fldCharType="separate"/>
      </w:r>
      <w:r w:rsidRPr="003941FD" w:rsidR="003941FD">
        <w:rPr>
          <w:noProof/>
        </w:rPr>
        <w:t>13</w:t>
      </w:r>
      <w:r w:rsidRPr="003941FD">
        <w:fldChar w:fldCharType="end"/>
      </w:r>
      <w:r w:rsidRPr="003941FD">
        <w:t>.  The Government considered that the applicant had not suffered a significant disadvantage as a result of the violation alleged and that the Court should declare his application inad</w:t>
      </w:r>
      <w:r w:rsidRPr="003941FD" w:rsidR="003941FD">
        <w:t xml:space="preserve">missible pursuant to Article 35 </w:t>
      </w:r>
      <w:r w:rsidRPr="003941FD">
        <w:rPr>
          <w:lang w:val="en-US"/>
        </w:rPr>
        <w:t>§ </w:t>
      </w:r>
      <w:r w:rsidRPr="003941FD">
        <w:t xml:space="preserve">2 (b) of the Convention. They submitted that the present application bore close resemblance to the case of </w:t>
      </w:r>
      <w:proofErr w:type="spellStart"/>
      <w:r w:rsidRPr="003941FD">
        <w:rPr>
          <w:i/>
        </w:rPr>
        <w:t>Rinck</w:t>
      </w:r>
      <w:proofErr w:type="spellEnd"/>
      <w:r w:rsidRPr="003941FD">
        <w:t xml:space="preserve"> (see </w:t>
      </w:r>
      <w:proofErr w:type="spellStart"/>
      <w:r w:rsidRPr="003941FD">
        <w:rPr>
          <w:i/>
        </w:rPr>
        <w:t>Rinck</w:t>
      </w:r>
      <w:proofErr w:type="spellEnd"/>
      <w:r w:rsidRPr="003941FD">
        <w:rPr>
          <w:i/>
        </w:rPr>
        <w:t xml:space="preserve"> v. France</w:t>
      </w:r>
      <w:r w:rsidRPr="003941FD">
        <w:t xml:space="preserve"> (</w:t>
      </w:r>
      <w:proofErr w:type="spellStart"/>
      <w:r w:rsidRPr="003941FD">
        <w:t>dec.</w:t>
      </w:r>
      <w:proofErr w:type="spellEnd"/>
      <w:r w:rsidRPr="003941FD">
        <w:t xml:space="preserve">) [Committee], no.18774/09, 19 October 2010, in which the Court found, </w:t>
      </w:r>
      <w:r w:rsidRPr="003941FD">
        <w:rPr>
          <w:i/>
        </w:rPr>
        <w:t>inter alia</w:t>
      </w:r>
      <w:r w:rsidRPr="003941FD">
        <w:t>, that a fine in the amount of 150 euros (EUR) imposed on the applicant and the deduction of one point from his driving licence for a violation of traffic rules had not had any significant consequences for his personal situation, and concluded that the applicant had not suffered a significant disadvantage in respect of the alleged violation of his right to a fair trial).</w:t>
      </w:r>
    </w:p>
    <w:p w:rsidRPr="003941FD" w:rsidR="001C02ED" w:rsidP="003941FD" w:rsidRDefault="001C02ED">
      <w:pPr>
        <w:pStyle w:val="JuPara"/>
      </w:pPr>
      <w:r w:rsidRPr="003941FD">
        <w:fldChar w:fldCharType="begin"/>
      </w:r>
      <w:r w:rsidRPr="003941FD">
        <w:instrText xml:space="preserve"> SEQ level0 \*arabic </w:instrText>
      </w:r>
      <w:r w:rsidRPr="003941FD">
        <w:fldChar w:fldCharType="separate"/>
      </w:r>
      <w:r w:rsidRPr="003941FD" w:rsidR="003941FD">
        <w:rPr>
          <w:noProof/>
        </w:rPr>
        <w:t>14</w:t>
      </w:r>
      <w:r w:rsidRPr="003941FD">
        <w:fldChar w:fldCharType="end"/>
      </w:r>
      <w:r w:rsidRPr="003941FD">
        <w:t>.  The applicant argued that the sanctions imposed on him had been severe.</w:t>
      </w:r>
    </w:p>
    <w:p w:rsidRPr="003941FD" w:rsidR="001C02ED" w:rsidP="003941FD" w:rsidRDefault="001C02ED">
      <w:pPr>
        <w:pStyle w:val="JuPara"/>
      </w:pPr>
      <w:r w:rsidRPr="003941FD">
        <w:fldChar w:fldCharType="begin"/>
      </w:r>
      <w:r w:rsidRPr="003941FD">
        <w:instrText xml:space="preserve"> SEQ level0 \*arabic </w:instrText>
      </w:r>
      <w:r w:rsidRPr="003941FD">
        <w:fldChar w:fldCharType="separate"/>
      </w:r>
      <w:r w:rsidRPr="003941FD" w:rsidR="003941FD">
        <w:rPr>
          <w:noProof/>
        </w:rPr>
        <w:t>15</w:t>
      </w:r>
      <w:r w:rsidRPr="003941FD">
        <w:fldChar w:fldCharType="end"/>
      </w:r>
      <w:r w:rsidRPr="003941FD">
        <w:t>.  The Court notes that the applicant did not expressly claim that the fine he had had to pay had constituted a financial burden for him. Nevertheless, it considers that the suspension of a driving licence for a year and a half, given that the applicant lived in a rural area, must have had significant consequences. The Government</w:t>
      </w:r>
      <w:r w:rsidRPr="003941FD" w:rsidR="003941FD">
        <w:t>’</w:t>
      </w:r>
      <w:r w:rsidRPr="003941FD">
        <w:t>s objection is therefore dismissed.</w:t>
      </w:r>
    </w:p>
    <w:p w:rsidRPr="003941FD" w:rsidR="001C02ED" w:rsidP="003941FD" w:rsidRDefault="001C02ED">
      <w:pPr>
        <w:pStyle w:val="JuPara"/>
      </w:pPr>
      <w:r w:rsidRPr="003941FD">
        <w:fldChar w:fldCharType="begin"/>
      </w:r>
      <w:r w:rsidRPr="003941FD">
        <w:instrText xml:space="preserve"> SEQ level0 \*arabic </w:instrText>
      </w:r>
      <w:r w:rsidRPr="003941FD">
        <w:fldChar w:fldCharType="separate"/>
      </w:r>
      <w:r w:rsidRPr="003941FD" w:rsidR="003941FD">
        <w:rPr>
          <w:noProof/>
        </w:rPr>
        <w:t>16</w:t>
      </w:r>
      <w:r w:rsidRPr="003941FD">
        <w:fldChar w:fldCharType="end"/>
      </w:r>
      <w:r w:rsidRPr="003941FD">
        <w:t>.  The Court notes that the application is not manifestly ill-founded within the meaning of Article 35 § 3 (a) of the Convention. It further notes that it is not inadmissible on any other grounds. It must therefore be declared admissible.</w:t>
      </w:r>
    </w:p>
    <w:p w:rsidRPr="003941FD" w:rsidR="001C02ED" w:rsidP="003941FD" w:rsidRDefault="001C02ED">
      <w:pPr>
        <w:pStyle w:val="JuHA"/>
      </w:pPr>
      <w:r w:rsidRPr="003941FD">
        <w:t>Merits</w:t>
      </w:r>
    </w:p>
    <w:p w:rsidRPr="003941FD" w:rsidR="001C02ED" w:rsidP="003941FD" w:rsidRDefault="001C02ED">
      <w:pPr>
        <w:pStyle w:val="JuH1"/>
      </w:pPr>
      <w:r w:rsidRPr="003941FD">
        <w:t>The parties</w:t>
      </w:r>
      <w:r w:rsidRPr="003941FD" w:rsidR="003941FD">
        <w:t>’</w:t>
      </w:r>
      <w:r w:rsidRPr="003941FD">
        <w:t xml:space="preserve"> submissions</w:t>
      </w:r>
    </w:p>
    <w:p w:rsidRPr="003941FD" w:rsidR="001C02ED" w:rsidP="003941FD" w:rsidRDefault="001C02ED">
      <w:pPr>
        <w:pStyle w:val="JuPara"/>
      </w:pPr>
      <w:r w:rsidRPr="003941FD">
        <w:fldChar w:fldCharType="begin"/>
      </w:r>
      <w:r w:rsidRPr="003941FD">
        <w:instrText xml:space="preserve"> SEQ level0 \*arabic </w:instrText>
      </w:r>
      <w:r w:rsidRPr="003941FD">
        <w:fldChar w:fldCharType="separate"/>
      </w:r>
      <w:r w:rsidRPr="003941FD" w:rsidR="003941FD">
        <w:rPr>
          <w:noProof/>
        </w:rPr>
        <w:t>17</w:t>
      </w:r>
      <w:r w:rsidRPr="003941FD">
        <w:fldChar w:fldCharType="end"/>
      </w:r>
      <w:r w:rsidRPr="003941FD">
        <w:t>.  The Government submitted that the judgment of 7 October 2014 had been quashed in view of a fundamental defect in the appellate proceedings resulting in the appellate court</w:t>
      </w:r>
      <w:r w:rsidRPr="003941FD" w:rsidR="003941FD">
        <w:t>’</w:t>
      </w:r>
      <w:r w:rsidRPr="003941FD">
        <w:t>s failure to consider the matter properly. Pursuant to the rules of administrative procedure, the presence of the parties had not been required. In any event, the applicant had been duly informed of the hearing and advised of his right to present his arguments in writing in response to the appeal lodged by the head of the traffic police. The applicant had been provided with an opportunity to defend his rights in court and to appeal against the new judgment in his case.</w:t>
      </w:r>
    </w:p>
    <w:p w:rsidRPr="003941FD" w:rsidR="001C02ED" w:rsidP="003941FD" w:rsidRDefault="001C02ED">
      <w:pPr>
        <w:pStyle w:val="JuPara"/>
      </w:pPr>
      <w:r w:rsidRPr="003941FD">
        <w:fldChar w:fldCharType="begin"/>
      </w:r>
      <w:r w:rsidRPr="003941FD">
        <w:instrText xml:space="preserve"> SEQ level0 \*arabic </w:instrText>
      </w:r>
      <w:r w:rsidRPr="003941FD">
        <w:fldChar w:fldCharType="separate"/>
      </w:r>
      <w:r w:rsidRPr="003941FD" w:rsidR="003941FD">
        <w:rPr>
          <w:noProof/>
        </w:rPr>
        <w:t>18</w:t>
      </w:r>
      <w:r w:rsidRPr="003941FD">
        <w:fldChar w:fldCharType="end"/>
      </w:r>
      <w:r w:rsidRPr="003941FD">
        <w:t xml:space="preserve">.  The </w:t>
      </w:r>
      <w:r w:rsidRPr="003941FD">
        <w:rPr>
          <w:szCs w:val="24"/>
        </w:rPr>
        <w:t>applicant</w:t>
      </w:r>
      <w:r w:rsidRPr="003941FD">
        <w:t xml:space="preserve"> maintained his complaint.</w:t>
      </w:r>
    </w:p>
    <w:p w:rsidRPr="003941FD" w:rsidR="001C02ED" w:rsidP="003941FD" w:rsidRDefault="001C02ED">
      <w:pPr>
        <w:pStyle w:val="JuH1"/>
      </w:pPr>
      <w:r w:rsidRPr="003941FD">
        <w:t>The Court</w:t>
      </w:r>
      <w:r w:rsidRPr="003941FD" w:rsidR="003941FD">
        <w:t>’</w:t>
      </w:r>
      <w:r w:rsidRPr="003941FD">
        <w:t>s assessment</w:t>
      </w:r>
    </w:p>
    <w:p w:rsidRPr="003941FD" w:rsidR="001C02ED" w:rsidP="003941FD" w:rsidRDefault="001C02ED">
      <w:pPr>
        <w:pStyle w:val="JuHa0"/>
      </w:pPr>
      <w:r w:rsidRPr="003941FD">
        <w:t>Equality of arms</w:t>
      </w:r>
    </w:p>
    <w:p w:rsidRPr="003941FD" w:rsidR="001C02ED" w:rsidP="003941FD" w:rsidRDefault="001C02ED">
      <w:pPr>
        <w:pStyle w:val="JuPara"/>
        <w:rPr>
          <w:lang w:val="pt-PT"/>
        </w:rPr>
      </w:pPr>
      <w:r w:rsidRPr="003941FD">
        <w:fldChar w:fldCharType="begin"/>
      </w:r>
      <w:r w:rsidRPr="003941FD">
        <w:instrText xml:space="preserve"> SEQ level0 \*arabic </w:instrText>
      </w:r>
      <w:r w:rsidRPr="003941FD">
        <w:fldChar w:fldCharType="separate"/>
      </w:r>
      <w:r w:rsidRPr="003941FD" w:rsidR="003941FD">
        <w:rPr>
          <w:noProof/>
        </w:rPr>
        <w:t>19</w:t>
      </w:r>
      <w:r w:rsidRPr="003941FD">
        <w:fldChar w:fldCharType="end"/>
      </w:r>
      <w:r w:rsidRPr="003941FD">
        <w:t xml:space="preserve">.  The Court reiterates that the right to an adversarial trial means, in a criminal case, that both prosecution and defence must be given the opportunity to have knowledge of and comment on the observations filed and the evidence adduced by the other party. There are various conceivable ways in which national law may ensure that this requirement is met. However, whichever method is chosen, it should ensure that the other party will be aware that observations have been filed and will get a real opportunity to comment thereon (see </w:t>
      </w:r>
      <w:proofErr w:type="spellStart"/>
      <w:r w:rsidRPr="003941FD">
        <w:rPr>
          <w:i/>
          <w:lang w:val="pt-PT"/>
        </w:rPr>
        <w:t>Brandstetter</w:t>
      </w:r>
      <w:proofErr w:type="spellEnd"/>
      <w:r w:rsidRPr="003941FD">
        <w:rPr>
          <w:i/>
          <w:lang w:val="pt-PT"/>
        </w:rPr>
        <w:t xml:space="preserve"> v. </w:t>
      </w:r>
      <w:proofErr w:type="spellStart"/>
      <w:r w:rsidRPr="003941FD">
        <w:rPr>
          <w:i/>
          <w:lang w:val="pt-PT"/>
        </w:rPr>
        <w:t>Austria</w:t>
      </w:r>
      <w:proofErr w:type="spellEnd"/>
      <w:r w:rsidRPr="003941FD" w:rsidR="003941FD">
        <w:rPr>
          <w:lang w:val="pt-PT"/>
        </w:rPr>
        <w:t xml:space="preserve">, 28 </w:t>
      </w:r>
      <w:proofErr w:type="spellStart"/>
      <w:r w:rsidRPr="003941FD" w:rsidR="003941FD">
        <w:rPr>
          <w:lang w:val="pt-PT"/>
        </w:rPr>
        <w:t>August</w:t>
      </w:r>
      <w:proofErr w:type="spellEnd"/>
      <w:r w:rsidRPr="003941FD" w:rsidR="003941FD">
        <w:rPr>
          <w:lang w:val="pt-PT"/>
        </w:rPr>
        <w:t> </w:t>
      </w:r>
      <w:r w:rsidRPr="003941FD">
        <w:rPr>
          <w:lang w:val="pt-PT"/>
        </w:rPr>
        <w:t xml:space="preserve">1991, § 67, Series </w:t>
      </w:r>
      <w:proofErr w:type="gramStart"/>
      <w:r w:rsidRPr="003941FD">
        <w:rPr>
          <w:lang w:val="pt-PT"/>
        </w:rPr>
        <w:t>A</w:t>
      </w:r>
      <w:proofErr w:type="gramEnd"/>
      <w:r w:rsidRPr="003941FD">
        <w:rPr>
          <w:lang w:val="pt-PT"/>
        </w:rPr>
        <w:t xml:space="preserve"> no. 211</w:t>
      </w:r>
      <w:r w:rsidRPr="003941FD">
        <w:t>).</w:t>
      </w:r>
    </w:p>
    <w:p w:rsidRPr="003941FD" w:rsidR="001C02ED" w:rsidP="003941FD" w:rsidRDefault="001C02ED">
      <w:pPr>
        <w:pStyle w:val="JuPara"/>
      </w:pPr>
      <w:r w:rsidRPr="003941FD">
        <w:fldChar w:fldCharType="begin"/>
      </w:r>
      <w:r w:rsidRPr="003941FD">
        <w:instrText xml:space="preserve"> SEQ level0 \*arabic </w:instrText>
      </w:r>
      <w:r w:rsidRPr="003941FD">
        <w:fldChar w:fldCharType="separate"/>
      </w:r>
      <w:r w:rsidRPr="003941FD" w:rsidR="003941FD">
        <w:rPr>
          <w:noProof/>
        </w:rPr>
        <w:t>20</w:t>
      </w:r>
      <w:r w:rsidRPr="003941FD">
        <w:fldChar w:fldCharType="end"/>
      </w:r>
      <w:r w:rsidRPr="003941FD">
        <w:t>.  Turning to the circumstances of the present case, the Court observes that according to the materials submitted by the applicant, the Deputy President of the Regional Court heard the applicant</w:t>
      </w:r>
      <w:r w:rsidRPr="003941FD" w:rsidR="003941FD">
        <w:t>’</w:t>
      </w:r>
      <w:r w:rsidRPr="003941FD">
        <w:t>s case and quashed the judgment in his favour on 10 March 2015. However, the Regional Court did not inform him of those proceedings and his right to submit observations on the matter until 20 March 2015, that is to say ten days after the decision had already been taken. The Court therefore rejects the Government</w:t>
      </w:r>
      <w:r w:rsidRPr="003941FD" w:rsidR="003941FD">
        <w:t>’</w:t>
      </w:r>
      <w:r w:rsidRPr="003941FD">
        <w:t>s argument that the applicant was duly informed of the relevant court hearing and advised of his rights. It concludes that the applicant was deprived of an opportunity to reply to the submissions made by the head of the traffic police and to communicate his position to the court reviewing the judgment in his case. There has accordin</w:t>
      </w:r>
      <w:r w:rsidRPr="003941FD" w:rsidR="003941FD">
        <w:t xml:space="preserve">gly been a violation of Article </w:t>
      </w:r>
      <w:r w:rsidRPr="003941FD">
        <w:t>6 </w:t>
      </w:r>
      <w:r w:rsidRPr="003941FD">
        <w:rPr>
          <w:lang w:val="en-US"/>
        </w:rPr>
        <w:t>§ </w:t>
      </w:r>
      <w:r w:rsidRPr="003941FD">
        <w:t>1 of the Convention.</w:t>
      </w:r>
    </w:p>
    <w:p w:rsidRPr="003941FD" w:rsidR="001C02ED" w:rsidP="003941FD" w:rsidRDefault="001C02ED">
      <w:pPr>
        <w:pStyle w:val="JuHa0"/>
      </w:pPr>
      <w:r w:rsidRPr="003941FD">
        <w:t>Remainder of the applicant</w:t>
      </w:r>
      <w:r w:rsidRPr="003941FD" w:rsidR="003941FD">
        <w:t>’</w:t>
      </w:r>
      <w:r w:rsidRPr="003941FD">
        <w:t>s grievances</w:t>
      </w:r>
    </w:p>
    <w:p w:rsidRPr="003941FD" w:rsidR="001C02ED" w:rsidP="003941FD" w:rsidRDefault="001C02ED">
      <w:pPr>
        <w:pStyle w:val="JuPara"/>
      </w:pPr>
      <w:r w:rsidRPr="003941FD">
        <w:fldChar w:fldCharType="begin"/>
      </w:r>
      <w:r w:rsidRPr="003941FD">
        <w:instrText xml:space="preserve"> SEQ level0 \*arabic </w:instrText>
      </w:r>
      <w:r w:rsidRPr="003941FD">
        <w:fldChar w:fldCharType="separate"/>
      </w:r>
      <w:r w:rsidRPr="003941FD" w:rsidR="003941FD">
        <w:rPr>
          <w:noProof/>
        </w:rPr>
        <w:t>21</w:t>
      </w:r>
      <w:r w:rsidRPr="003941FD">
        <w:fldChar w:fldCharType="end"/>
      </w:r>
      <w:r w:rsidRPr="003941FD">
        <w:t>.  In view of the above findings, the Court considers that there is no need to examine the remainder of the applicant</w:t>
      </w:r>
      <w:r w:rsidRPr="003941FD" w:rsidR="003941FD">
        <w:t>’</w:t>
      </w:r>
      <w:r w:rsidRPr="003941FD">
        <w:t>s grievances.</w:t>
      </w:r>
    </w:p>
    <w:p w:rsidRPr="003941FD" w:rsidR="001C02ED" w:rsidP="003941FD" w:rsidRDefault="001C02ED">
      <w:pPr>
        <w:pStyle w:val="JuHIRoman"/>
      </w:pPr>
      <w:r w:rsidRPr="003941FD">
        <w:t>APPLICATION OF ARTICLE 41 OF THE CONVENTION</w:t>
      </w:r>
    </w:p>
    <w:p w:rsidRPr="003941FD" w:rsidR="001C02ED" w:rsidP="003941FD" w:rsidRDefault="001C02ED">
      <w:pPr>
        <w:pStyle w:val="JuPara"/>
      </w:pPr>
      <w:r w:rsidRPr="003941FD">
        <w:fldChar w:fldCharType="begin"/>
      </w:r>
      <w:r w:rsidRPr="003941FD">
        <w:instrText xml:space="preserve"> SEQ level0 \*arabic </w:instrText>
      </w:r>
      <w:r w:rsidRPr="003941FD">
        <w:fldChar w:fldCharType="separate"/>
      </w:r>
      <w:r w:rsidRPr="003941FD" w:rsidR="003941FD">
        <w:rPr>
          <w:noProof/>
        </w:rPr>
        <w:t>22</w:t>
      </w:r>
      <w:r w:rsidRPr="003941FD">
        <w:fldChar w:fldCharType="end"/>
      </w:r>
      <w:r w:rsidRPr="003941FD">
        <w:t>.  Article 41 of the Convention provides:</w:t>
      </w:r>
    </w:p>
    <w:p w:rsidRPr="003941FD" w:rsidR="001C02ED" w:rsidP="003941FD" w:rsidRDefault="001C02ED">
      <w:pPr>
        <w:pStyle w:val="JuQuot"/>
        <w:keepNext/>
        <w:keepLines/>
      </w:pPr>
      <w:r w:rsidRPr="003941FD">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3941FD" w:rsidR="001C02ED" w:rsidP="003941FD" w:rsidRDefault="001C02ED">
      <w:pPr>
        <w:pStyle w:val="JuHA"/>
      </w:pPr>
      <w:r w:rsidRPr="003941FD">
        <w:t>Damage</w:t>
      </w:r>
    </w:p>
    <w:p w:rsidRPr="003941FD" w:rsidR="001C02ED" w:rsidP="003941FD" w:rsidRDefault="001C02ED">
      <w:pPr>
        <w:pStyle w:val="JuPara"/>
      </w:pPr>
      <w:r w:rsidRPr="003941FD">
        <w:fldChar w:fldCharType="begin"/>
      </w:r>
      <w:r w:rsidRPr="003941FD">
        <w:instrText xml:space="preserve"> SEQ level0 \*arabic </w:instrText>
      </w:r>
      <w:r w:rsidRPr="003941FD">
        <w:fldChar w:fldCharType="separate"/>
      </w:r>
      <w:r w:rsidRPr="003941FD" w:rsidR="003941FD">
        <w:rPr>
          <w:noProof/>
        </w:rPr>
        <w:t>23</w:t>
      </w:r>
      <w:r w:rsidRPr="003941FD">
        <w:fldChar w:fldCharType="end"/>
      </w:r>
      <w:r w:rsidRPr="003941FD">
        <w:t xml:space="preserve">.  The </w:t>
      </w:r>
      <w:r w:rsidRPr="003941FD">
        <w:rPr>
          <w:szCs w:val="24"/>
        </w:rPr>
        <w:t>applicant</w:t>
      </w:r>
      <w:r w:rsidRPr="003941FD">
        <w:t xml:space="preserve"> claimed 30,900 Russian roubles (RUB) (the amount of the fine and fees paid) in respect of pecuniary damage and 3,000 euros (EUR) in respect of non-pecuniary damage. He also requested that the proceedings in his case be reopened.</w:t>
      </w:r>
    </w:p>
    <w:p w:rsidRPr="003941FD" w:rsidR="001C02ED" w:rsidP="003941FD" w:rsidRDefault="001C02ED">
      <w:pPr>
        <w:pStyle w:val="JuPara"/>
      </w:pPr>
      <w:r w:rsidRPr="003941FD">
        <w:fldChar w:fldCharType="begin"/>
      </w:r>
      <w:r w:rsidRPr="003941FD">
        <w:instrText xml:space="preserve"> SEQ level0 \*arabic </w:instrText>
      </w:r>
      <w:r w:rsidRPr="003941FD">
        <w:fldChar w:fldCharType="separate"/>
      </w:r>
      <w:r w:rsidRPr="003941FD" w:rsidR="003941FD">
        <w:rPr>
          <w:noProof/>
        </w:rPr>
        <w:t>24</w:t>
      </w:r>
      <w:r w:rsidRPr="003941FD">
        <w:fldChar w:fldCharType="end"/>
      </w:r>
      <w:r w:rsidRPr="003941FD">
        <w:t>.  The Government left the issue to the Court</w:t>
      </w:r>
      <w:r w:rsidRPr="003941FD" w:rsidR="003941FD">
        <w:t>’</w:t>
      </w:r>
      <w:r w:rsidRPr="003941FD">
        <w:t>s discretion.</w:t>
      </w:r>
    </w:p>
    <w:p w:rsidRPr="003941FD" w:rsidR="001C02ED" w:rsidP="003941FD" w:rsidRDefault="001C02ED">
      <w:pPr>
        <w:pStyle w:val="JuPara"/>
      </w:pPr>
      <w:r w:rsidRPr="003941FD">
        <w:fldChar w:fldCharType="begin"/>
      </w:r>
      <w:r w:rsidRPr="003941FD">
        <w:instrText xml:space="preserve"> SEQ level0 \*arabic </w:instrText>
      </w:r>
      <w:r w:rsidRPr="003941FD">
        <w:fldChar w:fldCharType="separate"/>
      </w:r>
      <w:r w:rsidRPr="003941FD" w:rsidR="003941FD">
        <w:rPr>
          <w:noProof/>
        </w:rPr>
        <w:t>25</w:t>
      </w:r>
      <w:r w:rsidRPr="003941FD">
        <w:fldChar w:fldCharType="end"/>
      </w:r>
      <w:r w:rsidRPr="003941FD">
        <w:t xml:space="preserve">.  As to the pecuniary damage claimed, the Court notes that an award of just satisfaction can only be based on the fact that the applicant did not have the benefit of the guarantees of Article 6 § 1 of the Convention. It cannot speculate as to what the outcome of proceedings compatible with Article 6 § 1 might have been, had the requirements of that provision not been violated (compare </w:t>
      </w:r>
      <w:proofErr w:type="spellStart"/>
      <w:r w:rsidRPr="003941FD">
        <w:rPr>
          <w:i/>
        </w:rPr>
        <w:t>Menchinskaya</w:t>
      </w:r>
      <w:proofErr w:type="spellEnd"/>
      <w:r w:rsidRPr="003941FD">
        <w:rPr>
          <w:i/>
        </w:rPr>
        <w:t xml:space="preserve"> v. Russia</w:t>
      </w:r>
      <w:r w:rsidRPr="003941FD">
        <w:t>, no. 42454/02, § 46, 15</w:t>
      </w:r>
      <w:r w:rsidRPr="003941FD">
        <w:rPr>
          <w:lang w:val="en-US"/>
        </w:rPr>
        <w:t> </w:t>
      </w:r>
      <w:r w:rsidRPr="003941FD">
        <w:t xml:space="preserve">January 2009, and </w:t>
      </w:r>
      <w:r w:rsidRPr="003941FD">
        <w:rPr>
          <w:i/>
        </w:rPr>
        <w:t>Popov v. Russia</w:t>
      </w:r>
      <w:r w:rsidRPr="003941FD">
        <w:t>, no. 26853/04, § 260, 13 July 2006). It therefore rejects the applicant</w:t>
      </w:r>
      <w:r w:rsidRPr="003941FD" w:rsidR="003941FD">
        <w:t>’</w:t>
      </w:r>
      <w:r w:rsidRPr="003941FD">
        <w:t>s claim in respect of pecuniary damage. As to his claim in respect of non-pecuniary damage, the Court awards him EUR 1,000.</w:t>
      </w:r>
      <w:bookmarkStart w:name="HIT21" w:id="2"/>
      <w:bookmarkEnd w:id="2"/>
      <w:r w:rsidRPr="003941FD">
        <w:t xml:space="preserve"> Lastly, the Court notes that the proceedings in the applicant</w:t>
      </w:r>
      <w:r w:rsidRPr="003941FD" w:rsidR="003941FD">
        <w:t>’</w:t>
      </w:r>
      <w:r w:rsidRPr="003941FD">
        <w:t>s case which ended with the judgment of 27 May 2015 have not been the subject matter of the present application and dismisses the applicant</w:t>
      </w:r>
      <w:r w:rsidRPr="003941FD" w:rsidR="003941FD">
        <w:t>’</w:t>
      </w:r>
      <w:r w:rsidRPr="003941FD">
        <w:t>s request for their re-opening.</w:t>
      </w:r>
    </w:p>
    <w:p w:rsidRPr="003941FD" w:rsidR="001C02ED" w:rsidP="003941FD" w:rsidRDefault="001C02ED">
      <w:pPr>
        <w:pStyle w:val="JuHA"/>
      </w:pPr>
      <w:r w:rsidRPr="003941FD">
        <w:t>Costs and expenses</w:t>
      </w:r>
    </w:p>
    <w:p w:rsidRPr="003941FD" w:rsidR="001C02ED" w:rsidP="003941FD" w:rsidRDefault="001C02ED">
      <w:pPr>
        <w:pStyle w:val="JuPara"/>
      </w:pPr>
      <w:r w:rsidRPr="003941FD">
        <w:fldChar w:fldCharType="begin"/>
      </w:r>
      <w:r w:rsidRPr="003941FD">
        <w:instrText xml:space="preserve"> SEQ level0 \*arabic </w:instrText>
      </w:r>
      <w:r w:rsidRPr="003941FD">
        <w:fldChar w:fldCharType="separate"/>
      </w:r>
      <w:r w:rsidRPr="003941FD" w:rsidR="003941FD">
        <w:rPr>
          <w:noProof/>
        </w:rPr>
        <w:t>26</w:t>
      </w:r>
      <w:r w:rsidRPr="003941FD">
        <w:fldChar w:fldCharType="end"/>
      </w:r>
      <w:r w:rsidRPr="003941FD">
        <w:t>.  The applicant did not submit a claim for costs and expenses. Accordingly, the Court considers that there is no call to award him any sum on that account.</w:t>
      </w:r>
    </w:p>
    <w:p w:rsidRPr="003941FD" w:rsidR="001C02ED" w:rsidP="003941FD" w:rsidRDefault="001C02ED">
      <w:pPr>
        <w:pStyle w:val="JuHA"/>
      </w:pPr>
      <w:r w:rsidRPr="003941FD">
        <w:t>Default interest</w:t>
      </w:r>
    </w:p>
    <w:p w:rsidRPr="003941FD" w:rsidR="001C02ED" w:rsidP="003941FD" w:rsidRDefault="001C02ED">
      <w:pPr>
        <w:pStyle w:val="JuPara"/>
      </w:pPr>
      <w:r w:rsidRPr="003941FD">
        <w:fldChar w:fldCharType="begin"/>
      </w:r>
      <w:r w:rsidRPr="003941FD">
        <w:instrText xml:space="preserve"> SEQ level0 \*arabic </w:instrText>
      </w:r>
      <w:r w:rsidRPr="003941FD">
        <w:fldChar w:fldCharType="separate"/>
      </w:r>
      <w:r w:rsidRPr="003941FD" w:rsidR="003941FD">
        <w:rPr>
          <w:noProof/>
        </w:rPr>
        <w:t>27</w:t>
      </w:r>
      <w:r w:rsidRPr="003941FD">
        <w:fldChar w:fldCharType="end"/>
      </w:r>
      <w:r w:rsidRPr="003941FD">
        <w:t>.  The Court considers it appropriate that the default interest rate should be based on the marginal lending rate of the European Central Bank, to which should be added three percentage points.</w:t>
      </w:r>
    </w:p>
    <w:p w:rsidRPr="003941FD" w:rsidR="001C02ED" w:rsidP="003941FD" w:rsidRDefault="001C02ED">
      <w:pPr>
        <w:pStyle w:val="JuHHead"/>
      </w:pPr>
      <w:r w:rsidRPr="003941FD">
        <w:t>FOR THESE REASONS, THE COURT, UNANIMOUSLY,</w:t>
      </w:r>
    </w:p>
    <w:p w:rsidRPr="003941FD" w:rsidR="001C02ED" w:rsidP="003941FD" w:rsidRDefault="001C02ED">
      <w:pPr>
        <w:pStyle w:val="JuList"/>
        <w:ind w:left="0" w:firstLine="0"/>
      </w:pPr>
      <w:r w:rsidRPr="003941FD">
        <w:rPr>
          <w:i/>
        </w:rPr>
        <w:t>Declares</w:t>
      </w:r>
      <w:r w:rsidRPr="003941FD">
        <w:rPr>
          <w:color w:val="000000"/>
        </w:rPr>
        <w:t xml:space="preserve"> </w:t>
      </w:r>
      <w:r w:rsidRPr="003941FD">
        <w:t>the application admissible;</w:t>
      </w:r>
    </w:p>
    <w:p w:rsidRPr="003941FD" w:rsidR="001C02ED" w:rsidP="003941FD" w:rsidRDefault="001C02ED">
      <w:pPr>
        <w:pStyle w:val="JuList"/>
      </w:pPr>
      <w:r w:rsidRPr="003941FD">
        <w:rPr>
          <w:i/>
        </w:rPr>
        <w:t>Holds</w:t>
      </w:r>
      <w:r w:rsidRPr="003941FD">
        <w:rPr>
          <w:color w:val="000000"/>
        </w:rPr>
        <w:t xml:space="preserve"> </w:t>
      </w:r>
      <w:r w:rsidRPr="003941FD">
        <w:t>that there has been a violation of Article 6 </w:t>
      </w:r>
      <w:r w:rsidRPr="003941FD">
        <w:rPr>
          <w:lang w:val="en-US"/>
        </w:rPr>
        <w:t>§ </w:t>
      </w:r>
      <w:r w:rsidRPr="003941FD">
        <w:t>1 of the Convention;</w:t>
      </w:r>
    </w:p>
    <w:p w:rsidRPr="003941FD" w:rsidR="001C02ED" w:rsidP="003941FD" w:rsidRDefault="001C02ED">
      <w:pPr>
        <w:pStyle w:val="JuList"/>
      </w:pPr>
      <w:r w:rsidRPr="003941FD">
        <w:rPr>
          <w:i/>
        </w:rPr>
        <w:t>Holds</w:t>
      </w:r>
      <w:r w:rsidRPr="003941FD">
        <w:rPr>
          <w:color w:val="000000"/>
        </w:rPr>
        <w:t xml:space="preserve"> </w:t>
      </w:r>
      <w:r w:rsidRPr="003941FD">
        <w:t xml:space="preserve">that there is no need to examine the remainder of the complaints under Article 6 of the Convention and Article 4 </w:t>
      </w:r>
      <w:r w:rsidRPr="003941FD">
        <w:rPr>
          <w:lang w:val="en-US"/>
        </w:rPr>
        <w:t>§ </w:t>
      </w:r>
      <w:r w:rsidRPr="003941FD">
        <w:t>2 of Protocol No. 7 to the Convention;</w:t>
      </w:r>
    </w:p>
    <w:p w:rsidRPr="003941FD" w:rsidR="001C02ED" w:rsidP="003941FD" w:rsidRDefault="001C02ED">
      <w:pPr>
        <w:pStyle w:val="JuList"/>
      </w:pPr>
      <w:r w:rsidRPr="003941FD">
        <w:rPr>
          <w:i/>
        </w:rPr>
        <w:t>Holds</w:t>
      </w:r>
    </w:p>
    <w:p w:rsidRPr="003941FD" w:rsidR="001C02ED" w:rsidP="003941FD" w:rsidRDefault="001C02ED">
      <w:pPr>
        <w:pStyle w:val="JuLista"/>
      </w:pPr>
      <w:r w:rsidRPr="003941FD">
        <w:t xml:space="preserve">that the respondent State is to pay the </w:t>
      </w:r>
      <w:r w:rsidRPr="003941FD">
        <w:rPr>
          <w:szCs w:val="24"/>
        </w:rPr>
        <w:t>applicant</w:t>
      </w:r>
      <w:r w:rsidRPr="003941FD">
        <w:t>, within three months, EUR 1,000 (one thousand euros), plus any tax that may be chargeable, in respect of non-pecuniary damage,</w:t>
      </w:r>
      <w:r w:rsidRPr="003941FD">
        <w:rPr>
          <w:b/>
        </w:rPr>
        <w:t xml:space="preserve"> </w:t>
      </w:r>
      <w:r w:rsidRPr="003941FD">
        <w:t xml:space="preserve">to be converted into </w:t>
      </w:r>
      <w:r w:rsidRPr="003941FD">
        <w:rPr>
          <w:color w:val="000000"/>
        </w:rPr>
        <w:t>the currency of the respondent State</w:t>
      </w:r>
      <w:r w:rsidRPr="003941FD">
        <w:t xml:space="preserve"> at the rate applicable at the date of settlement;</w:t>
      </w:r>
    </w:p>
    <w:p w:rsidRPr="003941FD" w:rsidR="001C02ED" w:rsidP="003941FD" w:rsidRDefault="001C02ED">
      <w:pPr>
        <w:pStyle w:val="JuLista"/>
      </w:pPr>
      <w:r w:rsidRPr="003941FD">
        <w:t>that from the expiry of the above-mentioned three months until settlement, simple interest shall be payable on the above amount at a rate equal to the marginal lending rate of the European Central Bank during the default period, plus three percentage points;</w:t>
      </w:r>
    </w:p>
    <w:p w:rsidRPr="003941FD" w:rsidR="004D0EC7" w:rsidP="003941FD" w:rsidRDefault="001C02ED">
      <w:pPr>
        <w:pStyle w:val="JuList"/>
      </w:pPr>
      <w:r w:rsidRPr="003941FD">
        <w:rPr>
          <w:i/>
        </w:rPr>
        <w:t>Dismisses</w:t>
      </w:r>
      <w:r w:rsidRPr="003941FD">
        <w:rPr>
          <w:color w:val="000000"/>
        </w:rPr>
        <w:t xml:space="preserve"> </w:t>
      </w:r>
      <w:r w:rsidRPr="003941FD">
        <w:t>the remainder of the applicant</w:t>
      </w:r>
      <w:r w:rsidRPr="003941FD" w:rsidR="003941FD">
        <w:t>’</w:t>
      </w:r>
      <w:r w:rsidRPr="003941FD">
        <w:t>s claim for just satisfaction.</w:t>
      </w:r>
    </w:p>
    <w:p w:rsidRPr="003941FD" w:rsidR="008E3A08" w:rsidP="003941FD" w:rsidRDefault="007E2C8C">
      <w:pPr>
        <w:pStyle w:val="JuParaLast"/>
      </w:pPr>
      <w:r w:rsidRPr="003941FD">
        <w:t xml:space="preserve">Done in English, and notified in writing on </w:t>
      </w:r>
      <w:r w:rsidRPr="003941FD" w:rsidR="001C02ED">
        <w:rPr>
          <w:rFonts w:ascii="Times New Roman" w:hAnsi="Times New Roman" w:cs="Times New Roman"/>
        </w:rPr>
        <w:t>17 December 2019</w:t>
      </w:r>
      <w:r w:rsidRPr="003941FD">
        <w:t>, pursuant to Rule 77 §§ 2 and 3 of the Rules of Court.</w:t>
      </w:r>
    </w:p>
    <w:p w:rsidRPr="003941FD" w:rsidR="001C055B" w:rsidP="003941FD" w:rsidRDefault="001C02ED">
      <w:pPr>
        <w:pStyle w:val="JuSigned"/>
      </w:pPr>
      <w:r w:rsidRPr="003941FD">
        <w:t xml:space="preserve"> </w:t>
      </w:r>
      <w:r w:rsidRPr="003941FD" w:rsidR="00D44161">
        <w:rPr>
          <w:lang w:val="ru-RU"/>
        </w:rPr>
        <w:tab/>
        <w:t>Stephen Phillips</w:t>
      </w:r>
      <w:r w:rsidRPr="003941FD" w:rsidR="009F4C8F">
        <w:tab/>
      </w:r>
      <w:r w:rsidRPr="003941FD">
        <w:rPr>
          <w:szCs w:val="24"/>
        </w:rPr>
        <w:t xml:space="preserve">Alena </w:t>
      </w:r>
      <w:proofErr w:type="spellStart"/>
      <w:r w:rsidRPr="003941FD">
        <w:rPr>
          <w:szCs w:val="24"/>
        </w:rPr>
        <w:t>Poláčková</w:t>
      </w:r>
      <w:proofErr w:type="spellEnd"/>
      <w:r w:rsidRPr="003941FD" w:rsidR="009F4C8F">
        <w:rPr>
          <w:szCs w:val="24"/>
        </w:rPr>
        <w:br/>
      </w:r>
      <w:r w:rsidRPr="003941FD" w:rsidR="009F4C8F">
        <w:tab/>
      </w:r>
      <w:r w:rsidRPr="003941FD">
        <w:rPr>
          <w:iCs/>
        </w:rPr>
        <w:t>Registrar</w:t>
      </w:r>
      <w:r w:rsidRPr="003941FD" w:rsidR="009F4C8F">
        <w:tab/>
        <w:t>President</w:t>
      </w:r>
    </w:p>
    <w:sectPr w:rsidRPr="003941FD" w:rsidR="001C055B"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02ED" w:rsidRPr="00085457" w:rsidRDefault="001C02ED" w:rsidP="0098410D">
      <w:r w:rsidRPr="00085457">
        <w:separator/>
      </w:r>
    </w:p>
  </w:endnote>
  <w:endnote w:type="continuationSeparator" w:id="0">
    <w:p w:rsidR="001C02ED" w:rsidRPr="00085457" w:rsidRDefault="001C02ED"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02ED" w:rsidRPr="00150BFA" w:rsidRDefault="001C02ED" w:rsidP="0020718E">
    <w:pPr>
      <w:jc w:val="center"/>
    </w:pPr>
    <w:r>
      <w:rPr>
        <w:noProof/>
        <w:lang w:val="en-US" w:eastAsia="ja-JP"/>
      </w:rPr>
      <w:drawing>
        <wp:inline distT="0" distB="0" distL="0" distR="0" wp14:anchorId="38A5158E" wp14:editId="3038ACB2">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140765">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140765"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02ED" w:rsidRPr="00085457" w:rsidRDefault="001C02ED" w:rsidP="0098410D">
      <w:r w:rsidRPr="00085457">
        <w:separator/>
      </w:r>
    </w:p>
  </w:footnote>
  <w:footnote w:type="continuationSeparator" w:id="0">
    <w:p w:rsidR="001C02ED" w:rsidRPr="00085457" w:rsidRDefault="001C02ED"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02ED" w:rsidRPr="00A45145" w:rsidRDefault="001C02ED" w:rsidP="00A45145">
    <w:pPr>
      <w:jc w:val="center"/>
    </w:pPr>
    <w:r>
      <w:rPr>
        <w:noProof/>
        <w:lang w:val="en-US" w:eastAsia="ja-JP"/>
      </w:rPr>
      <w:drawing>
        <wp:inline distT="0" distB="0" distL="0" distR="0" wp14:anchorId="39BD68E4" wp14:editId="326DC82C">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02ED" w:rsidRPr="00A45145" w:rsidRDefault="001C02ED" w:rsidP="00A45145">
    <w:pPr>
      <w:jc w:val="center"/>
    </w:pPr>
    <w:r>
      <w:rPr>
        <w:noProof/>
        <w:lang w:val="en-US" w:eastAsia="ja-JP"/>
      </w:rPr>
      <w:drawing>
        <wp:inline distT="0" distB="0" distL="0" distR="0" wp14:anchorId="094606C7" wp14:editId="5E7EB929">
          <wp:extent cx="2962275" cy="1219200"/>
          <wp:effectExtent l="0" t="0" r="9525" b="0"/>
          <wp:docPr id="29" name="Picture 2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1C02ED" w:rsidP="004D0EC7">
    <w:pPr>
      <w:pStyle w:val="JuHeader"/>
    </w:pPr>
    <w:r>
      <w:rPr>
        <w:rStyle w:val="PageNumber"/>
      </w:rPr>
      <w:fldChar w:fldCharType="begin"/>
    </w:r>
    <w:r>
      <w:rPr>
        <w:rStyle w:val="PageNumber"/>
      </w:rPr>
      <w:instrText xml:space="preserve"> PAGE </w:instrText>
    </w:r>
    <w:r>
      <w:rPr>
        <w:rStyle w:val="PageNumber"/>
      </w:rPr>
      <w:fldChar w:fldCharType="separate"/>
    </w:r>
    <w:r w:rsidR="003941FD">
      <w:rPr>
        <w:rStyle w:val="PageNumber"/>
        <w:noProof/>
      </w:rPr>
      <w:t>6</w:t>
    </w:r>
    <w:r>
      <w:rPr>
        <w:rStyle w:val="PageNumber"/>
      </w:rPr>
      <w:fldChar w:fldCharType="end"/>
    </w:r>
    <w:r w:rsidR="00882CD5" w:rsidRPr="004D0EC7">
      <w:tab/>
    </w:r>
    <w:r>
      <w:t>ZUBENKO v. RUSSIA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1C02ED">
      <w:t>ZUBENKO v. RUSSIA</w:t>
    </w:r>
    <w:r w:rsidRPr="00882CD5">
      <w:t xml:space="preserve"> JUDGMENT</w:t>
    </w:r>
    <w:r w:rsidRPr="00882CD5">
      <w:tab/>
    </w:r>
    <w:r w:rsidR="001C02ED">
      <w:rPr>
        <w:rStyle w:val="PageNumber"/>
      </w:rPr>
      <w:fldChar w:fldCharType="begin"/>
    </w:r>
    <w:r w:rsidR="001C02ED">
      <w:rPr>
        <w:rStyle w:val="PageNumber"/>
      </w:rPr>
      <w:instrText xml:space="preserve"> PAGE </w:instrText>
    </w:r>
    <w:r w:rsidR="001C02ED">
      <w:rPr>
        <w:rStyle w:val="PageNumber"/>
      </w:rPr>
      <w:fldChar w:fldCharType="separate"/>
    </w:r>
    <w:r w:rsidR="003941FD">
      <w:rPr>
        <w:rStyle w:val="PageNumber"/>
        <w:noProof/>
      </w:rPr>
      <w:t>5</w:t>
    </w:r>
    <w:r w:rsidR="001C02ED">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4">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5">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6">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7">
    <w:nsid w:val="69B170C5"/>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5"/>
  </w:num>
  <w:num w:numId="2">
    <w:abstractNumId w:val="12"/>
  </w:num>
  <w:num w:numId="3">
    <w:abstractNumId w:val="10"/>
  </w:num>
  <w:num w:numId="4">
    <w:abstractNumId w:val="9"/>
  </w:num>
  <w:num w:numId="5">
    <w:abstractNumId w:val="13"/>
  </w:num>
  <w:num w:numId="6">
    <w:abstractNumId w:val="11"/>
  </w:num>
  <w:num w:numId="7">
    <w:abstractNumId w:val="14"/>
  </w:num>
  <w:num w:numId="8">
    <w:abstractNumId w:val="17"/>
  </w:num>
  <w:num w:numId="9">
    <w:abstractNumId w:val="16"/>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614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1C02ED"/>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2ED"/>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34F6"/>
    <w:rsid w:val="00385A36"/>
    <w:rsid w:val="00385F3D"/>
    <w:rsid w:val="00387B9D"/>
    <w:rsid w:val="00387C70"/>
    <w:rsid w:val="00390294"/>
    <w:rsid w:val="0039364F"/>
    <w:rsid w:val="003941FD"/>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14E3"/>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161"/>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3941FD"/>
    <w:rPr>
      <w:rFonts w:eastAsiaTheme="minorEastAsia"/>
      <w:sz w:val="24"/>
      <w:lang w:val="en-GB"/>
    </w:rPr>
  </w:style>
  <w:style w:type="paragraph" w:styleId="Heading1">
    <w:name w:val="heading 1"/>
    <w:basedOn w:val="Normal"/>
    <w:next w:val="Normal"/>
    <w:link w:val="Heading1Char"/>
    <w:uiPriority w:val="98"/>
    <w:semiHidden/>
    <w:rsid w:val="003941FD"/>
    <w:pPr>
      <w:numPr>
        <w:numId w:val="8"/>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3941FD"/>
    <w:pPr>
      <w:numPr>
        <w:ilvl w:val="1"/>
        <w:numId w:val="8"/>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3941FD"/>
    <w:pPr>
      <w:numPr>
        <w:ilvl w:val="2"/>
        <w:numId w:val="8"/>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3941FD"/>
    <w:pPr>
      <w:numPr>
        <w:ilvl w:val="3"/>
        <w:numId w:val="8"/>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3941FD"/>
    <w:pPr>
      <w:numPr>
        <w:ilvl w:val="4"/>
        <w:numId w:val="8"/>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3941FD"/>
    <w:pPr>
      <w:numPr>
        <w:ilvl w:val="5"/>
        <w:numId w:val="8"/>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3941FD"/>
    <w:pPr>
      <w:numPr>
        <w:ilvl w:val="6"/>
        <w:numId w:val="8"/>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3941FD"/>
    <w:pPr>
      <w:numPr>
        <w:ilvl w:val="7"/>
        <w:numId w:val="8"/>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3941FD"/>
    <w:pPr>
      <w:numPr>
        <w:ilvl w:val="8"/>
        <w:numId w:val="8"/>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3941FD"/>
    <w:rPr>
      <w:rFonts w:ascii="Tahoma" w:hAnsi="Tahoma" w:cs="Tahoma"/>
      <w:sz w:val="16"/>
      <w:szCs w:val="16"/>
    </w:rPr>
  </w:style>
  <w:style w:type="character" w:customStyle="1" w:styleId="BalloonTextChar">
    <w:name w:val="Balloon Text Char"/>
    <w:basedOn w:val="DefaultParagraphFont"/>
    <w:link w:val="BalloonText"/>
    <w:uiPriority w:val="98"/>
    <w:semiHidden/>
    <w:rsid w:val="003941FD"/>
    <w:rPr>
      <w:rFonts w:ascii="Tahoma" w:eastAsiaTheme="minorEastAsia" w:hAnsi="Tahoma" w:cs="Tahoma"/>
      <w:sz w:val="16"/>
      <w:szCs w:val="16"/>
      <w:lang w:val="en-GB"/>
    </w:rPr>
  </w:style>
  <w:style w:type="character" w:styleId="BookTitle">
    <w:name w:val="Book Title"/>
    <w:uiPriority w:val="98"/>
    <w:semiHidden/>
    <w:qFormat/>
    <w:rsid w:val="003941FD"/>
    <w:rPr>
      <w:i/>
      <w:iCs/>
      <w:smallCaps/>
      <w:spacing w:val="5"/>
    </w:rPr>
  </w:style>
  <w:style w:type="paragraph" w:customStyle="1" w:styleId="JuHeader">
    <w:name w:val="Ju_Header"/>
    <w:aliases w:val="_Header"/>
    <w:basedOn w:val="Header"/>
    <w:uiPriority w:val="29"/>
    <w:qFormat/>
    <w:rsid w:val="003941FD"/>
    <w:pPr>
      <w:tabs>
        <w:tab w:val="clear" w:pos="4536"/>
        <w:tab w:val="clear" w:pos="9072"/>
        <w:tab w:val="center" w:pos="3686"/>
        <w:tab w:val="right" w:pos="7371"/>
      </w:tabs>
    </w:pPr>
    <w:rPr>
      <w:sz w:val="18"/>
    </w:rPr>
  </w:style>
  <w:style w:type="paragraph" w:customStyle="1" w:styleId="NormalJustified">
    <w:name w:val="Normal_Justified"/>
    <w:basedOn w:val="Normal"/>
    <w:semiHidden/>
    <w:rsid w:val="003941FD"/>
    <w:pPr>
      <w:jc w:val="both"/>
    </w:pPr>
  </w:style>
  <w:style w:type="character" w:styleId="Strong">
    <w:name w:val="Strong"/>
    <w:uiPriority w:val="98"/>
    <w:semiHidden/>
    <w:qFormat/>
    <w:rsid w:val="003941FD"/>
    <w:rPr>
      <w:b/>
      <w:bCs/>
    </w:rPr>
  </w:style>
  <w:style w:type="paragraph" w:styleId="NoSpacing">
    <w:name w:val="No Spacing"/>
    <w:basedOn w:val="Normal"/>
    <w:link w:val="NoSpacingChar"/>
    <w:uiPriority w:val="98"/>
    <w:semiHidden/>
    <w:qFormat/>
    <w:rsid w:val="003941FD"/>
  </w:style>
  <w:style w:type="character" w:customStyle="1" w:styleId="NoSpacingChar">
    <w:name w:val="No Spacing Char"/>
    <w:basedOn w:val="DefaultParagraphFont"/>
    <w:link w:val="NoSpacing"/>
    <w:uiPriority w:val="98"/>
    <w:semiHidden/>
    <w:rsid w:val="003941FD"/>
    <w:rPr>
      <w:rFonts w:eastAsiaTheme="minorEastAsia"/>
      <w:sz w:val="24"/>
      <w:lang w:val="en-GB"/>
    </w:rPr>
  </w:style>
  <w:style w:type="paragraph" w:customStyle="1" w:styleId="JuQuot">
    <w:name w:val="Ju_Quot"/>
    <w:aliases w:val="_Quote"/>
    <w:basedOn w:val="NormalJustified"/>
    <w:uiPriority w:val="20"/>
    <w:qFormat/>
    <w:rsid w:val="003941FD"/>
    <w:pPr>
      <w:spacing w:before="120" w:after="120"/>
      <w:ind w:left="425" w:firstLine="142"/>
    </w:pPr>
    <w:rPr>
      <w:sz w:val="20"/>
    </w:rPr>
  </w:style>
  <w:style w:type="paragraph" w:customStyle="1" w:styleId="ECHRBullet1">
    <w:name w:val="ECHR_Bullet_1"/>
    <w:aliases w:val="_Bul_1"/>
    <w:basedOn w:val="NormalJustified"/>
    <w:uiPriority w:val="23"/>
    <w:semiHidden/>
    <w:qFormat/>
    <w:rsid w:val="003941FD"/>
    <w:pPr>
      <w:numPr>
        <w:numId w:val="5"/>
      </w:numPr>
      <w:spacing w:before="60" w:after="60"/>
    </w:pPr>
    <w:rPr>
      <w:sz w:val="22"/>
    </w:rPr>
  </w:style>
  <w:style w:type="paragraph" w:customStyle="1" w:styleId="JuList">
    <w:name w:val="Ju_List"/>
    <w:aliases w:val="_List_1"/>
    <w:basedOn w:val="NormalJustified"/>
    <w:uiPriority w:val="23"/>
    <w:qFormat/>
    <w:rsid w:val="003941FD"/>
    <w:pPr>
      <w:numPr>
        <w:numId w:val="6"/>
      </w:numPr>
      <w:spacing w:before="280" w:after="60"/>
    </w:pPr>
    <w:rPr>
      <w:rFonts w:eastAsiaTheme="minorHAnsi"/>
    </w:rPr>
  </w:style>
  <w:style w:type="paragraph" w:customStyle="1" w:styleId="JuLista">
    <w:name w:val="Ju_List_a"/>
    <w:aliases w:val="_List_2"/>
    <w:basedOn w:val="NormalJustified"/>
    <w:uiPriority w:val="23"/>
    <w:rsid w:val="003941FD"/>
    <w:pPr>
      <w:numPr>
        <w:ilvl w:val="1"/>
        <w:numId w:val="6"/>
      </w:numPr>
    </w:pPr>
  </w:style>
  <w:style w:type="paragraph" w:customStyle="1" w:styleId="JuListi">
    <w:name w:val="Ju_List_i"/>
    <w:aliases w:val="_List_3"/>
    <w:basedOn w:val="NormalJustified"/>
    <w:uiPriority w:val="23"/>
    <w:rsid w:val="003941FD"/>
    <w:pPr>
      <w:numPr>
        <w:ilvl w:val="2"/>
        <w:numId w:val="6"/>
      </w:numPr>
    </w:pPr>
  </w:style>
  <w:style w:type="paragraph" w:customStyle="1" w:styleId="JuHArticle">
    <w:name w:val="Ju_H_Article"/>
    <w:aliases w:val="_Title_Quote"/>
    <w:basedOn w:val="Normal"/>
    <w:next w:val="JuQuot"/>
    <w:uiPriority w:val="19"/>
    <w:qFormat/>
    <w:rsid w:val="003941FD"/>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8"/>
    <w:qFormat/>
    <w:rsid w:val="003941FD"/>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3941FD"/>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7"/>
    <w:qFormat/>
    <w:rsid w:val="003941FD"/>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3941FD"/>
    <w:pPr>
      <w:numPr>
        <w:numId w:val="5"/>
      </w:numPr>
    </w:pPr>
  </w:style>
  <w:style w:type="paragraph" w:customStyle="1" w:styleId="JuSigned">
    <w:name w:val="Ju_Signed"/>
    <w:aliases w:val="_Signature"/>
    <w:basedOn w:val="Normal"/>
    <w:next w:val="JuPara"/>
    <w:uiPriority w:val="31"/>
    <w:qFormat/>
    <w:rsid w:val="003941FD"/>
    <w:pPr>
      <w:tabs>
        <w:tab w:val="center" w:pos="851"/>
        <w:tab w:val="center" w:pos="6407"/>
      </w:tabs>
      <w:spacing w:before="720"/>
    </w:pPr>
  </w:style>
  <w:style w:type="paragraph" w:styleId="Title">
    <w:name w:val="Title"/>
    <w:basedOn w:val="Normal"/>
    <w:next w:val="Normal"/>
    <w:link w:val="TitleChar"/>
    <w:uiPriority w:val="98"/>
    <w:semiHidden/>
    <w:qFormat/>
    <w:rsid w:val="003941F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3941FD"/>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3941FD"/>
    <w:pPr>
      <w:numPr>
        <w:numId w:val="6"/>
      </w:numPr>
    </w:pPr>
  </w:style>
  <w:style w:type="numbering" w:customStyle="1" w:styleId="ECHRA1StyleNumberedList">
    <w:name w:val="ECHR_A1_Style_Numbered_List"/>
    <w:basedOn w:val="NoList"/>
    <w:rsid w:val="003941FD"/>
    <w:pPr>
      <w:numPr>
        <w:numId w:val="7"/>
      </w:numPr>
    </w:pPr>
  </w:style>
  <w:style w:type="table" w:customStyle="1" w:styleId="ECHRTable2019">
    <w:name w:val="ECHR_Table_2019"/>
    <w:basedOn w:val="TableNormal"/>
    <w:uiPriority w:val="99"/>
    <w:rsid w:val="003941FD"/>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3941FD"/>
    <w:rPr>
      <w:sz w:val="8"/>
    </w:rPr>
  </w:style>
  <w:style w:type="paragraph" w:customStyle="1" w:styleId="JuCourt">
    <w:name w:val="Ju_Court"/>
    <w:aliases w:val="_Court_Names"/>
    <w:basedOn w:val="Normal"/>
    <w:next w:val="Normal"/>
    <w:uiPriority w:val="32"/>
    <w:qFormat/>
    <w:rsid w:val="003941FD"/>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7"/>
    <w:qFormat/>
    <w:rsid w:val="003941FD"/>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7"/>
    <w:qFormat/>
    <w:rsid w:val="003941FD"/>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7"/>
    <w:rsid w:val="003941FD"/>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98"/>
    <w:semiHidden/>
    <w:rsid w:val="003941FD"/>
    <w:pPr>
      <w:tabs>
        <w:tab w:val="center" w:pos="4536"/>
        <w:tab w:val="right" w:pos="9072"/>
      </w:tabs>
    </w:pPr>
    <w:rPr>
      <w:rFonts w:eastAsiaTheme="minorHAnsi"/>
    </w:rPr>
  </w:style>
  <w:style w:type="character" w:customStyle="1" w:styleId="HeaderChar">
    <w:name w:val="Header Char"/>
    <w:basedOn w:val="DefaultParagraphFont"/>
    <w:link w:val="Header"/>
    <w:uiPriority w:val="98"/>
    <w:semiHidden/>
    <w:rsid w:val="003941FD"/>
    <w:rPr>
      <w:sz w:val="24"/>
      <w:lang w:val="en-GB"/>
    </w:rPr>
  </w:style>
  <w:style w:type="character" w:customStyle="1" w:styleId="Heading1Char">
    <w:name w:val="Heading 1 Char"/>
    <w:basedOn w:val="DefaultParagraphFont"/>
    <w:link w:val="Heading1"/>
    <w:uiPriority w:val="98"/>
    <w:semiHidden/>
    <w:rsid w:val="003941FD"/>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7"/>
    <w:rsid w:val="003941FD"/>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7"/>
    <w:rsid w:val="003941FD"/>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8"/>
    <w:semiHidden/>
    <w:rsid w:val="003941FD"/>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7"/>
    <w:rsid w:val="003941FD"/>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7"/>
    <w:rsid w:val="003941FD"/>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8"/>
    <w:semiHidden/>
    <w:rsid w:val="003941FD"/>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5"/>
    <w:qFormat/>
    <w:rsid w:val="003941FD"/>
    <w:pPr>
      <w:keepNext/>
      <w:keepLines/>
      <w:spacing w:before="240" w:after="240"/>
      <w:ind w:firstLine="284"/>
    </w:pPr>
    <w:rPr>
      <w:rFonts w:eastAsiaTheme="minorHAnsi"/>
    </w:rPr>
  </w:style>
  <w:style w:type="paragraph" w:customStyle="1" w:styleId="JuJudges">
    <w:name w:val="Ju_Judges"/>
    <w:aliases w:val="_Judges"/>
    <w:basedOn w:val="Normal"/>
    <w:uiPriority w:val="32"/>
    <w:qFormat/>
    <w:rsid w:val="003941FD"/>
    <w:pPr>
      <w:tabs>
        <w:tab w:val="left" w:pos="567"/>
        <w:tab w:val="left" w:pos="1134"/>
      </w:tabs>
    </w:pPr>
  </w:style>
  <w:style w:type="character" w:customStyle="1" w:styleId="Heading4Char">
    <w:name w:val="Heading 4 Char"/>
    <w:basedOn w:val="DefaultParagraphFont"/>
    <w:link w:val="Heading4"/>
    <w:uiPriority w:val="98"/>
    <w:semiHidden/>
    <w:rsid w:val="003941FD"/>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1"/>
    <w:qFormat/>
    <w:rsid w:val="003941FD"/>
    <w:pPr>
      <w:tabs>
        <w:tab w:val="center" w:pos="6407"/>
      </w:tabs>
      <w:spacing w:before="720"/>
      <w:jc w:val="right"/>
    </w:pPr>
  </w:style>
  <w:style w:type="character" w:customStyle="1" w:styleId="Heading5Char">
    <w:name w:val="Heading 5 Char"/>
    <w:basedOn w:val="DefaultParagraphFont"/>
    <w:link w:val="Heading5"/>
    <w:uiPriority w:val="98"/>
    <w:semiHidden/>
    <w:rsid w:val="003941FD"/>
    <w:rPr>
      <w:rFonts w:asciiTheme="majorHAnsi" w:eastAsiaTheme="majorEastAsia" w:hAnsiTheme="majorHAnsi" w:cstheme="majorBidi"/>
      <w:b/>
      <w:bCs/>
      <w:color w:val="808080"/>
      <w:sz w:val="24"/>
      <w:lang w:val="en-GB"/>
    </w:rPr>
  </w:style>
  <w:style w:type="character" w:customStyle="1" w:styleId="JuITMark">
    <w:name w:val="Ju_ITMark"/>
    <w:aliases w:val="_ITMark"/>
    <w:basedOn w:val="DefaultParagraphFont"/>
    <w:uiPriority w:val="43"/>
    <w:qFormat/>
    <w:rsid w:val="003941FD"/>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3941FD"/>
    <w:rPr>
      <w:caps w:val="0"/>
      <w:smallCaps/>
    </w:rPr>
  </w:style>
  <w:style w:type="character" w:styleId="SubtleEmphasis">
    <w:name w:val="Subtle Emphasis"/>
    <w:uiPriority w:val="98"/>
    <w:semiHidden/>
    <w:qFormat/>
    <w:rsid w:val="003941FD"/>
    <w:rPr>
      <w:i/>
      <w:iCs/>
    </w:rPr>
  </w:style>
  <w:style w:type="table" w:customStyle="1" w:styleId="ECHRTable">
    <w:name w:val="ECHR_Table"/>
    <w:basedOn w:val="TableNormal"/>
    <w:rsid w:val="003941FD"/>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941F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3941FD"/>
    <w:rPr>
      <w:b/>
      <w:bCs/>
      <w:i/>
      <w:iCs/>
      <w:spacing w:val="10"/>
      <w:bdr w:val="none" w:sz="0" w:space="0" w:color="auto"/>
      <w:shd w:val="clear" w:color="auto" w:fill="auto"/>
    </w:rPr>
  </w:style>
  <w:style w:type="paragraph" w:styleId="Footer0">
    <w:name w:val="footer"/>
    <w:basedOn w:val="Normal"/>
    <w:link w:val="FooterChar"/>
    <w:uiPriority w:val="98"/>
    <w:semiHidden/>
    <w:rsid w:val="003941FD"/>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98"/>
    <w:semiHidden/>
    <w:rsid w:val="003941FD"/>
    <w:rPr>
      <w:sz w:val="24"/>
      <w:lang w:val="en-GB"/>
    </w:rPr>
  </w:style>
  <w:style w:type="character" w:styleId="FootnoteReference">
    <w:name w:val="footnote reference"/>
    <w:basedOn w:val="DefaultParagraphFont"/>
    <w:uiPriority w:val="98"/>
    <w:semiHidden/>
    <w:rsid w:val="003941FD"/>
    <w:rPr>
      <w:vertAlign w:val="superscript"/>
    </w:rPr>
  </w:style>
  <w:style w:type="paragraph" w:styleId="FootnoteText">
    <w:name w:val="footnote text"/>
    <w:basedOn w:val="Normal"/>
    <w:link w:val="FootnoteTextChar"/>
    <w:uiPriority w:val="98"/>
    <w:semiHidden/>
    <w:rsid w:val="003941FD"/>
    <w:rPr>
      <w:sz w:val="20"/>
      <w:szCs w:val="20"/>
    </w:rPr>
  </w:style>
  <w:style w:type="character" w:customStyle="1" w:styleId="FootnoteTextChar">
    <w:name w:val="Footnote Text Char"/>
    <w:basedOn w:val="DefaultParagraphFont"/>
    <w:link w:val="FootnoteText"/>
    <w:uiPriority w:val="98"/>
    <w:semiHidden/>
    <w:rsid w:val="003941FD"/>
    <w:rPr>
      <w:rFonts w:eastAsiaTheme="minorEastAsia"/>
      <w:sz w:val="20"/>
      <w:szCs w:val="20"/>
      <w:lang w:val="en-GB"/>
    </w:rPr>
  </w:style>
  <w:style w:type="character" w:customStyle="1" w:styleId="Heading6Char">
    <w:name w:val="Heading 6 Char"/>
    <w:basedOn w:val="DefaultParagraphFont"/>
    <w:link w:val="Heading6"/>
    <w:uiPriority w:val="98"/>
    <w:semiHidden/>
    <w:rsid w:val="003941FD"/>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8"/>
    <w:semiHidden/>
    <w:rsid w:val="003941FD"/>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8"/>
    <w:semiHidden/>
    <w:rsid w:val="003941F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3941FD"/>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3941FD"/>
    <w:rPr>
      <w:color w:val="0072BC" w:themeColor="hyperlink"/>
      <w:u w:val="single"/>
    </w:rPr>
  </w:style>
  <w:style w:type="character" w:styleId="IntenseEmphasis">
    <w:name w:val="Intense Emphasis"/>
    <w:uiPriority w:val="98"/>
    <w:semiHidden/>
    <w:qFormat/>
    <w:rsid w:val="003941FD"/>
    <w:rPr>
      <w:b/>
      <w:bCs/>
    </w:rPr>
  </w:style>
  <w:style w:type="paragraph" w:styleId="IntenseQuote">
    <w:name w:val="Intense Quote"/>
    <w:basedOn w:val="Normal"/>
    <w:next w:val="Normal"/>
    <w:link w:val="IntenseQuoteChar"/>
    <w:uiPriority w:val="98"/>
    <w:semiHidden/>
    <w:qFormat/>
    <w:rsid w:val="003941F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3941FD"/>
    <w:rPr>
      <w:rFonts w:eastAsiaTheme="minorEastAsia"/>
      <w:b/>
      <w:bCs/>
      <w:i/>
      <w:iCs/>
      <w:sz w:val="24"/>
      <w:lang w:val="en-GB" w:bidi="en-US"/>
    </w:rPr>
  </w:style>
  <w:style w:type="character" w:styleId="IntenseReference">
    <w:name w:val="Intense Reference"/>
    <w:uiPriority w:val="98"/>
    <w:semiHidden/>
    <w:qFormat/>
    <w:rsid w:val="003941FD"/>
    <w:rPr>
      <w:smallCaps/>
      <w:spacing w:val="5"/>
      <w:u w:val="single"/>
    </w:rPr>
  </w:style>
  <w:style w:type="paragraph" w:styleId="ListParagraph">
    <w:name w:val="List Paragraph"/>
    <w:basedOn w:val="Normal"/>
    <w:uiPriority w:val="98"/>
    <w:semiHidden/>
    <w:qFormat/>
    <w:rsid w:val="003941FD"/>
    <w:pPr>
      <w:ind w:left="720"/>
      <w:contextualSpacing/>
    </w:pPr>
  </w:style>
  <w:style w:type="table" w:customStyle="1" w:styleId="LtrTableAddress">
    <w:name w:val="Ltr_Table_Address"/>
    <w:aliases w:val="ECHR_Ltr_Table_Address"/>
    <w:basedOn w:val="TableNormal"/>
    <w:uiPriority w:val="99"/>
    <w:rsid w:val="003941FD"/>
    <w:tblPr>
      <w:tblInd w:w="5103" w:type="dxa"/>
    </w:tblPr>
  </w:style>
  <w:style w:type="paragraph" w:styleId="Quote">
    <w:name w:val="Quote"/>
    <w:basedOn w:val="Normal"/>
    <w:next w:val="Normal"/>
    <w:link w:val="QuoteChar"/>
    <w:uiPriority w:val="98"/>
    <w:semiHidden/>
    <w:qFormat/>
    <w:rsid w:val="003941FD"/>
    <w:pPr>
      <w:spacing w:before="200"/>
      <w:ind w:left="360" w:right="360"/>
    </w:pPr>
    <w:rPr>
      <w:i/>
      <w:iCs/>
      <w:lang w:bidi="en-US"/>
    </w:rPr>
  </w:style>
  <w:style w:type="character" w:customStyle="1" w:styleId="QuoteChar">
    <w:name w:val="Quote Char"/>
    <w:basedOn w:val="DefaultParagraphFont"/>
    <w:link w:val="Quote"/>
    <w:uiPriority w:val="98"/>
    <w:semiHidden/>
    <w:rsid w:val="003941FD"/>
    <w:rPr>
      <w:rFonts w:eastAsiaTheme="minorEastAsia"/>
      <w:i/>
      <w:iCs/>
      <w:sz w:val="24"/>
      <w:lang w:val="en-GB" w:bidi="en-US"/>
    </w:rPr>
  </w:style>
  <w:style w:type="character" w:styleId="SubtleReference">
    <w:name w:val="Subtle Reference"/>
    <w:uiPriority w:val="98"/>
    <w:semiHidden/>
    <w:qFormat/>
    <w:rsid w:val="003941FD"/>
    <w:rPr>
      <w:smallCaps/>
    </w:rPr>
  </w:style>
  <w:style w:type="table" w:styleId="TableGrid">
    <w:name w:val="Table Grid"/>
    <w:basedOn w:val="TableNormal"/>
    <w:uiPriority w:val="59"/>
    <w:semiHidden/>
    <w:rsid w:val="003941F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3941F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3941F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3941F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3941F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3941F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3941F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aliases w:val="ECHR_UG_Table"/>
    <w:basedOn w:val="TableNormal"/>
    <w:uiPriority w:val="99"/>
    <w:rsid w:val="003941FD"/>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3941FD"/>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3941FD"/>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941FD"/>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3941FD"/>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3941FD"/>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3941F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8"/>
    <w:semiHidden/>
    <w:qFormat/>
    <w:rsid w:val="003941FD"/>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8"/>
    <w:semiHidden/>
    <w:rsid w:val="003941FD"/>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3941FD"/>
    <w:pPr>
      <w:numPr>
        <w:numId w:val="2"/>
      </w:numPr>
    </w:pPr>
  </w:style>
  <w:style w:type="paragraph" w:customStyle="1" w:styleId="JuPara">
    <w:name w:val="Ju_Para"/>
    <w:aliases w:val="_Para"/>
    <w:basedOn w:val="NormalJustified"/>
    <w:link w:val="JuParaChar"/>
    <w:uiPriority w:val="4"/>
    <w:qFormat/>
    <w:rsid w:val="003941FD"/>
    <w:pPr>
      <w:ind w:firstLine="284"/>
    </w:pPr>
  </w:style>
  <w:style w:type="numbering" w:styleId="1ai">
    <w:name w:val="Outline List 1"/>
    <w:basedOn w:val="NoList"/>
    <w:uiPriority w:val="99"/>
    <w:semiHidden/>
    <w:unhideWhenUsed/>
    <w:rsid w:val="003941FD"/>
    <w:pPr>
      <w:numPr>
        <w:numId w:val="3"/>
      </w:numPr>
    </w:pPr>
  </w:style>
  <w:style w:type="table" w:customStyle="1" w:styleId="ECHRTableSimpleBox">
    <w:name w:val="ECHR_Table_Simple_Box"/>
    <w:basedOn w:val="TableNormal"/>
    <w:uiPriority w:val="99"/>
    <w:rsid w:val="003941FD"/>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3941FD"/>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3941FD"/>
    <w:pPr>
      <w:numPr>
        <w:numId w:val="4"/>
      </w:numPr>
    </w:pPr>
  </w:style>
  <w:style w:type="table" w:customStyle="1" w:styleId="ECHRTableForInternalUse">
    <w:name w:val="ECHR_Table_For_Internal_Use"/>
    <w:basedOn w:val="TableNormal"/>
    <w:uiPriority w:val="99"/>
    <w:rsid w:val="003941FD"/>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3941FD"/>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3941FD"/>
  </w:style>
  <w:style w:type="paragraph" w:styleId="BlockText">
    <w:name w:val="Block Text"/>
    <w:basedOn w:val="Normal"/>
    <w:uiPriority w:val="98"/>
    <w:semiHidden/>
    <w:rsid w:val="003941F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3941FD"/>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3941FD"/>
    <w:pPr>
      <w:spacing w:after="120"/>
    </w:pPr>
  </w:style>
  <w:style w:type="character" w:customStyle="1" w:styleId="BodyTextChar">
    <w:name w:val="Body Text Char"/>
    <w:basedOn w:val="DefaultParagraphFont"/>
    <w:link w:val="BodyText"/>
    <w:uiPriority w:val="98"/>
    <w:semiHidden/>
    <w:rsid w:val="003941FD"/>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3941FD"/>
    <w:pPr>
      <w:spacing w:after="120" w:line="480" w:lineRule="auto"/>
    </w:pPr>
  </w:style>
  <w:style w:type="table" w:customStyle="1" w:styleId="ECHRHeaderTableReduced">
    <w:name w:val="ECHR_Header_Table_Reduced"/>
    <w:basedOn w:val="TableNormal"/>
    <w:uiPriority w:val="99"/>
    <w:rsid w:val="003941FD"/>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3941FD"/>
    <w:pPr>
      <w:ind w:firstLine="284"/>
    </w:pPr>
    <w:rPr>
      <w:b/>
    </w:rPr>
  </w:style>
  <w:style w:type="character" w:styleId="PageNumber">
    <w:name w:val="page number"/>
    <w:uiPriority w:val="98"/>
    <w:semiHidden/>
    <w:rsid w:val="003941FD"/>
    <w:rPr>
      <w:sz w:val="18"/>
    </w:rPr>
  </w:style>
  <w:style w:type="paragraph" w:styleId="ListBullet">
    <w:name w:val="List Bullet"/>
    <w:basedOn w:val="Normal"/>
    <w:uiPriority w:val="98"/>
    <w:semiHidden/>
    <w:rsid w:val="003941FD"/>
    <w:pPr>
      <w:numPr>
        <w:numId w:val="9"/>
      </w:numPr>
    </w:pPr>
  </w:style>
  <w:style w:type="paragraph" w:styleId="ListBullet3">
    <w:name w:val="List Bullet 3"/>
    <w:basedOn w:val="Normal"/>
    <w:uiPriority w:val="98"/>
    <w:semiHidden/>
    <w:rsid w:val="003941FD"/>
    <w:pPr>
      <w:numPr>
        <w:numId w:val="11"/>
      </w:numPr>
      <w:contextualSpacing/>
    </w:pPr>
  </w:style>
  <w:style w:type="character" w:customStyle="1" w:styleId="BodyText2Char">
    <w:name w:val="Body Text 2 Char"/>
    <w:basedOn w:val="DefaultParagraphFont"/>
    <w:link w:val="BodyText2"/>
    <w:uiPriority w:val="98"/>
    <w:semiHidden/>
    <w:rsid w:val="003941FD"/>
    <w:rPr>
      <w:rFonts w:eastAsiaTheme="minorEastAsia"/>
      <w:sz w:val="24"/>
      <w:lang w:val="en-GB"/>
    </w:rPr>
  </w:style>
  <w:style w:type="paragraph" w:styleId="BodyText3">
    <w:name w:val="Body Text 3"/>
    <w:basedOn w:val="Normal"/>
    <w:link w:val="BodyText3Char"/>
    <w:uiPriority w:val="98"/>
    <w:semiHidden/>
    <w:rsid w:val="003941FD"/>
    <w:pPr>
      <w:spacing w:after="120"/>
    </w:pPr>
    <w:rPr>
      <w:sz w:val="16"/>
      <w:szCs w:val="16"/>
    </w:rPr>
  </w:style>
  <w:style w:type="character" w:customStyle="1" w:styleId="BodyText3Char">
    <w:name w:val="Body Text 3 Char"/>
    <w:basedOn w:val="DefaultParagraphFont"/>
    <w:link w:val="BodyText3"/>
    <w:uiPriority w:val="98"/>
    <w:semiHidden/>
    <w:rsid w:val="003941FD"/>
    <w:rPr>
      <w:rFonts w:eastAsiaTheme="minorEastAsia"/>
      <w:sz w:val="16"/>
      <w:szCs w:val="16"/>
      <w:lang w:val="en-GB"/>
    </w:rPr>
  </w:style>
  <w:style w:type="paragraph" w:styleId="BodyTextFirstIndent">
    <w:name w:val="Body Text First Indent"/>
    <w:basedOn w:val="BodyText"/>
    <w:link w:val="BodyTextFirstIndentChar"/>
    <w:uiPriority w:val="98"/>
    <w:semiHidden/>
    <w:rsid w:val="003941FD"/>
    <w:pPr>
      <w:spacing w:after="0"/>
      <w:ind w:firstLine="360"/>
    </w:pPr>
  </w:style>
  <w:style w:type="character" w:customStyle="1" w:styleId="BodyTextFirstIndentChar">
    <w:name w:val="Body Text First Indent Char"/>
    <w:basedOn w:val="BodyTextChar"/>
    <w:link w:val="BodyTextFirstIndent"/>
    <w:uiPriority w:val="98"/>
    <w:semiHidden/>
    <w:rsid w:val="003941FD"/>
    <w:rPr>
      <w:rFonts w:eastAsiaTheme="minorEastAsia"/>
      <w:sz w:val="24"/>
      <w:lang w:val="en-GB"/>
    </w:rPr>
  </w:style>
  <w:style w:type="paragraph" w:styleId="BodyTextIndent">
    <w:name w:val="Body Text Indent"/>
    <w:basedOn w:val="Normal"/>
    <w:link w:val="BodyTextIndentChar"/>
    <w:uiPriority w:val="98"/>
    <w:semiHidden/>
    <w:rsid w:val="003941FD"/>
    <w:pPr>
      <w:spacing w:after="120"/>
      <w:ind w:left="283"/>
    </w:pPr>
  </w:style>
  <w:style w:type="character" w:customStyle="1" w:styleId="BodyTextIndentChar">
    <w:name w:val="Body Text Indent Char"/>
    <w:basedOn w:val="DefaultParagraphFont"/>
    <w:link w:val="BodyTextIndent"/>
    <w:uiPriority w:val="98"/>
    <w:semiHidden/>
    <w:rsid w:val="003941FD"/>
    <w:rPr>
      <w:rFonts w:eastAsiaTheme="minorEastAsia"/>
      <w:sz w:val="24"/>
      <w:lang w:val="en-GB"/>
    </w:rPr>
  </w:style>
  <w:style w:type="paragraph" w:styleId="BodyTextFirstIndent2">
    <w:name w:val="Body Text First Indent 2"/>
    <w:basedOn w:val="BodyTextIndent"/>
    <w:link w:val="BodyTextFirstIndent2Char"/>
    <w:uiPriority w:val="98"/>
    <w:semiHidden/>
    <w:rsid w:val="003941FD"/>
    <w:pPr>
      <w:spacing w:after="0"/>
      <w:ind w:left="360" w:firstLine="360"/>
    </w:pPr>
  </w:style>
  <w:style w:type="character" w:customStyle="1" w:styleId="BodyTextFirstIndent2Char">
    <w:name w:val="Body Text First Indent 2 Char"/>
    <w:basedOn w:val="BodyTextIndentChar"/>
    <w:link w:val="BodyTextFirstIndent2"/>
    <w:uiPriority w:val="98"/>
    <w:semiHidden/>
    <w:rsid w:val="003941FD"/>
    <w:rPr>
      <w:rFonts w:eastAsiaTheme="minorEastAsia"/>
      <w:sz w:val="24"/>
      <w:lang w:val="en-GB"/>
    </w:rPr>
  </w:style>
  <w:style w:type="paragraph" w:styleId="BodyTextIndent2">
    <w:name w:val="Body Text Indent 2"/>
    <w:basedOn w:val="Normal"/>
    <w:link w:val="BodyTextIndent2Char"/>
    <w:uiPriority w:val="98"/>
    <w:semiHidden/>
    <w:rsid w:val="003941FD"/>
    <w:pPr>
      <w:spacing w:after="120" w:line="480" w:lineRule="auto"/>
      <w:ind w:left="283"/>
    </w:pPr>
  </w:style>
  <w:style w:type="character" w:customStyle="1" w:styleId="BodyTextIndent2Char">
    <w:name w:val="Body Text Indent 2 Char"/>
    <w:basedOn w:val="DefaultParagraphFont"/>
    <w:link w:val="BodyTextIndent2"/>
    <w:uiPriority w:val="98"/>
    <w:semiHidden/>
    <w:rsid w:val="003941FD"/>
    <w:rPr>
      <w:rFonts w:eastAsiaTheme="minorEastAsia"/>
      <w:sz w:val="24"/>
      <w:lang w:val="en-GB"/>
    </w:rPr>
  </w:style>
  <w:style w:type="paragraph" w:styleId="BodyTextIndent3">
    <w:name w:val="Body Text Indent 3"/>
    <w:basedOn w:val="Normal"/>
    <w:link w:val="BodyTextIndent3Char"/>
    <w:uiPriority w:val="98"/>
    <w:semiHidden/>
    <w:rsid w:val="003941F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3941FD"/>
    <w:rPr>
      <w:rFonts w:eastAsiaTheme="minorEastAsia"/>
      <w:sz w:val="16"/>
      <w:szCs w:val="16"/>
      <w:lang w:val="en-GB"/>
    </w:rPr>
  </w:style>
  <w:style w:type="paragraph" w:styleId="Caption">
    <w:name w:val="caption"/>
    <w:basedOn w:val="Normal"/>
    <w:next w:val="Normal"/>
    <w:uiPriority w:val="98"/>
    <w:semiHidden/>
    <w:qFormat/>
    <w:rsid w:val="003941FD"/>
    <w:pPr>
      <w:spacing w:after="200"/>
    </w:pPr>
    <w:rPr>
      <w:b/>
      <w:bCs/>
      <w:color w:val="0072BC" w:themeColor="accent1"/>
      <w:sz w:val="18"/>
      <w:szCs w:val="18"/>
    </w:rPr>
  </w:style>
  <w:style w:type="paragraph" w:styleId="Closing">
    <w:name w:val="Closing"/>
    <w:basedOn w:val="Normal"/>
    <w:link w:val="ClosingChar"/>
    <w:uiPriority w:val="98"/>
    <w:semiHidden/>
    <w:rsid w:val="003941FD"/>
    <w:pPr>
      <w:ind w:left="4252"/>
    </w:pPr>
  </w:style>
  <w:style w:type="character" w:customStyle="1" w:styleId="ClosingChar">
    <w:name w:val="Closing Char"/>
    <w:basedOn w:val="DefaultParagraphFont"/>
    <w:link w:val="Closing"/>
    <w:uiPriority w:val="98"/>
    <w:semiHidden/>
    <w:rsid w:val="003941FD"/>
    <w:rPr>
      <w:rFonts w:eastAsiaTheme="minorEastAsia"/>
      <w:sz w:val="24"/>
      <w:lang w:val="en-GB"/>
    </w:rPr>
  </w:style>
  <w:style w:type="table" w:styleId="ColorfulGrid">
    <w:name w:val="Colorful Grid"/>
    <w:basedOn w:val="TableNormal"/>
    <w:uiPriority w:val="73"/>
    <w:semiHidden/>
    <w:rsid w:val="003941F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941F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941F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941F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3941F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941F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941F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941F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941F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941F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941F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3941F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941F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941F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941F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941F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941F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941F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3941F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941F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941F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3941FD"/>
    <w:rPr>
      <w:sz w:val="16"/>
      <w:szCs w:val="16"/>
    </w:rPr>
  </w:style>
  <w:style w:type="paragraph" w:styleId="CommentText">
    <w:name w:val="annotation text"/>
    <w:basedOn w:val="Normal"/>
    <w:link w:val="CommentTextChar"/>
    <w:uiPriority w:val="98"/>
    <w:semiHidden/>
    <w:rsid w:val="003941FD"/>
    <w:rPr>
      <w:sz w:val="20"/>
      <w:szCs w:val="20"/>
    </w:rPr>
  </w:style>
  <w:style w:type="character" w:customStyle="1" w:styleId="CommentTextChar">
    <w:name w:val="Comment Text Char"/>
    <w:basedOn w:val="DefaultParagraphFont"/>
    <w:link w:val="CommentText"/>
    <w:uiPriority w:val="98"/>
    <w:semiHidden/>
    <w:rsid w:val="003941FD"/>
    <w:rPr>
      <w:rFonts w:eastAsiaTheme="minorEastAsia"/>
      <w:sz w:val="20"/>
      <w:szCs w:val="20"/>
      <w:lang w:val="en-GB"/>
    </w:rPr>
  </w:style>
  <w:style w:type="paragraph" w:styleId="CommentSubject">
    <w:name w:val="annotation subject"/>
    <w:basedOn w:val="CommentText"/>
    <w:next w:val="CommentText"/>
    <w:link w:val="CommentSubjectChar"/>
    <w:uiPriority w:val="98"/>
    <w:semiHidden/>
    <w:rsid w:val="003941FD"/>
    <w:rPr>
      <w:b/>
      <w:bCs/>
    </w:rPr>
  </w:style>
  <w:style w:type="character" w:customStyle="1" w:styleId="CommentSubjectChar">
    <w:name w:val="Comment Subject Char"/>
    <w:basedOn w:val="CommentTextChar"/>
    <w:link w:val="CommentSubject"/>
    <w:uiPriority w:val="98"/>
    <w:semiHidden/>
    <w:rsid w:val="003941FD"/>
    <w:rPr>
      <w:rFonts w:eastAsiaTheme="minorEastAsia"/>
      <w:b/>
      <w:bCs/>
      <w:sz w:val="20"/>
      <w:szCs w:val="20"/>
      <w:lang w:val="en-GB"/>
    </w:rPr>
  </w:style>
  <w:style w:type="table" w:styleId="DarkList">
    <w:name w:val="Dark List"/>
    <w:basedOn w:val="TableNormal"/>
    <w:uiPriority w:val="70"/>
    <w:semiHidden/>
    <w:rsid w:val="003941F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941F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941F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941F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3941F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941F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941F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3941FD"/>
  </w:style>
  <w:style w:type="character" w:customStyle="1" w:styleId="DateChar">
    <w:name w:val="Date Char"/>
    <w:basedOn w:val="DefaultParagraphFont"/>
    <w:link w:val="Date"/>
    <w:uiPriority w:val="98"/>
    <w:semiHidden/>
    <w:rsid w:val="003941FD"/>
    <w:rPr>
      <w:rFonts w:eastAsiaTheme="minorEastAsia"/>
      <w:sz w:val="24"/>
      <w:lang w:val="en-GB"/>
    </w:rPr>
  </w:style>
  <w:style w:type="paragraph" w:styleId="DocumentMap">
    <w:name w:val="Document Map"/>
    <w:basedOn w:val="Normal"/>
    <w:link w:val="DocumentMapChar"/>
    <w:uiPriority w:val="98"/>
    <w:semiHidden/>
    <w:rsid w:val="003941FD"/>
    <w:rPr>
      <w:rFonts w:ascii="Tahoma" w:hAnsi="Tahoma" w:cs="Tahoma"/>
      <w:sz w:val="16"/>
      <w:szCs w:val="16"/>
    </w:rPr>
  </w:style>
  <w:style w:type="character" w:customStyle="1" w:styleId="DocumentMapChar">
    <w:name w:val="Document Map Char"/>
    <w:basedOn w:val="DefaultParagraphFont"/>
    <w:link w:val="DocumentMap"/>
    <w:uiPriority w:val="98"/>
    <w:semiHidden/>
    <w:rsid w:val="003941FD"/>
    <w:rPr>
      <w:rFonts w:ascii="Tahoma" w:eastAsiaTheme="minorEastAsia" w:hAnsi="Tahoma" w:cs="Tahoma"/>
      <w:sz w:val="16"/>
      <w:szCs w:val="16"/>
      <w:lang w:val="en-GB"/>
    </w:rPr>
  </w:style>
  <w:style w:type="paragraph" w:styleId="E-mailSignature">
    <w:name w:val="E-mail Signature"/>
    <w:basedOn w:val="Normal"/>
    <w:link w:val="E-mailSignatureChar"/>
    <w:uiPriority w:val="98"/>
    <w:semiHidden/>
    <w:rsid w:val="003941FD"/>
  </w:style>
  <w:style w:type="character" w:customStyle="1" w:styleId="E-mailSignatureChar">
    <w:name w:val="E-mail Signature Char"/>
    <w:basedOn w:val="DefaultParagraphFont"/>
    <w:link w:val="E-mailSignature"/>
    <w:uiPriority w:val="98"/>
    <w:semiHidden/>
    <w:rsid w:val="003941FD"/>
    <w:rPr>
      <w:rFonts w:eastAsiaTheme="minorEastAsia"/>
      <w:sz w:val="24"/>
      <w:lang w:val="en-GB"/>
    </w:rPr>
  </w:style>
  <w:style w:type="character" w:styleId="EndnoteReference">
    <w:name w:val="endnote reference"/>
    <w:basedOn w:val="DefaultParagraphFont"/>
    <w:uiPriority w:val="98"/>
    <w:semiHidden/>
    <w:rsid w:val="003941FD"/>
    <w:rPr>
      <w:vertAlign w:val="superscript"/>
    </w:rPr>
  </w:style>
  <w:style w:type="paragraph" w:styleId="EndnoteText">
    <w:name w:val="endnote text"/>
    <w:basedOn w:val="Normal"/>
    <w:link w:val="EndnoteTextChar"/>
    <w:uiPriority w:val="98"/>
    <w:semiHidden/>
    <w:rsid w:val="003941FD"/>
    <w:rPr>
      <w:sz w:val="20"/>
      <w:szCs w:val="20"/>
    </w:rPr>
  </w:style>
  <w:style w:type="character" w:customStyle="1" w:styleId="EndnoteTextChar">
    <w:name w:val="Endnote Text Char"/>
    <w:basedOn w:val="DefaultParagraphFont"/>
    <w:link w:val="EndnoteText"/>
    <w:uiPriority w:val="98"/>
    <w:semiHidden/>
    <w:rsid w:val="003941FD"/>
    <w:rPr>
      <w:rFonts w:eastAsiaTheme="minorEastAsia"/>
      <w:sz w:val="20"/>
      <w:szCs w:val="20"/>
      <w:lang w:val="en-GB"/>
    </w:rPr>
  </w:style>
  <w:style w:type="paragraph" w:styleId="EnvelopeAddress">
    <w:name w:val="envelope address"/>
    <w:basedOn w:val="Normal"/>
    <w:uiPriority w:val="98"/>
    <w:semiHidden/>
    <w:rsid w:val="003941F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8"/>
    <w:semiHidden/>
    <w:rsid w:val="003941F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3941FD"/>
    <w:rPr>
      <w:color w:val="7030A0" w:themeColor="followedHyperlink"/>
      <w:u w:val="single"/>
    </w:rPr>
  </w:style>
  <w:style w:type="character" w:styleId="HTMLAcronym">
    <w:name w:val="HTML Acronym"/>
    <w:basedOn w:val="DefaultParagraphFont"/>
    <w:uiPriority w:val="98"/>
    <w:semiHidden/>
    <w:rsid w:val="003941FD"/>
  </w:style>
  <w:style w:type="paragraph" w:styleId="HTMLAddress">
    <w:name w:val="HTML Address"/>
    <w:basedOn w:val="Normal"/>
    <w:link w:val="HTMLAddressChar"/>
    <w:uiPriority w:val="98"/>
    <w:semiHidden/>
    <w:rsid w:val="003941FD"/>
    <w:rPr>
      <w:i/>
      <w:iCs/>
    </w:rPr>
  </w:style>
  <w:style w:type="character" w:customStyle="1" w:styleId="HTMLAddressChar">
    <w:name w:val="HTML Address Char"/>
    <w:basedOn w:val="DefaultParagraphFont"/>
    <w:link w:val="HTMLAddress"/>
    <w:uiPriority w:val="98"/>
    <w:semiHidden/>
    <w:rsid w:val="003941FD"/>
    <w:rPr>
      <w:rFonts w:eastAsiaTheme="minorEastAsia"/>
      <w:i/>
      <w:iCs/>
      <w:sz w:val="24"/>
      <w:lang w:val="en-GB"/>
    </w:rPr>
  </w:style>
  <w:style w:type="character" w:styleId="HTMLCite">
    <w:name w:val="HTML Cite"/>
    <w:basedOn w:val="DefaultParagraphFont"/>
    <w:uiPriority w:val="98"/>
    <w:semiHidden/>
    <w:rsid w:val="003941FD"/>
    <w:rPr>
      <w:i/>
      <w:iCs/>
    </w:rPr>
  </w:style>
  <w:style w:type="character" w:styleId="HTMLCode">
    <w:name w:val="HTML Code"/>
    <w:basedOn w:val="DefaultParagraphFont"/>
    <w:uiPriority w:val="98"/>
    <w:semiHidden/>
    <w:rsid w:val="003941FD"/>
    <w:rPr>
      <w:rFonts w:ascii="Consolas" w:hAnsi="Consolas" w:cs="Consolas"/>
      <w:sz w:val="20"/>
      <w:szCs w:val="20"/>
    </w:rPr>
  </w:style>
  <w:style w:type="character" w:styleId="HTMLDefinition">
    <w:name w:val="HTML Definition"/>
    <w:basedOn w:val="DefaultParagraphFont"/>
    <w:uiPriority w:val="98"/>
    <w:semiHidden/>
    <w:rsid w:val="003941FD"/>
    <w:rPr>
      <w:i/>
      <w:iCs/>
    </w:rPr>
  </w:style>
  <w:style w:type="character" w:styleId="HTMLKeyboard">
    <w:name w:val="HTML Keyboard"/>
    <w:basedOn w:val="DefaultParagraphFont"/>
    <w:uiPriority w:val="98"/>
    <w:semiHidden/>
    <w:rsid w:val="003941FD"/>
    <w:rPr>
      <w:rFonts w:ascii="Consolas" w:hAnsi="Consolas" w:cs="Consolas"/>
      <w:sz w:val="20"/>
      <w:szCs w:val="20"/>
    </w:rPr>
  </w:style>
  <w:style w:type="paragraph" w:styleId="HTMLPreformatted">
    <w:name w:val="HTML Preformatted"/>
    <w:basedOn w:val="Normal"/>
    <w:link w:val="HTMLPreformattedChar"/>
    <w:uiPriority w:val="98"/>
    <w:semiHidden/>
    <w:rsid w:val="003941F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3941FD"/>
    <w:rPr>
      <w:rFonts w:ascii="Consolas" w:eastAsiaTheme="minorEastAsia" w:hAnsi="Consolas" w:cs="Consolas"/>
      <w:sz w:val="20"/>
      <w:szCs w:val="20"/>
      <w:lang w:val="en-GB"/>
    </w:rPr>
  </w:style>
  <w:style w:type="character" w:styleId="HTMLSample">
    <w:name w:val="HTML Sample"/>
    <w:basedOn w:val="DefaultParagraphFont"/>
    <w:uiPriority w:val="98"/>
    <w:semiHidden/>
    <w:rsid w:val="003941FD"/>
    <w:rPr>
      <w:rFonts w:ascii="Consolas" w:hAnsi="Consolas" w:cs="Consolas"/>
      <w:sz w:val="24"/>
      <w:szCs w:val="24"/>
    </w:rPr>
  </w:style>
  <w:style w:type="character" w:styleId="HTMLTypewriter">
    <w:name w:val="HTML Typewriter"/>
    <w:basedOn w:val="DefaultParagraphFont"/>
    <w:uiPriority w:val="98"/>
    <w:semiHidden/>
    <w:rsid w:val="003941FD"/>
    <w:rPr>
      <w:rFonts w:ascii="Consolas" w:hAnsi="Consolas" w:cs="Consolas"/>
      <w:sz w:val="20"/>
      <w:szCs w:val="20"/>
    </w:rPr>
  </w:style>
  <w:style w:type="character" w:styleId="HTMLVariable">
    <w:name w:val="HTML Variable"/>
    <w:basedOn w:val="DefaultParagraphFont"/>
    <w:uiPriority w:val="98"/>
    <w:semiHidden/>
    <w:rsid w:val="003941FD"/>
    <w:rPr>
      <w:i/>
      <w:iCs/>
    </w:rPr>
  </w:style>
  <w:style w:type="paragraph" w:styleId="Index1">
    <w:name w:val="index 1"/>
    <w:basedOn w:val="Normal"/>
    <w:next w:val="Normal"/>
    <w:autoRedefine/>
    <w:uiPriority w:val="98"/>
    <w:semiHidden/>
    <w:rsid w:val="003941FD"/>
    <w:pPr>
      <w:ind w:left="240" w:hanging="240"/>
    </w:pPr>
  </w:style>
  <w:style w:type="paragraph" w:styleId="Index2">
    <w:name w:val="index 2"/>
    <w:basedOn w:val="Normal"/>
    <w:next w:val="Normal"/>
    <w:autoRedefine/>
    <w:uiPriority w:val="98"/>
    <w:semiHidden/>
    <w:rsid w:val="003941FD"/>
    <w:pPr>
      <w:ind w:left="480" w:hanging="240"/>
    </w:pPr>
  </w:style>
  <w:style w:type="paragraph" w:styleId="Index3">
    <w:name w:val="index 3"/>
    <w:basedOn w:val="Normal"/>
    <w:next w:val="Normal"/>
    <w:autoRedefine/>
    <w:uiPriority w:val="98"/>
    <w:semiHidden/>
    <w:rsid w:val="003941FD"/>
    <w:pPr>
      <w:ind w:left="720" w:hanging="240"/>
    </w:pPr>
  </w:style>
  <w:style w:type="paragraph" w:styleId="Index4">
    <w:name w:val="index 4"/>
    <w:basedOn w:val="Normal"/>
    <w:next w:val="Normal"/>
    <w:autoRedefine/>
    <w:uiPriority w:val="98"/>
    <w:semiHidden/>
    <w:rsid w:val="003941FD"/>
    <w:pPr>
      <w:ind w:left="960" w:hanging="240"/>
    </w:pPr>
  </w:style>
  <w:style w:type="paragraph" w:styleId="Index5">
    <w:name w:val="index 5"/>
    <w:basedOn w:val="Normal"/>
    <w:next w:val="Normal"/>
    <w:autoRedefine/>
    <w:uiPriority w:val="98"/>
    <w:semiHidden/>
    <w:rsid w:val="003941FD"/>
    <w:pPr>
      <w:ind w:left="1200" w:hanging="240"/>
    </w:pPr>
  </w:style>
  <w:style w:type="paragraph" w:styleId="Index6">
    <w:name w:val="index 6"/>
    <w:basedOn w:val="Normal"/>
    <w:next w:val="Normal"/>
    <w:autoRedefine/>
    <w:uiPriority w:val="98"/>
    <w:semiHidden/>
    <w:rsid w:val="003941FD"/>
    <w:pPr>
      <w:ind w:left="1440" w:hanging="240"/>
    </w:pPr>
  </w:style>
  <w:style w:type="paragraph" w:styleId="Index7">
    <w:name w:val="index 7"/>
    <w:basedOn w:val="Normal"/>
    <w:next w:val="Normal"/>
    <w:autoRedefine/>
    <w:uiPriority w:val="98"/>
    <w:semiHidden/>
    <w:rsid w:val="003941FD"/>
    <w:pPr>
      <w:ind w:left="1680" w:hanging="240"/>
    </w:pPr>
  </w:style>
  <w:style w:type="paragraph" w:styleId="Index8">
    <w:name w:val="index 8"/>
    <w:basedOn w:val="Normal"/>
    <w:next w:val="Normal"/>
    <w:autoRedefine/>
    <w:uiPriority w:val="98"/>
    <w:semiHidden/>
    <w:rsid w:val="003941FD"/>
    <w:pPr>
      <w:ind w:left="1920" w:hanging="240"/>
    </w:pPr>
  </w:style>
  <w:style w:type="paragraph" w:styleId="Index9">
    <w:name w:val="index 9"/>
    <w:basedOn w:val="Normal"/>
    <w:next w:val="Normal"/>
    <w:autoRedefine/>
    <w:uiPriority w:val="98"/>
    <w:semiHidden/>
    <w:rsid w:val="003941FD"/>
    <w:pPr>
      <w:ind w:left="2160" w:hanging="240"/>
    </w:pPr>
  </w:style>
  <w:style w:type="paragraph" w:styleId="IndexHeading">
    <w:name w:val="index heading"/>
    <w:basedOn w:val="Normal"/>
    <w:next w:val="Index1"/>
    <w:uiPriority w:val="98"/>
    <w:semiHidden/>
    <w:rsid w:val="003941FD"/>
    <w:rPr>
      <w:rFonts w:asciiTheme="majorHAnsi" w:eastAsiaTheme="majorEastAsia" w:hAnsiTheme="majorHAnsi" w:cstheme="majorBidi"/>
      <w:b/>
      <w:bCs/>
    </w:rPr>
  </w:style>
  <w:style w:type="table" w:styleId="LightGrid">
    <w:name w:val="Light Grid"/>
    <w:basedOn w:val="TableNormal"/>
    <w:uiPriority w:val="62"/>
    <w:semiHidden/>
    <w:rsid w:val="003941F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941F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941F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941F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3941F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941F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941F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941F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941F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941F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941F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3941F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941F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941F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941F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941F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941F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941F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3941F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941F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941F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3941FD"/>
  </w:style>
  <w:style w:type="paragraph" w:styleId="List">
    <w:name w:val="List"/>
    <w:basedOn w:val="Normal"/>
    <w:uiPriority w:val="98"/>
    <w:semiHidden/>
    <w:rsid w:val="003941FD"/>
    <w:pPr>
      <w:ind w:left="283" w:hanging="283"/>
      <w:contextualSpacing/>
    </w:pPr>
  </w:style>
  <w:style w:type="paragraph" w:styleId="List2">
    <w:name w:val="List 2"/>
    <w:basedOn w:val="Normal"/>
    <w:uiPriority w:val="98"/>
    <w:semiHidden/>
    <w:rsid w:val="003941FD"/>
    <w:pPr>
      <w:ind w:left="566" w:hanging="283"/>
      <w:contextualSpacing/>
    </w:pPr>
  </w:style>
  <w:style w:type="paragraph" w:styleId="List3">
    <w:name w:val="List 3"/>
    <w:basedOn w:val="Normal"/>
    <w:uiPriority w:val="98"/>
    <w:semiHidden/>
    <w:rsid w:val="003941FD"/>
    <w:pPr>
      <w:ind w:left="849" w:hanging="283"/>
      <w:contextualSpacing/>
    </w:pPr>
  </w:style>
  <w:style w:type="paragraph" w:styleId="List4">
    <w:name w:val="List 4"/>
    <w:basedOn w:val="Normal"/>
    <w:uiPriority w:val="98"/>
    <w:semiHidden/>
    <w:rsid w:val="003941FD"/>
    <w:pPr>
      <w:ind w:left="1132" w:hanging="283"/>
      <w:contextualSpacing/>
    </w:pPr>
  </w:style>
  <w:style w:type="paragraph" w:styleId="List5">
    <w:name w:val="List 5"/>
    <w:basedOn w:val="Normal"/>
    <w:uiPriority w:val="98"/>
    <w:semiHidden/>
    <w:rsid w:val="003941FD"/>
    <w:pPr>
      <w:ind w:left="1415" w:hanging="283"/>
      <w:contextualSpacing/>
    </w:pPr>
  </w:style>
  <w:style w:type="paragraph" w:styleId="ListBullet2">
    <w:name w:val="List Bullet 2"/>
    <w:basedOn w:val="Normal"/>
    <w:uiPriority w:val="98"/>
    <w:semiHidden/>
    <w:rsid w:val="003941FD"/>
    <w:pPr>
      <w:numPr>
        <w:numId w:val="10"/>
      </w:numPr>
      <w:contextualSpacing/>
    </w:pPr>
  </w:style>
  <w:style w:type="paragraph" w:styleId="ListBullet4">
    <w:name w:val="List Bullet 4"/>
    <w:basedOn w:val="Normal"/>
    <w:uiPriority w:val="98"/>
    <w:semiHidden/>
    <w:rsid w:val="003941FD"/>
    <w:pPr>
      <w:numPr>
        <w:numId w:val="12"/>
      </w:numPr>
      <w:contextualSpacing/>
    </w:pPr>
  </w:style>
  <w:style w:type="paragraph" w:styleId="ListBullet5">
    <w:name w:val="List Bullet 5"/>
    <w:basedOn w:val="Normal"/>
    <w:uiPriority w:val="98"/>
    <w:semiHidden/>
    <w:rsid w:val="003941FD"/>
    <w:pPr>
      <w:numPr>
        <w:numId w:val="13"/>
      </w:numPr>
      <w:contextualSpacing/>
    </w:pPr>
  </w:style>
  <w:style w:type="paragraph" w:styleId="ListContinue">
    <w:name w:val="List Continue"/>
    <w:basedOn w:val="Normal"/>
    <w:uiPriority w:val="98"/>
    <w:semiHidden/>
    <w:rsid w:val="003941FD"/>
    <w:pPr>
      <w:spacing w:after="120"/>
      <w:ind w:left="283"/>
      <w:contextualSpacing/>
    </w:pPr>
  </w:style>
  <w:style w:type="paragraph" w:styleId="ListContinue2">
    <w:name w:val="List Continue 2"/>
    <w:basedOn w:val="Normal"/>
    <w:uiPriority w:val="98"/>
    <w:semiHidden/>
    <w:rsid w:val="003941FD"/>
    <w:pPr>
      <w:spacing w:after="120"/>
      <w:ind w:left="566"/>
      <w:contextualSpacing/>
    </w:pPr>
  </w:style>
  <w:style w:type="paragraph" w:styleId="ListContinue3">
    <w:name w:val="List Continue 3"/>
    <w:basedOn w:val="Normal"/>
    <w:uiPriority w:val="98"/>
    <w:semiHidden/>
    <w:rsid w:val="003941FD"/>
    <w:pPr>
      <w:spacing w:after="120"/>
      <w:ind w:left="849"/>
      <w:contextualSpacing/>
    </w:pPr>
  </w:style>
  <w:style w:type="paragraph" w:styleId="ListContinue4">
    <w:name w:val="List Continue 4"/>
    <w:basedOn w:val="Normal"/>
    <w:uiPriority w:val="98"/>
    <w:semiHidden/>
    <w:rsid w:val="003941FD"/>
    <w:pPr>
      <w:spacing w:after="120"/>
      <w:ind w:left="1132"/>
      <w:contextualSpacing/>
    </w:pPr>
  </w:style>
  <w:style w:type="paragraph" w:styleId="ListContinue5">
    <w:name w:val="List Continue 5"/>
    <w:basedOn w:val="Normal"/>
    <w:uiPriority w:val="98"/>
    <w:semiHidden/>
    <w:rsid w:val="003941FD"/>
    <w:pPr>
      <w:spacing w:after="120"/>
      <w:ind w:left="1415"/>
      <w:contextualSpacing/>
    </w:pPr>
  </w:style>
  <w:style w:type="paragraph" w:styleId="ListNumber">
    <w:name w:val="List Number"/>
    <w:basedOn w:val="Normal"/>
    <w:uiPriority w:val="98"/>
    <w:semiHidden/>
    <w:rsid w:val="003941FD"/>
    <w:pPr>
      <w:numPr>
        <w:numId w:val="14"/>
      </w:numPr>
      <w:contextualSpacing/>
    </w:pPr>
  </w:style>
  <w:style w:type="paragraph" w:styleId="ListNumber2">
    <w:name w:val="List Number 2"/>
    <w:basedOn w:val="Normal"/>
    <w:uiPriority w:val="98"/>
    <w:semiHidden/>
    <w:rsid w:val="003941FD"/>
    <w:pPr>
      <w:numPr>
        <w:numId w:val="15"/>
      </w:numPr>
      <w:contextualSpacing/>
    </w:pPr>
  </w:style>
  <w:style w:type="paragraph" w:styleId="ListNumber3">
    <w:name w:val="List Number 3"/>
    <w:basedOn w:val="Normal"/>
    <w:uiPriority w:val="98"/>
    <w:semiHidden/>
    <w:rsid w:val="003941FD"/>
    <w:pPr>
      <w:numPr>
        <w:numId w:val="16"/>
      </w:numPr>
      <w:contextualSpacing/>
    </w:pPr>
  </w:style>
  <w:style w:type="paragraph" w:styleId="ListNumber4">
    <w:name w:val="List Number 4"/>
    <w:basedOn w:val="Normal"/>
    <w:uiPriority w:val="98"/>
    <w:semiHidden/>
    <w:rsid w:val="003941FD"/>
    <w:pPr>
      <w:numPr>
        <w:numId w:val="17"/>
      </w:numPr>
      <w:contextualSpacing/>
    </w:pPr>
  </w:style>
  <w:style w:type="paragraph" w:styleId="ListNumber5">
    <w:name w:val="List Number 5"/>
    <w:basedOn w:val="Normal"/>
    <w:uiPriority w:val="98"/>
    <w:semiHidden/>
    <w:rsid w:val="003941FD"/>
    <w:pPr>
      <w:numPr>
        <w:numId w:val="18"/>
      </w:numPr>
      <w:contextualSpacing/>
    </w:pPr>
  </w:style>
  <w:style w:type="paragraph" w:styleId="MacroText">
    <w:name w:val="macro"/>
    <w:link w:val="MacroTextChar"/>
    <w:uiPriority w:val="98"/>
    <w:semiHidden/>
    <w:rsid w:val="003941F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3941FD"/>
    <w:rPr>
      <w:rFonts w:ascii="Consolas" w:eastAsiaTheme="minorEastAsia" w:hAnsi="Consolas" w:cs="Consolas"/>
      <w:sz w:val="20"/>
      <w:szCs w:val="20"/>
    </w:rPr>
  </w:style>
  <w:style w:type="table" w:styleId="MediumGrid1">
    <w:name w:val="Medium Grid 1"/>
    <w:basedOn w:val="TableNormal"/>
    <w:uiPriority w:val="67"/>
    <w:semiHidden/>
    <w:rsid w:val="003941F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941F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941F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941F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3941F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941F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941F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941F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3941F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3941F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3941F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3941F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3941F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3941F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3941F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3941F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941F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941F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3941F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941F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941F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3941F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941F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941F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941F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3941F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941F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941F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941F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941F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941F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941F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941F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941F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941F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3941F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941F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941F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941F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941F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941F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941F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941F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941F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941F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941F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941F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941F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941F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3941F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8"/>
    <w:semiHidden/>
    <w:rsid w:val="003941F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3941FD"/>
    <w:rPr>
      <w:rFonts w:ascii="Times New Roman" w:hAnsi="Times New Roman" w:cs="Times New Roman"/>
      <w:szCs w:val="24"/>
    </w:rPr>
  </w:style>
  <w:style w:type="paragraph" w:styleId="NormalIndent">
    <w:name w:val="Normal Indent"/>
    <w:basedOn w:val="Normal"/>
    <w:uiPriority w:val="98"/>
    <w:semiHidden/>
    <w:rsid w:val="003941FD"/>
    <w:pPr>
      <w:ind w:left="720"/>
    </w:pPr>
  </w:style>
  <w:style w:type="paragraph" w:styleId="NoteHeading">
    <w:name w:val="Note Heading"/>
    <w:basedOn w:val="Normal"/>
    <w:next w:val="Normal"/>
    <w:link w:val="NoteHeadingChar"/>
    <w:uiPriority w:val="98"/>
    <w:semiHidden/>
    <w:rsid w:val="003941FD"/>
  </w:style>
  <w:style w:type="character" w:customStyle="1" w:styleId="NoteHeadingChar">
    <w:name w:val="Note Heading Char"/>
    <w:basedOn w:val="DefaultParagraphFont"/>
    <w:link w:val="NoteHeading"/>
    <w:uiPriority w:val="98"/>
    <w:semiHidden/>
    <w:rsid w:val="003941FD"/>
    <w:rPr>
      <w:rFonts w:eastAsiaTheme="minorEastAsia"/>
      <w:sz w:val="24"/>
      <w:lang w:val="en-GB"/>
    </w:rPr>
  </w:style>
  <w:style w:type="character" w:styleId="PlaceholderText">
    <w:name w:val="Placeholder Text"/>
    <w:basedOn w:val="DefaultParagraphFont"/>
    <w:uiPriority w:val="98"/>
    <w:semiHidden/>
    <w:rsid w:val="003941FD"/>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3941FD"/>
    <w:rPr>
      <w:rFonts w:ascii="Consolas" w:hAnsi="Consolas" w:cs="Consolas"/>
      <w:sz w:val="21"/>
      <w:szCs w:val="21"/>
    </w:rPr>
  </w:style>
  <w:style w:type="character" w:customStyle="1" w:styleId="PlainTextChar">
    <w:name w:val="Plain Text Char"/>
    <w:basedOn w:val="DefaultParagraphFont"/>
    <w:link w:val="PlainText"/>
    <w:uiPriority w:val="98"/>
    <w:semiHidden/>
    <w:rsid w:val="003941FD"/>
    <w:rPr>
      <w:rFonts w:ascii="Consolas" w:eastAsiaTheme="minorEastAsia" w:hAnsi="Consolas" w:cs="Consolas"/>
      <w:sz w:val="21"/>
      <w:szCs w:val="21"/>
      <w:lang w:val="en-GB"/>
    </w:rPr>
  </w:style>
  <w:style w:type="paragraph" w:styleId="Salutation">
    <w:name w:val="Salutation"/>
    <w:basedOn w:val="Normal"/>
    <w:next w:val="Normal"/>
    <w:link w:val="SalutationChar"/>
    <w:uiPriority w:val="98"/>
    <w:semiHidden/>
    <w:rsid w:val="003941FD"/>
  </w:style>
  <w:style w:type="character" w:customStyle="1" w:styleId="SalutationChar">
    <w:name w:val="Salutation Char"/>
    <w:basedOn w:val="DefaultParagraphFont"/>
    <w:link w:val="Salutation"/>
    <w:uiPriority w:val="98"/>
    <w:semiHidden/>
    <w:rsid w:val="003941FD"/>
    <w:rPr>
      <w:rFonts w:eastAsiaTheme="minorEastAsia"/>
      <w:sz w:val="24"/>
      <w:lang w:val="en-GB"/>
    </w:rPr>
  </w:style>
  <w:style w:type="paragraph" w:styleId="Signature">
    <w:name w:val="Signature"/>
    <w:basedOn w:val="Normal"/>
    <w:link w:val="SignatureChar"/>
    <w:uiPriority w:val="98"/>
    <w:semiHidden/>
    <w:rsid w:val="003941FD"/>
    <w:pPr>
      <w:ind w:left="4252"/>
    </w:pPr>
  </w:style>
  <w:style w:type="character" w:customStyle="1" w:styleId="SignatureChar">
    <w:name w:val="Signature Char"/>
    <w:basedOn w:val="DefaultParagraphFont"/>
    <w:link w:val="Signature"/>
    <w:uiPriority w:val="98"/>
    <w:semiHidden/>
    <w:rsid w:val="003941FD"/>
    <w:rPr>
      <w:rFonts w:eastAsiaTheme="minorEastAsia"/>
      <w:sz w:val="24"/>
      <w:lang w:val="en-GB"/>
    </w:rPr>
  </w:style>
  <w:style w:type="table" w:styleId="Table3Deffects1">
    <w:name w:val="Table 3D effects 1"/>
    <w:basedOn w:val="TableNormal"/>
    <w:uiPriority w:val="99"/>
    <w:semiHidden/>
    <w:unhideWhenUsed/>
    <w:rsid w:val="003941F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41F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41F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41F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41F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41F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41F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41F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41F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41F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41F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41F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41F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41F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41F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41F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41F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941F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41F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41F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41F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41F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41F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41F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41F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941F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41F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41F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41F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41F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41F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41F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41F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3941FD"/>
    <w:pPr>
      <w:ind w:left="240" w:hanging="240"/>
    </w:pPr>
  </w:style>
  <w:style w:type="paragraph" w:styleId="TableofFigures">
    <w:name w:val="table of figures"/>
    <w:basedOn w:val="Normal"/>
    <w:next w:val="Normal"/>
    <w:uiPriority w:val="98"/>
    <w:semiHidden/>
    <w:rsid w:val="003941FD"/>
  </w:style>
  <w:style w:type="table" w:styleId="TableProfessional">
    <w:name w:val="Table Professional"/>
    <w:basedOn w:val="TableNormal"/>
    <w:uiPriority w:val="99"/>
    <w:semiHidden/>
    <w:unhideWhenUsed/>
    <w:rsid w:val="003941F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41F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41F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41F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41F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41F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41F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41F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41F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41F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3941F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3941F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3941FD"/>
    <w:pPr>
      <w:spacing w:after="100"/>
      <w:ind w:left="1680"/>
    </w:pPr>
  </w:style>
  <w:style w:type="paragraph" w:styleId="TOC9">
    <w:name w:val="toc 9"/>
    <w:basedOn w:val="Normal"/>
    <w:next w:val="Normal"/>
    <w:autoRedefine/>
    <w:uiPriority w:val="98"/>
    <w:semiHidden/>
    <w:rsid w:val="003941FD"/>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3941FD"/>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8"/>
    <w:qFormat/>
    <w:rsid w:val="003941FD"/>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29"/>
    <w:qFormat/>
    <w:rsid w:val="003941FD"/>
    <w:pPr>
      <w:tabs>
        <w:tab w:val="clear" w:pos="3686"/>
        <w:tab w:val="clear" w:pos="7371"/>
        <w:tab w:val="center" w:pos="6146"/>
        <w:tab w:val="right" w:pos="12293"/>
      </w:tabs>
    </w:pPr>
  </w:style>
  <w:style w:type="paragraph" w:customStyle="1" w:styleId="JuTitle">
    <w:name w:val="Ju_Title"/>
    <w:aliases w:val="_Title_2"/>
    <w:basedOn w:val="Normal"/>
    <w:next w:val="JuPara"/>
    <w:uiPriority w:val="38"/>
    <w:qFormat/>
    <w:rsid w:val="003941FD"/>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4"/>
    <w:rsid w:val="001C02ED"/>
    <w:rPr>
      <w:rFonts w:eastAsiaTheme="minorEastAsia"/>
      <w:sz w:val="24"/>
      <w:lang w:val="en-GB"/>
    </w:rPr>
  </w:style>
  <w:style w:type="paragraph" w:customStyle="1" w:styleId="ECHRBullet2">
    <w:name w:val="ECHR_Bullet_2"/>
    <w:aliases w:val="_Bul_2"/>
    <w:basedOn w:val="ECHRBullet1"/>
    <w:uiPriority w:val="23"/>
    <w:semiHidden/>
    <w:rsid w:val="003941FD"/>
    <w:pPr>
      <w:numPr>
        <w:ilvl w:val="1"/>
      </w:numPr>
    </w:pPr>
  </w:style>
  <w:style w:type="paragraph" w:customStyle="1" w:styleId="ECHRBullet3">
    <w:name w:val="ECHR_Bullet_3"/>
    <w:aliases w:val="_Bul_3"/>
    <w:basedOn w:val="ECHRBullet2"/>
    <w:uiPriority w:val="23"/>
    <w:semiHidden/>
    <w:rsid w:val="003941FD"/>
    <w:pPr>
      <w:numPr>
        <w:ilvl w:val="2"/>
      </w:numPr>
    </w:pPr>
  </w:style>
  <w:style w:type="paragraph" w:customStyle="1" w:styleId="ECHRBullet4">
    <w:name w:val="ECHR_Bullet_4"/>
    <w:aliases w:val="_Bul_4"/>
    <w:basedOn w:val="ECHRBullet3"/>
    <w:uiPriority w:val="23"/>
    <w:semiHidden/>
    <w:rsid w:val="003941FD"/>
    <w:pPr>
      <w:numPr>
        <w:ilvl w:val="3"/>
      </w:numPr>
    </w:pPr>
  </w:style>
  <w:style w:type="paragraph" w:customStyle="1" w:styleId="ECHRConfidential">
    <w:name w:val="ECHR_Confidential"/>
    <w:aliases w:val="_Confidential"/>
    <w:basedOn w:val="Normal"/>
    <w:next w:val="Normal"/>
    <w:uiPriority w:val="42"/>
    <w:semiHidden/>
    <w:qFormat/>
    <w:rsid w:val="003941FD"/>
    <w:pPr>
      <w:jc w:val="right"/>
    </w:pPr>
    <w:rPr>
      <w:rFonts w:eastAsiaTheme="minorHAnsi"/>
      <w:color w:val="C00000"/>
      <w:sz w:val="20"/>
    </w:rPr>
  </w:style>
  <w:style w:type="paragraph" w:customStyle="1" w:styleId="ECHRDecisionBody">
    <w:name w:val="ECHR_Decision_Body"/>
    <w:aliases w:val="_Decision_Body"/>
    <w:basedOn w:val="NormalJustified"/>
    <w:uiPriority w:val="54"/>
    <w:semiHidden/>
    <w:rsid w:val="003941F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3941FD"/>
    <w:pPr>
      <w:contextualSpacing/>
      <w:jc w:val="center"/>
    </w:pPr>
    <w:rPr>
      <w:rFonts w:ascii="Arial" w:eastAsiaTheme="minorHAnsi"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3941FD"/>
    <w:rPr>
      <w:rFonts w:ascii="Arial" w:hAnsi="Arial"/>
      <w:i/>
      <w:color w:val="0072BC" w:themeColor="accent1"/>
      <w:sz w:val="32"/>
      <w:lang w:val="en-GB"/>
    </w:rPr>
  </w:style>
  <w:style w:type="paragraph" w:customStyle="1" w:styleId="DummyStyle">
    <w:name w:val="Dummy_Style"/>
    <w:aliases w:val="_Dummy"/>
    <w:basedOn w:val="Normal"/>
    <w:semiHidden/>
    <w:qFormat/>
    <w:rsid w:val="003941FD"/>
    <w:rPr>
      <w:rFonts w:eastAsiaTheme="minorHAnsi"/>
      <w:color w:val="00B050"/>
      <w:sz w:val="22"/>
    </w:rPr>
  </w:style>
  <w:style w:type="paragraph" w:customStyle="1" w:styleId="ECHRFooterLineLandscape">
    <w:name w:val="ECHR_Footer_Line_Landscape"/>
    <w:aliases w:val="_Footer_Line_Landscape"/>
    <w:basedOn w:val="Normal"/>
    <w:uiPriority w:val="30"/>
    <w:semiHidden/>
    <w:rsid w:val="003941FD"/>
    <w:pPr>
      <w:pBdr>
        <w:top w:val="single" w:sz="8" w:space="1" w:color="7F7F7F" w:themeColor="text1" w:themeTint="80"/>
      </w:pBdr>
      <w:tabs>
        <w:tab w:val="center" w:pos="6787"/>
        <w:tab w:val="right" w:pos="14640"/>
      </w:tabs>
      <w:ind w:left="-680" w:right="-680"/>
    </w:pPr>
    <w:rPr>
      <w:rFonts w:eastAsiaTheme="minorHAnsi"/>
      <w:color w:val="474747" w:themeColor="accent3" w:themeShade="BF"/>
      <w:sz w:val="22"/>
    </w:rPr>
  </w:style>
  <w:style w:type="paragraph" w:customStyle="1" w:styleId="ECHRParaHanging">
    <w:name w:val="ECHR_Para_Hanging"/>
    <w:aliases w:val="_Hanging"/>
    <w:basedOn w:val="Normal"/>
    <w:uiPriority w:val="8"/>
    <w:semiHidden/>
    <w:qFormat/>
    <w:rsid w:val="003941FD"/>
    <w:pPr>
      <w:ind w:left="567" w:hanging="567"/>
      <w:jc w:val="both"/>
    </w:pPr>
    <w:rPr>
      <w:rFonts w:eastAsiaTheme="minorHAnsi"/>
      <w:sz w:val="22"/>
    </w:rPr>
  </w:style>
  <w:style w:type="paragraph" w:customStyle="1" w:styleId="ECHRHeading9">
    <w:name w:val="ECHR_Heading_9"/>
    <w:aliases w:val="_Head_9"/>
    <w:basedOn w:val="Heading9"/>
    <w:next w:val="Normal"/>
    <w:uiPriority w:val="19"/>
    <w:semiHidden/>
    <w:rsid w:val="003941FD"/>
    <w:pPr>
      <w:numPr>
        <w:numId w:val="1"/>
      </w:numPr>
    </w:pPr>
    <w:rPr>
      <w:i w:val="0"/>
      <w:sz w:val="18"/>
    </w:rPr>
  </w:style>
  <w:style w:type="paragraph" w:customStyle="1" w:styleId="ECHRParaIndent">
    <w:name w:val="ECHR_Para_Indent"/>
    <w:aliases w:val="_Indent"/>
    <w:basedOn w:val="Normal"/>
    <w:uiPriority w:val="7"/>
    <w:semiHidden/>
    <w:qFormat/>
    <w:rsid w:val="003941FD"/>
    <w:pPr>
      <w:spacing w:before="120" w:after="120"/>
      <w:ind w:left="567"/>
      <w:jc w:val="both"/>
    </w:pPr>
    <w:rPr>
      <w:rFonts w:eastAsiaTheme="minorHAnsi"/>
      <w:sz w:val="22"/>
    </w:rPr>
  </w:style>
  <w:style w:type="paragraph" w:customStyle="1" w:styleId="ECHRLine">
    <w:name w:val="ECHR_Line"/>
    <w:aliases w:val="_Line"/>
    <w:basedOn w:val="NormalJustified"/>
    <w:next w:val="Normal"/>
    <w:uiPriority w:val="46"/>
    <w:semiHidden/>
    <w:rsid w:val="003941FD"/>
    <w:pPr>
      <w:pBdr>
        <w:bottom w:val="single" w:sz="12" w:space="1" w:color="949494" w:themeColor="text2" w:themeShade="BF"/>
      </w:pBdr>
      <w:spacing w:after="120"/>
    </w:pPr>
    <w:rPr>
      <w:rFonts w:eastAsiaTheme="minorHAnsi"/>
      <w:sz w:val="12"/>
    </w:rPr>
  </w:style>
  <w:style w:type="paragraph" w:customStyle="1" w:styleId="DecList">
    <w:name w:val="Dec_List"/>
    <w:aliases w:val="_List"/>
    <w:basedOn w:val="JuList"/>
    <w:uiPriority w:val="22"/>
    <w:rsid w:val="003941FD"/>
    <w:pPr>
      <w:numPr>
        <w:numId w:val="0"/>
      </w:numPr>
      <w:ind w:left="284"/>
    </w:pPr>
  </w:style>
  <w:style w:type="paragraph" w:customStyle="1" w:styleId="ECHRNumberedList1">
    <w:name w:val="ECHR_Numbered_List_1"/>
    <w:aliases w:val="_Num_1"/>
    <w:basedOn w:val="Normal"/>
    <w:uiPriority w:val="23"/>
    <w:semiHidden/>
    <w:qFormat/>
    <w:rsid w:val="003941FD"/>
    <w:pPr>
      <w:numPr>
        <w:numId w:val="7"/>
      </w:numPr>
      <w:spacing w:before="60" w:after="60"/>
    </w:pPr>
    <w:rPr>
      <w:sz w:val="22"/>
    </w:rPr>
  </w:style>
  <w:style w:type="paragraph" w:customStyle="1" w:styleId="ECHRNumberedList2">
    <w:name w:val="ECHR_Numbered_List_2"/>
    <w:aliases w:val="_Num_2"/>
    <w:basedOn w:val="ECHRNumberedList1"/>
    <w:uiPriority w:val="23"/>
    <w:semiHidden/>
    <w:rsid w:val="003941FD"/>
    <w:pPr>
      <w:numPr>
        <w:ilvl w:val="1"/>
      </w:numPr>
    </w:pPr>
  </w:style>
  <w:style w:type="paragraph" w:customStyle="1" w:styleId="ECHRNumberedList3">
    <w:name w:val="ECHR_Numbered_List_3"/>
    <w:aliases w:val="_Num_3"/>
    <w:basedOn w:val="ECHRNumberedList2"/>
    <w:uiPriority w:val="23"/>
    <w:semiHidden/>
    <w:rsid w:val="003941FD"/>
    <w:pPr>
      <w:numPr>
        <w:ilvl w:val="2"/>
      </w:numPr>
    </w:pPr>
  </w:style>
  <w:style w:type="character" w:customStyle="1" w:styleId="ECHRRed">
    <w:name w:val="ECHR_Red"/>
    <w:aliases w:val="_Red"/>
    <w:basedOn w:val="DefaultParagraphFont"/>
    <w:uiPriority w:val="15"/>
    <w:semiHidden/>
    <w:qFormat/>
    <w:rsid w:val="003941FD"/>
    <w:rPr>
      <w:color w:val="C00000" w:themeColor="accent2"/>
    </w:rPr>
  </w:style>
  <w:style w:type="paragraph" w:customStyle="1" w:styleId="ECHRHeaderDate">
    <w:name w:val="ECHR_Header_Date"/>
    <w:aliases w:val="_Ref_Date"/>
    <w:basedOn w:val="Normal"/>
    <w:uiPriority w:val="44"/>
    <w:semiHidden/>
    <w:qFormat/>
    <w:rsid w:val="003941FD"/>
    <w:pPr>
      <w:jc w:val="right"/>
    </w:pPr>
    <w:rPr>
      <w:rFonts w:eastAsiaTheme="minorHAnsi"/>
      <w:sz w:val="20"/>
    </w:rPr>
  </w:style>
  <w:style w:type="paragraph" w:customStyle="1" w:styleId="ECHRHeaderRefIt">
    <w:name w:val="ECHR_Header_Ref_It"/>
    <w:aliases w:val="_Ref_Ital"/>
    <w:basedOn w:val="Normal"/>
    <w:next w:val="ECHRHeaderDate"/>
    <w:uiPriority w:val="43"/>
    <w:semiHidden/>
    <w:qFormat/>
    <w:rsid w:val="003941FD"/>
    <w:pPr>
      <w:jc w:val="right"/>
    </w:pPr>
    <w:rPr>
      <w:rFonts w:eastAsiaTheme="minorHAnsi"/>
      <w:i/>
      <w:sz w:val="20"/>
    </w:rPr>
  </w:style>
  <w:style w:type="paragraph" w:customStyle="1" w:styleId="ECHRSpacer">
    <w:name w:val="ECHR_Spacer"/>
    <w:aliases w:val="_Spacer"/>
    <w:basedOn w:val="Normal"/>
    <w:uiPriority w:val="45"/>
    <w:semiHidden/>
    <w:rsid w:val="003941FD"/>
    <w:rPr>
      <w:rFonts w:eastAsiaTheme="minorHAnsi"/>
      <w:sz w:val="4"/>
    </w:rPr>
  </w:style>
  <w:style w:type="paragraph" w:customStyle="1" w:styleId="ECHRTitleCentre1">
    <w:name w:val="ECHR_Title_Centre_1"/>
    <w:aliases w:val="_Title_C_1"/>
    <w:basedOn w:val="Normal"/>
    <w:next w:val="Normal"/>
    <w:uiPriority w:val="26"/>
    <w:semiHidden/>
    <w:qFormat/>
    <w:rsid w:val="003941FD"/>
    <w:pPr>
      <w:keepNext/>
      <w:keepLines/>
      <w:spacing w:before="240"/>
      <w:contextualSpacing/>
      <w:jc w:val="center"/>
    </w:pPr>
    <w:rPr>
      <w:rFonts w:asciiTheme="majorHAnsi" w:eastAsiaTheme="min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3941FD"/>
    <w:pPr>
      <w:keepNext/>
      <w:keepLines/>
      <w:spacing w:before="240"/>
      <w:contextualSpacing/>
      <w:jc w:val="center"/>
    </w:pPr>
    <w:rPr>
      <w:rFonts w:asciiTheme="majorHAnsi" w:eastAsiaTheme="min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3941FD"/>
    <w:pPr>
      <w:keepNext/>
      <w:keepLines/>
      <w:spacing w:before="240"/>
      <w:contextualSpacing/>
      <w:jc w:val="center"/>
    </w:pPr>
    <w:rPr>
      <w:rFonts w:asciiTheme="majorHAnsi" w:eastAsiaTheme="min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3941FD"/>
    <w:pPr>
      <w:outlineLvl w:val="0"/>
    </w:pPr>
  </w:style>
  <w:style w:type="paragraph" w:customStyle="1" w:styleId="ECHRTitle1">
    <w:name w:val="ECHR_Title_1"/>
    <w:aliases w:val="_Title_L_1"/>
    <w:basedOn w:val="Normal"/>
    <w:next w:val="Normal"/>
    <w:uiPriority w:val="28"/>
    <w:semiHidden/>
    <w:qFormat/>
    <w:rsid w:val="003941FD"/>
    <w:pPr>
      <w:keepNext/>
      <w:keepLines/>
      <w:spacing w:before="240"/>
      <w:contextualSpacing/>
    </w:pPr>
    <w:rPr>
      <w:rFonts w:asciiTheme="majorHAnsi" w:eastAsiaTheme="min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3941FD"/>
    <w:pPr>
      <w:keepNext/>
      <w:keepLines/>
      <w:spacing w:before="240"/>
      <w:contextualSpacing/>
    </w:pPr>
    <w:rPr>
      <w:rFonts w:asciiTheme="majorHAnsi" w:eastAsiaTheme="min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3941FD"/>
    <w:pPr>
      <w:keepNext/>
      <w:keepLines/>
      <w:spacing w:before="240"/>
      <w:contextualSpacing/>
    </w:pPr>
    <w:rPr>
      <w:rFonts w:asciiTheme="majorHAnsi" w:eastAsiaTheme="min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qFormat/>
    <w:rsid w:val="003941FD"/>
    <w:pPr>
      <w:outlineLvl w:val="0"/>
    </w:pPr>
  </w:style>
  <w:style w:type="table" w:customStyle="1" w:styleId="ECHRTable2">
    <w:name w:val="ECHR_Table_2"/>
    <w:basedOn w:val="TableNormal"/>
    <w:uiPriority w:val="99"/>
    <w:rsid w:val="003941FD"/>
    <w:pPr>
      <w:tabs>
        <w:tab w:val="left" w:pos="567"/>
        <w:tab w:val="left" w:pos="851"/>
        <w:tab w:val="right" w:pos="5273"/>
      </w:tabs>
    </w:pPr>
    <w:rPr>
      <w:color w:val="262626" w:themeColor="text1" w:themeTint="D9"/>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3941FD"/>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90B1805-367A-4719-AD38-B8FA96EC2DDE}"/>
</file>

<file path=customXml/itemProps2.xml><?xml version="1.0" encoding="utf-8"?>
<ds:datastoreItem xmlns:ds="http://schemas.openxmlformats.org/officeDocument/2006/customXml" ds:itemID="{511F6DC1-AFD4-40D9-A092-348C98D29008}"/>
</file>

<file path=customXml/itemProps3.xml><?xml version="1.0" encoding="utf-8"?>
<ds:datastoreItem xmlns:ds="http://schemas.openxmlformats.org/officeDocument/2006/customXml" ds:itemID="{5BB4FA23-89DB-4D65-BAFD-DB31D19479B3}"/>
</file>

<file path=customXml/itemProps4.xml><?xml version="1.0" encoding="utf-8"?>
<ds:datastoreItem xmlns:ds="http://schemas.openxmlformats.org/officeDocument/2006/customXml" ds:itemID="{36606231-0CCF-4A38-979E-BE08BA010734}"/>
</file>

<file path=docProps/app.xml><?xml version="1.0" encoding="utf-8"?>
<Properties xmlns="http://schemas.openxmlformats.org/officeDocument/2006/extended-properties" xmlns:vt="http://schemas.openxmlformats.org/officeDocument/2006/docPropsVTypes">
  <Template>Normal.dotm</Template>
  <TotalTime>0</TotalTime>
  <Pages>1</Pages>
  <Words>1801</Words>
  <Characters>10271</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12048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2019-12-17T08:50:00Z</dcterms:created>
  <dcterms:modified xsi:type="dcterms:W3CDTF">2019-12-17T08:50:00Z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37397/15</vt:lpwstr>
  </property>
  <property fmtid="{D5CDD505-2E9C-101B-9397-08002B2CF9AE}" pid="4" name="CASEID">
    <vt:lpwstr>1147755</vt:lpwstr>
  </property>
  <property fmtid="{D5CDD505-2E9C-101B-9397-08002B2CF9AE}" pid="5" name="ContentTypeId">
    <vt:lpwstr>0x010100558EB02BDB9E204AB350EDD385B68E10</vt:lpwstr>
  </property>
</Properties>
</file>