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02547" w:rsidR="00787E12" w:rsidP="00702547" w:rsidRDefault="00AC5BE1">
      <w:pPr>
        <w:jc w:val="center"/>
      </w:pPr>
      <w:bookmarkStart w:name="_GoBack" w:id="0"/>
      <w:bookmarkEnd w:id="0"/>
    </w:p>
    <w:p w:rsidRPr="00702547" w:rsidR="00787E12" w:rsidP="00702547" w:rsidRDefault="00AC5BE1">
      <w:pPr>
        <w:jc w:val="center"/>
      </w:pPr>
    </w:p>
    <w:p w:rsidRPr="00702547" w:rsidR="00787E12" w:rsidP="00702547" w:rsidRDefault="00AC5BE1">
      <w:pPr>
        <w:jc w:val="center"/>
      </w:pPr>
    </w:p>
    <w:p w:rsidRPr="00702547" w:rsidR="00787E12" w:rsidP="00702547" w:rsidRDefault="00B305D1">
      <w:pPr>
        <w:pStyle w:val="DecHCase"/>
      </w:pPr>
      <w:r w:rsidRPr="00702547">
        <w:t>FIFTH SECTION</w:t>
      </w:r>
    </w:p>
    <w:p w:rsidRPr="00702547" w:rsidR="00702547" w:rsidP="00702547" w:rsidRDefault="00702547">
      <w:pPr>
        <w:pStyle w:val="JuTitle"/>
      </w:pPr>
    </w:p>
    <w:p w:rsidRPr="00702547" w:rsidR="00702547" w:rsidP="00702547" w:rsidRDefault="00702547">
      <w:pPr>
        <w:pStyle w:val="JuTitle"/>
      </w:pPr>
    </w:p>
    <w:p w:rsidRPr="00702547" w:rsidR="00702547" w:rsidP="00702547" w:rsidRDefault="00702547">
      <w:pPr>
        <w:pStyle w:val="JuTitle"/>
      </w:pPr>
    </w:p>
    <w:p w:rsidRPr="00702547" w:rsidR="00787E12" w:rsidP="00702547" w:rsidRDefault="0048584C">
      <w:pPr>
        <w:pStyle w:val="JuTitle"/>
      </w:pPr>
      <w:r w:rsidRPr="00702547">
        <w:t xml:space="preserve">CASE OF </w:t>
      </w:r>
      <w:r w:rsidRPr="00702547" w:rsidR="00B305D1">
        <w:t>KHUDOBETS v. UKRAINE</w:t>
      </w:r>
    </w:p>
    <w:p w:rsidRPr="00702547" w:rsidR="00787E12" w:rsidP="00702547" w:rsidRDefault="0048584C">
      <w:pPr>
        <w:jc w:val="center"/>
        <w:rPr>
          <w:i/>
        </w:rPr>
      </w:pPr>
      <w:r w:rsidRPr="00702547">
        <w:rPr>
          <w:i/>
        </w:rPr>
        <w:t>(</w:t>
      </w:r>
      <w:r w:rsidRPr="00702547" w:rsidR="00B305D1">
        <w:rPr>
          <w:i/>
        </w:rPr>
        <w:t>Application no. 7190/19</w:t>
      </w:r>
      <w:r w:rsidRPr="00702547">
        <w:rPr>
          <w:i/>
        </w:rPr>
        <w:t>)</w:t>
      </w:r>
    </w:p>
    <w:p w:rsidRPr="00702547" w:rsidR="00787E12" w:rsidP="00702547" w:rsidRDefault="00AC5BE1">
      <w:pPr>
        <w:pStyle w:val="DecHCase"/>
      </w:pPr>
    </w:p>
    <w:p w:rsidRPr="00702547" w:rsidR="00787E12" w:rsidP="00702547" w:rsidRDefault="00AC5BE1">
      <w:pPr>
        <w:pStyle w:val="DecHCase"/>
      </w:pPr>
    </w:p>
    <w:p w:rsidRPr="00702547" w:rsidR="00787E12" w:rsidP="00702547" w:rsidRDefault="00AC5BE1">
      <w:pPr>
        <w:pStyle w:val="DecHCase"/>
      </w:pPr>
    </w:p>
    <w:p w:rsidRPr="00702547" w:rsidR="00787E12" w:rsidP="00702547" w:rsidRDefault="00AC5BE1">
      <w:pPr>
        <w:pStyle w:val="DecHCase"/>
      </w:pPr>
    </w:p>
    <w:p w:rsidRPr="00702547" w:rsidR="00A062B9" w:rsidP="00702547" w:rsidRDefault="00AC5BE1">
      <w:pPr>
        <w:pStyle w:val="DecHCase"/>
      </w:pPr>
    </w:p>
    <w:p w:rsidRPr="00702547" w:rsidR="00787E12" w:rsidP="00702547" w:rsidRDefault="0048584C">
      <w:pPr>
        <w:pStyle w:val="DecHCase"/>
      </w:pPr>
      <w:r w:rsidRPr="00702547">
        <w:t>JUDGMENT</w:t>
      </w:r>
    </w:p>
    <w:p w:rsidRPr="00702547" w:rsidR="00787E12" w:rsidP="00702547" w:rsidRDefault="00AC5BE1">
      <w:pPr>
        <w:jc w:val="center"/>
        <w:rPr>
          <w:i/>
        </w:rPr>
      </w:pPr>
    </w:p>
    <w:p w:rsidRPr="00702547" w:rsidR="00702547" w:rsidP="00702547" w:rsidRDefault="00702547">
      <w:pPr>
        <w:jc w:val="center"/>
        <w:rPr>
          <w:i/>
        </w:rPr>
      </w:pPr>
    </w:p>
    <w:p w:rsidRPr="00702547" w:rsidR="00702547" w:rsidP="00702547" w:rsidRDefault="00702547">
      <w:pPr>
        <w:jc w:val="center"/>
        <w:rPr>
          <w:i/>
        </w:rPr>
      </w:pPr>
    </w:p>
    <w:p w:rsidRPr="00702547" w:rsidR="00702547" w:rsidP="00702547" w:rsidRDefault="00702547">
      <w:pPr>
        <w:jc w:val="center"/>
        <w:rPr>
          <w:i/>
        </w:rPr>
      </w:pPr>
    </w:p>
    <w:p w:rsidRPr="00702547" w:rsidR="00702547" w:rsidP="00702547" w:rsidRDefault="00702547">
      <w:pPr>
        <w:jc w:val="center"/>
        <w:rPr>
          <w:i/>
        </w:rPr>
      </w:pPr>
    </w:p>
    <w:p w:rsidRPr="00702547" w:rsidR="00787E12" w:rsidP="00702547" w:rsidRDefault="0048584C">
      <w:pPr>
        <w:pStyle w:val="DecHCase"/>
      </w:pPr>
      <w:r w:rsidRPr="00702547">
        <w:t>STRASBOURG</w:t>
      </w:r>
    </w:p>
    <w:p w:rsidRPr="00702547" w:rsidR="00787E12" w:rsidP="00702547" w:rsidRDefault="00B305D1">
      <w:pPr>
        <w:pStyle w:val="DecHCase"/>
      </w:pPr>
      <w:r w:rsidRPr="00702547">
        <w:t>5 December 2019</w:t>
      </w:r>
    </w:p>
    <w:p w:rsidRPr="00702547" w:rsidR="00787E12" w:rsidP="00702547" w:rsidRDefault="00AC5BE1">
      <w:pPr>
        <w:jc w:val="center"/>
      </w:pPr>
    </w:p>
    <w:p w:rsidRPr="00702547" w:rsidR="00702547" w:rsidP="00702547" w:rsidRDefault="00702547">
      <w:pPr>
        <w:jc w:val="left"/>
        <w:rPr>
          <w:i/>
        </w:rPr>
      </w:pPr>
    </w:p>
    <w:p w:rsidRPr="00702547" w:rsidR="00787E12" w:rsidP="00702547" w:rsidRDefault="0048584C">
      <w:pPr>
        <w:jc w:val="left"/>
        <w:rPr>
          <w:sz w:val="2"/>
          <w:szCs w:val="2"/>
        </w:rPr>
      </w:pPr>
      <w:r w:rsidRPr="00702547">
        <w:rPr>
          <w:i/>
        </w:rPr>
        <w:t>This judgment is final but it may be subject to editorial revision.</w:t>
      </w:r>
    </w:p>
    <w:p w:rsidRPr="00702547" w:rsidR="00787E12" w:rsidP="00702547" w:rsidRDefault="00AC5BE1">
      <w:pPr>
        <w:pStyle w:val="JuCase"/>
        <w:sectPr w:rsidRPr="00702547"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702547" w:rsidR="00787E12" w:rsidP="00702547" w:rsidRDefault="0048584C">
      <w:pPr>
        <w:pStyle w:val="JuCase"/>
        <w:rPr>
          <w:bCs/>
        </w:rPr>
      </w:pPr>
      <w:r w:rsidRPr="00702547">
        <w:t xml:space="preserve">In the case of </w:t>
      </w:r>
      <w:proofErr w:type="spellStart"/>
      <w:r w:rsidRPr="00702547" w:rsidR="00B305D1">
        <w:t>Khudobets</w:t>
      </w:r>
      <w:proofErr w:type="spellEnd"/>
      <w:r w:rsidRPr="00702547" w:rsidR="00B305D1">
        <w:t xml:space="preserve"> v. Ukraine</w:t>
      </w:r>
      <w:r w:rsidRPr="00702547">
        <w:t>,</w:t>
      </w:r>
    </w:p>
    <w:p w:rsidRPr="00702547" w:rsidR="00787E12" w:rsidP="00702547" w:rsidRDefault="0048584C">
      <w:pPr>
        <w:pStyle w:val="JuPara"/>
      </w:pPr>
      <w:r w:rsidRPr="00702547">
        <w:t>The European Court of Human Rights (</w:t>
      </w:r>
      <w:r w:rsidRPr="00702547" w:rsidR="00B305D1">
        <w:t>Fifth Section</w:t>
      </w:r>
      <w:r w:rsidRPr="00702547" w:rsidR="00674982">
        <w:t>), sitting as a </w:t>
      </w:r>
      <w:r w:rsidRPr="00702547">
        <w:t>Committee composed of:</w:t>
      </w:r>
    </w:p>
    <w:p w:rsidRPr="00702547" w:rsidR="00787E12" w:rsidP="00702547" w:rsidRDefault="00674982">
      <w:pPr>
        <w:pStyle w:val="JuJudges"/>
      </w:pPr>
      <w:r w:rsidRPr="00702547">
        <w:tab/>
        <w:t xml:space="preserve">Gabriele </w:t>
      </w:r>
      <w:proofErr w:type="spellStart"/>
      <w:r w:rsidRPr="00702547">
        <w:t>Kucsko-Stadlmayer</w:t>
      </w:r>
      <w:proofErr w:type="spellEnd"/>
      <w:r w:rsidRPr="00702547">
        <w:t>,</w:t>
      </w:r>
      <w:r w:rsidRPr="00702547">
        <w:rPr>
          <w:i/>
        </w:rPr>
        <w:t xml:space="preserve"> President,</w:t>
      </w:r>
      <w:r w:rsidRPr="00702547">
        <w:rPr>
          <w:i/>
        </w:rPr>
        <w:br/>
      </w:r>
      <w:r w:rsidRPr="00702547">
        <w:tab/>
      </w:r>
      <w:proofErr w:type="spellStart"/>
      <w:r w:rsidRPr="00702547">
        <w:t>Mārtiņš</w:t>
      </w:r>
      <w:proofErr w:type="spellEnd"/>
      <w:r w:rsidRPr="00702547">
        <w:t xml:space="preserve"> </w:t>
      </w:r>
      <w:proofErr w:type="spellStart"/>
      <w:r w:rsidRPr="00702547">
        <w:t>Mits</w:t>
      </w:r>
      <w:proofErr w:type="spellEnd"/>
      <w:r w:rsidRPr="00702547">
        <w:t>,</w:t>
      </w:r>
      <w:r w:rsidRPr="00702547">
        <w:rPr>
          <w:i/>
        </w:rPr>
        <w:br/>
      </w:r>
      <w:r w:rsidRPr="00702547">
        <w:tab/>
      </w:r>
      <w:proofErr w:type="spellStart"/>
      <w:r w:rsidRPr="00702547">
        <w:t>Lәtif</w:t>
      </w:r>
      <w:proofErr w:type="spellEnd"/>
      <w:r w:rsidRPr="00702547">
        <w:t xml:space="preserve"> </w:t>
      </w:r>
      <w:proofErr w:type="spellStart"/>
      <w:r w:rsidRPr="00702547">
        <w:t>Hüseynov</w:t>
      </w:r>
      <w:proofErr w:type="spellEnd"/>
      <w:r w:rsidRPr="00702547">
        <w:t>,</w:t>
      </w:r>
      <w:r w:rsidRPr="00702547">
        <w:rPr>
          <w:i/>
        </w:rPr>
        <w:t xml:space="preserve"> judges,</w:t>
      </w:r>
      <w:r w:rsidRPr="00702547" w:rsidR="0048584C">
        <w:br/>
        <w:t xml:space="preserve">and </w:t>
      </w:r>
      <w:r w:rsidRPr="00702547" w:rsidR="00B305D1">
        <w:t>Liv</w:t>
      </w:r>
      <w:r w:rsidRPr="00702547" w:rsidR="0048584C">
        <w:t xml:space="preserve"> </w:t>
      </w:r>
      <w:r w:rsidRPr="00702547" w:rsidR="00B305D1">
        <w:t>Tigerstedt</w:t>
      </w:r>
      <w:r w:rsidRPr="00702547" w:rsidR="00555A1D">
        <w:t>,</w:t>
      </w:r>
      <w:r w:rsidRPr="00702547" w:rsidR="0048584C">
        <w:t xml:space="preserve"> </w:t>
      </w:r>
      <w:r w:rsidRPr="00702547" w:rsidR="0048584C">
        <w:rPr>
          <w:i/>
        </w:rPr>
        <w:t>Acting</w:t>
      </w:r>
      <w:r w:rsidRPr="00702547" w:rsidR="0048584C">
        <w:t xml:space="preserve"> </w:t>
      </w:r>
      <w:r w:rsidRPr="00702547" w:rsidR="0048584C">
        <w:rPr>
          <w:rFonts w:cstheme="minorHAnsi"/>
          <w:i/>
        </w:rPr>
        <w:t>Deputy Section Registrar</w:t>
      </w:r>
      <w:r w:rsidRPr="00702547" w:rsidR="0048584C">
        <w:rPr>
          <w:i/>
        </w:rPr>
        <w:t>,</w:t>
      </w:r>
    </w:p>
    <w:p w:rsidRPr="00702547" w:rsidR="00787E12" w:rsidP="00702547" w:rsidRDefault="0048584C">
      <w:pPr>
        <w:pStyle w:val="JuPara"/>
      </w:pPr>
      <w:r w:rsidRPr="00702547">
        <w:t xml:space="preserve">Having deliberated in private on </w:t>
      </w:r>
      <w:r w:rsidRPr="00702547" w:rsidR="00674982">
        <w:t>14 November 2019</w:t>
      </w:r>
      <w:r w:rsidRPr="00702547">
        <w:t>,</w:t>
      </w:r>
    </w:p>
    <w:p w:rsidRPr="00702547" w:rsidR="006372F5" w:rsidP="00702547" w:rsidRDefault="0048584C">
      <w:pPr>
        <w:pStyle w:val="JuPara"/>
      </w:pPr>
      <w:r w:rsidRPr="00702547">
        <w:t>Delivers the following judgment, which was adopted on that date:</w:t>
      </w:r>
    </w:p>
    <w:p w:rsidRPr="00702547" w:rsidR="00B305D1" w:rsidP="00702547" w:rsidRDefault="00B305D1">
      <w:pPr>
        <w:pStyle w:val="JuHHead"/>
        <w:numPr>
          <w:ilvl w:val="0"/>
          <w:numId w:val="22"/>
        </w:numPr>
      </w:pPr>
      <w:bookmarkStart w:name="ITMARKStartJudgment" w:id="1"/>
      <w:bookmarkEnd w:id="1"/>
      <w:r w:rsidRPr="00702547">
        <w:t>PROCEDURE</w:t>
      </w:r>
    </w:p>
    <w:p w:rsidRPr="00702547" w:rsidR="00B305D1" w:rsidP="00702547" w:rsidRDefault="00B305D1">
      <w:pPr>
        <w:pStyle w:val="JuPara"/>
      </w:pPr>
      <w:r w:rsidRPr="00702547">
        <w:rPr>
          <w:rFonts w:cs="Times New Roman"/>
        </w:rPr>
        <w:fldChar w:fldCharType="begin"/>
      </w:r>
      <w:r w:rsidRPr="00702547">
        <w:rPr>
          <w:rFonts w:cs="Times New Roman"/>
        </w:rPr>
        <w:instrText xml:space="preserve"> SEQ level0 \*arabic </w:instrText>
      </w:r>
      <w:r w:rsidRPr="00702547">
        <w:rPr>
          <w:rFonts w:cs="Times New Roman"/>
        </w:rPr>
        <w:fldChar w:fldCharType="separate"/>
      </w:r>
      <w:r w:rsidRPr="00702547" w:rsidR="00702547">
        <w:rPr>
          <w:rFonts w:cs="Times New Roman"/>
          <w:noProof/>
        </w:rPr>
        <w:t>1</w:t>
      </w:r>
      <w:r w:rsidRPr="00702547">
        <w:rPr>
          <w:rFonts w:cs="Times New Roman"/>
        </w:rPr>
        <w:fldChar w:fldCharType="end"/>
      </w:r>
      <w:r w:rsidRPr="00702547">
        <w:rPr>
          <w:rFonts w:cs="Times New Roman"/>
        </w:rPr>
        <w:t xml:space="preserve">.  The case originated in </w:t>
      </w:r>
      <w:r w:rsidRPr="00702547">
        <w:t xml:space="preserve">an </w:t>
      </w:r>
      <w:r w:rsidRPr="00702547">
        <w:rPr>
          <w:rFonts w:cs="Times New Roman"/>
        </w:rPr>
        <w:t>application against Ukraine lodged with the Court under Article 34 of the Convention for the Protection of Human Rights and Fundamental Freedoms (“the Convention”) on 21 January 2019.</w:t>
      </w:r>
    </w:p>
    <w:p w:rsidRPr="00702547" w:rsidR="00B305D1" w:rsidP="00702547" w:rsidRDefault="00B305D1">
      <w:pPr>
        <w:pStyle w:val="JuPara"/>
        <w:rPr>
          <w:rFonts w:cs="Times New Roman"/>
        </w:rPr>
      </w:pPr>
      <w:r w:rsidRPr="00702547">
        <w:rPr>
          <w:rFonts w:cs="Times New Roman"/>
        </w:rPr>
        <w:fldChar w:fldCharType="begin"/>
      </w:r>
      <w:r w:rsidRPr="00702547">
        <w:rPr>
          <w:rFonts w:cs="Times New Roman"/>
        </w:rPr>
        <w:instrText xml:space="preserve"> SEQ level0 \*arabic </w:instrText>
      </w:r>
      <w:r w:rsidRPr="00702547">
        <w:rPr>
          <w:rFonts w:cs="Times New Roman"/>
        </w:rPr>
        <w:fldChar w:fldCharType="separate"/>
      </w:r>
      <w:r w:rsidRPr="00702547" w:rsidR="00702547">
        <w:rPr>
          <w:rFonts w:cs="Times New Roman"/>
          <w:noProof/>
        </w:rPr>
        <w:t>2</w:t>
      </w:r>
      <w:r w:rsidRPr="00702547">
        <w:rPr>
          <w:rFonts w:cs="Times New Roman"/>
        </w:rPr>
        <w:fldChar w:fldCharType="end"/>
      </w:r>
      <w:r w:rsidRPr="00702547">
        <w:rPr>
          <w:rFonts w:cs="Times New Roman"/>
        </w:rPr>
        <w:t>.  The applicant was represented by Mr O.A. Ignatov, a lawyer practising in Dnipro.</w:t>
      </w:r>
    </w:p>
    <w:p w:rsidRPr="00702547" w:rsidR="00B305D1" w:rsidP="00702547" w:rsidRDefault="00B305D1">
      <w:pPr>
        <w:pStyle w:val="JuPara"/>
      </w:pPr>
      <w:r w:rsidRPr="00702547">
        <w:rPr>
          <w:rFonts w:cs="Times New Roman"/>
        </w:rPr>
        <w:fldChar w:fldCharType="begin"/>
      </w:r>
      <w:r w:rsidRPr="00702547">
        <w:rPr>
          <w:rFonts w:cs="Times New Roman"/>
        </w:rPr>
        <w:instrText xml:space="preserve"> SEQ level0 \*arabic </w:instrText>
      </w:r>
      <w:r w:rsidRPr="00702547">
        <w:rPr>
          <w:rFonts w:cs="Times New Roman"/>
        </w:rPr>
        <w:fldChar w:fldCharType="separate"/>
      </w:r>
      <w:r w:rsidRPr="00702547" w:rsidR="00702547">
        <w:rPr>
          <w:rFonts w:cs="Times New Roman"/>
          <w:noProof/>
        </w:rPr>
        <w:t>3</w:t>
      </w:r>
      <w:r w:rsidRPr="00702547">
        <w:rPr>
          <w:rFonts w:cs="Times New Roman"/>
        </w:rPr>
        <w:fldChar w:fldCharType="end"/>
      </w:r>
      <w:r w:rsidRPr="00702547">
        <w:rPr>
          <w:rFonts w:cs="Times New Roman"/>
        </w:rPr>
        <w:t>.  </w:t>
      </w:r>
      <w:r w:rsidRPr="00702547">
        <w:t>The Ukrainian Government (“the Government”) were given notice of the application.</w:t>
      </w:r>
    </w:p>
    <w:p w:rsidRPr="00702547" w:rsidR="00B305D1" w:rsidP="00702547" w:rsidRDefault="00B305D1">
      <w:pPr>
        <w:pStyle w:val="JuHHead"/>
        <w:numPr>
          <w:ilvl w:val="0"/>
          <w:numId w:val="22"/>
        </w:numPr>
      </w:pPr>
      <w:r w:rsidRPr="00702547">
        <w:t>THE FACTS</w:t>
      </w:r>
    </w:p>
    <w:p w:rsidRPr="00702547" w:rsidR="00B305D1" w:rsidP="00702547" w:rsidRDefault="00B305D1">
      <w:pPr>
        <w:pStyle w:val="JuPara"/>
      </w:pPr>
      <w:r w:rsidRPr="00702547">
        <w:fldChar w:fldCharType="begin"/>
      </w:r>
      <w:r w:rsidRPr="00702547">
        <w:instrText xml:space="preserve"> SEQ level0 \*arabic </w:instrText>
      </w:r>
      <w:r w:rsidRPr="00702547">
        <w:fldChar w:fldCharType="separate"/>
      </w:r>
      <w:r w:rsidRPr="00702547" w:rsidR="00702547">
        <w:rPr>
          <w:noProof/>
        </w:rPr>
        <w:t>4</w:t>
      </w:r>
      <w:r w:rsidRPr="00702547">
        <w:fldChar w:fldCharType="end"/>
      </w:r>
      <w:r w:rsidRPr="00702547">
        <w:t>.  The applicant</w:t>
      </w:r>
      <w:r w:rsidRPr="00702547" w:rsidR="00702547">
        <w:t>’</w:t>
      </w:r>
      <w:r w:rsidRPr="00702547">
        <w:t>s details and information relevant to the application are set out in the appended table.</w:t>
      </w:r>
    </w:p>
    <w:p w:rsidRPr="00702547" w:rsidR="00B305D1" w:rsidP="00702547" w:rsidRDefault="00B305D1">
      <w:pPr>
        <w:pStyle w:val="JuPara"/>
        <w:rPr>
          <w:bCs/>
        </w:rPr>
      </w:pPr>
      <w:r w:rsidRPr="00702547">
        <w:fldChar w:fldCharType="begin"/>
      </w:r>
      <w:r w:rsidRPr="00702547">
        <w:instrText xml:space="preserve"> SEQ level0 \*arabic </w:instrText>
      </w:r>
      <w:r w:rsidRPr="00702547">
        <w:fldChar w:fldCharType="separate"/>
      </w:r>
      <w:r w:rsidRPr="00702547" w:rsidR="00702547">
        <w:rPr>
          <w:noProof/>
        </w:rPr>
        <w:t>5</w:t>
      </w:r>
      <w:r w:rsidRPr="00702547">
        <w:fldChar w:fldCharType="end"/>
      </w:r>
      <w:r w:rsidRPr="00702547">
        <w:t>.  </w:t>
      </w:r>
      <w:r w:rsidRPr="00702547">
        <w:rPr>
          <w:bCs/>
        </w:rPr>
        <w:t xml:space="preserve">The applicant complained of the excessive length of </w:t>
      </w:r>
      <w:r w:rsidRPr="00702547">
        <w:t>his</w:t>
      </w:r>
      <w:r w:rsidRPr="00702547">
        <w:rPr>
          <w:bCs/>
        </w:rPr>
        <w:t xml:space="preserve"> pre-trial detention</w:t>
      </w:r>
      <w:r w:rsidRPr="00702547">
        <w:rPr>
          <w:rFonts w:cstheme="minorHAnsi"/>
          <w:bCs/>
          <w:color w:val="000000"/>
        </w:rPr>
        <w:t>.</w:t>
      </w:r>
      <w:r w:rsidRPr="00702547">
        <w:t xml:space="preserve"> He also raised other complaints under the provisions of the Convention.</w:t>
      </w:r>
    </w:p>
    <w:p w:rsidRPr="00702547" w:rsidR="00B305D1" w:rsidP="00702547" w:rsidRDefault="00B305D1">
      <w:pPr>
        <w:pStyle w:val="JuHHead"/>
        <w:numPr>
          <w:ilvl w:val="0"/>
          <w:numId w:val="22"/>
        </w:numPr>
      </w:pPr>
      <w:r w:rsidRPr="00702547">
        <w:t>THE LAW</w:t>
      </w:r>
    </w:p>
    <w:p w:rsidRPr="00702547" w:rsidR="00B305D1" w:rsidP="00702547" w:rsidRDefault="00B305D1">
      <w:pPr>
        <w:pStyle w:val="JuHIRoman"/>
        <w:numPr>
          <w:ilvl w:val="1"/>
          <w:numId w:val="22"/>
        </w:numPr>
        <w:jc w:val="both"/>
        <w:rPr>
          <w:rFonts w:eastAsia="PMingLiU"/>
        </w:rPr>
      </w:pPr>
      <w:r w:rsidRPr="00702547">
        <w:t>ALLEGED VIOLATION OF ARTICLE</w:t>
      </w:r>
      <w:r w:rsidRPr="00702547">
        <w:rPr>
          <w:rFonts w:eastAsia="PMingLiU"/>
        </w:rPr>
        <w:t xml:space="preserve"> 5 § 3 OF THE CONVENTION</w:t>
      </w:r>
    </w:p>
    <w:p w:rsidRPr="00702547" w:rsidR="00B305D1" w:rsidP="00702547" w:rsidRDefault="00B305D1">
      <w:pPr>
        <w:pStyle w:val="JuPara"/>
      </w:pPr>
      <w:r w:rsidRPr="00702547">
        <w:fldChar w:fldCharType="begin"/>
      </w:r>
      <w:r w:rsidRPr="00702547">
        <w:instrText xml:space="preserve"> SEQ level0 \*arabic </w:instrText>
      </w:r>
      <w:r w:rsidRPr="00702547">
        <w:fldChar w:fldCharType="separate"/>
      </w:r>
      <w:r w:rsidRPr="00702547" w:rsidR="00702547">
        <w:rPr>
          <w:noProof/>
        </w:rPr>
        <w:t>6</w:t>
      </w:r>
      <w:r w:rsidRPr="00702547">
        <w:fldChar w:fldCharType="end"/>
      </w:r>
      <w:r w:rsidRPr="00702547">
        <w:t>.  The applicant complained</w:t>
      </w:r>
      <w:r w:rsidRPr="00702547">
        <w:rPr>
          <w:rFonts w:cstheme="minorHAnsi"/>
          <w:bCs/>
        </w:rPr>
        <w:t xml:space="preserve"> principally</w:t>
      </w:r>
      <w:r w:rsidRPr="00702547">
        <w:rPr>
          <w:bCs/>
        </w:rPr>
        <w:t xml:space="preserve"> that </w:t>
      </w:r>
      <w:r w:rsidRPr="00702547">
        <w:t>his</w:t>
      </w:r>
      <w:r w:rsidRPr="00702547">
        <w:rPr>
          <w:bCs/>
        </w:rPr>
        <w:t xml:space="preserve"> pre-trial detention had been unreasonably long</w:t>
      </w:r>
      <w:r w:rsidRPr="00702547">
        <w:t>. He relied on Article</w:t>
      </w:r>
      <w:r w:rsidRPr="00702547">
        <w:rPr>
          <w:rFonts w:eastAsia="PMingLiU"/>
        </w:rPr>
        <w:t> 5 § 3</w:t>
      </w:r>
      <w:r w:rsidRPr="00702547">
        <w:t xml:space="preserve"> of the Convention, which read</w:t>
      </w:r>
      <w:r w:rsidRPr="00702547">
        <w:rPr>
          <w:rFonts w:eastAsia="PMingLiU"/>
        </w:rPr>
        <w:t>s</w:t>
      </w:r>
      <w:r w:rsidRPr="00702547">
        <w:t xml:space="preserve"> as follows:</w:t>
      </w:r>
    </w:p>
    <w:p w:rsidRPr="00702547" w:rsidR="00B305D1" w:rsidP="00702547" w:rsidRDefault="00B305D1">
      <w:pPr>
        <w:pStyle w:val="JuHArticle"/>
      </w:pPr>
      <w:r w:rsidRPr="00702547">
        <w:t>Article</w:t>
      </w:r>
      <w:r w:rsidRPr="00702547">
        <w:rPr>
          <w:rFonts w:eastAsia="PMingLiU"/>
        </w:rPr>
        <w:t> 5 § 3</w:t>
      </w:r>
    </w:p>
    <w:p w:rsidRPr="00702547" w:rsidR="00B305D1" w:rsidP="00702547" w:rsidRDefault="00B305D1">
      <w:pPr>
        <w:pStyle w:val="JuQuot"/>
      </w:pPr>
      <w:r w:rsidRPr="00702547">
        <w:t>“3.</w:t>
      </w:r>
      <w:proofErr w:type="gramStart"/>
      <w:r w:rsidRPr="00702547">
        <w:t>  Everyone</w:t>
      </w:r>
      <w:proofErr w:type="gramEnd"/>
      <w:r w:rsidRPr="00702547">
        <w:t xml:space="preserve"> arrested or detained in accordance with the provisions of paragraph 1 (c) of this Article shall be ... entitled to trial within a reasonable time or to release pending trial. Release may be conditioned by guarantees to appear for trial.”</w:t>
      </w:r>
    </w:p>
    <w:p w:rsidRPr="00702547" w:rsidR="00B305D1" w:rsidP="00702547" w:rsidRDefault="00B305D1">
      <w:pPr>
        <w:pStyle w:val="JuPara"/>
      </w:pPr>
      <w:r w:rsidRPr="00702547">
        <w:fldChar w:fldCharType="begin"/>
      </w:r>
      <w:r w:rsidRPr="00702547">
        <w:instrText xml:space="preserve"> SEQ level0 \*arabic </w:instrText>
      </w:r>
      <w:r w:rsidRPr="00702547">
        <w:fldChar w:fldCharType="separate"/>
      </w:r>
      <w:r w:rsidRPr="00702547" w:rsidR="00702547">
        <w:rPr>
          <w:noProof/>
        </w:rPr>
        <w:t>7</w:t>
      </w:r>
      <w:r w:rsidRPr="00702547">
        <w:fldChar w:fldCharType="end"/>
      </w:r>
      <w:r w:rsidRPr="00702547">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702547">
        <w:rPr>
          <w:i/>
        </w:rPr>
        <w:t>Kudła</w:t>
      </w:r>
      <w:proofErr w:type="spellEnd"/>
      <w:r w:rsidRPr="00702547">
        <w:rPr>
          <w:i/>
        </w:rPr>
        <w:t xml:space="preserve"> v. Poland </w:t>
      </w:r>
      <w:r w:rsidRPr="00702547">
        <w:t>[GC], no. 30210/96, § 110, ECHR 2000</w:t>
      </w:r>
      <w:r w:rsidRPr="00702547">
        <w:noBreakHyphen/>
        <w:t xml:space="preserve">XI, and </w:t>
      </w:r>
      <w:r w:rsidRPr="00702547">
        <w:rPr>
          <w:i/>
        </w:rPr>
        <w:t xml:space="preserve">McKay v. the United Kingdom </w:t>
      </w:r>
      <w:r w:rsidRPr="00702547">
        <w:t>[GC], no. 543/03, §§ 41-44, ECHR 2006</w:t>
      </w:r>
      <w:r w:rsidRPr="00702547">
        <w:noBreakHyphen/>
        <w:t>X, with further references).</w:t>
      </w:r>
    </w:p>
    <w:p w:rsidRPr="00702547" w:rsidR="00B305D1" w:rsidP="00702547" w:rsidRDefault="00B305D1">
      <w:pPr>
        <w:pStyle w:val="JuPara"/>
      </w:pPr>
      <w:r w:rsidRPr="00702547">
        <w:fldChar w:fldCharType="begin"/>
      </w:r>
      <w:r w:rsidRPr="00702547">
        <w:instrText xml:space="preserve"> SEQ level0 \*arabic </w:instrText>
      </w:r>
      <w:r w:rsidRPr="00702547">
        <w:fldChar w:fldCharType="separate"/>
      </w:r>
      <w:r w:rsidRPr="00702547" w:rsidR="00702547">
        <w:rPr>
          <w:noProof/>
        </w:rPr>
        <w:t>8</w:t>
      </w:r>
      <w:r w:rsidRPr="00702547">
        <w:fldChar w:fldCharType="end"/>
      </w:r>
      <w:r w:rsidRPr="00702547">
        <w:t xml:space="preserve">.  In the leading cases of </w:t>
      </w:r>
      <w:proofErr w:type="spellStart"/>
      <w:r w:rsidRPr="00702547">
        <w:rPr>
          <w:i/>
        </w:rPr>
        <w:t>Kharchenko</w:t>
      </w:r>
      <w:proofErr w:type="spellEnd"/>
      <w:r w:rsidRPr="00702547">
        <w:rPr>
          <w:i/>
        </w:rPr>
        <w:t xml:space="preserve"> v. Ukraine </w:t>
      </w:r>
      <w:r w:rsidRPr="00702547">
        <w:t xml:space="preserve">(no. 40107/02, 10 February 2011) and </w:t>
      </w:r>
      <w:r w:rsidRPr="00702547">
        <w:rPr>
          <w:i/>
        </w:rPr>
        <w:t xml:space="preserve">Ignatov v. Ukraine </w:t>
      </w:r>
      <w:r w:rsidRPr="00702547">
        <w:t>(no. 40583/15, 15 December 2016), the Court already found a violation in respect of issues similar to those in the present case.</w:t>
      </w:r>
    </w:p>
    <w:p w:rsidRPr="00702547" w:rsidR="00B305D1" w:rsidP="00702547" w:rsidRDefault="00B305D1">
      <w:pPr>
        <w:pStyle w:val="JuPara"/>
      </w:pPr>
      <w:r w:rsidRPr="00702547">
        <w:fldChar w:fldCharType="begin"/>
      </w:r>
      <w:r w:rsidRPr="00702547">
        <w:instrText xml:space="preserve"> SEQ level0 \*arabic </w:instrText>
      </w:r>
      <w:r w:rsidRPr="00702547">
        <w:fldChar w:fldCharType="separate"/>
      </w:r>
      <w:r w:rsidRPr="00702547" w:rsidR="00702547">
        <w:rPr>
          <w:noProof/>
        </w:rPr>
        <w:t>9</w:t>
      </w:r>
      <w:r w:rsidRPr="00702547">
        <w:fldChar w:fldCharType="end"/>
      </w:r>
      <w:r w:rsidRPr="00702547">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702547" w:rsidR="00702547">
        <w:t>’</w:t>
      </w:r>
      <w:r w:rsidRPr="00702547">
        <w:t>s pre-trial detention was excessive.</w:t>
      </w:r>
    </w:p>
    <w:p w:rsidRPr="00702547" w:rsidR="00B305D1" w:rsidP="00702547" w:rsidRDefault="00B305D1">
      <w:pPr>
        <w:pStyle w:val="JuPara"/>
      </w:pPr>
      <w:r w:rsidRPr="00702547">
        <w:fldChar w:fldCharType="begin"/>
      </w:r>
      <w:r w:rsidRPr="00702547">
        <w:instrText xml:space="preserve"> SEQ level0 \*arabic </w:instrText>
      </w:r>
      <w:r w:rsidRPr="00702547">
        <w:fldChar w:fldCharType="separate"/>
      </w:r>
      <w:r w:rsidRPr="00702547" w:rsidR="00702547">
        <w:rPr>
          <w:noProof/>
        </w:rPr>
        <w:t>10</w:t>
      </w:r>
      <w:r w:rsidRPr="00702547">
        <w:fldChar w:fldCharType="end"/>
      </w:r>
      <w:r w:rsidRPr="00702547">
        <w:t>.  These complaints are therefore admissible and disclose a breach of Article</w:t>
      </w:r>
      <w:r w:rsidRPr="00702547">
        <w:rPr>
          <w:rFonts w:eastAsia="PMingLiU"/>
        </w:rPr>
        <w:t> 5 § 3</w:t>
      </w:r>
      <w:r w:rsidRPr="00702547">
        <w:t xml:space="preserve"> of the Convention.</w:t>
      </w:r>
    </w:p>
    <w:p w:rsidRPr="00702547" w:rsidR="00B305D1" w:rsidP="00702547" w:rsidRDefault="00B305D1">
      <w:pPr>
        <w:pStyle w:val="JuHIRoman"/>
        <w:numPr>
          <w:ilvl w:val="1"/>
          <w:numId w:val="22"/>
        </w:numPr>
        <w:jc w:val="both"/>
        <w:rPr>
          <w:rFonts w:eastAsia="PMingLiU"/>
          <w:lang w:eastAsia="en-GB"/>
        </w:rPr>
      </w:pPr>
      <w:r w:rsidRPr="00702547">
        <w:t>OTHER ALLEGED VIOLATIONS UNDER WELL-ESTABLISHED CASE-LAW</w:t>
      </w:r>
    </w:p>
    <w:p w:rsidRPr="00702547" w:rsidR="00B305D1" w:rsidP="00702547" w:rsidRDefault="00B305D1">
      <w:pPr>
        <w:pStyle w:val="JuPara"/>
        <w:rPr>
          <w:snapToGrid w:val="0"/>
        </w:rPr>
      </w:pPr>
      <w:r w:rsidRPr="00702547">
        <w:fldChar w:fldCharType="begin"/>
      </w:r>
      <w:r w:rsidRPr="00702547">
        <w:instrText xml:space="preserve"> SEQ level0 \*arabic </w:instrText>
      </w:r>
      <w:r w:rsidRPr="00702547">
        <w:fldChar w:fldCharType="separate"/>
      </w:r>
      <w:r w:rsidRPr="00702547" w:rsidR="00702547">
        <w:rPr>
          <w:noProof/>
        </w:rPr>
        <w:t>11</w:t>
      </w:r>
      <w:r w:rsidRPr="00702547">
        <w:fldChar w:fldCharType="end"/>
      </w:r>
      <w:r w:rsidRPr="00702547">
        <w:t xml:space="preserve">.  The applicant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w:t>
      </w:r>
      <w:r w:rsidRPr="00702547">
        <w:rPr>
          <w:i/>
          <w:lang w:val="en-US"/>
        </w:rPr>
        <w:t>Merit v. Ukraine</w:t>
      </w:r>
      <w:r w:rsidRPr="00702547">
        <w:rPr>
          <w:lang w:val="en-US"/>
        </w:rPr>
        <w:t xml:space="preserve"> (no. 66561/01, 30 March 2004) and </w:t>
      </w:r>
      <w:proofErr w:type="spellStart"/>
      <w:r w:rsidRPr="00702547">
        <w:rPr>
          <w:i/>
        </w:rPr>
        <w:t>Strogan</w:t>
      </w:r>
      <w:proofErr w:type="spellEnd"/>
      <w:r w:rsidRPr="00702547">
        <w:rPr>
          <w:i/>
        </w:rPr>
        <w:t xml:space="preserve"> v. Ukraine</w:t>
      </w:r>
      <w:r w:rsidRPr="00702547">
        <w:t xml:space="preserve"> (no. 30198/11, § 105-110, 6 October 2016)</w:t>
      </w:r>
      <w:r w:rsidRPr="00702547">
        <w:rPr>
          <w:snapToGrid w:val="0"/>
        </w:rPr>
        <w:t>.</w:t>
      </w:r>
    </w:p>
    <w:p w:rsidRPr="00702547" w:rsidR="00B305D1" w:rsidP="00702547" w:rsidRDefault="00B305D1">
      <w:pPr>
        <w:pStyle w:val="JuHIRoman"/>
        <w:numPr>
          <w:ilvl w:val="1"/>
          <w:numId w:val="22"/>
        </w:numPr>
        <w:jc w:val="both"/>
      </w:pPr>
      <w:r w:rsidRPr="00702547">
        <w:t>APPLICATION OF ARTICLE 41 OF THE CONVENTION</w:t>
      </w:r>
    </w:p>
    <w:p w:rsidRPr="00702547" w:rsidR="00B305D1" w:rsidP="00702547" w:rsidRDefault="00B305D1">
      <w:pPr>
        <w:pStyle w:val="JuPara"/>
      </w:pPr>
      <w:r w:rsidRPr="00702547">
        <w:fldChar w:fldCharType="begin"/>
      </w:r>
      <w:r w:rsidRPr="00702547">
        <w:instrText xml:space="preserve"> SEQ level0 \*arabic </w:instrText>
      </w:r>
      <w:r w:rsidRPr="00702547">
        <w:fldChar w:fldCharType="separate"/>
      </w:r>
      <w:r w:rsidRPr="00702547" w:rsidR="00702547">
        <w:rPr>
          <w:noProof/>
        </w:rPr>
        <w:t>12</w:t>
      </w:r>
      <w:r w:rsidRPr="00702547">
        <w:fldChar w:fldCharType="end"/>
      </w:r>
      <w:r w:rsidRPr="00702547">
        <w:t>.  Article 41 of the Convention provides:</w:t>
      </w:r>
    </w:p>
    <w:p w:rsidRPr="00702547" w:rsidR="00B305D1" w:rsidP="00702547" w:rsidRDefault="00B305D1">
      <w:pPr>
        <w:pStyle w:val="JuQuot"/>
        <w:keepNext/>
        <w:keepLines/>
      </w:pPr>
      <w:r w:rsidRPr="0070254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02547" w:rsidR="00B305D1" w:rsidP="00702547" w:rsidRDefault="00B305D1">
      <w:pPr>
        <w:pStyle w:val="JuPara"/>
      </w:pPr>
      <w:r w:rsidRPr="00702547">
        <w:fldChar w:fldCharType="begin"/>
      </w:r>
      <w:r w:rsidRPr="00702547">
        <w:instrText xml:space="preserve"> SEQ level0 \*arabic </w:instrText>
      </w:r>
      <w:r w:rsidRPr="00702547">
        <w:fldChar w:fldCharType="separate"/>
      </w:r>
      <w:r w:rsidRPr="00702547" w:rsidR="00702547">
        <w:rPr>
          <w:noProof/>
        </w:rPr>
        <w:t>13</w:t>
      </w:r>
      <w:r w:rsidRPr="00702547">
        <w:fldChar w:fldCharType="end"/>
      </w:r>
      <w:r w:rsidRPr="00702547">
        <w:t>.  Regard being had to the documents in its possession and to its case</w:t>
      </w:r>
      <w:r w:rsidRPr="00702547">
        <w:noBreakHyphen/>
        <w:t xml:space="preserve">law (see, in particular, </w:t>
      </w:r>
      <w:r w:rsidRPr="00702547">
        <w:rPr>
          <w:i/>
        </w:rPr>
        <w:t xml:space="preserve">Ignatov v. Ukraine, </w:t>
      </w:r>
      <w:r w:rsidRPr="00702547">
        <w:t>cited above), the Court considers it reasonable to award the sum indicated in the appended table.</w:t>
      </w:r>
    </w:p>
    <w:p w:rsidRPr="00702547" w:rsidR="00B305D1" w:rsidP="00702547" w:rsidRDefault="00B305D1">
      <w:pPr>
        <w:pStyle w:val="JuPara"/>
      </w:pPr>
      <w:r w:rsidRPr="00702547">
        <w:fldChar w:fldCharType="begin"/>
      </w:r>
      <w:r w:rsidRPr="00702547">
        <w:instrText xml:space="preserve"> SEQ level0 \*arabic </w:instrText>
      </w:r>
      <w:r w:rsidRPr="00702547">
        <w:fldChar w:fldCharType="separate"/>
      </w:r>
      <w:r w:rsidRPr="00702547" w:rsidR="00702547">
        <w:rPr>
          <w:noProof/>
        </w:rPr>
        <w:t>14</w:t>
      </w:r>
      <w:r w:rsidRPr="00702547">
        <w:fldChar w:fldCharType="end"/>
      </w:r>
      <w:r w:rsidRPr="00702547">
        <w:t>.  The Court considers it appropriate that the default interest rate should be based on the marginal lending rate of the European Central Bank, to which should be added three percentage points.</w:t>
      </w:r>
    </w:p>
    <w:p w:rsidRPr="00702547" w:rsidR="00B305D1" w:rsidP="00702547" w:rsidRDefault="00B305D1">
      <w:pPr>
        <w:pStyle w:val="JuHHead"/>
        <w:numPr>
          <w:ilvl w:val="0"/>
          <w:numId w:val="22"/>
        </w:numPr>
      </w:pPr>
      <w:r w:rsidRPr="00702547">
        <w:t>FOR THESE REASONS, THE COURT</w:t>
      </w:r>
      <w:r w:rsidRPr="00702547">
        <w:rPr>
          <w:color w:val="000000"/>
        </w:rPr>
        <w:t>,</w:t>
      </w:r>
      <w:r w:rsidRPr="00702547">
        <w:t xml:space="preserve"> UNANIMOUSLY,</w:t>
      </w:r>
    </w:p>
    <w:p w:rsidRPr="00702547" w:rsidR="00B305D1" w:rsidP="00702547" w:rsidRDefault="00B305D1">
      <w:pPr>
        <w:pStyle w:val="JuList"/>
        <w:keepNext/>
        <w:keepLines/>
        <w:numPr>
          <w:ilvl w:val="0"/>
          <w:numId w:val="30"/>
        </w:numPr>
      </w:pPr>
      <w:r w:rsidRPr="00702547">
        <w:rPr>
          <w:i/>
        </w:rPr>
        <w:t xml:space="preserve">Declares </w:t>
      </w:r>
      <w:r w:rsidRPr="00702547">
        <w:t>the application admissible;</w:t>
      </w:r>
    </w:p>
    <w:p w:rsidRPr="00702547" w:rsidR="00B305D1" w:rsidP="00702547" w:rsidRDefault="00B305D1">
      <w:pPr>
        <w:pStyle w:val="JuList"/>
        <w:keepNext/>
        <w:keepLines/>
        <w:numPr>
          <w:ilvl w:val="0"/>
          <w:numId w:val="30"/>
        </w:numPr>
      </w:pPr>
      <w:r w:rsidRPr="00702547">
        <w:rPr>
          <w:i/>
        </w:rPr>
        <w:t xml:space="preserve">Holds </w:t>
      </w:r>
      <w:r w:rsidRPr="00702547">
        <w:t>that it discloses a breach of Article</w:t>
      </w:r>
      <w:r w:rsidRPr="00702547">
        <w:rPr>
          <w:rFonts w:eastAsia="PMingLiU"/>
        </w:rPr>
        <w:t xml:space="preserve"> 5 § 3 </w:t>
      </w:r>
      <w:r w:rsidRPr="00702547">
        <w:t xml:space="preserve">of the Convention concerning the </w:t>
      </w:r>
      <w:r w:rsidRPr="00702547">
        <w:rPr>
          <w:szCs w:val="24"/>
        </w:rPr>
        <w:t>excessive length of pre-trial detention</w:t>
      </w:r>
      <w:r w:rsidRPr="00702547">
        <w:rPr>
          <w:rFonts w:eastAsia="PMingLiU"/>
        </w:rPr>
        <w:t>;</w:t>
      </w:r>
    </w:p>
    <w:p w:rsidRPr="00702547" w:rsidR="00B305D1" w:rsidP="00702547" w:rsidRDefault="00B305D1">
      <w:pPr>
        <w:pStyle w:val="JuList"/>
        <w:numPr>
          <w:ilvl w:val="0"/>
          <w:numId w:val="30"/>
        </w:numPr>
      </w:pPr>
      <w:r w:rsidRPr="00702547">
        <w:rPr>
          <w:i/>
        </w:rPr>
        <w:t xml:space="preserve">Holds </w:t>
      </w:r>
      <w:r w:rsidRPr="00702547">
        <w:t>that there has been a violation of the Convention as regards the other complaints raised under well-established case-law of the Court (see appended table);</w:t>
      </w:r>
    </w:p>
    <w:p w:rsidRPr="00702547" w:rsidR="00B305D1" w:rsidP="00702547" w:rsidRDefault="00B305D1">
      <w:pPr>
        <w:pStyle w:val="JuList"/>
        <w:numPr>
          <w:ilvl w:val="0"/>
          <w:numId w:val="30"/>
        </w:numPr>
      </w:pPr>
      <w:r w:rsidRPr="00702547">
        <w:rPr>
          <w:i/>
        </w:rPr>
        <w:t>Holds</w:t>
      </w:r>
    </w:p>
    <w:p w:rsidRPr="00702547" w:rsidR="00B305D1" w:rsidP="00702547" w:rsidRDefault="00B305D1">
      <w:pPr>
        <w:pStyle w:val="JuLista"/>
        <w:numPr>
          <w:ilvl w:val="1"/>
          <w:numId w:val="30"/>
        </w:numPr>
      </w:pPr>
      <w:r w:rsidRPr="00702547">
        <w:t>that the respondent State is to pay the applicant, within three months, the amount indicated in the appended table, to be converted into the currency of the respondent State at the rate applicable at the date of settlement;</w:t>
      </w:r>
    </w:p>
    <w:p w:rsidRPr="00702547" w:rsidR="00787E12" w:rsidP="00702547" w:rsidRDefault="00B305D1">
      <w:pPr>
        <w:pStyle w:val="JuLista"/>
      </w:pPr>
      <w:proofErr w:type="gramStart"/>
      <w:r w:rsidRPr="00702547">
        <w:t>that</w:t>
      </w:r>
      <w:proofErr w:type="gramEnd"/>
      <w:r w:rsidRPr="00702547">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702547" w:rsidR="00C43D38" w:rsidP="00702547" w:rsidRDefault="0048584C">
      <w:pPr>
        <w:pStyle w:val="JuParaLast"/>
      </w:pPr>
      <w:r w:rsidRPr="00702547">
        <w:t xml:space="preserve">Done in English, and notified in writing on </w:t>
      </w:r>
      <w:r w:rsidRPr="00702547" w:rsidR="00B305D1">
        <w:t>5 December 2019</w:t>
      </w:r>
      <w:r w:rsidRPr="00702547">
        <w:t>, pursuant to Rule 77 §§ 2 and 3 of the Rules of Court.</w:t>
      </w:r>
    </w:p>
    <w:p w:rsidRPr="00702547" w:rsidR="00787E12" w:rsidP="00702547" w:rsidRDefault="0048584C">
      <w:pPr>
        <w:pStyle w:val="JuSigned"/>
        <w:tabs>
          <w:tab w:val="clear" w:pos="851"/>
          <w:tab w:val="center" w:pos="1134"/>
        </w:tabs>
        <w:rPr>
          <w:rFonts w:eastAsia="PMingLiU"/>
        </w:rPr>
      </w:pPr>
      <w:r w:rsidRPr="00702547">
        <w:rPr>
          <w:rFonts w:eastAsia="PMingLiU"/>
        </w:rPr>
        <w:tab/>
      </w:r>
      <w:r w:rsidRPr="00702547" w:rsidR="00B305D1">
        <w:rPr>
          <w:rFonts w:eastAsia="PMingLiU"/>
        </w:rPr>
        <w:t>Liv</w:t>
      </w:r>
      <w:r w:rsidRPr="00702547">
        <w:rPr>
          <w:rFonts w:eastAsia="PMingLiU"/>
        </w:rPr>
        <w:t xml:space="preserve"> </w:t>
      </w:r>
      <w:r w:rsidRPr="00702547" w:rsidR="00B305D1">
        <w:rPr>
          <w:rFonts w:eastAsia="PMingLiU"/>
        </w:rPr>
        <w:t>Tigerstedt</w:t>
      </w:r>
      <w:r w:rsidRPr="00702547">
        <w:rPr>
          <w:rFonts w:eastAsia="PMingLiU"/>
        </w:rPr>
        <w:tab/>
      </w:r>
      <w:r w:rsidRPr="00702547" w:rsidR="00B305D1">
        <w:rPr>
          <w:rFonts w:eastAsia="PMingLiU"/>
        </w:rPr>
        <w:t xml:space="preserve">Gabriele </w:t>
      </w:r>
      <w:proofErr w:type="spellStart"/>
      <w:r w:rsidRPr="00702547" w:rsidR="00B305D1">
        <w:rPr>
          <w:rFonts w:eastAsia="PMingLiU"/>
        </w:rPr>
        <w:t>Kucsko-Stadlmayer</w:t>
      </w:r>
      <w:proofErr w:type="spellEnd"/>
      <w:r w:rsidRPr="00702547" w:rsidR="00702547">
        <w:rPr>
          <w:rFonts w:eastAsia="PMingLiU"/>
        </w:rPr>
        <w:br/>
      </w:r>
      <w:r w:rsidRPr="00702547">
        <w:rPr>
          <w:rFonts w:eastAsia="PMingLiU"/>
        </w:rPr>
        <w:tab/>
        <w:t>Acting Deputy Registrar</w:t>
      </w:r>
      <w:r w:rsidRPr="00702547">
        <w:rPr>
          <w:rFonts w:eastAsia="PMingLiU"/>
        </w:rPr>
        <w:tab/>
        <w:t>President</w:t>
      </w:r>
    </w:p>
    <w:p w:rsidRPr="00702547" w:rsidR="00787E12" w:rsidP="00702547" w:rsidRDefault="00AC5BE1">
      <w:pPr>
        <w:pStyle w:val="JuParaLast"/>
        <w:sectPr w:rsidRPr="00702547"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702547" w:rsidR="00787E12" w:rsidP="00702547" w:rsidRDefault="0048584C">
      <w:pPr>
        <w:pStyle w:val="DecHTitle"/>
      </w:pPr>
      <w:r w:rsidRPr="00702547">
        <w:t>APPENDIX</w:t>
      </w:r>
    </w:p>
    <w:p w:rsidRPr="00702547" w:rsidR="00787E12" w:rsidP="00702547" w:rsidRDefault="00B305D1">
      <w:pPr>
        <w:pStyle w:val="DecHCase"/>
        <w:contextualSpacing/>
        <w:rPr>
          <w:b/>
          <w:i/>
          <w:color w:val="3E3E3E" w:themeColor="background2" w:themeShade="40"/>
        </w:rPr>
      </w:pPr>
      <w:r w:rsidRPr="00702547">
        <w:rPr>
          <w:color w:val="3E3E3E" w:themeColor="background2" w:themeShade="40"/>
        </w:rPr>
        <w:t>Application</w:t>
      </w:r>
      <w:r w:rsidRPr="00702547" w:rsidR="0048584C">
        <w:rPr>
          <w:color w:val="3E3E3E" w:themeColor="background2" w:themeShade="40"/>
        </w:rPr>
        <w:t xml:space="preserve"> raising complaints under Article</w:t>
      </w:r>
      <w:r w:rsidRPr="00702547">
        <w:rPr>
          <w:color w:val="3E3E3E" w:themeColor="background2" w:themeShade="40"/>
        </w:rPr>
        <w:t xml:space="preserve"> 5 § 3 of the Convention</w:t>
      </w:r>
    </w:p>
    <w:p w:rsidRPr="00702547" w:rsidR="00787E12" w:rsidP="00702547" w:rsidRDefault="0048584C">
      <w:pPr>
        <w:pStyle w:val="DecHCase"/>
        <w:contextualSpacing/>
        <w:rPr>
          <w:b/>
          <w:i/>
          <w:szCs w:val="24"/>
        </w:rPr>
      </w:pPr>
      <w:r w:rsidRPr="00702547">
        <w:rPr>
          <w:color w:val="3E3E3E" w:themeColor="background2" w:themeShade="40"/>
        </w:rPr>
        <w:t>(</w:t>
      </w:r>
      <w:proofErr w:type="gramStart"/>
      <w:r w:rsidRPr="00702547" w:rsidR="00B305D1">
        <w:rPr>
          <w:color w:val="3E3E3E" w:themeColor="background2" w:themeShade="40"/>
        </w:rPr>
        <w:t>excessive</w:t>
      </w:r>
      <w:proofErr w:type="gramEnd"/>
      <w:r w:rsidRPr="00702547" w:rsidR="00B305D1">
        <w:rPr>
          <w:color w:val="3E3E3E" w:themeColor="background2" w:themeShade="40"/>
        </w:rPr>
        <w:t xml:space="preserve"> length of pre-trial detention</w:t>
      </w:r>
      <w:r w:rsidRPr="00702547">
        <w:rPr>
          <w:color w:val="3E3E3E" w:themeColor="background2" w:themeShade="40"/>
          <w:szCs w:val="24"/>
        </w:rPr>
        <w:t>)</w:t>
      </w:r>
    </w:p>
    <w:tbl>
      <w:tblPr>
        <w:tblStyle w:val="ECHRListTable"/>
        <w:tblW w:w="11983" w:type="dxa"/>
        <w:jc w:val="center"/>
        <w:tblLook w:val="0420" w:firstRow="1" w:lastRow="0" w:firstColumn="0" w:lastColumn="0" w:noHBand="0" w:noVBand="1"/>
      </w:tblPr>
      <w:tblGrid>
        <w:gridCol w:w="2007"/>
        <w:gridCol w:w="1853"/>
        <w:gridCol w:w="1431"/>
        <w:gridCol w:w="1904"/>
        <w:gridCol w:w="3523"/>
        <w:gridCol w:w="1265"/>
      </w:tblGrid>
      <w:tr w:rsidRPr="00702547" w:rsidR="00BD277F" w:rsidTr="00BD277F">
        <w:trPr>
          <w:cnfStyle w:val="100000000000" w:firstRow="1" w:lastRow="0" w:firstColumn="0" w:lastColumn="0" w:oddVBand="0" w:evenVBand="0" w:oddHBand="0" w:evenHBand="0" w:firstRowFirstColumn="0" w:firstRowLastColumn="0" w:lastRowFirstColumn="0" w:lastRowLastColumn="0"/>
          <w:jc w:val="center"/>
        </w:trPr>
        <w:tc>
          <w:tcPr>
            <w:tcW w:w="2007" w:type="dxa"/>
          </w:tcPr>
          <w:p w:rsidRPr="00702547" w:rsidR="00BD277F" w:rsidP="00702547" w:rsidRDefault="00BD277F">
            <w:pPr>
              <w:jc w:val="center"/>
              <w:rPr>
                <w:sz w:val="16"/>
              </w:rPr>
            </w:pPr>
            <w:bookmarkStart w:name="WECLListStart" w:id="2"/>
            <w:bookmarkEnd w:id="2"/>
            <w:r w:rsidRPr="00702547">
              <w:rPr>
                <w:sz w:val="16"/>
              </w:rPr>
              <w:t>Application no.</w:t>
            </w:r>
          </w:p>
          <w:p w:rsidRPr="00702547" w:rsidR="00BD277F" w:rsidP="00702547" w:rsidRDefault="00BD277F">
            <w:pPr>
              <w:jc w:val="center"/>
              <w:rPr>
                <w:sz w:val="16"/>
              </w:rPr>
            </w:pPr>
            <w:r w:rsidRPr="00702547">
              <w:rPr>
                <w:sz w:val="16"/>
              </w:rPr>
              <w:t>Date of introduction</w:t>
            </w:r>
          </w:p>
        </w:tc>
        <w:tc>
          <w:tcPr>
            <w:tcW w:w="1853" w:type="dxa"/>
          </w:tcPr>
          <w:p w:rsidRPr="00702547" w:rsidR="00BD277F" w:rsidP="00702547" w:rsidRDefault="00BD277F">
            <w:pPr>
              <w:jc w:val="center"/>
              <w:rPr>
                <w:sz w:val="16"/>
              </w:rPr>
            </w:pPr>
            <w:r w:rsidRPr="00702547">
              <w:rPr>
                <w:sz w:val="16"/>
              </w:rPr>
              <w:t>Applicant</w:t>
            </w:r>
            <w:r w:rsidRPr="00702547" w:rsidR="00702547">
              <w:rPr>
                <w:sz w:val="16"/>
              </w:rPr>
              <w:t>’</w:t>
            </w:r>
            <w:r w:rsidRPr="00702547">
              <w:rPr>
                <w:sz w:val="16"/>
              </w:rPr>
              <w:t>s name</w:t>
            </w:r>
          </w:p>
          <w:p w:rsidRPr="00702547" w:rsidR="00BD277F" w:rsidP="00702547" w:rsidRDefault="00BD277F">
            <w:pPr>
              <w:jc w:val="center"/>
              <w:rPr>
                <w:sz w:val="16"/>
              </w:rPr>
            </w:pPr>
            <w:r w:rsidRPr="00702547">
              <w:rPr>
                <w:sz w:val="16"/>
              </w:rPr>
              <w:t xml:space="preserve">Date of birth </w:t>
            </w:r>
          </w:p>
        </w:tc>
        <w:tc>
          <w:tcPr>
            <w:tcW w:w="1431" w:type="dxa"/>
          </w:tcPr>
          <w:p w:rsidRPr="00702547" w:rsidR="00BD277F" w:rsidP="00702547" w:rsidRDefault="00BD277F">
            <w:pPr>
              <w:jc w:val="center"/>
              <w:rPr>
                <w:sz w:val="16"/>
              </w:rPr>
            </w:pPr>
            <w:r w:rsidRPr="00702547">
              <w:rPr>
                <w:sz w:val="16"/>
              </w:rPr>
              <w:t>Period of detention</w:t>
            </w:r>
          </w:p>
        </w:tc>
        <w:tc>
          <w:tcPr>
            <w:tcW w:w="1904" w:type="dxa"/>
          </w:tcPr>
          <w:p w:rsidRPr="00702547" w:rsidR="00BD277F" w:rsidP="00702547" w:rsidRDefault="00BD277F">
            <w:pPr>
              <w:jc w:val="center"/>
              <w:rPr>
                <w:sz w:val="16"/>
              </w:rPr>
            </w:pPr>
            <w:r w:rsidRPr="00702547">
              <w:rPr>
                <w:sz w:val="16"/>
              </w:rPr>
              <w:t>Length of detention</w:t>
            </w:r>
          </w:p>
        </w:tc>
        <w:tc>
          <w:tcPr>
            <w:tcW w:w="3523" w:type="dxa"/>
          </w:tcPr>
          <w:p w:rsidRPr="00702547" w:rsidR="00BD277F" w:rsidP="00702547" w:rsidRDefault="00BD277F">
            <w:pPr>
              <w:jc w:val="center"/>
              <w:rPr>
                <w:sz w:val="16"/>
              </w:rPr>
            </w:pPr>
            <w:r w:rsidRPr="00702547">
              <w:rPr>
                <w:sz w:val="16"/>
              </w:rPr>
              <w:t>Other complaints under well-established case-law</w:t>
            </w:r>
          </w:p>
        </w:tc>
        <w:tc>
          <w:tcPr>
            <w:tcW w:w="1265" w:type="dxa"/>
          </w:tcPr>
          <w:p w:rsidRPr="00702547" w:rsidR="00BD277F" w:rsidP="00702547" w:rsidRDefault="00BD277F">
            <w:pPr>
              <w:jc w:val="center"/>
              <w:rPr>
                <w:sz w:val="16"/>
              </w:rPr>
            </w:pPr>
            <w:r w:rsidRPr="00702547">
              <w:rPr>
                <w:sz w:val="16"/>
              </w:rPr>
              <w:t>Amount awarded for pecuniary and non-pecuniary damage and costs and expenses per applicant (in euros)</w:t>
            </w:r>
            <w:r w:rsidRPr="00702547">
              <w:rPr>
                <w:rStyle w:val="FootnoteReference"/>
                <w:sz w:val="16"/>
              </w:rPr>
              <w:footnoteReference w:id="1"/>
            </w:r>
          </w:p>
        </w:tc>
      </w:tr>
      <w:tr w:rsidRPr="00702547" w:rsidR="00BD277F" w:rsidTr="00BD277F">
        <w:trPr>
          <w:jc w:val="center"/>
        </w:trPr>
        <w:tc>
          <w:tcPr>
            <w:tcW w:w="2007" w:type="dxa"/>
          </w:tcPr>
          <w:p w:rsidRPr="00702547" w:rsidR="00BD277F" w:rsidP="00702547" w:rsidRDefault="00BD277F">
            <w:pPr>
              <w:jc w:val="center"/>
              <w:rPr>
                <w:sz w:val="16"/>
              </w:rPr>
            </w:pPr>
            <w:r w:rsidRPr="00702547">
              <w:rPr>
                <w:sz w:val="16"/>
              </w:rPr>
              <w:t>7190/19</w:t>
            </w:r>
          </w:p>
          <w:p w:rsidRPr="00702547" w:rsidR="00BD277F" w:rsidP="00702547" w:rsidRDefault="00BD277F">
            <w:pPr>
              <w:jc w:val="center"/>
              <w:rPr>
                <w:sz w:val="16"/>
              </w:rPr>
            </w:pPr>
            <w:r w:rsidRPr="00702547">
              <w:rPr>
                <w:sz w:val="16"/>
              </w:rPr>
              <w:t>21/01/2019</w:t>
            </w:r>
          </w:p>
        </w:tc>
        <w:tc>
          <w:tcPr>
            <w:tcW w:w="1853" w:type="dxa"/>
          </w:tcPr>
          <w:p w:rsidRPr="00702547" w:rsidR="00BD277F" w:rsidP="00702547" w:rsidRDefault="00BD277F">
            <w:pPr>
              <w:jc w:val="center"/>
              <w:rPr>
                <w:b/>
                <w:sz w:val="16"/>
              </w:rPr>
            </w:pPr>
            <w:r w:rsidRPr="00702547">
              <w:rPr>
                <w:b/>
                <w:sz w:val="16"/>
              </w:rPr>
              <w:t xml:space="preserve">Oleksiy </w:t>
            </w:r>
            <w:proofErr w:type="spellStart"/>
            <w:r w:rsidRPr="00702547">
              <w:rPr>
                <w:b/>
                <w:sz w:val="16"/>
              </w:rPr>
              <w:t>Borysovych</w:t>
            </w:r>
            <w:proofErr w:type="spellEnd"/>
            <w:r w:rsidRPr="00702547">
              <w:rPr>
                <w:b/>
                <w:sz w:val="16"/>
              </w:rPr>
              <w:t xml:space="preserve"> KHUDOBETS</w:t>
            </w:r>
          </w:p>
          <w:p w:rsidRPr="00702547" w:rsidR="00BD277F" w:rsidP="00702547" w:rsidRDefault="00BD277F">
            <w:pPr>
              <w:jc w:val="center"/>
              <w:rPr>
                <w:sz w:val="16"/>
              </w:rPr>
            </w:pPr>
            <w:r w:rsidRPr="00702547">
              <w:rPr>
                <w:sz w:val="16"/>
              </w:rPr>
              <w:t>29/07/1985</w:t>
            </w:r>
          </w:p>
        </w:tc>
        <w:tc>
          <w:tcPr>
            <w:tcW w:w="1431" w:type="dxa"/>
          </w:tcPr>
          <w:p w:rsidRPr="00702547" w:rsidR="00BD277F" w:rsidP="00702547" w:rsidRDefault="00BD277F">
            <w:pPr>
              <w:jc w:val="center"/>
              <w:rPr>
                <w:sz w:val="16"/>
              </w:rPr>
            </w:pPr>
            <w:r w:rsidRPr="00702547">
              <w:rPr>
                <w:sz w:val="16"/>
              </w:rPr>
              <w:t>19/10/2014 to</w:t>
            </w:r>
          </w:p>
          <w:p w:rsidRPr="00702547" w:rsidR="00BD277F" w:rsidP="00702547" w:rsidRDefault="00BD277F">
            <w:pPr>
              <w:jc w:val="center"/>
              <w:rPr>
                <w:sz w:val="16"/>
              </w:rPr>
            </w:pPr>
            <w:r w:rsidRPr="00702547">
              <w:rPr>
                <w:sz w:val="16"/>
              </w:rPr>
              <w:t>26/10/2018</w:t>
            </w:r>
          </w:p>
        </w:tc>
        <w:tc>
          <w:tcPr>
            <w:tcW w:w="1904" w:type="dxa"/>
          </w:tcPr>
          <w:p w:rsidRPr="00702547" w:rsidR="00BD277F" w:rsidP="00702547" w:rsidRDefault="00BD277F">
            <w:pPr>
              <w:jc w:val="center"/>
              <w:rPr>
                <w:sz w:val="16"/>
              </w:rPr>
            </w:pPr>
            <w:r w:rsidRPr="00702547">
              <w:rPr>
                <w:sz w:val="16"/>
              </w:rPr>
              <w:t>4 years and</w:t>
            </w:r>
          </w:p>
          <w:p w:rsidRPr="00702547" w:rsidR="00BD277F" w:rsidP="00702547" w:rsidRDefault="00BD277F">
            <w:pPr>
              <w:jc w:val="center"/>
              <w:rPr>
                <w:sz w:val="16"/>
              </w:rPr>
            </w:pPr>
            <w:r w:rsidRPr="00702547">
              <w:rPr>
                <w:sz w:val="16"/>
              </w:rPr>
              <w:t>8 days</w:t>
            </w:r>
          </w:p>
          <w:p w:rsidRPr="00702547" w:rsidR="00BD277F" w:rsidP="00702547" w:rsidRDefault="00BD277F">
            <w:pPr>
              <w:jc w:val="center"/>
              <w:rPr>
                <w:sz w:val="16"/>
              </w:rPr>
            </w:pPr>
          </w:p>
        </w:tc>
        <w:tc>
          <w:tcPr>
            <w:tcW w:w="3523" w:type="dxa"/>
          </w:tcPr>
          <w:p w:rsidRPr="00702547" w:rsidR="00BD277F" w:rsidP="00702547" w:rsidRDefault="00BD277F">
            <w:pPr>
              <w:jc w:val="center"/>
              <w:rPr>
                <w:sz w:val="16"/>
              </w:rPr>
            </w:pPr>
            <w:r w:rsidRPr="00702547">
              <w:rPr>
                <w:sz w:val="16"/>
              </w:rPr>
              <w:t>Art. 6 (1) - excessive length of criminal proceedings:</w:t>
            </w:r>
          </w:p>
          <w:p w:rsidRPr="00702547" w:rsidR="00BD277F" w:rsidP="00702547" w:rsidRDefault="00BD277F">
            <w:pPr>
              <w:jc w:val="center"/>
              <w:rPr>
                <w:sz w:val="16"/>
              </w:rPr>
            </w:pPr>
            <w:r w:rsidRPr="00702547">
              <w:rPr>
                <w:sz w:val="16"/>
              </w:rPr>
              <w:t>from 19/10/2014</w:t>
            </w:r>
          </w:p>
          <w:p w:rsidRPr="00702547" w:rsidR="00BD277F" w:rsidP="00702547" w:rsidRDefault="00BD277F">
            <w:pPr>
              <w:jc w:val="center"/>
              <w:rPr>
                <w:sz w:val="16"/>
              </w:rPr>
            </w:pPr>
            <w:r w:rsidRPr="00702547">
              <w:rPr>
                <w:sz w:val="16"/>
              </w:rPr>
              <w:t>and pending at two levels of jurisdiction;</w:t>
            </w:r>
          </w:p>
          <w:p w:rsidRPr="00702547" w:rsidR="00BD277F" w:rsidP="00702547" w:rsidRDefault="00BD277F">
            <w:pPr>
              <w:jc w:val="center"/>
              <w:rPr>
                <w:sz w:val="16"/>
              </w:rPr>
            </w:pPr>
          </w:p>
          <w:p w:rsidRPr="00702547" w:rsidR="00BD277F" w:rsidP="00702547" w:rsidRDefault="00BD277F">
            <w:pPr>
              <w:jc w:val="center"/>
              <w:rPr>
                <w:sz w:val="16"/>
              </w:rPr>
            </w:pPr>
            <w:r w:rsidRPr="00702547">
              <w:rPr>
                <w:sz w:val="16"/>
              </w:rPr>
              <w:t>Art. 5 (5) - lack of, or inadequate, compensation for unlawful arrest or detention:</w:t>
            </w:r>
          </w:p>
          <w:p w:rsidRPr="00702547" w:rsidR="00BD277F" w:rsidP="00702547" w:rsidRDefault="00BD277F">
            <w:pPr>
              <w:jc w:val="center"/>
              <w:rPr>
                <w:sz w:val="16"/>
              </w:rPr>
            </w:pPr>
            <w:r w:rsidRPr="00702547">
              <w:rPr>
                <w:sz w:val="16"/>
              </w:rPr>
              <w:t xml:space="preserve">no effective right to compensation in domestic legal system, see </w:t>
            </w:r>
            <w:proofErr w:type="spellStart"/>
            <w:r w:rsidRPr="00702547">
              <w:rPr>
                <w:i/>
                <w:sz w:val="16"/>
              </w:rPr>
              <w:t>Strogan</w:t>
            </w:r>
            <w:proofErr w:type="spellEnd"/>
            <w:r w:rsidRPr="00702547">
              <w:rPr>
                <w:i/>
                <w:sz w:val="16"/>
              </w:rPr>
              <w:t xml:space="preserve"> v. Ukraine</w:t>
            </w:r>
            <w:r w:rsidRPr="00702547">
              <w:rPr>
                <w:sz w:val="16"/>
              </w:rPr>
              <w:t>, no. 30198/11, § 105-110, 6 October 2016</w:t>
            </w:r>
          </w:p>
        </w:tc>
        <w:tc>
          <w:tcPr>
            <w:tcW w:w="1265" w:type="dxa"/>
          </w:tcPr>
          <w:p w:rsidRPr="00702547" w:rsidR="00BD277F" w:rsidP="00702547" w:rsidRDefault="00BD277F">
            <w:pPr>
              <w:jc w:val="center"/>
              <w:rPr>
                <w:sz w:val="16"/>
              </w:rPr>
            </w:pPr>
            <w:r w:rsidRPr="00702547">
              <w:rPr>
                <w:sz w:val="16"/>
              </w:rPr>
              <w:t>3,200</w:t>
            </w:r>
          </w:p>
        </w:tc>
      </w:tr>
    </w:tbl>
    <w:p w:rsidRPr="00702547" w:rsidR="00787E12" w:rsidP="00702547" w:rsidRDefault="00AC5BE1">
      <w:pPr>
        <w:jc w:val="left"/>
      </w:pPr>
    </w:p>
    <w:p w:rsidRPr="00702547" w:rsidR="00791456" w:rsidP="00702547" w:rsidRDefault="00AC5BE1">
      <w:pPr>
        <w:jc w:val="left"/>
      </w:pPr>
    </w:p>
    <w:sectPr w:rsidRPr="00702547"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05D1" w:rsidRPr="00497FF8" w:rsidRDefault="00B305D1">
      <w:r w:rsidRPr="00497FF8">
        <w:separator/>
      </w:r>
    </w:p>
  </w:endnote>
  <w:endnote w:type="continuationSeparator" w:id="0">
    <w:p w:rsidR="00B305D1" w:rsidRPr="00497FF8" w:rsidRDefault="00B305D1">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5D1" w:rsidRPr="00150BFA" w:rsidRDefault="00B305D1" w:rsidP="0020718E">
    <w:pPr>
      <w:jc w:val="center"/>
    </w:pPr>
    <w:r>
      <w:rPr>
        <w:noProof/>
        <w:lang w:val="en-US" w:eastAsia="ja-JP"/>
      </w:rPr>
      <w:drawing>
        <wp:inline distT="0" distB="0" distL="0" distR="0" wp14:anchorId="58DDB18B" wp14:editId="4BF114E3">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AC5BE1"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05D1" w:rsidRPr="00497FF8" w:rsidRDefault="00B305D1" w:rsidP="00787E12">
      <w:r w:rsidRPr="00497FF8">
        <w:separator/>
      </w:r>
    </w:p>
  </w:footnote>
  <w:footnote w:type="continuationSeparator" w:id="0">
    <w:p w:rsidR="00B305D1" w:rsidRPr="00497FF8" w:rsidRDefault="00B305D1" w:rsidP="00787E12">
      <w:r w:rsidRPr="00497FF8">
        <w:continuationSeparator/>
      </w:r>
    </w:p>
  </w:footnote>
  <w:footnote w:id="1">
    <w:p w:rsidR="00BD277F" w:rsidRPr="00502FEB" w:rsidRDefault="00BD277F" w:rsidP="00B305D1">
      <w:pPr>
        <w:pStyle w:val="FootnoteText"/>
      </w:pPr>
      <w:r w:rsidRPr="00B305D1">
        <w:footnoteRef/>
      </w:r>
      <w:r w:rsidRPr="00B305D1">
        <w:t>.  </w:t>
      </w:r>
      <w:r w:rsidRPr="00502FEB">
        <w:t>Plus any tax that may be chargeable to the applicant.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5D1" w:rsidRPr="00A45145" w:rsidRDefault="00B305D1" w:rsidP="00A45145">
    <w:pPr>
      <w:jc w:val="center"/>
    </w:pPr>
    <w:r>
      <w:rPr>
        <w:noProof/>
        <w:lang w:val="en-US" w:eastAsia="ja-JP"/>
      </w:rPr>
      <w:drawing>
        <wp:inline distT="0" distB="0" distL="0" distR="0" wp14:anchorId="3B24ABC1" wp14:editId="08DDE9D4">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AC5BE1" w:rsidP="000318F7">
    <w:pPr>
      <w:jc w:val="center"/>
      <w:rPr>
        <w:sz w:val="4"/>
        <w:szCs w:val="4"/>
      </w:rPr>
    </w:pPr>
  </w:p>
  <w:p w:rsidR="00787E12" w:rsidRPr="00497FF8" w:rsidRDefault="00AC5B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5D1" w:rsidRPr="00A45145" w:rsidRDefault="00B305D1" w:rsidP="00A45145">
    <w:pPr>
      <w:jc w:val="center"/>
    </w:pPr>
    <w:r>
      <w:rPr>
        <w:noProof/>
        <w:lang w:val="en-US" w:eastAsia="ja-JP"/>
      </w:rPr>
      <w:drawing>
        <wp:inline distT="0" distB="0" distL="0" distR="0" wp14:anchorId="44600DE8" wp14:editId="34025759">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AC5BE1"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305D1" w:rsidP="006372F5">
    <w:pPr>
      <w:pStyle w:val="JuHeader"/>
    </w:pPr>
    <w:r>
      <w:rPr>
        <w:rStyle w:val="PageNumber"/>
      </w:rPr>
      <w:fldChar w:fldCharType="begin"/>
    </w:r>
    <w:r>
      <w:rPr>
        <w:rStyle w:val="PageNumber"/>
      </w:rPr>
      <w:instrText xml:space="preserve"> PAGE </w:instrText>
    </w:r>
    <w:r>
      <w:rPr>
        <w:rStyle w:val="PageNumber"/>
      </w:rPr>
      <w:fldChar w:fldCharType="separate"/>
    </w:r>
    <w:r w:rsidR="00702547">
      <w:rPr>
        <w:rStyle w:val="PageNumber"/>
        <w:noProof/>
      </w:rPr>
      <w:t>2</w:t>
    </w:r>
    <w:r>
      <w:rPr>
        <w:rStyle w:val="PageNumber"/>
      </w:rPr>
      <w:fldChar w:fldCharType="end"/>
    </w:r>
    <w:r w:rsidR="0048584C" w:rsidRPr="004D0EC7">
      <w:tab/>
    </w:r>
    <w:r>
      <w:t>KHUDOBETS v. UKRAINE</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B305D1">
      <w:t>KHUDOBETS v. UKRAINE</w:t>
    </w:r>
    <w:r w:rsidRPr="00DE7D3F">
      <w:t xml:space="preserve"> JUDGMENT</w:t>
    </w:r>
    <w:r w:rsidRPr="00DE7D3F">
      <w:tab/>
    </w:r>
    <w:r w:rsidR="00B305D1">
      <w:rPr>
        <w:rStyle w:val="PageNumber"/>
      </w:rPr>
      <w:fldChar w:fldCharType="begin"/>
    </w:r>
    <w:r w:rsidR="00B305D1">
      <w:rPr>
        <w:rStyle w:val="PageNumber"/>
      </w:rPr>
      <w:instrText xml:space="preserve"> PAGE </w:instrText>
    </w:r>
    <w:r w:rsidR="00B305D1">
      <w:rPr>
        <w:rStyle w:val="PageNumber"/>
      </w:rPr>
      <w:fldChar w:fldCharType="separate"/>
    </w:r>
    <w:r w:rsidR="00702547">
      <w:rPr>
        <w:rStyle w:val="PageNumber"/>
        <w:noProof/>
      </w:rPr>
      <w:t>3</w:t>
    </w:r>
    <w:r w:rsidR="00B305D1">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305D1"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702547">
      <w:rPr>
        <w:rStyle w:val="PageNumber"/>
        <w:noProof/>
      </w:rPr>
      <w:t>4</w:t>
    </w:r>
    <w:r>
      <w:rPr>
        <w:rStyle w:val="PageNumber"/>
      </w:rPr>
      <w:fldChar w:fldCharType="end"/>
    </w:r>
    <w:r w:rsidR="0048584C" w:rsidRPr="004D0EC7">
      <w:tab/>
    </w:r>
    <w:r>
      <w:t>KHUDOBETS v. UKRAINE</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B305D1">
      <w:t>KHUDOBETS v. UKRAINE</w:t>
    </w:r>
    <w:r w:rsidRPr="00DE7D3F">
      <w:t xml:space="preserve"> JUDGMENT</w:t>
    </w:r>
    <w:r w:rsidRPr="00DE7D3F">
      <w:tab/>
    </w:r>
    <w:r w:rsidR="00B305D1">
      <w:rPr>
        <w:rStyle w:val="PageNumber"/>
      </w:rPr>
      <w:fldChar w:fldCharType="begin"/>
    </w:r>
    <w:r w:rsidR="00B305D1">
      <w:rPr>
        <w:rStyle w:val="PageNumber"/>
      </w:rPr>
      <w:instrText xml:space="preserve"> PAGE </w:instrText>
    </w:r>
    <w:r w:rsidR="00B305D1">
      <w:rPr>
        <w:rStyle w:val="PageNumber"/>
      </w:rPr>
      <w:fldChar w:fldCharType="separate"/>
    </w:r>
    <w:r w:rsidR="00BD277F">
      <w:rPr>
        <w:rStyle w:val="PageNumber"/>
        <w:noProof/>
      </w:rPr>
      <w:t>5</w:t>
    </w:r>
    <w:r w:rsidR="00B305D1">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305D1"/>
    <w:rsid w:val="00337785"/>
    <w:rsid w:val="0048584C"/>
    <w:rsid w:val="00497FF8"/>
    <w:rsid w:val="00555A1D"/>
    <w:rsid w:val="00674982"/>
    <w:rsid w:val="00702547"/>
    <w:rsid w:val="00860732"/>
    <w:rsid w:val="00AB462B"/>
    <w:rsid w:val="00AC5BE1"/>
    <w:rsid w:val="00B305D1"/>
    <w:rsid w:val="00BD277F"/>
    <w:rsid w:val="00D320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5E47BE-2EFC-4C40-8B06-68D6F63F3242}"/>
</file>

<file path=customXml/itemProps2.xml><?xml version="1.0" encoding="utf-8"?>
<ds:datastoreItem xmlns:ds="http://schemas.openxmlformats.org/officeDocument/2006/customXml" ds:itemID="{5556FC90-211E-4021-BDC1-AF8D100D933F}"/>
</file>

<file path=customXml/itemProps3.xml><?xml version="1.0" encoding="utf-8"?>
<ds:datastoreItem xmlns:ds="http://schemas.openxmlformats.org/officeDocument/2006/customXml" ds:itemID="{C9D8B57A-E825-4057-92FA-A6FE375473E7}"/>
</file>

<file path=customXml/itemProps4.xml><?xml version="1.0" encoding="utf-8"?>
<ds:datastoreItem xmlns:ds="http://schemas.openxmlformats.org/officeDocument/2006/customXml" ds:itemID="{D7C074BF-CFC2-4754-BC87-3D2648D94205}"/>
</file>

<file path=docProps/app.xml><?xml version="1.0" encoding="utf-8"?>
<Properties xmlns="http://schemas.openxmlformats.org/officeDocument/2006/extended-properties" xmlns:vt="http://schemas.openxmlformats.org/officeDocument/2006/docPropsVTypes">
  <Template>Normal.dotm</Template>
  <TotalTime>0</TotalTime>
  <Pages>1</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2020-01-29T13:29:00Z</dcterms:created>
  <dcterms:modified xsi:type="dcterms:W3CDTF">2020-01-29T13:29:00Z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7190/19</vt:lpwstr>
  </property>
  <property fmtid="{D5CDD505-2E9C-101B-9397-08002B2CF9AE}" pid="4" name="CASEID">
    <vt:lpwstr>1425231</vt:lpwstr>
  </property>
  <property fmtid="{D5CDD505-2E9C-101B-9397-08002B2CF9AE}" pid="5" name="ContentTypeId">
    <vt:lpwstr>0x010100558EB02BDB9E204AB350EDD385B68E10</vt:lpwstr>
  </property>
</Properties>
</file>