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43928" w:rsidR="00BA4350" w:rsidP="00C43928" w:rsidRDefault="00BA4350">
      <w:pPr>
        <w:jc w:val="center"/>
        <w:rPr>
          <w:rFonts w:ascii="Times New Roman" w:hAnsi="Times New Roman" w:cs="Times New Roman"/>
        </w:rPr>
      </w:pPr>
      <w:bookmarkStart w:name="_GoBack" w:id="0"/>
      <w:bookmarkEnd w:id="0"/>
    </w:p>
    <w:p w:rsidRPr="00C43928" w:rsidR="0098410D" w:rsidP="00C43928" w:rsidRDefault="0098410D">
      <w:pPr>
        <w:jc w:val="center"/>
      </w:pPr>
    </w:p>
    <w:p w:rsidRPr="00C43928" w:rsidR="0098410D" w:rsidP="00C43928" w:rsidRDefault="00BA4350">
      <w:pPr>
        <w:pStyle w:val="DecHCase"/>
      </w:pPr>
      <w:r w:rsidRPr="00C43928">
        <w:t>FOURTH SECTION</w:t>
      </w:r>
    </w:p>
    <w:p w:rsidRPr="00C43928" w:rsidR="00C43928" w:rsidP="00C43928" w:rsidRDefault="00C43928">
      <w:pPr>
        <w:pStyle w:val="JuPara"/>
      </w:pPr>
    </w:p>
    <w:p w:rsidRPr="00C43928" w:rsidR="008E6217" w:rsidP="00C43928" w:rsidRDefault="008E6217">
      <w:pPr>
        <w:pStyle w:val="JuTitle"/>
      </w:pPr>
      <w:bookmarkStart w:name="To" w:id="1"/>
      <w:r w:rsidRPr="00C43928">
        <w:rPr>
          <w:color w:val="000000" w:themeColor="text1"/>
        </w:rPr>
        <w:t xml:space="preserve">CASE OF </w:t>
      </w:r>
      <w:bookmarkEnd w:id="1"/>
      <w:r w:rsidRPr="00C43928" w:rsidR="00BA4350">
        <w:t>SCHEIRING AND SZABÓ v. HUNGARY</w:t>
      </w:r>
    </w:p>
    <w:p w:rsidRPr="00C43928" w:rsidR="00D74888" w:rsidP="00C43928" w:rsidRDefault="008E6217">
      <w:pPr>
        <w:pStyle w:val="Title4"/>
      </w:pPr>
      <w:r w:rsidRPr="00C43928">
        <w:t>(</w:t>
      </w:r>
      <w:r w:rsidRPr="00C43928" w:rsidR="00BA4350">
        <w:t>Application no.</w:t>
      </w:r>
      <w:r w:rsidRPr="00C43928">
        <w:t xml:space="preserve"> </w:t>
      </w:r>
      <w:r w:rsidRPr="00C43928" w:rsidR="00BA4350">
        <w:t>609/14</w:t>
      </w:r>
      <w:r w:rsidRPr="00C43928">
        <w:t>)</w:t>
      </w:r>
    </w:p>
    <w:p w:rsidRPr="00C43928" w:rsidR="0098410D" w:rsidP="00C43928" w:rsidRDefault="0098410D">
      <w:pPr>
        <w:pStyle w:val="DecHCase"/>
      </w:pPr>
    </w:p>
    <w:p w:rsidRPr="00C43928" w:rsidR="0098410D" w:rsidP="00C43928" w:rsidRDefault="0098410D">
      <w:pPr>
        <w:pStyle w:val="DecHCase"/>
      </w:pPr>
    </w:p>
    <w:p w:rsidRPr="00C43928" w:rsidR="00AC4CD4" w:rsidP="00C43928" w:rsidRDefault="00AC4CD4">
      <w:pPr>
        <w:pStyle w:val="DecHCase"/>
      </w:pPr>
    </w:p>
    <w:p w:rsidRPr="00C43928" w:rsidR="0098410D" w:rsidP="00C43928" w:rsidRDefault="0098410D">
      <w:pPr>
        <w:pStyle w:val="DecHCase"/>
      </w:pPr>
    </w:p>
    <w:p w:rsidRPr="00C43928" w:rsidR="0098410D" w:rsidP="00C43928" w:rsidRDefault="0098410D">
      <w:pPr>
        <w:pStyle w:val="DecHCase"/>
      </w:pPr>
      <w:r w:rsidRPr="00C43928">
        <w:t>JUDGMENT</w:t>
      </w:r>
      <w:r w:rsidRPr="00C43928" w:rsidR="00AC4CD4">
        <w:br/>
      </w:r>
    </w:p>
    <w:p w:rsidRPr="00C43928" w:rsidR="0098410D" w:rsidP="00C43928" w:rsidRDefault="0098410D">
      <w:pPr>
        <w:pStyle w:val="DecHCase"/>
      </w:pPr>
      <w:r w:rsidRPr="00C43928">
        <w:t>STRASBOURG</w:t>
      </w:r>
    </w:p>
    <w:p w:rsidRPr="00C43928" w:rsidR="0098410D" w:rsidP="00C43928" w:rsidRDefault="00BA4350">
      <w:pPr>
        <w:pStyle w:val="DecHCase"/>
        <w:rPr>
          <w:rFonts w:ascii="Times New Roman" w:hAnsi="Times New Roman" w:cs="Times New Roman"/>
        </w:rPr>
      </w:pPr>
      <w:r w:rsidRPr="00C43928">
        <w:rPr>
          <w:rFonts w:ascii="Times New Roman" w:hAnsi="Times New Roman" w:cs="Times New Roman"/>
        </w:rPr>
        <w:t>3 December 2019</w:t>
      </w:r>
    </w:p>
    <w:p w:rsidRPr="00C43928" w:rsidR="00BE6021" w:rsidP="00C43928" w:rsidRDefault="00BE6021">
      <w:pPr>
        <w:pStyle w:val="JuPara"/>
        <w:jc w:val="center"/>
      </w:pPr>
    </w:p>
    <w:p w:rsidRPr="00C43928" w:rsidR="00AB7CA8" w:rsidP="00C43928" w:rsidRDefault="00AB7CA8">
      <w:pPr>
        <w:pStyle w:val="JuPara"/>
        <w:jc w:val="center"/>
      </w:pPr>
    </w:p>
    <w:p w:rsidRPr="00C43928" w:rsidR="00813D17" w:rsidP="00C43928" w:rsidRDefault="00813D17">
      <w:pPr>
        <w:pStyle w:val="JuPara"/>
        <w:jc w:val="center"/>
      </w:pPr>
    </w:p>
    <w:p w:rsidRPr="00C43928" w:rsidR="00813D17" w:rsidP="00C43928" w:rsidRDefault="00813D17">
      <w:pPr>
        <w:pStyle w:val="JuPara"/>
        <w:jc w:val="center"/>
      </w:pPr>
    </w:p>
    <w:p w:rsidRPr="00C43928" w:rsidR="00813D17" w:rsidP="00C43928" w:rsidRDefault="00813D17">
      <w:pPr>
        <w:pStyle w:val="JuPara"/>
        <w:jc w:val="center"/>
      </w:pPr>
    </w:p>
    <w:p w:rsidRPr="00C43928" w:rsidR="00813D17" w:rsidP="00C43928" w:rsidRDefault="00813D17">
      <w:pPr>
        <w:pStyle w:val="JuPara"/>
        <w:jc w:val="center"/>
      </w:pPr>
    </w:p>
    <w:p w:rsidRPr="00C43928" w:rsidR="00267BB0" w:rsidP="00C43928" w:rsidRDefault="00267BB0">
      <w:pPr>
        <w:pStyle w:val="JuPara"/>
        <w:jc w:val="center"/>
      </w:pPr>
    </w:p>
    <w:p w:rsidRPr="00C43928" w:rsidR="00AC4CD4" w:rsidP="00C43928" w:rsidRDefault="00BE6021">
      <w:pPr>
        <w:pStyle w:val="JuPara"/>
        <w:jc w:val="left"/>
      </w:pPr>
      <w:r w:rsidRPr="00C43928">
        <w:rPr>
          <w:i/>
        </w:rPr>
        <w:t>This judgment is final but it may be subject to editorial revision</w:t>
      </w:r>
      <w:r w:rsidRPr="00C43928" w:rsidR="00267BB0">
        <w:rPr>
          <w:i/>
        </w:rPr>
        <w:t>.</w:t>
      </w:r>
    </w:p>
    <w:p w:rsidRPr="00C43928" w:rsidR="00BE6021" w:rsidP="00C43928" w:rsidRDefault="00BE6021">
      <w:pPr>
        <w:rPr>
          <w:i/>
          <w:sz w:val="22"/>
        </w:rPr>
      </w:pPr>
    </w:p>
    <w:p w:rsidRPr="00C43928" w:rsidR="00BE6021" w:rsidP="00C43928" w:rsidRDefault="00BE6021">
      <w:pPr>
        <w:rPr>
          <w:i/>
          <w:sz w:val="22"/>
        </w:rPr>
      </w:pPr>
    </w:p>
    <w:p w:rsidRPr="00C43928" w:rsidR="0098410D" w:rsidP="00C43928" w:rsidRDefault="0098410D">
      <w:pPr>
        <w:sectPr w:rsidRPr="00C43928"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C43928" w:rsidR="0098410D" w:rsidP="00C43928" w:rsidRDefault="0098410D">
      <w:pPr>
        <w:pStyle w:val="JuCase"/>
      </w:pPr>
      <w:r w:rsidRPr="00C43928">
        <w:t xml:space="preserve">In the case of </w:t>
      </w:r>
      <w:proofErr w:type="spellStart"/>
      <w:r w:rsidRPr="00C43928" w:rsidR="00BA4350">
        <w:t>Scheiring</w:t>
      </w:r>
      <w:proofErr w:type="spellEnd"/>
      <w:r w:rsidRPr="00C43928" w:rsidR="00BA4350">
        <w:t xml:space="preserve"> and </w:t>
      </w:r>
      <w:proofErr w:type="spellStart"/>
      <w:r w:rsidRPr="00C43928" w:rsidR="00BA4350">
        <w:t>Szabó</w:t>
      </w:r>
      <w:proofErr w:type="spellEnd"/>
      <w:r w:rsidRPr="00C43928" w:rsidR="00BA4350">
        <w:t xml:space="preserve"> v. Hungary</w:t>
      </w:r>
      <w:r w:rsidRPr="00C43928">
        <w:t>,</w:t>
      </w:r>
    </w:p>
    <w:p w:rsidRPr="00C43928" w:rsidR="009F4C8F" w:rsidP="00C43928" w:rsidRDefault="009F4C8F">
      <w:pPr>
        <w:pStyle w:val="JuPara"/>
      </w:pPr>
      <w:r w:rsidRPr="00C43928">
        <w:t>The European Court of Human Rights (</w:t>
      </w:r>
      <w:r w:rsidRPr="00C43928" w:rsidR="00BA4350">
        <w:t>Fourth Section</w:t>
      </w:r>
      <w:r w:rsidRPr="00C43928">
        <w:t xml:space="preserve">), sitting as a </w:t>
      </w:r>
      <w:r w:rsidRPr="00C43928" w:rsidR="00BA4350">
        <w:t>Committee</w:t>
      </w:r>
      <w:r w:rsidRPr="00C43928">
        <w:t xml:space="preserve"> composed of:</w:t>
      </w:r>
    </w:p>
    <w:p w:rsidRPr="00C43928" w:rsidR="009F4C8F" w:rsidP="00C43928" w:rsidRDefault="00BE6021">
      <w:pPr>
        <w:pStyle w:val="JuJudges"/>
      </w:pPr>
      <w:r w:rsidRPr="00C43928">
        <w:tab/>
      </w:r>
      <w:proofErr w:type="spellStart"/>
      <w:r w:rsidRPr="00C43928">
        <w:t>Branko</w:t>
      </w:r>
      <w:proofErr w:type="spellEnd"/>
      <w:r w:rsidRPr="00C43928">
        <w:t xml:space="preserve"> </w:t>
      </w:r>
      <w:proofErr w:type="spellStart"/>
      <w:r w:rsidRPr="00C43928">
        <w:t>Lubarda</w:t>
      </w:r>
      <w:proofErr w:type="spellEnd"/>
      <w:r w:rsidRPr="00C43928">
        <w:t>,</w:t>
      </w:r>
      <w:r w:rsidRPr="00C43928">
        <w:rPr>
          <w:i/>
        </w:rPr>
        <w:t xml:space="preserve"> President,</w:t>
      </w:r>
      <w:r w:rsidRPr="00C43928">
        <w:rPr>
          <w:i/>
        </w:rPr>
        <w:br/>
      </w:r>
      <w:r w:rsidRPr="00C43928">
        <w:tab/>
        <w:t>Carlo Ranzoni,</w:t>
      </w:r>
      <w:r w:rsidRPr="00C43928">
        <w:rPr>
          <w:i/>
        </w:rPr>
        <w:br/>
      </w:r>
      <w:r w:rsidRPr="00C43928">
        <w:tab/>
      </w:r>
      <w:proofErr w:type="spellStart"/>
      <w:r w:rsidRPr="00C43928">
        <w:t>Péter</w:t>
      </w:r>
      <w:proofErr w:type="spellEnd"/>
      <w:r w:rsidRPr="00C43928">
        <w:t xml:space="preserve"> </w:t>
      </w:r>
      <w:proofErr w:type="spellStart"/>
      <w:r w:rsidRPr="00C43928">
        <w:t>Paczolay</w:t>
      </w:r>
      <w:proofErr w:type="spellEnd"/>
      <w:r w:rsidRPr="00C43928">
        <w:t>,</w:t>
      </w:r>
      <w:r w:rsidRPr="00C43928">
        <w:rPr>
          <w:i/>
        </w:rPr>
        <w:t xml:space="preserve"> judges,</w:t>
      </w:r>
      <w:r w:rsidRPr="00C43928" w:rsidR="009F4C8F">
        <w:rPr>
          <w:szCs w:val="24"/>
        </w:rPr>
        <w:br/>
      </w:r>
      <w:r w:rsidRPr="00C43928" w:rsidR="009F4C8F">
        <w:t xml:space="preserve">and </w:t>
      </w:r>
      <w:r w:rsidRPr="00C43928" w:rsidR="00BA4350">
        <w:t>Andrea Tamietti</w:t>
      </w:r>
      <w:r w:rsidRPr="00C43928" w:rsidR="009F4C8F">
        <w:t xml:space="preserve">, </w:t>
      </w:r>
      <w:r w:rsidRPr="00C43928" w:rsidR="00BA4350">
        <w:rPr>
          <w:i/>
        </w:rPr>
        <w:t xml:space="preserve">Deputy Section </w:t>
      </w:r>
      <w:r w:rsidRPr="00C43928" w:rsidR="00BA4350">
        <w:rPr>
          <w:i/>
          <w:iCs/>
        </w:rPr>
        <w:t>Registrar</w:t>
      </w:r>
      <w:r w:rsidRPr="00C43928" w:rsidR="009F4C8F">
        <w:rPr>
          <w:i/>
        </w:rPr>
        <w:t>,</w:t>
      </w:r>
    </w:p>
    <w:p w:rsidRPr="00C43928" w:rsidR="009F4C8F" w:rsidP="00C43928" w:rsidRDefault="009F4C8F">
      <w:pPr>
        <w:pStyle w:val="JuPara"/>
      </w:pPr>
      <w:r w:rsidRPr="00C43928">
        <w:t xml:space="preserve">Having deliberated in private on </w:t>
      </w:r>
      <w:r w:rsidRPr="00C43928" w:rsidR="00BA4350">
        <w:rPr>
          <w:szCs w:val="24"/>
        </w:rPr>
        <w:t>12 November 2019</w:t>
      </w:r>
      <w:r w:rsidRPr="00C43928">
        <w:t>,</w:t>
      </w:r>
    </w:p>
    <w:p w:rsidRPr="00C43928" w:rsidR="009F4C8F" w:rsidP="00C43928" w:rsidRDefault="009F4C8F">
      <w:pPr>
        <w:pStyle w:val="JuPara"/>
      </w:pPr>
      <w:r w:rsidRPr="00C43928">
        <w:t>Delivers the following judgment, which was adopted on that date:</w:t>
      </w:r>
    </w:p>
    <w:p w:rsidRPr="00C43928" w:rsidR="00BA4350" w:rsidP="00C43928" w:rsidRDefault="00BA4350">
      <w:pPr>
        <w:pStyle w:val="JuHHead"/>
      </w:pPr>
      <w:r w:rsidRPr="00C43928">
        <w:t>PROCEDURE</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w:t>
      </w:r>
      <w:r w:rsidRPr="00C43928">
        <w:fldChar w:fldCharType="end"/>
      </w:r>
      <w:r w:rsidRPr="00C43928">
        <w:t xml:space="preserve">.  The case originated in an application (no. 609/14) against Hungary lodged with the Court under Article 34 of the Convention for the Protection of Human Rights and Fundamental Freedoms (“the Convention”) by two Hungarian nationals, Mr </w:t>
      </w:r>
      <w:proofErr w:type="spellStart"/>
      <w:r w:rsidRPr="00C43928">
        <w:t>Gábor</w:t>
      </w:r>
      <w:proofErr w:type="spellEnd"/>
      <w:r w:rsidRPr="00C43928">
        <w:t xml:space="preserve"> </w:t>
      </w:r>
      <w:proofErr w:type="spellStart"/>
      <w:r w:rsidRPr="00C43928">
        <w:t>Scheiring</w:t>
      </w:r>
      <w:proofErr w:type="spellEnd"/>
      <w:r w:rsidRPr="00C43928">
        <w:t xml:space="preserve"> and Ms </w:t>
      </w:r>
      <w:proofErr w:type="spellStart"/>
      <w:r w:rsidRPr="00C43928">
        <w:t>Rebeka</w:t>
      </w:r>
      <w:proofErr w:type="spellEnd"/>
      <w:r w:rsidRPr="00C43928">
        <w:t xml:space="preserve"> </w:t>
      </w:r>
      <w:proofErr w:type="spellStart"/>
      <w:r w:rsidRPr="00C43928">
        <w:t>Katalin</w:t>
      </w:r>
      <w:proofErr w:type="spellEnd"/>
      <w:r w:rsidRPr="00C43928">
        <w:t xml:space="preserve"> </w:t>
      </w:r>
      <w:proofErr w:type="spellStart"/>
      <w:r w:rsidRPr="00C43928">
        <w:t>Szabó</w:t>
      </w:r>
      <w:proofErr w:type="spellEnd"/>
      <w:r w:rsidRPr="00C43928">
        <w:t xml:space="preserve"> (“the applicants”), on 20 December 2013.</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2</w:t>
      </w:r>
      <w:r w:rsidRPr="00C43928">
        <w:fldChar w:fldCharType="end"/>
      </w:r>
      <w:r w:rsidRPr="00C43928">
        <w:t xml:space="preserve">.  The applicants were represented by Mr D.A. </w:t>
      </w:r>
      <w:proofErr w:type="spellStart"/>
      <w:r w:rsidRPr="00C43928">
        <w:t>Karsai</w:t>
      </w:r>
      <w:proofErr w:type="spellEnd"/>
      <w:r w:rsidRPr="00C43928">
        <w:t xml:space="preserve">, a lawyer practising in Budapest. The Hungarian Government (“the Government”) were represented by their Agent, Mr </w:t>
      </w:r>
      <w:r w:rsidRPr="00C43928">
        <w:rPr>
          <w:bCs/>
        </w:rPr>
        <w:t xml:space="preserve">Z. </w:t>
      </w:r>
      <w:proofErr w:type="spellStart"/>
      <w:r w:rsidRPr="00C43928">
        <w:rPr>
          <w:bCs/>
        </w:rPr>
        <w:t>Tallódi</w:t>
      </w:r>
      <w:proofErr w:type="spellEnd"/>
      <w:r w:rsidRPr="00C43928">
        <w:rPr>
          <w:bCs/>
        </w:rPr>
        <w:t xml:space="preserve">, </w:t>
      </w:r>
      <w:proofErr w:type="gramStart"/>
      <w:r w:rsidRPr="00C43928">
        <w:rPr>
          <w:bCs/>
        </w:rPr>
        <w:t>Ministry</w:t>
      </w:r>
      <w:proofErr w:type="gramEnd"/>
      <w:r w:rsidRPr="00C43928">
        <w:rPr>
          <w:bCs/>
        </w:rPr>
        <w:t xml:space="preserve"> of Justice</w:t>
      </w:r>
      <w:r w:rsidRPr="00C43928">
        <w:t>.</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3</w:t>
      </w:r>
      <w:r w:rsidRPr="00C43928">
        <w:fldChar w:fldCharType="end"/>
      </w:r>
      <w:r w:rsidRPr="00C43928">
        <w:t xml:space="preserve">.  On </w:t>
      </w:r>
      <w:r w:rsidRPr="00C43928">
        <w:rPr>
          <w:szCs w:val="24"/>
        </w:rPr>
        <w:t>4 January 2018</w:t>
      </w:r>
      <w:r w:rsidRPr="00C43928">
        <w:t xml:space="preserve"> notice of the complaint under Article 10 of the Convention, concerning the decision to fine the applicants for their conduct in Parliament, was given to the Government and the remainder of the application was declared inadmissible</w:t>
      </w:r>
      <w:r w:rsidRPr="00C43928">
        <w:rPr>
          <w:szCs w:val="24"/>
        </w:rPr>
        <w:t xml:space="preserve"> </w:t>
      </w:r>
      <w:r w:rsidRPr="00C43928">
        <w:t>pursuant to Rule 54 § 3 of the Rules of Court.</w:t>
      </w:r>
    </w:p>
    <w:p w:rsidRPr="00C43928" w:rsidR="00BA4350" w:rsidP="00C43928" w:rsidRDefault="00BA4350">
      <w:pPr>
        <w:pStyle w:val="JuHHead"/>
      </w:pPr>
      <w:r w:rsidRPr="00C43928">
        <w:t>THE FACTS</w:t>
      </w:r>
    </w:p>
    <w:p w:rsidRPr="00C43928" w:rsidR="00BA4350" w:rsidP="00C43928" w:rsidRDefault="00BA4350">
      <w:pPr>
        <w:pStyle w:val="JuHIRoman"/>
      </w:pPr>
      <w:r w:rsidRPr="00C43928">
        <w:t>THE CIRCUMSTANCES OF THE CASE</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4</w:t>
      </w:r>
      <w:r w:rsidRPr="00C43928">
        <w:fldChar w:fldCharType="end"/>
      </w:r>
      <w:r w:rsidRPr="00C43928">
        <w:t xml:space="preserve">.  The applicants, Mr </w:t>
      </w:r>
      <w:proofErr w:type="spellStart"/>
      <w:r w:rsidRPr="00C43928">
        <w:t>Gábor</w:t>
      </w:r>
      <w:proofErr w:type="spellEnd"/>
      <w:r w:rsidRPr="00C43928">
        <w:t xml:space="preserve"> </w:t>
      </w:r>
      <w:proofErr w:type="spellStart"/>
      <w:r w:rsidRPr="00C43928">
        <w:t>Scheiring</w:t>
      </w:r>
      <w:proofErr w:type="spellEnd"/>
      <w:r w:rsidRPr="00C43928">
        <w:t xml:space="preserve"> and Ms </w:t>
      </w:r>
      <w:proofErr w:type="spellStart"/>
      <w:r w:rsidRPr="00C43928">
        <w:t>Rebeka</w:t>
      </w:r>
      <w:proofErr w:type="spellEnd"/>
      <w:r w:rsidRPr="00C43928">
        <w:t xml:space="preserve"> </w:t>
      </w:r>
      <w:proofErr w:type="spellStart"/>
      <w:r w:rsidRPr="00C43928">
        <w:t>Katalin</w:t>
      </w:r>
      <w:proofErr w:type="spellEnd"/>
      <w:r w:rsidRPr="00C43928">
        <w:t xml:space="preserve"> </w:t>
      </w:r>
      <w:proofErr w:type="spellStart"/>
      <w:r w:rsidRPr="00C43928">
        <w:t>Szabó</w:t>
      </w:r>
      <w:proofErr w:type="spellEnd"/>
      <w:r w:rsidRPr="00C43928">
        <w:t>, were born in 1981 and 1977 respectively and live in Budapest.</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5</w:t>
      </w:r>
      <w:r w:rsidRPr="00C43928">
        <w:fldChar w:fldCharType="end"/>
      </w:r>
      <w:r w:rsidRPr="00C43928">
        <w:t>.  At the material time the applicants were independent members of parliament.</w:t>
      </w:r>
    </w:p>
    <w:bookmarkStart w:name="bannerChamber" w:id="2"/>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6</w:t>
      </w:r>
      <w:r w:rsidRPr="00C43928">
        <w:fldChar w:fldCharType="end"/>
      </w:r>
      <w:bookmarkEnd w:id="2"/>
      <w:r w:rsidRPr="00C43928">
        <w:t xml:space="preserve">.  At a plenary session of 9 December 2013, during the adoption of a decision on the agenda of the parliamentary session, the applicants carried a large banner into the centre of the Chamber and exhibited it there, displaying the words: “Who do you protect? Stop lying about the NAV </w:t>
      </w:r>
      <w:proofErr w:type="gramStart"/>
      <w:r w:rsidRPr="00C43928">
        <w:t>case</w:t>
      </w:r>
      <w:proofErr w:type="gramEnd"/>
      <w:r w:rsidRPr="00C43928">
        <w:t xml:space="preserve"> </w:t>
      </w:r>
      <w:r w:rsidRPr="00C43928">
        <w:rPr>
          <w:rFonts w:cstheme="minorHAnsi"/>
        </w:rPr>
        <w:t>[a whistleblowing scandal concerning a large-scale tax fraud and corruption in government circles]</w:t>
      </w:r>
      <w:r w:rsidRPr="00C43928">
        <w:t>.”</w:t>
      </w:r>
    </w:p>
    <w:bookmarkStart w:name="bellandcallfororder" w:id="3"/>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7</w:t>
      </w:r>
      <w:r w:rsidRPr="00C43928">
        <w:fldChar w:fldCharType="end"/>
      </w:r>
      <w:bookmarkEnd w:id="3"/>
      <w:r w:rsidRPr="00C43928">
        <w:t>.  The Speaker warned the applicants to terminate their conduct by repeatedly ringing the bell and calling for order. Several members of parliament were shouting out comments about the applicants</w:t>
      </w:r>
      <w:r w:rsidRPr="00C43928" w:rsidR="00C43928">
        <w:t>’</w:t>
      </w:r>
      <w:r w:rsidRPr="00C43928">
        <w:t xml:space="preserve"> conduct.</w:t>
      </w:r>
    </w:p>
    <w:bookmarkStart w:name="warning" w:id="4"/>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8</w:t>
      </w:r>
      <w:r w:rsidRPr="00C43928">
        <w:fldChar w:fldCharType="end"/>
      </w:r>
      <w:bookmarkEnd w:id="4"/>
      <w:r w:rsidRPr="00C43928">
        <w:t xml:space="preserve">.  Since the applicants continued to display the banner, the Speaker informed them that he would propose, under section 49(4) of the Parliament Act (see paragraph 11 below), </w:t>
      </w:r>
      <w:proofErr w:type="gramStart"/>
      <w:r w:rsidRPr="00C43928">
        <w:t>to</w:t>
      </w:r>
      <w:proofErr w:type="gramEnd"/>
      <w:r w:rsidRPr="00C43928">
        <w:t xml:space="preserve"> impose similar sanctions on them to ones imposed in previous cases for comparable disruptions.</w:t>
      </w:r>
    </w:p>
    <w:bookmarkStart w:name="bannerGallery" w:id="5"/>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9</w:t>
      </w:r>
      <w:r w:rsidRPr="00C43928">
        <w:fldChar w:fldCharType="end"/>
      </w:r>
      <w:bookmarkEnd w:id="5"/>
      <w:r w:rsidRPr="00C43928">
        <w:t>.  The applicants then moved the banner to the gallery of the Chamber and displayed it above the seats of the officers of the House, while a member of an opposition party was in the process of making an interpellation. The banner remained displayed in the gallery until it was removed by the ushers.</w:t>
      </w:r>
    </w:p>
    <w:bookmarkStart w:name="fine" w:id="6"/>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10</w:t>
      </w:r>
      <w:r w:rsidRPr="00C43928">
        <w:fldChar w:fldCharType="end"/>
      </w:r>
      <w:bookmarkEnd w:id="6"/>
      <w:r w:rsidRPr="00C43928">
        <w:t>.  On 12 December 2013 the Speaker submitted a proposal to fine Mr </w:t>
      </w:r>
      <w:proofErr w:type="spellStart"/>
      <w:r w:rsidRPr="00C43928">
        <w:t>Scheiring</w:t>
      </w:r>
      <w:proofErr w:type="spellEnd"/>
      <w:r w:rsidRPr="00C43928">
        <w:t xml:space="preserve"> 50,000 Hungarian forints ((HUF) – equivalent to 170 euros (EUR)) and Ms </w:t>
      </w:r>
      <w:proofErr w:type="spellStart"/>
      <w:r w:rsidRPr="00C43928">
        <w:t>Szabó</w:t>
      </w:r>
      <w:proofErr w:type="spellEnd"/>
      <w:r w:rsidRPr="00C43928">
        <w:t xml:space="preserve"> HUF 131,000 (equivalent to EUR 440) for their conduct, which had been recorded in the minutes and was considered to be seriously offensive to parliamentary order, in application of section 49(4) of the Parliament Act. The proposal stated that Ms </w:t>
      </w:r>
      <w:proofErr w:type="spellStart"/>
      <w:r w:rsidRPr="00C43928">
        <w:t>Szabó</w:t>
      </w:r>
      <w:proofErr w:type="spellEnd"/>
      <w:r w:rsidRPr="00C43928">
        <w:t xml:space="preserve"> had to be subjected to an increased fine as she had previously been sanctioned for similar seriously disruptive conduct. The plenary adopted the proposal on 16 December 2013 without debate.</w:t>
      </w:r>
    </w:p>
    <w:p w:rsidRPr="00C43928" w:rsidR="00BA4350" w:rsidP="00C43928" w:rsidRDefault="00BA4350">
      <w:pPr>
        <w:pStyle w:val="JuHIRoman"/>
      </w:pPr>
      <w:r w:rsidRPr="00C43928">
        <w:t>RELEVANT DOMESTIC LAW AND PRACTICE</w:t>
      </w:r>
    </w:p>
    <w:bookmarkStart w:name="domesticlaw" w:id="7"/>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11</w:t>
      </w:r>
      <w:r w:rsidRPr="00C43928">
        <w:fldChar w:fldCharType="end"/>
      </w:r>
      <w:bookmarkEnd w:id="7"/>
      <w:r w:rsidRPr="00C43928">
        <w:t xml:space="preserve">.  A detailed account of the domestic law provisions and practice is contained in </w:t>
      </w:r>
      <w:proofErr w:type="spellStart"/>
      <w:r w:rsidRPr="00C43928">
        <w:rPr>
          <w:i/>
        </w:rPr>
        <w:t>Karácsony</w:t>
      </w:r>
      <w:proofErr w:type="spellEnd"/>
      <w:r w:rsidRPr="00C43928">
        <w:rPr>
          <w:i/>
        </w:rPr>
        <w:t xml:space="preserve"> and Others v. Hungary </w:t>
      </w:r>
      <w:r w:rsidRPr="00C43928" w:rsidR="00813D17">
        <w:t>([GC], nos. 42461/13 and </w:t>
      </w:r>
      <w:r w:rsidRPr="00C43928">
        <w:t>44357/13</w:t>
      </w:r>
      <w:r w:rsidRPr="00C43928">
        <w:rPr>
          <w:snapToGrid w:val="0"/>
        </w:rPr>
        <w:t xml:space="preserve">, §§ 24-41, </w:t>
      </w:r>
      <w:r w:rsidRPr="00C43928">
        <w:t>17 May 2016).</w:t>
      </w:r>
    </w:p>
    <w:p w:rsidRPr="00C43928" w:rsidR="00BA4350" w:rsidP="00C43928" w:rsidRDefault="00BA4350">
      <w:pPr>
        <w:pStyle w:val="JuHHead"/>
      </w:pPr>
      <w:r w:rsidRPr="00C43928">
        <w:t>THE LAW</w:t>
      </w:r>
    </w:p>
    <w:p w:rsidRPr="00C43928" w:rsidR="00BA4350" w:rsidP="00C43928" w:rsidRDefault="00BA4350">
      <w:pPr>
        <w:pStyle w:val="JuHIRoman"/>
      </w:pPr>
      <w:r w:rsidRPr="00C43928">
        <w:t>ALLEGED VIOLATION OF ARTICLE 10 OF THE CONVENTION</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12</w:t>
      </w:r>
      <w:r w:rsidRPr="00C43928">
        <w:fldChar w:fldCharType="end"/>
      </w:r>
      <w:r w:rsidRPr="00C43928">
        <w:t xml:space="preserve">.  The </w:t>
      </w:r>
      <w:r w:rsidRPr="00C43928">
        <w:rPr>
          <w:szCs w:val="24"/>
        </w:rPr>
        <w:t>applicants</w:t>
      </w:r>
      <w:r w:rsidRPr="00C43928">
        <w:t xml:space="preserve"> complained, under Articles 10 and 13 of the Convention, about the decision to fine them for displaying their banners during the parliamentary session. The Court, master of the characterisation to be given in law to the facts of the case (see, among many authorities</w:t>
      </w:r>
      <w:r w:rsidRPr="00C43928">
        <w:rPr>
          <w:i/>
        </w:rPr>
        <w:t xml:space="preserve">, </w:t>
      </w:r>
      <w:proofErr w:type="spellStart"/>
      <w:r w:rsidRPr="00C43928">
        <w:rPr>
          <w:i/>
          <w:iCs/>
        </w:rPr>
        <w:t>Radomilja</w:t>
      </w:r>
      <w:proofErr w:type="spellEnd"/>
      <w:r w:rsidRPr="00C43928">
        <w:rPr>
          <w:i/>
          <w:iCs/>
        </w:rPr>
        <w:t xml:space="preserve"> and Others v. Croatia</w:t>
      </w:r>
      <w:r w:rsidRPr="00C43928">
        <w:t xml:space="preserve"> [GC], nos. 37685/10 and 22768/12, §§ 114 and 126, 20 March 2018), will examine these complaints from the standpoint of Article 10 of the Convention alone (see </w:t>
      </w:r>
      <w:proofErr w:type="spellStart"/>
      <w:r w:rsidRPr="00C43928">
        <w:rPr>
          <w:i/>
        </w:rPr>
        <w:t>Karácsony</w:t>
      </w:r>
      <w:proofErr w:type="spellEnd"/>
      <w:r w:rsidRPr="00C43928">
        <w:rPr>
          <w:i/>
        </w:rPr>
        <w:t xml:space="preserve"> and Others</w:t>
      </w:r>
      <w:r w:rsidRPr="00C43928">
        <w:rPr>
          <w:snapToGrid w:val="0"/>
        </w:rPr>
        <w:t>, cited above, § 174</w:t>
      </w:r>
      <w:r w:rsidRPr="00C43928">
        <w:t>). This provision reads as follows:</w:t>
      </w:r>
    </w:p>
    <w:p w:rsidRPr="00C43928" w:rsidR="00BA4350" w:rsidP="00C43928" w:rsidRDefault="00BA4350">
      <w:pPr>
        <w:pStyle w:val="JuQuot"/>
      </w:pPr>
      <w:r w:rsidRPr="00C43928">
        <w:t>“1.</w:t>
      </w:r>
      <w:proofErr w:type="gramStart"/>
      <w:r w:rsidRPr="00C43928">
        <w:t>  Everyone</w:t>
      </w:r>
      <w:proofErr w:type="gramEnd"/>
      <w:r w:rsidRPr="00C43928">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C43928" w:rsidR="00BA4350" w:rsidP="00C43928" w:rsidRDefault="00BA4350">
      <w:pPr>
        <w:pStyle w:val="JuQuot"/>
      </w:pPr>
      <w:r w:rsidRPr="00C43928">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C43928" w:rsidR="00BA4350" w:rsidP="00C43928" w:rsidRDefault="00BA4350">
      <w:pPr>
        <w:pStyle w:val="JuHA"/>
      </w:pPr>
      <w:r w:rsidRPr="00C43928">
        <w:t>Admissibility</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13</w:t>
      </w:r>
      <w:r w:rsidRPr="00C43928">
        <w:fldChar w:fldCharType="end"/>
      </w:r>
      <w:r w:rsidRPr="00C43928">
        <w:t>.  The Court notes that this complaint is not manifestly ill-founded within the meaning of Article 35 § 3 (a) of the Convention. It further notes that it is not inadmissible on any other grounds. It must therefore be declared admissible.</w:t>
      </w:r>
    </w:p>
    <w:p w:rsidRPr="00C43928" w:rsidR="00BA4350" w:rsidP="00C43928" w:rsidRDefault="00BA4350">
      <w:pPr>
        <w:pStyle w:val="JuHA"/>
      </w:pPr>
      <w:r w:rsidRPr="00C43928">
        <w:t>Merits</w:t>
      </w:r>
    </w:p>
    <w:p w:rsidRPr="00C43928" w:rsidR="00BA4350" w:rsidP="00C43928" w:rsidRDefault="00BA4350">
      <w:pPr>
        <w:pStyle w:val="JuH1"/>
      </w:pPr>
      <w:r w:rsidRPr="00C43928">
        <w:t>The parties</w:t>
      </w:r>
      <w:r w:rsidRPr="00C43928" w:rsidR="00C43928">
        <w:t>’</w:t>
      </w:r>
      <w:r w:rsidRPr="00C43928">
        <w:t xml:space="preserve"> arguments</w:t>
      </w:r>
    </w:p>
    <w:p w:rsidRPr="00C43928" w:rsidR="00BA4350" w:rsidP="00C43928" w:rsidRDefault="00BA4350">
      <w:pPr>
        <w:pStyle w:val="JuHa0"/>
      </w:pPr>
      <w:r w:rsidRPr="00C43928">
        <w:t>The applicants</w:t>
      </w:r>
    </w:p>
    <w:bookmarkStart w:name="APPprescribedbylaw" w:id="8"/>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14</w:t>
      </w:r>
      <w:r w:rsidRPr="00C43928">
        <w:fldChar w:fldCharType="end"/>
      </w:r>
      <w:bookmarkEnd w:id="8"/>
      <w:r w:rsidRPr="00C43928">
        <w:t>.  The applicants agreed that the interference had formally been based on the Parliament Act, but considered the definition of the disciplinary offence set out in section 49(4) of the Act to be vague and its application in practice unforeseeable.</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15</w:t>
      </w:r>
      <w:r w:rsidRPr="00C43928">
        <w:fldChar w:fldCharType="end"/>
      </w:r>
      <w:r w:rsidRPr="00C43928">
        <w:t>.  The applicants submitted that the use of symbolic speech (in the form of displayed banners) had been the only way in which they could express their disagreement with the Government</w:t>
      </w:r>
      <w:r w:rsidRPr="00C43928" w:rsidR="00C43928">
        <w:t>’</w:t>
      </w:r>
      <w:r w:rsidRPr="00C43928">
        <w:t>s actions in a visible manner. They maintained that the decision to fine them had not served a legitimate aim and had, in any event, failed to meet the requirement of necessity in a democratic society. Moreover, they argued that the disciplinary proceedings had been controlled by the governing coalition and had not been accompanied by procedural safeguards.</w:t>
      </w:r>
    </w:p>
    <w:p w:rsidRPr="00C43928" w:rsidR="00BA4350" w:rsidP="00C43928" w:rsidRDefault="00BA4350">
      <w:pPr>
        <w:pStyle w:val="JuHa0"/>
      </w:pPr>
      <w:r w:rsidRPr="00C43928">
        <w:t>The Government</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16</w:t>
      </w:r>
      <w:r w:rsidRPr="00C43928">
        <w:fldChar w:fldCharType="end"/>
      </w:r>
      <w:r w:rsidRPr="00C43928">
        <w:t xml:space="preserve">.  Relying on the Grand Chamber findings in the case of </w:t>
      </w:r>
      <w:proofErr w:type="spellStart"/>
      <w:r w:rsidRPr="00C43928">
        <w:rPr>
          <w:i/>
        </w:rPr>
        <w:t>Karácsony</w:t>
      </w:r>
      <w:proofErr w:type="spellEnd"/>
      <w:r w:rsidRPr="00C43928">
        <w:rPr>
          <w:i/>
        </w:rPr>
        <w:t xml:space="preserve"> and Others </w:t>
      </w:r>
      <w:r w:rsidRPr="00C43928">
        <w:t>(cited above</w:t>
      </w:r>
      <w:r w:rsidRPr="00C43928">
        <w:rPr>
          <w:snapToGrid w:val="0"/>
        </w:rPr>
        <w:t xml:space="preserve">, §§ </w:t>
      </w:r>
      <w:r w:rsidRPr="00C43928">
        <w:t>122-129), the Government submitted that the interference had been “prescribed by law” and had pursued legitimate aims.</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17</w:t>
      </w:r>
      <w:r w:rsidRPr="00C43928">
        <w:fldChar w:fldCharType="end"/>
      </w:r>
      <w:r w:rsidRPr="00C43928">
        <w:t>.  The Government argued that the sanctions imposed on the applicants had not been disproportionate. In the Government</w:t>
      </w:r>
      <w:r w:rsidRPr="00C43928" w:rsidR="00C43928">
        <w:t>’</w:t>
      </w:r>
      <w:r w:rsidRPr="00C43928">
        <w:t xml:space="preserve">s opinion, the applicants had knowingly used a certain form of expression in violation of the Rules of Parliament which had amounted to an abuse of the right of freedom of expression. As regards the procedural guarantees, the Government submitted that the decision to impose the fines had been sufficiently reasoned and had been adopted by the parliamentary plenum. Moreover, the applicants could have challenged the measures proposed by the Speaker before several forums, such as the plenary Parliament, the House Committee or the </w:t>
      </w:r>
      <w:r w:rsidRPr="00C43928" w:rsidR="00813D17">
        <w:t>c</w:t>
      </w:r>
      <w:r w:rsidRPr="00C43928">
        <w:t>ommittee responsible for the interpretation of the Rules of Parliament.</w:t>
      </w:r>
    </w:p>
    <w:p w:rsidRPr="00C43928" w:rsidR="00BA4350" w:rsidP="00C43928" w:rsidRDefault="00BA4350">
      <w:pPr>
        <w:pStyle w:val="JuH1"/>
      </w:pPr>
      <w:r w:rsidRPr="00C43928">
        <w:t>The Court</w:t>
      </w:r>
      <w:r w:rsidRPr="00C43928" w:rsidR="00C43928">
        <w:t>’</w:t>
      </w:r>
      <w:r w:rsidRPr="00C43928">
        <w:t>s assessment</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18</w:t>
      </w:r>
      <w:r w:rsidRPr="00C43928">
        <w:fldChar w:fldCharType="end"/>
      </w:r>
      <w:r w:rsidRPr="00C43928">
        <w:t xml:space="preserve">.  The Court notes that the applicants were subjected to a fine as a sanction for disrupting order in Parliament by displaying a large banner in the course both of Parliament adopting a proposal on its agenda and of an ongoing interpellation (see paragraphs 6-9 above). It further notes that at the material time the domestic legislation did not provide for any possibility in which members of parliament affected by an </w:t>
      </w:r>
      <w:r w:rsidRPr="00C43928">
        <w:rPr>
          <w:i/>
        </w:rPr>
        <w:t>ex post facto</w:t>
      </w:r>
      <w:r w:rsidRPr="00C43928">
        <w:t xml:space="preserve"> disciplinary sanction could be involved in the relevant procedure, notably by being heard. The procedure in the applicants</w:t>
      </w:r>
      <w:r w:rsidRPr="00C43928" w:rsidR="00C43928">
        <w:t>’</w:t>
      </w:r>
      <w:r w:rsidRPr="00C43928">
        <w:t xml:space="preserve"> case consisted of a written proposal of the Speaker to impose fines and its subsequent adoption by the plenary without debate (see paragraph 10 above). Moreover, the Court notes that the decision of 16 December 2013 (ibid.) did not contain any reasons explaining why the applicants</w:t>
      </w:r>
      <w:r w:rsidRPr="00C43928" w:rsidR="00C43928">
        <w:t>’</w:t>
      </w:r>
      <w:r w:rsidRPr="00C43928">
        <w:t xml:space="preserve"> conduct had been considered seriously offensive to parliamentary order.</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19</w:t>
      </w:r>
      <w:r w:rsidRPr="00C43928">
        <w:fldChar w:fldCharType="end"/>
      </w:r>
      <w:r w:rsidRPr="00C43928">
        <w:t>.  The Court observes that virtually identical circumstances gave rise to a violation of Article 10 of the Convention in the case of</w:t>
      </w:r>
      <w:r w:rsidRPr="00C43928">
        <w:rPr>
          <w:i/>
        </w:rPr>
        <w:t xml:space="preserve"> </w:t>
      </w:r>
      <w:proofErr w:type="spellStart"/>
      <w:r w:rsidRPr="00C43928">
        <w:rPr>
          <w:i/>
        </w:rPr>
        <w:t>Karácsony</w:t>
      </w:r>
      <w:proofErr w:type="spellEnd"/>
      <w:r w:rsidRPr="00C43928">
        <w:rPr>
          <w:i/>
        </w:rPr>
        <w:t xml:space="preserve"> and Others</w:t>
      </w:r>
      <w:r w:rsidRPr="00C43928">
        <w:t xml:space="preserve"> (cited above, §§ 120-162). Having examined the parties</w:t>
      </w:r>
      <w:r w:rsidRPr="00C43928" w:rsidR="00C43928">
        <w:t>’</w:t>
      </w:r>
      <w:r w:rsidRPr="00C43928">
        <w:t xml:space="preserve"> arguments and the materials submitted in the present case, the Court sees no reason to hold otherwise. It concludes that the impugned interference with the applicants</w:t>
      </w:r>
      <w:r w:rsidRPr="00C43928" w:rsidR="00C43928">
        <w:t>’</w:t>
      </w:r>
      <w:r w:rsidRPr="00C43928">
        <w:t xml:space="preserve"> right of freedom of expression was not “necessary in a democratic society” because it was not accompanied by adequate procedural safeguards. There has therefore been a violation of Article 10 of the Convention on this account.</w:t>
      </w:r>
    </w:p>
    <w:p w:rsidRPr="00C43928" w:rsidR="00BA4350" w:rsidP="00C43928" w:rsidRDefault="00BA4350">
      <w:pPr>
        <w:pStyle w:val="JuHIRoman"/>
      </w:pPr>
      <w:r w:rsidRPr="00C43928">
        <w:t>APPLICATION OF ARTICLE 41 OF THE CONVENTION</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20</w:t>
      </w:r>
      <w:r w:rsidRPr="00C43928">
        <w:fldChar w:fldCharType="end"/>
      </w:r>
      <w:r w:rsidRPr="00C43928">
        <w:t>.  Article 41 of the Convention provides:</w:t>
      </w:r>
    </w:p>
    <w:p w:rsidRPr="00C43928" w:rsidR="00BA4350" w:rsidP="00C43928" w:rsidRDefault="00BA4350">
      <w:pPr>
        <w:pStyle w:val="JuQuot"/>
        <w:keepNext/>
        <w:keepLines/>
      </w:pPr>
      <w:r w:rsidRPr="00C4392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43928" w:rsidR="00BA4350" w:rsidP="00C43928" w:rsidRDefault="00BA4350">
      <w:pPr>
        <w:pStyle w:val="JuHA"/>
      </w:pPr>
      <w:r w:rsidRPr="00C43928">
        <w:t>Damage</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21</w:t>
      </w:r>
      <w:r w:rsidRPr="00C43928">
        <w:fldChar w:fldCharType="end"/>
      </w:r>
      <w:r w:rsidRPr="00C43928">
        <w:t xml:space="preserve">.  The </w:t>
      </w:r>
      <w:r w:rsidRPr="00C43928">
        <w:rPr>
          <w:szCs w:val="24"/>
        </w:rPr>
        <w:t>applicants</w:t>
      </w:r>
      <w:r w:rsidRPr="00C43928">
        <w:t xml:space="preserve"> claimed EUR 5,000 each in respect of non-pecuniary damage.</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22</w:t>
      </w:r>
      <w:r w:rsidRPr="00C43928">
        <w:fldChar w:fldCharType="end"/>
      </w:r>
      <w:r w:rsidRPr="00C43928">
        <w:t>.  The Government contested the claims.</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23</w:t>
      </w:r>
      <w:r w:rsidRPr="00C43928">
        <w:fldChar w:fldCharType="end"/>
      </w:r>
      <w:r w:rsidRPr="00C43928">
        <w:t xml:space="preserve">.  Having regard to the particular circumstances of the present case, the Court considers that the finding of a violation of Article 10 constitutes in itself sufficient just satisfaction for any non-pecuniary damage sustained by the applicants (see </w:t>
      </w:r>
      <w:proofErr w:type="spellStart"/>
      <w:r w:rsidRPr="00C43928">
        <w:rPr>
          <w:i/>
        </w:rPr>
        <w:t>Karácsony</w:t>
      </w:r>
      <w:proofErr w:type="spellEnd"/>
      <w:r w:rsidRPr="00C43928">
        <w:rPr>
          <w:i/>
        </w:rPr>
        <w:t xml:space="preserve"> and Others</w:t>
      </w:r>
      <w:r w:rsidRPr="00C43928">
        <w:t>, cited above, § 181).</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24</w:t>
      </w:r>
      <w:r w:rsidRPr="00C43928">
        <w:fldChar w:fldCharType="end"/>
      </w:r>
      <w:r w:rsidRPr="00C43928">
        <w:t>.  As the applicants did not make a claim in respect of pecuniary damage, the Court is not called upon to make any award under that head.</w:t>
      </w:r>
    </w:p>
    <w:p w:rsidRPr="00C43928" w:rsidR="00BA4350" w:rsidP="00C43928" w:rsidRDefault="00BA4350">
      <w:pPr>
        <w:pStyle w:val="JuHA"/>
      </w:pPr>
      <w:r w:rsidRPr="00C43928">
        <w:t>Costs and expenses</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25</w:t>
      </w:r>
      <w:r w:rsidRPr="00C43928">
        <w:fldChar w:fldCharType="end"/>
      </w:r>
      <w:r w:rsidRPr="00C43928">
        <w:t xml:space="preserve">.  The </w:t>
      </w:r>
      <w:r w:rsidRPr="00C43928">
        <w:rPr>
          <w:szCs w:val="24"/>
        </w:rPr>
        <w:t>applicants</w:t>
      </w:r>
      <w:r w:rsidRPr="00C43928">
        <w:t xml:space="preserve"> claimed, jointly, reimbursement of the legal fees incurred before the Court in the amount of EUR 4,318, representing seventeen hours of legal work at an hourly rate of EUR 200 plus 27% value added tax, comprising four hours to study the file, three hours to study the Court</w:t>
      </w:r>
      <w:r w:rsidRPr="00C43928" w:rsidR="00C43928">
        <w:t>’</w:t>
      </w:r>
      <w:r w:rsidRPr="00C43928">
        <w:t>s case-law and ten hours spent on preparing the application and drafting submissions. They indicated that they would only be billed if the case was decided in their favour.</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26</w:t>
      </w:r>
      <w:r w:rsidRPr="00C43928">
        <w:fldChar w:fldCharType="end"/>
      </w:r>
      <w:r w:rsidRPr="00C43928">
        <w:t>.  </w:t>
      </w:r>
      <w:r w:rsidRPr="00C43928">
        <w:rPr>
          <w:spacing w:val="-2"/>
        </w:rPr>
        <w:t>Having regard to all materials in the case file, the Court considers it reasonable to jointly award the applicants EUR 2,000 for the costs and expenses incurred before the Court, plus any tax that may be chargeable to them.</w:t>
      </w:r>
    </w:p>
    <w:p w:rsidRPr="00C43928" w:rsidR="00BA4350" w:rsidP="00C43928" w:rsidRDefault="00BA4350">
      <w:pPr>
        <w:pStyle w:val="JuHA"/>
      </w:pPr>
      <w:r w:rsidRPr="00C43928">
        <w:t>Default interest</w:t>
      </w:r>
    </w:p>
    <w:p w:rsidRPr="00C43928" w:rsidR="00BA4350" w:rsidP="00C43928" w:rsidRDefault="00BA4350">
      <w:pPr>
        <w:pStyle w:val="JuPara"/>
      </w:pPr>
      <w:r w:rsidRPr="00C43928">
        <w:fldChar w:fldCharType="begin"/>
      </w:r>
      <w:r w:rsidRPr="00C43928">
        <w:instrText xml:space="preserve"> SEQ level0 \*arabic </w:instrText>
      </w:r>
      <w:r w:rsidRPr="00C43928">
        <w:fldChar w:fldCharType="separate"/>
      </w:r>
      <w:r w:rsidRPr="00C43928" w:rsidR="00C43928">
        <w:rPr>
          <w:noProof/>
        </w:rPr>
        <w:t>27</w:t>
      </w:r>
      <w:r w:rsidRPr="00C43928">
        <w:fldChar w:fldCharType="end"/>
      </w:r>
      <w:r w:rsidRPr="00C43928">
        <w:t>.  The Court considers it appropriate that the default interest rate should be based on the marginal lending rate of the European Central Bank, to which should be added three percentage points.</w:t>
      </w:r>
    </w:p>
    <w:p w:rsidRPr="00C43928" w:rsidR="00BA4350" w:rsidP="00C43928" w:rsidRDefault="00BA4350">
      <w:pPr>
        <w:pStyle w:val="JuHHead"/>
      </w:pPr>
      <w:r w:rsidRPr="00C43928">
        <w:t>FOR THESE REASONS, THE COURT, UNANIMOUSLY,</w:t>
      </w:r>
    </w:p>
    <w:p w:rsidRPr="00C43928" w:rsidR="00BA4350" w:rsidP="00C43928" w:rsidRDefault="00BA4350">
      <w:pPr>
        <w:pStyle w:val="JuList"/>
        <w:ind w:left="0" w:firstLine="0"/>
      </w:pPr>
      <w:r w:rsidRPr="00C43928">
        <w:rPr>
          <w:i/>
        </w:rPr>
        <w:t>Declares</w:t>
      </w:r>
      <w:r w:rsidRPr="00C43928">
        <w:rPr>
          <w:color w:val="000000"/>
        </w:rPr>
        <w:t xml:space="preserve"> </w:t>
      </w:r>
      <w:r w:rsidRPr="00C43928">
        <w:t>the application admissible;</w:t>
      </w:r>
    </w:p>
    <w:p w:rsidRPr="00C43928" w:rsidR="00BA4350" w:rsidP="00C43928" w:rsidRDefault="00BA4350">
      <w:pPr>
        <w:pStyle w:val="JuList"/>
      </w:pPr>
      <w:r w:rsidRPr="00C43928">
        <w:rPr>
          <w:i/>
        </w:rPr>
        <w:t>Holds</w:t>
      </w:r>
      <w:r w:rsidRPr="00C43928">
        <w:rPr>
          <w:color w:val="000000"/>
        </w:rPr>
        <w:t xml:space="preserve"> </w:t>
      </w:r>
      <w:r w:rsidRPr="00C43928">
        <w:t>that there has been a violation of Article 10 of the Convention;</w:t>
      </w:r>
    </w:p>
    <w:p w:rsidRPr="00C43928" w:rsidR="00BA4350" w:rsidP="00C43928" w:rsidRDefault="00BA4350">
      <w:pPr>
        <w:pStyle w:val="JuList"/>
      </w:pPr>
      <w:r w:rsidRPr="00C43928">
        <w:rPr>
          <w:i/>
        </w:rPr>
        <w:t>Holds</w:t>
      </w:r>
      <w:r w:rsidRPr="00C43928">
        <w:rPr>
          <w:color w:val="000000"/>
        </w:rPr>
        <w:t xml:space="preserve"> </w:t>
      </w:r>
      <w:r w:rsidRPr="00C43928">
        <w:t>that the finding of a violation constitutes in itself sufficient just satisfaction for any non-pecuniary damage sustained by the applicants;</w:t>
      </w:r>
    </w:p>
    <w:p w:rsidRPr="00C43928" w:rsidR="00BA4350" w:rsidP="00C43928" w:rsidRDefault="00BA4350">
      <w:pPr>
        <w:pStyle w:val="JuList"/>
      </w:pPr>
      <w:r w:rsidRPr="00C43928">
        <w:rPr>
          <w:i/>
        </w:rPr>
        <w:t>Holds</w:t>
      </w:r>
    </w:p>
    <w:p w:rsidRPr="00C43928" w:rsidR="00BA4350" w:rsidP="00C43928" w:rsidRDefault="00BA4350">
      <w:pPr>
        <w:pStyle w:val="JuLista"/>
      </w:pPr>
      <w:r w:rsidRPr="00C43928">
        <w:t>that the respondent State is to pay the applicants jointly, within three months, EUR 2,000 (two thousand euros), plus any tax that may be chargeable to the applicants, in respect of costs and expenses;</w:t>
      </w:r>
    </w:p>
    <w:p w:rsidRPr="00C43928" w:rsidR="00BA4350" w:rsidP="00C43928" w:rsidRDefault="00BA4350">
      <w:pPr>
        <w:pStyle w:val="JuLista"/>
      </w:pPr>
      <w:r w:rsidRPr="00C43928">
        <w:t>that from the expiry of the above-mentioned three months until settlement simple interest shall be payable on the above amount at a rate equal to the marginal lending rate of the European Central Bank during the default period plus three percentage points;</w:t>
      </w:r>
    </w:p>
    <w:p w:rsidRPr="00C43928" w:rsidR="004D0EC7" w:rsidP="00C43928" w:rsidRDefault="00BA4350">
      <w:pPr>
        <w:pStyle w:val="JuList"/>
        <w:keepNext/>
        <w:keepLines/>
      </w:pPr>
      <w:r w:rsidRPr="00C43928">
        <w:rPr>
          <w:i/>
        </w:rPr>
        <w:t>Dismisses</w:t>
      </w:r>
      <w:r w:rsidRPr="00C43928">
        <w:rPr>
          <w:color w:val="000000"/>
        </w:rPr>
        <w:t xml:space="preserve"> </w:t>
      </w:r>
      <w:r w:rsidRPr="00C43928">
        <w:t xml:space="preserve">the remainder of the </w:t>
      </w:r>
      <w:r w:rsidRPr="00C43928">
        <w:rPr>
          <w:szCs w:val="24"/>
        </w:rPr>
        <w:t>applicants</w:t>
      </w:r>
      <w:r w:rsidRPr="00C43928" w:rsidR="00C43928">
        <w:rPr>
          <w:szCs w:val="24"/>
        </w:rPr>
        <w:t>’</w:t>
      </w:r>
      <w:r w:rsidRPr="00C43928">
        <w:t xml:space="preserve"> claim for just satisfaction.</w:t>
      </w:r>
    </w:p>
    <w:p w:rsidRPr="00C43928" w:rsidR="008E3A08" w:rsidP="00C43928" w:rsidRDefault="007E2C8C">
      <w:pPr>
        <w:pStyle w:val="JuParaLast"/>
      </w:pPr>
      <w:r w:rsidRPr="00C43928">
        <w:t xml:space="preserve">Done in English, and notified in writing on </w:t>
      </w:r>
      <w:r w:rsidRPr="00C43928" w:rsidR="00BA4350">
        <w:rPr>
          <w:rFonts w:ascii="Times New Roman" w:hAnsi="Times New Roman" w:cs="Times New Roman"/>
        </w:rPr>
        <w:t>3 December 2019</w:t>
      </w:r>
      <w:r w:rsidRPr="00C43928">
        <w:t>, pursuant to Rule 77 §§ 2 and 3 of the Rules of Court.</w:t>
      </w:r>
    </w:p>
    <w:p w:rsidRPr="00C43928" w:rsidR="002A613A" w:rsidP="00C43928" w:rsidRDefault="00813D17">
      <w:pPr>
        <w:pStyle w:val="JuSigned"/>
        <w:keepNext/>
        <w:keepLines/>
        <w:rPr>
          <w:lang w:val="it-IT"/>
        </w:rPr>
      </w:pPr>
      <w:r w:rsidRPr="00C43928">
        <w:rPr>
          <w:lang w:val="it-IT"/>
        </w:rPr>
        <w:tab/>
      </w:r>
      <w:r w:rsidRPr="00C43928" w:rsidR="00BA4350">
        <w:rPr>
          <w:lang w:val="it-IT"/>
        </w:rPr>
        <w:t>Andrea Tamietti</w:t>
      </w:r>
      <w:r w:rsidRPr="00C43928" w:rsidR="005879A2">
        <w:rPr>
          <w:lang w:val="it-IT"/>
        </w:rPr>
        <w:t xml:space="preserve"> </w:t>
      </w:r>
      <w:r w:rsidRPr="00C43928" w:rsidR="009F4C8F">
        <w:rPr>
          <w:lang w:val="it-IT"/>
        </w:rPr>
        <w:tab/>
      </w:r>
      <w:proofErr w:type="spellStart"/>
      <w:r w:rsidRPr="00C43928" w:rsidR="00BA4350">
        <w:rPr>
          <w:szCs w:val="24"/>
          <w:lang w:val="it-IT"/>
        </w:rPr>
        <w:t>Branko</w:t>
      </w:r>
      <w:proofErr w:type="spellEnd"/>
      <w:r w:rsidRPr="00C43928" w:rsidR="00BA4350">
        <w:rPr>
          <w:szCs w:val="24"/>
          <w:lang w:val="it-IT"/>
        </w:rPr>
        <w:t xml:space="preserve"> </w:t>
      </w:r>
      <w:proofErr w:type="spellStart"/>
      <w:r w:rsidRPr="00C43928" w:rsidR="00BA4350">
        <w:rPr>
          <w:szCs w:val="24"/>
          <w:lang w:val="it-IT"/>
        </w:rPr>
        <w:t>Lubarda</w:t>
      </w:r>
      <w:proofErr w:type="spellEnd"/>
      <w:r w:rsidRPr="00C43928" w:rsidR="009F4C8F">
        <w:rPr>
          <w:szCs w:val="24"/>
          <w:lang w:val="it-IT"/>
        </w:rPr>
        <w:br/>
      </w:r>
      <w:r w:rsidRPr="00C43928" w:rsidR="009F4C8F">
        <w:rPr>
          <w:lang w:val="it-IT"/>
        </w:rPr>
        <w:tab/>
      </w:r>
      <w:proofErr w:type="spellStart"/>
      <w:r w:rsidRPr="00C43928" w:rsidR="00BA4350">
        <w:rPr>
          <w:lang w:val="it-IT"/>
        </w:rPr>
        <w:t>Deputy</w:t>
      </w:r>
      <w:proofErr w:type="spellEnd"/>
      <w:r w:rsidRPr="00C43928" w:rsidR="00BA4350">
        <w:rPr>
          <w:lang w:val="it-IT"/>
        </w:rPr>
        <w:t xml:space="preserve"> </w:t>
      </w:r>
      <w:r w:rsidRPr="00C43928" w:rsidR="00BA4350">
        <w:rPr>
          <w:iCs/>
          <w:lang w:val="it-IT"/>
        </w:rPr>
        <w:t>Registrar</w:t>
      </w:r>
      <w:r w:rsidRPr="00C43928" w:rsidR="009F4C8F">
        <w:rPr>
          <w:lang w:val="it-IT"/>
        </w:rPr>
        <w:tab/>
      </w:r>
      <w:proofErr w:type="spellStart"/>
      <w:r w:rsidRPr="00C43928" w:rsidR="009F4C8F">
        <w:rPr>
          <w:lang w:val="it-IT"/>
        </w:rPr>
        <w:t>President</w:t>
      </w:r>
      <w:proofErr w:type="spellEnd"/>
    </w:p>
    <w:p w:rsidRPr="00C43928" w:rsidR="00C43928" w:rsidP="00C43928" w:rsidRDefault="00C43928">
      <w:pPr>
        <w:pStyle w:val="JuPara"/>
        <w:keepNext/>
        <w:keepLines/>
        <w:rPr>
          <w:lang w:val="it-IT"/>
        </w:rPr>
      </w:pPr>
    </w:p>
    <w:sectPr w:rsidRPr="00C43928" w:rsidR="00C43928"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350" w:rsidRPr="00085457" w:rsidRDefault="00BA4350" w:rsidP="0098410D">
      <w:r w:rsidRPr="00085457">
        <w:separator/>
      </w:r>
    </w:p>
  </w:endnote>
  <w:endnote w:type="continuationSeparator" w:id="0">
    <w:p w:rsidR="00BA4350" w:rsidRPr="00085457" w:rsidRDefault="00BA4350"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50" w:rsidRDefault="00BA4350">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50" w:rsidRPr="00150BFA" w:rsidRDefault="00BA4350" w:rsidP="0020718E">
    <w:pPr>
      <w:jc w:val="center"/>
    </w:pPr>
    <w:r>
      <w:rPr>
        <w:noProof/>
        <w:lang w:val="en-US" w:eastAsia="ja-JP"/>
      </w:rPr>
      <w:drawing>
        <wp:inline distT="0" distB="0" distL="0" distR="0" wp14:anchorId="5E7CDBBA" wp14:editId="7706609C">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50" w:rsidRDefault="00BA4350">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97E1D">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97E1D"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350" w:rsidRPr="00085457" w:rsidRDefault="00BA4350" w:rsidP="0098410D">
      <w:r w:rsidRPr="00085457">
        <w:separator/>
      </w:r>
    </w:p>
  </w:footnote>
  <w:footnote w:type="continuationSeparator" w:id="0">
    <w:p w:rsidR="00BA4350" w:rsidRPr="00085457" w:rsidRDefault="00BA4350"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50" w:rsidRDefault="00BA43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50" w:rsidRPr="00A45145" w:rsidRDefault="00BA4350" w:rsidP="00A45145">
    <w:pPr>
      <w:jc w:val="center"/>
    </w:pPr>
    <w:r>
      <w:rPr>
        <w:noProof/>
        <w:lang w:val="en-US" w:eastAsia="ja-JP"/>
      </w:rPr>
      <w:drawing>
        <wp:inline distT="0" distB="0" distL="0" distR="0" wp14:anchorId="02E1BB05" wp14:editId="28D069F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50" w:rsidRPr="00A45145" w:rsidRDefault="00BA4350" w:rsidP="00A45145">
    <w:pPr>
      <w:jc w:val="center"/>
    </w:pPr>
    <w:r>
      <w:rPr>
        <w:noProof/>
        <w:lang w:val="en-US" w:eastAsia="ja-JP"/>
      </w:rPr>
      <w:drawing>
        <wp:inline distT="0" distB="0" distL="0" distR="0" wp14:anchorId="4AB52C0B" wp14:editId="23678714">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A4350" w:rsidP="004D0EC7">
    <w:pPr>
      <w:pStyle w:val="JuHeader"/>
    </w:pPr>
    <w:r>
      <w:rPr>
        <w:rStyle w:val="PageNumber"/>
      </w:rPr>
      <w:fldChar w:fldCharType="begin"/>
    </w:r>
    <w:r>
      <w:rPr>
        <w:rStyle w:val="PageNumber"/>
      </w:rPr>
      <w:instrText xml:space="preserve"> PAGE </w:instrText>
    </w:r>
    <w:r>
      <w:rPr>
        <w:rStyle w:val="PageNumber"/>
      </w:rPr>
      <w:fldChar w:fldCharType="separate"/>
    </w:r>
    <w:r w:rsidR="00C43928">
      <w:rPr>
        <w:rStyle w:val="PageNumber"/>
        <w:noProof/>
      </w:rPr>
      <w:t>6</w:t>
    </w:r>
    <w:r>
      <w:rPr>
        <w:rStyle w:val="PageNumber"/>
      </w:rPr>
      <w:fldChar w:fldCharType="end"/>
    </w:r>
    <w:r w:rsidR="00882CD5" w:rsidRPr="004D0EC7">
      <w:tab/>
    </w:r>
    <w:r>
      <w:t>SCHEIRING AND SZABÓ v. HUNGARY</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BA4350">
      <w:t>SCHEIRING AND SZABÓ v. HUNGARY</w:t>
    </w:r>
    <w:r w:rsidRPr="00882CD5">
      <w:t xml:space="preserve"> JUDGMENT</w:t>
    </w:r>
    <w:r w:rsidRPr="00882CD5">
      <w:tab/>
    </w:r>
    <w:r w:rsidR="00BA4350">
      <w:rPr>
        <w:rStyle w:val="PageNumber"/>
      </w:rPr>
      <w:fldChar w:fldCharType="begin"/>
    </w:r>
    <w:r w:rsidR="00BA4350">
      <w:rPr>
        <w:rStyle w:val="PageNumber"/>
      </w:rPr>
      <w:instrText xml:space="preserve"> PAGE </w:instrText>
    </w:r>
    <w:r w:rsidR="00BA4350">
      <w:rPr>
        <w:rStyle w:val="PageNumber"/>
      </w:rPr>
      <w:fldChar w:fldCharType="separate"/>
    </w:r>
    <w:r w:rsidR="00C43928">
      <w:rPr>
        <w:rStyle w:val="PageNumber"/>
        <w:noProof/>
      </w:rPr>
      <w:t>5</w:t>
    </w:r>
    <w:r w:rsidR="00BA435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7"/>
  </w:num>
  <w:num w:numId="21">
    <w:abstractNumId w:val="17"/>
  </w:num>
  <w:num w:numId="22">
    <w:abstractNumId w:val="17"/>
  </w:num>
  <w:num w:numId="23">
    <w:abstractNumId w:val="17"/>
  </w:num>
  <w:num w:numId="24">
    <w:abstractNumId w:val="17"/>
  </w:num>
  <w:num w:numId="25">
    <w:abstractNumId w:val="17"/>
  </w:num>
  <w:num w:numId="26">
    <w:abstractNumId w:val="17"/>
  </w:num>
  <w:num w:numId="27">
    <w:abstractNumId w:val="17"/>
  </w:num>
  <w:num w:numId="28">
    <w:abstractNumId w:val="13"/>
  </w:num>
  <w:num w:numId="29">
    <w:abstractNumId w:val="13"/>
  </w:num>
  <w:num w:numId="30">
    <w:abstractNumId w:val="13"/>
  </w:num>
  <w:num w:numId="31">
    <w:abstractNumId w:val="14"/>
  </w:num>
  <w:num w:numId="32">
    <w:abstractNumId w:val="11"/>
  </w:num>
  <w:num w:numId="33">
    <w:abstractNumId w:val="10"/>
  </w:num>
  <w:num w:numId="34">
    <w:abstractNumId w:val="15"/>
  </w:num>
  <w:num w:numId="35">
    <w:abstractNumId w:val="12"/>
  </w:num>
  <w:num w:numId="36">
    <w:abstractNumId w:val="16"/>
  </w:num>
  <w:num w:numId="37">
    <w:abstractNumId w:val="18"/>
  </w:num>
  <w:num w:numId="38">
    <w:abstractNumId w:val="7"/>
  </w:num>
  <w:num w:numId="39">
    <w:abstractNumId w:val="6"/>
  </w:num>
  <w:num w:numId="40">
    <w:abstractNumId w:val="5"/>
  </w:num>
  <w:num w:numId="41">
    <w:abstractNumId w:val="4"/>
  </w:num>
  <w:num w:numId="42">
    <w:abstractNumId w:val="8"/>
  </w:num>
  <w:num w:numId="43">
    <w:abstractNumId w:val="3"/>
  </w:num>
  <w:num w:numId="44">
    <w:abstractNumId w:val="2"/>
  </w:num>
  <w:num w:numId="45">
    <w:abstractNumId w:val="1"/>
  </w:num>
  <w:num w:numId="46">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A4350"/>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67BB0"/>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660"/>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1D7A"/>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3D17"/>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18D"/>
    <w:rsid w:val="00A82359"/>
    <w:rsid w:val="00A865D2"/>
    <w:rsid w:val="00A90BCD"/>
    <w:rsid w:val="00A94C20"/>
    <w:rsid w:val="00AA1B09"/>
    <w:rsid w:val="00AA227F"/>
    <w:rsid w:val="00AA3BC7"/>
    <w:rsid w:val="00AA754A"/>
    <w:rsid w:val="00AB099E"/>
    <w:rsid w:val="00AB4328"/>
    <w:rsid w:val="00AB7CA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4350"/>
    <w:rsid w:val="00BA71B1"/>
    <w:rsid w:val="00BB0637"/>
    <w:rsid w:val="00BB345F"/>
    <w:rsid w:val="00BB68EA"/>
    <w:rsid w:val="00BC0B99"/>
    <w:rsid w:val="00BC1C27"/>
    <w:rsid w:val="00BC6BBF"/>
    <w:rsid w:val="00BD1572"/>
    <w:rsid w:val="00BE14E3"/>
    <w:rsid w:val="00BE3774"/>
    <w:rsid w:val="00BE41E5"/>
    <w:rsid w:val="00BE6021"/>
    <w:rsid w:val="00BF118F"/>
    <w:rsid w:val="00BF4109"/>
    <w:rsid w:val="00BF4CC3"/>
    <w:rsid w:val="00C054C7"/>
    <w:rsid w:val="00C057B5"/>
    <w:rsid w:val="00C115C3"/>
    <w:rsid w:val="00C15547"/>
    <w:rsid w:val="00C1672D"/>
    <w:rsid w:val="00C22687"/>
    <w:rsid w:val="00C32E4D"/>
    <w:rsid w:val="00C333A0"/>
    <w:rsid w:val="00C33980"/>
    <w:rsid w:val="00C36A81"/>
    <w:rsid w:val="00C41974"/>
    <w:rsid w:val="00C43928"/>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281E"/>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C4E21"/>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3C4D"/>
    <w:rsid w:val="00FA1637"/>
    <w:rsid w:val="00FA685B"/>
    <w:rsid w:val="00FB0C01"/>
    <w:rsid w:val="00FB5934"/>
    <w:rsid w:val="00FC18F2"/>
    <w:rsid w:val="00FC2A17"/>
    <w:rsid w:val="00FC38CF"/>
    <w:rsid w:val="00FC39E5"/>
    <w:rsid w:val="00FC3A78"/>
    <w:rsid w:val="00FD1005"/>
    <w:rsid w:val="00FD6C75"/>
    <w:rsid w:val="00FD7972"/>
    <w:rsid w:val="00FE6E2F"/>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C4E21"/>
    <w:rPr>
      <w:rFonts w:eastAsiaTheme="minorEastAsia"/>
      <w:sz w:val="24"/>
      <w:lang w:val="en-GB"/>
    </w:rPr>
  </w:style>
  <w:style w:type="paragraph" w:styleId="Heading1">
    <w:name w:val="heading 1"/>
    <w:basedOn w:val="Normal"/>
    <w:next w:val="Normal"/>
    <w:link w:val="Heading1Char"/>
    <w:uiPriority w:val="99"/>
    <w:semiHidden/>
    <w:rsid w:val="00EC4E2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C4E2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C4E2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C4E2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C4E21"/>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EC4E2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C4E21"/>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EC4E2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C4E2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C4E21"/>
    <w:rPr>
      <w:rFonts w:ascii="Tahoma" w:hAnsi="Tahoma" w:cs="Tahoma"/>
      <w:sz w:val="16"/>
      <w:szCs w:val="16"/>
    </w:rPr>
  </w:style>
  <w:style w:type="character" w:customStyle="1" w:styleId="BalloonTextChar">
    <w:name w:val="Balloon Text Char"/>
    <w:basedOn w:val="DefaultParagraphFont"/>
    <w:link w:val="BalloonText"/>
    <w:uiPriority w:val="99"/>
    <w:semiHidden/>
    <w:rsid w:val="00EC4E21"/>
    <w:rPr>
      <w:rFonts w:ascii="Tahoma" w:eastAsiaTheme="minorEastAsia" w:hAnsi="Tahoma" w:cs="Tahoma"/>
      <w:sz w:val="16"/>
      <w:szCs w:val="16"/>
      <w:lang w:val="en-GB"/>
    </w:rPr>
  </w:style>
  <w:style w:type="character" w:styleId="BookTitle">
    <w:name w:val="Book Title"/>
    <w:uiPriority w:val="99"/>
    <w:semiHidden/>
    <w:qFormat/>
    <w:rsid w:val="00EC4E21"/>
    <w:rPr>
      <w:i/>
      <w:iCs/>
      <w:smallCaps/>
      <w:spacing w:val="5"/>
    </w:rPr>
  </w:style>
  <w:style w:type="paragraph" w:customStyle="1" w:styleId="JuHeader">
    <w:name w:val="Ju_Header"/>
    <w:aliases w:val="_Header"/>
    <w:basedOn w:val="Header"/>
    <w:uiPriority w:val="29"/>
    <w:qFormat/>
    <w:rsid w:val="00EC4E21"/>
    <w:pPr>
      <w:tabs>
        <w:tab w:val="clear" w:pos="4536"/>
        <w:tab w:val="clear" w:pos="9072"/>
        <w:tab w:val="center" w:pos="3686"/>
        <w:tab w:val="right" w:pos="7371"/>
      </w:tabs>
    </w:pPr>
    <w:rPr>
      <w:sz w:val="18"/>
    </w:rPr>
  </w:style>
  <w:style w:type="paragraph" w:customStyle="1" w:styleId="NormalJustified">
    <w:name w:val="Normal_Justified"/>
    <w:basedOn w:val="Normal"/>
    <w:semiHidden/>
    <w:rsid w:val="00EC4E21"/>
    <w:pPr>
      <w:jc w:val="both"/>
    </w:pPr>
  </w:style>
  <w:style w:type="character" w:styleId="Strong">
    <w:name w:val="Strong"/>
    <w:uiPriority w:val="99"/>
    <w:semiHidden/>
    <w:qFormat/>
    <w:rsid w:val="00EC4E21"/>
    <w:rPr>
      <w:b/>
      <w:bCs/>
    </w:rPr>
  </w:style>
  <w:style w:type="paragraph" w:styleId="NoSpacing">
    <w:name w:val="No Spacing"/>
    <w:basedOn w:val="Normal"/>
    <w:link w:val="NoSpacingChar"/>
    <w:semiHidden/>
    <w:qFormat/>
    <w:rsid w:val="00EC4E21"/>
  </w:style>
  <w:style w:type="character" w:customStyle="1" w:styleId="NoSpacingChar">
    <w:name w:val="No Spacing Char"/>
    <w:basedOn w:val="DefaultParagraphFont"/>
    <w:link w:val="NoSpacing"/>
    <w:semiHidden/>
    <w:rsid w:val="00EC4E21"/>
    <w:rPr>
      <w:rFonts w:eastAsiaTheme="minorEastAsia"/>
      <w:sz w:val="24"/>
      <w:lang w:val="en-GB"/>
    </w:rPr>
  </w:style>
  <w:style w:type="paragraph" w:customStyle="1" w:styleId="JuQuot">
    <w:name w:val="Ju_Quot"/>
    <w:aliases w:val="_Quote"/>
    <w:basedOn w:val="NormalJustified"/>
    <w:uiPriority w:val="21"/>
    <w:qFormat/>
    <w:rsid w:val="00EC4E21"/>
    <w:pPr>
      <w:spacing w:before="120" w:after="120"/>
      <w:ind w:left="425" w:firstLine="142"/>
    </w:pPr>
    <w:rPr>
      <w:sz w:val="20"/>
    </w:rPr>
  </w:style>
  <w:style w:type="paragraph" w:customStyle="1" w:styleId="DecList">
    <w:name w:val="Dec_List"/>
    <w:aliases w:val="_List"/>
    <w:basedOn w:val="JuList"/>
    <w:uiPriority w:val="22"/>
    <w:rsid w:val="00EC4E21"/>
    <w:pPr>
      <w:numPr>
        <w:numId w:val="0"/>
      </w:numPr>
      <w:ind w:left="340"/>
    </w:pPr>
  </w:style>
  <w:style w:type="paragraph" w:customStyle="1" w:styleId="JuList">
    <w:name w:val="Ju_List"/>
    <w:aliases w:val="_List_1"/>
    <w:basedOn w:val="NormalJustified"/>
    <w:uiPriority w:val="23"/>
    <w:qFormat/>
    <w:rsid w:val="00EC4E21"/>
    <w:pPr>
      <w:numPr>
        <w:numId w:val="30"/>
      </w:numPr>
      <w:spacing w:before="280" w:after="60"/>
    </w:pPr>
    <w:rPr>
      <w:rFonts w:eastAsiaTheme="minorHAnsi"/>
    </w:rPr>
  </w:style>
  <w:style w:type="paragraph" w:customStyle="1" w:styleId="JuLista">
    <w:name w:val="Ju_List_a"/>
    <w:aliases w:val="_List_2"/>
    <w:basedOn w:val="NormalJustified"/>
    <w:uiPriority w:val="23"/>
    <w:rsid w:val="00EC4E21"/>
    <w:pPr>
      <w:numPr>
        <w:ilvl w:val="1"/>
        <w:numId w:val="30"/>
      </w:numPr>
    </w:pPr>
  </w:style>
  <w:style w:type="paragraph" w:customStyle="1" w:styleId="JuListi">
    <w:name w:val="Ju_List_i"/>
    <w:aliases w:val="_List_3"/>
    <w:basedOn w:val="NormalJustified"/>
    <w:uiPriority w:val="23"/>
    <w:rsid w:val="00EC4E21"/>
    <w:pPr>
      <w:numPr>
        <w:ilvl w:val="2"/>
        <w:numId w:val="30"/>
      </w:numPr>
    </w:pPr>
  </w:style>
  <w:style w:type="paragraph" w:customStyle="1" w:styleId="JuHArticle">
    <w:name w:val="Ju_H_Article"/>
    <w:aliases w:val="_Title_Quote"/>
    <w:basedOn w:val="Normal"/>
    <w:next w:val="JuQuot"/>
    <w:uiPriority w:val="20"/>
    <w:qFormat/>
    <w:rsid w:val="00EC4E21"/>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EC4E21"/>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EC4E21"/>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EC4E21"/>
    <w:pPr>
      <w:keepNext/>
      <w:keepLines/>
      <w:numPr>
        <w:numId w:val="27"/>
      </w:numPr>
      <w:spacing w:before="100" w:beforeAutospacing="1" w:after="240"/>
      <w:jc w:val="both"/>
      <w:outlineLvl w:val="0"/>
    </w:pPr>
    <w:rPr>
      <w:caps/>
      <w:sz w:val="28"/>
    </w:rPr>
  </w:style>
  <w:style w:type="numbering" w:customStyle="1" w:styleId="ECHRA1StyleBulletedSquare">
    <w:name w:val="ECHR_A1_Style_Bulleted_Square"/>
    <w:basedOn w:val="NoList"/>
    <w:rsid w:val="00EC4E21"/>
    <w:pPr>
      <w:numPr>
        <w:numId w:val="6"/>
      </w:numPr>
    </w:pPr>
  </w:style>
  <w:style w:type="paragraph" w:customStyle="1" w:styleId="JuSigned">
    <w:name w:val="Ju_Signed"/>
    <w:aliases w:val="_Signature"/>
    <w:basedOn w:val="Normal"/>
    <w:next w:val="JuPara"/>
    <w:uiPriority w:val="30"/>
    <w:qFormat/>
    <w:rsid w:val="00EC4E21"/>
    <w:pPr>
      <w:tabs>
        <w:tab w:val="center" w:pos="851"/>
        <w:tab w:val="center" w:pos="6407"/>
      </w:tabs>
      <w:spacing w:before="720"/>
    </w:pPr>
  </w:style>
  <w:style w:type="paragraph" w:styleId="Title">
    <w:name w:val="Title"/>
    <w:basedOn w:val="Normal"/>
    <w:next w:val="Normal"/>
    <w:link w:val="TitleChar"/>
    <w:uiPriority w:val="99"/>
    <w:semiHidden/>
    <w:qFormat/>
    <w:rsid w:val="00EC4E2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C4E2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C4E21"/>
    <w:pPr>
      <w:numPr>
        <w:numId w:val="7"/>
      </w:numPr>
    </w:pPr>
  </w:style>
  <w:style w:type="numbering" w:customStyle="1" w:styleId="ECHRA1StyleNumberedList">
    <w:name w:val="ECHR_A1_Style_Numbered_List"/>
    <w:basedOn w:val="NoList"/>
    <w:rsid w:val="00EC4E21"/>
    <w:pPr>
      <w:numPr>
        <w:numId w:val="8"/>
      </w:numPr>
    </w:pPr>
  </w:style>
  <w:style w:type="table" w:customStyle="1" w:styleId="ECHRTable2019">
    <w:name w:val="ECHR_Table_2019"/>
    <w:basedOn w:val="TableNormal"/>
    <w:uiPriority w:val="99"/>
    <w:rsid w:val="00EC4E21"/>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EC4E21"/>
    <w:rPr>
      <w:sz w:val="8"/>
    </w:rPr>
  </w:style>
  <w:style w:type="paragraph" w:customStyle="1" w:styleId="JuCourt">
    <w:name w:val="Ju_Court"/>
    <w:basedOn w:val="Normal"/>
    <w:next w:val="Normal"/>
    <w:uiPriority w:val="31"/>
    <w:qFormat/>
    <w:rsid w:val="00EC4E2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EC4E21"/>
    <w:pPr>
      <w:keepNext/>
      <w:keepLines/>
      <w:numPr>
        <w:ilvl w:val="1"/>
        <w:numId w:val="27"/>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EC4E21"/>
    <w:pPr>
      <w:keepNext/>
      <w:keepLines/>
      <w:numPr>
        <w:ilvl w:val="2"/>
        <w:numId w:val="27"/>
      </w:numPr>
      <w:spacing w:before="100" w:beforeAutospacing="1" w:after="240"/>
      <w:jc w:val="both"/>
      <w:outlineLvl w:val="2"/>
    </w:pPr>
    <w:rPr>
      <w:b/>
    </w:rPr>
  </w:style>
  <w:style w:type="paragraph" w:customStyle="1" w:styleId="JuH1">
    <w:name w:val="Ju_H_1."/>
    <w:aliases w:val="_Head_4"/>
    <w:basedOn w:val="Normal"/>
    <w:next w:val="JuPara"/>
    <w:uiPriority w:val="19"/>
    <w:rsid w:val="00EC4E21"/>
    <w:pPr>
      <w:keepNext/>
      <w:keepLines/>
      <w:numPr>
        <w:ilvl w:val="3"/>
        <w:numId w:val="27"/>
      </w:numPr>
      <w:spacing w:before="100" w:beforeAutospacing="1" w:after="120"/>
      <w:jc w:val="both"/>
      <w:outlineLvl w:val="3"/>
    </w:pPr>
    <w:rPr>
      <w:i/>
    </w:rPr>
  </w:style>
  <w:style w:type="paragraph" w:styleId="Header">
    <w:name w:val="header"/>
    <w:basedOn w:val="Normal"/>
    <w:link w:val="HeaderChar"/>
    <w:uiPriority w:val="57"/>
    <w:semiHidden/>
    <w:rsid w:val="00EC4E2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C4E21"/>
    <w:rPr>
      <w:sz w:val="24"/>
      <w:lang w:val="en-GB"/>
    </w:rPr>
  </w:style>
  <w:style w:type="character" w:customStyle="1" w:styleId="Heading1Char">
    <w:name w:val="Heading 1 Char"/>
    <w:basedOn w:val="DefaultParagraphFont"/>
    <w:link w:val="Heading1"/>
    <w:uiPriority w:val="99"/>
    <w:semiHidden/>
    <w:rsid w:val="00EC4E2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EC4E21"/>
    <w:pPr>
      <w:keepNext/>
      <w:keepLines/>
      <w:numPr>
        <w:ilvl w:val="4"/>
        <w:numId w:val="27"/>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EC4E21"/>
    <w:pPr>
      <w:keepNext/>
      <w:keepLines/>
      <w:numPr>
        <w:ilvl w:val="5"/>
        <w:numId w:val="27"/>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EC4E2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EC4E21"/>
    <w:pPr>
      <w:keepNext/>
      <w:keepLines/>
      <w:numPr>
        <w:ilvl w:val="6"/>
        <w:numId w:val="27"/>
      </w:numPr>
      <w:spacing w:before="100" w:beforeAutospacing="1" w:after="120"/>
      <w:jc w:val="both"/>
      <w:outlineLvl w:val="6"/>
    </w:pPr>
    <w:rPr>
      <w:sz w:val="20"/>
    </w:rPr>
  </w:style>
  <w:style w:type="paragraph" w:customStyle="1" w:styleId="JuH">
    <w:name w:val="Ju_H_–"/>
    <w:aliases w:val="_Head_8"/>
    <w:basedOn w:val="Normal"/>
    <w:next w:val="JuPara"/>
    <w:uiPriority w:val="19"/>
    <w:rsid w:val="00EC4E21"/>
    <w:pPr>
      <w:keepNext/>
      <w:keepLines/>
      <w:numPr>
        <w:ilvl w:val="7"/>
        <w:numId w:val="27"/>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EC4E21"/>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EC4E21"/>
    <w:pPr>
      <w:keepNext/>
      <w:keepLines/>
      <w:spacing w:before="240" w:after="240"/>
      <w:ind w:firstLine="284"/>
    </w:pPr>
    <w:rPr>
      <w:rFonts w:eastAsiaTheme="minorHAnsi"/>
    </w:rPr>
  </w:style>
  <w:style w:type="paragraph" w:customStyle="1" w:styleId="JuJudges">
    <w:name w:val="Ju_Judges"/>
    <w:basedOn w:val="Normal"/>
    <w:uiPriority w:val="31"/>
    <w:qFormat/>
    <w:rsid w:val="00EC4E21"/>
    <w:pPr>
      <w:tabs>
        <w:tab w:val="left" w:pos="567"/>
        <w:tab w:val="left" w:pos="1134"/>
      </w:tabs>
    </w:pPr>
  </w:style>
  <w:style w:type="character" w:customStyle="1" w:styleId="Heading4Char">
    <w:name w:val="Heading 4 Char"/>
    <w:basedOn w:val="DefaultParagraphFont"/>
    <w:link w:val="Heading4"/>
    <w:uiPriority w:val="99"/>
    <w:semiHidden/>
    <w:rsid w:val="00EC4E21"/>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EC4E21"/>
    <w:pPr>
      <w:tabs>
        <w:tab w:val="center" w:pos="6407"/>
      </w:tabs>
      <w:spacing w:before="720"/>
      <w:jc w:val="right"/>
    </w:pPr>
  </w:style>
  <w:style w:type="character" w:customStyle="1" w:styleId="Heading5Char">
    <w:name w:val="Heading 5 Char"/>
    <w:basedOn w:val="DefaultParagraphFont"/>
    <w:link w:val="Heading5"/>
    <w:uiPriority w:val="99"/>
    <w:semiHidden/>
    <w:rsid w:val="00EC4E21"/>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EC4E21"/>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EC4E21"/>
    <w:rPr>
      <w:caps w:val="0"/>
      <w:smallCaps/>
    </w:rPr>
  </w:style>
  <w:style w:type="character" w:styleId="SubtleEmphasis">
    <w:name w:val="Subtle Emphasis"/>
    <w:uiPriority w:val="99"/>
    <w:semiHidden/>
    <w:qFormat/>
    <w:rsid w:val="00EC4E2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C4E2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EC4E21"/>
    <w:rPr>
      <w:b/>
      <w:bCs/>
      <w:i/>
      <w:iCs/>
      <w:spacing w:val="10"/>
      <w:bdr w:val="none" w:sz="0" w:space="0" w:color="auto"/>
      <w:shd w:val="clear" w:color="auto" w:fill="auto"/>
    </w:rPr>
  </w:style>
  <w:style w:type="paragraph" w:styleId="Footer0">
    <w:name w:val="footer"/>
    <w:basedOn w:val="Normal"/>
    <w:link w:val="FooterChar"/>
    <w:uiPriority w:val="57"/>
    <w:semiHidden/>
    <w:rsid w:val="00EC4E21"/>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EC4E21"/>
    <w:rPr>
      <w:sz w:val="24"/>
      <w:lang w:val="en-GB"/>
    </w:rPr>
  </w:style>
  <w:style w:type="character" w:styleId="FootnoteReference">
    <w:name w:val="footnote reference"/>
    <w:basedOn w:val="DefaultParagraphFont"/>
    <w:uiPriority w:val="99"/>
    <w:semiHidden/>
    <w:rsid w:val="00EC4E21"/>
    <w:rPr>
      <w:vertAlign w:val="superscript"/>
    </w:rPr>
  </w:style>
  <w:style w:type="paragraph" w:styleId="FootnoteText">
    <w:name w:val="footnote text"/>
    <w:basedOn w:val="Normal"/>
    <w:link w:val="FootnoteTextChar"/>
    <w:uiPriority w:val="99"/>
    <w:semiHidden/>
    <w:rsid w:val="00EC4E21"/>
    <w:rPr>
      <w:sz w:val="20"/>
      <w:szCs w:val="20"/>
    </w:rPr>
  </w:style>
  <w:style w:type="character" w:customStyle="1" w:styleId="FootnoteTextChar">
    <w:name w:val="Footnote Text Char"/>
    <w:basedOn w:val="DefaultParagraphFont"/>
    <w:link w:val="FootnoteText"/>
    <w:uiPriority w:val="99"/>
    <w:semiHidden/>
    <w:rsid w:val="00EC4E21"/>
    <w:rPr>
      <w:rFonts w:eastAsiaTheme="minorEastAsia"/>
      <w:sz w:val="20"/>
      <w:szCs w:val="20"/>
      <w:lang w:val="en-GB"/>
    </w:rPr>
  </w:style>
  <w:style w:type="character" w:customStyle="1" w:styleId="Heading6Char">
    <w:name w:val="Heading 6 Char"/>
    <w:basedOn w:val="DefaultParagraphFont"/>
    <w:link w:val="Heading6"/>
    <w:uiPriority w:val="99"/>
    <w:semiHidden/>
    <w:rsid w:val="00EC4E2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C4E21"/>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EC4E2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EC4E2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EC4E21"/>
    <w:rPr>
      <w:color w:val="0072BC" w:themeColor="hyperlink"/>
      <w:u w:val="single"/>
    </w:rPr>
  </w:style>
  <w:style w:type="character" w:styleId="IntenseEmphasis">
    <w:name w:val="Intense Emphasis"/>
    <w:uiPriority w:val="99"/>
    <w:semiHidden/>
    <w:qFormat/>
    <w:rsid w:val="00EC4E21"/>
    <w:rPr>
      <w:b/>
      <w:bCs/>
    </w:rPr>
  </w:style>
  <w:style w:type="paragraph" w:styleId="IntenseQuote">
    <w:name w:val="Intense Quote"/>
    <w:basedOn w:val="Normal"/>
    <w:next w:val="Normal"/>
    <w:link w:val="IntenseQuoteChar"/>
    <w:uiPriority w:val="99"/>
    <w:semiHidden/>
    <w:qFormat/>
    <w:rsid w:val="00EC4E2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EC4E21"/>
    <w:rPr>
      <w:rFonts w:eastAsiaTheme="minorEastAsia"/>
      <w:b/>
      <w:bCs/>
      <w:i/>
      <w:iCs/>
      <w:sz w:val="24"/>
      <w:lang w:val="en-GB" w:bidi="en-US"/>
    </w:rPr>
  </w:style>
  <w:style w:type="character" w:styleId="IntenseReference">
    <w:name w:val="Intense Reference"/>
    <w:uiPriority w:val="99"/>
    <w:semiHidden/>
    <w:qFormat/>
    <w:rsid w:val="00EC4E21"/>
    <w:rPr>
      <w:smallCaps/>
      <w:spacing w:val="5"/>
      <w:u w:val="single"/>
    </w:rPr>
  </w:style>
  <w:style w:type="paragraph" w:styleId="ListParagraph">
    <w:name w:val="List Paragraph"/>
    <w:basedOn w:val="Normal"/>
    <w:uiPriority w:val="99"/>
    <w:semiHidden/>
    <w:qFormat/>
    <w:rsid w:val="00EC4E2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C4E21"/>
    <w:pPr>
      <w:spacing w:before="200"/>
      <w:ind w:left="360" w:right="360"/>
    </w:pPr>
    <w:rPr>
      <w:i/>
      <w:iCs/>
      <w:lang w:bidi="en-US"/>
    </w:rPr>
  </w:style>
  <w:style w:type="character" w:customStyle="1" w:styleId="QuoteChar">
    <w:name w:val="Quote Char"/>
    <w:basedOn w:val="DefaultParagraphFont"/>
    <w:link w:val="Quote"/>
    <w:uiPriority w:val="99"/>
    <w:semiHidden/>
    <w:rsid w:val="00EC4E21"/>
    <w:rPr>
      <w:rFonts w:eastAsiaTheme="minorEastAsia"/>
      <w:i/>
      <w:iCs/>
      <w:sz w:val="24"/>
      <w:lang w:val="en-GB" w:bidi="en-US"/>
    </w:rPr>
  </w:style>
  <w:style w:type="character" w:styleId="SubtleReference">
    <w:name w:val="Subtle Reference"/>
    <w:uiPriority w:val="99"/>
    <w:semiHidden/>
    <w:qFormat/>
    <w:rsid w:val="00EC4E21"/>
    <w:rPr>
      <w:smallCaps/>
    </w:rPr>
  </w:style>
  <w:style w:type="table" w:styleId="TableGrid">
    <w:name w:val="Table Grid"/>
    <w:basedOn w:val="TableNormal"/>
    <w:uiPriority w:val="59"/>
    <w:semiHidden/>
    <w:rsid w:val="00EC4E2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C4E2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C4E2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C4E2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C4E2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C4E2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C4E2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C4E21"/>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C4E21"/>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EC4E21"/>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C4E2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EC4E2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C4E2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C4E21"/>
    <w:pPr>
      <w:numPr>
        <w:numId w:val="3"/>
      </w:numPr>
    </w:pPr>
  </w:style>
  <w:style w:type="paragraph" w:customStyle="1" w:styleId="JuPara">
    <w:name w:val="Ju_Para"/>
    <w:aliases w:val="_Para"/>
    <w:basedOn w:val="NormalJustified"/>
    <w:link w:val="JuParaChar"/>
    <w:uiPriority w:val="8"/>
    <w:qFormat/>
    <w:rsid w:val="00EC4E21"/>
    <w:pPr>
      <w:ind w:firstLine="284"/>
    </w:pPr>
  </w:style>
  <w:style w:type="numbering" w:styleId="1ai">
    <w:name w:val="Outline List 1"/>
    <w:basedOn w:val="NoList"/>
    <w:uiPriority w:val="99"/>
    <w:semiHidden/>
    <w:unhideWhenUsed/>
    <w:rsid w:val="00EC4E21"/>
    <w:pPr>
      <w:numPr>
        <w:numId w:val="4"/>
      </w:numPr>
    </w:pPr>
  </w:style>
  <w:style w:type="table" w:customStyle="1" w:styleId="ECHRTableSimpleBox">
    <w:name w:val="ECHR_Table_Simple_Box"/>
    <w:basedOn w:val="TableNormal"/>
    <w:uiPriority w:val="99"/>
    <w:rsid w:val="00EC4E21"/>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C4E21"/>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C4E21"/>
    <w:pPr>
      <w:numPr>
        <w:numId w:val="5"/>
      </w:numPr>
    </w:pPr>
  </w:style>
  <w:style w:type="table" w:customStyle="1" w:styleId="ECHRTableForInternalUse">
    <w:name w:val="ECHR_Table_For_Internal_Use"/>
    <w:basedOn w:val="TableNormal"/>
    <w:uiPriority w:val="99"/>
    <w:rsid w:val="00EC4E21"/>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EC4E21"/>
  </w:style>
  <w:style w:type="paragraph" w:styleId="BlockText">
    <w:name w:val="Block Text"/>
    <w:basedOn w:val="Normal"/>
    <w:uiPriority w:val="99"/>
    <w:semiHidden/>
    <w:rsid w:val="00EC4E2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C4E2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EC4E21"/>
    <w:pPr>
      <w:spacing w:after="120"/>
    </w:pPr>
  </w:style>
  <w:style w:type="character" w:customStyle="1" w:styleId="BodyTextChar">
    <w:name w:val="Body Text Char"/>
    <w:basedOn w:val="DefaultParagraphFont"/>
    <w:link w:val="BodyText"/>
    <w:uiPriority w:val="99"/>
    <w:semiHidden/>
    <w:rsid w:val="00EC4E21"/>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EC4E21"/>
    <w:pPr>
      <w:spacing w:after="120" w:line="480" w:lineRule="auto"/>
    </w:pPr>
  </w:style>
  <w:style w:type="table" w:customStyle="1" w:styleId="ECHRHeaderTableReduced">
    <w:name w:val="ECHR_Header_Table_Reduced"/>
    <w:basedOn w:val="TableNormal"/>
    <w:uiPriority w:val="99"/>
    <w:rsid w:val="00EC4E21"/>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EC4E21"/>
    <w:pPr>
      <w:ind w:firstLine="284"/>
    </w:pPr>
    <w:rPr>
      <w:b/>
    </w:rPr>
  </w:style>
  <w:style w:type="character" w:styleId="PageNumber">
    <w:name w:val="page number"/>
    <w:uiPriority w:val="99"/>
    <w:semiHidden/>
    <w:rsid w:val="00EC4E21"/>
    <w:rPr>
      <w:sz w:val="18"/>
    </w:rPr>
  </w:style>
  <w:style w:type="paragraph" w:styleId="ListBullet">
    <w:name w:val="List Bullet"/>
    <w:basedOn w:val="Normal"/>
    <w:uiPriority w:val="99"/>
    <w:semiHidden/>
    <w:rsid w:val="00EC4E21"/>
    <w:pPr>
      <w:numPr>
        <w:numId w:val="37"/>
      </w:numPr>
    </w:pPr>
  </w:style>
  <w:style w:type="paragraph" w:styleId="ListBullet3">
    <w:name w:val="List Bullet 3"/>
    <w:basedOn w:val="Normal"/>
    <w:uiPriority w:val="99"/>
    <w:semiHidden/>
    <w:rsid w:val="00EC4E21"/>
    <w:pPr>
      <w:numPr>
        <w:numId w:val="39"/>
      </w:numPr>
      <w:contextualSpacing/>
    </w:pPr>
  </w:style>
  <w:style w:type="character" w:customStyle="1" w:styleId="BodyText2Char">
    <w:name w:val="Body Text 2 Char"/>
    <w:basedOn w:val="DefaultParagraphFont"/>
    <w:link w:val="BodyText2"/>
    <w:uiPriority w:val="99"/>
    <w:semiHidden/>
    <w:rsid w:val="00EC4E21"/>
    <w:rPr>
      <w:rFonts w:eastAsiaTheme="minorEastAsia"/>
      <w:sz w:val="24"/>
      <w:lang w:val="en-GB"/>
    </w:rPr>
  </w:style>
  <w:style w:type="paragraph" w:styleId="BodyText3">
    <w:name w:val="Body Text 3"/>
    <w:basedOn w:val="Normal"/>
    <w:link w:val="BodyText3Char"/>
    <w:uiPriority w:val="99"/>
    <w:semiHidden/>
    <w:rsid w:val="00EC4E21"/>
    <w:pPr>
      <w:spacing w:after="120"/>
    </w:pPr>
    <w:rPr>
      <w:sz w:val="16"/>
      <w:szCs w:val="16"/>
    </w:rPr>
  </w:style>
  <w:style w:type="character" w:customStyle="1" w:styleId="BodyText3Char">
    <w:name w:val="Body Text 3 Char"/>
    <w:basedOn w:val="DefaultParagraphFont"/>
    <w:link w:val="BodyText3"/>
    <w:uiPriority w:val="99"/>
    <w:semiHidden/>
    <w:rsid w:val="00EC4E21"/>
    <w:rPr>
      <w:rFonts w:eastAsiaTheme="minorEastAsia"/>
      <w:sz w:val="16"/>
      <w:szCs w:val="16"/>
      <w:lang w:val="en-GB"/>
    </w:rPr>
  </w:style>
  <w:style w:type="paragraph" w:styleId="BodyTextFirstIndent">
    <w:name w:val="Body Text First Indent"/>
    <w:basedOn w:val="BodyText"/>
    <w:link w:val="BodyTextFirstIndentChar"/>
    <w:uiPriority w:val="99"/>
    <w:semiHidden/>
    <w:rsid w:val="00EC4E21"/>
    <w:pPr>
      <w:spacing w:after="0"/>
      <w:ind w:firstLine="360"/>
    </w:pPr>
  </w:style>
  <w:style w:type="character" w:customStyle="1" w:styleId="BodyTextFirstIndentChar">
    <w:name w:val="Body Text First Indent Char"/>
    <w:basedOn w:val="BodyTextChar"/>
    <w:link w:val="BodyTextFirstIndent"/>
    <w:uiPriority w:val="99"/>
    <w:semiHidden/>
    <w:rsid w:val="00EC4E21"/>
    <w:rPr>
      <w:rFonts w:eastAsiaTheme="minorEastAsia"/>
      <w:sz w:val="24"/>
      <w:lang w:val="en-GB"/>
    </w:rPr>
  </w:style>
  <w:style w:type="paragraph" w:styleId="BodyTextIndent">
    <w:name w:val="Body Text Indent"/>
    <w:basedOn w:val="Normal"/>
    <w:link w:val="BodyTextIndentChar"/>
    <w:uiPriority w:val="99"/>
    <w:semiHidden/>
    <w:rsid w:val="00EC4E21"/>
    <w:pPr>
      <w:spacing w:after="120"/>
      <w:ind w:left="283"/>
    </w:pPr>
  </w:style>
  <w:style w:type="character" w:customStyle="1" w:styleId="BodyTextIndentChar">
    <w:name w:val="Body Text Indent Char"/>
    <w:basedOn w:val="DefaultParagraphFont"/>
    <w:link w:val="BodyTextIndent"/>
    <w:uiPriority w:val="99"/>
    <w:semiHidden/>
    <w:rsid w:val="00EC4E21"/>
    <w:rPr>
      <w:rFonts w:eastAsiaTheme="minorEastAsia"/>
      <w:sz w:val="24"/>
      <w:lang w:val="en-GB"/>
    </w:rPr>
  </w:style>
  <w:style w:type="paragraph" w:styleId="BodyTextFirstIndent2">
    <w:name w:val="Body Text First Indent 2"/>
    <w:basedOn w:val="BodyTextIndent"/>
    <w:link w:val="BodyTextFirstIndent2Char"/>
    <w:uiPriority w:val="99"/>
    <w:semiHidden/>
    <w:rsid w:val="00EC4E21"/>
    <w:pPr>
      <w:spacing w:after="0"/>
      <w:ind w:left="360" w:firstLine="360"/>
    </w:pPr>
  </w:style>
  <w:style w:type="character" w:customStyle="1" w:styleId="BodyTextFirstIndent2Char">
    <w:name w:val="Body Text First Indent 2 Char"/>
    <w:basedOn w:val="BodyTextIndentChar"/>
    <w:link w:val="BodyTextFirstIndent2"/>
    <w:uiPriority w:val="99"/>
    <w:semiHidden/>
    <w:rsid w:val="00EC4E21"/>
    <w:rPr>
      <w:rFonts w:eastAsiaTheme="minorEastAsia"/>
      <w:sz w:val="24"/>
      <w:lang w:val="en-GB"/>
    </w:rPr>
  </w:style>
  <w:style w:type="paragraph" w:styleId="BodyTextIndent2">
    <w:name w:val="Body Text Indent 2"/>
    <w:basedOn w:val="Normal"/>
    <w:link w:val="BodyTextIndent2Char"/>
    <w:uiPriority w:val="99"/>
    <w:semiHidden/>
    <w:rsid w:val="00EC4E21"/>
    <w:pPr>
      <w:spacing w:after="120" w:line="480" w:lineRule="auto"/>
      <w:ind w:left="283"/>
    </w:pPr>
  </w:style>
  <w:style w:type="character" w:customStyle="1" w:styleId="BodyTextIndent2Char">
    <w:name w:val="Body Text Indent 2 Char"/>
    <w:basedOn w:val="DefaultParagraphFont"/>
    <w:link w:val="BodyTextIndent2"/>
    <w:uiPriority w:val="99"/>
    <w:semiHidden/>
    <w:rsid w:val="00EC4E21"/>
    <w:rPr>
      <w:rFonts w:eastAsiaTheme="minorEastAsia"/>
      <w:sz w:val="24"/>
      <w:lang w:val="en-GB"/>
    </w:rPr>
  </w:style>
  <w:style w:type="paragraph" w:styleId="BodyTextIndent3">
    <w:name w:val="Body Text Indent 3"/>
    <w:basedOn w:val="Normal"/>
    <w:link w:val="BodyTextIndent3Char"/>
    <w:uiPriority w:val="99"/>
    <w:semiHidden/>
    <w:rsid w:val="00EC4E2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C4E21"/>
    <w:rPr>
      <w:rFonts w:eastAsiaTheme="minorEastAsia"/>
      <w:sz w:val="16"/>
      <w:szCs w:val="16"/>
      <w:lang w:val="en-GB"/>
    </w:rPr>
  </w:style>
  <w:style w:type="paragraph" w:styleId="Caption">
    <w:name w:val="caption"/>
    <w:basedOn w:val="Normal"/>
    <w:next w:val="Normal"/>
    <w:uiPriority w:val="99"/>
    <w:semiHidden/>
    <w:qFormat/>
    <w:rsid w:val="00EC4E21"/>
    <w:pPr>
      <w:spacing w:after="200"/>
    </w:pPr>
    <w:rPr>
      <w:b/>
      <w:bCs/>
      <w:color w:val="0072BC" w:themeColor="accent1"/>
      <w:sz w:val="18"/>
      <w:szCs w:val="18"/>
    </w:rPr>
  </w:style>
  <w:style w:type="paragraph" w:styleId="Closing">
    <w:name w:val="Closing"/>
    <w:basedOn w:val="Normal"/>
    <w:link w:val="ClosingChar"/>
    <w:uiPriority w:val="99"/>
    <w:semiHidden/>
    <w:rsid w:val="00EC4E21"/>
    <w:pPr>
      <w:ind w:left="4252"/>
    </w:pPr>
  </w:style>
  <w:style w:type="character" w:customStyle="1" w:styleId="ClosingChar">
    <w:name w:val="Closing Char"/>
    <w:basedOn w:val="DefaultParagraphFont"/>
    <w:link w:val="Closing"/>
    <w:uiPriority w:val="99"/>
    <w:semiHidden/>
    <w:rsid w:val="00EC4E21"/>
    <w:rPr>
      <w:rFonts w:eastAsiaTheme="minorEastAsia"/>
      <w:sz w:val="24"/>
      <w:lang w:val="en-GB"/>
    </w:rPr>
  </w:style>
  <w:style w:type="table" w:styleId="ColorfulGrid">
    <w:name w:val="Colorful Grid"/>
    <w:basedOn w:val="TableNormal"/>
    <w:uiPriority w:val="73"/>
    <w:semiHidden/>
    <w:rsid w:val="00EC4E21"/>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C4E21"/>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C4E21"/>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C4E21"/>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C4E21"/>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C4E21"/>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C4E21"/>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C4E21"/>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C4E21"/>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C4E21"/>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C4E21"/>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C4E21"/>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C4E21"/>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C4E21"/>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C4E21"/>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C4E21"/>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C4E21"/>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C4E21"/>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C4E21"/>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C4E21"/>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C4E21"/>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EC4E21"/>
    <w:rPr>
      <w:sz w:val="16"/>
      <w:szCs w:val="16"/>
    </w:rPr>
  </w:style>
  <w:style w:type="paragraph" w:styleId="CommentText">
    <w:name w:val="annotation text"/>
    <w:basedOn w:val="Normal"/>
    <w:link w:val="CommentTextChar"/>
    <w:semiHidden/>
    <w:rsid w:val="00EC4E21"/>
    <w:rPr>
      <w:sz w:val="20"/>
      <w:szCs w:val="20"/>
    </w:rPr>
  </w:style>
  <w:style w:type="character" w:customStyle="1" w:styleId="CommentTextChar">
    <w:name w:val="Comment Text Char"/>
    <w:basedOn w:val="DefaultParagraphFont"/>
    <w:link w:val="CommentText"/>
    <w:semiHidden/>
    <w:rsid w:val="00EC4E21"/>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EC4E21"/>
    <w:rPr>
      <w:b/>
      <w:bCs/>
    </w:rPr>
  </w:style>
  <w:style w:type="character" w:customStyle="1" w:styleId="CommentSubjectChar">
    <w:name w:val="Comment Subject Char"/>
    <w:basedOn w:val="CommentTextChar"/>
    <w:link w:val="CommentSubject"/>
    <w:uiPriority w:val="99"/>
    <w:semiHidden/>
    <w:rsid w:val="00EC4E21"/>
    <w:rPr>
      <w:rFonts w:eastAsiaTheme="minorEastAsia"/>
      <w:b/>
      <w:bCs/>
      <w:sz w:val="20"/>
      <w:szCs w:val="20"/>
      <w:lang w:val="en-GB"/>
    </w:rPr>
  </w:style>
  <w:style w:type="table" w:styleId="DarkList">
    <w:name w:val="Dark List"/>
    <w:basedOn w:val="TableNormal"/>
    <w:uiPriority w:val="70"/>
    <w:semiHidden/>
    <w:rsid w:val="00EC4E21"/>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C4E21"/>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C4E21"/>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C4E21"/>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C4E21"/>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C4E21"/>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C4E21"/>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C4E21"/>
  </w:style>
  <w:style w:type="character" w:customStyle="1" w:styleId="DateChar">
    <w:name w:val="Date Char"/>
    <w:basedOn w:val="DefaultParagraphFont"/>
    <w:link w:val="Date"/>
    <w:uiPriority w:val="99"/>
    <w:semiHidden/>
    <w:rsid w:val="00EC4E21"/>
    <w:rPr>
      <w:rFonts w:eastAsiaTheme="minorEastAsia"/>
      <w:sz w:val="24"/>
      <w:lang w:val="en-GB"/>
    </w:rPr>
  </w:style>
  <w:style w:type="paragraph" w:styleId="DocumentMap">
    <w:name w:val="Document Map"/>
    <w:basedOn w:val="Normal"/>
    <w:link w:val="DocumentMapChar"/>
    <w:uiPriority w:val="99"/>
    <w:semiHidden/>
    <w:rsid w:val="00EC4E21"/>
    <w:rPr>
      <w:rFonts w:ascii="Tahoma" w:hAnsi="Tahoma" w:cs="Tahoma"/>
      <w:sz w:val="16"/>
      <w:szCs w:val="16"/>
    </w:rPr>
  </w:style>
  <w:style w:type="character" w:customStyle="1" w:styleId="DocumentMapChar">
    <w:name w:val="Document Map Char"/>
    <w:basedOn w:val="DefaultParagraphFont"/>
    <w:link w:val="DocumentMap"/>
    <w:uiPriority w:val="99"/>
    <w:semiHidden/>
    <w:rsid w:val="00EC4E21"/>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EC4E21"/>
  </w:style>
  <w:style w:type="character" w:customStyle="1" w:styleId="E-mailSignatureChar">
    <w:name w:val="E-mail Signature Char"/>
    <w:basedOn w:val="DefaultParagraphFont"/>
    <w:link w:val="E-mailSignature"/>
    <w:uiPriority w:val="99"/>
    <w:semiHidden/>
    <w:rsid w:val="00EC4E21"/>
    <w:rPr>
      <w:rFonts w:eastAsiaTheme="minorEastAsia"/>
      <w:sz w:val="24"/>
      <w:lang w:val="en-GB"/>
    </w:rPr>
  </w:style>
  <w:style w:type="character" w:styleId="EndnoteReference">
    <w:name w:val="endnote reference"/>
    <w:basedOn w:val="DefaultParagraphFont"/>
    <w:uiPriority w:val="99"/>
    <w:semiHidden/>
    <w:rsid w:val="00EC4E21"/>
    <w:rPr>
      <w:vertAlign w:val="superscript"/>
    </w:rPr>
  </w:style>
  <w:style w:type="paragraph" w:styleId="EndnoteText">
    <w:name w:val="endnote text"/>
    <w:basedOn w:val="Normal"/>
    <w:link w:val="EndnoteTextChar"/>
    <w:uiPriority w:val="99"/>
    <w:semiHidden/>
    <w:rsid w:val="00EC4E21"/>
    <w:rPr>
      <w:sz w:val="20"/>
      <w:szCs w:val="20"/>
    </w:rPr>
  </w:style>
  <w:style w:type="character" w:customStyle="1" w:styleId="EndnoteTextChar">
    <w:name w:val="Endnote Text Char"/>
    <w:basedOn w:val="DefaultParagraphFont"/>
    <w:link w:val="EndnoteText"/>
    <w:uiPriority w:val="99"/>
    <w:semiHidden/>
    <w:rsid w:val="00EC4E21"/>
    <w:rPr>
      <w:rFonts w:eastAsiaTheme="minorEastAsia"/>
      <w:sz w:val="20"/>
      <w:szCs w:val="20"/>
      <w:lang w:val="en-GB"/>
    </w:rPr>
  </w:style>
  <w:style w:type="paragraph" w:styleId="EnvelopeAddress">
    <w:name w:val="envelope address"/>
    <w:basedOn w:val="Normal"/>
    <w:uiPriority w:val="99"/>
    <w:semiHidden/>
    <w:rsid w:val="00EC4E21"/>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C4E2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EC4E21"/>
    <w:rPr>
      <w:color w:val="7030A0" w:themeColor="followedHyperlink"/>
      <w:u w:val="single"/>
    </w:rPr>
  </w:style>
  <w:style w:type="character" w:styleId="HTMLAcronym">
    <w:name w:val="HTML Acronym"/>
    <w:basedOn w:val="DefaultParagraphFont"/>
    <w:uiPriority w:val="99"/>
    <w:semiHidden/>
    <w:rsid w:val="00EC4E21"/>
  </w:style>
  <w:style w:type="paragraph" w:styleId="HTMLAddress">
    <w:name w:val="HTML Address"/>
    <w:basedOn w:val="Normal"/>
    <w:link w:val="HTMLAddressChar"/>
    <w:uiPriority w:val="99"/>
    <w:semiHidden/>
    <w:rsid w:val="00EC4E21"/>
    <w:rPr>
      <w:i/>
      <w:iCs/>
    </w:rPr>
  </w:style>
  <w:style w:type="character" w:customStyle="1" w:styleId="HTMLAddressChar">
    <w:name w:val="HTML Address Char"/>
    <w:basedOn w:val="DefaultParagraphFont"/>
    <w:link w:val="HTMLAddress"/>
    <w:uiPriority w:val="99"/>
    <w:semiHidden/>
    <w:rsid w:val="00EC4E21"/>
    <w:rPr>
      <w:rFonts w:eastAsiaTheme="minorEastAsia"/>
      <w:i/>
      <w:iCs/>
      <w:sz w:val="24"/>
      <w:lang w:val="en-GB"/>
    </w:rPr>
  </w:style>
  <w:style w:type="character" w:styleId="HTMLCite">
    <w:name w:val="HTML Cite"/>
    <w:basedOn w:val="DefaultParagraphFont"/>
    <w:uiPriority w:val="99"/>
    <w:semiHidden/>
    <w:rsid w:val="00EC4E21"/>
    <w:rPr>
      <w:i/>
      <w:iCs/>
    </w:rPr>
  </w:style>
  <w:style w:type="character" w:styleId="HTMLCode">
    <w:name w:val="HTML Code"/>
    <w:basedOn w:val="DefaultParagraphFont"/>
    <w:uiPriority w:val="99"/>
    <w:semiHidden/>
    <w:rsid w:val="00EC4E21"/>
    <w:rPr>
      <w:rFonts w:ascii="Consolas" w:hAnsi="Consolas" w:cs="Consolas"/>
      <w:sz w:val="20"/>
      <w:szCs w:val="20"/>
    </w:rPr>
  </w:style>
  <w:style w:type="character" w:styleId="HTMLDefinition">
    <w:name w:val="HTML Definition"/>
    <w:basedOn w:val="DefaultParagraphFont"/>
    <w:uiPriority w:val="99"/>
    <w:semiHidden/>
    <w:rsid w:val="00EC4E21"/>
    <w:rPr>
      <w:i/>
      <w:iCs/>
    </w:rPr>
  </w:style>
  <w:style w:type="character" w:styleId="HTMLKeyboard">
    <w:name w:val="HTML Keyboard"/>
    <w:basedOn w:val="DefaultParagraphFont"/>
    <w:uiPriority w:val="99"/>
    <w:semiHidden/>
    <w:rsid w:val="00EC4E21"/>
    <w:rPr>
      <w:rFonts w:ascii="Consolas" w:hAnsi="Consolas" w:cs="Consolas"/>
      <w:sz w:val="20"/>
      <w:szCs w:val="20"/>
    </w:rPr>
  </w:style>
  <w:style w:type="paragraph" w:styleId="HTMLPreformatted">
    <w:name w:val="HTML Preformatted"/>
    <w:basedOn w:val="Normal"/>
    <w:link w:val="HTMLPreformattedChar"/>
    <w:uiPriority w:val="99"/>
    <w:semiHidden/>
    <w:rsid w:val="00EC4E2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C4E21"/>
    <w:rPr>
      <w:rFonts w:ascii="Consolas" w:eastAsiaTheme="minorEastAsia" w:hAnsi="Consolas" w:cs="Consolas"/>
      <w:sz w:val="20"/>
      <w:szCs w:val="20"/>
      <w:lang w:val="en-GB"/>
    </w:rPr>
  </w:style>
  <w:style w:type="character" w:styleId="HTMLSample">
    <w:name w:val="HTML Sample"/>
    <w:basedOn w:val="DefaultParagraphFont"/>
    <w:uiPriority w:val="99"/>
    <w:semiHidden/>
    <w:rsid w:val="00EC4E21"/>
    <w:rPr>
      <w:rFonts w:ascii="Consolas" w:hAnsi="Consolas" w:cs="Consolas"/>
      <w:sz w:val="24"/>
      <w:szCs w:val="24"/>
    </w:rPr>
  </w:style>
  <w:style w:type="character" w:styleId="HTMLTypewriter">
    <w:name w:val="HTML Typewriter"/>
    <w:basedOn w:val="DefaultParagraphFont"/>
    <w:uiPriority w:val="99"/>
    <w:semiHidden/>
    <w:rsid w:val="00EC4E21"/>
    <w:rPr>
      <w:rFonts w:ascii="Consolas" w:hAnsi="Consolas" w:cs="Consolas"/>
      <w:sz w:val="20"/>
      <w:szCs w:val="20"/>
    </w:rPr>
  </w:style>
  <w:style w:type="character" w:styleId="HTMLVariable">
    <w:name w:val="HTML Variable"/>
    <w:basedOn w:val="DefaultParagraphFont"/>
    <w:uiPriority w:val="99"/>
    <w:semiHidden/>
    <w:rsid w:val="00EC4E21"/>
    <w:rPr>
      <w:i/>
      <w:iCs/>
    </w:rPr>
  </w:style>
  <w:style w:type="paragraph" w:styleId="Index1">
    <w:name w:val="index 1"/>
    <w:basedOn w:val="Normal"/>
    <w:next w:val="Normal"/>
    <w:autoRedefine/>
    <w:uiPriority w:val="99"/>
    <w:semiHidden/>
    <w:rsid w:val="00EC4E21"/>
    <w:pPr>
      <w:ind w:left="240" w:hanging="240"/>
    </w:pPr>
  </w:style>
  <w:style w:type="paragraph" w:styleId="Index2">
    <w:name w:val="index 2"/>
    <w:basedOn w:val="Normal"/>
    <w:next w:val="Normal"/>
    <w:autoRedefine/>
    <w:uiPriority w:val="99"/>
    <w:semiHidden/>
    <w:rsid w:val="00EC4E21"/>
    <w:pPr>
      <w:ind w:left="480" w:hanging="240"/>
    </w:pPr>
  </w:style>
  <w:style w:type="paragraph" w:styleId="Index3">
    <w:name w:val="index 3"/>
    <w:basedOn w:val="Normal"/>
    <w:next w:val="Normal"/>
    <w:autoRedefine/>
    <w:uiPriority w:val="99"/>
    <w:semiHidden/>
    <w:rsid w:val="00EC4E21"/>
    <w:pPr>
      <w:ind w:left="720" w:hanging="240"/>
    </w:pPr>
  </w:style>
  <w:style w:type="paragraph" w:styleId="Index4">
    <w:name w:val="index 4"/>
    <w:basedOn w:val="Normal"/>
    <w:next w:val="Normal"/>
    <w:autoRedefine/>
    <w:uiPriority w:val="99"/>
    <w:semiHidden/>
    <w:rsid w:val="00EC4E21"/>
    <w:pPr>
      <w:ind w:left="960" w:hanging="240"/>
    </w:pPr>
  </w:style>
  <w:style w:type="paragraph" w:styleId="Index5">
    <w:name w:val="index 5"/>
    <w:basedOn w:val="Normal"/>
    <w:next w:val="Normal"/>
    <w:autoRedefine/>
    <w:uiPriority w:val="99"/>
    <w:semiHidden/>
    <w:rsid w:val="00EC4E21"/>
    <w:pPr>
      <w:ind w:left="1200" w:hanging="240"/>
    </w:pPr>
  </w:style>
  <w:style w:type="paragraph" w:styleId="Index6">
    <w:name w:val="index 6"/>
    <w:basedOn w:val="Normal"/>
    <w:next w:val="Normal"/>
    <w:autoRedefine/>
    <w:uiPriority w:val="99"/>
    <w:semiHidden/>
    <w:rsid w:val="00EC4E21"/>
    <w:pPr>
      <w:ind w:left="1440" w:hanging="240"/>
    </w:pPr>
  </w:style>
  <w:style w:type="paragraph" w:styleId="Index7">
    <w:name w:val="index 7"/>
    <w:basedOn w:val="Normal"/>
    <w:next w:val="Normal"/>
    <w:autoRedefine/>
    <w:uiPriority w:val="99"/>
    <w:semiHidden/>
    <w:rsid w:val="00EC4E21"/>
    <w:pPr>
      <w:ind w:left="1680" w:hanging="240"/>
    </w:pPr>
  </w:style>
  <w:style w:type="paragraph" w:styleId="Index8">
    <w:name w:val="index 8"/>
    <w:basedOn w:val="Normal"/>
    <w:next w:val="Normal"/>
    <w:autoRedefine/>
    <w:uiPriority w:val="99"/>
    <w:semiHidden/>
    <w:rsid w:val="00EC4E21"/>
    <w:pPr>
      <w:ind w:left="1920" w:hanging="240"/>
    </w:pPr>
  </w:style>
  <w:style w:type="paragraph" w:styleId="Index9">
    <w:name w:val="index 9"/>
    <w:basedOn w:val="Normal"/>
    <w:next w:val="Normal"/>
    <w:autoRedefine/>
    <w:uiPriority w:val="99"/>
    <w:semiHidden/>
    <w:rsid w:val="00EC4E21"/>
    <w:pPr>
      <w:ind w:left="2160" w:hanging="240"/>
    </w:pPr>
  </w:style>
  <w:style w:type="paragraph" w:styleId="IndexHeading">
    <w:name w:val="index heading"/>
    <w:basedOn w:val="Normal"/>
    <w:next w:val="Index1"/>
    <w:uiPriority w:val="99"/>
    <w:semiHidden/>
    <w:rsid w:val="00EC4E21"/>
    <w:rPr>
      <w:rFonts w:asciiTheme="majorHAnsi" w:eastAsiaTheme="majorEastAsia" w:hAnsiTheme="majorHAnsi" w:cstheme="majorBidi"/>
      <w:b/>
      <w:bCs/>
    </w:rPr>
  </w:style>
  <w:style w:type="table" w:styleId="LightGrid">
    <w:name w:val="Light Grid"/>
    <w:basedOn w:val="TableNormal"/>
    <w:uiPriority w:val="62"/>
    <w:semiHidden/>
    <w:rsid w:val="00EC4E2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C4E2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C4E2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C4E2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C4E2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C4E2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C4E2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C4E2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C4E2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C4E2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C4E2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C4E2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C4E2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C4E2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C4E2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C4E21"/>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C4E21"/>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C4E21"/>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C4E21"/>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C4E21"/>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C4E21"/>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C4E21"/>
  </w:style>
  <w:style w:type="paragraph" w:styleId="List">
    <w:name w:val="List"/>
    <w:basedOn w:val="Normal"/>
    <w:uiPriority w:val="99"/>
    <w:semiHidden/>
    <w:rsid w:val="00EC4E21"/>
    <w:pPr>
      <w:ind w:left="283" w:hanging="283"/>
      <w:contextualSpacing/>
    </w:pPr>
  </w:style>
  <w:style w:type="paragraph" w:styleId="List2">
    <w:name w:val="List 2"/>
    <w:basedOn w:val="Normal"/>
    <w:uiPriority w:val="99"/>
    <w:semiHidden/>
    <w:rsid w:val="00EC4E21"/>
    <w:pPr>
      <w:ind w:left="566" w:hanging="283"/>
      <w:contextualSpacing/>
    </w:pPr>
  </w:style>
  <w:style w:type="paragraph" w:styleId="List3">
    <w:name w:val="List 3"/>
    <w:basedOn w:val="Normal"/>
    <w:uiPriority w:val="99"/>
    <w:semiHidden/>
    <w:rsid w:val="00EC4E21"/>
    <w:pPr>
      <w:ind w:left="849" w:hanging="283"/>
      <w:contextualSpacing/>
    </w:pPr>
  </w:style>
  <w:style w:type="paragraph" w:styleId="List4">
    <w:name w:val="List 4"/>
    <w:basedOn w:val="Normal"/>
    <w:uiPriority w:val="99"/>
    <w:semiHidden/>
    <w:rsid w:val="00EC4E21"/>
    <w:pPr>
      <w:ind w:left="1132" w:hanging="283"/>
      <w:contextualSpacing/>
    </w:pPr>
  </w:style>
  <w:style w:type="paragraph" w:styleId="List5">
    <w:name w:val="List 5"/>
    <w:basedOn w:val="Normal"/>
    <w:uiPriority w:val="99"/>
    <w:semiHidden/>
    <w:rsid w:val="00EC4E21"/>
    <w:pPr>
      <w:ind w:left="1415" w:hanging="283"/>
      <w:contextualSpacing/>
    </w:pPr>
  </w:style>
  <w:style w:type="paragraph" w:styleId="ListBullet2">
    <w:name w:val="List Bullet 2"/>
    <w:basedOn w:val="Normal"/>
    <w:uiPriority w:val="99"/>
    <w:semiHidden/>
    <w:rsid w:val="00EC4E21"/>
    <w:pPr>
      <w:numPr>
        <w:numId w:val="38"/>
      </w:numPr>
      <w:contextualSpacing/>
    </w:pPr>
  </w:style>
  <w:style w:type="paragraph" w:styleId="ListBullet4">
    <w:name w:val="List Bullet 4"/>
    <w:basedOn w:val="Normal"/>
    <w:uiPriority w:val="99"/>
    <w:semiHidden/>
    <w:rsid w:val="00EC4E21"/>
    <w:pPr>
      <w:numPr>
        <w:numId w:val="40"/>
      </w:numPr>
      <w:contextualSpacing/>
    </w:pPr>
  </w:style>
  <w:style w:type="paragraph" w:styleId="ListBullet5">
    <w:name w:val="List Bullet 5"/>
    <w:basedOn w:val="Normal"/>
    <w:uiPriority w:val="99"/>
    <w:semiHidden/>
    <w:rsid w:val="00EC4E21"/>
    <w:pPr>
      <w:numPr>
        <w:numId w:val="41"/>
      </w:numPr>
      <w:contextualSpacing/>
    </w:pPr>
  </w:style>
  <w:style w:type="paragraph" w:styleId="ListContinue">
    <w:name w:val="List Continue"/>
    <w:basedOn w:val="Normal"/>
    <w:uiPriority w:val="99"/>
    <w:semiHidden/>
    <w:rsid w:val="00EC4E21"/>
    <w:pPr>
      <w:spacing w:after="120"/>
      <w:ind w:left="283"/>
      <w:contextualSpacing/>
    </w:pPr>
  </w:style>
  <w:style w:type="paragraph" w:styleId="ListContinue2">
    <w:name w:val="List Continue 2"/>
    <w:basedOn w:val="Normal"/>
    <w:uiPriority w:val="99"/>
    <w:semiHidden/>
    <w:rsid w:val="00EC4E21"/>
    <w:pPr>
      <w:spacing w:after="120"/>
      <w:ind w:left="566"/>
      <w:contextualSpacing/>
    </w:pPr>
  </w:style>
  <w:style w:type="paragraph" w:styleId="ListContinue3">
    <w:name w:val="List Continue 3"/>
    <w:basedOn w:val="Normal"/>
    <w:uiPriority w:val="99"/>
    <w:semiHidden/>
    <w:rsid w:val="00EC4E21"/>
    <w:pPr>
      <w:spacing w:after="120"/>
      <w:ind w:left="849"/>
      <w:contextualSpacing/>
    </w:pPr>
  </w:style>
  <w:style w:type="paragraph" w:styleId="ListContinue4">
    <w:name w:val="List Continue 4"/>
    <w:basedOn w:val="Normal"/>
    <w:uiPriority w:val="99"/>
    <w:semiHidden/>
    <w:rsid w:val="00EC4E21"/>
    <w:pPr>
      <w:spacing w:after="120"/>
      <w:ind w:left="1132"/>
      <w:contextualSpacing/>
    </w:pPr>
  </w:style>
  <w:style w:type="paragraph" w:styleId="ListContinue5">
    <w:name w:val="List Continue 5"/>
    <w:basedOn w:val="Normal"/>
    <w:uiPriority w:val="99"/>
    <w:semiHidden/>
    <w:rsid w:val="00EC4E21"/>
    <w:pPr>
      <w:spacing w:after="120"/>
      <w:ind w:left="1415"/>
      <w:contextualSpacing/>
    </w:pPr>
  </w:style>
  <w:style w:type="paragraph" w:styleId="ListNumber">
    <w:name w:val="List Number"/>
    <w:basedOn w:val="Normal"/>
    <w:uiPriority w:val="99"/>
    <w:semiHidden/>
    <w:rsid w:val="00EC4E21"/>
    <w:pPr>
      <w:numPr>
        <w:numId w:val="42"/>
      </w:numPr>
      <w:contextualSpacing/>
    </w:pPr>
  </w:style>
  <w:style w:type="paragraph" w:styleId="ListNumber2">
    <w:name w:val="List Number 2"/>
    <w:basedOn w:val="Normal"/>
    <w:uiPriority w:val="99"/>
    <w:semiHidden/>
    <w:rsid w:val="00EC4E21"/>
    <w:pPr>
      <w:numPr>
        <w:numId w:val="43"/>
      </w:numPr>
      <w:contextualSpacing/>
    </w:pPr>
  </w:style>
  <w:style w:type="paragraph" w:styleId="ListNumber3">
    <w:name w:val="List Number 3"/>
    <w:basedOn w:val="Normal"/>
    <w:uiPriority w:val="99"/>
    <w:semiHidden/>
    <w:rsid w:val="00EC4E21"/>
    <w:pPr>
      <w:numPr>
        <w:numId w:val="44"/>
      </w:numPr>
      <w:contextualSpacing/>
    </w:pPr>
  </w:style>
  <w:style w:type="paragraph" w:styleId="ListNumber4">
    <w:name w:val="List Number 4"/>
    <w:basedOn w:val="Normal"/>
    <w:uiPriority w:val="99"/>
    <w:semiHidden/>
    <w:rsid w:val="00EC4E21"/>
    <w:pPr>
      <w:numPr>
        <w:numId w:val="45"/>
      </w:numPr>
      <w:contextualSpacing/>
    </w:pPr>
  </w:style>
  <w:style w:type="paragraph" w:styleId="ListNumber5">
    <w:name w:val="List Number 5"/>
    <w:basedOn w:val="Normal"/>
    <w:uiPriority w:val="99"/>
    <w:semiHidden/>
    <w:rsid w:val="00EC4E21"/>
    <w:pPr>
      <w:numPr>
        <w:numId w:val="46"/>
      </w:numPr>
      <w:contextualSpacing/>
    </w:pPr>
  </w:style>
  <w:style w:type="paragraph" w:styleId="MacroText">
    <w:name w:val="macro"/>
    <w:link w:val="MacroTextChar"/>
    <w:uiPriority w:val="99"/>
    <w:semiHidden/>
    <w:rsid w:val="00EC4E2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C4E21"/>
    <w:rPr>
      <w:rFonts w:ascii="Consolas" w:eastAsiaTheme="minorEastAsia" w:hAnsi="Consolas" w:cs="Consolas"/>
      <w:sz w:val="20"/>
      <w:szCs w:val="20"/>
    </w:rPr>
  </w:style>
  <w:style w:type="table" w:styleId="MediumGrid1">
    <w:name w:val="Medium Grid 1"/>
    <w:basedOn w:val="TableNormal"/>
    <w:uiPriority w:val="67"/>
    <w:semiHidden/>
    <w:rsid w:val="00EC4E2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C4E2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C4E2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C4E2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C4E2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C4E2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C4E2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C4E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C4E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C4E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C4E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C4E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C4E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C4E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C4E2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C4E21"/>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C4E21"/>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C4E21"/>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C4E21"/>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C4E21"/>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C4E21"/>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C4E2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C4E2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C4E2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C4E2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C4E2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C4E2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C4E2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C4E2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C4E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C4E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C4E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C4E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C4E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C4E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C4E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C4E2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C4E2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C4E21"/>
    <w:rPr>
      <w:rFonts w:ascii="Times New Roman" w:hAnsi="Times New Roman" w:cs="Times New Roman"/>
      <w:szCs w:val="24"/>
    </w:rPr>
  </w:style>
  <w:style w:type="paragraph" w:styleId="NormalIndent">
    <w:name w:val="Normal Indent"/>
    <w:basedOn w:val="Normal"/>
    <w:uiPriority w:val="99"/>
    <w:semiHidden/>
    <w:rsid w:val="00EC4E21"/>
    <w:pPr>
      <w:ind w:left="720"/>
    </w:pPr>
  </w:style>
  <w:style w:type="paragraph" w:styleId="NoteHeading">
    <w:name w:val="Note Heading"/>
    <w:basedOn w:val="Normal"/>
    <w:next w:val="Normal"/>
    <w:link w:val="NoteHeadingChar"/>
    <w:uiPriority w:val="99"/>
    <w:semiHidden/>
    <w:rsid w:val="00EC4E21"/>
  </w:style>
  <w:style w:type="character" w:customStyle="1" w:styleId="NoteHeadingChar">
    <w:name w:val="Note Heading Char"/>
    <w:basedOn w:val="DefaultParagraphFont"/>
    <w:link w:val="NoteHeading"/>
    <w:uiPriority w:val="99"/>
    <w:semiHidden/>
    <w:rsid w:val="00EC4E21"/>
    <w:rPr>
      <w:rFonts w:eastAsiaTheme="minorEastAsia"/>
      <w:sz w:val="24"/>
      <w:lang w:val="en-GB"/>
    </w:rPr>
  </w:style>
  <w:style w:type="character" w:styleId="PlaceholderText">
    <w:name w:val="Placeholder Text"/>
    <w:basedOn w:val="DefaultParagraphFont"/>
    <w:uiPriority w:val="99"/>
    <w:semiHidden/>
    <w:rsid w:val="00EC4E2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C4E21"/>
    <w:rPr>
      <w:rFonts w:ascii="Consolas" w:hAnsi="Consolas" w:cs="Consolas"/>
      <w:sz w:val="21"/>
      <w:szCs w:val="21"/>
    </w:rPr>
  </w:style>
  <w:style w:type="character" w:customStyle="1" w:styleId="PlainTextChar">
    <w:name w:val="Plain Text Char"/>
    <w:basedOn w:val="DefaultParagraphFont"/>
    <w:link w:val="PlainText"/>
    <w:uiPriority w:val="99"/>
    <w:semiHidden/>
    <w:rsid w:val="00EC4E21"/>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EC4E21"/>
  </w:style>
  <w:style w:type="character" w:customStyle="1" w:styleId="SalutationChar">
    <w:name w:val="Salutation Char"/>
    <w:basedOn w:val="DefaultParagraphFont"/>
    <w:link w:val="Salutation"/>
    <w:uiPriority w:val="99"/>
    <w:semiHidden/>
    <w:rsid w:val="00EC4E21"/>
    <w:rPr>
      <w:rFonts w:eastAsiaTheme="minorEastAsia"/>
      <w:sz w:val="24"/>
      <w:lang w:val="en-GB"/>
    </w:rPr>
  </w:style>
  <w:style w:type="paragraph" w:styleId="Signature">
    <w:name w:val="Signature"/>
    <w:basedOn w:val="Normal"/>
    <w:link w:val="SignatureChar"/>
    <w:uiPriority w:val="99"/>
    <w:semiHidden/>
    <w:rsid w:val="00EC4E21"/>
    <w:pPr>
      <w:ind w:left="4252"/>
    </w:pPr>
  </w:style>
  <w:style w:type="character" w:customStyle="1" w:styleId="SignatureChar">
    <w:name w:val="Signature Char"/>
    <w:basedOn w:val="DefaultParagraphFont"/>
    <w:link w:val="Signature"/>
    <w:uiPriority w:val="99"/>
    <w:semiHidden/>
    <w:rsid w:val="00EC4E21"/>
    <w:rPr>
      <w:rFonts w:eastAsiaTheme="minorEastAsia"/>
      <w:sz w:val="24"/>
      <w:lang w:val="en-GB"/>
    </w:rPr>
  </w:style>
  <w:style w:type="table" w:styleId="Table3Deffects1">
    <w:name w:val="Table 3D effects 1"/>
    <w:basedOn w:val="TableNormal"/>
    <w:uiPriority w:val="99"/>
    <w:semiHidden/>
    <w:unhideWhenUsed/>
    <w:rsid w:val="00EC4E2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C4E2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C4E2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C4E2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C4E2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C4E2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C4E2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C4E2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C4E2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C4E2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C4E2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C4E2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C4E2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C4E2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C4E2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C4E2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C4E2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C4E2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C4E2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C4E2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C4E2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C4E2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C4E2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C4E2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C4E2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C4E2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C4E2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C4E2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C4E2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C4E2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C4E2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C4E2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C4E2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C4E21"/>
    <w:pPr>
      <w:ind w:left="240" w:hanging="240"/>
    </w:pPr>
  </w:style>
  <w:style w:type="paragraph" w:styleId="TableofFigures">
    <w:name w:val="table of figures"/>
    <w:basedOn w:val="Normal"/>
    <w:next w:val="Normal"/>
    <w:uiPriority w:val="99"/>
    <w:semiHidden/>
    <w:rsid w:val="00EC4E21"/>
  </w:style>
  <w:style w:type="table" w:styleId="TableProfessional">
    <w:name w:val="Table Professional"/>
    <w:basedOn w:val="TableNormal"/>
    <w:uiPriority w:val="99"/>
    <w:semiHidden/>
    <w:unhideWhenUsed/>
    <w:rsid w:val="00EC4E2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C4E2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C4E2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C4E2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C4E2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C4E2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C4E2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C4E2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C4E2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C4E2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C4E2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C4E2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C4E21"/>
    <w:pPr>
      <w:spacing w:after="100"/>
      <w:ind w:left="1680"/>
    </w:pPr>
  </w:style>
  <w:style w:type="paragraph" w:styleId="TOC9">
    <w:name w:val="toc 9"/>
    <w:basedOn w:val="Normal"/>
    <w:next w:val="Normal"/>
    <w:autoRedefine/>
    <w:uiPriority w:val="99"/>
    <w:semiHidden/>
    <w:rsid w:val="00EC4E2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EC4E21"/>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EC4E21"/>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EC4E21"/>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EC4E21"/>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BA435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BFF405-798C-466B-A663-1A5DF36DBBF7}"/>
</file>

<file path=customXml/itemProps2.xml><?xml version="1.0" encoding="utf-8"?>
<ds:datastoreItem xmlns:ds="http://schemas.openxmlformats.org/officeDocument/2006/customXml" ds:itemID="{D4037A7B-E0B8-4CBD-B97C-270990BF4D25}"/>
</file>

<file path=customXml/itemProps3.xml><?xml version="1.0" encoding="utf-8"?>
<ds:datastoreItem xmlns:ds="http://schemas.openxmlformats.org/officeDocument/2006/customXml" ds:itemID="{647DBC75-90A1-4B90-8360-090FCD4CDCF7}"/>
</file>

<file path=customXml/itemProps4.xml><?xml version="1.0" encoding="utf-8"?>
<ds:datastoreItem xmlns:ds="http://schemas.openxmlformats.org/officeDocument/2006/customXml" ds:itemID="{8EFA8865-A2CC-4FB5-925C-6E9E2098C0F2}"/>
</file>

<file path=docProps/app.xml><?xml version="1.0" encoding="utf-8"?>
<Properties xmlns="http://schemas.openxmlformats.org/officeDocument/2006/extended-properties" xmlns:vt="http://schemas.openxmlformats.org/officeDocument/2006/docPropsVTypes">
  <Template>Normal.dotm</Template>
  <TotalTime>0</TotalTime>
  <Pages>1</Pages>
  <Words>1834</Words>
  <Characters>10454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2019-12-03T08:50:00Z</dcterms:created>
  <dcterms:modified xsi:type="dcterms:W3CDTF">2019-12-03T08:50:00Z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609/14</vt:lpwstr>
  </property>
  <property fmtid="{D5CDD505-2E9C-101B-9397-08002B2CF9AE}" pid="4" name="CASEID">
    <vt:lpwstr>962344</vt:lpwstr>
  </property>
  <property fmtid="{D5CDD505-2E9C-101B-9397-08002B2CF9AE}" pid="5" name="ContentTypeId">
    <vt:lpwstr>0x010100558EB02BDB9E204AB350EDD385B68E10</vt:lpwstr>
  </property>
</Properties>
</file>