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68FB" w:rsidR="0098410D" w:rsidP="007268FB" w:rsidRDefault="0098410D">
      <w:pPr>
        <w:jc w:val="center"/>
      </w:pPr>
      <w:bookmarkStart w:name="_GoBack" w:id="0"/>
      <w:bookmarkEnd w:id="0"/>
    </w:p>
    <w:p w:rsidRPr="007268FB" w:rsidR="0098410D" w:rsidP="007268FB" w:rsidRDefault="00CB656C">
      <w:pPr>
        <w:pStyle w:val="DecHCase"/>
        <w:rPr>
          <w:lang w:val="sr-Cyrl-RS"/>
        </w:rPr>
      </w:pPr>
      <w:r w:rsidRPr="007268FB">
        <w:t>FOURTH SECTION</w:t>
      </w:r>
    </w:p>
    <w:p w:rsidRPr="007268FB" w:rsidR="008E6217" w:rsidP="007268FB" w:rsidRDefault="008E6217">
      <w:pPr>
        <w:pStyle w:val="JuTitle"/>
      </w:pPr>
      <w:bookmarkStart w:name="To" w:id="1"/>
      <w:r w:rsidRPr="007268FB">
        <w:rPr>
          <w:color w:val="000000" w:themeColor="text1"/>
        </w:rPr>
        <w:t xml:space="preserve">CASE OF </w:t>
      </w:r>
      <w:bookmarkEnd w:id="1"/>
      <w:r w:rsidRPr="007268FB" w:rsidR="00CB656C">
        <w:t>BRADARIĆ v. BOSNIA AND HERZEGOVINA</w:t>
      </w:r>
    </w:p>
    <w:p w:rsidRPr="007268FB" w:rsidR="00D74888" w:rsidP="007268FB" w:rsidRDefault="008E6217">
      <w:pPr>
        <w:pStyle w:val="ECHRCoverTitle4"/>
      </w:pPr>
      <w:r w:rsidRPr="007268FB">
        <w:t>(</w:t>
      </w:r>
      <w:r w:rsidRPr="007268FB" w:rsidR="00CB656C">
        <w:t>Application no.</w:t>
      </w:r>
      <w:r w:rsidRPr="007268FB">
        <w:t xml:space="preserve"> </w:t>
      </w:r>
      <w:r w:rsidRPr="007268FB" w:rsidR="00CB656C">
        <w:t>84721/17</w:t>
      </w:r>
      <w:r w:rsidRPr="007268FB">
        <w:t>)</w:t>
      </w:r>
    </w:p>
    <w:p w:rsidRPr="007268FB" w:rsidR="0098410D" w:rsidP="007268FB" w:rsidRDefault="0098410D">
      <w:pPr>
        <w:pStyle w:val="DecHCase"/>
      </w:pPr>
    </w:p>
    <w:p w:rsidRPr="007268FB" w:rsidR="0098410D" w:rsidP="007268FB" w:rsidRDefault="0098410D">
      <w:pPr>
        <w:pStyle w:val="DecHCase"/>
      </w:pPr>
    </w:p>
    <w:p w:rsidRPr="007268FB" w:rsidR="00AC4CD4" w:rsidP="007268FB" w:rsidRDefault="00AC4CD4">
      <w:pPr>
        <w:pStyle w:val="DecHCase"/>
      </w:pPr>
    </w:p>
    <w:p w:rsidRPr="007268FB" w:rsidR="007208AD" w:rsidP="007268FB" w:rsidRDefault="007208AD">
      <w:pPr>
        <w:pStyle w:val="DecHCase"/>
      </w:pPr>
    </w:p>
    <w:p w:rsidRPr="007268FB" w:rsidR="007208AD" w:rsidP="007268FB" w:rsidRDefault="007208AD">
      <w:pPr>
        <w:pStyle w:val="DecHCase"/>
      </w:pPr>
    </w:p>
    <w:p w:rsidRPr="007268FB" w:rsidR="0098410D" w:rsidP="007268FB" w:rsidRDefault="0098410D">
      <w:pPr>
        <w:pStyle w:val="DecHCase"/>
      </w:pPr>
    </w:p>
    <w:p w:rsidRPr="007268FB" w:rsidR="0098410D" w:rsidP="007268FB" w:rsidRDefault="0098410D">
      <w:pPr>
        <w:pStyle w:val="DecHCase"/>
      </w:pPr>
      <w:r w:rsidRPr="007268FB">
        <w:t>JUDGMENT</w:t>
      </w:r>
      <w:r w:rsidRPr="007268FB" w:rsidR="00AC4CD4">
        <w:br/>
      </w:r>
    </w:p>
    <w:p w:rsidRPr="007268FB" w:rsidR="0098410D" w:rsidP="007268FB" w:rsidRDefault="0098410D">
      <w:pPr>
        <w:pStyle w:val="DecHCase"/>
      </w:pPr>
      <w:r w:rsidRPr="007268FB">
        <w:t>STRASBOURG</w:t>
      </w:r>
    </w:p>
    <w:p w:rsidRPr="007268FB" w:rsidR="0098410D" w:rsidP="007268FB" w:rsidRDefault="00CB656C">
      <w:pPr>
        <w:pStyle w:val="DecHCase"/>
        <w:rPr>
          <w:szCs w:val="24"/>
        </w:rPr>
      </w:pPr>
      <w:r w:rsidRPr="007268FB">
        <w:rPr>
          <w:rFonts w:ascii="Times New Roman" w:hAnsi="Times New Roman" w:cs="Times New Roman"/>
        </w:rPr>
        <w:t>3 December 2019</w:t>
      </w:r>
    </w:p>
    <w:p w:rsidRPr="007268FB" w:rsidR="00AC4CD4" w:rsidP="007268FB" w:rsidRDefault="00AC4CD4">
      <w:pPr>
        <w:pStyle w:val="JuPara"/>
      </w:pPr>
    </w:p>
    <w:p w:rsidRPr="007268FB" w:rsidR="002422B6" w:rsidP="007268FB" w:rsidRDefault="0098410D">
      <w:pPr>
        <w:jc w:val="center"/>
        <w:rPr>
          <w:i/>
          <w:sz w:val="22"/>
        </w:rPr>
      </w:pPr>
      <w:r w:rsidRPr="007268FB">
        <w:rPr>
          <w:i/>
          <w:sz w:val="22"/>
        </w:rPr>
        <w:t xml:space="preserve">This judgment </w:t>
      </w:r>
      <w:r w:rsidRPr="007268FB" w:rsidR="00CB656C">
        <w:rPr>
          <w:i/>
          <w:sz w:val="22"/>
        </w:rPr>
        <w:t>is final but it</w:t>
      </w:r>
      <w:r w:rsidRPr="007268FB">
        <w:rPr>
          <w:i/>
          <w:sz w:val="22"/>
        </w:rPr>
        <w:t xml:space="preserve"> may be subject to editorial revision.</w:t>
      </w:r>
    </w:p>
    <w:p w:rsidRPr="007268FB" w:rsidR="0098410D" w:rsidP="007268FB" w:rsidRDefault="0098410D">
      <w:pPr>
        <w:sectPr w:rsidRPr="007268F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268FB" w:rsidR="0098410D" w:rsidP="007268FB" w:rsidRDefault="0098410D">
      <w:pPr>
        <w:pStyle w:val="JuCase"/>
      </w:pPr>
      <w:r w:rsidRPr="007268FB">
        <w:t xml:space="preserve">In the case of </w:t>
      </w:r>
      <w:proofErr w:type="spellStart"/>
      <w:r w:rsidRPr="007268FB" w:rsidR="00CB656C">
        <w:t>Bradarić</w:t>
      </w:r>
      <w:proofErr w:type="spellEnd"/>
      <w:r w:rsidRPr="007268FB" w:rsidR="00CB656C">
        <w:t xml:space="preserve"> v. Bosnia and Herzegovina</w:t>
      </w:r>
      <w:r w:rsidRPr="007268FB">
        <w:t>,</w:t>
      </w:r>
    </w:p>
    <w:p w:rsidRPr="007268FB" w:rsidR="009F4C8F" w:rsidP="007268FB" w:rsidRDefault="009F4C8F">
      <w:pPr>
        <w:pStyle w:val="JuPara"/>
      </w:pPr>
      <w:r w:rsidRPr="007268FB">
        <w:t>The European Court of Human Rights (</w:t>
      </w:r>
      <w:r w:rsidRPr="007268FB" w:rsidR="00CB656C">
        <w:t>Fourth Section</w:t>
      </w:r>
      <w:r w:rsidRPr="007268FB">
        <w:t xml:space="preserve">), sitting as a </w:t>
      </w:r>
      <w:r w:rsidRPr="007268FB" w:rsidR="00CB656C">
        <w:t>Committee</w:t>
      </w:r>
      <w:r w:rsidRPr="007268FB">
        <w:t xml:space="preserve"> composed of:</w:t>
      </w:r>
    </w:p>
    <w:p w:rsidRPr="007268FB" w:rsidR="009F4C8F" w:rsidP="007268FB" w:rsidRDefault="00E003B3">
      <w:pPr>
        <w:pStyle w:val="JuJudges"/>
      </w:pPr>
      <w:r w:rsidRPr="007268FB">
        <w:tab/>
        <w:t xml:space="preserve">Iulia </w:t>
      </w:r>
      <w:proofErr w:type="spellStart"/>
      <w:r w:rsidRPr="007268FB">
        <w:t>Antoanella</w:t>
      </w:r>
      <w:proofErr w:type="spellEnd"/>
      <w:r w:rsidRPr="007268FB">
        <w:t xml:space="preserve"> </w:t>
      </w:r>
      <w:proofErr w:type="spellStart"/>
      <w:r w:rsidRPr="007268FB">
        <w:t>Motoc</w:t>
      </w:r>
      <w:proofErr w:type="spellEnd"/>
      <w:r w:rsidRPr="007268FB">
        <w:t>,</w:t>
      </w:r>
      <w:r w:rsidRPr="007268FB">
        <w:rPr>
          <w:i/>
        </w:rPr>
        <w:t xml:space="preserve"> President,</w:t>
      </w:r>
      <w:r w:rsidRPr="007268FB">
        <w:rPr>
          <w:i/>
        </w:rPr>
        <w:br/>
      </w:r>
      <w:r w:rsidRPr="007268FB">
        <w:tab/>
      </w:r>
      <w:proofErr w:type="spellStart"/>
      <w:r w:rsidRPr="007268FB">
        <w:t>Faris</w:t>
      </w:r>
      <w:proofErr w:type="spellEnd"/>
      <w:r w:rsidRPr="007268FB">
        <w:t xml:space="preserve"> </w:t>
      </w:r>
      <w:proofErr w:type="spellStart"/>
      <w:r w:rsidRPr="007268FB">
        <w:t>Vehabović</w:t>
      </w:r>
      <w:proofErr w:type="spellEnd"/>
      <w:r w:rsidRPr="007268FB">
        <w:t>,</w:t>
      </w:r>
      <w:r w:rsidRPr="007268FB">
        <w:rPr>
          <w:i/>
        </w:rPr>
        <w:br/>
      </w:r>
      <w:r w:rsidRPr="007268FB">
        <w:tab/>
        <w:t xml:space="preserve">Carlo </w:t>
      </w:r>
      <w:proofErr w:type="spellStart"/>
      <w:r w:rsidRPr="007268FB">
        <w:t>Ranzoni</w:t>
      </w:r>
      <w:proofErr w:type="spellEnd"/>
      <w:r w:rsidRPr="007268FB">
        <w:t>,</w:t>
      </w:r>
      <w:r w:rsidRPr="007268FB">
        <w:rPr>
          <w:i/>
        </w:rPr>
        <w:t xml:space="preserve"> judges</w:t>
      </w:r>
      <w:proofErr w:type="gramStart"/>
      <w:r w:rsidRPr="007268FB">
        <w:rPr>
          <w:i/>
        </w:rPr>
        <w:t>,</w:t>
      </w:r>
      <w:proofErr w:type="gramEnd"/>
      <w:r w:rsidRPr="007268FB" w:rsidR="009F4C8F">
        <w:rPr>
          <w:szCs w:val="24"/>
        </w:rPr>
        <w:br/>
      </w:r>
      <w:r w:rsidRPr="007268FB" w:rsidR="009F4C8F">
        <w:t xml:space="preserve">and </w:t>
      </w:r>
      <w:r w:rsidRPr="007268FB" w:rsidR="00CB656C">
        <w:t>Andrea Tamietti</w:t>
      </w:r>
      <w:r w:rsidRPr="007268FB" w:rsidR="009F4C8F">
        <w:t xml:space="preserve">, </w:t>
      </w:r>
      <w:r w:rsidRPr="007268FB" w:rsidR="00CB656C">
        <w:rPr>
          <w:i/>
        </w:rPr>
        <w:t xml:space="preserve">Deputy Section </w:t>
      </w:r>
      <w:r w:rsidRPr="007268FB" w:rsidR="00CB656C">
        <w:rPr>
          <w:i/>
          <w:iCs/>
        </w:rPr>
        <w:t>Registrar</w:t>
      </w:r>
      <w:r w:rsidRPr="007268FB" w:rsidR="009F4C8F">
        <w:rPr>
          <w:i/>
        </w:rPr>
        <w:t>,</w:t>
      </w:r>
    </w:p>
    <w:p w:rsidRPr="007268FB" w:rsidR="009F4C8F" w:rsidP="007268FB" w:rsidRDefault="009F4C8F">
      <w:pPr>
        <w:pStyle w:val="JuPara"/>
      </w:pPr>
      <w:r w:rsidRPr="007268FB">
        <w:t xml:space="preserve">Having deliberated in private on </w:t>
      </w:r>
      <w:r w:rsidRPr="007268FB" w:rsidR="00CB656C">
        <w:rPr>
          <w:szCs w:val="24"/>
        </w:rPr>
        <w:t>12 November 2019</w:t>
      </w:r>
      <w:r w:rsidRPr="007268FB">
        <w:t>,</w:t>
      </w:r>
    </w:p>
    <w:p w:rsidRPr="007268FB" w:rsidR="009F4C8F" w:rsidP="007268FB" w:rsidRDefault="009F4C8F">
      <w:pPr>
        <w:pStyle w:val="JuPara"/>
      </w:pPr>
      <w:r w:rsidRPr="007268FB">
        <w:t>Delivers the following judgment, which was adopted on that date:</w:t>
      </w:r>
    </w:p>
    <w:p w:rsidRPr="007268FB" w:rsidR="00CB656C" w:rsidP="007268FB" w:rsidRDefault="00CB656C">
      <w:pPr>
        <w:pStyle w:val="JuHHead"/>
      </w:pPr>
      <w:r w:rsidRPr="007268FB">
        <w:t>PROCEDURE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w:t>
      </w:r>
      <w:r w:rsidRPr="007268FB">
        <w:fldChar w:fldCharType="end"/>
      </w:r>
      <w:r w:rsidRPr="007268FB">
        <w:t xml:space="preserve">.  The case originated in an application (no. 84721/17) against Bosnia and Herzegovina lodged with the Court under Article 34 of the Convention for the Protection of Human Rights and Fundamental Freedoms (“the Convention”) by a national of Bosnia and Herzegovina, Mr </w:t>
      </w:r>
      <w:proofErr w:type="spellStart"/>
      <w:r w:rsidRPr="007268FB">
        <w:t>Nedžad</w:t>
      </w:r>
      <w:proofErr w:type="spellEnd"/>
      <w:r w:rsidRPr="007268FB">
        <w:t xml:space="preserve"> </w:t>
      </w:r>
      <w:proofErr w:type="spellStart"/>
      <w:r w:rsidRPr="007268FB">
        <w:t>Bradarić</w:t>
      </w:r>
      <w:proofErr w:type="spellEnd"/>
      <w:r w:rsidRPr="007268FB">
        <w:t xml:space="preserve"> (“the applicant”), on 14 December 2017.</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w:t>
      </w:r>
      <w:r w:rsidRPr="007268FB">
        <w:fldChar w:fldCharType="end"/>
      </w:r>
      <w:r w:rsidRPr="007268FB">
        <w:t xml:space="preserve">.  The applicant was represented by </w:t>
      </w:r>
      <w:proofErr w:type="spellStart"/>
      <w:r w:rsidRPr="007268FB">
        <w:t>Zajednička</w:t>
      </w:r>
      <w:proofErr w:type="spellEnd"/>
      <w:r w:rsidRPr="007268FB">
        <w:t xml:space="preserve"> </w:t>
      </w:r>
      <w:proofErr w:type="spellStart"/>
      <w:r w:rsidRPr="007268FB">
        <w:t>advokatska</w:t>
      </w:r>
      <w:proofErr w:type="spellEnd"/>
      <w:r w:rsidRPr="007268FB">
        <w:t xml:space="preserve"> </w:t>
      </w:r>
      <w:proofErr w:type="spellStart"/>
      <w:r w:rsidRPr="007268FB">
        <w:t>kancelarija</w:t>
      </w:r>
      <w:proofErr w:type="spellEnd"/>
      <w:r w:rsidRPr="007268FB">
        <w:t xml:space="preserve"> </w:t>
      </w:r>
      <w:proofErr w:type="spellStart"/>
      <w:r w:rsidRPr="007268FB">
        <w:t>Jezdić</w:t>
      </w:r>
      <w:proofErr w:type="spellEnd"/>
      <w:r w:rsidRPr="007268FB">
        <w:t xml:space="preserve"> &amp; </w:t>
      </w:r>
      <w:proofErr w:type="spellStart"/>
      <w:r w:rsidRPr="007268FB">
        <w:t>Matuzović</w:t>
      </w:r>
      <w:proofErr w:type="spellEnd"/>
      <w:r w:rsidRPr="007268FB">
        <w:t>, a law firm from Tuzla. The Government of Bosnia and Herzegovina (“the Government”) were represented by their Agent, Ms B. </w:t>
      </w:r>
      <w:proofErr w:type="spellStart"/>
      <w:r w:rsidRPr="007268FB">
        <w:t>Skalonji</w:t>
      </w:r>
      <w:r w:rsidRPr="007268FB">
        <w:rPr>
          <w:rFonts w:ascii="Calibri" w:hAnsi="Calibri" w:cs="Calibri"/>
        </w:rPr>
        <w:t>ć</w:t>
      </w:r>
      <w:proofErr w:type="spellEnd"/>
      <w:r w:rsidRPr="007268FB">
        <w:t>.</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w:t>
      </w:r>
      <w:r w:rsidRPr="007268FB">
        <w:fldChar w:fldCharType="end"/>
      </w:r>
      <w:r w:rsidRPr="007268FB">
        <w:t xml:space="preserve">.  On </w:t>
      </w:r>
      <w:r w:rsidRPr="007268FB">
        <w:rPr>
          <w:szCs w:val="24"/>
        </w:rPr>
        <w:t>13 November 2018</w:t>
      </w:r>
      <w:r w:rsidRPr="007268FB">
        <w:t xml:space="preserve"> notice of the complaint concerning non</w:t>
      </w:r>
      <w:r w:rsidRPr="007268FB">
        <w:noBreakHyphen/>
        <w:t>enforcement was given to the Government and the remainder of the application was declared inadmissible</w:t>
      </w:r>
      <w:r w:rsidRPr="007268FB">
        <w:rPr>
          <w:szCs w:val="24"/>
        </w:rPr>
        <w:t xml:space="preserve"> </w:t>
      </w:r>
      <w:r w:rsidRPr="007268FB">
        <w:t>pursuant to Rule 54 § 3 of the Rules of Court.</w:t>
      </w:r>
    </w:p>
    <w:p w:rsidRPr="007268FB" w:rsidR="00CB656C" w:rsidP="007268FB" w:rsidRDefault="00CB656C">
      <w:pPr>
        <w:pStyle w:val="JuHHead"/>
      </w:pPr>
      <w:r w:rsidRPr="007268FB">
        <w:t>THE FACTS</w:t>
      </w:r>
    </w:p>
    <w:p w:rsidRPr="007268FB" w:rsidR="00CB656C" w:rsidP="007268FB" w:rsidRDefault="00CB656C">
      <w:pPr>
        <w:pStyle w:val="JuHIRoman"/>
      </w:pPr>
      <w:r w:rsidRPr="007268FB">
        <w:t>THE CIRCUMSTANCES OF THE CASE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4</w:t>
      </w:r>
      <w:r w:rsidRPr="007268FB">
        <w:fldChar w:fldCharType="end"/>
      </w:r>
      <w:r w:rsidRPr="007268FB">
        <w:t>.  The applicant was born in 1954 and lives in Tuzla.</w:t>
      </w:r>
    </w:p>
    <w:bookmarkStart w:name="P5" w:id="2"/>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5</w:t>
      </w:r>
      <w:r w:rsidRPr="007268FB">
        <w:fldChar w:fldCharType="end"/>
      </w:r>
      <w:bookmarkEnd w:id="2"/>
      <w:r w:rsidRPr="007268FB">
        <w:t>.  On 26 April 2012 the applicant and his former employer, a private company based in Tuzla, concluded a settlement before the Tuzla Municipal Court concerning the applicant</w:t>
      </w:r>
      <w:r w:rsidRPr="007268FB" w:rsidR="007268FB">
        <w:t>’</w:t>
      </w:r>
      <w:r w:rsidRPr="007268FB">
        <w:t>s severance pay.</w:t>
      </w:r>
    </w:p>
    <w:bookmarkStart w:name="P6" w:id="3"/>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6</w:t>
      </w:r>
      <w:r w:rsidRPr="007268FB">
        <w:fldChar w:fldCharType="end"/>
      </w:r>
      <w:bookmarkEnd w:id="3"/>
      <w:r w:rsidRPr="007268FB" w:rsidR="007208AD">
        <w:t xml:space="preserve">.  On </w:t>
      </w:r>
      <w:r w:rsidRPr="007268FB">
        <w:t>29 August 2012 the applicant filed a request with the Tuzla Municipal Court for enforcement of the settlement.</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7</w:t>
      </w:r>
      <w:r w:rsidRPr="007268FB">
        <w:fldChar w:fldCharType="end"/>
      </w:r>
      <w:r w:rsidRPr="007268FB">
        <w:t>.  On 20 March 2017 the applicant lodged a constitutional appeal complaining about the non-enforcement of the settlement in question.</w:t>
      </w:r>
    </w:p>
    <w:bookmarkStart w:name="P8" w:id="4"/>
    <w:p w:rsidRPr="007268FB" w:rsidR="00CB656C" w:rsidP="007268FB" w:rsidRDefault="00CB656C">
      <w:pPr>
        <w:pStyle w:val="JuPara"/>
        <w:rPr>
          <w:rFonts w:cstheme="minorHAnsi"/>
          <w:szCs w:val="24"/>
        </w:rPr>
      </w:pPr>
      <w:r w:rsidRPr="007268FB">
        <w:fldChar w:fldCharType="begin"/>
      </w:r>
      <w:r w:rsidRPr="007268FB">
        <w:instrText xml:space="preserve"> SEQ level0 \*arabic </w:instrText>
      </w:r>
      <w:r w:rsidRPr="007268FB">
        <w:fldChar w:fldCharType="separate"/>
      </w:r>
      <w:r w:rsidRPr="007268FB" w:rsidR="007268FB">
        <w:rPr>
          <w:noProof/>
        </w:rPr>
        <w:t>8</w:t>
      </w:r>
      <w:r w:rsidRPr="007268FB">
        <w:fldChar w:fldCharType="end"/>
      </w:r>
      <w:bookmarkEnd w:id="4"/>
      <w:r w:rsidRPr="007268FB">
        <w:t xml:space="preserve">.  On 15 June 2017 </w:t>
      </w:r>
      <w:r w:rsidRPr="007268FB">
        <w:rPr>
          <w:rFonts w:cstheme="minorHAnsi"/>
          <w:szCs w:val="24"/>
        </w:rPr>
        <w:t xml:space="preserve">the Constitutional Court of Bosnia and Herzegovina (“the Constitutional Court”) found a violation of Article 6 </w:t>
      </w:r>
      <w:r w:rsidRPr="007268FB">
        <w:rPr>
          <w:rFonts w:cstheme="minorHAnsi"/>
        </w:rPr>
        <w:t xml:space="preserve">§ </w:t>
      </w:r>
      <w:r w:rsidRPr="007268FB">
        <w:t>1</w:t>
      </w:r>
      <w:r w:rsidRPr="007268FB">
        <w:rPr>
          <w:rFonts w:cstheme="minorHAnsi"/>
          <w:szCs w:val="24"/>
        </w:rPr>
        <w:t xml:space="preserve"> of the Convention and ordered the Tuzla Municipal Court to expedite the enforcement proceedings. The Constitutional Court also awarded the applicant 1,000 convertible marks (BAM</w:t>
      </w:r>
      <w:r w:rsidRPr="007268FB">
        <w:rPr>
          <w:rStyle w:val="FootnoteReference"/>
          <w:rFonts w:cstheme="minorHAnsi"/>
          <w:szCs w:val="24"/>
        </w:rPr>
        <w:footnoteReference w:id="1"/>
      </w:r>
      <w:r w:rsidRPr="007268FB">
        <w:rPr>
          <w:rFonts w:cstheme="minorHAnsi"/>
          <w:szCs w:val="24"/>
        </w:rPr>
        <w:t>;</w:t>
      </w:r>
      <w:r w:rsidRPr="007268FB">
        <w:rPr>
          <w:rFonts w:ascii="Times New Roman" w:hAnsi="Times New Roman" w:cs="Times New Roman"/>
          <w:color w:val="000000"/>
        </w:rPr>
        <w:t xml:space="preserve"> approximately 500 EUR), in respect of non</w:t>
      </w:r>
      <w:r w:rsidRPr="007268FB">
        <w:rPr>
          <w:rFonts w:ascii="Times New Roman" w:hAnsi="Times New Roman" w:cs="Times New Roman"/>
          <w:color w:val="000000"/>
        </w:rPr>
        <w:noBreakHyphen/>
        <w:t>pecuniary damage</w:t>
      </w:r>
      <w:r w:rsidRPr="007268FB">
        <w:rPr>
          <w:rFonts w:cstheme="minorHAnsi"/>
          <w:szCs w:val="24"/>
        </w:rPr>
        <w:t>.</w:t>
      </w:r>
    </w:p>
    <w:bookmarkStart w:name="P9" w:id="5"/>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9</w:t>
      </w:r>
      <w:r w:rsidRPr="007268FB">
        <w:fldChar w:fldCharType="end"/>
      </w:r>
      <w:bookmarkEnd w:id="5"/>
      <w:r w:rsidRPr="007268FB">
        <w:t>.  On 27 September 2017, following a request submitted by a third party (a company which brought a civil action against the applicant</w:t>
      </w:r>
      <w:r w:rsidRPr="007268FB" w:rsidR="007268FB">
        <w:t>’</w:t>
      </w:r>
      <w:r w:rsidRPr="007268FB">
        <w:t>s former employer in a separate set of proceedings), the Tuzla Municipal Court postponed the enforcement proceedings until the end of the proceedings initiated by the third party. The applicant appealed against that decision.</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10</w:t>
      </w:r>
      <w:r w:rsidRPr="007268FB">
        <w:fldChar w:fldCharType="end"/>
      </w:r>
      <w:r w:rsidRPr="007268FB">
        <w:t>.  On 15 November 2017 the Tuzla Cantonal Court overturned the decision of 27 September 2017 and rejected the third party</w:t>
      </w:r>
      <w:r w:rsidRPr="007268FB" w:rsidR="007268FB">
        <w:t>’</w:t>
      </w:r>
      <w:r w:rsidRPr="007268FB">
        <w:t>s request. It furthermore ordered the third party to pay the applicant BAM 1,053 in legal costs.</w:t>
      </w:r>
    </w:p>
    <w:bookmarkStart w:name="P11" w:id="6"/>
    <w:p w:rsidRPr="007268FB" w:rsidR="00CB656C" w:rsidP="007268FB" w:rsidRDefault="00CB656C">
      <w:pPr>
        <w:pStyle w:val="JuPara"/>
        <w:rPr>
          <w:rFonts w:cstheme="minorHAnsi"/>
          <w:szCs w:val="24"/>
        </w:rPr>
      </w:pPr>
      <w:r w:rsidRPr="007268FB">
        <w:fldChar w:fldCharType="begin"/>
      </w:r>
      <w:r w:rsidRPr="007268FB">
        <w:instrText xml:space="preserve"> SEQ level0 \*arabic </w:instrText>
      </w:r>
      <w:r w:rsidRPr="007268FB">
        <w:fldChar w:fldCharType="separate"/>
      </w:r>
      <w:r w:rsidRPr="007268FB" w:rsidR="007268FB">
        <w:rPr>
          <w:noProof/>
        </w:rPr>
        <w:t>11</w:t>
      </w:r>
      <w:r w:rsidRPr="007268FB">
        <w:fldChar w:fldCharType="end"/>
      </w:r>
      <w:bookmarkEnd w:id="6"/>
      <w:r w:rsidRPr="007268FB">
        <w:t>.  </w:t>
      </w:r>
      <w:r w:rsidRPr="007268FB">
        <w:rPr>
          <w:rFonts w:ascii="Times New Roman" w:hAnsi="Times New Roman" w:cs="Times New Roman"/>
          <w:color w:val="000000"/>
        </w:rPr>
        <w:t>At the date of the latest information available to the Court (28 June 2019), the enforcement proceedings in the applicant</w:t>
      </w:r>
      <w:r w:rsidRPr="007268FB" w:rsidR="007268FB">
        <w:rPr>
          <w:rFonts w:ascii="Times New Roman" w:hAnsi="Times New Roman" w:cs="Times New Roman"/>
          <w:color w:val="000000"/>
        </w:rPr>
        <w:t>’</w:t>
      </w:r>
      <w:r w:rsidRPr="007268FB">
        <w:rPr>
          <w:rFonts w:ascii="Times New Roman" w:hAnsi="Times New Roman" w:cs="Times New Roman"/>
          <w:color w:val="000000"/>
        </w:rPr>
        <w:t>s case were still pending</w:t>
      </w:r>
      <w:r w:rsidRPr="007268FB">
        <w:rPr>
          <w:rFonts w:cstheme="minorHAnsi"/>
          <w:szCs w:val="24"/>
        </w:rPr>
        <w:t>.</w:t>
      </w:r>
    </w:p>
    <w:p w:rsidRPr="007268FB" w:rsidR="00CB656C" w:rsidP="007268FB" w:rsidRDefault="00CB656C">
      <w:pPr>
        <w:pStyle w:val="JuHHead"/>
      </w:pPr>
      <w:r w:rsidRPr="007268FB">
        <w:t>THE LAW</w:t>
      </w:r>
    </w:p>
    <w:p w:rsidRPr="007268FB" w:rsidR="00CB656C" w:rsidP="007268FB" w:rsidRDefault="00CB656C">
      <w:pPr>
        <w:pStyle w:val="JuHIRoman"/>
      </w:pPr>
      <w:r w:rsidRPr="007268FB">
        <w:t xml:space="preserve">ALLEGED VIOLATION OF ARTICLE 6 </w:t>
      </w:r>
      <w:r w:rsidRPr="007268FB">
        <w:rPr>
          <w:rFonts w:cstheme="minorHAnsi"/>
        </w:rPr>
        <w:t>§</w:t>
      </w:r>
      <w:r w:rsidRPr="007268FB">
        <w:t xml:space="preserve"> 1 OF THE CONVENTION AND ARTICLE 1 OF PROTOCOL NO. 1 TO THE CONVENTION</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12</w:t>
      </w:r>
      <w:r w:rsidRPr="007268FB">
        <w:fldChar w:fldCharType="end"/>
      </w:r>
      <w:r w:rsidRPr="007268FB">
        <w:t xml:space="preserve">.  The </w:t>
      </w:r>
      <w:r w:rsidRPr="007268FB">
        <w:rPr>
          <w:szCs w:val="24"/>
        </w:rPr>
        <w:t>applicant</w:t>
      </w:r>
      <w:r w:rsidRPr="007268FB">
        <w:t xml:space="preserve"> complained of the </w:t>
      </w:r>
      <w:r w:rsidRPr="007268FB">
        <w:rPr>
          <w:szCs w:val="24"/>
        </w:rPr>
        <w:t>non-enforcement of the court</w:t>
      </w:r>
      <w:r w:rsidRPr="007268FB">
        <w:rPr>
          <w:szCs w:val="24"/>
        </w:rPr>
        <w:noBreakHyphen/>
        <w:t xml:space="preserve">approved settlement. He relied on </w:t>
      </w:r>
      <w:r w:rsidRPr="007268FB">
        <w:t xml:space="preserve">Article </w:t>
      </w:r>
      <w:r w:rsidRPr="007268FB">
        <w:rPr>
          <w:rFonts w:eastAsia="PMingLiU"/>
        </w:rPr>
        <w:t xml:space="preserve">6 </w:t>
      </w:r>
      <w:r w:rsidRPr="007268FB">
        <w:rPr>
          <w:rFonts w:eastAsia="PMingLiU" w:cstheme="minorHAnsi"/>
        </w:rPr>
        <w:t>§</w:t>
      </w:r>
      <w:r w:rsidRPr="007268FB">
        <w:rPr>
          <w:rFonts w:eastAsia="PMingLiU"/>
        </w:rPr>
        <w:t xml:space="preserve"> 1 </w:t>
      </w:r>
      <w:r w:rsidRPr="007268FB">
        <w:t>of the Convention and Article 1 of Protocol No. 1 to the Convention.</w:t>
      </w:r>
    </w:p>
    <w:p w:rsidRPr="007268FB" w:rsidR="00CB656C" w:rsidP="007268FB" w:rsidRDefault="00CB656C">
      <w:pPr>
        <w:pStyle w:val="JuPara"/>
      </w:pPr>
      <w:r w:rsidRPr="007268FB">
        <w:t xml:space="preserve">Article </w:t>
      </w:r>
      <w:r w:rsidRPr="007268FB">
        <w:rPr>
          <w:rFonts w:eastAsia="PMingLiU"/>
        </w:rPr>
        <w:t xml:space="preserve">6 </w:t>
      </w:r>
      <w:r w:rsidRPr="007268FB">
        <w:rPr>
          <w:rFonts w:eastAsia="PMingLiU" w:cstheme="minorHAnsi"/>
        </w:rPr>
        <w:t>§</w:t>
      </w:r>
      <w:r w:rsidRPr="007268FB">
        <w:rPr>
          <w:rFonts w:eastAsia="PMingLiU"/>
        </w:rPr>
        <w:t xml:space="preserve"> 1, in so far as relevant, provides</w:t>
      </w:r>
      <w:r w:rsidRPr="007268FB">
        <w:t>:</w:t>
      </w:r>
    </w:p>
    <w:p w:rsidRPr="007268FB" w:rsidR="00CB656C" w:rsidP="007268FB" w:rsidRDefault="00CB656C">
      <w:pPr>
        <w:pStyle w:val="JuHArticle"/>
      </w:pPr>
      <w:r w:rsidRPr="007268FB">
        <w:t xml:space="preserve">Article 6 </w:t>
      </w:r>
      <w:r w:rsidRPr="007268FB">
        <w:rPr>
          <w:rFonts w:cstheme="minorHAnsi"/>
        </w:rPr>
        <w:t>§</w:t>
      </w:r>
      <w:r w:rsidRPr="007268FB">
        <w:t xml:space="preserve"> 1</w:t>
      </w:r>
    </w:p>
    <w:p w:rsidRPr="007268FB" w:rsidR="00CB656C" w:rsidP="007268FB" w:rsidRDefault="00CB656C">
      <w:pPr>
        <w:pStyle w:val="JuQuot"/>
      </w:pPr>
      <w:r w:rsidRPr="007268FB">
        <w:t xml:space="preserve">“In the determination of his civil rights and obligations ... everyone is entitled to a fair ... hearing within a reasonable time by </w:t>
      </w:r>
      <w:r w:rsidRPr="007268FB">
        <w:rPr>
          <w:rFonts w:ascii="Calibri" w:hAnsi="Calibri" w:cs="Calibri"/>
        </w:rPr>
        <w:t>[a]</w:t>
      </w:r>
      <w:r w:rsidRPr="007268FB">
        <w:t xml:space="preserve"> ... tribunal ...”</w:t>
      </w:r>
    </w:p>
    <w:p w:rsidRPr="007268FB" w:rsidR="00CB656C" w:rsidP="007268FB" w:rsidRDefault="00CB656C">
      <w:pPr>
        <w:pStyle w:val="JuPara"/>
      </w:pPr>
      <w:r w:rsidRPr="007268FB">
        <w:t>Article 1 of Protocol No. 1 reads as follows:</w:t>
      </w:r>
    </w:p>
    <w:p w:rsidRPr="007268FB" w:rsidR="00CB656C" w:rsidP="007268FB" w:rsidRDefault="00CB656C">
      <w:pPr>
        <w:pStyle w:val="JuHArticle"/>
      </w:pPr>
      <w:r w:rsidRPr="007268FB">
        <w:t>Article 1 of Protocol No. 1</w:t>
      </w:r>
    </w:p>
    <w:p w:rsidRPr="007268FB" w:rsidR="00CB656C" w:rsidP="007268FB" w:rsidRDefault="00CB656C">
      <w:pPr>
        <w:pStyle w:val="JuQuot"/>
      </w:pPr>
      <w:r w:rsidRPr="007268F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268FB" w:rsidR="00CB656C" w:rsidP="007268FB" w:rsidRDefault="00CB656C">
      <w:pPr>
        <w:pStyle w:val="JuQuot"/>
      </w:pPr>
      <w:r w:rsidRPr="007268F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268FB" w:rsidR="00CB656C" w:rsidP="007268FB" w:rsidRDefault="00CB656C">
      <w:pPr>
        <w:pStyle w:val="JuHA"/>
      </w:pPr>
      <w:r w:rsidRPr="007268FB">
        <w:t>Admissibility</w:t>
      </w:r>
    </w:p>
    <w:p w:rsidRPr="007268FB" w:rsidR="00CB656C" w:rsidP="007268FB" w:rsidRDefault="00CB656C">
      <w:pPr>
        <w:pStyle w:val="JuH1"/>
      </w:pPr>
      <w:r w:rsidRPr="007268FB">
        <w:t>Whether the applicant may claim to be a “victim”</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13</w:t>
      </w:r>
      <w:r w:rsidRPr="007268FB">
        <w:fldChar w:fldCharType="end"/>
      </w:r>
      <w:r w:rsidRPr="007268FB">
        <w:t>.  The Government argued that the applicant could no longer claim to be a victim as the Constitutional Court had acknowledged the breach complained of and had awarded him BAM 1,000 (see paragraph 8 above). They considered the amount sufficient, taking into account the local circumstances and the GDP of Bosnia and Herzegovina.</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14</w:t>
      </w:r>
      <w:r w:rsidRPr="007268FB">
        <w:fldChar w:fldCharType="end"/>
      </w:r>
      <w:r w:rsidRPr="007268FB">
        <w:t>.  The applicant maintained that non-pecuniary damage was not the only claim he was making before the Constitutional Court; he also sought the enforcement of the court-approved settlement.</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15</w:t>
      </w:r>
      <w:r w:rsidRPr="007268FB">
        <w:fldChar w:fldCharType="end"/>
      </w:r>
      <w:r w:rsidRPr="007268FB">
        <w:t xml:space="preserve">.  The Court reiterates that a decision or measure favourable to the applicant is not in principle sufficient to deprive him of his status as a victim unless the national authorities have acknowledged, either expressly or in substance, and then afforded redress for, the relevant breach of the Convention (see </w:t>
      </w:r>
      <w:proofErr w:type="spellStart"/>
      <w:r w:rsidRPr="007268FB">
        <w:rPr>
          <w:i/>
          <w:szCs w:val="24"/>
        </w:rPr>
        <w:t>Scordino</w:t>
      </w:r>
      <w:proofErr w:type="spellEnd"/>
      <w:r w:rsidRPr="007268FB">
        <w:rPr>
          <w:i/>
          <w:szCs w:val="24"/>
        </w:rPr>
        <w:t xml:space="preserve"> </w:t>
      </w:r>
      <w:r w:rsidRPr="007268FB">
        <w:rPr>
          <w:i/>
          <w:spacing w:val="-2"/>
          <w:szCs w:val="24"/>
        </w:rPr>
        <w:t>v. Italy (no. 1)</w:t>
      </w:r>
      <w:r w:rsidRPr="007268FB">
        <w:rPr>
          <w:szCs w:val="24"/>
        </w:rPr>
        <w:t xml:space="preserve"> </w:t>
      </w:r>
      <w:r w:rsidRPr="007268FB" w:rsidR="007208AD">
        <w:rPr>
          <w:szCs w:val="24"/>
        </w:rPr>
        <w:t>[GC], no. 36813/97, § 180, ECHR </w:t>
      </w:r>
      <w:r w:rsidRPr="007268FB">
        <w:rPr>
          <w:szCs w:val="24"/>
        </w:rPr>
        <w:t>2006</w:t>
      </w:r>
      <w:r w:rsidRPr="007268FB">
        <w:rPr>
          <w:szCs w:val="24"/>
        </w:rPr>
        <w:noBreakHyphen/>
        <w:t xml:space="preserve">V, and </w:t>
      </w:r>
      <w:proofErr w:type="spellStart"/>
      <w:r w:rsidRPr="007268FB">
        <w:rPr>
          <w:i/>
          <w:iCs/>
        </w:rPr>
        <w:t>Rooman</w:t>
      </w:r>
      <w:proofErr w:type="spellEnd"/>
      <w:r w:rsidRPr="007268FB">
        <w:rPr>
          <w:i/>
          <w:iCs/>
        </w:rPr>
        <w:t xml:space="preserve"> v. Belgium</w:t>
      </w:r>
      <w:r w:rsidRPr="007268FB">
        <w:t xml:space="preserve"> [GC], no. 18052/11, § 129, 31 January 2019</w:t>
      </w:r>
      <w:r w:rsidRPr="007268FB">
        <w:rPr>
          <w:szCs w:val="24"/>
        </w:rPr>
        <w:t xml:space="preserve">). </w:t>
      </w:r>
      <w:r w:rsidRPr="007268FB">
        <w:t xml:space="preserve">The redress afforded by the national authorities must be appropriate and sufficient (see </w:t>
      </w:r>
      <w:proofErr w:type="spellStart"/>
      <w:r w:rsidRPr="007268FB">
        <w:rPr>
          <w:i/>
        </w:rPr>
        <w:t>Kudić</w:t>
      </w:r>
      <w:proofErr w:type="spellEnd"/>
      <w:r w:rsidRPr="007268FB">
        <w:rPr>
          <w:i/>
        </w:rPr>
        <w:t xml:space="preserve"> v. Bosnia and Herzegovina</w:t>
      </w:r>
      <w:r w:rsidRPr="007268FB">
        <w:t>, no. 28971/05, § 17, 9 December 2008).</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16</w:t>
      </w:r>
      <w:r w:rsidRPr="007268FB">
        <w:fldChar w:fldCharType="end"/>
      </w:r>
      <w:r w:rsidRPr="007268FB">
        <w:t>.  The Court notes that in the present case the Constitutional Court found that the applicant</w:t>
      </w:r>
      <w:r w:rsidRPr="007268FB" w:rsidR="007268FB">
        <w:t>’</w:t>
      </w:r>
      <w:r w:rsidRPr="007268FB">
        <w:t>s right to the enforcement within a reasonable time had been violated, thereby acknowledging the breach complained of and, effectively, satisfying the first condition laid down in the Court</w:t>
      </w:r>
      <w:r w:rsidRPr="007268FB" w:rsidR="007268FB">
        <w:t>’</w:t>
      </w:r>
      <w:r w:rsidRPr="007268FB">
        <w:t>s case law. Moreover, the Constitutional Court awarded the applicant BAM 1,000 and ordered the proceedings in question to be expedited (see paragraph 8 above).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17</w:t>
      </w:r>
      <w:r w:rsidRPr="007268FB">
        <w:fldChar w:fldCharType="end"/>
      </w:r>
      <w:r w:rsidRPr="007268FB">
        <w:t>.  With regard to the second condition, the Court has already held in cases regarding violations of the reasonable-time requirement that one of the characteristics of sufficient redress, which may remove a litigant</w:t>
      </w:r>
      <w:r w:rsidRPr="007268FB" w:rsidR="007268FB">
        <w:t>’</w:t>
      </w:r>
      <w:r w:rsidRPr="007268FB">
        <w:t xml:space="preserve">s victim status, relates to the amount awarded as a result of using the domestic remedy (see </w:t>
      </w:r>
      <w:proofErr w:type="spellStart"/>
      <w:r w:rsidRPr="007268FB">
        <w:rPr>
          <w:i/>
        </w:rPr>
        <w:t>Cocchiarella</w:t>
      </w:r>
      <w:proofErr w:type="spellEnd"/>
      <w:r w:rsidRPr="007268FB">
        <w:rPr>
          <w:i/>
        </w:rPr>
        <w:t xml:space="preserve"> v. Italy</w:t>
      </w:r>
      <w:r w:rsidRPr="007268FB" w:rsidR="007208AD">
        <w:t xml:space="preserve"> [GC], no. 64886/01, § 93, ECHR </w:t>
      </w:r>
      <w:r w:rsidRPr="007268FB">
        <w:t>2006</w:t>
      </w:r>
      <w:r w:rsidRPr="007268FB">
        <w:noBreakHyphen/>
        <w:t xml:space="preserve">V). The Court can also perfectly well accept that a State which has introduced a number of remedies, one of which is designed to expedite proceedings and one to afford compensation, will award amounts which – while being lower than those awarded by the Court – are not unreasonable, on condition that the relevant decisions, which must be consonant with the legal tradition and the standard of living in the country concerned, are speedy, reasoned and executed very quickly (see </w:t>
      </w:r>
      <w:proofErr w:type="spellStart"/>
      <w:r w:rsidRPr="007268FB">
        <w:rPr>
          <w:i/>
        </w:rPr>
        <w:t>Cocchiarella</w:t>
      </w:r>
      <w:proofErr w:type="spellEnd"/>
      <w:r w:rsidRPr="007268FB">
        <w:rPr>
          <w:i/>
        </w:rPr>
        <w:t xml:space="preserve">, </w:t>
      </w:r>
      <w:r w:rsidRPr="007268FB">
        <w:t>cited above, § 97).</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18</w:t>
      </w:r>
      <w:r w:rsidRPr="007268FB">
        <w:fldChar w:fldCharType="end"/>
      </w:r>
      <w:r w:rsidRPr="007268FB">
        <w:t xml:space="preserve">.  The principles developed in the context of length-of-proceedings cases are also applicable in the situation where applicants complain of the protracted non-enforcement of final and enforceable judgments in their favour, as in the present case (see </w:t>
      </w:r>
      <w:proofErr w:type="spellStart"/>
      <w:r w:rsidRPr="007268FB">
        <w:rPr>
          <w:i/>
        </w:rPr>
        <w:t>Kudić</w:t>
      </w:r>
      <w:proofErr w:type="spellEnd"/>
      <w:r w:rsidRPr="007268FB">
        <w:rPr>
          <w:i/>
        </w:rPr>
        <w:t xml:space="preserve">, </w:t>
      </w:r>
      <w:r w:rsidRPr="007268FB">
        <w:t>cited above,</w:t>
      </w:r>
      <w:r w:rsidRPr="007268FB">
        <w:rPr>
          <w:i/>
        </w:rPr>
        <w:t xml:space="preserve"> </w:t>
      </w:r>
      <w:r w:rsidRPr="007268FB">
        <w:t>§ 17).</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19</w:t>
      </w:r>
      <w:r w:rsidRPr="007268FB">
        <w:fldChar w:fldCharType="end"/>
      </w:r>
      <w:r w:rsidRPr="007268FB">
        <w:t xml:space="preserve">.  Turning to the present case, the Court notes that although the Constitutional Court awarded the applicant non-pecuniary damage, the amount awarded does not correspond to what the Court would have been likely to award under Article 41 of the Convention. It therefore cannot be regarded as adequate in the circumstances of the case (see, </w:t>
      </w:r>
      <w:r w:rsidRPr="007268FB">
        <w:rPr>
          <w:i/>
        </w:rPr>
        <w:t>mutatis mutandis</w:t>
      </w:r>
      <w:r w:rsidRPr="007268FB">
        <w:t>,</w:t>
      </w:r>
      <w:r w:rsidRPr="007268FB">
        <w:rPr>
          <w:i/>
        </w:rPr>
        <w:t xml:space="preserve"> </w:t>
      </w:r>
      <w:proofErr w:type="spellStart"/>
      <w:r w:rsidRPr="007268FB">
        <w:rPr>
          <w:i/>
        </w:rPr>
        <w:t>Kudić</w:t>
      </w:r>
      <w:proofErr w:type="spellEnd"/>
      <w:r w:rsidRPr="007268FB">
        <w:t xml:space="preserve">, cited above, § 18, and </w:t>
      </w:r>
      <w:proofErr w:type="spellStart"/>
      <w:r w:rsidRPr="007268FB">
        <w:rPr>
          <w:i/>
        </w:rPr>
        <w:t>Alagić</w:t>
      </w:r>
      <w:proofErr w:type="spellEnd"/>
      <w:r w:rsidRPr="007268FB">
        <w:rPr>
          <w:i/>
        </w:rPr>
        <w:t xml:space="preserve"> v. Croatia</w:t>
      </w:r>
      <w:r w:rsidRPr="007268FB">
        <w:t xml:space="preserve">, no. 17656/07, </w:t>
      </w:r>
      <w:r w:rsidRPr="007268FB">
        <w:rPr>
          <w:rFonts w:cstheme="minorHAnsi"/>
        </w:rPr>
        <w:t>§ </w:t>
      </w:r>
      <w:r w:rsidRPr="007268FB">
        <w:t>21, 11 February 2010). Furthermore, the Constitutional Court</w:t>
      </w:r>
      <w:r w:rsidRPr="007268FB" w:rsidR="007268FB">
        <w:t>’</w:t>
      </w:r>
      <w:r w:rsidRPr="007268FB">
        <w:t>s judgment of 15 June 2017 remained unenforced in the part ordering to expedite the enforcement proceedings which were, on 28 June 2019, still pending (see paragraph 11 above).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20</w:t>
      </w:r>
      <w:r w:rsidRPr="007268FB">
        <w:fldChar w:fldCharType="end"/>
      </w:r>
      <w:r w:rsidRPr="007268FB">
        <w:t>.  The applicant can therefore still claim to be a “victim” within the meaning of Article 34 of the Convention and the Government</w:t>
      </w:r>
      <w:r w:rsidRPr="007268FB" w:rsidR="007268FB">
        <w:t>’</w:t>
      </w:r>
      <w:r w:rsidRPr="007268FB">
        <w:t>s objection must be dismissed.</w:t>
      </w:r>
    </w:p>
    <w:p w:rsidRPr="007268FB" w:rsidR="00CB656C" w:rsidP="007268FB" w:rsidRDefault="00CB656C">
      <w:pPr>
        <w:pStyle w:val="JuH1"/>
      </w:pPr>
      <w:r w:rsidRPr="007268FB">
        <w:t>Other grounds of inadmissibility</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21</w:t>
      </w:r>
      <w:r w:rsidRPr="007268FB">
        <w:fldChar w:fldCharType="end"/>
      </w:r>
      <w:r w:rsidRPr="007268FB">
        <w:t>.  The Court notes that this application is neither manifestly ill</w:t>
      </w:r>
      <w:r w:rsidRPr="007268FB">
        <w:noBreakHyphen/>
        <w:t>founded within the meaning of Article 35 § 3 of the Convention nor inadmissible on any other grounds. It must therefore be declared admissible.</w:t>
      </w:r>
    </w:p>
    <w:p w:rsidRPr="007268FB" w:rsidR="00CB656C" w:rsidP="007268FB" w:rsidRDefault="00CB656C">
      <w:pPr>
        <w:pStyle w:val="JuHA"/>
      </w:pPr>
      <w:r w:rsidRPr="007268FB">
        <w:t>Merits</w:t>
      </w:r>
    </w:p>
    <w:bookmarkStart w:name="P22" w:id="7"/>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22</w:t>
      </w:r>
      <w:r w:rsidRPr="007268FB">
        <w:fldChar w:fldCharType="end"/>
      </w:r>
      <w:bookmarkEnd w:id="7"/>
      <w:r w:rsidRPr="007268FB">
        <w:t>.  The Government argued that over the past few years the Constitutional Court had been facing a large number of similar applications concerning the length of enforcement proceedings which were not isolated incidents but a consequence of systemic flaws in the organisation of the judiciary. However, certain measures have been employed in order to remedy that situation.</w:t>
      </w:r>
    </w:p>
    <w:p w:rsidRPr="007268FB" w:rsidR="00CB656C" w:rsidP="007268FB" w:rsidRDefault="00CB656C">
      <w:pPr>
        <w:pStyle w:val="JuPara"/>
        <w:rPr>
          <w:rFonts w:eastAsiaTheme="minorHAnsi"/>
        </w:rPr>
      </w:pPr>
      <w:r w:rsidRPr="007268FB">
        <w:fldChar w:fldCharType="begin"/>
      </w:r>
      <w:r w:rsidRPr="007268FB">
        <w:instrText xml:space="preserve"> SEQ level0 \*arabic </w:instrText>
      </w:r>
      <w:r w:rsidRPr="007268FB">
        <w:fldChar w:fldCharType="separate"/>
      </w:r>
      <w:r w:rsidRPr="007268FB" w:rsidR="007268FB">
        <w:rPr>
          <w:noProof/>
        </w:rPr>
        <w:t>23</w:t>
      </w:r>
      <w:r w:rsidRPr="007268FB">
        <w:fldChar w:fldCharType="end"/>
      </w:r>
      <w:r w:rsidRPr="007268FB">
        <w:t xml:space="preserve">.  The Court reiterates that the </w:t>
      </w:r>
      <w:r w:rsidRPr="007268FB">
        <w:rPr>
          <w:rFonts w:eastAsiaTheme="minorHAnsi"/>
          <w:lang w:val="en-US"/>
        </w:rPr>
        <w:t>general principles relating to the non</w:t>
      </w:r>
      <w:r w:rsidRPr="007268FB">
        <w:rPr>
          <w:rFonts w:eastAsiaTheme="minorHAnsi"/>
          <w:lang w:val="en-US"/>
        </w:rPr>
        <w:noBreakHyphen/>
        <w:t xml:space="preserve">enforcement of domestic judgments were set out in </w:t>
      </w:r>
      <w:proofErr w:type="spellStart"/>
      <w:r w:rsidRPr="007268FB">
        <w:rPr>
          <w:rFonts w:eastAsiaTheme="minorHAnsi"/>
          <w:i/>
          <w:iCs/>
          <w:lang w:val="en-US"/>
        </w:rPr>
        <w:t>Jeličić</w:t>
      </w:r>
      <w:proofErr w:type="spellEnd"/>
      <w:r w:rsidRPr="007268FB">
        <w:rPr>
          <w:rFonts w:eastAsiaTheme="minorHAnsi"/>
          <w:i/>
          <w:iCs/>
          <w:lang w:val="en-US"/>
        </w:rPr>
        <w:t xml:space="preserve"> v. Bosnia and Herzegovina</w:t>
      </w:r>
      <w:r w:rsidRPr="007268FB">
        <w:rPr>
          <w:rFonts w:eastAsiaTheme="minorHAnsi"/>
          <w:lang w:val="en-US"/>
        </w:rPr>
        <w:t xml:space="preserve"> (no. 41183/02, §§ 38-39, ECHR 2006 XII). Admittedly, a</w:t>
      </w:r>
      <w:r w:rsidRPr="007268FB" w:rsidR="007208AD">
        <w:rPr>
          <w:rFonts w:eastAsiaTheme="minorHAnsi"/>
        </w:rPr>
        <w:t xml:space="preserve"> </w:t>
      </w:r>
      <w:r w:rsidRPr="007268FB">
        <w:rPr>
          <w:rFonts w:eastAsiaTheme="minorHAnsi"/>
          <w:lang w:val="en-US"/>
        </w:rPr>
        <w:t xml:space="preserve">delay in the execution of a judgment may be justified in particular circumstances, but the delay may not be such as to impair the essence of the right protected under Article 6 § 1 (see </w:t>
      </w:r>
      <w:proofErr w:type="spellStart"/>
      <w:r w:rsidRPr="007268FB">
        <w:rPr>
          <w:rFonts w:eastAsiaTheme="minorHAnsi"/>
          <w:i/>
          <w:iCs/>
          <w:lang w:val="en-US"/>
        </w:rPr>
        <w:t>Burdov</w:t>
      </w:r>
      <w:proofErr w:type="spellEnd"/>
      <w:r w:rsidRPr="007268FB">
        <w:rPr>
          <w:rFonts w:eastAsiaTheme="minorHAnsi"/>
          <w:i/>
          <w:iCs/>
          <w:lang w:val="en-US"/>
        </w:rPr>
        <w:t xml:space="preserve"> v. Russia</w:t>
      </w:r>
      <w:r w:rsidRPr="007268FB">
        <w:rPr>
          <w:rFonts w:eastAsiaTheme="minorHAnsi"/>
          <w:lang w:val="en-US"/>
        </w:rPr>
        <w:t>, no. 59498/00, § 35, ECHR 2002</w:t>
      </w:r>
      <w:r w:rsidRPr="007268FB">
        <w:rPr>
          <w:rFonts w:eastAsiaTheme="minorHAnsi"/>
          <w:lang w:val="en-US"/>
        </w:rPr>
        <w:noBreakHyphen/>
        <w:t xml:space="preserve">III, and </w:t>
      </w:r>
      <w:proofErr w:type="spellStart"/>
      <w:r w:rsidRPr="007268FB">
        <w:rPr>
          <w:rFonts w:eastAsiaTheme="minorHAnsi"/>
          <w:i/>
          <w:iCs/>
          <w:lang w:val="en-US"/>
        </w:rPr>
        <w:t>Teteriny</w:t>
      </w:r>
      <w:proofErr w:type="spellEnd"/>
      <w:r w:rsidRPr="007268FB">
        <w:rPr>
          <w:rFonts w:eastAsiaTheme="minorHAnsi"/>
          <w:i/>
          <w:iCs/>
          <w:lang w:val="en-US"/>
        </w:rPr>
        <w:t xml:space="preserve"> v. Russia</w:t>
      </w:r>
      <w:r w:rsidRPr="007268FB">
        <w:rPr>
          <w:rFonts w:eastAsiaTheme="minorHAnsi"/>
          <w:lang w:val="en-US"/>
        </w:rPr>
        <w:t xml:space="preserve">, no. 11931/03, § 41, 30 June </w:t>
      </w:r>
      <w:r w:rsidRPr="007268FB">
        <w:rPr>
          <w:rFonts w:eastAsiaTheme="minorHAnsi"/>
        </w:rPr>
        <w:t>2005).</w:t>
      </w:r>
    </w:p>
    <w:p w:rsidRPr="007268FB" w:rsidR="00CB656C" w:rsidP="007268FB" w:rsidRDefault="00CB656C">
      <w:pPr>
        <w:pStyle w:val="JuPara"/>
        <w:rPr>
          <w:rFonts w:ascii="Times New Roman" w:hAnsi="Times New Roman" w:cs="Times New Roman" w:eastAsiaTheme="minorHAnsi"/>
          <w:color w:val="000000"/>
          <w:szCs w:val="24"/>
        </w:rPr>
      </w:pPr>
      <w:r w:rsidRPr="007268FB">
        <w:fldChar w:fldCharType="begin"/>
      </w:r>
      <w:r w:rsidRPr="007268FB">
        <w:instrText xml:space="preserve"> SEQ level0 \*arabic </w:instrText>
      </w:r>
      <w:r w:rsidRPr="007268FB">
        <w:fldChar w:fldCharType="separate"/>
      </w:r>
      <w:r w:rsidRPr="007268FB" w:rsidR="007268FB">
        <w:rPr>
          <w:noProof/>
        </w:rPr>
        <w:t>24</w:t>
      </w:r>
      <w:r w:rsidRPr="007268FB">
        <w:fldChar w:fldCharType="end"/>
      </w:r>
      <w:r w:rsidRPr="007268FB">
        <w:t>.  </w:t>
      </w:r>
      <w:r w:rsidRPr="007268FB">
        <w:rPr>
          <w:rFonts w:ascii="Times New Roman" w:hAnsi="Times New Roman" w:cs="Times New Roman" w:eastAsiaTheme="minorHAnsi"/>
          <w:color w:val="000000"/>
          <w:szCs w:val="24"/>
        </w:rPr>
        <w:t>In addition, the Court reiterates that the impossibility of obtaining the execution of a final judgment in an applicant</w:t>
      </w:r>
      <w:r w:rsidRPr="007268FB" w:rsidR="007268FB">
        <w:rPr>
          <w:rFonts w:ascii="Times New Roman" w:hAnsi="Times New Roman" w:cs="Times New Roman" w:eastAsiaTheme="minorHAnsi"/>
          <w:color w:val="000000"/>
          <w:szCs w:val="24"/>
        </w:rPr>
        <w:t>’</w:t>
      </w:r>
      <w:r w:rsidRPr="007268FB">
        <w:rPr>
          <w:rFonts w:ascii="Times New Roman" w:hAnsi="Times New Roman" w:cs="Times New Roman" w:eastAsiaTheme="minorHAnsi"/>
          <w:color w:val="000000"/>
          <w:szCs w:val="24"/>
        </w:rPr>
        <w:t xml:space="preserve">s favour constitutes an interference with his or her right to the peaceful enjoyment of possessions, as set out in the first sentence of the first paragraph of Article 1 of Protocol No. 1 (see, among other authorities, </w:t>
      </w:r>
      <w:proofErr w:type="spellStart"/>
      <w:r w:rsidRPr="007268FB">
        <w:rPr>
          <w:rFonts w:ascii="Times New Roman" w:hAnsi="Times New Roman" w:cs="Times New Roman" w:eastAsiaTheme="minorHAnsi"/>
          <w:i/>
          <w:iCs/>
          <w:color w:val="000000"/>
          <w:szCs w:val="24"/>
        </w:rPr>
        <w:t>Burdov</w:t>
      </w:r>
      <w:proofErr w:type="spellEnd"/>
      <w:r w:rsidRPr="007268FB">
        <w:rPr>
          <w:rFonts w:ascii="Times New Roman" w:hAnsi="Times New Roman" w:cs="Times New Roman" w:eastAsiaTheme="minorHAnsi"/>
          <w:color w:val="000000"/>
          <w:szCs w:val="24"/>
        </w:rPr>
        <w:t xml:space="preserve">, cited above, § 40; </w:t>
      </w:r>
      <w:proofErr w:type="spellStart"/>
      <w:r w:rsidRPr="007268FB">
        <w:rPr>
          <w:rFonts w:ascii="Times New Roman" w:hAnsi="Times New Roman" w:cs="Times New Roman" w:eastAsiaTheme="minorHAnsi"/>
          <w:i/>
          <w:iCs/>
          <w:color w:val="000000"/>
          <w:szCs w:val="24"/>
        </w:rPr>
        <w:t>Jasiūnienė</w:t>
      </w:r>
      <w:proofErr w:type="spellEnd"/>
      <w:r w:rsidRPr="007268FB">
        <w:rPr>
          <w:rFonts w:ascii="Times New Roman" w:hAnsi="Times New Roman" w:cs="Times New Roman" w:eastAsiaTheme="minorHAnsi"/>
          <w:i/>
          <w:iCs/>
          <w:color w:val="000000"/>
          <w:szCs w:val="24"/>
        </w:rPr>
        <w:t xml:space="preserve"> v. Lithuania</w:t>
      </w:r>
      <w:r w:rsidRPr="007268FB">
        <w:rPr>
          <w:rFonts w:ascii="Times New Roman" w:hAnsi="Times New Roman" w:cs="Times New Roman" w:eastAsiaTheme="minorHAnsi"/>
          <w:color w:val="000000"/>
          <w:szCs w:val="24"/>
        </w:rPr>
        <w:t xml:space="preserve">, no. 41510/98, § 45, 6 March 2003; and </w:t>
      </w:r>
      <w:proofErr w:type="spellStart"/>
      <w:r w:rsidRPr="007268FB">
        <w:rPr>
          <w:rFonts w:ascii="Times New Roman" w:hAnsi="Times New Roman" w:cs="Times New Roman" w:eastAsiaTheme="minorHAnsi"/>
          <w:i/>
          <w:iCs/>
          <w:color w:val="000000"/>
          <w:szCs w:val="24"/>
        </w:rPr>
        <w:t>Voytenko</w:t>
      </w:r>
      <w:proofErr w:type="spellEnd"/>
      <w:r w:rsidRPr="007268FB">
        <w:rPr>
          <w:rFonts w:ascii="Times New Roman" w:hAnsi="Times New Roman" w:cs="Times New Roman" w:eastAsiaTheme="minorHAnsi"/>
          <w:i/>
          <w:iCs/>
          <w:color w:val="000000"/>
          <w:szCs w:val="24"/>
        </w:rPr>
        <w:t xml:space="preserve"> v. Ukraine</w:t>
      </w:r>
      <w:r w:rsidRPr="007268FB">
        <w:rPr>
          <w:rFonts w:ascii="Times New Roman" w:hAnsi="Times New Roman" w:cs="Times New Roman" w:eastAsiaTheme="minorHAnsi"/>
          <w:color w:val="000000"/>
          <w:szCs w:val="24"/>
        </w:rPr>
        <w:t>, no. 18966/02, § 53, 29 June 2004).</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25</w:t>
      </w:r>
      <w:r w:rsidRPr="007268FB">
        <w:fldChar w:fldCharType="end"/>
      </w:r>
      <w:r w:rsidRPr="007268FB">
        <w:t>.  The Court observes that on 29 August 2012 the applicant lodged a request for enforcement of the court-approved settlement of 26 April 2012 (see paragraphs 5 and 6 above). Despite the fact that the Constitutional Court acknowledged the breach of Article 6 of the Convention, awarded the applicant non-pecuniary damages and ordered the enforcement proceedings to be expedited (see paragraph 8 above), the proceedings in question were, on the date of the latest information available to the Court (28 June 2019 – see paragraph 11 above), still pending. The Government did not put forward any argument justifying the absence of activities on the part of the domestic authorities. The information concerning the general situation in the judiciary, provided by the Government (see paragraph 22 above), cannot justify the prolonged non-enforcement in the present case.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26</w:t>
      </w:r>
      <w:r w:rsidRPr="007268FB">
        <w:fldChar w:fldCharType="end"/>
      </w:r>
      <w:r w:rsidRPr="007268FB">
        <w:t xml:space="preserve">.  In view of the above and the fact that the court-approved settlement of 26 April 2012 remained unenforced at least until 28 June 2019, the Court concludes that there has been a violation of Article 6 </w:t>
      </w:r>
      <w:r w:rsidRPr="007268FB">
        <w:rPr>
          <w:rFonts w:ascii="Times New Roman" w:hAnsi="Times New Roman" w:cs="Times New Roman" w:eastAsiaTheme="minorHAnsi"/>
          <w:color w:val="000000"/>
          <w:szCs w:val="24"/>
        </w:rPr>
        <w:t>§ 1</w:t>
      </w:r>
      <w:r w:rsidRPr="007268FB">
        <w:t xml:space="preserve"> of the Convention and Article 1 of Protocol No. 1 to the Convention.</w:t>
      </w:r>
    </w:p>
    <w:p w:rsidRPr="007268FB" w:rsidR="00CB656C" w:rsidP="007268FB" w:rsidRDefault="00CB656C">
      <w:pPr>
        <w:pStyle w:val="JuHIRoman"/>
      </w:pPr>
      <w:r w:rsidRPr="007268FB">
        <w:t>APPLICATION OF ARTICLE 41 OF THE CONVENTION</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27</w:t>
      </w:r>
      <w:r w:rsidRPr="007268FB">
        <w:fldChar w:fldCharType="end"/>
      </w:r>
      <w:r w:rsidRPr="007268FB">
        <w:t>.  Article 41 of the Convention provides:</w:t>
      </w:r>
    </w:p>
    <w:p w:rsidRPr="007268FB" w:rsidR="00CB656C" w:rsidP="007268FB" w:rsidRDefault="00CB656C">
      <w:pPr>
        <w:pStyle w:val="JuQuot"/>
        <w:keepNext/>
        <w:keepLines/>
      </w:pPr>
      <w:r w:rsidRPr="007268F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68FB" w:rsidR="00CB656C" w:rsidP="007268FB" w:rsidRDefault="00CB656C">
      <w:pPr>
        <w:pStyle w:val="JuHA"/>
      </w:pPr>
      <w:r w:rsidRPr="007268FB">
        <w:t>Damage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28</w:t>
      </w:r>
      <w:r w:rsidRPr="007268FB">
        <w:fldChar w:fldCharType="end"/>
      </w:r>
      <w:r w:rsidRPr="007268FB">
        <w:t xml:space="preserve">.  The </w:t>
      </w:r>
      <w:r w:rsidRPr="007268FB">
        <w:rPr>
          <w:szCs w:val="24"/>
        </w:rPr>
        <w:t>applicant</w:t>
      </w:r>
      <w:r w:rsidRPr="007268FB">
        <w:t xml:space="preserve"> claimed EUR 2,100 in respect of non-pecuniary damage.</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29</w:t>
      </w:r>
      <w:r w:rsidRPr="007268FB">
        <w:fldChar w:fldCharType="end"/>
      </w:r>
      <w:r w:rsidRPr="007268FB">
        <w:t>.  The Government considered this amount to be excessive and unjustified.</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30</w:t>
      </w:r>
      <w:r w:rsidRPr="007268FB">
        <w:fldChar w:fldCharType="end"/>
      </w:r>
      <w:r w:rsidRPr="007268FB">
        <w:t>.  According to the Court</w:t>
      </w:r>
      <w:r w:rsidRPr="007268FB" w:rsidR="007268FB">
        <w:t>’</w:t>
      </w:r>
      <w:r w:rsidRPr="007268FB">
        <w:t>s case-law and having in mind that the Constitutional Court already awarded the applicant approximately EUR 500 for non-pecuniary damage (see paragraph 8 above), the Court considers it reasonable to award the applicant EUR 1,600 under this head.</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31</w:t>
      </w:r>
      <w:r w:rsidRPr="007268FB">
        <w:fldChar w:fldCharType="end"/>
      </w:r>
      <w:r w:rsidRPr="007268FB">
        <w:t xml:space="preserve">.  The Court further notes that </w:t>
      </w:r>
      <w:r w:rsidRPr="007268FB">
        <w:rPr>
          <w:lang w:val="en-US"/>
        </w:rPr>
        <w:t xml:space="preserve">the </w:t>
      </w:r>
      <w:r w:rsidRPr="007268FB">
        <w:t>respondent State has an outstanding obligation to ensure that all the necessary steps are taken to allow the domestic proceedings under consideration in this case to be concluded as speedily as possible, taking into account the requirements of the proper administration of justice.</w:t>
      </w:r>
    </w:p>
    <w:p w:rsidRPr="007268FB" w:rsidR="00CB656C" w:rsidP="007268FB" w:rsidRDefault="00CB656C">
      <w:pPr>
        <w:pStyle w:val="JuHA"/>
      </w:pPr>
      <w:r w:rsidRPr="007268FB">
        <w:t>Costs and expenses</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32</w:t>
      </w:r>
      <w:r w:rsidRPr="007268FB">
        <w:fldChar w:fldCharType="end"/>
      </w:r>
      <w:r w:rsidRPr="007268FB">
        <w:t xml:space="preserve">.  The </w:t>
      </w:r>
      <w:r w:rsidRPr="007268FB">
        <w:rPr>
          <w:szCs w:val="24"/>
        </w:rPr>
        <w:t>applicant</w:t>
      </w:r>
      <w:r w:rsidRPr="007268FB">
        <w:t xml:space="preserve"> also claimed EUR 500 for the costs and expenses incurred before the Constitutional Court and before the Court.</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33</w:t>
      </w:r>
      <w:r w:rsidRPr="007268FB">
        <w:fldChar w:fldCharType="end"/>
      </w:r>
      <w:r w:rsidRPr="007268FB">
        <w:t>.  The Government contested this amount finding it unjustified.</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34</w:t>
      </w:r>
      <w:r w:rsidRPr="007268FB">
        <w:fldChar w:fldCharType="end"/>
      </w:r>
      <w:r w:rsidRPr="007268FB">
        <w:t>.  According to the Court</w:t>
      </w:r>
      <w:r w:rsidRPr="007268FB" w:rsidR="007268FB">
        <w:t>’</w:t>
      </w:r>
      <w:r w:rsidRPr="007268FB">
        <w:t xml:space="preserve">s case-law, an applicant is entitled to the reimbursement of costs and expenses only in so far as it has been shown that these have been actually and necessarily incurred and are reasonable as to quantum. That is, the applicant must have paid them, or be bound to pay them, pursuant to a legal or contractual obligation, and they must have been unavoidable in order to prevent the violation found or to obtain redress (see </w:t>
      </w:r>
      <w:proofErr w:type="spellStart"/>
      <w:r w:rsidRPr="007268FB">
        <w:rPr>
          <w:i/>
        </w:rPr>
        <w:t>Maktouf</w:t>
      </w:r>
      <w:proofErr w:type="spellEnd"/>
      <w:r w:rsidRPr="007268FB">
        <w:rPr>
          <w:i/>
        </w:rPr>
        <w:t xml:space="preserve"> and </w:t>
      </w:r>
      <w:proofErr w:type="spellStart"/>
      <w:r w:rsidRPr="007268FB">
        <w:rPr>
          <w:i/>
        </w:rPr>
        <w:t>Damjanović</w:t>
      </w:r>
      <w:proofErr w:type="spellEnd"/>
      <w:r w:rsidRPr="007268FB">
        <w:rPr>
          <w:snapToGrid w:val="0"/>
        </w:rPr>
        <w:t xml:space="preserve"> </w:t>
      </w:r>
      <w:r w:rsidRPr="007268FB">
        <w:rPr>
          <w:i/>
        </w:rPr>
        <w:t>v. Bosnia and Herzegovina</w:t>
      </w:r>
      <w:r w:rsidRPr="007268FB">
        <w:t xml:space="preserve"> [GC]</w:t>
      </w:r>
      <w:r w:rsidRPr="007268FB">
        <w:rPr>
          <w:snapToGrid w:val="0"/>
        </w:rPr>
        <w:t xml:space="preserve">, nos. 2312/08 and 34179/08, § 94, </w:t>
      </w:r>
      <w:r w:rsidRPr="007268FB">
        <w:t>ECHR 2013 (extracts)). In the present case, regard being had to the documents in its possession and the above criteria, the Court considers it reasonable to award the sum of EUR 500 covering all costs.</w:t>
      </w:r>
    </w:p>
    <w:p w:rsidRPr="007268FB" w:rsidR="00CB656C" w:rsidP="007268FB" w:rsidRDefault="00CB656C">
      <w:pPr>
        <w:pStyle w:val="JuHA"/>
      </w:pPr>
      <w:r w:rsidRPr="007268FB">
        <w:t>Default interest</w:t>
      </w:r>
    </w:p>
    <w:p w:rsidRPr="007268FB" w:rsidR="00CB656C" w:rsidP="007268FB" w:rsidRDefault="00CB656C">
      <w:pPr>
        <w:pStyle w:val="JuPara"/>
      </w:pPr>
      <w:r w:rsidRPr="007268FB">
        <w:fldChar w:fldCharType="begin"/>
      </w:r>
      <w:r w:rsidRPr="007268FB">
        <w:instrText xml:space="preserve"> SEQ level0 \*arabic </w:instrText>
      </w:r>
      <w:r w:rsidRPr="007268FB">
        <w:fldChar w:fldCharType="separate"/>
      </w:r>
      <w:r w:rsidRPr="007268FB" w:rsidR="007268FB">
        <w:rPr>
          <w:noProof/>
        </w:rPr>
        <w:t>35</w:t>
      </w:r>
      <w:r w:rsidRPr="007268FB">
        <w:fldChar w:fldCharType="end"/>
      </w:r>
      <w:r w:rsidRPr="007268FB">
        <w:t>.  The Court considers it appropriate that the default interest rate should be based on the marginal lending rate of the European Central Bank, to which should be added three percentage points.</w:t>
      </w:r>
    </w:p>
    <w:p w:rsidRPr="007268FB" w:rsidR="00CB656C" w:rsidP="007268FB" w:rsidRDefault="00CB656C">
      <w:pPr>
        <w:pStyle w:val="JuHHead"/>
      </w:pPr>
      <w:r w:rsidRPr="007268FB">
        <w:t>FOR THESE REASONS, THE COURT, UNANIMOUSLY,</w:t>
      </w:r>
    </w:p>
    <w:p w:rsidRPr="007268FB" w:rsidR="00CB656C" w:rsidP="007268FB" w:rsidRDefault="00CB656C">
      <w:pPr>
        <w:pStyle w:val="JuList"/>
        <w:ind w:left="0" w:firstLine="0"/>
      </w:pPr>
      <w:r w:rsidRPr="007268FB">
        <w:rPr>
          <w:i/>
        </w:rPr>
        <w:t>Declares</w:t>
      </w:r>
      <w:r w:rsidRPr="007268FB">
        <w:rPr>
          <w:color w:val="000000"/>
        </w:rPr>
        <w:t xml:space="preserve"> </w:t>
      </w:r>
      <w:r w:rsidRPr="007268FB">
        <w:t>the application admissible;</w:t>
      </w:r>
    </w:p>
    <w:p w:rsidRPr="007268FB" w:rsidR="00CB656C" w:rsidP="007268FB" w:rsidRDefault="00CB656C">
      <w:pPr>
        <w:pStyle w:val="JuList"/>
      </w:pPr>
      <w:r w:rsidRPr="007268FB">
        <w:rPr>
          <w:i/>
        </w:rPr>
        <w:t>Holds</w:t>
      </w:r>
      <w:r w:rsidRPr="007268FB">
        <w:rPr>
          <w:color w:val="000000"/>
        </w:rPr>
        <w:t xml:space="preserve"> </w:t>
      </w:r>
      <w:r w:rsidRPr="007268FB">
        <w:t xml:space="preserve">that there has been a violation of Article 6 </w:t>
      </w:r>
      <w:r w:rsidRPr="007268FB">
        <w:rPr>
          <w:rFonts w:cstheme="minorHAnsi"/>
        </w:rPr>
        <w:t>§</w:t>
      </w:r>
      <w:r w:rsidRPr="007268FB">
        <w:t xml:space="preserve"> 1 of the Convention and Article 1 of Protocol No. 1 to the Convention;</w:t>
      </w:r>
    </w:p>
    <w:p w:rsidRPr="007268FB" w:rsidR="00CB656C" w:rsidP="007268FB" w:rsidRDefault="00CB656C">
      <w:pPr>
        <w:pStyle w:val="JuList"/>
      </w:pPr>
      <w:r w:rsidRPr="007268FB">
        <w:rPr>
          <w:i/>
        </w:rPr>
        <w:t>Holds</w:t>
      </w:r>
    </w:p>
    <w:p w:rsidRPr="007268FB" w:rsidR="00CB656C" w:rsidP="007268FB" w:rsidRDefault="00CB656C">
      <w:pPr>
        <w:pStyle w:val="JuLista"/>
      </w:pPr>
      <w:r w:rsidRPr="007268FB">
        <w:t>that the respondent State is to ensure that all the necessary steps are taken to allow the domestic proceedings under consideration in this case to be concluded as speedily as possible, taking into account the requirements of the proper administration of justice, and to pay the applicant, within three months, the following amounts, to be converted into the currency of the respondent State at the rate applicable at the date of settlement:</w:t>
      </w:r>
    </w:p>
    <w:p w:rsidRPr="007268FB" w:rsidR="00CB656C" w:rsidP="007268FB" w:rsidRDefault="00CB656C">
      <w:pPr>
        <w:pStyle w:val="JuListi"/>
      </w:pPr>
      <w:r w:rsidRPr="007268FB">
        <w:t>EUR 1,600 (one thousand six hundred euros), plus any tax that may be chargeable, in respect of non-pecuniary damage;</w:t>
      </w:r>
    </w:p>
    <w:p w:rsidRPr="007268FB" w:rsidR="00CB656C" w:rsidP="007268FB" w:rsidRDefault="00CB656C">
      <w:pPr>
        <w:pStyle w:val="JuListi"/>
      </w:pPr>
      <w:r w:rsidRPr="007268FB">
        <w:t xml:space="preserve">EUR 500 (five hundred euros), plus any tax that may be chargeable to the </w:t>
      </w:r>
      <w:r w:rsidRPr="007268FB">
        <w:rPr>
          <w:szCs w:val="24"/>
        </w:rPr>
        <w:t>applicant</w:t>
      </w:r>
      <w:r w:rsidRPr="007268FB">
        <w:t>, in respect of costs and expenses;</w:t>
      </w:r>
    </w:p>
    <w:p w:rsidRPr="007268FB" w:rsidR="00CB656C" w:rsidP="007268FB" w:rsidRDefault="00CB656C">
      <w:pPr>
        <w:pStyle w:val="JuLista"/>
      </w:pPr>
      <w:r w:rsidRPr="007268F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268FB" w:rsidR="004D0EC7" w:rsidP="007268FB" w:rsidRDefault="00CB656C">
      <w:pPr>
        <w:pStyle w:val="JuList"/>
      </w:pPr>
      <w:r w:rsidRPr="007268FB">
        <w:rPr>
          <w:i/>
        </w:rPr>
        <w:t>Dismisses</w:t>
      </w:r>
      <w:r w:rsidRPr="007268FB">
        <w:rPr>
          <w:color w:val="000000"/>
        </w:rPr>
        <w:t xml:space="preserve"> </w:t>
      </w:r>
      <w:r w:rsidRPr="007268FB">
        <w:t xml:space="preserve">the remainder of the </w:t>
      </w:r>
      <w:r w:rsidRPr="007268FB">
        <w:rPr>
          <w:szCs w:val="24"/>
        </w:rPr>
        <w:t>applicant</w:t>
      </w:r>
      <w:r w:rsidRPr="007268FB" w:rsidR="007268FB">
        <w:rPr>
          <w:szCs w:val="24"/>
        </w:rPr>
        <w:t>’</w:t>
      </w:r>
      <w:r w:rsidRPr="007268FB">
        <w:rPr>
          <w:szCs w:val="24"/>
        </w:rPr>
        <w:t>s</w:t>
      </w:r>
      <w:r w:rsidRPr="007268FB">
        <w:t xml:space="preserve"> claim for just satisfaction.</w:t>
      </w:r>
    </w:p>
    <w:p w:rsidRPr="007268FB" w:rsidR="008E3A08" w:rsidP="007268FB" w:rsidRDefault="007E2C8C">
      <w:pPr>
        <w:pStyle w:val="JuParaLast"/>
      </w:pPr>
      <w:r w:rsidRPr="007268FB">
        <w:t xml:space="preserve">Done in English, and notified in writing on </w:t>
      </w:r>
      <w:r w:rsidRPr="007268FB" w:rsidR="00CB656C">
        <w:rPr>
          <w:rFonts w:ascii="Times New Roman" w:hAnsi="Times New Roman" w:cs="Times New Roman"/>
        </w:rPr>
        <w:t>3 December 2019</w:t>
      </w:r>
      <w:r w:rsidRPr="007268FB">
        <w:t>, pursuant to Rule 77 §§ 2 and 3 of the Rules of Court.</w:t>
      </w:r>
    </w:p>
    <w:p w:rsidRPr="007268FB" w:rsidR="001C055B" w:rsidP="007268FB" w:rsidRDefault="007208AD">
      <w:pPr>
        <w:pStyle w:val="JuSigned"/>
      </w:pPr>
      <w:r w:rsidRPr="007268FB">
        <w:tab/>
      </w:r>
      <w:r w:rsidRPr="007268FB" w:rsidR="00CB656C">
        <w:t>Andrea Tamietti</w:t>
      </w:r>
      <w:r w:rsidRPr="007268FB" w:rsidR="005879A2">
        <w:t xml:space="preserve"> </w:t>
      </w:r>
      <w:r w:rsidRPr="007268FB" w:rsidR="009F4C8F">
        <w:tab/>
      </w:r>
      <w:r w:rsidRPr="007268FB" w:rsidR="00CB656C">
        <w:rPr>
          <w:szCs w:val="24"/>
        </w:rPr>
        <w:t xml:space="preserve">Iulia </w:t>
      </w:r>
      <w:proofErr w:type="spellStart"/>
      <w:r w:rsidRPr="007268FB" w:rsidR="00CB656C">
        <w:rPr>
          <w:szCs w:val="24"/>
        </w:rPr>
        <w:t>Antoanella</w:t>
      </w:r>
      <w:proofErr w:type="spellEnd"/>
      <w:r w:rsidRPr="007268FB" w:rsidR="00CB656C">
        <w:rPr>
          <w:szCs w:val="24"/>
        </w:rPr>
        <w:t xml:space="preserve"> </w:t>
      </w:r>
      <w:proofErr w:type="spellStart"/>
      <w:r w:rsidRPr="007268FB" w:rsidR="00CB656C">
        <w:rPr>
          <w:szCs w:val="24"/>
        </w:rPr>
        <w:t>Motoc</w:t>
      </w:r>
      <w:proofErr w:type="spellEnd"/>
      <w:r w:rsidRPr="007268FB" w:rsidR="009F4C8F">
        <w:rPr>
          <w:szCs w:val="24"/>
        </w:rPr>
        <w:br/>
      </w:r>
      <w:r w:rsidRPr="007268FB" w:rsidR="00CB656C">
        <w:t xml:space="preserve">Deputy </w:t>
      </w:r>
      <w:r w:rsidRPr="007268FB" w:rsidR="00CB656C">
        <w:rPr>
          <w:iCs/>
        </w:rPr>
        <w:t>Registrar</w:t>
      </w:r>
      <w:r w:rsidRPr="007268FB" w:rsidR="009F4C8F">
        <w:tab/>
        <w:t>President</w:t>
      </w:r>
    </w:p>
    <w:sectPr w:rsidRPr="007268FB"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56C" w:rsidRPr="00085457" w:rsidRDefault="00CB656C" w:rsidP="0098410D">
      <w:r w:rsidRPr="00085457">
        <w:separator/>
      </w:r>
    </w:p>
  </w:endnote>
  <w:endnote w:type="continuationSeparator" w:id="0">
    <w:p w:rsidR="00CB656C" w:rsidRPr="00085457" w:rsidRDefault="00CB656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56C" w:rsidRPr="00150BFA" w:rsidRDefault="00CB656C" w:rsidP="0020718E">
    <w:pPr>
      <w:jc w:val="center"/>
    </w:pPr>
    <w:r>
      <w:rPr>
        <w:noProof/>
        <w:lang w:val="en-US" w:eastAsia="ja-JP"/>
      </w:rPr>
      <w:drawing>
        <wp:inline distT="0" distB="0" distL="0" distR="0" wp14:anchorId="7DAE4C7C" wp14:editId="22B9366C">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F038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F038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56C" w:rsidRPr="00085457" w:rsidRDefault="00CB656C" w:rsidP="0098410D">
      <w:r w:rsidRPr="00085457">
        <w:separator/>
      </w:r>
    </w:p>
  </w:footnote>
  <w:footnote w:type="continuationSeparator" w:id="0">
    <w:p w:rsidR="00CB656C" w:rsidRPr="00085457" w:rsidRDefault="00CB656C" w:rsidP="0098410D">
      <w:r w:rsidRPr="00085457">
        <w:continuationSeparator/>
      </w:r>
    </w:p>
  </w:footnote>
  <w:footnote w:id="1">
    <w:p w:rsidR="00CB656C" w:rsidRDefault="00CB656C" w:rsidP="00CB656C">
      <w:pPr>
        <w:pStyle w:val="FootnoteText"/>
        <w:jc w:val="both"/>
      </w:pPr>
      <w:r w:rsidRPr="00CB656C">
        <w:footnoteRef/>
      </w:r>
      <w:r w:rsidRPr="00CB656C">
        <w:t>.  </w:t>
      </w:r>
      <w:r>
        <w:t>The convertible mark uses the same fixed exchange rate to the euro that the German mark has (1 euro = 1.95583 convertible marks).</w:t>
      </w:r>
    </w:p>
    <w:p w:rsidR="00CB656C" w:rsidRDefault="00CB656C" w:rsidP="00CB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56C" w:rsidRPr="00A45145" w:rsidRDefault="00CB656C" w:rsidP="00A45145">
    <w:pPr>
      <w:jc w:val="center"/>
    </w:pPr>
    <w:r>
      <w:rPr>
        <w:noProof/>
        <w:lang w:val="en-US" w:eastAsia="ja-JP"/>
      </w:rPr>
      <w:drawing>
        <wp:inline distT="0" distB="0" distL="0" distR="0" wp14:anchorId="6A9E14A9" wp14:editId="4D8B8D0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56C" w:rsidRPr="00A45145" w:rsidRDefault="00CB656C" w:rsidP="00A45145">
    <w:pPr>
      <w:jc w:val="center"/>
    </w:pPr>
    <w:r>
      <w:rPr>
        <w:noProof/>
        <w:lang w:val="en-US" w:eastAsia="ja-JP"/>
      </w:rPr>
      <w:drawing>
        <wp:inline distT="0" distB="0" distL="0" distR="0" wp14:anchorId="36698D00" wp14:editId="0A530295">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B656C" w:rsidP="004D0EC7">
    <w:pPr>
      <w:pStyle w:val="JuHeader"/>
    </w:pPr>
    <w:r>
      <w:rPr>
        <w:rStyle w:val="PageNumber"/>
      </w:rPr>
      <w:fldChar w:fldCharType="begin"/>
    </w:r>
    <w:r>
      <w:rPr>
        <w:rStyle w:val="PageNumber"/>
      </w:rPr>
      <w:instrText xml:space="preserve"> PAGE </w:instrText>
    </w:r>
    <w:r>
      <w:rPr>
        <w:rStyle w:val="PageNumber"/>
      </w:rPr>
      <w:fldChar w:fldCharType="separate"/>
    </w:r>
    <w:r w:rsidR="007268FB">
      <w:rPr>
        <w:rStyle w:val="PageNumber"/>
        <w:noProof/>
      </w:rPr>
      <w:t>6</w:t>
    </w:r>
    <w:r>
      <w:rPr>
        <w:rStyle w:val="PageNumber"/>
      </w:rPr>
      <w:fldChar w:fldCharType="end"/>
    </w:r>
    <w:r w:rsidR="00882CD5" w:rsidRPr="004D0EC7">
      <w:tab/>
    </w:r>
    <w:r>
      <w:t>BRADARIĆ v. BOSNIA AND HERZEGOVINA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B656C">
      <w:t>BRADARIĆ v. BOSNIA AND HERZEGOVINA</w:t>
    </w:r>
    <w:r w:rsidRPr="00882CD5">
      <w:t xml:space="preserve"> JUDGMENT</w:t>
    </w:r>
    <w:r w:rsidRPr="00882CD5">
      <w:tab/>
    </w:r>
    <w:r w:rsidR="00CB656C">
      <w:rPr>
        <w:rStyle w:val="PageNumber"/>
      </w:rPr>
      <w:fldChar w:fldCharType="begin"/>
    </w:r>
    <w:r w:rsidR="00CB656C">
      <w:rPr>
        <w:rStyle w:val="PageNumber"/>
      </w:rPr>
      <w:instrText xml:space="preserve"> PAGE </w:instrText>
    </w:r>
    <w:r w:rsidR="00CB656C">
      <w:rPr>
        <w:rStyle w:val="PageNumber"/>
      </w:rPr>
      <w:fldChar w:fldCharType="separate"/>
    </w:r>
    <w:r w:rsidR="007268FB">
      <w:rPr>
        <w:rStyle w:val="PageNumber"/>
        <w:noProof/>
      </w:rPr>
      <w:t>7</w:t>
    </w:r>
    <w:r w:rsidR="00CB656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B656C"/>
    <w:rsid w:val="000041F8"/>
    <w:rsid w:val="000042A8"/>
    <w:rsid w:val="00004308"/>
    <w:rsid w:val="0000522F"/>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1D23"/>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CB0"/>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36D1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2B85"/>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08AD"/>
    <w:rsid w:val="00723580"/>
    <w:rsid w:val="00723755"/>
    <w:rsid w:val="007268FB"/>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656C"/>
    <w:rsid w:val="00CC5067"/>
    <w:rsid w:val="00CD11D3"/>
    <w:rsid w:val="00CD282B"/>
    <w:rsid w:val="00CD3A60"/>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3B3"/>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27CE"/>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1452"/>
    <w:rsid w:val="00F32269"/>
    <w:rsid w:val="00F35B7A"/>
    <w:rsid w:val="00F56A6F"/>
    <w:rsid w:val="00F5709C"/>
    <w:rsid w:val="00F60B85"/>
    <w:rsid w:val="00F64EF1"/>
    <w:rsid w:val="00F7349B"/>
    <w:rsid w:val="00F8765F"/>
    <w:rsid w:val="00F90767"/>
    <w:rsid w:val="00F94D3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208AD"/>
    <w:rPr>
      <w:rFonts w:eastAsiaTheme="minorEastAsia"/>
      <w:sz w:val="24"/>
      <w:lang w:val="en-GB"/>
    </w:rPr>
  </w:style>
  <w:style w:type="paragraph" w:styleId="Heading1">
    <w:name w:val="heading 1"/>
    <w:basedOn w:val="Normal"/>
    <w:next w:val="Normal"/>
    <w:link w:val="Heading1Char"/>
    <w:uiPriority w:val="98"/>
    <w:semiHidden/>
    <w:rsid w:val="007208AD"/>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208AD"/>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208AD"/>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208AD"/>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208AD"/>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208AD"/>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208AD"/>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208AD"/>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208AD"/>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208AD"/>
    <w:rPr>
      <w:rFonts w:ascii="Tahoma" w:hAnsi="Tahoma" w:cs="Tahoma"/>
      <w:sz w:val="16"/>
      <w:szCs w:val="16"/>
    </w:rPr>
  </w:style>
  <w:style w:type="character" w:customStyle="1" w:styleId="BalloonTextChar">
    <w:name w:val="Balloon Text Char"/>
    <w:basedOn w:val="DefaultParagraphFont"/>
    <w:link w:val="BalloonText"/>
    <w:uiPriority w:val="98"/>
    <w:semiHidden/>
    <w:rsid w:val="007208AD"/>
    <w:rPr>
      <w:rFonts w:ascii="Tahoma" w:eastAsiaTheme="minorEastAsia" w:hAnsi="Tahoma" w:cs="Tahoma"/>
      <w:sz w:val="16"/>
      <w:szCs w:val="16"/>
      <w:lang w:val="en-GB"/>
    </w:rPr>
  </w:style>
  <w:style w:type="character" w:styleId="BookTitle">
    <w:name w:val="Book Title"/>
    <w:uiPriority w:val="98"/>
    <w:semiHidden/>
    <w:qFormat/>
    <w:rsid w:val="007208AD"/>
    <w:rPr>
      <w:i/>
      <w:iCs/>
      <w:smallCaps/>
      <w:spacing w:val="5"/>
    </w:rPr>
  </w:style>
  <w:style w:type="paragraph" w:customStyle="1" w:styleId="JuHeader">
    <w:name w:val="Ju_Header"/>
    <w:aliases w:val="_Header"/>
    <w:basedOn w:val="Header"/>
    <w:uiPriority w:val="29"/>
    <w:qFormat/>
    <w:rsid w:val="007208AD"/>
    <w:pPr>
      <w:tabs>
        <w:tab w:val="clear" w:pos="4536"/>
        <w:tab w:val="clear" w:pos="9072"/>
        <w:tab w:val="center" w:pos="3686"/>
        <w:tab w:val="right" w:pos="7371"/>
      </w:tabs>
    </w:pPr>
    <w:rPr>
      <w:sz w:val="18"/>
    </w:rPr>
  </w:style>
  <w:style w:type="paragraph" w:customStyle="1" w:styleId="NormalJustified">
    <w:name w:val="Normal_Justified"/>
    <w:basedOn w:val="Normal"/>
    <w:semiHidden/>
    <w:rsid w:val="007208AD"/>
    <w:pPr>
      <w:jc w:val="both"/>
    </w:pPr>
  </w:style>
  <w:style w:type="character" w:styleId="Strong">
    <w:name w:val="Strong"/>
    <w:uiPriority w:val="98"/>
    <w:semiHidden/>
    <w:qFormat/>
    <w:rsid w:val="007208AD"/>
    <w:rPr>
      <w:b/>
      <w:bCs/>
    </w:rPr>
  </w:style>
  <w:style w:type="paragraph" w:styleId="NoSpacing">
    <w:name w:val="No Spacing"/>
    <w:basedOn w:val="Normal"/>
    <w:link w:val="NoSpacingChar"/>
    <w:uiPriority w:val="98"/>
    <w:semiHidden/>
    <w:qFormat/>
    <w:rsid w:val="007208AD"/>
  </w:style>
  <w:style w:type="character" w:customStyle="1" w:styleId="NoSpacingChar">
    <w:name w:val="No Spacing Char"/>
    <w:basedOn w:val="DefaultParagraphFont"/>
    <w:link w:val="NoSpacing"/>
    <w:uiPriority w:val="98"/>
    <w:semiHidden/>
    <w:rsid w:val="007208AD"/>
    <w:rPr>
      <w:rFonts w:eastAsiaTheme="minorEastAsia"/>
      <w:sz w:val="24"/>
      <w:lang w:val="en-GB"/>
    </w:rPr>
  </w:style>
  <w:style w:type="paragraph" w:customStyle="1" w:styleId="JuQuot">
    <w:name w:val="Ju_Quot"/>
    <w:aliases w:val="_Quote"/>
    <w:basedOn w:val="NormalJustified"/>
    <w:uiPriority w:val="20"/>
    <w:qFormat/>
    <w:rsid w:val="007208AD"/>
    <w:pPr>
      <w:spacing w:before="120" w:after="120"/>
      <w:ind w:left="425" w:firstLine="142"/>
    </w:pPr>
    <w:rPr>
      <w:sz w:val="20"/>
    </w:rPr>
  </w:style>
  <w:style w:type="paragraph" w:customStyle="1" w:styleId="ECHRBullet1">
    <w:name w:val="ECHR_Bullet_1"/>
    <w:aliases w:val="_Bul_1"/>
    <w:basedOn w:val="NormalJustified"/>
    <w:uiPriority w:val="23"/>
    <w:semiHidden/>
    <w:qFormat/>
    <w:rsid w:val="007208AD"/>
    <w:pPr>
      <w:numPr>
        <w:numId w:val="5"/>
      </w:numPr>
      <w:spacing w:before="60" w:after="60"/>
    </w:pPr>
    <w:rPr>
      <w:sz w:val="22"/>
    </w:rPr>
  </w:style>
  <w:style w:type="paragraph" w:customStyle="1" w:styleId="JuList">
    <w:name w:val="Ju_List"/>
    <w:aliases w:val="_List_1"/>
    <w:basedOn w:val="NormalJustified"/>
    <w:uiPriority w:val="23"/>
    <w:qFormat/>
    <w:rsid w:val="007208AD"/>
    <w:pPr>
      <w:numPr>
        <w:numId w:val="6"/>
      </w:numPr>
      <w:spacing w:before="280" w:after="60"/>
    </w:pPr>
    <w:rPr>
      <w:rFonts w:eastAsiaTheme="minorHAnsi"/>
    </w:rPr>
  </w:style>
  <w:style w:type="paragraph" w:customStyle="1" w:styleId="JuLista">
    <w:name w:val="Ju_List_a"/>
    <w:aliases w:val="_List_2"/>
    <w:basedOn w:val="NormalJustified"/>
    <w:uiPriority w:val="23"/>
    <w:rsid w:val="007208AD"/>
    <w:pPr>
      <w:numPr>
        <w:ilvl w:val="1"/>
        <w:numId w:val="6"/>
      </w:numPr>
    </w:pPr>
  </w:style>
  <w:style w:type="paragraph" w:customStyle="1" w:styleId="JuListi">
    <w:name w:val="Ju_List_i"/>
    <w:aliases w:val="_List_3"/>
    <w:basedOn w:val="NormalJustified"/>
    <w:uiPriority w:val="23"/>
    <w:rsid w:val="007208AD"/>
    <w:pPr>
      <w:numPr>
        <w:ilvl w:val="2"/>
        <w:numId w:val="6"/>
      </w:numPr>
    </w:pPr>
  </w:style>
  <w:style w:type="paragraph" w:customStyle="1" w:styleId="JuHArticle">
    <w:name w:val="Ju_H_Article"/>
    <w:aliases w:val="_Title_Quote"/>
    <w:basedOn w:val="Normal"/>
    <w:next w:val="JuQuot"/>
    <w:uiPriority w:val="19"/>
    <w:qFormat/>
    <w:rsid w:val="007208AD"/>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7208A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208AD"/>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7208AD"/>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7208AD"/>
    <w:pPr>
      <w:numPr>
        <w:numId w:val="5"/>
      </w:numPr>
    </w:pPr>
  </w:style>
  <w:style w:type="paragraph" w:customStyle="1" w:styleId="JuSigned">
    <w:name w:val="Ju_Signed"/>
    <w:aliases w:val="_Signature"/>
    <w:basedOn w:val="Normal"/>
    <w:next w:val="JuPara"/>
    <w:uiPriority w:val="31"/>
    <w:qFormat/>
    <w:rsid w:val="007208AD"/>
    <w:pPr>
      <w:tabs>
        <w:tab w:val="center" w:pos="851"/>
        <w:tab w:val="center" w:pos="6407"/>
      </w:tabs>
      <w:spacing w:before="720"/>
    </w:pPr>
  </w:style>
  <w:style w:type="paragraph" w:styleId="Title">
    <w:name w:val="Title"/>
    <w:basedOn w:val="Normal"/>
    <w:next w:val="Normal"/>
    <w:link w:val="TitleChar"/>
    <w:uiPriority w:val="98"/>
    <w:semiHidden/>
    <w:qFormat/>
    <w:rsid w:val="007208A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208A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208AD"/>
    <w:pPr>
      <w:numPr>
        <w:numId w:val="6"/>
      </w:numPr>
    </w:pPr>
  </w:style>
  <w:style w:type="numbering" w:customStyle="1" w:styleId="ECHRA1StyleNumberedList">
    <w:name w:val="ECHR_A1_Style_Numbered_List"/>
    <w:basedOn w:val="NoList"/>
    <w:rsid w:val="007208AD"/>
    <w:pPr>
      <w:numPr>
        <w:numId w:val="7"/>
      </w:numPr>
    </w:pPr>
  </w:style>
  <w:style w:type="table" w:customStyle="1" w:styleId="ECHRTable2019">
    <w:name w:val="ECHR_Table_2019"/>
    <w:basedOn w:val="TableNormal"/>
    <w:uiPriority w:val="99"/>
    <w:rsid w:val="007208A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208AD"/>
    <w:rPr>
      <w:sz w:val="8"/>
    </w:rPr>
  </w:style>
  <w:style w:type="paragraph" w:customStyle="1" w:styleId="JuCourt">
    <w:name w:val="Ju_Court"/>
    <w:aliases w:val="_Court_Names"/>
    <w:basedOn w:val="Normal"/>
    <w:next w:val="Normal"/>
    <w:uiPriority w:val="32"/>
    <w:qFormat/>
    <w:rsid w:val="007208A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208AD"/>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208AD"/>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7208AD"/>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7208AD"/>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7208AD"/>
    <w:rPr>
      <w:sz w:val="24"/>
      <w:lang w:val="en-GB"/>
    </w:rPr>
  </w:style>
  <w:style w:type="character" w:customStyle="1" w:styleId="Heading1Char">
    <w:name w:val="Heading 1 Char"/>
    <w:basedOn w:val="DefaultParagraphFont"/>
    <w:link w:val="Heading1"/>
    <w:uiPriority w:val="98"/>
    <w:semiHidden/>
    <w:rsid w:val="007208A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208AD"/>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208AD"/>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208A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208AD"/>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7208AD"/>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208AD"/>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7208AD"/>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7208AD"/>
    <w:pPr>
      <w:tabs>
        <w:tab w:val="left" w:pos="567"/>
        <w:tab w:val="left" w:pos="1134"/>
      </w:tabs>
    </w:pPr>
  </w:style>
  <w:style w:type="character" w:customStyle="1" w:styleId="Heading4Char">
    <w:name w:val="Heading 4 Char"/>
    <w:basedOn w:val="DefaultParagraphFont"/>
    <w:link w:val="Heading4"/>
    <w:uiPriority w:val="98"/>
    <w:semiHidden/>
    <w:rsid w:val="007208AD"/>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7208AD"/>
    <w:pPr>
      <w:tabs>
        <w:tab w:val="center" w:pos="6407"/>
      </w:tabs>
      <w:spacing w:before="720"/>
      <w:jc w:val="right"/>
    </w:pPr>
  </w:style>
  <w:style w:type="character" w:customStyle="1" w:styleId="Heading5Char">
    <w:name w:val="Heading 5 Char"/>
    <w:basedOn w:val="DefaultParagraphFont"/>
    <w:link w:val="Heading5"/>
    <w:uiPriority w:val="98"/>
    <w:semiHidden/>
    <w:rsid w:val="007208AD"/>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7208A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208AD"/>
    <w:rPr>
      <w:caps w:val="0"/>
      <w:smallCaps/>
    </w:rPr>
  </w:style>
  <w:style w:type="character" w:styleId="SubtleEmphasis">
    <w:name w:val="Subtle Emphasis"/>
    <w:uiPriority w:val="98"/>
    <w:semiHidden/>
    <w:qFormat/>
    <w:rsid w:val="007208AD"/>
    <w:rPr>
      <w:i/>
      <w:iCs/>
    </w:rPr>
  </w:style>
  <w:style w:type="table" w:customStyle="1" w:styleId="ECHRTable">
    <w:name w:val="ECHR_Table"/>
    <w:basedOn w:val="TableNormal"/>
    <w:rsid w:val="007208A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208A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208AD"/>
    <w:rPr>
      <w:b/>
      <w:bCs/>
      <w:i/>
      <w:iCs/>
      <w:spacing w:val="10"/>
      <w:bdr w:val="none" w:sz="0" w:space="0" w:color="auto"/>
      <w:shd w:val="clear" w:color="auto" w:fill="auto"/>
    </w:rPr>
  </w:style>
  <w:style w:type="paragraph" w:styleId="Footer0">
    <w:name w:val="footer"/>
    <w:basedOn w:val="Normal"/>
    <w:link w:val="FooterChar"/>
    <w:uiPriority w:val="98"/>
    <w:semiHidden/>
    <w:rsid w:val="007208A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7208AD"/>
    <w:rPr>
      <w:sz w:val="24"/>
      <w:lang w:val="en-GB"/>
    </w:rPr>
  </w:style>
  <w:style w:type="character" w:styleId="FootnoteReference">
    <w:name w:val="footnote reference"/>
    <w:basedOn w:val="DefaultParagraphFont"/>
    <w:uiPriority w:val="98"/>
    <w:semiHidden/>
    <w:rsid w:val="007208AD"/>
    <w:rPr>
      <w:vertAlign w:val="superscript"/>
    </w:rPr>
  </w:style>
  <w:style w:type="paragraph" w:styleId="FootnoteText">
    <w:name w:val="footnote text"/>
    <w:basedOn w:val="Normal"/>
    <w:link w:val="FootnoteTextChar"/>
    <w:uiPriority w:val="98"/>
    <w:semiHidden/>
    <w:rsid w:val="007208AD"/>
    <w:rPr>
      <w:sz w:val="20"/>
      <w:szCs w:val="20"/>
    </w:rPr>
  </w:style>
  <w:style w:type="character" w:customStyle="1" w:styleId="FootnoteTextChar">
    <w:name w:val="Footnote Text Char"/>
    <w:basedOn w:val="DefaultParagraphFont"/>
    <w:link w:val="FootnoteText"/>
    <w:uiPriority w:val="98"/>
    <w:semiHidden/>
    <w:rsid w:val="007208AD"/>
    <w:rPr>
      <w:rFonts w:eastAsiaTheme="minorEastAsia"/>
      <w:sz w:val="20"/>
      <w:szCs w:val="20"/>
      <w:lang w:val="en-GB"/>
    </w:rPr>
  </w:style>
  <w:style w:type="character" w:customStyle="1" w:styleId="Heading6Char">
    <w:name w:val="Heading 6 Char"/>
    <w:basedOn w:val="DefaultParagraphFont"/>
    <w:link w:val="Heading6"/>
    <w:uiPriority w:val="98"/>
    <w:semiHidden/>
    <w:rsid w:val="007208A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7208A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7208A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208A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208AD"/>
    <w:rPr>
      <w:color w:val="0072BC" w:themeColor="hyperlink"/>
      <w:u w:val="single"/>
    </w:rPr>
  </w:style>
  <w:style w:type="character" w:styleId="IntenseEmphasis">
    <w:name w:val="Intense Emphasis"/>
    <w:uiPriority w:val="98"/>
    <w:semiHidden/>
    <w:qFormat/>
    <w:rsid w:val="007208AD"/>
    <w:rPr>
      <w:b/>
      <w:bCs/>
    </w:rPr>
  </w:style>
  <w:style w:type="paragraph" w:styleId="IntenseQuote">
    <w:name w:val="Intense Quote"/>
    <w:basedOn w:val="Normal"/>
    <w:next w:val="Normal"/>
    <w:link w:val="IntenseQuoteChar"/>
    <w:uiPriority w:val="98"/>
    <w:semiHidden/>
    <w:qFormat/>
    <w:rsid w:val="007208A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208AD"/>
    <w:rPr>
      <w:rFonts w:eastAsiaTheme="minorEastAsia"/>
      <w:b/>
      <w:bCs/>
      <w:i/>
      <w:iCs/>
      <w:sz w:val="24"/>
      <w:lang w:val="en-GB" w:bidi="en-US"/>
    </w:rPr>
  </w:style>
  <w:style w:type="character" w:styleId="IntenseReference">
    <w:name w:val="Intense Reference"/>
    <w:uiPriority w:val="98"/>
    <w:semiHidden/>
    <w:qFormat/>
    <w:rsid w:val="007208AD"/>
    <w:rPr>
      <w:smallCaps/>
      <w:spacing w:val="5"/>
      <w:u w:val="single"/>
    </w:rPr>
  </w:style>
  <w:style w:type="paragraph" w:styleId="ListParagraph">
    <w:name w:val="List Paragraph"/>
    <w:basedOn w:val="Normal"/>
    <w:uiPriority w:val="98"/>
    <w:semiHidden/>
    <w:qFormat/>
    <w:rsid w:val="007208AD"/>
    <w:pPr>
      <w:ind w:left="720"/>
      <w:contextualSpacing/>
    </w:pPr>
  </w:style>
  <w:style w:type="table" w:customStyle="1" w:styleId="LtrTableAddress">
    <w:name w:val="Ltr_Table_Address"/>
    <w:aliases w:val="ECHR_Ltr_Table_Address"/>
    <w:basedOn w:val="TableNormal"/>
    <w:uiPriority w:val="99"/>
    <w:rsid w:val="007208AD"/>
    <w:tblPr>
      <w:tblInd w:w="5103" w:type="dxa"/>
    </w:tblPr>
  </w:style>
  <w:style w:type="paragraph" w:styleId="Quote">
    <w:name w:val="Quote"/>
    <w:basedOn w:val="Normal"/>
    <w:next w:val="Normal"/>
    <w:link w:val="QuoteChar"/>
    <w:uiPriority w:val="98"/>
    <w:semiHidden/>
    <w:qFormat/>
    <w:rsid w:val="007208AD"/>
    <w:pPr>
      <w:spacing w:before="200"/>
      <w:ind w:left="360" w:right="360"/>
    </w:pPr>
    <w:rPr>
      <w:i/>
      <w:iCs/>
      <w:lang w:bidi="en-US"/>
    </w:rPr>
  </w:style>
  <w:style w:type="character" w:customStyle="1" w:styleId="QuoteChar">
    <w:name w:val="Quote Char"/>
    <w:basedOn w:val="DefaultParagraphFont"/>
    <w:link w:val="Quote"/>
    <w:uiPriority w:val="98"/>
    <w:semiHidden/>
    <w:rsid w:val="007208AD"/>
    <w:rPr>
      <w:rFonts w:eastAsiaTheme="minorEastAsia"/>
      <w:i/>
      <w:iCs/>
      <w:sz w:val="24"/>
      <w:lang w:val="en-GB" w:bidi="en-US"/>
    </w:rPr>
  </w:style>
  <w:style w:type="character" w:styleId="SubtleReference">
    <w:name w:val="Subtle Reference"/>
    <w:uiPriority w:val="98"/>
    <w:semiHidden/>
    <w:qFormat/>
    <w:rsid w:val="007208AD"/>
    <w:rPr>
      <w:smallCaps/>
    </w:rPr>
  </w:style>
  <w:style w:type="table" w:styleId="TableGrid">
    <w:name w:val="Table Grid"/>
    <w:basedOn w:val="TableNormal"/>
    <w:uiPriority w:val="59"/>
    <w:semiHidden/>
    <w:rsid w:val="007208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208A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208A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208A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208A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208A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208A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7208AD"/>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208AD"/>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208AD"/>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208A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208A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208A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208A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7208A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7208A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208AD"/>
    <w:pPr>
      <w:numPr>
        <w:numId w:val="2"/>
      </w:numPr>
    </w:pPr>
  </w:style>
  <w:style w:type="paragraph" w:customStyle="1" w:styleId="JuPara">
    <w:name w:val="Ju_Para"/>
    <w:aliases w:val="_Para"/>
    <w:basedOn w:val="NormalJustified"/>
    <w:link w:val="JuParaChar"/>
    <w:uiPriority w:val="4"/>
    <w:qFormat/>
    <w:rsid w:val="007208AD"/>
    <w:pPr>
      <w:ind w:firstLine="284"/>
    </w:pPr>
  </w:style>
  <w:style w:type="numbering" w:styleId="1ai">
    <w:name w:val="Outline List 1"/>
    <w:basedOn w:val="NoList"/>
    <w:uiPriority w:val="99"/>
    <w:semiHidden/>
    <w:unhideWhenUsed/>
    <w:rsid w:val="007208AD"/>
    <w:pPr>
      <w:numPr>
        <w:numId w:val="3"/>
      </w:numPr>
    </w:pPr>
  </w:style>
  <w:style w:type="table" w:customStyle="1" w:styleId="ECHRTableSimpleBox">
    <w:name w:val="ECHR_Table_Simple_Box"/>
    <w:basedOn w:val="TableNormal"/>
    <w:uiPriority w:val="99"/>
    <w:rsid w:val="007208A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208A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208AD"/>
    <w:pPr>
      <w:numPr>
        <w:numId w:val="4"/>
      </w:numPr>
    </w:pPr>
  </w:style>
  <w:style w:type="table" w:customStyle="1" w:styleId="ECHRTableForInternalUse">
    <w:name w:val="ECHR_Table_For_Internal_Use"/>
    <w:basedOn w:val="TableNormal"/>
    <w:uiPriority w:val="99"/>
    <w:rsid w:val="007208A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208A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208AD"/>
  </w:style>
  <w:style w:type="paragraph" w:styleId="BlockText">
    <w:name w:val="Block Text"/>
    <w:basedOn w:val="Normal"/>
    <w:uiPriority w:val="98"/>
    <w:semiHidden/>
    <w:rsid w:val="007208A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208A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208AD"/>
    <w:pPr>
      <w:spacing w:after="120"/>
    </w:pPr>
  </w:style>
  <w:style w:type="character" w:customStyle="1" w:styleId="BodyTextChar">
    <w:name w:val="Body Text Char"/>
    <w:basedOn w:val="DefaultParagraphFont"/>
    <w:link w:val="BodyText"/>
    <w:uiPriority w:val="98"/>
    <w:semiHidden/>
    <w:rsid w:val="007208AD"/>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208AD"/>
    <w:pPr>
      <w:spacing w:after="120" w:line="480" w:lineRule="auto"/>
    </w:pPr>
  </w:style>
  <w:style w:type="table" w:customStyle="1" w:styleId="ECHRHeaderTableReduced">
    <w:name w:val="ECHR_Header_Table_Reduced"/>
    <w:basedOn w:val="TableNormal"/>
    <w:uiPriority w:val="99"/>
    <w:rsid w:val="007208A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208AD"/>
    <w:pPr>
      <w:ind w:firstLine="284"/>
    </w:pPr>
    <w:rPr>
      <w:b/>
    </w:rPr>
  </w:style>
  <w:style w:type="character" w:styleId="PageNumber">
    <w:name w:val="page number"/>
    <w:uiPriority w:val="98"/>
    <w:semiHidden/>
    <w:rsid w:val="007208AD"/>
    <w:rPr>
      <w:sz w:val="18"/>
    </w:rPr>
  </w:style>
  <w:style w:type="paragraph" w:styleId="ListBullet">
    <w:name w:val="List Bullet"/>
    <w:basedOn w:val="Normal"/>
    <w:uiPriority w:val="98"/>
    <w:semiHidden/>
    <w:rsid w:val="007208AD"/>
    <w:pPr>
      <w:numPr>
        <w:numId w:val="9"/>
      </w:numPr>
    </w:pPr>
  </w:style>
  <w:style w:type="paragraph" w:styleId="ListBullet3">
    <w:name w:val="List Bullet 3"/>
    <w:basedOn w:val="Normal"/>
    <w:uiPriority w:val="98"/>
    <w:semiHidden/>
    <w:rsid w:val="007208AD"/>
    <w:pPr>
      <w:numPr>
        <w:numId w:val="11"/>
      </w:numPr>
      <w:contextualSpacing/>
    </w:pPr>
  </w:style>
  <w:style w:type="character" w:customStyle="1" w:styleId="BodyText2Char">
    <w:name w:val="Body Text 2 Char"/>
    <w:basedOn w:val="DefaultParagraphFont"/>
    <w:link w:val="BodyText2"/>
    <w:uiPriority w:val="98"/>
    <w:semiHidden/>
    <w:rsid w:val="007208AD"/>
    <w:rPr>
      <w:rFonts w:eastAsiaTheme="minorEastAsia"/>
      <w:sz w:val="24"/>
      <w:lang w:val="en-GB"/>
    </w:rPr>
  </w:style>
  <w:style w:type="paragraph" w:styleId="BodyText3">
    <w:name w:val="Body Text 3"/>
    <w:basedOn w:val="Normal"/>
    <w:link w:val="BodyText3Char"/>
    <w:uiPriority w:val="98"/>
    <w:semiHidden/>
    <w:rsid w:val="007208AD"/>
    <w:pPr>
      <w:spacing w:after="120"/>
    </w:pPr>
    <w:rPr>
      <w:sz w:val="16"/>
      <w:szCs w:val="16"/>
    </w:rPr>
  </w:style>
  <w:style w:type="character" w:customStyle="1" w:styleId="BodyText3Char">
    <w:name w:val="Body Text 3 Char"/>
    <w:basedOn w:val="DefaultParagraphFont"/>
    <w:link w:val="BodyText3"/>
    <w:uiPriority w:val="98"/>
    <w:semiHidden/>
    <w:rsid w:val="007208AD"/>
    <w:rPr>
      <w:rFonts w:eastAsiaTheme="minorEastAsia"/>
      <w:sz w:val="16"/>
      <w:szCs w:val="16"/>
      <w:lang w:val="en-GB"/>
    </w:rPr>
  </w:style>
  <w:style w:type="paragraph" w:styleId="BodyTextFirstIndent">
    <w:name w:val="Body Text First Indent"/>
    <w:basedOn w:val="BodyText"/>
    <w:link w:val="BodyTextFirstIndentChar"/>
    <w:uiPriority w:val="98"/>
    <w:semiHidden/>
    <w:rsid w:val="007208AD"/>
    <w:pPr>
      <w:spacing w:after="0"/>
      <w:ind w:firstLine="360"/>
    </w:pPr>
  </w:style>
  <w:style w:type="character" w:customStyle="1" w:styleId="BodyTextFirstIndentChar">
    <w:name w:val="Body Text First Indent Char"/>
    <w:basedOn w:val="BodyTextChar"/>
    <w:link w:val="BodyTextFirstIndent"/>
    <w:uiPriority w:val="98"/>
    <w:semiHidden/>
    <w:rsid w:val="007208AD"/>
    <w:rPr>
      <w:rFonts w:eastAsiaTheme="minorEastAsia"/>
      <w:sz w:val="24"/>
      <w:lang w:val="en-GB"/>
    </w:rPr>
  </w:style>
  <w:style w:type="paragraph" w:styleId="BodyTextIndent">
    <w:name w:val="Body Text Indent"/>
    <w:basedOn w:val="Normal"/>
    <w:link w:val="BodyTextIndentChar"/>
    <w:uiPriority w:val="98"/>
    <w:semiHidden/>
    <w:rsid w:val="007208AD"/>
    <w:pPr>
      <w:spacing w:after="120"/>
      <w:ind w:left="283"/>
    </w:pPr>
  </w:style>
  <w:style w:type="character" w:customStyle="1" w:styleId="BodyTextIndentChar">
    <w:name w:val="Body Text Indent Char"/>
    <w:basedOn w:val="DefaultParagraphFont"/>
    <w:link w:val="BodyTextIndent"/>
    <w:uiPriority w:val="98"/>
    <w:semiHidden/>
    <w:rsid w:val="007208AD"/>
    <w:rPr>
      <w:rFonts w:eastAsiaTheme="minorEastAsia"/>
      <w:sz w:val="24"/>
      <w:lang w:val="en-GB"/>
    </w:rPr>
  </w:style>
  <w:style w:type="paragraph" w:styleId="BodyTextFirstIndent2">
    <w:name w:val="Body Text First Indent 2"/>
    <w:basedOn w:val="BodyTextIndent"/>
    <w:link w:val="BodyTextFirstIndent2Char"/>
    <w:uiPriority w:val="98"/>
    <w:semiHidden/>
    <w:rsid w:val="007208AD"/>
    <w:pPr>
      <w:spacing w:after="0"/>
      <w:ind w:left="360" w:firstLine="360"/>
    </w:pPr>
  </w:style>
  <w:style w:type="character" w:customStyle="1" w:styleId="BodyTextFirstIndent2Char">
    <w:name w:val="Body Text First Indent 2 Char"/>
    <w:basedOn w:val="BodyTextIndentChar"/>
    <w:link w:val="BodyTextFirstIndent2"/>
    <w:uiPriority w:val="98"/>
    <w:semiHidden/>
    <w:rsid w:val="007208AD"/>
    <w:rPr>
      <w:rFonts w:eastAsiaTheme="minorEastAsia"/>
      <w:sz w:val="24"/>
      <w:lang w:val="en-GB"/>
    </w:rPr>
  </w:style>
  <w:style w:type="paragraph" w:styleId="BodyTextIndent2">
    <w:name w:val="Body Text Indent 2"/>
    <w:basedOn w:val="Normal"/>
    <w:link w:val="BodyTextIndent2Char"/>
    <w:uiPriority w:val="98"/>
    <w:semiHidden/>
    <w:rsid w:val="007208AD"/>
    <w:pPr>
      <w:spacing w:after="120" w:line="480" w:lineRule="auto"/>
      <w:ind w:left="283"/>
    </w:pPr>
  </w:style>
  <w:style w:type="character" w:customStyle="1" w:styleId="BodyTextIndent2Char">
    <w:name w:val="Body Text Indent 2 Char"/>
    <w:basedOn w:val="DefaultParagraphFont"/>
    <w:link w:val="BodyTextIndent2"/>
    <w:uiPriority w:val="98"/>
    <w:semiHidden/>
    <w:rsid w:val="007208AD"/>
    <w:rPr>
      <w:rFonts w:eastAsiaTheme="minorEastAsia"/>
      <w:sz w:val="24"/>
      <w:lang w:val="en-GB"/>
    </w:rPr>
  </w:style>
  <w:style w:type="paragraph" w:styleId="BodyTextIndent3">
    <w:name w:val="Body Text Indent 3"/>
    <w:basedOn w:val="Normal"/>
    <w:link w:val="BodyTextIndent3Char"/>
    <w:uiPriority w:val="98"/>
    <w:semiHidden/>
    <w:rsid w:val="007208A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208AD"/>
    <w:rPr>
      <w:rFonts w:eastAsiaTheme="minorEastAsia"/>
      <w:sz w:val="16"/>
      <w:szCs w:val="16"/>
      <w:lang w:val="en-GB"/>
    </w:rPr>
  </w:style>
  <w:style w:type="paragraph" w:styleId="Caption">
    <w:name w:val="caption"/>
    <w:basedOn w:val="Normal"/>
    <w:next w:val="Normal"/>
    <w:uiPriority w:val="98"/>
    <w:semiHidden/>
    <w:qFormat/>
    <w:rsid w:val="007208AD"/>
    <w:pPr>
      <w:spacing w:after="200"/>
    </w:pPr>
    <w:rPr>
      <w:b/>
      <w:bCs/>
      <w:color w:val="0072BC" w:themeColor="accent1"/>
      <w:sz w:val="18"/>
      <w:szCs w:val="18"/>
    </w:rPr>
  </w:style>
  <w:style w:type="paragraph" w:styleId="Closing">
    <w:name w:val="Closing"/>
    <w:basedOn w:val="Normal"/>
    <w:link w:val="ClosingChar"/>
    <w:uiPriority w:val="98"/>
    <w:semiHidden/>
    <w:rsid w:val="007208AD"/>
    <w:pPr>
      <w:ind w:left="4252"/>
    </w:pPr>
  </w:style>
  <w:style w:type="character" w:customStyle="1" w:styleId="ClosingChar">
    <w:name w:val="Closing Char"/>
    <w:basedOn w:val="DefaultParagraphFont"/>
    <w:link w:val="Closing"/>
    <w:uiPriority w:val="98"/>
    <w:semiHidden/>
    <w:rsid w:val="007208AD"/>
    <w:rPr>
      <w:rFonts w:eastAsiaTheme="minorEastAsia"/>
      <w:sz w:val="24"/>
      <w:lang w:val="en-GB"/>
    </w:rPr>
  </w:style>
  <w:style w:type="table" w:styleId="ColorfulGrid">
    <w:name w:val="Colorful Grid"/>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208A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208A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208A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208A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208A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208A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208A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208A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208A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208A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208A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208A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208A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208A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208A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208AD"/>
    <w:rPr>
      <w:sz w:val="16"/>
      <w:szCs w:val="16"/>
    </w:rPr>
  </w:style>
  <w:style w:type="paragraph" w:styleId="CommentText">
    <w:name w:val="annotation text"/>
    <w:basedOn w:val="Normal"/>
    <w:link w:val="CommentTextChar"/>
    <w:uiPriority w:val="98"/>
    <w:semiHidden/>
    <w:rsid w:val="007208AD"/>
    <w:rPr>
      <w:sz w:val="20"/>
      <w:szCs w:val="20"/>
    </w:rPr>
  </w:style>
  <w:style w:type="character" w:customStyle="1" w:styleId="CommentTextChar">
    <w:name w:val="Comment Text Char"/>
    <w:basedOn w:val="DefaultParagraphFont"/>
    <w:link w:val="CommentText"/>
    <w:uiPriority w:val="98"/>
    <w:semiHidden/>
    <w:rsid w:val="007208AD"/>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7208AD"/>
    <w:rPr>
      <w:b/>
      <w:bCs/>
    </w:rPr>
  </w:style>
  <w:style w:type="character" w:customStyle="1" w:styleId="CommentSubjectChar">
    <w:name w:val="Comment Subject Char"/>
    <w:basedOn w:val="CommentTextChar"/>
    <w:link w:val="CommentSubject"/>
    <w:uiPriority w:val="98"/>
    <w:semiHidden/>
    <w:rsid w:val="007208AD"/>
    <w:rPr>
      <w:rFonts w:eastAsiaTheme="minorEastAsia"/>
      <w:b/>
      <w:bCs/>
      <w:sz w:val="20"/>
      <w:szCs w:val="20"/>
      <w:lang w:val="en-GB"/>
    </w:rPr>
  </w:style>
  <w:style w:type="table" w:styleId="DarkList">
    <w:name w:val="Dark List"/>
    <w:basedOn w:val="TableNormal"/>
    <w:uiPriority w:val="70"/>
    <w:semiHidden/>
    <w:rsid w:val="007208A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208A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208A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208A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208A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208A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208A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208AD"/>
  </w:style>
  <w:style w:type="character" w:customStyle="1" w:styleId="DateChar">
    <w:name w:val="Date Char"/>
    <w:basedOn w:val="DefaultParagraphFont"/>
    <w:link w:val="Date"/>
    <w:uiPriority w:val="98"/>
    <w:semiHidden/>
    <w:rsid w:val="007208AD"/>
    <w:rPr>
      <w:rFonts w:eastAsiaTheme="minorEastAsia"/>
      <w:sz w:val="24"/>
      <w:lang w:val="en-GB"/>
    </w:rPr>
  </w:style>
  <w:style w:type="paragraph" w:styleId="DocumentMap">
    <w:name w:val="Document Map"/>
    <w:basedOn w:val="Normal"/>
    <w:link w:val="DocumentMapChar"/>
    <w:uiPriority w:val="98"/>
    <w:semiHidden/>
    <w:rsid w:val="007208AD"/>
    <w:rPr>
      <w:rFonts w:ascii="Tahoma" w:hAnsi="Tahoma" w:cs="Tahoma"/>
      <w:sz w:val="16"/>
      <w:szCs w:val="16"/>
    </w:rPr>
  </w:style>
  <w:style w:type="character" w:customStyle="1" w:styleId="DocumentMapChar">
    <w:name w:val="Document Map Char"/>
    <w:basedOn w:val="DefaultParagraphFont"/>
    <w:link w:val="DocumentMap"/>
    <w:uiPriority w:val="98"/>
    <w:semiHidden/>
    <w:rsid w:val="007208AD"/>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7208AD"/>
  </w:style>
  <w:style w:type="character" w:customStyle="1" w:styleId="E-mailSignatureChar">
    <w:name w:val="E-mail Signature Char"/>
    <w:basedOn w:val="DefaultParagraphFont"/>
    <w:link w:val="E-mailSignature"/>
    <w:uiPriority w:val="98"/>
    <w:semiHidden/>
    <w:rsid w:val="007208AD"/>
    <w:rPr>
      <w:rFonts w:eastAsiaTheme="minorEastAsia"/>
      <w:sz w:val="24"/>
      <w:lang w:val="en-GB"/>
    </w:rPr>
  </w:style>
  <w:style w:type="character" w:styleId="EndnoteReference">
    <w:name w:val="endnote reference"/>
    <w:basedOn w:val="DefaultParagraphFont"/>
    <w:uiPriority w:val="98"/>
    <w:semiHidden/>
    <w:rsid w:val="007208AD"/>
    <w:rPr>
      <w:vertAlign w:val="superscript"/>
    </w:rPr>
  </w:style>
  <w:style w:type="paragraph" w:styleId="EndnoteText">
    <w:name w:val="endnote text"/>
    <w:basedOn w:val="Normal"/>
    <w:link w:val="EndnoteTextChar"/>
    <w:uiPriority w:val="98"/>
    <w:semiHidden/>
    <w:rsid w:val="007208AD"/>
    <w:rPr>
      <w:sz w:val="20"/>
      <w:szCs w:val="20"/>
    </w:rPr>
  </w:style>
  <w:style w:type="character" w:customStyle="1" w:styleId="EndnoteTextChar">
    <w:name w:val="Endnote Text Char"/>
    <w:basedOn w:val="DefaultParagraphFont"/>
    <w:link w:val="EndnoteText"/>
    <w:uiPriority w:val="98"/>
    <w:semiHidden/>
    <w:rsid w:val="007208AD"/>
    <w:rPr>
      <w:rFonts w:eastAsiaTheme="minorEastAsia"/>
      <w:sz w:val="20"/>
      <w:szCs w:val="20"/>
      <w:lang w:val="en-GB"/>
    </w:rPr>
  </w:style>
  <w:style w:type="paragraph" w:styleId="EnvelopeAddress">
    <w:name w:val="envelope address"/>
    <w:basedOn w:val="Normal"/>
    <w:uiPriority w:val="98"/>
    <w:semiHidden/>
    <w:rsid w:val="007208A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7208A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208AD"/>
    <w:rPr>
      <w:color w:val="7030A0" w:themeColor="followedHyperlink"/>
      <w:u w:val="single"/>
    </w:rPr>
  </w:style>
  <w:style w:type="character" w:styleId="HTMLAcronym">
    <w:name w:val="HTML Acronym"/>
    <w:basedOn w:val="DefaultParagraphFont"/>
    <w:uiPriority w:val="98"/>
    <w:semiHidden/>
    <w:rsid w:val="007208AD"/>
  </w:style>
  <w:style w:type="paragraph" w:styleId="HTMLAddress">
    <w:name w:val="HTML Address"/>
    <w:basedOn w:val="Normal"/>
    <w:link w:val="HTMLAddressChar"/>
    <w:uiPriority w:val="98"/>
    <w:semiHidden/>
    <w:rsid w:val="007208AD"/>
    <w:rPr>
      <w:i/>
      <w:iCs/>
    </w:rPr>
  </w:style>
  <w:style w:type="character" w:customStyle="1" w:styleId="HTMLAddressChar">
    <w:name w:val="HTML Address Char"/>
    <w:basedOn w:val="DefaultParagraphFont"/>
    <w:link w:val="HTMLAddress"/>
    <w:uiPriority w:val="98"/>
    <w:semiHidden/>
    <w:rsid w:val="007208AD"/>
    <w:rPr>
      <w:rFonts w:eastAsiaTheme="minorEastAsia"/>
      <w:i/>
      <w:iCs/>
      <w:sz w:val="24"/>
      <w:lang w:val="en-GB"/>
    </w:rPr>
  </w:style>
  <w:style w:type="character" w:styleId="HTMLCite">
    <w:name w:val="HTML Cite"/>
    <w:basedOn w:val="DefaultParagraphFont"/>
    <w:uiPriority w:val="98"/>
    <w:semiHidden/>
    <w:rsid w:val="007208AD"/>
    <w:rPr>
      <w:i/>
      <w:iCs/>
    </w:rPr>
  </w:style>
  <w:style w:type="character" w:styleId="HTMLCode">
    <w:name w:val="HTML Code"/>
    <w:basedOn w:val="DefaultParagraphFont"/>
    <w:uiPriority w:val="98"/>
    <w:semiHidden/>
    <w:rsid w:val="007208AD"/>
    <w:rPr>
      <w:rFonts w:ascii="Consolas" w:hAnsi="Consolas" w:cs="Consolas"/>
      <w:sz w:val="20"/>
      <w:szCs w:val="20"/>
    </w:rPr>
  </w:style>
  <w:style w:type="character" w:styleId="HTMLDefinition">
    <w:name w:val="HTML Definition"/>
    <w:basedOn w:val="DefaultParagraphFont"/>
    <w:uiPriority w:val="98"/>
    <w:semiHidden/>
    <w:rsid w:val="007208AD"/>
    <w:rPr>
      <w:i/>
      <w:iCs/>
    </w:rPr>
  </w:style>
  <w:style w:type="character" w:styleId="HTMLKeyboard">
    <w:name w:val="HTML Keyboard"/>
    <w:basedOn w:val="DefaultParagraphFont"/>
    <w:uiPriority w:val="98"/>
    <w:semiHidden/>
    <w:rsid w:val="007208AD"/>
    <w:rPr>
      <w:rFonts w:ascii="Consolas" w:hAnsi="Consolas" w:cs="Consolas"/>
      <w:sz w:val="20"/>
      <w:szCs w:val="20"/>
    </w:rPr>
  </w:style>
  <w:style w:type="paragraph" w:styleId="HTMLPreformatted">
    <w:name w:val="HTML Preformatted"/>
    <w:basedOn w:val="Normal"/>
    <w:link w:val="HTMLPreformattedChar"/>
    <w:uiPriority w:val="98"/>
    <w:semiHidden/>
    <w:rsid w:val="007208A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208AD"/>
    <w:rPr>
      <w:rFonts w:ascii="Consolas" w:eastAsiaTheme="minorEastAsia" w:hAnsi="Consolas" w:cs="Consolas"/>
      <w:sz w:val="20"/>
      <w:szCs w:val="20"/>
      <w:lang w:val="en-GB"/>
    </w:rPr>
  </w:style>
  <w:style w:type="character" w:styleId="HTMLSample">
    <w:name w:val="HTML Sample"/>
    <w:basedOn w:val="DefaultParagraphFont"/>
    <w:uiPriority w:val="98"/>
    <w:semiHidden/>
    <w:rsid w:val="007208AD"/>
    <w:rPr>
      <w:rFonts w:ascii="Consolas" w:hAnsi="Consolas" w:cs="Consolas"/>
      <w:sz w:val="24"/>
      <w:szCs w:val="24"/>
    </w:rPr>
  </w:style>
  <w:style w:type="character" w:styleId="HTMLTypewriter">
    <w:name w:val="HTML Typewriter"/>
    <w:basedOn w:val="DefaultParagraphFont"/>
    <w:uiPriority w:val="98"/>
    <w:semiHidden/>
    <w:rsid w:val="007208AD"/>
    <w:rPr>
      <w:rFonts w:ascii="Consolas" w:hAnsi="Consolas" w:cs="Consolas"/>
      <w:sz w:val="20"/>
      <w:szCs w:val="20"/>
    </w:rPr>
  </w:style>
  <w:style w:type="character" w:styleId="HTMLVariable">
    <w:name w:val="HTML Variable"/>
    <w:basedOn w:val="DefaultParagraphFont"/>
    <w:uiPriority w:val="98"/>
    <w:semiHidden/>
    <w:rsid w:val="007208AD"/>
    <w:rPr>
      <w:i/>
      <w:iCs/>
    </w:rPr>
  </w:style>
  <w:style w:type="paragraph" w:styleId="Index1">
    <w:name w:val="index 1"/>
    <w:basedOn w:val="Normal"/>
    <w:next w:val="Normal"/>
    <w:autoRedefine/>
    <w:uiPriority w:val="98"/>
    <w:semiHidden/>
    <w:rsid w:val="007208AD"/>
    <w:pPr>
      <w:ind w:left="240" w:hanging="240"/>
    </w:pPr>
  </w:style>
  <w:style w:type="paragraph" w:styleId="Index2">
    <w:name w:val="index 2"/>
    <w:basedOn w:val="Normal"/>
    <w:next w:val="Normal"/>
    <w:autoRedefine/>
    <w:uiPriority w:val="98"/>
    <w:semiHidden/>
    <w:rsid w:val="007208AD"/>
    <w:pPr>
      <w:ind w:left="480" w:hanging="240"/>
    </w:pPr>
  </w:style>
  <w:style w:type="paragraph" w:styleId="Index3">
    <w:name w:val="index 3"/>
    <w:basedOn w:val="Normal"/>
    <w:next w:val="Normal"/>
    <w:autoRedefine/>
    <w:uiPriority w:val="98"/>
    <w:semiHidden/>
    <w:rsid w:val="007208AD"/>
    <w:pPr>
      <w:ind w:left="720" w:hanging="240"/>
    </w:pPr>
  </w:style>
  <w:style w:type="paragraph" w:styleId="Index4">
    <w:name w:val="index 4"/>
    <w:basedOn w:val="Normal"/>
    <w:next w:val="Normal"/>
    <w:autoRedefine/>
    <w:uiPriority w:val="98"/>
    <w:semiHidden/>
    <w:rsid w:val="007208AD"/>
    <w:pPr>
      <w:ind w:left="960" w:hanging="240"/>
    </w:pPr>
  </w:style>
  <w:style w:type="paragraph" w:styleId="Index5">
    <w:name w:val="index 5"/>
    <w:basedOn w:val="Normal"/>
    <w:next w:val="Normal"/>
    <w:autoRedefine/>
    <w:uiPriority w:val="98"/>
    <w:semiHidden/>
    <w:rsid w:val="007208AD"/>
    <w:pPr>
      <w:ind w:left="1200" w:hanging="240"/>
    </w:pPr>
  </w:style>
  <w:style w:type="paragraph" w:styleId="Index6">
    <w:name w:val="index 6"/>
    <w:basedOn w:val="Normal"/>
    <w:next w:val="Normal"/>
    <w:autoRedefine/>
    <w:uiPriority w:val="98"/>
    <w:semiHidden/>
    <w:rsid w:val="007208AD"/>
    <w:pPr>
      <w:ind w:left="1440" w:hanging="240"/>
    </w:pPr>
  </w:style>
  <w:style w:type="paragraph" w:styleId="Index7">
    <w:name w:val="index 7"/>
    <w:basedOn w:val="Normal"/>
    <w:next w:val="Normal"/>
    <w:autoRedefine/>
    <w:uiPriority w:val="98"/>
    <w:semiHidden/>
    <w:rsid w:val="007208AD"/>
    <w:pPr>
      <w:ind w:left="1680" w:hanging="240"/>
    </w:pPr>
  </w:style>
  <w:style w:type="paragraph" w:styleId="Index8">
    <w:name w:val="index 8"/>
    <w:basedOn w:val="Normal"/>
    <w:next w:val="Normal"/>
    <w:autoRedefine/>
    <w:uiPriority w:val="98"/>
    <w:semiHidden/>
    <w:rsid w:val="007208AD"/>
    <w:pPr>
      <w:ind w:left="1920" w:hanging="240"/>
    </w:pPr>
  </w:style>
  <w:style w:type="paragraph" w:styleId="Index9">
    <w:name w:val="index 9"/>
    <w:basedOn w:val="Normal"/>
    <w:next w:val="Normal"/>
    <w:autoRedefine/>
    <w:uiPriority w:val="98"/>
    <w:semiHidden/>
    <w:rsid w:val="007208AD"/>
    <w:pPr>
      <w:ind w:left="2160" w:hanging="240"/>
    </w:pPr>
  </w:style>
  <w:style w:type="paragraph" w:styleId="IndexHeading">
    <w:name w:val="index heading"/>
    <w:basedOn w:val="Normal"/>
    <w:next w:val="Index1"/>
    <w:uiPriority w:val="98"/>
    <w:semiHidden/>
    <w:rsid w:val="007208AD"/>
    <w:rPr>
      <w:rFonts w:asciiTheme="majorHAnsi" w:eastAsiaTheme="majorEastAsia" w:hAnsiTheme="majorHAnsi" w:cstheme="majorBidi"/>
      <w:b/>
      <w:bCs/>
    </w:rPr>
  </w:style>
  <w:style w:type="table" w:styleId="LightGrid">
    <w:name w:val="Light Grid"/>
    <w:basedOn w:val="TableNormal"/>
    <w:uiPriority w:val="62"/>
    <w:semiHidden/>
    <w:rsid w:val="007208A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208A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208A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208A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208A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208A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208A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208A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208A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208A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208A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208A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208A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208A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208A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208A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208A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208A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208A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208A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208A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208AD"/>
  </w:style>
  <w:style w:type="paragraph" w:styleId="List">
    <w:name w:val="List"/>
    <w:basedOn w:val="Normal"/>
    <w:uiPriority w:val="98"/>
    <w:semiHidden/>
    <w:rsid w:val="007208AD"/>
    <w:pPr>
      <w:ind w:left="283" w:hanging="283"/>
      <w:contextualSpacing/>
    </w:pPr>
  </w:style>
  <w:style w:type="paragraph" w:styleId="List2">
    <w:name w:val="List 2"/>
    <w:basedOn w:val="Normal"/>
    <w:uiPriority w:val="98"/>
    <w:semiHidden/>
    <w:rsid w:val="007208AD"/>
    <w:pPr>
      <w:ind w:left="566" w:hanging="283"/>
      <w:contextualSpacing/>
    </w:pPr>
  </w:style>
  <w:style w:type="paragraph" w:styleId="List3">
    <w:name w:val="List 3"/>
    <w:basedOn w:val="Normal"/>
    <w:uiPriority w:val="98"/>
    <w:semiHidden/>
    <w:rsid w:val="007208AD"/>
    <w:pPr>
      <w:ind w:left="849" w:hanging="283"/>
      <w:contextualSpacing/>
    </w:pPr>
  </w:style>
  <w:style w:type="paragraph" w:styleId="List4">
    <w:name w:val="List 4"/>
    <w:basedOn w:val="Normal"/>
    <w:uiPriority w:val="98"/>
    <w:semiHidden/>
    <w:rsid w:val="007208AD"/>
    <w:pPr>
      <w:ind w:left="1132" w:hanging="283"/>
      <w:contextualSpacing/>
    </w:pPr>
  </w:style>
  <w:style w:type="paragraph" w:styleId="List5">
    <w:name w:val="List 5"/>
    <w:basedOn w:val="Normal"/>
    <w:uiPriority w:val="98"/>
    <w:semiHidden/>
    <w:rsid w:val="007208AD"/>
    <w:pPr>
      <w:ind w:left="1415" w:hanging="283"/>
      <w:contextualSpacing/>
    </w:pPr>
  </w:style>
  <w:style w:type="paragraph" w:styleId="ListBullet2">
    <w:name w:val="List Bullet 2"/>
    <w:basedOn w:val="Normal"/>
    <w:uiPriority w:val="98"/>
    <w:semiHidden/>
    <w:rsid w:val="007208AD"/>
    <w:pPr>
      <w:numPr>
        <w:numId w:val="10"/>
      </w:numPr>
      <w:contextualSpacing/>
    </w:pPr>
  </w:style>
  <w:style w:type="paragraph" w:styleId="ListBullet4">
    <w:name w:val="List Bullet 4"/>
    <w:basedOn w:val="Normal"/>
    <w:uiPriority w:val="98"/>
    <w:semiHidden/>
    <w:rsid w:val="007208AD"/>
    <w:pPr>
      <w:numPr>
        <w:numId w:val="12"/>
      </w:numPr>
      <w:contextualSpacing/>
    </w:pPr>
  </w:style>
  <w:style w:type="paragraph" w:styleId="ListBullet5">
    <w:name w:val="List Bullet 5"/>
    <w:basedOn w:val="Normal"/>
    <w:uiPriority w:val="98"/>
    <w:semiHidden/>
    <w:rsid w:val="007208AD"/>
    <w:pPr>
      <w:numPr>
        <w:numId w:val="13"/>
      </w:numPr>
      <w:contextualSpacing/>
    </w:pPr>
  </w:style>
  <w:style w:type="paragraph" w:styleId="ListContinue">
    <w:name w:val="List Continue"/>
    <w:basedOn w:val="Normal"/>
    <w:uiPriority w:val="98"/>
    <w:semiHidden/>
    <w:rsid w:val="007208AD"/>
    <w:pPr>
      <w:spacing w:after="120"/>
      <w:ind w:left="283"/>
      <w:contextualSpacing/>
    </w:pPr>
  </w:style>
  <w:style w:type="paragraph" w:styleId="ListContinue2">
    <w:name w:val="List Continue 2"/>
    <w:basedOn w:val="Normal"/>
    <w:uiPriority w:val="98"/>
    <w:semiHidden/>
    <w:rsid w:val="007208AD"/>
    <w:pPr>
      <w:spacing w:after="120"/>
      <w:ind w:left="566"/>
      <w:contextualSpacing/>
    </w:pPr>
  </w:style>
  <w:style w:type="paragraph" w:styleId="ListContinue3">
    <w:name w:val="List Continue 3"/>
    <w:basedOn w:val="Normal"/>
    <w:uiPriority w:val="98"/>
    <w:semiHidden/>
    <w:rsid w:val="007208AD"/>
    <w:pPr>
      <w:spacing w:after="120"/>
      <w:ind w:left="849"/>
      <w:contextualSpacing/>
    </w:pPr>
  </w:style>
  <w:style w:type="paragraph" w:styleId="ListContinue4">
    <w:name w:val="List Continue 4"/>
    <w:basedOn w:val="Normal"/>
    <w:uiPriority w:val="98"/>
    <w:semiHidden/>
    <w:rsid w:val="007208AD"/>
    <w:pPr>
      <w:spacing w:after="120"/>
      <w:ind w:left="1132"/>
      <w:contextualSpacing/>
    </w:pPr>
  </w:style>
  <w:style w:type="paragraph" w:styleId="ListContinue5">
    <w:name w:val="List Continue 5"/>
    <w:basedOn w:val="Normal"/>
    <w:uiPriority w:val="98"/>
    <w:semiHidden/>
    <w:rsid w:val="007208AD"/>
    <w:pPr>
      <w:spacing w:after="120"/>
      <w:ind w:left="1415"/>
      <w:contextualSpacing/>
    </w:pPr>
  </w:style>
  <w:style w:type="paragraph" w:styleId="ListNumber">
    <w:name w:val="List Number"/>
    <w:basedOn w:val="Normal"/>
    <w:uiPriority w:val="98"/>
    <w:semiHidden/>
    <w:rsid w:val="007208AD"/>
    <w:pPr>
      <w:numPr>
        <w:numId w:val="14"/>
      </w:numPr>
      <w:contextualSpacing/>
    </w:pPr>
  </w:style>
  <w:style w:type="paragraph" w:styleId="ListNumber2">
    <w:name w:val="List Number 2"/>
    <w:basedOn w:val="Normal"/>
    <w:uiPriority w:val="98"/>
    <w:semiHidden/>
    <w:rsid w:val="007208AD"/>
    <w:pPr>
      <w:numPr>
        <w:numId w:val="15"/>
      </w:numPr>
      <w:contextualSpacing/>
    </w:pPr>
  </w:style>
  <w:style w:type="paragraph" w:styleId="ListNumber3">
    <w:name w:val="List Number 3"/>
    <w:basedOn w:val="Normal"/>
    <w:uiPriority w:val="98"/>
    <w:semiHidden/>
    <w:rsid w:val="007208AD"/>
    <w:pPr>
      <w:numPr>
        <w:numId w:val="16"/>
      </w:numPr>
      <w:contextualSpacing/>
    </w:pPr>
  </w:style>
  <w:style w:type="paragraph" w:styleId="ListNumber4">
    <w:name w:val="List Number 4"/>
    <w:basedOn w:val="Normal"/>
    <w:uiPriority w:val="98"/>
    <w:semiHidden/>
    <w:rsid w:val="007208AD"/>
    <w:pPr>
      <w:numPr>
        <w:numId w:val="17"/>
      </w:numPr>
      <w:contextualSpacing/>
    </w:pPr>
  </w:style>
  <w:style w:type="paragraph" w:styleId="ListNumber5">
    <w:name w:val="List Number 5"/>
    <w:basedOn w:val="Normal"/>
    <w:uiPriority w:val="98"/>
    <w:semiHidden/>
    <w:rsid w:val="007208AD"/>
    <w:pPr>
      <w:numPr>
        <w:numId w:val="18"/>
      </w:numPr>
      <w:contextualSpacing/>
    </w:pPr>
  </w:style>
  <w:style w:type="paragraph" w:styleId="MacroText">
    <w:name w:val="macro"/>
    <w:link w:val="MacroTextChar"/>
    <w:uiPriority w:val="98"/>
    <w:semiHidden/>
    <w:rsid w:val="007208A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208AD"/>
    <w:rPr>
      <w:rFonts w:ascii="Consolas" w:eastAsiaTheme="minorEastAsia" w:hAnsi="Consolas" w:cs="Consolas"/>
      <w:sz w:val="20"/>
      <w:szCs w:val="20"/>
    </w:rPr>
  </w:style>
  <w:style w:type="table" w:styleId="MediumGrid1">
    <w:name w:val="Medium Grid 1"/>
    <w:basedOn w:val="TableNormal"/>
    <w:uiPriority w:val="67"/>
    <w:semiHidden/>
    <w:rsid w:val="007208A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208A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208A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208A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208A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208A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208A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208A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208A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208A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208A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208A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208A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208A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208A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208A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208A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208A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208A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208A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208A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208A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208A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208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208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7208A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208AD"/>
    <w:rPr>
      <w:rFonts w:ascii="Times New Roman" w:hAnsi="Times New Roman" w:cs="Times New Roman"/>
      <w:szCs w:val="24"/>
    </w:rPr>
  </w:style>
  <w:style w:type="paragraph" w:styleId="NormalIndent">
    <w:name w:val="Normal Indent"/>
    <w:basedOn w:val="Normal"/>
    <w:uiPriority w:val="98"/>
    <w:semiHidden/>
    <w:rsid w:val="007208AD"/>
    <w:pPr>
      <w:ind w:left="720"/>
    </w:pPr>
  </w:style>
  <w:style w:type="paragraph" w:styleId="NoteHeading">
    <w:name w:val="Note Heading"/>
    <w:basedOn w:val="Normal"/>
    <w:next w:val="Normal"/>
    <w:link w:val="NoteHeadingChar"/>
    <w:uiPriority w:val="98"/>
    <w:semiHidden/>
    <w:rsid w:val="007208AD"/>
  </w:style>
  <w:style w:type="character" w:customStyle="1" w:styleId="NoteHeadingChar">
    <w:name w:val="Note Heading Char"/>
    <w:basedOn w:val="DefaultParagraphFont"/>
    <w:link w:val="NoteHeading"/>
    <w:uiPriority w:val="98"/>
    <w:semiHidden/>
    <w:rsid w:val="007208AD"/>
    <w:rPr>
      <w:rFonts w:eastAsiaTheme="minorEastAsia"/>
      <w:sz w:val="24"/>
      <w:lang w:val="en-GB"/>
    </w:rPr>
  </w:style>
  <w:style w:type="character" w:styleId="PlaceholderText">
    <w:name w:val="Placeholder Text"/>
    <w:basedOn w:val="DefaultParagraphFont"/>
    <w:uiPriority w:val="98"/>
    <w:semiHidden/>
    <w:rsid w:val="007208A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208AD"/>
    <w:rPr>
      <w:rFonts w:ascii="Consolas" w:hAnsi="Consolas" w:cs="Consolas"/>
      <w:sz w:val="21"/>
      <w:szCs w:val="21"/>
    </w:rPr>
  </w:style>
  <w:style w:type="character" w:customStyle="1" w:styleId="PlainTextChar">
    <w:name w:val="Plain Text Char"/>
    <w:basedOn w:val="DefaultParagraphFont"/>
    <w:link w:val="PlainText"/>
    <w:uiPriority w:val="98"/>
    <w:semiHidden/>
    <w:rsid w:val="007208AD"/>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7208AD"/>
  </w:style>
  <w:style w:type="character" w:customStyle="1" w:styleId="SalutationChar">
    <w:name w:val="Salutation Char"/>
    <w:basedOn w:val="DefaultParagraphFont"/>
    <w:link w:val="Salutation"/>
    <w:uiPriority w:val="98"/>
    <w:semiHidden/>
    <w:rsid w:val="007208AD"/>
    <w:rPr>
      <w:rFonts w:eastAsiaTheme="minorEastAsia"/>
      <w:sz w:val="24"/>
      <w:lang w:val="en-GB"/>
    </w:rPr>
  </w:style>
  <w:style w:type="paragraph" w:styleId="Signature">
    <w:name w:val="Signature"/>
    <w:basedOn w:val="Normal"/>
    <w:link w:val="SignatureChar"/>
    <w:uiPriority w:val="98"/>
    <w:semiHidden/>
    <w:rsid w:val="007208AD"/>
    <w:pPr>
      <w:ind w:left="4252"/>
    </w:pPr>
  </w:style>
  <w:style w:type="character" w:customStyle="1" w:styleId="SignatureChar">
    <w:name w:val="Signature Char"/>
    <w:basedOn w:val="DefaultParagraphFont"/>
    <w:link w:val="Signature"/>
    <w:uiPriority w:val="98"/>
    <w:semiHidden/>
    <w:rsid w:val="007208AD"/>
    <w:rPr>
      <w:rFonts w:eastAsiaTheme="minorEastAsia"/>
      <w:sz w:val="24"/>
      <w:lang w:val="en-GB"/>
    </w:rPr>
  </w:style>
  <w:style w:type="table" w:styleId="Table3Deffects1">
    <w:name w:val="Table 3D effects 1"/>
    <w:basedOn w:val="TableNormal"/>
    <w:uiPriority w:val="99"/>
    <w:semiHidden/>
    <w:unhideWhenUsed/>
    <w:rsid w:val="007208A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08A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08A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08A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08A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08A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08A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08A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08A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08A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08A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08A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08A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08A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08A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08A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08A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08A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08A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08A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08A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08A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08A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08A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08A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208A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08A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08A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08A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08A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08A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08A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08A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208AD"/>
    <w:pPr>
      <w:ind w:left="240" w:hanging="240"/>
    </w:pPr>
  </w:style>
  <w:style w:type="paragraph" w:styleId="TableofFigures">
    <w:name w:val="table of figures"/>
    <w:basedOn w:val="Normal"/>
    <w:next w:val="Normal"/>
    <w:uiPriority w:val="98"/>
    <w:semiHidden/>
    <w:rsid w:val="007208AD"/>
  </w:style>
  <w:style w:type="table" w:styleId="TableProfessional">
    <w:name w:val="Table Professional"/>
    <w:basedOn w:val="TableNormal"/>
    <w:uiPriority w:val="99"/>
    <w:semiHidden/>
    <w:unhideWhenUsed/>
    <w:rsid w:val="007208A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08A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08A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08A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08A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08A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08A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08A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08A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08A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208A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208A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208AD"/>
    <w:pPr>
      <w:spacing w:after="100"/>
      <w:ind w:left="1680"/>
    </w:pPr>
  </w:style>
  <w:style w:type="paragraph" w:styleId="TOC9">
    <w:name w:val="toc 9"/>
    <w:basedOn w:val="Normal"/>
    <w:next w:val="Normal"/>
    <w:autoRedefine/>
    <w:uiPriority w:val="98"/>
    <w:semiHidden/>
    <w:rsid w:val="007208A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208AD"/>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7208AD"/>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7208AD"/>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7208AD"/>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CB656C"/>
    <w:rPr>
      <w:rFonts w:eastAsiaTheme="minorEastAsia"/>
      <w:sz w:val="24"/>
      <w:lang w:val="en-GB"/>
    </w:rPr>
  </w:style>
  <w:style w:type="paragraph" w:customStyle="1" w:styleId="ECHRBullet2">
    <w:name w:val="ECHR_Bullet_2"/>
    <w:aliases w:val="_Bul_2"/>
    <w:basedOn w:val="ECHRBullet1"/>
    <w:uiPriority w:val="23"/>
    <w:semiHidden/>
    <w:rsid w:val="007208AD"/>
    <w:pPr>
      <w:numPr>
        <w:ilvl w:val="1"/>
      </w:numPr>
    </w:pPr>
  </w:style>
  <w:style w:type="paragraph" w:customStyle="1" w:styleId="ECHRBullet3">
    <w:name w:val="ECHR_Bullet_3"/>
    <w:aliases w:val="_Bul_3"/>
    <w:basedOn w:val="ECHRBullet2"/>
    <w:uiPriority w:val="23"/>
    <w:semiHidden/>
    <w:rsid w:val="007208AD"/>
    <w:pPr>
      <w:numPr>
        <w:ilvl w:val="2"/>
      </w:numPr>
    </w:pPr>
  </w:style>
  <w:style w:type="paragraph" w:customStyle="1" w:styleId="ECHRBullet4">
    <w:name w:val="ECHR_Bullet_4"/>
    <w:aliases w:val="_Bul_4"/>
    <w:basedOn w:val="ECHRBullet3"/>
    <w:uiPriority w:val="23"/>
    <w:semiHidden/>
    <w:rsid w:val="007208AD"/>
    <w:pPr>
      <w:numPr>
        <w:ilvl w:val="3"/>
      </w:numPr>
    </w:pPr>
  </w:style>
  <w:style w:type="paragraph" w:customStyle="1" w:styleId="ECHRConfidential">
    <w:name w:val="ECHR_Confidential"/>
    <w:aliases w:val="_Confidential"/>
    <w:basedOn w:val="Normal"/>
    <w:next w:val="Normal"/>
    <w:uiPriority w:val="42"/>
    <w:semiHidden/>
    <w:qFormat/>
    <w:rsid w:val="007208AD"/>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7208AD"/>
    <w:pPr>
      <w:tabs>
        <w:tab w:val="left" w:pos="567"/>
        <w:tab w:val="left" w:pos="1134"/>
      </w:tabs>
      <w:spacing w:line="240" w:lineRule="exact"/>
      <w:jc w:val="left"/>
    </w:pPr>
    <w:rPr>
      <w:sz w:val="22"/>
    </w:rPr>
  </w:style>
  <w:style w:type="paragraph" w:customStyle="1" w:styleId="ECHRDivisionName">
    <w:name w:val="ECHR_DivisionName"/>
    <w:aliases w:val="_Div_Name"/>
    <w:basedOn w:val="Normal"/>
    <w:link w:val="ECHRDivisionNameChar"/>
    <w:uiPriority w:val="41"/>
    <w:semiHidden/>
    <w:qFormat/>
    <w:rsid w:val="007208AD"/>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208AD"/>
    <w:rPr>
      <w:rFonts w:ascii="Arial" w:hAnsi="Arial"/>
      <w:i/>
      <w:color w:val="0072BC" w:themeColor="accent1"/>
      <w:sz w:val="32"/>
      <w:lang w:val="en-GB"/>
    </w:rPr>
  </w:style>
  <w:style w:type="paragraph" w:customStyle="1" w:styleId="DummyStyle">
    <w:name w:val="Dummy_Style"/>
    <w:aliases w:val="_Dummy"/>
    <w:basedOn w:val="Normal"/>
    <w:semiHidden/>
    <w:qFormat/>
    <w:rsid w:val="007208AD"/>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7208AD"/>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7208AD"/>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7208AD"/>
    <w:pPr>
      <w:numPr>
        <w:numId w:val="1"/>
      </w:numPr>
    </w:pPr>
    <w:rPr>
      <w:i w:val="0"/>
      <w:sz w:val="18"/>
    </w:rPr>
  </w:style>
  <w:style w:type="paragraph" w:customStyle="1" w:styleId="ECHRParaIndent">
    <w:name w:val="ECHR_Para_Indent"/>
    <w:aliases w:val="_Indent"/>
    <w:basedOn w:val="Normal"/>
    <w:uiPriority w:val="7"/>
    <w:semiHidden/>
    <w:qFormat/>
    <w:rsid w:val="007208AD"/>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7208AD"/>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7208AD"/>
    <w:pPr>
      <w:numPr>
        <w:numId w:val="0"/>
      </w:numPr>
    </w:pPr>
  </w:style>
  <w:style w:type="paragraph" w:customStyle="1" w:styleId="ECHRNumberedList1">
    <w:name w:val="ECHR_Numbered_List_1"/>
    <w:aliases w:val="_Num_1"/>
    <w:basedOn w:val="Normal"/>
    <w:uiPriority w:val="23"/>
    <w:semiHidden/>
    <w:qFormat/>
    <w:rsid w:val="007208AD"/>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7208AD"/>
    <w:pPr>
      <w:numPr>
        <w:ilvl w:val="1"/>
      </w:numPr>
    </w:pPr>
  </w:style>
  <w:style w:type="paragraph" w:customStyle="1" w:styleId="ECHRNumberedList3">
    <w:name w:val="ECHR_Numbered_List_3"/>
    <w:aliases w:val="_Num_3"/>
    <w:basedOn w:val="ECHRNumberedList2"/>
    <w:uiPriority w:val="23"/>
    <w:semiHidden/>
    <w:rsid w:val="007208AD"/>
    <w:pPr>
      <w:numPr>
        <w:ilvl w:val="2"/>
      </w:numPr>
    </w:pPr>
  </w:style>
  <w:style w:type="character" w:customStyle="1" w:styleId="ECHRRed">
    <w:name w:val="ECHR_Red"/>
    <w:aliases w:val="_Red"/>
    <w:basedOn w:val="DefaultParagraphFont"/>
    <w:uiPriority w:val="15"/>
    <w:semiHidden/>
    <w:qFormat/>
    <w:rsid w:val="007208AD"/>
    <w:rPr>
      <w:color w:val="C00000" w:themeColor="accent2"/>
    </w:rPr>
  </w:style>
  <w:style w:type="paragraph" w:customStyle="1" w:styleId="ECHRHeaderDate">
    <w:name w:val="ECHR_Header_Date"/>
    <w:aliases w:val="_Ref_Date"/>
    <w:basedOn w:val="Normal"/>
    <w:uiPriority w:val="44"/>
    <w:semiHidden/>
    <w:qFormat/>
    <w:rsid w:val="007208AD"/>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7208AD"/>
    <w:pPr>
      <w:jc w:val="right"/>
    </w:pPr>
    <w:rPr>
      <w:rFonts w:eastAsiaTheme="minorHAnsi"/>
      <w:i/>
      <w:sz w:val="20"/>
    </w:rPr>
  </w:style>
  <w:style w:type="paragraph" w:customStyle="1" w:styleId="ECHRSpacer">
    <w:name w:val="ECHR_Spacer"/>
    <w:aliases w:val="_Spacer"/>
    <w:basedOn w:val="Normal"/>
    <w:uiPriority w:val="45"/>
    <w:semiHidden/>
    <w:rsid w:val="007208AD"/>
    <w:rPr>
      <w:rFonts w:eastAsiaTheme="minorHAnsi"/>
      <w:sz w:val="4"/>
    </w:rPr>
  </w:style>
  <w:style w:type="paragraph" w:customStyle="1" w:styleId="ECHRTitleCentre1">
    <w:name w:val="ECHR_Title_Centre_1"/>
    <w:aliases w:val="_Title_C_1"/>
    <w:basedOn w:val="Normal"/>
    <w:next w:val="Normal"/>
    <w:uiPriority w:val="26"/>
    <w:semiHidden/>
    <w:qFormat/>
    <w:rsid w:val="007208AD"/>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208AD"/>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208AD"/>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208AD"/>
    <w:pPr>
      <w:outlineLvl w:val="0"/>
    </w:pPr>
  </w:style>
  <w:style w:type="paragraph" w:customStyle="1" w:styleId="ECHRTitle1">
    <w:name w:val="ECHR_Title_1"/>
    <w:aliases w:val="_Title_L_1"/>
    <w:basedOn w:val="Normal"/>
    <w:next w:val="Normal"/>
    <w:uiPriority w:val="28"/>
    <w:semiHidden/>
    <w:qFormat/>
    <w:rsid w:val="007208AD"/>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208AD"/>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208AD"/>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7208AD"/>
    <w:pPr>
      <w:outlineLvl w:val="0"/>
    </w:pPr>
  </w:style>
  <w:style w:type="table" w:customStyle="1" w:styleId="ECHRTable2">
    <w:name w:val="ECHR_Table_2"/>
    <w:basedOn w:val="TableNormal"/>
    <w:uiPriority w:val="99"/>
    <w:rsid w:val="007208AD"/>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208A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CD9A85-EFD3-4516-A4C3-61A6D43BAD93}"/>
</file>

<file path=customXml/itemProps2.xml><?xml version="1.0" encoding="utf-8"?>
<ds:datastoreItem xmlns:ds="http://schemas.openxmlformats.org/officeDocument/2006/customXml" ds:itemID="{9A7A324A-FB6B-48FF-9A90-DD90762420A7}"/>
</file>

<file path=customXml/itemProps3.xml><?xml version="1.0" encoding="utf-8"?>
<ds:datastoreItem xmlns:ds="http://schemas.openxmlformats.org/officeDocument/2006/customXml" ds:itemID="{C8B93B0D-D3F6-4B22-9117-240625675046}"/>
</file>

<file path=customXml/itemProps4.xml><?xml version="1.0" encoding="utf-8"?>
<ds:datastoreItem xmlns:ds="http://schemas.openxmlformats.org/officeDocument/2006/customXml" ds:itemID="{6694715B-6765-4348-8F2A-C30137117E5C}"/>
</file>

<file path=docProps/app.xml><?xml version="1.0" encoding="utf-8"?>
<Properties xmlns="http://schemas.openxmlformats.org/officeDocument/2006/extended-properties" xmlns:vt="http://schemas.openxmlformats.org/officeDocument/2006/docPropsVTypes">
  <Template>Normal.dotm</Template>
  <TotalTime>0</TotalTime>
  <Pages>1</Pages>
  <Words>2245</Words>
  <Characters>12799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2020-08-10T13:58:00Z</dcterms:created>
  <dcterms:modified xsi:type="dcterms:W3CDTF">2020-08-10T13:58:00Z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84721/17</vt:lpwstr>
  </property>
  <property fmtid="{D5CDD505-2E9C-101B-9397-08002B2CF9AE}" pid="4" name="CASEID">
    <vt:lpwstr>1357983</vt:lpwstr>
  </property>
  <property fmtid="{D5CDD505-2E9C-101B-9397-08002B2CF9AE}" pid="5" name="ContentTypeId">
    <vt:lpwstr>0x010100558EB02BDB9E204AB350EDD385B68E10</vt:lpwstr>
  </property>
</Properties>
</file>