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307D1E" w:rsidR="00D420F3" w:rsidP="00307D1E" w:rsidRDefault="00D420F3">
      <w:pPr>
        <w:pStyle w:val="JuJudges"/>
        <w:jc w:val="center"/>
      </w:pPr>
      <w:bookmarkStart w:name="_GoBack" w:id="0"/>
      <w:bookmarkEnd w:id="0"/>
    </w:p>
    <w:p w:rsidRPr="00307D1E" w:rsidR="00725FDC" w:rsidP="00307D1E" w:rsidRDefault="00725FDC">
      <w:pPr>
        <w:pStyle w:val="JuJudges"/>
        <w:jc w:val="center"/>
      </w:pPr>
    </w:p>
    <w:p w:rsidRPr="00307D1E" w:rsidR="00725FDC" w:rsidP="00307D1E" w:rsidRDefault="00725FDC">
      <w:pPr>
        <w:pStyle w:val="JuJudges"/>
        <w:jc w:val="center"/>
      </w:pPr>
    </w:p>
    <w:p w:rsidRPr="00307D1E" w:rsidR="00D420F3" w:rsidP="00307D1E" w:rsidRDefault="00132E5B">
      <w:pPr>
        <w:jc w:val="center"/>
      </w:pPr>
      <w:r w:rsidRPr="00307D1E">
        <w:t>THIRD SECTION</w:t>
      </w:r>
    </w:p>
    <w:p w:rsidRPr="00307D1E" w:rsidR="00D420F3" w:rsidP="00307D1E" w:rsidRDefault="00D420F3">
      <w:pPr>
        <w:jc w:val="center"/>
      </w:pPr>
    </w:p>
    <w:p w:rsidRPr="00307D1E" w:rsidR="00725FDC" w:rsidP="00307D1E" w:rsidRDefault="00725FDC">
      <w:pPr>
        <w:jc w:val="center"/>
      </w:pPr>
    </w:p>
    <w:p w:rsidRPr="00307D1E" w:rsidR="00725FDC" w:rsidP="00307D1E" w:rsidRDefault="00725FDC">
      <w:pPr>
        <w:jc w:val="center"/>
      </w:pPr>
    </w:p>
    <w:p w:rsidRPr="00307D1E" w:rsidR="00725FDC" w:rsidP="00307D1E" w:rsidRDefault="00725FDC">
      <w:pPr>
        <w:jc w:val="center"/>
      </w:pPr>
    </w:p>
    <w:p w:rsidRPr="00307D1E" w:rsidR="00307D1E" w:rsidP="00307D1E" w:rsidRDefault="00307D1E">
      <w:pPr>
        <w:jc w:val="center"/>
      </w:pPr>
    </w:p>
    <w:p w:rsidRPr="00307D1E" w:rsidR="00855B43" w:rsidP="00307D1E" w:rsidRDefault="00855B43">
      <w:pPr>
        <w:jc w:val="center"/>
      </w:pPr>
    </w:p>
    <w:p w:rsidRPr="00307D1E" w:rsidR="00855B43" w:rsidP="00307D1E" w:rsidRDefault="00855B43">
      <w:pPr>
        <w:jc w:val="center"/>
      </w:pPr>
    </w:p>
    <w:p w:rsidRPr="00307D1E" w:rsidR="00725FDC" w:rsidP="00307D1E" w:rsidRDefault="00725FDC">
      <w:pPr>
        <w:jc w:val="center"/>
      </w:pPr>
    </w:p>
    <w:p w:rsidRPr="00307D1E" w:rsidR="00725FDC" w:rsidP="00307D1E" w:rsidRDefault="00725FDC">
      <w:pPr>
        <w:jc w:val="center"/>
      </w:pPr>
    </w:p>
    <w:p w:rsidRPr="00307D1E" w:rsidR="00D420F3" w:rsidP="00307D1E" w:rsidRDefault="0077175D">
      <w:pPr>
        <w:jc w:val="center"/>
        <w:rPr>
          <w:b/>
        </w:rPr>
      </w:pPr>
      <w:bookmarkStart w:name="To" w:id="1"/>
      <w:r w:rsidRPr="00307D1E">
        <w:rPr>
          <w:b/>
        </w:rPr>
        <w:t xml:space="preserve">CASE OF </w:t>
      </w:r>
      <w:bookmarkEnd w:id="1"/>
      <w:r w:rsidRPr="00307D1E" w:rsidR="00132E5B">
        <w:rPr>
          <w:b/>
        </w:rPr>
        <w:t xml:space="preserve">SAVENKO </w:t>
      </w:r>
      <w:r w:rsidRPr="00307D1E" w:rsidR="00037E85">
        <w:rPr>
          <w:b/>
        </w:rPr>
        <w:t xml:space="preserve">(LIMONOV) </w:t>
      </w:r>
      <w:r w:rsidRPr="00307D1E" w:rsidR="00132E5B">
        <w:rPr>
          <w:b/>
        </w:rPr>
        <w:t>v. RUSSIA</w:t>
      </w:r>
    </w:p>
    <w:p w:rsidRPr="00307D1E" w:rsidR="00D420F3" w:rsidP="00307D1E" w:rsidRDefault="00D420F3">
      <w:pPr>
        <w:jc w:val="center"/>
      </w:pPr>
    </w:p>
    <w:p w:rsidRPr="00307D1E" w:rsidR="00D420F3" w:rsidP="00307D1E" w:rsidRDefault="0077175D">
      <w:pPr>
        <w:jc w:val="center"/>
        <w:rPr>
          <w:i/>
        </w:rPr>
      </w:pPr>
      <w:r w:rsidRPr="00307D1E">
        <w:rPr>
          <w:i/>
        </w:rPr>
        <w:t>(</w:t>
      </w:r>
      <w:r w:rsidRPr="00307D1E" w:rsidR="00132E5B">
        <w:rPr>
          <w:i/>
        </w:rPr>
        <w:t>Application no. 29088/08</w:t>
      </w:r>
      <w:r w:rsidRPr="00307D1E">
        <w:rPr>
          <w:i/>
        </w:rPr>
        <w:t>)</w:t>
      </w:r>
    </w:p>
    <w:p w:rsidRPr="00307D1E" w:rsidR="00D420F3" w:rsidP="00307D1E" w:rsidRDefault="00D420F3">
      <w:pPr>
        <w:jc w:val="center"/>
      </w:pPr>
    </w:p>
    <w:p w:rsidRPr="00307D1E" w:rsidR="00D420F3" w:rsidP="00307D1E" w:rsidRDefault="00D420F3">
      <w:pPr>
        <w:jc w:val="center"/>
      </w:pPr>
    </w:p>
    <w:p w:rsidRPr="00307D1E" w:rsidR="00D420F3" w:rsidP="00307D1E" w:rsidRDefault="00D420F3">
      <w:pPr>
        <w:jc w:val="center"/>
      </w:pPr>
    </w:p>
    <w:p w:rsidRPr="00307D1E" w:rsidR="00D420F3" w:rsidP="00307D1E" w:rsidRDefault="00D420F3">
      <w:pPr>
        <w:jc w:val="center"/>
      </w:pPr>
    </w:p>
    <w:p w:rsidRPr="00307D1E" w:rsidR="00855B43" w:rsidP="00307D1E" w:rsidRDefault="00855B43">
      <w:pPr>
        <w:jc w:val="center"/>
      </w:pPr>
    </w:p>
    <w:p w:rsidRPr="00307D1E" w:rsidR="00855B43" w:rsidP="00307D1E" w:rsidRDefault="00855B43">
      <w:pPr>
        <w:jc w:val="center"/>
      </w:pPr>
    </w:p>
    <w:p w:rsidRPr="00307D1E" w:rsidR="00D420F3" w:rsidP="00307D1E" w:rsidRDefault="00D420F3">
      <w:pPr>
        <w:jc w:val="center"/>
      </w:pPr>
    </w:p>
    <w:p w:rsidRPr="00307D1E" w:rsidR="00D420F3" w:rsidP="00307D1E" w:rsidRDefault="00725FDC">
      <w:pPr>
        <w:jc w:val="center"/>
        <w:rPr>
          <w:szCs w:val="24"/>
        </w:rPr>
      </w:pPr>
      <w:r w:rsidRPr="00307D1E">
        <w:rPr>
          <w:szCs w:val="24"/>
        </w:rPr>
        <w:t>JUDGMENT</w:t>
      </w:r>
    </w:p>
    <w:p w:rsidRPr="00307D1E" w:rsidR="00CB20C3" w:rsidP="00307D1E" w:rsidRDefault="00CB20C3">
      <w:pPr>
        <w:jc w:val="center"/>
        <w:rPr>
          <w:szCs w:val="24"/>
        </w:rPr>
      </w:pPr>
    </w:p>
    <w:p w:rsidRPr="00307D1E" w:rsidR="00EE58DF" w:rsidP="00307D1E" w:rsidRDefault="00EE58DF">
      <w:pPr>
        <w:pStyle w:val="JuPara"/>
        <w:ind w:firstLine="0"/>
        <w:jc w:val="center"/>
        <w:rPr>
          <w:sz w:val="22"/>
        </w:rPr>
      </w:pPr>
    </w:p>
    <w:p w:rsidRPr="00307D1E" w:rsidR="00307D1E" w:rsidP="00307D1E" w:rsidRDefault="00307D1E">
      <w:pPr>
        <w:pStyle w:val="JuPara"/>
        <w:ind w:firstLine="0"/>
        <w:jc w:val="center"/>
        <w:rPr>
          <w:sz w:val="22"/>
        </w:rPr>
      </w:pPr>
    </w:p>
    <w:p w:rsidRPr="00307D1E" w:rsidR="00307D1E" w:rsidP="00307D1E" w:rsidRDefault="00307D1E">
      <w:pPr>
        <w:pStyle w:val="JuPara"/>
        <w:ind w:firstLine="0"/>
        <w:jc w:val="center"/>
        <w:rPr>
          <w:sz w:val="22"/>
        </w:rPr>
      </w:pPr>
    </w:p>
    <w:p w:rsidRPr="00307D1E" w:rsidR="00725FDC" w:rsidP="00307D1E" w:rsidRDefault="00725FDC">
      <w:pPr>
        <w:pStyle w:val="JuCase"/>
        <w:ind w:firstLine="0"/>
        <w:jc w:val="center"/>
        <w:rPr>
          <w:b w:val="0"/>
        </w:rPr>
      </w:pPr>
    </w:p>
    <w:p w:rsidRPr="00307D1E" w:rsidR="00855B43" w:rsidP="00307D1E" w:rsidRDefault="00855B43">
      <w:pPr>
        <w:pStyle w:val="JuPara"/>
        <w:ind w:firstLine="0"/>
        <w:jc w:val="center"/>
      </w:pPr>
    </w:p>
    <w:p w:rsidRPr="00307D1E" w:rsidR="00725FDC" w:rsidP="00307D1E" w:rsidRDefault="00725FDC">
      <w:pPr>
        <w:pStyle w:val="JuCase"/>
        <w:ind w:firstLine="0"/>
        <w:jc w:val="center"/>
        <w:rPr>
          <w:b w:val="0"/>
        </w:rPr>
      </w:pPr>
    </w:p>
    <w:p w:rsidRPr="00307D1E" w:rsidR="00725FDC" w:rsidP="00307D1E" w:rsidRDefault="00725FDC">
      <w:pPr>
        <w:pStyle w:val="JuCase"/>
        <w:ind w:firstLine="0"/>
        <w:jc w:val="center"/>
        <w:rPr>
          <w:b w:val="0"/>
        </w:rPr>
      </w:pPr>
      <w:r w:rsidRPr="00307D1E">
        <w:rPr>
          <w:b w:val="0"/>
        </w:rPr>
        <w:t>STRASBOURG</w:t>
      </w:r>
    </w:p>
    <w:p w:rsidRPr="00307D1E" w:rsidR="00725FDC" w:rsidP="00307D1E" w:rsidRDefault="00725FDC">
      <w:pPr>
        <w:pStyle w:val="JuCase"/>
        <w:ind w:firstLine="0"/>
        <w:jc w:val="center"/>
        <w:rPr>
          <w:b w:val="0"/>
        </w:rPr>
      </w:pPr>
    </w:p>
    <w:p w:rsidRPr="00307D1E" w:rsidR="00725FDC" w:rsidP="00307D1E" w:rsidRDefault="00725FDC">
      <w:pPr>
        <w:pStyle w:val="JuCase"/>
        <w:ind w:firstLine="0"/>
        <w:jc w:val="center"/>
        <w:rPr>
          <w:b w:val="0"/>
          <w:lang w:val="en-US"/>
        </w:rPr>
      </w:pPr>
      <w:r w:rsidRPr="00307D1E">
        <w:rPr>
          <w:b w:val="0"/>
          <w:lang w:val="en-US"/>
        </w:rPr>
        <w:t xml:space="preserve">26 </w:t>
      </w:r>
      <w:r w:rsidRPr="00307D1E">
        <w:rPr>
          <w:b w:val="0"/>
        </w:rPr>
        <w:t>November</w:t>
      </w:r>
      <w:r w:rsidRPr="00307D1E">
        <w:rPr>
          <w:b w:val="0"/>
          <w:lang w:val="en-US"/>
        </w:rPr>
        <w:t xml:space="preserve"> 2019</w:t>
      </w:r>
    </w:p>
    <w:p w:rsidRPr="00307D1E" w:rsidR="00725FDC" w:rsidP="00307D1E" w:rsidRDefault="00725FDC">
      <w:pPr>
        <w:pStyle w:val="JuCase"/>
        <w:ind w:firstLine="0"/>
        <w:jc w:val="center"/>
        <w:rPr>
          <w:b w:val="0"/>
        </w:rPr>
      </w:pPr>
    </w:p>
    <w:p w:rsidRPr="00307D1E" w:rsidR="00725FDC" w:rsidP="00307D1E" w:rsidRDefault="00725FDC">
      <w:pPr>
        <w:pStyle w:val="JuCase"/>
        <w:ind w:firstLine="0"/>
        <w:jc w:val="center"/>
        <w:rPr>
          <w:b w:val="0"/>
        </w:rPr>
      </w:pPr>
    </w:p>
    <w:p w:rsidRPr="00307D1E" w:rsidR="00855B43" w:rsidP="00307D1E" w:rsidRDefault="00855B43">
      <w:pPr>
        <w:pStyle w:val="JuPara"/>
        <w:ind w:firstLine="0"/>
        <w:jc w:val="center"/>
      </w:pPr>
    </w:p>
    <w:p w:rsidRPr="00307D1E" w:rsidR="00725FDC" w:rsidP="00307D1E" w:rsidRDefault="00725FDC">
      <w:pPr>
        <w:pStyle w:val="JuCase"/>
        <w:ind w:firstLine="0"/>
        <w:jc w:val="both"/>
        <w:rPr>
          <w:b w:val="0"/>
          <w:i/>
          <w:sz w:val="22"/>
          <w:lang w:val="en-US"/>
        </w:rPr>
      </w:pPr>
      <w:r w:rsidRPr="00307D1E">
        <w:rPr>
          <w:b w:val="0"/>
          <w:i/>
          <w:sz w:val="22"/>
        </w:rPr>
        <w:t>This judgment is final but it may be subject to editorial revision.</w:t>
      </w:r>
    </w:p>
    <w:p w:rsidRPr="00307D1E" w:rsidR="00725FDC" w:rsidP="00307D1E" w:rsidRDefault="00725FDC">
      <w:pPr>
        <w:pStyle w:val="JuPara"/>
        <w:rPr>
          <w:lang w:val="en-US"/>
        </w:rPr>
        <w:sectPr w:rsidRPr="00307D1E" w:rsidR="00725FDC" w:rsidSect="00725FDC">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307D1E" w:rsidR="00D420F3" w:rsidP="00307D1E" w:rsidRDefault="0077175D">
      <w:pPr>
        <w:pStyle w:val="JuCase"/>
        <w:rPr>
          <w:bCs/>
        </w:rPr>
      </w:pPr>
      <w:r w:rsidRPr="00307D1E">
        <w:t xml:space="preserve">In the case of </w:t>
      </w:r>
      <w:r w:rsidRPr="00307D1E" w:rsidR="00132E5B">
        <w:t xml:space="preserve">Savenko </w:t>
      </w:r>
      <w:r w:rsidRPr="00307D1E" w:rsidR="00037E85">
        <w:t xml:space="preserve">(Limonov) </w:t>
      </w:r>
      <w:r w:rsidRPr="00307D1E" w:rsidR="00132E5B">
        <w:t>v. Russia</w:t>
      </w:r>
      <w:r w:rsidRPr="00307D1E">
        <w:t>,</w:t>
      </w:r>
    </w:p>
    <w:p w:rsidRPr="00307D1E" w:rsidR="00D420F3" w:rsidP="00307D1E" w:rsidRDefault="0077175D">
      <w:pPr>
        <w:pStyle w:val="JuPara"/>
      </w:pPr>
      <w:r w:rsidRPr="00307D1E">
        <w:t>The European Court of Human Rights (</w:t>
      </w:r>
      <w:r w:rsidRPr="00307D1E" w:rsidR="00132E5B">
        <w:t>Third Section</w:t>
      </w:r>
      <w:r w:rsidRPr="00307D1E">
        <w:t xml:space="preserve">), sitting as a </w:t>
      </w:r>
      <w:r w:rsidRPr="00307D1E" w:rsidR="0039337A">
        <w:t>Committee</w:t>
      </w:r>
      <w:r w:rsidRPr="00307D1E">
        <w:t xml:space="preserve"> composed of:</w:t>
      </w:r>
    </w:p>
    <w:p w:rsidRPr="00307D1E" w:rsidR="00D420F3" w:rsidP="00307D1E" w:rsidRDefault="00725FDC">
      <w:pPr>
        <w:pStyle w:val="JuJudges"/>
      </w:pPr>
      <w:r w:rsidRPr="00307D1E">
        <w:tab/>
        <w:t>Paulo Pinto de Albuquerque,</w:t>
      </w:r>
      <w:r w:rsidRPr="00307D1E">
        <w:rPr>
          <w:i/>
        </w:rPr>
        <w:t xml:space="preserve"> President,</w:t>
      </w:r>
      <w:r w:rsidRPr="00307D1E">
        <w:rPr>
          <w:i/>
        </w:rPr>
        <w:br/>
      </w:r>
      <w:r w:rsidRPr="00307D1E">
        <w:tab/>
        <w:t>Helen Keller,</w:t>
      </w:r>
      <w:r w:rsidRPr="00307D1E">
        <w:rPr>
          <w:i/>
        </w:rPr>
        <w:br/>
      </w:r>
      <w:r w:rsidRPr="00307D1E">
        <w:tab/>
        <w:t>María Elósegui,</w:t>
      </w:r>
      <w:r w:rsidRPr="00307D1E">
        <w:rPr>
          <w:i/>
        </w:rPr>
        <w:t xml:space="preserve"> judges,</w:t>
      </w:r>
      <w:r w:rsidRPr="00307D1E" w:rsidR="0077175D">
        <w:rPr>
          <w:szCs w:val="24"/>
        </w:rPr>
        <w:br/>
      </w:r>
      <w:r w:rsidRPr="00307D1E" w:rsidR="0077175D">
        <w:t xml:space="preserve">and </w:t>
      </w:r>
      <w:r w:rsidRPr="00307D1E" w:rsidR="00132E5B">
        <w:t>Stephen Phillips</w:t>
      </w:r>
      <w:r w:rsidRPr="00307D1E" w:rsidR="0077175D">
        <w:t xml:space="preserve">, </w:t>
      </w:r>
      <w:r w:rsidRPr="00307D1E" w:rsidR="00132E5B">
        <w:rPr>
          <w:i/>
        </w:rPr>
        <w:t xml:space="preserve">Section </w:t>
      </w:r>
      <w:r w:rsidRPr="00307D1E" w:rsidR="00132E5B">
        <w:rPr>
          <w:i/>
          <w:iCs/>
        </w:rPr>
        <w:t>Registrar</w:t>
      </w:r>
      <w:r w:rsidRPr="00307D1E" w:rsidR="0077175D">
        <w:rPr>
          <w:i/>
        </w:rPr>
        <w:t>,</w:t>
      </w:r>
    </w:p>
    <w:p w:rsidRPr="00307D1E" w:rsidR="00D420F3" w:rsidP="00307D1E" w:rsidRDefault="0077175D">
      <w:pPr>
        <w:pStyle w:val="JuPara"/>
      </w:pPr>
      <w:r w:rsidRPr="00307D1E">
        <w:t xml:space="preserve">Having deliberated in private on </w:t>
      </w:r>
      <w:r w:rsidRPr="00307D1E" w:rsidR="00725FDC">
        <w:t>5 November 2019</w:t>
      </w:r>
      <w:r w:rsidRPr="00307D1E">
        <w:t>,</w:t>
      </w:r>
    </w:p>
    <w:p w:rsidRPr="00307D1E" w:rsidR="00D420F3" w:rsidP="00307D1E" w:rsidRDefault="0077175D">
      <w:pPr>
        <w:pStyle w:val="JuPara"/>
      </w:pPr>
      <w:r w:rsidRPr="00307D1E">
        <w:t>Delivers the following judgment, which was adopted on that date:</w:t>
      </w:r>
    </w:p>
    <w:p w:rsidRPr="00307D1E" w:rsidR="00D420F3" w:rsidP="00307D1E" w:rsidRDefault="0077175D">
      <w:pPr>
        <w:pStyle w:val="JuHHead"/>
      </w:pPr>
      <w:r w:rsidRPr="00307D1E">
        <w:t>PROCEDURE</w:t>
      </w:r>
    </w:p>
    <w:p w:rsidRPr="00307D1E" w:rsidR="00132E5B" w:rsidP="00307D1E" w:rsidRDefault="00132E5B">
      <w:pPr>
        <w:pStyle w:val="JuPara"/>
      </w:pPr>
      <w:r w:rsidRPr="00307D1E">
        <w:fldChar w:fldCharType="begin"/>
      </w:r>
      <w:r w:rsidRPr="00307D1E">
        <w:instrText xml:space="preserve"> SEQ level0 \*arabic </w:instrText>
      </w:r>
      <w:r w:rsidRPr="00307D1E">
        <w:fldChar w:fldCharType="separate"/>
      </w:r>
      <w:r w:rsidRPr="00307D1E" w:rsidR="00307D1E">
        <w:rPr>
          <w:noProof/>
        </w:rPr>
        <w:t>1</w:t>
      </w:r>
      <w:r w:rsidRPr="00307D1E">
        <w:fldChar w:fldCharType="end"/>
      </w:r>
      <w:r w:rsidRPr="00307D1E" w:rsidR="0077175D">
        <w:t xml:space="preserve">.  The case originated in </w:t>
      </w:r>
      <w:r w:rsidRPr="00307D1E">
        <w:t>an application (no. 29088/08)</w:t>
      </w:r>
      <w:r w:rsidRPr="00307D1E" w:rsidR="0077175D">
        <w:t xml:space="preserve"> against </w:t>
      </w:r>
      <w:r w:rsidRPr="00307D1E">
        <w:t>the Russian Federation</w:t>
      </w:r>
      <w:r w:rsidRPr="00307D1E" w:rsidR="0077175D">
        <w:t xml:space="preserve"> lodged with the </w:t>
      </w:r>
      <w:r w:rsidRPr="00307D1E">
        <w:t>Court under Article 34</w:t>
      </w:r>
      <w:r w:rsidRPr="00307D1E" w:rsidR="0077175D">
        <w:t xml:space="preserve"> of the Convention for the Protection of Human Rights and Fundamental Freedoms (“the Convention”) by </w:t>
      </w:r>
      <w:r w:rsidRPr="00307D1E">
        <w:t>a Russian national, Mr Eduard Veniaminovich Savenko (“the applicant”), on 2 June 2008</w:t>
      </w:r>
      <w:r w:rsidRPr="00307D1E" w:rsidR="0077175D">
        <w:t>.</w:t>
      </w:r>
    </w:p>
    <w:p w:rsidRPr="00307D1E" w:rsidR="00132E5B" w:rsidP="00307D1E" w:rsidRDefault="00132E5B">
      <w:pPr>
        <w:pStyle w:val="JuPara"/>
      </w:pPr>
      <w:r w:rsidRPr="00307D1E">
        <w:fldChar w:fldCharType="begin"/>
      </w:r>
      <w:r w:rsidRPr="00307D1E">
        <w:instrText xml:space="preserve"> SEQ level0 \*arabic </w:instrText>
      </w:r>
      <w:r w:rsidRPr="00307D1E">
        <w:fldChar w:fldCharType="separate"/>
      </w:r>
      <w:r w:rsidRPr="00307D1E" w:rsidR="00307D1E">
        <w:rPr>
          <w:noProof/>
        </w:rPr>
        <w:t>2</w:t>
      </w:r>
      <w:r w:rsidRPr="00307D1E">
        <w:fldChar w:fldCharType="end"/>
      </w:r>
      <w:r w:rsidRPr="00307D1E" w:rsidR="0077175D">
        <w:t>.  </w:t>
      </w:r>
      <w:r w:rsidRPr="00307D1E">
        <w:t>The applicant was represented by Mr D.</w:t>
      </w:r>
      <w:r w:rsidRPr="00307D1E" w:rsidR="0011272F">
        <w:t> </w:t>
      </w:r>
      <w:r w:rsidRPr="00307D1E">
        <w:t>Agranovskiy</w:t>
      </w:r>
      <w:r w:rsidRPr="00307D1E" w:rsidR="0011272F">
        <w:t>,</w:t>
      </w:r>
      <w:r w:rsidRPr="00307D1E">
        <w:t xml:space="preserve"> a lawyer practising in </w:t>
      </w:r>
      <w:r w:rsidRPr="00307D1E" w:rsidR="0079751A">
        <w:t>the Moscow Region</w:t>
      </w:r>
      <w:r w:rsidRPr="00307D1E">
        <w:t xml:space="preserve">. </w:t>
      </w:r>
      <w:r w:rsidRPr="00307D1E" w:rsidR="0077175D">
        <w:t xml:space="preserve">The </w:t>
      </w:r>
      <w:r w:rsidRPr="00307D1E">
        <w:t>Russian</w:t>
      </w:r>
      <w:r w:rsidRPr="00307D1E" w:rsidR="0077175D">
        <w:t xml:space="preserve"> Government (“the Government”) were represented </w:t>
      </w:r>
      <w:r w:rsidRPr="00307D1E" w:rsidR="0079751A">
        <w:t>initially by Mr G. Matyushkin, Representative of the Russian Federation to the European Court of Human Rights, and then by his successor in that office, Mr M. Galperin</w:t>
      </w:r>
      <w:r w:rsidRPr="00307D1E" w:rsidR="0077175D">
        <w:t>.</w:t>
      </w:r>
    </w:p>
    <w:p w:rsidRPr="00307D1E" w:rsidR="0079751A" w:rsidP="00307D1E" w:rsidRDefault="00353F23">
      <w:pPr>
        <w:pStyle w:val="JuPara"/>
      </w:pPr>
      <w:r w:rsidRPr="00307D1E">
        <w:fldChar w:fldCharType="begin"/>
      </w:r>
      <w:r w:rsidRPr="00307D1E">
        <w:instrText xml:space="preserve"> SEQ level0 \*arabic </w:instrText>
      </w:r>
      <w:r w:rsidRPr="00307D1E">
        <w:fldChar w:fldCharType="separate"/>
      </w:r>
      <w:r w:rsidRPr="00307D1E" w:rsidR="00307D1E">
        <w:rPr>
          <w:noProof/>
        </w:rPr>
        <w:t>3</w:t>
      </w:r>
      <w:r w:rsidRPr="00307D1E">
        <w:fldChar w:fldCharType="end"/>
      </w:r>
      <w:r w:rsidRPr="00307D1E">
        <w:t>.  </w:t>
      </w:r>
      <w:r w:rsidRPr="00307D1E" w:rsidR="0079751A">
        <w:t>The applicant alleged, in particular, a violation of his right to freedom of expression.</w:t>
      </w:r>
    </w:p>
    <w:p w:rsidRPr="00307D1E" w:rsidR="00B60CE1" w:rsidP="00307D1E" w:rsidRDefault="0079751A">
      <w:pPr>
        <w:pStyle w:val="JuPara"/>
      </w:pPr>
      <w:r w:rsidRPr="00307D1E">
        <w:fldChar w:fldCharType="begin"/>
      </w:r>
      <w:r w:rsidRPr="00307D1E">
        <w:instrText xml:space="preserve"> SEQ level0 \*arabic </w:instrText>
      </w:r>
      <w:r w:rsidRPr="00307D1E">
        <w:fldChar w:fldCharType="separate"/>
      </w:r>
      <w:r w:rsidRPr="00307D1E" w:rsidR="00307D1E">
        <w:rPr>
          <w:noProof/>
        </w:rPr>
        <w:t>4</w:t>
      </w:r>
      <w:r w:rsidRPr="00307D1E">
        <w:fldChar w:fldCharType="end"/>
      </w:r>
      <w:r w:rsidRPr="00307D1E">
        <w:t>.  </w:t>
      </w:r>
      <w:r w:rsidRPr="00307D1E" w:rsidR="00132E5B">
        <w:t xml:space="preserve">On </w:t>
      </w:r>
      <w:r w:rsidRPr="00307D1E" w:rsidR="00132E5B">
        <w:rPr>
          <w:szCs w:val="24"/>
        </w:rPr>
        <w:t>27 May 2010</w:t>
      </w:r>
      <w:r w:rsidRPr="00307D1E" w:rsidR="0077175D">
        <w:t xml:space="preserve"> </w:t>
      </w:r>
      <w:r w:rsidRPr="00307D1E" w:rsidR="00B60CE1">
        <w:rPr>
          <w:szCs w:val="24"/>
        </w:rPr>
        <w:t>the Government were given</w:t>
      </w:r>
      <w:r w:rsidRPr="00307D1E" w:rsidR="00B60CE1">
        <w:t xml:space="preserve"> notice of the </w:t>
      </w:r>
      <w:r w:rsidRPr="00307D1E" w:rsidR="00353F23">
        <w:rPr>
          <w:szCs w:val="24"/>
        </w:rPr>
        <w:t>above complaint</w:t>
      </w:r>
      <w:r w:rsidRPr="00307D1E" w:rsidR="00B60CE1">
        <w:rPr>
          <w:szCs w:val="24"/>
        </w:rPr>
        <w:t>.</w:t>
      </w:r>
    </w:p>
    <w:p w:rsidRPr="00307D1E" w:rsidR="00B60CE1" w:rsidP="00307D1E" w:rsidRDefault="00B60CE1">
      <w:pPr>
        <w:pStyle w:val="JuPara"/>
      </w:pPr>
      <w:r w:rsidRPr="00307D1E">
        <w:fldChar w:fldCharType="begin"/>
      </w:r>
      <w:r w:rsidRPr="00307D1E">
        <w:instrText xml:space="preserve"> SEQ level0 \*arabic </w:instrText>
      </w:r>
      <w:r w:rsidRPr="00307D1E">
        <w:fldChar w:fldCharType="separate"/>
      </w:r>
      <w:r w:rsidRPr="00307D1E" w:rsidR="00307D1E">
        <w:rPr>
          <w:noProof/>
        </w:rPr>
        <w:t>5</w:t>
      </w:r>
      <w:r w:rsidRPr="00307D1E">
        <w:fldChar w:fldCharType="end"/>
      </w:r>
      <w:r w:rsidRPr="00307D1E">
        <w:t>.  The Government objected to the examination of the application by a Committee. Having considered the Government</w:t>
      </w:r>
      <w:r w:rsidRPr="00307D1E" w:rsidR="00307D1E">
        <w:t>’</w:t>
      </w:r>
      <w:r w:rsidRPr="00307D1E">
        <w:t xml:space="preserve">s objection, the Court </w:t>
      </w:r>
      <w:r w:rsidRPr="00307D1E" w:rsidR="00353F23">
        <w:t xml:space="preserve">has </w:t>
      </w:r>
      <w:r w:rsidRPr="00307D1E">
        <w:t>reject</w:t>
      </w:r>
      <w:r w:rsidRPr="00307D1E" w:rsidR="00353F23">
        <w:t>ed</w:t>
      </w:r>
      <w:r w:rsidRPr="00307D1E">
        <w:t xml:space="preserve"> it.</w:t>
      </w:r>
    </w:p>
    <w:p w:rsidRPr="00307D1E" w:rsidR="00D420F3" w:rsidP="00307D1E" w:rsidRDefault="0077175D">
      <w:pPr>
        <w:pStyle w:val="JuHHead"/>
      </w:pPr>
      <w:r w:rsidRPr="00307D1E">
        <w:t>THE FACTS</w:t>
      </w:r>
    </w:p>
    <w:p w:rsidRPr="00307D1E" w:rsidR="0079751A" w:rsidP="00307D1E" w:rsidRDefault="0079751A">
      <w:pPr>
        <w:pStyle w:val="JuPara"/>
      </w:pPr>
      <w:r w:rsidRPr="00307D1E">
        <w:fldChar w:fldCharType="begin"/>
      </w:r>
      <w:r w:rsidRPr="00307D1E">
        <w:instrText xml:space="preserve"> SEQ level0 \*arabic </w:instrText>
      </w:r>
      <w:r w:rsidRPr="00307D1E">
        <w:fldChar w:fldCharType="separate"/>
      </w:r>
      <w:r w:rsidRPr="00307D1E" w:rsidR="00307D1E">
        <w:rPr>
          <w:noProof/>
        </w:rPr>
        <w:t>6</w:t>
      </w:r>
      <w:r w:rsidRPr="00307D1E">
        <w:fldChar w:fldCharType="end"/>
      </w:r>
      <w:r w:rsidRPr="00307D1E">
        <w:t xml:space="preserve">.  The applicant was born in 1943 and lives in Moscow. </w:t>
      </w:r>
      <w:r w:rsidRPr="00307D1E" w:rsidR="007842D2">
        <w:t>He</w:t>
      </w:r>
      <w:r w:rsidRPr="00307D1E">
        <w:t xml:space="preserve"> </w:t>
      </w:r>
      <w:r w:rsidRPr="00307D1E" w:rsidR="00F6278D">
        <w:t xml:space="preserve">has </w:t>
      </w:r>
      <w:r w:rsidRPr="00307D1E">
        <w:t xml:space="preserve">published books and articles under the name </w:t>
      </w:r>
      <w:r w:rsidRPr="00307D1E" w:rsidR="00F6278D">
        <w:t xml:space="preserve">of </w:t>
      </w:r>
      <w:r w:rsidRPr="00307D1E">
        <w:t>Eduard Limonov.</w:t>
      </w:r>
      <w:r w:rsidRPr="00307D1E" w:rsidR="00631567">
        <w:t xml:space="preserve"> At the material time he was </w:t>
      </w:r>
      <w:r w:rsidRPr="00307D1E" w:rsidR="001A524B">
        <w:t>a</w:t>
      </w:r>
      <w:r w:rsidRPr="00307D1E" w:rsidR="00631567">
        <w:t xml:space="preserve"> </w:t>
      </w:r>
      <w:r w:rsidRPr="00307D1E" w:rsidR="00143B70">
        <w:t>founding member</w:t>
      </w:r>
      <w:r w:rsidRPr="00307D1E" w:rsidR="00631567">
        <w:t xml:space="preserve"> of the National Bolshevik Party and </w:t>
      </w:r>
      <w:r w:rsidRPr="00307D1E" w:rsidR="00143B70">
        <w:t xml:space="preserve">one of </w:t>
      </w:r>
      <w:r w:rsidRPr="00307D1E" w:rsidR="00635B03">
        <w:t xml:space="preserve">the </w:t>
      </w:r>
      <w:r w:rsidRPr="00307D1E" w:rsidR="00143B70">
        <w:t xml:space="preserve">leaders </w:t>
      </w:r>
      <w:r w:rsidRPr="00307D1E" w:rsidR="00631567">
        <w:t xml:space="preserve">of </w:t>
      </w:r>
      <w:r w:rsidRPr="00307D1E" w:rsidR="00DF741B">
        <w:t>Ano</w:t>
      </w:r>
      <w:r w:rsidRPr="00307D1E" w:rsidR="00631567">
        <w:t xml:space="preserve">ther Russia </w:t>
      </w:r>
      <w:r w:rsidRPr="00307D1E" w:rsidR="00B15ED0">
        <w:t>(</w:t>
      </w:r>
      <w:r w:rsidRPr="00307D1E" w:rsidR="00B15ED0">
        <w:rPr>
          <w:lang w:val="en-US"/>
        </w:rPr>
        <w:t>«</w:t>
      </w:r>
      <w:r w:rsidRPr="00307D1E" w:rsidR="00B15ED0">
        <w:rPr>
          <w:i/>
          <w:lang w:val="ru-RU"/>
        </w:rPr>
        <w:t>Другая</w:t>
      </w:r>
      <w:r w:rsidRPr="00307D1E" w:rsidR="00B15ED0">
        <w:rPr>
          <w:i/>
          <w:lang w:val="en-US"/>
        </w:rPr>
        <w:t xml:space="preserve"> </w:t>
      </w:r>
      <w:r w:rsidRPr="00307D1E" w:rsidR="00B15ED0">
        <w:rPr>
          <w:i/>
          <w:lang w:val="ru-RU"/>
        </w:rPr>
        <w:t>Россия</w:t>
      </w:r>
      <w:r w:rsidRPr="00307D1E" w:rsidR="00B15ED0">
        <w:rPr>
          <w:i/>
          <w:lang w:val="en-US"/>
        </w:rPr>
        <w:t>»</w:t>
      </w:r>
      <w:r w:rsidRPr="00307D1E" w:rsidR="00B15ED0">
        <w:rPr>
          <w:lang w:val="en-US"/>
        </w:rPr>
        <w:t>)</w:t>
      </w:r>
      <w:r w:rsidRPr="00307D1E" w:rsidR="00635B03">
        <w:rPr>
          <w:lang w:val="en-US"/>
        </w:rPr>
        <w:t xml:space="preserve">, an umbrella coalition </w:t>
      </w:r>
      <w:r w:rsidRPr="00307D1E" w:rsidR="00631567">
        <w:t xml:space="preserve">known for organising </w:t>
      </w:r>
      <w:r w:rsidRPr="00307D1E" w:rsidR="00143B70">
        <w:t xml:space="preserve">opposition rallies under the name of </w:t>
      </w:r>
      <w:r w:rsidRPr="00307D1E" w:rsidR="00631567">
        <w:t>Dissenters</w:t>
      </w:r>
      <w:r w:rsidRPr="00307D1E" w:rsidR="00307D1E">
        <w:t>’</w:t>
      </w:r>
      <w:r w:rsidRPr="00307D1E" w:rsidR="00631567">
        <w:t xml:space="preserve"> March </w:t>
      </w:r>
      <w:r w:rsidRPr="00307D1E" w:rsidR="00631567">
        <w:rPr>
          <w:lang w:val="en-US"/>
        </w:rPr>
        <w:t>(«</w:t>
      </w:r>
      <w:r w:rsidRPr="00307D1E" w:rsidR="00631567">
        <w:rPr>
          <w:i/>
          <w:lang w:val="ru-RU"/>
        </w:rPr>
        <w:t>Марш</w:t>
      </w:r>
      <w:r w:rsidRPr="00307D1E" w:rsidR="00631567">
        <w:rPr>
          <w:i/>
          <w:lang w:val="en-US"/>
        </w:rPr>
        <w:t xml:space="preserve"> </w:t>
      </w:r>
      <w:r w:rsidRPr="00307D1E" w:rsidR="00631567">
        <w:rPr>
          <w:i/>
          <w:lang w:val="ru-RU"/>
        </w:rPr>
        <w:t>несогласных</w:t>
      </w:r>
      <w:r w:rsidRPr="00307D1E" w:rsidR="00631567">
        <w:rPr>
          <w:i/>
          <w:lang w:val="en-US"/>
        </w:rPr>
        <w:t>»</w:t>
      </w:r>
      <w:r w:rsidRPr="00307D1E" w:rsidR="00631567">
        <w:rPr>
          <w:lang w:val="en-US"/>
        </w:rPr>
        <w:t>).</w:t>
      </w:r>
    </w:p>
    <w:p w:rsidRPr="00307D1E" w:rsidR="0058732F" w:rsidP="00307D1E" w:rsidRDefault="0058732F">
      <w:pPr>
        <w:pStyle w:val="JuPara"/>
      </w:pPr>
      <w:r w:rsidRPr="00307D1E">
        <w:fldChar w:fldCharType="begin"/>
      </w:r>
      <w:r w:rsidRPr="00307D1E">
        <w:instrText xml:space="preserve"> SEQ level0 \*arabic </w:instrText>
      </w:r>
      <w:r w:rsidRPr="00307D1E">
        <w:fldChar w:fldCharType="separate"/>
      </w:r>
      <w:r w:rsidRPr="00307D1E" w:rsidR="00307D1E">
        <w:rPr>
          <w:noProof/>
        </w:rPr>
        <w:t>7</w:t>
      </w:r>
      <w:r w:rsidRPr="00307D1E">
        <w:fldChar w:fldCharType="end"/>
      </w:r>
      <w:r w:rsidRPr="00307D1E">
        <w:t>.  The facts of the case, as submitted by the parties, may be summarised as follows.</w:t>
      </w:r>
    </w:p>
    <w:p w:rsidRPr="00307D1E" w:rsidR="00F8305B" w:rsidP="00307D1E" w:rsidRDefault="00F8305B">
      <w:pPr>
        <w:pStyle w:val="JuHA"/>
      </w:pPr>
      <w:r w:rsidRPr="00307D1E">
        <w:t>Defamation proceedings against the applicant</w:t>
      </w:r>
    </w:p>
    <w:p w:rsidRPr="00307D1E" w:rsidR="0079751A" w:rsidP="00307D1E" w:rsidRDefault="003E3253">
      <w:pPr>
        <w:pStyle w:val="JuPara"/>
      </w:pPr>
      <w:r w:rsidRPr="00307D1E">
        <w:fldChar w:fldCharType="begin"/>
      </w:r>
      <w:r w:rsidRPr="00307D1E">
        <w:instrText xml:space="preserve"> SEQ level0 \*arabic </w:instrText>
      </w:r>
      <w:r w:rsidRPr="00307D1E">
        <w:fldChar w:fldCharType="separate"/>
      </w:r>
      <w:r w:rsidRPr="00307D1E" w:rsidR="00307D1E">
        <w:rPr>
          <w:noProof/>
        </w:rPr>
        <w:t>8</w:t>
      </w:r>
      <w:r w:rsidRPr="00307D1E">
        <w:fldChar w:fldCharType="end"/>
      </w:r>
      <w:r w:rsidRPr="00307D1E">
        <w:t>.  </w:t>
      </w:r>
      <w:r w:rsidRPr="00307D1E" w:rsidR="0079751A">
        <w:t xml:space="preserve">On 4 April 2007 </w:t>
      </w:r>
      <w:r w:rsidRPr="00307D1E" w:rsidR="00FC5299">
        <w:t>Radio Free Europe</w:t>
      </w:r>
      <w:r w:rsidRPr="00307D1E" w:rsidR="00494C86">
        <w:t>/Radio Liberty</w:t>
      </w:r>
      <w:r w:rsidRPr="00307D1E" w:rsidR="00FC5299">
        <w:t xml:space="preserve"> </w:t>
      </w:r>
      <w:r w:rsidRPr="00307D1E">
        <w:t xml:space="preserve">(RFE/RL) </w:t>
      </w:r>
      <w:r w:rsidRPr="00307D1E" w:rsidR="00876296">
        <w:t xml:space="preserve">hosted a </w:t>
      </w:r>
      <w:r w:rsidRPr="00307D1E" w:rsidR="009A4D7D">
        <w:t>debate</w:t>
      </w:r>
      <w:r w:rsidRPr="00307D1E" w:rsidR="0079751A">
        <w:t xml:space="preserve"> </w:t>
      </w:r>
      <w:r w:rsidRPr="00307D1E" w:rsidR="009A4D7D">
        <w:t>in the wake of</w:t>
      </w:r>
      <w:r w:rsidRPr="00307D1E" w:rsidR="00494C86">
        <w:t xml:space="preserve"> </w:t>
      </w:r>
      <w:r w:rsidRPr="00307D1E" w:rsidR="0079751A">
        <w:t>the Moscow court</w:t>
      </w:r>
      <w:r w:rsidRPr="00307D1E" w:rsidR="00307D1E">
        <w:t>’</w:t>
      </w:r>
      <w:r w:rsidRPr="00307D1E" w:rsidR="0079751A">
        <w:t xml:space="preserve">s decision upholding the Moscow </w:t>
      </w:r>
      <w:r w:rsidRPr="00307D1E" w:rsidR="00364BFD">
        <w:t>Government</w:t>
      </w:r>
      <w:r w:rsidRPr="00307D1E" w:rsidR="00307D1E">
        <w:t>’</w:t>
      </w:r>
      <w:r w:rsidRPr="00307D1E" w:rsidR="00364BFD">
        <w:t>s</w:t>
      </w:r>
      <w:r w:rsidRPr="00307D1E" w:rsidR="0079751A">
        <w:t xml:space="preserve"> refusal to authorise the </w:t>
      </w:r>
      <w:r w:rsidRPr="00307D1E" w:rsidR="00631567">
        <w:t>Dissenters</w:t>
      </w:r>
      <w:r w:rsidRPr="00307D1E" w:rsidR="00307D1E">
        <w:t>’</w:t>
      </w:r>
      <w:r w:rsidRPr="00307D1E" w:rsidR="00631567">
        <w:t xml:space="preserve"> </w:t>
      </w:r>
      <w:r w:rsidRPr="00307D1E" w:rsidR="00682268">
        <w:t>March</w:t>
      </w:r>
      <w:r w:rsidRPr="00307D1E" w:rsidR="00631567">
        <w:t xml:space="preserve"> in 2006</w:t>
      </w:r>
      <w:r w:rsidRPr="00307D1E" w:rsidR="0079751A">
        <w:t xml:space="preserve">. The applicant </w:t>
      </w:r>
      <w:r w:rsidRPr="00307D1E" w:rsidR="00631567">
        <w:t>took part in the debate and stated</w:t>
      </w:r>
      <w:r w:rsidRPr="00307D1E" w:rsidR="0079751A">
        <w:t>:</w:t>
      </w:r>
    </w:p>
    <w:p w:rsidRPr="00307D1E" w:rsidR="0079751A" w:rsidP="00307D1E" w:rsidRDefault="0079751A">
      <w:pPr>
        <w:pStyle w:val="JuQuot"/>
      </w:pPr>
      <w:r w:rsidRPr="00307D1E">
        <w:t xml:space="preserve">“We certainly </w:t>
      </w:r>
      <w:r w:rsidRPr="00307D1E" w:rsidR="00494C86">
        <w:t>expected</w:t>
      </w:r>
      <w:r w:rsidRPr="00307D1E">
        <w:t xml:space="preserve"> that the Tverskoy court [</w:t>
      </w:r>
      <w:r w:rsidRPr="00307D1E" w:rsidR="000C23BC">
        <w:t>in</w:t>
      </w:r>
      <w:r w:rsidRPr="00307D1E">
        <w:t xml:space="preserve"> Moscow] would issue a negative decision. Moscow courts are controlled by [</w:t>
      </w:r>
      <w:r w:rsidRPr="00307D1E" w:rsidR="003E3253">
        <w:t xml:space="preserve">the </w:t>
      </w:r>
      <w:r w:rsidRPr="00307D1E">
        <w:t xml:space="preserve">Moscow mayor] Luzhkov. </w:t>
      </w:r>
      <w:r w:rsidRPr="00307D1E" w:rsidR="0061455F">
        <w:t>You</w:t>
      </w:r>
      <w:r w:rsidRPr="00307D1E">
        <w:t xml:space="preserve"> cannot expect a miracle</w:t>
      </w:r>
      <w:r w:rsidRPr="00307D1E" w:rsidR="00D55448">
        <w:t xml:space="preserve"> </w:t>
      </w:r>
      <w:r w:rsidRPr="00307D1E" w:rsidR="00F63E1A">
        <w:t>...</w:t>
      </w:r>
      <w:r w:rsidRPr="00307D1E">
        <w:t xml:space="preserve"> Generally speaking, Moscow courts have never ruled against Luzhkov. Anyone in our position would have insisted on a lawful decision, knowing full well that unlawfulness was to be expected.”</w:t>
      </w:r>
    </w:p>
    <w:p w:rsidRPr="00307D1E" w:rsidR="0079751A" w:rsidP="00307D1E" w:rsidRDefault="003E3253">
      <w:pPr>
        <w:pStyle w:val="JuPara"/>
      </w:pPr>
      <w:r w:rsidRPr="00307D1E">
        <w:t>T</w:t>
      </w:r>
      <w:r w:rsidRPr="00307D1E" w:rsidR="0079751A">
        <w:t xml:space="preserve">he transcript of the </w:t>
      </w:r>
      <w:r w:rsidRPr="00307D1E" w:rsidR="00F37634">
        <w:t>debate</w:t>
      </w:r>
      <w:r w:rsidRPr="00307D1E" w:rsidR="0079751A">
        <w:t xml:space="preserve"> was published on the station</w:t>
      </w:r>
      <w:r w:rsidRPr="00307D1E" w:rsidR="00307D1E">
        <w:t>’</w:t>
      </w:r>
      <w:r w:rsidRPr="00307D1E" w:rsidR="0079751A">
        <w:t>s web-site.</w:t>
      </w:r>
    </w:p>
    <w:p w:rsidRPr="00307D1E" w:rsidR="0079751A" w:rsidP="00307D1E" w:rsidRDefault="00B15ED0">
      <w:pPr>
        <w:pStyle w:val="JuPara"/>
      </w:pPr>
      <w:r w:rsidRPr="00307D1E">
        <w:fldChar w:fldCharType="begin"/>
      </w:r>
      <w:r w:rsidRPr="00307D1E">
        <w:instrText xml:space="preserve"> SEQ level0 \*arabic </w:instrText>
      </w:r>
      <w:r w:rsidRPr="00307D1E">
        <w:fldChar w:fldCharType="separate"/>
      </w:r>
      <w:r w:rsidRPr="00307D1E" w:rsidR="00307D1E">
        <w:rPr>
          <w:noProof/>
        </w:rPr>
        <w:t>9</w:t>
      </w:r>
      <w:r w:rsidRPr="00307D1E">
        <w:fldChar w:fldCharType="end"/>
      </w:r>
      <w:r w:rsidRPr="00307D1E">
        <w:t>.  </w:t>
      </w:r>
      <w:r w:rsidRPr="00307D1E" w:rsidR="0079751A">
        <w:t xml:space="preserve">On 18 May 2007 the Moscow </w:t>
      </w:r>
      <w:r w:rsidRPr="00307D1E" w:rsidR="000C23BC">
        <w:t>m</w:t>
      </w:r>
      <w:r w:rsidRPr="00307D1E" w:rsidR="0079751A">
        <w:t xml:space="preserve">ayor lodged a defamation claim against the applicant and the </w:t>
      </w:r>
      <w:r w:rsidRPr="00307D1E" w:rsidR="003E3253">
        <w:t xml:space="preserve">RFE/RL </w:t>
      </w:r>
      <w:r w:rsidRPr="00307D1E" w:rsidR="0079751A">
        <w:t>station. He claimed that the sentence “Moscow courts are controlled by Luzhkov” was false and also damaging to his honour, dignity and the professional</w:t>
      </w:r>
      <w:r w:rsidRPr="00307D1E" w:rsidR="00F63E1A">
        <w:t xml:space="preserve"> reputation, and sought 500,000 </w:t>
      </w:r>
      <w:r w:rsidRPr="00307D1E" w:rsidR="0079751A">
        <w:t xml:space="preserve">Russian roubles (RUB) in </w:t>
      </w:r>
      <w:r w:rsidRPr="00307D1E" w:rsidR="003E3253">
        <w:t xml:space="preserve">respect of non-pecuniary </w:t>
      </w:r>
      <w:r w:rsidRPr="00307D1E" w:rsidR="0079751A">
        <w:t>damage.</w:t>
      </w:r>
    </w:p>
    <w:p w:rsidRPr="00307D1E" w:rsidR="00F63E1A" w:rsidP="00307D1E" w:rsidRDefault="0079751A">
      <w:pPr>
        <w:pStyle w:val="JuPara"/>
      </w:pPr>
      <w:r w:rsidRPr="00307D1E">
        <w:fldChar w:fldCharType="begin"/>
      </w:r>
      <w:r w:rsidRPr="00307D1E">
        <w:instrText xml:space="preserve"> SEQ level0 \*arabic </w:instrText>
      </w:r>
      <w:r w:rsidRPr="00307D1E">
        <w:fldChar w:fldCharType="separate"/>
      </w:r>
      <w:r w:rsidRPr="00307D1E" w:rsidR="00307D1E">
        <w:rPr>
          <w:noProof/>
        </w:rPr>
        <w:t>10</w:t>
      </w:r>
      <w:r w:rsidRPr="00307D1E">
        <w:fldChar w:fldCharType="end"/>
      </w:r>
      <w:r w:rsidRPr="00307D1E">
        <w:t xml:space="preserve">.  On 14 November 2007 the Babushkinsky District Court </w:t>
      </w:r>
      <w:r w:rsidRPr="00307D1E" w:rsidR="003E3253">
        <w:t xml:space="preserve">in </w:t>
      </w:r>
      <w:r w:rsidRPr="00307D1E">
        <w:t xml:space="preserve">Moscow </w:t>
      </w:r>
      <w:r w:rsidRPr="00307D1E" w:rsidR="003E3253">
        <w:t xml:space="preserve">granted </w:t>
      </w:r>
      <w:r w:rsidRPr="00307D1E">
        <w:t>the defamation claim</w:t>
      </w:r>
      <w:r w:rsidRPr="00307D1E" w:rsidR="003E3253">
        <w:t xml:space="preserve"> in full</w:t>
      </w:r>
      <w:r w:rsidRPr="00307D1E">
        <w:t xml:space="preserve">. </w:t>
      </w:r>
      <w:r w:rsidRPr="00307D1E" w:rsidR="003E3253">
        <w:t xml:space="preserve">It heard </w:t>
      </w:r>
      <w:r w:rsidRPr="00307D1E">
        <w:t xml:space="preserve">counsel for the plaintiff and the defendants and </w:t>
      </w:r>
      <w:r w:rsidRPr="00307D1E" w:rsidR="003E3253">
        <w:t xml:space="preserve">took evidence from </w:t>
      </w:r>
      <w:r w:rsidRPr="00307D1E">
        <w:t xml:space="preserve">witnesses for the applicant who </w:t>
      </w:r>
      <w:r w:rsidRPr="00307D1E" w:rsidR="003E3253">
        <w:t xml:space="preserve">stated </w:t>
      </w:r>
      <w:r w:rsidRPr="00307D1E">
        <w:t xml:space="preserve">that they had had </w:t>
      </w:r>
      <w:r w:rsidRPr="00307D1E" w:rsidR="003E3253">
        <w:t xml:space="preserve">a </w:t>
      </w:r>
      <w:r w:rsidRPr="00307D1E">
        <w:t>personal experience of unsuccessful litigation against the Moscow Government in Moscow courts.</w:t>
      </w:r>
      <w:r w:rsidRPr="00307D1E" w:rsidR="003E3253">
        <w:t xml:space="preserve"> The court found:</w:t>
      </w:r>
    </w:p>
    <w:p w:rsidRPr="00307D1E" w:rsidR="00F63E1A" w:rsidP="00307D1E" w:rsidRDefault="0079751A">
      <w:pPr>
        <w:pStyle w:val="JuQuot"/>
      </w:pPr>
      <w:r w:rsidRPr="00307D1E">
        <w:t xml:space="preserve">“The defendant Savenko (Limonov) and his counsel did not produce any evidence </w:t>
      </w:r>
      <w:r w:rsidRPr="00307D1E" w:rsidR="00F26DB0">
        <w:t xml:space="preserve">showing </w:t>
      </w:r>
      <w:r w:rsidRPr="00307D1E">
        <w:t xml:space="preserve">the </w:t>
      </w:r>
      <w:r w:rsidRPr="00307D1E" w:rsidR="003E3253">
        <w:t>truth</w:t>
      </w:r>
      <w:r w:rsidRPr="00307D1E">
        <w:t xml:space="preserve"> of the statement</w:t>
      </w:r>
      <w:r w:rsidRPr="00307D1E" w:rsidR="00F26DB0">
        <w:t xml:space="preserve"> [that Moscow courts were controlled by Mayor Luzhkov]</w:t>
      </w:r>
      <w:r w:rsidRPr="00307D1E">
        <w:t>.</w:t>
      </w:r>
    </w:p>
    <w:p w:rsidRPr="00307D1E" w:rsidR="0079751A" w:rsidP="00307D1E" w:rsidRDefault="003E3253">
      <w:pPr>
        <w:pStyle w:val="JuQuot"/>
      </w:pPr>
      <w:r w:rsidRPr="00307D1E">
        <w:t xml:space="preserve">The expert </w:t>
      </w:r>
      <w:r w:rsidRPr="00307D1E" w:rsidR="00F63E1A">
        <w:t>...</w:t>
      </w:r>
      <w:r w:rsidRPr="00307D1E">
        <w:t xml:space="preserve"> </w:t>
      </w:r>
      <w:r w:rsidRPr="00307D1E" w:rsidR="0079751A">
        <w:t xml:space="preserve">from the Vinogradov Russian Language Institute </w:t>
      </w:r>
      <w:r w:rsidRPr="00307D1E" w:rsidR="00F63E1A">
        <w:t>...</w:t>
      </w:r>
      <w:r w:rsidRPr="00307D1E" w:rsidR="00F26DB0">
        <w:t xml:space="preserve"> explained</w:t>
      </w:r>
      <w:r w:rsidRPr="00307D1E" w:rsidR="0079751A">
        <w:t xml:space="preserve"> that for the average man – rather than for a specialist – the statement </w:t>
      </w:r>
      <w:r w:rsidRPr="00307D1E">
        <w:t xml:space="preserve">meant </w:t>
      </w:r>
      <w:r w:rsidRPr="00307D1E" w:rsidR="0079751A">
        <w:t xml:space="preserve">that courts </w:t>
      </w:r>
      <w:r w:rsidRPr="00307D1E">
        <w:t xml:space="preserve">were </w:t>
      </w:r>
      <w:r w:rsidRPr="00307D1E" w:rsidR="0079751A">
        <w:t xml:space="preserve">actually controlled by Mayor Luzhkov, that they </w:t>
      </w:r>
      <w:r w:rsidRPr="00307D1E">
        <w:t xml:space="preserve">were </w:t>
      </w:r>
      <w:r w:rsidRPr="00307D1E" w:rsidR="0079751A">
        <w:t>not independent and watch</w:t>
      </w:r>
      <w:r w:rsidRPr="00307D1E">
        <w:t>ed</w:t>
      </w:r>
      <w:r w:rsidRPr="00307D1E" w:rsidR="0079751A">
        <w:t xml:space="preserve"> carefully </w:t>
      </w:r>
      <w:r w:rsidRPr="00307D1E">
        <w:t xml:space="preserve">for </w:t>
      </w:r>
      <w:r w:rsidRPr="00307D1E" w:rsidR="0079751A">
        <w:t xml:space="preserve">his reaction, that any </w:t>
      </w:r>
      <w:r w:rsidRPr="00307D1E" w:rsidR="00F26DB0">
        <w:t xml:space="preserve">application </w:t>
      </w:r>
      <w:r w:rsidRPr="00307D1E" w:rsidR="0079751A">
        <w:t xml:space="preserve">to the courts </w:t>
      </w:r>
      <w:r w:rsidRPr="00307D1E">
        <w:t xml:space="preserve">was </w:t>
      </w:r>
      <w:r w:rsidRPr="00307D1E" w:rsidR="0079751A">
        <w:t>meaningless because they would never find against Luzhkov.</w:t>
      </w:r>
      <w:r w:rsidRPr="00307D1E" w:rsidR="00F26DB0">
        <w:t xml:space="preserve"> </w:t>
      </w:r>
      <w:r w:rsidRPr="00307D1E" w:rsidR="00C207AC">
        <w:t>The expert</w:t>
      </w:r>
      <w:r w:rsidRPr="00307D1E" w:rsidR="00307D1E">
        <w:t>’</w:t>
      </w:r>
      <w:r w:rsidRPr="00307D1E" w:rsidR="00C207AC">
        <w:t xml:space="preserve">s position finds corroboration in the testimony of citizens who </w:t>
      </w:r>
      <w:r w:rsidRPr="00307D1E" w:rsidR="00F26DB0">
        <w:t xml:space="preserve">had spontaneously </w:t>
      </w:r>
      <w:r w:rsidRPr="00307D1E" w:rsidR="0079751A">
        <w:t xml:space="preserve">appeared in court and were listed as witnesses for the </w:t>
      </w:r>
      <w:r w:rsidRPr="00307D1E" w:rsidR="00C207AC">
        <w:t>defendant</w:t>
      </w:r>
      <w:r w:rsidRPr="00307D1E" w:rsidR="00B669AA">
        <w:t>s</w:t>
      </w:r>
      <w:r w:rsidRPr="00307D1E" w:rsidR="00C207AC">
        <w:t xml:space="preserve">. They actually </w:t>
      </w:r>
      <w:r w:rsidRPr="00307D1E" w:rsidR="0079751A">
        <w:t>believe</w:t>
      </w:r>
      <w:r w:rsidRPr="00307D1E" w:rsidR="00F26DB0">
        <w:t>d</w:t>
      </w:r>
      <w:r w:rsidRPr="00307D1E" w:rsidR="0079751A">
        <w:t xml:space="preserve"> that the courts in Moscow </w:t>
      </w:r>
      <w:r w:rsidRPr="00307D1E">
        <w:t xml:space="preserve">were </w:t>
      </w:r>
      <w:r w:rsidRPr="00307D1E" w:rsidR="0079751A">
        <w:t xml:space="preserve">controlled by the Moscow Government and </w:t>
      </w:r>
      <w:r w:rsidRPr="00307D1E">
        <w:t xml:space="preserve">by </w:t>
      </w:r>
      <w:r w:rsidRPr="00307D1E" w:rsidR="0079751A">
        <w:t>Mayor Luzhkov an</w:t>
      </w:r>
      <w:r w:rsidRPr="00307D1E">
        <w:t xml:space="preserve">d they </w:t>
      </w:r>
      <w:r w:rsidRPr="00307D1E" w:rsidR="00F26DB0">
        <w:t xml:space="preserve">gave testimony </w:t>
      </w:r>
      <w:r w:rsidRPr="00307D1E">
        <w:t xml:space="preserve">to that effect </w:t>
      </w:r>
      <w:r w:rsidRPr="00307D1E" w:rsidR="00F63E1A">
        <w:t>...</w:t>
      </w:r>
    </w:p>
    <w:p w:rsidRPr="00307D1E" w:rsidR="0079751A" w:rsidP="00307D1E" w:rsidRDefault="00B669AA">
      <w:pPr>
        <w:pStyle w:val="JuQuot"/>
      </w:pPr>
      <w:r w:rsidRPr="00307D1E">
        <w:t xml:space="preserve">[Mr Savenko (Limonov)] did not accept the claim </w:t>
      </w:r>
      <w:r w:rsidRPr="00307D1E" w:rsidR="00F63E1A">
        <w:t>...</w:t>
      </w:r>
      <w:r w:rsidRPr="00307D1E">
        <w:t xml:space="preserve"> and stated that the amount claimed was a significant one, that he did not have that kind of money because he was the father of a small child </w:t>
      </w:r>
      <w:r w:rsidRPr="00307D1E" w:rsidR="00F63E1A">
        <w:t>...</w:t>
      </w:r>
      <w:r w:rsidRPr="00307D1E">
        <w:t xml:space="preserve"> </w:t>
      </w:r>
      <w:r w:rsidRPr="00307D1E" w:rsidR="0079751A">
        <w:t>As regards compensation in respect of non-pecuniary damage, the court finds that the claim should be granted in full because the defendant Savenko (Limonov) did not produce his income</w:t>
      </w:r>
      <w:r w:rsidRPr="00307D1E" w:rsidR="00F26DB0">
        <w:t xml:space="preserve"> statement</w:t>
      </w:r>
      <w:r w:rsidRPr="00307D1E" w:rsidR="0079751A">
        <w:t xml:space="preserve">, whereas the defendant </w:t>
      </w:r>
      <w:r w:rsidRPr="00307D1E" w:rsidR="00F26DB0">
        <w:t xml:space="preserve">RFE/RL </w:t>
      </w:r>
      <w:r w:rsidRPr="00307D1E" w:rsidR="0079751A">
        <w:t xml:space="preserve">submitted that it had </w:t>
      </w:r>
      <w:r w:rsidRPr="00307D1E" w:rsidR="00F26DB0">
        <w:t xml:space="preserve">an </w:t>
      </w:r>
      <w:r w:rsidRPr="00307D1E" w:rsidR="0079751A">
        <w:t>amount of RUB 58,656.35 in its current account</w:t>
      </w:r>
      <w:r w:rsidRPr="00307D1E" w:rsidR="00F26DB0">
        <w:t xml:space="preserve"> </w:t>
      </w:r>
      <w:r w:rsidRPr="00307D1E" w:rsidR="00F63E1A">
        <w:t>...</w:t>
      </w:r>
      <w:r w:rsidRPr="00307D1E" w:rsidR="0079751A">
        <w:t>”</w:t>
      </w:r>
    </w:p>
    <w:p w:rsidRPr="00307D1E" w:rsidR="00F63E1A" w:rsidP="00307D1E" w:rsidRDefault="0079751A">
      <w:pPr>
        <w:pStyle w:val="JuPara"/>
      </w:pPr>
      <w:r w:rsidRPr="00307D1E">
        <w:t xml:space="preserve">The District Court ordered that the applicant and the radio station broadcast a </w:t>
      </w:r>
      <w:r w:rsidRPr="00307D1E" w:rsidR="00F26DB0">
        <w:t xml:space="preserve">rectification </w:t>
      </w:r>
      <w:r w:rsidRPr="00307D1E">
        <w:t>and publish it on the web-site</w:t>
      </w:r>
      <w:r w:rsidRPr="00307D1E" w:rsidR="00F26DB0">
        <w:t>,</w:t>
      </w:r>
      <w:r w:rsidRPr="00307D1E" w:rsidR="00F63E1A">
        <w:t xml:space="preserve"> and pay RUB </w:t>
      </w:r>
      <w:r w:rsidRPr="00307D1E">
        <w:t xml:space="preserve">500,000 each to </w:t>
      </w:r>
      <w:r w:rsidRPr="00307D1E" w:rsidR="000C23BC">
        <w:t>the Moscow m</w:t>
      </w:r>
      <w:r w:rsidRPr="00307D1E">
        <w:t>ayor.</w:t>
      </w:r>
    </w:p>
    <w:p w:rsidRPr="00307D1E" w:rsidR="0079751A" w:rsidP="00307D1E" w:rsidRDefault="0079751A">
      <w:pPr>
        <w:pStyle w:val="JuPara"/>
      </w:pPr>
      <w:r w:rsidRPr="00307D1E">
        <w:fldChar w:fldCharType="begin"/>
      </w:r>
      <w:r w:rsidRPr="00307D1E">
        <w:instrText xml:space="preserve"> SEQ level0 \*arabic </w:instrText>
      </w:r>
      <w:r w:rsidRPr="00307D1E">
        <w:fldChar w:fldCharType="separate"/>
      </w:r>
      <w:r w:rsidRPr="00307D1E" w:rsidR="00307D1E">
        <w:rPr>
          <w:noProof/>
        </w:rPr>
        <w:t>11</w:t>
      </w:r>
      <w:r w:rsidRPr="00307D1E">
        <w:fldChar w:fldCharType="end"/>
      </w:r>
      <w:r w:rsidRPr="00307D1E">
        <w:t>.  On 7 February 2008 the Moscow City Court rejected the appeals by the applicant and the radio station and upheld the District Court</w:t>
      </w:r>
      <w:r w:rsidRPr="00307D1E" w:rsidR="00307D1E">
        <w:t>’</w:t>
      </w:r>
      <w:r w:rsidRPr="00307D1E">
        <w:t>s judgment. It pointed out in particular that –</w:t>
      </w:r>
    </w:p>
    <w:p w:rsidRPr="00307D1E" w:rsidR="0079751A" w:rsidP="00307D1E" w:rsidRDefault="00501DF2">
      <w:pPr>
        <w:pStyle w:val="JuQuot"/>
      </w:pPr>
      <w:r w:rsidRPr="00307D1E">
        <w:t>“</w:t>
      </w:r>
      <w:r w:rsidRPr="00307D1E" w:rsidR="00F63E1A">
        <w:t>...</w:t>
      </w:r>
      <w:r w:rsidRPr="00307D1E">
        <w:t xml:space="preserve"> in determining the amount of award in respect of non-pecuniary damage, the court had regard to the extent of liability of each defendant, the nature of the statement, the manner and extent of its dissemination, and the nature of moral suffering caused to the plaintiff. In particular, the court found that the disseminated information about the plaintiff undermine</w:t>
      </w:r>
      <w:r w:rsidRPr="00307D1E" w:rsidR="006E7770">
        <w:t>d</w:t>
      </w:r>
      <w:r w:rsidRPr="00307D1E">
        <w:t xml:space="preserve"> public</w:t>
      </w:r>
      <w:r w:rsidRPr="00307D1E" w:rsidR="006E7770">
        <w:t xml:space="preserve"> confidence in the authorities </w:t>
      </w:r>
      <w:r w:rsidRPr="00307D1E" w:rsidR="00F63E1A">
        <w:t>...</w:t>
      </w:r>
      <w:r w:rsidRPr="00307D1E" w:rsidR="006E7770">
        <w:t xml:space="preserve"> that the information had been disseminated on the radio and in the internet </w:t>
      </w:r>
      <w:r w:rsidRPr="00307D1E" w:rsidR="00F63E1A">
        <w:t>...</w:t>
      </w:r>
      <w:r w:rsidRPr="00307D1E" w:rsidR="006E7770">
        <w:t xml:space="preserve"> and that the </w:t>
      </w:r>
      <w:r w:rsidRPr="00307D1E" w:rsidR="00F63E1A">
        <w:t>...</w:t>
      </w:r>
      <w:r w:rsidRPr="00307D1E" w:rsidR="006E7770">
        <w:t xml:space="preserve"> information unlawfully and undeservedly discredited the plaintiff </w:t>
      </w:r>
      <w:r w:rsidRPr="00307D1E" w:rsidR="008C0F60">
        <w:t xml:space="preserve">in the eyes of a large audience </w:t>
      </w:r>
      <w:r w:rsidRPr="00307D1E" w:rsidR="006E7770">
        <w:t xml:space="preserve">as the head of the executive branch in the city of Moscow and caused him moral suffering </w:t>
      </w:r>
      <w:r w:rsidRPr="00307D1E" w:rsidR="008C0F60">
        <w:t xml:space="preserve">which was </w:t>
      </w:r>
      <w:r w:rsidRPr="00307D1E" w:rsidR="002661C0">
        <w:t>immesurably</w:t>
      </w:r>
      <w:r w:rsidRPr="00307D1E" w:rsidR="008C0F60">
        <w:t xml:space="preserve"> greater than the ordinary (</w:t>
      </w:r>
      <w:r w:rsidRPr="00307D1E" w:rsidR="008C0F60">
        <w:rPr>
          <w:i/>
          <w:lang w:val="ru-RU"/>
        </w:rPr>
        <w:t>нравственные</w:t>
      </w:r>
      <w:r w:rsidRPr="00307D1E" w:rsidR="008C0F60">
        <w:rPr>
          <w:i/>
          <w:lang w:val="en-US"/>
        </w:rPr>
        <w:t xml:space="preserve"> </w:t>
      </w:r>
      <w:r w:rsidRPr="00307D1E" w:rsidR="008C0F60">
        <w:rPr>
          <w:i/>
          <w:lang w:val="ru-RU"/>
        </w:rPr>
        <w:t>страдания</w:t>
      </w:r>
      <w:r w:rsidRPr="00307D1E" w:rsidR="008C0F60">
        <w:rPr>
          <w:i/>
          <w:lang w:val="en-US"/>
        </w:rPr>
        <w:t xml:space="preserve">, </w:t>
      </w:r>
      <w:r w:rsidRPr="00307D1E" w:rsidR="008C0F60">
        <w:rPr>
          <w:i/>
          <w:lang w:val="ru-RU"/>
        </w:rPr>
        <w:t>которые</w:t>
      </w:r>
      <w:r w:rsidRPr="00307D1E" w:rsidR="008C0F60">
        <w:rPr>
          <w:i/>
          <w:lang w:val="en-US"/>
        </w:rPr>
        <w:t xml:space="preserve"> </w:t>
      </w:r>
      <w:r w:rsidRPr="00307D1E" w:rsidR="008C0F60">
        <w:rPr>
          <w:i/>
          <w:lang w:val="ru-RU"/>
        </w:rPr>
        <w:t>несоизмеримо</w:t>
      </w:r>
      <w:r w:rsidRPr="00307D1E" w:rsidR="008C0F60">
        <w:rPr>
          <w:i/>
          <w:lang w:val="en-US"/>
        </w:rPr>
        <w:t xml:space="preserve"> </w:t>
      </w:r>
      <w:r w:rsidRPr="00307D1E" w:rsidR="008C0F60">
        <w:rPr>
          <w:i/>
          <w:lang w:val="ru-RU"/>
        </w:rPr>
        <w:t>выше</w:t>
      </w:r>
      <w:r w:rsidRPr="00307D1E" w:rsidR="008C0F60">
        <w:rPr>
          <w:i/>
          <w:lang w:val="en-US"/>
        </w:rPr>
        <w:t xml:space="preserve"> </w:t>
      </w:r>
      <w:r w:rsidRPr="00307D1E" w:rsidR="008C0F60">
        <w:rPr>
          <w:i/>
          <w:lang w:val="ru-RU"/>
        </w:rPr>
        <w:t>обычных</w:t>
      </w:r>
      <w:r w:rsidRPr="00307D1E" w:rsidR="008C0F60">
        <w:rPr>
          <w:lang w:val="en-US"/>
        </w:rPr>
        <w:t>)</w:t>
      </w:r>
      <w:r w:rsidRPr="00307D1E" w:rsidR="008C0F60">
        <w:t>”.</w:t>
      </w:r>
    </w:p>
    <w:p w:rsidRPr="00307D1E" w:rsidR="0079751A" w:rsidP="00307D1E" w:rsidRDefault="0079751A">
      <w:pPr>
        <w:pStyle w:val="JuPara"/>
      </w:pPr>
      <w:r w:rsidRPr="00307D1E">
        <w:fldChar w:fldCharType="begin"/>
      </w:r>
      <w:r w:rsidRPr="00307D1E">
        <w:instrText xml:space="preserve"> SEQ level0 \*arabic </w:instrText>
      </w:r>
      <w:r w:rsidRPr="00307D1E">
        <w:fldChar w:fldCharType="separate"/>
      </w:r>
      <w:r w:rsidRPr="00307D1E" w:rsidR="00307D1E">
        <w:rPr>
          <w:noProof/>
        </w:rPr>
        <w:t>12</w:t>
      </w:r>
      <w:r w:rsidRPr="00307D1E">
        <w:fldChar w:fldCharType="end"/>
      </w:r>
      <w:r w:rsidRPr="00307D1E">
        <w:t xml:space="preserve">.  On 25 April 2008 the court bailiffs opened enforcement proceedings against the applicant and </w:t>
      </w:r>
      <w:r w:rsidRPr="00307D1E" w:rsidR="00F26DB0">
        <w:t xml:space="preserve">asked him </w:t>
      </w:r>
      <w:r w:rsidRPr="00307D1E">
        <w:t>to pay the entire amount</w:t>
      </w:r>
      <w:r w:rsidRPr="00307D1E" w:rsidR="00F26DB0">
        <w:t xml:space="preserve"> within three days</w:t>
      </w:r>
      <w:r w:rsidRPr="00307D1E">
        <w:t>.</w:t>
      </w:r>
      <w:r w:rsidRPr="00307D1E" w:rsidR="00F26DB0">
        <w:t xml:space="preserve"> </w:t>
      </w:r>
      <w:r w:rsidRPr="00307D1E">
        <w:t>On 26 August 2008 the bailiffs search</w:t>
      </w:r>
      <w:r w:rsidRPr="00307D1E" w:rsidR="00F26DB0">
        <w:t xml:space="preserve">ed his </w:t>
      </w:r>
      <w:r w:rsidRPr="00307D1E">
        <w:t xml:space="preserve">flat and </w:t>
      </w:r>
      <w:r w:rsidRPr="00307D1E" w:rsidR="00F26DB0">
        <w:t xml:space="preserve">removed </w:t>
      </w:r>
      <w:r w:rsidRPr="00307D1E">
        <w:t xml:space="preserve">his personal belongings, including a typewriter, chairs, desk lamps, </w:t>
      </w:r>
      <w:r w:rsidRPr="00307D1E" w:rsidR="00F26DB0">
        <w:t xml:space="preserve">mobile </w:t>
      </w:r>
      <w:r w:rsidRPr="00307D1E">
        <w:t>phones and books.</w:t>
      </w:r>
    </w:p>
    <w:p w:rsidRPr="00307D1E" w:rsidR="0079751A" w:rsidP="00307D1E" w:rsidRDefault="001567BE">
      <w:pPr>
        <w:pStyle w:val="JuPara"/>
      </w:pPr>
      <w:r w:rsidRPr="00307D1E">
        <w:fldChar w:fldCharType="begin"/>
      </w:r>
      <w:r w:rsidRPr="00307D1E">
        <w:instrText xml:space="preserve"> SEQ level0 \*arabic </w:instrText>
      </w:r>
      <w:r w:rsidRPr="00307D1E">
        <w:fldChar w:fldCharType="separate"/>
      </w:r>
      <w:r w:rsidRPr="00307D1E" w:rsidR="00307D1E">
        <w:rPr>
          <w:noProof/>
        </w:rPr>
        <w:t>13</w:t>
      </w:r>
      <w:r w:rsidRPr="00307D1E">
        <w:fldChar w:fldCharType="end"/>
      </w:r>
      <w:r w:rsidRPr="00307D1E">
        <w:t>.  </w:t>
      </w:r>
      <w:r w:rsidRPr="00307D1E" w:rsidR="0079751A">
        <w:t xml:space="preserve">Unable to pay the award, the applicant asked the Babushkinskiy District Court to </w:t>
      </w:r>
      <w:r w:rsidRPr="00307D1E" w:rsidR="00DF2DE2">
        <w:t xml:space="preserve">be </w:t>
      </w:r>
      <w:r w:rsidRPr="00307D1E" w:rsidR="00F8305B">
        <w:t>allow</w:t>
      </w:r>
      <w:r w:rsidRPr="00307D1E" w:rsidR="00DF2DE2">
        <w:t>ed to</w:t>
      </w:r>
      <w:r w:rsidRPr="00307D1E" w:rsidR="0079751A">
        <w:t xml:space="preserve"> pay by instalments. He submitted that he had no fixed income, except for his retirement pension, that he had not published any new books, and that he had to provide for his wife and two children.</w:t>
      </w:r>
      <w:r w:rsidRPr="00307D1E" w:rsidR="00F8305B">
        <w:t xml:space="preserve"> </w:t>
      </w:r>
      <w:r w:rsidRPr="00307D1E" w:rsidR="0079751A">
        <w:t>On 8 October 2008 the District Court refused his request on the ground</w:t>
      </w:r>
      <w:r w:rsidRPr="00307D1E" w:rsidR="00F8305B">
        <w:t>s</w:t>
      </w:r>
      <w:r w:rsidRPr="00307D1E" w:rsidR="0079751A">
        <w:t xml:space="preserve"> that the proposed amount of monthly instalments was negligible. In its view, payment by instalments would stretch the enforcement proceedings over more than forty years with the result that “the judgment would not actually be enforced”.</w:t>
      </w:r>
      <w:r w:rsidRPr="00307D1E" w:rsidR="00F8305B">
        <w:t xml:space="preserve"> </w:t>
      </w:r>
      <w:r w:rsidRPr="00307D1E" w:rsidR="0079751A">
        <w:t>On 20 November 2008 the Moscow City Court upheld the District Court</w:t>
      </w:r>
      <w:r w:rsidRPr="00307D1E" w:rsidR="00307D1E">
        <w:t>’</w:t>
      </w:r>
      <w:r w:rsidRPr="00307D1E" w:rsidR="0079751A">
        <w:t>s decision on appeal.</w:t>
      </w:r>
    </w:p>
    <w:p w:rsidRPr="00307D1E" w:rsidR="0079751A" w:rsidP="00307D1E" w:rsidRDefault="00F8305B">
      <w:pPr>
        <w:pStyle w:val="JuPara"/>
      </w:pPr>
      <w:r w:rsidRPr="00307D1E">
        <w:fldChar w:fldCharType="begin"/>
      </w:r>
      <w:r w:rsidRPr="00307D1E">
        <w:instrText xml:space="preserve"> SEQ level0 \*arabic </w:instrText>
      </w:r>
      <w:r w:rsidRPr="00307D1E">
        <w:fldChar w:fldCharType="separate"/>
      </w:r>
      <w:r w:rsidRPr="00307D1E" w:rsidR="00307D1E">
        <w:rPr>
          <w:noProof/>
        </w:rPr>
        <w:t>14</w:t>
      </w:r>
      <w:r w:rsidRPr="00307D1E">
        <w:fldChar w:fldCharType="end"/>
      </w:r>
      <w:r w:rsidRPr="00307D1E">
        <w:t>.  </w:t>
      </w:r>
      <w:r w:rsidRPr="00307D1E" w:rsidR="0079751A">
        <w:t>On 15 December 2008 a bailiff issued a decision restricting the applicant</w:t>
      </w:r>
      <w:r w:rsidRPr="00307D1E" w:rsidR="00307D1E">
        <w:t>’</w:t>
      </w:r>
      <w:r w:rsidRPr="00307D1E" w:rsidR="0079751A">
        <w:t>s right to leave Russia for a period of six months on the ground</w:t>
      </w:r>
      <w:r w:rsidRPr="00307D1E">
        <w:t>s</w:t>
      </w:r>
      <w:r w:rsidRPr="00307D1E" w:rsidR="0079751A">
        <w:t xml:space="preserve"> that he </w:t>
      </w:r>
      <w:r w:rsidRPr="00307D1E">
        <w:t xml:space="preserve">had failed to pay the amount awarded to the mayor. </w:t>
      </w:r>
      <w:r w:rsidRPr="00307D1E" w:rsidR="0079751A">
        <w:t>On 15 October 2009 a</w:t>
      </w:r>
      <w:r w:rsidRPr="00307D1E">
        <w:t xml:space="preserve">nother </w:t>
      </w:r>
      <w:r w:rsidRPr="00307D1E" w:rsidR="0079751A">
        <w:t>bailiff issued a permanent restriction on the applicant</w:t>
      </w:r>
      <w:r w:rsidRPr="00307D1E" w:rsidR="00307D1E">
        <w:t>’</w:t>
      </w:r>
      <w:r w:rsidRPr="00307D1E" w:rsidR="0079751A">
        <w:t>s right to leave Russia that would be valid until full payment of the award.</w:t>
      </w:r>
    </w:p>
    <w:p w:rsidRPr="00307D1E" w:rsidR="00F63E1A" w:rsidP="00307D1E" w:rsidRDefault="00282499">
      <w:pPr>
        <w:pStyle w:val="JuHA"/>
      </w:pPr>
      <w:r w:rsidRPr="00307D1E">
        <w:t>F</w:t>
      </w:r>
      <w:r w:rsidRPr="00307D1E" w:rsidR="0079751A">
        <w:t>actual information submitted by the Government</w:t>
      </w:r>
    </w:p>
    <w:p w:rsidRPr="00307D1E" w:rsidR="0079751A" w:rsidP="00307D1E" w:rsidRDefault="0079751A">
      <w:pPr>
        <w:pStyle w:val="JuPara"/>
      </w:pPr>
      <w:r w:rsidRPr="00307D1E">
        <w:fldChar w:fldCharType="begin"/>
      </w:r>
      <w:r w:rsidRPr="00307D1E">
        <w:instrText xml:space="preserve"> SEQ level0 \*arabic </w:instrText>
      </w:r>
      <w:r w:rsidRPr="00307D1E">
        <w:fldChar w:fldCharType="separate"/>
      </w:r>
      <w:r w:rsidRPr="00307D1E" w:rsidR="00307D1E">
        <w:rPr>
          <w:noProof/>
        </w:rPr>
        <w:t>15</w:t>
      </w:r>
      <w:r w:rsidRPr="00307D1E">
        <w:fldChar w:fldCharType="end"/>
      </w:r>
      <w:r w:rsidRPr="00307D1E">
        <w:t xml:space="preserve">.  The Court requested the Government to submit the information: (i) on all the defamation claims lodged by </w:t>
      </w:r>
      <w:r w:rsidRPr="00307D1E" w:rsidR="000C23BC">
        <w:t>the Moscow m</w:t>
      </w:r>
      <w:r w:rsidRPr="00307D1E">
        <w:t>ayor, their parties, outcome</w:t>
      </w:r>
      <w:r w:rsidRPr="00307D1E" w:rsidR="000C23BC">
        <w:t>s</w:t>
      </w:r>
      <w:r w:rsidRPr="00307D1E">
        <w:t xml:space="preserve"> and amounts awarded, and (ii) on any other defamation claims lodged by individuals, whether private persons, State officials or politicians, in which comparable amounts were awarded.</w:t>
      </w:r>
    </w:p>
    <w:bookmarkStart w:name="defclaims" w:id="2"/>
    <w:p w:rsidRPr="00307D1E" w:rsidR="0079751A" w:rsidP="00307D1E" w:rsidRDefault="0079751A">
      <w:pPr>
        <w:pStyle w:val="JuPara"/>
      </w:pPr>
      <w:r w:rsidRPr="00307D1E">
        <w:fldChar w:fldCharType="begin"/>
      </w:r>
      <w:r w:rsidRPr="00307D1E">
        <w:instrText xml:space="preserve"> SEQ level0 \*arabic </w:instrText>
      </w:r>
      <w:r w:rsidRPr="00307D1E">
        <w:fldChar w:fldCharType="separate"/>
      </w:r>
      <w:r w:rsidRPr="00307D1E" w:rsidR="00307D1E">
        <w:rPr>
          <w:noProof/>
        </w:rPr>
        <w:t>16</w:t>
      </w:r>
      <w:r w:rsidRPr="00307D1E">
        <w:fldChar w:fldCharType="end"/>
      </w:r>
      <w:bookmarkEnd w:id="2"/>
      <w:r w:rsidRPr="00307D1E">
        <w:t>.  On the first point, the Government submitted information covering only the period from 1 January 2007 to April 2010. According to t</w:t>
      </w:r>
      <w:r w:rsidRPr="00307D1E" w:rsidR="000C23BC">
        <w:t>hem, in that period the Moscow m</w:t>
      </w:r>
      <w:r w:rsidRPr="00307D1E">
        <w:t xml:space="preserve">ayor had introduced sixteen defamation claims before the Moscow courts. </w:t>
      </w:r>
      <w:r w:rsidRPr="00307D1E" w:rsidR="001A524B">
        <w:t>T</w:t>
      </w:r>
      <w:r w:rsidRPr="00307D1E">
        <w:t xml:space="preserve">he list produced by the Government only contained information in respect of fourteen such claims, all of which </w:t>
      </w:r>
      <w:r w:rsidRPr="00307D1E" w:rsidR="00F6278D">
        <w:t>had been</w:t>
      </w:r>
      <w:r w:rsidRPr="00307D1E">
        <w:t xml:space="preserve"> granted. In twelve cases the </w:t>
      </w:r>
      <w:r w:rsidRPr="00307D1E" w:rsidR="000C23BC">
        <w:t>m</w:t>
      </w:r>
      <w:r w:rsidRPr="00307D1E">
        <w:t>ayor was awarded compensation in respect of non-pecuniary damage in the amount ranging from RUB 30,000 to RUB 50,000, in two cases – judgments of 30 November 2009 and 28</w:t>
      </w:r>
      <w:r w:rsidRPr="00307D1E" w:rsidR="00F6278D">
        <w:t> </w:t>
      </w:r>
      <w:r w:rsidRPr="00307D1E">
        <w:t>April 2010 – the amount of compensation was RUB 500,000.</w:t>
      </w:r>
    </w:p>
    <w:bookmarkStart w:name="comparableawards" w:id="3"/>
    <w:p w:rsidRPr="00307D1E" w:rsidR="00D420F3" w:rsidP="00307D1E" w:rsidRDefault="0079751A">
      <w:pPr>
        <w:pStyle w:val="JuPara"/>
      </w:pPr>
      <w:r w:rsidRPr="00307D1E">
        <w:fldChar w:fldCharType="begin"/>
      </w:r>
      <w:r w:rsidRPr="00307D1E">
        <w:instrText xml:space="preserve"> SEQ level0 \*arabic </w:instrText>
      </w:r>
      <w:r w:rsidRPr="00307D1E">
        <w:fldChar w:fldCharType="separate"/>
      </w:r>
      <w:r w:rsidRPr="00307D1E" w:rsidR="00307D1E">
        <w:rPr>
          <w:noProof/>
        </w:rPr>
        <w:t>17</w:t>
      </w:r>
      <w:r w:rsidRPr="00307D1E">
        <w:fldChar w:fldCharType="end"/>
      </w:r>
      <w:bookmarkEnd w:id="3"/>
      <w:r w:rsidRPr="00307D1E">
        <w:t xml:space="preserve">.  On the second point, the Government cited five </w:t>
      </w:r>
      <w:r w:rsidRPr="00307D1E" w:rsidR="00A6492B">
        <w:t>judgments over a ten-year pe</w:t>
      </w:r>
      <w:r w:rsidRPr="00307D1E" w:rsidR="007B084E">
        <w:t>r</w:t>
      </w:r>
      <w:r w:rsidRPr="00307D1E" w:rsidR="00A6492B">
        <w:t>iod</w:t>
      </w:r>
      <w:r w:rsidRPr="00307D1E">
        <w:t>, in which the amounts of</w:t>
      </w:r>
      <w:r w:rsidRPr="00307D1E" w:rsidR="00F63E1A">
        <w:t xml:space="preserve"> compensation in respect of non</w:t>
      </w:r>
      <w:r w:rsidRPr="00307D1E" w:rsidR="00F63E1A">
        <w:noBreakHyphen/>
      </w:r>
      <w:r w:rsidRPr="00307D1E">
        <w:t xml:space="preserve">pecuniary damage in defamation claims ranged from RUB 270,000 (judgment of 4 April 2007) to RUB 4,000,000 (judgment of 1 October 2002). Four of them were issued against publishing houses, and one judgment concerned a defamation claim lodged by the Agriculture and Food Minister of </w:t>
      </w:r>
      <w:r w:rsidRPr="00307D1E" w:rsidR="00A6492B">
        <w:t xml:space="preserve">a Russian region </w:t>
      </w:r>
      <w:r w:rsidRPr="00307D1E">
        <w:t>against a private individual.</w:t>
      </w:r>
    </w:p>
    <w:p w:rsidRPr="00307D1E" w:rsidR="00D420F3" w:rsidP="00307D1E" w:rsidRDefault="0077175D">
      <w:pPr>
        <w:pStyle w:val="JuHHead"/>
      </w:pPr>
      <w:r w:rsidRPr="00307D1E">
        <w:t>THE LAW</w:t>
      </w:r>
    </w:p>
    <w:p w:rsidRPr="00307D1E" w:rsidR="00D420F3" w:rsidP="00307D1E" w:rsidRDefault="0077175D">
      <w:pPr>
        <w:pStyle w:val="JuHIRoman"/>
      </w:pPr>
      <w:r w:rsidRPr="00307D1E">
        <w:t xml:space="preserve">ALLEGED VIOLATION OF ARTICLE </w:t>
      </w:r>
      <w:r w:rsidRPr="00307D1E" w:rsidR="0079751A">
        <w:t>10</w:t>
      </w:r>
      <w:r w:rsidRPr="00307D1E">
        <w:t xml:space="preserve"> OF THE CONVENTION</w:t>
      </w:r>
    </w:p>
    <w:p w:rsidRPr="00307D1E" w:rsidR="0079751A" w:rsidP="00307D1E" w:rsidRDefault="00C90088">
      <w:pPr>
        <w:pStyle w:val="JuPara"/>
      </w:pPr>
      <w:r w:rsidRPr="00307D1E">
        <w:fldChar w:fldCharType="begin"/>
      </w:r>
      <w:r w:rsidRPr="00307D1E">
        <w:instrText xml:space="preserve"> SEQ level0 \*arabic </w:instrText>
      </w:r>
      <w:r w:rsidRPr="00307D1E">
        <w:fldChar w:fldCharType="separate"/>
      </w:r>
      <w:r w:rsidRPr="00307D1E" w:rsidR="00307D1E">
        <w:rPr>
          <w:noProof/>
        </w:rPr>
        <w:t>18</w:t>
      </w:r>
      <w:r w:rsidRPr="00307D1E">
        <w:rPr>
          <w:noProof/>
        </w:rPr>
        <w:fldChar w:fldCharType="end"/>
      </w:r>
      <w:r w:rsidRPr="00307D1E" w:rsidR="0079751A">
        <w:t xml:space="preserve">.  The applicant complained </w:t>
      </w:r>
      <w:r w:rsidRPr="00307D1E" w:rsidR="007302F0">
        <w:t xml:space="preserve">that the judgments in the defamation claim and an excessive award against him had violated </w:t>
      </w:r>
      <w:r w:rsidRPr="00307D1E" w:rsidR="0079751A">
        <w:t xml:space="preserve">his right to freedom of expression </w:t>
      </w:r>
      <w:r w:rsidRPr="00307D1E" w:rsidR="007302F0">
        <w:t xml:space="preserve">under </w:t>
      </w:r>
      <w:r w:rsidRPr="00307D1E" w:rsidR="0079751A">
        <w:t xml:space="preserve">Article 10 </w:t>
      </w:r>
      <w:r w:rsidRPr="00307D1E" w:rsidR="007302F0">
        <w:t>of the Convention which</w:t>
      </w:r>
      <w:r w:rsidRPr="00307D1E" w:rsidR="0079751A">
        <w:t xml:space="preserve"> reads as follows:</w:t>
      </w:r>
    </w:p>
    <w:p w:rsidRPr="00307D1E" w:rsidR="0079751A" w:rsidP="00307D1E" w:rsidRDefault="0079751A">
      <w:pPr>
        <w:pStyle w:val="JuQuot"/>
      </w:pPr>
      <w:r w:rsidRPr="00307D1E">
        <w:t>“1.  Everyone has the right to freedom of expression. This right shall include freedom to hold opinions and to receive and impart information and ideas without interference by public authority</w:t>
      </w:r>
      <w:r w:rsidRPr="00307D1E" w:rsidR="00F63E1A">
        <w:t>...</w:t>
      </w:r>
    </w:p>
    <w:p w:rsidRPr="00307D1E" w:rsidR="0079751A" w:rsidP="00307D1E" w:rsidRDefault="0079751A">
      <w:pPr>
        <w:pStyle w:val="JuQuot"/>
      </w:pPr>
      <w:r w:rsidRPr="00307D1E">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307D1E" w:rsidR="0079751A" w:rsidP="00307D1E" w:rsidRDefault="0079751A">
      <w:pPr>
        <w:pStyle w:val="JuHA"/>
      </w:pPr>
      <w:r w:rsidRPr="00307D1E">
        <w:t>Submissions by the parties</w:t>
      </w:r>
    </w:p>
    <w:p w:rsidRPr="00307D1E" w:rsidR="0079751A" w:rsidP="00307D1E" w:rsidRDefault="00C90088">
      <w:pPr>
        <w:pStyle w:val="JuPara"/>
      </w:pPr>
      <w:r w:rsidRPr="00307D1E">
        <w:fldChar w:fldCharType="begin"/>
      </w:r>
      <w:r w:rsidRPr="00307D1E">
        <w:instrText xml:space="preserve"> SEQ level0 \*arabic </w:instrText>
      </w:r>
      <w:r w:rsidRPr="00307D1E">
        <w:fldChar w:fldCharType="separate"/>
      </w:r>
      <w:r w:rsidRPr="00307D1E" w:rsidR="00307D1E">
        <w:rPr>
          <w:noProof/>
        </w:rPr>
        <w:t>19</w:t>
      </w:r>
      <w:r w:rsidRPr="00307D1E">
        <w:rPr>
          <w:noProof/>
        </w:rPr>
        <w:fldChar w:fldCharType="end"/>
      </w:r>
      <w:r w:rsidRPr="00307D1E" w:rsidR="0079751A">
        <w:t xml:space="preserve">.  The Government </w:t>
      </w:r>
      <w:r w:rsidRPr="00307D1E" w:rsidR="00507A65">
        <w:t>submitted</w:t>
      </w:r>
      <w:r w:rsidRPr="00307D1E" w:rsidR="0079751A">
        <w:t xml:space="preserve"> that the Russian courts </w:t>
      </w:r>
      <w:r w:rsidRPr="00307D1E" w:rsidR="00507A65">
        <w:t xml:space="preserve">had </w:t>
      </w:r>
      <w:r w:rsidRPr="00307D1E" w:rsidR="0079751A">
        <w:t>held the phrase “Moscow courts are controlled by Luzhkov” to be a statement of fact</w:t>
      </w:r>
      <w:r w:rsidRPr="00307D1E" w:rsidR="00507A65">
        <w:t xml:space="preserve">. It had been </w:t>
      </w:r>
      <w:r w:rsidRPr="00307D1E" w:rsidR="0079751A">
        <w:t>“undoubtedly damaging” for the mayor</w:t>
      </w:r>
      <w:r w:rsidRPr="00307D1E" w:rsidR="00307D1E">
        <w:t>’</w:t>
      </w:r>
      <w:r w:rsidRPr="00307D1E" w:rsidR="0079751A">
        <w:t xml:space="preserve">s reputation, as </w:t>
      </w:r>
      <w:r w:rsidRPr="00307D1E" w:rsidR="00507A65">
        <w:t xml:space="preserve">under </w:t>
      </w:r>
      <w:r w:rsidRPr="00307D1E" w:rsidR="0079751A">
        <w:t xml:space="preserve">the Constitution, Russian judges were independent and submitted only to the Constitution and federal law. </w:t>
      </w:r>
      <w:r w:rsidRPr="00307D1E" w:rsidR="00507A65">
        <w:t>T</w:t>
      </w:r>
      <w:r w:rsidRPr="00307D1E" w:rsidR="0079751A">
        <w:t>he applicant</w:t>
      </w:r>
      <w:r w:rsidRPr="00307D1E" w:rsidR="00307D1E">
        <w:t>’</w:t>
      </w:r>
      <w:r w:rsidRPr="00307D1E" w:rsidR="0079751A">
        <w:t xml:space="preserve">s allegation </w:t>
      </w:r>
      <w:r w:rsidRPr="00307D1E" w:rsidR="00507A65">
        <w:t xml:space="preserve">had been </w:t>
      </w:r>
      <w:r w:rsidRPr="00307D1E" w:rsidR="0079751A">
        <w:t xml:space="preserve">a serious accusation against the Moscow mayor that he had exercised pressure on the Moscow courts. It could be understood as accusing him of criminal offences under Articles 285 </w:t>
      </w:r>
      <w:r w:rsidRPr="00307D1E" w:rsidR="00507A65">
        <w:t>(a</w:t>
      </w:r>
      <w:r w:rsidRPr="00307D1E" w:rsidR="0079751A">
        <w:t>bus</w:t>
      </w:r>
      <w:r w:rsidRPr="00307D1E" w:rsidR="00507A65">
        <w:t>e of</w:t>
      </w:r>
      <w:r w:rsidRPr="00307D1E" w:rsidR="0079751A">
        <w:t xml:space="preserve"> </w:t>
      </w:r>
      <w:r w:rsidRPr="00307D1E" w:rsidR="00507A65">
        <w:t>office)</w:t>
      </w:r>
      <w:r w:rsidRPr="00307D1E" w:rsidR="0079751A">
        <w:t xml:space="preserve">, 286 </w:t>
      </w:r>
      <w:r w:rsidRPr="00307D1E" w:rsidR="00507A65">
        <w:t>(excess of powers)</w:t>
      </w:r>
      <w:r w:rsidRPr="00307D1E" w:rsidR="0079751A">
        <w:t xml:space="preserve"> </w:t>
      </w:r>
      <w:r w:rsidRPr="00307D1E" w:rsidR="00507A65">
        <w:t xml:space="preserve">or </w:t>
      </w:r>
      <w:r w:rsidRPr="00307D1E" w:rsidR="0079751A">
        <w:t xml:space="preserve">294 </w:t>
      </w:r>
      <w:r w:rsidRPr="00307D1E" w:rsidR="00507A65">
        <w:t xml:space="preserve">(interference with the justice) </w:t>
      </w:r>
      <w:r w:rsidRPr="00307D1E" w:rsidR="0079751A">
        <w:t xml:space="preserve">of the Criminal Code. </w:t>
      </w:r>
      <w:r w:rsidRPr="00307D1E" w:rsidR="00507A65">
        <w:t xml:space="preserve">The </w:t>
      </w:r>
      <w:r w:rsidRPr="00307D1E" w:rsidR="0079751A">
        <w:t xml:space="preserve">Anti-Corruption Act </w:t>
      </w:r>
      <w:r w:rsidRPr="00307D1E" w:rsidR="00507A65">
        <w:t xml:space="preserve">also </w:t>
      </w:r>
      <w:r w:rsidRPr="00307D1E" w:rsidR="0079751A">
        <w:t xml:space="preserve">established responsibility for corruption-related offences which </w:t>
      </w:r>
      <w:r w:rsidRPr="00307D1E" w:rsidR="00507A65">
        <w:t xml:space="preserve">could </w:t>
      </w:r>
      <w:r w:rsidRPr="00307D1E" w:rsidR="0079751A">
        <w:t xml:space="preserve">be sanctioned in particular with a ban on holding public office. The Government concluded that the applicant </w:t>
      </w:r>
      <w:r w:rsidRPr="00307D1E" w:rsidR="00507A65">
        <w:t xml:space="preserve">had </w:t>
      </w:r>
      <w:r w:rsidRPr="00307D1E" w:rsidR="0079751A">
        <w:t xml:space="preserve">“alleged, in essence, that the mayor was unfit for his position and was a criminal”. </w:t>
      </w:r>
      <w:r w:rsidRPr="00307D1E" w:rsidR="00507A65">
        <w:t xml:space="preserve">Those </w:t>
      </w:r>
      <w:r w:rsidRPr="00307D1E" w:rsidR="0079751A">
        <w:t xml:space="preserve">allegations </w:t>
      </w:r>
      <w:r w:rsidRPr="00307D1E" w:rsidR="00507A65">
        <w:t xml:space="preserve">had </w:t>
      </w:r>
      <w:r w:rsidRPr="00307D1E" w:rsidR="0079751A">
        <w:t xml:space="preserve">not </w:t>
      </w:r>
      <w:r w:rsidRPr="00307D1E" w:rsidR="00507A65">
        <w:t xml:space="preserve">been </w:t>
      </w:r>
      <w:r w:rsidRPr="00307D1E" w:rsidR="0079751A">
        <w:t xml:space="preserve">founded on verified or verifiable information and </w:t>
      </w:r>
      <w:r w:rsidRPr="00307D1E" w:rsidR="00507A65">
        <w:t xml:space="preserve">had been </w:t>
      </w:r>
      <w:r w:rsidRPr="00307D1E" w:rsidR="0079751A">
        <w:t xml:space="preserve">capable of causing actual damage to the </w:t>
      </w:r>
      <w:r w:rsidRPr="00307D1E" w:rsidR="00507A65">
        <w:t>mayor</w:t>
      </w:r>
      <w:r w:rsidRPr="00307D1E" w:rsidR="00307D1E">
        <w:t>’</w:t>
      </w:r>
      <w:r w:rsidRPr="00307D1E" w:rsidR="00507A65">
        <w:t xml:space="preserve">s </w:t>
      </w:r>
      <w:r w:rsidRPr="00307D1E" w:rsidR="0079751A">
        <w:t xml:space="preserve">professional activities, undermining his professional integrity </w:t>
      </w:r>
      <w:r w:rsidRPr="00307D1E" w:rsidR="00507A65">
        <w:t xml:space="preserve">or </w:t>
      </w:r>
      <w:r w:rsidRPr="00307D1E" w:rsidR="0079751A">
        <w:t>qualification in the eyes of the public.</w:t>
      </w:r>
      <w:r w:rsidRPr="00307D1E" w:rsidR="007302F0">
        <w:t xml:space="preserve"> </w:t>
      </w:r>
      <w:r w:rsidRPr="00307D1E" w:rsidR="00243124">
        <w:t xml:space="preserve">As to the </w:t>
      </w:r>
      <w:r w:rsidRPr="00307D1E" w:rsidR="0079751A">
        <w:t xml:space="preserve">proportionality of the award, the courts </w:t>
      </w:r>
      <w:r w:rsidRPr="00307D1E" w:rsidR="00243124">
        <w:t xml:space="preserve">had been </w:t>
      </w:r>
      <w:r w:rsidRPr="00307D1E" w:rsidR="0079751A">
        <w:t xml:space="preserve">guided by the relevant provisions of the Civil Code </w:t>
      </w:r>
      <w:r w:rsidRPr="00307D1E" w:rsidR="00243124">
        <w:t xml:space="preserve">and had </w:t>
      </w:r>
      <w:r w:rsidRPr="00307D1E" w:rsidR="007B084E">
        <w:t xml:space="preserve">regard to the fact that the statement had </w:t>
      </w:r>
      <w:r w:rsidRPr="00307D1E" w:rsidR="0079751A">
        <w:t>undermin</w:t>
      </w:r>
      <w:r w:rsidRPr="00307D1E" w:rsidR="007B084E">
        <w:t>ed</w:t>
      </w:r>
      <w:r w:rsidRPr="00307D1E" w:rsidR="0079751A">
        <w:t xml:space="preserve"> public trust in the authorities</w:t>
      </w:r>
      <w:r w:rsidRPr="00307D1E" w:rsidR="007B084E">
        <w:t xml:space="preserve">, that it had been broadcast to an </w:t>
      </w:r>
      <w:r w:rsidRPr="00307D1E" w:rsidR="0079751A">
        <w:t xml:space="preserve">unlimited audience of the radio station and </w:t>
      </w:r>
      <w:r w:rsidRPr="00307D1E" w:rsidR="007B084E">
        <w:t xml:space="preserve">published on the </w:t>
      </w:r>
      <w:r w:rsidRPr="00307D1E" w:rsidR="0079751A">
        <w:t xml:space="preserve">web-site and </w:t>
      </w:r>
      <w:r w:rsidRPr="00307D1E" w:rsidR="007B084E">
        <w:t xml:space="preserve">that </w:t>
      </w:r>
      <w:r w:rsidRPr="00307D1E" w:rsidR="0079751A">
        <w:t xml:space="preserve">the mayor </w:t>
      </w:r>
      <w:r w:rsidRPr="00307D1E" w:rsidR="00243124">
        <w:t xml:space="preserve">had </w:t>
      </w:r>
      <w:r w:rsidRPr="00307D1E" w:rsidR="0079751A">
        <w:t>suffered</w:t>
      </w:r>
      <w:r w:rsidRPr="00307D1E" w:rsidR="007B084E">
        <w:t xml:space="preserve"> extraordinary anguish in that connection</w:t>
      </w:r>
      <w:r w:rsidRPr="00307D1E" w:rsidR="0079751A">
        <w:t>. In the Government</w:t>
      </w:r>
      <w:r w:rsidRPr="00307D1E" w:rsidR="00307D1E">
        <w:t>’</w:t>
      </w:r>
      <w:r w:rsidRPr="00307D1E" w:rsidR="0079751A">
        <w:t xml:space="preserve">s opinion, the amount of the award </w:t>
      </w:r>
      <w:r w:rsidRPr="00307D1E" w:rsidR="00243124">
        <w:t xml:space="preserve">had </w:t>
      </w:r>
      <w:r w:rsidRPr="00307D1E" w:rsidR="007B084E">
        <w:t xml:space="preserve">not exceeded the </w:t>
      </w:r>
      <w:r w:rsidRPr="00307D1E" w:rsidR="0079751A">
        <w:t xml:space="preserve">average in that category of defamation claims. The objective of </w:t>
      </w:r>
      <w:r w:rsidRPr="00307D1E" w:rsidR="00243124">
        <w:t xml:space="preserve">making that award had been </w:t>
      </w:r>
      <w:r w:rsidRPr="00307D1E" w:rsidR="0079751A">
        <w:t>“to prevent individuals who make public statements about facts, from drawing ill-considered and unsubstantiated conclusions”.</w:t>
      </w:r>
    </w:p>
    <w:p w:rsidRPr="00307D1E" w:rsidR="0079751A" w:rsidP="00307D1E" w:rsidRDefault="00C90088">
      <w:pPr>
        <w:pStyle w:val="JuPara"/>
      </w:pPr>
      <w:r w:rsidRPr="00307D1E">
        <w:fldChar w:fldCharType="begin"/>
      </w:r>
      <w:r w:rsidRPr="00307D1E">
        <w:instrText xml:space="preserve"> SEQ level0 \*arabic </w:instrText>
      </w:r>
      <w:r w:rsidRPr="00307D1E">
        <w:fldChar w:fldCharType="separate"/>
      </w:r>
      <w:r w:rsidRPr="00307D1E" w:rsidR="00307D1E">
        <w:rPr>
          <w:noProof/>
        </w:rPr>
        <w:t>20</w:t>
      </w:r>
      <w:r w:rsidRPr="00307D1E">
        <w:rPr>
          <w:noProof/>
        </w:rPr>
        <w:fldChar w:fldCharType="end"/>
      </w:r>
      <w:r w:rsidRPr="00307D1E" w:rsidR="0079751A">
        <w:t xml:space="preserve">.  The applicant pointed out that the Government </w:t>
      </w:r>
      <w:r w:rsidRPr="00307D1E" w:rsidR="007302F0">
        <w:t xml:space="preserve">had been </w:t>
      </w:r>
      <w:r w:rsidRPr="00307D1E" w:rsidR="0079751A">
        <w:t xml:space="preserve">unable to produce a single judicial decision </w:t>
      </w:r>
      <w:r w:rsidRPr="00307D1E" w:rsidR="007302F0">
        <w:t xml:space="preserve">finding against </w:t>
      </w:r>
      <w:r w:rsidRPr="00307D1E" w:rsidR="0079751A">
        <w:t xml:space="preserve">Mayor Luzhkov. </w:t>
      </w:r>
      <w:r w:rsidRPr="00307D1E" w:rsidR="007302F0">
        <w:t xml:space="preserve">His </w:t>
      </w:r>
      <w:r w:rsidRPr="00307D1E" w:rsidR="0079751A">
        <w:t xml:space="preserve">phrase </w:t>
      </w:r>
      <w:r w:rsidRPr="00307D1E" w:rsidR="007302F0">
        <w:t xml:space="preserve">had </w:t>
      </w:r>
      <w:r w:rsidRPr="00307D1E" w:rsidR="0079751A">
        <w:t xml:space="preserve">not </w:t>
      </w:r>
      <w:r w:rsidRPr="00307D1E" w:rsidR="007302F0">
        <w:t>accused him of any offence;</w:t>
      </w:r>
      <w:r w:rsidRPr="00307D1E" w:rsidR="0079751A">
        <w:t xml:space="preserve"> it </w:t>
      </w:r>
      <w:r w:rsidRPr="00307D1E" w:rsidR="007302F0">
        <w:t xml:space="preserve">had been </w:t>
      </w:r>
      <w:r w:rsidRPr="00307D1E" w:rsidR="0079751A">
        <w:t xml:space="preserve">a conclusion at which an ordinary citizen </w:t>
      </w:r>
      <w:r w:rsidRPr="00307D1E" w:rsidR="007302F0">
        <w:t>w</w:t>
      </w:r>
      <w:r w:rsidRPr="00307D1E" w:rsidR="0079751A">
        <w:t>ould have arrived upon review</w:t>
      </w:r>
      <w:r w:rsidRPr="00307D1E" w:rsidR="007302F0">
        <w:t>ing</w:t>
      </w:r>
      <w:r w:rsidRPr="00307D1E" w:rsidR="0079751A">
        <w:t xml:space="preserve"> the </w:t>
      </w:r>
      <w:r w:rsidRPr="00307D1E" w:rsidR="007302F0">
        <w:t xml:space="preserve">findings </w:t>
      </w:r>
      <w:r w:rsidRPr="00307D1E" w:rsidR="0079751A">
        <w:t xml:space="preserve">of Moscow courts </w:t>
      </w:r>
      <w:r w:rsidRPr="00307D1E" w:rsidR="007302F0">
        <w:t xml:space="preserve">on </w:t>
      </w:r>
      <w:r w:rsidRPr="00307D1E" w:rsidR="0079751A">
        <w:t xml:space="preserve">the </w:t>
      </w:r>
      <w:r w:rsidRPr="00307D1E" w:rsidR="007302F0">
        <w:t>claims lodged by Mayor Luzhkov</w:t>
      </w:r>
      <w:r w:rsidRPr="00307D1E" w:rsidR="0079751A">
        <w:t>.</w:t>
      </w:r>
      <w:r w:rsidRPr="00307D1E" w:rsidR="007302F0">
        <w:t xml:space="preserve"> </w:t>
      </w:r>
      <w:r w:rsidRPr="00307D1E" w:rsidR="0079751A">
        <w:t xml:space="preserve">The phrase </w:t>
      </w:r>
      <w:r w:rsidRPr="00307D1E" w:rsidR="007302F0">
        <w:t xml:space="preserve">had been </w:t>
      </w:r>
      <w:r w:rsidRPr="00307D1E" w:rsidR="0079751A">
        <w:t xml:space="preserve">his personal opinion which was not actionable in defamation. He </w:t>
      </w:r>
      <w:r w:rsidRPr="00307D1E" w:rsidR="007302F0">
        <w:t xml:space="preserve">had </w:t>
      </w:r>
      <w:r w:rsidRPr="00307D1E" w:rsidR="0079751A">
        <w:t xml:space="preserve">sought to attract public attention to the existing </w:t>
      </w:r>
      <w:r w:rsidRPr="00307D1E" w:rsidR="007302F0">
        <w:t xml:space="preserve">case-law </w:t>
      </w:r>
      <w:r w:rsidRPr="00307D1E" w:rsidR="0079751A">
        <w:t xml:space="preserve">and to the </w:t>
      </w:r>
      <w:r w:rsidRPr="00307D1E" w:rsidR="007302F0">
        <w:t xml:space="preserve">way in </w:t>
      </w:r>
      <w:r w:rsidRPr="00307D1E" w:rsidR="001119F2">
        <w:t xml:space="preserve">which </w:t>
      </w:r>
      <w:r w:rsidRPr="00307D1E" w:rsidR="0079751A">
        <w:t xml:space="preserve">the </w:t>
      </w:r>
      <w:r w:rsidRPr="00307D1E" w:rsidR="007302F0">
        <w:t>courts</w:t>
      </w:r>
      <w:r w:rsidRPr="00307D1E" w:rsidR="0079751A">
        <w:t xml:space="preserve"> </w:t>
      </w:r>
      <w:r w:rsidRPr="00307D1E" w:rsidR="007302F0">
        <w:t>functioned in Moscow</w:t>
      </w:r>
      <w:r w:rsidRPr="00307D1E" w:rsidR="0079751A">
        <w:t>.</w:t>
      </w:r>
      <w:r w:rsidRPr="00307D1E" w:rsidR="007302F0">
        <w:t xml:space="preserve"> </w:t>
      </w:r>
      <w:r w:rsidRPr="00307D1E" w:rsidR="0079751A">
        <w:t xml:space="preserve">The amount </w:t>
      </w:r>
      <w:r w:rsidRPr="00307D1E" w:rsidR="007302F0">
        <w:t xml:space="preserve">of award had been </w:t>
      </w:r>
      <w:r w:rsidRPr="00307D1E" w:rsidR="0079751A">
        <w:t>grossly disproportionate in relation to both the nature of the statement and the existing case-law, as well as in relation to his financial situation as a father of two minor children</w:t>
      </w:r>
      <w:r w:rsidRPr="00307D1E" w:rsidR="007302F0">
        <w:t>,</w:t>
      </w:r>
      <w:r w:rsidRPr="00307D1E" w:rsidR="0079751A">
        <w:t xml:space="preserve"> and his political status as one of the leaders of the opposition movement. </w:t>
      </w:r>
      <w:r w:rsidRPr="00307D1E" w:rsidR="007302F0">
        <w:t>An</w:t>
      </w:r>
      <w:r w:rsidRPr="00307D1E" w:rsidR="0079751A">
        <w:t xml:space="preserve"> excessively large award had the stifling effect on the criticism of public authorities in Russia and on the activities of the opposition movement.</w:t>
      </w:r>
    </w:p>
    <w:p w:rsidRPr="00307D1E" w:rsidR="0079751A" w:rsidP="00307D1E" w:rsidRDefault="0079751A">
      <w:pPr>
        <w:pStyle w:val="JuHA"/>
      </w:pPr>
      <w:r w:rsidRPr="00307D1E">
        <w:t>Admissibility</w:t>
      </w:r>
    </w:p>
    <w:p w:rsidRPr="00307D1E" w:rsidR="0079751A" w:rsidP="00307D1E" w:rsidRDefault="00C90088">
      <w:pPr>
        <w:pStyle w:val="JuPara"/>
      </w:pPr>
      <w:r w:rsidRPr="00307D1E">
        <w:fldChar w:fldCharType="begin"/>
      </w:r>
      <w:r w:rsidRPr="00307D1E">
        <w:instrText xml:space="preserve"> SEQ level0 \*arabic </w:instrText>
      </w:r>
      <w:r w:rsidRPr="00307D1E">
        <w:fldChar w:fldCharType="separate"/>
      </w:r>
      <w:r w:rsidRPr="00307D1E" w:rsidR="00307D1E">
        <w:rPr>
          <w:noProof/>
        </w:rPr>
        <w:t>21</w:t>
      </w:r>
      <w:r w:rsidRPr="00307D1E">
        <w:rPr>
          <w:noProof/>
        </w:rPr>
        <w:fldChar w:fldCharType="end"/>
      </w:r>
      <w:r w:rsidRPr="00307D1E" w:rsidR="0079751A">
        <w:t>.  The Court notes that this complaint is not manifestly ill-founded within the meaning of Article 35 § 3 (a) of the Convention. It further notes that it is not inadmissible on any other grounds. It must therefore be declared admissible.</w:t>
      </w:r>
    </w:p>
    <w:p w:rsidRPr="00307D1E" w:rsidR="0079751A" w:rsidP="00307D1E" w:rsidRDefault="0079751A">
      <w:pPr>
        <w:pStyle w:val="JuHA"/>
      </w:pPr>
      <w:r w:rsidRPr="00307D1E">
        <w:t>Merits</w:t>
      </w:r>
    </w:p>
    <w:p w:rsidRPr="00307D1E" w:rsidR="0079751A" w:rsidP="00307D1E" w:rsidRDefault="00780D7D">
      <w:pPr>
        <w:pStyle w:val="JuPara"/>
        <w:rPr>
          <w:szCs w:val="24"/>
        </w:rPr>
      </w:pPr>
      <w:r w:rsidRPr="00307D1E">
        <w:fldChar w:fldCharType="begin"/>
      </w:r>
      <w:r w:rsidRPr="00307D1E">
        <w:instrText xml:space="preserve"> SEQ level0 \*arabic </w:instrText>
      </w:r>
      <w:r w:rsidRPr="00307D1E">
        <w:fldChar w:fldCharType="separate"/>
      </w:r>
      <w:r w:rsidRPr="00307D1E" w:rsidR="00307D1E">
        <w:rPr>
          <w:noProof/>
        </w:rPr>
        <w:t>22</w:t>
      </w:r>
      <w:r w:rsidRPr="00307D1E">
        <w:fldChar w:fldCharType="end"/>
      </w:r>
      <w:r w:rsidRPr="00307D1E">
        <w:t>.  The Court accepts that the finding of the applicant</w:t>
      </w:r>
      <w:r w:rsidRPr="00307D1E" w:rsidR="00307D1E">
        <w:t>’</w:t>
      </w:r>
      <w:r w:rsidRPr="00307D1E">
        <w:t xml:space="preserve">s liability for defamation and an order to pay </w:t>
      </w:r>
      <w:r w:rsidRPr="00307D1E" w:rsidR="00907883">
        <w:t xml:space="preserve">damages </w:t>
      </w:r>
      <w:r w:rsidRPr="00307D1E">
        <w:t xml:space="preserve">to the mayor constituted interference with his right to freedom of expression. </w:t>
      </w:r>
      <w:r w:rsidRPr="00307D1E" w:rsidR="00907883">
        <w:t xml:space="preserve">The interference had a lawful basis, notably Article 152 of the Civil Code, which allowed </w:t>
      </w:r>
      <w:r w:rsidRPr="00307D1E" w:rsidR="001A524B">
        <w:t>an</w:t>
      </w:r>
      <w:r w:rsidRPr="00307D1E" w:rsidR="00907883">
        <w:t xml:space="preserve"> aggrieved party to seek the judicial protection of his reputation and claim compensation in respect of non-pecuniary damages. It also pursued a legitimate aim, that of protecting the reputation or rights of others, within the meaning of Article 10 § 2. It remains to be established whether the interference was “necessary in a democratic society”.</w:t>
      </w:r>
      <w:r w:rsidRPr="00307D1E" w:rsidR="00A841A5">
        <w:t xml:space="preserve"> </w:t>
      </w:r>
      <w:r w:rsidRPr="00307D1E" w:rsidR="00682268">
        <w:t>In reviewing under Article 10 the domestic courts</w:t>
      </w:r>
      <w:r w:rsidRPr="00307D1E" w:rsidR="00307D1E">
        <w:t>’</w:t>
      </w:r>
      <w:r w:rsidRPr="00307D1E" w:rsidR="00682268">
        <w:t xml:space="preserve"> decisions, </w:t>
      </w:r>
      <w:r w:rsidRPr="00307D1E" w:rsidR="0079751A">
        <w:t>the Court has to satisfy itself that the national authorities applied standards which were in conformity with the principles embodied in Article 10 and, moreover, that they based their decisions on an acceptable assessment of the relevant facts (see</w:t>
      </w:r>
      <w:r w:rsidRPr="00307D1E" w:rsidR="0079751A">
        <w:rPr>
          <w:i/>
          <w:iCs/>
        </w:rPr>
        <w:t xml:space="preserve"> Dichand and Others v. Austria</w:t>
      </w:r>
      <w:r w:rsidRPr="00307D1E" w:rsidR="0079751A">
        <w:t>, no. 29271/95, § 38, 26 February 2002, with further references).</w:t>
      </w:r>
      <w:r w:rsidRPr="00307D1E" w:rsidR="00682268">
        <w:t xml:space="preserve"> T</w:t>
      </w:r>
      <w:r w:rsidRPr="00307D1E" w:rsidR="0079751A">
        <w:t xml:space="preserve">he Court will take the following elements into account: the position of the applicant, the position of the person against whom his criticism was directed, the context and object of the impugned statement, its characterisation by the domestic courts, and the </w:t>
      </w:r>
      <w:r w:rsidRPr="00307D1E" w:rsidR="003302CD">
        <w:t>sanction imposed</w:t>
      </w:r>
      <w:r w:rsidRPr="00307D1E" w:rsidR="0079751A">
        <w:t xml:space="preserve"> (see </w:t>
      </w:r>
      <w:r w:rsidRPr="00307D1E" w:rsidR="0079751A">
        <w:rPr>
          <w:i/>
          <w:szCs w:val="24"/>
        </w:rPr>
        <w:t>Krasulya v. </w:t>
      </w:r>
      <w:smartTag w:uri="urn:schemas-microsoft-com:office:smarttags" w:element="place">
        <w:smartTag w:uri="urn:schemas-microsoft-com:office:smarttags" w:element="country-region">
          <w:r w:rsidR="0079751A" w:rsidRPr="00307D1E">
            <w:rPr>
              <w:i/>
              <w:szCs w:val="24"/>
            </w:rPr>
            <w:t>Russia</w:t>
          </w:r>
        </w:smartTag>
      </w:smartTag>
      <w:r w:rsidRPr="00307D1E" w:rsidR="0079751A">
        <w:rPr>
          <w:szCs w:val="24"/>
        </w:rPr>
        <w:t>, no. 12365/03, § 35, 22 February 2007, with further references).</w:t>
      </w:r>
    </w:p>
    <w:p w:rsidRPr="00307D1E" w:rsidR="00112009" w:rsidP="00307D1E" w:rsidRDefault="00682268">
      <w:pPr>
        <w:pStyle w:val="JuPara"/>
        <w:rPr>
          <w:snapToGrid w:val="0"/>
        </w:rPr>
      </w:pPr>
      <w:r w:rsidRPr="00307D1E">
        <w:fldChar w:fldCharType="begin"/>
      </w:r>
      <w:r w:rsidRPr="00307D1E">
        <w:instrText xml:space="preserve"> SEQ level0 \*arabic </w:instrText>
      </w:r>
      <w:r w:rsidRPr="00307D1E">
        <w:fldChar w:fldCharType="separate"/>
      </w:r>
      <w:r w:rsidRPr="00307D1E" w:rsidR="00307D1E">
        <w:rPr>
          <w:noProof/>
        </w:rPr>
        <w:t>23</w:t>
      </w:r>
      <w:r w:rsidRPr="00307D1E">
        <w:fldChar w:fldCharType="end"/>
      </w:r>
      <w:r w:rsidRPr="00307D1E">
        <w:t>.  </w:t>
      </w:r>
      <w:r w:rsidRPr="00307D1E" w:rsidR="003E3B4E">
        <w:t xml:space="preserve">At the material time the applicant was one of the leaders of a broad coalition of opposition groups which sought to vindicate the right to freedom of assembly in Moscow </w:t>
      </w:r>
      <w:r w:rsidRPr="00307D1E" w:rsidR="005052B8">
        <w:t>by holding rallies and demonstrations known as Dissenters</w:t>
      </w:r>
      <w:r w:rsidRPr="00307D1E" w:rsidR="00307D1E">
        <w:t>’</w:t>
      </w:r>
      <w:r w:rsidRPr="00307D1E" w:rsidR="005052B8">
        <w:t xml:space="preserve"> Marches </w:t>
      </w:r>
      <w:r w:rsidRPr="00307D1E" w:rsidR="003E3B4E">
        <w:t>(</w:t>
      </w:r>
      <w:r w:rsidRPr="00307D1E" w:rsidR="005052B8">
        <w:t xml:space="preserve">see </w:t>
      </w:r>
      <w:r w:rsidRPr="00307D1E" w:rsidR="005052B8">
        <w:rPr>
          <w:i/>
        </w:rPr>
        <w:t>Kasparov and Others v. Russia</w:t>
      </w:r>
      <w:r w:rsidRPr="00307D1E" w:rsidR="005052B8">
        <w:t>, no.</w:t>
      </w:r>
      <w:r w:rsidRPr="00307D1E" w:rsidR="00CA2232">
        <w:t> </w:t>
      </w:r>
      <w:r w:rsidRPr="00307D1E" w:rsidR="005052B8">
        <w:t>21613/07</w:t>
      </w:r>
      <w:r w:rsidRPr="00307D1E" w:rsidR="005052B8">
        <w:rPr>
          <w:snapToGrid w:val="0"/>
        </w:rPr>
        <w:t xml:space="preserve">, § 7 et seq., 3 October 2013). The </w:t>
      </w:r>
      <w:r w:rsidRPr="00307D1E" w:rsidR="00112009">
        <w:rPr>
          <w:snapToGrid w:val="0"/>
        </w:rPr>
        <w:t xml:space="preserve">city </w:t>
      </w:r>
      <w:r w:rsidRPr="00307D1E" w:rsidR="005052B8">
        <w:rPr>
          <w:snapToGrid w:val="0"/>
        </w:rPr>
        <w:t>authorities denied permission for the Dissenters</w:t>
      </w:r>
      <w:r w:rsidRPr="00307D1E" w:rsidR="00307D1E">
        <w:rPr>
          <w:snapToGrid w:val="0"/>
        </w:rPr>
        <w:t>’</w:t>
      </w:r>
      <w:r w:rsidRPr="00307D1E" w:rsidR="005052B8">
        <w:rPr>
          <w:snapToGrid w:val="0"/>
        </w:rPr>
        <w:t xml:space="preserve"> March on 16 December 2006</w:t>
      </w:r>
      <w:r w:rsidRPr="00307D1E" w:rsidR="008C6A8A">
        <w:rPr>
          <w:snapToGrid w:val="0"/>
        </w:rPr>
        <w:t xml:space="preserve"> and the organisers unsuccessfully challenged that decision </w:t>
      </w:r>
      <w:r w:rsidRPr="00307D1E" w:rsidR="00D4585B">
        <w:rPr>
          <w:snapToGrid w:val="0"/>
        </w:rPr>
        <w:t xml:space="preserve">in </w:t>
      </w:r>
      <w:r w:rsidRPr="00307D1E" w:rsidR="008C6A8A">
        <w:rPr>
          <w:snapToGrid w:val="0"/>
        </w:rPr>
        <w:t xml:space="preserve">courts. </w:t>
      </w:r>
      <w:r w:rsidRPr="00307D1E" w:rsidR="00112009">
        <w:rPr>
          <w:snapToGrid w:val="0"/>
        </w:rPr>
        <w:t>During a live radio debate in which the Moscow court</w:t>
      </w:r>
      <w:r w:rsidRPr="00307D1E" w:rsidR="00307D1E">
        <w:rPr>
          <w:snapToGrid w:val="0"/>
        </w:rPr>
        <w:t>’</w:t>
      </w:r>
      <w:r w:rsidRPr="00307D1E" w:rsidR="00112009">
        <w:rPr>
          <w:snapToGrid w:val="0"/>
        </w:rPr>
        <w:t>s decision to uphold the ban on the Dissenters</w:t>
      </w:r>
      <w:r w:rsidRPr="00307D1E" w:rsidR="00307D1E">
        <w:rPr>
          <w:snapToGrid w:val="0"/>
        </w:rPr>
        <w:t>’</w:t>
      </w:r>
      <w:r w:rsidRPr="00307D1E" w:rsidR="00112009">
        <w:rPr>
          <w:snapToGrid w:val="0"/>
        </w:rPr>
        <w:t xml:space="preserve"> March was discussed the applicant stated his view that the </w:t>
      </w:r>
      <w:r w:rsidRPr="00307D1E" w:rsidR="00112009">
        <w:t>Moscow courts were controlled by the Moscow mayor.</w:t>
      </w:r>
    </w:p>
    <w:p w:rsidRPr="00307D1E" w:rsidR="00112009" w:rsidP="00307D1E" w:rsidRDefault="00112009">
      <w:pPr>
        <w:pStyle w:val="JuPara"/>
        <w:rPr>
          <w:snapToGrid w:val="0"/>
        </w:rPr>
      </w:pPr>
      <w:r w:rsidRPr="00307D1E">
        <w:rPr>
          <w:snapToGrid w:val="0"/>
        </w:rPr>
        <w:fldChar w:fldCharType="begin"/>
      </w:r>
      <w:r w:rsidRPr="00307D1E">
        <w:rPr>
          <w:snapToGrid w:val="0"/>
        </w:rPr>
        <w:instrText xml:space="preserve"> SEQ level0 \*arabic </w:instrText>
      </w:r>
      <w:r w:rsidRPr="00307D1E">
        <w:rPr>
          <w:snapToGrid w:val="0"/>
        </w:rPr>
        <w:fldChar w:fldCharType="separate"/>
      </w:r>
      <w:r w:rsidRPr="00307D1E" w:rsidR="00307D1E">
        <w:rPr>
          <w:noProof/>
          <w:snapToGrid w:val="0"/>
        </w:rPr>
        <w:t>24</w:t>
      </w:r>
      <w:r w:rsidRPr="00307D1E">
        <w:rPr>
          <w:snapToGrid w:val="0"/>
        </w:rPr>
        <w:fldChar w:fldCharType="end"/>
      </w:r>
      <w:r w:rsidRPr="00307D1E">
        <w:rPr>
          <w:snapToGrid w:val="0"/>
        </w:rPr>
        <w:t>.  </w:t>
      </w:r>
      <w:r w:rsidRPr="00307D1E" w:rsidR="0030159F">
        <w:rPr>
          <w:snapToGrid w:val="0"/>
        </w:rPr>
        <w:t>The statement was made in the general context of a discussion about restrictions which the Moscow authorities imposed on the citizens</w:t>
      </w:r>
      <w:r w:rsidRPr="00307D1E" w:rsidR="00307D1E">
        <w:rPr>
          <w:snapToGrid w:val="0"/>
        </w:rPr>
        <w:t>’</w:t>
      </w:r>
      <w:r w:rsidRPr="00307D1E" w:rsidR="0030159F">
        <w:rPr>
          <w:snapToGrid w:val="0"/>
        </w:rPr>
        <w:t xml:space="preserve"> right to freedom of peaceful assembly. More specifically, t</w:t>
      </w:r>
      <w:r w:rsidRPr="00307D1E" w:rsidR="0030159F">
        <w:t>he applicant</w:t>
      </w:r>
      <w:r w:rsidRPr="00307D1E" w:rsidR="00307D1E">
        <w:t>’</w:t>
      </w:r>
      <w:r w:rsidRPr="00307D1E" w:rsidR="0030159F">
        <w:t xml:space="preserve">s statement could be understood as a suggestion that the regional judiciary showed excessive deference to the executive or even lacked the requisite degree of independence. Both the exercise of political rights and </w:t>
      </w:r>
      <w:r w:rsidRPr="00307D1E">
        <w:t xml:space="preserve">the functioning of the justice system constitute </w:t>
      </w:r>
      <w:r w:rsidRPr="00307D1E" w:rsidR="0030159F">
        <w:t>matters of public interest</w:t>
      </w:r>
      <w:r w:rsidRPr="00307D1E" w:rsidR="007F361F">
        <w:t>,</w:t>
      </w:r>
      <w:r w:rsidRPr="00307D1E" w:rsidR="0030159F">
        <w:t xml:space="preserve"> which are accorded the high level of protection under </w:t>
      </w:r>
      <w:r w:rsidRPr="00307D1E">
        <w:t>Article 10</w:t>
      </w:r>
      <w:r w:rsidRPr="00307D1E" w:rsidR="007F361F">
        <w:t>, leaving the State authorities a particularly narrow margin of appreciation</w:t>
      </w:r>
      <w:r w:rsidRPr="00307D1E">
        <w:t xml:space="preserve"> </w:t>
      </w:r>
      <w:r w:rsidRPr="00307D1E" w:rsidR="007F361F">
        <w:t xml:space="preserve">for suppressing such speech </w:t>
      </w:r>
      <w:r w:rsidRPr="00307D1E">
        <w:t>(see</w:t>
      </w:r>
      <w:r w:rsidRPr="00307D1E" w:rsidR="0030159F">
        <w:t xml:space="preserve"> </w:t>
      </w:r>
      <w:r w:rsidRPr="00307D1E" w:rsidR="00180F83">
        <w:rPr>
          <w:i/>
        </w:rPr>
        <w:t xml:space="preserve">Morice v. France </w:t>
      </w:r>
      <w:r w:rsidRPr="00307D1E" w:rsidR="00180F83">
        <w:t>[GC], no.</w:t>
      </w:r>
      <w:r w:rsidRPr="00307D1E" w:rsidR="007F361F">
        <w:t> </w:t>
      </w:r>
      <w:r w:rsidRPr="00307D1E" w:rsidR="00180F83">
        <w:t>29369/10, § 125, ECHR 2015</w:t>
      </w:r>
      <w:r w:rsidRPr="00307D1E">
        <w:rPr>
          <w:snapToGrid w:val="0"/>
        </w:rPr>
        <w:t>).</w:t>
      </w:r>
    </w:p>
    <w:p w:rsidRPr="00307D1E" w:rsidR="00B64B00" w:rsidP="00307D1E" w:rsidRDefault="007F361F">
      <w:pPr>
        <w:pStyle w:val="JuPara"/>
      </w:pPr>
      <w:r w:rsidRPr="00307D1E">
        <w:rPr>
          <w:snapToGrid w:val="0"/>
        </w:rPr>
        <w:fldChar w:fldCharType="begin"/>
      </w:r>
      <w:r w:rsidRPr="00307D1E">
        <w:rPr>
          <w:snapToGrid w:val="0"/>
        </w:rPr>
        <w:instrText xml:space="preserve"> SEQ level0 \*arabic </w:instrText>
      </w:r>
      <w:r w:rsidRPr="00307D1E">
        <w:rPr>
          <w:snapToGrid w:val="0"/>
        </w:rPr>
        <w:fldChar w:fldCharType="separate"/>
      </w:r>
      <w:r w:rsidRPr="00307D1E" w:rsidR="00307D1E">
        <w:rPr>
          <w:noProof/>
          <w:snapToGrid w:val="0"/>
        </w:rPr>
        <w:t>25</w:t>
      </w:r>
      <w:r w:rsidRPr="00307D1E">
        <w:rPr>
          <w:snapToGrid w:val="0"/>
        </w:rPr>
        <w:fldChar w:fldCharType="end"/>
      </w:r>
      <w:r w:rsidRPr="00307D1E">
        <w:rPr>
          <w:snapToGrid w:val="0"/>
        </w:rPr>
        <w:t>.  </w:t>
      </w:r>
      <w:r w:rsidRPr="00307D1E" w:rsidR="00233F75">
        <w:rPr>
          <w:snapToGrid w:val="0"/>
        </w:rPr>
        <w:t xml:space="preserve">Although the statement appeared to have targeted the insufficiently independent standing of the Moscow judiciary, it was the Moscow mayor who </w:t>
      </w:r>
      <w:r w:rsidRPr="00307D1E" w:rsidR="009263FA">
        <w:rPr>
          <w:snapToGrid w:val="0"/>
        </w:rPr>
        <w:t xml:space="preserve">took issue with it and sued the </w:t>
      </w:r>
      <w:r w:rsidRPr="00307D1E" w:rsidR="00233F75">
        <w:rPr>
          <w:snapToGrid w:val="0"/>
        </w:rPr>
        <w:t>applicant</w:t>
      </w:r>
      <w:r w:rsidRPr="00307D1E" w:rsidR="009263FA">
        <w:rPr>
          <w:snapToGrid w:val="0"/>
        </w:rPr>
        <w:t xml:space="preserve"> for defamation</w:t>
      </w:r>
      <w:r w:rsidRPr="00307D1E" w:rsidR="00233F75">
        <w:rPr>
          <w:snapToGrid w:val="0"/>
        </w:rPr>
        <w:t xml:space="preserve">. </w:t>
      </w:r>
      <w:r w:rsidRPr="00307D1E" w:rsidR="00006EBD">
        <w:rPr>
          <w:snapToGrid w:val="0"/>
        </w:rPr>
        <w:t>T</w:t>
      </w:r>
      <w:r w:rsidRPr="00307D1E" w:rsidR="00692E22">
        <w:rPr>
          <w:snapToGrid w:val="0"/>
        </w:rPr>
        <w:t xml:space="preserve">he mayor was a professional politician and the elected head of the city </w:t>
      </w:r>
      <w:r w:rsidRPr="00307D1E" w:rsidR="005D629A">
        <w:rPr>
          <w:snapToGrid w:val="0"/>
        </w:rPr>
        <w:t>government</w:t>
      </w:r>
      <w:r w:rsidRPr="00307D1E" w:rsidR="00692E22">
        <w:rPr>
          <w:snapToGrid w:val="0"/>
        </w:rPr>
        <w:t xml:space="preserve">. The Court reiterates that </w:t>
      </w:r>
      <w:r w:rsidRPr="00307D1E" w:rsidR="00692E22">
        <w:t>the limits of acceptable criticism are wider as regards a politician as such than as regards a private individual. Unlike the latter, the former inevitably and knowingly lays himself open to close scrutiny of his every word and deed by both journalists and the public at large, and he must consequently display a greater degree of tolerance</w:t>
      </w:r>
      <w:r w:rsidRPr="00307D1E" w:rsidR="00B74B10">
        <w:t>.</w:t>
      </w:r>
      <w:r w:rsidRPr="00307D1E" w:rsidR="00B64B00">
        <w:t xml:space="preserve"> The requirements of the protection of a politician</w:t>
      </w:r>
      <w:r w:rsidRPr="00307D1E" w:rsidR="00307D1E">
        <w:t>’</w:t>
      </w:r>
      <w:r w:rsidRPr="00307D1E" w:rsidR="00B64B00">
        <w:t xml:space="preserve">s reputation have to be weighed against the interests of open discussion of political issues (see </w:t>
      </w:r>
      <w:r w:rsidRPr="00307D1E" w:rsidR="00E76F31">
        <w:rPr>
          <w:i/>
        </w:rPr>
        <w:t>Oberschlick v. Austria (no. 1)</w:t>
      </w:r>
      <w:r w:rsidRPr="00307D1E" w:rsidR="00E76F31">
        <w:t xml:space="preserve">, 23 May 1991, § 59, Series A no. 204) but the domestic courts did not perform </w:t>
      </w:r>
      <w:r w:rsidRPr="00307D1E" w:rsidR="00006EBD">
        <w:t>any such</w:t>
      </w:r>
      <w:r w:rsidRPr="00307D1E" w:rsidR="00E76F31">
        <w:t xml:space="preserve"> balancing exercise in the instant case.</w:t>
      </w:r>
    </w:p>
    <w:p w:rsidRPr="00307D1E" w:rsidR="00907883" w:rsidP="00307D1E" w:rsidRDefault="008C6A8A">
      <w:pPr>
        <w:pStyle w:val="JuPara"/>
      </w:pPr>
      <w:r w:rsidRPr="00307D1E">
        <w:fldChar w:fldCharType="begin"/>
      </w:r>
      <w:r w:rsidRPr="00307D1E">
        <w:instrText xml:space="preserve"> SEQ level0 \*arabic </w:instrText>
      </w:r>
      <w:r w:rsidRPr="00307D1E">
        <w:fldChar w:fldCharType="separate"/>
      </w:r>
      <w:r w:rsidRPr="00307D1E" w:rsidR="00307D1E">
        <w:rPr>
          <w:noProof/>
        </w:rPr>
        <w:t>26</w:t>
      </w:r>
      <w:r w:rsidRPr="00307D1E">
        <w:fldChar w:fldCharType="end"/>
      </w:r>
      <w:r w:rsidRPr="00307D1E">
        <w:t>.  </w:t>
      </w:r>
      <w:r w:rsidRPr="00307D1E" w:rsidR="00C14263">
        <w:t>A</w:t>
      </w:r>
      <w:r w:rsidRPr="00307D1E" w:rsidR="00744D89">
        <w:t xml:space="preserve">s regards the </w:t>
      </w:r>
      <w:r w:rsidRPr="00307D1E" w:rsidR="003E3B4E">
        <w:t xml:space="preserve">form </w:t>
      </w:r>
      <w:r w:rsidRPr="00307D1E" w:rsidR="00501DF2">
        <w:t xml:space="preserve">and contents </w:t>
      </w:r>
      <w:r w:rsidRPr="00307D1E" w:rsidR="00744D89">
        <w:t xml:space="preserve">of the statement, the Court notes that </w:t>
      </w:r>
      <w:r w:rsidRPr="00307D1E" w:rsidR="00676E76">
        <w:t>it was the applicant</w:t>
      </w:r>
      <w:r w:rsidRPr="00307D1E" w:rsidR="00307D1E">
        <w:t>’</w:t>
      </w:r>
      <w:r w:rsidRPr="00307D1E" w:rsidR="00676E76">
        <w:t>s reaction in the context of a</w:t>
      </w:r>
      <w:r w:rsidRPr="00307D1E" w:rsidR="00524951">
        <w:t>n</w:t>
      </w:r>
      <w:r w:rsidRPr="00307D1E" w:rsidR="00676E76">
        <w:t xml:space="preserve"> oral exchange </w:t>
      </w:r>
      <w:r w:rsidRPr="00307D1E" w:rsidR="00C14263">
        <w:t xml:space="preserve">during </w:t>
      </w:r>
      <w:r w:rsidRPr="00307D1E" w:rsidR="00744D89">
        <w:t xml:space="preserve">a live </w:t>
      </w:r>
      <w:r w:rsidRPr="00307D1E" w:rsidR="00676E76">
        <w:t>radio broadcast</w:t>
      </w:r>
      <w:r w:rsidRPr="00307D1E" w:rsidR="00744D89">
        <w:t xml:space="preserve">, so that </w:t>
      </w:r>
      <w:r w:rsidRPr="00307D1E" w:rsidR="00501DF2">
        <w:t>he had</w:t>
      </w:r>
      <w:r w:rsidRPr="00307D1E" w:rsidR="00744D89">
        <w:t xml:space="preserve"> no possibility of reformulating, refining or retracting </w:t>
      </w:r>
      <w:r w:rsidRPr="00307D1E" w:rsidR="00FC7D9C">
        <w:t xml:space="preserve">it </w:t>
      </w:r>
      <w:r w:rsidRPr="00307D1E" w:rsidR="00744D89">
        <w:t xml:space="preserve">before </w:t>
      </w:r>
      <w:r w:rsidRPr="00307D1E" w:rsidR="00FC7D9C">
        <w:t xml:space="preserve">it was </w:t>
      </w:r>
      <w:r w:rsidRPr="00307D1E" w:rsidR="00744D89">
        <w:t xml:space="preserve">made public (compare </w:t>
      </w:r>
      <w:r w:rsidRPr="00307D1E" w:rsidR="00676E76">
        <w:rPr>
          <w:i/>
        </w:rPr>
        <w:t>Fuentes Bobo v.</w:t>
      </w:r>
      <w:r w:rsidRPr="00307D1E" w:rsidR="00501DF2">
        <w:rPr>
          <w:i/>
        </w:rPr>
        <w:t> </w:t>
      </w:r>
      <w:r w:rsidRPr="00307D1E" w:rsidR="00676E76">
        <w:rPr>
          <w:i/>
        </w:rPr>
        <w:t>Spain</w:t>
      </w:r>
      <w:r w:rsidRPr="00307D1E" w:rsidR="00307D1E">
        <w:t>, no. </w:t>
      </w:r>
      <w:r w:rsidRPr="00307D1E" w:rsidR="00676E76">
        <w:t>39293/98, § 46, 29 February 2000</w:t>
      </w:r>
      <w:r w:rsidRPr="00307D1E" w:rsidR="004564FD">
        <w:rPr>
          <w:snapToGrid w:val="0"/>
        </w:rPr>
        <w:t xml:space="preserve">, and </w:t>
      </w:r>
      <w:r w:rsidRPr="00307D1E" w:rsidR="00E76C4C">
        <w:rPr>
          <w:i/>
          <w:iCs/>
          <w:snapToGrid w:val="0"/>
        </w:rPr>
        <w:t>Ottan v.</w:t>
      </w:r>
      <w:r w:rsidRPr="00307D1E" w:rsidR="00524951">
        <w:rPr>
          <w:i/>
          <w:iCs/>
          <w:snapToGrid w:val="0"/>
        </w:rPr>
        <w:t> </w:t>
      </w:r>
      <w:r w:rsidRPr="00307D1E" w:rsidR="00E76C4C">
        <w:rPr>
          <w:i/>
          <w:iCs/>
          <w:snapToGrid w:val="0"/>
        </w:rPr>
        <w:t>France</w:t>
      </w:r>
      <w:r w:rsidRPr="00307D1E" w:rsidR="00E76C4C">
        <w:rPr>
          <w:snapToGrid w:val="0"/>
          <w:lang w:eastAsia="en-GB"/>
        </w:rPr>
        <w:t xml:space="preserve">, </w:t>
      </w:r>
      <w:r w:rsidRPr="00307D1E" w:rsidR="00E76C4C">
        <w:rPr>
          <w:snapToGrid w:val="0"/>
        </w:rPr>
        <w:t>no.</w:t>
      </w:r>
      <w:r w:rsidRPr="00307D1E" w:rsidR="00FC7D9C">
        <w:rPr>
          <w:snapToGrid w:val="0"/>
        </w:rPr>
        <w:t> </w:t>
      </w:r>
      <w:r w:rsidRPr="00307D1E" w:rsidR="00E76C4C">
        <w:rPr>
          <w:snapToGrid w:val="0"/>
        </w:rPr>
        <w:t>41841/12</w:t>
      </w:r>
      <w:r w:rsidRPr="00307D1E" w:rsidR="00E76C4C">
        <w:rPr>
          <w:snapToGrid w:val="0"/>
          <w:lang w:eastAsia="en-GB"/>
        </w:rPr>
        <w:t xml:space="preserve">, </w:t>
      </w:r>
      <w:r w:rsidRPr="00307D1E" w:rsidR="00307D1E">
        <w:rPr>
          <w:snapToGrid w:val="0"/>
        </w:rPr>
        <w:t>§ </w:t>
      </w:r>
      <w:r w:rsidRPr="00307D1E" w:rsidR="004564FD">
        <w:rPr>
          <w:snapToGrid w:val="0"/>
        </w:rPr>
        <w:t>69</w:t>
      </w:r>
      <w:r w:rsidRPr="00307D1E" w:rsidR="00E76C4C">
        <w:rPr>
          <w:snapToGrid w:val="0"/>
        </w:rPr>
        <w:t>, 19 April 2018</w:t>
      </w:r>
      <w:r w:rsidRPr="00307D1E" w:rsidR="004564FD">
        <w:rPr>
          <w:snapToGrid w:val="0"/>
        </w:rPr>
        <w:t>).</w:t>
      </w:r>
      <w:r w:rsidRPr="00307D1E" w:rsidR="00676E76">
        <w:rPr>
          <w:snapToGrid w:val="0"/>
        </w:rPr>
        <w:t xml:space="preserve"> Such forms of expression allow for a greater degree of exaggeration and cannot be held to the same standard of accuracy as written assertions (see </w:t>
      </w:r>
      <w:r w:rsidRPr="00307D1E" w:rsidR="00855B43">
        <w:rPr>
          <w:i/>
        </w:rPr>
        <w:t>Palomo Sánchez and Others v. </w:t>
      </w:r>
      <w:r w:rsidRPr="00307D1E" w:rsidR="005664B1">
        <w:rPr>
          <w:i/>
        </w:rPr>
        <w:t>Spain</w:t>
      </w:r>
      <w:r w:rsidRPr="00307D1E" w:rsidR="00855B43">
        <w:t> </w:t>
      </w:r>
      <w:r w:rsidRPr="00307D1E" w:rsidR="005664B1">
        <w:t xml:space="preserve">[GC], </w:t>
      </w:r>
      <w:r w:rsidRPr="00307D1E" w:rsidR="005664B1">
        <w:rPr>
          <w:snapToGrid w:val="0"/>
        </w:rPr>
        <w:t>no</w:t>
      </w:r>
      <w:r w:rsidRPr="00307D1E" w:rsidR="005664B1">
        <w:t>s</w:t>
      </w:r>
      <w:r w:rsidRPr="00307D1E" w:rsidR="005664B1">
        <w:rPr>
          <w:snapToGrid w:val="0"/>
        </w:rPr>
        <w:t>.</w:t>
      </w:r>
      <w:r w:rsidRPr="00307D1E" w:rsidR="005664B1">
        <w:t xml:space="preserve"> 28955/06 and 3 others, § 73, ECHR 2011).</w:t>
      </w:r>
      <w:r w:rsidRPr="00307D1E" w:rsidR="00A6343A">
        <w:t xml:space="preserve"> The statement conveyed the applicant</w:t>
      </w:r>
      <w:r w:rsidRPr="00307D1E" w:rsidR="00307D1E">
        <w:t>’</w:t>
      </w:r>
      <w:r w:rsidRPr="00307D1E" w:rsidR="00A6343A">
        <w:t xml:space="preserve">s indignation at what he perceived as yet another rejection of lawful demands against the Moscow government. </w:t>
      </w:r>
      <w:r w:rsidRPr="00307D1E" w:rsidR="002661C0">
        <w:t xml:space="preserve">It reflected </w:t>
      </w:r>
      <w:r w:rsidRPr="00307D1E" w:rsidR="00A6343A">
        <w:t>his own experience of unsuccessful attempts to vindicate the right to fr</w:t>
      </w:r>
      <w:r w:rsidRPr="00307D1E" w:rsidR="00D167A2">
        <w:t>eedom of peaceful assembly</w:t>
      </w:r>
      <w:r w:rsidRPr="00307D1E" w:rsidR="00C50F01">
        <w:t xml:space="preserve"> in Moscow</w:t>
      </w:r>
      <w:r w:rsidRPr="00307D1E" w:rsidR="00D167A2">
        <w:t xml:space="preserve">, but also </w:t>
      </w:r>
      <w:r w:rsidRPr="00307D1E" w:rsidR="00A6343A">
        <w:t xml:space="preserve">on the experience of others who had </w:t>
      </w:r>
      <w:r w:rsidRPr="00307D1E" w:rsidR="00436CCE">
        <w:t>lost</w:t>
      </w:r>
      <w:r w:rsidRPr="00307D1E" w:rsidR="00A6343A">
        <w:t xml:space="preserve"> judicial proceedings involving the Moscow mayor. </w:t>
      </w:r>
      <w:r w:rsidRPr="00307D1E" w:rsidR="00C50F01">
        <w:t>The Court considers that those elements, taken together with the Government</w:t>
      </w:r>
      <w:r w:rsidRPr="00307D1E" w:rsidR="00307D1E">
        <w:t>’</w:t>
      </w:r>
      <w:r w:rsidRPr="00307D1E" w:rsidR="00C50F01">
        <w:t xml:space="preserve">s factual information showing that the courts </w:t>
      </w:r>
      <w:r w:rsidRPr="00307D1E" w:rsidR="004063B0">
        <w:t>had not found</w:t>
      </w:r>
      <w:r w:rsidRPr="00307D1E" w:rsidR="00C50F01">
        <w:t xml:space="preserve"> against the Moscow mayor in any of the defamation claims</w:t>
      </w:r>
      <w:r w:rsidRPr="00307D1E" w:rsidR="004063B0">
        <w:t xml:space="preserve"> (see paragraph </w:t>
      </w:r>
      <w:r w:rsidRPr="00307D1E" w:rsidR="004063B0">
        <w:fldChar w:fldCharType="begin"/>
      </w:r>
      <w:r w:rsidRPr="00307D1E" w:rsidR="004063B0">
        <w:instrText xml:space="preserve"> REF defclaims \h </w:instrText>
      </w:r>
      <w:r w:rsidRPr="00307D1E" w:rsidR="004063B0">
        <w:fldChar w:fldCharType="separate"/>
      </w:r>
      <w:r w:rsidRPr="00307D1E" w:rsidR="00307D1E">
        <w:rPr>
          <w:noProof/>
        </w:rPr>
        <w:t>16</w:t>
      </w:r>
      <w:r w:rsidRPr="00307D1E" w:rsidR="004063B0">
        <w:fldChar w:fldCharType="end"/>
      </w:r>
      <w:r w:rsidRPr="00307D1E" w:rsidR="004063B0">
        <w:t xml:space="preserve"> above)</w:t>
      </w:r>
      <w:r w:rsidRPr="00307D1E" w:rsidR="00C50F01">
        <w:t xml:space="preserve">, were sufficient to lend a </w:t>
      </w:r>
      <w:r w:rsidRPr="00307D1E" w:rsidR="00436CCE">
        <w:t xml:space="preserve">certain </w:t>
      </w:r>
      <w:r w:rsidRPr="00307D1E" w:rsidR="00C50F01">
        <w:t>factual basis to the applicant</w:t>
      </w:r>
      <w:r w:rsidRPr="00307D1E" w:rsidR="00307D1E">
        <w:t>’</w:t>
      </w:r>
      <w:r w:rsidRPr="00307D1E" w:rsidR="00C50F01">
        <w:t xml:space="preserve">s </w:t>
      </w:r>
      <w:r w:rsidRPr="00307D1E" w:rsidR="002661C0">
        <w:t>strong reaction</w:t>
      </w:r>
      <w:r w:rsidRPr="00307D1E" w:rsidR="00C50F01">
        <w:t xml:space="preserve">. </w:t>
      </w:r>
      <w:r w:rsidRPr="00307D1E" w:rsidR="000037C5">
        <w:t>T</w:t>
      </w:r>
      <w:r w:rsidRPr="00307D1E" w:rsidR="00907883">
        <w:t xml:space="preserve">he Court </w:t>
      </w:r>
      <w:r w:rsidRPr="00307D1E" w:rsidR="000037C5">
        <w:t>accordingly finds</w:t>
      </w:r>
      <w:r w:rsidRPr="00307D1E" w:rsidR="00907883">
        <w:t xml:space="preserve"> that the applicant was entitled to state his opinion in a public forum on a matter of public interest. </w:t>
      </w:r>
      <w:r w:rsidRPr="00307D1E" w:rsidR="00C81DC4">
        <w:t xml:space="preserve">The District and </w:t>
      </w:r>
      <w:r w:rsidRPr="00307D1E" w:rsidR="00907883">
        <w:t>City Court</w:t>
      </w:r>
      <w:r w:rsidRPr="00307D1E" w:rsidR="00C81DC4">
        <w:t>s</w:t>
      </w:r>
      <w:r w:rsidRPr="00307D1E" w:rsidR="00907883">
        <w:t xml:space="preserve"> </w:t>
      </w:r>
      <w:r w:rsidRPr="00307D1E" w:rsidR="00C81DC4">
        <w:t xml:space="preserve">in Moscow </w:t>
      </w:r>
      <w:r w:rsidRPr="00307D1E" w:rsidR="00907883">
        <w:t xml:space="preserve">did not </w:t>
      </w:r>
      <w:r w:rsidRPr="00307D1E" w:rsidR="000037C5">
        <w:t>carry out a balancing exercise or take into account the Moscow mayor</w:t>
      </w:r>
      <w:r w:rsidRPr="00307D1E" w:rsidR="00307D1E">
        <w:t>’</w:t>
      </w:r>
      <w:r w:rsidRPr="00307D1E" w:rsidR="000037C5">
        <w:t xml:space="preserve">s position as a professional politician. </w:t>
      </w:r>
      <w:r w:rsidRPr="00307D1E" w:rsidR="00907883">
        <w:t>Those failings call for the conclusion that the standrds according to which the national authoritie</w:t>
      </w:r>
      <w:r w:rsidRPr="00307D1E" w:rsidR="00F64A01">
        <w:t>s examined the defamation claim</w:t>
      </w:r>
      <w:r w:rsidRPr="00307D1E" w:rsidR="00907883">
        <w:t xml:space="preserve"> against the applicant were not in conformity with the principles embodied in Article 10.</w:t>
      </w:r>
    </w:p>
    <w:p w:rsidRPr="00307D1E" w:rsidR="00F63E1A" w:rsidP="00307D1E" w:rsidRDefault="00907883">
      <w:pPr>
        <w:pStyle w:val="JuPara"/>
      </w:pPr>
      <w:r w:rsidRPr="00307D1E">
        <w:fldChar w:fldCharType="begin"/>
      </w:r>
      <w:r w:rsidRPr="00307D1E">
        <w:instrText xml:space="preserve"> SEQ level0 \*arabic </w:instrText>
      </w:r>
      <w:r w:rsidRPr="00307D1E">
        <w:fldChar w:fldCharType="separate"/>
      </w:r>
      <w:r w:rsidRPr="00307D1E" w:rsidR="00307D1E">
        <w:rPr>
          <w:noProof/>
        </w:rPr>
        <w:t>27</w:t>
      </w:r>
      <w:r w:rsidRPr="00307D1E">
        <w:fldChar w:fldCharType="end"/>
      </w:r>
      <w:r w:rsidRPr="00307D1E">
        <w:t>.  </w:t>
      </w:r>
      <w:r w:rsidRPr="00307D1E" w:rsidR="007158FC">
        <w:t>In addition to t</w:t>
      </w:r>
      <w:r w:rsidRPr="00307D1E" w:rsidR="00402B23">
        <w:t>he above finding, t</w:t>
      </w:r>
      <w:r w:rsidRPr="00307D1E" w:rsidR="00F64A01">
        <w:t>he Court</w:t>
      </w:r>
      <w:r w:rsidRPr="00307D1E">
        <w:t xml:space="preserve"> </w:t>
      </w:r>
      <w:r w:rsidRPr="00307D1E" w:rsidR="006D678D">
        <w:t xml:space="preserve">will </w:t>
      </w:r>
      <w:r w:rsidRPr="00307D1E" w:rsidR="00FD4741">
        <w:t>separately</w:t>
      </w:r>
      <w:r w:rsidRPr="00307D1E" w:rsidR="0079751A">
        <w:t xml:space="preserve"> address the applicant</w:t>
      </w:r>
      <w:r w:rsidRPr="00307D1E" w:rsidR="00307D1E">
        <w:t>’</w:t>
      </w:r>
      <w:r w:rsidRPr="00307D1E" w:rsidR="0079751A">
        <w:t xml:space="preserve">s argument about </w:t>
      </w:r>
      <w:r w:rsidRPr="00307D1E">
        <w:t xml:space="preserve">an </w:t>
      </w:r>
      <w:r w:rsidRPr="00307D1E" w:rsidR="0079751A">
        <w:t xml:space="preserve">excessive award </w:t>
      </w:r>
      <w:r w:rsidRPr="00307D1E">
        <w:t xml:space="preserve">of damages </w:t>
      </w:r>
      <w:r w:rsidRPr="00307D1E" w:rsidR="0079751A">
        <w:t xml:space="preserve">in favour of </w:t>
      </w:r>
      <w:r w:rsidRPr="00307D1E" w:rsidR="00C81DC4">
        <w:t>the Moscow m</w:t>
      </w:r>
      <w:r w:rsidRPr="00307D1E" w:rsidR="0079751A">
        <w:t>ayor</w:t>
      </w:r>
      <w:r w:rsidRPr="00307D1E" w:rsidR="000C45F7">
        <w:t xml:space="preserve">. It reiterates that </w:t>
      </w:r>
      <w:r w:rsidRPr="00307D1E" w:rsidR="0079751A">
        <w:t xml:space="preserve">unpredictably large awards in defamation cases are considered capable of having a chilling effect on the </w:t>
      </w:r>
      <w:r w:rsidRPr="00307D1E" w:rsidR="007836BA">
        <w:t>freedom of expression</w:t>
      </w:r>
      <w:r w:rsidRPr="00307D1E" w:rsidR="0079751A">
        <w:t xml:space="preserve"> and therefore require the most careful scrutiny (see </w:t>
      </w:r>
      <w:r w:rsidRPr="00307D1E" w:rsidR="005F7421">
        <w:t>Bladet Tromsø</w:t>
      </w:r>
      <w:r w:rsidRPr="00307D1E" w:rsidR="005F7421">
        <w:rPr>
          <w:i/>
        </w:rPr>
        <w:t xml:space="preserve"> and Stensaas v. Norway</w:t>
      </w:r>
      <w:r w:rsidRPr="00307D1E" w:rsidR="005F7421">
        <w:t xml:space="preserve"> [GC], no. 21980/93, § </w:t>
      </w:r>
      <w:r w:rsidRPr="00307D1E" w:rsidR="00CB5645">
        <w:t>64</w:t>
      </w:r>
      <w:r w:rsidRPr="00307D1E" w:rsidR="005F7421">
        <w:t>, ECHR 1999</w:t>
      </w:r>
      <w:r w:rsidRPr="00307D1E" w:rsidR="005F7421">
        <w:noBreakHyphen/>
        <w:t>III</w:t>
      </w:r>
      <w:r w:rsidRPr="00307D1E" w:rsidR="007836BA">
        <w:t>, and</w:t>
      </w:r>
      <w:r w:rsidRPr="00307D1E" w:rsidR="007836BA">
        <w:rPr>
          <w:i/>
        </w:rPr>
        <w:t xml:space="preserve"> Kasabova v. Bulgaria</w:t>
      </w:r>
      <w:r w:rsidRPr="00307D1E" w:rsidR="007836BA">
        <w:t>, no. 22385/03, § 71, 19 April 2011</w:t>
      </w:r>
      <w:r w:rsidRPr="00307D1E" w:rsidR="0079751A">
        <w:t xml:space="preserve">). </w:t>
      </w:r>
      <w:r w:rsidRPr="00307D1E">
        <w:t xml:space="preserve">An </w:t>
      </w:r>
      <w:r w:rsidRPr="00307D1E" w:rsidR="0079751A">
        <w:t xml:space="preserve">award of damages must be “necessary in a democratic society” in the sense that it must bear a reasonable relationship of proportionality to the injury to reputation suffered. It falls to the Court to assess whether the compensatory response to a defamation claim was a proportionate one by finding where the appropriate balance lies between the conflicting Convention rights involved. Accordingly, the essential question to be answered is whether, having regard to the size of the award, there were adequate and effective domestic safeguards, at first instance and on appeal, against disproportionate awards which assured a reasonable relationship of proportionality between the award and the injury to reputation (see </w:t>
      </w:r>
      <w:r w:rsidRPr="00307D1E" w:rsidR="0079751A">
        <w:rPr>
          <w:i/>
          <w:szCs w:val="24"/>
        </w:rPr>
        <w:t>Independent News and Media and Independen</w:t>
      </w:r>
      <w:r w:rsidRPr="00307D1E" w:rsidR="00307D1E">
        <w:rPr>
          <w:i/>
          <w:szCs w:val="24"/>
        </w:rPr>
        <w:t>t Newspapers Ireland Limited v. </w:t>
      </w:r>
      <w:r w:rsidRPr="00307D1E" w:rsidR="0079751A">
        <w:rPr>
          <w:i/>
          <w:szCs w:val="24"/>
        </w:rPr>
        <w:t>Ireland</w:t>
      </w:r>
      <w:r w:rsidRPr="00307D1E" w:rsidR="0079751A">
        <w:rPr>
          <w:szCs w:val="24"/>
        </w:rPr>
        <w:t>, no. 55120/00, §§ 110-113, ECHR 2005</w:t>
      </w:r>
      <w:r w:rsidRPr="00307D1E" w:rsidR="0079751A">
        <w:rPr>
          <w:szCs w:val="24"/>
        </w:rPr>
        <w:noBreakHyphen/>
        <w:t xml:space="preserve">V (extracts), </w:t>
      </w:r>
      <w:r w:rsidRPr="00307D1E" w:rsidR="0079751A">
        <w:t xml:space="preserve">and </w:t>
      </w:r>
      <w:r w:rsidRPr="00307D1E" w:rsidR="0079751A">
        <w:rPr>
          <w:i/>
        </w:rPr>
        <w:t>Tolstoy Miloslavsky v. the United Kingdom</w:t>
      </w:r>
      <w:r w:rsidRPr="00307D1E" w:rsidR="0079751A">
        <w:t>,</w:t>
      </w:r>
      <w:r w:rsidRPr="00307D1E" w:rsidR="00307D1E">
        <w:t xml:space="preserve"> 13 July 1995, §§ 48-51, Series </w:t>
      </w:r>
      <w:r w:rsidRPr="00307D1E" w:rsidR="0079751A">
        <w:t>A no. 316</w:t>
      </w:r>
      <w:r w:rsidRPr="00307D1E" w:rsidR="0079751A">
        <w:noBreakHyphen/>
        <w:t>B).</w:t>
      </w:r>
    </w:p>
    <w:p w:rsidRPr="00307D1E" w:rsidR="00F63E1A" w:rsidP="00307D1E" w:rsidRDefault="00C81DC4">
      <w:pPr>
        <w:pStyle w:val="JuPara"/>
      </w:pPr>
      <w:r w:rsidRPr="00307D1E">
        <w:fldChar w:fldCharType="begin"/>
      </w:r>
      <w:r w:rsidRPr="00307D1E">
        <w:instrText xml:space="preserve"> SEQ level0 \*arabic </w:instrText>
      </w:r>
      <w:r w:rsidRPr="00307D1E">
        <w:fldChar w:fldCharType="separate"/>
      </w:r>
      <w:r w:rsidRPr="00307D1E" w:rsidR="00307D1E">
        <w:rPr>
          <w:noProof/>
        </w:rPr>
        <w:t>28</w:t>
      </w:r>
      <w:r w:rsidRPr="00307D1E">
        <w:fldChar w:fldCharType="end"/>
      </w:r>
      <w:r w:rsidRPr="00307D1E">
        <w:t>.  </w:t>
      </w:r>
      <w:r w:rsidRPr="00307D1E" w:rsidR="00A57E7C">
        <w:t xml:space="preserve">The Moscow mayor was awarded the full amount he had claimed in respect of non-pecuniary damage, RUB 500,000 from each of the </w:t>
      </w:r>
      <w:r w:rsidRPr="00307D1E" w:rsidR="00ED4632">
        <w:t xml:space="preserve">two </w:t>
      </w:r>
      <w:r w:rsidRPr="00307D1E" w:rsidR="00A57E7C">
        <w:t xml:space="preserve">defendants which </w:t>
      </w:r>
      <w:r w:rsidRPr="00307D1E" w:rsidR="009D0B04">
        <w:t xml:space="preserve">came to a total of </w:t>
      </w:r>
      <w:r w:rsidRPr="00307D1E" w:rsidR="00A57E7C">
        <w:t xml:space="preserve">approximately EUR </w:t>
      </w:r>
      <w:r w:rsidRPr="00307D1E" w:rsidR="009D0B04">
        <w:t>28</w:t>
      </w:r>
      <w:r w:rsidRPr="00307D1E" w:rsidR="00A57E7C">
        <w:t xml:space="preserve">,000 at the material time. </w:t>
      </w:r>
      <w:r w:rsidRPr="00307D1E" w:rsidR="009728AB">
        <w:t xml:space="preserve">The Court reiterates that awards of that magnitude </w:t>
      </w:r>
      <w:r w:rsidRPr="00307D1E" w:rsidR="00C123B4">
        <w:t xml:space="preserve">will </w:t>
      </w:r>
      <w:r w:rsidRPr="00307D1E" w:rsidR="00C123B4">
        <w:rPr>
          <w:snapToGrid w:val="0"/>
          <w:szCs w:val="24"/>
        </w:rPr>
        <w:t xml:space="preserve">trigger a heightened scrutiny of </w:t>
      </w:r>
      <w:r w:rsidRPr="00307D1E" w:rsidR="00F8082F">
        <w:rPr>
          <w:snapToGrid w:val="0"/>
          <w:szCs w:val="24"/>
        </w:rPr>
        <w:t>their</w:t>
      </w:r>
      <w:r w:rsidRPr="00307D1E" w:rsidR="00C123B4">
        <w:rPr>
          <w:snapToGrid w:val="0"/>
          <w:szCs w:val="24"/>
        </w:rPr>
        <w:t xml:space="preserve"> proportionality</w:t>
      </w:r>
      <w:r w:rsidRPr="00307D1E" w:rsidR="009728AB">
        <w:t xml:space="preserve"> (see </w:t>
      </w:r>
      <w:r w:rsidRPr="00307D1E" w:rsidR="009728AB">
        <w:rPr>
          <w:i/>
        </w:rPr>
        <w:t>Pakdemirli v. Turkey</w:t>
      </w:r>
      <w:r w:rsidRPr="00307D1E" w:rsidR="00F63E1A">
        <w:t>, no. </w:t>
      </w:r>
      <w:r w:rsidRPr="00307D1E" w:rsidR="009728AB">
        <w:t>35839/97, § 59, 22 February 2005</w:t>
      </w:r>
      <w:r w:rsidRPr="00307D1E" w:rsidR="00753210">
        <w:t xml:space="preserve">, and </w:t>
      </w:r>
      <w:r w:rsidRPr="00307D1E" w:rsidR="00753210">
        <w:rPr>
          <w:i/>
        </w:rPr>
        <w:t>Gouveia Gomes Fernandes and Freitas e Costa v. Portugal</w:t>
      </w:r>
      <w:r w:rsidRPr="00307D1E" w:rsidR="00753210">
        <w:t>, no. 1529/08</w:t>
      </w:r>
      <w:r w:rsidRPr="00307D1E" w:rsidR="00753210">
        <w:rPr>
          <w:snapToGrid w:val="0"/>
          <w:szCs w:val="24"/>
        </w:rPr>
        <w:t xml:space="preserve">, § 54, </w:t>
      </w:r>
      <w:r w:rsidRPr="00307D1E" w:rsidR="00753210">
        <w:rPr>
          <w:szCs w:val="24"/>
        </w:rPr>
        <w:t>29 </w:t>
      </w:r>
      <w:r w:rsidRPr="00307D1E" w:rsidR="00753210">
        <w:rPr>
          <w:snapToGrid w:val="0"/>
          <w:szCs w:val="24"/>
        </w:rPr>
        <w:t>March 2011</w:t>
      </w:r>
      <w:r w:rsidRPr="00307D1E" w:rsidR="009728AB">
        <w:t xml:space="preserve">). </w:t>
      </w:r>
      <w:r w:rsidRPr="00307D1E" w:rsidR="009B5033">
        <w:t xml:space="preserve">That award was unusually high in absolute terms but also much higher in relation to awards in </w:t>
      </w:r>
      <w:r w:rsidRPr="00307D1E" w:rsidR="00091C1F">
        <w:t>comparable</w:t>
      </w:r>
      <w:r w:rsidRPr="00307D1E" w:rsidR="009B5033">
        <w:t xml:space="preserve"> defamation cases that have come before the Court (see, for example, </w:t>
      </w:r>
      <w:r w:rsidRPr="00307D1E" w:rsidR="00EE2BEE">
        <w:rPr>
          <w:i/>
        </w:rPr>
        <w:t>Grinberg v. Russia</w:t>
      </w:r>
      <w:r w:rsidRPr="00307D1E" w:rsidR="00EE2BEE">
        <w:t>, no. 234</w:t>
      </w:r>
      <w:r w:rsidRPr="00307D1E" w:rsidR="00307D1E">
        <w:t>72/03, § 12, 21 July 2005 – RUB </w:t>
      </w:r>
      <w:r w:rsidRPr="00307D1E" w:rsidR="00EE2BEE">
        <w:t>2,500 to the Governor of the Ulyanovsk Region out of t</w:t>
      </w:r>
      <w:r w:rsidRPr="00307D1E" w:rsidR="00F63E1A">
        <w:t>he RUB </w:t>
      </w:r>
      <w:r w:rsidRPr="00307D1E" w:rsidR="00EE2BEE">
        <w:t xml:space="preserve">500,000 he had claimed; </w:t>
      </w:r>
      <w:r w:rsidRPr="00307D1E" w:rsidR="00131E7F">
        <w:rPr>
          <w:i/>
        </w:rPr>
        <w:t>Fedchenko v. Russia</w:t>
      </w:r>
      <w:r w:rsidRPr="00307D1E" w:rsidR="00131E7F">
        <w:t>, no. 33333/04</w:t>
      </w:r>
      <w:r w:rsidRPr="00307D1E" w:rsidR="00307D1E">
        <w:rPr>
          <w:snapToGrid w:val="0"/>
        </w:rPr>
        <w:t>, § </w:t>
      </w:r>
      <w:r w:rsidRPr="00307D1E" w:rsidR="00131E7F">
        <w:rPr>
          <w:snapToGrid w:val="0"/>
        </w:rPr>
        <w:t xml:space="preserve">15, 11 February 2010 – RUB 5,000 to a member of Parliament </w:t>
      </w:r>
      <w:r w:rsidRPr="00307D1E" w:rsidR="00131E7F">
        <w:t>out of the RUB 500,000 he had claimed;</w:t>
      </w:r>
      <w:r w:rsidRPr="00307D1E" w:rsidR="00131E7F">
        <w:rPr>
          <w:i/>
        </w:rPr>
        <w:t xml:space="preserve"> Novaya Gazeta</w:t>
      </w:r>
      <w:r w:rsidRPr="00307D1E" w:rsidR="00131E7F">
        <w:t xml:space="preserve"> </w:t>
      </w:r>
      <w:r w:rsidRPr="00307D1E" w:rsidR="00131E7F">
        <w:rPr>
          <w:i/>
        </w:rPr>
        <w:t>and Borodyanskiy v. Russia</w:t>
      </w:r>
      <w:r w:rsidRPr="00307D1E" w:rsidR="00307D1E">
        <w:t>, no. </w:t>
      </w:r>
      <w:r w:rsidRPr="00307D1E" w:rsidR="00131E7F">
        <w:t>14087/08</w:t>
      </w:r>
      <w:r w:rsidRPr="00307D1E" w:rsidR="00131E7F">
        <w:rPr>
          <w:snapToGrid w:val="0"/>
        </w:rPr>
        <w:t xml:space="preserve">, § 15, 28 March 2013 – RUB 60,000 to the Governor of Omsk </w:t>
      </w:r>
      <w:r w:rsidRPr="00307D1E" w:rsidR="00131E7F">
        <w:t>out of the RUB 500,000 he had claimed</w:t>
      </w:r>
      <w:r w:rsidRPr="00307D1E" w:rsidR="00091C1F">
        <w:t>)</w:t>
      </w:r>
      <w:r w:rsidRPr="00307D1E" w:rsidR="00EE2BEE">
        <w:t xml:space="preserve">. </w:t>
      </w:r>
      <w:r w:rsidRPr="00307D1E" w:rsidR="00ED4632">
        <w:t xml:space="preserve">The Government were able to identify only </w:t>
      </w:r>
      <w:r w:rsidRPr="00307D1E" w:rsidR="002124C6">
        <w:t>five</w:t>
      </w:r>
      <w:r w:rsidRPr="00307D1E" w:rsidR="00ED4632">
        <w:t xml:space="preserve"> cases over a ten-year period in which comparable or higher awards had been made. </w:t>
      </w:r>
      <w:r w:rsidRPr="00307D1E" w:rsidR="001C4F6A">
        <w:t>By contrast, in the three-year period from 2007 to 2010, the Moscow mayor was granted the full amount he had claim</w:t>
      </w:r>
      <w:r w:rsidRPr="00307D1E" w:rsidR="00576F4C">
        <w:t>ed</w:t>
      </w:r>
      <w:r w:rsidRPr="00307D1E" w:rsidR="001C4F6A">
        <w:t xml:space="preserve"> in at least two </w:t>
      </w:r>
      <w:r w:rsidRPr="00307D1E" w:rsidR="00576F4C">
        <w:t>other</w:t>
      </w:r>
      <w:r w:rsidRPr="00307D1E" w:rsidR="001C4F6A">
        <w:t xml:space="preserve"> cases (see paragraph</w:t>
      </w:r>
      <w:r w:rsidRPr="00307D1E" w:rsidR="00576F4C">
        <w:t>s</w:t>
      </w:r>
      <w:r w:rsidRPr="00307D1E" w:rsidR="001C4F6A">
        <w:t xml:space="preserve"> </w:t>
      </w:r>
      <w:r w:rsidRPr="00307D1E" w:rsidR="001C4F6A">
        <w:fldChar w:fldCharType="begin"/>
      </w:r>
      <w:r w:rsidRPr="00307D1E" w:rsidR="001C4F6A">
        <w:instrText xml:space="preserve"> REF defclaims \h </w:instrText>
      </w:r>
      <w:r w:rsidRPr="00307D1E" w:rsidR="001C4F6A">
        <w:fldChar w:fldCharType="separate"/>
      </w:r>
      <w:r w:rsidRPr="00307D1E" w:rsidR="00307D1E">
        <w:rPr>
          <w:noProof/>
        </w:rPr>
        <w:t>16</w:t>
      </w:r>
      <w:r w:rsidRPr="00307D1E" w:rsidR="001C4F6A">
        <w:fldChar w:fldCharType="end"/>
      </w:r>
      <w:r w:rsidRPr="00307D1E" w:rsidR="001C4F6A">
        <w:t xml:space="preserve"> </w:t>
      </w:r>
      <w:r w:rsidRPr="00307D1E" w:rsidR="00576F4C">
        <w:t xml:space="preserve">and </w:t>
      </w:r>
      <w:r w:rsidRPr="00307D1E" w:rsidR="00576F4C">
        <w:fldChar w:fldCharType="begin"/>
      </w:r>
      <w:r w:rsidRPr="00307D1E" w:rsidR="00576F4C">
        <w:instrText xml:space="preserve"> REF comparableawards \h </w:instrText>
      </w:r>
      <w:r w:rsidRPr="00307D1E" w:rsidR="00576F4C">
        <w:fldChar w:fldCharType="separate"/>
      </w:r>
      <w:r w:rsidRPr="00307D1E" w:rsidR="00307D1E">
        <w:rPr>
          <w:noProof/>
        </w:rPr>
        <w:t>17</w:t>
      </w:r>
      <w:r w:rsidRPr="00307D1E" w:rsidR="00576F4C">
        <w:fldChar w:fldCharType="end"/>
      </w:r>
      <w:r w:rsidRPr="00307D1E" w:rsidR="00576F4C">
        <w:t xml:space="preserve"> </w:t>
      </w:r>
      <w:r w:rsidRPr="00307D1E" w:rsidR="001C4F6A">
        <w:t>above).</w:t>
      </w:r>
    </w:p>
    <w:p w:rsidRPr="00307D1E" w:rsidR="00725FDC" w:rsidP="00307D1E" w:rsidRDefault="00C93A8B">
      <w:pPr>
        <w:pStyle w:val="JuPara"/>
        <w:rPr>
          <w:szCs w:val="24"/>
        </w:rPr>
      </w:pPr>
      <w:r w:rsidRPr="00307D1E">
        <w:fldChar w:fldCharType="begin"/>
      </w:r>
      <w:r w:rsidRPr="00307D1E">
        <w:instrText xml:space="preserve"> SEQ level0 \*arabic </w:instrText>
      </w:r>
      <w:r w:rsidRPr="00307D1E">
        <w:fldChar w:fldCharType="separate"/>
      </w:r>
      <w:r w:rsidRPr="00307D1E" w:rsidR="00307D1E">
        <w:rPr>
          <w:noProof/>
        </w:rPr>
        <w:t>29</w:t>
      </w:r>
      <w:r w:rsidRPr="00307D1E">
        <w:fldChar w:fldCharType="end"/>
      </w:r>
      <w:r w:rsidRPr="00307D1E">
        <w:t>.  </w:t>
      </w:r>
      <w:r w:rsidRPr="00307D1E" w:rsidR="00797492">
        <w:t xml:space="preserve">The Court further notes that, when making the pecuniary award against the applicant, the </w:t>
      </w:r>
      <w:r w:rsidRPr="00307D1E" w:rsidR="00753210">
        <w:t>District Court</w:t>
      </w:r>
      <w:r w:rsidRPr="00307D1E" w:rsidR="00797492">
        <w:t xml:space="preserve"> failed to provide any reasons to justify the granting of the full amount sought </w:t>
      </w:r>
      <w:r w:rsidRPr="00307D1E" w:rsidR="00753210">
        <w:t>by</w:t>
      </w:r>
      <w:r w:rsidRPr="00307D1E" w:rsidR="00797492">
        <w:t xml:space="preserve"> the Moscow mayor or to carry out a serious assessment of proportionality (compare </w:t>
      </w:r>
      <w:r w:rsidRPr="00307D1E" w:rsidR="00F63E1A">
        <w:rPr>
          <w:i/>
          <w:szCs w:val="24"/>
        </w:rPr>
        <w:t>Kwiecień v. </w:t>
      </w:r>
      <w:r w:rsidRPr="00307D1E" w:rsidR="00797492">
        <w:rPr>
          <w:i/>
          <w:szCs w:val="24"/>
        </w:rPr>
        <w:t>Poland</w:t>
      </w:r>
      <w:r w:rsidRPr="00307D1E" w:rsidR="00797492">
        <w:rPr>
          <w:szCs w:val="24"/>
        </w:rPr>
        <w:t>, no. 51744/99, § 56, 9 January 2007).</w:t>
      </w:r>
      <w:r w:rsidRPr="00307D1E" w:rsidR="00753210">
        <w:rPr>
          <w:szCs w:val="24"/>
        </w:rPr>
        <w:t xml:space="preserve"> It held the applicant responsible for the failure to produce his statement of income but did not adjourn the proceedings to obtain documents relating to his financial situation. </w:t>
      </w:r>
      <w:r w:rsidRPr="00307D1E" w:rsidR="00BD1305">
        <w:rPr>
          <w:szCs w:val="24"/>
        </w:rPr>
        <w:t xml:space="preserve">In any event, even though the other defendant, the radio station, </w:t>
      </w:r>
      <w:r w:rsidRPr="00307D1E" w:rsidR="0049549F">
        <w:rPr>
          <w:szCs w:val="24"/>
        </w:rPr>
        <w:t>did submit a statement of account</w:t>
      </w:r>
      <w:r w:rsidRPr="00307D1E" w:rsidR="008108E4">
        <w:rPr>
          <w:szCs w:val="24"/>
        </w:rPr>
        <w:t>s</w:t>
      </w:r>
      <w:r w:rsidRPr="00307D1E" w:rsidR="0049549F">
        <w:rPr>
          <w:szCs w:val="24"/>
        </w:rPr>
        <w:t>, that did not prevent the District Court from making an award exceeding the amount of available funds by a factor of ten.</w:t>
      </w:r>
    </w:p>
    <w:p w:rsidRPr="00307D1E" w:rsidR="00831496" w:rsidP="00307D1E" w:rsidRDefault="00864F31">
      <w:pPr>
        <w:pStyle w:val="JuPara"/>
        <w:rPr>
          <w:lang w:val="pt-PT"/>
        </w:rPr>
      </w:pPr>
      <w:r w:rsidRPr="00307D1E">
        <w:rPr>
          <w:szCs w:val="24"/>
        </w:rPr>
        <w:fldChar w:fldCharType="begin"/>
      </w:r>
      <w:r w:rsidRPr="00307D1E">
        <w:rPr>
          <w:szCs w:val="24"/>
        </w:rPr>
        <w:instrText xml:space="preserve"> SEQ level0 \*arabic </w:instrText>
      </w:r>
      <w:r w:rsidRPr="00307D1E">
        <w:rPr>
          <w:szCs w:val="24"/>
        </w:rPr>
        <w:fldChar w:fldCharType="separate"/>
      </w:r>
      <w:r w:rsidRPr="00307D1E" w:rsidR="00307D1E">
        <w:rPr>
          <w:noProof/>
          <w:szCs w:val="24"/>
        </w:rPr>
        <w:t>30</w:t>
      </w:r>
      <w:r w:rsidRPr="00307D1E">
        <w:rPr>
          <w:szCs w:val="24"/>
        </w:rPr>
        <w:fldChar w:fldCharType="end"/>
      </w:r>
      <w:r w:rsidRPr="00307D1E">
        <w:rPr>
          <w:szCs w:val="24"/>
        </w:rPr>
        <w:t>.  </w:t>
      </w:r>
      <w:r w:rsidRPr="00307D1E" w:rsidR="00831496">
        <w:t>The Court also disagrees with the City Court</w:t>
      </w:r>
      <w:r w:rsidRPr="00307D1E" w:rsidR="00307D1E">
        <w:t>’</w:t>
      </w:r>
      <w:r w:rsidRPr="00307D1E" w:rsidR="00831496">
        <w:t xml:space="preserve">s assessment that the suffering of the elected head of the executive had a much greater value than that of an ordinary citizen. This finding is incompatible with the Convention-compliant approach which establishes that prominent political figures, such as the Moscow mayor, should be prepared to </w:t>
      </w:r>
      <w:r w:rsidRPr="00307D1E" w:rsidR="00436CCE">
        <w:t>accept</w:t>
      </w:r>
      <w:r w:rsidRPr="00307D1E" w:rsidR="00831496">
        <w:t xml:space="preserve"> strongly worded criticism and may not claim the same level of protection as a private individual unknown to the public, especially when the statement did not concern their private life or intrude on their intimacy (see </w:t>
      </w:r>
      <w:r w:rsidRPr="00307D1E" w:rsidR="00831496">
        <w:rPr>
          <w:i/>
          <w:lang w:val="it-IT"/>
        </w:rPr>
        <w:t>Couderc and Hachette Filipacchi Associés</w:t>
      </w:r>
      <w:r w:rsidRPr="00307D1E" w:rsidR="00831496">
        <w:rPr>
          <w:lang w:val="it-IT"/>
        </w:rPr>
        <w:t xml:space="preserve"> </w:t>
      </w:r>
      <w:r w:rsidRPr="00307D1E" w:rsidR="00831496">
        <w:rPr>
          <w:i/>
          <w:lang w:val="it-IT"/>
        </w:rPr>
        <w:t xml:space="preserve">v. France </w:t>
      </w:r>
      <w:r w:rsidRPr="00307D1E" w:rsidR="00831496">
        <w:rPr>
          <w:lang w:val="it-IT"/>
        </w:rPr>
        <w:t>[GC], no. 40454/07, §§ 84 and 123, ECHR 2015 (extracts)</w:t>
      </w:r>
      <w:r w:rsidRPr="00307D1E" w:rsidR="00831496">
        <w:t xml:space="preserve">). In these circumstances, the Court finds that a high award of damages to the Moscow mayor did not pursue a “pressing social need” (compare </w:t>
      </w:r>
      <w:r w:rsidRPr="00307D1E" w:rsidR="00831496">
        <w:rPr>
          <w:i/>
        </w:rPr>
        <w:t>I Avgi Publishing and</w:t>
      </w:r>
      <w:r w:rsidRPr="00307D1E" w:rsidR="00F63E1A">
        <w:rPr>
          <w:i/>
        </w:rPr>
        <w:t xml:space="preserve"> Press Agency S.A. and Karis v. </w:t>
      </w:r>
      <w:r w:rsidRPr="00307D1E" w:rsidR="00831496">
        <w:rPr>
          <w:i/>
        </w:rPr>
        <w:t>Greece</w:t>
      </w:r>
      <w:r w:rsidRPr="00307D1E" w:rsidR="00831496">
        <w:t>, no. 15909/06, § 35, 5 June 2008).</w:t>
      </w:r>
    </w:p>
    <w:p w:rsidRPr="00307D1E" w:rsidR="00F63E1A" w:rsidP="00307D1E" w:rsidRDefault="00831496">
      <w:pPr>
        <w:pStyle w:val="JuPara"/>
      </w:pPr>
      <w:r w:rsidRPr="00307D1E">
        <w:fldChar w:fldCharType="begin"/>
      </w:r>
      <w:r w:rsidRPr="00307D1E">
        <w:instrText xml:space="preserve"> SEQ level0 \*arabic </w:instrText>
      </w:r>
      <w:r w:rsidRPr="00307D1E">
        <w:fldChar w:fldCharType="separate"/>
      </w:r>
      <w:r w:rsidRPr="00307D1E" w:rsidR="00307D1E">
        <w:rPr>
          <w:noProof/>
        </w:rPr>
        <w:t>31</w:t>
      </w:r>
      <w:r w:rsidRPr="00307D1E">
        <w:fldChar w:fldCharType="end"/>
      </w:r>
      <w:r w:rsidRPr="00307D1E">
        <w:t>.  </w:t>
      </w:r>
      <w:r w:rsidRPr="00307D1E" w:rsidR="00C64063">
        <w:t>Finally, as regards the impact of such an award on the applicant, t</w:t>
      </w:r>
      <w:r w:rsidRPr="00307D1E" w:rsidR="00C5146E">
        <w:t xml:space="preserve">he evidence shows that he struggled to pay it in full </w:t>
      </w:r>
      <w:r w:rsidRPr="00307D1E" w:rsidR="00E91A18">
        <w:t>because it represented his many years</w:t>
      </w:r>
      <w:r w:rsidRPr="00307D1E" w:rsidR="00307D1E">
        <w:t>’</w:t>
      </w:r>
      <w:r w:rsidRPr="00307D1E" w:rsidR="00E91A18">
        <w:t xml:space="preserve"> income </w:t>
      </w:r>
      <w:r w:rsidRPr="00307D1E" w:rsidR="00C5146E">
        <w:t>(</w:t>
      </w:r>
      <w:r w:rsidRPr="00307D1E" w:rsidR="007836BA">
        <w:t>compare</w:t>
      </w:r>
      <w:r w:rsidRPr="00307D1E" w:rsidR="00C5146E">
        <w:t xml:space="preserve"> </w:t>
      </w:r>
      <w:r w:rsidRPr="00307D1E" w:rsidR="007836BA">
        <w:rPr>
          <w:i/>
        </w:rPr>
        <w:t>Kasabova</w:t>
      </w:r>
      <w:r w:rsidRPr="00307D1E" w:rsidR="007836BA">
        <w:t xml:space="preserve">, </w:t>
      </w:r>
      <w:r w:rsidRPr="00307D1E" w:rsidR="00AF3150">
        <w:t xml:space="preserve">cited above, </w:t>
      </w:r>
      <w:r w:rsidRPr="00307D1E" w:rsidR="007836BA">
        <w:t>§ 71</w:t>
      </w:r>
      <w:r w:rsidRPr="00307D1E" w:rsidR="00E91A18">
        <w:t xml:space="preserve">, and </w:t>
      </w:r>
      <w:r w:rsidRPr="00307D1E" w:rsidR="00F63E1A">
        <w:rPr>
          <w:i/>
        </w:rPr>
        <w:t>Tešić v. </w:t>
      </w:r>
      <w:r w:rsidRPr="00307D1E" w:rsidR="00820512">
        <w:rPr>
          <w:i/>
        </w:rPr>
        <w:t>Serbia</w:t>
      </w:r>
      <w:r w:rsidRPr="00307D1E" w:rsidR="00820512">
        <w:t>, nos. 4678/07 and 50591/12</w:t>
      </w:r>
      <w:r w:rsidRPr="00307D1E" w:rsidR="00820512">
        <w:rPr>
          <w:snapToGrid w:val="0"/>
        </w:rPr>
        <w:t>, § 65, 11 February 2014</w:t>
      </w:r>
      <w:r w:rsidRPr="00307D1E" w:rsidR="00C5146E">
        <w:t>).</w:t>
      </w:r>
      <w:r w:rsidRPr="00307D1E" w:rsidR="007836BA">
        <w:t xml:space="preserve"> The courts denied his request to pay by instalments which resulted in a </w:t>
      </w:r>
      <w:r w:rsidRPr="00307D1E" w:rsidR="00C64063">
        <w:t xml:space="preserve">further </w:t>
      </w:r>
      <w:r w:rsidRPr="00307D1E" w:rsidR="007836BA">
        <w:t>punitive sanction being imposed on him in the form of a permanent restriction on his right to leave Russia.</w:t>
      </w:r>
      <w:r w:rsidRPr="00307D1E" w:rsidR="00820512">
        <w:t xml:space="preserve"> The severity of that additional sanction which must have considerably disrupted the applicant</w:t>
      </w:r>
      <w:r w:rsidRPr="00307D1E" w:rsidR="00307D1E">
        <w:t>’</w:t>
      </w:r>
      <w:r w:rsidRPr="00307D1E" w:rsidR="00820512">
        <w:t>s life further reinforces the Court</w:t>
      </w:r>
      <w:r w:rsidRPr="00307D1E" w:rsidR="00307D1E">
        <w:t>’</w:t>
      </w:r>
      <w:r w:rsidRPr="00307D1E" w:rsidR="00820512">
        <w:t>s view that the award of damages in the present case was disproportionate to the legitimate aim pursued and not “necessary in a democratic society”.</w:t>
      </w:r>
    </w:p>
    <w:p w:rsidRPr="00307D1E" w:rsidR="00907883" w:rsidP="00307D1E" w:rsidRDefault="00820512">
      <w:pPr>
        <w:pStyle w:val="JuPara"/>
      </w:pPr>
      <w:r w:rsidRPr="00307D1E">
        <w:fldChar w:fldCharType="begin"/>
      </w:r>
      <w:r w:rsidRPr="00307D1E">
        <w:instrText xml:space="preserve"> SEQ level0 \*arabic </w:instrText>
      </w:r>
      <w:r w:rsidRPr="00307D1E">
        <w:fldChar w:fldCharType="separate"/>
      </w:r>
      <w:r w:rsidRPr="00307D1E" w:rsidR="00307D1E">
        <w:rPr>
          <w:noProof/>
        </w:rPr>
        <w:t>32</w:t>
      </w:r>
      <w:r w:rsidRPr="00307D1E">
        <w:fldChar w:fldCharType="end"/>
      </w:r>
      <w:r w:rsidRPr="00307D1E">
        <w:t>.  </w:t>
      </w:r>
      <w:r w:rsidRPr="00307D1E" w:rsidR="00907883">
        <w:t>Having regard to the Moscow courts</w:t>
      </w:r>
      <w:r w:rsidRPr="00307D1E" w:rsidR="00307D1E">
        <w:t>’</w:t>
      </w:r>
      <w:r w:rsidRPr="00307D1E" w:rsidR="00907883">
        <w:t xml:space="preserve"> failure to apply the principles embodied in Article 10 </w:t>
      </w:r>
      <w:r w:rsidRPr="00307D1E" w:rsidR="003B2A2C">
        <w:t xml:space="preserve">of the Convention </w:t>
      </w:r>
      <w:r w:rsidRPr="00307D1E" w:rsidR="00907883">
        <w:t xml:space="preserve">and the excessive amount of the award, the Court finds a violation of </w:t>
      </w:r>
      <w:r w:rsidRPr="00307D1E" w:rsidR="003B2A2C">
        <w:t>that provision</w:t>
      </w:r>
      <w:r w:rsidRPr="00307D1E" w:rsidR="00907883">
        <w:t>.</w:t>
      </w:r>
    </w:p>
    <w:p w:rsidRPr="00307D1E" w:rsidR="0079751A" w:rsidP="00307D1E" w:rsidRDefault="0079751A">
      <w:pPr>
        <w:pStyle w:val="JuHIRoman"/>
      </w:pPr>
      <w:r w:rsidRPr="00307D1E">
        <w:t>OTHER ALLEGED VIOLATIONS OF THE CONVENTION</w:t>
      </w:r>
    </w:p>
    <w:p w:rsidRPr="00307D1E" w:rsidR="00427A23" w:rsidP="00307D1E" w:rsidRDefault="00427A23">
      <w:pPr>
        <w:pStyle w:val="JuPara"/>
      </w:pPr>
      <w:r w:rsidRPr="00307D1E">
        <w:fldChar w:fldCharType="begin"/>
      </w:r>
      <w:r w:rsidRPr="00307D1E">
        <w:instrText xml:space="preserve"> SEQ level0 \*arabic </w:instrText>
      </w:r>
      <w:r w:rsidRPr="00307D1E">
        <w:fldChar w:fldCharType="separate"/>
      </w:r>
      <w:r w:rsidRPr="00307D1E" w:rsidR="00307D1E">
        <w:rPr>
          <w:noProof/>
        </w:rPr>
        <w:t>33</w:t>
      </w:r>
      <w:r w:rsidRPr="00307D1E">
        <w:fldChar w:fldCharType="end"/>
      </w:r>
      <w:r w:rsidRPr="00307D1E">
        <w:t>.  The applicant also complained under Article 6 of the Convention that the domestic courts had misrepresented the statements by the expert in linguistics and had not carried out an adequate assessment of the damage caused to the mayor which had resulted in an excessive award.</w:t>
      </w:r>
    </w:p>
    <w:p w:rsidRPr="00307D1E" w:rsidR="00E81DD9" w:rsidP="00307D1E" w:rsidRDefault="003C5172">
      <w:pPr>
        <w:pStyle w:val="JuPara"/>
      </w:pPr>
      <w:r w:rsidRPr="00307D1E">
        <w:fldChar w:fldCharType="begin"/>
      </w:r>
      <w:r w:rsidRPr="00307D1E">
        <w:instrText xml:space="preserve"> SEQ level0 \*arabic </w:instrText>
      </w:r>
      <w:r w:rsidRPr="00307D1E">
        <w:fldChar w:fldCharType="separate"/>
      </w:r>
      <w:r w:rsidRPr="00307D1E" w:rsidR="00307D1E">
        <w:rPr>
          <w:noProof/>
        </w:rPr>
        <w:t>34</w:t>
      </w:r>
      <w:r w:rsidRPr="00307D1E">
        <w:fldChar w:fldCharType="end"/>
      </w:r>
      <w:r w:rsidRPr="00307D1E">
        <w:t xml:space="preserve">.  Having regard to the facts of the case and its finding of a violation of Article 10, the Court considers that it has examined the main legal question raised in the present application. It therefore concludes that it is not necessary to examine the admissibility or merits of the above-mentioned complaints (see, for example, </w:t>
      </w:r>
      <w:r w:rsidRPr="00307D1E" w:rsidR="0060698F">
        <w:rPr>
          <w:i/>
        </w:rPr>
        <w:t>Pakdemirli</w:t>
      </w:r>
      <w:r w:rsidRPr="00307D1E" w:rsidR="0060698F">
        <w:t xml:space="preserve">, </w:t>
      </w:r>
      <w:r w:rsidRPr="00307D1E" w:rsidR="00E71743">
        <w:t xml:space="preserve">cited above, </w:t>
      </w:r>
      <w:r w:rsidRPr="00307D1E" w:rsidR="0060698F">
        <w:t>§ 63</w:t>
      </w:r>
      <w:r w:rsidRPr="00307D1E">
        <w:t xml:space="preserve">, and </w:t>
      </w:r>
      <w:r w:rsidRPr="00307D1E" w:rsidR="004713A0">
        <w:rPr>
          <w:i/>
        </w:rPr>
        <w:t>Mustafa Erdoğan</w:t>
      </w:r>
      <w:r w:rsidRPr="00307D1E" w:rsidR="004713A0">
        <w:t xml:space="preserve"> </w:t>
      </w:r>
      <w:r w:rsidRPr="00307D1E" w:rsidR="004713A0">
        <w:rPr>
          <w:i/>
        </w:rPr>
        <w:t>and Others v. Turkey</w:t>
      </w:r>
      <w:r w:rsidRPr="00307D1E" w:rsidR="004713A0">
        <w:rPr>
          <w:snapToGrid w:val="0"/>
        </w:rPr>
        <w:t xml:space="preserve">, </w:t>
      </w:r>
      <w:r w:rsidRPr="00307D1E" w:rsidR="004713A0">
        <w:t>nos. 346/04 and 39779/04</w:t>
      </w:r>
      <w:r w:rsidRPr="00307D1E" w:rsidR="004713A0">
        <w:rPr>
          <w:snapToGrid w:val="0"/>
        </w:rPr>
        <w:t>, § 48, 2</w:t>
      </w:r>
      <w:r w:rsidRPr="00307D1E" w:rsidR="004713A0">
        <w:t>7</w:t>
      </w:r>
      <w:r w:rsidRPr="00307D1E" w:rsidR="00307D1E">
        <w:rPr>
          <w:snapToGrid w:val="0"/>
        </w:rPr>
        <w:t> </w:t>
      </w:r>
      <w:r w:rsidRPr="00307D1E" w:rsidR="004713A0">
        <w:rPr>
          <w:snapToGrid w:val="0"/>
        </w:rPr>
        <w:t>May 2014</w:t>
      </w:r>
      <w:r w:rsidRPr="00307D1E">
        <w:t>).</w:t>
      </w:r>
    </w:p>
    <w:p w:rsidRPr="00307D1E" w:rsidR="00D420F3" w:rsidP="00307D1E" w:rsidRDefault="0077175D">
      <w:pPr>
        <w:pStyle w:val="JuHIRoman"/>
      </w:pPr>
      <w:r w:rsidRPr="00307D1E">
        <w:t>APPLICATION OF ARTICLE 41 OF THE CONVENTION</w:t>
      </w:r>
    </w:p>
    <w:p w:rsidRPr="00307D1E" w:rsidR="00D420F3" w:rsidP="00307D1E" w:rsidRDefault="00132E5B">
      <w:pPr>
        <w:pStyle w:val="JuPara"/>
      </w:pPr>
      <w:r w:rsidRPr="00307D1E">
        <w:fldChar w:fldCharType="begin"/>
      </w:r>
      <w:r w:rsidRPr="00307D1E">
        <w:instrText xml:space="preserve"> SEQ level0 \*arabic </w:instrText>
      </w:r>
      <w:r w:rsidRPr="00307D1E">
        <w:fldChar w:fldCharType="separate"/>
      </w:r>
      <w:r w:rsidRPr="00307D1E" w:rsidR="00307D1E">
        <w:rPr>
          <w:noProof/>
        </w:rPr>
        <w:t>35</w:t>
      </w:r>
      <w:r w:rsidRPr="00307D1E">
        <w:fldChar w:fldCharType="end"/>
      </w:r>
      <w:r w:rsidRPr="00307D1E" w:rsidR="0077175D">
        <w:t>.  Article 41 of the Convention provides:</w:t>
      </w:r>
    </w:p>
    <w:p w:rsidRPr="00307D1E" w:rsidR="00D420F3" w:rsidP="00307D1E" w:rsidRDefault="0077175D">
      <w:pPr>
        <w:pStyle w:val="JuQuot"/>
        <w:keepNext/>
        <w:keepLines/>
      </w:pPr>
      <w:r w:rsidRPr="00307D1E">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307D1E" w:rsidR="0079751A" w:rsidP="00307D1E" w:rsidRDefault="00C90088">
      <w:pPr>
        <w:pStyle w:val="JuPara"/>
      </w:pPr>
      <w:r w:rsidRPr="00307D1E">
        <w:fldChar w:fldCharType="begin"/>
      </w:r>
      <w:r w:rsidRPr="00307D1E">
        <w:instrText xml:space="preserve"> SEQ level0 \*arabic </w:instrText>
      </w:r>
      <w:r w:rsidRPr="00307D1E">
        <w:fldChar w:fldCharType="separate"/>
      </w:r>
      <w:r w:rsidRPr="00307D1E" w:rsidR="00307D1E">
        <w:rPr>
          <w:noProof/>
        </w:rPr>
        <w:t>36</w:t>
      </w:r>
      <w:r w:rsidRPr="00307D1E">
        <w:rPr>
          <w:noProof/>
        </w:rPr>
        <w:fldChar w:fldCharType="end"/>
      </w:r>
      <w:r w:rsidRPr="00307D1E" w:rsidR="0079751A">
        <w:t>.  </w:t>
      </w:r>
      <w:r w:rsidRPr="00307D1E" w:rsidR="00590A84">
        <w:t xml:space="preserve">The applicant claimed, in respect of pecuniary damage, the amount </w:t>
      </w:r>
      <w:r w:rsidRPr="00307D1E" w:rsidR="0079751A">
        <w:t xml:space="preserve">payable under the impugned </w:t>
      </w:r>
      <w:r w:rsidRPr="00307D1E" w:rsidR="00590A84">
        <w:t xml:space="preserve">judgment, </w:t>
      </w:r>
      <w:r w:rsidRPr="00307D1E" w:rsidR="00F6278D">
        <w:t xml:space="preserve">which was equivalent to </w:t>
      </w:r>
      <w:r w:rsidRPr="00307D1E" w:rsidR="00F63E1A">
        <w:t>11,700 </w:t>
      </w:r>
      <w:r w:rsidRPr="00307D1E" w:rsidR="0079751A">
        <w:t xml:space="preserve">euros (EUR) on the date of submission of claims, </w:t>
      </w:r>
      <w:r w:rsidRPr="00307D1E" w:rsidR="00590A84">
        <w:t xml:space="preserve">and an additional amount of </w:t>
      </w:r>
      <w:r w:rsidRPr="00307D1E" w:rsidR="0079751A">
        <w:t>EUR 91,900</w:t>
      </w:r>
      <w:r w:rsidRPr="00307D1E" w:rsidR="00590A84">
        <w:t xml:space="preserve">, comprising </w:t>
      </w:r>
      <w:r w:rsidRPr="00307D1E" w:rsidR="0079751A">
        <w:t xml:space="preserve">the following elements: EUR 36,000 </w:t>
      </w:r>
      <w:r w:rsidRPr="00307D1E" w:rsidR="00590A84">
        <w:t xml:space="preserve">for renting </w:t>
      </w:r>
      <w:r w:rsidRPr="00307D1E" w:rsidR="0079751A">
        <w:t xml:space="preserve">a substitute flat </w:t>
      </w:r>
      <w:r w:rsidRPr="00307D1E" w:rsidR="003009BE">
        <w:t>as</w:t>
      </w:r>
      <w:r w:rsidRPr="00307D1E" w:rsidR="0079751A">
        <w:t xml:space="preserve"> </w:t>
      </w:r>
      <w:r w:rsidRPr="00307D1E" w:rsidR="00590A84">
        <w:t xml:space="preserve">he had been asked to leave the old one </w:t>
      </w:r>
      <w:r w:rsidRPr="00307D1E" w:rsidR="003009BE">
        <w:t xml:space="preserve">after the </w:t>
      </w:r>
      <w:r w:rsidRPr="00307D1E" w:rsidR="0079751A">
        <w:t xml:space="preserve">search; EUR 43,000 </w:t>
      </w:r>
      <w:r w:rsidRPr="00307D1E" w:rsidR="00590A84">
        <w:t xml:space="preserve">for </w:t>
      </w:r>
      <w:r w:rsidRPr="00307D1E" w:rsidR="0079751A">
        <w:t xml:space="preserve">the value of </w:t>
      </w:r>
      <w:r w:rsidRPr="00307D1E" w:rsidR="00590A84">
        <w:t xml:space="preserve">property he should have </w:t>
      </w:r>
      <w:r w:rsidRPr="00307D1E" w:rsidR="0079751A">
        <w:t>inherit</w:t>
      </w:r>
      <w:r w:rsidRPr="00307D1E" w:rsidR="00590A84">
        <w:t xml:space="preserve">ed </w:t>
      </w:r>
      <w:r w:rsidRPr="00307D1E" w:rsidR="0079751A">
        <w:t xml:space="preserve">after his parents </w:t>
      </w:r>
      <w:r w:rsidRPr="00307D1E" w:rsidR="00590A84">
        <w:t xml:space="preserve">in Ukraine but had not been able to take possession of because of the restriction on </w:t>
      </w:r>
      <w:r w:rsidRPr="00307D1E" w:rsidR="0079751A">
        <w:t xml:space="preserve">leaving Russia, and EUR 12,900 </w:t>
      </w:r>
      <w:r w:rsidRPr="00307D1E" w:rsidR="00590A84">
        <w:t xml:space="preserve">for the </w:t>
      </w:r>
      <w:r w:rsidRPr="00307D1E" w:rsidR="0079751A">
        <w:t xml:space="preserve">loss of income from </w:t>
      </w:r>
      <w:r w:rsidRPr="00307D1E" w:rsidR="003009BE">
        <w:t xml:space="preserve">publications </w:t>
      </w:r>
      <w:r w:rsidRPr="00307D1E" w:rsidR="00F6278D">
        <w:t>which</w:t>
      </w:r>
      <w:r w:rsidRPr="00307D1E" w:rsidR="0079751A">
        <w:t xml:space="preserve"> </w:t>
      </w:r>
      <w:r w:rsidRPr="00307D1E" w:rsidR="00590A84">
        <w:t xml:space="preserve">had </w:t>
      </w:r>
      <w:r w:rsidRPr="00307D1E" w:rsidR="0079751A">
        <w:t xml:space="preserve">ceased working with him fearing reprisals. </w:t>
      </w:r>
      <w:r w:rsidRPr="00307D1E" w:rsidR="00590A84">
        <w:t xml:space="preserve">He </w:t>
      </w:r>
      <w:r w:rsidRPr="00307D1E" w:rsidR="0079751A">
        <w:t>also claimed EUR 50,000 in respect of non-pecuniary damage.</w:t>
      </w:r>
    </w:p>
    <w:p w:rsidRPr="00307D1E" w:rsidR="0079751A" w:rsidP="00307D1E" w:rsidRDefault="00C90088">
      <w:pPr>
        <w:pStyle w:val="JuPara"/>
      </w:pPr>
      <w:r w:rsidRPr="00307D1E">
        <w:fldChar w:fldCharType="begin"/>
      </w:r>
      <w:r w:rsidRPr="00307D1E">
        <w:instrText xml:space="preserve"> SEQ level0 \*arabic </w:instrText>
      </w:r>
      <w:r w:rsidRPr="00307D1E">
        <w:fldChar w:fldCharType="separate"/>
      </w:r>
      <w:r w:rsidRPr="00307D1E" w:rsidR="00307D1E">
        <w:rPr>
          <w:noProof/>
        </w:rPr>
        <w:t>37</w:t>
      </w:r>
      <w:r w:rsidRPr="00307D1E">
        <w:rPr>
          <w:noProof/>
        </w:rPr>
        <w:fldChar w:fldCharType="end"/>
      </w:r>
      <w:r w:rsidRPr="00307D1E" w:rsidR="0079751A">
        <w:t xml:space="preserve">.  The Government submitted that the applicant </w:t>
      </w:r>
      <w:r w:rsidRPr="00307D1E" w:rsidR="00F6278D">
        <w:t xml:space="preserve">had </w:t>
      </w:r>
      <w:r w:rsidRPr="00307D1E" w:rsidR="0079751A">
        <w:t xml:space="preserve">only paid </w:t>
      </w:r>
      <w:r w:rsidRPr="00307D1E" w:rsidR="00F6278D">
        <w:t>a tiny fraction</w:t>
      </w:r>
      <w:r w:rsidRPr="00307D1E" w:rsidR="0079751A">
        <w:t xml:space="preserve"> of the total award, that his rental contact or employment situation </w:t>
      </w:r>
      <w:r w:rsidRPr="00307D1E" w:rsidR="00F6278D">
        <w:t>had</w:t>
      </w:r>
      <w:r w:rsidRPr="00307D1E" w:rsidR="0079751A">
        <w:t xml:space="preserve"> in no way </w:t>
      </w:r>
      <w:r w:rsidRPr="00307D1E" w:rsidR="00F6278D">
        <w:t xml:space="preserve">been </w:t>
      </w:r>
      <w:r w:rsidRPr="00307D1E" w:rsidR="0079751A">
        <w:t xml:space="preserve">connected with his application to the Court and that he was still able to claim his inheritance in Ukraine. </w:t>
      </w:r>
      <w:r w:rsidRPr="00307D1E" w:rsidR="00F6278D">
        <w:t>T</w:t>
      </w:r>
      <w:r w:rsidRPr="00307D1E" w:rsidR="0079751A">
        <w:t>he claim in respect of non-pecuniary damage was excessive and not corroborated with any evidence of the applicant</w:t>
      </w:r>
      <w:r w:rsidRPr="00307D1E" w:rsidR="00307D1E">
        <w:t>’</w:t>
      </w:r>
      <w:r w:rsidRPr="00307D1E" w:rsidR="0079751A">
        <w:t>s distress.</w:t>
      </w:r>
    </w:p>
    <w:p w:rsidRPr="00307D1E" w:rsidR="0079751A" w:rsidP="00307D1E" w:rsidRDefault="00C90088">
      <w:pPr>
        <w:pStyle w:val="JuPara"/>
      </w:pPr>
      <w:r w:rsidRPr="00307D1E">
        <w:fldChar w:fldCharType="begin"/>
      </w:r>
      <w:r w:rsidRPr="00307D1E">
        <w:instrText xml:space="preserve"> SEQ level0 \*arabic </w:instrText>
      </w:r>
      <w:r w:rsidRPr="00307D1E">
        <w:fldChar w:fldCharType="separate"/>
      </w:r>
      <w:r w:rsidRPr="00307D1E" w:rsidR="00307D1E">
        <w:rPr>
          <w:noProof/>
        </w:rPr>
        <w:t>38</w:t>
      </w:r>
      <w:r w:rsidRPr="00307D1E">
        <w:rPr>
          <w:noProof/>
        </w:rPr>
        <w:fldChar w:fldCharType="end"/>
      </w:r>
      <w:r w:rsidRPr="00307D1E" w:rsidR="0079751A">
        <w:t>.  The Court observes that the judicial award against the applicant has remained enforceable under domestic law and that the applicant</w:t>
      </w:r>
      <w:r w:rsidRPr="00307D1E" w:rsidR="00307D1E">
        <w:t>’</w:t>
      </w:r>
      <w:r w:rsidRPr="00307D1E" w:rsidR="0079751A">
        <w:t xml:space="preserve">s freedom of movement </w:t>
      </w:r>
      <w:r w:rsidRPr="00307D1E" w:rsidR="003009BE">
        <w:t>has been restricted on the grounds that it</w:t>
      </w:r>
      <w:r w:rsidRPr="00307D1E" w:rsidR="0079751A">
        <w:t xml:space="preserve"> has </w:t>
      </w:r>
      <w:r w:rsidRPr="00307D1E" w:rsidR="00B73939">
        <w:t xml:space="preserve">not </w:t>
      </w:r>
      <w:r w:rsidRPr="00307D1E" w:rsidR="0079751A">
        <w:t xml:space="preserve">been paid in full. In these circumstances, it awards the applicant the </w:t>
      </w:r>
      <w:r w:rsidRPr="00307D1E" w:rsidR="002C3898">
        <w:t xml:space="preserve">full </w:t>
      </w:r>
      <w:r w:rsidRPr="00307D1E" w:rsidR="0079751A">
        <w:t>amount payable under the domestic judgment, which it found to have been in breach of the Convention requirements, plus any tax that may be chargeable.</w:t>
      </w:r>
    </w:p>
    <w:p w:rsidRPr="00307D1E" w:rsidR="0079751A" w:rsidP="00307D1E" w:rsidRDefault="00C90088">
      <w:pPr>
        <w:pStyle w:val="JuPara"/>
      </w:pPr>
      <w:r w:rsidRPr="00307D1E">
        <w:fldChar w:fldCharType="begin"/>
      </w:r>
      <w:r w:rsidRPr="00307D1E">
        <w:instrText xml:space="preserve"> SEQ level0 \*arabic </w:instrText>
      </w:r>
      <w:r w:rsidRPr="00307D1E">
        <w:fldChar w:fldCharType="separate"/>
      </w:r>
      <w:r w:rsidRPr="00307D1E" w:rsidR="00307D1E">
        <w:rPr>
          <w:noProof/>
        </w:rPr>
        <w:t>39</w:t>
      </w:r>
      <w:r w:rsidRPr="00307D1E">
        <w:rPr>
          <w:noProof/>
        </w:rPr>
        <w:fldChar w:fldCharType="end"/>
      </w:r>
      <w:r w:rsidRPr="00307D1E" w:rsidR="0079751A">
        <w:t>.  The Court finds no indication that the Russian authorities put pressure on either the applicant</w:t>
      </w:r>
      <w:r w:rsidRPr="00307D1E" w:rsidR="00307D1E">
        <w:t>’</w:t>
      </w:r>
      <w:r w:rsidRPr="00307D1E" w:rsidR="0079751A">
        <w:t xml:space="preserve">s former landlord or the magazine publishers to end their relationship with </w:t>
      </w:r>
      <w:r w:rsidRPr="00307D1E" w:rsidR="00F6278D">
        <w:t>him</w:t>
      </w:r>
      <w:r w:rsidRPr="00307D1E" w:rsidR="0079751A">
        <w:t xml:space="preserve">. </w:t>
      </w:r>
      <w:r w:rsidRPr="00307D1E" w:rsidR="003009BE">
        <w:t>T</w:t>
      </w:r>
      <w:r w:rsidRPr="00307D1E" w:rsidR="0079751A">
        <w:t xml:space="preserve">he applicant was </w:t>
      </w:r>
      <w:r w:rsidRPr="00307D1E" w:rsidR="003009BE">
        <w:t xml:space="preserve">not </w:t>
      </w:r>
      <w:r w:rsidRPr="00307D1E" w:rsidR="0079751A">
        <w:t>prevented from having a Russian notary public certify his signature on the application for inheritance or from hiring a Ukrainian lawyer to represent him before the competent authorities. In these circumstances, the remainder of the applicant</w:t>
      </w:r>
      <w:r w:rsidRPr="00307D1E" w:rsidR="00307D1E">
        <w:t>’</w:t>
      </w:r>
      <w:r w:rsidRPr="00307D1E" w:rsidR="0079751A">
        <w:t>s claim in respect of pecuniary damage</w:t>
      </w:r>
      <w:r w:rsidRPr="00307D1E" w:rsidR="003009BE">
        <w:t xml:space="preserve"> </w:t>
      </w:r>
      <w:r w:rsidRPr="00307D1E" w:rsidR="008940CA">
        <w:t>must be</w:t>
      </w:r>
      <w:r w:rsidRPr="00307D1E" w:rsidR="003009BE">
        <w:t xml:space="preserve"> rejected</w:t>
      </w:r>
      <w:r w:rsidRPr="00307D1E" w:rsidR="0079751A">
        <w:t>.</w:t>
      </w:r>
    </w:p>
    <w:p w:rsidRPr="00307D1E" w:rsidR="0079751A" w:rsidP="00307D1E" w:rsidRDefault="00C90088">
      <w:pPr>
        <w:pStyle w:val="JuPara"/>
      </w:pPr>
      <w:r w:rsidRPr="00307D1E">
        <w:fldChar w:fldCharType="begin"/>
      </w:r>
      <w:r w:rsidRPr="00307D1E">
        <w:instrText xml:space="preserve"> SEQ level0 \*arabic </w:instrText>
      </w:r>
      <w:r w:rsidRPr="00307D1E">
        <w:fldChar w:fldCharType="separate"/>
      </w:r>
      <w:r w:rsidRPr="00307D1E" w:rsidR="00307D1E">
        <w:rPr>
          <w:noProof/>
        </w:rPr>
        <w:t>40</w:t>
      </w:r>
      <w:r w:rsidRPr="00307D1E">
        <w:rPr>
          <w:noProof/>
        </w:rPr>
        <w:fldChar w:fldCharType="end"/>
      </w:r>
      <w:r w:rsidRPr="00307D1E" w:rsidR="0079751A">
        <w:t>.  In the Court</w:t>
      </w:r>
      <w:r w:rsidRPr="00307D1E" w:rsidR="00307D1E">
        <w:t>’</w:t>
      </w:r>
      <w:r w:rsidRPr="00307D1E" w:rsidR="0079751A">
        <w:t>s view, the applicant suffered non-pecuniary damage as a result of the domestic courts</w:t>
      </w:r>
      <w:r w:rsidRPr="00307D1E" w:rsidR="00307D1E">
        <w:t>’</w:t>
      </w:r>
      <w:r w:rsidRPr="00307D1E" w:rsidR="0079751A">
        <w:t xml:space="preserve"> judgments which were incompatible with the Convention requirements. Making its assessment on an equitable basis, the Court awards the applicant EUR 7,</w:t>
      </w:r>
      <w:r w:rsidRPr="00307D1E" w:rsidR="00EE58DF">
        <w:t>8</w:t>
      </w:r>
      <w:r w:rsidRPr="00307D1E" w:rsidR="0079751A">
        <w:t>00</w:t>
      </w:r>
      <w:r w:rsidRPr="00307D1E" w:rsidR="00725FCD">
        <w:t xml:space="preserve"> in respect of non-pecuniary damage</w:t>
      </w:r>
      <w:r w:rsidRPr="00307D1E" w:rsidR="0079751A">
        <w:t>, plus any tax that may be chargeable on that amount.</w:t>
      </w:r>
    </w:p>
    <w:p w:rsidRPr="00307D1E" w:rsidR="00D420F3" w:rsidP="00307D1E" w:rsidRDefault="00132E5B">
      <w:pPr>
        <w:pStyle w:val="JuPara"/>
      </w:pPr>
      <w:r w:rsidRPr="00307D1E">
        <w:fldChar w:fldCharType="begin"/>
      </w:r>
      <w:r w:rsidRPr="00307D1E">
        <w:instrText xml:space="preserve"> SEQ level0 \*arabic </w:instrText>
      </w:r>
      <w:r w:rsidRPr="00307D1E">
        <w:fldChar w:fldCharType="separate"/>
      </w:r>
      <w:r w:rsidRPr="00307D1E" w:rsidR="00307D1E">
        <w:rPr>
          <w:noProof/>
        </w:rPr>
        <w:t>41</w:t>
      </w:r>
      <w:r w:rsidRPr="00307D1E">
        <w:fldChar w:fldCharType="end"/>
      </w:r>
      <w:r w:rsidRPr="00307D1E" w:rsidR="0077175D">
        <w:t>.  The Court considers it appropriate that the default interest rate should be based on the marginal lending rate of the European Central Bank, to which should be added three percentage points.</w:t>
      </w:r>
    </w:p>
    <w:p w:rsidRPr="00307D1E" w:rsidR="00D420F3" w:rsidP="00307D1E" w:rsidRDefault="0077175D">
      <w:pPr>
        <w:pStyle w:val="JuHHead"/>
      </w:pPr>
      <w:r w:rsidRPr="00307D1E">
        <w:t>FOR THESE REASONS, THE COURT</w:t>
      </w:r>
      <w:r w:rsidRPr="00307D1E" w:rsidR="00132E5B">
        <w:t>, UNANIMOUSLY,</w:t>
      </w:r>
    </w:p>
    <w:p w:rsidRPr="00307D1E" w:rsidR="00D420F3" w:rsidP="00307D1E" w:rsidRDefault="0077175D">
      <w:pPr>
        <w:pStyle w:val="JuList"/>
      </w:pPr>
      <w:r w:rsidRPr="00307D1E">
        <w:rPr>
          <w:i/>
        </w:rPr>
        <w:t>Declares</w:t>
      </w:r>
      <w:r w:rsidRPr="00307D1E" w:rsidR="00132E5B">
        <w:t xml:space="preserve"> </w:t>
      </w:r>
      <w:r w:rsidRPr="00307D1E" w:rsidR="004C2D50">
        <w:t>the complaint</w:t>
      </w:r>
      <w:r w:rsidRPr="00307D1E">
        <w:t xml:space="preserve"> concerning </w:t>
      </w:r>
      <w:r w:rsidRPr="00307D1E" w:rsidR="00F6278D">
        <w:t>the interference with the applicant</w:t>
      </w:r>
      <w:r w:rsidRPr="00307D1E" w:rsidR="00307D1E">
        <w:t>’</w:t>
      </w:r>
      <w:r w:rsidRPr="00307D1E" w:rsidR="00F6278D">
        <w:t xml:space="preserve">s right to freedom of expression </w:t>
      </w:r>
      <w:r w:rsidRPr="00307D1E">
        <w:t>admissible;</w:t>
      </w:r>
    </w:p>
    <w:p w:rsidRPr="00307D1E" w:rsidR="00D420F3" w:rsidP="00307D1E" w:rsidRDefault="0077175D">
      <w:pPr>
        <w:pStyle w:val="JuList"/>
      </w:pPr>
      <w:r w:rsidRPr="00307D1E">
        <w:rPr>
          <w:i/>
        </w:rPr>
        <w:t>Holds</w:t>
      </w:r>
      <w:r w:rsidRPr="00307D1E" w:rsidR="00132E5B">
        <w:t xml:space="preserve"> </w:t>
      </w:r>
      <w:r w:rsidRPr="00307D1E">
        <w:t xml:space="preserve">that there has been a violation of Article </w:t>
      </w:r>
      <w:r w:rsidRPr="00307D1E" w:rsidR="0079751A">
        <w:t>10</w:t>
      </w:r>
      <w:r w:rsidRPr="00307D1E">
        <w:t xml:space="preserve"> of the Convention;</w:t>
      </w:r>
    </w:p>
    <w:p w:rsidRPr="00307D1E" w:rsidR="004713A0" w:rsidP="00307D1E" w:rsidRDefault="004713A0">
      <w:pPr>
        <w:pStyle w:val="JuList"/>
      </w:pPr>
      <w:r w:rsidRPr="00307D1E">
        <w:rPr>
          <w:i/>
        </w:rPr>
        <w:t>Holds</w:t>
      </w:r>
      <w:r w:rsidRPr="00307D1E">
        <w:t xml:space="preserve"> that there is no need to examine the admissibility and merits of the applicant</w:t>
      </w:r>
      <w:r w:rsidRPr="00307D1E" w:rsidR="00307D1E">
        <w:t>’</w:t>
      </w:r>
      <w:r w:rsidRPr="00307D1E">
        <w:t>s other complaints;</w:t>
      </w:r>
    </w:p>
    <w:p w:rsidRPr="00307D1E" w:rsidR="00725FDC" w:rsidP="00307D1E" w:rsidRDefault="0077175D">
      <w:pPr>
        <w:pStyle w:val="JuList"/>
        <w:keepNext/>
        <w:keepLines/>
      </w:pPr>
      <w:r w:rsidRPr="00307D1E">
        <w:rPr>
          <w:i/>
        </w:rPr>
        <w:t>Holds</w:t>
      </w:r>
    </w:p>
    <w:p w:rsidRPr="00307D1E" w:rsidR="00D420F3" w:rsidP="00307D1E" w:rsidRDefault="0077175D">
      <w:pPr>
        <w:pStyle w:val="JuLista"/>
      </w:pPr>
      <w:r w:rsidRPr="00307D1E">
        <w:t>that the respondent State is to pay the applicant, within three months</w:t>
      </w:r>
      <w:r w:rsidRPr="00307D1E" w:rsidR="00132E5B">
        <w:t>,</w:t>
      </w:r>
      <w:r w:rsidRPr="00307D1E">
        <w:t xml:space="preserve"> the following amounts,</w:t>
      </w:r>
      <w:r w:rsidRPr="00307D1E">
        <w:rPr>
          <w:b/>
        </w:rPr>
        <w:t xml:space="preserve"> </w:t>
      </w:r>
      <w:r w:rsidRPr="00307D1E">
        <w:t xml:space="preserve">to be converted into </w:t>
      </w:r>
      <w:r w:rsidRPr="00307D1E">
        <w:rPr>
          <w:color w:val="000000"/>
        </w:rPr>
        <w:t>the currency of the respondent State</w:t>
      </w:r>
      <w:r w:rsidRPr="00307D1E" w:rsidR="0079751A">
        <w:rPr>
          <w:b/>
          <w:color w:val="000000"/>
        </w:rPr>
        <w:t xml:space="preserve"> </w:t>
      </w:r>
      <w:r w:rsidRPr="00307D1E">
        <w:t>at the rate applicable at the date of settlement:</w:t>
      </w:r>
    </w:p>
    <w:p w:rsidRPr="00307D1E" w:rsidR="00D420F3" w:rsidP="00307D1E" w:rsidRDefault="0077175D">
      <w:pPr>
        <w:pStyle w:val="JuListi"/>
      </w:pPr>
      <w:r w:rsidRPr="00307D1E">
        <w:t xml:space="preserve">EUR </w:t>
      </w:r>
      <w:r w:rsidRPr="00307D1E" w:rsidR="0079751A">
        <w:t>11,700</w:t>
      </w:r>
      <w:r w:rsidRPr="00307D1E">
        <w:t xml:space="preserve"> (</w:t>
      </w:r>
      <w:r w:rsidRPr="00307D1E" w:rsidR="0079751A">
        <w:t>eleven thousand seven hundred</w:t>
      </w:r>
      <w:r w:rsidRPr="00307D1E">
        <w:t xml:space="preserve"> euros), plus any tax that may be chargeable,</w:t>
      </w:r>
      <w:r w:rsidRPr="00307D1E" w:rsidR="0079751A">
        <w:t xml:space="preserve"> </w:t>
      </w:r>
      <w:r w:rsidRPr="00307D1E">
        <w:t>in respect of pecuniary damage;</w:t>
      </w:r>
    </w:p>
    <w:p w:rsidRPr="00307D1E" w:rsidR="00D420F3" w:rsidP="00307D1E" w:rsidRDefault="0077175D">
      <w:pPr>
        <w:pStyle w:val="JuListi"/>
      </w:pPr>
      <w:r w:rsidRPr="00307D1E">
        <w:t xml:space="preserve">EUR </w:t>
      </w:r>
      <w:r w:rsidRPr="00307D1E" w:rsidR="0079751A">
        <w:t>7,</w:t>
      </w:r>
      <w:r w:rsidRPr="00307D1E" w:rsidR="00EE58DF">
        <w:t>8</w:t>
      </w:r>
      <w:r w:rsidRPr="00307D1E" w:rsidR="0079751A">
        <w:t>00</w:t>
      </w:r>
      <w:r w:rsidRPr="00307D1E">
        <w:t xml:space="preserve"> (</w:t>
      </w:r>
      <w:r w:rsidRPr="00307D1E" w:rsidR="0079751A">
        <w:t xml:space="preserve">seven thousand </w:t>
      </w:r>
      <w:r w:rsidRPr="00307D1E" w:rsidR="00EE58DF">
        <w:t xml:space="preserve">eight </w:t>
      </w:r>
      <w:r w:rsidRPr="00307D1E" w:rsidR="0079751A">
        <w:t>hundred</w:t>
      </w:r>
      <w:r w:rsidRPr="00307D1E">
        <w:t xml:space="preserve"> euros), plus any tax that may be chargeable, in respect of non-pecuniary damage;</w:t>
      </w:r>
    </w:p>
    <w:p w:rsidRPr="00307D1E" w:rsidR="00D420F3" w:rsidP="00307D1E" w:rsidRDefault="0077175D">
      <w:pPr>
        <w:pStyle w:val="JuLista"/>
      </w:pPr>
      <w:r w:rsidRPr="00307D1E">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307D1E" w:rsidR="00D420F3" w:rsidP="00307D1E" w:rsidRDefault="0077175D">
      <w:pPr>
        <w:pStyle w:val="JuList"/>
      </w:pPr>
      <w:r w:rsidRPr="00307D1E">
        <w:rPr>
          <w:i/>
        </w:rPr>
        <w:t>Dismisses</w:t>
      </w:r>
      <w:r w:rsidRPr="00307D1E" w:rsidR="00132E5B">
        <w:t xml:space="preserve"> </w:t>
      </w:r>
      <w:r w:rsidRPr="00307D1E">
        <w:t>the remainder of the applicant</w:t>
      </w:r>
      <w:r w:rsidRPr="00307D1E" w:rsidR="00307D1E">
        <w:t>’</w:t>
      </w:r>
      <w:r w:rsidRPr="00307D1E" w:rsidR="00132E5B">
        <w:t>s</w:t>
      </w:r>
      <w:r w:rsidRPr="00307D1E">
        <w:t xml:space="preserve"> claim for just satisfaction.</w:t>
      </w:r>
    </w:p>
    <w:p w:rsidRPr="00307D1E" w:rsidR="00D420F3" w:rsidP="00307D1E" w:rsidRDefault="0077175D">
      <w:pPr>
        <w:pStyle w:val="JuParaLast"/>
      </w:pPr>
      <w:r w:rsidRPr="00307D1E">
        <w:t xml:space="preserve">Done in English, and notified in writing on </w:t>
      </w:r>
      <w:r w:rsidRPr="00307D1E" w:rsidR="007224C9">
        <w:t>26 November 2019</w:t>
      </w:r>
      <w:r w:rsidRPr="00307D1E">
        <w:t>, pursuant to Rule 77 §§ 2 and 3 of the Rules of Court.</w:t>
      </w:r>
    </w:p>
    <w:p w:rsidRPr="00307D1E" w:rsidR="00D420F3" w:rsidP="00307D1E" w:rsidRDefault="0077175D">
      <w:pPr>
        <w:pStyle w:val="JuSigned"/>
      </w:pPr>
      <w:r w:rsidRPr="00307D1E">
        <w:tab/>
      </w:r>
      <w:r w:rsidRPr="00307D1E" w:rsidR="007224C9">
        <w:t>Stephen Phillips</w:t>
      </w:r>
      <w:r w:rsidRPr="00307D1E" w:rsidR="007224C9">
        <w:tab/>
        <w:t>Paulo Pinto de Albuquerque</w:t>
      </w:r>
      <w:r w:rsidRPr="00307D1E">
        <w:rPr>
          <w:szCs w:val="24"/>
        </w:rPr>
        <w:br/>
      </w:r>
      <w:r w:rsidRPr="00307D1E">
        <w:tab/>
      </w:r>
      <w:r w:rsidRPr="00307D1E" w:rsidR="00132E5B">
        <w:rPr>
          <w:iCs/>
        </w:rPr>
        <w:t>Registrar</w:t>
      </w:r>
      <w:r w:rsidRPr="00307D1E" w:rsidR="007224C9">
        <w:rPr>
          <w:iCs/>
        </w:rPr>
        <w:tab/>
      </w:r>
      <w:r w:rsidRPr="00307D1E">
        <w:t>President</w:t>
      </w:r>
    </w:p>
    <w:sectPr w:rsidRPr="00307D1E" w:rsidR="00D420F3" w:rsidSect="00725FDC">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6A8A" w:rsidRDefault="008C6A8A">
      <w:r>
        <w:separator/>
      </w:r>
    </w:p>
  </w:endnote>
  <w:endnote w:type="continuationSeparator" w:id="0">
    <w:p w:rsidR="008C6A8A" w:rsidRDefault="008C6A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5FDC" w:rsidRPr="00150BFA" w:rsidRDefault="00725FDC" w:rsidP="0020718E">
    <w:pPr>
      <w:jc w:val="center"/>
    </w:pPr>
    <w:r>
      <w:rPr>
        <w:noProof/>
        <w:lang w:val="en-US" w:eastAsia="ja-JP"/>
      </w:rPr>
      <w:drawing>
        <wp:inline distT="0" distB="0" distL="0" distR="0" wp14:anchorId="0EB1C07F" wp14:editId="543279AA">
          <wp:extent cx="771525" cy="619125"/>
          <wp:effectExtent l="0" t="0" r="9525" b="9525"/>
          <wp:docPr id="8" name="Picture 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725FDC" w:rsidRDefault="00725FD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6A8A" w:rsidRPr="003152BA" w:rsidRDefault="008C6A8A" w:rsidP="00D420F3">
      <w:r w:rsidRPr="003152BA">
        <w:separator/>
      </w:r>
    </w:p>
  </w:footnote>
  <w:footnote w:type="continuationSeparator" w:id="0">
    <w:p w:rsidR="008C6A8A" w:rsidRPr="003152BA" w:rsidRDefault="008C6A8A" w:rsidP="00D420F3">
      <w:r w:rsidRPr="003152BA">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6A8A" w:rsidRPr="00725FDC" w:rsidRDefault="008C6A8A" w:rsidP="00725FDC">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5FDC" w:rsidRPr="00A45145" w:rsidRDefault="00725FDC" w:rsidP="00A45145">
    <w:pPr>
      <w:jc w:val="center"/>
    </w:pPr>
    <w:r>
      <w:rPr>
        <w:noProof/>
        <w:lang w:val="en-US" w:eastAsia="ja-JP"/>
      </w:rPr>
      <w:drawing>
        <wp:inline distT="0" distB="0" distL="0" distR="0" wp14:anchorId="26595643" wp14:editId="4C4F064E">
          <wp:extent cx="2962275" cy="1219200"/>
          <wp:effectExtent l="0" t="0" r="9525" b="0"/>
          <wp:docPr id="3" name="Picture 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F63E1A" w:rsidRDefault="00F63E1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5FDC" w:rsidRPr="003152BA" w:rsidRDefault="00725FDC" w:rsidP="00D420F3">
    <w:pPr>
      <w:pStyle w:val="Ju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307D1E">
      <w:rPr>
        <w:rStyle w:val="PageNumber"/>
        <w:noProof/>
        <w:szCs w:val="18"/>
      </w:rPr>
      <w:t>10</w:t>
    </w:r>
    <w:r>
      <w:rPr>
        <w:rStyle w:val="PageNumber"/>
        <w:szCs w:val="18"/>
      </w:rPr>
      <w:fldChar w:fldCharType="end"/>
    </w:r>
    <w:r w:rsidRPr="003152BA">
      <w:tab/>
    </w:r>
    <w:r>
      <w:t>SAVENKO (LIMONOV) v. RUSSIA</w:t>
    </w:r>
    <w:r w:rsidRPr="003152BA">
      <w:t xml:space="preserve"> </w:t>
    </w:r>
    <w:r w:rsidRPr="003152BA">
      <w:rPr>
        <w:noProof/>
      </w:rPr>
      <w:t>J</w:t>
    </w:r>
    <w:r>
      <w:rPr>
        <w:noProof/>
      </w:rPr>
      <w:t>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5FDC" w:rsidRPr="003152BA" w:rsidRDefault="00725FDC" w:rsidP="00D420F3">
    <w:pPr>
      <w:pStyle w:val="JuHeader"/>
    </w:pPr>
    <w:r w:rsidRPr="003152BA">
      <w:tab/>
    </w:r>
    <w:r>
      <w:t>SAVENKO (LIMONOV) v. RUSSIA</w:t>
    </w:r>
    <w:r w:rsidRPr="003152BA">
      <w:t xml:space="preserve"> </w:t>
    </w:r>
    <w:r w:rsidRPr="003152BA">
      <w:rPr>
        <w:noProof/>
      </w:rPr>
      <w:t>J</w:t>
    </w:r>
    <w:r>
      <w:rPr>
        <w:noProof/>
      </w:rPr>
      <w:t>UDGMENT</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307D1E">
      <w:rPr>
        <w:rStyle w:val="PageNumber"/>
        <w:noProof/>
        <w:szCs w:val="18"/>
      </w:rPr>
      <w:t>11</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1AA96CEA"/>
    <w:multiLevelType w:val="multilevel"/>
    <w:tmpl w:val="040C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766"/>
        </w:tabs>
        <w:ind w:left="766"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9">
    <w:nsid w:val="67FD1241"/>
    <w:multiLevelType w:val="hybridMultilevel"/>
    <w:tmpl w:val="F6D86CC2"/>
    <w:lvl w:ilvl="0" w:tplc="135E7E6C">
      <w:start w:val="1"/>
      <w:numFmt w:val="bullet"/>
      <w:pStyle w:val="ListBullet"/>
      <w:lvlText w:val=""/>
      <w:lvlJc w:val="left"/>
      <w:pPr>
        <w:tabs>
          <w:tab w:val="num" w:pos="851"/>
        </w:tabs>
        <w:ind w:left="568" w:firstLine="0"/>
      </w:pPr>
      <w:rPr>
        <w:rFonts w:ascii="Wingdings" w:hAnsi="Wingdings" w:hint="default"/>
        <w:color w:val="808080"/>
        <w:sz w:val="16"/>
      </w:rPr>
    </w:lvl>
    <w:lvl w:ilvl="1" w:tplc="810288C4" w:tentative="1">
      <w:start w:val="1"/>
      <w:numFmt w:val="bullet"/>
      <w:lvlText w:val="o"/>
      <w:lvlJc w:val="left"/>
      <w:pPr>
        <w:tabs>
          <w:tab w:val="num" w:pos="1724"/>
        </w:tabs>
        <w:ind w:left="1724" w:hanging="360"/>
      </w:pPr>
      <w:rPr>
        <w:rFonts w:ascii="Courier New" w:hAnsi="Courier New" w:cs="Courier New" w:hint="default"/>
      </w:rPr>
    </w:lvl>
    <w:lvl w:ilvl="2" w:tplc="4470F988" w:tentative="1">
      <w:start w:val="1"/>
      <w:numFmt w:val="bullet"/>
      <w:lvlText w:val=""/>
      <w:lvlJc w:val="left"/>
      <w:pPr>
        <w:tabs>
          <w:tab w:val="num" w:pos="2444"/>
        </w:tabs>
        <w:ind w:left="2444" w:hanging="360"/>
      </w:pPr>
      <w:rPr>
        <w:rFonts w:ascii="Wingdings" w:hAnsi="Wingdings" w:hint="default"/>
      </w:rPr>
    </w:lvl>
    <w:lvl w:ilvl="3" w:tplc="5FACB78A" w:tentative="1">
      <w:start w:val="1"/>
      <w:numFmt w:val="bullet"/>
      <w:lvlText w:val=""/>
      <w:lvlJc w:val="left"/>
      <w:pPr>
        <w:tabs>
          <w:tab w:val="num" w:pos="3164"/>
        </w:tabs>
        <w:ind w:left="3164" w:hanging="360"/>
      </w:pPr>
      <w:rPr>
        <w:rFonts w:ascii="Symbol" w:hAnsi="Symbol" w:hint="default"/>
      </w:rPr>
    </w:lvl>
    <w:lvl w:ilvl="4" w:tplc="B63E179C" w:tentative="1">
      <w:start w:val="1"/>
      <w:numFmt w:val="bullet"/>
      <w:lvlText w:val="o"/>
      <w:lvlJc w:val="left"/>
      <w:pPr>
        <w:tabs>
          <w:tab w:val="num" w:pos="3884"/>
        </w:tabs>
        <w:ind w:left="3884" w:hanging="360"/>
      </w:pPr>
      <w:rPr>
        <w:rFonts w:ascii="Courier New" w:hAnsi="Courier New" w:cs="Courier New" w:hint="default"/>
      </w:rPr>
    </w:lvl>
    <w:lvl w:ilvl="5" w:tplc="204A3DC2" w:tentative="1">
      <w:start w:val="1"/>
      <w:numFmt w:val="bullet"/>
      <w:lvlText w:val=""/>
      <w:lvlJc w:val="left"/>
      <w:pPr>
        <w:tabs>
          <w:tab w:val="num" w:pos="4604"/>
        </w:tabs>
        <w:ind w:left="4604" w:hanging="360"/>
      </w:pPr>
      <w:rPr>
        <w:rFonts w:ascii="Wingdings" w:hAnsi="Wingdings" w:hint="default"/>
      </w:rPr>
    </w:lvl>
    <w:lvl w:ilvl="6" w:tplc="C58C412E" w:tentative="1">
      <w:start w:val="1"/>
      <w:numFmt w:val="bullet"/>
      <w:lvlText w:val=""/>
      <w:lvlJc w:val="left"/>
      <w:pPr>
        <w:tabs>
          <w:tab w:val="num" w:pos="5324"/>
        </w:tabs>
        <w:ind w:left="5324" w:hanging="360"/>
      </w:pPr>
      <w:rPr>
        <w:rFonts w:ascii="Symbol" w:hAnsi="Symbol" w:hint="default"/>
      </w:rPr>
    </w:lvl>
    <w:lvl w:ilvl="7" w:tplc="D4D47A0A" w:tentative="1">
      <w:start w:val="1"/>
      <w:numFmt w:val="bullet"/>
      <w:lvlText w:val="o"/>
      <w:lvlJc w:val="left"/>
      <w:pPr>
        <w:tabs>
          <w:tab w:val="num" w:pos="6044"/>
        </w:tabs>
        <w:ind w:left="6044" w:hanging="360"/>
      </w:pPr>
      <w:rPr>
        <w:rFonts w:ascii="Courier New" w:hAnsi="Courier New" w:cs="Courier New" w:hint="default"/>
      </w:rPr>
    </w:lvl>
    <w:lvl w:ilvl="8" w:tplc="4AF04BF4" w:tentative="1">
      <w:start w:val="1"/>
      <w:numFmt w:val="bullet"/>
      <w:lvlText w:val=""/>
      <w:lvlJc w:val="left"/>
      <w:pPr>
        <w:tabs>
          <w:tab w:val="num" w:pos="6764"/>
        </w:tabs>
        <w:ind w:left="6764" w:hanging="360"/>
      </w:pPr>
      <w:rPr>
        <w:rFonts w:ascii="Wingdings" w:hAnsi="Wingdings" w:hint="default"/>
      </w:rPr>
    </w:lvl>
  </w:abstractNum>
  <w:abstractNum w:abstractNumId="20">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9"/>
  </w:num>
  <w:num w:numId="2">
    <w:abstractNumId w:val="10"/>
  </w:num>
  <w:num w:numId="3">
    <w:abstractNumId w:val="9"/>
  </w:num>
  <w:num w:numId="4">
    <w:abstractNumId w:val="21"/>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0"/>
  </w:num>
  <w:num w:numId="15">
    <w:abstractNumId w:val="20"/>
  </w:num>
  <w:num w:numId="16">
    <w:abstractNumId w:val="20"/>
  </w:num>
  <w:num w:numId="17">
    <w:abstractNumId w:val="18"/>
  </w:num>
  <w:num w:numId="18">
    <w:abstractNumId w:val="18"/>
  </w:num>
  <w:num w:numId="19">
    <w:abstractNumId w:val="18"/>
  </w:num>
  <w:num w:numId="20">
    <w:abstractNumId w:val="18"/>
  </w:num>
  <w:num w:numId="21">
    <w:abstractNumId w:val="18"/>
  </w:num>
  <w:num w:numId="22">
    <w:abstractNumId w:val="18"/>
  </w:num>
  <w:num w:numId="23">
    <w:abstractNumId w:val="18"/>
  </w:num>
  <w:num w:numId="24">
    <w:abstractNumId w:val="18"/>
  </w:num>
  <w:num w:numId="25">
    <w:abstractNumId w:val="14"/>
  </w:num>
  <w:num w:numId="26">
    <w:abstractNumId w:val="14"/>
  </w:num>
  <w:num w:numId="27">
    <w:abstractNumId w:val="14"/>
  </w:num>
  <w:num w:numId="28">
    <w:abstractNumId w:val="15"/>
  </w:num>
  <w:num w:numId="29">
    <w:abstractNumId w:val="12"/>
  </w:num>
  <w:num w:numId="30">
    <w:abstractNumId w:val="11"/>
  </w:num>
  <w:num w:numId="31">
    <w:abstractNumId w:val="16"/>
  </w:num>
  <w:num w:numId="32">
    <w:abstractNumId w:val="13"/>
  </w:num>
  <w:num w:numId="33">
    <w:abstractNumId w:val="17"/>
  </w:num>
  <w:num w:numId="34">
    <w:abstractNumId w:val="19"/>
  </w:num>
  <w:num w:numId="35">
    <w:abstractNumId w:val="7"/>
  </w:num>
  <w:num w:numId="36">
    <w:abstractNumId w:val="6"/>
  </w:num>
  <w:num w:numId="37">
    <w:abstractNumId w:val="5"/>
  </w:num>
  <w:num w:numId="38">
    <w:abstractNumId w:val="4"/>
  </w:num>
  <w:num w:numId="39">
    <w:abstractNumId w:val="8"/>
  </w:num>
  <w:num w:numId="40">
    <w:abstractNumId w:val="3"/>
  </w:num>
  <w:num w:numId="41">
    <w:abstractNumId w:val="2"/>
  </w:num>
  <w:num w:numId="42">
    <w:abstractNumId w:val="1"/>
  </w:num>
  <w:num w:numId="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132E5B"/>
    <w:rsid w:val="000037C5"/>
    <w:rsid w:val="00005785"/>
    <w:rsid w:val="00006EBD"/>
    <w:rsid w:val="0003027D"/>
    <w:rsid w:val="00037E85"/>
    <w:rsid w:val="00057C62"/>
    <w:rsid w:val="00091C1F"/>
    <w:rsid w:val="000C220C"/>
    <w:rsid w:val="000C23BC"/>
    <w:rsid w:val="000C45F7"/>
    <w:rsid w:val="000E52C1"/>
    <w:rsid w:val="001119F2"/>
    <w:rsid w:val="00112009"/>
    <w:rsid w:val="0011272F"/>
    <w:rsid w:val="00131E7F"/>
    <w:rsid w:val="00132E5B"/>
    <w:rsid w:val="00135009"/>
    <w:rsid w:val="001354C3"/>
    <w:rsid w:val="00143B70"/>
    <w:rsid w:val="001446DB"/>
    <w:rsid w:val="001567BE"/>
    <w:rsid w:val="00162B4D"/>
    <w:rsid w:val="00164016"/>
    <w:rsid w:val="00171DB3"/>
    <w:rsid w:val="00180F83"/>
    <w:rsid w:val="001A524B"/>
    <w:rsid w:val="001C4F6A"/>
    <w:rsid w:val="002124C6"/>
    <w:rsid w:val="00233F75"/>
    <w:rsid w:val="00243124"/>
    <w:rsid w:val="002661C0"/>
    <w:rsid w:val="00282499"/>
    <w:rsid w:val="002842EC"/>
    <w:rsid w:val="002A0DB7"/>
    <w:rsid w:val="002C3898"/>
    <w:rsid w:val="002C5CE1"/>
    <w:rsid w:val="002F00F3"/>
    <w:rsid w:val="003009BE"/>
    <w:rsid w:val="0030159F"/>
    <w:rsid w:val="00307D1E"/>
    <w:rsid w:val="003302CD"/>
    <w:rsid w:val="00353F23"/>
    <w:rsid w:val="00364BFD"/>
    <w:rsid w:val="00380A82"/>
    <w:rsid w:val="0039337A"/>
    <w:rsid w:val="0039557F"/>
    <w:rsid w:val="003B2A2C"/>
    <w:rsid w:val="003C5172"/>
    <w:rsid w:val="003E3253"/>
    <w:rsid w:val="003E3B4E"/>
    <w:rsid w:val="00402B23"/>
    <w:rsid w:val="00403514"/>
    <w:rsid w:val="004063B0"/>
    <w:rsid w:val="004257A2"/>
    <w:rsid w:val="00427A23"/>
    <w:rsid w:val="00436CCE"/>
    <w:rsid w:val="00446299"/>
    <w:rsid w:val="004564FD"/>
    <w:rsid w:val="00461312"/>
    <w:rsid w:val="00461AB0"/>
    <w:rsid w:val="004709D4"/>
    <w:rsid w:val="004713A0"/>
    <w:rsid w:val="00494C86"/>
    <w:rsid w:val="0049549F"/>
    <w:rsid w:val="004971DB"/>
    <w:rsid w:val="004C2D50"/>
    <w:rsid w:val="004F71A1"/>
    <w:rsid w:val="00501DF2"/>
    <w:rsid w:val="005052B8"/>
    <w:rsid w:val="00507A65"/>
    <w:rsid w:val="00524951"/>
    <w:rsid w:val="00553EA8"/>
    <w:rsid w:val="00555B5C"/>
    <w:rsid w:val="00557DFB"/>
    <w:rsid w:val="005636EB"/>
    <w:rsid w:val="005664B1"/>
    <w:rsid w:val="00566A13"/>
    <w:rsid w:val="00566E77"/>
    <w:rsid w:val="00576F4C"/>
    <w:rsid w:val="0058732F"/>
    <w:rsid w:val="00590A84"/>
    <w:rsid w:val="005943F8"/>
    <w:rsid w:val="00595BC3"/>
    <w:rsid w:val="005A4FFD"/>
    <w:rsid w:val="005D28D3"/>
    <w:rsid w:val="005D4F5B"/>
    <w:rsid w:val="005D629A"/>
    <w:rsid w:val="005F7421"/>
    <w:rsid w:val="00601404"/>
    <w:rsid w:val="0060698F"/>
    <w:rsid w:val="00610EAF"/>
    <w:rsid w:val="0061455F"/>
    <w:rsid w:val="00630F58"/>
    <w:rsid w:val="00631567"/>
    <w:rsid w:val="00635B03"/>
    <w:rsid w:val="00636663"/>
    <w:rsid w:val="00652F78"/>
    <w:rsid w:val="00676E76"/>
    <w:rsid w:val="00677C37"/>
    <w:rsid w:val="0068079A"/>
    <w:rsid w:val="00682268"/>
    <w:rsid w:val="00692E22"/>
    <w:rsid w:val="006A27DB"/>
    <w:rsid w:val="006D678D"/>
    <w:rsid w:val="006E7770"/>
    <w:rsid w:val="007045D2"/>
    <w:rsid w:val="00704D3E"/>
    <w:rsid w:val="007158FC"/>
    <w:rsid w:val="007224C9"/>
    <w:rsid w:val="00725FCD"/>
    <w:rsid w:val="00725FDC"/>
    <w:rsid w:val="00727D94"/>
    <w:rsid w:val="007302F0"/>
    <w:rsid w:val="00744D89"/>
    <w:rsid w:val="00753210"/>
    <w:rsid w:val="0077175D"/>
    <w:rsid w:val="00775BD6"/>
    <w:rsid w:val="00780D7D"/>
    <w:rsid w:val="007836BA"/>
    <w:rsid w:val="007842D2"/>
    <w:rsid w:val="00786999"/>
    <w:rsid w:val="00797492"/>
    <w:rsid w:val="0079751A"/>
    <w:rsid w:val="007B084E"/>
    <w:rsid w:val="007D44D3"/>
    <w:rsid w:val="007D780E"/>
    <w:rsid w:val="007F361F"/>
    <w:rsid w:val="007F6CE1"/>
    <w:rsid w:val="008108E4"/>
    <w:rsid w:val="00820512"/>
    <w:rsid w:val="00831496"/>
    <w:rsid w:val="00843DC4"/>
    <w:rsid w:val="00855B43"/>
    <w:rsid w:val="00864F31"/>
    <w:rsid w:val="00876296"/>
    <w:rsid w:val="008940CA"/>
    <w:rsid w:val="00897BD8"/>
    <w:rsid w:val="008C0F60"/>
    <w:rsid w:val="008C6A8A"/>
    <w:rsid w:val="00907883"/>
    <w:rsid w:val="009263FA"/>
    <w:rsid w:val="009411A8"/>
    <w:rsid w:val="00944E30"/>
    <w:rsid w:val="00946459"/>
    <w:rsid w:val="009728AB"/>
    <w:rsid w:val="009977C7"/>
    <w:rsid w:val="009A1C85"/>
    <w:rsid w:val="009A4D7D"/>
    <w:rsid w:val="009B5033"/>
    <w:rsid w:val="009D04FA"/>
    <w:rsid w:val="009D0B04"/>
    <w:rsid w:val="00A062F4"/>
    <w:rsid w:val="00A40F80"/>
    <w:rsid w:val="00A57E7C"/>
    <w:rsid w:val="00A604D5"/>
    <w:rsid w:val="00A6343A"/>
    <w:rsid w:val="00A6492B"/>
    <w:rsid w:val="00A74935"/>
    <w:rsid w:val="00A841A5"/>
    <w:rsid w:val="00A87E7D"/>
    <w:rsid w:val="00AF3150"/>
    <w:rsid w:val="00B12BF9"/>
    <w:rsid w:val="00B15ED0"/>
    <w:rsid w:val="00B60CE1"/>
    <w:rsid w:val="00B64B00"/>
    <w:rsid w:val="00B669AA"/>
    <w:rsid w:val="00B66BBD"/>
    <w:rsid w:val="00B73939"/>
    <w:rsid w:val="00B74B10"/>
    <w:rsid w:val="00B96B05"/>
    <w:rsid w:val="00BB302E"/>
    <w:rsid w:val="00BD1305"/>
    <w:rsid w:val="00BD7037"/>
    <w:rsid w:val="00BE185F"/>
    <w:rsid w:val="00BF08FC"/>
    <w:rsid w:val="00C123B4"/>
    <w:rsid w:val="00C14263"/>
    <w:rsid w:val="00C16B04"/>
    <w:rsid w:val="00C207AC"/>
    <w:rsid w:val="00C35061"/>
    <w:rsid w:val="00C50F01"/>
    <w:rsid w:val="00C5146E"/>
    <w:rsid w:val="00C64063"/>
    <w:rsid w:val="00C81DC4"/>
    <w:rsid w:val="00C90088"/>
    <w:rsid w:val="00C93A8B"/>
    <w:rsid w:val="00C96662"/>
    <w:rsid w:val="00CA2232"/>
    <w:rsid w:val="00CB20C3"/>
    <w:rsid w:val="00CB5645"/>
    <w:rsid w:val="00CB74B3"/>
    <w:rsid w:val="00CC3DE3"/>
    <w:rsid w:val="00D167A2"/>
    <w:rsid w:val="00D420F3"/>
    <w:rsid w:val="00D4585B"/>
    <w:rsid w:val="00D5385F"/>
    <w:rsid w:val="00D55448"/>
    <w:rsid w:val="00D87EAF"/>
    <w:rsid w:val="00DB745C"/>
    <w:rsid w:val="00DF2DE2"/>
    <w:rsid w:val="00DF741B"/>
    <w:rsid w:val="00E436BA"/>
    <w:rsid w:val="00E71743"/>
    <w:rsid w:val="00E76C4C"/>
    <w:rsid w:val="00E76F31"/>
    <w:rsid w:val="00E809BD"/>
    <w:rsid w:val="00E81DD9"/>
    <w:rsid w:val="00E84800"/>
    <w:rsid w:val="00E850C5"/>
    <w:rsid w:val="00E87134"/>
    <w:rsid w:val="00E91A18"/>
    <w:rsid w:val="00EA4A9F"/>
    <w:rsid w:val="00ED4632"/>
    <w:rsid w:val="00ED655D"/>
    <w:rsid w:val="00EE2BEE"/>
    <w:rsid w:val="00EE3C0C"/>
    <w:rsid w:val="00EE58DF"/>
    <w:rsid w:val="00EF11B4"/>
    <w:rsid w:val="00F11D8F"/>
    <w:rsid w:val="00F26DB0"/>
    <w:rsid w:val="00F37634"/>
    <w:rsid w:val="00F6278D"/>
    <w:rsid w:val="00F62D54"/>
    <w:rsid w:val="00F63E1A"/>
    <w:rsid w:val="00F643F3"/>
    <w:rsid w:val="00F64A01"/>
    <w:rsid w:val="00F74A62"/>
    <w:rsid w:val="00F77813"/>
    <w:rsid w:val="00F8082F"/>
    <w:rsid w:val="00F8305B"/>
    <w:rsid w:val="00FA4F8F"/>
    <w:rsid w:val="00FC5299"/>
    <w:rsid w:val="00FC7D9C"/>
    <w:rsid w:val="00FD02B2"/>
    <w:rsid w:val="00FD1978"/>
    <w:rsid w:val="00FD2093"/>
    <w:rsid w:val="00FD474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C90088"/>
    <w:rPr>
      <w:rFonts w:eastAsiaTheme="minorEastAsia"/>
      <w:sz w:val="24"/>
      <w:lang w:val="en-GB"/>
    </w:rPr>
  </w:style>
  <w:style w:type="paragraph" w:styleId="Heading1">
    <w:name w:val="heading 1"/>
    <w:basedOn w:val="Normal"/>
    <w:next w:val="Normal"/>
    <w:link w:val="Heading1Char"/>
    <w:uiPriority w:val="99"/>
    <w:semiHidden/>
    <w:rsid w:val="00C90088"/>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C90088"/>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C90088"/>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C90088"/>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C90088"/>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C90088"/>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C90088"/>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C90088"/>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C90088"/>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C90088"/>
    <w:rPr>
      <w:rFonts w:ascii="Tahoma" w:hAnsi="Tahoma" w:cs="Tahoma"/>
      <w:sz w:val="16"/>
      <w:szCs w:val="16"/>
    </w:rPr>
  </w:style>
  <w:style w:type="character" w:customStyle="1" w:styleId="BalloonTextChar">
    <w:name w:val="Balloon Text Char"/>
    <w:basedOn w:val="DefaultParagraphFont"/>
    <w:link w:val="BalloonText"/>
    <w:uiPriority w:val="99"/>
    <w:semiHidden/>
    <w:rsid w:val="00C90088"/>
    <w:rPr>
      <w:rFonts w:ascii="Tahoma" w:eastAsiaTheme="minorEastAsia" w:hAnsi="Tahoma" w:cs="Tahoma"/>
      <w:sz w:val="16"/>
      <w:szCs w:val="16"/>
      <w:lang w:val="en-GB"/>
    </w:rPr>
  </w:style>
  <w:style w:type="character" w:styleId="BookTitle">
    <w:name w:val="Book Title"/>
    <w:uiPriority w:val="99"/>
    <w:semiHidden/>
    <w:qFormat/>
    <w:rsid w:val="00C90088"/>
    <w:rPr>
      <w:i/>
      <w:iCs/>
      <w:smallCaps/>
      <w:spacing w:val="5"/>
    </w:rPr>
  </w:style>
  <w:style w:type="paragraph" w:customStyle="1" w:styleId="JuHeader">
    <w:name w:val="Ju_Header"/>
    <w:aliases w:val="_Header"/>
    <w:basedOn w:val="Header"/>
    <w:uiPriority w:val="29"/>
    <w:qFormat/>
    <w:rsid w:val="00C90088"/>
    <w:pPr>
      <w:tabs>
        <w:tab w:val="clear" w:pos="4536"/>
        <w:tab w:val="clear" w:pos="9072"/>
        <w:tab w:val="center" w:pos="3686"/>
        <w:tab w:val="right" w:pos="7371"/>
      </w:tabs>
    </w:pPr>
    <w:rPr>
      <w:sz w:val="18"/>
    </w:rPr>
  </w:style>
  <w:style w:type="paragraph" w:customStyle="1" w:styleId="ECHRFooter">
    <w:name w:val="ECHR_Footer"/>
    <w:aliases w:val="Footer_ECHR"/>
    <w:basedOn w:val="Footer"/>
    <w:uiPriority w:val="57"/>
    <w:semiHidden/>
    <w:rsid w:val="00000067"/>
    <w:rPr>
      <w:sz w:val="8"/>
    </w:rPr>
  </w:style>
  <w:style w:type="character" w:styleId="Strong">
    <w:name w:val="Strong"/>
    <w:uiPriority w:val="99"/>
    <w:semiHidden/>
    <w:qFormat/>
    <w:rsid w:val="00C90088"/>
    <w:rPr>
      <w:b/>
      <w:bCs/>
    </w:rPr>
  </w:style>
  <w:style w:type="paragraph" w:styleId="NoSpacing">
    <w:name w:val="No Spacing"/>
    <w:basedOn w:val="Normal"/>
    <w:link w:val="NoSpacingChar"/>
    <w:semiHidden/>
    <w:qFormat/>
    <w:rsid w:val="00C90088"/>
  </w:style>
  <w:style w:type="character" w:customStyle="1" w:styleId="NoSpacingChar">
    <w:name w:val="No Spacing Char"/>
    <w:basedOn w:val="DefaultParagraphFont"/>
    <w:link w:val="NoSpacing"/>
    <w:semiHidden/>
    <w:rsid w:val="00C90088"/>
    <w:rPr>
      <w:rFonts w:eastAsiaTheme="minorEastAsia"/>
      <w:sz w:val="24"/>
      <w:lang w:val="en-GB"/>
    </w:rPr>
  </w:style>
  <w:style w:type="paragraph" w:customStyle="1" w:styleId="FooterLine">
    <w:name w:val="_Footer_Line"/>
    <w:aliases w:val="Footer_Line"/>
    <w:basedOn w:val="Normal"/>
    <w:next w:val="Footer0"/>
    <w:uiPriority w:val="57"/>
    <w:semiHidden/>
    <w:rsid w:val="00C90088"/>
    <w:pPr>
      <w:pBdr>
        <w:top w:val="single" w:sz="6" w:space="1" w:color="5F5F5F"/>
      </w:pBdr>
      <w:tabs>
        <w:tab w:val="center" w:pos="4536"/>
        <w:tab w:val="right" w:pos="9696"/>
      </w:tabs>
      <w:ind w:left="-680" w:right="-680"/>
    </w:pPr>
    <w:rPr>
      <w:color w:val="5F5F5F"/>
    </w:rPr>
  </w:style>
  <w:style w:type="paragraph" w:customStyle="1" w:styleId="DecList">
    <w:name w:val="Dec_List"/>
    <w:aliases w:val="_List"/>
    <w:basedOn w:val="Normal"/>
    <w:uiPriority w:val="22"/>
    <w:rsid w:val="00C90088"/>
    <w:pPr>
      <w:spacing w:before="280" w:after="60"/>
      <w:ind w:left="340"/>
    </w:pPr>
    <w:rPr>
      <w:rFonts w:eastAsiaTheme="minorHAnsi"/>
    </w:rPr>
  </w:style>
  <w:style w:type="paragraph" w:customStyle="1" w:styleId="NormalJustified">
    <w:name w:val="Normal_Justified"/>
    <w:basedOn w:val="Normal"/>
    <w:semiHidden/>
    <w:rsid w:val="00C90088"/>
    <w:pPr>
      <w:jc w:val="both"/>
    </w:pPr>
  </w:style>
  <w:style w:type="paragraph" w:customStyle="1" w:styleId="Title4">
    <w:name w:val="_Title_4"/>
    <w:basedOn w:val="JuPara"/>
    <w:next w:val="JuPara"/>
    <w:uiPriority w:val="35"/>
    <w:qFormat/>
    <w:rsid w:val="00C90088"/>
    <w:pPr>
      <w:keepNext/>
      <w:keepLines/>
      <w:tabs>
        <w:tab w:val="right" w:pos="7938"/>
      </w:tabs>
      <w:ind w:firstLine="0"/>
      <w:jc w:val="center"/>
    </w:pPr>
    <w:rPr>
      <w:rFonts w:eastAsiaTheme="minorHAnsi"/>
      <w:i/>
    </w:rPr>
  </w:style>
  <w:style w:type="paragraph" w:customStyle="1" w:styleId="JuHArticle">
    <w:name w:val="Ju_H_Article"/>
    <w:aliases w:val="_Title_Quote"/>
    <w:basedOn w:val="Normal"/>
    <w:next w:val="JuQuot"/>
    <w:uiPriority w:val="20"/>
    <w:qFormat/>
    <w:rsid w:val="00C90088"/>
    <w:pPr>
      <w:keepNext/>
      <w:spacing w:before="100" w:beforeAutospacing="1" w:after="120"/>
      <w:contextualSpacing/>
      <w:jc w:val="center"/>
    </w:pPr>
    <w:rPr>
      <w:rFonts w:eastAsiaTheme="minorHAnsi"/>
      <w:b/>
      <w:sz w:val="20"/>
    </w:rPr>
  </w:style>
  <w:style w:type="paragraph" w:customStyle="1" w:styleId="ECHRTitleCentre1">
    <w:name w:val="ECHR_Title_Centre_1"/>
    <w:aliases w:val="Opi_H_Head"/>
    <w:basedOn w:val="Normal"/>
    <w:next w:val="Normal"/>
    <w:uiPriority w:val="39"/>
    <w:qFormat/>
    <w:rsid w:val="00464097"/>
    <w:pPr>
      <w:keepNext/>
      <w:keepLines/>
      <w:spacing w:after="240"/>
      <w:jc w:val="center"/>
      <w:outlineLvl w:val="0"/>
    </w:pPr>
    <w:rPr>
      <w:rFonts w:asciiTheme="majorHAnsi" w:hAnsiTheme="majorHAnsi"/>
      <w:sz w:val="28"/>
    </w:rPr>
  </w:style>
  <w:style w:type="numbering" w:customStyle="1" w:styleId="ECHRA1StyleBulletedSquare">
    <w:name w:val="ECHR_A1_Style_Bulleted_Square"/>
    <w:basedOn w:val="NoList"/>
    <w:rsid w:val="00C90088"/>
    <w:pPr>
      <w:numPr>
        <w:numId w:val="31"/>
      </w:numPr>
    </w:pPr>
  </w:style>
  <w:style w:type="numbering" w:customStyle="1" w:styleId="ECHRA1StyleList">
    <w:name w:val="ECHR_A1_Style_List"/>
    <w:basedOn w:val="NoList"/>
    <w:uiPriority w:val="99"/>
    <w:rsid w:val="00C90088"/>
    <w:pPr>
      <w:numPr>
        <w:numId w:val="32"/>
      </w:numPr>
    </w:pPr>
  </w:style>
  <w:style w:type="numbering" w:customStyle="1" w:styleId="ECHRA1StyleNumberedList">
    <w:name w:val="ECHR_A1_Style_Numbered_List"/>
    <w:basedOn w:val="NoList"/>
    <w:rsid w:val="00C90088"/>
    <w:pPr>
      <w:numPr>
        <w:numId w:val="33"/>
      </w:numPr>
    </w:pPr>
  </w:style>
  <w:style w:type="paragraph" w:customStyle="1" w:styleId="DecHCase">
    <w:name w:val="Dec_H_Case"/>
    <w:aliases w:val="_Title_3"/>
    <w:basedOn w:val="JuPara"/>
    <w:next w:val="JuPara"/>
    <w:uiPriority w:val="35"/>
    <w:qFormat/>
    <w:rsid w:val="00C90088"/>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5"/>
    <w:qFormat/>
    <w:rsid w:val="00C90088"/>
    <w:pPr>
      <w:keepNext/>
      <w:keepLines/>
      <w:spacing w:before="1320" w:after="280"/>
      <w:contextualSpacing/>
      <w:jc w:val="center"/>
    </w:pPr>
    <w:rPr>
      <w:rFonts w:eastAsiaTheme="minorHAnsi"/>
      <w:b/>
    </w:rPr>
  </w:style>
  <w:style w:type="paragraph" w:styleId="Title">
    <w:name w:val="Title"/>
    <w:basedOn w:val="Normal"/>
    <w:next w:val="Normal"/>
    <w:link w:val="TitleChar"/>
    <w:uiPriority w:val="99"/>
    <w:semiHidden/>
    <w:qFormat/>
    <w:rsid w:val="00C90088"/>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C90088"/>
    <w:rPr>
      <w:rFonts w:asciiTheme="majorHAnsi" w:eastAsiaTheme="majorEastAsia" w:hAnsiTheme="majorHAnsi" w:cstheme="majorBidi"/>
      <w:spacing w:val="5"/>
      <w:sz w:val="52"/>
      <w:szCs w:val="52"/>
      <w:lang w:val="en-GB" w:bidi="en-US"/>
    </w:rPr>
  </w:style>
  <w:style w:type="paragraph" w:customStyle="1" w:styleId="JuH1">
    <w:name w:val="Ju_H_1."/>
    <w:aliases w:val="_Head_4"/>
    <w:basedOn w:val="Normal"/>
    <w:next w:val="JuPara"/>
    <w:uiPriority w:val="19"/>
    <w:rsid w:val="00C90088"/>
    <w:pPr>
      <w:keepNext/>
      <w:keepLines/>
      <w:numPr>
        <w:ilvl w:val="3"/>
        <w:numId w:val="24"/>
      </w:numPr>
      <w:spacing w:before="100" w:beforeAutospacing="1" w:after="120"/>
      <w:outlineLvl w:val="3"/>
    </w:pPr>
    <w:rPr>
      <w:i/>
    </w:rPr>
  </w:style>
  <w:style w:type="paragraph" w:customStyle="1" w:styleId="JuHa0">
    <w:name w:val="Ju_H_a"/>
    <w:aliases w:val="_Head_5"/>
    <w:basedOn w:val="Normal"/>
    <w:next w:val="JuPara"/>
    <w:uiPriority w:val="19"/>
    <w:rsid w:val="00C90088"/>
    <w:pPr>
      <w:keepNext/>
      <w:keepLines/>
      <w:numPr>
        <w:ilvl w:val="4"/>
        <w:numId w:val="24"/>
      </w:numPr>
      <w:spacing w:before="100" w:beforeAutospacing="1" w:after="120"/>
      <w:outlineLvl w:val="4"/>
    </w:pPr>
    <w:rPr>
      <w:b/>
      <w:sz w:val="20"/>
    </w:rPr>
  </w:style>
  <w:style w:type="paragraph" w:customStyle="1" w:styleId="JuHi">
    <w:name w:val="Ju_H_i"/>
    <w:aliases w:val="_Head_6"/>
    <w:basedOn w:val="Normal"/>
    <w:next w:val="JuPara"/>
    <w:uiPriority w:val="19"/>
    <w:rsid w:val="00C90088"/>
    <w:pPr>
      <w:keepNext/>
      <w:keepLines/>
      <w:numPr>
        <w:ilvl w:val="5"/>
        <w:numId w:val="24"/>
      </w:numPr>
      <w:spacing w:before="100" w:beforeAutospacing="1" w:after="120"/>
      <w:outlineLvl w:val="5"/>
    </w:pPr>
    <w:rPr>
      <w:i/>
      <w:sz w:val="20"/>
    </w:rPr>
  </w:style>
  <w:style w:type="paragraph" w:customStyle="1" w:styleId="JuHalpha">
    <w:name w:val="Ju_H_alpha"/>
    <w:aliases w:val="_Head_7"/>
    <w:basedOn w:val="Normal"/>
    <w:next w:val="JuPara"/>
    <w:uiPriority w:val="19"/>
    <w:rsid w:val="00C90088"/>
    <w:pPr>
      <w:keepNext/>
      <w:keepLines/>
      <w:numPr>
        <w:ilvl w:val="6"/>
        <w:numId w:val="24"/>
      </w:numPr>
      <w:spacing w:before="100" w:beforeAutospacing="1" w:after="120"/>
      <w:outlineLvl w:val="6"/>
    </w:pPr>
    <w:rPr>
      <w:sz w:val="20"/>
    </w:rPr>
  </w:style>
  <w:style w:type="paragraph" w:customStyle="1" w:styleId="JuH">
    <w:name w:val="Ju_H_–"/>
    <w:aliases w:val="_Head_8"/>
    <w:basedOn w:val="Normal"/>
    <w:next w:val="JuPara"/>
    <w:uiPriority w:val="19"/>
    <w:rsid w:val="00C90088"/>
    <w:pPr>
      <w:keepNext/>
      <w:keepLines/>
      <w:numPr>
        <w:ilvl w:val="7"/>
        <w:numId w:val="24"/>
      </w:numPr>
      <w:spacing w:before="100" w:beforeAutospacing="1" w:after="120"/>
      <w:outlineLvl w:val="7"/>
    </w:pPr>
    <w:rPr>
      <w:i/>
      <w:sz w:val="20"/>
    </w:rPr>
  </w:style>
  <w:style w:type="table" w:customStyle="1" w:styleId="ECHRTable2019">
    <w:name w:val="ECHR_Table_2019"/>
    <w:basedOn w:val="TableNormal"/>
    <w:uiPriority w:val="99"/>
    <w:rsid w:val="00C90088"/>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JuInitialled">
    <w:name w:val="Ju_Initialled"/>
    <w:aliases w:val="_Right"/>
    <w:basedOn w:val="Normal"/>
    <w:uiPriority w:val="30"/>
    <w:qFormat/>
    <w:rsid w:val="00C90088"/>
    <w:pPr>
      <w:tabs>
        <w:tab w:val="center" w:pos="6407"/>
      </w:tabs>
      <w:spacing w:before="720"/>
      <w:jc w:val="right"/>
    </w:pPr>
  </w:style>
  <w:style w:type="paragraph" w:customStyle="1" w:styleId="Footer0">
    <w:name w:val="_Footer"/>
    <w:aliases w:val="Footer_"/>
    <w:basedOn w:val="Footer"/>
    <w:uiPriority w:val="57"/>
    <w:semiHidden/>
    <w:rsid w:val="00C90088"/>
    <w:rPr>
      <w:sz w:val="8"/>
    </w:rPr>
  </w:style>
  <w:style w:type="paragraph" w:styleId="Header">
    <w:name w:val="header"/>
    <w:basedOn w:val="Normal"/>
    <w:link w:val="HeaderChar"/>
    <w:uiPriority w:val="57"/>
    <w:semiHidden/>
    <w:rsid w:val="00C90088"/>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C90088"/>
    <w:rPr>
      <w:sz w:val="24"/>
      <w:lang w:val="en-GB"/>
    </w:rPr>
  </w:style>
  <w:style w:type="character" w:customStyle="1" w:styleId="Heading1Char">
    <w:name w:val="Heading 1 Char"/>
    <w:basedOn w:val="DefaultParagraphFont"/>
    <w:link w:val="Heading1"/>
    <w:uiPriority w:val="99"/>
    <w:semiHidden/>
    <w:rsid w:val="00C90088"/>
    <w:rPr>
      <w:rFonts w:asciiTheme="majorHAnsi" w:eastAsiaTheme="majorEastAsia" w:hAnsiTheme="majorHAnsi" w:cstheme="majorBidi"/>
      <w:b/>
      <w:bCs/>
      <w:color w:val="333333"/>
      <w:sz w:val="28"/>
      <w:szCs w:val="28"/>
      <w:lang w:val="en-GB"/>
    </w:rPr>
  </w:style>
  <w:style w:type="paragraph" w:customStyle="1" w:styleId="JuHIRoman">
    <w:name w:val="Ju_H_I_Roman"/>
    <w:aliases w:val="_Head_2"/>
    <w:basedOn w:val="Normal"/>
    <w:next w:val="JuPara"/>
    <w:uiPriority w:val="19"/>
    <w:qFormat/>
    <w:rsid w:val="00C90088"/>
    <w:pPr>
      <w:keepNext/>
      <w:keepLines/>
      <w:numPr>
        <w:ilvl w:val="1"/>
        <w:numId w:val="24"/>
      </w:numPr>
      <w:spacing w:before="100" w:beforeAutospacing="1" w:after="240"/>
      <w:outlineLvl w:val="1"/>
    </w:pPr>
    <w:rPr>
      <w:caps/>
    </w:rPr>
  </w:style>
  <w:style w:type="paragraph" w:customStyle="1" w:styleId="JuHA">
    <w:name w:val="Ju_H_A"/>
    <w:aliases w:val="_Head_3"/>
    <w:basedOn w:val="Normal"/>
    <w:next w:val="JuPara"/>
    <w:uiPriority w:val="19"/>
    <w:qFormat/>
    <w:rsid w:val="00C90088"/>
    <w:pPr>
      <w:keepNext/>
      <w:keepLines/>
      <w:numPr>
        <w:ilvl w:val="2"/>
        <w:numId w:val="24"/>
      </w:numPr>
      <w:spacing w:before="100" w:beforeAutospacing="1" w:after="240"/>
      <w:outlineLvl w:val="2"/>
    </w:pPr>
    <w:rPr>
      <w:b/>
    </w:rPr>
  </w:style>
  <w:style w:type="character" w:customStyle="1" w:styleId="Heading2Char">
    <w:name w:val="Heading 2 Char"/>
    <w:basedOn w:val="DefaultParagraphFont"/>
    <w:link w:val="Heading2"/>
    <w:uiPriority w:val="99"/>
    <w:semiHidden/>
    <w:rsid w:val="00C90088"/>
    <w:rPr>
      <w:rFonts w:asciiTheme="majorHAnsi" w:eastAsiaTheme="majorEastAsia" w:hAnsiTheme="majorHAnsi" w:cstheme="majorBidi"/>
      <w:b/>
      <w:bCs/>
      <w:color w:val="4D4D4D"/>
      <w:sz w:val="26"/>
      <w:szCs w:val="26"/>
      <w:lang w:val="en-GB"/>
    </w:rPr>
  </w:style>
  <w:style w:type="character" w:customStyle="1" w:styleId="JUNAMES">
    <w:name w:val="JU_NAMES"/>
    <w:uiPriority w:val="34"/>
    <w:qFormat/>
    <w:rsid w:val="00C90088"/>
    <w:rPr>
      <w:caps w:val="0"/>
      <w:smallCaps/>
    </w:rPr>
  </w:style>
  <w:style w:type="paragraph" w:customStyle="1" w:styleId="JuCase">
    <w:name w:val="Ju_Case"/>
    <w:basedOn w:val="Normal"/>
    <w:next w:val="JuPara"/>
    <w:uiPriority w:val="31"/>
    <w:rsid w:val="00C90088"/>
    <w:pPr>
      <w:ind w:firstLine="284"/>
    </w:pPr>
    <w:rPr>
      <w:b/>
    </w:rPr>
  </w:style>
  <w:style w:type="character" w:customStyle="1" w:styleId="Heading3Char">
    <w:name w:val="Heading 3 Char"/>
    <w:basedOn w:val="DefaultParagraphFont"/>
    <w:link w:val="Heading3"/>
    <w:uiPriority w:val="99"/>
    <w:semiHidden/>
    <w:rsid w:val="00C90088"/>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C90088"/>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C90088"/>
    <w:rPr>
      <w:rFonts w:asciiTheme="majorHAnsi" w:eastAsiaTheme="majorEastAsia" w:hAnsiTheme="majorHAnsi" w:cstheme="majorBidi"/>
      <w:b/>
      <w:bCs/>
      <w:color w:val="808080"/>
      <w:sz w:val="24"/>
      <w:lang w:val="en-GB"/>
    </w:rPr>
  </w:style>
  <w:style w:type="character" w:styleId="SubtleEmphasis">
    <w:name w:val="Subtle Emphasis"/>
    <w:uiPriority w:val="99"/>
    <w:semiHidden/>
    <w:qFormat/>
    <w:rsid w:val="00C90088"/>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C90088"/>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JuHHead">
    <w:name w:val="Ju_H_Head"/>
    <w:aliases w:val="_Head_1"/>
    <w:basedOn w:val="Normal"/>
    <w:next w:val="JuPara"/>
    <w:uiPriority w:val="19"/>
    <w:qFormat/>
    <w:rsid w:val="00C90088"/>
    <w:pPr>
      <w:keepNext/>
      <w:keepLines/>
      <w:numPr>
        <w:numId w:val="24"/>
      </w:numPr>
      <w:spacing w:before="100" w:beforeAutospacing="1" w:after="240"/>
      <w:outlineLvl w:val="0"/>
    </w:pPr>
    <w:rPr>
      <w:caps/>
      <w:sz w:val="28"/>
    </w:rPr>
  </w:style>
  <w:style w:type="character" w:styleId="Emphasis">
    <w:name w:val="Emphasis"/>
    <w:uiPriority w:val="99"/>
    <w:semiHidden/>
    <w:qFormat/>
    <w:rsid w:val="00C90088"/>
    <w:rPr>
      <w:b/>
      <w:bCs/>
      <w:i/>
      <w:iCs/>
      <w:spacing w:val="10"/>
      <w:bdr w:val="none" w:sz="0" w:space="0" w:color="auto"/>
      <w:shd w:val="clear" w:color="auto" w:fill="auto"/>
    </w:rPr>
  </w:style>
  <w:style w:type="paragraph" w:styleId="Footer">
    <w:name w:val="footer"/>
    <w:basedOn w:val="Normal"/>
    <w:link w:val="FooterChar"/>
    <w:uiPriority w:val="57"/>
    <w:semiHidden/>
    <w:rsid w:val="00C90088"/>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C90088"/>
    <w:rPr>
      <w:sz w:val="24"/>
      <w:lang w:val="en-GB"/>
    </w:rPr>
  </w:style>
  <w:style w:type="character" w:styleId="FootnoteReference">
    <w:name w:val="footnote reference"/>
    <w:basedOn w:val="DefaultParagraphFont"/>
    <w:uiPriority w:val="99"/>
    <w:semiHidden/>
    <w:rsid w:val="00C90088"/>
    <w:rPr>
      <w:vertAlign w:val="superscript"/>
    </w:rPr>
  </w:style>
  <w:style w:type="paragraph" w:styleId="FootnoteText">
    <w:name w:val="footnote text"/>
    <w:basedOn w:val="Normal"/>
    <w:link w:val="FootnoteTextChar"/>
    <w:uiPriority w:val="99"/>
    <w:semiHidden/>
    <w:rsid w:val="00C90088"/>
    <w:rPr>
      <w:sz w:val="20"/>
      <w:szCs w:val="20"/>
    </w:rPr>
  </w:style>
  <w:style w:type="character" w:customStyle="1" w:styleId="FootnoteTextChar">
    <w:name w:val="Footnote Text Char"/>
    <w:basedOn w:val="DefaultParagraphFont"/>
    <w:link w:val="FootnoteText"/>
    <w:uiPriority w:val="99"/>
    <w:semiHidden/>
    <w:rsid w:val="00C90088"/>
    <w:rPr>
      <w:rFonts w:eastAsiaTheme="minorEastAsia"/>
      <w:sz w:val="20"/>
      <w:szCs w:val="20"/>
      <w:lang w:val="en-GB"/>
    </w:rPr>
  </w:style>
  <w:style w:type="character" w:customStyle="1" w:styleId="Heading6Char">
    <w:name w:val="Heading 6 Char"/>
    <w:basedOn w:val="DefaultParagraphFont"/>
    <w:link w:val="Heading6"/>
    <w:uiPriority w:val="99"/>
    <w:semiHidden/>
    <w:rsid w:val="00C90088"/>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C90088"/>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C90088"/>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C90088"/>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C90088"/>
    <w:rPr>
      <w:color w:val="0072BC" w:themeColor="hyperlink"/>
      <w:u w:val="single"/>
    </w:rPr>
  </w:style>
  <w:style w:type="character" w:styleId="IntenseEmphasis">
    <w:name w:val="Intense Emphasis"/>
    <w:uiPriority w:val="99"/>
    <w:semiHidden/>
    <w:qFormat/>
    <w:rsid w:val="00C90088"/>
    <w:rPr>
      <w:b/>
      <w:bCs/>
    </w:rPr>
  </w:style>
  <w:style w:type="paragraph" w:styleId="IntenseQuote">
    <w:name w:val="Intense Quote"/>
    <w:basedOn w:val="Normal"/>
    <w:next w:val="Normal"/>
    <w:link w:val="IntenseQuoteChar"/>
    <w:uiPriority w:val="99"/>
    <w:semiHidden/>
    <w:qFormat/>
    <w:rsid w:val="00C90088"/>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C90088"/>
    <w:rPr>
      <w:rFonts w:eastAsiaTheme="minorEastAsia"/>
      <w:b/>
      <w:bCs/>
      <w:i/>
      <w:iCs/>
      <w:sz w:val="24"/>
      <w:lang w:val="en-GB" w:bidi="en-US"/>
    </w:rPr>
  </w:style>
  <w:style w:type="character" w:styleId="IntenseReference">
    <w:name w:val="Intense Reference"/>
    <w:uiPriority w:val="99"/>
    <w:semiHidden/>
    <w:qFormat/>
    <w:rsid w:val="00C90088"/>
    <w:rPr>
      <w:smallCaps/>
      <w:spacing w:val="5"/>
      <w:u w:val="single"/>
    </w:rPr>
  </w:style>
  <w:style w:type="paragraph" w:styleId="ListParagraph">
    <w:name w:val="List Paragraph"/>
    <w:basedOn w:val="Normal"/>
    <w:uiPriority w:val="99"/>
    <w:semiHidden/>
    <w:qFormat/>
    <w:rsid w:val="00C90088"/>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C90088"/>
    <w:pPr>
      <w:spacing w:before="200"/>
      <w:ind w:left="360" w:right="360"/>
    </w:pPr>
    <w:rPr>
      <w:i/>
      <w:iCs/>
      <w:lang w:bidi="en-US"/>
    </w:rPr>
  </w:style>
  <w:style w:type="character" w:customStyle="1" w:styleId="QuoteChar">
    <w:name w:val="Quote Char"/>
    <w:basedOn w:val="DefaultParagraphFont"/>
    <w:link w:val="Quote"/>
    <w:uiPriority w:val="99"/>
    <w:semiHidden/>
    <w:rsid w:val="00C90088"/>
    <w:rPr>
      <w:rFonts w:eastAsiaTheme="minorEastAsia"/>
      <w:i/>
      <w:iCs/>
      <w:sz w:val="24"/>
      <w:lang w:val="en-GB" w:bidi="en-US"/>
    </w:rPr>
  </w:style>
  <w:style w:type="character" w:styleId="SubtleReference">
    <w:name w:val="Subtle Reference"/>
    <w:uiPriority w:val="99"/>
    <w:semiHidden/>
    <w:qFormat/>
    <w:rsid w:val="00C90088"/>
    <w:rPr>
      <w:smallCaps/>
    </w:rPr>
  </w:style>
  <w:style w:type="table" w:styleId="TableGrid">
    <w:name w:val="Table Grid"/>
    <w:basedOn w:val="TableNormal"/>
    <w:uiPriority w:val="59"/>
    <w:semiHidden/>
    <w:rsid w:val="00C90088"/>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C90088"/>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C90088"/>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C90088"/>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C90088"/>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C90088"/>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C90088"/>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C90088"/>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C9008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C90088"/>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C90088"/>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JuQuot">
    <w:name w:val="Ju_Quot"/>
    <w:aliases w:val="_Quote"/>
    <w:basedOn w:val="NormalJustified"/>
    <w:uiPriority w:val="21"/>
    <w:qFormat/>
    <w:rsid w:val="00C90088"/>
    <w:pPr>
      <w:spacing w:before="120" w:after="120"/>
      <w:ind w:left="425" w:firstLine="142"/>
    </w:pPr>
    <w:rPr>
      <w:sz w:val="20"/>
    </w:rPr>
  </w:style>
  <w:style w:type="paragraph" w:customStyle="1" w:styleId="JuPara">
    <w:name w:val="Ju_Para"/>
    <w:aliases w:val="_Para"/>
    <w:basedOn w:val="NormalJustified"/>
    <w:link w:val="JuParaChar"/>
    <w:uiPriority w:val="8"/>
    <w:qFormat/>
    <w:rsid w:val="00E81DD9"/>
    <w:pPr>
      <w:ind w:firstLine="284"/>
    </w:pPr>
  </w:style>
  <w:style w:type="table" w:customStyle="1" w:styleId="ECHRTableSimpleBox">
    <w:name w:val="ECHR_Table_Simple_Box"/>
    <w:basedOn w:val="TableNormal"/>
    <w:uiPriority w:val="99"/>
    <w:rsid w:val="00C90088"/>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C90088"/>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C90088"/>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00067"/>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C90088"/>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basedOn w:val="Normal"/>
    <w:uiPriority w:val="31"/>
    <w:qFormat/>
    <w:rsid w:val="00C90088"/>
    <w:pPr>
      <w:tabs>
        <w:tab w:val="left" w:pos="567"/>
        <w:tab w:val="left" w:pos="1134"/>
      </w:tabs>
    </w:pPr>
  </w:style>
  <w:style w:type="table" w:customStyle="1" w:styleId="ECHRHeaderTableReduced">
    <w:name w:val="ECHR_Header_Table_Reduced"/>
    <w:basedOn w:val="TableNormal"/>
    <w:uiPriority w:val="99"/>
    <w:rsid w:val="00C90088"/>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aliases w:val="_List_1"/>
    <w:basedOn w:val="NormalJustified"/>
    <w:uiPriority w:val="23"/>
    <w:qFormat/>
    <w:rsid w:val="00C90088"/>
    <w:pPr>
      <w:numPr>
        <w:numId w:val="27"/>
      </w:numPr>
      <w:spacing w:before="280" w:after="60"/>
    </w:pPr>
    <w:rPr>
      <w:rFonts w:eastAsiaTheme="minorHAnsi"/>
    </w:rPr>
  </w:style>
  <w:style w:type="paragraph" w:customStyle="1" w:styleId="JuSigned">
    <w:name w:val="Ju_Signed"/>
    <w:aliases w:val="_Signature"/>
    <w:basedOn w:val="Normal"/>
    <w:next w:val="JuPara"/>
    <w:uiPriority w:val="30"/>
    <w:qFormat/>
    <w:rsid w:val="00C90088"/>
    <w:pPr>
      <w:tabs>
        <w:tab w:val="center" w:pos="851"/>
        <w:tab w:val="center" w:pos="6407"/>
      </w:tabs>
      <w:spacing w:before="720"/>
    </w:pPr>
  </w:style>
  <w:style w:type="paragraph" w:customStyle="1" w:styleId="JuParaLast">
    <w:name w:val="Ju_Para_Last"/>
    <w:aliases w:val="_Para_Spaced"/>
    <w:basedOn w:val="NormalJustified"/>
    <w:uiPriority w:val="9"/>
    <w:qFormat/>
    <w:rsid w:val="00C90088"/>
    <w:pPr>
      <w:keepNext/>
      <w:keepLines/>
      <w:spacing w:before="240" w:after="240"/>
      <w:ind w:firstLine="284"/>
    </w:pPr>
    <w:rPr>
      <w:rFonts w:eastAsiaTheme="minorHAnsi"/>
    </w:rPr>
  </w:style>
  <w:style w:type="paragraph" w:customStyle="1" w:styleId="JuCourt">
    <w:name w:val="Ju_Court"/>
    <w:basedOn w:val="Normal"/>
    <w:next w:val="Normal"/>
    <w:uiPriority w:val="31"/>
    <w:qFormat/>
    <w:rsid w:val="00C90088"/>
    <w:pPr>
      <w:tabs>
        <w:tab w:val="left" w:pos="907"/>
        <w:tab w:val="left" w:pos="1701"/>
        <w:tab w:val="right" w:pos="7371"/>
      </w:tabs>
      <w:spacing w:before="240"/>
      <w:ind w:left="397" w:hanging="397"/>
    </w:pPr>
    <w:rPr>
      <w:lang w:bidi="en-US"/>
    </w:rPr>
  </w:style>
  <w:style w:type="character" w:styleId="PageNumber">
    <w:name w:val="page number"/>
    <w:uiPriority w:val="99"/>
    <w:semiHidden/>
    <w:rsid w:val="00C90088"/>
    <w:rPr>
      <w:sz w:val="18"/>
    </w:rPr>
  </w:style>
  <w:style w:type="paragraph" w:customStyle="1" w:styleId="JuLista">
    <w:name w:val="Ju_List_a"/>
    <w:aliases w:val="_List_2"/>
    <w:basedOn w:val="NormalJustified"/>
    <w:uiPriority w:val="23"/>
    <w:rsid w:val="00C90088"/>
    <w:pPr>
      <w:numPr>
        <w:ilvl w:val="1"/>
        <w:numId w:val="27"/>
      </w:numPr>
      <w:tabs>
        <w:tab w:val="clear" w:pos="766"/>
        <w:tab w:val="num" w:pos="680"/>
      </w:tabs>
      <w:ind w:left="680"/>
    </w:pPr>
  </w:style>
  <w:style w:type="paragraph" w:customStyle="1" w:styleId="JuListi">
    <w:name w:val="Ju_List_i"/>
    <w:aliases w:val="_List_3"/>
    <w:basedOn w:val="NormalJustified"/>
    <w:uiPriority w:val="23"/>
    <w:rsid w:val="00C90088"/>
    <w:pPr>
      <w:numPr>
        <w:ilvl w:val="2"/>
        <w:numId w:val="27"/>
      </w:numPr>
    </w:pPr>
  </w:style>
  <w:style w:type="character" w:styleId="CommentReference">
    <w:name w:val="annotation reference"/>
    <w:basedOn w:val="DefaultParagraphFont"/>
    <w:uiPriority w:val="99"/>
    <w:semiHidden/>
    <w:rsid w:val="00C90088"/>
    <w:rPr>
      <w:sz w:val="16"/>
      <w:szCs w:val="16"/>
    </w:rPr>
  </w:style>
  <w:style w:type="paragraph" w:styleId="CommentText">
    <w:name w:val="annotation text"/>
    <w:basedOn w:val="Normal"/>
    <w:link w:val="CommentTextChar"/>
    <w:semiHidden/>
    <w:rsid w:val="00C90088"/>
    <w:rPr>
      <w:sz w:val="20"/>
      <w:szCs w:val="20"/>
    </w:rPr>
  </w:style>
  <w:style w:type="character" w:customStyle="1" w:styleId="CommentTextChar">
    <w:name w:val="Comment Text Char"/>
    <w:basedOn w:val="DefaultParagraphFont"/>
    <w:link w:val="CommentText"/>
    <w:semiHidden/>
    <w:rsid w:val="00C90088"/>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C90088"/>
    <w:rPr>
      <w:b/>
      <w:bCs/>
    </w:rPr>
  </w:style>
  <w:style w:type="character" w:customStyle="1" w:styleId="CommentSubjectChar">
    <w:name w:val="Comment Subject Char"/>
    <w:basedOn w:val="CommentTextChar"/>
    <w:link w:val="CommentSubject"/>
    <w:uiPriority w:val="99"/>
    <w:semiHidden/>
    <w:rsid w:val="00C90088"/>
    <w:rPr>
      <w:rFonts w:eastAsiaTheme="minorEastAsia"/>
      <w:b/>
      <w:bCs/>
      <w:sz w:val="20"/>
      <w:szCs w:val="20"/>
      <w:lang w:val="en-GB"/>
    </w:rPr>
  </w:style>
  <w:style w:type="character" w:styleId="EndnoteReference">
    <w:name w:val="endnote reference"/>
    <w:basedOn w:val="DefaultParagraphFont"/>
    <w:uiPriority w:val="99"/>
    <w:semiHidden/>
    <w:rsid w:val="00C90088"/>
    <w:rPr>
      <w:vertAlign w:val="superscript"/>
    </w:rPr>
  </w:style>
  <w:style w:type="paragraph" w:styleId="EndnoteText">
    <w:name w:val="endnote text"/>
    <w:basedOn w:val="Normal"/>
    <w:link w:val="EndnoteTextChar"/>
    <w:uiPriority w:val="99"/>
    <w:semiHidden/>
    <w:rsid w:val="00C90088"/>
    <w:rPr>
      <w:sz w:val="20"/>
      <w:szCs w:val="20"/>
    </w:rPr>
  </w:style>
  <w:style w:type="character" w:customStyle="1" w:styleId="EndnoteTextChar">
    <w:name w:val="Endnote Text Char"/>
    <w:basedOn w:val="DefaultParagraphFont"/>
    <w:link w:val="EndnoteText"/>
    <w:uiPriority w:val="99"/>
    <w:semiHidden/>
    <w:rsid w:val="00C90088"/>
    <w:rPr>
      <w:rFonts w:eastAsiaTheme="minorEastAsia"/>
      <w:sz w:val="20"/>
      <w:szCs w:val="20"/>
      <w:lang w:val="en-GB"/>
    </w:rPr>
  </w:style>
  <w:style w:type="character" w:styleId="FollowedHyperlink">
    <w:name w:val="FollowedHyperlink"/>
    <w:basedOn w:val="DefaultParagraphFont"/>
    <w:uiPriority w:val="99"/>
    <w:semiHidden/>
    <w:rsid w:val="00C90088"/>
    <w:rPr>
      <w:color w:val="7030A0" w:themeColor="followedHyperlink"/>
      <w:u w:val="single"/>
    </w:rPr>
  </w:style>
  <w:style w:type="paragraph" w:styleId="DocumentMap">
    <w:name w:val="Document Map"/>
    <w:basedOn w:val="Normal"/>
    <w:link w:val="DocumentMapChar"/>
    <w:uiPriority w:val="99"/>
    <w:semiHidden/>
    <w:rsid w:val="00C90088"/>
    <w:rPr>
      <w:rFonts w:ascii="Tahoma" w:hAnsi="Tahoma" w:cs="Tahoma"/>
      <w:sz w:val="16"/>
      <w:szCs w:val="16"/>
    </w:rPr>
  </w:style>
  <w:style w:type="character" w:customStyle="1" w:styleId="DocumentMapChar">
    <w:name w:val="Document Map Char"/>
    <w:basedOn w:val="DefaultParagraphFont"/>
    <w:link w:val="DocumentMap"/>
    <w:uiPriority w:val="99"/>
    <w:semiHidden/>
    <w:rsid w:val="00C90088"/>
    <w:rPr>
      <w:rFonts w:ascii="Tahoma" w:eastAsiaTheme="minorEastAsia" w:hAnsi="Tahoma" w:cs="Tahoma"/>
      <w:sz w:val="16"/>
      <w:szCs w:val="16"/>
      <w:lang w:val="en-GB"/>
    </w:rPr>
  </w:style>
  <w:style w:type="character" w:customStyle="1" w:styleId="JuNames0">
    <w:name w:val="Ju_Names"/>
    <w:rsid w:val="00014566"/>
    <w:rPr>
      <w:smallCaps/>
    </w:rPr>
  </w:style>
  <w:style w:type="paragraph" w:styleId="ListBullet">
    <w:name w:val="List Bullet"/>
    <w:basedOn w:val="Normal"/>
    <w:uiPriority w:val="99"/>
    <w:semiHidden/>
    <w:rsid w:val="00C90088"/>
    <w:pPr>
      <w:numPr>
        <w:numId w:val="34"/>
      </w:numPr>
    </w:pPr>
  </w:style>
  <w:style w:type="character" w:customStyle="1" w:styleId="JuITMark">
    <w:name w:val="Ju_ITMark"/>
    <w:basedOn w:val="DefaultParagraphFont"/>
    <w:uiPriority w:val="38"/>
    <w:qFormat/>
    <w:rsid w:val="00C90088"/>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C90088"/>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C90088"/>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C90088"/>
    <w:pPr>
      <w:numPr>
        <w:numId w:val="28"/>
      </w:numPr>
    </w:pPr>
  </w:style>
  <w:style w:type="numbering" w:styleId="1ai">
    <w:name w:val="Outline List 1"/>
    <w:basedOn w:val="NoList"/>
    <w:uiPriority w:val="99"/>
    <w:semiHidden/>
    <w:unhideWhenUsed/>
    <w:rsid w:val="00C90088"/>
    <w:pPr>
      <w:numPr>
        <w:numId w:val="29"/>
      </w:numPr>
    </w:pPr>
  </w:style>
  <w:style w:type="numbering" w:styleId="ArticleSection">
    <w:name w:val="Outline List 3"/>
    <w:basedOn w:val="NoList"/>
    <w:uiPriority w:val="99"/>
    <w:semiHidden/>
    <w:unhideWhenUsed/>
    <w:rsid w:val="00C90088"/>
    <w:pPr>
      <w:numPr>
        <w:numId w:val="4"/>
      </w:numPr>
    </w:pPr>
  </w:style>
  <w:style w:type="paragraph" w:styleId="Bibliography">
    <w:name w:val="Bibliography"/>
    <w:basedOn w:val="Normal"/>
    <w:next w:val="Normal"/>
    <w:uiPriority w:val="99"/>
    <w:semiHidden/>
    <w:rsid w:val="00C90088"/>
  </w:style>
  <w:style w:type="paragraph" w:styleId="BlockText">
    <w:name w:val="Block Text"/>
    <w:basedOn w:val="Normal"/>
    <w:uiPriority w:val="99"/>
    <w:semiHidden/>
    <w:rsid w:val="00C90088"/>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C90088"/>
    <w:pPr>
      <w:spacing w:after="120"/>
    </w:pPr>
  </w:style>
  <w:style w:type="character" w:customStyle="1" w:styleId="BodyTextChar">
    <w:name w:val="Body Text Char"/>
    <w:basedOn w:val="DefaultParagraphFont"/>
    <w:link w:val="BodyText"/>
    <w:uiPriority w:val="99"/>
    <w:semiHidden/>
    <w:rsid w:val="00C90088"/>
    <w:rPr>
      <w:rFonts w:eastAsiaTheme="minorEastAsia"/>
      <w:sz w:val="24"/>
      <w:lang w:val="en-GB"/>
    </w:rPr>
  </w:style>
  <w:style w:type="paragraph" w:styleId="BodyText2">
    <w:name w:val="Body Text 2"/>
    <w:basedOn w:val="Normal"/>
    <w:link w:val="BodyText2Char"/>
    <w:uiPriority w:val="99"/>
    <w:semiHidden/>
    <w:rsid w:val="00C90088"/>
    <w:pPr>
      <w:spacing w:after="120" w:line="480" w:lineRule="auto"/>
    </w:pPr>
  </w:style>
  <w:style w:type="character" w:customStyle="1" w:styleId="BodyText2Char">
    <w:name w:val="Body Text 2 Char"/>
    <w:basedOn w:val="DefaultParagraphFont"/>
    <w:link w:val="BodyText2"/>
    <w:uiPriority w:val="99"/>
    <w:semiHidden/>
    <w:rsid w:val="00C90088"/>
    <w:rPr>
      <w:rFonts w:eastAsiaTheme="minorEastAsia"/>
      <w:sz w:val="24"/>
      <w:lang w:val="en-GB"/>
    </w:rPr>
  </w:style>
  <w:style w:type="paragraph" w:styleId="BodyText3">
    <w:name w:val="Body Text 3"/>
    <w:basedOn w:val="Normal"/>
    <w:link w:val="BodyText3Char"/>
    <w:uiPriority w:val="99"/>
    <w:semiHidden/>
    <w:rsid w:val="00C90088"/>
    <w:pPr>
      <w:spacing w:after="120"/>
    </w:pPr>
    <w:rPr>
      <w:sz w:val="16"/>
      <w:szCs w:val="16"/>
    </w:rPr>
  </w:style>
  <w:style w:type="character" w:customStyle="1" w:styleId="BodyText3Char">
    <w:name w:val="Body Text 3 Char"/>
    <w:basedOn w:val="DefaultParagraphFont"/>
    <w:link w:val="BodyText3"/>
    <w:uiPriority w:val="99"/>
    <w:semiHidden/>
    <w:rsid w:val="00C90088"/>
    <w:rPr>
      <w:rFonts w:eastAsiaTheme="minorEastAsia"/>
      <w:sz w:val="16"/>
      <w:szCs w:val="16"/>
      <w:lang w:val="en-GB"/>
    </w:rPr>
  </w:style>
  <w:style w:type="paragraph" w:styleId="BodyTextFirstIndent">
    <w:name w:val="Body Text First Indent"/>
    <w:basedOn w:val="BodyText"/>
    <w:link w:val="BodyTextFirstIndentChar"/>
    <w:uiPriority w:val="99"/>
    <w:semiHidden/>
    <w:rsid w:val="00C90088"/>
    <w:pPr>
      <w:spacing w:after="0"/>
      <w:ind w:firstLine="360"/>
    </w:pPr>
  </w:style>
  <w:style w:type="character" w:customStyle="1" w:styleId="BodyTextFirstIndentChar">
    <w:name w:val="Body Text First Indent Char"/>
    <w:basedOn w:val="BodyTextChar"/>
    <w:link w:val="BodyTextFirstIndent"/>
    <w:uiPriority w:val="99"/>
    <w:semiHidden/>
    <w:rsid w:val="00C90088"/>
    <w:rPr>
      <w:rFonts w:eastAsiaTheme="minorEastAsia"/>
      <w:sz w:val="24"/>
      <w:lang w:val="en-GB"/>
    </w:rPr>
  </w:style>
  <w:style w:type="paragraph" w:styleId="BodyTextIndent">
    <w:name w:val="Body Text Indent"/>
    <w:basedOn w:val="Normal"/>
    <w:link w:val="BodyTextIndentChar"/>
    <w:uiPriority w:val="99"/>
    <w:semiHidden/>
    <w:rsid w:val="00C90088"/>
    <w:pPr>
      <w:spacing w:after="120"/>
      <w:ind w:left="283"/>
    </w:pPr>
  </w:style>
  <w:style w:type="character" w:customStyle="1" w:styleId="BodyTextIndentChar">
    <w:name w:val="Body Text Indent Char"/>
    <w:basedOn w:val="DefaultParagraphFont"/>
    <w:link w:val="BodyTextIndent"/>
    <w:uiPriority w:val="99"/>
    <w:semiHidden/>
    <w:rsid w:val="00C90088"/>
    <w:rPr>
      <w:rFonts w:eastAsiaTheme="minorEastAsia"/>
      <w:sz w:val="24"/>
      <w:lang w:val="en-GB"/>
    </w:rPr>
  </w:style>
  <w:style w:type="paragraph" w:styleId="BodyTextFirstIndent2">
    <w:name w:val="Body Text First Indent 2"/>
    <w:basedOn w:val="BodyTextIndent"/>
    <w:link w:val="BodyTextFirstIndent2Char"/>
    <w:uiPriority w:val="99"/>
    <w:semiHidden/>
    <w:rsid w:val="00C90088"/>
    <w:pPr>
      <w:spacing w:after="0"/>
      <w:ind w:left="360" w:firstLine="360"/>
    </w:pPr>
  </w:style>
  <w:style w:type="character" w:customStyle="1" w:styleId="BodyTextFirstIndent2Char">
    <w:name w:val="Body Text First Indent 2 Char"/>
    <w:basedOn w:val="BodyTextIndentChar"/>
    <w:link w:val="BodyTextFirstIndent2"/>
    <w:uiPriority w:val="99"/>
    <w:semiHidden/>
    <w:rsid w:val="00C90088"/>
    <w:rPr>
      <w:rFonts w:eastAsiaTheme="minorEastAsia"/>
      <w:sz w:val="24"/>
      <w:lang w:val="en-GB"/>
    </w:rPr>
  </w:style>
  <w:style w:type="paragraph" w:styleId="BodyTextIndent2">
    <w:name w:val="Body Text Indent 2"/>
    <w:basedOn w:val="Normal"/>
    <w:link w:val="BodyTextIndent2Char"/>
    <w:uiPriority w:val="99"/>
    <w:semiHidden/>
    <w:rsid w:val="00C90088"/>
    <w:pPr>
      <w:spacing w:after="120" w:line="480" w:lineRule="auto"/>
      <w:ind w:left="283"/>
    </w:pPr>
  </w:style>
  <w:style w:type="character" w:customStyle="1" w:styleId="BodyTextIndent2Char">
    <w:name w:val="Body Text Indent 2 Char"/>
    <w:basedOn w:val="DefaultParagraphFont"/>
    <w:link w:val="BodyTextIndent2"/>
    <w:uiPriority w:val="99"/>
    <w:semiHidden/>
    <w:rsid w:val="00C90088"/>
    <w:rPr>
      <w:rFonts w:eastAsiaTheme="minorEastAsia"/>
      <w:sz w:val="24"/>
      <w:lang w:val="en-GB"/>
    </w:rPr>
  </w:style>
  <w:style w:type="paragraph" w:styleId="BodyTextIndent3">
    <w:name w:val="Body Text Indent 3"/>
    <w:basedOn w:val="Normal"/>
    <w:link w:val="BodyTextIndent3Char"/>
    <w:uiPriority w:val="99"/>
    <w:semiHidden/>
    <w:rsid w:val="00C90088"/>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C90088"/>
    <w:rPr>
      <w:rFonts w:eastAsiaTheme="minorEastAsia"/>
      <w:sz w:val="16"/>
      <w:szCs w:val="16"/>
      <w:lang w:val="en-GB"/>
    </w:rPr>
  </w:style>
  <w:style w:type="paragraph" w:styleId="Caption">
    <w:name w:val="caption"/>
    <w:basedOn w:val="Normal"/>
    <w:next w:val="Normal"/>
    <w:uiPriority w:val="99"/>
    <w:semiHidden/>
    <w:qFormat/>
    <w:rsid w:val="00C90088"/>
    <w:pPr>
      <w:spacing w:after="200"/>
    </w:pPr>
    <w:rPr>
      <w:b/>
      <w:bCs/>
      <w:color w:val="0072BC" w:themeColor="accent1"/>
      <w:sz w:val="18"/>
      <w:szCs w:val="18"/>
    </w:rPr>
  </w:style>
  <w:style w:type="paragraph" w:styleId="Closing">
    <w:name w:val="Closing"/>
    <w:basedOn w:val="Normal"/>
    <w:link w:val="ClosingChar"/>
    <w:uiPriority w:val="99"/>
    <w:semiHidden/>
    <w:rsid w:val="00C90088"/>
    <w:pPr>
      <w:ind w:left="4252"/>
    </w:pPr>
  </w:style>
  <w:style w:type="character" w:customStyle="1" w:styleId="ClosingChar">
    <w:name w:val="Closing Char"/>
    <w:basedOn w:val="DefaultParagraphFont"/>
    <w:link w:val="Closing"/>
    <w:uiPriority w:val="99"/>
    <w:semiHidden/>
    <w:rsid w:val="00C90088"/>
    <w:rPr>
      <w:rFonts w:eastAsiaTheme="minorEastAsia"/>
      <w:sz w:val="24"/>
      <w:lang w:val="en-GB"/>
    </w:rPr>
  </w:style>
  <w:style w:type="table" w:styleId="ColorfulGrid">
    <w:name w:val="Colorful Grid"/>
    <w:basedOn w:val="TableNormal"/>
    <w:uiPriority w:val="73"/>
    <w:semiHidden/>
    <w:rsid w:val="00C90088"/>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C90088"/>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C90088"/>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C90088"/>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C90088"/>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C90088"/>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C90088"/>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C90088"/>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C90088"/>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C90088"/>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C90088"/>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C90088"/>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C90088"/>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C90088"/>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C90088"/>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C90088"/>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C90088"/>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C90088"/>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C90088"/>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C90088"/>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C90088"/>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C90088"/>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C90088"/>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C90088"/>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C90088"/>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C90088"/>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C90088"/>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C90088"/>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C90088"/>
  </w:style>
  <w:style w:type="character" w:customStyle="1" w:styleId="DateChar">
    <w:name w:val="Date Char"/>
    <w:basedOn w:val="DefaultParagraphFont"/>
    <w:link w:val="Date"/>
    <w:uiPriority w:val="99"/>
    <w:semiHidden/>
    <w:rsid w:val="00C90088"/>
    <w:rPr>
      <w:rFonts w:eastAsiaTheme="minorEastAsia"/>
      <w:sz w:val="24"/>
      <w:lang w:val="en-GB"/>
    </w:rPr>
  </w:style>
  <w:style w:type="paragraph" w:styleId="E-mailSignature">
    <w:name w:val="E-mail Signature"/>
    <w:basedOn w:val="Normal"/>
    <w:link w:val="E-mailSignatureChar"/>
    <w:uiPriority w:val="99"/>
    <w:semiHidden/>
    <w:rsid w:val="00C90088"/>
  </w:style>
  <w:style w:type="character" w:customStyle="1" w:styleId="E-mailSignatureChar">
    <w:name w:val="E-mail Signature Char"/>
    <w:basedOn w:val="DefaultParagraphFont"/>
    <w:link w:val="E-mailSignature"/>
    <w:uiPriority w:val="99"/>
    <w:semiHidden/>
    <w:rsid w:val="00C90088"/>
    <w:rPr>
      <w:rFonts w:eastAsiaTheme="minorEastAsia"/>
      <w:sz w:val="24"/>
      <w:lang w:val="en-GB"/>
    </w:rPr>
  </w:style>
  <w:style w:type="paragraph" w:styleId="EnvelopeAddress">
    <w:name w:val="envelope address"/>
    <w:basedOn w:val="Normal"/>
    <w:uiPriority w:val="99"/>
    <w:semiHidden/>
    <w:rsid w:val="00C90088"/>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C90088"/>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C90088"/>
  </w:style>
  <w:style w:type="paragraph" w:styleId="HTMLAddress">
    <w:name w:val="HTML Address"/>
    <w:basedOn w:val="Normal"/>
    <w:link w:val="HTMLAddressChar"/>
    <w:uiPriority w:val="99"/>
    <w:semiHidden/>
    <w:rsid w:val="00C90088"/>
    <w:rPr>
      <w:i/>
      <w:iCs/>
    </w:rPr>
  </w:style>
  <w:style w:type="character" w:customStyle="1" w:styleId="HTMLAddressChar">
    <w:name w:val="HTML Address Char"/>
    <w:basedOn w:val="DefaultParagraphFont"/>
    <w:link w:val="HTMLAddress"/>
    <w:uiPriority w:val="99"/>
    <w:semiHidden/>
    <w:rsid w:val="00C90088"/>
    <w:rPr>
      <w:rFonts w:eastAsiaTheme="minorEastAsia"/>
      <w:i/>
      <w:iCs/>
      <w:sz w:val="24"/>
      <w:lang w:val="en-GB"/>
    </w:rPr>
  </w:style>
  <w:style w:type="character" w:styleId="HTMLCite">
    <w:name w:val="HTML Cite"/>
    <w:basedOn w:val="DefaultParagraphFont"/>
    <w:uiPriority w:val="99"/>
    <w:semiHidden/>
    <w:rsid w:val="00C90088"/>
    <w:rPr>
      <w:i/>
      <w:iCs/>
    </w:rPr>
  </w:style>
  <w:style w:type="character" w:styleId="HTMLCode">
    <w:name w:val="HTML Code"/>
    <w:basedOn w:val="DefaultParagraphFont"/>
    <w:uiPriority w:val="99"/>
    <w:semiHidden/>
    <w:rsid w:val="00C90088"/>
    <w:rPr>
      <w:rFonts w:ascii="Consolas" w:hAnsi="Consolas" w:cs="Consolas"/>
      <w:sz w:val="20"/>
      <w:szCs w:val="20"/>
    </w:rPr>
  </w:style>
  <w:style w:type="character" w:styleId="HTMLDefinition">
    <w:name w:val="HTML Definition"/>
    <w:basedOn w:val="DefaultParagraphFont"/>
    <w:uiPriority w:val="99"/>
    <w:semiHidden/>
    <w:rsid w:val="00C90088"/>
    <w:rPr>
      <w:i/>
      <w:iCs/>
    </w:rPr>
  </w:style>
  <w:style w:type="character" w:styleId="HTMLKeyboard">
    <w:name w:val="HTML Keyboard"/>
    <w:basedOn w:val="DefaultParagraphFont"/>
    <w:uiPriority w:val="99"/>
    <w:semiHidden/>
    <w:rsid w:val="00C90088"/>
    <w:rPr>
      <w:rFonts w:ascii="Consolas" w:hAnsi="Consolas" w:cs="Consolas"/>
      <w:sz w:val="20"/>
      <w:szCs w:val="20"/>
    </w:rPr>
  </w:style>
  <w:style w:type="paragraph" w:styleId="HTMLPreformatted">
    <w:name w:val="HTML Preformatted"/>
    <w:basedOn w:val="Normal"/>
    <w:link w:val="HTMLPreformattedChar"/>
    <w:uiPriority w:val="99"/>
    <w:semiHidden/>
    <w:rsid w:val="00C90088"/>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C90088"/>
    <w:rPr>
      <w:rFonts w:ascii="Consolas" w:eastAsiaTheme="minorEastAsia" w:hAnsi="Consolas" w:cs="Consolas"/>
      <w:sz w:val="20"/>
      <w:szCs w:val="20"/>
      <w:lang w:val="en-GB"/>
    </w:rPr>
  </w:style>
  <w:style w:type="character" w:styleId="HTMLSample">
    <w:name w:val="HTML Sample"/>
    <w:basedOn w:val="DefaultParagraphFont"/>
    <w:uiPriority w:val="99"/>
    <w:semiHidden/>
    <w:rsid w:val="00C90088"/>
    <w:rPr>
      <w:rFonts w:ascii="Consolas" w:hAnsi="Consolas" w:cs="Consolas"/>
      <w:sz w:val="24"/>
      <w:szCs w:val="24"/>
    </w:rPr>
  </w:style>
  <w:style w:type="character" w:styleId="HTMLTypewriter">
    <w:name w:val="HTML Typewriter"/>
    <w:basedOn w:val="DefaultParagraphFont"/>
    <w:uiPriority w:val="99"/>
    <w:semiHidden/>
    <w:rsid w:val="00C90088"/>
    <w:rPr>
      <w:rFonts w:ascii="Consolas" w:hAnsi="Consolas" w:cs="Consolas"/>
      <w:sz w:val="20"/>
      <w:szCs w:val="20"/>
    </w:rPr>
  </w:style>
  <w:style w:type="character" w:styleId="HTMLVariable">
    <w:name w:val="HTML Variable"/>
    <w:basedOn w:val="DefaultParagraphFont"/>
    <w:uiPriority w:val="99"/>
    <w:semiHidden/>
    <w:rsid w:val="00C90088"/>
    <w:rPr>
      <w:i/>
      <w:iCs/>
    </w:rPr>
  </w:style>
  <w:style w:type="paragraph" w:styleId="Index1">
    <w:name w:val="index 1"/>
    <w:basedOn w:val="Normal"/>
    <w:next w:val="Normal"/>
    <w:autoRedefine/>
    <w:uiPriority w:val="99"/>
    <w:semiHidden/>
    <w:rsid w:val="00C90088"/>
    <w:pPr>
      <w:ind w:left="240" w:hanging="240"/>
    </w:pPr>
  </w:style>
  <w:style w:type="paragraph" w:styleId="Index2">
    <w:name w:val="index 2"/>
    <w:basedOn w:val="Normal"/>
    <w:next w:val="Normal"/>
    <w:autoRedefine/>
    <w:uiPriority w:val="99"/>
    <w:semiHidden/>
    <w:rsid w:val="00C90088"/>
    <w:pPr>
      <w:ind w:left="480" w:hanging="240"/>
    </w:pPr>
  </w:style>
  <w:style w:type="paragraph" w:styleId="Index3">
    <w:name w:val="index 3"/>
    <w:basedOn w:val="Normal"/>
    <w:next w:val="Normal"/>
    <w:autoRedefine/>
    <w:uiPriority w:val="99"/>
    <w:semiHidden/>
    <w:rsid w:val="00C90088"/>
    <w:pPr>
      <w:ind w:left="720" w:hanging="240"/>
    </w:pPr>
  </w:style>
  <w:style w:type="paragraph" w:styleId="Index4">
    <w:name w:val="index 4"/>
    <w:basedOn w:val="Normal"/>
    <w:next w:val="Normal"/>
    <w:autoRedefine/>
    <w:uiPriority w:val="99"/>
    <w:semiHidden/>
    <w:rsid w:val="00C90088"/>
    <w:pPr>
      <w:ind w:left="960" w:hanging="240"/>
    </w:pPr>
  </w:style>
  <w:style w:type="paragraph" w:styleId="Index5">
    <w:name w:val="index 5"/>
    <w:basedOn w:val="Normal"/>
    <w:next w:val="Normal"/>
    <w:autoRedefine/>
    <w:uiPriority w:val="99"/>
    <w:semiHidden/>
    <w:rsid w:val="00C90088"/>
    <w:pPr>
      <w:ind w:left="1200" w:hanging="240"/>
    </w:pPr>
  </w:style>
  <w:style w:type="paragraph" w:styleId="Index6">
    <w:name w:val="index 6"/>
    <w:basedOn w:val="Normal"/>
    <w:next w:val="Normal"/>
    <w:autoRedefine/>
    <w:uiPriority w:val="99"/>
    <w:semiHidden/>
    <w:rsid w:val="00C90088"/>
    <w:pPr>
      <w:ind w:left="1440" w:hanging="240"/>
    </w:pPr>
  </w:style>
  <w:style w:type="paragraph" w:styleId="Index7">
    <w:name w:val="index 7"/>
    <w:basedOn w:val="Normal"/>
    <w:next w:val="Normal"/>
    <w:autoRedefine/>
    <w:uiPriority w:val="99"/>
    <w:semiHidden/>
    <w:rsid w:val="00C90088"/>
    <w:pPr>
      <w:ind w:left="1680" w:hanging="240"/>
    </w:pPr>
  </w:style>
  <w:style w:type="paragraph" w:styleId="Index8">
    <w:name w:val="index 8"/>
    <w:basedOn w:val="Normal"/>
    <w:next w:val="Normal"/>
    <w:autoRedefine/>
    <w:uiPriority w:val="99"/>
    <w:semiHidden/>
    <w:rsid w:val="00C90088"/>
    <w:pPr>
      <w:ind w:left="1920" w:hanging="240"/>
    </w:pPr>
  </w:style>
  <w:style w:type="paragraph" w:styleId="Index9">
    <w:name w:val="index 9"/>
    <w:basedOn w:val="Normal"/>
    <w:next w:val="Normal"/>
    <w:autoRedefine/>
    <w:uiPriority w:val="99"/>
    <w:semiHidden/>
    <w:rsid w:val="00C90088"/>
    <w:pPr>
      <w:ind w:left="2160" w:hanging="240"/>
    </w:pPr>
  </w:style>
  <w:style w:type="paragraph" w:styleId="IndexHeading">
    <w:name w:val="index heading"/>
    <w:basedOn w:val="Normal"/>
    <w:next w:val="Index1"/>
    <w:uiPriority w:val="99"/>
    <w:semiHidden/>
    <w:rsid w:val="00C90088"/>
    <w:rPr>
      <w:rFonts w:asciiTheme="majorHAnsi" w:eastAsiaTheme="majorEastAsia" w:hAnsiTheme="majorHAnsi" w:cstheme="majorBidi"/>
      <w:b/>
      <w:bCs/>
    </w:rPr>
  </w:style>
  <w:style w:type="table" w:styleId="LightGrid">
    <w:name w:val="Light Grid"/>
    <w:basedOn w:val="TableNormal"/>
    <w:uiPriority w:val="62"/>
    <w:semiHidden/>
    <w:rsid w:val="00C90088"/>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C90088"/>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C90088"/>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C90088"/>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C90088"/>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C90088"/>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C90088"/>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C90088"/>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C90088"/>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C90088"/>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C90088"/>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C90088"/>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C90088"/>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C90088"/>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C90088"/>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C90088"/>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C90088"/>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C90088"/>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C90088"/>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C90088"/>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C90088"/>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C90088"/>
  </w:style>
  <w:style w:type="paragraph" w:styleId="List">
    <w:name w:val="List"/>
    <w:basedOn w:val="Normal"/>
    <w:uiPriority w:val="99"/>
    <w:semiHidden/>
    <w:rsid w:val="00C90088"/>
    <w:pPr>
      <w:ind w:left="283" w:hanging="283"/>
      <w:contextualSpacing/>
    </w:pPr>
  </w:style>
  <w:style w:type="paragraph" w:styleId="List2">
    <w:name w:val="List 2"/>
    <w:basedOn w:val="Normal"/>
    <w:uiPriority w:val="99"/>
    <w:semiHidden/>
    <w:rsid w:val="00C90088"/>
    <w:pPr>
      <w:ind w:left="566" w:hanging="283"/>
      <w:contextualSpacing/>
    </w:pPr>
  </w:style>
  <w:style w:type="paragraph" w:styleId="List3">
    <w:name w:val="List 3"/>
    <w:basedOn w:val="Normal"/>
    <w:uiPriority w:val="99"/>
    <w:semiHidden/>
    <w:rsid w:val="00C90088"/>
    <w:pPr>
      <w:ind w:left="849" w:hanging="283"/>
      <w:contextualSpacing/>
    </w:pPr>
  </w:style>
  <w:style w:type="paragraph" w:styleId="List4">
    <w:name w:val="List 4"/>
    <w:basedOn w:val="Normal"/>
    <w:uiPriority w:val="99"/>
    <w:semiHidden/>
    <w:rsid w:val="00C90088"/>
    <w:pPr>
      <w:ind w:left="1132" w:hanging="283"/>
      <w:contextualSpacing/>
    </w:pPr>
  </w:style>
  <w:style w:type="paragraph" w:styleId="List5">
    <w:name w:val="List 5"/>
    <w:basedOn w:val="Normal"/>
    <w:uiPriority w:val="99"/>
    <w:semiHidden/>
    <w:rsid w:val="00C90088"/>
    <w:pPr>
      <w:ind w:left="1415" w:hanging="283"/>
      <w:contextualSpacing/>
    </w:pPr>
  </w:style>
  <w:style w:type="paragraph" w:styleId="ListBullet2">
    <w:name w:val="List Bullet 2"/>
    <w:basedOn w:val="Normal"/>
    <w:uiPriority w:val="99"/>
    <w:semiHidden/>
    <w:rsid w:val="00C90088"/>
    <w:pPr>
      <w:numPr>
        <w:numId w:val="35"/>
      </w:numPr>
      <w:contextualSpacing/>
    </w:pPr>
  </w:style>
  <w:style w:type="paragraph" w:styleId="ListBullet3">
    <w:name w:val="List Bullet 3"/>
    <w:basedOn w:val="Normal"/>
    <w:uiPriority w:val="99"/>
    <w:semiHidden/>
    <w:rsid w:val="00C90088"/>
    <w:pPr>
      <w:numPr>
        <w:numId w:val="36"/>
      </w:numPr>
      <w:contextualSpacing/>
    </w:pPr>
  </w:style>
  <w:style w:type="paragraph" w:styleId="ListBullet4">
    <w:name w:val="List Bullet 4"/>
    <w:basedOn w:val="Normal"/>
    <w:uiPriority w:val="99"/>
    <w:semiHidden/>
    <w:rsid w:val="00C90088"/>
    <w:pPr>
      <w:numPr>
        <w:numId w:val="37"/>
      </w:numPr>
      <w:contextualSpacing/>
    </w:pPr>
  </w:style>
  <w:style w:type="paragraph" w:styleId="ListBullet5">
    <w:name w:val="List Bullet 5"/>
    <w:basedOn w:val="Normal"/>
    <w:uiPriority w:val="99"/>
    <w:semiHidden/>
    <w:rsid w:val="00C90088"/>
    <w:pPr>
      <w:numPr>
        <w:numId w:val="38"/>
      </w:numPr>
      <w:contextualSpacing/>
    </w:pPr>
  </w:style>
  <w:style w:type="paragraph" w:styleId="ListContinue">
    <w:name w:val="List Continue"/>
    <w:basedOn w:val="Normal"/>
    <w:uiPriority w:val="99"/>
    <w:semiHidden/>
    <w:rsid w:val="00C90088"/>
    <w:pPr>
      <w:spacing w:after="120"/>
      <w:ind w:left="283"/>
      <w:contextualSpacing/>
    </w:pPr>
  </w:style>
  <w:style w:type="paragraph" w:styleId="ListContinue2">
    <w:name w:val="List Continue 2"/>
    <w:basedOn w:val="Normal"/>
    <w:uiPriority w:val="99"/>
    <w:semiHidden/>
    <w:rsid w:val="00C90088"/>
    <w:pPr>
      <w:spacing w:after="120"/>
      <w:ind w:left="566"/>
      <w:contextualSpacing/>
    </w:pPr>
  </w:style>
  <w:style w:type="paragraph" w:styleId="ListContinue3">
    <w:name w:val="List Continue 3"/>
    <w:basedOn w:val="Normal"/>
    <w:uiPriority w:val="99"/>
    <w:semiHidden/>
    <w:rsid w:val="00C90088"/>
    <w:pPr>
      <w:spacing w:after="120"/>
      <w:ind w:left="849"/>
      <w:contextualSpacing/>
    </w:pPr>
  </w:style>
  <w:style w:type="paragraph" w:styleId="ListContinue4">
    <w:name w:val="List Continue 4"/>
    <w:basedOn w:val="Normal"/>
    <w:uiPriority w:val="99"/>
    <w:semiHidden/>
    <w:rsid w:val="00C90088"/>
    <w:pPr>
      <w:spacing w:after="120"/>
      <w:ind w:left="1132"/>
      <w:contextualSpacing/>
    </w:pPr>
  </w:style>
  <w:style w:type="paragraph" w:styleId="ListContinue5">
    <w:name w:val="List Continue 5"/>
    <w:basedOn w:val="Normal"/>
    <w:uiPriority w:val="99"/>
    <w:semiHidden/>
    <w:rsid w:val="00C90088"/>
    <w:pPr>
      <w:spacing w:after="120"/>
      <w:ind w:left="1415"/>
      <w:contextualSpacing/>
    </w:pPr>
  </w:style>
  <w:style w:type="paragraph" w:styleId="ListNumber">
    <w:name w:val="List Number"/>
    <w:basedOn w:val="Normal"/>
    <w:uiPriority w:val="99"/>
    <w:semiHidden/>
    <w:rsid w:val="00C90088"/>
    <w:pPr>
      <w:numPr>
        <w:numId w:val="39"/>
      </w:numPr>
      <w:contextualSpacing/>
    </w:pPr>
  </w:style>
  <w:style w:type="paragraph" w:styleId="ListNumber2">
    <w:name w:val="List Number 2"/>
    <w:basedOn w:val="Normal"/>
    <w:uiPriority w:val="99"/>
    <w:semiHidden/>
    <w:rsid w:val="00C90088"/>
    <w:pPr>
      <w:numPr>
        <w:numId w:val="40"/>
      </w:numPr>
      <w:contextualSpacing/>
    </w:pPr>
  </w:style>
  <w:style w:type="paragraph" w:styleId="ListNumber3">
    <w:name w:val="List Number 3"/>
    <w:basedOn w:val="Normal"/>
    <w:uiPriority w:val="99"/>
    <w:semiHidden/>
    <w:rsid w:val="00C90088"/>
    <w:pPr>
      <w:numPr>
        <w:numId w:val="41"/>
      </w:numPr>
      <w:contextualSpacing/>
    </w:pPr>
  </w:style>
  <w:style w:type="paragraph" w:styleId="ListNumber4">
    <w:name w:val="List Number 4"/>
    <w:basedOn w:val="Normal"/>
    <w:uiPriority w:val="99"/>
    <w:semiHidden/>
    <w:rsid w:val="00C90088"/>
    <w:pPr>
      <w:numPr>
        <w:numId w:val="42"/>
      </w:numPr>
      <w:contextualSpacing/>
    </w:pPr>
  </w:style>
  <w:style w:type="paragraph" w:styleId="ListNumber5">
    <w:name w:val="List Number 5"/>
    <w:basedOn w:val="Normal"/>
    <w:uiPriority w:val="99"/>
    <w:semiHidden/>
    <w:rsid w:val="00C90088"/>
    <w:pPr>
      <w:numPr>
        <w:numId w:val="43"/>
      </w:numPr>
      <w:contextualSpacing/>
    </w:pPr>
  </w:style>
  <w:style w:type="paragraph" w:styleId="MacroText">
    <w:name w:val="macro"/>
    <w:link w:val="MacroTextChar"/>
    <w:uiPriority w:val="99"/>
    <w:semiHidden/>
    <w:rsid w:val="00C90088"/>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C90088"/>
    <w:rPr>
      <w:rFonts w:ascii="Consolas" w:eastAsiaTheme="minorEastAsia" w:hAnsi="Consolas" w:cs="Consolas"/>
      <w:sz w:val="20"/>
      <w:szCs w:val="20"/>
    </w:rPr>
  </w:style>
  <w:style w:type="table" w:styleId="MediumGrid1">
    <w:name w:val="Medium Grid 1"/>
    <w:basedOn w:val="TableNormal"/>
    <w:uiPriority w:val="67"/>
    <w:semiHidden/>
    <w:rsid w:val="00C90088"/>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C90088"/>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C90088"/>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C90088"/>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C90088"/>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C90088"/>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C90088"/>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C90088"/>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C90088"/>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C90088"/>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C90088"/>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C90088"/>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C90088"/>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C90088"/>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C90088"/>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C90088"/>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C90088"/>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C90088"/>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C90088"/>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C90088"/>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C90088"/>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C90088"/>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C90088"/>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C90088"/>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C90088"/>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C90088"/>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C90088"/>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C90088"/>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C90088"/>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C90088"/>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C90088"/>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C90088"/>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C90088"/>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C90088"/>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C90088"/>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C90088"/>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C90088"/>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C90088"/>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C90088"/>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C90088"/>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C90088"/>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C90088"/>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C9008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C9008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C9008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C9008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C9008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C9008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C9008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C90088"/>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C90088"/>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C90088"/>
    <w:rPr>
      <w:rFonts w:ascii="Times New Roman" w:hAnsi="Times New Roman" w:cs="Times New Roman"/>
      <w:szCs w:val="24"/>
    </w:rPr>
  </w:style>
  <w:style w:type="paragraph" w:styleId="NormalIndent">
    <w:name w:val="Normal Indent"/>
    <w:basedOn w:val="Normal"/>
    <w:uiPriority w:val="99"/>
    <w:semiHidden/>
    <w:rsid w:val="00C90088"/>
    <w:pPr>
      <w:ind w:left="720"/>
    </w:pPr>
  </w:style>
  <w:style w:type="paragraph" w:styleId="NoteHeading">
    <w:name w:val="Note Heading"/>
    <w:basedOn w:val="Normal"/>
    <w:next w:val="Normal"/>
    <w:link w:val="NoteHeadingChar"/>
    <w:uiPriority w:val="99"/>
    <w:semiHidden/>
    <w:rsid w:val="00C90088"/>
  </w:style>
  <w:style w:type="character" w:customStyle="1" w:styleId="NoteHeadingChar">
    <w:name w:val="Note Heading Char"/>
    <w:basedOn w:val="DefaultParagraphFont"/>
    <w:link w:val="NoteHeading"/>
    <w:uiPriority w:val="99"/>
    <w:semiHidden/>
    <w:rsid w:val="00C90088"/>
    <w:rPr>
      <w:rFonts w:eastAsiaTheme="minorEastAsia"/>
      <w:sz w:val="24"/>
      <w:lang w:val="en-GB"/>
    </w:rPr>
  </w:style>
  <w:style w:type="character" w:styleId="PlaceholderText">
    <w:name w:val="Placeholder Text"/>
    <w:basedOn w:val="DefaultParagraphFont"/>
    <w:uiPriority w:val="99"/>
    <w:semiHidden/>
    <w:rsid w:val="00C90088"/>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C90088"/>
    <w:rPr>
      <w:rFonts w:ascii="Consolas" w:hAnsi="Consolas" w:cs="Consolas"/>
      <w:sz w:val="21"/>
      <w:szCs w:val="21"/>
    </w:rPr>
  </w:style>
  <w:style w:type="character" w:customStyle="1" w:styleId="PlainTextChar">
    <w:name w:val="Plain Text Char"/>
    <w:basedOn w:val="DefaultParagraphFont"/>
    <w:link w:val="PlainText"/>
    <w:uiPriority w:val="99"/>
    <w:semiHidden/>
    <w:rsid w:val="00C90088"/>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C90088"/>
  </w:style>
  <w:style w:type="character" w:customStyle="1" w:styleId="SalutationChar">
    <w:name w:val="Salutation Char"/>
    <w:basedOn w:val="DefaultParagraphFont"/>
    <w:link w:val="Salutation"/>
    <w:uiPriority w:val="99"/>
    <w:semiHidden/>
    <w:rsid w:val="00C90088"/>
    <w:rPr>
      <w:rFonts w:eastAsiaTheme="minorEastAsia"/>
      <w:sz w:val="24"/>
      <w:lang w:val="en-GB"/>
    </w:rPr>
  </w:style>
  <w:style w:type="paragraph" w:styleId="Signature">
    <w:name w:val="Signature"/>
    <w:basedOn w:val="Normal"/>
    <w:link w:val="SignatureChar"/>
    <w:uiPriority w:val="99"/>
    <w:semiHidden/>
    <w:rsid w:val="00C90088"/>
    <w:pPr>
      <w:ind w:left="4252"/>
    </w:pPr>
  </w:style>
  <w:style w:type="character" w:customStyle="1" w:styleId="SignatureChar">
    <w:name w:val="Signature Char"/>
    <w:basedOn w:val="DefaultParagraphFont"/>
    <w:link w:val="Signature"/>
    <w:uiPriority w:val="99"/>
    <w:semiHidden/>
    <w:rsid w:val="00C90088"/>
    <w:rPr>
      <w:rFonts w:eastAsiaTheme="minorEastAsia"/>
      <w:sz w:val="24"/>
      <w:lang w:val="en-GB"/>
    </w:rPr>
  </w:style>
  <w:style w:type="table" w:styleId="Table3Deffects1">
    <w:name w:val="Table 3D effects 1"/>
    <w:basedOn w:val="TableNormal"/>
    <w:uiPriority w:val="99"/>
    <w:semiHidden/>
    <w:unhideWhenUsed/>
    <w:rsid w:val="00C9008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C9008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C9008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C9008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C9008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C9008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C9008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C9008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C9008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C9008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C9008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C9008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C9008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C9008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C9008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C9008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C9008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C9008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C9008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C9008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C9008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C9008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C9008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C9008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C9008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C9008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C9008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C9008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C9008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C9008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C9008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C9008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C9008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C90088"/>
    <w:pPr>
      <w:ind w:left="240" w:hanging="240"/>
    </w:pPr>
  </w:style>
  <w:style w:type="paragraph" w:styleId="TableofFigures">
    <w:name w:val="table of figures"/>
    <w:basedOn w:val="Normal"/>
    <w:next w:val="Normal"/>
    <w:uiPriority w:val="99"/>
    <w:semiHidden/>
    <w:rsid w:val="00C90088"/>
  </w:style>
  <w:style w:type="table" w:styleId="TableProfessional">
    <w:name w:val="Table Professional"/>
    <w:basedOn w:val="TableNormal"/>
    <w:uiPriority w:val="99"/>
    <w:semiHidden/>
    <w:unhideWhenUsed/>
    <w:rsid w:val="00C9008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C9008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C9008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C9008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C9008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C9008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C9008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C9008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C9008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C9008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C90088"/>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C90088"/>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C90088"/>
    <w:pPr>
      <w:spacing w:after="100"/>
      <w:ind w:left="1680"/>
    </w:pPr>
  </w:style>
  <w:style w:type="paragraph" w:styleId="TOC9">
    <w:name w:val="toc 9"/>
    <w:basedOn w:val="Normal"/>
    <w:next w:val="Normal"/>
    <w:autoRedefine/>
    <w:uiPriority w:val="99"/>
    <w:semiHidden/>
    <w:rsid w:val="00C90088"/>
    <w:pPr>
      <w:spacing w:after="100"/>
      <w:ind w:left="1920"/>
    </w:pPr>
  </w:style>
  <w:style w:type="paragraph" w:customStyle="1" w:styleId="DecHTitle">
    <w:name w:val="Dec_H_Title"/>
    <w:aliases w:val="_Title_1"/>
    <w:basedOn w:val="JuPara"/>
    <w:next w:val="JuPara"/>
    <w:uiPriority w:val="35"/>
    <w:qFormat/>
    <w:rsid w:val="00C90088"/>
    <w:pPr>
      <w:keepNext/>
      <w:keepLines/>
      <w:spacing w:after="240"/>
      <w:ind w:firstLine="0"/>
      <w:jc w:val="center"/>
      <w:outlineLvl w:val="0"/>
    </w:pPr>
    <w:rPr>
      <w:rFonts w:asciiTheme="majorHAnsi" w:hAnsiTheme="majorHAnsi"/>
      <w:sz w:val="28"/>
    </w:rPr>
  </w:style>
  <w:style w:type="paragraph" w:customStyle="1" w:styleId="JuHeaderLandscape">
    <w:name w:val="Ju_Header_Landscape"/>
    <w:aliases w:val="_Header_Landscape"/>
    <w:basedOn w:val="JuHeader"/>
    <w:uiPriority w:val="30"/>
    <w:qFormat/>
    <w:rsid w:val="00C90088"/>
    <w:pPr>
      <w:tabs>
        <w:tab w:val="clear" w:pos="3686"/>
        <w:tab w:val="clear" w:pos="7371"/>
        <w:tab w:val="center" w:pos="6146"/>
        <w:tab w:val="right" w:pos="12293"/>
      </w:tabs>
    </w:pPr>
  </w:style>
  <w:style w:type="character" w:customStyle="1" w:styleId="JuParaChar">
    <w:name w:val="Ju_Para Char"/>
    <w:aliases w:val="_Para Char"/>
    <w:link w:val="JuPara"/>
    <w:uiPriority w:val="8"/>
    <w:rsid w:val="0079751A"/>
    <w:rPr>
      <w:rFonts w:eastAsiaTheme="minorEastAsia"/>
      <w:sz w:val="24"/>
      <w:lang w:val="en-GB"/>
    </w:rPr>
  </w:style>
  <w:style w:type="paragraph" w:styleId="Revision">
    <w:name w:val="Revision"/>
    <w:hidden/>
    <w:uiPriority w:val="99"/>
    <w:semiHidden/>
    <w:rsid w:val="002661C0"/>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33833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9531009-5D88-4BB7-8114-063A486CC20E}"/>
</file>

<file path=customXml/itemProps2.xml><?xml version="1.0" encoding="utf-8"?>
<ds:datastoreItem xmlns:ds="http://schemas.openxmlformats.org/officeDocument/2006/customXml" ds:itemID="{D6E235FD-4551-4875-8398-7E8F19FA2734}"/>
</file>

<file path=customXml/itemProps3.xml><?xml version="1.0" encoding="utf-8"?>
<ds:datastoreItem xmlns:ds="http://schemas.openxmlformats.org/officeDocument/2006/customXml" ds:itemID="{A3A43A5C-8634-4B9A-8118-9D7266B690C6}"/>
</file>

<file path=customXml/itemProps4.xml><?xml version="1.0" encoding="utf-8"?>
<ds:datastoreItem xmlns:ds="http://schemas.openxmlformats.org/officeDocument/2006/customXml" ds:itemID="{DF4D1E2E-14C7-47C1-B0AE-9553C2109C44}"/>
</file>

<file path=docProps/app.xml><?xml version="1.0" encoding="utf-8"?>
<Properties xmlns="http://schemas.openxmlformats.org/officeDocument/2006/extended-properties" xmlns:vt="http://schemas.openxmlformats.org/officeDocument/2006/docPropsVTypes">
  <Template>Normal.dotm</Template>
  <TotalTime>0</TotalTime>
  <Pages>1</Pages>
  <Words>4502</Words>
  <Characters>25662</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30104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2019-11-26T08:50:00Z</dcterms:created>
  <dcterms:modified xsi:type="dcterms:W3CDTF">2019-11-26T08:50:00Z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29088/08</vt:lpwstr>
  </property>
  <property fmtid="{D5CDD505-2E9C-101B-9397-08002B2CF9AE}" pid="4" name="CASEID">
    <vt:lpwstr>513288</vt:lpwstr>
  </property>
  <property fmtid="{D5CDD505-2E9C-101B-9397-08002B2CF9AE}" pid="5" name="ContentTypeId">
    <vt:lpwstr>0x010100558EB02BDB9E204AB350EDD385B68E10</vt:lpwstr>
  </property>
</Properties>
</file>