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14913" w:rsidR="006D1562" w:rsidP="00414913" w:rsidRDefault="006D1562">
      <w:pPr>
        <w:jc w:val="center"/>
        <w:rPr>
          <w:rFonts w:ascii="Times New Roman" w:hAnsi="Times New Roman" w:cs="Times New Roman"/>
        </w:rPr>
      </w:pPr>
    </w:p>
    <w:p w:rsidRPr="00414913" w:rsidR="0046116C" w:rsidP="00414913" w:rsidRDefault="0046116C">
      <w:pPr>
        <w:jc w:val="center"/>
        <w:rPr>
          <w:rFonts w:ascii="Times New Roman" w:hAnsi="Times New Roman" w:cs="Times New Roman"/>
        </w:rPr>
      </w:pPr>
    </w:p>
    <w:p w:rsidRPr="00414913" w:rsidR="007A4070" w:rsidP="00414913" w:rsidRDefault="006D1562">
      <w:pPr>
        <w:pStyle w:val="DecHCase"/>
      </w:pPr>
      <w:r w:rsidRPr="00414913">
        <w:t>DEUXIÈME SECTION</w:t>
      </w:r>
    </w:p>
    <w:p w:rsidRPr="00414913" w:rsidR="007A4070" w:rsidP="00414913" w:rsidRDefault="007A4070">
      <w:pPr>
        <w:pStyle w:val="JuTitle"/>
      </w:pPr>
      <w:r w:rsidRPr="00414913">
        <w:t xml:space="preserve">AFFAIRE </w:t>
      </w:r>
      <w:r w:rsidRPr="00414913" w:rsidR="006D1562">
        <w:t>NEJDET ATALAY c. TURQUIE</w:t>
      </w:r>
    </w:p>
    <w:p w:rsidRPr="00414913" w:rsidR="007A4070" w:rsidP="00414913" w:rsidRDefault="007A4070">
      <w:pPr>
        <w:pStyle w:val="Title4"/>
      </w:pPr>
      <w:r w:rsidRPr="00414913">
        <w:t>(</w:t>
      </w:r>
      <w:r w:rsidRPr="00414913" w:rsidR="006D1562">
        <w:t>Requête n</w:t>
      </w:r>
      <w:r w:rsidRPr="00414913" w:rsidR="006D1562">
        <w:rPr>
          <w:vertAlign w:val="superscript"/>
        </w:rPr>
        <w:t>o</w:t>
      </w:r>
      <w:r w:rsidRPr="00414913">
        <w:t xml:space="preserve"> </w:t>
      </w:r>
      <w:r w:rsidRPr="00414913" w:rsidR="006D1562">
        <w:t>76224/12</w:t>
      </w:r>
      <w:r w:rsidRPr="00414913">
        <w:t>)</w:t>
      </w:r>
    </w:p>
    <w:p w:rsidRPr="00414913" w:rsidR="007A4070" w:rsidP="00414913" w:rsidRDefault="007A4070">
      <w:pPr>
        <w:pStyle w:val="DecHCase"/>
      </w:pPr>
    </w:p>
    <w:p w:rsidRPr="00414913" w:rsidR="0046116C" w:rsidP="00414913" w:rsidRDefault="007A4070">
      <w:pPr>
        <w:pStyle w:val="DecHCase"/>
      </w:pPr>
      <w:r w:rsidRPr="00414913">
        <w:t>ARRÊT</w:t>
      </w:r>
      <w:r w:rsidRPr="00414913">
        <w:br/>
      </w:r>
    </w:p>
    <w:p w:rsidRPr="00414913" w:rsidR="0046116C" w:rsidP="00414913" w:rsidRDefault="0046116C">
      <w:pPr>
        <w:pStyle w:val="DecHCase"/>
      </w:pPr>
    </w:p>
    <w:p w:rsidRPr="00414913" w:rsidR="0046116C" w:rsidP="00414913" w:rsidRDefault="00414913">
      <w:pPr>
        <w:pStyle w:val="DecHCase"/>
        <w:pBdr>
          <w:top w:val="single" w:color="auto" w:sz="4" w:space="1"/>
          <w:left w:val="single" w:color="auto" w:sz="4" w:space="4"/>
          <w:bottom w:val="single" w:color="auto" w:sz="4" w:space="1"/>
          <w:right w:val="single" w:color="auto" w:sz="4" w:space="4"/>
        </w:pBdr>
      </w:pPr>
      <w:r w:rsidRPr="00414913">
        <w:t>Art 10 • Liberté d’expression • Condamnation pénale du requérant en lien avec sa participation aux obsèques de membres d’une organisation terroriste • Manque de motifs pertinents et suffisants</w:t>
      </w:r>
    </w:p>
    <w:p w:rsidRPr="00414913" w:rsidR="0046116C" w:rsidP="00414913" w:rsidRDefault="0046116C">
      <w:pPr>
        <w:pStyle w:val="DecHCase"/>
      </w:pPr>
    </w:p>
    <w:p w:rsidRPr="00414913" w:rsidR="007A4070" w:rsidP="00414913" w:rsidRDefault="007A4070">
      <w:pPr>
        <w:pStyle w:val="DecHCase"/>
      </w:pPr>
    </w:p>
    <w:p w:rsidRPr="00414913" w:rsidR="007A4070" w:rsidP="00414913" w:rsidRDefault="007A4070">
      <w:pPr>
        <w:pStyle w:val="DecHCase"/>
      </w:pPr>
      <w:r w:rsidRPr="00414913">
        <w:t>STRASBOURG</w:t>
      </w:r>
    </w:p>
    <w:p w:rsidR="007A4070" w:rsidP="00414913" w:rsidRDefault="006D1562">
      <w:pPr>
        <w:pStyle w:val="DecHCase"/>
      </w:pPr>
      <w:r w:rsidRPr="00414913">
        <w:t>19 novembre 2019</w:t>
      </w:r>
    </w:p>
    <w:p w:rsidR="00A46E50" w:rsidP="00A46E50" w:rsidRDefault="00A46E50">
      <w:pPr>
        <w:pStyle w:val="JuPara"/>
      </w:pPr>
    </w:p>
    <w:p w:rsidR="00E53D6C" w:rsidP="00E53D6C" w:rsidRDefault="00E53D6C">
      <w:pPr>
        <w:pStyle w:val="jucase0"/>
        <w:ind w:firstLine="0"/>
        <w:jc w:val="center"/>
        <w:rPr>
          <w:color w:val="FF0000"/>
          <w:sz w:val="28"/>
          <w:szCs w:val="28"/>
          <w:u w:val="single"/>
          <w:lang w:val="fr-FR"/>
        </w:rPr>
      </w:pPr>
      <w:r>
        <w:rPr>
          <w:color w:val="FF0000"/>
          <w:sz w:val="28"/>
          <w:szCs w:val="28"/>
          <w:u w:val="single"/>
          <w:lang w:val="fr-FR"/>
        </w:rPr>
        <w:t>DÉFINITIF</w:t>
      </w:r>
    </w:p>
    <w:p w:rsidR="00E53D6C" w:rsidP="00E53D6C" w:rsidRDefault="00E53D6C">
      <w:pPr>
        <w:pStyle w:val="jupara0"/>
        <w:ind w:firstLine="0"/>
        <w:jc w:val="center"/>
        <w:rPr>
          <w:color w:val="FF0000"/>
          <w:sz w:val="28"/>
          <w:szCs w:val="28"/>
          <w:lang w:val="fr-FR"/>
        </w:rPr>
      </w:pPr>
    </w:p>
    <w:p w:rsidR="00E53D6C" w:rsidP="00E53D6C" w:rsidRDefault="00E53D6C">
      <w:pPr>
        <w:pStyle w:val="jupara0"/>
        <w:ind w:firstLine="0"/>
        <w:jc w:val="center"/>
        <w:rPr>
          <w:color w:val="FF0000"/>
          <w:sz w:val="28"/>
          <w:szCs w:val="28"/>
          <w:lang w:val="fr-FR"/>
        </w:rPr>
      </w:pPr>
      <w:r>
        <w:rPr>
          <w:color w:val="FF0000"/>
          <w:sz w:val="28"/>
          <w:szCs w:val="28"/>
          <w:lang w:val="fr-FR"/>
        </w:rPr>
        <w:t>15/04/2020</w:t>
      </w:r>
    </w:p>
    <w:p w:rsidR="00E53D6C" w:rsidP="00E53D6C" w:rsidRDefault="00E53D6C">
      <w:pPr>
        <w:jc w:val="center"/>
        <w:rPr>
          <w:u w:val="single"/>
        </w:rPr>
      </w:pPr>
    </w:p>
    <w:p w:rsidRPr="00E53D6C" w:rsidR="00516B59" w:rsidP="00E53D6C" w:rsidRDefault="00E53D6C">
      <w:pPr>
        <w:jc w:val="center"/>
        <w:rPr>
          <w:rFonts w:ascii="Times New Roman" w:hAnsi="Times New Roman" w:cs="Times New Roman"/>
          <w:i/>
          <w:sz w:val="22"/>
        </w:rPr>
      </w:pPr>
      <w:bookmarkStart w:name="_GoBack" w:id="0"/>
      <w:r>
        <w:rPr>
          <w:i/>
          <w:iCs/>
          <w:sz w:val="22"/>
        </w:rPr>
        <w:t xml:space="preserve">Cet arrêt est devenu définitif en vertu de l’article 44 § 2 de la Convention. </w:t>
      </w:r>
      <w:r w:rsidRPr="00E53D6C">
        <w:rPr>
          <w:i/>
          <w:iCs/>
          <w:sz w:val="22"/>
        </w:rPr>
        <w:t>Il peut subir des retouches de forme.</w:t>
      </w:r>
    </w:p>
    <w:bookmarkEnd w:id="0"/>
    <w:p w:rsidRPr="00414913" w:rsidR="00516B59" w:rsidP="00414913" w:rsidRDefault="00516B59">
      <w:pPr>
        <w:ind w:left="720"/>
        <w:rPr>
          <w:rFonts w:ascii="Times New Roman" w:hAnsi="Times New Roman" w:cs="Times New Roman"/>
          <w:sz w:val="22"/>
        </w:rPr>
        <w:sectPr w:rsidRPr="00414913" w:rsidR="00516B59">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414913" w:rsidR="004344E6" w:rsidP="00414913" w:rsidRDefault="004344E6">
      <w:pPr>
        <w:pStyle w:val="JuCase"/>
      </w:pPr>
      <w:r w:rsidRPr="00414913">
        <w:t>En l</w:t>
      </w:r>
      <w:r w:rsidRPr="00414913" w:rsidR="00414913">
        <w:t>’</w:t>
      </w:r>
      <w:r w:rsidRPr="00414913">
        <w:t xml:space="preserve">affaire </w:t>
      </w:r>
      <w:proofErr w:type="spellStart"/>
      <w:r w:rsidRPr="00414913" w:rsidR="006D1562">
        <w:t>Nejdet</w:t>
      </w:r>
      <w:proofErr w:type="spellEnd"/>
      <w:r w:rsidRPr="00414913" w:rsidR="006D1562">
        <w:t xml:space="preserve"> </w:t>
      </w:r>
      <w:proofErr w:type="spellStart"/>
      <w:r w:rsidRPr="00414913" w:rsidR="006D1562">
        <w:t>Atalay</w:t>
      </w:r>
      <w:proofErr w:type="spellEnd"/>
      <w:r w:rsidRPr="00414913" w:rsidR="006D1562">
        <w:t xml:space="preserve"> c. Turquie</w:t>
      </w:r>
      <w:r w:rsidRPr="00414913">
        <w:t>,</w:t>
      </w:r>
    </w:p>
    <w:p w:rsidRPr="00414913" w:rsidR="004344E6" w:rsidP="00414913" w:rsidRDefault="004344E6">
      <w:pPr>
        <w:pStyle w:val="JuPara"/>
      </w:pPr>
      <w:r w:rsidRPr="00414913">
        <w:t>La Cour européenne des droits de l</w:t>
      </w:r>
      <w:r w:rsidRPr="00414913" w:rsidR="00414913">
        <w:t>’</w:t>
      </w:r>
      <w:r w:rsidRPr="00414913">
        <w:t>homme (</w:t>
      </w:r>
      <w:r w:rsidRPr="00414913" w:rsidR="006D1562">
        <w:t>deuxième section</w:t>
      </w:r>
      <w:r w:rsidRPr="00414913">
        <w:t xml:space="preserve">), siégeant en </w:t>
      </w:r>
      <w:r w:rsidRPr="00414913" w:rsidR="006D1562">
        <w:rPr>
          <w:color w:val="000000"/>
        </w:rPr>
        <w:t>une</w:t>
      </w:r>
      <w:r w:rsidRPr="00414913" w:rsidR="006D1562">
        <w:t xml:space="preserve"> Chambre composée</w:t>
      </w:r>
      <w:r w:rsidRPr="00414913">
        <w:t xml:space="preserve"> de :</w:t>
      </w:r>
    </w:p>
    <w:p w:rsidRPr="00414913" w:rsidR="004344E6" w:rsidP="00414913" w:rsidRDefault="00AC3B48">
      <w:pPr>
        <w:pStyle w:val="JuJudges"/>
      </w:pPr>
      <w:r w:rsidRPr="00414913">
        <w:tab/>
        <w:t>Robert Spano,</w:t>
      </w:r>
      <w:r w:rsidRPr="00414913">
        <w:rPr>
          <w:i/>
        </w:rPr>
        <w:t xml:space="preserve"> président,</w:t>
      </w:r>
      <w:r w:rsidRPr="00414913">
        <w:rPr>
          <w:i/>
        </w:rPr>
        <w:br/>
      </w:r>
      <w:r w:rsidRPr="00414913">
        <w:tab/>
        <w:t xml:space="preserve">Julia </w:t>
      </w:r>
      <w:proofErr w:type="spellStart"/>
      <w:r w:rsidRPr="00414913">
        <w:t>Laffranque</w:t>
      </w:r>
      <w:proofErr w:type="spellEnd"/>
      <w:r w:rsidRPr="00414913">
        <w:t>,</w:t>
      </w:r>
      <w:r w:rsidRPr="00414913">
        <w:rPr>
          <w:i/>
        </w:rPr>
        <w:br/>
      </w:r>
      <w:r w:rsidRPr="00414913">
        <w:tab/>
      </w:r>
      <w:proofErr w:type="spellStart"/>
      <w:r w:rsidRPr="00414913">
        <w:t>Valeriu</w:t>
      </w:r>
      <w:proofErr w:type="spellEnd"/>
      <w:r w:rsidRPr="00414913">
        <w:t xml:space="preserve"> </w:t>
      </w:r>
      <w:proofErr w:type="spellStart"/>
      <w:r w:rsidRPr="00414913">
        <w:t>Griţco</w:t>
      </w:r>
      <w:proofErr w:type="spellEnd"/>
      <w:r w:rsidRPr="00414913">
        <w:t>,</w:t>
      </w:r>
      <w:r w:rsidRPr="00414913">
        <w:rPr>
          <w:i/>
        </w:rPr>
        <w:br/>
      </w:r>
      <w:r w:rsidRPr="00414913">
        <w:tab/>
      </w:r>
      <w:proofErr w:type="spellStart"/>
      <w:r w:rsidRPr="00414913">
        <w:t>Egidijus</w:t>
      </w:r>
      <w:proofErr w:type="spellEnd"/>
      <w:r w:rsidRPr="00414913">
        <w:t xml:space="preserve"> </w:t>
      </w:r>
      <w:proofErr w:type="spellStart"/>
      <w:r w:rsidRPr="00414913">
        <w:t>Kūris</w:t>
      </w:r>
      <w:proofErr w:type="spellEnd"/>
      <w:r w:rsidRPr="00414913">
        <w:t>,</w:t>
      </w:r>
      <w:r w:rsidRPr="00414913">
        <w:rPr>
          <w:i/>
        </w:rPr>
        <w:br/>
      </w:r>
      <w:r w:rsidRPr="00414913">
        <w:tab/>
        <w:t xml:space="preserve">Ivana </w:t>
      </w:r>
      <w:proofErr w:type="spellStart"/>
      <w:r w:rsidRPr="00414913">
        <w:t>Jelić</w:t>
      </w:r>
      <w:proofErr w:type="spellEnd"/>
      <w:r w:rsidRPr="00414913">
        <w:t>,</w:t>
      </w:r>
      <w:r w:rsidRPr="00414913">
        <w:rPr>
          <w:i/>
        </w:rPr>
        <w:br/>
      </w:r>
      <w:r w:rsidRPr="00414913">
        <w:tab/>
      </w:r>
      <w:proofErr w:type="spellStart"/>
      <w:r w:rsidRPr="00414913">
        <w:t>Darian</w:t>
      </w:r>
      <w:proofErr w:type="spellEnd"/>
      <w:r w:rsidRPr="00414913">
        <w:t xml:space="preserve"> </w:t>
      </w:r>
      <w:proofErr w:type="spellStart"/>
      <w:r w:rsidRPr="00414913">
        <w:t>Pavli</w:t>
      </w:r>
      <w:proofErr w:type="spellEnd"/>
      <w:r w:rsidRPr="00414913">
        <w:t>,</w:t>
      </w:r>
      <w:r w:rsidRPr="00414913">
        <w:rPr>
          <w:i/>
        </w:rPr>
        <w:br/>
      </w:r>
      <w:r w:rsidRPr="00414913">
        <w:tab/>
      </w:r>
      <w:proofErr w:type="spellStart"/>
      <w:r w:rsidRPr="00414913">
        <w:t>Saadet</w:t>
      </w:r>
      <w:proofErr w:type="spellEnd"/>
      <w:r w:rsidRPr="00414913">
        <w:t xml:space="preserve"> </w:t>
      </w:r>
      <w:proofErr w:type="spellStart"/>
      <w:r w:rsidRPr="00414913">
        <w:t>Yüksel</w:t>
      </w:r>
      <w:proofErr w:type="spellEnd"/>
      <w:r w:rsidRPr="00414913">
        <w:t>,</w:t>
      </w:r>
      <w:r w:rsidRPr="00414913">
        <w:rPr>
          <w:i/>
        </w:rPr>
        <w:t xml:space="preserve"> juges</w:t>
      </w:r>
      <w:proofErr w:type="gramStart"/>
      <w:r w:rsidRPr="00414913">
        <w:rPr>
          <w:i/>
        </w:rPr>
        <w:t>,</w:t>
      </w:r>
      <w:proofErr w:type="gramEnd"/>
      <w:r w:rsidRPr="00414913">
        <w:rPr>
          <w:i/>
        </w:rPr>
        <w:br/>
      </w:r>
      <w:r w:rsidRPr="00414913" w:rsidR="004344E6">
        <w:t xml:space="preserve">et de </w:t>
      </w:r>
      <w:r w:rsidRPr="00414913" w:rsidR="006D1562">
        <w:t>Stanley Naismith</w:t>
      </w:r>
      <w:r w:rsidRPr="00414913" w:rsidR="004344E6">
        <w:t xml:space="preserve">, </w:t>
      </w:r>
      <w:r w:rsidRPr="00414913" w:rsidR="006D1562">
        <w:rPr>
          <w:i/>
        </w:rPr>
        <w:t>greffier</w:t>
      </w:r>
      <w:r w:rsidRPr="00414913" w:rsidR="006D1562">
        <w:rPr>
          <w:iCs/>
        </w:rPr>
        <w:t xml:space="preserve"> </w:t>
      </w:r>
      <w:r w:rsidRPr="00414913" w:rsidR="006D1562">
        <w:rPr>
          <w:i/>
          <w:iCs/>
        </w:rPr>
        <w:t>d</w:t>
      </w:r>
      <w:r w:rsidRPr="00414913" w:rsidR="006D1562">
        <w:rPr>
          <w:i/>
        </w:rPr>
        <w:t>e section</w:t>
      </w:r>
      <w:r w:rsidRPr="00414913" w:rsidR="004344E6">
        <w:t>,</w:t>
      </w:r>
    </w:p>
    <w:p w:rsidRPr="00414913" w:rsidR="004344E6" w:rsidP="00414913" w:rsidRDefault="004344E6">
      <w:pPr>
        <w:pStyle w:val="JuPara"/>
      </w:pPr>
      <w:r w:rsidRPr="00414913">
        <w:t xml:space="preserve">Après en avoir délibéré en chambre du conseil le </w:t>
      </w:r>
      <w:r w:rsidRPr="00414913" w:rsidR="006D1562">
        <w:rPr>
          <w:szCs w:val="24"/>
        </w:rPr>
        <w:t>8 octobre 2019</w:t>
      </w:r>
      <w:r w:rsidRPr="00414913">
        <w:t>,</w:t>
      </w:r>
    </w:p>
    <w:p w:rsidRPr="00414913" w:rsidR="00876F03" w:rsidP="00414913" w:rsidRDefault="004344E6">
      <w:pPr>
        <w:pStyle w:val="JuPara"/>
      </w:pPr>
      <w:r w:rsidRPr="00414913">
        <w:t>Rend l</w:t>
      </w:r>
      <w:r w:rsidRPr="00414913" w:rsidR="00414913">
        <w:t>’</w:t>
      </w:r>
      <w:r w:rsidRPr="00414913">
        <w:t>arrêt que voici</w:t>
      </w:r>
      <w:r w:rsidRPr="00414913" w:rsidR="00876F03">
        <w:t>, adopté à cette date :</w:t>
      </w:r>
    </w:p>
    <w:p w:rsidRPr="00414913" w:rsidR="006D1562" w:rsidP="00414913" w:rsidRDefault="006D1562">
      <w:pPr>
        <w:pStyle w:val="JuHHead"/>
        <w:numPr>
          <w:ilvl w:val="0"/>
          <w:numId w:val="1"/>
        </w:numPr>
      </w:pPr>
      <w:r w:rsidRPr="00414913">
        <w:t>PROCÉDURE</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1</w:t>
      </w:r>
      <w:r w:rsidRPr="00414913">
        <w:fldChar w:fldCharType="end"/>
      </w:r>
      <w:r w:rsidRPr="00414913">
        <w:t>.  À l</w:t>
      </w:r>
      <w:r w:rsidRPr="00414913" w:rsidR="00414913">
        <w:t>’</w:t>
      </w:r>
      <w:r w:rsidRPr="00414913">
        <w:t>origine de l</w:t>
      </w:r>
      <w:r w:rsidRPr="00414913" w:rsidR="00414913">
        <w:t>’</w:t>
      </w:r>
      <w:r w:rsidRPr="00414913">
        <w:t>affaire se trouve une requête (n</w:t>
      </w:r>
      <w:r w:rsidRPr="00414913">
        <w:rPr>
          <w:vertAlign w:val="superscript"/>
        </w:rPr>
        <w:t>o</w:t>
      </w:r>
      <w:r w:rsidRPr="00414913">
        <w:t xml:space="preserve"> 76224/12) dirigée contre la République de Turquie et dont un ressortissant de cet État, M. </w:t>
      </w:r>
      <w:proofErr w:type="spellStart"/>
      <w:r w:rsidRPr="00414913">
        <w:t>Nejdet</w:t>
      </w:r>
      <w:proofErr w:type="spellEnd"/>
      <w:r w:rsidRPr="00414913">
        <w:t xml:space="preserve"> </w:t>
      </w:r>
      <w:proofErr w:type="spellStart"/>
      <w:r w:rsidRPr="00414913">
        <w:t>Atalay</w:t>
      </w:r>
      <w:proofErr w:type="spellEnd"/>
      <w:r w:rsidRPr="00414913">
        <w:t xml:space="preserve"> (« le requérant »), a saisi la Cour le 17 septembre 2012 en vertu de l</w:t>
      </w:r>
      <w:r w:rsidRPr="00414913" w:rsidR="00414913">
        <w:t>’</w:t>
      </w:r>
      <w:r w:rsidRPr="00414913">
        <w:t>article 34 de la Convention de sauvegarde des droits de l</w:t>
      </w:r>
      <w:r w:rsidRPr="00414913" w:rsidR="00414913">
        <w:t>’</w:t>
      </w:r>
      <w:r w:rsidRPr="00414913">
        <w:t>homme et des libertés fondamentales (« la Convention »).</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2</w:t>
      </w:r>
      <w:r w:rsidRPr="00414913">
        <w:fldChar w:fldCharType="end"/>
      </w:r>
      <w:r w:rsidRPr="00414913">
        <w:t>.  Le requérant a été représenté par M</w:t>
      </w:r>
      <w:r w:rsidRPr="00414913">
        <w:rPr>
          <w:vertAlign w:val="superscript"/>
        </w:rPr>
        <w:t>e</w:t>
      </w:r>
      <w:r w:rsidRPr="00414913">
        <w:t xml:space="preserve"> M. </w:t>
      </w:r>
      <w:proofErr w:type="spellStart"/>
      <w:r w:rsidRPr="00414913">
        <w:t>Yıldız</w:t>
      </w:r>
      <w:proofErr w:type="spellEnd"/>
      <w:r w:rsidRPr="00414913">
        <w:t>, avocat à Batman. Le gouvernement turc (« le Gouvernement ») a été représenté par son agent.</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3</w:t>
      </w:r>
      <w:r w:rsidRPr="00414913">
        <w:fldChar w:fldCharType="end"/>
      </w:r>
      <w:r w:rsidRPr="00414913">
        <w:t>.  Le requérant alléguait en particulier une atteinte à son droit à la liberté d</w:t>
      </w:r>
      <w:r w:rsidRPr="00414913" w:rsidR="00414913">
        <w:t>’</w:t>
      </w:r>
      <w:r w:rsidRPr="00414913">
        <w:t>expression.</w:t>
      </w:r>
    </w:p>
    <w:p w:rsidRPr="00414913" w:rsidR="006D1562" w:rsidP="00414913" w:rsidRDefault="006D1562">
      <w:pPr>
        <w:pStyle w:val="JuPara"/>
        <w:rPr>
          <w:szCs w:val="24"/>
          <w:lang w:eastAsia="en-GB"/>
        </w:rPr>
      </w:pPr>
      <w:r w:rsidRPr="00414913">
        <w:fldChar w:fldCharType="begin"/>
      </w:r>
      <w:r w:rsidRPr="00414913">
        <w:instrText xml:space="preserve"> SEQ level0 \*arabic </w:instrText>
      </w:r>
      <w:r w:rsidRPr="00414913">
        <w:fldChar w:fldCharType="separate"/>
      </w:r>
      <w:r w:rsidRPr="00414913" w:rsidR="00414913">
        <w:rPr>
          <w:noProof/>
        </w:rPr>
        <w:t>4</w:t>
      </w:r>
      <w:r w:rsidRPr="00414913">
        <w:fldChar w:fldCharType="end"/>
      </w:r>
      <w:r w:rsidRPr="00414913">
        <w:t xml:space="preserve">.  Le </w:t>
      </w:r>
      <w:r w:rsidRPr="00414913">
        <w:rPr>
          <w:szCs w:val="24"/>
        </w:rPr>
        <w:t>14 janvier 2013</w:t>
      </w:r>
      <w:r w:rsidRPr="00414913">
        <w:t>, la requête a été communiquée au Gouvernement.</w:t>
      </w:r>
    </w:p>
    <w:p w:rsidRPr="00414913" w:rsidR="006D1562" w:rsidP="00414913" w:rsidRDefault="006D1562">
      <w:pPr>
        <w:pStyle w:val="JuHHead"/>
        <w:numPr>
          <w:ilvl w:val="0"/>
          <w:numId w:val="1"/>
        </w:numPr>
        <w:tabs>
          <w:tab w:val="left" w:pos="5387"/>
        </w:tabs>
      </w:pPr>
      <w:r w:rsidRPr="00414913">
        <w:t>EN FAIT</w:t>
      </w:r>
    </w:p>
    <w:p w:rsidRPr="00414913" w:rsidR="006D1562" w:rsidP="00414913" w:rsidRDefault="006D1562">
      <w:pPr>
        <w:pStyle w:val="JuHIRoman"/>
        <w:numPr>
          <w:ilvl w:val="0"/>
          <w:numId w:val="0"/>
        </w:numPr>
        <w:ind w:left="357"/>
      </w:pPr>
      <w:r w:rsidRPr="00414913">
        <w:t>I.  LES CIRCONSTANCES DE L</w:t>
      </w:r>
      <w:r w:rsidRPr="00414913" w:rsidR="00414913">
        <w:t>’</w:t>
      </w:r>
      <w:r w:rsidRPr="00414913">
        <w:t>ESPÈCE</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5</w:t>
      </w:r>
      <w:r w:rsidRPr="00414913">
        <w:fldChar w:fldCharType="end"/>
      </w:r>
      <w:r w:rsidRPr="00414913">
        <w:t>.  Le requérant est né en 1978. Il réside à Batman. À l</w:t>
      </w:r>
      <w:r w:rsidRPr="00414913" w:rsidR="00414913">
        <w:t>’</w:t>
      </w:r>
      <w:r w:rsidRPr="00414913">
        <w:t>époque des faits, il était membre du conseil d</w:t>
      </w:r>
      <w:r w:rsidRPr="00414913" w:rsidR="00414913">
        <w:t>’</w:t>
      </w:r>
      <w:r w:rsidRPr="00414913">
        <w:t>administration de la section locale d</w:t>
      </w:r>
      <w:r w:rsidRPr="00414913" w:rsidR="00414913">
        <w:t>’</w:t>
      </w:r>
      <w:r w:rsidRPr="00414913">
        <w:t>un parti politique à Diyarba</w:t>
      </w:r>
      <w:r w:rsidRPr="00414913">
        <w:rPr>
          <w:rFonts w:cstheme="minorHAnsi"/>
        </w:rPr>
        <w:t>kır</w:t>
      </w:r>
      <w:r w:rsidRPr="00414913">
        <w:t>.</w:t>
      </w:r>
    </w:p>
    <w:p w:rsidRPr="00414913" w:rsidR="006D1562" w:rsidP="00414913" w:rsidRDefault="006D1562">
      <w:pPr>
        <w:pStyle w:val="JuPara"/>
        <w:rPr>
          <w:rFonts w:cstheme="minorHAnsi"/>
        </w:rPr>
      </w:pPr>
      <w:r w:rsidRPr="00414913">
        <w:fldChar w:fldCharType="begin"/>
      </w:r>
      <w:r w:rsidRPr="00414913">
        <w:instrText xml:space="preserve"> SEQ level0 \*arabic </w:instrText>
      </w:r>
      <w:r w:rsidRPr="00414913">
        <w:fldChar w:fldCharType="separate"/>
      </w:r>
      <w:r w:rsidRPr="00414913" w:rsidR="00414913">
        <w:rPr>
          <w:noProof/>
        </w:rPr>
        <w:t>6</w:t>
      </w:r>
      <w:r w:rsidRPr="00414913">
        <w:fldChar w:fldCharType="end"/>
      </w:r>
      <w:r w:rsidRPr="00414913">
        <w:t>.  Par un acte d</w:t>
      </w:r>
      <w:r w:rsidRPr="00414913" w:rsidR="00414913">
        <w:t>’</w:t>
      </w:r>
      <w:r w:rsidRPr="00414913">
        <w:t>accusation du 23 mai 2006, le procureur de la République de Diyarba</w:t>
      </w:r>
      <w:r w:rsidRPr="00414913">
        <w:rPr>
          <w:rFonts w:cstheme="minorHAnsi"/>
        </w:rPr>
        <w:t>kır (« le procureur de la République ») engagea une action publique devant la cour d</w:t>
      </w:r>
      <w:r w:rsidRPr="00414913" w:rsidR="00414913">
        <w:rPr>
          <w:rFonts w:cstheme="minorHAnsi"/>
        </w:rPr>
        <w:t>’</w:t>
      </w:r>
      <w:r w:rsidRPr="00414913">
        <w:rPr>
          <w:rFonts w:cstheme="minorHAnsi"/>
        </w:rPr>
        <w:t>assises de</w:t>
      </w:r>
      <w:r w:rsidRPr="00414913">
        <w:t xml:space="preserve"> Diyarba</w:t>
      </w:r>
      <w:r w:rsidRPr="00414913">
        <w:rPr>
          <w:rFonts w:cstheme="minorHAnsi"/>
        </w:rPr>
        <w:t>kır (« la cour d</w:t>
      </w:r>
      <w:r w:rsidRPr="00414913" w:rsidR="00414913">
        <w:rPr>
          <w:rFonts w:cstheme="minorHAnsi"/>
        </w:rPr>
        <w:t>’</w:t>
      </w:r>
      <w:r w:rsidRPr="00414913">
        <w:rPr>
          <w:rFonts w:cstheme="minorHAnsi"/>
        </w:rPr>
        <w:t>assises ») contre le requérant en raison des actes que ce dernier aurait commis lors d</w:t>
      </w:r>
      <w:r w:rsidRPr="00414913" w:rsidR="00414913">
        <w:rPr>
          <w:rFonts w:cstheme="minorHAnsi"/>
        </w:rPr>
        <w:t>’</w:t>
      </w:r>
      <w:r w:rsidRPr="00414913">
        <w:rPr>
          <w:rFonts w:cstheme="minorHAnsi"/>
        </w:rPr>
        <w:t xml:space="preserve">une manifestation organisée le 28 mars 2006 à </w:t>
      </w:r>
      <w:r w:rsidRPr="00414913">
        <w:t>Diyarba</w:t>
      </w:r>
      <w:r w:rsidRPr="00414913">
        <w:rPr>
          <w:rFonts w:cstheme="minorHAnsi"/>
        </w:rPr>
        <w:t>kır à l</w:t>
      </w:r>
      <w:r w:rsidRPr="00414913" w:rsidR="00414913">
        <w:rPr>
          <w:rFonts w:cstheme="minorHAnsi"/>
        </w:rPr>
        <w:t>’</w:t>
      </w:r>
      <w:r w:rsidRPr="00414913">
        <w:rPr>
          <w:rFonts w:cstheme="minorHAnsi"/>
        </w:rPr>
        <w:t>occasion des obsèques de quatre membres du PKK (Parti des travailleurs du Kurdistan, une organisation illégale armée) tués lors de conflits armés avec les forces de l</w:t>
      </w:r>
      <w:r w:rsidRPr="00414913" w:rsidR="00414913">
        <w:rPr>
          <w:rFonts w:cstheme="minorHAnsi"/>
        </w:rPr>
        <w:t>’</w:t>
      </w:r>
      <w:r w:rsidRPr="00414913">
        <w:rPr>
          <w:rFonts w:cstheme="minorHAnsi"/>
        </w:rPr>
        <w:t>ordre. Le procureur de la République considérait que cette manifestation avait été organisée sur les instructions du PKK.</w:t>
      </w:r>
    </w:p>
    <w:p w:rsidRPr="00414913" w:rsidR="006D1562" w:rsidP="00414913" w:rsidRDefault="006D1562">
      <w:pPr>
        <w:pStyle w:val="JuPara"/>
        <w:rPr>
          <w:rFonts w:cstheme="minorHAnsi"/>
        </w:rPr>
      </w:pPr>
      <w:r w:rsidRPr="00414913">
        <w:rPr>
          <w:rFonts w:cstheme="minorHAnsi"/>
        </w:rPr>
        <w:fldChar w:fldCharType="begin"/>
      </w:r>
      <w:r w:rsidRPr="00414913">
        <w:rPr>
          <w:rFonts w:cstheme="minorHAnsi"/>
        </w:rPr>
        <w:instrText xml:space="preserve"> SEQ level0 \*arabic </w:instrText>
      </w:r>
      <w:r w:rsidRPr="00414913">
        <w:rPr>
          <w:rFonts w:cstheme="minorHAnsi"/>
        </w:rPr>
        <w:fldChar w:fldCharType="separate"/>
      </w:r>
      <w:r w:rsidRPr="00414913" w:rsidR="00414913">
        <w:rPr>
          <w:rFonts w:cstheme="minorHAnsi"/>
          <w:noProof/>
        </w:rPr>
        <w:t>7</w:t>
      </w:r>
      <w:r w:rsidRPr="00414913">
        <w:rPr>
          <w:rFonts w:cstheme="minorHAnsi"/>
        </w:rPr>
        <w:fldChar w:fldCharType="end"/>
      </w:r>
      <w:r w:rsidRPr="00414913">
        <w:rPr>
          <w:rFonts w:cstheme="minorHAnsi"/>
        </w:rPr>
        <w:t>.  Le 11 mars 2008, la cour d</w:t>
      </w:r>
      <w:r w:rsidRPr="00414913" w:rsidR="00414913">
        <w:rPr>
          <w:rFonts w:cstheme="minorHAnsi"/>
        </w:rPr>
        <w:t>’</w:t>
      </w:r>
      <w:r w:rsidRPr="00414913">
        <w:rPr>
          <w:rFonts w:cstheme="minorHAnsi"/>
        </w:rPr>
        <w:t>assises reconnut le requérant coupable de l</w:t>
      </w:r>
      <w:r w:rsidRPr="00414913" w:rsidR="00414913">
        <w:rPr>
          <w:rFonts w:cstheme="minorHAnsi"/>
        </w:rPr>
        <w:t>’</w:t>
      </w:r>
      <w:r w:rsidRPr="00414913">
        <w:rPr>
          <w:rFonts w:cstheme="minorHAnsi"/>
        </w:rPr>
        <w:t>infraction de propagande en faveur de l</w:t>
      </w:r>
      <w:r w:rsidRPr="00414913" w:rsidR="00414913">
        <w:rPr>
          <w:rFonts w:cstheme="minorHAnsi"/>
        </w:rPr>
        <w:t>’</w:t>
      </w:r>
      <w:r w:rsidRPr="00414913">
        <w:rPr>
          <w:rFonts w:cstheme="minorHAnsi"/>
        </w:rPr>
        <w:t>organisation terroriste PKK et le condamna à une peine d</w:t>
      </w:r>
      <w:r w:rsidRPr="00414913" w:rsidR="00414913">
        <w:rPr>
          <w:rFonts w:cstheme="minorHAnsi"/>
        </w:rPr>
        <w:t>’</w:t>
      </w:r>
      <w:r w:rsidRPr="00414913">
        <w:rPr>
          <w:rFonts w:cstheme="minorHAnsi"/>
        </w:rPr>
        <w:t>emprisonnement de dix mois en application de l</w:t>
      </w:r>
      <w:r w:rsidRPr="00414913" w:rsidR="00414913">
        <w:rPr>
          <w:rFonts w:cstheme="minorHAnsi"/>
        </w:rPr>
        <w:t>’</w:t>
      </w:r>
      <w:r w:rsidRPr="00414913">
        <w:rPr>
          <w:rFonts w:cstheme="minorHAnsi"/>
        </w:rPr>
        <w:t xml:space="preserve">article 7 § 2 de la loi </w:t>
      </w:r>
      <w:r w:rsidRPr="00414913">
        <w:t>n</w:t>
      </w:r>
      <w:r w:rsidRPr="00414913">
        <w:rPr>
          <w:vertAlign w:val="superscript"/>
        </w:rPr>
        <w:t>o</w:t>
      </w:r>
      <w:r w:rsidRPr="00414913">
        <w:rPr>
          <w:rFonts w:cstheme="minorHAnsi"/>
        </w:rPr>
        <w:t xml:space="preserve"> 3713. Elle nota d</w:t>
      </w:r>
      <w:r w:rsidRPr="00414913" w:rsidR="00414913">
        <w:rPr>
          <w:rFonts w:cstheme="minorHAnsi"/>
        </w:rPr>
        <w:t>’</w:t>
      </w:r>
      <w:r w:rsidRPr="00414913">
        <w:rPr>
          <w:rFonts w:cstheme="minorHAnsi"/>
        </w:rPr>
        <w:t xml:space="preserve">abord que, selon les photos, les rapports de décryptage des CD et les procès-verbaux contenus dans le dossier, lors de la manifestation organisée le 28 mars 2006, le requérant se trouvait près des cercueils des membres décédés du PKK ; que la foule scandait des slogans tels que « Vive le président Apo », « Dent pour dent, sang pour sang, on est avec toi </w:t>
      </w:r>
      <w:proofErr w:type="spellStart"/>
      <w:r w:rsidRPr="00414913">
        <w:rPr>
          <w:rFonts w:cstheme="minorHAnsi"/>
        </w:rPr>
        <w:t>Öcalan</w:t>
      </w:r>
      <w:proofErr w:type="spellEnd"/>
      <w:r w:rsidRPr="00414913">
        <w:rPr>
          <w:rFonts w:cstheme="minorHAnsi"/>
        </w:rPr>
        <w:t xml:space="preserve"> », « Dis-nous frappe, frappons, dis-nous meurt, mourrons », « Dent pour dent, sang pour sang, vengeance </w:t>
      </w:r>
      <w:proofErr w:type="spellStart"/>
      <w:r w:rsidRPr="00414913">
        <w:rPr>
          <w:rFonts w:cstheme="minorHAnsi"/>
        </w:rPr>
        <w:t>vengeance</w:t>
      </w:r>
      <w:proofErr w:type="spellEnd"/>
      <w:r w:rsidRPr="00414913">
        <w:rPr>
          <w:rFonts w:cstheme="minorHAnsi"/>
        </w:rPr>
        <w:t xml:space="preserve"> », « La jeunesse à </w:t>
      </w:r>
      <w:proofErr w:type="spellStart"/>
      <w:r w:rsidRPr="00414913">
        <w:rPr>
          <w:rFonts w:cstheme="minorHAnsi"/>
        </w:rPr>
        <w:t>Botan</w:t>
      </w:r>
      <w:proofErr w:type="spellEnd"/>
      <w:r w:rsidRPr="00414913">
        <w:rPr>
          <w:rFonts w:cstheme="minorHAnsi"/>
        </w:rPr>
        <w:t>, à la patrie libre », « Les martyrs sont immortels », « La jeunesse est la garde d</w:t>
      </w:r>
      <w:r w:rsidRPr="00414913" w:rsidR="00414913">
        <w:rPr>
          <w:rFonts w:cstheme="minorHAnsi"/>
        </w:rPr>
        <w:t>’</w:t>
      </w:r>
      <w:r w:rsidRPr="00414913">
        <w:rPr>
          <w:rFonts w:cstheme="minorHAnsi"/>
        </w:rPr>
        <w:t>Apo » ; que les visages de certains manifestants étaient couverts, que des drapeaux symbolisant l</w:t>
      </w:r>
      <w:r w:rsidRPr="00414913" w:rsidR="00414913">
        <w:rPr>
          <w:rFonts w:cstheme="minorHAnsi"/>
        </w:rPr>
        <w:t>’</w:t>
      </w:r>
      <w:r w:rsidRPr="00414913">
        <w:rPr>
          <w:rFonts w:cstheme="minorHAnsi"/>
        </w:rPr>
        <w:t>organisation illégale PKK avaient été brandis, que des photos du leader de cette organisation illégale avaient été portées et que le requérant avait participé à cette manifestation de sa propre volonté et avait accroché les photos des membres décédés du PKK au collet de sa veste. Elle considéra que, eu égard au fait que le requérant avait sciemment participé à une cérémonie organisée en l</w:t>
      </w:r>
      <w:r w:rsidRPr="00414913" w:rsidR="00414913">
        <w:rPr>
          <w:rFonts w:cstheme="minorHAnsi"/>
        </w:rPr>
        <w:t>’</w:t>
      </w:r>
      <w:r w:rsidRPr="00414913">
        <w:rPr>
          <w:rFonts w:cstheme="minorHAnsi"/>
        </w:rPr>
        <w:t>honneur de membres décédés du PKK sans aucune raison valable, alors qu</w:t>
      </w:r>
      <w:r w:rsidRPr="00414913" w:rsidR="00414913">
        <w:rPr>
          <w:rFonts w:cstheme="minorHAnsi"/>
        </w:rPr>
        <w:t>’</w:t>
      </w:r>
      <w:r w:rsidRPr="00414913">
        <w:rPr>
          <w:rFonts w:cstheme="minorHAnsi"/>
        </w:rPr>
        <w:t>il n</w:t>
      </w:r>
      <w:r w:rsidRPr="00414913" w:rsidR="00414913">
        <w:rPr>
          <w:rFonts w:cstheme="minorHAnsi"/>
        </w:rPr>
        <w:t>’</w:t>
      </w:r>
      <w:r w:rsidRPr="00414913">
        <w:rPr>
          <w:rFonts w:cstheme="minorHAnsi"/>
        </w:rPr>
        <w:t>avait aucun lien de proximité, de voisinage ou autre avec eux, et au fait qu</w:t>
      </w:r>
      <w:r w:rsidRPr="00414913" w:rsidR="00414913">
        <w:rPr>
          <w:rFonts w:cstheme="minorHAnsi"/>
        </w:rPr>
        <w:t>’</w:t>
      </w:r>
      <w:r w:rsidRPr="00414913">
        <w:rPr>
          <w:rFonts w:cstheme="minorHAnsi"/>
        </w:rPr>
        <w:t>il n</w:t>
      </w:r>
      <w:r w:rsidRPr="00414913" w:rsidR="00414913">
        <w:rPr>
          <w:rFonts w:cstheme="minorHAnsi"/>
        </w:rPr>
        <w:t>’</w:t>
      </w:r>
      <w:r w:rsidRPr="00414913">
        <w:rPr>
          <w:rFonts w:cstheme="minorHAnsi"/>
        </w:rPr>
        <w:t>avait pas quitté ladite manifestation après avoir vu qu</w:t>
      </w:r>
      <w:r w:rsidRPr="00414913" w:rsidR="00414913">
        <w:rPr>
          <w:rFonts w:cstheme="minorHAnsi"/>
        </w:rPr>
        <w:t>’</w:t>
      </w:r>
      <w:r w:rsidRPr="00414913">
        <w:rPr>
          <w:rFonts w:cstheme="minorHAnsi"/>
        </w:rPr>
        <w:t>elle s</w:t>
      </w:r>
      <w:r w:rsidRPr="00414913" w:rsidR="00414913">
        <w:rPr>
          <w:rFonts w:cstheme="minorHAnsi"/>
        </w:rPr>
        <w:t>’</w:t>
      </w:r>
      <w:r w:rsidRPr="00414913">
        <w:rPr>
          <w:rFonts w:cstheme="minorHAnsi"/>
        </w:rPr>
        <w:t>était transformée en une manifestation de propagande en faveur de l</w:t>
      </w:r>
      <w:r w:rsidRPr="00414913" w:rsidR="00414913">
        <w:rPr>
          <w:rFonts w:cstheme="minorHAnsi"/>
        </w:rPr>
        <w:t>’</w:t>
      </w:r>
      <w:r w:rsidRPr="00414913">
        <w:rPr>
          <w:rFonts w:cstheme="minorHAnsi"/>
        </w:rPr>
        <w:t>organisation illégale PKK avec des slogans, des pancartes et des drapeaux, le requérant avait adhéré à la volonté de la foule et aux actes illégaux commis lors de cette manifestation.</w:t>
      </w:r>
    </w:p>
    <w:p w:rsidRPr="00414913" w:rsidR="006D1562" w:rsidP="00414913" w:rsidRDefault="006D1562">
      <w:pPr>
        <w:pStyle w:val="JuPara"/>
        <w:rPr>
          <w:rFonts w:cstheme="minorHAnsi"/>
        </w:rPr>
      </w:pPr>
      <w:r w:rsidRPr="00414913">
        <w:rPr>
          <w:rFonts w:cstheme="minorHAnsi"/>
        </w:rPr>
        <w:fldChar w:fldCharType="begin"/>
      </w:r>
      <w:r w:rsidRPr="00414913">
        <w:rPr>
          <w:rFonts w:cstheme="minorHAnsi"/>
        </w:rPr>
        <w:instrText xml:space="preserve"> SEQ level0 \*arabic </w:instrText>
      </w:r>
      <w:r w:rsidRPr="00414913">
        <w:rPr>
          <w:rFonts w:cstheme="minorHAnsi"/>
        </w:rPr>
        <w:fldChar w:fldCharType="separate"/>
      </w:r>
      <w:r w:rsidRPr="00414913" w:rsidR="00414913">
        <w:rPr>
          <w:rFonts w:cstheme="minorHAnsi"/>
          <w:noProof/>
        </w:rPr>
        <w:t>8</w:t>
      </w:r>
      <w:r w:rsidRPr="00414913">
        <w:rPr>
          <w:rFonts w:cstheme="minorHAnsi"/>
        </w:rPr>
        <w:fldChar w:fldCharType="end"/>
      </w:r>
      <w:r w:rsidRPr="00414913">
        <w:rPr>
          <w:rFonts w:cstheme="minorHAnsi"/>
        </w:rPr>
        <w:t>.  Le 2 février 2012, la Cour de cassation, saisie d</w:t>
      </w:r>
      <w:r w:rsidRPr="00414913" w:rsidR="00414913">
        <w:rPr>
          <w:rFonts w:cstheme="minorHAnsi"/>
        </w:rPr>
        <w:t>’</w:t>
      </w:r>
      <w:r w:rsidRPr="00414913">
        <w:rPr>
          <w:rFonts w:cstheme="minorHAnsi"/>
        </w:rPr>
        <w:t>un pourvoi en cassation formé par le requérant, confirma l</w:t>
      </w:r>
      <w:r w:rsidRPr="00414913" w:rsidR="00414913">
        <w:rPr>
          <w:rFonts w:cstheme="minorHAnsi"/>
        </w:rPr>
        <w:t>’</w:t>
      </w:r>
      <w:r w:rsidRPr="00414913">
        <w:rPr>
          <w:rFonts w:cstheme="minorHAnsi"/>
        </w:rPr>
        <w:t>arrêt de la cour d</w:t>
      </w:r>
      <w:r w:rsidRPr="00414913" w:rsidR="00414913">
        <w:rPr>
          <w:rFonts w:cstheme="minorHAnsi"/>
        </w:rPr>
        <w:t>’</w:t>
      </w:r>
      <w:r w:rsidRPr="00414913">
        <w:rPr>
          <w:rFonts w:cstheme="minorHAnsi"/>
        </w:rPr>
        <w:t>assises en indiquant que celui-ci était pertinent eu égard au contenu du dossier.</w:t>
      </w:r>
    </w:p>
    <w:p w:rsidRPr="00414913" w:rsidR="006D1562" w:rsidP="00414913" w:rsidRDefault="006D1562">
      <w:pPr>
        <w:pStyle w:val="JuHIRoman"/>
        <w:numPr>
          <w:ilvl w:val="0"/>
          <w:numId w:val="0"/>
        </w:numPr>
        <w:ind w:left="357"/>
      </w:pPr>
      <w:r w:rsidRPr="00414913">
        <w:t>II.  LE DROIT INTERNE PERTINENT</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9</w:t>
      </w:r>
      <w:r w:rsidRPr="00414913">
        <w:fldChar w:fldCharType="end"/>
      </w:r>
      <w:r w:rsidRPr="00414913">
        <w:t>.  L</w:t>
      </w:r>
      <w:r w:rsidRPr="00414913" w:rsidR="00414913">
        <w:t>’</w:t>
      </w:r>
      <w:r w:rsidRPr="00414913">
        <w:t>article 7 § 2 de la loi n</w:t>
      </w:r>
      <w:r w:rsidRPr="00414913">
        <w:rPr>
          <w:vertAlign w:val="superscript"/>
        </w:rPr>
        <w:t>o</w:t>
      </w:r>
      <w:r w:rsidRPr="00414913">
        <w:t xml:space="preserve"> 3713 relative à la lutte contre le terrorisme, entrée en vigueur le 12 avril 1991, tel que modifié par la loi n</w:t>
      </w:r>
      <w:r w:rsidRPr="00414913">
        <w:rPr>
          <w:vertAlign w:val="superscript"/>
        </w:rPr>
        <w:t>o</w:t>
      </w:r>
      <w:r w:rsidRPr="00414913" w:rsidR="00CF5C75">
        <w:t xml:space="preserve"> 4963 du 30 </w:t>
      </w:r>
      <w:r w:rsidRPr="00414913">
        <w:t>juillet 2003, énonçait que :</w:t>
      </w:r>
    </w:p>
    <w:p w:rsidRPr="00414913" w:rsidR="006D1562" w:rsidP="00414913" w:rsidRDefault="006D1562">
      <w:pPr>
        <w:pStyle w:val="JuQuot"/>
      </w:pPr>
      <w:r w:rsidRPr="00414913">
        <w:t>« Quiconque (...) fait de la propagande de manière à inciter à utiliser de la violence ou des méthodes relevant du terrorisme sera condamné à une peine allant de un à cinq ans d</w:t>
      </w:r>
      <w:r w:rsidRPr="00414913" w:rsidR="00414913">
        <w:t>’</w:t>
      </w:r>
      <w:r w:rsidRPr="00414913">
        <w:t>emprisonnement ainsi qu</w:t>
      </w:r>
      <w:r w:rsidRPr="00414913" w:rsidR="00414913">
        <w:t>’</w:t>
      </w:r>
      <w:r w:rsidRPr="00414913">
        <w:t>à une amende lourde allant de cinq cents millions à un milliard de livres turques (...) »</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10</w:t>
      </w:r>
      <w:r w:rsidRPr="00414913">
        <w:fldChar w:fldCharType="end"/>
      </w:r>
      <w:r w:rsidRPr="00414913">
        <w:t>.  Après avoir été modifié par la loi n</w:t>
      </w:r>
      <w:r w:rsidRPr="00414913">
        <w:rPr>
          <w:vertAlign w:val="superscript"/>
        </w:rPr>
        <w:t>o</w:t>
      </w:r>
      <w:r w:rsidRPr="00414913">
        <w:t xml:space="preserve"> 5532, entrée en vigueur le 18 juillet 2006, l</w:t>
      </w:r>
      <w:r w:rsidRPr="00414913" w:rsidR="00414913">
        <w:t>’</w:t>
      </w:r>
      <w:r w:rsidRPr="00414913">
        <w:t>article 7 § 2 de la loi n</w:t>
      </w:r>
      <w:r w:rsidRPr="00414913">
        <w:rPr>
          <w:vertAlign w:val="superscript"/>
        </w:rPr>
        <w:t>o</w:t>
      </w:r>
      <w:r w:rsidRPr="00414913">
        <w:t xml:space="preserve"> 3713 se lisait ainsi :</w:t>
      </w:r>
    </w:p>
    <w:p w:rsidRPr="00414913" w:rsidR="006D1562" w:rsidP="00414913" w:rsidRDefault="006D1562">
      <w:pPr>
        <w:pStyle w:val="JuQuot"/>
      </w:pPr>
      <w:r w:rsidRPr="00414913">
        <w:t>«</w:t>
      </w:r>
      <w:r w:rsidRPr="00414913" w:rsidR="00CF5C75">
        <w:t> </w:t>
      </w:r>
      <w:r w:rsidRPr="00414913">
        <w:t>Quiconque fait de la propagande en faveur d</w:t>
      </w:r>
      <w:r w:rsidRPr="00414913" w:rsidR="00414913">
        <w:t>’</w:t>
      </w:r>
      <w:r w:rsidRPr="00414913">
        <w:t>une organisation terroriste sera condamné à une peine de un an à cinq ans d</w:t>
      </w:r>
      <w:r w:rsidRPr="00414913" w:rsidR="00414913">
        <w:t>’</w:t>
      </w:r>
      <w:r w:rsidRPr="00414913" w:rsidR="00CF5C75">
        <w:t>emprisonnement. (...) </w:t>
      </w:r>
      <w:r w:rsidRPr="00414913">
        <w:t>»</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11</w:t>
      </w:r>
      <w:r w:rsidRPr="00414913">
        <w:fldChar w:fldCharType="end"/>
      </w:r>
      <w:r w:rsidRPr="00414913">
        <w:t>.  Depuis la modification opérée par la loi n</w:t>
      </w:r>
      <w:r w:rsidRPr="00414913">
        <w:rPr>
          <w:vertAlign w:val="superscript"/>
        </w:rPr>
        <w:t>o</w:t>
      </w:r>
      <w:r w:rsidRPr="00414913" w:rsidR="0046116C">
        <w:t xml:space="preserve"> 6459, entrée en vigueur le 30 </w:t>
      </w:r>
      <w:r w:rsidRPr="00414913">
        <w:t>avril 2013, cette disposition est ainsi libellée:</w:t>
      </w:r>
    </w:p>
    <w:p w:rsidRPr="00414913" w:rsidR="006D1562" w:rsidP="00414913" w:rsidRDefault="006D1562">
      <w:pPr>
        <w:pStyle w:val="JuQuot"/>
      </w:pPr>
      <w:r w:rsidRPr="00414913">
        <w:t>« Quiconque fait de la propagande en faveur d</w:t>
      </w:r>
      <w:r w:rsidRPr="00414913" w:rsidR="00414913">
        <w:t>’</w:t>
      </w:r>
      <w:r w:rsidRPr="00414913">
        <w:t>une organisation terroriste en légitimant les méthodes de contrainte, de violence ou de menace de ce type d</w:t>
      </w:r>
      <w:r w:rsidRPr="00414913" w:rsidR="00414913">
        <w:t>’</w:t>
      </w:r>
      <w:r w:rsidRPr="00414913">
        <w:t>organisations, en faisant leur apologie ou en incitant à leur utilisation sera condamné à une peine de un an à cinq ans d</w:t>
      </w:r>
      <w:r w:rsidRPr="00414913" w:rsidR="00414913">
        <w:t>’</w:t>
      </w:r>
      <w:r w:rsidRPr="00414913">
        <w:t>emprisonnement. (...)</w:t>
      </w:r>
      <w:r w:rsidRPr="00414913" w:rsidR="00CF5C75">
        <w:t> </w:t>
      </w:r>
      <w:r w:rsidRPr="00414913">
        <w:t>»</w:t>
      </w:r>
    </w:p>
    <w:p w:rsidRPr="00414913" w:rsidR="006D1562" w:rsidP="00414913" w:rsidRDefault="006D1562">
      <w:pPr>
        <w:pStyle w:val="JuHHead"/>
        <w:numPr>
          <w:ilvl w:val="0"/>
          <w:numId w:val="1"/>
        </w:numPr>
      </w:pPr>
      <w:r w:rsidRPr="00414913">
        <w:t>EN DROIT</w:t>
      </w:r>
    </w:p>
    <w:p w:rsidRPr="00414913" w:rsidR="006D1562" w:rsidP="00414913" w:rsidRDefault="006D1562">
      <w:pPr>
        <w:pStyle w:val="JuHIRoman"/>
        <w:numPr>
          <w:ilvl w:val="0"/>
          <w:numId w:val="0"/>
        </w:numPr>
        <w:ind w:left="357"/>
      </w:pPr>
      <w:r w:rsidRPr="00414913">
        <w:t>I.  SUR LA VIOLATION ALLÉGUÉE DE L</w:t>
      </w:r>
      <w:r w:rsidRPr="00414913" w:rsidR="00414913">
        <w:t>’</w:t>
      </w:r>
      <w:r w:rsidRPr="00414913">
        <w:t>ARTICLE 10 DE LA CONVENTION</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12</w:t>
      </w:r>
      <w:r w:rsidRPr="00414913">
        <w:fldChar w:fldCharType="end"/>
      </w:r>
      <w:r w:rsidRPr="00414913">
        <w:t>.  Le requérant voit dans sa condamnation pénale une atteinte à son droit à la liberté d</w:t>
      </w:r>
      <w:r w:rsidRPr="00414913" w:rsidR="00414913">
        <w:t>’</w:t>
      </w:r>
      <w:r w:rsidRPr="00414913">
        <w:t>expression garanti par l</w:t>
      </w:r>
      <w:r w:rsidRPr="00414913" w:rsidR="00414913">
        <w:t>’</w:t>
      </w:r>
      <w:r w:rsidRPr="00414913">
        <w:t>article 10 de la Convention, lequel est ainsi libellé :</w:t>
      </w:r>
    </w:p>
    <w:p w:rsidRPr="00414913" w:rsidR="006D1562" w:rsidP="00414913" w:rsidRDefault="006D1562">
      <w:pPr>
        <w:pStyle w:val="JuQuot"/>
      </w:pPr>
      <w:r w:rsidRPr="00414913">
        <w:t>«</w:t>
      </w:r>
      <w:r w:rsidRPr="00414913" w:rsidR="00CF5C75">
        <w:t> </w:t>
      </w:r>
      <w:r w:rsidRPr="00414913">
        <w:t>1.  Toute personne a droit à la liberté d</w:t>
      </w:r>
      <w:r w:rsidRPr="00414913" w:rsidR="00414913">
        <w:t>’</w:t>
      </w:r>
      <w:r w:rsidRPr="00414913">
        <w:t>expression. Ce droit comprend la liberté d</w:t>
      </w:r>
      <w:r w:rsidRPr="00414913" w:rsidR="00414913">
        <w:t>’</w:t>
      </w:r>
      <w:r w:rsidRPr="00414913">
        <w:t>opinion et la liberté de recevoir ou de communiquer des informations ou des idées sans qu</w:t>
      </w:r>
      <w:r w:rsidRPr="00414913" w:rsidR="00414913">
        <w:t>’</w:t>
      </w:r>
      <w:r w:rsidRPr="00414913">
        <w:t>il puisse y avoir ingérence d</w:t>
      </w:r>
      <w:r w:rsidRPr="00414913" w:rsidR="00414913">
        <w:t>’</w:t>
      </w:r>
      <w:r w:rsidRPr="00414913">
        <w:t>autorités publiques et sans considération de frontière. Le présent article n</w:t>
      </w:r>
      <w:r w:rsidRPr="00414913" w:rsidR="00414913">
        <w:t>’</w:t>
      </w:r>
      <w:r w:rsidRPr="00414913">
        <w:t>empêche pas les États de soumettre les entreprises de radiodiffusion, de cinéma ou de télévision à un régime d</w:t>
      </w:r>
      <w:r w:rsidRPr="00414913" w:rsidR="00414913">
        <w:t>’</w:t>
      </w:r>
      <w:r w:rsidRPr="00414913">
        <w:t>autorisations.</w:t>
      </w:r>
    </w:p>
    <w:p w:rsidRPr="00414913" w:rsidR="006D1562" w:rsidP="00414913" w:rsidRDefault="006D1562">
      <w:pPr>
        <w:pStyle w:val="JuQuot"/>
      </w:pPr>
      <w:r w:rsidRPr="00414913">
        <w:t>2.  L</w:t>
      </w:r>
      <w:r w:rsidRPr="00414913" w:rsidR="00414913">
        <w:t>’</w:t>
      </w:r>
      <w:r w:rsidRPr="00414913">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414913" w:rsidR="00414913">
        <w:t>’</w:t>
      </w:r>
      <w:r w:rsidRPr="00414913">
        <w:t>intégrité territoriale ou à la sûreté publique, à la défense de l</w:t>
      </w:r>
      <w:r w:rsidRPr="00414913" w:rsidR="00414913">
        <w:t>’</w:t>
      </w:r>
      <w:r w:rsidRPr="00414913">
        <w:t>ordre et à la prévention du crime, à la protection de la santé ou de la morale, à la protection de la réputation ou des droits d</w:t>
      </w:r>
      <w:r w:rsidRPr="00414913" w:rsidR="00414913">
        <w:t>’</w:t>
      </w:r>
      <w:r w:rsidRPr="00414913">
        <w:t>autrui, pour empêcher la divulgation d</w:t>
      </w:r>
      <w:r w:rsidRPr="00414913" w:rsidR="00414913">
        <w:t>’</w:t>
      </w:r>
      <w:r w:rsidRPr="00414913">
        <w:t>informations confidentielles ou pour garantir l</w:t>
      </w:r>
      <w:r w:rsidRPr="00414913" w:rsidR="00414913">
        <w:t>’</w:t>
      </w:r>
      <w:r w:rsidRPr="00414913">
        <w:t>autorité et l</w:t>
      </w:r>
      <w:r w:rsidRPr="00414913" w:rsidR="00414913">
        <w:t>’</w:t>
      </w:r>
      <w:r w:rsidRPr="00414913">
        <w:t>impartialité du pouvoir judiciaire.</w:t>
      </w:r>
      <w:r w:rsidRPr="00414913" w:rsidR="00CF5C75">
        <w:t> </w:t>
      </w:r>
      <w:r w:rsidRPr="00414913">
        <w:t>»</w:t>
      </w:r>
    </w:p>
    <w:p w:rsidRPr="00414913" w:rsidR="006D1562" w:rsidP="00414913" w:rsidRDefault="006D1562">
      <w:pPr>
        <w:pStyle w:val="JuHA"/>
        <w:numPr>
          <w:ilvl w:val="0"/>
          <w:numId w:val="0"/>
        </w:numPr>
        <w:ind w:left="584"/>
      </w:pPr>
      <w:r w:rsidRPr="00414913">
        <w:t>A.  Sur la recevabilité</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13</w:t>
      </w:r>
      <w:r w:rsidRPr="00414913">
        <w:fldChar w:fldCharType="end"/>
      </w:r>
      <w:r w:rsidRPr="00414913">
        <w:t>.  Constatant que ce grief n</w:t>
      </w:r>
      <w:r w:rsidRPr="00414913" w:rsidR="00414913">
        <w:t>’</w:t>
      </w:r>
      <w:r w:rsidRPr="00414913">
        <w:t>est pas manifestement mal fondé au sens de l</w:t>
      </w:r>
      <w:r w:rsidRPr="00414913" w:rsidR="00414913">
        <w:t>’</w:t>
      </w:r>
      <w:r w:rsidRPr="00414913">
        <w:t>article 35 § 3 a) de la Convention et qu</w:t>
      </w:r>
      <w:r w:rsidRPr="00414913" w:rsidR="00414913">
        <w:t>’</w:t>
      </w:r>
      <w:r w:rsidRPr="00414913">
        <w:t>il ne se heurte par ailleurs à aucun autre motif d</w:t>
      </w:r>
      <w:r w:rsidRPr="00414913" w:rsidR="00414913">
        <w:t>’</w:t>
      </w:r>
      <w:r w:rsidRPr="00414913">
        <w:t>irrecevabilité, la Cour le déclare recevable.</w:t>
      </w:r>
    </w:p>
    <w:p w:rsidRPr="00414913" w:rsidR="006D1562" w:rsidP="00414913" w:rsidRDefault="006D1562">
      <w:pPr>
        <w:pStyle w:val="JuHA"/>
        <w:numPr>
          <w:ilvl w:val="0"/>
          <w:numId w:val="0"/>
        </w:numPr>
        <w:ind w:left="584"/>
      </w:pPr>
      <w:r w:rsidRPr="00414913">
        <w:t>B.  Sur le fond</w:t>
      </w:r>
    </w:p>
    <w:p w:rsidRPr="00414913" w:rsidR="006D1562" w:rsidP="00414913" w:rsidRDefault="006D1562">
      <w:pPr>
        <w:pStyle w:val="JuH1"/>
        <w:numPr>
          <w:ilvl w:val="0"/>
          <w:numId w:val="0"/>
        </w:numPr>
        <w:ind w:left="731"/>
      </w:pPr>
      <w:r w:rsidRPr="00414913">
        <w:t>1.  Arguments des parties</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14</w:t>
      </w:r>
      <w:r w:rsidRPr="00414913">
        <w:fldChar w:fldCharType="end"/>
      </w:r>
      <w:r w:rsidRPr="00414913">
        <w:t>.  Le requérant soutient qu</w:t>
      </w:r>
      <w:r w:rsidRPr="00414913" w:rsidR="00414913">
        <w:t>’</w:t>
      </w:r>
      <w:r w:rsidRPr="00414913">
        <w:t>il était tout à fait normal pour lui, qui était un homme politique à l</w:t>
      </w:r>
      <w:r w:rsidRPr="00414913" w:rsidR="00414913">
        <w:t>’</w:t>
      </w:r>
      <w:r w:rsidRPr="00414913">
        <w:t>époque des faits, d</w:t>
      </w:r>
      <w:r w:rsidRPr="00414913" w:rsidR="00414913">
        <w:t>’</w:t>
      </w:r>
      <w:r w:rsidRPr="00414913">
        <w:t>assister aux obsèques des habitants de sa ville et que, en portant lors de cette cérémonie la photo d</w:t>
      </w:r>
      <w:r w:rsidRPr="00414913" w:rsidR="00414913">
        <w:t>’</w:t>
      </w:r>
      <w:r w:rsidRPr="00414913">
        <w:t>un membre du PKK décédé, il avait exercé son droit à la liberté d</w:t>
      </w:r>
      <w:r w:rsidRPr="00414913" w:rsidR="00414913">
        <w:t>’</w:t>
      </w:r>
      <w:r w:rsidRPr="00414913">
        <w:t>expression et n</w:t>
      </w:r>
      <w:r w:rsidRPr="00414913" w:rsidR="00414913">
        <w:t>’</w:t>
      </w:r>
      <w:r w:rsidRPr="00414913">
        <w:t>avait aucunement incité à la violence. Il considère en outre que l</w:t>
      </w:r>
      <w:r w:rsidRPr="00414913" w:rsidR="00414913">
        <w:t>’</w:t>
      </w:r>
      <w:r w:rsidRPr="00414913">
        <w:t>ingérence dans son droit à la liberté d</w:t>
      </w:r>
      <w:r w:rsidRPr="00414913" w:rsidR="00414913">
        <w:t>’</w:t>
      </w:r>
      <w:r w:rsidRPr="00414913">
        <w:t>expression n</w:t>
      </w:r>
      <w:r w:rsidRPr="00414913" w:rsidR="00414913">
        <w:t>’</w:t>
      </w:r>
      <w:r w:rsidRPr="00414913">
        <w:t>était pas prévue par la loi et soutient à cet égard que le texte de l</w:t>
      </w:r>
      <w:r w:rsidRPr="00414913" w:rsidR="00414913">
        <w:t>’</w:t>
      </w:r>
      <w:r w:rsidRPr="00414913">
        <w:t>article 7 § 2 de la loi n</w:t>
      </w:r>
      <w:r w:rsidRPr="00414913">
        <w:rPr>
          <w:vertAlign w:val="superscript"/>
        </w:rPr>
        <w:t>o</w:t>
      </w:r>
      <w:r w:rsidRPr="00414913">
        <w:t xml:space="preserve"> 3713 ne répondait pas aux exigences de prévisibilité et d</w:t>
      </w:r>
      <w:r w:rsidRPr="00414913" w:rsidR="00414913">
        <w:t>’</w:t>
      </w:r>
      <w:r w:rsidRPr="00414913">
        <w:t>accessibilité. Il ajoute que cette ingérence ne poursuivait aucun but légitime et qu</w:t>
      </w:r>
      <w:r w:rsidRPr="00414913" w:rsidR="00414913">
        <w:t>’</w:t>
      </w:r>
      <w:r w:rsidRPr="00414913">
        <w:t>elle n</w:t>
      </w:r>
      <w:r w:rsidRPr="00414913" w:rsidR="00414913">
        <w:t>’</w:t>
      </w:r>
      <w:r w:rsidRPr="00414913">
        <w:t>était pas nécessaire dans une société démocratique.</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15</w:t>
      </w:r>
      <w:r w:rsidRPr="00414913">
        <w:fldChar w:fldCharType="end"/>
      </w:r>
      <w:r w:rsidRPr="00414913">
        <w:t>.  Le Gouvernement argue que l</w:t>
      </w:r>
      <w:r w:rsidRPr="00414913" w:rsidR="00414913">
        <w:t>’</w:t>
      </w:r>
      <w:r w:rsidRPr="00414913">
        <w:t>ingérence dans le droit à la liberté d</w:t>
      </w:r>
      <w:r w:rsidRPr="00414913" w:rsidR="00414913">
        <w:t>’</w:t>
      </w:r>
      <w:r w:rsidRPr="00414913">
        <w:t>expression du requérant était prévue par la loi et qu</w:t>
      </w:r>
      <w:r w:rsidRPr="00414913" w:rsidR="00414913">
        <w:t>’</w:t>
      </w:r>
      <w:r w:rsidRPr="00414913">
        <w:t>elle poursuivait le but légitime de la protection de la sécurité nationale, de l</w:t>
      </w:r>
      <w:r w:rsidRPr="00414913" w:rsidR="00414913">
        <w:t>’</w:t>
      </w:r>
      <w:r w:rsidRPr="00414913">
        <w:t>intégrité territoriale et de la sûreté publique. Il indique en outre être conscient de la jurisprudence de la Cour relative à la nécessité de l</w:t>
      </w:r>
      <w:r w:rsidRPr="00414913" w:rsidR="00414913">
        <w:t>’</w:t>
      </w:r>
      <w:r w:rsidRPr="00414913">
        <w:t>ingérence en question dans une société démocratique.</w:t>
      </w:r>
    </w:p>
    <w:p w:rsidRPr="00414913" w:rsidR="006D1562" w:rsidP="00414913" w:rsidRDefault="006D1562">
      <w:pPr>
        <w:pStyle w:val="JuH1"/>
        <w:numPr>
          <w:ilvl w:val="0"/>
          <w:numId w:val="0"/>
        </w:numPr>
        <w:ind w:left="731"/>
      </w:pPr>
      <w:r w:rsidRPr="00414913">
        <w:t>2.  Appréciation de la Cour</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16</w:t>
      </w:r>
      <w:r w:rsidRPr="00414913">
        <w:fldChar w:fldCharType="end"/>
      </w:r>
      <w:r w:rsidRPr="00414913">
        <w:t>.  La Cour note qu</w:t>
      </w:r>
      <w:r w:rsidRPr="00414913" w:rsidR="00414913">
        <w:t>’</w:t>
      </w:r>
      <w:r w:rsidRPr="00414913">
        <w:t>il ne prête pas à controverse entre les parties que la condamnation pénale du requérant constituait une ingérence dans le droit de l</w:t>
      </w:r>
      <w:r w:rsidRPr="00414913" w:rsidR="00414913">
        <w:t>’</w:t>
      </w:r>
      <w:r w:rsidRPr="00414913">
        <w:t>intéressé à la liberté d</w:t>
      </w:r>
      <w:r w:rsidRPr="00414913" w:rsidR="00414913">
        <w:t>’</w:t>
      </w:r>
      <w:r w:rsidRPr="00414913">
        <w:t>expression.</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17</w:t>
      </w:r>
      <w:r w:rsidRPr="00414913">
        <w:fldChar w:fldCharType="end"/>
      </w:r>
      <w:r w:rsidRPr="00414913">
        <w:t>.  Elle observe ensuite que l</w:t>
      </w:r>
      <w:r w:rsidRPr="00414913" w:rsidR="00414913">
        <w:t>’</w:t>
      </w:r>
      <w:r w:rsidRPr="00414913">
        <w:t>ingérence litigieuse était prévue par la loi, plus précisément par l</w:t>
      </w:r>
      <w:r w:rsidRPr="00414913" w:rsidR="00414913">
        <w:t>’</w:t>
      </w:r>
      <w:r w:rsidRPr="00414913">
        <w:t>article 7 § 2 de la loi n</w:t>
      </w:r>
      <w:r w:rsidRPr="00414913">
        <w:rPr>
          <w:vertAlign w:val="superscript"/>
        </w:rPr>
        <w:t>o</w:t>
      </w:r>
      <w:r w:rsidRPr="00414913">
        <w:t> 3713. Tout en ayant des doutes quant à la prévisibilité de cette disposition telle qu</w:t>
      </w:r>
      <w:r w:rsidRPr="00414913" w:rsidR="00414913">
        <w:t>’</w:t>
      </w:r>
      <w:r w:rsidRPr="00414913">
        <w:t>elle était en vigueur à l</w:t>
      </w:r>
      <w:r w:rsidRPr="00414913" w:rsidR="00414913">
        <w:t>’</w:t>
      </w:r>
      <w:r w:rsidRPr="00414913">
        <w:t>époque des faits (</w:t>
      </w:r>
      <w:r w:rsidRPr="00414913">
        <w:rPr>
          <w:i/>
        </w:rPr>
        <w:t xml:space="preserve">Faruk </w:t>
      </w:r>
      <w:proofErr w:type="spellStart"/>
      <w:r w:rsidRPr="00414913">
        <w:rPr>
          <w:i/>
        </w:rPr>
        <w:t>Temel</w:t>
      </w:r>
      <w:proofErr w:type="spellEnd"/>
      <w:r w:rsidRPr="00414913">
        <w:rPr>
          <w:i/>
        </w:rPr>
        <w:t xml:space="preserve"> c. Turquie</w:t>
      </w:r>
      <w:r w:rsidRPr="00414913">
        <w:t>, n</w:t>
      </w:r>
      <w:r w:rsidRPr="00414913">
        <w:rPr>
          <w:vertAlign w:val="superscript"/>
        </w:rPr>
        <w:t>o</w:t>
      </w:r>
      <w:r w:rsidRPr="00414913">
        <w:t xml:space="preserve"> 16853/05</w:t>
      </w:r>
      <w:r w:rsidRPr="00414913">
        <w:rPr>
          <w:snapToGrid w:val="0"/>
        </w:rPr>
        <w:t>, § 49, 1</w:t>
      </w:r>
      <w:r w:rsidRPr="00414913">
        <w:rPr>
          <w:snapToGrid w:val="0"/>
          <w:vertAlign w:val="superscript"/>
        </w:rPr>
        <w:t>er</w:t>
      </w:r>
      <w:r w:rsidRPr="00414913">
        <w:rPr>
          <w:snapToGrid w:val="0"/>
        </w:rPr>
        <w:t> </w:t>
      </w:r>
      <w:r w:rsidRPr="00414913">
        <w:t>février</w:t>
      </w:r>
      <w:r w:rsidRPr="00414913">
        <w:rPr>
          <w:snapToGrid w:val="0"/>
        </w:rPr>
        <w:t xml:space="preserve"> 2011 et </w:t>
      </w:r>
      <w:proofErr w:type="spellStart"/>
      <w:r w:rsidRPr="00414913">
        <w:rPr>
          <w:i/>
        </w:rPr>
        <w:t>Yavuz</w:t>
      </w:r>
      <w:proofErr w:type="spellEnd"/>
      <w:r w:rsidRPr="00414913">
        <w:rPr>
          <w:i/>
        </w:rPr>
        <w:t xml:space="preserve"> et </w:t>
      </w:r>
      <w:proofErr w:type="spellStart"/>
      <w:r w:rsidRPr="00414913">
        <w:rPr>
          <w:i/>
        </w:rPr>
        <w:t>Yaylalı</w:t>
      </w:r>
      <w:proofErr w:type="spellEnd"/>
      <w:r w:rsidRPr="00414913">
        <w:t xml:space="preserve"> </w:t>
      </w:r>
      <w:r w:rsidRPr="00414913">
        <w:rPr>
          <w:i/>
        </w:rPr>
        <w:t>c. Turquie</w:t>
      </w:r>
      <w:r w:rsidRPr="00414913">
        <w:t>, n</w:t>
      </w:r>
      <w:r w:rsidRPr="00414913">
        <w:rPr>
          <w:vertAlign w:val="superscript"/>
        </w:rPr>
        <w:t>o</w:t>
      </w:r>
      <w:r w:rsidRPr="00414913">
        <w:t> 12606/11, § 38, 17 décembre 2013), eu égard à la conclusion à laquelle elle est parvenue quant à la nécessité de l</w:t>
      </w:r>
      <w:r w:rsidRPr="00414913" w:rsidR="00414913">
        <w:t>’</w:t>
      </w:r>
      <w:r w:rsidRPr="00414913">
        <w:t>ingérence (paragraphe 22 ci-dessous) et au fait que le libellé de cette disposition a subi une modification par la suite (paragraphe 11 ci-dessus), elle juge inutile de trancher cette question. Elle peut en outre admettre que cette ingérence poursuivait un but légitime au regard de l</w:t>
      </w:r>
      <w:r w:rsidRPr="00414913" w:rsidR="00414913">
        <w:t>’</w:t>
      </w:r>
      <w:r w:rsidRPr="00414913">
        <w:t>article 10 § 2 de la Convention, à savoir la protection de la sécurité nationale, de l</w:t>
      </w:r>
      <w:r w:rsidRPr="00414913" w:rsidR="00414913">
        <w:t>’</w:t>
      </w:r>
      <w:r w:rsidRPr="00414913">
        <w:t>intégrité territoriale et de la sûreté publique.</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18</w:t>
      </w:r>
      <w:r w:rsidRPr="00414913">
        <w:fldChar w:fldCharType="end"/>
      </w:r>
      <w:r w:rsidRPr="00414913">
        <w:t>.  Quant à la nécessité de l</w:t>
      </w:r>
      <w:r w:rsidRPr="00414913" w:rsidR="00414913">
        <w:t>’</w:t>
      </w:r>
      <w:r w:rsidRPr="00414913">
        <w:t>ingérence, la Cour rappelle les principes découlant de sa jurisprudence en matière de liberté d</w:t>
      </w:r>
      <w:r w:rsidRPr="00414913" w:rsidR="00414913">
        <w:t>’</w:t>
      </w:r>
      <w:r w:rsidRPr="00414913">
        <w:t>expression, lesquels sont résumés notamment dans les arrêts</w:t>
      </w:r>
      <w:r w:rsidRPr="00414913">
        <w:rPr>
          <w:i/>
        </w:rPr>
        <w:t xml:space="preserve"> </w:t>
      </w:r>
      <w:proofErr w:type="spellStart"/>
      <w:r w:rsidRPr="00414913">
        <w:rPr>
          <w:i/>
        </w:rPr>
        <w:t>Bédat</w:t>
      </w:r>
      <w:proofErr w:type="spellEnd"/>
      <w:r w:rsidRPr="00414913">
        <w:rPr>
          <w:i/>
        </w:rPr>
        <w:t xml:space="preserve"> c. Suisse</w:t>
      </w:r>
      <w:r w:rsidRPr="00414913">
        <w:t xml:space="preserve"> ([GC], n</w:t>
      </w:r>
      <w:r w:rsidRPr="00414913">
        <w:rPr>
          <w:vertAlign w:val="superscript"/>
        </w:rPr>
        <w:t>o</w:t>
      </w:r>
      <w:r w:rsidRPr="00414913" w:rsidR="0046116C">
        <w:t xml:space="preserve"> 56925/08, § </w:t>
      </w:r>
      <w:r w:rsidRPr="00414913">
        <w:t xml:space="preserve">48, 29 mars 2016) et </w:t>
      </w:r>
      <w:r w:rsidRPr="00414913">
        <w:rPr>
          <w:i/>
        </w:rPr>
        <w:t xml:space="preserve">Faruk </w:t>
      </w:r>
      <w:proofErr w:type="spellStart"/>
      <w:r w:rsidRPr="00414913">
        <w:rPr>
          <w:i/>
        </w:rPr>
        <w:t>Temel</w:t>
      </w:r>
      <w:proofErr w:type="spellEnd"/>
      <w:r w:rsidRPr="00414913">
        <w:rPr>
          <w:i/>
        </w:rPr>
        <w:t xml:space="preserve"> c. Turquie</w:t>
      </w:r>
      <w:r w:rsidRPr="00414913">
        <w:t xml:space="preserve"> (précité, §§ 53-57). Elle estime que, pour apprécier si la « nécessité » de l</w:t>
      </w:r>
      <w:r w:rsidRPr="00414913" w:rsidR="00414913">
        <w:t>’</w:t>
      </w:r>
      <w:r w:rsidRPr="00414913">
        <w:t>atteinte portée au droit à la liberté d</w:t>
      </w:r>
      <w:r w:rsidRPr="00414913" w:rsidR="00414913">
        <w:t>’</w:t>
      </w:r>
      <w:r w:rsidRPr="00414913">
        <w:t>expression du requérant est établie de manière convaincante en l</w:t>
      </w:r>
      <w:r w:rsidRPr="00414913" w:rsidR="00414913">
        <w:t>’</w:t>
      </w:r>
      <w:r w:rsidRPr="00414913">
        <w:t>espèce, elle doit, conformément à sa jurisprudence, se déterminer essentiellement à la lumière de la motivation retenue par les juridictions turques à l</w:t>
      </w:r>
      <w:r w:rsidRPr="00414913" w:rsidR="00414913">
        <w:t>’</w:t>
      </w:r>
      <w:r w:rsidRPr="00414913">
        <w:t>appui de leur condamnation de l</w:t>
      </w:r>
      <w:r w:rsidRPr="00414913" w:rsidR="00414913">
        <w:t>’</w:t>
      </w:r>
      <w:r w:rsidRPr="00414913">
        <w:t>intéressé (</w:t>
      </w:r>
      <w:proofErr w:type="spellStart"/>
      <w:r w:rsidRPr="00414913">
        <w:rPr>
          <w:i/>
          <w:iCs/>
        </w:rPr>
        <w:t>Gözel</w:t>
      </w:r>
      <w:proofErr w:type="spellEnd"/>
      <w:r w:rsidRPr="00414913">
        <w:rPr>
          <w:i/>
          <w:iCs/>
        </w:rPr>
        <w:t xml:space="preserve"> et </w:t>
      </w:r>
      <w:proofErr w:type="spellStart"/>
      <w:r w:rsidRPr="00414913">
        <w:rPr>
          <w:i/>
          <w:iCs/>
        </w:rPr>
        <w:t>Özer</w:t>
      </w:r>
      <w:proofErr w:type="spellEnd"/>
      <w:r w:rsidRPr="00414913" w:rsidR="00CF5C75">
        <w:rPr>
          <w:i/>
          <w:iCs/>
        </w:rPr>
        <w:t xml:space="preserve"> c. </w:t>
      </w:r>
      <w:r w:rsidRPr="00414913">
        <w:rPr>
          <w:i/>
          <w:iCs/>
        </w:rPr>
        <w:t>Turquie</w:t>
      </w:r>
      <w:r w:rsidRPr="00414913">
        <w:t xml:space="preserve">, </w:t>
      </w:r>
      <w:r w:rsidRPr="00414913">
        <w:rPr>
          <w:lang w:val="pt-PT"/>
        </w:rPr>
        <w:t>n</w:t>
      </w:r>
      <w:r w:rsidRPr="00414913">
        <w:rPr>
          <w:vertAlign w:val="superscript"/>
          <w:lang w:val="pt-PT"/>
        </w:rPr>
        <w:t>os</w:t>
      </w:r>
      <w:r w:rsidRPr="00414913">
        <w:t> 43453/04 et 31098/05, § 51, 6 juillet 2010).</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19</w:t>
      </w:r>
      <w:r w:rsidRPr="00414913">
        <w:fldChar w:fldCharType="end"/>
      </w:r>
      <w:r w:rsidRPr="00414913">
        <w:t>.  Elle note à cet égard que le requérant a été condamné au pénal du chef de propagande en faveur d</w:t>
      </w:r>
      <w:r w:rsidRPr="00414913" w:rsidR="00414913">
        <w:t>’</w:t>
      </w:r>
      <w:r w:rsidRPr="00414913">
        <w:t>une organisation terroriste au motif qu</w:t>
      </w:r>
      <w:r w:rsidRPr="00414913" w:rsidR="00414913">
        <w:t>’</w:t>
      </w:r>
      <w:r w:rsidRPr="00414913">
        <w:t>il avait participé aux obsèques de quatre membres du PKK tués lors d</w:t>
      </w:r>
      <w:r w:rsidRPr="00414913" w:rsidR="00414913">
        <w:t>’</w:t>
      </w:r>
      <w:r w:rsidRPr="00414913">
        <w:t>affrontements armés avec les forces de l</w:t>
      </w:r>
      <w:r w:rsidRPr="00414913" w:rsidR="00414913">
        <w:t>’</w:t>
      </w:r>
      <w:r w:rsidRPr="00414913">
        <w:t>ordre alors qu</w:t>
      </w:r>
      <w:r w:rsidRPr="00414913" w:rsidR="00414913">
        <w:t>’</w:t>
      </w:r>
      <w:r w:rsidRPr="00414913">
        <w:t>il n</w:t>
      </w:r>
      <w:r w:rsidRPr="00414913" w:rsidR="00414913">
        <w:t>’</w:t>
      </w:r>
      <w:r w:rsidRPr="00414913">
        <w:t>avait aucun lien de proximité avec ces personnes, qu</w:t>
      </w:r>
      <w:r w:rsidRPr="00414913" w:rsidR="00414913">
        <w:t>’</w:t>
      </w:r>
      <w:r w:rsidRPr="00414913">
        <w:t>il avait accroché les photos de ces personnes au collet de sa veste et qu</w:t>
      </w:r>
      <w:r w:rsidRPr="00414913" w:rsidR="00414913">
        <w:t>’</w:t>
      </w:r>
      <w:r w:rsidRPr="00414913">
        <w:t>il n</w:t>
      </w:r>
      <w:r w:rsidRPr="00414913" w:rsidR="00414913">
        <w:t>’</w:t>
      </w:r>
      <w:r w:rsidRPr="00414913">
        <w:t>avait pas quitté ladite cérémonie lorsqu</w:t>
      </w:r>
      <w:r w:rsidRPr="00414913" w:rsidR="00414913">
        <w:t>’</w:t>
      </w:r>
      <w:r w:rsidRPr="00414913">
        <w:t>elle s</w:t>
      </w:r>
      <w:r w:rsidRPr="00414913" w:rsidR="00414913">
        <w:t>’</w:t>
      </w:r>
      <w:r w:rsidRPr="00414913">
        <w:t>était transformée, selon la cour d</w:t>
      </w:r>
      <w:r w:rsidRPr="00414913" w:rsidR="00414913">
        <w:t>’</w:t>
      </w:r>
      <w:r w:rsidRPr="00414913">
        <w:t>assises, en une manifestation de propagande en faveur de l</w:t>
      </w:r>
      <w:r w:rsidRPr="00414913" w:rsidR="00414913">
        <w:t>’</w:t>
      </w:r>
      <w:r w:rsidRPr="00414913">
        <w:t>organisation illégale PKK en raison des contenus des slogans scandés et des photos, pancartes et drapeaux brandis et des comportements de certains manifestants, dont certains avaient le visage couvert. Selon la cour d</w:t>
      </w:r>
      <w:r w:rsidRPr="00414913" w:rsidR="00414913">
        <w:t>’</w:t>
      </w:r>
      <w:r w:rsidRPr="00414913">
        <w:t>assises, en agissant de la sorte, le requérant avait adhéré à la volonté de la foule et aux actes illégaux commis lors de cette manifestation (paragraphe 7 ci-dessus). La Cour de cassation, quant à elle, a confirmé l</w:t>
      </w:r>
      <w:r w:rsidRPr="00414913" w:rsidR="00414913">
        <w:t>’</w:t>
      </w:r>
      <w:r w:rsidRPr="00414913">
        <w:t>arrêt de la cour d</w:t>
      </w:r>
      <w:r w:rsidRPr="00414913" w:rsidR="00414913">
        <w:t>’</w:t>
      </w:r>
      <w:r w:rsidRPr="00414913">
        <w:t>assises en considérant qu</w:t>
      </w:r>
      <w:r w:rsidRPr="00414913" w:rsidR="00414913">
        <w:t>’</w:t>
      </w:r>
      <w:r w:rsidRPr="00414913">
        <w:t>il était pertinent eu égard au contenu du dossier (paragraphe 8 ci-dessus).</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20</w:t>
      </w:r>
      <w:r w:rsidRPr="00414913">
        <w:fldChar w:fldCharType="end"/>
      </w:r>
      <w:r w:rsidRPr="00414913">
        <w:t>.  Procédant à une analyse de l</w:t>
      </w:r>
      <w:r w:rsidRPr="00414913" w:rsidR="00414913">
        <w:t>’</w:t>
      </w:r>
      <w:r w:rsidRPr="00414913">
        <w:t>arrêt de condamnation de la cour d</w:t>
      </w:r>
      <w:r w:rsidRPr="00414913" w:rsidR="00414913">
        <w:t>’</w:t>
      </w:r>
      <w:r w:rsidRPr="00414913">
        <w:t>assises, la Cour observe d</w:t>
      </w:r>
      <w:r w:rsidRPr="00414913" w:rsidR="00414913">
        <w:t>’</w:t>
      </w:r>
      <w:r w:rsidRPr="00414913">
        <w:t>emblée que, dans cet arrêt, il n</w:t>
      </w:r>
      <w:r w:rsidRPr="00414913" w:rsidR="00414913">
        <w:t>’</w:t>
      </w:r>
      <w:r w:rsidRPr="00414913">
        <w:t>était pas reproché au requérant d</w:t>
      </w:r>
      <w:r w:rsidRPr="00414913" w:rsidR="00414913">
        <w:t>’</w:t>
      </w:r>
      <w:r w:rsidRPr="00414913">
        <w:t>avoir chanté des slogans, brandi des photos, des pancartes et des drapeaux, d</w:t>
      </w:r>
      <w:r w:rsidRPr="00414913" w:rsidR="00414913">
        <w:t>’</w:t>
      </w:r>
      <w:r w:rsidRPr="00414913">
        <w:t>avoir participé avec certains manifestants à la commission d</w:t>
      </w:r>
      <w:r w:rsidRPr="00414913" w:rsidR="00414913">
        <w:t>’</w:t>
      </w:r>
      <w:r w:rsidRPr="00414913">
        <w:t>autres actes lors de la manifestation litigieuse, d</w:t>
      </w:r>
      <w:r w:rsidRPr="00414913" w:rsidR="00414913">
        <w:t>’</w:t>
      </w:r>
      <w:r w:rsidRPr="00414913">
        <w:t>avoir encouragé ou dirigé ces actes ou d</w:t>
      </w:r>
      <w:r w:rsidRPr="00414913" w:rsidR="00414913">
        <w:t>’</w:t>
      </w:r>
      <w:r w:rsidRPr="00414913">
        <w:t>avoir été de quelque manière que ce soit à l</w:t>
      </w:r>
      <w:r w:rsidRPr="00414913" w:rsidR="00414913">
        <w:t>’</w:t>
      </w:r>
      <w:r w:rsidRPr="00414913">
        <w:t>origine de ces actes (</w:t>
      </w:r>
      <w:proofErr w:type="spellStart"/>
      <w:r w:rsidRPr="00414913">
        <w:rPr>
          <w:i/>
        </w:rPr>
        <w:t>Bülent</w:t>
      </w:r>
      <w:proofErr w:type="spellEnd"/>
      <w:r w:rsidRPr="00414913">
        <w:rPr>
          <w:i/>
        </w:rPr>
        <w:t xml:space="preserve"> Kaya</w:t>
      </w:r>
      <w:r w:rsidRPr="00414913">
        <w:t xml:space="preserve"> </w:t>
      </w:r>
      <w:r w:rsidRPr="00414913">
        <w:rPr>
          <w:i/>
        </w:rPr>
        <w:t>c. Turquie</w:t>
      </w:r>
      <w:r w:rsidRPr="00414913">
        <w:t>, n</w:t>
      </w:r>
      <w:r w:rsidRPr="00414913">
        <w:rPr>
          <w:vertAlign w:val="superscript"/>
        </w:rPr>
        <w:t>o</w:t>
      </w:r>
      <w:r w:rsidRPr="00414913">
        <w:t xml:space="preserve"> 52056/08</w:t>
      </w:r>
      <w:r w:rsidRPr="00414913">
        <w:rPr>
          <w:snapToGrid w:val="0"/>
        </w:rPr>
        <w:t>, § 42, 22 </w:t>
      </w:r>
      <w:r w:rsidRPr="00414913">
        <w:t>octobre</w:t>
      </w:r>
      <w:r w:rsidRPr="00414913">
        <w:rPr>
          <w:snapToGrid w:val="0"/>
        </w:rPr>
        <w:t xml:space="preserve"> 2013,</w:t>
      </w:r>
      <w:r w:rsidRPr="00414913">
        <w:t xml:space="preserve"> et </w:t>
      </w:r>
      <w:r w:rsidRPr="00414913">
        <w:rPr>
          <w:i/>
        </w:rPr>
        <w:t>Belge c. Turquie</w:t>
      </w:r>
      <w:r w:rsidRPr="00414913">
        <w:t>, n</w:t>
      </w:r>
      <w:r w:rsidRPr="00414913">
        <w:rPr>
          <w:vertAlign w:val="superscript"/>
        </w:rPr>
        <w:t>o</w:t>
      </w:r>
      <w:r w:rsidRPr="00414913">
        <w:t xml:space="preserve"> 50171/09, § 35, 6 décembre 2016). Elle estime ensuite que la seule participation du requérant aux obsèques de membres décédés du PKK et le fait qu</w:t>
      </w:r>
      <w:r w:rsidRPr="00414913" w:rsidR="00414913">
        <w:t>’</w:t>
      </w:r>
      <w:r w:rsidRPr="00414913">
        <w:t>il avait accroché les photos de ces personnes sur sa veste lors de cette cérémonie funéraire ne peuvent être considérés en soi, et c</w:t>
      </w:r>
      <w:r w:rsidRPr="00414913" w:rsidR="00414913">
        <w:t>’</w:t>
      </w:r>
      <w:r w:rsidRPr="00414913">
        <w:t>est là l</w:t>
      </w:r>
      <w:r w:rsidRPr="00414913" w:rsidR="00414913">
        <w:t>’</w:t>
      </w:r>
      <w:r w:rsidRPr="00414913">
        <w:t>élément essentiel à ses yeux, comme contenant un appel à l</w:t>
      </w:r>
      <w:r w:rsidRPr="00414913" w:rsidR="00414913">
        <w:t>’</w:t>
      </w:r>
      <w:r w:rsidRPr="00414913">
        <w:t>usage de la violence, à la résistance armée ou au soulèvement, ni comme constituant un discours de haine (</w:t>
      </w:r>
      <w:proofErr w:type="spellStart"/>
      <w:r w:rsidRPr="00414913" w:rsidR="00CF5C75">
        <w:rPr>
          <w:i/>
        </w:rPr>
        <w:t>Sürek</w:t>
      </w:r>
      <w:proofErr w:type="spellEnd"/>
      <w:r w:rsidRPr="00414913" w:rsidR="00CF5C75">
        <w:rPr>
          <w:i/>
        </w:rPr>
        <w:t xml:space="preserve"> c. </w:t>
      </w:r>
      <w:r w:rsidRPr="00414913">
        <w:rPr>
          <w:i/>
        </w:rPr>
        <w:t>Turquie</w:t>
      </w:r>
      <w:r w:rsidRPr="00414913">
        <w:t xml:space="preserve"> (n</w:t>
      </w:r>
      <w:r w:rsidRPr="00414913">
        <w:rPr>
          <w:vertAlign w:val="superscript"/>
        </w:rPr>
        <w:t>o</w:t>
      </w:r>
      <w:r w:rsidRPr="00414913">
        <w:t xml:space="preserve"> 4) [GC], n</w:t>
      </w:r>
      <w:r w:rsidRPr="00414913">
        <w:rPr>
          <w:vertAlign w:val="superscript"/>
        </w:rPr>
        <w:t>o</w:t>
      </w:r>
      <w:r w:rsidRPr="00414913" w:rsidR="0046116C">
        <w:t xml:space="preserve"> 24762/94, § </w:t>
      </w:r>
      <w:r w:rsidRPr="00414913">
        <w:t>58, 8</w:t>
      </w:r>
      <w:r w:rsidRPr="00414913" w:rsidR="00CF5C75">
        <w:t xml:space="preserve"> </w:t>
      </w:r>
      <w:r w:rsidRPr="00414913">
        <w:t xml:space="preserve">juillet 1999, et </w:t>
      </w:r>
      <w:proofErr w:type="spellStart"/>
      <w:r w:rsidRPr="00414913">
        <w:rPr>
          <w:i/>
        </w:rPr>
        <w:t>Belek</w:t>
      </w:r>
      <w:proofErr w:type="spellEnd"/>
      <w:r w:rsidRPr="00414913">
        <w:rPr>
          <w:i/>
        </w:rPr>
        <w:t xml:space="preserve"> et </w:t>
      </w:r>
      <w:proofErr w:type="spellStart"/>
      <w:r w:rsidRPr="00414913">
        <w:rPr>
          <w:i/>
        </w:rPr>
        <w:t>Velioğlu</w:t>
      </w:r>
      <w:proofErr w:type="spellEnd"/>
      <w:r w:rsidRPr="00414913">
        <w:rPr>
          <w:i/>
        </w:rPr>
        <w:t xml:space="preserve"> c. Turquie</w:t>
      </w:r>
      <w:r w:rsidRPr="00414913">
        <w:t>, n</w:t>
      </w:r>
      <w:r w:rsidRPr="00414913">
        <w:rPr>
          <w:vertAlign w:val="superscript"/>
        </w:rPr>
        <w:t>o</w:t>
      </w:r>
      <w:r w:rsidRPr="00414913" w:rsidR="0046116C">
        <w:t xml:space="preserve"> 44227/04, § 25, 6 </w:t>
      </w:r>
      <w:r w:rsidRPr="00414913">
        <w:t>octobre 2015). Par ailleurs, la Cour relève que l</w:t>
      </w:r>
      <w:r w:rsidRPr="00414913" w:rsidR="00414913">
        <w:t>’</w:t>
      </w:r>
      <w:r w:rsidRPr="00414913">
        <w:t>arrêt de la cour d</w:t>
      </w:r>
      <w:r w:rsidRPr="00414913" w:rsidR="00414913">
        <w:t>’</w:t>
      </w:r>
      <w:r w:rsidRPr="00414913">
        <w:t>assises n</w:t>
      </w:r>
      <w:r w:rsidRPr="00414913" w:rsidR="00414913">
        <w:t>’</w:t>
      </w:r>
      <w:r w:rsidRPr="00414913">
        <w:t>a pas apporté d</w:t>
      </w:r>
      <w:r w:rsidRPr="00414913" w:rsidR="00414913">
        <w:t>’</w:t>
      </w:r>
      <w:r w:rsidRPr="00414913">
        <w:t>explications suffisantes sur un quelconque lien qui existerait entre les slogans, pancartes, drapeaux et photographies incriminés ainsi que d</w:t>
      </w:r>
      <w:r w:rsidRPr="00414913" w:rsidR="00414913">
        <w:t>’</w:t>
      </w:r>
      <w:r w:rsidRPr="00414913">
        <w:t>autres actes commis par la foule lors de cette manifestation d</w:t>
      </w:r>
      <w:r w:rsidRPr="00414913" w:rsidR="00414913">
        <w:t>’</w:t>
      </w:r>
      <w:r w:rsidRPr="00414913">
        <w:t>une part et le comportement y adopté par le requérant d</w:t>
      </w:r>
      <w:r w:rsidRPr="00414913" w:rsidR="00414913">
        <w:t>’</w:t>
      </w:r>
      <w:r w:rsidRPr="00414913">
        <w:t>autre part de manière à démontrer l</w:t>
      </w:r>
      <w:r w:rsidRPr="00414913" w:rsidR="00414913">
        <w:t>’</w:t>
      </w:r>
      <w:r w:rsidRPr="00414913">
        <w:t>adhésion de ce dernier à l</w:t>
      </w:r>
      <w:r w:rsidRPr="00414913" w:rsidR="00414913">
        <w:t>’</w:t>
      </w:r>
      <w:r w:rsidRPr="00414913">
        <w:t>égard de ces actes, ni sur la question de savoir si les actes reprochés au requérant pouvaient, eu égard au contexte dans lequel ils s</w:t>
      </w:r>
      <w:r w:rsidRPr="00414913" w:rsidR="00414913">
        <w:t>’</w:t>
      </w:r>
      <w:r w:rsidRPr="00414913">
        <w:t>inscrivaient et à leur capacité de nuire, être considérés comme renfermant une incitation à l</w:t>
      </w:r>
      <w:r w:rsidRPr="00414913" w:rsidR="00414913">
        <w:t>’</w:t>
      </w:r>
      <w:r w:rsidRPr="00414913">
        <w:t>usage de la violence, à la résistance armée ou au soulèvement, ou comme constituant un discours de haine (</w:t>
      </w:r>
      <w:proofErr w:type="spellStart"/>
      <w:r w:rsidRPr="00414913">
        <w:rPr>
          <w:i/>
        </w:rPr>
        <w:t>Mart</w:t>
      </w:r>
      <w:proofErr w:type="spellEnd"/>
      <w:r w:rsidRPr="00414913">
        <w:rPr>
          <w:i/>
        </w:rPr>
        <w:t xml:space="preserve"> et autres c. Turquie</w:t>
      </w:r>
      <w:r w:rsidRPr="00414913">
        <w:t>, n</w:t>
      </w:r>
      <w:r w:rsidRPr="00414913">
        <w:rPr>
          <w:vertAlign w:val="superscript"/>
        </w:rPr>
        <w:t>o</w:t>
      </w:r>
      <w:r w:rsidRPr="00414913" w:rsidR="00CF5C75">
        <w:t xml:space="preserve"> 57031/10, § </w:t>
      </w:r>
      <w:r w:rsidRPr="00414913">
        <w:t>32, 19 mars 2019).</w:t>
      </w:r>
    </w:p>
    <w:p w:rsidRPr="00414913" w:rsidR="006D1562" w:rsidP="00414913" w:rsidRDefault="006D1562">
      <w:pPr>
        <w:pStyle w:val="JuPara"/>
        <w:rPr>
          <w:i/>
          <w:lang w:val="pt-PT"/>
        </w:rPr>
      </w:pPr>
      <w:r w:rsidRPr="00414913">
        <w:rPr>
          <w:snapToGrid w:val="0"/>
        </w:rPr>
        <w:fldChar w:fldCharType="begin"/>
      </w:r>
      <w:r w:rsidRPr="00414913">
        <w:rPr>
          <w:snapToGrid w:val="0"/>
        </w:rPr>
        <w:instrText xml:space="preserve"> SEQ level0 \*arabic </w:instrText>
      </w:r>
      <w:r w:rsidRPr="00414913">
        <w:rPr>
          <w:snapToGrid w:val="0"/>
        </w:rPr>
        <w:fldChar w:fldCharType="separate"/>
      </w:r>
      <w:r w:rsidRPr="00414913" w:rsidR="00414913">
        <w:rPr>
          <w:noProof/>
          <w:snapToGrid w:val="0"/>
        </w:rPr>
        <w:t>21</w:t>
      </w:r>
      <w:r w:rsidRPr="00414913">
        <w:rPr>
          <w:snapToGrid w:val="0"/>
        </w:rPr>
        <w:fldChar w:fldCharType="end"/>
      </w:r>
      <w:r w:rsidRPr="00414913">
        <w:rPr>
          <w:snapToGrid w:val="0"/>
        </w:rPr>
        <w:t>.  Eu égard à ce qui précède, la Cour conclut que, dans les circonstances de l</w:t>
      </w:r>
      <w:r w:rsidRPr="00414913" w:rsidR="00414913">
        <w:rPr>
          <w:snapToGrid w:val="0"/>
        </w:rPr>
        <w:t>’</w:t>
      </w:r>
      <w:r w:rsidRPr="00414913">
        <w:rPr>
          <w:snapToGrid w:val="0"/>
        </w:rPr>
        <w:t>espèce, en condamnant le requérant du chef de propagande en faveur d</w:t>
      </w:r>
      <w:r w:rsidRPr="00414913" w:rsidR="00414913">
        <w:rPr>
          <w:snapToGrid w:val="0"/>
        </w:rPr>
        <w:t>’</w:t>
      </w:r>
      <w:r w:rsidRPr="00414913">
        <w:rPr>
          <w:snapToGrid w:val="0"/>
        </w:rPr>
        <w:t>une organisation terroriste, les autorités nationales n</w:t>
      </w:r>
      <w:r w:rsidRPr="00414913" w:rsidR="00414913">
        <w:rPr>
          <w:snapToGrid w:val="0"/>
        </w:rPr>
        <w:t>’</w:t>
      </w:r>
      <w:r w:rsidRPr="00414913">
        <w:rPr>
          <w:snapToGrid w:val="0"/>
        </w:rPr>
        <w:t>ont pas effectué une mise en balance adéquate et conforme aux critères établis par sa jurisprudence entre le droit de l</w:t>
      </w:r>
      <w:r w:rsidRPr="00414913" w:rsidR="00414913">
        <w:rPr>
          <w:snapToGrid w:val="0"/>
        </w:rPr>
        <w:t>’</w:t>
      </w:r>
      <w:r w:rsidRPr="00414913">
        <w:rPr>
          <w:snapToGrid w:val="0"/>
        </w:rPr>
        <w:t>intéressé à la liberté d</w:t>
      </w:r>
      <w:r w:rsidRPr="00414913" w:rsidR="00414913">
        <w:rPr>
          <w:snapToGrid w:val="0"/>
        </w:rPr>
        <w:t>’</w:t>
      </w:r>
      <w:r w:rsidRPr="00414913">
        <w:rPr>
          <w:snapToGrid w:val="0"/>
        </w:rPr>
        <w:t>expression et les buts légitimes poursuivis (</w:t>
      </w:r>
      <w:proofErr w:type="spellStart"/>
      <w:r w:rsidRPr="00414913">
        <w:rPr>
          <w:i/>
          <w:iCs/>
          <w:lang w:val="pt-PT"/>
        </w:rPr>
        <w:t>Ergündoğan</w:t>
      </w:r>
      <w:proofErr w:type="spellEnd"/>
      <w:r w:rsidRPr="00414913">
        <w:rPr>
          <w:i/>
          <w:iCs/>
          <w:lang w:val="pt-PT"/>
        </w:rPr>
        <w:t xml:space="preserve"> c. </w:t>
      </w:r>
      <w:proofErr w:type="spellStart"/>
      <w:r w:rsidRPr="00414913">
        <w:rPr>
          <w:i/>
          <w:iCs/>
          <w:lang w:val="pt-PT"/>
        </w:rPr>
        <w:t>Turquie</w:t>
      </w:r>
      <w:proofErr w:type="spellEnd"/>
      <w:r w:rsidRPr="00414913">
        <w:rPr>
          <w:lang w:val="pt-PT" w:eastAsia="en-GB"/>
        </w:rPr>
        <w:t xml:space="preserve">, </w:t>
      </w:r>
      <w:r w:rsidRPr="00414913">
        <w:rPr>
          <w:lang w:val="pt-PT"/>
        </w:rPr>
        <w:t>n</w:t>
      </w:r>
      <w:r w:rsidRPr="00414913">
        <w:rPr>
          <w:vertAlign w:val="superscript"/>
          <w:lang w:val="pt-PT"/>
        </w:rPr>
        <w:t>o</w:t>
      </w:r>
      <w:r w:rsidRPr="00414913" w:rsidR="00CF5C75">
        <w:rPr>
          <w:lang w:val="pt-PT"/>
        </w:rPr>
        <w:t> </w:t>
      </w:r>
      <w:r w:rsidRPr="00414913">
        <w:rPr>
          <w:lang w:val="pt-PT"/>
        </w:rPr>
        <w:t>48979/10</w:t>
      </w:r>
      <w:r w:rsidRPr="00414913">
        <w:rPr>
          <w:lang w:val="pt-PT" w:eastAsia="en-GB"/>
        </w:rPr>
        <w:t xml:space="preserve">, </w:t>
      </w:r>
      <w:r w:rsidRPr="00414913">
        <w:rPr>
          <w:lang w:val="pt-PT"/>
        </w:rPr>
        <w:t xml:space="preserve">§ 34, 17 </w:t>
      </w:r>
      <w:proofErr w:type="spellStart"/>
      <w:r w:rsidRPr="00414913">
        <w:rPr>
          <w:lang w:val="pt-PT"/>
        </w:rPr>
        <w:t>avril</w:t>
      </w:r>
      <w:proofErr w:type="spellEnd"/>
      <w:r w:rsidRPr="00414913">
        <w:rPr>
          <w:lang w:val="pt-PT"/>
        </w:rPr>
        <w:t xml:space="preserve"> 2018 </w:t>
      </w:r>
      <w:proofErr w:type="spellStart"/>
      <w:r w:rsidRPr="00414913">
        <w:rPr>
          <w:lang w:val="pt-PT"/>
        </w:rPr>
        <w:t>et</w:t>
      </w:r>
      <w:proofErr w:type="spellEnd"/>
      <w:r w:rsidRPr="00414913">
        <w:rPr>
          <w:lang w:val="pt-PT"/>
        </w:rPr>
        <w:t xml:space="preserve"> </w:t>
      </w:r>
      <w:proofErr w:type="spellStart"/>
      <w:r w:rsidRPr="00414913">
        <w:rPr>
          <w:i/>
          <w:iCs/>
          <w:lang w:val="pt-PT"/>
        </w:rPr>
        <w:t>Fatih</w:t>
      </w:r>
      <w:proofErr w:type="spellEnd"/>
      <w:r w:rsidRPr="00414913">
        <w:rPr>
          <w:i/>
          <w:iCs/>
          <w:lang w:val="pt-PT"/>
        </w:rPr>
        <w:t xml:space="preserve"> </w:t>
      </w:r>
      <w:proofErr w:type="spellStart"/>
      <w:r w:rsidRPr="00414913">
        <w:rPr>
          <w:i/>
          <w:iCs/>
          <w:lang w:val="pt-PT"/>
        </w:rPr>
        <w:t>Taş</w:t>
      </w:r>
      <w:proofErr w:type="spellEnd"/>
      <w:r w:rsidRPr="00414913">
        <w:rPr>
          <w:i/>
          <w:iCs/>
          <w:lang w:val="pt-PT"/>
        </w:rPr>
        <w:t xml:space="preserve"> c. </w:t>
      </w:r>
      <w:proofErr w:type="spellStart"/>
      <w:r w:rsidRPr="00414913">
        <w:rPr>
          <w:i/>
          <w:iCs/>
          <w:lang w:val="pt-PT"/>
        </w:rPr>
        <w:t>Turquie</w:t>
      </w:r>
      <w:proofErr w:type="spellEnd"/>
      <w:r w:rsidRPr="00414913">
        <w:rPr>
          <w:i/>
          <w:iCs/>
          <w:lang w:val="pt-PT"/>
        </w:rPr>
        <w:t xml:space="preserve"> (n</w:t>
      </w:r>
      <w:r w:rsidRPr="00414913">
        <w:rPr>
          <w:i/>
          <w:iCs/>
          <w:vertAlign w:val="superscript"/>
          <w:lang w:val="pt-PT"/>
        </w:rPr>
        <w:t>o</w:t>
      </w:r>
      <w:r w:rsidRPr="00414913">
        <w:rPr>
          <w:i/>
          <w:iCs/>
          <w:lang w:val="pt-PT"/>
        </w:rPr>
        <w:t xml:space="preserve"> 5)</w:t>
      </w:r>
      <w:r w:rsidRPr="00414913">
        <w:rPr>
          <w:lang w:val="pt-PT" w:eastAsia="en-GB"/>
        </w:rPr>
        <w:t xml:space="preserve">, </w:t>
      </w:r>
      <w:r w:rsidRPr="00414913">
        <w:rPr>
          <w:lang w:val="pt-PT"/>
        </w:rPr>
        <w:t>n</w:t>
      </w:r>
      <w:r w:rsidRPr="00414913">
        <w:rPr>
          <w:vertAlign w:val="superscript"/>
          <w:lang w:val="pt-PT"/>
        </w:rPr>
        <w:t>o</w:t>
      </w:r>
      <w:r w:rsidRPr="00414913">
        <w:rPr>
          <w:lang w:val="pt-PT"/>
        </w:rPr>
        <w:t xml:space="preserve"> 6810/09</w:t>
      </w:r>
      <w:r w:rsidRPr="00414913">
        <w:rPr>
          <w:lang w:val="pt-PT" w:eastAsia="en-GB"/>
        </w:rPr>
        <w:t xml:space="preserve">, </w:t>
      </w:r>
      <w:r w:rsidRPr="00414913">
        <w:rPr>
          <w:lang w:val="pt-PT"/>
        </w:rPr>
        <w:t>§</w:t>
      </w:r>
      <w:r w:rsidRPr="00414913" w:rsidR="00CF5C75">
        <w:rPr>
          <w:lang w:val="pt-PT"/>
        </w:rPr>
        <w:t> </w:t>
      </w:r>
      <w:r w:rsidRPr="00414913">
        <w:rPr>
          <w:lang w:val="pt-PT"/>
        </w:rPr>
        <w:t xml:space="preserve">40, 4 </w:t>
      </w:r>
      <w:proofErr w:type="spellStart"/>
      <w:r w:rsidRPr="00414913">
        <w:rPr>
          <w:lang w:val="pt-PT"/>
        </w:rPr>
        <w:t>septembre</w:t>
      </w:r>
      <w:proofErr w:type="spellEnd"/>
      <w:r w:rsidRPr="00414913">
        <w:rPr>
          <w:lang w:val="pt-PT"/>
        </w:rPr>
        <w:t xml:space="preserve"> 2018).</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22</w:t>
      </w:r>
      <w:r w:rsidRPr="00414913">
        <w:fldChar w:fldCharType="end"/>
      </w:r>
      <w:r w:rsidRPr="00414913">
        <w:t>.  Elle estime dès lors que la mesure incriminée ne répondait pas à un besoin social impérieux, qu</w:t>
      </w:r>
      <w:r w:rsidRPr="00414913" w:rsidR="00414913">
        <w:t>’</w:t>
      </w:r>
      <w:r w:rsidRPr="00414913">
        <w:t>en tout état de cause elle n</w:t>
      </w:r>
      <w:r w:rsidRPr="00414913" w:rsidR="00414913">
        <w:t>’</w:t>
      </w:r>
      <w:r w:rsidRPr="00414913">
        <w:t>était pas proportionnée aux buts légitimes visés et que, de ce fait, elle n</w:t>
      </w:r>
      <w:r w:rsidRPr="00414913" w:rsidR="00414913">
        <w:t>’</w:t>
      </w:r>
      <w:r w:rsidRPr="00414913">
        <w:t>était pas nécessaire dans une société démocratique.</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23</w:t>
      </w:r>
      <w:r w:rsidRPr="00414913">
        <w:fldChar w:fldCharType="end"/>
      </w:r>
      <w:r w:rsidRPr="00414913">
        <w:t>.  Partant, il y a eu violation de l</w:t>
      </w:r>
      <w:r w:rsidRPr="00414913" w:rsidR="00414913">
        <w:t>’</w:t>
      </w:r>
      <w:r w:rsidRPr="00414913">
        <w:t>article 10 de la Convention.</w:t>
      </w:r>
    </w:p>
    <w:p w:rsidRPr="00414913" w:rsidR="006D1562" w:rsidP="00414913" w:rsidRDefault="006D1562">
      <w:pPr>
        <w:pStyle w:val="JuHIRoman"/>
        <w:numPr>
          <w:ilvl w:val="0"/>
          <w:numId w:val="0"/>
        </w:numPr>
        <w:ind w:left="357"/>
      </w:pPr>
      <w:r w:rsidRPr="00414913">
        <w:t>II.  SUR LA VIOLATION ALLÉGUÉE DE L</w:t>
      </w:r>
      <w:r w:rsidRPr="00414913" w:rsidR="00414913">
        <w:t>’</w:t>
      </w:r>
      <w:r w:rsidRPr="00414913">
        <w:t>ARTICLE 6 § 1 DE LA CONVENTION</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24</w:t>
      </w:r>
      <w:r w:rsidRPr="00414913">
        <w:fldChar w:fldCharType="end"/>
      </w:r>
      <w:r w:rsidRPr="00414913">
        <w:t>.  Le requérant allègue que la durée de la procédure pénale ne répondait pas à l</w:t>
      </w:r>
      <w:r w:rsidRPr="00414913" w:rsidR="00414913">
        <w:t>’</w:t>
      </w:r>
      <w:r w:rsidRPr="00414913">
        <w:t>exigence du « délai raisonnable » prévu par l</w:t>
      </w:r>
      <w:r w:rsidRPr="00414913" w:rsidR="00414913">
        <w:t>’</w:t>
      </w:r>
      <w:r w:rsidRPr="00414913">
        <w:t>article 6 §</w:t>
      </w:r>
      <w:r w:rsidRPr="00414913" w:rsidR="00CF5C75">
        <w:t> </w:t>
      </w:r>
      <w:r w:rsidRPr="00414913">
        <w:t>1 de la Convention, ainsi libellé en ses passages pertinents en l</w:t>
      </w:r>
      <w:r w:rsidRPr="00414913" w:rsidR="00414913">
        <w:t>’</w:t>
      </w:r>
      <w:r w:rsidRPr="00414913">
        <w:t>espèce :</w:t>
      </w:r>
    </w:p>
    <w:p w:rsidRPr="00414913" w:rsidR="006D1562" w:rsidP="00414913" w:rsidRDefault="006D1562">
      <w:pPr>
        <w:pStyle w:val="JuQuot"/>
      </w:pPr>
      <w:r w:rsidRPr="00414913">
        <w:t>«</w:t>
      </w:r>
      <w:r w:rsidRPr="00414913" w:rsidR="00CF5C75">
        <w:t> </w:t>
      </w:r>
      <w:r w:rsidRPr="00414913">
        <w:t>Toute personne a droit à ce que sa cause soit entendue (...) dans un délai raisonnable, par un tribunal (...), qui décidera (...) du bien-fondé de toute accusation en mati</w:t>
      </w:r>
      <w:r w:rsidRPr="00414913" w:rsidR="00CF5C75">
        <w:t>ère pénale dirigée contre elle. </w:t>
      </w:r>
      <w:r w:rsidRPr="00414913">
        <w:t>»</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25</w:t>
      </w:r>
      <w:r w:rsidRPr="00414913">
        <w:fldChar w:fldCharType="end"/>
      </w:r>
      <w:r w:rsidRPr="00414913">
        <w:t>.  Le Gouvernement excipe du non-épuisement des voies de recours internes. Il indique à cet égard que le requérant aurait dû saisir la commission d</w:t>
      </w:r>
      <w:r w:rsidRPr="00414913" w:rsidR="00414913">
        <w:t>’</w:t>
      </w:r>
      <w:r w:rsidRPr="00414913">
        <w:t>indemnisation instaurée par la loi n</w:t>
      </w:r>
      <w:r w:rsidRPr="00414913">
        <w:rPr>
          <w:vertAlign w:val="superscript"/>
        </w:rPr>
        <w:t>o</w:t>
      </w:r>
      <w:r w:rsidRPr="00414913">
        <w:t xml:space="preserve"> 6384.</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26</w:t>
      </w:r>
      <w:r w:rsidRPr="00414913">
        <w:fldChar w:fldCharType="end"/>
      </w:r>
      <w:r w:rsidRPr="00414913">
        <w:t>.  Le requérant conteste l</w:t>
      </w:r>
      <w:r w:rsidRPr="00414913" w:rsidR="00414913">
        <w:t>’</w:t>
      </w:r>
      <w:r w:rsidRPr="00414913">
        <w:t>exception du Gouvernement. Il soutient que la commission d</w:t>
      </w:r>
      <w:r w:rsidRPr="00414913" w:rsidR="00414913">
        <w:t>’</w:t>
      </w:r>
      <w:r w:rsidRPr="00414913">
        <w:t>indemnisation établie par la loi n</w:t>
      </w:r>
      <w:r w:rsidRPr="00414913">
        <w:rPr>
          <w:vertAlign w:val="superscript"/>
        </w:rPr>
        <w:t>o</w:t>
      </w:r>
      <w:r w:rsidRPr="00414913">
        <w:t xml:space="preserve"> 6384 n</w:t>
      </w:r>
      <w:r w:rsidRPr="00414913" w:rsidR="00414913">
        <w:t>’</w:t>
      </w:r>
      <w:r w:rsidRPr="00414913">
        <w:t>accorde pas une indemnisation suffisante pour non-respect de l</w:t>
      </w:r>
      <w:r w:rsidRPr="00414913" w:rsidR="00414913">
        <w:t>’</w:t>
      </w:r>
      <w:r w:rsidRPr="00414913">
        <w:t>exigence du délai raisonnable.</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27</w:t>
      </w:r>
      <w:r w:rsidRPr="00414913">
        <w:fldChar w:fldCharType="end"/>
      </w:r>
      <w:r w:rsidRPr="00414913">
        <w:t xml:space="preserve">.  La Cour se réfère à cet égard à la décision </w:t>
      </w:r>
      <w:proofErr w:type="spellStart"/>
      <w:r w:rsidRPr="00414913">
        <w:rPr>
          <w:i/>
        </w:rPr>
        <w:t>Turgut</w:t>
      </w:r>
      <w:proofErr w:type="spellEnd"/>
      <w:r w:rsidRPr="00414913">
        <w:rPr>
          <w:i/>
        </w:rPr>
        <w:t xml:space="preserve"> et autres c. Turquie</w:t>
      </w:r>
      <w:r w:rsidRPr="00414913">
        <w:t xml:space="preserve"> ((déc.), n</w:t>
      </w:r>
      <w:r w:rsidRPr="00414913">
        <w:rPr>
          <w:vertAlign w:val="superscript"/>
        </w:rPr>
        <w:t>o</w:t>
      </w:r>
      <w:r w:rsidRPr="00414913">
        <w:t xml:space="preserve"> 4860/09, §§ 58 et 60, 26 mars 2013) et ne décèle aucune raison de s</w:t>
      </w:r>
      <w:r w:rsidRPr="00414913" w:rsidR="00414913">
        <w:t>’</w:t>
      </w:r>
      <w:r w:rsidRPr="00414913">
        <w:t>écarter de l</w:t>
      </w:r>
      <w:r w:rsidRPr="00414913" w:rsidR="00414913">
        <w:t>’</w:t>
      </w:r>
      <w:r w:rsidRPr="00414913">
        <w:t>approche suivie dans cette affaire.</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28</w:t>
      </w:r>
      <w:r w:rsidRPr="00414913">
        <w:fldChar w:fldCharType="end"/>
      </w:r>
      <w:r w:rsidRPr="00414913">
        <w:t>.  Par conséquent, elle accueille l</w:t>
      </w:r>
      <w:r w:rsidRPr="00414913" w:rsidR="00414913">
        <w:t>’</w:t>
      </w:r>
      <w:r w:rsidRPr="00414913">
        <w:t>argument du Gouvernement et déclare ce grief irrecevable, en application de l</w:t>
      </w:r>
      <w:r w:rsidRPr="00414913" w:rsidR="00414913">
        <w:t>’</w:t>
      </w:r>
      <w:r w:rsidRPr="00414913">
        <w:t>article 35 §§ 1 et 4 de la Convention, pour non-épuisement des voies de recours internes.</w:t>
      </w:r>
    </w:p>
    <w:p w:rsidRPr="00414913" w:rsidR="006D1562" w:rsidP="00414913" w:rsidRDefault="006D1562">
      <w:pPr>
        <w:pStyle w:val="JuHIRoman"/>
        <w:numPr>
          <w:ilvl w:val="0"/>
          <w:numId w:val="0"/>
        </w:numPr>
        <w:ind w:left="357"/>
      </w:pPr>
      <w:r w:rsidRPr="00414913">
        <w:t>III.  SUR L</w:t>
      </w:r>
      <w:r w:rsidRPr="00414913" w:rsidR="00414913">
        <w:t>’</w:t>
      </w:r>
      <w:r w:rsidRPr="00414913">
        <w:t>APPLICATION DE L</w:t>
      </w:r>
      <w:r w:rsidRPr="00414913" w:rsidR="00414913">
        <w:t>’</w:t>
      </w:r>
      <w:r w:rsidRPr="00414913">
        <w:t>ARTICLE 41 DE LA CONVENTION</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29</w:t>
      </w:r>
      <w:r w:rsidRPr="00414913">
        <w:fldChar w:fldCharType="end"/>
      </w:r>
      <w:r w:rsidRPr="00414913">
        <w:t>.  Aux termes de l</w:t>
      </w:r>
      <w:r w:rsidRPr="00414913" w:rsidR="00414913">
        <w:t>’</w:t>
      </w:r>
      <w:r w:rsidRPr="00414913">
        <w:t>article 41 de la Convention,</w:t>
      </w:r>
    </w:p>
    <w:p w:rsidRPr="00414913" w:rsidR="006D1562" w:rsidP="00414913" w:rsidRDefault="006D1562">
      <w:pPr>
        <w:pStyle w:val="JuQuot"/>
        <w:keepNext/>
        <w:keepLines/>
      </w:pPr>
      <w:r w:rsidRPr="00414913">
        <w:t>« Si la Cour déclare qu</w:t>
      </w:r>
      <w:r w:rsidRPr="00414913" w:rsidR="00414913">
        <w:t>’</w:t>
      </w:r>
      <w:r w:rsidRPr="00414913">
        <w:t>il y a eu violation de la Convention ou de ses Protocoles, et si le droit interne de la Haute Partie contractante ne permet d</w:t>
      </w:r>
      <w:r w:rsidRPr="00414913" w:rsidR="00414913">
        <w:t>’</w:t>
      </w:r>
      <w:r w:rsidRPr="00414913">
        <w:t>effacer qu</w:t>
      </w:r>
      <w:r w:rsidRPr="00414913" w:rsidR="00414913">
        <w:t>’</w:t>
      </w:r>
      <w:r w:rsidRPr="00414913">
        <w:t>imparfaitement les conséquences de cette violation, la Cour accorde à la partie lésée, s</w:t>
      </w:r>
      <w:r w:rsidRPr="00414913" w:rsidR="00414913">
        <w:t>’</w:t>
      </w:r>
      <w:r w:rsidRPr="00414913">
        <w:t>il y a lieu, une satisfaction équitable. »</w:t>
      </w:r>
    </w:p>
    <w:p w:rsidRPr="00414913" w:rsidR="006D1562" w:rsidP="00414913" w:rsidRDefault="006D1562">
      <w:pPr>
        <w:pStyle w:val="JuHA"/>
        <w:numPr>
          <w:ilvl w:val="0"/>
          <w:numId w:val="0"/>
        </w:numPr>
        <w:ind w:left="584"/>
      </w:pPr>
      <w:r w:rsidRPr="00414913">
        <w:t>A.  Dommage</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30</w:t>
      </w:r>
      <w:r w:rsidRPr="00414913">
        <w:fldChar w:fldCharType="end"/>
      </w:r>
      <w:r w:rsidRPr="00414913">
        <w:t xml:space="preserve">.  Le requérant réclame </w:t>
      </w:r>
      <w:r w:rsidRPr="00414913" w:rsidR="00CF5C75">
        <w:t>30 </w:t>
      </w:r>
      <w:r w:rsidRPr="00414913">
        <w:t>000 euros (EUR) au titre du préjudice moral qu</w:t>
      </w:r>
      <w:r w:rsidRPr="00414913" w:rsidR="00414913">
        <w:t>’</w:t>
      </w:r>
      <w:r w:rsidRPr="00414913">
        <w:t>il estime avoir subi.</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31</w:t>
      </w:r>
      <w:r w:rsidRPr="00414913">
        <w:fldChar w:fldCharType="end"/>
      </w:r>
      <w:r w:rsidRPr="00414913">
        <w:t>.  Le Gouvernement considère que la demande présentée au titre du préjudice moral est excessive et qu</w:t>
      </w:r>
      <w:r w:rsidRPr="00414913" w:rsidR="00414913">
        <w:t>’</w:t>
      </w:r>
      <w:r w:rsidRPr="00414913">
        <w:t>elle ne correspond pas aux montants accordés par la Cour dans sa jurisprudence.</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32</w:t>
      </w:r>
      <w:r w:rsidRPr="00414913">
        <w:fldChar w:fldCharType="end"/>
      </w:r>
      <w:r w:rsidRPr="00414913">
        <w:t>.  La Cour considère qu</w:t>
      </w:r>
      <w:r w:rsidRPr="00414913" w:rsidR="00414913">
        <w:t>’</w:t>
      </w:r>
      <w:r w:rsidRPr="00414913">
        <w:t>il y a lieu d</w:t>
      </w:r>
      <w:r w:rsidRPr="00414913" w:rsidR="00414913">
        <w:t>’</w:t>
      </w:r>
      <w:r w:rsidRPr="00414913">
        <w:t>octroyer au requérant 5 000 EUR au titre du préjudice moral.</w:t>
      </w:r>
    </w:p>
    <w:p w:rsidRPr="00414913" w:rsidR="006D1562" w:rsidP="00414913" w:rsidRDefault="006D1562">
      <w:pPr>
        <w:pStyle w:val="JuHA"/>
        <w:numPr>
          <w:ilvl w:val="0"/>
          <w:numId w:val="0"/>
        </w:numPr>
        <w:ind w:left="584"/>
      </w:pPr>
      <w:r w:rsidRPr="00414913">
        <w:t>B.  Frais et dépens</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33</w:t>
      </w:r>
      <w:r w:rsidRPr="00414913">
        <w:fldChar w:fldCharType="end"/>
      </w:r>
      <w:r w:rsidRPr="00414913">
        <w:t>.  Le requérant demande également 4</w:t>
      </w:r>
      <w:r w:rsidRPr="00414913" w:rsidR="00CF5C75">
        <w:t> </w:t>
      </w:r>
      <w:r w:rsidRPr="00414913">
        <w:t>093 EUR pour les frais et dépens qu</w:t>
      </w:r>
      <w:r w:rsidRPr="00414913" w:rsidR="00414913">
        <w:t>’</w:t>
      </w:r>
      <w:r w:rsidRPr="00414913">
        <w:t>il dit avoir engagés devant la Cour. Il présente à l</w:t>
      </w:r>
      <w:r w:rsidRPr="00414913" w:rsidR="00414913">
        <w:t>’</w:t>
      </w:r>
      <w:r w:rsidRPr="00414913">
        <w:t>appui de cette demande une convention d</w:t>
      </w:r>
      <w:r w:rsidRPr="00414913" w:rsidR="00414913">
        <w:t>’</w:t>
      </w:r>
      <w:r w:rsidRPr="00414913">
        <w:t>honoraires signée par son avocat et lui, une liste répertoriant les tâches accomplies par son avocat en vue de la préparation de la requête et les heures prestées par celui-ci pour chacune d</w:t>
      </w:r>
      <w:r w:rsidRPr="00414913" w:rsidR="00414913">
        <w:t>’</w:t>
      </w:r>
      <w:r w:rsidRPr="00414913">
        <w:t>entre elles, pour une somme totale de 4</w:t>
      </w:r>
      <w:r w:rsidRPr="00414913" w:rsidR="00CF5C75">
        <w:t> </w:t>
      </w:r>
      <w:r w:rsidRPr="00414913">
        <w:t>093 EUR, le barème tarifaire du barreau de Batman ainsi qu</w:t>
      </w:r>
      <w:r w:rsidRPr="00414913" w:rsidR="00414913">
        <w:t>’</w:t>
      </w:r>
      <w:r w:rsidRPr="00414913">
        <w:t>une facture relative à des frais de poste.</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34</w:t>
      </w:r>
      <w:r w:rsidRPr="00414913">
        <w:fldChar w:fldCharType="end"/>
      </w:r>
      <w:r w:rsidRPr="00414913">
        <w:t>.  Le Gouvernement soutient que les montants demandés au titre des frais et dépens sont trop élevés par rapport aux procédures similaires et qu</w:t>
      </w:r>
      <w:r w:rsidRPr="00414913" w:rsidR="00414913">
        <w:t>’</w:t>
      </w:r>
      <w:r w:rsidRPr="00414913">
        <w:t>ils ne sont pas suffisamment détaillés. Il argue en outre que le requérant n</w:t>
      </w:r>
      <w:r w:rsidRPr="00414913" w:rsidR="00414913">
        <w:t>’</w:t>
      </w:r>
      <w:r w:rsidRPr="00414913">
        <w:t>a présenté de justificatif de paiement que pour des frais postaux.</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35</w:t>
      </w:r>
      <w:r w:rsidRPr="00414913">
        <w:fldChar w:fldCharType="end"/>
      </w:r>
      <w:r w:rsidRPr="00414913">
        <w:t>.  Selon la jurisprudence de la Cour, un requérant ne peut obtenir le remboursement de ses frais et dépens que dans la mesure où se trouvent établis leur réalité, leur nécessité et le caractère raisonnable de leur taux. En l</w:t>
      </w:r>
      <w:r w:rsidRPr="00414913" w:rsidR="00414913">
        <w:t>’</w:t>
      </w:r>
      <w:r w:rsidRPr="00414913">
        <w:t>espèce, compte tenu des documents dont elle dispose et de sa jurisprudence, la Cour estime raisonnable la somme de 2</w:t>
      </w:r>
      <w:r w:rsidRPr="00414913" w:rsidR="00CF5C75">
        <w:t> </w:t>
      </w:r>
      <w:r w:rsidRPr="00414913">
        <w:t>000 EUR pour la procédure devant elle et l</w:t>
      </w:r>
      <w:r w:rsidRPr="00414913" w:rsidR="00414913">
        <w:t>’</w:t>
      </w:r>
      <w:r w:rsidRPr="00414913">
        <w:t>accorde au requérant.</w:t>
      </w:r>
    </w:p>
    <w:p w:rsidRPr="00414913" w:rsidR="006D1562" w:rsidP="00414913" w:rsidRDefault="006D1562">
      <w:pPr>
        <w:pStyle w:val="JuHA"/>
        <w:numPr>
          <w:ilvl w:val="0"/>
          <w:numId w:val="0"/>
        </w:numPr>
        <w:ind w:left="584"/>
      </w:pPr>
      <w:r w:rsidRPr="00414913">
        <w:t>C.  Intérêts moratoires</w:t>
      </w:r>
    </w:p>
    <w:p w:rsidRPr="00414913" w:rsidR="006D1562" w:rsidP="00414913" w:rsidRDefault="006D1562">
      <w:pPr>
        <w:pStyle w:val="JuPara"/>
      </w:pPr>
      <w:r w:rsidRPr="00414913">
        <w:fldChar w:fldCharType="begin"/>
      </w:r>
      <w:r w:rsidRPr="00414913">
        <w:instrText xml:space="preserve"> SEQ level0 \*arabic </w:instrText>
      </w:r>
      <w:r w:rsidRPr="00414913">
        <w:fldChar w:fldCharType="separate"/>
      </w:r>
      <w:r w:rsidRPr="00414913" w:rsidR="00414913">
        <w:rPr>
          <w:noProof/>
        </w:rPr>
        <w:t>36</w:t>
      </w:r>
      <w:r w:rsidRPr="00414913">
        <w:fldChar w:fldCharType="end"/>
      </w:r>
      <w:r w:rsidRPr="00414913">
        <w:t>.  La Cour juge approprié de calquer le taux des intérêts moratoires sur le taux d</w:t>
      </w:r>
      <w:r w:rsidRPr="00414913" w:rsidR="00414913">
        <w:t>’</w:t>
      </w:r>
      <w:r w:rsidRPr="00414913">
        <w:t>intérêt de la facilité de prêt marginal de la Banque centrale européenne majoré de trois points de pourcentage.</w:t>
      </w:r>
    </w:p>
    <w:p w:rsidRPr="00414913" w:rsidR="006D1562" w:rsidP="00414913" w:rsidRDefault="006D1562">
      <w:pPr>
        <w:pStyle w:val="JuHHead"/>
        <w:numPr>
          <w:ilvl w:val="0"/>
          <w:numId w:val="1"/>
        </w:numPr>
      </w:pPr>
      <w:r w:rsidRPr="00414913">
        <w:t>PAR CES MOTIFS, LA COUR, À L</w:t>
      </w:r>
      <w:r w:rsidRPr="00414913" w:rsidR="00414913">
        <w:t>’</w:t>
      </w:r>
      <w:r w:rsidRPr="00414913">
        <w:t>UNANIMITÉ,</w:t>
      </w:r>
    </w:p>
    <w:p w:rsidRPr="00414913" w:rsidR="006D1562" w:rsidP="00414913" w:rsidRDefault="00CF5C75">
      <w:pPr>
        <w:pStyle w:val="JuList"/>
        <w:numPr>
          <w:ilvl w:val="0"/>
          <w:numId w:val="0"/>
        </w:numPr>
        <w:rPr>
          <w:b/>
        </w:rPr>
      </w:pPr>
      <w:r w:rsidRPr="00414913">
        <w:t>1.</w:t>
      </w:r>
      <w:r w:rsidRPr="00414913">
        <w:rPr>
          <w:i/>
        </w:rPr>
        <w:t>  </w:t>
      </w:r>
      <w:r w:rsidRPr="00414913" w:rsidR="006D1562">
        <w:rPr>
          <w:i/>
        </w:rPr>
        <w:t>Déclare</w:t>
      </w:r>
      <w:r w:rsidRPr="00414913" w:rsidR="006D1562">
        <w:t xml:space="preserve"> la requête recevable quant au grief tiré de l</w:t>
      </w:r>
      <w:r w:rsidRPr="00414913" w:rsidR="00414913">
        <w:t>’</w:t>
      </w:r>
      <w:r w:rsidRPr="00414913" w:rsidR="006D1562">
        <w:t>article 10 de la Convention et irrecevable pour le surplus ;</w:t>
      </w:r>
    </w:p>
    <w:p w:rsidRPr="00414913" w:rsidR="006D1562" w:rsidP="00414913" w:rsidRDefault="00CF5C75">
      <w:pPr>
        <w:pStyle w:val="JuList"/>
        <w:numPr>
          <w:ilvl w:val="0"/>
          <w:numId w:val="0"/>
        </w:numPr>
      </w:pPr>
      <w:r w:rsidRPr="00414913">
        <w:t>2.</w:t>
      </w:r>
      <w:r w:rsidRPr="00414913">
        <w:rPr>
          <w:i/>
        </w:rPr>
        <w:t>  </w:t>
      </w:r>
      <w:r w:rsidRPr="00414913" w:rsidR="006D1562">
        <w:rPr>
          <w:i/>
        </w:rPr>
        <w:t>Dit</w:t>
      </w:r>
      <w:r w:rsidRPr="00414913" w:rsidR="008D0EE8">
        <w:t xml:space="preserve"> </w:t>
      </w:r>
      <w:r w:rsidRPr="00414913" w:rsidR="006D1562">
        <w:t>qu</w:t>
      </w:r>
      <w:r w:rsidRPr="00414913" w:rsidR="00414913">
        <w:t>’</w:t>
      </w:r>
      <w:r w:rsidRPr="00414913" w:rsidR="006D1562">
        <w:t>il y a eu violation de l</w:t>
      </w:r>
      <w:r w:rsidRPr="00414913" w:rsidR="00414913">
        <w:t>’</w:t>
      </w:r>
      <w:r w:rsidRPr="00414913" w:rsidR="006D1562">
        <w:t>article 10 de la Convention ;</w:t>
      </w:r>
    </w:p>
    <w:p w:rsidRPr="00414913" w:rsidR="008D0EE8" w:rsidP="00414913" w:rsidRDefault="00CF5C75">
      <w:pPr>
        <w:pStyle w:val="JuList"/>
        <w:numPr>
          <w:ilvl w:val="0"/>
          <w:numId w:val="0"/>
        </w:numPr>
      </w:pPr>
      <w:r w:rsidRPr="00414913">
        <w:t>3.</w:t>
      </w:r>
      <w:r w:rsidRPr="00414913">
        <w:rPr>
          <w:i/>
        </w:rPr>
        <w:t>  </w:t>
      </w:r>
      <w:r w:rsidRPr="00414913" w:rsidR="006D1562">
        <w:rPr>
          <w:i/>
        </w:rPr>
        <w:t>Dit</w:t>
      </w:r>
    </w:p>
    <w:p w:rsidRPr="00414913" w:rsidR="006D1562" w:rsidP="00414913" w:rsidRDefault="006D1562">
      <w:pPr>
        <w:pStyle w:val="JuLista"/>
        <w:numPr>
          <w:ilvl w:val="1"/>
          <w:numId w:val="2"/>
        </w:numPr>
      </w:pPr>
      <w:r w:rsidRPr="00414913">
        <w:t>que l</w:t>
      </w:r>
      <w:r w:rsidRPr="00414913" w:rsidR="00414913">
        <w:t>’</w:t>
      </w:r>
      <w:r w:rsidRPr="00414913">
        <w:t>État défendeur doit verser au requérant, dans les trois mois à compter du jour où l</w:t>
      </w:r>
      <w:r w:rsidRPr="00414913" w:rsidR="00414913">
        <w:t>’</w:t>
      </w:r>
      <w:r w:rsidRPr="00414913">
        <w:t>arrêt sera devenu définitif conformément à l</w:t>
      </w:r>
      <w:r w:rsidRPr="00414913" w:rsidR="00414913">
        <w:t>’</w:t>
      </w:r>
      <w:r w:rsidRPr="00414913">
        <w:t>article 44 § 2 de la Convention, les sommes suivantes, à convertir dans la monnaie de l</w:t>
      </w:r>
      <w:r w:rsidRPr="00414913" w:rsidR="00414913">
        <w:t>’</w:t>
      </w:r>
      <w:r w:rsidRPr="00414913">
        <w:t>État défendeur, au taux applicable à la date du règlement) :</w:t>
      </w:r>
    </w:p>
    <w:p w:rsidRPr="00414913" w:rsidR="006D1562" w:rsidP="00414913" w:rsidRDefault="006D1562">
      <w:pPr>
        <w:pStyle w:val="JuListi"/>
        <w:numPr>
          <w:ilvl w:val="0"/>
          <w:numId w:val="0"/>
        </w:numPr>
        <w:ind w:left="1134"/>
        <w:rPr>
          <w:lang w:eastAsia="en-GB"/>
        </w:rPr>
      </w:pPr>
      <w:r w:rsidRPr="00414913">
        <w:rPr>
          <w:lang w:eastAsia="en-GB"/>
        </w:rPr>
        <w:t>i.  5 000 EUR (cinq mille euros), plus tout montant pouvant être dû à titre d</w:t>
      </w:r>
      <w:r w:rsidRPr="00414913" w:rsidR="00414913">
        <w:rPr>
          <w:lang w:eastAsia="en-GB"/>
        </w:rPr>
        <w:t>’</w:t>
      </w:r>
      <w:r w:rsidRPr="00414913">
        <w:rPr>
          <w:lang w:eastAsia="en-GB"/>
        </w:rPr>
        <w:t>impôt, pour dommage moral,</w:t>
      </w:r>
    </w:p>
    <w:p w:rsidRPr="00414913" w:rsidR="006D1562" w:rsidP="00414913" w:rsidRDefault="006D1562">
      <w:pPr>
        <w:pStyle w:val="JuListi"/>
        <w:numPr>
          <w:ilvl w:val="0"/>
          <w:numId w:val="0"/>
        </w:numPr>
        <w:ind w:left="1134"/>
        <w:rPr>
          <w:lang w:eastAsia="en-GB"/>
        </w:rPr>
      </w:pPr>
      <w:r w:rsidRPr="00414913">
        <w:rPr>
          <w:lang w:eastAsia="en-GB"/>
        </w:rPr>
        <w:t xml:space="preserve">ii.  2 000 EUR (deux mille euros), plus tout montant pouvant être dû par </w:t>
      </w:r>
      <w:r w:rsidRPr="00414913">
        <w:t>le requérant</w:t>
      </w:r>
      <w:r w:rsidRPr="00414913">
        <w:rPr>
          <w:lang w:eastAsia="en-GB"/>
        </w:rPr>
        <w:t xml:space="preserve"> à titre d</w:t>
      </w:r>
      <w:r w:rsidRPr="00414913" w:rsidR="00414913">
        <w:rPr>
          <w:lang w:eastAsia="en-GB"/>
        </w:rPr>
        <w:t>’</w:t>
      </w:r>
      <w:r w:rsidRPr="00414913">
        <w:rPr>
          <w:lang w:eastAsia="en-GB"/>
        </w:rPr>
        <w:t>impôt, pour frais et dépens ;</w:t>
      </w:r>
    </w:p>
    <w:p w:rsidRPr="00414913" w:rsidR="006D1562" w:rsidP="00414913" w:rsidRDefault="006D1562">
      <w:pPr>
        <w:pStyle w:val="JuLista"/>
        <w:numPr>
          <w:ilvl w:val="1"/>
          <w:numId w:val="2"/>
        </w:numPr>
      </w:pPr>
      <w:r w:rsidRPr="00414913">
        <w:t>qu</w:t>
      </w:r>
      <w:r w:rsidRPr="00414913" w:rsidR="00414913">
        <w:t>’</w:t>
      </w:r>
      <w:r w:rsidRPr="00414913">
        <w:t>à compter de l</w:t>
      </w:r>
      <w:r w:rsidRPr="00414913" w:rsidR="00414913">
        <w:t>’</w:t>
      </w:r>
      <w:r w:rsidRPr="00414913">
        <w:t>expiration dudit délai et jusqu</w:t>
      </w:r>
      <w:r w:rsidRPr="00414913" w:rsidR="00414913">
        <w:t>’</w:t>
      </w:r>
      <w:r w:rsidRPr="00414913">
        <w:t>au versement, ces montants seront à majorer d</w:t>
      </w:r>
      <w:r w:rsidRPr="00414913" w:rsidR="00414913">
        <w:t>’</w:t>
      </w:r>
      <w:r w:rsidRPr="00414913">
        <w:t>un intérêt simple à un taux égal à celui de la facilité de prêt marginal de la Banque centrale européenne applicable pendant cette période, augmenté de trois points de pourcentage ;</w:t>
      </w:r>
    </w:p>
    <w:p w:rsidRPr="00414913" w:rsidR="00876F03" w:rsidP="00414913" w:rsidRDefault="00CF5C75">
      <w:pPr>
        <w:pStyle w:val="JuList"/>
        <w:numPr>
          <w:ilvl w:val="0"/>
          <w:numId w:val="0"/>
        </w:numPr>
      </w:pPr>
      <w:r w:rsidRPr="00414913">
        <w:t>4.  </w:t>
      </w:r>
      <w:r w:rsidRPr="00414913" w:rsidR="006D1562">
        <w:rPr>
          <w:i/>
        </w:rPr>
        <w:t>Rejette</w:t>
      </w:r>
      <w:r w:rsidRPr="00414913" w:rsidR="006D1562">
        <w:t xml:space="preserve"> la demande de satisfaction équitable pour le surplus.</w:t>
      </w:r>
    </w:p>
    <w:p w:rsidRPr="00414913" w:rsidR="00893F30" w:rsidP="00414913" w:rsidRDefault="00893F30">
      <w:pPr>
        <w:pStyle w:val="JuParaLast"/>
      </w:pPr>
      <w:r w:rsidRPr="00414913">
        <w:t xml:space="preserve">Fait en français, puis communiqué par écrit le </w:t>
      </w:r>
      <w:r w:rsidRPr="00414913" w:rsidR="006D1562">
        <w:t>19 novembre 2019</w:t>
      </w:r>
      <w:r w:rsidRPr="00414913">
        <w:t>, en application de l</w:t>
      </w:r>
      <w:r w:rsidRPr="00414913" w:rsidR="00414913">
        <w:t>’</w:t>
      </w:r>
      <w:r w:rsidRPr="00414913">
        <w:t>article 77 §§ 2 et 3 du règlement.</w:t>
      </w:r>
    </w:p>
    <w:p w:rsidRPr="00414913" w:rsidR="00876F03" w:rsidP="00414913" w:rsidRDefault="006D1562">
      <w:pPr>
        <w:pStyle w:val="JuSigned"/>
      </w:pPr>
      <w:r w:rsidRPr="00414913">
        <w:tab/>
        <w:t>Stanley Naismith</w:t>
      </w:r>
      <w:r w:rsidRPr="00414913" w:rsidR="004344E6">
        <w:tab/>
      </w:r>
      <w:r w:rsidRPr="00414913" w:rsidR="00D65486">
        <w:t>Robert Spano</w:t>
      </w:r>
      <w:r w:rsidRPr="00414913" w:rsidR="004344E6">
        <w:br/>
      </w:r>
      <w:r w:rsidRPr="00414913" w:rsidR="004344E6">
        <w:tab/>
      </w:r>
      <w:r w:rsidRPr="00414913">
        <w:t>Greffier</w:t>
      </w:r>
      <w:r w:rsidRPr="00414913" w:rsidR="004344E6">
        <w:tab/>
      </w:r>
      <w:r w:rsidRPr="00414913">
        <w:t>Président</w:t>
      </w:r>
    </w:p>
    <w:p w:rsidRPr="00414913" w:rsidR="00D65486" w:rsidP="00414913" w:rsidRDefault="00D65486">
      <w:pPr>
        <w:pStyle w:val="JuPara"/>
      </w:pPr>
    </w:p>
    <w:p w:rsidRPr="00414913" w:rsidR="00CF5C75" w:rsidP="00414913" w:rsidRDefault="00CF5C75">
      <w:pPr>
        <w:pStyle w:val="JuPara"/>
      </w:pPr>
    </w:p>
    <w:p w:rsidRPr="00414913" w:rsidR="00D65486" w:rsidP="00414913" w:rsidRDefault="00D65486">
      <w:pPr>
        <w:pStyle w:val="JuParaLast"/>
      </w:pPr>
      <w:r w:rsidRPr="00414913">
        <w:t>Au présent arrêt se trouve joint, conformément aux articles 45 § 2 de la Convention et 74 § 2 du règlement, l</w:t>
      </w:r>
      <w:r w:rsidRPr="00414913" w:rsidR="00414913">
        <w:t>’</w:t>
      </w:r>
      <w:r w:rsidRPr="00414913">
        <w:t>exposé de l</w:t>
      </w:r>
      <w:r w:rsidRPr="00414913" w:rsidR="00414913">
        <w:t>’</w:t>
      </w:r>
      <w:r w:rsidRPr="00414913">
        <w:t>opinion séparée de la juge </w:t>
      </w:r>
      <w:proofErr w:type="spellStart"/>
      <w:r w:rsidRPr="00414913">
        <w:t>Y</w:t>
      </w:r>
      <w:r w:rsidRPr="00414913">
        <w:rPr>
          <w:rFonts w:ascii="Times New Roman" w:hAnsi="Times New Roman" w:cs="Times New Roman"/>
        </w:rPr>
        <w:t>ü</w:t>
      </w:r>
      <w:r w:rsidRPr="00414913">
        <w:t>ksel</w:t>
      </w:r>
      <w:proofErr w:type="spellEnd"/>
      <w:r w:rsidRPr="00414913">
        <w:t>.</w:t>
      </w:r>
    </w:p>
    <w:p w:rsidRPr="00414913" w:rsidR="00D65486" w:rsidP="00414913" w:rsidRDefault="00D65486">
      <w:pPr>
        <w:pStyle w:val="JuInitialled"/>
      </w:pPr>
      <w:r w:rsidRPr="00414913">
        <w:t>R</w:t>
      </w:r>
      <w:r w:rsidRPr="00414913" w:rsidR="00B41809">
        <w:t>.</w:t>
      </w:r>
      <w:r w:rsidRPr="00414913">
        <w:t>S</w:t>
      </w:r>
      <w:proofErr w:type="gramStart"/>
      <w:r w:rsidRPr="00414913" w:rsidR="00B41809">
        <w:t>.</w:t>
      </w:r>
      <w:proofErr w:type="gramEnd"/>
      <w:r w:rsidRPr="00414913">
        <w:br/>
        <w:t>S</w:t>
      </w:r>
      <w:r w:rsidRPr="00414913" w:rsidR="00B41809">
        <w:t>.</w:t>
      </w:r>
      <w:r w:rsidRPr="00414913">
        <w:t>H</w:t>
      </w:r>
      <w:r w:rsidRPr="00414913" w:rsidR="00B41809">
        <w:t>.</w:t>
      </w:r>
      <w:r w:rsidRPr="00414913">
        <w:t>N</w:t>
      </w:r>
      <w:r w:rsidRPr="00414913" w:rsidR="00B41809">
        <w:t>.</w:t>
      </w:r>
    </w:p>
    <w:p w:rsidRPr="00414913" w:rsidR="00D65486" w:rsidP="00414913" w:rsidRDefault="00D65486">
      <w:pPr>
        <w:pStyle w:val="JuPara"/>
        <w:sectPr w:rsidRPr="00414913" w:rsidR="00D65486">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pPr>
    </w:p>
    <w:p w:rsidRPr="00414913" w:rsidR="00324980" w:rsidP="00414913" w:rsidRDefault="00324980">
      <w:pPr>
        <w:pStyle w:val="ECHRTitleCentre1"/>
        <w:rPr>
          <w:rFonts w:asciiTheme="minorHAnsi" w:hAnsiTheme="minorHAnsi" w:cstheme="minorHAnsi"/>
          <w:lang w:val="fr-FR"/>
        </w:rPr>
      </w:pPr>
      <w:r w:rsidRPr="00414913">
        <w:rPr>
          <w:rFonts w:asciiTheme="minorHAnsi" w:hAnsiTheme="minorHAnsi" w:cstheme="minorHAnsi"/>
          <w:lang w:val="fr-FR"/>
        </w:rPr>
        <w:t>OPINION CONCORDANTE DE LA JUGE Y</w:t>
      </w:r>
      <w:r w:rsidRPr="00414913" w:rsidR="00C17EB2">
        <w:rPr>
          <w:rFonts w:asciiTheme="minorHAnsi" w:hAnsiTheme="minorHAnsi" w:cstheme="minorHAnsi"/>
          <w:lang w:val="fr-FR"/>
        </w:rPr>
        <w:t>Ü</w:t>
      </w:r>
      <w:r w:rsidRPr="00414913">
        <w:rPr>
          <w:rFonts w:asciiTheme="minorHAnsi" w:hAnsiTheme="minorHAnsi" w:cstheme="minorHAnsi"/>
          <w:lang w:val="fr-FR"/>
        </w:rPr>
        <w:t>KSEL</w:t>
      </w:r>
    </w:p>
    <w:p w:rsidRPr="00414913" w:rsidR="00324980" w:rsidP="00414913" w:rsidRDefault="00324980">
      <w:pPr>
        <w:pStyle w:val="OpiTranslation"/>
        <w:rPr>
          <w:i w:val="0"/>
          <w:lang w:val="fr-FR"/>
        </w:rPr>
      </w:pPr>
      <w:r w:rsidRPr="00414913">
        <w:rPr>
          <w:i w:val="0"/>
          <w:lang w:val="fr-FR"/>
        </w:rPr>
        <w:t>(</w:t>
      </w:r>
      <w:r w:rsidRPr="00414913">
        <w:rPr>
          <w:lang w:val="fr-FR"/>
        </w:rPr>
        <w:t>Traduction</w:t>
      </w:r>
      <w:r w:rsidRPr="00414913">
        <w:rPr>
          <w:i w:val="0"/>
          <w:lang w:val="fr-FR"/>
        </w:rPr>
        <w:t>)</w:t>
      </w:r>
    </w:p>
    <w:p w:rsidRPr="00414913" w:rsidR="00324980" w:rsidP="00414913" w:rsidRDefault="00324980">
      <w:pPr>
        <w:pStyle w:val="JuPara"/>
      </w:pPr>
    </w:p>
    <w:p w:rsidRPr="00414913" w:rsidR="00324980" w:rsidP="00414913" w:rsidRDefault="00324980">
      <w:pPr>
        <w:pStyle w:val="OpiPara"/>
        <w:rPr>
          <w:lang w:val="fr-FR"/>
        </w:rPr>
      </w:pPr>
      <w:r w:rsidRPr="00414913">
        <w:rPr>
          <w:lang w:val="fr-FR"/>
        </w:rPr>
        <w:t>Je partage avec les autres membres de la chambre le constat de violation de l</w:t>
      </w:r>
      <w:r w:rsidRPr="00414913" w:rsidR="00414913">
        <w:rPr>
          <w:lang w:val="fr-FR"/>
        </w:rPr>
        <w:t>’</w:t>
      </w:r>
      <w:r w:rsidRPr="00414913">
        <w:rPr>
          <w:lang w:val="fr-FR"/>
        </w:rPr>
        <w:t>article 10 en l</w:t>
      </w:r>
      <w:r w:rsidRPr="00414913" w:rsidR="00414913">
        <w:rPr>
          <w:lang w:val="fr-FR"/>
        </w:rPr>
        <w:t>’</w:t>
      </w:r>
      <w:r w:rsidRPr="00414913">
        <w:rPr>
          <w:lang w:val="fr-FR"/>
        </w:rPr>
        <w:t>espèce. Comme l</w:t>
      </w:r>
      <w:r w:rsidRPr="00414913" w:rsidR="00414913">
        <w:rPr>
          <w:lang w:val="fr-FR"/>
        </w:rPr>
        <w:t>’</w:t>
      </w:r>
      <w:r w:rsidRPr="00414913">
        <w:rPr>
          <w:lang w:val="fr-FR"/>
        </w:rPr>
        <w:t>arrêt le souligne en son paragraphe 20, le requérant en l</w:t>
      </w:r>
      <w:r w:rsidRPr="00414913" w:rsidR="00414913">
        <w:rPr>
          <w:lang w:val="fr-FR"/>
        </w:rPr>
        <w:t>’</w:t>
      </w:r>
      <w:r w:rsidRPr="00414913">
        <w:rPr>
          <w:lang w:val="fr-FR"/>
        </w:rPr>
        <w:t>espèce a été condamné non pas pour avoir chanté des slogans, brandi des photographies, des affiches ou des drapeaux, ni pour avoir directement participé avec certains manifestants à la perpétration d</w:t>
      </w:r>
      <w:r w:rsidRPr="00414913" w:rsidR="00414913">
        <w:rPr>
          <w:lang w:val="fr-FR"/>
        </w:rPr>
        <w:t>’</w:t>
      </w:r>
      <w:r w:rsidRPr="00414913">
        <w:rPr>
          <w:lang w:val="fr-FR"/>
        </w:rPr>
        <w:t>autres actes au cours de la cérémonie litigieuse, mais pour avoir pris part aux obsèques et pour avoir fixé sur lui des photographies du défunt au cours de la cérémonie. Dès lors, le présent arrêt n</w:t>
      </w:r>
      <w:r w:rsidRPr="00414913" w:rsidR="00414913">
        <w:rPr>
          <w:lang w:val="fr-FR"/>
        </w:rPr>
        <w:t>’</w:t>
      </w:r>
      <w:r w:rsidRPr="00414913">
        <w:rPr>
          <w:lang w:val="fr-FR"/>
        </w:rPr>
        <w:t>analyse pas en substance les slogans chantés, ni les photographies, affiches et drapeaux brandis, ni même les faits reprochés au requérant et à certains des manifestants. Au lieu de cela, à bon droit selon moi, il s</w:t>
      </w:r>
      <w:r w:rsidRPr="00414913" w:rsidR="00414913">
        <w:rPr>
          <w:lang w:val="fr-FR"/>
        </w:rPr>
        <w:t>’</w:t>
      </w:r>
      <w:r w:rsidRPr="00414913">
        <w:rPr>
          <w:lang w:val="fr-FR"/>
        </w:rPr>
        <w:t>attache à l</w:t>
      </w:r>
      <w:r w:rsidRPr="00414913" w:rsidR="00414913">
        <w:rPr>
          <w:lang w:val="fr-FR"/>
        </w:rPr>
        <w:t>’</w:t>
      </w:r>
      <w:r w:rsidRPr="00414913">
        <w:rPr>
          <w:lang w:val="fr-FR"/>
        </w:rPr>
        <w:t>insuffisance du raisonnement de la cour d</w:t>
      </w:r>
      <w:r w:rsidRPr="00414913" w:rsidR="00414913">
        <w:rPr>
          <w:lang w:val="fr-FR"/>
        </w:rPr>
        <w:t>’</w:t>
      </w:r>
      <w:r w:rsidRPr="00414913">
        <w:rPr>
          <w:lang w:val="fr-FR"/>
        </w:rPr>
        <w:t>assises sur la question de savoir si les slogans, affiches, drapeaux et photographies, ainsi que les faits reprochés au requérant en particulier, pouvaient être considérés comme présentant un lien entre eux et comme une incitation à la violence. À cet égard, je me contenterais d</w:t>
      </w:r>
      <w:r w:rsidRPr="00414913" w:rsidR="00414913">
        <w:rPr>
          <w:lang w:val="fr-FR"/>
        </w:rPr>
        <w:t>’</w:t>
      </w:r>
      <w:r w:rsidRPr="00414913">
        <w:rPr>
          <w:lang w:val="fr-FR"/>
        </w:rPr>
        <w:t>ajouter que, si la Cour s</w:t>
      </w:r>
      <w:r w:rsidRPr="00414913" w:rsidR="00414913">
        <w:rPr>
          <w:lang w:val="fr-FR"/>
        </w:rPr>
        <w:t>’</w:t>
      </w:r>
      <w:r w:rsidRPr="00414913">
        <w:rPr>
          <w:lang w:val="fr-FR"/>
        </w:rPr>
        <w:t>était livrée à une analyse de la substance des faits en question, je doute que la conclusion eût été la même.</w:t>
      </w:r>
    </w:p>
    <w:p w:rsidRPr="00414913" w:rsidR="00324980" w:rsidP="00414913" w:rsidRDefault="00324980">
      <w:pPr>
        <w:pStyle w:val="OpiPara"/>
        <w:rPr>
          <w:rFonts w:cstheme="minorHAnsi"/>
          <w:color w:val="000000"/>
          <w:szCs w:val="24"/>
          <w:lang w:val="fr-FR"/>
        </w:rPr>
      </w:pPr>
    </w:p>
    <w:p w:rsidRPr="00414913" w:rsidR="00D65486" w:rsidP="00414913" w:rsidRDefault="00324980">
      <w:pPr>
        <w:pStyle w:val="OpiPara"/>
        <w:rPr>
          <w:lang w:val="fr-FR"/>
        </w:rPr>
      </w:pPr>
      <w:r w:rsidRPr="00414913">
        <w:rPr>
          <w:rFonts w:cstheme="minorHAnsi"/>
          <w:color w:val="000000"/>
          <w:szCs w:val="24"/>
          <w:lang w:val="fr-FR"/>
        </w:rPr>
        <w:t>Puisque l</w:t>
      </w:r>
      <w:r w:rsidRPr="00414913" w:rsidR="00414913">
        <w:rPr>
          <w:rFonts w:cstheme="minorHAnsi"/>
          <w:color w:val="000000"/>
          <w:szCs w:val="24"/>
          <w:lang w:val="fr-FR"/>
        </w:rPr>
        <w:t>’</w:t>
      </w:r>
      <w:r w:rsidRPr="00414913">
        <w:rPr>
          <w:rFonts w:cstheme="minorHAnsi"/>
          <w:color w:val="000000"/>
          <w:szCs w:val="24"/>
          <w:lang w:val="fr-FR"/>
        </w:rPr>
        <w:t>arrêt constate une violation en se fondant sur l</w:t>
      </w:r>
      <w:r w:rsidRPr="00414913" w:rsidR="00414913">
        <w:rPr>
          <w:rFonts w:cstheme="minorHAnsi"/>
          <w:color w:val="000000"/>
          <w:szCs w:val="24"/>
          <w:lang w:val="fr-FR"/>
        </w:rPr>
        <w:t>’</w:t>
      </w:r>
      <w:r w:rsidRPr="00414913">
        <w:rPr>
          <w:rFonts w:cstheme="minorHAnsi"/>
          <w:color w:val="000000"/>
          <w:szCs w:val="24"/>
          <w:lang w:val="fr-FR"/>
        </w:rPr>
        <w:t>insuffisance du raisonnement des juridictions nationales, j</w:t>
      </w:r>
      <w:r w:rsidRPr="00414913" w:rsidR="00414913">
        <w:rPr>
          <w:rFonts w:cstheme="minorHAnsi"/>
          <w:color w:val="000000"/>
          <w:szCs w:val="24"/>
          <w:lang w:val="fr-FR"/>
        </w:rPr>
        <w:t>’</w:t>
      </w:r>
      <w:r w:rsidRPr="00414913">
        <w:rPr>
          <w:rFonts w:cstheme="minorHAnsi"/>
          <w:color w:val="000000"/>
          <w:szCs w:val="24"/>
          <w:lang w:val="fr-FR"/>
        </w:rPr>
        <w:t>estime que cette conclusion aurait dû être davantage axée sur l</w:t>
      </w:r>
      <w:r w:rsidRPr="00414913" w:rsidR="00414913">
        <w:rPr>
          <w:rFonts w:cstheme="minorHAnsi"/>
          <w:color w:val="000000"/>
          <w:szCs w:val="24"/>
          <w:lang w:val="fr-FR"/>
        </w:rPr>
        <w:t>’</w:t>
      </w:r>
      <w:r w:rsidRPr="00414913">
        <w:rPr>
          <w:rFonts w:cstheme="minorHAnsi"/>
          <w:color w:val="000000"/>
          <w:szCs w:val="24"/>
          <w:lang w:val="fr-FR"/>
        </w:rPr>
        <w:t>examen du critère de nécessité tiré du principe de proportionnalité, qui a pour éléments constitutifs la rationalité, la nécessité et la mise en balance. Autrement dit, à mes yeux, une insuffisance dans les motifs avancés par les juridictions nationales doit être interprétée comme signifiant que le Gouvernement n</w:t>
      </w:r>
      <w:r w:rsidRPr="00414913" w:rsidR="00414913">
        <w:rPr>
          <w:rFonts w:cstheme="minorHAnsi"/>
          <w:color w:val="000000"/>
          <w:szCs w:val="24"/>
          <w:lang w:val="fr-FR"/>
        </w:rPr>
        <w:t>’</w:t>
      </w:r>
      <w:r w:rsidRPr="00414913">
        <w:rPr>
          <w:rFonts w:cstheme="minorHAnsi"/>
          <w:color w:val="000000"/>
          <w:szCs w:val="24"/>
          <w:lang w:val="fr-FR"/>
        </w:rPr>
        <w:t>a pas suffisamment démontré que la condamnation était nécessaire, et qu</w:t>
      </w:r>
      <w:r w:rsidRPr="00414913" w:rsidR="00414913">
        <w:rPr>
          <w:rFonts w:cstheme="minorHAnsi"/>
          <w:color w:val="000000"/>
          <w:szCs w:val="24"/>
          <w:lang w:val="fr-FR"/>
        </w:rPr>
        <w:t>’</w:t>
      </w:r>
      <w:r w:rsidRPr="00414913">
        <w:rPr>
          <w:rFonts w:cstheme="minorHAnsi"/>
          <w:color w:val="000000"/>
          <w:szCs w:val="24"/>
          <w:lang w:val="fr-FR"/>
        </w:rPr>
        <w:t>elle constituait donc le moyen le moins restrictif de limiter la liberté d</w:t>
      </w:r>
      <w:r w:rsidRPr="00414913" w:rsidR="00414913">
        <w:rPr>
          <w:rFonts w:cstheme="minorHAnsi"/>
          <w:color w:val="000000"/>
          <w:szCs w:val="24"/>
          <w:lang w:val="fr-FR"/>
        </w:rPr>
        <w:t>’</w:t>
      </w:r>
      <w:r w:rsidRPr="00414913">
        <w:rPr>
          <w:rFonts w:cstheme="minorHAnsi"/>
          <w:color w:val="000000"/>
          <w:szCs w:val="24"/>
          <w:lang w:val="fr-FR"/>
        </w:rPr>
        <w:t>expression du requérant. J</w:t>
      </w:r>
      <w:r w:rsidRPr="00414913" w:rsidR="00414913">
        <w:rPr>
          <w:rFonts w:cstheme="minorHAnsi"/>
          <w:color w:val="000000"/>
          <w:szCs w:val="24"/>
          <w:lang w:val="fr-FR"/>
        </w:rPr>
        <w:t>’</w:t>
      </w:r>
      <w:r w:rsidRPr="00414913">
        <w:rPr>
          <w:rFonts w:cstheme="minorHAnsi"/>
          <w:color w:val="000000"/>
          <w:szCs w:val="24"/>
          <w:lang w:val="fr-FR"/>
        </w:rPr>
        <w:t>estime en conséquence que, dans les circonstances de la présente espèce, en raison de l</w:t>
      </w:r>
      <w:r w:rsidRPr="00414913" w:rsidR="00414913">
        <w:rPr>
          <w:rFonts w:cstheme="minorHAnsi"/>
          <w:color w:val="000000"/>
          <w:szCs w:val="24"/>
          <w:lang w:val="fr-FR"/>
        </w:rPr>
        <w:t>’</w:t>
      </w:r>
      <w:r w:rsidRPr="00414913">
        <w:rPr>
          <w:rFonts w:cstheme="minorHAnsi"/>
          <w:color w:val="000000"/>
          <w:szCs w:val="24"/>
          <w:lang w:val="fr-FR"/>
        </w:rPr>
        <w:t>insuffisance du raisonnement du juge interne, les autorités nationales n</w:t>
      </w:r>
      <w:r w:rsidRPr="00414913" w:rsidR="00414913">
        <w:rPr>
          <w:rFonts w:cstheme="minorHAnsi"/>
          <w:color w:val="000000"/>
          <w:szCs w:val="24"/>
          <w:lang w:val="fr-FR"/>
        </w:rPr>
        <w:t>’</w:t>
      </w:r>
      <w:r w:rsidRPr="00414913">
        <w:rPr>
          <w:rFonts w:cstheme="minorHAnsi"/>
          <w:color w:val="000000"/>
          <w:szCs w:val="24"/>
          <w:lang w:val="fr-FR"/>
        </w:rPr>
        <w:t>ont pas satisfait au critère de nécessité tiré du principe de proportionnalité. La mesure n</w:t>
      </w:r>
      <w:r w:rsidRPr="00414913" w:rsidR="00414913">
        <w:rPr>
          <w:rFonts w:cstheme="minorHAnsi"/>
          <w:color w:val="000000"/>
          <w:szCs w:val="24"/>
          <w:lang w:val="fr-FR"/>
        </w:rPr>
        <w:t>’</w:t>
      </w:r>
      <w:r w:rsidRPr="00414913">
        <w:rPr>
          <w:rFonts w:cstheme="minorHAnsi"/>
          <w:color w:val="000000"/>
          <w:szCs w:val="24"/>
          <w:lang w:val="fr-FR"/>
        </w:rPr>
        <w:t>était dès lors pas nécessaire dans une société démocratique.</w:t>
      </w:r>
    </w:p>
    <w:p w:rsidRPr="00414913" w:rsidR="00876F03" w:rsidP="00414913" w:rsidRDefault="00876F03"/>
    <w:sectPr w:rsidRPr="00414913" w:rsidR="00876F03" w:rsidSect="00D65486">
      <w:headerReference w:type="even" r:id="rId13"/>
      <w:headerReference w:type="default" r:id="rId14"/>
      <w:footnotePr>
        <w:numRestart w:val="eachSect"/>
      </w:footnotePr>
      <w:pgSz w:w="11906" w:h="16838" w:code="9"/>
      <w:pgMar w:top="2274" w:right="2274" w:bottom="2274" w:left="2274" w:header="1701"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562" w:rsidRPr="00891107" w:rsidRDefault="006D1562" w:rsidP="00516B59">
      <w:r w:rsidRPr="00891107">
        <w:separator/>
      </w:r>
    </w:p>
  </w:endnote>
  <w:endnote w:type="continuationSeparator" w:id="0">
    <w:p w:rsidR="006D1562" w:rsidRPr="00891107" w:rsidRDefault="006D1562" w:rsidP="00516B59">
      <w:r w:rsidRPr="008911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562" w:rsidRPr="00150BFA" w:rsidRDefault="006D1562" w:rsidP="0020718E">
    <w:pPr>
      <w:jc w:val="center"/>
    </w:pPr>
    <w:r>
      <w:rPr>
        <w:noProof/>
        <w:lang w:val="en-US" w:eastAsia="ja-JP"/>
      </w:rPr>
      <w:drawing>
        <wp:inline distT="0" distB="0" distL="0" distR="0" wp14:anchorId="64A53155" wp14:editId="3062788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22D5C" w:rsidRPr="00891107" w:rsidRDefault="007E4A6D" w:rsidP="00F27D1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D01935" w:rsidRDefault="007E4A6D" w:rsidP="00C4198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562" w:rsidRPr="00891107" w:rsidRDefault="006D1562" w:rsidP="00516B59">
      <w:r w:rsidRPr="00891107">
        <w:separator/>
      </w:r>
    </w:p>
  </w:footnote>
  <w:footnote w:type="continuationSeparator" w:id="0">
    <w:p w:rsidR="006D1562" w:rsidRPr="00891107" w:rsidRDefault="006D1562" w:rsidP="00516B59">
      <w:r w:rsidRPr="0089110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562" w:rsidRPr="00A45145" w:rsidRDefault="006D1562" w:rsidP="00A45145">
    <w:pPr>
      <w:jc w:val="center"/>
    </w:pPr>
    <w:r>
      <w:rPr>
        <w:noProof/>
        <w:lang w:val="en-US" w:eastAsia="ja-JP"/>
      </w:rPr>
      <w:drawing>
        <wp:inline distT="0" distB="0" distL="0" distR="0" wp14:anchorId="3F7DDC49" wp14:editId="5A78BADA">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22D5C" w:rsidRPr="00891107" w:rsidRDefault="007E4A6D" w:rsidP="009840A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592C8D" w:rsidRDefault="006D1562" w:rsidP="00A21624">
    <w:pPr>
      <w:pStyle w:val="Ju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E53D6C">
      <w:rPr>
        <w:rStyle w:val="PageNumber"/>
        <w:noProof/>
        <w:lang w:val="en-US"/>
      </w:rPr>
      <w:t>8</w:t>
    </w:r>
    <w:r>
      <w:rPr>
        <w:rStyle w:val="PageNumber"/>
        <w:lang w:val="en-US"/>
      </w:rPr>
      <w:fldChar w:fldCharType="end"/>
    </w:r>
    <w:r w:rsidR="007971FF" w:rsidRPr="00592C8D">
      <w:rPr>
        <w:lang w:val="en-US"/>
      </w:rPr>
      <w:tab/>
    </w:r>
    <w:r w:rsidR="00A21624" w:rsidRPr="00592C8D">
      <w:rPr>
        <w:lang w:val="en-US"/>
      </w:rPr>
      <w:t>ARRÊT</w:t>
    </w:r>
    <w:r w:rsidR="00256F45" w:rsidRPr="00592C8D">
      <w:rPr>
        <w:lang w:val="en-US"/>
      </w:rPr>
      <w:t xml:space="preserve"> </w:t>
    </w:r>
    <w:r>
      <w:rPr>
        <w:lang w:val="en-US"/>
      </w:rPr>
      <w:t>NEJDET ATALAY c. TURQUIE</w:t>
    </w:r>
    <w:r w:rsidRPr="00592C8D">
      <w:rPr>
        <w:noProof/>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F22D5C" w:rsidRDefault="007612E2" w:rsidP="00522ABA">
    <w:pPr>
      <w:pStyle w:val="JuHeader"/>
      <w:jc w:val="both"/>
    </w:pPr>
    <w:r>
      <w:tab/>
    </w:r>
    <w:r w:rsidR="00256F45" w:rsidRPr="00592C8D">
      <w:rPr>
        <w:lang w:val="en-US"/>
      </w:rPr>
      <w:t>ARRÊT</w:t>
    </w:r>
    <w:r w:rsidR="00162967" w:rsidRPr="00592C8D">
      <w:rPr>
        <w:lang w:val="en-US"/>
      </w:rPr>
      <w:t xml:space="preserve"> </w:t>
    </w:r>
    <w:r w:rsidR="006D1562">
      <w:rPr>
        <w:lang w:val="en-US"/>
      </w:rPr>
      <w:t>NEJDET ATALAY c. TURQUIE</w:t>
    </w:r>
    <w:r w:rsidR="007971FF" w:rsidRPr="00592C8D">
      <w:rPr>
        <w:lang w:val="en-US"/>
      </w:rPr>
      <w:t xml:space="preserve"> </w:t>
    </w:r>
    <w:r w:rsidR="007971FF" w:rsidRPr="007100AD">
      <w:tab/>
    </w:r>
    <w:r w:rsidR="006D1562">
      <w:rPr>
        <w:rStyle w:val="PageNumber"/>
      </w:rPr>
      <w:fldChar w:fldCharType="begin"/>
    </w:r>
    <w:r w:rsidR="006D1562">
      <w:rPr>
        <w:rStyle w:val="PageNumber"/>
      </w:rPr>
      <w:instrText xml:space="preserve"> PAGE </w:instrText>
    </w:r>
    <w:r w:rsidR="006D1562">
      <w:rPr>
        <w:rStyle w:val="PageNumber"/>
      </w:rPr>
      <w:fldChar w:fldCharType="separate"/>
    </w:r>
    <w:r w:rsidR="00E53D6C">
      <w:rPr>
        <w:rStyle w:val="PageNumber"/>
        <w:noProof/>
      </w:rPr>
      <w:t>1</w:t>
    </w:r>
    <w:r w:rsidR="006D1562">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486" w:rsidRPr="00D65486" w:rsidRDefault="00D65486" w:rsidP="00D65486">
    <w:pPr>
      <w:pStyle w:val="JuHeader"/>
      <w:tabs>
        <w:tab w:val="clear" w:pos="3686"/>
        <w:tab w:val="clear" w:pos="7371"/>
        <w:tab w:val="center" w:pos="3685"/>
      </w:tabs>
    </w:pPr>
    <w:r>
      <w:rPr>
        <w:rStyle w:val="PageNumber"/>
        <w:lang w:val="en-US"/>
      </w:rPr>
      <w:fldChar w:fldCharType="begin"/>
    </w:r>
    <w:r w:rsidRPr="00D65486">
      <w:rPr>
        <w:rStyle w:val="PageNumber"/>
      </w:rPr>
      <w:instrText xml:space="preserve"> PAGE </w:instrText>
    </w:r>
    <w:r>
      <w:rPr>
        <w:rStyle w:val="PageNumber"/>
        <w:lang w:val="en-US"/>
      </w:rPr>
      <w:fldChar w:fldCharType="separate"/>
    </w:r>
    <w:r w:rsidR="008D0EE8">
      <w:rPr>
        <w:rStyle w:val="PageNumber"/>
        <w:noProof/>
      </w:rPr>
      <w:t>6</w:t>
    </w:r>
    <w:r>
      <w:rPr>
        <w:rStyle w:val="PageNumber"/>
        <w:lang w:val="en-US"/>
      </w:rPr>
      <w:fldChar w:fldCharType="end"/>
    </w:r>
    <w:r w:rsidRPr="00D65486">
      <w:tab/>
      <w:t>ARRÊT NEJDET ATALAY c. TURQUIE</w:t>
    </w:r>
    <w:r w:rsidRPr="00D65486">
      <w:rPr>
        <w:noProof/>
      </w:rPr>
      <w:t xml:space="preserve">  - OPINION SÉPARÉE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486" w:rsidRPr="00F22D5C" w:rsidRDefault="00D65486" w:rsidP="00D65486">
    <w:pPr>
      <w:pStyle w:val="JuHeader"/>
      <w:tabs>
        <w:tab w:val="clear" w:pos="3686"/>
        <w:tab w:val="clear" w:pos="7371"/>
        <w:tab w:val="center" w:pos="3685"/>
        <w:tab w:val="right" w:pos="7370"/>
      </w:tabs>
      <w:jc w:val="both"/>
    </w:pPr>
    <w:r>
      <w:tab/>
    </w:r>
    <w:r w:rsidRPr="00D65486">
      <w:t>ARRÊT NEJDET ATALAY c. TURQUIE  - OPINION SÉPARÉE</w:t>
    </w:r>
    <w:r w:rsidRPr="007100AD">
      <w:tab/>
    </w:r>
    <w:r>
      <w:rPr>
        <w:rStyle w:val="PageNumber"/>
      </w:rPr>
      <w:fldChar w:fldCharType="begin"/>
    </w:r>
    <w:r>
      <w:rPr>
        <w:rStyle w:val="PageNumber"/>
      </w:rPr>
      <w:instrText xml:space="preserve"> PAGE </w:instrText>
    </w:r>
    <w:r>
      <w:rPr>
        <w:rStyle w:val="PageNumber"/>
      </w:rPr>
      <w:fldChar w:fldCharType="separate"/>
    </w:r>
    <w:r w:rsidR="00E53D6C">
      <w:rPr>
        <w:rStyle w:val="PageNumber"/>
        <w:noProof/>
      </w:rPr>
      <w:t>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16B5801"/>
    <w:multiLevelType w:val="multilevel"/>
    <w:tmpl w:val="DB8E8AC8"/>
    <w:lvl w:ilvl="0">
      <w:start w:val="1"/>
      <w:numFmt w:val="none"/>
      <w:suff w:val="nothing"/>
      <w:lvlText w:val=""/>
      <w:lvlJc w:val="left"/>
      <w:pPr>
        <w:ind w:left="0" w:firstLine="0"/>
      </w:pPr>
      <w:rPr>
        <w:rFonts w:hint="default"/>
      </w:rPr>
    </w:lvl>
    <w:lvl w:ilvl="1">
      <w:start w:val="1"/>
      <w:numFmt w:val="upperRoman"/>
      <w:suff w:val="space"/>
      <w:lvlText w:val="%2."/>
      <w:lvlJc w:val="left"/>
      <w:pPr>
        <w:ind w:left="0" w:firstLine="0"/>
      </w:pPr>
      <w:rPr>
        <w:rFonts w:hint="default"/>
      </w:rPr>
    </w:lvl>
    <w:lvl w:ilvl="2">
      <w:start w:val="1"/>
      <w:numFmt w:val="upperLetter"/>
      <w:lvlText w:val="%3."/>
      <w:lvlJc w:val="left"/>
      <w:pPr>
        <w:tabs>
          <w:tab w:val="num" w:pos="510"/>
        </w:tabs>
        <w:ind w:left="510" w:hanging="340"/>
      </w:pPr>
      <w:rPr>
        <w:rFonts w:hint="default"/>
      </w:rPr>
    </w:lvl>
    <w:lvl w:ilvl="3">
      <w:start w:val="1"/>
      <w:numFmt w:val="decimal"/>
      <w:lvlText w:val="%4."/>
      <w:lvlJc w:val="left"/>
      <w:pPr>
        <w:tabs>
          <w:tab w:val="num" w:pos="624"/>
        </w:tabs>
        <w:ind w:left="624" w:hanging="284"/>
      </w:pPr>
      <w:rPr>
        <w:rFonts w:hint="default"/>
      </w:rPr>
    </w:lvl>
    <w:lvl w:ilvl="4">
      <w:start w:val="1"/>
      <w:numFmt w:val="lowerLetter"/>
      <w:lvlText w:val="%5."/>
      <w:lvlJc w:val="left"/>
      <w:pPr>
        <w:tabs>
          <w:tab w:val="num" w:pos="794"/>
        </w:tabs>
        <w:ind w:left="794" w:hanging="284"/>
      </w:pPr>
      <w:rPr>
        <w:rFonts w:hint="default"/>
        <w:caps w:val="0"/>
      </w:rPr>
    </w:lvl>
    <w:lvl w:ilvl="5">
      <w:start w:val="1"/>
      <w:numFmt w:val="lowerRoman"/>
      <w:suff w:val="space"/>
      <w:lvlText w:val="%6."/>
      <w:lvlJc w:val="left"/>
      <w:pPr>
        <w:ind w:left="964" w:hanging="284"/>
      </w:pPr>
      <w:rPr>
        <w:rFonts w:asciiTheme="minorHAnsi" w:hAnsiTheme="minorHAnsi" w:hint="default"/>
      </w:rPr>
    </w:lvl>
    <w:lvl w:ilvl="6">
      <w:start w:val="1"/>
      <w:numFmt w:val="bullet"/>
      <w:lvlText w:val="‒"/>
      <w:lvlJc w:val="left"/>
      <w:pPr>
        <w:tabs>
          <w:tab w:val="num" w:pos="1021"/>
        </w:tabs>
        <w:ind w:left="1021" w:hanging="170"/>
      </w:pPr>
      <w:rPr>
        <w:rFonts w:ascii="Calibri" w:hAnsi="Calibri" w:hint="default"/>
        <w:color w:val="auto"/>
      </w:rPr>
    </w:lvl>
    <w:lvl w:ilvl="7">
      <w:start w:val="1"/>
      <w:numFmt w:val="bullet"/>
      <w:lvlText w:val=""/>
      <w:lvlJc w:val="left"/>
      <w:pPr>
        <w:tabs>
          <w:tab w:val="num" w:pos="1247"/>
        </w:tabs>
        <w:ind w:left="1191" w:hanging="170"/>
      </w:pPr>
      <w:rPr>
        <w:rFonts w:ascii="Wingdings" w:hAnsi="Wingdings" w:hint="default"/>
        <w:color w:val="7F7F7F" w:themeColor="text1" w:themeTint="80"/>
      </w:rPr>
    </w:lvl>
    <w:lvl w:ilvl="8">
      <w:start w:val="1"/>
      <w:numFmt w:val="bullet"/>
      <w:lvlText w:val=""/>
      <w:lvlJc w:val="left"/>
      <w:pPr>
        <w:tabs>
          <w:tab w:val="num" w:pos="1474"/>
        </w:tabs>
        <w:ind w:left="1361" w:hanging="170"/>
      </w:pPr>
      <w:rPr>
        <w:rFonts w:ascii="Wingdings" w:hAnsi="Wingdings" w:hint="default"/>
        <w:color w:val="7F7F7F" w:themeColor="text1" w:themeTint="80"/>
      </w:r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2"/>
  </w:num>
  <w:num w:numId="3">
    <w:abstractNumId w:val="13"/>
  </w:num>
  <w:num w:numId="4">
    <w:abstractNumId w:val="10"/>
  </w:num>
  <w:num w:numId="5">
    <w:abstractNumId w:val="9"/>
  </w:num>
  <w:num w:numId="6">
    <w:abstractNumId w:val="15"/>
  </w:num>
  <w:num w:numId="7">
    <w:abstractNumId w:val="11"/>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7"/>
  </w:num>
  <w:num w:numId="20">
    <w:abstractNumId w:val="17"/>
  </w:num>
  <w:num w:numId="21">
    <w:abstractNumId w:val="17"/>
  </w:num>
  <w:num w:numId="22">
    <w:abstractNumId w:val="17"/>
  </w:num>
  <w:num w:numId="23">
    <w:abstractNumId w:val="17"/>
  </w:num>
  <w:num w:numId="24">
    <w:abstractNumId w:val="17"/>
  </w:num>
  <w:num w:numId="25">
    <w:abstractNumId w:val="17"/>
  </w:num>
  <w:num w:numId="26">
    <w:abstractNumId w:val="17"/>
  </w:num>
  <w:num w:numId="27">
    <w:abstractNumId w:val="12"/>
  </w:num>
  <w:num w:numId="28">
    <w:abstractNumId w:val="12"/>
  </w:num>
  <w:num w:numId="29">
    <w:abstractNumId w:val="12"/>
  </w:num>
  <w:num w:numId="30">
    <w:abstractNumId w:val="13"/>
  </w:num>
  <w:num w:numId="31">
    <w:abstractNumId w:val="10"/>
  </w:num>
  <w:num w:numId="32">
    <w:abstractNumId w:val="9"/>
  </w:num>
  <w:num w:numId="33">
    <w:abstractNumId w:val="15"/>
  </w:num>
  <w:num w:numId="34">
    <w:abstractNumId w:val="11"/>
  </w:num>
  <w:num w:numId="35">
    <w:abstractNumId w:val="16"/>
  </w:num>
  <w:num w:numId="36">
    <w:abstractNumId w:val="18"/>
  </w:num>
  <w:num w:numId="37">
    <w:abstractNumId w:val="7"/>
  </w:num>
  <w:num w:numId="38">
    <w:abstractNumId w:val="6"/>
  </w:num>
  <w:num w:numId="39">
    <w:abstractNumId w:val="5"/>
  </w:num>
  <w:num w:numId="40">
    <w:abstractNumId w:val="4"/>
  </w:num>
  <w:num w:numId="41">
    <w:abstractNumId w:val="8"/>
  </w:num>
  <w:num w:numId="42">
    <w:abstractNumId w:val="3"/>
  </w:num>
  <w:num w:numId="43">
    <w:abstractNumId w:val="2"/>
  </w:num>
  <w:num w:numId="44">
    <w:abstractNumId w:val="1"/>
  </w:num>
  <w:num w:numId="45">
    <w:abstractNumId w:val="0"/>
  </w:num>
  <w:num w:numId="46">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D1562"/>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62967"/>
    <w:rsid w:val="00162A12"/>
    <w:rsid w:val="00166530"/>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4980"/>
    <w:rsid w:val="00326224"/>
    <w:rsid w:val="00337EE4"/>
    <w:rsid w:val="00340FFD"/>
    <w:rsid w:val="003506B1"/>
    <w:rsid w:val="00356AC7"/>
    <w:rsid w:val="003609FA"/>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14913"/>
    <w:rsid w:val="00425C67"/>
    <w:rsid w:val="00427E7A"/>
    <w:rsid w:val="00431C07"/>
    <w:rsid w:val="004344E6"/>
    <w:rsid w:val="00436C49"/>
    <w:rsid w:val="00445366"/>
    <w:rsid w:val="00447F5B"/>
    <w:rsid w:val="00456549"/>
    <w:rsid w:val="004604A0"/>
    <w:rsid w:val="0046116C"/>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1562"/>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48BE"/>
    <w:rsid w:val="008754AB"/>
    <w:rsid w:val="00876A02"/>
    <w:rsid w:val="00876F03"/>
    <w:rsid w:val="0088060C"/>
    <w:rsid w:val="00891107"/>
    <w:rsid w:val="00893576"/>
    <w:rsid w:val="00893E73"/>
    <w:rsid w:val="00893F30"/>
    <w:rsid w:val="00895F5B"/>
    <w:rsid w:val="008A5A6A"/>
    <w:rsid w:val="008B02DC"/>
    <w:rsid w:val="008B2698"/>
    <w:rsid w:val="008B57CE"/>
    <w:rsid w:val="008C26DE"/>
    <w:rsid w:val="008D0EE8"/>
    <w:rsid w:val="008D2225"/>
    <w:rsid w:val="008D4752"/>
    <w:rsid w:val="008E271C"/>
    <w:rsid w:val="008E418E"/>
    <w:rsid w:val="008E5BC6"/>
    <w:rsid w:val="008E6A25"/>
    <w:rsid w:val="008E7A1B"/>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3628"/>
    <w:rsid w:val="00A43AA3"/>
    <w:rsid w:val="00A46E50"/>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C00C2"/>
    <w:rsid w:val="00AC3B48"/>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1809"/>
    <w:rsid w:val="00B44E56"/>
    <w:rsid w:val="00B46543"/>
    <w:rsid w:val="00B47D33"/>
    <w:rsid w:val="00B52BE0"/>
    <w:rsid w:val="00B54133"/>
    <w:rsid w:val="00B55BBC"/>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7EB2"/>
    <w:rsid w:val="00C22687"/>
    <w:rsid w:val="00C25983"/>
    <w:rsid w:val="00C32E4D"/>
    <w:rsid w:val="00C333A0"/>
    <w:rsid w:val="00C36408"/>
    <w:rsid w:val="00C36A81"/>
    <w:rsid w:val="00C41974"/>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CF5C75"/>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66BD"/>
    <w:rsid w:val="00D57A4D"/>
    <w:rsid w:val="00D60AA7"/>
    <w:rsid w:val="00D62A67"/>
    <w:rsid w:val="00D6435F"/>
    <w:rsid w:val="00D65486"/>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53D6C"/>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A5A6A"/>
    <w:rPr>
      <w:rFonts w:eastAsiaTheme="minorEastAsia"/>
      <w:sz w:val="24"/>
      <w:lang w:val="fr-FR"/>
    </w:rPr>
  </w:style>
  <w:style w:type="paragraph" w:styleId="Heading1">
    <w:name w:val="heading 1"/>
    <w:basedOn w:val="Normal"/>
    <w:next w:val="Normal"/>
    <w:link w:val="Heading1Char"/>
    <w:uiPriority w:val="99"/>
    <w:semiHidden/>
    <w:rsid w:val="008A5A6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A5A6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A5A6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A5A6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A5A6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8A5A6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A5A6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8A5A6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A5A6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A5A6A"/>
    <w:rPr>
      <w:rFonts w:ascii="Tahoma" w:hAnsi="Tahoma" w:cs="Tahoma"/>
      <w:sz w:val="16"/>
      <w:szCs w:val="16"/>
    </w:rPr>
  </w:style>
  <w:style w:type="character" w:customStyle="1" w:styleId="BalloonTextChar">
    <w:name w:val="Balloon Text Char"/>
    <w:basedOn w:val="DefaultParagraphFont"/>
    <w:link w:val="BalloonText"/>
    <w:uiPriority w:val="99"/>
    <w:semiHidden/>
    <w:rsid w:val="008A5A6A"/>
    <w:rPr>
      <w:rFonts w:ascii="Tahoma" w:eastAsiaTheme="minorEastAsia" w:hAnsi="Tahoma" w:cs="Tahoma"/>
      <w:sz w:val="16"/>
      <w:szCs w:val="16"/>
      <w:lang w:val="fr-FR"/>
    </w:rPr>
  </w:style>
  <w:style w:type="character" w:styleId="BookTitle">
    <w:name w:val="Book Title"/>
    <w:uiPriority w:val="99"/>
    <w:semiHidden/>
    <w:qFormat/>
    <w:rsid w:val="008A5A6A"/>
    <w:rPr>
      <w:i/>
      <w:iCs/>
      <w:smallCaps/>
      <w:spacing w:val="5"/>
    </w:rPr>
  </w:style>
  <w:style w:type="paragraph" w:customStyle="1" w:styleId="JuHeader">
    <w:name w:val="Ju_Header"/>
    <w:aliases w:val="_Header"/>
    <w:basedOn w:val="Header"/>
    <w:uiPriority w:val="29"/>
    <w:qFormat/>
    <w:rsid w:val="008A5A6A"/>
    <w:pPr>
      <w:tabs>
        <w:tab w:val="clear" w:pos="4536"/>
        <w:tab w:val="clear" w:pos="9072"/>
        <w:tab w:val="center" w:pos="3686"/>
        <w:tab w:val="right" w:pos="7371"/>
      </w:tabs>
    </w:pPr>
    <w:rPr>
      <w:sz w:val="18"/>
    </w:rPr>
  </w:style>
  <w:style w:type="paragraph" w:customStyle="1" w:styleId="DecList">
    <w:name w:val="Dec_List"/>
    <w:aliases w:val="_List"/>
    <w:basedOn w:val="JuList"/>
    <w:uiPriority w:val="22"/>
    <w:rsid w:val="008A5A6A"/>
    <w:pPr>
      <w:numPr>
        <w:numId w:val="0"/>
      </w:numPr>
      <w:ind w:left="340"/>
    </w:pPr>
  </w:style>
  <w:style w:type="character" w:styleId="Strong">
    <w:name w:val="Strong"/>
    <w:uiPriority w:val="99"/>
    <w:semiHidden/>
    <w:qFormat/>
    <w:rsid w:val="008A5A6A"/>
    <w:rPr>
      <w:b/>
      <w:bCs/>
    </w:rPr>
  </w:style>
  <w:style w:type="paragraph" w:styleId="NoSpacing">
    <w:name w:val="No Spacing"/>
    <w:basedOn w:val="Normal"/>
    <w:link w:val="NoSpacingChar"/>
    <w:semiHidden/>
    <w:qFormat/>
    <w:rsid w:val="008A5A6A"/>
  </w:style>
  <w:style w:type="character" w:customStyle="1" w:styleId="NoSpacingChar">
    <w:name w:val="No Spacing Char"/>
    <w:basedOn w:val="DefaultParagraphFont"/>
    <w:link w:val="NoSpacing"/>
    <w:semiHidden/>
    <w:rsid w:val="008A5A6A"/>
    <w:rPr>
      <w:rFonts w:eastAsiaTheme="minorEastAsia"/>
      <w:sz w:val="24"/>
      <w:lang w:val="fr-FR"/>
    </w:rPr>
  </w:style>
  <w:style w:type="paragraph" w:customStyle="1" w:styleId="JuQuot">
    <w:name w:val="Ju_Quot"/>
    <w:aliases w:val="_Quote"/>
    <w:basedOn w:val="NormalJustified"/>
    <w:uiPriority w:val="21"/>
    <w:qFormat/>
    <w:rsid w:val="008A5A6A"/>
    <w:pPr>
      <w:spacing w:before="120" w:after="120"/>
      <w:ind w:left="425" w:firstLine="142"/>
    </w:pPr>
    <w:rPr>
      <w:sz w:val="20"/>
    </w:rPr>
  </w:style>
  <w:style w:type="paragraph" w:customStyle="1" w:styleId="JuList">
    <w:name w:val="Ju_List"/>
    <w:aliases w:val="_List_1"/>
    <w:basedOn w:val="NormalJustified"/>
    <w:uiPriority w:val="23"/>
    <w:qFormat/>
    <w:rsid w:val="008A5A6A"/>
    <w:pPr>
      <w:numPr>
        <w:numId w:val="29"/>
      </w:numPr>
      <w:spacing w:before="280" w:after="60"/>
    </w:pPr>
    <w:rPr>
      <w:rFonts w:eastAsiaTheme="minorHAnsi"/>
    </w:rPr>
  </w:style>
  <w:style w:type="paragraph" w:customStyle="1" w:styleId="JuLista">
    <w:name w:val="Ju_List_a"/>
    <w:aliases w:val="_List_2"/>
    <w:basedOn w:val="NormalJustified"/>
    <w:uiPriority w:val="23"/>
    <w:rsid w:val="008A5A6A"/>
    <w:pPr>
      <w:numPr>
        <w:ilvl w:val="1"/>
        <w:numId w:val="29"/>
      </w:numPr>
    </w:pPr>
  </w:style>
  <w:style w:type="paragraph" w:customStyle="1" w:styleId="JuListi">
    <w:name w:val="Ju_List_i"/>
    <w:aliases w:val="_List_3"/>
    <w:basedOn w:val="NormalJustified"/>
    <w:uiPriority w:val="23"/>
    <w:rsid w:val="008A5A6A"/>
    <w:pPr>
      <w:numPr>
        <w:ilvl w:val="2"/>
        <w:numId w:val="29"/>
      </w:numPr>
    </w:pPr>
  </w:style>
  <w:style w:type="paragraph" w:customStyle="1" w:styleId="DecHTitle">
    <w:name w:val="Dec_H_Title"/>
    <w:aliases w:val="_Title_1"/>
    <w:basedOn w:val="JuPara"/>
    <w:next w:val="JuPara"/>
    <w:uiPriority w:val="35"/>
    <w:qFormat/>
    <w:rsid w:val="008A5A6A"/>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8A5A6A"/>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8A5A6A"/>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8A5A6A"/>
    <w:pPr>
      <w:numPr>
        <w:numId w:val="6"/>
      </w:numPr>
    </w:pPr>
  </w:style>
  <w:style w:type="paragraph" w:customStyle="1" w:styleId="JuHHead">
    <w:name w:val="Ju_H_Head"/>
    <w:aliases w:val="_Head_1"/>
    <w:basedOn w:val="Normal"/>
    <w:next w:val="JuPara"/>
    <w:uiPriority w:val="19"/>
    <w:qFormat/>
    <w:rsid w:val="008A5A6A"/>
    <w:pPr>
      <w:keepNext/>
      <w:keepLines/>
      <w:numPr>
        <w:numId w:val="26"/>
      </w:numPr>
      <w:spacing w:before="100" w:beforeAutospacing="1" w:after="240"/>
      <w:jc w:val="both"/>
      <w:outlineLvl w:val="0"/>
    </w:pPr>
    <w:rPr>
      <w:caps/>
      <w:sz w:val="28"/>
    </w:rPr>
  </w:style>
  <w:style w:type="numbering" w:customStyle="1" w:styleId="ECHRA1StyleList">
    <w:name w:val="ECHR_A1_Style_List"/>
    <w:basedOn w:val="NoList"/>
    <w:uiPriority w:val="99"/>
    <w:rsid w:val="008A5A6A"/>
    <w:pPr>
      <w:numPr>
        <w:numId w:val="7"/>
      </w:numPr>
    </w:pPr>
  </w:style>
  <w:style w:type="paragraph" w:customStyle="1" w:styleId="JuSigned">
    <w:name w:val="Ju_Signed"/>
    <w:aliases w:val="_Signature"/>
    <w:basedOn w:val="Normal"/>
    <w:next w:val="JuPara"/>
    <w:uiPriority w:val="30"/>
    <w:qFormat/>
    <w:rsid w:val="008A5A6A"/>
    <w:pPr>
      <w:tabs>
        <w:tab w:val="center" w:pos="851"/>
        <w:tab w:val="center" w:pos="6407"/>
      </w:tabs>
      <w:spacing w:before="720"/>
    </w:pPr>
  </w:style>
  <w:style w:type="paragraph" w:styleId="Title">
    <w:name w:val="Title"/>
    <w:basedOn w:val="Normal"/>
    <w:next w:val="Normal"/>
    <w:link w:val="TitleChar"/>
    <w:uiPriority w:val="99"/>
    <w:semiHidden/>
    <w:qFormat/>
    <w:rsid w:val="008A5A6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A5A6A"/>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8A5A6A"/>
    <w:pPr>
      <w:numPr>
        <w:numId w:val="8"/>
      </w:numPr>
    </w:pPr>
  </w:style>
  <w:style w:type="table" w:customStyle="1" w:styleId="ECHRTable2019">
    <w:name w:val="ECHR_Table_2019"/>
    <w:basedOn w:val="TableNormal"/>
    <w:uiPriority w:val="99"/>
    <w:rsid w:val="008A5A6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8A5A6A"/>
    <w:rPr>
      <w:sz w:val="8"/>
    </w:rPr>
  </w:style>
  <w:style w:type="paragraph" w:customStyle="1" w:styleId="JuCourt">
    <w:name w:val="Ju_Court"/>
    <w:basedOn w:val="Normal"/>
    <w:next w:val="Normal"/>
    <w:uiPriority w:val="31"/>
    <w:qFormat/>
    <w:rsid w:val="008A5A6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qFormat/>
    <w:rsid w:val="008A5A6A"/>
    <w:pPr>
      <w:tabs>
        <w:tab w:val="center" w:pos="6407"/>
      </w:tabs>
      <w:spacing w:before="720"/>
      <w:jc w:val="right"/>
    </w:pPr>
  </w:style>
  <w:style w:type="paragraph" w:customStyle="1" w:styleId="JuHIRoman">
    <w:name w:val="Ju_H_I_Roman"/>
    <w:aliases w:val="_Head_2"/>
    <w:basedOn w:val="Normal"/>
    <w:next w:val="JuPara"/>
    <w:uiPriority w:val="19"/>
    <w:qFormat/>
    <w:rsid w:val="008A5A6A"/>
    <w:pPr>
      <w:keepNext/>
      <w:keepLines/>
      <w:numPr>
        <w:ilvl w:val="1"/>
        <w:numId w:val="26"/>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8A5A6A"/>
    <w:pPr>
      <w:keepNext/>
      <w:keepLines/>
      <w:numPr>
        <w:ilvl w:val="2"/>
        <w:numId w:val="26"/>
      </w:numPr>
      <w:spacing w:before="100" w:beforeAutospacing="1" w:after="240"/>
      <w:jc w:val="both"/>
      <w:outlineLvl w:val="2"/>
    </w:pPr>
    <w:rPr>
      <w:b/>
    </w:rPr>
  </w:style>
  <w:style w:type="paragraph" w:customStyle="1" w:styleId="JuH1">
    <w:name w:val="Ju_H_1."/>
    <w:aliases w:val="_Head_4"/>
    <w:basedOn w:val="Normal"/>
    <w:next w:val="JuPara"/>
    <w:uiPriority w:val="19"/>
    <w:rsid w:val="008A5A6A"/>
    <w:pPr>
      <w:keepNext/>
      <w:keepLines/>
      <w:numPr>
        <w:ilvl w:val="3"/>
        <w:numId w:val="26"/>
      </w:numPr>
      <w:spacing w:before="100" w:beforeAutospacing="1" w:after="120"/>
      <w:jc w:val="both"/>
      <w:outlineLvl w:val="3"/>
    </w:pPr>
    <w:rPr>
      <w:i/>
    </w:rPr>
  </w:style>
  <w:style w:type="paragraph" w:styleId="Header">
    <w:name w:val="header"/>
    <w:basedOn w:val="Normal"/>
    <w:link w:val="HeaderChar"/>
    <w:uiPriority w:val="57"/>
    <w:semiHidden/>
    <w:rsid w:val="008A5A6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A5A6A"/>
    <w:rPr>
      <w:sz w:val="24"/>
      <w:lang w:val="fr-FR"/>
    </w:rPr>
  </w:style>
  <w:style w:type="character" w:customStyle="1" w:styleId="Heading1Char">
    <w:name w:val="Heading 1 Char"/>
    <w:basedOn w:val="DefaultParagraphFont"/>
    <w:link w:val="Heading1"/>
    <w:uiPriority w:val="99"/>
    <w:semiHidden/>
    <w:rsid w:val="008A5A6A"/>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8A5A6A"/>
    <w:pPr>
      <w:keepNext/>
      <w:keepLines/>
      <w:numPr>
        <w:ilvl w:val="4"/>
        <w:numId w:val="26"/>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8A5A6A"/>
    <w:pPr>
      <w:keepNext/>
      <w:keepLines/>
      <w:numPr>
        <w:ilvl w:val="5"/>
        <w:numId w:val="26"/>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8A5A6A"/>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8A5A6A"/>
    <w:pPr>
      <w:keepNext/>
      <w:keepLines/>
      <w:numPr>
        <w:ilvl w:val="6"/>
        <w:numId w:val="26"/>
      </w:numPr>
      <w:spacing w:before="100" w:beforeAutospacing="1" w:after="120"/>
      <w:jc w:val="both"/>
      <w:outlineLvl w:val="6"/>
    </w:pPr>
    <w:rPr>
      <w:sz w:val="20"/>
    </w:rPr>
  </w:style>
  <w:style w:type="paragraph" w:customStyle="1" w:styleId="JuH">
    <w:name w:val="Ju_H_–"/>
    <w:aliases w:val="_Head_8"/>
    <w:basedOn w:val="Normal"/>
    <w:next w:val="JuPara"/>
    <w:uiPriority w:val="19"/>
    <w:rsid w:val="008A5A6A"/>
    <w:pPr>
      <w:keepNext/>
      <w:keepLines/>
      <w:numPr>
        <w:ilvl w:val="7"/>
        <w:numId w:val="26"/>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8A5A6A"/>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qFormat/>
    <w:rsid w:val="008A5A6A"/>
    <w:pPr>
      <w:keepNext/>
      <w:keepLines/>
      <w:spacing w:before="240" w:after="240"/>
      <w:ind w:firstLine="284"/>
    </w:pPr>
    <w:rPr>
      <w:rFonts w:eastAsiaTheme="minorHAnsi"/>
    </w:rPr>
  </w:style>
  <w:style w:type="paragraph" w:customStyle="1" w:styleId="JuJudges">
    <w:name w:val="Ju_Judges"/>
    <w:basedOn w:val="Normal"/>
    <w:uiPriority w:val="31"/>
    <w:qFormat/>
    <w:rsid w:val="008A5A6A"/>
    <w:pPr>
      <w:tabs>
        <w:tab w:val="left" w:pos="567"/>
        <w:tab w:val="left" w:pos="1134"/>
      </w:tabs>
    </w:pPr>
  </w:style>
  <w:style w:type="character" w:customStyle="1" w:styleId="Heading4Char">
    <w:name w:val="Heading 4 Char"/>
    <w:basedOn w:val="DefaultParagraphFont"/>
    <w:link w:val="Heading4"/>
    <w:uiPriority w:val="99"/>
    <w:semiHidden/>
    <w:rsid w:val="008A5A6A"/>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semiHidden/>
    <w:qFormat/>
    <w:rsid w:val="008A5A6A"/>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8A5A6A"/>
    <w:rPr>
      <w:rFonts w:asciiTheme="majorHAnsi" w:eastAsiaTheme="majorEastAsia" w:hAnsiTheme="majorHAnsi" w:cstheme="majorBidi"/>
      <w:b/>
      <w:bCs/>
      <w:color w:val="808080"/>
      <w:sz w:val="24"/>
      <w:lang w:val="fr-FR"/>
    </w:rPr>
  </w:style>
  <w:style w:type="character" w:customStyle="1" w:styleId="JUNAMES">
    <w:name w:val="JU_NAMES"/>
    <w:uiPriority w:val="34"/>
    <w:qFormat/>
    <w:rsid w:val="008A5A6A"/>
    <w:rPr>
      <w:caps w:val="0"/>
      <w:smallCaps/>
    </w:rPr>
  </w:style>
  <w:style w:type="paragraph" w:customStyle="1" w:styleId="NormalJustified">
    <w:name w:val="Normal_Justified"/>
    <w:basedOn w:val="Normal"/>
    <w:semiHidden/>
    <w:rsid w:val="008A5A6A"/>
    <w:pPr>
      <w:jc w:val="both"/>
    </w:pPr>
  </w:style>
  <w:style w:type="character" w:styleId="SubtleEmphasis">
    <w:name w:val="Subtle Emphasis"/>
    <w:uiPriority w:val="99"/>
    <w:semiHidden/>
    <w:qFormat/>
    <w:rsid w:val="008A5A6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A5A6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8A5A6A"/>
    <w:rPr>
      <w:b/>
      <w:bCs/>
      <w:i/>
      <w:iCs/>
      <w:spacing w:val="10"/>
      <w:bdr w:val="none" w:sz="0" w:space="0" w:color="auto"/>
      <w:shd w:val="clear" w:color="auto" w:fill="auto"/>
    </w:rPr>
  </w:style>
  <w:style w:type="paragraph" w:styleId="Footer0">
    <w:name w:val="footer"/>
    <w:basedOn w:val="Normal"/>
    <w:link w:val="FooterChar"/>
    <w:uiPriority w:val="57"/>
    <w:semiHidden/>
    <w:rsid w:val="008A5A6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8A5A6A"/>
    <w:rPr>
      <w:sz w:val="24"/>
      <w:lang w:val="fr-FR"/>
    </w:rPr>
  </w:style>
  <w:style w:type="character" w:styleId="FootnoteReference">
    <w:name w:val="footnote reference"/>
    <w:basedOn w:val="DefaultParagraphFont"/>
    <w:uiPriority w:val="99"/>
    <w:semiHidden/>
    <w:rsid w:val="008A5A6A"/>
    <w:rPr>
      <w:vertAlign w:val="superscript"/>
    </w:rPr>
  </w:style>
  <w:style w:type="paragraph" w:styleId="FootnoteText">
    <w:name w:val="footnote text"/>
    <w:basedOn w:val="Normal"/>
    <w:link w:val="FootnoteTextChar"/>
    <w:uiPriority w:val="99"/>
    <w:semiHidden/>
    <w:rsid w:val="008A5A6A"/>
    <w:rPr>
      <w:sz w:val="20"/>
      <w:szCs w:val="20"/>
    </w:rPr>
  </w:style>
  <w:style w:type="character" w:customStyle="1" w:styleId="FootnoteTextChar">
    <w:name w:val="Footnote Text Char"/>
    <w:basedOn w:val="DefaultParagraphFont"/>
    <w:link w:val="FootnoteText"/>
    <w:uiPriority w:val="99"/>
    <w:semiHidden/>
    <w:rsid w:val="008A5A6A"/>
    <w:rPr>
      <w:rFonts w:eastAsiaTheme="minorEastAsia"/>
      <w:sz w:val="20"/>
      <w:szCs w:val="20"/>
      <w:lang w:val="fr-FR"/>
    </w:rPr>
  </w:style>
  <w:style w:type="character" w:customStyle="1" w:styleId="Heading6Char">
    <w:name w:val="Heading 6 Char"/>
    <w:basedOn w:val="DefaultParagraphFont"/>
    <w:link w:val="Heading6"/>
    <w:uiPriority w:val="99"/>
    <w:semiHidden/>
    <w:rsid w:val="008A5A6A"/>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8A5A6A"/>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8A5A6A"/>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8A5A6A"/>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8A5A6A"/>
    <w:rPr>
      <w:color w:val="0072BC" w:themeColor="hyperlink"/>
      <w:u w:val="single"/>
    </w:rPr>
  </w:style>
  <w:style w:type="character" w:styleId="IntenseEmphasis">
    <w:name w:val="Intense Emphasis"/>
    <w:uiPriority w:val="99"/>
    <w:semiHidden/>
    <w:qFormat/>
    <w:rsid w:val="008A5A6A"/>
    <w:rPr>
      <w:b/>
      <w:bCs/>
    </w:rPr>
  </w:style>
  <w:style w:type="paragraph" w:styleId="IntenseQuote">
    <w:name w:val="Intense Quote"/>
    <w:basedOn w:val="Normal"/>
    <w:next w:val="Normal"/>
    <w:link w:val="IntenseQuoteChar"/>
    <w:uiPriority w:val="99"/>
    <w:semiHidden/>
    <w:qFormat/>
    <w:rsid w:val="008A5A6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8A5A6A"/>
    <w:rPr>
      <w:rFonts w:eastAsiaTheme="minorEastAsia"/>
      <w:b/>
      <w:bCs/>
      <w:i/>
      <w:iCs/>
      <w:sz w:val="24"/>
      <w:lang w:val="fr-FR" w:bidi="en-US"/>
    </w:rPr>
  </w:style>
  <w:style w:type="character" w:styleId="IntenseReference">
    <w:name w:val="Intense Reference"/>
    <w:uiPriority w:val="99"/>
    <w:semiHidden/>
    <w:qFormat/>
    <w:rsid w:val="008A5A6A"/>
    <w:rPr>
      <w:smallCaps/>
      <w:spacing w:val="5"/>
      <w:u w:val="single"/>
    </w:rPr>
  </w:style>
  <w:style w:type="paragraph" w:styleId="ListParagraph">
    <w:name w:val="List Paragraph"/>
    <w:basedOn w:val="Normal"/>
    <w:uiPriority w:val="99"/>
    <w:semiHidden/>
    <w:qFormat/>
    <w:rsid w:val="008A5A6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A5A6A"/>
    <w:pPr>
      <w:spacing w:before="200"/>
      <w:ind w:left="360" w:right="360"/>
    </w:pPr>
    <w:rPr>
      <w:i/>
      <w:iCs/>
      <w:lang w:bidi="en-US"/>
    </w:rPr>
  </w:style>
  <w:style w:type="character" w:customStyle="1" w:styleId="QuoteChar">
    <w:name w:val="Quote Char"/>
    <w:basedOn w:val="DefaultParagraphFont"/>
    <w:link w:val="Quote"/>
    <w:uiPriority w:val="99"/>
    <w:semiHidden/>
    <w:rsid w:val="008A5A6A"/>
    <w:rPr>
      <w:rFonts w:eastAsiaTheme="minorEastAsia"/>
      <w:i/>
      <w:iCs/>
      <w:sz w:val="24"/>
      <w:lang w:val="fr-FR" w:bidi="en-US"/>
    </w:rPr>
  </w:style>
  <w:style w:type="character" w:styleId="SubtleReference">
    <w:name w:val="Subtle Reference"/>
    <w:uiPriority w:val="99"/>
    <w:semiHidden/>
    <w:qFormat/>
    <w:rsid w:val="008A5A6A"/>
    <w:rPr>
      <w:smallCaps/>
    </w:rPr>
  </w:style>
  <w:style w:type="table" w:styleId="TableGrid">
    <w:name w:val="Table Grid"/>
    <w:basedOn w:val="TableNormal"/>
    <w:uiPriority w:val="59"/>
    <w:semiHidden/>
    <w:rsid w:val="008A5A6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A5A6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A5A6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A5A6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A5A6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A5A6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A5A6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A5A6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A5A6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8A5A6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A5A6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A5A6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A5A6A"/>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8A5A6A"/>
    <w:pPr>
      <w:numPr>
        <w:numId w:val="3"/>
      </w:numPr>
    </w:pPr>
  </w:style>
  <w:style w:type="paragraph" w:customStyle="1" w:styleId="JuPara">
    <w:name w:val="Ju_Para"/>
    <w:aliases w:val="_Para"/>
    <w:basedOn w:val="NormalJustified"/>
    <w:link w:val="JuParaChar"/>
    <w:uiPriority w:val="8"/>
    <w:qFormat/>
    <w:rsid w:val="008A5A6A"/>
    <w:pPr>
      <w:ind w:firstLine="284"/>
    </w:pPr>
  </w:style>
  <w:style w:type="numbering" w:styleId="1ai">
    <w:name w:val="Outline List 1"/>
    <w:basedOn w:val="NoList"/>
    <w:uiPriority w:val="99"/>
    <w:semiHidden/>
    <w:unhideWhenUsed/>
    <w:rsid w:val="008A5A6A"/>
    <w:pPr>
      <w:numPr>
        <w:numId w:val="4"/>
      </w:numPr>
    </w:pPr>
  </w:style>
  <w:style w:type="table" w:customStyle="1" w:styleId="ECHRTableSimpleBox">
    <w:name w:val="ECHR_Table_Simple_Box"/>
    <w:basedOn w:val="TableNormal"/>
    <w:uiPriority w:val="99"/>
    <w:rsid w:val="008A5A6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A5A6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A5A6A"/>
    <w:pPr>
      <w:numPr>
        <w:numId w:val="5"/>
      </w:numPr>
    </w:pPr>
  </w:style>
  <w:style w:type="table" w:customStyle="1" w:styleId="ECHRTableForInternalUse">
    <w:name w:val="ECHR_Table_For_Internal_Use"/>
    <w:basedOn w:val="TableNormal"/>
    <w:uiPriority w:val="99"/>
    <w:rsid w:val="008A5A6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8A5A6A"/>
  </w:style>
  <w:style w:type="paragraph" w:styleId="BlockText">
    <w:name w:val="Block Text"/>
    <w:basedOn w:val="Normal"/>
    <w:uiPriority w:val="99"/>
    <w:semiHidden/>
    <w:rsid w:val="008A5A6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A5A6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8A5A6A"/>
    <w:pPr>
      <w:spacing w:after="120"/>
    </w:pPr>
  </w:style>
  <w:style w:type="character" w:customStyle="1" w:styleId="BodyTextChar">
    <w:name w:val="Body Text Char"/>
    <w:basedOn w:val="DefaultParagraphFont"/>
    <w:link w:val="BodyText"/>
    <w:uiPriority w:val="99"/>
    <w:semiHidden/>
    <w:rsid w:val="008A5A6A"/>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8A5A6A"/>
    <w:pPr>
      <w:spacing w:after="120" w:line="480" w:lineRule="auto"/>
    </w:pPr>
  </w:style>
  <w:style w:type="table" w:customStyle="1" w:styleId="ECHRHeaderTableReduced">
    <w:name w:val="ECHR_Header_Table_Reduced"/>
    <w:basedOn w:val="TableNormal"/>
    <w:uiPriority w:val="99"/>
    <w:rsid w:val="008A5A6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8A5A6A"/>
    <w:pPr>
      <w:ind w:firstLine="284"/>
    </w:pPr>
    <w:rPr>
      <w:b/>
    </w:rPr>
  </w:style>
  <w:style w:type="character" w:styleId="PageNumber">
    <w:name w:val="page number"/>
    <w:uiPriority w:val="99"/>
    <w:semiHidden/>
    <w:rsid w:val="008A5A6A"/>
    <w:rPr>
      <w:sz w:val="18"/>
    </w:rPr>
  </w:style>
  <w:style w:type="paragraph" w:styleId="ListBullet2">
    <w:name w:val="List Bullet 2"/>
    <w:basedOn w:val="Normal"/>
    <w:uiPriority w:val="99"/>
    <w:semiHidden/>
    <w:rsid w:val="008A5A6A"/>
    <w:pPr>
      <w:numPr>
        <w:numId w:val="37"/>
      </w:numPr>
      <w:contextualSpacing/>
    </w:pPr>
  </w:style>
  <w:style w:type="character" w:customStyle="1" w:styleId="BodyText2Char">
    <w:name w:val="Body Text 2 Char"/>
    <w:basedOn w:val="DefaultParagraphFont"/>
    <w:link w:val="BodyText2"/>
    <w:uiPriority w:val="99"/>
    <w:semiHidden/>
    <w:rsid w:val="008A5A6A"/>
    <w:rPr>
      <w:rFonts w:eastAsiaTheme="minorEastAsia"/>
      <w:sz w:val="24"/>
      <w:lang w:val="fr-FR"/>
    </w:rPr>
  </w:style>
  <w:style w:type="paragraph" w:styleId="BodyText3">
    <w:name w:val="Body Text 3"/>
    <w:basedOn w:val="Normal"/>
    <w:link w:val="BodyText3Char"/>
    <w:uiPriority w:val="99"/>
    <w:semiHidden/>
    <w:rsid w:val="008A5A6A"/>
    <w:pPr>
      <w:spacing w:after="120"/>
    </w:pPr>
    <w:rPr>
      <w:sz w:val="16"/>
      <w:szCs w:val="16"/>
    </w:rPr>
  </w:style>
  <w:style w:type="character" w:customStyle="1" w:styleId="BodyText3Char">
    <w:name w:val="Body Text 3 Char"/>
    <w:basedOn w:val="DefaultParagraphFont"/>
    <w:link w:val="BodyText3"/>
    <w:uiPriority w:val="99"/>
    <w:semiHidden/>
    <w:rsid w:val="008A5A6A"/>
    <w:rPr>
      <w:rFonts w:eastAsiaTheme="minorEastAsia"/>
      <w:sz w:val="16"/>
      <w:szCs w:val="16"/>
      <w:lang w:val="fr-FR"/>
    </w:rPr>
  </w:style>
  <w:style w:type="paragraph" w:styleId="BodyTextFirstIndent">
    <w:name w:val="Body Text First Indent"/>
    <w:basedOn w:val="BodyText"/>
    <w:link w:val="BodyTextFirstIndentChar"/>
    <w:uiPriority w:val="99"/>
    <w:semiHidden/>
    <w:rsid w:val="008A5A6A"/>
    <w:pPr>
      <w:spacing w:after="0"/>
      <w:ind w:firstLine="360"/>
    </w:pPr>
  </w:style>
  <w:style w:type="character" w:customStyle="1" w:styleId="BodyTextFirstIndentChar">
    <w:name w:val="Body Text First Indent Char"/>
    <w:basedOn w:val="BodyTextChar"/>
    <w:link w:val="BodyTextFirstIndent"/>
    <w:uiPriority w:val="99"/>
    <w:semiHidden/>
    <w:rsid w:val="008A5A6A"/>
    <w:rPr>
      <w:rFonts w:eastAsiaTheme="minorEastAsia"/>
      <w:sz w:val="24"/>
      <w:lang w:val="fr-FR"/>
    </w:rPr>
  </w:style>
  <w:style w:type="paragraph" w:styleId="BodyTextIndent">
    <w:name w:val="Body Text Indent"/>
    <w:basedOn w:val="Normal"/>
    <w:link w:val="BodyTextIndentChar"/>
    <w:uiPriority w:val="99"/>
    <w:semiHidden/>
    <w:rsid w:val="008A5A6A"/>
    <w:pPr>
      <w:spacing w:after="120"/>
      <w:ind w:left="283"/>
    </w:pPr>
  </w:style>
  <w:style w:type="character" w:customStyle="1" w:styleId="BodyTextIndentChar">
    <w:name w:val="Body Text Indent Char"/>
    <w:basedOn w:val="DefaultParagraphFont"/>
    <w:link w:val="BodyTextIndent"/>
    <w:uiPriority w:val="99"/>
    <w:semiHidden/>
    <w:rsid w:val="008A5A6A"/>
    <w:rPr>
      <w:rFonts w:eastAsiaTheme="minorEastAsia"/>
      <w:sz w:val="24"/>
      <w:lang w:val="fr-FR"/>
    </w:rPr>
  </w:style>
  <w:style w:type="paragraph" w:styleId="BodyTextFirstIndent2">
    <w:name w:val="Body Text First Indent 2"/>
    <w:basedOn w:val="BodyTextIndent"/>
    <w:link w:val="BodyTextFirstIndent2Char"/>
    <w:uiPriority w:val="99"/>
    <w:semiHidden/>
    <w:rsid w:val="008A5A6A"/>
    <w:pPr>
      <w:spacing w:after="0"/>
      <w:ind w:left="360" w:firstLine="360"/>
    </w:pPr>
  </w:style>
  <w:style w:type="character" w:customStyle="1" w:styleId="BodyTextFirstIndent2Char">
    <w:name w:val="Body Text First Indent 2 Char"/>
    <w:basedOn w:val="BodyTextIndentChar"/>
    <w:link w:val="BodyTextFirstIndent2"/>
    <w:uiPriority w:val="99"/>
    <w:semiHidden/>
    <w:rsid w:val="008A5A6A"/>
    <w:rPr>
      <w:rFonts w:eastAsiaTheme="minorEastAsia"/>
      <w:sz w:val="24"/>
      <w:lang w:val="fr-FR"/>
    </w:rPr>
  </w:style>
  <w:style w:type="paragraph" w:styleId="BodyTextIndent2">
    <w:name w:val="Body Text Indent 2"/>
    <w:basedOn w:val="Normal"/>
    <w:link w:val="BodyTextIndent2Char"/>
    <w:uiPriority w:val="99"/>
    <w:semiHidden/>
    <w:rsid w:val="008A5A6A"/>
    <w:pPr>
      <w:spacing w:after="120" w:line="480" w:lineRule="auto"/>
      <w:ind w:left="283"/>
    </w:pPr>
  </w:style>
  <w:style w:type="character" w:customStyle="1" w:styleId="BodyTextIndent2Char">
    <w:name w:val="Body Text Indent 2 Char"/>
    <w:basedOn w:val="DefaultParagraphFont"/>
    <w:link w:val="BodyTextIndent2"/>
    <w:uiPriority w:val="99"/>
    <w:semiHidden/>
    <w:rsid w:val="008A5A6A"/>
    <w:rPr>
      <w:rFonts w:eastAsiaTheme="minorEastAsia"/>
      <w:sz w:val="24"/>
      <w:lang w:val="fr-FR"/>
    </w:rPr>
  </w:style>
  <w:style w:type="paragraph" w:styleId="BodyTextIndent3">
    <w:name w:val="Body Text Indent 3"/>
    <w:basedOn w:val="Normal"/>
    <w:link w:val="BodyTextIndent3Char"/>
    <w:uiPriority w:val="99"/>
    <w:semiHidden/>
    <w:rsid w:val="008A5A6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A5A6A"/>
    <w:rPr>
      <w:rFonts w:eastAsiaTheme="minorEastAsia"/>
      <w:sz w:val="16"/>
      <w:szCs w:val="16"/>
      <w:lang w:val="fr-FR"/>
    </w:rPr>
  </w:style>
  <w:style w:type="paragraph" w:styleId="Caption">
    <w:name w:val="caption"/>
    <w:basedOn w:val="Normal"/>
    <w:next w:val="Normal"/>
    <w:uiPriority w:val="99"/>
    <w:semiHidden/>
    <w:qFormat/>
    <w:rsid w:val="008A5A6A"/>
    <w:pPr>
      <w:spacing w:after="200"/>
    </w:pPr>
    <w:rPr>
      <w:b/>
      <w:bCs/>
      <w:color w:val="0072BC" w:themeColor="accent1"/>
      <w:sz w:val="18"/>
      <w:szCs w:val="18"/>
    </w:rPr>
  </w:style>
  <w:style w:type="paragraph" w:styleId="Closing">
    <w:name w:val="Closing"/>
    <w:basedOn w:val="Normal"/>
    <w:link w:val="ClosingChar"/>
    <w:uiPriority w:val="99"/>
    <w:semiHidden/>
    <w:rsid w:val="008A5A6A"/>
    <w:pPr>
      <w:ind w:left="4252"/>
    </w:pPr>
  </w:style>
  <w:style w:type="character" w:customStyle="1" w:styleId="ClosingChar">
    <w:name w:val="Closing Char"/>
    <w:basedOn w:val="DefaultParagraphFont"/>
    <w:link w:val="Closing"/>
    <w:uiPriority w:val="99"/>
    <w:semiHidden/>
    <w:rsid w:val="008A5A6A"/>
    <w:rPr>
      <w:rFonts w:eastAsiaTheme="minorEastAsia"/>
      <w:sz w:val="24"/>
      <w:lang w:val="fr-FR"/>
    </w:rPr>
  </w:style>
  <w:style w:type="table" w:styleId="ColorfulGrid">
    <w:name w:val="Colorful Grid"/>
    <w:basedOn w:val="TableNormal"/>
    <w:uiPriority w:val="73"/>
    <w:semiHidden/>
    <w:rsid w:val="008A5A6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A5A6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A5A6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A5A6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A5A6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A5A6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A5A6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A5A6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A5A6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A5A6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A5A6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A5A6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A5A6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A5A6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A5A6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A5A6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A5A6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A5A6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A5A6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A5A6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A5A6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8A5A6A"/>
    <w:rPr>
      <w:sz w:val="16"/>
      <w:szCs w:val="16"/>
    </w:rPr>
  </w:style>
  <w:style w:type="paragraph" w:styleId="CommentText">
    <w:name w:val="annotation text"/>
    <w:basedOn w:val="Normal"/>
    <w:link w:val="CommentTextChar"/>
    <w:semiHidden/>
    <w:rsid w:val="008A5A6A"/>
    <w:rPr>
      <w:sz w:val="20"/>
      <w:szCs w:val="20"/>
    </w:rPr>
  </w:style>
  <w:style w:type="character" w:customStyle="1" w:styleId="CommentTextChar">
    <w:name w:val="Comment Text Char"/>
    <w:basedOn w:val="DefaultParagraphFont"/>
    <w:link w:val="CommentText"/>
    <w:semiHidden/>
    <w:rsid w:val="008A5A6A"/>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8A5A6A"/>
    <w:rPr>
      <w:b/>
      <w:bCs/>
    </w:rPr>
  </w:style>
  <w:style w:type="character" w:customStyle="1" w:styleId="CommentSubjectChar">
    <w:name w:val="Comment Subject Char"/>
    <w:basedOn w:val="CommentTextChar"/>
    <w:link w:val="CommentSubject"/>
    <w:uiPriority w:val="99"/>
    <w:semiHidden/>
    <w:rsid w:val="008A5A6A"/>
    <w:rPr>
      <w:rFonts w:eastAsiaTheme="minorEastAsia"/>
      <w:b/>
      <w:bCs/>
      <w:sz w:val="20"/>
      <w:szCs w:val="20"/>
      <w:lang w:val="fr-FR"/>
    </w:rPr>
  </w:style>
  <w:style w:type="table" w:styleId="DarkList">
    <w:name w:val="Dark List"/>
    <w:basedOn w:val="TableNormal"/>
    <w:uiPriority w:val="70"/>
    <w:semiHidden/>
    <w:rsid w:val="008A5A6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A5A6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A5A6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A5A6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A5A6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A5A6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A5A6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8A5A6A"/>
  </w:style>
  <w:style w:type="character" w:customStyle="1" w:styleId="DateChar">
    <w:name w:val="Date Char"/>
    <w:basedOn w:val="DefaultParagraphFont"/>
    <w:link w:val="Date"/>
    <w:uiPriority w:val="99"/>
    <w:semiHidden/>
    <w:rsid w:val="008A5A6A"/>
    <w:rPr>
      <w:rFonts w:eastAsiaTheme="minorEastAsia"/>
      <w:sz w:val="24"/>
      <w:lang w:val="fr-FR"/>
    </w:rPr>
  </w:style>
  <w:style w:type="paragraph" w:styleId="DocumentMap">
    <w:name w:val="Document Map"/>
    <w:basedOn w:val="Normal"/>
    <w:link w:val="DocumentMapChar"/>
    <w:uiPriority w:val="99"/>
    <w:semiHidden/>
    <w:rsid w:val="008A5A6A"/>
    <w:rPr>
      <w:rFonts w:ascii="Tahoma" w:hAnsi="Tahoma" w:cs="Tahoma"/>
      <w:sz w:val="16"/>
      <w:szCs w:val="16"/>
    </w:rPr>
  </w:style>
  <w:style w:type="character" w:customStyle="1" w:styleId="DocumentMapChar">
    <w:name w:val="Document Map Char"/>
    <w:basedOn w:val="DefaultParagraphFont"/>
    <w:link w:val="DocumentMap"/>
    <w:uiPriority w:val="99"/>
    <w:semiHidden/>
    <w:rsid w:val="008A5A6A"/>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8A5A6A"/>
  </w:style>
  <w:style w:type="character" w:customStyle="1" w:styleId="E-mailSignatureChar">
    <w:name w:val="E-mail Signature Char"/>
    <w:basedOn w:val="DefaultParagraphFont"/>
    <w:link w:val="E-mailSignature"/>
    <w:uiPriority w:val="99"/>
    <w:semiHidden/>
    <w:rsid w:val="008A5A6A"/>
    <w:rPr>
      <w:rFonts w:eastAsiaTheme="minorEastAsia"/>
      <w:sz w:val="24"/>
      <w:lang w:val="fr-FR"/>
    </w:rPr>
  </w:style>
  <w:style w:type="character" w:styleId="EndnoteReference">
    <w:name w:val="endnote reference"/>
    <w:basedOn w:val="DefaultParagraphFont"/>
    <w:uiPriority w:val="99"/>
    <w:semiHidden/>
    <w:rsid w:val="008A5A6A"/>
    <w:rPr>
      <w:vertAlign w:val="superscript"/>
    </w:rPr>
  </w:style>
  <w:style w:type="paragraph" w:styleId="EndnoteText">
    <w:name w:val="endnote text"/>
    <w:basedOn w:val="Normal"/>
    <w:link w:val="EndnoteTextChar"/>
    <w:uiPriority w:val="99"/>
    <w:semiHidden/>
    <w:rsid w:val="008A5A6A"/>
    <w:rPr>
      <w:sz w:val="20"/>
      <w:szCs w:val="20"/>
    </w:rPr>
  </w:style>
  <w:style w:type="character" w:customStyle="1" w:styleId="EndnoteTextChar">
    <w:name w:val="Endnote Text Char"/>
    <w:basedOn w:val="DefaultParagraphFont"/>
    <w:link w:val="EndnoteText"/>
    <w:uiPriority w:val="99"/>
    <w:semiHidden/>
    <w:rsid w:val="008A5A6A"/>
    <w:rPr>
      <w:rFonts w:eastAsiaTheme="minorEastAsia"/>
      <w:sz w:val="20"/>
      <w:szCs w:val="20"/>
      <w:lang w:val="fr-FR"/>
    </w:rPr>
  </w:style>
  <w:style w:type="paragraph" w:styleId="EnvelopeAddress">
    <w:name w:val="envelope address"/>
    <w:basedOn w:val="Normal"/>
    <w:uiPriority w:val="99"/>
    <w:semiHidden/>
    <w:rsid w:val="008A5A6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8A5A6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8A5A6A"/>
    <w:rPr>
      <w:color w:val="7030A0" w:themeColor="followedHyperlink"/>
      <w:u w:val="single"/>
    </w:rPr>
  </w:style>
  <w:style w:type="character" w:styleId="HTMLAcronym">
    <w:name w:val="HTML Acronym"/>
    <w:basedOn w:val="DefaultParagraphFont"/>
    <w:uiPriority w:val="99"/>
    <w:semiHidden/>
    <w:rsid w:val="008A5A6A"/>
  </w:style>
  <w:style w:type="paragraph" w:styleId="HTMLAddress">
    <w:name w:val="HTML Address"/>
    <w:basedOn w:val="Normal"/>
    <w:link w:val="HTMLAddressChar"/>
    <w:uiPriority w:val="99"/>
    <w:semiHidden/>
    <w:rsid w:val="008A5A6A"/>
    <w:rPr>
      <w:i/>
      <w:iCs/>
    </w:rPr>
  </w:style>
  <w:style w:type="character" w:customStyle="1" w:styleId="HTMLAddressChar">
    <w:name w:val="HTML Address Char"/>
    <w:basedOn w:val="DefaultParagraphFont"/>
    <w:link w:val="HTMLAddress"/>
    <w:uiPriority w:val="99"/>
    <w:semiHidden/>
    <w:rsid w:val="008A5A6A"/>
    <w:rPr>
      <w:rFonts w:eastAsiaTheme="minorEastAsia"/>
      <w:i/>
      <w:iCs/>
      <w:sz w:val="24"/>
      <w:lang w:val="fr-FR"/>
    </w:rPr>
  </w:style>
  <w:style w:type="character" w:styleId="HTMLCite">
    <w:name w:val="HTML Cite"/>
    <w:basedOn w:val="DefaultParagraphFont"/>
    <w:uiPriority w:val="99"/>
    <w:semiHidden/>
    <w:rsid w:val="008A5A6A"/>
    <w:rPr>
      <w:i/>
      <w:iCs/>
    </w:rPr>
  </w:style>
  <w:style w:type="character" w:styleId="HTMLCode">
    <w:name w:val="HTML Code"/>
    <w:basedOn w:val="DefaultParagraphFont"/>
    <w:uiPriority w:val="99"/>
    <w:semiHidden/>
    <w:rsid w:val="008A5A6A"/>
    <w:rPr>
      <w:rFonts w:ascii="Consolas" w:hAnsi="Consolas" w:cs="Consolas"/>
      <w:sz w:val="20"/>
      <w:szCs w:val="20"/>
    </w:rPr>
  </w:style>
  <w:style w:type="character" w:styleId="HTMLDefinition">
    <w:name w:val="HTML Definition"/>
    <w:basedOn w:val="DefaultParagraphFont"/>
    <w:uiPriority w:val="99"/>
    <w:semiHidden/>
    <w:rsid w:val="008A5A6A"/>
    <w:rPr>
      <w:i/>
      <w:iCs/>
    </w:rPr>
  </w:style>
  <w:style w:type="character" w:styleId="HTMLKeyboard">
    <w:name w:val="HTML Keyboard"/>
    <w:basedOn w:val="DefaultParagraphFont"/>
    <w:uiPriority w:val="99"/>
    <w:semiHidden/>
    <w:rsid w:val="008A5A6A"/>
    <w:rPr>
      <w:rFonts w:ascii="Consolas" w:hAnsi="Consolas" w:cs="Consolas"/>
      <w:sz w:val="20"/>
      <w:szCs w:val="20"/>
    </w:rPr>
  </w:style>
  <w:style w:type="paragraph" w:styleId="HTMLPreformatted">
    <w:name w:val="HTML Preformatted"/>
    <w:basedOn w:val="Normal"/>
    <w:link w:val="HTMLPreformattedChar"/>
    <w:uiPriority w:val="99"/>
    <w:semiHidden/>
    <w:rsid w:val="008A5A6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A5A6A"/>
    <w:rPr>
      <w:rFonts w:ascii="Consolas" w:eastAsiaTheme="minorEastAsia" w:hAnsi="Consolas" w:cs="Consolas"/>
      <w:sz w:val="20"/>
      <w:szCs w:val="20"/>
      <w:lang w:val="fr-FR"/>
    </w:rPr>
  </w:style>
  <w:style w:type="character" w:styleId="HTMLSample">
    <w:name w:val="HTML Sample"/>
    <w:basedOn w:val="DefaultParagraphFont"/>
    <w:uiPriority w:val="99"/>
    <w:semiHidden/>
    <w:rsid w:val="008A5A6A"/>
    <w:rPr>
      <w:rFonts w:ascii="Consolas" w:hAnsi="Consolas" w:cs="Consolas"/>
      <w:sz w:val="24"/>
      <w:szCs w:val="24"/>
    </w:rPr>
  </w:style>
  <w:style w:type="character" w:styleId="HTMLTypewriter">
    <w:name w:val="HTML Typewriter"/>
    <w:basedOn w:val="DefaultParagraphFont"/>
    <w:uiPriority w:val="99"/>
    <w:semiHidden/>
    <w:rsid w:val="008A5A6A"/>
    <w:rPr>
      <w:rFonts w:ascii="Consolas" w:hAnsi="Consolas" w:cs="Consolas"/>
      <w:sz w:val="20"/>
      <w:szCs w:val="20"/>
    </w:rPr>
  </w:style>
  <w:style w:type="character" w:styleId="HTMLVariable">
    <w:name w:val="HTML Variable"/>
    <w:basedOn w:val="DefaultParagraphFont"/>
    <w:uiPriority w:val="99"/>
    <w:semiHidden/>
    <w:rsid w:val="008A5A6A"/>
    <w:rPr>
      <w:i/>
      <w:iCs/>
    </w:rPr>
  </w:style>
  <w:style w:type="paragraph" w:styleId="Index1">
    <w:name w:val="index 1"/>
    <w:basedOn w:val="Normal"/>
    <w:next w:val="Normal"/>
    <w:autoRedefine/>
    <w:uiPriority w:val="99"/>
    <w:semiHidden/>
    <w:rsid w:val="008A5A6A"/>
    <w:pPr>
      <w:ind w:left="240" w:hanging="240"/>
    </w:pPr>
  </w:style>
  <w:style w:type="paragraph" w:styleId="Index2">
    <w:name w:val="index 2"/>
    <w:basedOn w:val="Normal"/>
    <w:next w:val="Normal"/>
    <w:autoRedefine/>
    <w:uiPriority w:val="99"/>
    <w:semiHidden/>
    <w:rsid w:val="008A5A6A"/>
    <w:pPr>
      <w:ind w:left="480" w:hanging="240"/>
    </w:pPr>
  </w:style>
  <w:style w:type="paragraph" w:styleId="Index3">
    <w:name w:val="index 3"/>
    <w:basedOn w:val="Normal"/>
    <w:next w:val="Normal"/>
    <w:autoRedefine/>
    <w:uiPriority w:val="99"/>
    <w:semiHidden/>
    <w:rsid w:val="008A5A6A"/>
    <w:pPr>
      <w:ind w:left="720" w:hanging="240"/>
    </w:pPr>
  </w:style>
  <w:style w:type="paragraph" w:styleId="Index4">
    <w:name w:val="index 4"/>
    <w:basedOn w:val="Normal"/>
    <w:next w:val="Normal"/>
    <w:autoRedefine/>
    <w:uiPriority w:val="99"/>
    <w:semiHidden/>
    <w:rsid w:val="008A5A6A"/>
    <w:pPr>
      <w:ind w:left="960" w:hanging="240"/>
    </w:pPr>
  </w:style>
  <w:style w:type="paragraph" w:styleId="Index5">
    <w:name w:val="index 5"/>
    <w:basedOn w:val="Normal"/>
    <w:next w:val="Normal"/>
    <w:autoRedefine/>
    <w:uiPriority w:val="99"/>
    <w:semiHidden/>
    <w:rsid w:val="008A5A6A"/>
    <w:pPr>
      <w:ind w:left="1200" w:hanging="240"/>
    </w:pPr>
  </w:style>
  <w:style w:type="paragraph" w:styleId="Index6">
    <w:name w:val="index 6"/>
    <w:basedOn w:val="Normal"/>
    <w:next w:val="Normal"/>
    <w:autoRedefine/>
    <w:uiPriority w:val="99"/>
    <w:semiHidden/>
    <w:rsid w:val="008A5A6A"/>
    <w:pPr>
      <w:ind w:left="1440" w:hanging="240"/>
    </w:pPr>
  </w:style>
  <w:style w:type="paragraph" w:styleId="Index7">
    <w:name w:val="index 7"/>
    <w:basedOn w:val="Normal"/>
    <w:next w:val="Normal"/>
    <w:autoRedefine/>
    <w:uiPriority w:val="99"/>
    <w:semiHidden/>
    <w:rsid w:val="008A5A6A"/>
    <w:pPr>
      <w:ind w:left="1680" w:hanging="240"/>
    </w:pPr>
  </w:style>
  <w:style w:type="paragraph" w:styleId="Index8">
    <w:name w:val="index 8"/>
    <w:basedOn w:val="Normal"/>
    <w:next w:val="Normal"/>
    <w:autoRedefine/>
    <w:uiPriority w:val="99"/>
    <w:semiHidden/>
    <w:rsid w:val="008A5A6A"/>
    <w:pPr>
      <w:ind w:left="1920" w:hanging="240"/>
    </w:pPr>
  </w:style>
  <w:style w:type="paragraph" w:styleId="Index9">
    <w:name w:val="index 9"/>
    <w:basedOn w:val="Normal"/>
    <w:next w:val="Normal"/>
    <w:autoRedefine/>
    <w:uiPriority w:val="99"/>
    <w:semiHidden/>
    <w:rsid w:val="008A5A6A"/>
    <w:pPr>
      <w:ind w:left="2160" w:hanging="240"/>
    </w:pPr>
  </w:style>
  <w:style w:type="paragraph" w:styleId="IndexHeading">
    <w:name w:val="index heading"/>
    <w:basedOn w:val="Normal"/>
    <w:next w:val="Index1"/>
    <w:uiPriority w:val="99"/>
    <w:semiHidden/>
    <w:rsid w:val="008A5A6A"/>
    <w:rPr>
      <w:rFonts w:asciiTheme="majorHAnsi" w:eastAsiaTheme="majorEastAsia" w:hAnsiTheme="majorHAnsi" w:cstheme="majorBidi"/>
      <w:b/>
      <w:bCs/>
    </w:rPr>
  </w:style>
  <w:style w:type="table" w:styleId="LightGrid">
    <w:name w:val="Light Grid"/>
    <w:basedOn w:val="TableNormal"/>
    <w:uiPriority w:val="62"/>
    <w:semiHidden/>
    <w:rsid w:val="008A5A6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A5A6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A5A6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A5A6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A5A6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A5A6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A5A6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A5A6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A5A6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A5A6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A5A6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A5A6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A5A6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A5A6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A5A6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A5A6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A5A6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A5A6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A5A6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A5A6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A5A6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8A5A6A"/>
  </w:style>
  <w:style w:type="paragraph" w:styleId="List">
    <w:name w:val="List"/>
    <w:basedOn w:val="Normal"/>
    <w:uiPriority w:val="99"/>
    <w:semiHidden/>
    <w:rsid w:val="008A5A6A"/>
    <w:pPr>
      <w:ind w:left="283" w:hanging="283"/>
      <w:contextualSpacing/>
    </w:pPr>
  </w:style>
  <w:style w:type="paragraph" w:styleId="List2">
    <w:name w:val="List 2"/>
    <w:basedOn w:val="Normal"/>
    <w:uiPriority w:val="99"/>
    <w:semiHidden/>
    <w:rsid w:val="008A5A6A"/>
    <w:pPr>
      <w:ind w:left="566" w:hanging="283"/>
      <w:contextualSpacing/>
    </w:pPr>
  </w:style>
  <w:style w:type="paragraph" w:styleId="List3">
    <w:name w:val="List 3"/>
    <w:basedOn w:val="Normal"/>
    <w:uiPriority w:val="99"/>
    <w:semiHidden/>
    <w:rsid w:val="008A5A6A"/>
    <w:pPr>
      <w:ind w:left="849" w:hanging="283"/>
      <w:contextualSpacing/>
    </w:pPr>
  </w:style>
  <w:style w:type="paragraph" w:styleId="List4">
    <w:name w:val="List 4"/>
    <w:basedOn w:val="Normal"/>
    <w:uiPriority w:val="99"/>
    <w:semiHidden/>
    <w:rsid w:val="008A5A6A"/>
    <w:pPr>
      <w:ind w:left="1132" w:hanging="283"/>
      <w:contextualSpacing/>
    </w:pPr>
  </w:style>
  <w:style w:type="paragraph" w:styleId="List5">
    <w:name w:val="List 5"/>
    <w:basedOn w:val="Normal"/>
    <w:uiPriority w:val="99"/>
    <w:semiHidden/>
    <w:rsid w:val="008A5A6A"/>
    <w:pPr>
      <w:ind w:left="1415" w:hanging="283"/>
      <w:contextualSpacing/>
    </w:pPr>
  </w:style>
  <w:style w:type="paragraph" w:styleId="ListBullet">
    <w:name w:val="List Bullet"/>
    <w:basedOn w:val="Normal"/>
    <w:uiPriority w:val="99"/>
    <w:semiHidden/>
    <w:rsid w:val="008A5A6A"/>
    <w:pPr>
      <w:numPr>
        <w:numId w:val="36"/>
      </w:numPr>
    </w:pPr>
  </w:style>
  <w:style w:type="paragraph" w:styleId="ListBullet3">
    <w:name w:val="List Bullet 3"/>
    <w:basedOn w:val="Normal"/>
    <w:uiPriority w:val="99"/>
    <w:semiHidden/>
    <w:rsid w:val="008A5A6A"/>
    <w:pPr>
      <w:numPr>
        <w:numId w:val="38"/>
      </w:numPr>
      <w:contextualSpacing/>
    </w:pPr>
  </w:style>
  <w:style w:type="paragraph" w:styleId="ListBullet4">
    <w:name w:val="List Bullet 4"/>
    <w:basedOn w:val="Normal"/>
    <w:uiPriority w:val="99"/>
    <w:semiHidden/>
    <w:rsid w:val="008A5A6A"/>
    <w:pPr>
      <w:numPr>
        <w:numId w:val="39"/>
      </w:numPr>
      <w:contextualSpacing/>
    </w:pPr>
  </w:style>
  <w:style w:type="paragraph" w:styleId="ListBullet5">
    <w:name w:val="List Bullet 5"/>
    <w:basedOn w:val="Normal"/>
    <w:uiPriority w:val="99"/>
    <w:semiHidden/>
    <w:rsid w:val="008A5A6A"/>
    <w:pPr>
      <w:numPr>
        <w:numId w:val="40"/>
      </w:numPr>
      <w:contextualSpacing/>
    </w:pPr>
  </w:style>
  <w:style w:type="paragraph" w:styleId="ListContinue">
    <w:name w:val="List Continue"/>
    <w:basedOn w:val="Normal"/>
    <w:uiPriority w:val="99"/>
    <w:semiHidden/>
    <w:rsid w:val="008A5A6A"/>
    <w:pPr>
      <w:spacing w:after="120"/>
      <w:ind w:left="283"/>
      <w:contextualSpacing/>
    </w:pPr>
  </w:style>
  <w:style w:type="paragraph" w:styleId="ListContinue2">
    <w:name w:val="List Continue 2"/>
    <w:basedOn w:val="Normal"/>
    <w:uiPriority w:val="99"/>
    <w:semiHidden/>
    <w:rsid w:val="008A5A6A"/>
    <w:pPr>
      <w:spacing w:after="120"/>
      <w:ind w:left="566"/>
      <w:contextualSpacing/>
    </w:pPr>
  </w:style>
  <w:style w:type="paragraph" w:styleId="ListContinue3">
    <w:name w:val="List Continue 3"/>
    <w:basedOn w:val="Normal"/>
    <w:uiPriority w:val="99"/>
    <w:semiHidden/>
    <w:rsid w:val="008A5A6A"/>
    <w:pPr>
      <w:spacing w:after="120"/>
      <w:ind w:left="849"/>
      <w:contextualSpacing/>
    </w:pPr>
  </w:style>
  <w:style w:type="paragraph" w:styleId="ListContinue4">
    <w:name w:val="List Continue 4"/>
    <w:basedOn w:val="Normal"/>
    <w:uiPriority w:val="99"/>
    <w:semiHidden/>
    <w:rsid w:val="008A5A6A"/>
    <w:pPr>
      <w:spacing w:after="120"/>
      <w:ind w:left="1132"/>
      <w:contextualSpacing/>
    </w:pPr>
  </w:style>
  <w:style w:type="paragraph" w:styleId="ListContinue5">
    <w:name w:val="List Continue 5"/>
    <w:basedOn w:val="Normal"/>
    <w:uiPriority w:val="99"/>
    <w:semiHidden/>
    <w:rsid w:val="008A5A6A"/>
    <w:pPr>
      <w:spacing w:after="120"/>
      <w:ind w:left="1415"/>
      <w:contextualSpacing/>
    </w:pPr>
  </w:style>
  <w:style w:type="paragraph" w:styleId="ListNumber">
    <w:name w:val="List Number"/>
    <w:basedOn w:val="Normal"/>
    <w:uiPriority w:val="99"/>
    <w:semiHidden/>
    <w:rsid w:val="008A5A6A"/>
    <w:pPr>
      <w:numPr>
        <w:numId w:val="41"/>
      </w:numPr>
      <w:contextualSpacing/>
    </w:pPr>
  </w:style>
  <w:style w:type="paragraph" w:styleId="ListNumber2">
    <w:name w:val="List Number 2"/>
    <w:basedOn w:val="Normal"/>
    <w:uiPriority w:val="99"/>
    <w:semiHidden/>
    <w:rsid w:val="008A5A6A"/>
    <w:pPr>
      <w:numPr>
        <w:numId w:val="42"/>
      </w:numPr>
      <w:contextualSpacing/>
    </w:pPr>
  </w:style>
  <w:style w:type="paragraph" w:styleId="ListNumber3">
    <w:name w:val="List Number 3"/>
    <w:basedOn w:val="Normal"/>
    <w:uiPriority w:val="99"/>
    <w:semiHidden/>
    <w:rsid w:val="008A5A6A"/>
    <w:pPr>
      <w:numPr>
        <w:numId w:val="43"/>
      </w:numPr>
      <w:contextualSpacing/>
    </w:pPr>
  </w:style>
  <w:style w:type="paragraph" w:styleId="ListNumber4">
    <w:name w:val="List Number 4"/>
    <w:basedOn w:val="Normal"/>
    <w:uiPriority w:val="99"/>
    <w:semiHidden/>
    <w:rsid w:val="008A5A6A"/>
    <w:pPr>
      <w:numPr>
        <w:numId w:val="44"/>
      </w:numPr>
      <w:contextualSpacing/>
    </w:pPr>
  </w:style>
  <w:style w:type="paragraph" w:styleId="ListNumber5">
    <w:name w:val="List Number 5"/>
    <w:basedOn w:val="Normal"/>
    <w:uiPriority w:val="99"/>
    <w:semiHidden/>
    <w:rsid w:val="008A5A6A"/>
    <w:pPr>
      <w:numPr>
        <w:numId w:val="45"/>
      </w:numPr>
      <w:contextualSpacing/>
    </w:pPr>
  </w:style>
  <w:style w:type="paragraph" w:styleId="MacroText">
    <w:name w:val="macro"/>
    <w:link w:val="MacroTextChar"/>
    <w:uiPriority w:val="99"/>
    <w:semiHidden/>
    <w:rsid w:val="008A5A6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8A5A6A"/>
    <w:rPr>
      <w:rFonts w:ascii="Consolas" w:eastAsiaTheme="minorEastAsia" w:hAnsi="Consolas" w:cs="Consolas"/>
      <w:sz w:val="20"/>
      <w:szCs w:val="20"/>
    </w:rPr>
  </w:style>
  <w:style w:type="table" w:styleId="MediumGrid1">
    <w:name w:val="Medium Grid 1"/>
    <w:basedOn w:val="TableNormal"/>
    <w:uiPriority w:val="67"/>
    <w:semiHidden/>
    <w:rsid w:val="008A5A6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A5A6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A5A6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A5A6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A5A6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A5A6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A5A6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A5A6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A5A6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A5A6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A5A6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A5A6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A5A6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A5A6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A5A6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A5A6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A5A6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A5A6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A5A6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A5A6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A5A6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A5A6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A5A6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A5A6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A5A6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A5A6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A5A6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A5A6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A5A6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A5A6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A5A6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A5A6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A5A6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A5A6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A5A6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A5A6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A5A6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A5A6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A5A6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A5A6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A5A6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A5A6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A5A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A5A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A5A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A5A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A5A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A5A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A5A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8A5A6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A5A6A"/>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8A5A6A"/>
    <w:rPr>
      <w:rFonts w:ascii="Times New Roman" w:hAnsi="Times New Roman" w:cs="Times New Roman"/>
      <w:szCs w:val="24"/>
    </w:rPr>
  </w:style>
  <w:style w:type="paragraph" w:styleId="NormalIndent">
    <w:name w:val="Normal Indent"/>
    <w:basedOn w:val="Normal"/>
    <w:uiPriority w:val="99"/>
    <w:semiHidden/>
    <w:rsid w:val="008A5A6A"/>
    <w:pPr>
      <w:ind w:left="720"/>
    </w:pPr>
  </w:style>
  <w:style w:type="paragraph" w:styleId="NoteHeading">
    <w:name w:val="Note Heading"/>
    <w:basedOn w:val="Normal"/>
    <w:next w:val="Normal"/>
    <w:link w:val="NoteHeadingChar"/>
    <w:uiPriority w:val="99"/>
    <w:semiHidden/>
    <w:rsid w:val="008A5A6A"/>
  </w:style>
  <w:style w:type="character" w:customStyle="1" w:styleId="NoteHeadingChar">
    <w:name w:val="Note Heading Char"/>
    <w:basedOn w:val="DefaultParagraphFont"/>
    <w:link w:val="NoteHeading"/>
    <w:uiPriority w:val="99"/>
    <w:semiHidden/>
    <w:rsid w:val="008A5A6A"/>
    <w:rPr>
      <w:rFonts w:eastAsiaTheme="minorEastAsia"/>
      <w:sz w:val="24"/>
      <w:lang w:val="fr-FR"/>
    </w:rPr>
  </w:style>
  <w:style w:type="character" w:styleId="PlaceholderText">
    <w:name w:val="Placeholder Text"/>
    <w:basedOn w:val="DefaultParagraphFont"/>
    <w:uiPriority w:val="99"/>
    <w:semiHidden/>
    <w:rsid w:val="008A5A6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8A5A6A"/>
    <w:rPr>
      <w:rFonts w:ascii="Consolas" w:hAnsi="Consolas" w:cs="Consolas"/>
      <w:sz w:val="21"/>
      <w:szCs w:val="21"/>
    </w:rPr>
  </w:style>
  <w:style w:type="character" w:customStyle="1" w:styleId="PlainTextChar">
    <w:name w:val="Plain Text Char"/>
    <w:basedOn w:val="DefaultParagraphFont"/>
    <w:link w:val="PlainText"/>
    <w:uiPriority w:val="99"/>
    <w:semiHidden/>
    <w:rsid w:val="008A5A6A"/>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8A5A6A"/>
  </w:style>
  <w:style w:type="character" w:customStyle="1" w:styleId="SalutationChar">
    <w:name w:val="Salutation Char"/>
    <w:basedOn w:val="DefaultParagraphFont"/>
    <w:link w:val="Salutation"/>
    <w:uiPriority w:val="99"/>
    <w:semiHidden/>
    <w:rsid w:val="008A5A6A"/>
    <w:rPr>
      <w:rFonts w:eastAsiaTheme="minorEastAsia"/>
      <w:sz w:val="24"/>
      <w:lang w:val="fr-FR"/>
    </w:rPr>
  </w:style>
  <w:style w:type="paragraph" w:styleId="Signature">
    <w:name w:val="Signature"/>
    <w:basedOn w:val="Normal"/>
    <w:link w:val="SignatureChar"/>
    <w:uiPriority w:val="99"/>
    <w:semiHidden/>
    <w:rsid w:val="008A5A6A"/>
    <w:pPr>
      <w:ind w:left="4252"/>
    </w:pPr>
  </w:style>
  <w:style w:type="character" w:customStyle="1" w:styleId="SignatureChar">
    <w:name w:val="Signature Char"/>
    <w:basedOn w:val="DefaultParagraphFont"/>
    <w:link w:val="Signature"/>
    <w:uiPriority w:val="99"/>
    <w:semiHidden/>
    <w:rsid w:val="008A5A6A"/>
    <w:rPr>
      <w:rFonts w:eastAsiaTheme="minorEastAsia"/>
      <w:sz w:val="24"/>
      <w:lang w:val="fr-FR"/>
    </w:rPr>
  </w:style>
  <w:style w:type="table" w:styleId="Table3Deffects1">
    <w:name w:val="Table 3D effects 1"/>
    <w:basedOn w:val="TableNormal"/>
    <w:uiPriority w:val="99"/>
    <w:semiHidden/>
    <w:unhideWhenUsed/>
    <w:rsid w:val="008A5A6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A5A6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A5A6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A5A6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A5A6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A5A6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A5A6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A5A6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A5A6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A5A6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A5A6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A5A6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A5A6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A5A6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A5A6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A5A6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A5A6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A5A6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A5A6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A5A6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A5A6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A5A6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A5A6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A5A6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A5A6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A5A6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A5A6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A5A6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A5A6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A5A6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A5A6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A5A6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A5A6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8A5A6A"/>
    <w:pPr>
      <w:ind w:left="240" w:hanging="240"/>
    </w:pPr>
  </w:style>
  <w:style w:type="paragraph" w:styleId="TableofFigures">
    <w:name w:val="table of figures"/>
    <w:basedOn w:val="Normal"/>
    <w:next w:val="Normal"/>
    <w:uiPriority w:val="99"/>
    <w:semiHidden/>
    <w:rsid w:val="008A5A6A"/>
  </w:style>
  <w:style w:type="table" w:styleId="TableProfessional">
    <w:name w:val="Table Professional"/>
    <w:basedOn w:val="TableNormal"/>
    <w:uiPriority w:val="99"/>
    <w:semiHidden/>
    <w:unhideWhenUsed/>
    <w:rsid w:val="008A5A6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A5A6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A5A6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A5A6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A5A6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A5A6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A5A6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A5A6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A5A6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A5A6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A5A6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A5A6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8A5A6A"/>
    <w:pPr>
      <w:spacing w:after="100"/>
      <w:ind w:left="1680"/>
    </w:pPr>
  </w:style>
  <w:style w:type="paragraph" w:styleId="TOC9">
    <w:name w:val="toc 9"/>
    <w:basedOn w:val="Normal"/>
    <w:next w:val="Normal"/>
    <w:autoRedefine/>
    <w:uiPriority w:val="99"/>
    <w:semiHidden/>
    <w:rsid w:val="008A5A6A"/>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8A5A6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8A5A6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8A5A6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8A5A6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6D1562"/>
    <w:rPr>
      <w:rFonts w:eastAsiaTheme="minorEastAsia"/>
      <w:sz w:val="24"/>
      <w:lang w:val="fr-FR"/>
    </w:rPr>
  </w:style>
  <w:style w:type="paragraph" w:customStyle="1" w:styleId="OpiPara">
    <w:name w:val="Opi_Para"/>
    <w:basedOn w:val="JuPara"/>
    <w:uiPriority w:val="46"/>
    <w:qFormat/>
    <w:rsid w:val="00324980"/>
    <w:rPr>
      <w:lang w:val="en-US"/>
    </w:rPr>
  </w:style>
  <w:style w:type="paragraph" w:customStyle="1" w:styleId="ECHRTitleCentre1">
    <w:name w:val="ECHR_Title_Centre_1"/>
    <w:aliases w:val="Opi_H_Head"/>
    <w:basedOn w:val="Normal"/>
    <w:next w:val="OpiPara"/>
    <w:uiPriority w:val="39"/>
    <w:qFormat/>
    <w:rsid w:val="00324980"/>
    <w:pPr>
      <w:keepNext/>
      <w:keepLines/>
      <w:spacing w:after="240"/>
      <w:jc w:val="center"/>
      <w:outlineLvl w:val="0"/>
    </w:pPr>
    <w:rPr>
      <w:rFonts w:asciiTheme="majorHAnsi" w:hAnsiTheme="majorHAnsi"/>
      <w:sz w:val="28"/>
      <w:lang w:val="en-US"/>
    </w:rPr>
  </w:style>
  <w:style w:type="paragraph" w:customStyle="1" w:styleId="OpiTranslation">
    <w:name w:val="Opi_Translation"/>
    <w:basedOn w:val="Normal"/>
    <w:next w:val="OpiPara"/>
    <w:uiPriority w:val="40"/>
    <w:qFormat/>
    <w:rsid w:val="00324980"/>
    <w:pPr>
      <w:jc w:val="center"/>
      <w:outlineLvl w:val="0"/>
    </w:pPr>
    <w:rPr>
      <w:i/>
      <w:lang w:val="en-US"/>
    </w:rPr>
  </w:style>
  <w:style w:type="paragraph" w:customStyle="1" w:styleId="jupara0">
    <w:name w:val="jupara"/>
    <w:basedOn w:val="Normal"/>
    <w:rsid w:val="00E53D6C"/>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E53D6C"/>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4A4DC7-0643-4E7B-897D-A260BB0A5468}"/>
</file>

<file path=customXml/itemProps2.xml><?xml version="1.0" encoding="utf-8"?>
<ds:datastoreItem xmlns:ds="http://schemas.openxmlformats.org/officeDocument/2006/customXml" ds:itemID="{C71D22E5-03D1-4356-BEE0-A23D0DC4BEF1}"/>
</file>

<file path=customXml/itemProps3.xml><?xml version="1.0" encoding="utf-8"?>
<ds:datastoreItem xmlns:ds="http://schemas.openxmlformats.org/officeDocument/2006/customXml" ds:itemID="{6EA73B32-254D-4F2F-99AA-51CCA4E8F3EF}"/>
</file>

<file path=customXml/itemProps4.xml><?xml version="1.0" encoding="utf-8"?>
<ds:datastoreItem xmlns:ds="http://schemas.openxmlformats.org/officeDocument/2006/customXml" ds:itemID="{B4BDB199-1DA4-48B6-A2D8-9B4CC563E24A}"/>
</file>

<file path=docProps/app.xml><?xml version="1.0" encoding="utf-8"?>
<Properties xmlns="http://schemas.openxmlformats.org/officeDocument/2006/extended-properties" xmlns:vt="http://schemas.openxmlformats.org/officeDocument/2006/docPropsVTypes">
  <Template>Normal.dotm</Template>
  <TotalTime>0</TotalTime>
  <Pages>1</Pages>
  <Words>3310</Words>
  <Characters>18870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2020-06-08T13:33:00Z</dcterms:created>
  <dcterms:modified xsi:type="dcterms:W3CDTF">2020-06-08T13:33:00Z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76224/12</vt:lpwstr>
  </property>
  <property fmtid="{D5CDD505-2E9C-101B-9397-08002B2CF9AE}" pid="4" name="CASEID">
    <vt:lpwstr>844861</vt:lpwstr>
  </property>
  <property fmtid="{D5CDD505-2E9C-101B-9397-08002B2CF9AE}" pid="5" name="ContentTypeId">
    <vt:lpwstr>0x010100558EB02BDB9E204AB350EDD385B68E10</vt:lpwstr>
  </property>
</Properties>
</file>